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ABD39" w14:textId="77777777" w:rsidR="00D23089" w:rsidRPr="00D23089" w:rsidRDefault="00D23089" w:rsidP="00D23089">
      <w:pPr>
        <w:spacing w:after="0" w:line="240" w:lineRule="auto"/>
        <w:rPr>
          <w:rFonts w:asciiTheme="majorHAnsi" w:hAnsiTheme="majorHAnsi"/>
        </w:rPr>
      </w:pPr>
    </w:p>
    <w:p w14:paraId="1F0ABD3A" w14:textId="77777777" w:rsidR="00D23089" w:rsidRPr="00D23089" w:rsidRDefault="00D23089" w:rsidP="00D23089">
      <w:pPr>
        <w:spacing w:after="0" w:line="240" w:lineRule="auto"/>
        <w:rPr>
          <w:rFonts w:asciiTheme="majorHAnsi" w:hAnsiTheme="majorHAnsi"/>
        </w:rPr>
      </w:pPr>
    </w:p>
    <w:p w14:paraId="1F0ABD3B" w14:textId="77777777" w:rsidR="00D23089" w:rsidRPr="00D23089" w:rsidRDefault="00D23089" w:rsidP="00D23089">
      <w:pPr>
        <w:spacing w:after="0" w:line="240" w:lineRule="auto"/>
        <w:rPr>
          <w:rFonts w:asciiTheme="majorHAnsi" w:hAnsiTheme="majorHAnsi"/>
        </w:rPr>
      </w:pPr>
    </w:p>
    <w:p w14:paraId="1F0ABD3C" w14:textId="77777777" w:rsidR="00D23089" w:rsidRPr="00D23089" w:rsidRDefault="00D23089" w:rsidP="00D23089">
      <w:pPr>
        <w:spacing w:after="0" w:line="240" w:lineRule="auto"/>
        <w:rPr>
          <w:rFonts w:asciiTheme="majorHAnsi" w:hAnsiTheme="majorHAnsi"/>
        </w:rPr>
      </w:pPr>
    </w:p>
    <w:p w14:paraId="1F0ABD3D" w14:textId="77777777" w:rsidR="00D23089" w:rsidRPr="00D23089" w:rsidRDefault="00D23089" w:rsidP="00D23089">
      <w:pPr>
        <w:spacing w:after="0" w:line="240" w:lineRule="auto"/>
        <w:rPr>
          <w:rFonts w:asciiTheme="majorHAnsi" w:hAnsiTheme="majorHAnsi"/>
        </w:rPr>
      </w:pPr>
    </w:p>
    <w:p w14:paraId="1F0ABD3E" w14:textId="77777777" w:rsidR="00D23089" w:rsidRPr="00D23089" w:rsidRDefault="00D23089" w:rsidP="00D23089">
      <w:pPr>
        <w:spacing w:after="0" w:line="240" w:lineRule="auto"/>
        <w:rPr>
          <w:rFonts w:asciiTheme="majorHAnsi" w:hAnsiTheme="majorHAnsi"/>
        </w:rPr>
      </w:pPr>
    </w:p>
    <w:p w14:paraId="1F0ABD3F" w14:textId="77777777" w:rsidR="00D23089" w:rsidRPr="00D23089" w:rsidRDefault="00D23089" w:rsidP="00D23089">
      <w:pPr>
        <w:spacing w:after="0" w:line="240" w:lineRule="auto"/>
        <w:rPr>
          <w:rFonts w:asciiTheme="majorHAnsi" w:hAnsiTheme="majorHAnsi"/>
        </w:rPr>
      </w:pPr>
    </w:p>
    <w:p w14:paraId="1F0ABD40" w14:textId="77777777" w:rsidR="00D23089" w:rsidRPr="00D23089" w:rsidRDefault="00D23089" w:rsidP="00D23089">
      <w:pPr>
        <w:spacing w:after="0" w:line="240" w:lineRule="auto"/>
        <w:rPr>
          <w:rFonts w:asciiTheme="majorHAnsi" w:hAnsiTheme="majorHAnsi"/>
        </w:rPr>
      </w:pPr>
    </w:p>
    <w:p w14:paraId="1F0ABD41" w14:textId="66802266" w:rsidR="008922F4" w:rsidRPr="00D23089" w:rsidRDefault="00A63D24" w:rsidP="00D23089">
      <w:pPr>
        <w:pStyle w:val="Heading1"/>
        <w:spacing w:before="0" w:line="240" w:lineRule="auto"/>
        <w:jc w:val="center"/>
        <w:rPr>
          <w:b/>
          <w:sz w:val="40"/>
          <w:szCs w:val="40"/>
        </w:rPr>
      </w:pPr>
      <w:r w:rsidRPr="00C426F4">
        <w:rPr>
          <w:b/>
          <w:color w:val="auto"/>
          <w:sz w:val="40"/>
          <w:szCs w:val="40"/>
        </w:rPr>
        <w:t xml:space="preserve">Federally </w:t>
      </w:r>
      <w:r w:rsidR="008922F4" w:rsidRPr="00C426F4">
        <w:rPr>
          <w:b/>
          <w:color w:val="auto"/>
          <w:sz w:val="40"/>
          <w:szCs w:val="40"/>
        </w:rPr>
        <w:t>Unregulated Drinking Water Programs</w:t>
      </w:r>
      <w:r w:rsidR="00AF4215" w:rsidRPr="00C426F4">
        <w:rPr>
          <w:b/>
          <w:color w:val="auto"/>
          <w:sz w:val="40"/>
          <w:szCs w:val="40"/>
        </w:rPr>
        <w:t>:</w:t>
      </w:r>
      <w:r w:rsidR="008922F4" w:rsidRPr="00C426F4">
        <w:rPr>
          <w:b/>
          <w:color w:val="auto"/>
          <w:sz w:val="40"/>
          <w:szCs w:val="40"/>
        </w:rPr>
        <w:t xml:space="preserve"> </w:t>
      </w:r>
      <w:r w:rsidR="006F026C" w:rsidRPr="00C426F4">
        <w:rPr>
          <w:b/>
          <w:color w:val="auto"/>
          <w:sz w:val="40"/>
          <w:szCs w:val="40"/>
        </w:rPr>
        <w:t xml:space="preserve">Assessing </w:t>
      </w:r>
      <w:r w:rsidR="002C457A" w:rsidRPr="00C426F4">
        <w:rPr>
          <w:b/>
          <w:color w:val="auto"/>
          <w:sz w:val="40"/>
          <w:szCs w:val="40"/>
        </w:rPr>
        <w:t>Strategie</w:t>
      </w:r>
      <w:r w:rsidR="00AF4215" w:rsidRPr="00C426F4">
        <w:rPr>
          <w:b/>
          <w:color w:val="auto"/>
          <w:sz w:val="40"/>
          <w:szCs w:val="40"/>
        </w:rPr>
        <w:t>s Le</w:t>
      </w:r>
      <w:r w:rsidR="002C457A" w:rsidRPr="00C426F4">
        <w:rPr>
          <w:b/>
          <w:color w:val="auto"/>
          <w:sz w:val="40"/>
          <w:szCs w:val="40"/>
        </w:rPr>
        <w:t>a</w:t>
      </w:r>
      <w:r w:rsidR="00AF4215" w:rsidRPr="00C426F4">
        <w:rPr>
          <w:b/>
          <w:color w:val="auto"/>
          <w:sz w:val="40"/>
          <w:szCs w:val="40"/>
        </w:rPr>
        <w:t>d</w:t>
      </w:r>
      <w:r w:rsidR="006F026C" w:rsidRPr="00C426F4">
        <w:rPr>
          <w:b/>
          <w:color w:val="auto"/>
          <w:sz w:val="40"/>
          <w:szCs w:val="40"/>
        </w:rPr>
        <w:t>ing</w:t>
      </w:r>
      <w:r w:rsidR="00AF4215" w:rsidRPr="00C426F4">
        <w:rPr>
          <w:b/>
          <w:color w:val="auto"/>
          <w:sz w:val="40"/>
          <w:szCs w:val="40"/>
        </w:rPr>
        <w:t xml:space="preserve"> </w:t>
      </w:r>
      <w:r w:rsidR="002C457A" w:rsidRPr="00C426F4">
        <w:rPr>
          <w:b/>
          <w:color w:val="auto"/>
          <w:sz w:val="40"/>
          <w:szCs w:val="40"/>
        </w:rPr>
        <w:t xml:space="preserve">to </w:t>
      </w:r>
      <w:r w:rsidR="008922F4" w:rsidRPr="00C426F4">
        <w:rPr>
          <w:b/>
          <w:color w:val="auto"/>
          <w:sz w:val="40"/>
          <w:szCs w:val="40"/>
        </w:rPr>
        <w:t>Policy Change</w:t>
      </w:r>
    </w:p>
    <w:p w14:paraId="1F0ABD42" w14:textId="77777777" w:rsidR="008922F4" w:rsidRPr="00D23089" w:rsidRDefault="008922F4" w:rsidP="00D23089">
      <w:pPr>
        <w:spacing w:after="0" w:line="240" w:lineRule="auto"/>
        <w:rPr>
          <w:rFonts w:asciiTheme="majorHAnsi" w:hAnsiTheme="majorHAnsi"/>
          <w:b/>
        </w:rPr>
      </w:pPr>
    </w:p>
    <w:p w14:paraId="1F0ABD43" w14:textId="77777777" w:rsidR="00AF6D8E" w:rsidRPr="00D23089" w:rsidRDefault="00AF6D8E" w:rsidP="00D23089">
      <w:pPr>
        <w:spacing w:after="0" w:line="240" w:lineRule="auto"/>
        <w:jc w:val="center"/>
        <w:rPr>
          <w:rFonts w:asciiTheme="majorHAnsi" w:hAnsiTheme="majorHAnsi"/>
          <w:b/>
        </w:rPr>
      </w:pPr>
      <w:r w:rsidRPr="00D23089">
        <w:rPr>
          <w:rFonts w:asciiTheme="majorHAnsi" w:hAnsiTheme="majorHAnsi"/>
          <w:b/>
        </w:rPr>
        <w:t>OSTLTS Generic Information Collection Request</w:t>
      </w:r>
    </w:p>
    <w:p w14:paraId="1F0ABD44" w14:textId="77777777" w:rsidR="00AF6D8E" w:rsidRPr="00D23089" w:rsidRDefault="00AF6D8E" w:rsidP="00D23089">
      <w:pPr>
        <w:spacing w:after="0" w:line="240" w:lineRule="auto"/>
        <w:jc w:val="center"/>
        <w:rPr>
          <w:rFonts w:asciiTheme="majorHAnsi" w:hAnsiTheme="majorHAnsi"/>
          <w:b/>
        </w:rPr>
      </w:pPr>
      <w:r w:rsidRPr="00D23089">
        <w:rPr>
          <w:rFonts w:asciiTheme="majorHAnsi" w:hAnsiTheme="majorHAnsi"/>
          <w:b/>
        </w:rPr>
        <w:t>OMB No. 0920-0879</w:t>
      </w:r>
    </w:p>
    <w:p w14:paraId="1F0ABD45" w14:textId="77777777" w:rsidR="00AF6D8E" w:rsidRPr="00D23089" w:rsidRDefault="00AF6D8E" w:rsidP="00D23089">
      <w:pPr>
        <w:spacing w:after="0" w:line="240" w:lineRule="auto"/>
        <w:rPr>
          <w:rFonts w:asciiTheme="majorHAnsi" w:hAnsiTheme="majorHAnsi"/>
          <w:b/>
        </w:rPr>
      </w:pPr>
    </w:p>
    <w:p w14:paraId="1F0ABD46" w14:textId="77777777" w:rsidR="00AF6D8E" w:rsidRPr="00D23089" w:rsidRDefault="00AF6D8E" w:rsidP="00D23089">
      <w:pPr>
        <w:spacing w:after="0" w:line="240" w:lineRule="auto"/>
        <w:rPr>
          <w:rFonts w:asciiTheme="majorHAnsi" w:hAnsiTheme="majorHAnsi"/>
          <w:b/>
        </w:rPr>
      </w:pPr>
    </w:p>
    <w:p w14:paraId="1F0ABD47" w14:textId="77777777" w:rsidR="00AF6D8E" w:rsidRPr="00D23089" w:rsidRDefault="00AF6D8E" w:rsidP="00D23089">
      <w:pPr>
        <w:spacing w:after="0" w:line="240" w:lineRule="auto"/>
        <w:rPr>
          <w:rFonts w:asciiTheme="majorHAnsi" w:hAnsiTheme="majorHAnsi"/>
          <w:b/>
        </w:rPr>
      </w:pPr>
    </w:p>
    <w:p w14:paraId="1F0ABD48" w14:textId="77777777" w:rsidR="00AF6D8E" w:rsidRPr="00D23089" w:rsidRDefault="00AF6D8E" w:rsidP="00D23089">
      <w:pPr>
        <w:spacing w:after="0" w:line="240" w:lineRule="auto"/>
        <w:rPr>
          <w:rFonts w:asciiTheme="majorHAnsi" w:hAnsiTheme="majorHAnsi"/>
          <w:b/>
        </w:rPr>
      </w:pPr>
    </w:p>
    <w:p w14:paraId="1F0ABD49" w14:textId="77777777" w:rsidR="003562D2" w:rsidRPr="00D23089" w:rsidRDefault="003562D2" w:rsidP="00D23089">
      <w:pPr>
        <w:pStyle w:val="Heading2"/>
        <w:spacing w:before="0" w:line="240" w:lineRule="auto"/>
        <w:jc w:val="center"/>
        <w:rPr>
          <w:b/>
          <w:sz w:val="32"/>
          <w:szCs w:val="32"/>
        </w:rPr>
      </w:pPr>
      <w:r w:rsidRPr="00D23089">
        <w:rPr>
          <w:b/>
          <w:color w:val="auto"/>
          <w:sz w:val="32"/>
          <w:szCs w:val="32"/>
        </w:rPr>
        <w:t>Supporting Statement – Section A</w:t>
      </w:r>
    </w:p>
    <w:p w14:paraId="1F0ABD4A" w14:textId="77777777" w:rsidR="003562D2" w:rsidRPr="00D23089" w:rsidRDefault="003562D2" w:rsidP="00D23089">
      <w:pPr>
        <w:spacing w:after="0" w:line="240" w:lineRule="auto"/>
        <w:rPr>
          <w:rFonts w:asciiTheme="majorHAnsi" w:hAnsiTheme="majorHAnsi"/>
        </w:rPr>
      </w:pPr>
    </w:p>
    <w:p w14:paraId="1F0ABD4B" w14:textId="77777777" w:rsidR="003562D2" w:rsidRPr="00D23089" w:rsidRDefault="003562D2" w:rsidP="00D23089">
      <w:pPr>
        <w:spacing w:after="0" w:line="240" w:lineRule="auto"/>
        <w:rPr>
          <w:rFonts w:asciiTheme="majorHAnsi" w:hAnsiTheme="majorHAnsi"/>
        </w:rPr>
      </w:pPr>
    </w:p>
    <w:p w14:paraId="1F0ABD4C" w14:textId="77777777" w:rsidR="003562D2" w:rsidRPr="00D23089" w:rsidRDefault="003562D2" w:rsidP="00D23089">
      <w:pPr>
        <w:tabs>
          <w:tab w:val="left" w:pos="7095"/>
        </w:tabs>
        <w:spacing w:after="0" w:line="240" w:lineRule="auto"/>
        <w:rPr>
          <w:rFonts w:asciiTheme="majorHAnsi" w:hAnsiTheme="majorHAnsi"/>
        </w:rPr>
      </w:pPr>
    </w:p>
    <w:p w14:paraId="1F0ABD4D" w14:textId="77777777" w:rsidR="003562D2" w:rsidRPr="00D23089" w:rsidRDefault="003562D2" w:rsidP="00D23089">
      <w:pPr>
        <w:spacing w:after="0" w:line="240" w:lineRule="auto"/>
        <w:rPr>
          <w:rFonts w:asciiTheme="majorHAnsi" w:hAnsiTheme="majorHAnsi"/>
        </w:rPr>
      </w:pPr>
    </w:p>
    <w:p w14:paraId="1F0ABD4E" w14:textId="77777777" w:rsidR="003562D2" w:rsidRPr="00D23089" w:rsidRDefault="003562D2" w:rsidP="00D23089">
      <w:pPr>
        <w:spacing w:after="0" w:line="240" w:lineRule="auto"/>
        <w:rPr>
          <w:rFonts w:asciiTheme="majorHAnsi" w:hAnsiTheme="majorHAnsi"/>
        </w:rPr>
      </w:pPr>
    </w:p>
    <w:p w14:paraId="1F0ABD4F" w14:textId="77777777" w:rsidR="00015E3F" w:rsidRPr="00D23089" w:rsidRDefault="00015E3F" w:rsidP="00D23089">
      <w:pPr>
        <w:spacing w:after="0" w:line="240" w:lineRule="auto"/>
        <w:rPr>
          <w:rFonts w:asciiTheme="majorHAnsi" w:hAnsiTheme="majorHAnsi"/>
        </w:rPr>
      </w:pPr>
    </w:p>
    <w:p w14:paraId="1F0ABD50" w14:textId="1408AE64" w:rsidR="003562D2" w:rsidRPr="00D23089" w:rsidRDefault="00BB2CC3" w:rsidP="00D23089">
      <w:pPr>
        <w:spacing w:after="0" w:line="240" w:lineRule="auto"/>
        <w:jc w:val="center"/>
        <w:rPr>
          <w:rFonts w:asciiTheme="majorHAnsi" w:hAnsiTheme="majorHAnsi"/>
        </w:rPr>
      </w:pPr>
      <w:r w:rsidRPr="00D23089">
        <w:rPr>
          <w:rFonts w:asciiTheme="majorHAnsi" w:hAnsiTheme="majorHAnsi"/>
        </w:rPr>
        <w:t xml:space="preserve">Submitted: </w:t>
      </w:r>
      <w:r w:rsidR="006520D2" w:rsidRPr="006520D2">
        <w:rPr>
          <w:rFonts w:asciiTheme="majorHAnsi" w:hAnsiTheme="majorHAnsi"/>
        </w:rPr>
        <w:t>January 2</w:t>
      </w:r>
      <w:r w:rsidR="002E2DC8">
        <w:rPr>
          <w:rFonts w:asciiTheme="majorHAnsi" w:hAnsiTheme="majorHAnsi"/>
        </w:rPr>
        <w:t>7</w:t>
      </w:r>
      <w:r w:rsidR="006520D2" w:rsidRPr="006520D2">
        <w:rPr>
          <w:rFonts w:asciiTheme="majorHAnsi" w:hAnsiTheme="majorHAnsi"/>
          <w:vertAlign w:val="superscript"/>
        </w:rPr>
        <w:t>th</w:t>
      </w:r>
      <w:r w:rsidR="006520D2" w:rsidRPr="006520D2">
        <w:rPr>
          <w:rFonts w:asciiTheme="majorHAnsi" w:hAnsiTheme="majorHAnsi"/>
        </w:rPr>
        <w:t>, 2016</w:t>
      </w:r>
    </w:p>
    <w:p w14:paraId="1F0ABD51" w14:textId="77777777" w:rsidR="003562D2" w:rsidRPr="00D23089" w:rsidRDefault="003562D2" w:rsidP="00D23089">
      <w:pPr>
        <w:spacing w:after="0" w:line="240" w:lineRule="auto"/>
        <w:rPr>
          <w:rFonts w:asciiTheme="majorHAnsi" w:hAnsiTheme="majorHAnsi"/>
        </w:rPr>
      </w:pPr>
    </w:p>
    <w:p w14:paraId="1F0ABD52" w14:textId="77777777" w:rsidR="003562D2" w:rsidRPr="00D23089" w:rsidRDefault="003562D2" w:rsidP="00D23089">
      <w:pPr>
        <w:spacing w:after="0" w:line="240" w:lineRule="auto"/>
        <w:rPr>
          <w:rFonts w:asciiTheme="majorHAnsi" w:hAnsiTheme="majorHAnsi"/>
        </w:rPr>
      </w:pPr>
    </w:p>
    <w:p w14:paraId="1F0ABD53" w14:textId="77777777" w:rsidR="003562D2" w:rsidRPr="00D23089" w:rsidRDefault="003562D2" w:rsidP="00D23089">
      <w:pPr>
        <w:spacing w:after="0" w:line="240" w:lineRule="auto"/>
        <w:rPr>
          <w:rFonts w:asciiTheme="majorHAnsi" w:hAnsiTheme="majorHAnsi"/>
        </w:rPr>
      </w:pPr>
    </w:p>
    <w:p w14:paraId="1F0ABD54" w14:textId="77777777" w:rsidR="00015E3F" w:rsidRPr="00D23089" w:rsidRDefault="00015E3F" w:rsidP="00D23089">
      <w:pPr>
        <w:spacing w:after="0" w:line="240" w:lineRule="auto"/>
        <w:rPr>
          <w:rFonts w:asciiTheme="majorHAnsi" w:hAnsiTheme="majorHAnsi"/>
        </w:rPr>
      </w:pPr>
    </w:p>
    <w:p w14:paraId="1F0ABD55" w14:textId="77777777" w:rsidR="00015E3F" w:rsidRPr="00D23089" w:rsidRDefault="00015E3F" w:rsidP="00D23089">
      <w:pPr>
        <w:spacing w:after="0" w:line="240" w:lineRule="auto"/>
        <w:rPr>
          <w:rFonts w:asciiTheme="majorHAnsi" w:hAnsiTheme="majorHAnsi"/>
        </w:rPr>
      </w:pPr>
    </w:p>
    <w:p w14:paraId="1F0ABD56" w14:textId="77777777" w:rsidR="00015E3F" w:rsidRPr="00D23089" w:rsidRDefault="00015E3F" w:rsidP="00D23089">
      <w:pPr>
        <w:spacing w:after="0" w:line="240" w:lineRule="auto"/>
        <w:rPr>
          <w:rFonts w:asciiTheme="majorHAnsi" w:hAnsiTheme="majorHAnsi"/>
        </w:rPr>
      </w:pPr>
    </w:p>
    <w:p w14:paraId="1F0ABD57" w14:textId="77777777" w:rsidR="003562D2" w:rsidRPr="00D23089" w:rsidRDefault="003562D2" w:rsidP="00D23089">
      <w:pPr>
        <w:spacing w:after="0" w:line="240" w:lineRule="auto"/>
        <w:rPr>
          <w:rFonts w:asciiTheme="majorHAnsi" w:hAnsiTheme="majorHAnsi"/>
          <w:b/>
          <w:u w:val="single"/>
        </w:rPr>
      </w:pPr>
      <w:r w:rsidRPr="00D23089">
        <w:rPr>
          <w:rFonts w:asciiTheme="majorHAnsi" w:hAnsiTheme="majorHAnsi"/>
          <w:b/>
          <w:u w:val="single"/>
        </w:rPr>
        <w:t xml:space="preserve">Program Official/Project Officer </w:t>
      </w:r>
    </w:p>
    <w:p w14:paraId="1F0ABD58" w14:textId="77777777" w:rsidR="003562D2" w:rsidRPr="00D23089" w:rsidRDefault="003562D2" w:rsidP="00D23089">
      <w:pPr>
        <w:spacing w:after="0" w:line="240" w:lineRule="auto"/>
        <w:rPr>
          <w:rFonts w:asciiTheme="majorHAnsi" w:hAnsiTheme="majorHAnsi"/>
        </w:rPr>
      </w:pPr>
      <w:r w:rsidRPr="00D23089">
        <w:rPr>
          <w:rFonts w:asciiTheme="majorHAnsi" w:hAnsiTheme="majorHAnsi"/>
        </w:rPr>
        <w:t>Max Zarate-Bermudez</w:t>
      </w:r>
    </w:p>
    <w:p w14:paraId="1F0ABD59" w14:textId="77777777" w:rsidR="003562D2" w:rsidRPr="00D23089" w:rsidRDefault="003562D2" w:rsidP="00D23089">
      <w:pPr>
        <w:spacing w:after="0" w:line="240" w:lineRule="auto"/>
        <w:rPr>
          <w:rFonts w:asciiTheme="majorHAnsi" w:hAnsiTheme="majorHAnsi"/>
        </w:rPr>
      </w:pPr>
      <w:r w:rsidRPr="00D23089">
        <w:rPr>
          <w:rFonts w:asciiTheme="majorHAnsi" w:hAnsiTheme="majorHAnsi"/>
        </w:rPr>
        <w:t>Epidemiologist</w:t>
      </w:r>
    </w:p>
    <w:p w14:paraId="1F0ABD5A" w14:textId="77777777" w:rsidR="003562D2" w:rsidRPr="00D23089" w:rsidRDefault="003562D2" w:rsidP="00D23089">
      <w:pPr>
        <w:spacing w:after="0" w:line="240" w:lineRule="auto"/>
        <w:rPr>
          <w:rFonts w:asciiTheme="majorHAnsi" w:hAnsiTheme="majorHAnsi"/>
        </w:rPr>
      </w:pPr>
      <w:r w:rsidRPr="00D23089">
        <w:rPr>
          <w:rFonts w:asciiTheme="majorHAnsi" w:hAnsiTheme="majorHAnsi"/>
        </w:rPr>
        <w:t>Environmental Health Services Branch</w:t>
      </w:r>
    </w:p>
    <w:p w14:paraId="1F0ABD5B" w14:textId="77777777" w:rsidR="003562D2" w:rsidRPr="00D23089" w:rsidRDefault="003562D2" w:rsidP="00D23089">
      <w:pPr>
        <w:spacing w:after="0" w:line="240" w:lineRule="auto"/>
        <w:rPr>
          <w:rFonts w:asciiTheme="majorHAnsi" w:hAnsiTheme="majorHAnsi"/>
        </w:rPr>
      </w:pPr>
      <w:r w:rsidRPr="00D23089">
        <w:rPr>
          <w:rFonts w:asciiTheme="majorHAnsi" w:hAnsiTheme="majorHAnsi"/>
        </w:rPr>
        <w:t>Division of Emergency and Environmental Health Services</w:t>
      </w:r>
    </w:p>
    <w:p w14:paraId="1F0ABD5C" w14:textId="77777777" w:rsidR="003562D2" w:rsidRPr="00D23089" w:rsidRDefault="003562D2" w:rsidP="00D23089">
      <w:pPr>
        <w:spacing w:after="0" w:line="240" w:lineRule="auto"/>
        <w:rPr>
          <w:rFonts w:asciiTheme="majorHAnsi" w:hAnsiTheme="majorHAnsi"/>
        </w:rPr>
      </w:pPr>
      <w:r w:rsidRPr="00D23089">
        <w:rPr>
          <w:rFonts w:asciiTheme="majorHAnsi" w:hAnsiTheme="majorHAnsi"/>
        </w:rPr>
        <w:t>National Center for Environmental Health</w:t>
      </w:r>
    </w:p>
    <w:p w14:paraId="1F0ABD5D" w14:textId="77777777" w:rsidR="003562D2" w:rsidRPr="00D23089" w:rsidRDefault="003562D2" w:rsidP="00D23089">
      <w:pPr>
        <w:spacing w:after="0" w:line="240" w:lineRule="auto"/>
        <w:rPr>
          <w:rFonts w:asciiTheme="majorHAnsi" w:hAnsiTheme="majorHAnsi"/>
        </w:rPr>
      </w:pPr>
      <w:r w:rsidRPr="00D23089">
        <w:rPr>
          <w:rFonts w:asciiTheme="majorHAnsi" w:hAnsiTheme="majorHAnsi"/>
        </w:rPr>
        <w:t>4770 Buford Highway NE, MS F-58</w:t>
      </w:r>
    </w:p>
    <w:p w14:paraId="1F0ABD5E" w14:textId="77777777" w:rsidR="003562D2" w:rsidRPr="00D23089" w:rsidRDefault="003562D2" w:rsidP="00D23089">
      <w:pPr>
        <w:spacing w:after="0" w:line="240" w:lineRule="auto"/>
        <w:rPr>
          <w:rFonts w:asciiTheme="majorHAnsi" w:hAnsiTheme="majorHAnsi"/>
        </w:rPr>
      </w:pPr>
      <w:r w:rsidRPr="00D23089">
        <w:rPr>
          <w:rFonts w:asciiTheme="majorHAnsi" w:hAnsiTheme="majorHAnsi"/>
        </w:rPr>
        <w:t>Atlanta, GA 30341</w:t>
      </w:r>
    </w:p>
    <w:p w14:paraId="1F0ABD5F" w14:textId="77777777" w:rsidR="003562D2" w:rsidRPr="00D23089" w:rsidRDefault="003562D2" w:rsidP="00D23089">
      <w:pPr>
        <w:spacing w:after="0" w:line="240" w:lineRule="auto"/>
        <w:rPr>
          <w:rFonts w:asciiTheme="majorHAnsi" w:hAnsiTheme="majorHAnsi"/>
        </w:rPr>
      </w:pPr>
      <w:r w:rsidRPr="00D23089">
        <w:rPr>
          <w:rFonts w:asciiTheme="majorHAnsi" w:hAnsiTheme="majorHAnsi"/>
        </w:rPr>
        <w:t>Phone: 770.488.7421</w:t>
      </w:r>
    </w:p>
    <w:p w14:paraId="1F0ABD60" w14:textId="77777777" w:rsidR="00DC57CC" w:rsidRPr="00D23089" w:rsidRDefault="003562D2" w:rsidP="00D23089">
      <w:pPr>
        <w:spacing w:after="0" w:line="240" w:lineRule="auto"/>
        <w:rPr>
          <w:rFonts w:asciiTheme="majorHAnsi" w:hAnsiTheme="majorHAnsi"/>
        </w:rPr>
      </w:pPr>
      <w:r w:rsidRPr="00D23089">
        <w:rPr>
          <w:rFonts w:asciiTheme="majorHAnsi" w:hAnsiTheme="majorHAnsi"/>
        </w:rPr>
        <w:t xml:space="preserve">Email: </w:t>
      </w:r>
      <w:hyperlink r:id="rId13" w:history="1">
        <w:r w:rsidR="00D23089" w:rsidRPr="00D23089">
          <w:rPr>
            <w:rStyle w:val="Hyperlink"/>
            <w:rFonts w:asciiTheme="majorHAnsi" w:hAnsiTheme="majorHAnsi"/>
          </w:rPr>
          <w:t>mcz4@cdc.gov</w:t>
        </w:r>
      </w:hyperlink>
      <w:r w:rsidR="00D23089" w:rsidRPr="00D23089">
        <w:rPr>
          <w:rFonts w:asciiTheme="majorHAnsi" w:hAnsiTheme="majorHAnsi"/>
        </w:rPr>
        <w:t xml:space="preserve"> </w:t>
      </w:r>
    </w:p>
    <w:p w14:paraId="1F0ABD61" w14:textId="77777777" w:rsidR="00EB0D19" w:rsidRPr="00D23089" w:rsidRDefault="00EB0D19" w:rsidP="00D23089">
      <w:pPr>
        <w:spacing w:after="0" w:line="240" w:lineRule="auto"/>
        <w:rPr>
          <w:rFonts w:asciiTheme="majorHAnsi" w:hAnsiTheme="majorHAnsi"/>
        </w:rPr>
      </w:pPr>
    </w:p>
    <w:p w14:paraId="1F0ABD62" w14:textId="77777777" w:rsidR="003562D2" w:rsidRPr="00D23089" w:rsidRDefault="003562D2">
      <w:pPr>
        <w:rPr>
          <w:rFonts w:asciiTheme="majorHAnsi" w:hAnsiTheme="majorHAnsi"/>
        </w:rPr>
      </w:pPr>
      <w:r w:rsidRPr="00D23089">
        <w:rPr>
          <w:rFonts w:asciiTheme="majorHAnsi" w:hAnsiTheme="majorHAnsi"/>
        </w:rPr>
        <w:br w:type="page"/>
      </w:r>
    </w:p>
    <w:p w14:paraId="229A6A8B" w14:textId="570F3455" w:rsidR="00231247" w:rsidRPr="00101417" w:rsidRDefault="00EB0D19" w:rsidP="00EB0D19">
      <w:pPr>
        <w:rPr>
          <w:rFonts w:asciiTheme="majorHAnsi" w:hAnsiTheme="majorHAnsi"/>
          <w:b/>
          <w:sz w:val="28"/>
          <w:szCs w:val="28"/>
        </w:rPr>
      </w:pPr>
      <w:r w:rsidRPr="00D23089">
        <w:rPr>
          <w:rFonts w:asciiTheme="majorHAnsi" w:hAnsiTheme="majorHAnsi"/>
          <w:b/>
          <w:sz w:val="28"/>
          <w:szCs w:val="28"/>
        </w:rPr>
        <w:lastRenderedPageBreak/>
        <w:t xml:space="preserve">Table of Contents </w:t>
      </w:r>
    </w:p>
    <w:p w14:paraId="11583C3F" w14:textId="3C57CE0E" w:rsidR="006739D7" w:rsidRDefault="006739D7" w:rsidP="006739D7">
      <w:pPr>
        <w:spacing w:after="0"/>
        <w:rPr>
          <w:rFonts w:asciiTheme="majorHAnsi" w:hAnsiTheme="majorHAnsi"/>
        </w:rPr>
      </w:pPr>
      <w:r>
        <w:rPr>
          <w:rFonts w:asciiTheme="majorHAnsi" w:hAnsiTheme="majorHAnsi"/>
        </w:rPr>
        <w:t>Table of Contents ……….</w:t>
      </w:r>
      <w:r w:rsidRPr="00D23089">
        <w:rPr>
          <w:rFonts w:asciiTheme="majorHAnsi" w:hAnsiTheme="majorHAnsi"/>
        </w:rPr>
        <w:t>.......................................................................................................................................</w:t>
      </w:r>
      <w:r>
        <w:rPr>
          <w:rFonts w:asciiTheme="majorHAnsi" w:hAnsiTheme="majorHAnsi"/>
        </w:rPr>
        <w:t>................................   2</w:t>
      </w:r>
    </w:p>
    <w:p w14:paraId="1F0ABD65" w14:textId="77777777" w:rsidR="00EB0D19" w:rsidRDefault="00EB0D19" w:rsidP="006739D7">
      <w:pPr>
        <w:spacing w:after="0"/>
        <w:rPr>
          <w:rFonts w:asciiTheme="majorHAnsi" w:hAnsiTheme="majorHAnsi"/>
        </w:rPr>
      </w:pPr>
      <w:r w:rsidRPr="00D23089">
        <w:rPr>
          <w:rFonts w:asciiTheme="majorHAnsi" w:hAnsiTheme="majorHAnsi"/>
        </w:rPr>
        <w:t>Section A – Justification</w:t>
      </w:r>
      <w:r w:rsidR="00037879">
        <w:rPr>
          <w:rFonts w:asciiTheme="majorHAnsi" w:hAnsiTheme="majorHAnsi"/>
        </w:rPr>
        <w:t xml:space="preserve"> </w:t>
      </w:r>
      <w:r w:rsidRPr="00D23089">
        <w:rPr>
          <w:rFonts w:asciiTheme="majorHAnsi" w:hAnsiTheme="majorHAnsi"/>
        </w:rPr>
        <w:t>..............................................................................................................</w:t>
      </w:r>
      <w:r w:rsidR="00FE428D" w:rsidRPr="00D23089">
        <w:rPr>
          <w:rFonts w:asciiTheme="majorHAnsi" w:hAnsiTheme="majorHAnsi"/>
        </w:rPr>
        <w:t>.........................</w:t>
      </w:r>
      <w:r w:rsidR="00037879">
        <w:rPr>
          <w:rFonts w:asciiTheme="majorHAnsi" w:hAnsiTheme="majorHAnsi"/>
        </w:rPr>
        <w:t>..............................</w:t>
      </w:r>
      <w:r w:rsidR="00FE428D" w:rsidRPr="00D23089">
        <w:rPr>
          <w:rFonts w:asciiTheme="majorHAnsi" w:hAnsiTheme="majorHAnsi"/>
        </w:rPr>
        <w:t>..   3</w:t>
      </w:r>
    </w:p>
    <w:p w14:paraId="399A4F07" w14:textId="77777777" w:rsidR="006739D7" w:rsidRPr="00D23089" w:rsidRDefault="006739D7" w:rsidP="006739D7">
      <w:pPr>
        <w:spacing w:after="0" w:line="240" w:lineRule="auto"/>
        <w:rPr>
          <w:rFonts w:asciiTheme="majorHAnsi" w:hAnsiTheme="majorHAnsi"/>
        </w:rPr>
      </w:pPr>
    </w:p>
    <w:p w14:paraId="1F0ABD66" w14:textId="169412C0" w:rsidR="00EB0D19" w:rsidRPr="00D23089" w:rsidRDefault="00EB0D19" w:rsidP="00BE2C6C">
      <w:pPr>
        <w:pStyle w:val="ListParagraph"/>
        <w:numPr>
          <w:ilvl w:val="0"/>
          <w:numId w:val="1"/>
        </w:numPr>
        <w:spacing w:line="360" w:lineRule="auto"/>
        <w:rPr>
          <w:rFonts w:asciiTheme="majorHAnsi" w:hAnsiTheme="majorHAnsi"/>
        </w:rPr>
      </w:pPr>
      <w:r w:rsidRPr="00D23089">
        <w:rPr>
          <w:rFonts w:asciiTheme="majorHAnsi" w:hAnsiTheme="majorHAnsi"/>
        </w:rPr>
        <w:t>Circumstances Making the Collection of Information Necessary .....................................</w:t>
      </w:r>
      <w:r w:rsidR="00A8752A" w:rsidRPr="00D23089">
        <w:rPr>
          <w:rFonts w:asciiTheme="majorHAnsi" w:hAnsiTheme="majorHAnsi"/>
        </w:rPr>
        <w:t>.......</w:t>
      </w:r>
      <w:r w:rsidR="00FE428D" w:rsidRPr="00D23089">
        <w:rPr>
          <w:rFonts w:asciiTheme="majorHAnsi" w:hAnsiTheme="majorHAnsi"/>
        </w:rPr>
        <w:t>..............</w:t>
      </w:r>
      <w:r w:rsidR="00037879">
        <w:rPr>
          <w:rFonts w:asciiTheme="majorHAnsi" w:hAnsiTheme="majorHAnsi"/>
        </w:rPr>
        <w:t>..........</w:t>
      </w:r>
      <w:r w:rsidR="00AE48F4">
        <w:rPr>
          <w:rFonts w:asciiTheme="majorHAnsi" w:hAnsiTheme="majorHAnsi"/>
        </w:rPr>
        <w:t>..........   4</w:t>
      </w:r>
    </w:p>
    <w:p w14:paraId="1F0ABD67" w14:textId="1C18EDFB" w:rsidR="00EB0D19" w:rsidRPr="00D23089" w:rsidRDefault="00EB0D19" w:rsidP="00BE2C6C">
      <w:pPr>
        <w:pStyle w:val="ListParagraph"/>
        <w:numPr>
          <w:ilvl w:val="0"/>
          <w:numId w:val="1"/>
        </w:numPr>
        <w:spacing w:line="360" w:lineRule="auto"/>
        <w:rPr>
          <w:rFonts w:asciiTheme="majorHAnsi" w:hAnsiTheme="majorHAnsi"/>
        </w:rPr>
      </w:pPr>
      <w:r w:rsidRPr="00D23089">
        <w:rPr>
          <w:rFonts w:asciiTheme="majorHAnsi" w:hAnsiTheme="majorHAnsi"/>
        </w:rPr>
        <w:t>Purpose and Use of the Information Collection .............................................................</w:t>
      </w:r>
      <w:r w:rsidR="00A8752A" w:rsidRPr="00D23089">
        <w:rPr>
          <w:rFonts w:asciiTheme="majorHAnsi" w:hAnsiTheme="majorHAnsi"/>
        </w:rPr>
        <w:t>.......</w:t>
      </w:r>
      <w:r w:rsidR="00FE428D" w:rsidRPr="00D23089">
        <w:rPr>
          <w:rFonts w:asciiTheme="majorHAnsi" w:hAnsiTheme="majorHAnsi"/>
        </w:rPr>
        <w:t>.............</w:t>
      </w:r>
      <w:r w:rsidR="00037879">
        <w:rPr>
          <w:rFonts w:asciiTheme="majorHAnsi" w:hAnsiTheme="majorHAnsi"/>
        </w:rPr>
        <w:t>..................</w:t>
      </w:r>
      <w:r w:rsidR="00FE428D" w:rsidRPr="00D23089">
        <w:rPr>
          <w:rFonts w:asciiTheme="majorHAnsi" w:hAnsiTheme="majorHAnsi"/>
        </w:rPr>
        <w:t xml:space="preserve">.............   </w:t>
      </w:r>
      <w:r w:rsidR="00D24881">
        <w:rPr>
          <w:rFonts w:asciiTheme="majorHAnsi" w:hAnsiTheme="majorHAnsi"/>
        </w:rPr>
        <w:t>7</w:t>
      </w:r>
    </w:p>
    <w:p w14:paraId="1F0ABD68" w14:textId="411144F3" w:rsidR="00EB0D19" w:rsidRPr="00D23089" w:rsidRDefault="00EB0D19" w:rsidP="00BE2C6C">
      <w:pPr>
        <w:pStyle w:val="ListParagraph"/>
        <w:numPr>
          <w:ilvl w:val="0"/>
          <w:numId w:val="1"/>
        </w:numPr>
        <w:spacing w:line="360" w:lineRule="auto"/>
        <w:rPr>
          <w:rFonts w:asciiTheme="majorHAnsi" w:hAnsiTheme="majorHAnsi"/>
        </w:rPr>
      </w:pPr>
      <w:r w:rsidRPr="00D23089">
        <w:rPr>
          <w:rFonts w:asciiTheme="majorHAnsi" w:hAnsiTheme="majorHAnsi"/>
        </w:rPr>
        <w:lastRenderedPageBreak/>
        <w:t>Use of Improved Information Technology and Burden Reduction ……...........................</w:t>
      </w:r>
      <w:r w:rsidR="00A8752A" w:rsidRPr="00D23089">
        <w:rPr>
          <w:rFonts w:asciiTheme="majorHAnsi" w:hAnsiTheme="majorHAnsi"/>
        </w:rPr>
        <w:t>.......</w:t>
      </w:r>
      <w:r w:rsidR="00FE428D" w:rsidRPr="00D23089">
        <w:rPr>
          <w:rFonts w:asciiTheme="majorHAnsi" w:hAnsiTheme="majorHAnsi"/>
        </w:rPr>
        <w:t>...................</w:t>
      </w:r>
      <w:r w:rsidR="00037879">
        <w:rPr>
          <w:rFonts w:asciiTheme="majorHAnsi" w:hAnsiTheme="majorHAnsi"/>
        </w:rPr>
        <w:t>.......</w:t>
      </w:r>
      <w:r w:rsidR="00FE428D" w:rsidRPr="00D23089">
        <w:rPr>
          <w:rFonts w:asciiTheme="majorHAnsi" w:hAnsiTheme="majorHAnsi"/>
        </w:rPr>
        <w:t xml:space="preserve">.......   </w:t>
      </w:r>
      <w:r w:rsidR="00D24881">
        <w:rPr>
          <w:rFonts w:asciiTheme="majorHAnsi" w:hAnsiTheme="majorHAnsi"/>
        </w:rPr>
        <w:t>8</w:t>
      </w:r>
    </w:p>
    <w:p w14:paraId="1F0ABD69" w14:textId="5EBA3E18" w:rsidR="00EB0D19" w:rsidRPr="00D23089" w:rsidRDefault="00EB0D19" w:rsidP="00BE2C6C">
      <w:pPr>
        <w:pStyle w:val="ListParagraph"/>
        <w:numPr>
          <w:ilvl w:val="0"/>
          <w:numId w:val="1"/>
        </w:numPr>
        <w:spacing w:line="360" w:lineRule="auto"/>
        <w:rPr>
          <w:rFonts w:asciiTheme="majorHAnsi" w:hAnsiTheme="majorHAnsi"/>
        </w:rPr>
      </w:pPr>
      <w:r w:rsidRPr="00D23089">
        <w:rPr>
          <w:rFonts w:asciiTheme="majorHAnsi" w:hAnsiTheme="majorHAnsi"/>
        </w:rPr>
        <w:t>Efforts to Identify Duplication and Use of Similar Information ......................................</w:t>
      </w:r>
      <w:r w:rsidR="00A8752A" w:rsidRPr="00D23089">
        <w:rPr>
          <w:rFonts w:asciiTheme="majorHAnsi" w:hAnsiTheme="majorHAnsi"/>
        </w:rPr>
        <w:t>.......</w:t>
      </w:r>
      <w:r w:rsidR="00FE428D" w:rsidRPr="00D23089">
        <w:rPr>
          <w:rFonts w:asciiTheme="majorHAnsi" w:hAnsiTheme="majorHAnsi"/>
        </w:rPr>
        <w:t>................</w:t>
      </w:r>
      <w:r w:rsidR="00037879">
        <w:rPr>
          <w:rFonts w:asciiTheme="majorHAnsi" w:hAnsiTheme="majorHAnsi"/>
        </w:rPr>
        <w:t>..........</w:t>
      </w:r>
      <w:r w:rsidR="00FE428D" w:rsidRPr="00D23089">
        <w:rPr>
          <w:rFonts w:asciiTheme="majorHAnsi" w:hAnsiTheme="majorHAnsi"/>
        </w:rPr>
        <w:t xml:space="preserve">..........   </w:t>
      </w:r>
      <w:r w:rsidR="00D24881">
        <w:rPr>
          <w:rFonts w:asciiTheme="majorHAnsi" w:hAnsiTheme="majorHAnsi"/>
        </w:rPr>
        <w:t>8</w:t>
      </w:r>
    </w:p>
    <w:p w14:paraId="1F0ABD6A" w14:textId="77777777" w:rsidR="00EB0D19" w:rsidRPr="00D23089" w:rsidRDefault="00EB0D19" w:rsidP="00BE2C6C">
      <w:pPr>
        <w:pStyle w:val="ListParagraph"/>
        <w:numPr>
          <w:ilvl w:val="0"/>
          <w:numId w:val="1"/>
        </w:numPr>
        <w:spacing w:line="360" w:lineRule="auto"/>
        <w:rPr>
          <w:rFonts w:asciiTheme="majorHAnsi" w:hAnsiTheme="majorHAnsi"/>
        </w:rPr>
      </w:pPr>
      <w:r w:rsidRPr="00D23089">
        <w:rPr>
          <w:rFonts w:asciiTheme="majorHAnsi" w:hAnsiTheme="majorHAnsi"/>
        </w:rPr>
        <w:t>Impact on Small Businesses or Other Small Entities ...................................................</w:t>
      </w:r>
      <w:r w:rsidR="00A8752A" w:rsidRPr="00D23089">
        <w:rPr>
          <w:rFonts w:asciiTheme="majorHAnsi" w:hAnsiTheme="majorHAnsi"/>
        </w:rPr>
        <w:t>......</w:t>
      </w:r>
      <w:r w:rsidRPr="00D23089">
        <w:rPr>
          <w:rFonts w:asciiTheme="majorHAnsi" w:hAnsiTheme="majorHAnsi"/>
        </w:rPr>
        <w:t>.</w:t>
      </w:r>
      <w:r w:rsidR="00FE428D" w:rsidRPr="00D23089">
        <w:rPr>
          <w:rFonts w:asciiTheme="majorHAnsi" w:hAnsiTheme="majorHAnsi"/>
        </w:rPr>
        <w:t>....................</w:t>
      </w:r>
      <w:r w:rsidR="00037879">
        <w:rPr>
          <w:rFonts w:asciiTheme="majorHAnsi" w:hAnsiTheme="majorHAnsi"/>
        </w:rPr>
        <w:t>...............</w:t>
      </w:r>
      <w:r w:rsidR="00FE428D" w:rsidRPr="00D23089">
        <w:rPr>
          <w:rFonts w:asciiTheme="majorHAnsi" w:hAnsiTheme="majorHAnsi"/>
        </w:rPr>
        <w:t>.........   8</w:t>
      </w:r>
    </w:p>
    <w:p w14:paraId="1F0ABD6B" w14:textId="77777777" w:rsidR="00EB0D19" w:rsidRPr="00D23089" w:rsidRDefault="00EB0D19" w:rsidP="00BE2C6C">
      <w:pPr>
        <w:pStyle w:val="ListParagraph"/>
        <w:numPr>
          <w:ilvl w:val="0"/>
          <w:numId w:val="1"/>
        </w:numPr>
        <w:spacing w:line="360" w:lineRule="auto"/>
        <w:rPr>
          <w:rFonts w:asciiTheme="majorHAnsi" w:hAnsiTheme="majorHAnsi"/>
        </w:rPr>
      </w:pPr>
      <w:r w:rsidRPr="00D23089">
        <w:rPr>
          <w:rFonts w:asciiTheme="majorHAnsi" w:hAnsiTheme="majorHAnsi"/>
        </w:rPr>
        <w:t>Consequences of Collecting the Information Less Frequently …......................................................</w:t>
      </w:r>
      <w:r w:rsidR="00037879">
        <w:rPr>
          <w:rFonts w:asciiTheme="majorHAnsi" w:hAnsiTheme="majorHAnsi"/>
        </w:rPr>
        <w:t>...........</w:t>
      </w:r>
      <w:r w:rsidRPr="00D23089">
        <w:rPr>
          <w:rFonts w:asciiTheme="majorHAnsi" w:hAnsiTheme="majorHAnsi"/>
        </w:rPr>
        <w:t>............</w:t>
      </w:r>
      <w:r w:rsidR="00FE428D" w:rsidRPr="00D23089">
        <w:rPr>
          <w:rFonts w:asciiTheme="majorHAnsi" w:hAnsiTheme="majorHAnsi"/>
        </w:rPr>
        <w:t>...   8</w:t>
      </w:r>
    </w:p>
    <w:p w14:paraId="1F0ABD6C" w14:textId="119A12DC" w:rsidR="00EB0D19" w:rsidRPr="00D23089" w:rsidRDefault="00EB0D19" w:rsidP="00BE2C6C">
      <w:pPr>
        <w:pStyle w:val="ListParagraph"/>
        <w:numPr>
          <w:ilvl w:val="0"/>
          <w:numId w:val="1"/>
        </w:numPr>
        <w:spacing w:line="360" w:lineRule="auto"/>
        <w:rPr>
          <w:rFonts w:asciiTheme="majorHAnsi" w:hAnsiTheme="majorHAnsi"/>
        </w:rPr>
      </w:pPr>
      <w:r w:rsidRPr="00D23089">
        <w:rPr>
          <w:rFonts w:asciiTheme="majorHAnsi" w:hAnsiTheme="majorHAnsi"/>
        </w:rPr>
        <w:t>Special Circumstances Relating to the Guidelines of 5 CFR 1320.5 ……........................................................</w:t>
      </w:r>
      <w:r w:rsidR="00037879">
        <w:rPr>
          <w:rFonts w:asciiTheme="majorHAnsi" w:hAnsiTheme="majorHAnsi"/>
        </w:rPr>
        <w:t>.......</w:t>
      </w:r>
      <w:r w:rsidR="00FE428D" w:rsidRPr="00D23089">
        <w:rPr>
          <w:rFonts w:asciiTheme="majorHAnsi" w:hAnsiTheme="majorHAnsi"/>
        </w:rPr>
        <w:t xml:space="preserve">...   </w:t>
      </w:r>
      <w:r w:rsidR="00EA6F87">
        <w:rPr>
          <w:rFonts w:asciiTheme="majorHAnsi" w:hAnsiTheme="majorHAnsi"/>
        </w:rPr>
        <w:t>9</w:t>
      </w:r>
    </w:p>
    <w:p w14:paraId="1F0ABD6D" w14:textId="1120D4EB" w:rsidR="00EB0D19" w:rsidRPr="00D23089" w:rsidRDefault="00EB0D19" w:rsidP="00BE2C6C">
      <w:pPr>
        <w:pStyle w:val="ListParagraph"/>
        <w:numPr>
          <w:ilvl w:val="0"/>
          <w:numId w:val="1"/>
        </w:numPr>
        <w:spacing w:line="360" w:lineRule="auto"/>
        <w:rPr>
          <w:rFonts w:asciiTheme="majorHAnsi" w:hAnsiTheme="majorHAnsi"/>
        </w:rPr>
      </w:pPr>
      <w:r w:rsidRPr="00D23089">
        <w:rPr>
          <w:rFonts w:asciiTheme="majorHAnsi" w:hAnsiTheme="majorHAnsi"/>
        </w:rPr>
        <w:lastRenderedPageBreak/>
        <w:t>Comments in Response to the Federal Register Notice and Effort</w:t>
      </w:r>
      <w:r w:rsidR="003562D2" w:rsidRPr="00D23089">
        <w:rPr>
          <w:rFonts w:asciiTheme="majorHAnsi" w:hAnsiTheme="majorHAnsi"/>
        </w:rPr>
        <w:t>s to Consult Outside the Agency</w:t>
      </w:r>
      <w:r w:rsidR="002718F6" w:rsidRPr="00D23089">
        <w:rPr>
          <w:rFonts w:asciiTheme="majorHAnsi" w:hAnsiTheme="majorHAnsi"/>
        </w:rPr>
        <w:t xml:space="preserve"> </w:t>
      </w:r>
      <w:r w:rsidRPr="00D23089">
        <w:rPr>
          <w:rFonts w:asciiTheme="majorHAnsi" w:hAnsiTheme="majorHAnsi"/>
        </w:rPr>
        <w:t>.....</w:t>
      </w:r>
      <w:r w:rsidR="00D24881">
        <w:rPr>
          <w:rFonts w:asciiTheme="majorHAnsi" w:hAnsiTheme="majorHAnsi"/>
        </w:rPr>
        <w:t>....   9</w:t>
      </w:r>
    </w:p>
    <w:p w14:paraId="1F0ABD6E" w14:textId="75DAB2A3" w:rsidR="00EB0D19" w:rsidRPr="00D23089" w:rsidRDefault="00EB0D19" w:rsidP="00BE2C6C">
      <w:pPr>
        <w:pStyle w:val="ListParagraph"/>
        <w:numPr>
          <w:ilvl w:val="0"/>
          <w:numId w:val="1"/>
        </w:numPr>
        <w:spacing w:line="360" w:lineRule="auto"/>
        <w:rPr>
          <w:rFonts w:asciiTheme="majorHAnsi" w:hAnsiTheme="majorHAnsi"/>
        </w:rPr>
      </w:pPr>
      <w:r w:rsidRPr="00D23089">
        <w:rPr>
          <w:rFonts w:asciiTheme="majorHAnsi" w:hAnsiTheme="majorHAnsi"/>
        </w:rPr>
        <w:t>Explanation of Any Payment or Gift to Respondents ................................................................................</w:t>
      </w:r>
      <w:r w:rsidR="00037879">
        <w:rPr>
          <w:rFonts w:asciiTheme="majorHAnsi" w:hAnsiTheme="majorHAnsi"/>
        </w:rPr>
        <w:t>...............</w:t>
      </w:r>
      <w:r w:rsidRPr="00D23089">
        <w:rPr>
          <w:rFonts w:asciiTheme="majorHAnsi" w:hAnsiTheme="majorHAnsi"/>
        </w:rPr>
        <w:t>..</w:t>
      </w:r>
      <w:r w:rsidR="00D24881">
        <w:rPr>
          <w:rFonts w:asciiTheme="majorHAnsi" w:hAnsiTheme="majorHAnsi"/>
        </w:rPr>
        <w:t>....   9</w:t>
      </w:r>
    </w:p>
    <w:p w14:paraId="1F0ABD6F" w14:textId="4F291677" w:rsidR="00EB0D19" w:rsidRPr="00D23089" w:rsidRDefault="00EB0D19" w:rsidP="00BE2C6C">
      <w:pPr>
        <w:pStyle w:val="ListParagraph"/>
        <w:numPr>
          <w:ilvl w:val="0"/>
          <w:numId w:val="1"/>
        </w:numPr>
        <w:spacing w:line="360" w:lineRule="auto"/>
        <w:rPr>
          <w:rFonts w:asciiTheme="majorHAnsi" w:hAnsiTheme="majorHAnsi"/>
        </w:rPr>
      </w:pPr>
      <w:r w:rsidRPr="00D23089">
        <w:rPr>
          <w:rFonts w:asciiTheme="majorHAnsi" w:hAnsiTheme="majorHAnsi"/>
        </w:rPr>
        <w:t>Assurance of Confidentiality Provided to Respondents .....................................................................</w:t>
      </w:r>
      <w:r w:rsidR="00037879">
        <w:rPr>
          <w:rFonts w:asciiTheme="majorHAnsi" w:hAnsiTheme="majorHAnsi"/>
        </w:rPr>
        <w:t>..............</w:t>
      </w:r>
      <w:r w:rsidRPr="00D23089">
        <w:rPr>
          <w:rFonts w:asciiTheme="majorHAnsi" w:hAnsiTheme="majorHAnsi"/>
        </w:rPr>
        <w:t>.........</w:t>
      </w:r>
      <w:r w:rsidR="00D24881">
        <w:rPr>
          <w:rFonts w:asciiTheme="majorHAnsi" w:hAnsiTheme="majorHAnsi"/>
        </w:rPr>
        <w:t>....   9</w:t>
      </w:r>
    </w:p>
    <w:p w14:paraId="1F0ABD71" w14:textId="77777777" w:rsidR="00EB0D19" w:rsidRPr="00D23089" w:rsidRDefault="00EB0D19" w:rsidP="00BE2C6C">
      <w:pPr>
        <w:pStyle w:val="ListParagraph"/>
        <w:numPr>
          <w:ilvl w:val="0"/>
          <w:numId w:val="1"/>
        </w:numPr>
        <w:spacing w:line="360" w:lineRule="auto"/>
        <w:rPr>
          <w:rFonts w:asciiTheme="majorHAnsi" w:hAnsiTheme="majorHAnsi"/>
        </w:rPr>
      </w:pPr>
      <w:r w:rsidRPr="00D23089">
        <w:rPr>
          <w:rFonts w:asciiTheme="majorHAnsi" w:hAnsiTheme="majorHAnsi"/>
        </w:rPr>
        <w:t>Justification for Sensitive Questions...................................................................................</w:t>
      </w:r>
      <w:r w:rsidR="00FE428D" w:rsidRPr="00D23089">
        <w:rPr>
          <w:rFonts w:asciiTheme="majorHAnsi" w:hAnsiTheme="majorHAnsi"/>
        </w:rPr>
        <w:t>............</w:t>
      </w:r>
      <w:r w:rsidR="00037879">
        <w:rPr>
          <w:rFonts w:asciiTheme="majorHAnsi" w:hAnsiTheme="majorHAnsi"/>
        </w:rPr>
        <w:t>......................</w:t>
      </w:r>
      <w:r w:rsidR="00FE428D" w:rsidRPr="00D23089">
        <w:rPr>
          <w:rFonts w:asciiTheme="majorHAnsi" w:hAnsiTheme="majorHAnsi"/>
        </w:rPr>
        <w:t>..................   9</w:t>
      </w:r>
    </w:p>
    <w:p w14:paraId="1F0ABD72" w14:textId="6A48F3FB" w:rsidR="00EB0D19" w:rsidRPr="00D23089" w:rsidRDefault="00EB0D19" w:rsidP="00BE2C6C">
      <w:pPr>
        <w:pStyle w:val="ListParagraph"/>
        <w:numPr>
          <w:ilvl w:val="0"/>
          <w:numId w:val="1"/>
        </w:numPr>
        <w:spacing w:line="360" w:lineRule="auto"/>
        <w:rPr>
          <w:rFonts w:asciiTheme="majorHAnsi" w:hAnsiTheme="majorHAnsi"/>
        </w:rPr>
      </w:pPr>
      <w:r w:rsidRPr="00D23089">
        <w:rPr>
          <w:rFonts w:asciiTheme="majorHAnsi" w:hAnsiTheme="majorHAnsi"/>
        </w:rPr>
        <w:t>Estimates of Annualized Burden Hours and Costs....................................................................................</w:t>
      </w:r>
      <w:r w:rsidR="00037879">
        <w:rPr>
          <w:rFonts w:asciiTheme="majorHAnsi" w:hAnsiTheme="majorHAnsi"/>
        </w:rPr>
        <w:t>...............</w:t>
      </w:r>
      <w:r w:rsidRPr="00D23089">
        <w:rPr>
          <w:rFonts w:asciiTheme="majorHAnsi" w:hAnsiTheme="majorHAnsi"/>
        </w:rPr>
        <w:t>...</w:t>
      </w:r>
      <w:r w:rsidR="008A11BC">
        <w:rPr>
          <w:rFonts w:asciiTheme="majorHAnsi" w:hAnsiTheme="majorHAnsi"/>
        </w:rPr>
        <w:t>.....   9</w:t>
      </w:r>
    </w:p>
    <w:p w14:paraId="1F0ABD73" w14:textId="17F02722" w:rsidR="00EB0D19" w:rsidRPr="00D23089" w:rsidRDefault="00EB0D19" w:rsidP="00BE2C6C">
      <w:pPr>
        <w:pStyle w:val="ListParagraph"/>
        <w:numPr>
          <w:ilvl w:val="0"/>
          <w:numId w:val="1"/>
        </w:numPr>
        <w:spacing w:line="360" w:lineRule="auto"/>
        <w:rPr>
          <w:rFonts w:asciiTheme="majorHAnsi" w:hAnsiTheme="majorHAnsi"/>
        </w:rPr>
      </w:pPr>
      <w:r w:rsidRPr="00D23089">
        <w:rPr>
          <w:rFonts w:asciiTheme="majorHAnsi" w:hAnsiTheme="majorHAnsi"/>
        </w:rPr>
        <w:lastRenderedPageBreak/>
        <w:t>Estimates of Other Total Annual Cost Burden to Respondents or Record Keepers</w:t>
      </w:r>
      <w:r w:rsidR="00A8752A" w:rsidRPr="00D23089">
        <w:rPr>
          <w:rFonts w:asciiTheme="majorHAnsi" w:hAnsiTheme="majorHAnsi"/>
        </w:rPr>
        <w:t xml:space="preserve"> </w:t>
      </w:r>
      <w:r w:rsidRPr="00D23089">
        <w:rPr>
          <w:rFonts w:asciiTheme="majorHAnsi" w:hAnsiTheme="majorHAnsi"/>
        </w:rPr>
        <w:t>.............</w:t>
      </w:r>
      <w:r w:rsidR="00FE428D" w:rsidRPr="00D23089">
        <w:rPr>
          <w:rFonts w:asciiTheme="majorHAnsi" w:hAnsiTheme="majorHAnsi"/>
        </w:rPr>
        <w:t>...................</w:t>
      </w:r>
      <w:r w:rsidR="00037879">
        <w:rPr>
          <w:rFonts w:asciiTheme="majorHAnsi" w:hAnsiTheme="majorHAnsi"/>
        </w:rPr>
        <w:t>..</w:t>
      </w:r>
      <w:r w:rsidR="00D24881">
        <w:rPr>
          <w:rFonts w:asciiTheme="majorHAnsi" w:hAnsiTheme="majorHAnsi"/>
        </w:rPr>
        <w:t>....... 10</w:t>
      </w:r>
    </w:p>
    <w:p w14:paraId="1F0ABD74" w14:textId="77777777" w:rsidR="00EB0D19" w:rsidRPr="00D23089" w:rsidRDefault="00EB0D19" w:rsidP="00BE2C6C">
      <w:pPr>
        <w:pStyle w:val="ListParagraph"/>
        <w:numPr>
          <w:ilvl w:val="0"/>
          <w:numId w:val="1"/>
        </w:numPr>
        <w:spacing w:line="360" w:lineRule="auto"/>
        <w:rPr>
          <w:rFonts w:asciiTheme="majorHAnsi" w:hAnsiTheme="majorHAnsi"/>
        </w:rPr>
      </w:pPr>
      <w:r w:rsidRPr="00D23089">
        <w:rPr>
          <w:rFonts w:asciiTheme="majorHAnsi" w:hAnsiTheme="majorHAnsi"/>
        </w:rPr>
        <w:t>Annualized Cost to the Government....................................................................................</w:t>
      </w:r>
      <w:r w:rsidR="006400B7" w:rsidRPr="00D23089">
        <w:rPr>
          <w:rFonts w:asciiTheme="majorHAnsi" w:hAnsiTheme="majorHAnsi"/>
        </w:rPr>
        <w:t>................</w:t>
      </w:r>
      <w:r w:rsidR="00037879">
        <w:rPr>
          <w:rFonts w:asciiTheme="majorHAnsi" w:hAnsiTheme="majorHAnsi"/>
        </w:rPr>
        <w:t>.......................</w:t>
      </w:r>
      <w:r w:rsidR="006400B7" w:rsidRPr="00D23089">
        <w:rPr>
          <w:rFonts w:asciiTheme="majorHAnsi" w:hAnsiTheme="majorHAnsi"/>
        </w:rPr>
        <w:t>...........  10</w:t>
      </w:r>
    </w:p>
    <w:p w14:paraId="1F0ABD75" w14:textId="3E4BF8EE" w:rsidR="00EB0D19" w:rsidRPr="00D23089" w:rsidRDefault="00EB0D19" w:rsidP="00BE2C6C">
      <w:pPr>
        <w:pStyle w:val="ListParagraph"/>
        <w:numPr>
          <w:ilvl w:val="0"/>
          <w:numId w:val="1"/>
        </w:numPr>
        <w:spacing w:line="360" w:lineRule="auto"/>
        <w:rPr>
          <w:rFonts w:asciiTheme="majorHAnsi" w:hAnsiTheme="majorHAnsi"/>
        </w:rPr>
      </w:pPr>
      <w:r w:rsidRPr="00D23089">
        <w:rPr>
          <w:rFonts w:asciiTheme="majorHAnsi" w:hAnsiTheme="majorHAnsi"/>
        </w:rPr>
        <w:t>Explanation for Program Changes or Adjustments ......................................................</w:t>
      </w:r>
      <w:r w:rsidR="00A8752A" w:rsidRPr="00D23089">
        <w:rPr>
          <w:rFonts w:asciiTheme="majorHAnsi" w:hAnsiTheme="majorHAnsi"/>
        </w:rPr>
        <w:t>.......................</w:t>
      </w:r>
      <w:r w:rsidR="006400B7" w:rsidRPr="00D23089">
        <w:rPr>
          <w:rFonts w:asciiTheme="majorHAnsi" w:hAnsiTheme="majorHAnsi"/>
        </w:rPr>
        <w:t>...</w:t>
      </w:r>
      <w:r w:rsidR="00037879">
        <w:rPr>
          <w:rFonts w:asciiTheme="majorHAnsi" w:hAnsiTheme="majorHAnsi"/>
        </w:rPr>
        <w:t>...............</w:t>
      </w:r>
      <w:r w:rsidR="006400B7" w:rsidRPr="00D23089">
        <w:rPr>
          <w:rFonts w:asciiTheme="majorHAnsi" w:hAnsiTheme="majorHAnsi"/>
        </w:rPr>
        <w:t>........  1</w:t>
      </w:r>
      <w:r w:rsidR="00C36501">
        <w:rPr>
          <w:rFonts w:asciiTheme="majorHAnsi" w:hAnsiTheme="majorHAnsi"/>
        </w:rPr>
        <w:t>1</w:t>
      </w:r>
    </w:p>
    <w:p w14:paraId="1F0ABD76" w14:textId="34D4E141" w:rsidR="00EB0D19" w:rsidRPr="00D23089" w:rsidRDefault="00EB0D19" w:rsidP="00BE2C6C">
      <w:pPr>
        <w:pStyle w:val="ListParagraph"/>
        <w:numPr>
          <w:ilvl w:val="0"/>
          <w:numId w:val="1"/>
        </w:numPr>
        <w:spacing w:line="360" w:lineRule="auto"/>
        <w:rPr>
          <w:rFonts w:asciiTheme="majorHAnsi" w:hAnsiTheme="majorHAnsi"/>
        </w:rPr>
      </w:pPr>
      <w:r w:rsidRPr="00D23089">
        <w:rPr>
          <w:rFonts w:asciiTheme="majorHAnsi" w:hAnsiTheme="majorHAnsi"/>
        </w:rPr>
        <w:t>Plans for Tabulation and Publication and Project Time Schedule .........................</w:t>
      </w:r>
      <w:r w:rsidR="00A8752A" w:rsidRPr="00D23089">
        <w:rPr>
          <w:rFonts w:asciiTheme="majorHAnsi" w:hAnsiTheme="majorHAnsi"/>
        </w:rPr>
        <w:t>...........</w:t>
      </w:r>
      <w:r w:rsidR="006400B7" w:rsidRPr="00D23089">
        <w:rPr>
          <w:rFonts w:asciiTheme="majorHAnsi" w:hAnsiTheme="majorHAnsi"/>
        </w:rPr>
        <w:t>....................</w:t>
      </w:r>
      <w:r w:rsidR="00037879">
        <w:rPr>
          <w:rFonts w:asciiTheme="majorHAnsi" w:hAnsiTheme="majorHAnsi"/>
        </w:rPr>
        <w:t>........</w:t>
      </w:r>
      <w:r w:rsidR="006400B7" w:rsidRPr="00D23089">
        <w:rPr>
          <w:rFonts w:asciiTheme="majorHAnsi" w:hAnsiTheme="majorHAnsi"/>
        </w:rPr>
        <w:t>..........  1</w:t>
      </w:r>
      <w:r w:rsidR="00793706">
        <w:rPr>
          <w:rFonts w:asciiTheme="majorHAnsi" w:hAnsiTheme="majorHAnsi"/>
        </w:rPr>
        <w:t>1</w:t>
      </w:r>
    </w:p>
    <w:p w14:paraId="1F0ABD77" w14:textId="6C6DB275" w:rsidR="00EB0D19" w:rsidRPr="00D23089" w:rsidRDefault="00EB0D19" w:rsidP="00BE2C6C">
      <w:pPr>
        <w:pStyle w:val="ListParagraph"/>
        <w:numPr>
          <w:ilvl w:val="0"/>
          <w:numId w:val="1"/>
        </w:numPr>
        <w:spacing w:line="360" w:lineRule="auto"/>
        <w:rPr>
          <w:rFonts w:asciiTheme="majorHAnsi" w:hAnsiTheme="majorHAnsi"/>
        </w:rPr>
      </w:pPr>
      <w:r w:rsidRPr="00D23089">
        <w:rPr>
          <w:rFonts w:asciiTheme="majorHAnsi" w:hAnsiTheme="majorHAnsi"/>
        </w:rPr>
        <w:t>Reason(s) Display of OMB Expiration Date is Inappropriate...................................</w:t>
      </w:r>
      <w:r w:rsidR="00A8752A" w:rsidRPr="00D23089">
        <w:rPr>
          <w:rFonts w:asciiTheme="majorHAnsi" w:hAnsiTheme="majorHAnsi"/>
        </w:rPr>
        <w:t>..........</w:t>
      </w:r>
      <w:r w:rsidR="006400B7" w:rsidRPr="00D23089">
        <w:rPr>
          <w:rFonts w:asciiTheme="majorHAnsi" w:hAnsiTheme="majorHAnsi"/>
        </w:rPr>
        <w:t>..........................</w:t>
      </w:r>
      <w:r w:rsidR="00037879">
        <w:rPr>
          <w:rFonts w:asciiTheme="majorHAnsi" w:hAnsiTheme="majorHAnsi"/>
        </w:rPr>
        <w:t>..........</w:t>
      </w:r>
      <w:r w:rsidR="00793706">
        <w:rPr>
          <w:rFonts w:asciiTheme="majorHAnsi" w:hAnsiTheme="majorHAnsi"/>
        </w:rPr>
        <w:t>....  11</w:t>
      </w:r>
    </w:p>
    <w:p w14:paraId="1F0ABD78" w14:textId="1BD0B7C2" w:rsidR="00EB0D19" w:rsidRPr="00D23089" w:rsidRDefault="00EB0D19" w:rsidP="00BE2C6C">
      <w:pPr>
        <w:pStyle w:val="ListParagraph"/>
        <w:numPr>
          <w:ilvl w:val="0"/>
          <w:numId w:val="1"/>
        </w:numPr>
        <w:spacing w:line="360" w:lineRule="auto"/>
        <w:rPr>
          <w:rFonts w:asciiTheme="majorHAnsi" w:hAnsiTheme="majorHAnsi"/>
        </w:rPr>
      </w:pPr>
      <w:r w:rsidRPr="00D23089">
        <w:rPr>
          <w:rFonts w:asciiTheme="majorHAnsi" w:hAnsiTheme="majorHAnsi"/>
        </w:rPr>
        <w:lastRenderedPageBreak/>
        <w:t>Exceptions to Certification for Paperwork Reduction Act Submissions .............</w:t>
      </w:r>
      <w:r w:rsidR="00A8752A" w:rsidRPr="00D23089">
        <w:rPr>
          <w:rFonts w:asciiTheme="majorHAnsi" w:hAnsiTheme="majorHAnsi"/>
        </w:rPr>
        <w:t>..............</w:t>
      </w:r>
      <w:r w:rsidR="006400B7" w:rsidRPr="00D23089">
        <w:rPr>
          <w:rFonts w:asciiTheme="majorHAnsi" w:hAnsiTheme="majorHAnsi"/>
        </w:rPr>
        <w:t>.......................</w:t>
      </w:r>
      <w:r w:rsidR="00037879">
        <w:rPr>
          <w:rFonts w:asciiTheme="majorHAnsi" w:hAnsiTheme="majorHAnsi"/>
        </w:rPr>
        <w:t>.....</w:t>
      </w:r>
      <w:r w:rsidR="008A11BC">
        <w:rPr>
          <w:rFonts w:asciiTheme="majorHAnsi" w:hAnsiTheme="majorHAnsi"/>
        </w:rPr>
        <w:t>.......  11</w:t>
      </w:r>
    </w:p>
    <w:p w14:paraId="1F0ABD79" w14:textId="27FD6F9E" w:rsidR="00EB0D19" w:rsidRPr="00D23089" w:rsidRDefault="00EB0D19" w:rsidP="006739D7">
      <w:pPr>
        <w:spacing w:after="0" w:line="360" w:lineRule="auto"/>
        <w:rPr>
          <w:rFonts w:asciiTheme="majorHAnsi" w:hAnsiTheme="majorHAnsi"/>
        </w:rPr>
      </w:pPr>
      <w:r w:rsidRPr="00D23089">
        <w:rPr>
          <w:rFonts w:asciiTheme="majorHAnsi" w:hAnsiTheme="majorHAnsi"/>
        </w:rPr>
        <w:t>LIST OF ATTACHMENTS – Section A</w:t>
      </w:r>
      <w:r w:rsidR="003562D2" w:rsidRPr="00D23089">
        <w:rPr>
          <w:rFonts w:asciiTheme="majorHAnsi" w:hAnsiTheme="majorHAnsi"/>
        </w:rPr>
        <w:t xml:space="preserve"> </w:t>
      </w:r>
      <w:r w:rsidRPr="00D23089">
        <w:rPr>
          <w:rFonts w:asciiTheme="majorHAnsi" w:hAnsiTheme="majorHAnsi"/>
        </w:rPr>
        <w:t>...........................................................................................</w:t>
      </w:r>
      <w:r w:rsidR="00037879">
        <w:rPr>
          <w:rFonts w:asciiTheme="majorHAnsi" w:hAnsiTheme="majorHAnsi"/>
        </w:rPr>
        <w:t>.............................................</w:t>
      </w:r>
      <w:r w:rsidR="006400B7" w:rsidRPr="00D23089">
        <w:rPr>
          <w:rFonts w:asciiTheme="majorHAnsi" w:hAnsiTheme="majorHAnsi"/>
        </w:rPr>
        <w:t xml:space="preserve">....  </w:t>
      </w:r>
      <w:r w:rsidR="004D5459" w:rsidRPr="00D23089">
        <w:rPr>
          <w:rFonts w:asciiTheme="majorHAnsi" w:hAnsiTheme="majorHAnsi"/>
        </w:rPr>
        <w:t>1</w:t>
      </w:r>
      <w:r w:rsidR="008A11BC">
        <w:rPr>
          <w:rFonts w:asciiTheme="majorHAnsi" w:hAnsiTheme="majorHAnsi"/>
        </w:rPr>
        <w:t>1</w:t>
      </w:r>
    </w:p>
    <w:p w14:paraId="1F0ABD7A" w14:textId="4CBA68F5" w:rsidR="00EB0D19" w:rsidRPr="00D23089" w:rsidRDefault="00EB0D19" w:rsidP="006739D7">
      <w:pPr>
        <w:spacing w:after="0" w:line="360" w:lineRule="auto"/>
        <w:rPr>
          <w:rFonts w:asciiTheme="majorHAnsi" w:hAnsiTheme="majorHAnsi"/>
        </w:rPr>
      </w:pPr>
      <w:r w:rsidRPr="00D23089">
        <w:rPr>
          <w:rFonts w:asciiTheme="majorHAnsi" w:hAnsiTheme="majorHAnsi"/>
        </w:rPr>
        <w:t>REFERENCE LIST ......................................................................................................................</w:t>
      </w:r>
      <w:r w:rsidR="003562D2" w:rsidRPr="00D23089">
        <w:rPr>
          <w:rFonts w:asciiTheme="majorHAnsi" w:hAnsiTheme="majorHAnsi"/>
        </w:rPr>
        <w:t>..</w:t>
      </w:r>
      <w:r w:rsidR="006400B7" w:rsidRPr="00D23089">
        <w:rPr>
          <w:rFonts w:asciiTheme="majorHAnsi" w:hAnsiTheme="majorHAnsi"/>
        </w:rPr>
        <w:t>......................</w:t>
      </w:r>
      <w:r w:rsidR="00037879">
        <w:rPr>
          <w:rFonts w:asciiTheme="majorHAnsi" w:hAnsiTheme="majorHAnsi"/>
        </w:rPr>
        <w:t>..............................</w:t>
      </w:r>
      <w:r w:rsidR="006400B7" w:rsidRPr="00D23089">
        <w:rPr>
          <w:rFonts w:asciiTheme="majorHAnsi" w:hAnsiTheme="majorHAnsi"/>
        </w:rPr>
        <w:t>......  1</w:t>
      </w:r>
      <w:r w:rsidR="00C36501">
        <w:rPr>
          <w:rFonts w:asciiTheme="majorHAnsi" w:hAnsiTheme="majorHAnsi"/>
        </w:rPr>
        <w:t>2</w:t>
      </w:r>
    </w:p>
    <w:p w14:paraId="1F0ABD7B" w14:textId="77777777" w:rsidR="003478E1" w:rsidRPr="00D23089" w:rsidRDefault="003478E1" w:rsidP="00EB0D19">
      <w:pPr>
        <w:rPr>
          <w:rFonts w:asciiTheme="majorHAnsi" w:hAnsiTheme="majorHAnsi"/>
        </w:rPr>
      </w:pPr>
    </w:p>
    <w:p w14:paraId="1F0ABD7D" w14:textId="77777777" w:rsidR="003478E1" w:rsidRPr="00D23089" w:rsidRDefault="003478E1" w:rsidP="00EB0D19">
      <w:pPr>
        <w:rPr>
          <w:rFonts w:asciiTheme="majorHAnsi" w:hAnsiTheme="majorHAnsi"/>
        </w:rPr>
      </w:pPr>
      <w:bookmarkStart w:id="0" w:name="_GoBack"/>
      <w:bookmarkEnd w:id="0"/>
      <w:r w:rsidRPr="00D23089">
        <w:rPr>
          <w:rFonts w:asciiTheme="majorHAnsi" w:hAnsiTheme="majorHAnsi"/>
          <w:noProof/>
        </w:rPr>
        <w:lastRenderedPageBreak/>
        <mc:AlternateContent>
          <mc:Choice Requires="wps">
            <w:drawing>
              <wp:anchor distT="45720" distB="45720" distL="114300" distR="114300" simplePos="0" relativeHeight="251658240" behindDoc="0" locked="0" layoutInCell="1" allowOverlap="1" wp14:anchorId="1F0ABE58" wp14:editId="696E84C3">
                <wp:simplePos x="0" y="0"/>
                <wp:positionH relativeFrom="margin">
                  <wp:align>right</wp:align>
                </wp:positionH>
                <wp:positionV relativeFrom="paragraph">
                  <wp:posOffset>0</wp:posOffset>
                </wp:positionV>
                <wp:extent cx="6381750" cy="26193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619375"/>
                        </a:xfrm>
                        <a:prstGeom prst="rect">
                          <a:avLst/>
                        </a:prstGeom>
                        <a:solidFill>
                          <a:srgbClr val="FFFFFF"/>
                        </a:solidFill>
                        <a:ln w="9525">
                          <a:solidFill>
                            <a:srgbClr val="000000"/>
                          </a:solidFill>
                          <a:miter lim="800000"/>
                          <a:headEnd/>
                          <a:tailEnd/>
                        </a:ln>
                      </wps:spPr>
                      <wps:txbx>
                        <w:txbxContent>
                          <w:p w14:paraId="48917F55" w14:textId="77777777" w:rsidR="00B65FE2" w:rsidRPr="007F55FF" w:rsidRDefault="00B97F90" w:rsidP="00B65FE2">
                            <w:pPr>
                              <w:pStyle w:val="ListParagraph"/>
                              <w:numPr>
                                <w:ilvl w:val="0"/>
                                <w:numId w:val="25"/>
                              </w:numPr>
                              <w:spacing w:after="0"/>
                              <w:ind w:left="360"/>
                              <w:contextualSpacing w:val="0"/>
                              <w:rPr>
                                <w:rFonts w:asciiTheme="majorHAnsi" w:hAnsiTheme="majorHAnsi"/>
                                <w:sz w:val="21"/>
                                <w:szCs w:val="21"/>
                              </w:rPr>
                            </w:pPr>
                            <w:r w:rsidRPr="007F55FF">
                              <w:rPr>
                                <w:rFonts w:ascii="Cambria" w:hAnsi="Cambria"/>
                                <w:b/>
                                <w:sz w:val="21"/>
                                <w:szCs w:val="21"/>
                              </w:rPr>
                              <w:t>Goal of the study</w:t>
                            </w:r>
                            <w:r w:rsidRPr="007F55FF">
                              <w:rPr>
                                <w:rFonts w:ascii="Cambria" w:hAnsi="Cambria"/>
                                <w:sz w:val="21"/>
                                <w:szCs w:val="21"/>
                              </w:rPr>
                              <w:t xml:space="preserve">: </w:t>
                            </w:r>
                            <w:r w:rsidR="00B65FE2" w:rsidRPr="007F55FF">
                              <w:rPr>
                                <w:rFonts w:ascii="Cambria" w:hAnsi="Cambria"/>
                                <w:sz w:val="21"/>
                                <w:szCs w:val="21"/>
                              </w:rPr>
                              <w:t>C</w:t>
                            </w:r>
                            <w:r w:rsidRPr="007F55FF">
                              <w:rPr>
                                <w:rFonts w:ascii="Cambria" w:hAnsi="Cambria"/>
                                <w:sz w:val="21"/>
                                <w:szCs w:val="21"/>
                              </w:rPr>
                              <w:t xml:space="preserve">ollect information from state and local environmental health practitioners </w:t>
                            </w:r>
                            <w:r w:rsidR="00B65FE2" w:rsidRPr="007F55FF">
                              <w:rPr>
                                <w:rFonts w:ascii="Cambria" w:hAnsi="Cambria"/>
                                <w:sz w:val="21"/>
                                <w:szCs w:val="21"/>
                              </w:rPr>
                              <w:t xml:space="preserve">to: </w:t>
                            </w:r>
                          </w:p>
                          <w:p w14:paraId="40FB5413" w14:textId="79386E4A" w:rsidR="00B65FE2" w:rsidRPr="007F55FF" w:rsidRDefault="00B65FE2" w:rsidP="00B65FE2">
                            <w:pPr>
                              <w:pStyle w:val="ListParagraph"/>
                              <w:spacing w:after="0"/>
                              <w:ind w:left="360"/>
                              <w:contextualSpacing w:val="0"/>
                              <w:rPr>
                                <w:rFonts w:asciiTheme="majorHAnsi" w:hAnsiTheme="majorHAnsi"/>
                                <w:sz w:val="21"/>
                                <w:szCs w:val="21"/>
                              </w:rPr>
                            </w:pPr>
                            <w:r w:rsidRPr="007F55FF">
                              <w:rPr>
                                <w:rFonts w:ascii="Cambria" w:hAnsi="Cambria"/>
                                <w:sz w:val="21"/>
                                <w:szCs w:val="21"/>
                              </w:rPr>
                              <w:t>1) u</w:t>
                            </w:r>
                            <w:r w:rsidRPr="007F55FF">
                              <w:rPr>
                                <w:rFonts w:asciiTheme="majorHAnsi" w:hAnsiTheme="majorHAnsi"/>
                                <w:sz w:val="21"/>
                                <w:szCs w:val="21"/>
                              </w:rPr>
                              <w:t>nderstand the influence of water projects on policy; 2) Identify challenges to influencing policy through water projects and strategies for overcoming challenges; 3) Understand the type of partnerships needed to facilitate policy development; 4) Identify the benefits gained to the local communities from the water project and 5) Identify training and resource needs of STLT staff working on water projects.</w:t>
                            </w:r>
                          </w:p>
                          <w:p w14:paraId="1F0ABE62" w14:textId="41469732" w:rsidR="00B97F90" w:rsidRPr="007F55FF" w:rsidRDefault="00B97F90" w:rsidP="00B65FE2">
                            <w:pPr>
                              <w:pStyle w:val="ListParagraph"/>
                              <w:numPr>
                                <w:ilvl w:val="0"/>
                                <w:numId w:val="3"/>
                              </w:numPr>
                              <w:spacing w:after="0"/>
                              <w:contextualSpacing w:val="0"/>
                              <w:rPr>
                                <w:rFonts w:asciiTheme="majorHAnsi" w:hAnsiTheme="majorHAnsi"/>
                                <w:sz w:val="21"/>
                                <w:szCs w:val="21"/>
                              </w:rPr>
                            </w:pPr>
                            <w:r w:rsidRPr="007F55FF">
                              <w:rPr>
                                <w:rFonts w:ascii="Cambria" w:hAnsi="Cambria"/>
                                <w:b/>
                                <w:sz w:val="21"/>
                                <w:szCs w:val="21"/>
                              </w:rPr>
                              <w:t>Intended use of the resulting data</w:t>
                            </w:r>
                            <w:r w:rsidRPr="007F55FF">
                              <w:rPr>
                                <w:rFonts w:ascii="Cambria" w:hAnsi="Cambria"/>
                                <w:sz w:val="21"/>
                                <w:szCs w:val="21"/>
                              </w:rPr>
                              <w:t xml:space="preserve">: </w:t>
                            </w:r>
                            <w:r w:rsidR="00B65FE2" w:rsidRPr="007F55FF">
                              <w:rPr>
                                <w:rFonts w:ascii="Cambria" w:hAnsi="Cambria"/>
                                <w:sz w:val="21"/>
                                <w:szCs w:val="21"/>
                              </w:rPr>
                              <w:t>I</w:t>
                            </w:r>
                            <w:r w:rsidR="00B65FE2" w:rsidRPr="007F55FF">
                              <w:rPr>
                                <w:rFonts w:asciiTheme="majorHAnsi" w:hAnsiTheme="majorHAnsi"/>
                              </w:rPr>
                              <w:t>nformation gleaned will help investigators understand the differences and nuances of how policy is developed and used at STLT health departments in relation to water projects</w:t>
                            </w:r>
                            <w:r w:rsidRPr="007F55FF">
                              <w:rPr>
                                <w:rFonts w:ascii="Cambria" w:hAnsi="Cambria"/>
                                <w:sz w:val="21"/>
                                <w:szCs w:val="21"/>
                              </w:rPr>
                              <w:t xml:space="preserve"> and develop guidance tools/ “how to” guides for State, Tribal, Local, and Territorial (STLT) health departments</w:t>
                            </w:r>
                            <w:r w:rsidRPr="007F55FF">
                              <w:rPr>
                                <w:rFonts w:asciiTheme="majorHAnsi" w:hAnsiTheme="majorHAnsi"/>
                                <w:sz w:val="21"/>
                                <w:szCs w:val="21"/>
                              </w:rPr>
                              <w:t xml:space="preserve"> outlining examples of water projects and their relationship to policy.</w:t>
                            </w:r>
                          </w:p>
                          <w:p w14:paraId="1F0ABE63" w14:textId="47490FFA" w:rsidR="00B97F90" w:rsidRPr="00B65FE2" w:rsidRDefault="00B97F90" w:rsidP="00B65FE2">
                            <w:pPr>
                              <w:pStyle w:val="ListParagraph"/>
                              <w:numPr>
                                <w:ilvl w:val="0"/>
                                <w:numId w:val="3"/>
                              </w:numPr>
                              <w:rPr>
                                <w:rFonts w:ascii="Cambria" w:hAnsi="Cambria"/>
                                <w:sz w:val="21"/>
                                <w:szCs w:val="21"/>
                              </w:rPr>
                            </w:pPr>
                            <w:r w:rsidRPr="00B65FE2">
                              <w:rPr>
                                <w:rFonts w:ascii="Cambria" w:hAnsi="Cambria"/>
                                <w:b/>
                                <w:sz w:val="21"/>
                                <w:szCs w:val="21"/>
                              </w:rPr>
                              <w:t>Methods to be used to collect information</w:t>
                            </w:r>
                            <w:r w:rsidRPr="00B65FE2">
                              <w:rPr>
                                <w:rFonts w:ascii="Cambria" w:hAnsi="Cambria"/>
                                <w:sz w:val="21"/>
                                <w:szCs w:val="21"/>
                              </w:rPr>
                              <w:t xml:space="preserve">: In-person interviews will be conducted to collect information from respondents. </w:t>
                            </w:r>
                          </w:p>
                          <w:p w14:paraId="1F0ABE64" w14:textId="7D7AD332" w:rsidR="00B97F90" w:rsidRPr="00B65FE2" w:rsidRDefault="00B97F90" w:rsidP="00B65FE2">
                            <w:pPr>
                              <w:pStyle w:val="ListParagraph"/>
                              <w:numPr>
                                <w:ilvl w:val="0"/>
                                <w:numId w:val="3"/>
                              </w:numPr>
                              <w:rPr>
                                <w:rFonts w:ascii="Cambria" w:hAnsi="Cambria"/>
                                <w:sz w:val="21"/>
                                <w:szCs w:val="21"/>
                              </w:rPr>
                            </w:pPr>
                            <w:r w:rsidRPr="00B65FE2">
                              <w:rPr>
                                <w:rFonts w:ascii="Cambria" w:hAnsi="Cambria"/>
                                <w:b/>
                                <w:sz w:val="21"/>
                                <w:szCs w:val="21"/>
                              </w:rPr>
                              <w:t>The subpopulation to be studied</w:t>
                            </w:r>
                            <w:r w:rsidRPr="00B65FE2">
                              <w:rPr>
                                <w:rFonts w:ascii="Cambria" w:hAnsi="Cambria"/>
                                <w:sz w:val="21"/>
                                <w:szCs w:val="21"/>
                              </w:rPr>
                              <w:t xml:space="preserve">: 18 state and local-level Environmental Health Practitioners.  </w:t>
                            </w:r>
                          </w:p>
                          <w:p w14:paraId="1F0ABE65" w14:textId="061F5D46" w:rsidR="00B97F90" w:rsidRPr="00B65FE2" w:rsidRDefault="00B97F90" w:rsidP="00B65FE2">
                            <w:pPr>
                              <w:pStyle w:val="ListParagraph"/>
                              <w:numPr>
                                <w:ilvl w:val="0"/>
                                <w:numId w:val="3"/>
                              </w:numPr>
                              <w:rPr>
                                <w:rFonts w:ascii="Cambria" w:hAnsi="Cambria"/>
                                <w:sz w:val="21"/>
                                <w:szCs w:val="21"/>
                              </w:rPr>
                            </w:pPr>
                            <w:r w:rsidRPr="00B65FE2">
                              <w:rPr>
                                <w:rFonts w:ascii="Cambria" w:hAnsi="Cambria"/>
                                <w:b/>
                                <w:sz w:val="21"/>
                                <w:szCs w:val="21"/>
                              </w:rPr>
                              <w:t>How data will be analyzed</w:t>
                            </w:r>
                            <w:r w:rsidRPr="00B65FE2">
                              <w:rPr>
                                <w:rFonts w:ascii="Cambria" w:hAnsi="Cambria"/>
                                <w:sz w:val="21"/>
                                <w:szCs w:val="21"/>
                              </w:rPr>
                              <w:t xml:space="preserve">: </w:t>
                            </w:r>
                            <w:r w:rsidRPr="00B65FE2">
                              <w:rPr>
                                <w:rFonts w:asciiTheme="majorHAnsi" w:hAnsiTheme="majorHAnsi"/>
                                <w:sz w:val="21"/>
                                <w:szCs w:val="21"/>
                              </w:rPr>
                              <w:t xml:space="preserve">Qualitative thematic analyses will be performed to compile responses and summarize the results.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0ABE58" id="_x0000_t202" coordsize="21600,21600" o:spt="202" path="m,l,21600r21600,l21600,xe">
                <v:stroke joinstyle="miter"/>
                <v:path gradientshapeok="t" o:connecttype="rect"/>
              </v:shapetype>
              <v:shape id="Text Box 2" o:spid="_x0000_s1026" type="#_x0000_t202" style="position:absolute;margin-left:451.3pt;margin-top:0;width:502.5pt;height:206.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">
                <v:textbox>
                  <w:txbxContent>
                    <w:p w14:paraId="48917F55" w14:textId="77777777" w:rsidR="00B65FE2" w:rsidRPr="007F55FF" w:rsidRDefault="00B97F90" w:rsidP="00B65FE2">
                      <w:pPr>
                        <w:pStyle w:val="ListParagraph"/>
                        <w:numPr>
                          <w:ilvl w:val="0"/>
                          <w:numId w:val="25"/>
                        </w:numPr>
                        <w:spacing w:after="0"/>
                        <w:ind w:left="360"/>
                        <w:contextualSpacing w:val="0"/>
                        <w:rPr>
                          <w:rFonts w:asciiTheme="majorHAnsi" w:hAnsiTheme="majorHAnsi"/>
                          <w:sz w:val="21"/>
                          <w:szCs w:val="21"/>
                        </w:rPr>
                      </w:pPr>
                      <w:r w:rsidRPr="007F55FF">
                        <w:rPr>
                          <w:rFonts w:ascii="Cambria" w:hAnsi="Cambria"/>
                          <w:b/>
                          <w:sz w:val="21"/>
                          <w:szCs w:val="21"/>
                        </w:rPr>
                        <w:t>Goal of the study</w:t>
                      </w:r>
                      <w:r w:rsidRPr="007F55FF">
                        <w:rPr>
                          <w:rFonts w:ascii="Cambria" w:hAnsi="Cambria"/>
                          <w:sz w:val="21"/>
                          <w:szCs w:val="21"/>
                        </w:rPr>
                        <w:t xml:space="preserve">: </w:t>
                      </w:r>
                      <w:r w:rsidR="00B65FE2" w:rsidRPr="007F55FF">
                        <w:rPr>
                          <w:rFonts w:ascii="Cambria" w:hAnsi="Cambria"/>
                          <w:sz w:val="21"/>
                          <w:szCs w:val="21"/>
                        </w:rPr>
                        <w:t>C</w:t>
                      </w:r>
                      <w:r w:rsidRPr="007F55FF">
                        <w:rPr>
                          <w:rFonts w:ascii="Cambria" w:hAnsi="Cambria"/>
                          <w:sz w:val="21"/>
                          <w:szCs w:val="21"/>
                        </w:rPr>
                        <w:t xml:space="preserve">ollect information from state and local environmental health practitioners </w:t>
                      </w:r>
                      <w:r w:rsidR="00B65FE2" w:rsidRPr="007F55FF">
                        <w:rPr>
                          <w:rFonts w:ascii="Cambria" w:hAnsi="Cambria"/>
                          <w:sz w:val="21"/>
                          <w:szCs w:val="21"/>
                        </w:rPr>
                        <w:t xml:space="preserve">to: </w:t>
                      </w:r>
                    </w:p>
                    <w:p w14:paraId="40FB5413" w14:textId="79386E4A" w:rsidR="00B65FE2" w:rsidRPr="007F55FF" w:rsidRDefault="00B65FE2" w:rsidP="00B65FE2">
                      <w:pPr>
                        <w:pStyle w:val="ListParagraph"/>
                        <w:spacing w:after="0"/>
                        <w:ind w:left="360"/>
                        <w:contextualSpacing w:val="0"/>
                        <w:rPr>
                          <w:rFonts w:asciiTheme="majorHAnsi" w:hAnsiTheme="majorHAnsi"/>
                          <w:sz w:val="21"/>
                          <w:szCs w:val="21"/>
                        </w:rPr>
                      </w:pPr>
                      <w:r w:rsidRPr="007F55FF">
                        <w:rPr>
                          <w:rFonts w:ascii="Cambria" w:hAnsi="Cambria"/>
                          <w:sz w:val="21"/>
                          <w:szCs w:val="21"/>
                        </w:rPr>
                        <w:t>1) u</w:t>
                      </w:r>
                      <w:r w:rsidRPr="007F55FF">
                        <w:rPr>
                          <w:rFonts w:asciiTheme="majorHAnsi" w:hAnsiTheme="majorHAnsi"/>
                          <w:sz w:val="21"/>
                          <w:szCs w:val="21"/>
                        </w:rPr>
                        <w:t>nderstand the influence of water projects on policy; 2) Identify challenges to influencing policy through water projects and strategies for overcoming challenges; 3) Understand the type of partnerships needed to facilitate policy development; 4) Identify the benefits gained to the local communities from the water project and 5) Identify training and resource needs of STLT staff working on water projects.</w:t>
                      </w:r>
                    </w:p>
                    <w:p w14:paraId="1F0ABE62" w14:textId="41469732" w:rsidR="00B97F90" w:rsidRPr="007F55FF" w:rsidRDefault="00B97F90" w:rsidP="00B65FE2">
                      <w:pPr>
                        <w:pStyle w:val="ListParagraph"/>
                        <w:numPr>
                          <w:ilvl w:val="0"/>
                          <w:numId w:val="3"/>
                        </w:numPr>
                        <w:spacing w:after="0"/>
                        <w:contextualSpacing w:val="0"/>
                        <w:rPr>
                          <w:rFonts w:asciiTheme="majorHAnsi" w:hAnsiTheme="majorHAnsi"/>
                          <w:sz w:val="21"/>
                          <w:szCs w:val="21"/>
                        </w:rPr>
                      </w:pPr>
                      <w:r w:rsidRPr="007F55FF">
                        <w:rPr>
                          <w:rFonts w:ascii="Cambria" w:hAnsi="Cambria"/>
                          <w:b/>
                          <w:sz w:val="21"/>
                          <w:szCs w:val="21"/>
                        </w:rPr>
                        <w:t>Intended use of the resulting data</w:t>
                      </w:r>
                      <w:r w:rsidRPr="007F55FF">
                        <w:rPr>
                          <w:rFonts w:ascii="Cambria" w:hAnsi="Cambria"/>
                          <w:sz w:val="21"/>
                          <w:szCs w:val="21"/>
                        </w:rPr>
                        <w:t xml:space="preserve">: </w:t>
                      </w:r>
                      <w:r w:rsidR="00B65FE2" w:rsidRPr="007F55FF">
                        <w:rPr>
                          <w:rFonts w:ascii="Cambria" w:hAnsi="Cambria"/>
                          <w:sz w:val="21"/>
                          <w:szCs w:val="21"/>
                        </w:rPr>
                        <w:t>I</w:t>
                      </w:r>
                      <w:r w:rsidR="00B65FE2" w:rsidRPr="007F55FF">
                        <w:rPr>
                          <w:rFonts w:asciiTheme="majorHAnsi" w:hAnsiTheme="majorHAnsi"/>
                        </w:rPr>
                        <w:t>nformation gleaned will help investigators understand the differences and nuances of how policy is developed and used at STLT health departments in relation to water projects</w:t>
                      </w:r>
                      <w:r w:rsidRPr="007F55FF">
                        <w:rPr>
                          <w:rFonts w:ascii="Cambria" w:hAnsi="Cambria"/>
                          <w:sz w:val="21"/>
                          <w:szCs w:val="21"/>
                        </w:rPr>
                        <w:t xml:space="preserve"> and develop guidance tools/ “how to” guides for State, Tribal, Local, and Territorial (STLT) health departments</w:t>
                      </w:r>
                      <w:r w:rsidRPr="007F55FF">
                        <w:rPr>
                          <w:rFonts w:asciiTheme="majorHAnsi" w:hAnsiTheme="majorHAnsi"/>
                          <w:sz w:val="21"/>
                          <w:szCs w:val="21"/>
                        </w:rPr>
                        <w:t xml:space="preserve"> outlining examples of water projects and their relationship to policy.</w:t>
                      </w:r>
                    </w:p>
                    <w:p w14:paraId="1F0ABE63" w14:textId="47490FFA" w:rsidR="00B97F90" w:rsidRPr="00B65FE2" w:rsidRDefault="00B97F90" w:rsidP="00B65FE2">
                      <w:pPr>
                        <w:pStyle w:val="ListParagraph"/>
                        <w:numPr>
                          <w:ilvl w:val="0"/>
                          <w:numId w:val="3"/>
                        </w:numPr>
                        <w:rPr>
                          <w:rFonts w:ascii="Cambria" w:hAnsi="Cambria"/>
                          <w:sz w:val="21"/>
                          <w:szCs w:val="21"/>
                        </w:rPr>
                      </w:pPr>
                      <w:r w:rsidRPr="00B65FE2">
                        <w:rPr>
                          <w:rFonts w:ascii="Cambria" w:hAnsi="Cambria"/>
                          <w:b/>
                          <w:sz w:val="21"/>
                          <w:szCs w:val="21"/>
                        </w:rPr>
                        <w:t>Methods to be used to collect information</w:t>
                      </w:r>
                      <w:r w:rsidRPr="00B65FE2">
                        <w:rPr>
                          <w:rFonts w:ascii="Cambria" w:hAnsi="Cambria"/>
                          <w:sz w:val="21"/>
                          <w:szCs w:val="21"/>
                        </w:rPr>
                        <w:t xml:space="preserve">: In-person interviews will be conducted to collect information from respondents. </w:t>
                      </w:r>
                    </w:p>
                    <w:p w14:paraId="1F0ABE64" w14:textId="7D7AD332" w:rsidR="00B97F90" w:rsidRPr="00B65FE2" w:rsidRDefault="00B97F90" w:rsidP="00B65FE2">
                      <w:pPr>
                        <w:pStyle w:val="ListParagraph"/>
                        <w:numPr>
                          <w:ilvl w:val="0"/>
                          <w:numId w:val="3"/>
                        </w:numPr>
                        <w:rPr>
                          <w:rFonts w:ascii="Cambria" w:hAnsi="Cambria"/>
                          <w:sz w:val="21"/>
                          <w:szCs w:val="21"/>
                        </w:rPr>
                      </w:pPr>
                      <w:r w:rsidRPr="00B65FE2">
                        <w:rPr>
                          <w:rFonts w:ascii="Cambria" w:hAnsi="Cambria"/>
                          <w:b/>
                          <w:sz w:val="21"/>
                          <w:szCs w:val="21"/>
                        </w:rPr>
                        <w:t>The subpopulation to be studied</w:t>
                      </w:r>
                      <w:r w:rsidRPr="00B65FE2">
                        <w:rPr>
                          <w:rFonts w:ascii="Cambria" w:hAnsi="Cambria"/>
                          <w:sz w:val="21"/>
                          <w:szCs w:val="21"/>
                        </w:rPr>
                        <w:t xml:space="preserve">: 18 state and local-level Environmental Health Practitioners.  </w:t>
                      </w:r>
                    </w:p>
                    <w:p w14:paraId="1F0ABE65" w14:textId="061F5D46" w:rsidR="00B97F90" w:rsidRPr="00B65FE2" w:rsidRDefault="00B97F90" w:rsidP="00B65FE2">
                      <w:pPr>
                        <w:pStyle w:val="ListParagraph"/>
                        <w:numPr>
                          <w:ilvl w:val="0"/>
                          <w:numId w:val="3"/>
                        </w:numPr>
                        <w:rPr>
                          <w:rFonts w:ascii="Cambria" w:hAnsi="Cambria"/>
                          <w:sz w:val="21"/>
                          <w:szCs w:val="21"/>
                        </w:rPr>
                      </w:pPr>
                      <w:r w:rsidRPr="00B65FE2">
                        <w:rPr>
                          <w:rFonts w:ascii="Cambria" w:hAnsi="Cambria"/>
                          <w:b/>
                          <w:sz w:val="21"/>
                          <w:szCs w:val="21"/>
                        </w:rPr>
                        <w:t>How data will be analyzed</w:t>
                      </w:r>
                      <w:r w:rsidRPr="00B65FE2">
                        <w:rPr>
                          <w:rFonts w:ascii="Cambria" w:hAnsi="Cambria"/>
                          <w:sz w:val="21"/>
                          <w:szCs w:val="21"/>
                        </w:rPr>
                        <w:t xml:space="preserve">: </w:t>
                      </w:r>
                      <w:r w:rsidRPr="00B65FE2">
                        <w:rPr>
                          <w:rFonts w:asciiTheme="majorHAnsi" w:hAnsiTheme="majorHAnsi"/>
                          <w:sz w:val="21"/>
                          <w:szCs w:val="21"/>
                        </w:rPr>
                        <w:t xml:space="preserve">Qualitative thematic analyses will be performed to compile responses and summarize the results. </w:t>
                      </w:r>
                    </w:p>
                  </w:txbxContent>
                </v:textbox>
                <w10:wrap type="square" anchorx="margin"/>
              </v:shape>
            </w:pict>
          </mc:Fallback>
        </mc:AlternateContent>
      </w:r>
    </w:p>
    <w:p w14:paraId="1F0ABD7E" w14:textId="77777777" w:rsidR="003478E1" w:rsidRPr="00D23089" w:rsidRDefault="00691E0E" w:rsidP="003478E1">
      <w:pPr>
        <w:pStyle w:val="Heading2"/>
        <w:rPr>
          <w:b/>
          <w:color w:val="auto"/>
        </w:rPr>
      </w:pPr>
      <w:r w:rsidRPr="00D23089">
        <w:rPr>
          <w:b/>
          <w:color w:val="auto"/>
        </w:rPr>
        <w:t>Section A – Justification</w:t>
      </w:r>
    </w:p>
    <w:p w14:paraId="1F0ABD7F" w14:textId="77777777" w:rsidR="00E51CB5" w:rsidRPr="00CE097C" w:rsidRDefault="00E51CB5" w:rsidP="00E51CB5">
      <w:pPr>
        <w:pStyle w:val="ListParagraph"/>
        <w:ind w:left="360"/>
        <w:rPr>
          <w:rFonts w:asciiTheme="majorHAnsi" w:hAnsiTheme="majorHAnsi"/>
          <w:sz w:val="10"/>
        </w:rPr>
      </w:pPr>
    </w:p>
    <w:p w14:paraId="1F0ABD80" w14:textId="77777777" w:rsidR="003478E1" w:rsidRPr="00D23089" w:rsidRDefault="003478E1" w:rsidP="00E51CB5">
      <w:pPr>
        <w:pStyle w:val="ListParagraph"/>
        <w:numPr>
          <w:ilvl w:val="0"/>
          <w:numId w:val="4"/>
        </w:numPr>
        <w:rPr>
          <w:rFonts w:asciiTheme="majorHAnsi" w:hAnsiTheme="majorHAnsi"/>
          <w:b/>
        </w:rPr>
      </w:pPr>
      <w:r w:rsidRPr="00D23089">
        <w:rPr>
          <w:rFonts w:asciiTheme="majorHAnsi" w:hAnsiTheme="majorHAnsi"/>
          <w:b/>
        </w:rPr>
        <w:t>Circumstances Making the Coll</w:t>
      </w:r>
      <w:r w:rsidR="004568DB">
        <w:rPr>
          <w:rFonts w:asciiTheme="majorHAnsi" w:hAnsiTheme="majorHAnsi"/>
          <w:b/>
        </w:rPr>
        <w:t>ection of Information Necessary</w:t>
      </w:r>
    </w:p>
    <w:p w14:paraId="1F0ABD81" w14:textId="77777777" w:rsidR="003478E1" w:rsidRPr="00D23089" w:rsidRDefault="003478E1" w:rsidP="003478E1">
      <w:pPr>
        <w:rPr>
          <w:rFonts w:asciiTheme="majorHAnsi" w:hAnsiTheme="majorHAnsi"/>
        </w:rPr>
      </w:pPr>
      <w:r w:rsidRPr="00D23089">
        <w:rPr>
          <w:rFonts w:asciiTheme="majorHAnsi" w:hAnsiTheme="majorHAnsi"/>
          <w:b/>
        </w:rPr>
        <w:t xml:space="preserve">Background </w:t>
      </w:r>
    </w:p>
    <w:p w14:paraId="1F0ABD82" w14:textId="564B1FB1" w:rsidR="003478E1" w:rsidRPr="00BE2C6C" w:rsidRDefault="003478E1">
      <w:pPr>
        <w:rPr>
          <w:rFonts w:asciiTheme="majorHAnsi" w:hAnsiTheme="majorHAnsi"/>
        </w:rPr>
      </w:pPr>
      <w:r w:rsidRPr="00BE2C6C">
        <w:rPr>
          <w:rFonts w:asciiTheme="majorHAnsi" w:hAnsiTheme="majorHAnsi"/>
        </w:rPr>
        <w:t xml:space="preserve">This information collection is being conducted using the Generic Information Collection mechanism of the OSTLTS OMB Clearance Center (O2C2) – OMB No. 0920-0879. The respondent universe for this information collection aligns with that of the O2C2. Data will be collected from </w:t>
      </w:r>
      <w:r w:rsidR="00F232C1" w:rsidRPr="00BE2C6C">
        <w:rPr>
          <w:rFonts w:asciiTheme="majorHAnsi" w:hAnsiTheme="majorHAnsi"/>
        </w:rPr>
        <w:t>18</w:t>
      </w:r>
      <w:r w:rsidRPr="00BE2C6C">
        <w:rPr>
          <w:rFonts w:asciiTheme="majorHAnsi" w:hAnsiTheme="majorHAnsi"/>
        </w:rPr>
        <w:t xml:space="preserve"> </w:t>
      </w:r>
      <w:r w:rsidR="003F49F1">
        <w:rPr>
          <w:rFonts w:asciiTheme="majorHAnsi" w:hAnsiTheme="majorHAnsi"/>
        </w:rPr>
        <w:t>E</w:t>
      </w:r>
      <w:r w:rsidR="00507F3D" w:rsidRPr="00BE2C6C">
        <w:rPr>
          <w:rFonts w:asciiTheme="majorHAnsi" w:hAnsiTheme="majorHAnsi"/>
        </w:rPr>
        <w:t xml:space="preserve">nvironmental </w:t>
      </w:r>
      <w:r w:rsidR="003F49F1">
        <w:rPr>
          <w:rFonts w:asciiTheme="majorHAnsi" w:hAnsiTheme="majorHAnsi"/>
        </w:rPr>
        <w:t>H</w:t>
      </w:r>
      <w:r w:rsidR="00507F3D" w:rsidRPr="00BE2C6C">
        <w:rPr>
          <w:rFonts w:asciiTheme="majorHAnsi" w:hAnsiTheme="majorHAnsi"/>
        </w:rPr>
        <w:t xml:space="preserve">ealth </w:t>
      </w:r>
      <w:r w:rsidR="003F49F1">
        <w:rPr>
          <w:rFonts w:asciiTheme="majorHAnsi" w:hAnsiTheme="majorHAnsi"/>
        </w:rPr>
        <w:t>(EH</w:t>
      </w:r>
      <w:r w:rsidR="00A55F76">
        <w:rPr>
          <w:rFonts w:asciiTheme="majorHAnsi" w:hAnsiTheme="majorHAnsi"/>
        </w:rPr>
        <w:t xml:space="preserve">) </w:t>
      </w:r>
      <w:r w:rsidR="008B28D5">
        <w:rPr>
          <w:rFonts w:asciiTheme="majorHAnsi" w:hAnsiTheme="majorHAnsi"/>
        </w:rPr>
        <w:t>p</w:t>
      </w:r>
      <w:r w:rsidR="00404415">
        <w:rPr>
          <w:rFonts w:asciiTheme="majorHAnsi" w:hAnsiTheme="majorHAnsi"/>
        </w:rPr>
        <w:t>ractitioners</w:t>
      </w:r>
      <w:r w:rsidR="00652168" w:rsidRPr="00BE2C6C">
        <w:rPr>
          <w:rFonts w:asciiTheme="majorHAnsi" w:hAnsiTheme="majorHAnsi"/>
        </w:rPr>
        <w:t xml:space="preserve"> </w:t>
      </w:r>
      <w:r w:rsidR="00F41009">
        <w:rPr>
          <w:rFonts w:asciiTheme="majorHAnsi" w:hAnsiTheme="majorHAnsi"/>
        </w:rPr>
        <w:t>within</w:t>
      </w:r>
      <w:r w:rsidR="004474C6">
        <w:rPr>
          <w:rFonts w:asciiTheme="majorHAnsi" w:hAnsiTheme="majorHAnsi"/>
        </w:rPr>
        <w:t xml:space="preserve"> </w:t>
      </w:r>
      <w:r w:rsidR="00ED06D3">
        <w:rPr>
          <w:rFonts w:asciiTheme="majorHAnsi" w:hAnsiTheme="majorHAnsi"/>
        </w:rPr>
        <w:t>6 STLT public health departments (4</w:t>
      </w:r>
      <w:r w:rsidR="00ED06D3" w:rsidRPr="00BE2C6C">
        <w:rPr>
          <w:rFonts w:asciiTheme="majorHAnsi" w:hAnsiTheme="majorHAnsi"/>
        </w:rPr>
        <w:t xml:space="preserve"> </w:t>
      </w:r>
      <w:r w:rsidR="002555EB" w:rsidRPr="00BE2C6C">
        <w:rPr>
          <w:rFonts w:asciiTheme="majorHAnsi" w:hAnsiTheme="majorHAnsi"/>
        </w:rPr>
        <w:t xml:space="preserve">state </w:t>
      </w:r>
      <w:r w:rsidR="00307BAB" w:rsidRPr="00BE2C6C">
        <w:rPr>
          <w:rFonts w:asciiTheme="majorHAnsi" w:hAnsiTheme="majorHAnsi"/>
        </w:rPr>
        <w:t xml:space="preserve">and </w:t>
      </w:r>
      <w:r w:rsidR="00ED06D3">
        <w:rPr>
          <w:rFonts w:asciiTheme="majorHAnsi" w:hAnsiTheme="majorHAnsi"/>
        </w:rPr>
        <w:t>2</w:t>
      </w:r>
      <w:r w:rsidR="00ED06D3" w:rsidRPr="00BE2C6C">
        <w:rPr>
          <w:rFonts w:asciiTheme="majorHAnsi" w:hAnsiTheme="majorHAnsi"/>
        </w:rPr>
        <w:t xml:space="preserve"> </w:t>
      </w:r>
      <w:r w:rsidR="00FB2827">
        <w:rPr>
          <w:rFonts w:asciiTheme="majorHAnsi" w:hAnsiTheme="majorHAnsi"/>
        </w:rPr>
        <w:t>county</w:t>
      </w:r>
      <w:r w:rsidR="00ED06D3">
        <w:rPr>
          <w:rFonts w:asciiTheme="majorHAnsi" w:hAnsiTheme="majorHAnsi"/>
        </w:rPr>
        <w:t>)</w:t>
      </w:r>
      <w:r w:rsidR="00F41009">
        <w:rPr>
          <w:rFonts w:asciiTheme="majorHAnsi" w:hAnsiTheme="majorHAnsi"/>
        </w:rPr>
        <w:t xml:space="preserve"> </w:t>
      </w:r>
      <w:r w:rsidR="004474C6" w:rsidRPr="00BE2C6C">
        <w:rPr>
          <w:rFonts w:asciiTheme="majorHAnsi" w:hAnsiTheme="majorHAnsi"/>
        </w:rPr>
        <w:t>acti</w:t>
      </w:r>
      <w:r w:rsidR="004474C6">
        <w:rPr>
          <w:rFonts w:asciiTheme="majorHAnsi" w:hAnsiTheme="majorHAnsi"/>
        </w:rPr>
        <w:t>ng in their official capacities</w:t>
      </w:r>
      <w:r w:rsidR="002555EB" w:rsidRPr="00BE2C6C">
        <w:rPr>
          <w:rFonts w:asciiTheme="majorHAnsi" w:hAnsiTheme="majorHAnsi"/>
        </w:rPr>
        <w:t xml:space="preserve">. </w:t>
      </w:r>
      <w:r w:rsidR="00FB2827">
        <w:rPr>
          <w:rFonts w:asciiTheme="majorHAnsi" w:hAnsiTheme="majorHAnsi"/>
        </w:rPr>
        <w:t>A listing of these state</w:t>
      </w:r>
      <w:r w:rsidR="00307BAB" w:rsidRPr="00BE2C6C">
        <w:rPr>
          <w:rFonts w:asciiTheme="majorHAnsi" w:hAnsiTheme="majorHAnsi"/>
        </w:rPr>
        <w:t xml:space="preserve"> and </w:t>
      </w:r>
      <w:r w:rsidR="00FB2827">
        <w:rPr>
          <w:rFonts w:asciiTheme="majorHAnsi" w:hAnsiTheme="majorHAnsi"/>
        </w:rPr>
        <w:t>county</w:t>
      </w:r>
      <w:r w:rsidR="00307BAB" w:rsidRPr="00BE2C6C">
        <w:rPr>
          <w:rFonts w:asciiTheme="majorHAnsi" w:hAnsiTheme="majorHAnsi"/>
        </w:rPr>
        <w:t xml:space="preserve"> health departments</w:t>
      </w:r>
      <w:r w:rsidR="00D00348" w:rsidRPr="00BE2C6C">
        <w:rPr>
          <w:rFonts w:asciiTheme="majorHAnsi" w:hAnsiTheme="majorHAnsi"/>
        </w:rPr>
        <w:t xml:space="preserve"> can be found in </w:t>
      </w:r>
      <w:r w:rsidR="00D7702C">
        <w:rPr>
          <w:rFonts w:asciiTheme="majorHAnsi" w:hAnsiTheme="majorHAnsi"/>
        </w:rPr>
        <w:t xml:space="preserve">(see </w:t>
      </w:r>
      <w:r w:rsidR="00D00348" w:rsidRPr="00BE2C6C">
        <w:rPr>
          <w:rFonts w:asciiTheme="majorHAnsi" w:hAnsiTheme="majorHAnsi"/>
          <w:b/>
        </w:rPr>
        <w:t>Attachment A</w:t>
      </w:r>
      <w:r w:rsidR="00D00348" w:rsidRPr="00ED3150">
        <w:rPr>
          <w:rFonts w:asciiTheme="majorHAnsi" w:hAnsiTheme="majorHAnsi" w:cs="Arial"/>
        </w:rPr>
        <w:t>–</w:t>
      </w:r>
      <w:r w:rsidR="00D00348" w:rsidRPr="00BE2C6C">
        <w:rPr>
          <w:rFonts w:asciiTheme="majorHAnsi" w:hAnsiTheme="majorHAnsi"/>
          <w:b/>
        </w:rPr>
        <w:t xml:space="preserve">List of </w:t>
      </w:r>
      <w:r w:rsidR="00AE2A3F" w:rsidRPr="00BE2C6C">
        <w:rPr>
          <w:rFonts w:asciiTheme="majorHAnsi" w:hAnsiTheme="majorHAnsi"/>
          <w:b/>
        </w:rPr>
        <w:t xml:space="preserve">Participant </w:t>
      </w:r>
      <w:r w:rsidR="00D00348" w:rsidRPr="00BE2C6C">
        <w:rPr>
          <w:rFonts w:asciiTheme="majorHAnsi" w:hAnsiTheme="majorHAnsi"/>
          <w:b/>
        </w:rPr>
        <w:t>State</w:t>
      </w:r>
      <w:r w:rsidR="00AE2A3F" w:rsidRPr="00BE2C6C">
        <w:rPr>
          <w:rFonts w:asciiTheme="majorHAnsi" w:hAnsiTheme="majorHAnsi"/>
          <w:b/>
        </w:rPr>
        <w:t xml:space="preserve"> and </w:t>
      </w:r>
      <w:r w:rsidR="00FB2827">
        <w:rPr>
          <w:rFonts w:asciiTheme="majorHAnsi" w:hAnsiTheme="majorHAnsi"/>
          <w:b/>
        </w:rPr>
        <w:t>County</w:t>
      </w:r>
      <w:r w:rsidR="00AE2A3F" w:rsidRPr="00BE2C6C">
        <w:rPr>
          <w:rFonts w:asciiTheme="majorHAnsi" w:hAnsiTheme="majorHAnsi"/>
          <w:b/>
        </w:rPr>
        <w:t xml:space="preserve"> Health Department</w:t>
      </w:r>
      <w:r w:rsidR="00D00348" w:rsidRPr="00BE2C6C">
        <w:rPr>
          <w:rFonts w:asciiTheme="majorHAnsi" w:hAnsiTheme="majorHAnsi"/>
          <w:b/>
        </w:rPr>
        <w:t>s</w:t>
      </w:r>
      <w:r w:rsidR="00D7702C" w:rsidRPr="00D7702C">
        <w:rPr>
          <w:rFonts w:asciiTheme="majorHAnsi" w:hAnsiTheme="majorHAnsi"/>
        </w:rPr>
        <w:t>)</w:t>
      </w:r>
      <w:r w:rsidR="00D00348" w:rsidRPr="00D7702C">
        <w:rPr>
          <w:rFonts w:asciiTheme="majorHAnsi" w:hAnsiTheme="majorHAnsi"/>
        </w:rPr>
        <w:t>.</w:t>
      </w:r>
    </w:p>
    <w:p w14:paraId="0E5AE1C8" w14:textId="69F86A95" w:rsidR="001E63FB" w:rsidRPr="009D170E" w:rsidRDefault="003478E1" w:rsidP="002A38DE">
      <w:pPr>
        <w:rPr>
          <w:i/>
          <w:iCs/>
        </w:rPr>
      </w:pPr>
      <w:r w:rsidRPr="00BE2C6C">
        <w:rPr>
          <w:rFonts w:asciiTheme="majorHAnsi" w:hAnsiTheme="majorHAnsi"/>
        </w:rPr>
        <w:lastRenderedPageBreak/>
        <w:t>This information collection is authorized by Section 301 of the Public Health Service Act (42 U.S.C. 241). This information collection falls under the essential public health service</w:t>
      </w:r>
      <w:r w:rsidR="001E63FB" w:rsidRPr="00BE2C6C">
        <w:rPr>
          <w:rFonts w:asciiTheme="majorHAnsi" w:hAnsiTheme="majorHAnsi"/>
        </w:rPr>
        <w:t>(</w:t>
      </w:r>
      <w:r w:rsidRPr="00BE2C6C">
        <w:rPr>
          <w:rFonts w:asciiTheme="majorHAnsi" w:hAnsiTheme="majorHAnsi"/>
        </w:rPr>
        <w:t>s</w:t>
      </w:r>
      <w:r w:rsidR="001E63FB" w:rsidRPr="00BE2C6C">
        <w:rPr>
          <w:rFonts w:asciiTheme="majorHAnsi" w:hAnsiTheme="majorHAnsi"/>
        </w:rPr>
        <w:t>)</w:t>
      </w:r>
      <w:r w:rsidRPr="00BE2C6C">
        <w:rPr>
          <w:rFonts w:asciiTheme="majorHAnsi" w:hAnsiTheme="majorHAnsi"/>
        </w:rPr>
        <w:t xml:space="preserve"> of</w:t>
      </w:r>
      <w:r w:rsidR="002555EB" w:rsidRPr="00ED3150">
        <w:rPr>
          <w:rFonts w:asciiTheme="majorHAnsi" w:hAnsiTheme="majorHAnsi"/>
          <w:iCs/>
          <w:color w:val="0070C0"/>
        </w:rPr>
        <w:t>:</w:t>
      </w:r>
      <w:r w:rsidR="0087409B" w:rsidRPr="00BE2C6C">
        <w:rPr>
          <w:rFonts w:asciiTheme="majorHAnsi" w:hAnsiTheme="majorHAnsi"/>
        </w:rPr>
        <w:t xml:space="preserve"> </w:t>
      </w:r>
    </w:p>
    <w:p w14:paraId="4F9480BC" w14:textId="77777777" w:rsidR="001E63FB" w:rsidRPr="00B65FE2" w:rsidRDefault="001E63FB" w:rsidP="0019697E">
      <w:pPr>
        <w:spacing w:line="240" w:lineRule="auto"/>
        <w:rPr>
          <w:rFonts w:asciiTheme="majorHAnsi" w:hAnsiTheme="majorHAnsi"/>
          <w:sz w:val="21"/>
          <w:szCs w:val="21"/>
        </w:rPr>
      </w:pPr>
      <w:r w:rsidRPr="00B65FE2">
        <w:rPr>
          <w:rFonts w:asciiTheme="majorHAnsi" w:eastAsia="Times New Roman" w:hAnsiTheme="majorHAnsi" w:cs="Shruti"/>
          <w:sz w:val="21"/>
          <w:szCs w:val="21"/>
        </w:rPr>
        <w:fldChar w:fldCharType="begin">
          <w:ffData>
            <w:name w:val="Check25"/>
            <w:enabled/>
            <w:calcOnExit w:val="0"/>
            <w:checkBox>
              <w:sizeAuto/>
              <w:default w:val="0"/>
            </w:checkBox>
          </w:ffData>
        </w:fldChar>
      </w:r>
      <w:bookmarkStart w:id="1" w:name="Check25"/>
      <w:r w:rsidRPr="00B65FE2">
        <w:rPr>
          <w:rFonts w:asciiTheme="majorHAnsi" w:eastAsia="Times New Roman" w:hAnsiTheme="majorHAnsi" w:cs="Shruti"/>
          <w:sz w:val="21"/>
          <w:szCs w:val="21"/>
        </w:rPr>
        <w:instrText xml:space="preserve"> FORMCHECKBOX </w:instrText>
      </w:r>
      <w:r w:rsidR="007F55FF">
        <w:rPr>
          <w:rFonts w:asciiTheme="majorHAnsi" w:eastAsia="Times New Roman" w:hAnsiTheme="majorHAnsi" w:cs="Shruti"/>
          <w:sz w:val="21"/>
          <w:szCs w:val="21"/>
        </w:rPr>
      </w:r>
      <w:r w:rsidR="007F55FF">
        <w:rPr>
          <w:rFonts w:asciiTheme="majorHAnsi" w:eastAsia="Times New Roman" w:hAnsiTheme="majorHAnsi" w:cs="Shruti"/>
          <w:sz w:val="21"/>
          <w:szCs w:val="21"/>
        </w:rPr>
        <w:fldChar w:fldCharType="separate"/>
      </w:r>
      <w:r w:rsidRPr="00B65FE2">
        <w:rPr>
          <w:rFonts w:asciiTheme="majorHAnsi" w:eastAsia="Times New Roman" w:hAnsiTheme="majorHAnsi" w:cs="Shruti"/>
          <w:sz w:val="21"/>
          <w:szCs w:val="21"/>
        </w:rPr>
        <w:fldChar w:fldCharType="end"/>
      </w:r>
      <w:bookmarkEnd w:id="1"/>
      <w:r w:rsidRPr="00B65FE2">
        <w:rPr>
          <w:rFonts w:asciiTheme="majorHAnsi" w:eastAsia="Times New Roman" w:hAnsiTheme="majorHAnsi" w:cs="Shruti"/>
          <w:sz w:val="21"/>
          <w:szCs w:val="21"/>
        </w:rPr>
        <w:t xml:space="preserve"> </w:t>
      </w:r>
      <w:r w:rsidRPr="00B65FE2">
        <w:rPr>
          <w:rFonts w:asciiTheme="majorHAnsi" w:hAnsiTheme="majorHAnsi"/>
          <w:sz w:val="21"/>
          <w:szCs w:val="21"/>
        </w:rPr>
        <w:t>1. Monitoring health status to identify community health problems</w:t>
      </w:r>
    </w:p>
    <w:p w14:paraId="0F1B864A" w14:textId="77777777" w:rsidR="001E63FB" w:rsidRPr="00B65FE2" w:rsidRDefault="001E63FB" w:rsidP="00720FFE">
      <w:pPr>
        <w:spacing w:line="240" w:lineRule="auto"/>
        <w:rPr>
          <w:rFonts w:asciiTheme="majorHAnsi" w:hAnsiTheme="majorHAnsi"/>
          <w:sz w:val="21"/>
          <w:szCs w:val="21"/>
        </w:rPr>
      </w:pPr>
      <w:r w:rsidRPr="00B65FE2">
        <w:rPr>
          <w:rFonts w:asciiTheme="majorHAnsi" w:eastAsia="Times New Roman" w:hAnsiTheme="majorHAnsi" w:cs="Shruti"/>
          <w:sz w:val="21"/>
          <w:szCs w:val="21"/>
        </w:rPr>
        <w:fldChar w:fldCharType="begin">
          <w:ffData>
            <w:name w:val="Check25"/>
            <w:enabled/>
            <w:calcOnExit w:val="0"/>
            <w:checkBox>
              <w:sizeAuto/>
              <w:default w:val="0"/>
            </w:checkBox>
          </w:ffData>
        </w:fldChar>
      </w:r>
      <w:r w:rsidRPr="00B65FE2">
        <w:rPr>
          <w:rFonts w:asciiTheme="majorHAnsi" w:eastAsia="Times New Roman" w:hAnsiTheme="majorHAnsi" w:cs="Shruti"/>
          <w:sz w:val="21"/>
          <w:szCs w:val="21"/>
        </w:rPr>
        <w:instrText xml:space="preserve"> FORMCHECKBOX </w:instrText>
      </w:r>
      <w:r w:rsidR="007F55FF">
        <w:rPr>
          <w:rFonts w:asciiTheme="majorHAnsi" w:eastAsia="Times New Roman" w:hAnsiTheme="majorHAnsi" w:cs="Shruti"/>
          <w:sz w:val="21"/>
          <w:szCs w:val="21"/>
        </w:rPr>
      </w:r>
      <w:r w:rsidR="007F55FF">
        <w:rPr>
          <w:rFonts w:asciiTheme="majorHAnsi" w:eastAsia="Times New Roman" w:hAnsiTheme="majorHAnsi" w:cs="Shruti"/>
          <w:sz w:val="21"/>
          <w:szCs w:val="21"/>
        </w:rPr>
        <w:fldChar w:fldCharType="separate"/>
      </w:r>
      <w:r w:rsidRPr="00B65FE2">
        <w:rPr>
          <w:rFonts w:asciiTheme="majorHAnsi" w:eastAsia="Times New Roman" w:hAnsiTheme="majorHAnsi" w:cs="Shruti"/>
          <w:sz w:val="21"/>
          <w:szCs w:val="21"/>
        </w:rPr>
        <w:fldChar w:fldCharType="end"/>
      </w:r>
      <w:r w:rsidRPr="00B65FE2">
        <w:rPr>
          <w:rFonts w:asciiTheme="majorHAnsi" w:eastAsia="Times New Roman" w:hAnsiTheme="majorHAnsi" w:cs="Shruti"/>
          <w:sz w:val="21"/>
          <w:szCs w:val="21"/>
        </w:rPr>
        <w:t xml:space="preserve"> </w:t>
      </w:r>
      <w:r w:rsidRPr="00B65FE2">
        <w:rPr>
          <w:rFonts w:asciiTheme="majorHAnsi" w:hAnsiTheme="majorHAnsi"/>
          <w:sz w:val="21"/>
          <w:szCs w:val="21"/>
        </w:rPr>
        <w:t>2. Diagnosing and investigating health problems and health hazards in the community</w:t>
      </w:r>
    </w:p>
    <w:p w14:paraId="2DFB7E21" w14:textId="25DF7B92" w:rsidR="001E63FB" w:rsidRPr="00B65FE2" w:rsidRDefault="00343928">
      <w:pPr>
        <w:spacing w:line="240" w:lineRule="auto"/>
        <w:rPr>
          <w:rFonts w:asciiTheme="majorHAnsi" w:hAnsiTheme="majorHAnsi"/>
          <w:sz w:val="21"/>
          <w:szCs w:val="21"/>
        </w:rPr>
      </w:pPr>
      <w:r w:rsidRPr="00B65FE2">
        <w:rPr>
          <w:rFonts w:asciiTheme="majorHAnsi" w:eastAsia="Times New Roman" w:hAnsiTheme="majorHAnsi" w:cs="Shruti"/>
          <w:sz w:val="21"/>
          <w:szCs w:val="21"/>
        </w:rPr>
        <w:fldChar w:fldCharType="begin">
          <w:ffData>
            <w:name w:val=""/>
            <w:enabled/>
            <w:calcOnExit w:val="0"/>
            <w:checkBox>
              <w:sizeAuto/>
              <w:default w:val="0"/>
            </w:checkBox>
          </w:ffData>
        </w:fldChar>
      </w:r>
      <w:r w:rsidRPr="00B65FE2">
        <w:rPr>
          <w:rFonts w:asciiTheme="majorHAnsi" w:eastAsia="Times New Roman" w:hAnsiTheme="majorHAnsi" w:cs="Shruti"/>
          <w:sz w:val="21"/>
          <w:szCs w:val="21"/>
        </w:rPr>
        <w:instrText xml:space="preserve"> FORMCHECKBOX </w:instrText>
      </w:r>
      <w:r w:rsidR="007F55FF">
        <w:rPr>
          <w:rFonts w:asciiTheme="majorHAnsi" w:eastAsia="Times New Roman" w:hAnsiTheme="majorHAnsi" w:cs="Shruti"/>
          <w:sz w:val="21"/>
          <w:szCs w:val="21"/>
        </w:rPr>
      </w:r>
      <w:r w:rsidR="007F55FF">
        <w:rPr>
          <w:rFonts w:asciiTheme="majorHAnsi" w:eastAsia="Times New Roman" w:hAnsiTheme="majorHAnsi" w:cs="Shruti"/>
          <w:sz w:val="21"/>
          <w:szCs w:val="21"/>
        </w:rPr>
        <w:fldChar w:fldCharType="separate"/>
      </w:r>
      <w:r w:rsidRPr="00B65FE2">
        <w:rPr>
          <w:rFonts w:asciiTheme="majorHAnsi" w:eastAsia="Times New Roman" w:hAnsiTheme="majorHAnsi" w:cs="Shruti"/>
          <w:sz w:val="21"/>
          <w:szCs w:val="21"/>
        </w:rPr>
        <w:fldChar w:fldCharType="end"/>
      </w:r>
      <w:r w:rsidR="001E63FB" w:rsidRPr="00B65FE2">
        <w:rPr>
          <w:rFonts w:asciiTheme="majorHAnsi" w:eastAsia="Times New Roman" w:hAnsiTheme="majorHAnsi" w:cs="Shruti"/>
          <w:sz w:val="21"/>
          <w:szCs w:val="21"/>
        </w:rPr>
        <w:t xml:space="preserve"> </w:t>
      </w:r>
      <w:r w:rsidR="001E63FB" w:rsidRPr="00B65FE2">
        <w:rPr>
          <w:rFonts w:asciiTheme="majorHAnsi" w:hAnsiTheme="majorHAnsi"/>
          <w:sz w:val="21"/>
          <w:szCs w:val="21"/>
        </w:rPr>
        <w:t>3. Informing, educating, and empowering people about health issues</w:t>
      </w:r>
    </w:p>
    <w:p w14:paraId="24228923" w14:textId="0994519B" w:rsidR="001E63FB" w:rsidRPr="00B65FE2" w:rsidRDefault="00343928">
      <w:pPr>
        <w:spacing w:line="240" w:lineRule="auto"/>
        <w:rPr>
          <w:rFonts w:asciiTheme="majorHAnsi" w:hAnsiTheme="majorHAnsi"/>
          <w:sz w:val="21"/>
          <w:szCs w:val="21"/>
        </w:rPr>
      </w:pPr>
      <w:r w:rsidRPr="00B65FE2">
        <w:rPr>
          <w:rFonts w:asciiTheme="majorHAnsi" w:eastAsia="Times New Roman" w:hAnsiTheme="majorHAnsi" w:cs="Shruti"/>
          <w:sz w:val="21"/>
          <w:szCs w:val="21"/>
        </w:rPr>
        <w:fldChar w:fldCharType="begin">
          <w:ffData>
            <w:name w:val=""/>
            <w:enabled/>
            <w:calcOnExit w:val="0"/>
            <w:checkBox>
              <w:sizeAuto/>
              <w:default w:val="0"/>
            </w:checkBox>
          </w:ffData>
        </w:fldChar>
      </w:r>
      <w:r w:rsidRPr="00B65FE2">
        <w:rPr>
          <w:rFonts w:asciiTheme="majorHAnsi" w:eastAsia="Times New Roman" w:hAnsiTheme="majorHAnsi" w:cs="Shruti"/>
          <w:sz w:val="21"/>
          <w:szCs w:val="21"/>
        </w:rPr>
        <w:instrText xml:space="preserve"> FORMCHECKBOX </w:instrText>
      </w:r>
      <w:r w:rsidR="007F55FF">
        <w:rPr>
          <w:rFonts w:asciiTheme="majorHAnsi" w:eastAsia="Times New Roman" w:hAnsiTheme="majorHAnsi" w:cs="Shruti"/>
          <w:sz w:val="21"/>
          <w:szCs w:val="21"/>
        </w:rPr>
      </w:r>
      <w:r w:rsidR="007F55FF">
        <w:rPr>
          <w:rFonts w:asciiTheme="majorHAnsi" w:eastAsia="Times New Roman" w:hAnsiTheme="majorHAnsi" w:cs="Shruti"/>
          <w:sz w:val="21"/>
          <w:szCs w:val="21"/>
        </w:rPr>
        <w:fldChar w:fldCharType="separate"/>
      </w:r>
      <w:r w:rsidRPr="00B65FE2">
        <w:rPr>
          <w:rFonts w:asciiTheme="majorHAnsi" w:eastAsia="Times New Roman" w:hAnsiTheme="majorHAnsi" w:cs="Shruti"/>
          <w:sz w:val="21"/>
          <w:szCs w:val="21"/>
        </w:rPr>
        <w:fldChar w:fldCharType="end"/>
      </w:r>
      <w:r w:rsidR="001E63FB" w:rsidRPr="00B65FE2">
        <w:rPr>
          <w:rFonts w:asciiTheme="majorHAnsi" w:eastAsia="Times New Roman" w:hAnsiTheme="majorHAnsi" w:cs="Shruti"/>
          <w:sz w:val="21"/>
          <w:szCs w:val="21"/>
        </w:rPr>
        <w:t xml:space="preserve"> </w:t>
      </w:r>
      <w:r w:rsidR="001E63FB" w:rsidRPr="00B65FE2">
        <w:rPr>
          <w:rFonts w:asciiTheme="majorHAnsi" w:hAnsiTheme="majorHAnsi"/>
          <w:sz w:val="21"/>
          <w:szCs w:val="21"/>
        </w:rPr>
        <w:t>4. Mobilizing community partnerships to identify and solve health problems</w:t>
      </w:r>
    </w:p>
    <w:p w14:paraId="5BF3D2B0" w14:textId="19F5D958" w:rsidR="001E63FB" w:rsidRPr="00B65FE2" w:rsidRDefault="001E63FB">
      <w:pPr>
        <w:spacing w:line="240" w:lineRule="auto"/>
        <w:rPr>
          <w:rFonts w:asciiTheme="majorHAnsi" w:hAnsiTheme="majorHAnsi"/>
          <w:sz w:val="21"/>
          <w:szCs w:val="21"/>
        </w:rPr>
      </w:pPr>
      <w:r w:rsidRPr="00B65FE2">
        <w:rPr>
          <w:rFonts w:asciiTheme="majorHAnsi" w:eastAsia="Times New Roman" w:hAnsiTheme="majorHAnsi" w:cs="Shruti"/>
          <w:sz w:val="21"/>
          <w:szCs w:val="21"/>
        </w:rPr>
        <w:fldChar w:fldCharType="begin">
          <w:ffData>
            <w:name w:val=""/>
            <w:enabled/>
            <w:calcOnExit w:val="0"/>
            <w:checkBox>
              <w:sizeAuto/>
              <w:default w:val="1"/>
            </w:checkBox>
          </w:ffData>
        </w:fldChar>
      </w:r>
      <w:r w:rsidRPr="00B65FE2">
        <w:rPr>
          <w:rFonts w:asciiTheme="majorHAnsi" w:eastAsia="Times New Roman" w:hAnsiTheme="majorHAnsi" w:cs="Shruti"/>
          <w:sz w:val="21"/>
          <w:szCs w:val="21"/>
        </w:rPr>
        <w:instrText xml:space="preserve"> FORMCHECKBOX </w:instrText>
      </w:r>
      <w:r w:rsidR="007F55FF">
        <w:rPr>
          <w:rFonts w:asciiTheme="majorHAnsi" w:eastAsia="Times New Roman" w:hAnsiTheme="majorHAnsi" w:cs="Shruti"/>
          <w:sz w:val="21"/>
          <w:szCs w:val="21"/>
        </w:rPr>
      </w:r>
      <w:r w:rsidR="007F55FF">
        <w:rPr>
          <w:rFonts w:asciiTheme="majorHAnsi" w:eastAsia="Times New Roman" w:hAnsiTheme="majorHAnsi" w:cs="Shruti"/>
          <w:sz w:val="21"/>
          <w:szCs w:val="21"/>
        </w:rPr>
        <w:fldChar w:fldCharType="separate"/>
      </w:r>
      <w:r w:rsidRPr="00B65FE2">
        <w:rPr>
          <w:rFonts w:asciiTheme="majorHAnsi" w:eastAsia="Times New Roman" w:hAnsiTheme="majorHAnsi" w:cs="Shruti"/>
          <w:sz w:val="21"/>
          <w:szCs w:val="21"/>
        </w:rPr>
        <w:fldChar w:fldCharType="end"/>
      </w:r>
      <w:r w:rsidRPr="00B65FE2">
        <w:rPr>
          <w:rFonts w:asciiTheme="majorHAnsi" w:eastAsia="Times New Roman" w:hAnsiTheme="majorHAnsi" w:cs="Shruti"/>
          <w:sz w:val="21"/>
          <w:szCs w:val="21"/>
        </w:rPr>
        <w:t xml:space="preserve"> </w:t>
      </w:r>
      <w:r w:rsidRPr="00B65FE2">
        <w:rPr>
          <w:rFonts w:asciiTheme="majorHAnsi" w:hAnsiTheme="majorHAnsi"/>
          <w:sz w:val="21"/>
          <w:szCs w:val="21"/>
        </w:rPr>
        <w:t>5. Development of policies and plans that support individual and community health efforts</w:t>
      </w:r>
    </w:p>
    <w:p w14:paraId="33E69503" w14:textId="77777777" w:rsidR="001E63FB" w:rsidRPr="00B65FE2" w:rsidRDefault="001E63FB">
      <w:pPr>
        <w:spacing w:line="240" w:lineRule="auto"/>
        <w:rPr>
          <w:rFonts w:asciiTheme="majorHAnsi" w:hAnsiTheme="majorHAnsi"/>
          <w:sz w:val="21"/>
          <w:szCs w:val="21"/>
        </w:rPr>
      </w:pPr>
      <w:r w:rsidRPr="00B65FE2">
        <w:rPr>
          <w:rFonts w:asciiTheme="majorHAnsi" w:eastAsia="Times New Roman" w:hAnsiTheme="majorHAnsi" w:cs="Shruti"/>
          <w:sz w:val="21"/>
          <w:szCs w:val="21"/>
        </w:rPr>
        <w:fldChar w:fldCharType="begin">
          <w:ffData>
            <w:name w:val="Check25"/>
            <w:enabled/>
            <w:calcOnExit w:val="0"/>
            <w:checkBox>
              <w:sizeAuto/>
              <w:default w:val="0"/>
            </w:checkBox>
          </w:ffData>
        </w:fldChar>
      </w:r>
      <w:r w:rsidRPr="00B65FE2">
        <w:rPr>
          <w:rFonts w:asciiTheme="majorHAnsi" w:eastAsia="Times New Roman" w:hAnsiTheme="majorHAnsi" w:cs="Shruti"/>
          <w:sz w:val="21"/>
          <w:szCs w:val="21"/>
        </w:rPr>
        <w:instrText xml:space="preserve"> FORMCHECKBOX </w:instrText>
      </w:r>
      <w:r w:rsidR="007F55FF">
        <w:rPr>
          <w:rFonts w:asciiTheme="majorHAnsi" w:eastAsia="Times New Roman" w:hAnsiTheme="majorHAnsi" w:cs="Shruti"/>
          <w:sz w:val="21"/>
          <w:szCs w:val="21"/>
        </w:rPr>
      </w:r>
      <w:r w:rsidR="007F55FF">
        <w:rPr>
          <w:rFonts w:asciiTheme="majorHAnsi" w:eastAsia="Times New Roman" w:hAnsiTheme="majorHAnsi" w:cs="Shruti"/>
          <w:sz w:val="21"/>
          <w:szCs w:val="21"/>
        </w:rPr>
        <w:fldChar w:fldCharType="separate"/>
      </w:r>
      <w:r w:rsidRPr="00B65FE2">
        <w:rPr>
          <w:rFonts w:asciiTheme="majorHAnsi" w:eastAsia="Times New Roman" w:hAnsiTheme="majorHAnsi" w:cs="Shruti"/>
          <w:sz w:val="21"/>
          <w:szCs w:val="21"/>
        </w:rPr>
        <w:fldChar w:fldCharType="end"/>
      </w:r>
      <w:r w:rsidRPr="00B65FE2">
        <w:rPr>
          <w:rFonts w:asciiTheme="majorHAnsi" w:eastAsia="Times New Roman" w:hAnsiTheme="majorHAnsi" w:cs="Shruti"/>
          <w:sz w:val="21"/>
          <w:szCs w:val="21"/>
        </w:rPr>
        <w:t xml:space="preserve"> </w:t>
      </w:r>
      <w:r w:rsidRPr="00B65FE2">
        <w:rPr>
          <w:rFonts w:asciiTheme="majorHAnsi" w:hAnsiTheme="majorHAnsi"/>
          <w:sz w:val="21"/>
          <w:szCs w:val="21"/>
        </w:rPr>
        <w:t>6. Enforcement of laws and regulations that protect health and ensure safety</w:t>
      </w:r>
    </w:p>
    <w:p w14:paraId="0CD811FA" w14:textId="0108C7EA" w:rsidR="001E63FB" w:rsidRPr="00B65FE2" w:rsidRDefault="001E63FB">
      <w:pPr>
        <w:spacing w:line="240" w:lineRule="auto"/>
        <w:rPr>
          <w:rFonts w:asciiTheme="majorHAnsi" w:hAnsiTheme="majorHAnsi"/>
          <w:sz w:val="21"/>
          <w:szCs w:val="21"/>
        </w:rPr>
      </w:pPr>
      <w:r w:rsidRPr="00B65FE2">
        <w:rPr>
          <w:rFonts w:asciiTheme="majorHAnsi" w:eastAsia="Times New Roman" w:hAnsiTheme="majorHAnsi" w:cs="Shruti"/>
          <w:sz w:val="21"/>
          <w:szCs w:val="21"/>
        </w:rPr>
        <w:lastRenderedPageBreak/>
        <w:fldChar w:fldCharType="begin">
          <w:ffData>
            <w:name w:val="Check25"/>
            <w:enabled/>
            <w:calcOnExit w:val="0"/>
            <w:checkBox>
              <w:sizeAuto/>
              <w:default w:val="0"/>
            </w:checkBox>
          </w:ffData>
        </w:fldChar>
      </w:r>
      <w:r w:rsidRPr="00B65FE2">
        <w:rPr>
          <w:rFonts w:asciiTheme="majorHAnsi" w:eastAsia="Times New Roman" w:hAnsiTheme="majorHAnsi" w:cs="Shruti"/>
          <w:sz w:val="21"/>
          <w:szCs w:val="21"/>
        </w:rPr>
        <w:instrText xml:space="preserve"> FORMCHECKBOX </w:instrText>
      </w:r>
      <w:r w:rsidR="007F55FF">
        <w:rPr>
          <w:rFonts w:asciiTheme="majorHAnsi" w:eastAsia="Times New Roman" w:hAnsiTheme="majorHAnsi" w:cs="Shruti"/>
          <w:sz w:val="21"/>
          <w:szCs w:val="21"/>
        </w:rPr>
      </w:r>
      <w:r w:rsidR="007F55FF">
        <w:rPr>
          <w:rFonts w:asciiTheme="majorHAnsi" w:eastAsia="Times New Roman" w:hAnsiTheme="majorHAnsi" w:cs="Shruti"/>
          <w:sz w:val="21"/>
          <w:szCs w:val="21"/>
        </w:rPr>
        <w:fldChar w:fldCharType="separate"/>
      </w:r>
      <w:r w:rsidRPr="00B65FE2">
        <w:rPr>
          <w:rFonts w:asciiTheme="majorHAnsi" w:eastAsia="Times New Roman" w:hAnsiTheme="majorHAnsi" w:cs="Shruti"/>
          <w:sz w:val="21"/>
          <w:szCs w:val="21"/>
        </w:rPr>
        <w:fldChar w:fldCharType="end"/>
      </w:r>
      <w:r w:rsidRPr="00B65FE2">
        <w:rPr>
          <w:rFonts w:asciiTheme="majorHAnsi" w:eastAsia="Times New Roman" w:hAnsiTheme="majorHAnsi" w:cs="Shruti"/>
          <w:sz w:val="21"/>
          <w:szCs w:val="21"/>
        </w:rPr>
        <w:t xml:space="preserve"> </w:t>
      </w:r>
      <w:r w:rsidRPr="00B65FE2">
        <w:rPr>
          <w:rFonts w:asciiTheme="majorHAnsi" w:hAnsiTheme="majorHAnsi"/>
          <w:sz w:val="21"/>
          <w:szCs w:val="21"/>
        </w:rPr>
        <w:t>7. Linking people to needed personal health services and assu</w:t>
      </w:r>
      <w:r w:rsidR="00C426F4" w:rsidRPr="00B65FE2">
        <w:rPr>
          <w:rFonts w:asciiTheme="majorHAnsi" w:hAnsiTheme="majorHAnsi"/>
          <w:sz w:val="21"/>
          <w:szCs w:val="21"/>
        </w:rPr>
        <w:t xml:space="preserve">re the provision of health care </w:t>
      </w:r>
      <w:r w:rsidRPr="00B65FE2">
        <w:rPr>
          <w:rFonts w:asciiTheme="majorHAnsi" w:hAnsiTheme="majorHAnsi"/>
          <w:sz w:val="21"/>
          <w:szCs w:val="21"/>
        </w:rPr>
        <w:t>when otherwise unavailable</w:t>
      </w:r>
    </w:p>
    <w:p w14:paraId="5836551F" w14:textId="77777777" w:rsidR="001E63FB" w:rsidRPr="00B65FE2" w:rsidRDefault="001E63FB">
      <w:pPr>
        <w:spacing w:line="240" w:lineRule="auto"/>
        <w:rPr>
          <w:rFonts w:asciiTheme="majorHAnsi" w:hAnsiTheme="majorHAnsi"/>
          <w:sz w:val="21"/>
          <w:szCs w:val="21"/>
        </w:rPr>
      </w:pPr>
      <w:r w:rsidRPr="00B65FE2">
        <w:rPr>
          <w:rFonts w:asciiTheme="majorHAnsi" w:eastAsia="Times New Roman" w:hAnsiTheme="majorHAnsi" w:cs="Shruti"/>
          <w:sz w:val="21"/>
          <w:szCs w:val="21"/>
        </w:rPr>
        <w:fldChar w:fldCharType="begin">
          <w:ffData>
            <w:name w:val="Check25"/>
            <w:enabled/>
            <w:calcOnExit w:val="0"/>
            <w:checkBox>
              <w:sizeAuto/>
              <w:default w:val="0"/>
            </w:checkBox>
          </w:ffData>
        </w:fldChar>
      </w:r>
      <w:r w:rsidRPr="00B65FE2">
        <w:rPr>
          <w:rFonts w:asciiTheme="majorHAnsi" w:eastAsia="Times New Roman" w:hAnsiTheme="majorHAnsi" w:cs="Shruti"/>
          <w:sz w:val="21"/>
          <w:szCs w:val="21"/>
        </w:rPr>
        <w:instrText xml:space="preserve"> FORMCHECKBOX </w:instrText>
      </w:r>
      <w:r w:rsidR="007F55FF">
        <w:rPr>
          <w:rFonts w:asciiTheme="majorHAnsi" w:eastAsia="Times New Roman" w:hAnsiTheme="majorHAnsi" w:cs="Shruti"/>
          <w:sz w:val="21"/>
          <w:szCs w:val="21"/>
        </w:rPr>
      </w:r>
      <w:r w:rsidR="007F55FF">
        <w:rPr>
          <w:rFonts w:asciiTheme="majorHAnsi" w:eastAsia="Times New Roman" w:hAnsiTheme="majorHAnsi" w:cs="Shruti"/>
          <w:sz w:val="21"/>
          <w:szCs w:val="21"/>
        </w:rPr>
        <w:fldChar w:fldCharType="separate"/>
      </w:r>
      <w:r w:rsidRPr="00B65FE2">
        <w:rPr>
          <w:rFonts w:asciiTheme="majorHAnsi" w:eastAsia="Times New Roman" w:hAnsiTheme="majorHAnsi" w:cs="Shruti"/>
          <w:sz w:val="21"/>
          <w:szCs w:val="21"/>
        </w:rPr>
        <w:fldChar w:fldCharType="end"/>
      </w:r>
      <w:r w:rsidRPr="00B65FE2">
        <w:rPr>
          <w:rFonts w:asciiTheme="majorHAnsi" w:eastAsia="Times New Roman" w:hAnsiTheme="majorHAnsi" w:cs="Shruti"/>
          <w:sz w:val="21"/>
          <w:szCs w:val="21"/>
        </w:rPr>
        <w:t xml:space="preserve"> </w:t>
      </w:r>
      <w:r w:rsidRPr="00B65FE2">
        <w:rPr>
          <w:rFonts w:asciiTheme="majorHAnsi" w:hAnsiTheme="majorHAnsi"/>
          <w:sz w:val="21"/>
          <w:szCs w:val="21"/>
        </w:rPr>
        <w:t>8. Assuring a competent public health and personal health care workforce</w:t>
      </w:r>
    </w:p>
    <w:p w14:paraId="56AC34B7" w14:textId="0590C25C" w:rsidR="001E63FB" w:rsidRPr="00B65FE2" w:rsidRDefault="00113853">
      <w:pPr>
        <w:spacing w:line="240" w:lineRule="auto"/>
        <w:rPr>
          <w:rFonts w:asciiTheme="majorHAnsi" w:hAnsiTheme="majorHAnsi"/>
          <w:sz w:val="21"/>
          <w:szCs w:val="21"/>
        </w:rPr>
      </w:pPr>
      <w:r w:rsidRPr="00B65FE2">
        <w:rPr>
          <w:rFonts w:asciiTheme="majorHAnsi" w:eastAsia="Times New Roman" w:hAnsiTheme="majorHAnsi" w:cs="Shruti"/>
          <w:sz w:val="21"/>
          <w:szCs w:val="21"/>
        </w:rPr>
        <w:fldChar w:fldCharType="begin">
          <w:ffData>
            <w:name w:val=""/>
            <w:enabled/>
            <w:calcOnExit w:val="0"/>
            <w:checkBox>
              <w:sizeAuto/>
              <w:default w:val="1"/>
            </w:checkBox>
          </w:ffData>
        </w:fldChar>
      </w:r>
      <w:r w:rsidRPr="00B65FE2">
        <w:rPr>
          <w:rFonts w:asciiTheme="majorHAnsi" w:eastAsia="Times New Roman" w:hAnsiTheme="majorHAnsi" w:cs="Shruti"/>
          <w:sz w:val="21"/>
          <w:szCs w:val="21"/>
        </w:rPr>
        <w:instrText xml:space="preserve"> FORMCHECKBOX </w:instrText>
      </w:r>
      <w:r w:rsidR="007F55FF">
        <w:rPr>
          <w:rFonts w:asciiTheme="majorHAnsi" w:eastAsia="Times New Roman" w:hAnsiTheme="majorHAnsi" w:cs="Shruti"/>
          <w:sz w:val="21"/>
          <w:szCs w:val="21"/>
        </w:rPr>
      </w:r>
      <w:r w:rsidR="007F55FF">
        <w:rPr>
          <w:rFonts w:asciiTheme="majorHAnsi" w:eastAsia="Times New Roman" w:hAnsiTheme="majorHAnsi" w:cs="Shruti"/>
          <w:sz w:val="21"/>
          <w:szCs w:val="21"/>
        </w:rPr>
        <w:fldChar w:fldCharType="separate"/>
      </w:r>
      <w:r w:rsidRPr="00B65FE2">
        <w:rPr>
          <w:rFonts w:asciiTheme="majorHAnsi" w:eastAsia="Times New Roman" w:hAnsiTheme="majorHAnsi" w:cs="Shruti"/>
          <w:sz w:val="21"/>
          <w:szCs w:val="21"/>
        </w:rPr>
        <w:fldChar w:fldCharType="end"/>
      </w:r>
      <w:r w:rsidR="001E63FB" w:rsidRPr="00B65FE2">
        <w:rPr>
          <w:rFonts w:asciiTheme="majorHAnsi" w:eastAsia="Times New Roman" w:hAnsiTheme="majorHAnsi" w:cs="Shruti"/>
          <w:sz w:val="21"/>
          <w:szCs w:val="21"/>
        </w:rPr>
        <w:t xml:space="preserve"> </w:t>
      </w:r>
      <w:r w:rsidR="001E63FB" w:rsidRPr="00B65FE2">
        <w:rPr>
          <w:rFonts w:asciiTheme="majorHAnsi" w:hAnsiTheme="majorHAnsi"/>
          <w:sz w:val="21"/>
          <w:szCs w:val="21"/>
        </w:rPr>
        <w:t>9. Evaluating effectiveness, accessibility, and quality of personal and population-based healt</w:t>
      </w:r>
      <w:r w:rsidR="00C426F4" w:rsidRPr="00B65FE2">
        <w:rPr>
          <w:rFonts w:asciiTheme="majorHAnsi" w:hAnsiTheme="majorHAnsi"/>
          <w:sz w:val="21"/>
          <w:szCs w:val="21"/>
        </w:rPr>
        <w:t>h</w:t>
      </w:r>
      <w:r w:rsidR="001E63FB" w:rsidRPr="00B65FE2">
        <w:rPr>
          <w:rFonts w:asciiTheme="majorHAnsi" w:hAnsiTheme="majorHAnsi"/>
          <w:sz w:val="21"/>
          <w:szCs w:val="21"/>
        </w:rPr>
        <w:t xml:space="preserve"> services</w:t>
      </w:r>
    </w:p>
    <w:p w14:paraId="381422F6" w14:textId="6164D9BF" w:rsidR="00C426F4" w:rsidRPr="00B65FE2" w:rsidRDefault="001E63FB">
      <w:pPr>
        <w:spacing w:line="240" w:lineRule="auto"/>
        <w:rPr>
          <w:rFonts w:asciiTheme="majorHAnsi" w:hAnsiTheme="majorHAnsi"/>
          <w:sz w:val="21"/>
          <w:szCs w:val="21"/>
        </w:rPr>
      </w:pPr>
      <w:r w:rsidRPr="00B65FE2">
        <w:rPr>
          <w:rFonts w:asciiTheme="majorHAnsi" w:eastAsia="Times New Roman" w:hAnsiTheme="majorHAnsi" w:cs="Shruti"/>
          <w:sz w:val="21"/>
          <w:szCs w:val="21"/>
        </w:rPr>
        <w:fldChar w:fldCharType="begin">
          <w:ffData>
            <w:name w:val="Check25"/>
            <w:enabled/>
            <w:calcOnExit w:val="0"/>
            <w:checkBox>
              <w:sizeAuto/>
              <w:default w:val="0"/>
            </w:checkBox>
          </w:ffData>
        </w:fldChar>
      </w:r>
      <w:r w:rsidRPr="00B65FE2">
        <w:rPr>
          <w:rFonts w:asciiTheme="majorHAnsi" w:eastAsia="Times New Roman" w:hAnsiTheme="majorHAnsi" w:cs="Shruti"/>
          <w:sz w:val="21"/>
          <w:szCs w:val="21"/>
        </w:rPr>
        <w:instrText xml:space="preserve"> FORMCHECKBOX </w:instrText>
      </w:r>
      <w:r w:rsidR="007F55FF">
        <w:rPr>
          <w:rFonts w:asciiTheme="majorHAnsi" w:eastAsia="Times New Roman" w:hAnsiTheme="majorHAnsi" w:cs="Shruti"/>
          <w:sz w:val="21"/>
          <w:szCs w:val="21"/>
        </w:rPr>
      </w:r>
      <w:r w:rsidR="007F55FF">
        <w:rPr>
          <w:rFonts w:asciiTheme="majorHAnsi" w:eastAsia="Times New Roman" w:hAnsiTheme="majorHAnsi" w:cs="Shruti"/>
          <w:sz w:val="21"/>
          <w:szCs w:val="21"/>
        </w:rPr>
        <w:fldChar w:fldCharType="separate"/>
      </w:r>
      <w:r w:rsidRPr="00B65FE2">
        <w:rPr>
          <w:rFonts w:asciiTheme="majorHAnsi" w:eastAsia="Times New Roman" w:hAnsiTheme="majorHAnsi" w:cs="Shruti"/>
          <w:sz w:val="21"/>
          <w:szCs w:val="21"/>
        </w:rPr>
        <w:fldChar w:fldCharType="end"/>
      </w:r>
      <w:r w:rsidRPr="00B65FE2">
        <w:rPr>
          <w:rFonts w:asciiTheme="majorHAnsi" w:eastAsia="Times New Roman" w:hAnsiTheme="majorHAnsi" w:cs="Shruti"/>
          <w:sz w:val="21"/>
          <w:szCs w:val="21"/>
        </w:rPr>
        <w:t xml:space="preserve"> </w:t>
      </w:r>
      <w:r w:rsidRPr="00B65FE2">
        <w:rPr>
          <w:rFonts w:asciiTheme="majorHAnsi" w:hAnsiTheme="majorHAnsi"/>
          <w:sz w:val="21"/>
          <w:szCs w:val="21"/>
        </w:rPr>
        <w:t>10. Research for new insights and innovative solutions to health problems</w:t>
      </w:r>
      <w:r w:rsidRPr="00B65FE2">
        <w:rPr>
          <w:rFonts w:asciiTheme="majorHAnsi" w:hAnsiTheme="majorHAnsi"/>
          <w:iCs/>
          <w:sz w:val="21"/>
          <w:szCs w:val="21"/>
          <w:vertAlign w:val="superscript"/>
        </w:rPr>
        <w:t xml:space="preserve"> 1</w:t>
      </w:r>
    </w:p>
    <w:p w14:paraId="4956AC09" w14:textId="77777777" w:rsidR="004259F0" w:rsidRDefault="00A44452" w:rsidP="00072D57">
      <w:pPr>
        <w:rPr>
          <w:rFonts w:asciiTheme="majorHAnsi" w:hAnsiTheme="majorHAnsi"/>
        </w:rPr>
      </w:pPr>
      <w:r>
        <w:rPr>
          <w:rFonts w:asciiTheme="majorHAnsi" w:hAnsiTheme="majorHAnsi"/>
        </w:rPr>
        <w:t>I</w:t>
      </w:r>
      <w:r w:rsidRPr="00D23089">
        <w:rPr>
          <w:rFonts w:asciiTheme="majorHAnsi" w:hAnsiTheme="majorHAnsi"/>
        </w:rPr>
        <w:t xml:space="preserve">n 2010 </w:t>
      </w:r>
      <w:r>
        <w:rPr>
          <w:rFonts w:asciiTheme="majorHAnsi" w:hAnsiTheme="majorHAnsi"/>
        </w:rPr>
        <w:t>m</w:t>
      </w:r>
      <w:r w:rsidR="00913A34" w:rsidRPr="00D23089">
        <w:rPr>
          <w:rFonts w:asciiTheme="majorHAnsi" w:hAnsiTheme="majorHAnsi"/>
        </w:rPr>
        <w:t>ore than</w:t>
      </w:r>
      <w:r w:rsidR="003478E1" w:rsidRPr="00D23089">
        <w:rPr>
          <w:rFonts w:asciiTheme="majorHAnsi" w:hAnsiTheme="majorHAnsi"/>
        </w:rPr>
        <w:t xml:space="preserve"> 4</w:t>
      </w:r>
      <w:r w:rsidR="00913A34" w:rsidRPr="00D23089">
        <w:rPr>
          <w:rFonts w:asciiTheme="majorHAnsi" w:hAnsiTheme="majorHAnsi"/>
        </w:rPr>
        <w:t>4</w:t>
      </w:r>
      <w:r w:rsidR="003478E1" w:rsidRPr="00D23089">
        <w:rPr>
          <w:rFonts w:asciiTheme="majorHAnsi" w:hAnsiTheme="majorHAnsi"/>
        </w:rPr>
        <w:t xml:space="preserve"> million people (</w:t>
      </w:r>
      <w:r w:rsidR="00913A34" w:rsidRPr="00D23089">
        <w:rPr>
          <w:rFonts w:asciiTheme="majorHAnsi" w:hAnsiTheme="majorHAnsi"/>
        </w:rPr>
        <w:t>&gt;</w:t>
      </w:r>
      <w:r w:rsidR="003478E1" w:rsidRPr="00D23089">
        <w:rPr>
          <w:rFonts w:asciiTheme="majorHAnsi" w:hAnsiTheme="majorHAnsi"/>
        </w:rPr>
        <w:t xml:space="preserve">14 percent of the U.S. population) </w:t>
      </w:r>
      <w:r w:rsidR="00B35A66" w:rsidRPr="00D23089">
        <w:rPr>
          <w:rFonts w:asciiTheme="majorHAnsi" w:hAnsiTheme="majorHAnsi"/>
        </w:rPr>
        <w:t>us</w:t>
      </w:r>
      <w:r w:rsidR="004E22B8" w:rsidRPr="00D23089">
        <w:rPr>
          <w:rFonts w:asciiTheme="majorHAnsi" w:hAnsiTheme="majorHAnsi"/>
        </w:rPr>
        <w:t xml:space="preserve">ed </w:t>
      </w:r>
      <w:r w:rsidR="00B35A66" w:rsidRPr="00D23089">
        <w:rPr>
          <w:rFonts w:asciiTheme="majorHAnsi" w:hAnsiTheme="majorHAnsi"/>
        </w:rPr>
        <w:t xml:space="preserve">private (non-public) </w:t>
      </w:r>
      <w:r w:rsidR="004E22B8" w:rsidRPr="00D23089">
        <w:rPr>
          <w:rFonts w:asciiTheme="majorHAnsi" w:hAnsiTheme="majorHAnsi"/>
        </w:rPr>
        <w:t xml:space="preserve">drinking water </w:t>
      </w:r>
      <w:r w:rsidR="00913A34" w:rsidRPr="00D23089">
        <w:rPr>
          <w:rFonts w:asciiTheme="majorHAnsi" w:hAnsiTheme="majorHAnsi"/>
        </w:rPr>
        <w:t>systems</w:t>
      </w:r>
      <w:r w:rsidR="00B35A66" w:rsidRPr="00D23089">
        <w:rPr>
          <w:rFonts w:asciiTheme="majorHAnsi" w:hAnsiTheme="majorHAnsi"/>
        </w:rPr>
        <w:t xml:space="preserve"> </w:t>
      </w:r>
      <w:r w:rsidR="008755EC">
        <w:rPr>
          <w:rFonts w:asciiTheme="majorHAnsi" w:hAnsiTheme="majorHAnsi"/>
        </w:rPr>
        <w:t>with</w:t>
      </w:r>
      <w:r w:rsidR="00D049FE" w:rsidRPr="00D23089">
        <w:rPr>
          <w:rFonts w:asciiTheme="majorHAnsi" w:hAnsiTheme="majorHAnsi"/>
        </w:rPr>
        <w:t xml:space="preserve"> </w:t>
      </w:r>
      <w:r w:rsidR="00DE54EB" w:rsidRPr="00D23089">
        <w:rPr>
          <w:rFonts w:asciiTheme="majorHAnsi" w:hAnsiTheme="majorHAnsi"/>
        </w:rPr>
        <w:t>groundwater as their source</w:t>
      </w:r>
      <w:r w:rsidR="00B35A66" w:rsidRPr="00D23089">
        <w:rPr>
          <w:rFonts w:asciiTheme="majorHAnsi" w:hAnsiTheme="majorHAnsi"/>
        </w:rPr>
        <w:t>, mostly private wells</w:t>
      </w:r>
      <w:r w:rsidR="003478E1" w:rsidRPr="00D23089">
        <w:rPr>
          <w:rFonts w:asciiTheme="majorHAnsi" w:hAnsiTheme="majorHAnsi"/>
        </w:rPr>
        <w:t>.</w:t>
      </w:r>
      <w:r w:rsidR="003478E1" w:rsidRPr="00D23089">
        <w:rPr>
          <w:rFonts w:asciiTheme="majorHAnsi" w:hAnsiTheme="majorHAnsi"/>
          <w:vertAlign w:val="superscript"/>
        </w:rPr>
        <w:t>2</w:t>
      </w:r>
      <w:r w:rsidR="003478E1" w:rsidRPr="00D23089">
        <w:rPr>
          <w:rFonts w:asciiTheme="majorHAnsi" w:hAnsiTheme="majorHAnsi"/>
        </w:rPr>
        <w:t xml:space="preserve"> </w:t>
      </w:r>
      <w:r w:rsidR="00D049FE">
        <w:rPr>
          <w:rFonts w:asciiTheme="majorHAnsi" w:hAnsiTheme="majorHAnsi"/>
        </w:rPr>
        <w:t xml:space="preserve"> </w:t>
      </w:r>
      <w:r w:rsidR="00204BE5" w:rsidRPr="00D23089">
        <w:rPr>
          <w:rFonts w:asciiTheme="majorHAnsi" w:hAnsiTheme="majorHAnsi"/>
        </w:rPr>
        <w:t xml:space="preserve">Private drinking water systems are those that have &lt;15 service connections or serve &lt;25 people. </w:t>
      </w:r>
      <w:r w:rsidR="003412D7" w:rsidRPr="00C91831">
        <w:rPr>
          <w:rFonts w:asciiTheme="majorHAnsi" w:hAnsiTheme="majorHAnsi"/>
        </w:rPr>
        <w:t xml:space="preserve">Unlike public water systems, which are regulated by the U.S. Environmental Protection Agency’s (EPA) Safe </w:t>
      </w:r>
      <w:r w:rsidR="003412D7" w:rsidRPr="00C91831">
        <w:rPr>
          <w:rFonts w:asciiTheme="majorHAnsi" w:hAnsiTheme="majorHAnsi"/>
        </w:rPr>
        <w:lastRenderedPageBreak/>
        <w:t xml:space="preserve">Drinking Water Act (SDWA), there is currently no national </w:t>
      </w:r>
      <w:r w:rsidR="00E02738">
        <w:rPr>
          <w:rFonts w:asciiTheme="majorHAnsi" w:hAnsiTheme="majorHAnsi"/>
        </w:rPr>
        <w:t xml:space="preserve">water quality </w:t>
      </w:r>
      <w:r w:rsidR="003412D7" w:rsidRPr="00C91831">
        <w:rPr>
          <w:rFonts w:asciiTheme="majorHAnsi" w:hAnsiTheme="majorHAnsi"/>
        </w:rPr>
        <w:t xml:space="preserve">monitoring program for private systems to ensure that the water they supply is safe to drink. </w:t>
      </w:r>
    </w:p>
    <w:p w14:paraId="6B5ACA9B" w14:textId="74291FCC" w:rsidR="00467B64" w:rsidRDefault="004259F0" w:rsidP="00072D57">
      <w:pPr>
        <w:rPr>
          <w:rFonts w:asciiTheme="majorHAnsi" w:hAnsiTheme="majorHAnsi" w:cs="TimesNewRomanPSMT"/>
        </w:rPr>
      </w:pPr>
      <w:r>
        <w:rPr>
          <w:rFonts w:asciiTheme="majorHAnsi" w:hAnsiTheme="majorHAnsi"/>
        </w:rPr>
        <w:t>From 1991-2001, t</w:t>
      </w:r>
      <w:r w:rsidR="00056E94" w:rsidRPr="00D23089">
        <w:rPr>
          <w:rFonts w:asciiTheme="majorHAnsi" w:hAnsiTheme="majorHAnsi"/>
        </w:rPr>
        <w:t xml:space="preserve">he U.S. Geological Survey (USGS) implemented the National Water-Quality Assessment (NAWQA) Program to support information needs and decision making related to </w:t>
      </w:r>
      <w:r w:rsidR="00467B64">
        <w:rPr>
          <w:rFonts w:asciiTheme="majorHAnsi" w:hAnsiTheme="majorHAnsi"/>
        </w:rPr>
        <w:t>ground</w:t>
      </w:r>
      <w:r w:rsidR="00056E94" w:rsidRPr="00D23089">
        <w:rPr>
          <w:rFonts w:asciiTheme="majorHAnsi" w:hAnsiTheme="majorHAnsi"/>
        </w:rPr>
        <w:t>water-quality management and policy.</w:t>
      </w:r>
      <w:r w:rsidR="00056E94" w:rsidRPr="00D23089">
        <w:rPr>
          <w:rFonts w:asciiTheme="majorHAnsi" w:hAnsiTheme="majorHAnsi"/>
          <w:vertAlign w:val="superscript"/>
        </w:rPr>
        <w:t>3</w:t>
      </w:r>
      <w:r w:rsidR="00056E94" w:rsidRPr="00D23089">
        <w:rPr>
          <w:rFonts w:asciiTheme="majorHAnsi" w:hAnsiTheme="majorHAnsi"/>
        </w:rPr>
        <w:t xml:space="preserve"> </w:t>
      </w:r>
      <w:r>
        <w:rPr>
          <w:rFonts w:asciiTheme="majorHAnsi" w:hAnsiTheme="majorHAnsi"/>
        </w:rPr>
        <w:t xml:space="preserve">During this time, the </w:t>
      </w:r>
      <w:r w:rsidR="00467B64">
        <w:rPr>
          <w:rFonts w:asciiTheme="majorHAnsi" w:hAnsiTheme="majorHAnsi" w:cs="TimesNewRomanPSMT"/>
        </w:rPr>
        <w:t>p</w:t>
      </w:r>
      <w:r w:rsidR="00056E94">
        <w:rPr>
          <w:rFonts w:asciiTheme="majorHAnsi" w:hAnsiTheme="majorHAnsi" w:cs="TimesNewRomanPSMT"/>
        </w:rPr>
        <w:t xml:space="preserve">rogram </w:t>
      </w:r>
      <w:r>
        <w:rPr>
          <w:rFonts w:asciiTheme="majorHAnsi" w:hAnsiTheme="majorHAnsi" w:cs="TimesNewRomanPSMT"/>
        </w:rPr>
        <w:t>collected data on</w:t>
      </w:r>
      <w:r w:rsidR="00056E94">
        <w:rPr>
          <w:rFonts w:asciiTheme="majorHAnsi" w:hAnsiTheme="majorHAnsi" w:cs="TimesNewRomanPSMT"/>
        </w:rPr>
        <w:t xml:space="preserve"> </w:t>
      </w:r>
      <w:r w:rsidR="00056E94">
        <w:rPr>
          <w:rFonts w:asciiTheme="majorHAnsi" w:hAnsiTheme="majorHAnsi"/>
        </w:rPr>
        <w:t>1,389</w:t>
      </w:r>
      <w:r w:rsidR="00056E94" w:rsidRPr="00D23089">
        <w:rPr>
          <w:rFonts w:asciiTheme="majorHAnsi" w:hAnsiTheme="majorHAnsi"/>
        </w:rPr>
        <w:t xml:space="preserve"> </w:t>
      </w:r>
      <w:r w:rsidR="00056E94">
        <w:rPr>
          <w:rFonts w:asciiTheme="majorHAnsi" w:hAnsiTheme="majorHAnsi"/>
        </w:rPr>
        <w:t xml:space="preserve">out of the 2,167 sampled </w:t>
      </w:r>
      <w:r w:rsidR="00056E94" w:rsidRPr="00D23089">
        <w:rPr>
          <w:rFonts w:asciiTheme="majorHAnsi" w:hAnsiTheme="majorHAnsi"/>
        </w:rPr>
        <w:t>wells</w:t>
      </w:r>
      <w:r w:rsidR="00056E94">
        <w:rPr>
          <w:rFonts w:asciiTheme="majorHAnsi" w:hAnsiTheme="majorHAnsi"/>
        </w:rPr>
        <w:t xml:space="preserve"> in </w:t>
      </w:r>
      <w:r w:rsidR="00056E94" w:rsidRPr="008D15C6">
        <w:rPr>
          <w:rFonts w:asciiTheme="majorHAnsi" w:hAnsiTheme="majorHAnsi"/>
        </w:rPr>
        <w:t xml:space="preserve">30 </w:t>
      </w:r>
      <w:r w:rsidR="00056E94">
        <w:rPr>
          <w:rFonts w:asciiTheme="majorHAnsi" w:hAnsiTheme="majorHAnsi"/>
        </w:rPr>
        <w:t xml:space="preserve">U.S. </w:t>
      </w:r>
      <w:r w:rsidR="00056E94" w:rsidRPr="008D15C6">
        <w:rPr>
          <w:rFonts w:asciiTheme="majorHAnsi" w:hAnsiTheme="majorHAnsi"/>
        </w:rPr>
        <w:t>regionally</w:t>
      </w:r>
      <w:r w:rsidR="00056E94">
        <w:rPr>
          <w:rFonts w:asciiTheme="majorHAnsi" w:hAnsiTheme="majorHAnsi"/>
        </w:rPr>
        <w:t xml:space="preserve"> </w:t>
      </w:r>
      <w:r w:rsidR="00056E94" w:rsidRPr="008D15C6">
        <w:rPr>
          <w:rFonts w:asciiTheme="majorHAnsi" w:hAnsiTheme="majorHAnsi"/>
        </w:rPr>
        <w:t>extensive aquifers used for water supp</w:t>
      </w:r>
      <w:r w:rsidR="00056E94">
        <w:rPr>
          <w:rFonts w:asciiTheme="majorHAnsi" w:hAnsiTheme="majorHAnsi"/>
        </w:rPr>
        <w:t>ly. Tests revealed that about 23 percent of the samples</w:t>
      </w:r>
      <w:r w:rsidR="00056E94" w:rsidRPr="00D23089">
        <w:rPr>
          <w:rFonts w:asciiTheme="majorHAnsi" w:hAnsiTheme="majorHAnsi"/>
        </w:rPr>
        <w:t xml:space="preserve"> </w:t>
      </w:r>
      <w:r w:rsidR="00056E94" w:rsidRPr="008D15C6">
        <w:rPr>
          <w:rFonts w:asciiTheme="majorHAnsi" w:hAnsiTheme="majorHAnsi"/>
        </w:rPr>
        <w:t xml:space="preserve">had at least </w:t>
      </w:r>
      <w:r w:rsidR="00056E94">
        <w:rPr>
          <w:rFonts w:asciiTheme="majorHAnsi" w:hAnsiTheme="majorHAnsi"/>
        </w:rPr>
        <w:t>one</w:t>
      </w:r>
      <w:r w:rsidR="00056E94" w:rsidRPr="008D15C6">
        <w:rPr>
          <w:rFonts w:asciiTheme="majorHAnsi" w:hAnsiTheme="majorHAnsi"/>
        </w:rPr>
        <w:t xml:space="preserve"> contaminant present at con</w:t>
      </w:r>
      <w:r w:rsidR="00056E94" w:rsidRPr="00D23089">
        <w:rPr>
          <w:rFonts w:asciiTheme="majorHAnsi" w:hAnsiTheme="majorHAnsi"/>
        </w:rPr>
        <w:t xml:space="preserve">centration greater than </w:t>
      </w:r>
      <w:r w:rsidR="00056E94" w:rsidRPr="008D15C6">
        <w:rPr>
          <w:rFonts w:asciiTheme="majorHAnsi" w:hAnsiTheme="majorHAnsi"/>
        </w:rPr>
        <w:t>water-quality benchmarks for human health</w:t>
      </w:r>
      <w:r w:rsidR="00056E94" w:rsidRPr="00D23089">
        <w:rPr>
          <w:rFonts w:asciiTheme="majorHAnsi" w:hAnsiTheme="majorHAnsi"/>
        </w:rPr>
        <w:t>.</w:t>
      </w:r>
      <w:r w:rsidR="00056E94" w:rsidRPr="00D23089">
        <w:rPr>
          <w:rFonts w:asciiTheme="majorHAnsi" w:hAnsiTheme="majorHAnsi"/>
          <w:vertAlign w:val="superscript"/>
        </w:rPr>
        <w:t>4</w:t>
      </w:r>
      <w:r w:rsidR="00056E94" w:rsidRPr="00D23089">
        <w:rPr>
          <w:rFonts w:asciiTheme="majorHAnsi" w:hAnsiTheme="majorHAnsi"/>
        </w:rPr>
        <w:t xml:space="preserve"> </w:t>
      </w:r>
    </w:p>
    <w:p w14:paraId="40EE04EA" w14:textId="6F54DE42" w:rsidR="00467B64" w:rsidRPr="00780D3E" w:rsidRDefault="00467B64" w:rsidP="00072D57">
      <w:pPr>
        <w:rPr>
          <w:rFonts w:asciiTheme="majorHAnsi" w:hAnsiTheme="majorHAnsi" w:cs="TimesNewRomanPSMT"/>
        </w:rPr>
      </w:pPr>
      <w:r w:rsidRPr="00C91831">
        <w:rPr>
          <w:rFonts w:asciiTheme="majorHAnsi" w:hAnsiTheme="majorHAnsi"/>
        </w:rPr>
        <w:t>Local, state, and territorial health departments in the United States use the National Outbreak Reporting System (NORS) to report waterborne and foodborne disease outbreaks and enteric disease outbreaks transmitted by contact with environmental sources, infected persons or animals, or un</w:t>
      </w:r>
      <w:r w:rsidRPr="00C91831">
        <w:rPr>
          <w:rFonts w:asciiTheme="majorHAnsi" w:hAnsiTheme="majorHAnsi"/>
        </w:rPr>
        <w:lastRenderedPageBreak/>
        <w:t>known modes of transmission to the CDC.</w:t>
      </w:r>
      <w:r w:rsidR="00780D3E" w:rsidRPr="009F256A">
        <w:rPr>
          <w:rFonts w:asciiTheme="majorHAnsi" w:hAnsiTheme="majorHAnsi"/>
          <w:vertAlign w:val="superscript"/>
        </w:rPr>
        <w:t>5</w:t>
      </w:r>
      <w:r w:rsidRPr="00C91831">
        <w:rPr>
          <w:rFonts w:asciiTheme="majorHAnsi" w:hAnsiTheme="majorHAnsi"/>
        </w:rPr>
        <w:t xml:space="preserve"> However, outbreak information for private drinking water systems is not readily available through NORS. Also, the nomenclature </w:t>
      </w:r>
      <w:r w:rsidR="003370A9">
        <w:rPr>
          <w:rFonts w:asciiTheme="majorHAnsi" w:hAnsiTheme="majorHAnsi"/>
        </w:rPr>
        <w:t xml:space="preserve">used </w:t>
      </w:r>
      <w:r w:rsidRPr="00C91831">
        <w:rPr>
          <w:rFonts w:asciiTheme="majorHAnsi" w:hAnsiTheme="majorHAnsi"/>
        </w:rPr>
        <w:t xml:space="preserve">to describe these systems is inconsistent making literature searches difficult. </w:t>
      </w:r>
      <w:r w:rsidR="00780D3E">
        <w:rPr>
          <w:rFonts w:asciiTheme="majorHAnsi" w:hAnsiTheme="majorHAnsi"/>
        </w:rPr>
        <w:t>Wat</w:t>
      </w:r>
      <w:r w:rsidRPr="00D23089">
        <w:rPr>
          <w:rFonts w:asciiTheme="majorHAnsi" w:hAnsiTheme="majorHAnsi"/>
        </w:rPr>
        <w:t>er</w:t>
      </w:r>
      <w:r w:rsidR="00780D3E">
        <w:rPr>
          <w:rFonts w:asciiTheme="majorHAnsi" w:hAnsiTheme="majorHAnsi"/>
        </w:rPr>
        <w:t xml:space="preserve"> quality</w:t>
      </w:r>
      <w:r w:rsidRPr="00D23089">
        <w:rPr>
          <w:rFonts w:asciiTheme="majorHAnsi" w:hAnsiTheme="majorHAnsi"/>
        </w:rPr>
        <w:t xml:space="preserve"> assessments </w:t>
      </w:r>
      <w:r w:rsidR="00780D3E">
        <w:rPr>
          <w:rFonts w:asciiTheme="majorHAnsi" w:hAnsiTheme="majorHAnsi"/>
        </w:rPr>
        <w:t>for private wells have focused on assess</w:t>
      </w:r>
      <w:r w:rsidRPr="00D23089">
        <w:rPr>
          <w:rFonts w:asciiTheme="majorHAnsi" w:hAnsiTheme="majorHAnsi"/>
        </w:rPr>
        <w:t>ing risk</w:t>
      </w:r>
      <w:r w:rsidR="00780D3E">
        <w:rPr>
          <w:rFonts w:asciiTheme="majorHAnsi" w:hAnsiTheme="majorHAnsi"/>
        </w:rPr>
        <w:t>s that have</w:t>
      </w:r>
      <w:r w:rsidRPr="00D23089">
        <w:rPr>
          <w:rFonts w:asciiTheme="majorHAnsi" w:hAnsiTheme="majorHAnsi"/>
        </w:rPr>
        <w:t xml:space="preserve"> already been identified.</w:t>
      </w:r>
      <w:r w:rsidR="00780D3E" w:rsidRPr="009F256A">
        <w:rPr>
          <w:rFonts w:asciiTheme="majorHAnsi" w:hAnsiTheme="majorHAnsi"/>
          <w:vertAlign w:val="superscript"/>
        </w:rPr>
        <w:t>6</w:t>
      </w:r>
      <w:r w:rsidRPr="009F256A">
        <w:rPr>
          <w:rFonts w:asciiTheme="majorHAnsi" w:hAnsiTheme="majorHAnsi"/>
          <w:vertAlign w:val="superscript"/>
        </w:rPr>
        <w:t>-</w:t>
      </w:r>
      <w:r w:rsidR="00780D3E" w:rsidRPr="009F256A">
        <w:rPr>
          <w:rFonts w:asciiTheme="majorHAnsi" w:hAnsiTheme="majorHAnsi"/>
          <w:vertAlign w:val="superscript"/>
        </w:rPr>
        <w:t>9</w:t>
      </w:r>
      <w:r w:rsidR="00780D3E">
        <w:rPr>
          <w:rFonts w:asciiTheme="majorHAnsi" w:hAnsiTheme="majorHAnsi"/>
          <w:vertAlign w:val="superscript"/>
        </w:rPr>
        <w:t xml:space="preserve"> </w:t>
      </w:r>
    </w:p>
    <w:p w14:paraId="65F060B9" w14:textId="00882ADD" w:rsidR="00F60EC3" w:rsidRPr="00620C76" w:rsidRDefault="00F60EC3" w:rsidP="00072D57">
      <w:pPr>
        <w:rPr>
          <w:rFonts w:asciiTheme="majorHAnsi" w:hAnsiTheme="majorHAnsi"/>
        </w:rPr>
      </w:pPr>
      <w:r w:rsidRPr="00620C76">
        <w:rPr>
          <w:rFonts w:asciiTheme="majorHAnsi" w:hAnsiTheme="majorHAnsi" w:cs="TimesNewRomanPSMT"/>
        </w:rPr>
        <w:t>STLT public health departments are</w:t>
      </w:r>
      <w:r w:rsidR="00587D5F">
        <w:rPr>
          <w:rFonts w:asciiTheme="majorHAnsi" w:hAnsiTheme="majorHAnsi" w:cs="TimesNewRomanPSMT"/>
        </w:rPr>
        <w:t xml:space="preserve"> </w:t>
      </w:r>
      <w:r w:rsidR="00933A1B">
        <w:rPr>
          <w:rFonts w:asciiTheme="majorHAnsi" w:hAnsiTheme="majorHAnsi" w:cs="TimesNewRomanPSMT"/>
        </w:rPr>
        <w:t xml:space="preserve">currently </w:t>
      </w:r>
      <w:r w:rsidRPr="00620C76">
        <w:rPr>
          <w:rFonts w:asciiTheme="majorHAnsi" w:hAnsiTheme="majorHAnsi" w:cs="TimesNewRomanPSMT"/>
        </w:rPr>
        <w:t xml:space="preserve">the only </w:t>
      </w:r>
      <w:r w:rsidR="0019390A">
        <w:rPr>
          <w:rFonts w:asciiTheme="majorHAnsi" w:hAnsiTheme="majorHAnsi" w:cs="TimesNewRomanPSMT"/>
        </w:rPr>
        <w:t>entiti</w:t>
      </w:r>
      <w:r w:rsidR="00933A1B">
        <w:rPr>
          <w:rFonts w:asciiTheme="majorHAnsi" w:hAnsiTheme="majorHAnsi" w:cs="TimesNewRomanPSMT"/>
        </w:rPr>
        <w:t>es</w:t>
      </w:r>
      <w:r w:rsidR="00933A1B" w:rsidRPr="00620C76">
        <w:rPr>
          <w:rFonts w:asciiTheme="majorHAnsi" w:hAnsiTheme="majorHAnsi" w:cs="TimesNewRomanPSMT"/>
        </w:rPr>
        <w:t xml:space="preserve"> </w:t>
      </w:r>
      <w:r w:rsidRPr="00620C76">
        <w:rPr>
          <w:rFonts w:asciiTheme="majorHAnsi" w:hAnsiTheme="majorHAnsi" w:cs="TimesNewRomanPSMT"/>
        </w:rPr>
        <w:t>working to protect the health and well-being of co</w:t>
      </w:r>
      <w:r w:rsidRPr="00FB7D74">
        <w:rPr>
          <w:rFonts w:asciiTheme="majorHAnsi" w:hAnsiTheme="majorHAnsi" w:cs="TimesNewRomanPSMT"/>
        </w:rPr>
        <w:t xml:space="preserve">mmunity household members that rely on </w:t>
      </w:r>
      <w:r w:rsidR="00A03625" w:rsidRPr="00FB7D74">
        <w:rPr>
          <w:rFonts w:asciiTheme="majorHAnsi" w:hAnsiTheme="majorHAnsi" w:cs="TimesNewRomanPSMT"/>
        </w:rPr>
        <w:t>private</w:t>
      </w:r>
      <w:r w:rsidRPr="00FB7D74">
        <w:rPr>
          <w:rFonts w:asciiTheme="majorHAnsi" w:hAnsiTheme="majorHAnsi" w:cs="TimesNewRomanPSMT"/>
        </w:rPr>
        <w:t xml:space="preserve"> </w:t>
      </w:r>
      <w:r w:rsidR="00D4256B" w:rsidRPr="00FB7D74">
        <w:rPr>
          <w:rFonts w:asciiTheme="majorHAnsi" w:hAnsiTheme="majorHAnsi" w:cs="TimesNewRomanPSMT"/>
        </w:rPr>
        <w:t xml:space="preserve">drinking water </w:t>
      </w:r>
      <w:r w:rsidRPr="00FB7D74">
        <w:rPr>
          <w:rFonts w:asciiTheme="majorHAnsi" w:hAnsiTheme="majorHAnsi" w:cs="TimesNewRomanPSMT"/>
        </w:rPr>
        <w:t xml:space="preserve">systems. State laws and regulations for private wells vary widely and focus only on licensing the entities that construct wells and the construction of wells. </w:t>
      </w:r>
      <w:r w:rsidR="00210280" w:rsidRPr="00FB7D74">
        <w:rPr>
          <w:rFonts w:asciiTheme="majorHAnsi" w:hAnsiTheme="majorHAnsi" w:cs="TimesNewRomanPSMT"/>
        </w:rPr>
        <w:t>M</w:t>
      </w:r>
      <w:r w:rsidR="00D73032" w:rsidRPr="00FB7D74">
        <w:rPr>
          <w:rFonts w:asciiTheme="majorHAnsi" w:hAnsiTheme="majorHAnsi" w:cs="TimesNewRomanPSMT"/>
        </w:rPr>
        <w:t xml:space="preserve">ore </w:t>
      </w:r>
      <w:r w:rsidRPr="00FB7D74">
        <w:rPr>
          <w:rFonts w:asciiTheme="majorHAnsi" w:hAnsiTheme="majorHAnsi" w:cs="TimesNewRomanPSMT"/>
        </w:rPr>
        <w:t>than half of states in the U.S. do not require testing of private wells after they are constructed.</w:t>
      </w:r>
      <w:r w:rsidRPr="00620C76">
        <w:rPr>
          <w:rFonts w:asciiTheme="majorHAnsi" w:hAnsiTheme="majorHAnsi" w:cs="TimesNewRomanPSMT"/>
        </w:rPr>
        <w:t xml:space="preserve"> </w:t>
      </w:r>
      <w:r w:rsidR="009B5B10">
        <w:rPr>
          <w:rFonts w:asciiTheme="majorHAnsi" w:hAnsiTheme="majorHAnsi" w:cs="TimesNewRomanPSMT"/>
        </w:rPr>
        <w:t xml:space="preserve">Where state or local testing requirements do exist, </w:t>
      </w:r>
      <w:r w:rsidR="00210280" w:rsidRPr="00620C76">
        <w:rPr>
          <w:rFonts w:asciiTheme="majorHAnsi" w:hAnsiTheme="majorHAnsi" w:cs="TimesNewRomanPSMT"/>
        </w:rPr>
        <w:t>the required or recommended parameters for testing vary across jurisdictions</w:t>
      </w:r>
      <w:r w:rsidR="00210280">
        <w:rPr>
          <w:rFonts w:asciiTheme="majorHAnsi" w:hAnsiTheme="majorHAnsi" w:cs="TimesNewRomanPSMT"/>
        </w:rPr>
        <w:t xml:space="preserve"> and </w:t>
      </w:r>
      <w:r w:rsidR="00E00D5B">
        <w:rPr>
          <w:rFonts w:asciiTheme="majorHAnsi" w:hAnsiTheme="majorHAnsi" w:cs="TimesNewRomanPSMT"/>
        </w:rPr>
        <w:t>t</w:t>
      </w:r>
      <w:r w:rsidR="00D73032" w:rsidRPr="00620C76">
        <w:rPr>
          <w:rFonts w:asciiTheme="majorHAnsi" w:hAnsiTheme="majorHAnsi" w:cs="TimesNewRomanPSMT"/>
        </w:rPr>
        <w:t xml:space="preserve">esting is usually infrequent </w:t>
      </w:r>
      <w:r w:rsidRPr="00620C76">
        <w:rPr>
          <w:rFonts w:asciiTheme="majorHAnsi" w:hAnsiTheme="majorHAnsi" w:cs="TimesNewRomanPSMT"/>
        </w:rPr>
        <w:t>(e.g., as part of a real estate transaction</w:t>
      </w:r>
      <w:r w:rsidR="00A03625" w:rsidRPr="00620C76">
        <w:rPr>
          <w:rFonts w:asciiTheme="majorHAnsi" w:hAnsiTheme="majorHAnsi" w:cs="TimesNewRomanPSMT"/>
        </w:rPr>
        <w:t>, new construction</w:t>
      </w:r>
      <w:r w:rsidR="000771C0" w:rsidRPr="00620C76">
        <w:rPr>
          <w:rFonts w:asciiTheme="majorHAnsi" w:hAnsiTheme="majorHAnsi" w:cs="TimesNewRomanPSMT"/>
        </w:rPr>
        <w:t>,</w:t>
      </w:r>
      <w:r w:rsidR="00A03625" w:rsidRPr="00620C76">
        <w:rPr>
          <w:rFonts w:asciiTheme="majorHAnsi" w:hAnsiTheme="majorHAnsi" w:cs="TimesNewRomanPSMT"/>
        </w:rPr>
        <w:t xml:space="preserve"> or equipment replacement</w:t>
      </w:r>
      <w:r w:rsidRPr="00620C76">
        <w:rPr>
          <w:rFonts w:asciiTheme="majorHAnsi" w:hAnsiTheme="majorHAnsi" w:cs="TimesNewRomanPSMT"/>
        </w:rPr>
        <w:t xml:space="preserve">). Most </w:t>
      </w:r>
      <w:r w:rsidR="00885E22" w:rsidRPr="00620C76">
        <w:rPr>
          <w:rFonts w:asciiTheme="majorHAnsi" w:hAnsiTheme="majorHAnsi" w:cs="TimesNewRomanPSMT"/>
        </w:rPr>
        <w:t>drinking water</w:t>
      </w:r>
      <w:r w:rsidRPr="00620C76">
        <w:rPr>
          <w:rFonts w:asciiTheme="majorHAnsi" w:hAnsiTheme="majorHAnsi" w:cs="TimesNewRomanPSMT"/>
        </w:rPr>
        <w:t xml:space="preserve"> programs offering </w:t>
      </w:r>
      <w:r w:rsidR="00663AB3" w:rsidRPr="00620C76">
        <w:rPr>
          <w:rFonts w:asciiTheme="majorHAnsi" w:hAnsiTheme="majorHAnsi" w:cs="TimesNewRomanPSMT"/>
        </w:rPr>
        <w:t xml:space="preserve">water testing </w:t>
      </w:r>
      <w:r w:rsidRPr="00620C76">
        <w:rPr>
          <w:rFonts w:asciiTheme="majorHAnsi" w:hAnsiTheme="majorHAnsi" w:cs="TimesNewRomanPSMT"/>
        </w:rPr>
        <w:t xml:space="preserve">services from wells and other </w:t>
      </w:r>
      <w:r w:rsidR="00663AB3" w:rsidRPr="00620C76">
        <w:rPr>
          <w:rFonts w:asciiTheme="majorHAnsi" w:hAnsiTheme="majorHAnsi" w:cs="TimesNewRomanPSMT"/>
        </w:rPr>
        <w:t xml:space="preserve">federally </w:t>
      </w:r>
      <w:r w:rsidRPr="00620C76">
        <w:rPr>
          <w:rFonts w:asciiTheme="majorHAnsi" w:hAnsiTheme="majorHAnsi" w:cs="TimesNewRomanPSMT"/>
        </w:rPr>
        <w:t>unreg</w:t>
      </w:r>
      <w:r w:rsidRPr="00620C76">
        <w:rPr>
          <w:rFonts w:asciiTheme="majorHAnsi" w:hAnsiTheme="majorHAnsi" w:cs="TimesNewRomanPSMT"/>
        </w:rPr>
        <w:lastRenderedPageBreak/>
        <w:t xml:space="preserve">ulated drinking water </w:t>
      </w:r>
      <w:r w:rsidR="00663AB3" w:rsidRPr="00620C76">
        <w:rPr>
          <w:rFonts w:asciiTheme="majorHAnsi" w:hAnsiTheme="majorHAnsi" w:cs="TimesNewRomanPSMT"/>
        </w:rPr>
        <w:t>systems</w:t>
      </w:r>
      <w:r w:rsidRPr="00620C76">
        <w:rPr>
          <w:rFonts w:asciiTheme="majorHAnsi" w:hAnsiTheme="majorHAnsi" w:cs="TimesNewRomanPSMT"/>
        </w:rPr>
        <w:t xml:space="preserve"> are voluntary and require strong outreach by the STLT health departments to assure the delivery of services.</w:t>
      </w:r>
      <w:r w:rsidR="00A03625" w:rsidRPr="00620C76">
        <w:rPr>
          <w:rFonts w:asciiTheme="majorHAnsi" w:hAnsiTheme="majorHAnsi" w:cs="TimesNewRomanPSMT"/>
        </w:rPr>
        <w:t xml:space="preserve"> </w:t>
      </w:r>
      <w:r w:rsidR="00210280">
        <w:rPr>
          <w:rFonts w:asciiTheme="majorHAnsi" w:hAnsiTheme="majorHAnsi" w:cs="TimesNewRomanPSMT"/>
        </w:rPr>
        <w:t xml:space="preserve">In addition to water testing activities, STLT health departments </w:t>
      </w:r>
      <w:r w:rsidR="00587D5F">
        <w:rPr>
          <w:rFonts w:asciiTheme="majorHAnsi" w:hAnsiTheme="majorHAnsi" w:cs="TimesNewRomanPSMT"/>
        </w:rPr>
        <w:t>organize</w:t>
      </w:r>
      <w:r w:rsidR="00210280">
        <w:rPr>
          <w:rFonts w:asciiTheme="majorHAnsi" w:hAnsiTheme="majorHAnsi" w:cs="TimesNewRomanPSMT"/>
        </w:rPr>
        <w:t xml:space="preserve"> and analyze data</w:t>
      </w:r>
      <w:r w:rsidR="00587D5F">
        <w:rPr>
          <w:rFonts w:asciiTheme="majorHAnsi" w:hAnsiTheme="majorHAnsi" w:cs="TimesNewRomanPSMT"/>
        </w:rPr>
        <w:t>sets from various public and private entities</w:t>
      </w:r>
      <w:r w:rsidR="00210280">
        <w:rPr>
          <w:rFonts w:asciiTheme="majorHAnsi" w:hAnsiTheme="majorHAnsi" w:cs="TimesNewRomanPSMT"/>
        </w:rPr>
        <w:t xml:space="preserve"> </w:t>
      </w:r>
      <w:r w:rsidR="001B242F" w:rsidRPr="00620C76">
        <w:rPr>
          <w:rFonts w:asciiTheme="majorHAnsi" w:hAnsiTheme="majorHAnsi" w:cs="TimesNewRomanPSMT"/>
        </w:rPr>
        <w:t>to</w:t>
      </w:r>
      <w:r w:rsidR="008C5E8D" w:rsidRPr="00620C76">
        <w:rPr>
          <w:rFonts w:asciiTheme="majorHAnsi" w:hAnsiTheme="majorHAnsi" w:cs="TimesNewRomanPSMT"/>
        </w:rPr>
        <w:t xml:space="preserve"> character</w:t>
      </w:r>
      <w:r w:rsidR="001B242F" w:rsidRPr="00620C76">
        <w:rPr>
          <w:rFonts w:asciiTheme="majorHAnsi" w:hAnsiTheme="majorHAnsi" w:cs="TimesNewRomanPSMT"/>
        </w:rPr>
        <w:t>ize well water co</w:t>
      </w:r>
      <w:r w:rsidR="008C5E8D" w:rsidRPr="00620C76">
        <w:rPr>
          <w:rFonts w:asciiTheme="majorHAnsi" w:hAnsiTheme="majorHAnsi" w:cs="TimesNewRomanPSMT"/>
        </w:rPr>
        <w:t xml:space="preserve">ntaminants of concern and </w:t>
      </w:r>
      <w:r w:rsidR="001B242F" w:rsidRPr="00620C76">
        <w:rPr>
          <w:rFonts w:asciiTheme="majorHAnsi" w:hAnsiTheme="majorHAnsi" w:cs="TimesNewRomanPSMT"/>
        </w:rPr>
        <w:t>identify</w:t>
      </w:r>
      <w:r w:rsidR="008C5E8D" w:rsidRPr="00620C76">
        <w:rPr>
          <w:rFonts w:asciiTheme="majorHAnsi" w:hAnsiTheme="majorHAnsi" w:cs="TimesNewRomanPSMT"/>
        </w:rPr>
        <w:t xml:space="preserve"> vulnerable populations</w:t>
      </w:r>
      <w:r w:rsidR="00885E22" w:rsidRPr="00620C76">
        <w:rPr>
          <w:rFonts w:asciiTheme="majorHAnsi" w:hAnsiTheme="majorHAnsi" w:cs="TimesNewRomanPSMT"/>
        </w:rPr>
        <w:t xml:space="preserve"> </w:t>
      </w:r>
      <w:r w:rsidR="00932328">
        <w:rPr>
          <w:rFonts w:asciiTheme="majorHAnsi" w:hAnsiTheme="majorHAnsi" w:cs="TimesNewRomanPSMT"/>
        </w:rPr>
        <w:t xml:space="preserve">in an effort </w:t>
      </w:r>
      <w:r w:rsidR="00210280">
        <w:rPr>
          <w:rFonts w:asciiTheme="majorHAnsi" w:hAnsiTheme="majorHAnsi" w:cs="TimesNewRomanPSMT"/>
        </w:rPr>
        <w:t>to</w:t>
      </w:r>
      <w:r w:rsidR="000771C0" w:rsidRPr="00620C76">
        <w:rPr>
          <w:rFonts w:asciiTheme="majorHAnsi" w:hAnsiTheme="majorHAnsi" w:cs="TimesNewRomanPSMT"/>
        </w:rPr>
        <w:t xml:space="preserve"> deliver targeted environmental public health services </w:t>
      </w:r>
      <w:r w:rsidR="00D4256B" w:rsidRPr="00620C76">
        <w:rPr>
          <w:rFonts w:asciiTheme="majorHAnsi" w:hAnsiTheme="majorHAnsi" w:cs="TimesNewRomanPSMT"/>
        </w:rPr>
        <w:t>(e.g., informing the public, mobilizing partnerships, developing policy</w:t>
      </w:r>
      <w:r w:rsidR="00663AB3" w:rsidRPr="00620C76">
        <w:rPr>
          <w:rFonts w:asciiTheme="majorHAnsi" w:hAnsiTheme="majorHAnsi" w:cs="TimesNewRomanPSMT"/>
        </w:rPr>
        <w:t xml:space="preserve"> or</w:t>
      </w:r>
      <w:r w:rsidR="00D4256B" w:rsidRPr="00620C76">
        <w:rPr>
          <w:rFonts w:asciiTheme="majorHAnsi" w:hAnsiTheme="majorHAnsi" w:cs="TimesNewRomanPSMT"/>
        </w:rPr>
        <w:t xml:space="preserve"> enforcing local ordinances) </w:t>
      </w:r>
      <w:r w:rsidR="000771C0" w:rsidRPr="00620C76">
        <w:rPr>
          <w:rFonts w:asciiTheme="majorHAnsi" w:hAnsiTheme="majorHAnsi" w:cs="TimesNewRomanPSMT"/>
        </w:rPr>
        <w:t xml:space="preserve">and </w:t>
      </w:r>
      <w:r w:rsidR="00587D5F">
        <w:rPr>
          <w:rFonts w:asciiTheme="majorHAnsi" w:hAnsiTheme="majorHAnsi" w:cs="TimesNewRomanPSMT"/>
        </w:rPr>
        <w:t xml:space="preserve">best utilize </w:t>
      </w:r>
      <w:r w:rsidR="000771C0" w:rsidRPr="00620C76">
        <w:rPr>
          <w:rFonts w:asciiTheme="majorHAnsi" w:hAnsiTheme="majorHAnsi" w:cs="TimesNewRomanPSMT"/>
        </w:rPr>
        <w:t>limited agency resources.</w:t>
      </w:r>
    </w:p>
    <w:p w14:paraId="42A8848E" w14:textId="68B5CC3E" w:rsidR="005C00B2" w:rsidRDefault="00932328" w:rsidP="00461EDD">
      <w:pPr>
        <w:autoSpaceDE w:val="0"/>
        <w:autoSpaceDN w:val="0"/>
        <w:adjustRightInd w:val="0"/>
        <w:rPr>
          <w:rFonts w:asciiTheme="majorHAnsi" w:hAnsiTheme="majorHAnsi" w:cs="TimesNewRomanPSMT"/>
        </w:rPr>
      </w:pPr>
      <w:r>
        <w:rPr>
          <w:rFonts w:asciiTheme="majorHAnsi" w:hAnsiTheme="majorHAnsi" w:cs="TimesNewRomanPSMT"/>
        </w:rPr>
        <w:t xml:space="preserve">CDC’s </w:t>
      </w:r>
      <w:r w:rsidR="00D5012F" w:rsidRPr="00620C76">
        <w:rPr>
          <w:rFonts w:asciiTheme="majorHAnsi" w:hAnsiTheme="majorHAnsi" w:cs="TimesNewRomanPSMT"/>
        </w:rPr>
        <w:t>Environmental Health Services Branch (</w:t>
      </w:r>
      <w:r w:rsidR="00072D57" w:rsidRPr="00620C76">
        <w:rPr>
          <w:rFonts w:asciiTheme="majorHAnsi" w:hAnsiTheme="majorHAnsi" w:cs="TimesNewRomanPSMT"/>
        </w:rPr>
        <w:t>EHSB</w:t>
      </w:r>
      <w:r w:rsidR="00D5012F" w:rsidRPr="00620C76">
        <w:rPr>
          <w:rFonts w:asciiTheme="majorHAnsi" w:hAnsiTheme="majorHAnsi" w:cs="TimesNewRomanPSMT"/>
        </w:rPr>
        <w:t>)</w:t>
      </w:r>
      <w:r w:rsidR="00330B72">
        <w:rPr>
          <w:rFonts w:asciiTheme="majorHAnsi" w:hAnsiTheme="majorHAnsi" w:cs="TimesNewRomanPSMT"/>
        </w:rPr>
        <w:t xml:space="preserve"> is</w:t>
      </w:r>
      <w:r w:rsidR="00072D57" w:rsidRPr="00620C76">
        <w:rPr>
          <w:rFonts w:asciiTheme="majorHAnsi" w:hAnsiTheme="majorHAnsi" w:cs="TimesNewRomanPSMT"/>
        </w:rPr>
        <w:t xml:space="preserve"> </w:t>
      </w:r>
      <w:r>
        <w:rPr>
          <w:rFonts w:asciiTheme="majorHAnsi" w:hAnsiTheme="majorHAnsi" w:cs="TimesNewRomanPSMT"/>
        </w:rPr>
        <w:t>located in the National Center for Environmental Health</w:t>
      </w:r>
      <w:r w:rsidR="00330B72">
        <w:rPr>
          <w:rFonts w:asciiTheme="majorHAnsi" w:hAnsiTheme="majorHAnsi" w:cs="TimesNewRomanPSMT"/>
        </w:rPr>
        <w:t xml:space="preserve"> The </w:t>
      </w:r>
      <w:r w:rsidR="00072D57" w:rsidRPr="00620C76">
        <w:rPr>
          <w:rFonts w:asciiTheme="majorHAnsi" w:hAnsiTheme="majorHAnsi" w:cs="TimesNewRomanPSMT"/>
        </w:rPr>
        <w:t xml:space="preserve">mission is to strengthen the </w:t>
      </w:r>
      <w:r w:rsidR="00DF5F50">
        <w:rPr>
          <w:rFonts w:asciiTheme="majorHAnsi" w:hAnsiTheme="majorHAnsi" w:cs="TimesNewRomanPSMT"/>
        </w:rPr>
        <w:t xml:space="preserve">performance </w:t>
      </w:r>
      <w:r w:rsidR="00072D57" w:rsidRPr="00620C76">
        <w:rPr>
          <w:rFonts w:asciiTheme="majorHAnsi" w:hAnsiTheme="majorHAnsi" w:cs="TimesNewRomanPSMT"/>
        </w:rPr>
        <w:t xml:space="preserve">of </w:t>
      </w:r>
      <w:r w:rsidR="001B242F" w:rsidRPr="00620C76">
        <w:rPr>
          <w:rFonts w:asciiTheme="majorHAnsi" w:hAnsiTheme="majorHAnsi" w:cs="TimesNewRomanPSMT"/>
        </w:rPr>
        <w:t>STLT</w:t>
      </w:r>
      <w:r w:rsidR="00072D57" w:rsidRPr="00620C76">
        <w:rPr>
          <w:rFonts w:asciiTheme="majorHAnsi" w:hAnsiTheme="majorHAnsi" w:cs="TimesNewRomanPSMT"/>
        </w:rPr>
        <w:t xml:space="preserve"> public health</w:t>
      </w:r>
      <w:r w:rsidR="008755EC" w:rsidRPr="00620C76">
        <w:rPr>
          <w:rFonts w:asciiTheme="majorHAnsi" w:hAnsiTheme="majorHAnsi" w:cs="TimesNewRomanPSMT"/>
        </w:rPr>
        <w:t xml:space="preserve"> </w:t>
      </w:r>
      <w:r w:rsidR="00072D57" w:rsidRPr="00620C76">
        <w:rPr>
          <w:rFonts w:asciiTheme="majorHAnsi" w:hAnsiTheme="majorHAnsi" w:cs="TimesNewRomanPSMT"/>
        </w:rPr>
        <w:t xml:space="preserve">programs to better anticipate, identify, and respond to adverse environmental exposures and their </w:t>
      </w:r>
      <w:r w:rsidR="00000CF0">
        <w:rPr>
          <w:rFonts w:asciiTheme="majorHAnsi" w:hAnsiTheme="majorHAnsi" w:cs="TimesNewRomanPSMT"/>
        </w:rPr>
        <w:t>impact on</w:t>
      </w:r>
      <w:r w:rsidR="00072D57" w:rsidRPr="00620C76">
        <w:rPr>
          <w:rFonts w:asciiTheme="majorHAnsi" w:hAnsiTheme="majorHAnsi" w:cs="TimesNewRomanPSMT"/>
        </w:rPr>
        <w:t xml:space="preserve"> human health. </w:t>
      </w:r>
      <w:r w:rsidR="00296887" w:rsidRPr="00620C76">
        <w:rPr>
          <w:rFonts w:asciiTheme="majorHAnsi" w:hAnsiTheme="majorHAnsi"/>
          <w:lang w:val="en"/>
        </w:rPr>
        <w:t>EHSB provides practice-based research, training, technical assistance, and evidence-based guidance needed by state, tribal, local, and territorial environmental health practitioners to prevent environmental exposures and protect health.</w:t>
      </w:r>
      <w:r w:rsidR="00296887" w:rsidRPr="00620C76">
        <w:rPr>
          <w:rFonts w:asciiTheme="majorHAnsi" w:hAnsiTheme="majorHAnsi"/>
        </w:rPr>
        <w:t xml:space="preserve"> EHSB is the only U</w:t>
      </w:r>
      <w:r w:rsidR="00296887">
        <w:rPr>
          <w:rFonts w:asciiTheme="majorHAnsi" w:hAnsiTheme="majorHAnsi"/>
        </w:rPr>
        <w:t>.</w:t>
      </w:r>
      <w:r w:rsidR="00296887" w:rsidRPr="00620C76">
        <w:rPr>
          <w:rFonts w:asciiTheme="majorHAnsi" w:hAnsiTheme="majorHAnsi"/>
        </w:rPr>
        <w:t>S</w:t>
      </w:r>
      <w:r w:rsidR="00296887">
        <w:rPr>
          <w:rFonts w:asciiTheme="majorHAnsi" w:hAnsiTheme="majorHAnsi"/>
        </w:rPr>
        <w:t>.</w:t>
      </w:r>
      <w:r w:rsidR="00296887" w:rsidRPr="00620C76">
        <w:rPr>
          <w:rFonts w:asciiTheme="majorHAnsi" w:hAnsiTheme="majorHAnsi"/>
        </w:rPr>
        <w:t xml:space="preserve"> </w:t>
      </w:r>
      <w:r w:rsidR="00296887">
        <w:rPr>
          <w:rFonts w:asciiTheme="majorHAnsi" w:hAnsiTheme="majorHAnsi"/>
        </w:rPr>
        <w:t>f</w:t>
      </w:r>
      <w:r w:rsidR="00296887" w:rsidRPr="00620C76">
        <w:rPr>
          <w:rFonts w:asciiTheme="majorHAnsi" w:hAnsiTheme="majorHAnsi"/>
        </w:rPr>
        <w:t xml:space="preserve">ederal agency providing assistance to STLT public health </w:t>
      </w:r>
      <w:r w:rsidR="00296887">
        <w:rPr>
          <w:rFonts w:asciiTheme="majorHAnsi" w:hAnsiTheme="majorHAnsi"/>
        </w:rPr>
        <w:t>department</w:t>
      </w:r>
      <w:r w:rsidR="00296887" w:rsidRPr="00620C76">
        <w:rPr>
          <w:rFonts w:asciiTheme="majorHAnsi" w:hAnsiTheme="majorHAnsi"/>
        </w:rPr>
        <w:t xml:space="preserve">s to improve the delivery of environmental public </w:t>
      </w:r>
      <w:r w:rsidR="00296887" w:rsidRPr="00620C76">
        <w:rPr>
          <w:rFonts w:asciiTheme="majorHAnsi" w:hAnsiTheme="majorHAnsi"/>
        </w:rPr>
        <w:lastRenderedPageBreak/>
        <w:t xml:space="preserve">health services for drinking water programs. </w:t>
      </w:r>
      <w:r w:rsidR="00072D57" w:rsidRPr="00620C76">
        <w:rPr>
          <w:rFonts w:asciiTheme="majorHAnsi" w:hAnsiTheme="majorHAnsi" w:cs="TimesNewRomanPSMT"/>
        </w:rPr>
        <w:t>EHSB</w:t>
      </w:r>
      <w:r w:rsidR="00296887">
        <w:rPr>
          <w:rFonts w:asciiTheme="majorHAnsi" w:hAnsiTheme="majorHAnsi" w:cs="TimesNewRomanPSMT"/>
        </w:rPr>
        <w:t xml:space="preserve"> also</w:t>
      </w:r>
      <w:r w:rsidR="008755EC" w:rsidRPr="00620C76">
        <w:rPr>
          <w:rFonts w:asciiTheme="majorHAnsi" w:hAnsiTheme="majorHAnsi" w:cs="TimesNewRomanPSMT"/>
        </w:rPr>
        <w:t xml:space="preserve"> dedicate</w:t>
      </w:r>
      <w:r w:rsidR="00DF5F50">
        <w:rPr>
          <w:rFonts w:asciiTheme="majorHAnsi" w:hAnsiTheme="majorHAnsi" w:cs="TimesNewRomanPSMT"/>
        </w:rPr>
        <w:t>s</w:t>
      </w:r>
      <w:r w:rsidR="008755EC" w:rsidRPr="00620C76">
        <w:rPr>
          <w:rFonts w:asciiTheme="majorHAnsi" w:hAnsiTheme="majorHAnsi" w:cs="TimesNewRomanPSMT"/>
        </w:rPr>
        <w:t xml:space="preserve"> resources to improve the capacity </w:t>
      </w:r>
      <w:r w:rsidR="00072D57" w:rsidRPr="00620C76">
        <w:rPr>
          <w:rFonts w:asciiTheme="majorHAnsi" w:hAnsiTheme="majorHAnsi" w:cs="TimesNewRomanPSMT"/>
        </w:rPr>
        <w:t xml:space="preserve">of </w:t>
      </w:r>
      <w:r w:rsidR="001B242F" w:rsidRPr="00620C76">
        <w:rPr>
          <w:rFonts w:asciiTheme="majorHAnsi" w:hAnsiTheme="majorHAnsi" w:cs="TimesNewRomanPSMT"/>
        </w:rPr>
        <w:t xml:space="preserve">STLT </w:t>
      </w:r>
      <w:r w:rsidR="002921BF">
        <w:rPr>
          <w:rFonts w:asciiTheme="majorHAnsi" w:hAnsiTheme="majorHAnsi" w:cs="TimesNewRomanPSMT"/>
        </w:rPr>
        <w:t>public health departments</w:t>
      </w:r>
      <w:r w:rsidR="001B242F" w:rsidRPr="00620C76">
        <w:rPr>
          <w:rFonts w:asciiTheme="majorHAnsi" w:hAnsiTheme="majorHAnsi" w:cs="TimesNewRomanPSMT"/>
        </w:rPr>
        <w:t xml:space="preserve"> </w:t>
      </w:r>
      <w:r w:rsidR="00072D57" w:rsidRPr="00620C76">
        <w:rPr>
          <w:rFonts w:asciiTheme="majorHAnsi" w:hAnsiTheme="majorHAnsi" w:cs="TimesNewRomanPSMT"/>
        </w:rPr>
        <w:t>to identify, address, and close drinking water program performance gaps</w:t>
      </w:r>
      <w:r w:rsidR="00D4256B" w:rsidRPr="00620C76">
        <w:rPr>
          <w:rFonts w:asciiTheme="majorHAnsi" w:hAnsiTheme="majorHAnsi" w:cs="TimesNewRomanPSMT"/>
        </w:rPr>
        <w:t xml:space="preserve"> based on the 10 Essential Environmental Public Health Services</w:t>
      </w:r>
      <w:r w:rsidR="00885E22" w:rsidRPr="00620C76">
        <w:rPr>
          <w:rFonts w:asciiTheme="majorHAnsi" w:hAnsiTheme="majorHAnsi" w:cs="TimesNewRomanPSMT"/>
        </w:rPr>
        <w:t>.</w:t>
      </w:r>
      <w:r w:rsidR="00072D57" w:rsidRPr="00620C76">
        <w:rPr>
          <w:rFonts w:asciiTheme="majorHAnsi" w:hAnsiTheme="majorHAnsi" w:cs="TimesNewRomanPSMT"/>
        </w:rPr>
        <w:t xml:space="preserve"> </w:t>
      </w:r>
      <w:r w:rsidR="003B5D1D" w:rsidRPr="00620C76">
        <w:rPr>
          <w:rFonts w:asciiTheme="majorHAnsi" w:hAnsiTheme="majorHAnsi" w:cs="TimesNewRomanPSMT"/>
        </w:rPr>
        <w:t xml:space="preserve">Specifically, EHSB has provided funding to STLT </w:t>
      </w:r>
      <w:r w:rsidR="002921BF">
        <w:rPr>
          <w:rFonts w:asciiTheme="majorHAnsi" w:hAnsiTheme="majorHAnsi" w:cs="TimesNewRomanPSMT"/>
        </w:rPr>
        <w:t>public health departments</w:t>
      </w:r>
      <w:r w:rsidR="003B5D1D" w:rsidRPr="00620C76">
        <w:rPr>
          <w:rFonts w:asciiTheme="majorHAnsi" w:hAnsiTheme="majorHAnsi" w:cs="TimesNewRomanPSMT"/>
        </w:rPr>
        <w:t xml:space="preserve"> through two separate cooperative agreements to improve drinking water program</w:t>
      </w:r>
      <w:r w:rsidR="00885E22" w:rsidRPr="00620C76">
        <w:rPr>
          <w:rFonts w:asciiTheme="majorHAnsi" w:hAnsiTheme="majorHAnsi" w:cs="TimesNewRomanPSMT"/>
        </w:rPr>
        <w:t>s</w:t>
      </w:r>
      <w:r w:rsidR="005C00B2">
        <w:rPr>
          <w:rFonts w:asciiTheme="majorHAnsi" w:hAnsiTheme="majorHAnsi" w:cs="TimesNewRomanPSMT"/>
        </w:rPr>
        <w:t>:</w:t>
      </w:r>
    </w:p>
    <w:p w14:paraId="7F133212" w14:textId="59BC0C4B" w:rsidR="005C00B2" w:rsidRPr="005C00B2" w:rsidRDefault="005C00B2" w:rsidP="00C04431">
      <w:pPr>
        <w:pStyle w:val="ListParagraph"/>
        <w:numPr>
          <w:ilvl w:val="0"/>
          <w:numId w:val="29"/>
        </w:numPr>
        <w:autoSpaceDE w:val="0"/>
        <w:autoSpaceDN w:val="0"/>
        <w:adjustRightInd w:val="0"/>
        <w:rPr>
          <w:rFonts w:asciiTheme="majorHAnsi" w:hAnsiTheme="majorHAnsi" w:cs="TimesNewRomanPSMT"/>
        </w:rPr>
      </w:pPr>
      <w:r>
        <w:rPr>
          <w:rFonts w:asciiTheme="majorHAnsi" w:hAnsiTheme="majorHAnsi" w:cs="TimesNewRomanPSMT"/>
        </w:rPr>
        <w:t>EHS-Net Water (Environmental Health Specialists Network Water Program)</w:t>
      </w:r>
      <w:r w:rsidR="004F725F">
        <w:rPr>
          <w:rFonts w:asciiTheme="majorHAnsi" w:hAnsiTheme="majorHAnsi" w:cs="TimesNewRomanPSMT"/>
        </w:rPr>
        <w:t xml:space="preserve">: </w:t>
      </w:r>
      <w:r w:rsidR="003B5D1D" w:rsidRPr="00C04431">
        <w:rPr>
          <w:rFonts w:asciiTheme="majorHAnsi" w:hAnsiTheme="majorHAnsi" w:cs="TimesNewRomanPSMT"/>
        </w:rPr>
        <w:t>From 2010 through 2015 EHSB funded</w:t>
      </w:r>
      <w:r w:rsidR="001B242F" w:rsidRPr="00C04431">
        <w:rPr>
          <w:rFonts w:asciiTheme="majorHAnsi" w:hAnsiTheme="majorHAnsi" w:cs="TimesNewRomanPSMT"/>
        </w:rPr>
        <w:t xml:space="preserve"> </w:t>
      </w:r>
      <w:r w:rsidR="002921BF" w:rsidRPr="00C04431">
        <w:rPr>
          <w:rFonts w:asciiTheme="majorHAnsi" w:hAnsiTheme="majorHAnsi" w:cs="TimesNewRomanPSMT"/>
        </w:rPr>
        <w:t>5</w:t>
      </w:r>
      <w:r w:rsidR="00A50330" w:rsidRPr="00C04431">
        <w:rPr>
          <w:rFonts w:asciiTheme="majorHAnsi" w:hAnsiTheme="majorHAnsi" w:cs="TimesNewRomanPSMT"/>
        </w:rPr>
        <w:t xml:space="preserve"> (</w:t>
      </w:r>
      <w:r w:rsidR="002921BF" w:rsidRPr="00C04431">
        <w:rPr>
          <w:rFonts w:asciiTheme="majorHAnsi" w:hAnsiTheme="majorHAnsi" w:cs="TimesNewRomanPSMT"/>
        </w:rPr>
        <w:t>4</w:t>
      </w:r>
      <w:r w:rsidR="00A50330" w:rsidRPr="00C04431">
        <w:rPr>
          <w:rFonts w:asciiTheme="majorHAnsi" w:hAnsiTheme="majorHAnsi" w:cs="TimesNewRomanPSMT"/>
        </w:rPr>
        <w:t xml:space="preserve"> </w:t>
      </w:r>
      <w:r w:rsidR="003B5D1D" w:rsidRPr="00C04431">
        <w:rPr>
          <w:rFonts w:asciiTheme="majorHAnsi" w:hAnsiTheme="majorHAnsi" w:cs="TimesNewRomanPSMT"/>
        </w:rPr>
        <w:t xml:space="preserve">state and </w:t>
      </w:r>
      <w:r w:rsidR="002921BF" w:rsidRPr="00C04431">
        <w:rPr>
          <w:rFonts w:asciiTheme="majorHAnsi" w:hAnsiTheme="majorHAnsi" w:cs="TimesNewRomanPSMT"/>
        </w:rPr>
        <w:t>1</w:t>
      </w:r>
      <w:r w:rsidR="00A50330" w:rsidRPr="00C04431">
        <w:rPr>
          <w:rFonts w:asciiTheme="majorHAnsi" w:hAnsiTheme="majorHAnsi" w:cs="TimesNewRomanPSMT"/>
        </w:rPr>
        <w:t xml:space="preserve"> </w:t>
      </w:r>
      <w:r w:rsidR="001B242F" w:rsidRPr="00C04431">
        <w:rPr>
          <w:rFonts w:asciiTheme="majorHAnsi" w:hAnsiTheme="majorHAnsi" w:cs="TimesNewRomanPSMT"/>
        </w:rPr>
        <w:t>county</w:t>
      </w:r>
      <w:r w:rsidR="00A50330" w:rsidRPr="00C04431">
        <w:rPr>
          <w:rFonts w:asciiTheme="majorHAnsi" w:hAnsiTheme="majorHAnsi" w:cs="TimesNewRomanPSMT"/>
        </w:rPr>
        <w:t>) public health</w:t>
      </w:r>
      <w:r w:rsidR="001B242F" w:rsidRPr="00C04431">
        <w:rPr>
          <w:rFonts w:asciiTheme="majorHAnsi" w:hAnsiTheme="majorHAnsi" w:cs="TimesNewRomanPSMT"/>
        </w:rPr>
        <w:t xml:space="preserve"> </w:t>
      </w:r>
      <w:r w:rsidR="007D2B94" w:rsidRPr="00C04431">
        <w:rPr>
          <w:rFonts w:asciiTheme="majorHAnsi" w:hAnsiTheme="majorHAnsi" w:cs="TimesNewRomanPSMT"/>
        </w:rPr>
        <w:t>d</w:t>
      </w:r>
      <w:r w:rsidR="003B5D1D" w:rsidRPr="00C04431">
        <w:rPr>
          <w:rFonts w:asciiTheme="majorHAnsi" w:hAnsiTheme="majorHAnsi" w:cs="TimesNewRomanPSMT"/>
        </w:rPr>
        <w:t>e</w:t>
      </w:r>
      <w:r w:rsidR="007D2B94" w:rsidRPr="00C04431">
        <w:rPr>
          <w:rFonts w:asciiTheme="majorHAnsi" w:hAnsiTheme="majorHAnsi" w:cs="TimesNewRomanPSMT"/>
        </w:rPr>
        <w:t>partm</w:t>
      </w:r>
      <w:r w:rsidR="003B5D1D" w:rsidRPr="00C04431">
        <w:rPr>
          <w:rFonts w:asciiTheme="majorHAnsi" w:hAnsiTheme="majorHAnsi" w:cs="TimesNewRomanPSMT"/>
        </w:rPr>
        <w:t>e</w:t>
      </w:r>
      <w:r w:rsidR="007D2B94" w:rsidRPr="00C04431">
        <w:rPr>
          <w:rFonts w:asciiTheme="majorHAnsi" w:hAnsiTheme="majorHAnsi" w:cs="TimesNewRomanPSMT"/>
        </w:rPr>
        <w:t>nt</w:t>
      </w:r>
      <w:r w:rsidR="003B5D1D" w:rsidRPr="00C04431">
        <w:rPr>
          <w:rFonts w:asciiTheme="majorHAnsi" w:hAnsiTheme="majorHAnsi" w:cs="TimesNewRomanPSMT"/>
        </w:rPr>
        <w:t xml:space="preserve">s </w:t>
      </w:r>
      <w:r w:rsidR="00250A41" w:rsidRPr="00C04431">
        <w:rPr>
          <w:rFonts w:asciiTheme="majorHAnsi" w:hAnsiTheme="majorHAnsi" w:cs="TimesNewRomanPSMT"/>
        </w:rPr>
        <w:t>EHS-Net Water</w:t>
      </w:r>
      <w:r w:rsidR="002C1991">
        <w:rPr>
          <w:rFonts w:asciiTheme="majorHAnsi" w:hAnsiTheme="majorHAnsi" w:cs="TimesNewRomanPSMT"/>
        </w:rPr>
        <w:t xml:space="preserve"> </w:t>
      </w:r>
      <w:r w:rsidR="00401DE8" w:rsidRPr="002C1991">
        <w:rPr>
          <w:rFonts w:asciiTheme="majorHAnsi" w:hAnsiTheme="majorHAnsi"/>
        </w:rPr>
        <w:t>to</w:t>
      </w:r>
      <w:r w:rsidR="00FB17D2" w:rsidRPr="002C1991">
        <w:rPr>
          <w:rFonts w:asciiTheme="majorHAnsi" w:hAnsiTheme="majorHAnsi"/>
        </w:rPr>
        <w:t xml:space="preserve"> </w:t>
      </w:r>
      <w:r w:rsidR="00401DE8" w:rsidRPr="002C1991">
        <w:rPr>
          <w:rFonts w:asciiTheme="majorHAnsi" w:hAnsiTheme="majorHAnsi" w:cs="Helvetica"/>
        </w:rPr>
        <w:t>conduct research and to improve the practice of environmental health</w:t>
      </w:r>
      <w:r w:rsidR="007123D3" w:rsidRPr="002C1991">
        <w:rPr>
          <w:rFonts w:asciiTheme="majorHAnsi" w:hAnsiTheme="majorHAnsi" w:cs="Helvetica"/>
        </w:rPr>
        <w:t xml:space="preserve"> while addressing drinking water issues</w:t>
      </w:r>
      <w:r w:rsidR="00401DE8" w:rsidRPr="002C1991">
        <w:rPr>
          <w:rFonts w:asciiTheme="majorHAnsi" w:hAnsiTheme="majorHAnsi" w:cs="Helvetica"/>
        </w:rPr>
        <w:t>.</w:t>
      </w:r>
      <w:r w:rsidR="00401DE8" w:rsidRPr="002C1991">
        <w:rPr>
          <w:rFonts w:asciiTheme="majorHAnsi" w:hAnsiTheme="majorHAnsi"/>
        </w:rPr>
        <w:t xml:space="preserve"> </w:t>
      </w:r>
    </w:p>
    <w:p w14:paraId="51131A73" w14:textId="534002E6" w:rsidR="00643A1E" w:rsidRPr="00643A1E" w:rsidRDefault="005C00B2" w:rsidP="00C04431">
      <w:pPr>
        <w:pStyle w:val="ListParagraph"/>
        <w:numPr>
          <w:ilvl w:val="0"/>
          <w:numId w:val="29"/>
        </w:numPr>
        <w:autoSpaceDE w:val="0"/>
        <w:autoSpaceDN w:val="0"/>
        <w:adjustRightInd w:val="0"/>
        <w:rPr>
          <w:rFonts w:asciiTheme="majorHAnsi" w:hAnsiTheme="majorHAnsi" w:cs="TimesNewRomanPSMT"/>
        </w:rPr>
      </w:pPr>
      <w:r>
        <w:rPr>
          <w:rFonts w:asciiTheme="majorHAnsi" w:hAnsiTheme="majorHAnsi" w:cs="TimesNewRomanPSMT"/>
        </w:rPr>
        <w:t>PW/UWDS</w:t>
      </w:r>
      <w:r w:rsidR="006A11DC">
        <w:rPr>
          <w:rFonts w:asciiTheme="majorHAnsi" w:hAnsiTheme="majorHAnsi" w:cs="TimesNewRomanPSMT"/>
        </w:rPr>
        <w:t xml:space="preserve"> (</w:t>
      </w:r>
      <w:r w:rsidR="004C1405" w:rsidRPr="00CE68B4">
        <w:rPr>
          <w:rFonts w:asciiTheme="majorHAnsi" w:hAnsiTheme="majorHAnsi"/>
        </w:rPr>
        <w:t>Private Well/Unregulated Drinking Water Systems</w:t>
      </w:r>
      <w:r w:rsidR="006A11DC">
        <w:rPr>
          <w:rFonts w:asciiTheme="majorHAnsi" w:hAnsiTheme="majorHAnsi" w:cs="TimesNewRomanPSMT"/>
        </w:rPr>
        <w:t>)</w:t>
      </w:r>
      <w:r w:rsidR="004F725F">
        <w:rPr>
          <w:rFonts w:asciiTheme="majorHAnsi" w:hAnsiTheme="majorHAnsi" w:cs="TimesNewRomanPSMT"/>
        </w:rPr>
        <w:t xml:space="preserve">: </w:t>
      </w:r>
      <w:r w:rsidR="00FB17D2" w:rsidRPr="00C04431">
        <w:rPr>
          <w:rFonts w:asciiTheme="majorHAnsi" w:hAnsiTheme="majorHAnsi"/>
        </w:rPr>
        <w:t>Additionally, f</w:t>
      </w:r>
      <w:r w:rsidR="00A50330" w:rsidRPr="00C04431">
        <w:rPr>
          <w:rFonts w:asciiTheme="majorHAnsi" w:hAnsiTheme="majorHAnsi"/>
        </w:rPr>
        <w:t>rom 2013 through</w:t>
      </w:r>
      <w:r w:rsidR="00401DE8" w:rsidRPr="00C04431">
        <w:rPr>
          <w:rFonts w:asciiTheme="majorHAnsi" w:hAnsiTheme="majorHAnsi"/>
        </w:rPr>
        <w:t xml:space="preserve"> 2015 EHSB</w:t>
      </w:r>
      <w:r w:rsidR="00885E22" w:rsidRPr="00C04431">
        <w:rPr>
          <w:rFonts w:asciiTheme="majorHAnsi" w:hAnsiTheme="majorHAnsi"/>
        </w:rPr>
        <w:t xml:space="preserve"> funded </w:t>
      </w:r>
      <w:r w:rsidR="007D2B94" w:rsidRPr="00C04431">
        <w:rPr>
          <w:rFonts w:asciiTheme="majorHAnsi" w:hAnsiTheme="majorHAnsi"/>
        </w:rPr>
        <w:t>11 (</w:t>
      </w:r>
      <w:r w:rsidR="002921BF" w:rsidRPr="00C04431">
        <w:rPr>
          <w:rFonts w:asciiTheme="majorHAnsi" w:hAnsiTheme="majorHAnsi"/>
        </w:rPr>
        <w:t>9</w:t>
      </w:r>
      <w:r w:rsidR="00401DE8" w:rsidRPr="00C04431">
        <w:rPr>
          <w:rFonts w:asciiTheme="majorHAnsi" w:hAnsiTheme="majorHAnsi"/>
        </w:rPr>
        <w:t xml:space="preserve"> state and </w:t>
      </w:r>
      <w:r w:rsidR="002921BF" w:rsidRPr="00C04431">
        <w:rPr>
          <w:rFonts w:asciiTheme="majorHAnsi" w:hAnsiTheme="majorHAnsi"/>
        </w:rPr>
        <w:t>2</w:t>
      </w:r>
      <w:r w:rsidR="00401DE8" w:rsidRPr="00C04431">
        <w:rPr>
          <w:rFonts w:asciiTheme="majorHAnsi" w:hAnsiTheme="majorHAnsi"/>
        </w:rPr>
        <w:t xml:space="preserve"> county</w:t>
      </w:r>
      <w:r w:rsidR="007D2B94" w:rsidRPr="00C04431">
        <w:rPr>
          <w:rFonts w:asciiTheme="majorHAnsi" w:hAnsiTheme="majorHAnsi"/>
        </w:rPr>
        <w:t>)</w:t>
      </w:r>
      <w:r w:rsidR="00401DE8" w:rsidRPr="00C04431">
        <w:rPr>
          <w:rFonts w:asciiTheme="majorHAnsi" w:hAnsiTheme="majorHAnsi"/>
        </w:rPr>
        <w:t xml:space="preserve"> </w:t>
      </w:r>
      <w:r w:rsidR="007D2B94" w:rsidRPr="00C04431">
        <w:rPr>
          <w:rFonts w:asciiTheme="majorHAnsi" w:hAnsiTheme="majorHAnsi"/>
        </w:rPr>
        <w:t xml:space="preserve">public </w:t>
      </w:r>
      <w:r w:rsidR="00401DE8" w:rsidRPr="00C04431">
        <w:rPr>
          <w:rFonts w:asciiTheme="majorHAnsi" w:hAnsiTheme="majorHAnsi"/>
        </w:rPr>
        <w:t>health department</w:t>
      </w:r>
      <w:r w:rsidR="00000CF0" w:rsidRPr="00C04431">
        <w:rPr>
          <w:rFonts w:asciiTheme="majorHAnsi" w:hAnsiTheme="majorHAnsi"/>
        </w:rPr>
        <w:t>s</w:t>
      </w:r>
      <w:r w:rsidR="00401DE8" w:rsidRPr="00C04431">
        <w:rPr>
          <w:rFonts w:asciiTheme="majorHAnsi" w:hAnsiTheme="majorHAnsi"/>
        </w:rPr>
        <w:t xml:space="preserve"> </w:t>
      </w:r>
      <w:r w:rsidR="00412BAD" w:rsidRPr="00C04431">
        <w:rPr>
          <w:rFonts w:asciiTheme="majorHAnsi" w:hAnsiTheme="majorHAnsi"/>
        </w:rPr>
        <w:t xml:space="preserve">in </w:t>
      </w:r>
      <w:r w:rsidR="00AE01D5" w:rsidRPr="00C04431">
        <w:rPr>
          <w:rFonts w:asciiTheme="majorHAnsi" w:hAnsiTheme="majorHAnsi"/>
        </w:rPr>
        <w:t xml:space="preserve">PW/UWDS </w:t>
      </w:r>
      <w:r w:rsidR="00401DE8" w:rsidRPr="00C04431">
        <w:rPr>
          <w:rFonts w:asciiTheme="majorHAnsi" w:hAnsiTheme="majorHAnsi"/>
        </w:rPr>
        <w:t>to</w:t>
      </w:r>
      <w:r w:rsidR="00FB17D2" w:rsidRPr="00C04431">
        <w:rPr>
          <w:rFonts w:asciiTheme="majorHAnsi" w:hAnsiTheme="majorHAnsi"/>
        </w:rPr>
        <w:t xml:space="preserve"> </w:t>
      </w:r>
      <w:r w:rsidR="00885E22" w:rsidRPr="00C04431">
        <w:rPr>
          <w:rFonts w:asciiTheme="majorHAnsi" w:hAnsiTheme="majorHAnsi"/>
          <w:bCs/>
          <w:iCs/>
        </w:rPr>
        <w:t>i</w:t>
      </w:r>
      <w:r w:rsidR="00401DE8" w:rsidRPr="00C04431">
        <w:rPr>
          <w:rFonts w:asciiTheme="majorHAnsi" w:hAnsiTheme="majorHAnsi"/>
          <w:bCs/>
          <w:iCs/>
        </w:rPr>
        <w:t>mplement inter</w:t>
      </w:r>
      <w:r w:rsidR="00E51E13" w:rsidRPr="00C04431">
        <w:rPr>
          <w:rFonts w:asciiTheme="majorHAnsi" w:hAnsiTheme="majorHAnsi"/>
          <w:bCs/>
          <w:iCs/>
        </w:rPr>
        <w:t>ventions to address potential or</w:t>
      </w:r>
      <w:r w:rsidR="00401DE8" w:rsidRPr="00C04431">
        <w:rPr>
          <w:rFonts w:asciiTheme="majorHAnsi" w:hAnsiTheme="majorHAnsi"/>
          <w:bCs/>
          <w:iCs/>
        </w:rPr>
        <w:t xml:space="preserve"> known </w:t>
      </w:r>
      <w:r w:rsidR="00E51E13" w:rsidRPr="00C04431">
        <w:rPr>
          <w:rFonts w:asciiTheme="majorHAnsi" w:hAnsiTheme="majorHAnsi"/>
          <w:bCs/>
          <w:iCs/>
        </w:rPr>
        <w:t>unregulated drinking water system</w:t>
      </w:r>
      <w:r w:rsidR="00A50330" w:rsidRPr="00C04431">
        <w:rPr>
          <w:rFonts w:asciiTheme="majorHAnsi" w:hAnsiTheme="majorHAnsi"/>
          <w:bCs/>
          <w:iCs/>
        </w:rPr>
        <w:t xml:space="preserve"> health risks</w:t>
      </w:r>
      <w:r w:rsidR="00401DE8" w:rsidRPr="00C04431">
        <w:rPr>
          <w:rFonts w:asciiTheme="majorHAnsi" w:hAnsiTheme="majorHAnsi"/>
          <w:bCs/>
          <w:iCs/>
        </w:rPr>
        <w:t xml:space="preserve"> </w:t>
      </w:r>
      <w:r w:rsidR="00A50330" w:rsidRPr="00C04431">
        <w:rPr>
          <w:rFonts w:asciiTheme="majorHAnsi" w:hAnsiTheme="majorHAnsi"/>
          <w:bCs/>
          <w:iCs/>
        </w:rPr>
        <w:t xml:space="preserve">and </w:t>
      </w:r>
      <w:r w:rsidR="00401DE8" w:rsidRPr="00C04431">
        <w:rPr>
          <w:rFonts w:asciiTheme="majorHAnsi" w:hAnsiTheme="majorHAnsi"/>
          <w:bCs/>
          <w:iCs/>
        </w:rPr>
        <w:t>contamination</w:t>
      </w:r>
      <w:r w:rsidR="00E51E13" w:rsidRPr="00C04431">
        <w:rPr>
          <w:rFonts w:asciiTheme="majorHAnsi" w:hAnsiTheme="majorHAnsi"/>
          <w:bCs/>
          <w:iCs/>
        </w:rPr>
        <w:t>.</w:t>
      </w:r>
    </w:p>
    <w:p w14:paraId="73510751" w14:textId="5F569802" w:rsidR="00401DE8" w:rsidRDefault="002921BF" w:rsidP="00643A1E">
      <w:pPr>
        <w:autoSpaceDE w:val="0"/>
        <w:autoSpaceDN w:val="0"/>
        <w:adjustRightInd w:val="0"/>
        <w:rPr>
          <w:rFonts w:asciiTheme="majorHAnsi" w:hAnsiTheme="majorHAnsi"/>
          <w:bCs/>
          <w:iCs/>
        </w:rPr>
      </w:pPr>
      <w:r w:rsidRPr="00C04431">
        <w:rPr>
          <w:rFonts w:asciiTheme="majorHAnsi" w:hAnsiTheme="majorHAnsi"/>
          <w:bCs/>
          <w:iCs/>
        </w:rPr>
        <w:lastRenderedPageBreak/>
        <w:t xml:space="preserve">Two (1 state and 1 county) health departments received funding from both the EHS-Net Water and the PW/UDWS </w:t>
      </w:r>
      <w:r w:rsidR="00827D66" w:rsidRPr="00C04431">
        <w:rPr>
          <w:rFonts w:asciiTheme="majorHAnsi" w:hAnsiTheme="majorHAnsi"/>
          <w:bCs/>
          <w:iCs/>
        </w:rPr>
        <w:t>cooperative agreements</w:t>
      </w:r>
      <w:r w:rsidRPr="00C04431">
        <w:rPr>
          <w:rFonts w:asciiTheme="majorHAnsi" w:hAnsiTheme="majorHAnsi"/>
          <w:bCs/>
          <w:iCs/>
        </w:rPr>
        <w:t xml:space="preserve">. </w:t>
      </w:r>
      <w:r w:rsidR="00E51E13" w:rsidRPr="00C04431">
        <w:rPr>
          <w:rFonts w:asciiTheme="majorHAnsi" w:hAnsiTheme="majorHAnsi"/>
          <w:bCs/>
          <w:iCs/>
        </w:rPr>
        <w:t xml:space="preserve">In both agreements, </w:t>
      </w:r>
      <w:r w:rsidR="00827D66" w:rsidRPr="00C04431">
        <w:rPr>
          <w:rFonts w:asciiTheme="majorHAnsi" w:hAnsiTheme="majorHAnsi"/>
          <w:bCs/>
          <w:iCs/>
        </w:rPr>
        <w:t>public health departments</w:t>
      </w:r>
      <w:r w:rsidR="00E51E13" w:rsidRPr="00C04431">
        <w:rPr>
          <w:rFonts w:asciiTheme="majorHAnsi" w:hAnsiTheme="majorHAnsi"/>
          <w:bCs/>
          <w:iCs/>
        </w:rPr>
        <w:t xml:space="preserve"> focused time and resources on information collection (e.g., well water testing), </w:t>
      </w:r>
      <w:r w:rsidR="00A50330" w:rsidRPr="00C04431">
        <w:rPr>
          <w:rFonts w:asciiTheme="majorHAnsi" w:hAnsiTheme="majorHAnsi"/>
          <w:bCs/>
          <w:iCs/>
        </w:rPr>
        <w:t xml:space="preserve">public health messaging, </w:t>
      </w:r>
      <w:r w:rsidR="00E51E13" w:rsidRPr="00C04431">
        <w:rPr>
          <w:rFonts w:asciiTheme="majorHAnsi" w:hAnsiTheme="majorHAnsi"/>
          <w:bCs/>
          <w:iCs/>
        </w:rPr>
        <w:t>policy</w:t>
      </w:r>
      <w:r w:rsidR="00A50330" w:rsidRPr="00C04431">
        <w:rPr>
          <w:rFonts w:asciiTheme="majorHAnsi" w:hAnsiTheme="majorHAnsi"/>
          <w:bCs/>
          <w:iCs/>
        </w:rPr>
        <w:t xml:space="preserve"> development, enforcement, and other important environmental public health services.</w:t>
      </w:r>
    </w:p>
    <w:p w14:paraId="67D27BF6" w14:textId="226191EF" w:rsidR="00345BAA" w:rsidRPr="00C75959" w:rsidRDefault="0088223D" w:rsidP="006109B4">
      <w:pPr>
        <w:spacing w:after="0"/>
        <w:rPr>
          <w:rFonts w:asciiTheme="majorHAnsi" w:hAnsiTheme="majorHAnsi"/>
          <w:bCs/>
          <w:iCs/>
        </w:rPr>
      </w:pPr>
      <w:r w:rsidRPr="0088223D">
        <w:rPr>
          <w:rFonts w:asciiTheme="majorHAnsi" w:hAnsiTheme="majorHAnsi"/>
          <w:bCs/>
          <w:iCs/>
        </w:rPr>
        <w:t>These cooperative agreements supported STLT grantees to identify and characterize available private well databases. In many cases this work helped CDC, the grantee, and private well owners to understand the specific contaminants of concern that may lead to unwanted exposures for well water owners and users in their communities. Identifying and characterizing contaminants in private wells are important first steps in the design of prevention measures to protect public health. However, there is still a knowledge gap regarding how and why communities developed and used policies and regulations to enhance the protection of public health</w:t>
      </w:r>
      <w:r>
        <w:rPr>
          <w:rFonts w:asciiTheme="majorHAnsi" w:hAnsiTheme="majorHAnsi"/>
          <w:bCs/>
          <w:iCs/>
        </w:rPr>
        <w:t>.</w:t>
      </w:r>
      <w:r w:rsidR="007C5F01">
        <w:rPr>
          <w:rFonts w:asciiTheme="majorHAnsi" w:hAnsiTheme="majorHAnsi"/>
          <w:bCs/>
          <w:iCs/>
        </w:rPr>
        <w:t xml:space="preserve"> </w:t>
      </w:r>
      <w:r w:rsidR="00345BAA">
        <w:rPr>
          <w:rFonts w:asciiTheme="majorHAnsi" w:hAnsiTheme="majorHAnsi"/>
        </w:rPr>
        <w:t>As a result, t</w:t>
      </w:r>
      <w:r w:rsidR="00345BAA" w:rsidRPr="00620C76">
        <w:rPr>
          <w:rFonts w:asciiTheme="majorHAnsi" w:hAnsiTheme="majorHAnsi"/>
        </w:rPr>
        <w:t>he purpose of this information collection is to:</w:t>
      </w:r>
    </w:p>
    <w:p w14:paraId="10EA7F63" w14:textId="77777777" w:rsidR="00345BAA" w:rsidRDefault="00345BAA" w:rsidP="006109B4">
      <w:pPr>
        <w:pStyle w:val="ListParagraph"/>
        <w:numPr>
          <w:ilvl w:val="0"/>
          <w:numId w:val="25"/>
        </w:numPr>
        <w:spacing w:after="0"/>
        <w:contextualSpacing w:val="0"/>
        <w:rPr>
          <w:rFonts w:asciiTheme="majorHAnsi" w:hAnsiTheme="majorHAnsi"/>
        </w:rPr>
      </w:pPr>
      <w:r w:rsidRPr="00620C76">
        <w:rPr>
          <w:rFonts w:asciiTheme="majorHAnsi" w:hAnsiTheme="majorHAnsi"/>
        </w:rPr>
        <w:lastRenderedPageBreak/>
        <w:t>Understand the influence of water projects on policy, specifically, understand which water projects influenced which policies and how;</w:t>
      </w:r>
    </w:p>
    <w:p w14:paraId="0F25A57A" w14:textId="77777777" w:rsidR="00345BAA" w:rsidRDefault="00345BAA" w:rsidP="006109B4">
      <w:pPr>
        <w:pStyle w:val="ListParagraph"/>
        <w:numPr>
          <w:ilvl w:val="0"/>
          <w:numId w:val="25"/>
        </w:numPr>
        <w:spacing w:after="0"/>
        <w:contextualSpacing w:val="0"/>
        <w:rPr>
          <w:rFonts w:asciiTheme="majorHAnsi" w:hAnsiTheme="majorHAnsi"/>
        </w:rPr>
      </w:pPr>
      <w:r w:rsidRPr="00C86391">
        <w:rPr>
          <w:rFonts w:asciiTheme="majorHAnsi" w:hAnsiTheme="majorHAnsi"/>
        </w:rPr>
        <w:t>Identify challenges to influencing policy through water projects and strategies for overcoming challenges;</w:t>
      </w:r>
    </w:p>
    <w:p w14:paraId="3249E8C0" w14:textId="77777777" w:rsidR="00345BAA" w:rsidRDefault="00345BAA" w:rsidP="006109B4">
      <w:pPr>
        <w:pStyle w:val="ListParagraph"/>
        <w:numPr>
          <w:ilvl w:val="0"/>
          <w:numId w:val="25"/>
        </w:numPr>
        <w:spacing w:after="0"/>
        <w:contextualSpacing w:val="0"/>
        <w:rPr>
          <w:rFonts w:asciiTheme="majorHAnsi" w:hAnsiTheme="majorHAnsi"/>
        </w:rPr>
      </w:pPr>
      <w:r w:rsidRPr="00C86391">
        <w:rPr>
          <w:rFonts w:asciiTheme="majorHAnsi" w:hAnsiTheme="majorHAnsi"/>
        </w:rPr>
        <w:t>Understand the type of partnerships needed to facilitate policy development;</w:t>
      </w:r>
    </w:p>
    <w:p w14:paraId="5872E6C3" w14:textId="77777777" w:rsidR="00345BAA" w:rsidRDefault="00345BAA" w:rsidP="006109B4">
      <w:pPr>
        <w:pStyle w:val="ListParagraph"/>
        <w:numPr>
          <w:ilvl w:val="0"/>
          <w:numId w:val="25"/>
        </w:numPr>
        <w:spacing w:after="0"/>
        <w:contextualSpacing w:val="0"/>
        <w:rPr>
          <w:rFonts w:asciiTheme="majorHAnsi" w:hAnsiTheme="majorHAnsi"/>
        </w:rPr>
      </w:pPr>
      <w:r w:rsidRPr="00C86391">
        <w:rPr>
          <w:rFonts w:asciiTheme="majorHAnsi" w:hAnsiTheme="majorHAnsi"/>
        </w:rPr>
        <w:t>Identify the benefits gained to the local communities from the water project</w:t>
      </w:r>
      <w:r>
        <w:rPr>
          <w:rFonts w:asciiTheme="majorHAnsi" w:hAnsiTheme="majorHAnsi"/>
        </w:rPr>
        <w:t>;</w:t>
      </w:r>
    </w:p>
    <w:p w14:paraId="4B0BBEF3" w14:textId="77777777" w:rsidR="00345BAA" w:rsidRDefault="00345BAA" w:rsidP="006109B4">
      <w:pPr>
        <w:pStyle w:val="ListParagraph"/>
        <w:numPr>
          <w:ilvl w:val="0"/>
          <w:numId w:val="25"/>
        </w:numPr>
        <w:spacing w:after="0"/>
        <w:contextualSpacing w:val="0"/>
        <w:rPr>
          <w:rFonts w:asciiTheme="majorHAnsi" w:hAnsiTheme="majorHAnsi"/>
        </w:rPr>
      </w:pPr>
      <w:r w:rsidRPr="00C86391">
        <w:rPr>
          <w:rFonts w:asciiTheme="majorHAnsi" w:hAnsiTheme="majorHAnsi"/>
        </w:rPr>
        <w:t>Identify training and resource needs of STLT staff working on water projects.</w:t>
      </w:r>
    </w:p>
    <w:p w14:paraId="4C2867DC" w14:textId="77777777" w:rsidR="00345BAA" w:rsidRPr="00C04431" w:rsidRDefault="00345BAA" w:rsidP="00C04431">
      <w:pPr>
        <w:pStyle w:val="ListParagraph"/>
        <w:spacing w:after="0" w:line="240" w:lineRule="auto"/>
        <w:contextualSpacing w:val="0"/>
        <w:rPr>
          <w:rFonts w:asciiTheme="majorHAnsi" w:hAnsiTheme="majorHAnsi"/>
          <w:bCs/>
          <w:iCs/>
        </w:rPr>
      </w:pPr>
    </w:p>
    <w:p w14:paraId="7A2D498C" w14:textId="21695F89" w:rsidR="00C86391" w:rsidRPr="001B4D2A" w:rsidRDefault="0070229B" w:rsidP="00C04431">
      <w:pPr>
        <w:rPr>
          <w:rFonts w:asciiTheme="majorHAnsi" w:hAnsiTheme="majorHAnsi"/>
        </w:rPr>
      </w:pPr>
      <w:r w:rsidRPr="00000CF0">
        <w:rPr>
          <w:rFonts w:asciiTheme="majorHAnsi" w:hAnsiTheme="majorHAnsi"/>
        </w:rPr>
        <w:t>For this</w:t>
      </w:r>
      <w:r w:rsidRPr="00620C76">
        <w:rPr>
          <w:rFonts w:asciiTheme="majorHAnsi" w:hAnsiTheme="majorHAnsi"/>
        </w:rPr>
        <w:t xml:space="preserve"> information collection, </w:t>
      </w:r>
      <w:r w:rsidR="005C5E2E" w:rsidRPr="00620C76">
        <w:rPr>
          <w:rFonts w:asciiTheme="majorHAnsi" w:hAnsiTheme="majorHAnsi"/>
        </w:rPr>
        <w:t xml:space="preserve">CDC’s EHSB </w:t>
      </w:r>
      <w:r w:rsidRPr="00620C76">
        <w:rPr>
          <w:rFonts w:asciiTheme="majorHAnsi" w:hAnsiTheme="majorHAnsi"/>
        </w:rPr>
        <w:t xml:space="preserve">is partnering with </w:t>
      </w:r>
      <w:r w:rsidR="00DF0213" w:rsidRPr="00620C76">
        <w:rPr>
          <w:rFonts w:asciiTheme="majorHAnsi" w:hAnsiTheme="majorHAnsi"/>
        </w:rPr>
        <w:t>ChangeLab Solutions (CLS)</w:t>
      </w:r>
      <w:r w:rsidR="00404A10">
        <w:rPr>
          <w:rFonts w:asciiTheme="majorHAnsi" w:hAnsiTheme="majorHAnsi"/>
        </w:rPr>
        <w:t xml:space="preserve">. </w:t>
      </w:r>
      <w:r w:rsidR="00404A10" w:rsidRPr="00620C76">
        <w:rPr>
          <w:rFonts w:asciiTheme="majorHAnsi" w:hAnsiTheme="majorHAnsi"/>
        </w:rPr>
        <w:t xml:space="preserve">CLS is an interdisciplinary team of lawyers and public health specialists, who develop public health law linking housing, education, jobs, and the environment to healthy outcomes. The mission of CLS is to enhance the health of the nation through the use </w:t>
      </w:r>
      <w:r w:rsidR="00404A10">
        <w:rPr>
          <w:rFonts w:asciiTheme="majorHAnsi" w:hAnsiTheme="majorHAnsi"/>
        </w:rPr>
        <w:t>of the tools of law and policy</w:t>
      </w:r>
      <w:r w:rsidR="00404A10" w:rsidRPr="006A11DC">
        <w:rPr>
          <w:rFonts w:asciiTheme="majorHAnsi" w:hAnsiTheme="majorHAnsi"/>
        </w:rPr>
        <w:t>.</w:t>
      </w:r>
      <w:r w:rsidR="0010155C" w:rsidRPr="006A11DC">
        <w:rPr>
          <w:rFonts w:asciiTheme="majorHAnsi" w:hAnsiTheme="majorHAnsi"/>
          <w:vertAlign w:val="superscript"/>
        </w:rPr>
        <w:t>10</w:t>
      </w:r>
      <w:r w:rsidR="00404A10">
        <w:rPr>
          <w:rFonts w:asciiTheme="majorHAnsi" w:hAnsiTheme="majorHAnsi"/>
        </w:rPr>
        <w:t xml:space="preserve"> CLS will conduct </w:t>
      </w:r>
      <w:r w:rsidR="002744B8">
        <w:rPr>
          <w:rFonts w:asciiTheme="majorHAnsi" w:hAnsiTheme="majorHAnsi"/>
        </w:rPr>
        <w:t>i</w:t>
      </w:r>
      <w:r w:rsidR="00404A10">
        <w:rPr>
          <w:rFonts w:asciiTheme="majorHAnsi" w:hAnsiTheme="majorHAnsi"/>
        </w:rPr>
        <w:t xml:space="preserve">n-depth interviews with </w:t>
      </w:r>
      <w:r w:rsidR="008B28D5">
        <w:rPr>
          <w:rFonts w:asciiTheme="majorHAnsi" w:hAnsiTheme="majorHAnsi"/>
        </w:rPr>
        <w:t xml:space="preserve">18 </w:t>
      </w:r>
      <w:r w:rsidR="00404A10">
        <w:rPr>
          <w:rFonts w:asciiTheme="majorHAnsi" w:hAnsiTheme="majorHAnsi"/>
        </w:rPr>
        <w:t xml:space="preserve">environmental health practitioners from </w:t>
      </w:r>
      <w:r w:rsidR="00FB7D74">
        <w:rPr>
          <w:rFonts w:asciiTheme="majorHAnsi" w:hAnsiTheme="majorHAnsi"/>
        </w:rPr>
        <w:t>6 of the</w:t>
      </w:r>
      <w:r w:rsidR="00404A10">
        <w:rPr>
          <w:rFonts w:asciiTheme="majorHAnsi" w:hAnsiTheme="majorHAnsi"/>
        </w:rPr>
        <w:t xml:space="preserve"> public health </w:t>
      </w:r>
      <w:r w:rsidR="00404A10">
        <w:rPr>
          <w:rFonts w:asciiTheme="majorHAnsi" w:hAnsiTheme="majorHAnsi"/>
        </w:rPr>
        <w:lastRenderedPageBreak/>
        <w:t>departments</w:t>
      </w:r>
      <w:r w:rsidR="008B28D5">
        <w:rPr>
          <w:rFonts w:asciiTheme="majorHAnsi" w:hAnsiTheme="majorHAnsi"/>
        </w:rPr>
        <w:t xml:space="preserve"> (3 from each health department)</w:t>
      </w:r>
      <w:r w:rsidR="00404A10">
        <w:rPr>
          <w:rFonts w:asciiTheme="majorHAnsi" w:hAnsiTheme="majorHAnsi"/>
        </w:rPr>
        <w:t xml:space="preserve"> that participated in the </w:t>
      </w:r>
      <w:r w:rsidR="00404A10" w:rsidRPr="00404A10">
        <w:rPr>
          <w:rFonts w:asciiTheme="majorHAnsi" w:hAnsiTheme="majorHAnsi"/>
        </w:rPr>
        <w:t>CDC-funded water programs (EHS-Net Water and PW/UDWS).</w:t>
      </w:r>
    </w:p>
    <w:p w14:paraId="4BB76504" w14:textId="77886A7A" w:rsidR="002E3F35" w:rsidRPr="007F55FF" w:rsidRDefault="002E3F35" w:rsidP="002E3F35">
      <w:pPr>
        <w:rPr>
          <w:rFonts w:asciiTheme="majorHAnsi" w:hAnsiTheme="majorHAnsi"/>
        </w:rPr>
      </w:pPr>
      <w:r w:rsidRPr="007F55FF">
        <w:rPr>
          <w:rFonts w:asciiTheme="majorHAnsi" w:hAnsiTheme="majorHAnsi"/>
        </w:rPr>
        <w:t>The information gleaned will help investigators understand the differences and nuances of how policy is developed and used at STLT health departments in relation to water projects</w:t>
      </w:r>
      <w:r w:rsidR="007C707F" w:rsidRPr="007F55FF">
        <w:rPr>
          <w:rFonts w:asciiTheme="majorHAnsi" w:hAnsiTheme="majorHAnsi"/>
        </w:rPr>
        <w:t xml:space="preserve"> </w:t>
      </w:r>
      <w:r w:rsidR="007C707F" w:rsidRPr="007F55FF">
        <w:rPr>
          <w:rFonts w:asciiTheme="majorHAnsi" w:hAnsiTheme="majorHAnsi"/>
          <w:bCs/>
        </w:rPr>
        <w:t>focusing on federally unregulated drinking</w:t>
      </w:r>
      <w:r w:rsidR="007C707F" w:rsidRPr="007F55FF">
        <w:rPr>
          <w:rFonts w:asciiTheme="majorHAnsi" w:hAnsiTheme="majorHAnsi"/>
        </w:rPr>
        <w:t xml:space="preserve"> </w:t>
      </w:r>
      <w:r w:rsidR="007C707F" w:rsidRPr="007F55FF">
        <w:rPr>
          <w:rFonts w:asciiTheme="majorHAnsi" w:hAnsiTheme="majorHAnsi"/>
          <w:bCs/>
        </w:rPr>
        <w:t>water sources</w:t>
      </w:r>
      <w:r w:rsidRPr="007F55FF">
        <w:rPr>
          <w:rFonts w:asciiTheme="majorHAnsi" w:hAnsiTheme="majorHAnsi"/>
        </w:rPr>
        <w:t xml:space="preserve">. Specifically, the information collected will be used to: </w:t>
      </w:r>
    </w:p>
    <w:p w14:paraId="20E14B54" w14:textId="77777777" w:rsidR="002E3F35" w:rsidRPr="007F55FF" w:rsidRDefault="002E3F35" w:rsidP="002E3F35">
      <w:pPr>
        <w:pStyle w:val="ListParagraph"/>
        <w:numPr>
          <w:ilvl w:val="0"/>
          <w:numId w:val="32"/>
        </w:numPr>
        <w:rPr>
          <w:rFonts w:asciiTheme="majorHAnsi" w:hAnsiTheme="majorHAnsi"/>
        </w:rPr>
      </w:pPr>
      <w:r w:rsidRPr="007F55FF">
        <w:rPr>
          <w:rFonts w:asciiTheme="majorHAnsi" w:hAnsiTheme="majorHAnsi"/>
        </w:rPr>
        <w:t xml:space="preserve">Assess which strategies have worked in addressing safe drinking water policies during the conduct of the EHS-Net Water Program and PW/UWDS programs within the small subset of grantees. </w:t>
      </w:r>
    </w:p>
    <w:p w14:paraId="7E1387DD" w14:textId="77777777" w:rsidR="002E3F35" w:rsidRPr="007F55FF" w:rsidRDefault="002E3F35" w:rsidP="002E3F35">
      <w:pPr>
        <w:pStyle w:val="ListParagraph"/>
        <w:numPr>
          <w:ilvl w:val="0"/>
          <w:numId w:val="32"/>
        </w:numPr>
        <w:rPr>
          <w:rFonts w:asciiTheme="majorHAnsi" w:hAnsiTheme="majorHAnsi"/>
        </w:rPr>
      </w:pPr>
      <w:r w:rsidRPr="007F55FF">
        <w:rPr>
          <w:rFonts w:asciiTheme="majorHAnsi" w:hAnsiTheme="majorHAnsi"/>
        </w:rPr>
        <w:t xml:space="preserve">Inform CDC guidance regarding the delivery of essential environmental public health services for STLT drinking water programs. </w:t>
      </w:r>
    </w:p>
    <w:p w14:paraId="13715D06" w14:textId="779969C0" w:rsidR="00BA0EAB" w:rsidRPr="007F55FF" w:rsidRDefault="00033083" w:rsidP="00DC6AF0">
      <w:pPr>
        <w:pStyle w:val="ListParagraph"/>
        <w:numPr>
          <w:ilvl w:val="0"/>
          <w:numId w:val="32"/>
        </w:numPr>
        <w:rPr>
          <w:rFonts w:asciiTheme="majorHAnsi" w:hAnsiTheme="majorHAnsi"/>
        </w:rPr>
      </w:pPr>
      <w:r w:rsidRPr="007F55FF">
        <w:rPr>
          <w:rFonts w:asciiTheme="majorHAnsi" w:hAnsiTheme="majorHAnsi"/>
        </w:rPr>
        <w:lastRenderedPageBreak/>
        <w:t xml:space="preserve">Develop “how to” guides for STLT health departments, outlining examples of water projects and their relationship to policy at the six sites that participate in the interviews. Although the sample size (n=6) is small, investigators believe other STLT health departments will benefit from learning from the experiences of these six sites, as they may be able to replicate safe water interventions in their own jurisdictions. </w:t>
      </w:r>
      <w:r w:rsidR="006C3E3F" w:rsidRPr="007F55FF">
        <w:rPr>
          <w:rFonts w:asciiTheme="majorHAnsi" w:hAnsiTheme="majorHAnsi"/>
        </w:rPr>
        <w:t xml:space="preserve"> </w:t>
      </w:r>
    </w:p>
    <w:p w14:paraId="1F0ABD8F" w14:textId="77777777" w:rsidR="00BA2A80" w:rsidRPr="00D23089" w:rsidRDefault="00BA2A80" w:rsidP="00BA2A80">
      <w:pPr>
        <w:rPr>
          <w:rFonts w:asciiTheme="majorHAnsi" w:hAnsiTheme="majorHAnsi"/>
          <w:b/>
        </w:rPr>
      </w:pPr>
      <w:r w:rsidRPr="00D23089">
        <w:rPr>
          <w:rFonts w:asciiTheme="majorHAnsi" w:hAnsiTheme="majorHAnsi"/>
          <w:b/>
        </w:rPr>
        <w:t xml:space="preserve">Overview of the Information Collection System  </w:t>
      </w:r>
    </w:p>
    <w:p w14:paraId="1F0ABD90" w14:textId="79A9A752" w:rsidR="00BA2A80" w:rsidRPr="00D23089" w:rsidRDefault="002555EB" w:rsidP="00BA2A80">
      <w:pPr>
        <w:rPr>
          <w:rFonts w:asciiTheme="majorHAnsi" w:hAnsiTheme="majorHAnsi"/>
        </w:rPr>
      </w:pPr>
      <w:r w:rsidRPr="00620C76">
        <w:rPr>
          <w:rFonts w:asciiTheme="majorHAnsi" w:hAnsiTheme="majorHAnsi"/>
        </w:rPr>
        <w:t>I</w:t>
      </w:r>
      <w:r w:rsidR="00E1151E" w:rsidRPr="00620C76">
        <w:rPr>
          <w:rFonts w:asciiTheme="majorHAnsi" w:hAnsiTheme="majorHAnsi"/>
        </w:rPr>
        <w:t>nformation will be collect</w:t>
      </w:r>
      <w:r w:rsidRPr="00620C76">
        <w:rPr>
          <w:rFonts w:asciiTheme="majorHAnsi" w:hAnsiTheme="majorHAnsi"/>
        </w:rPr>
        <w:t xml:space="preserve">ed from a total of </w:t>
      </w:r>
      <w:r w:rsidR="00E64536" w:rsidRPr="00620C76">
        <w:rPr>
          <w:rFonts w:asciiTheme="majorHAnsi" w:hAnsiTheme="majorHAnsi"/>
        </w:rPr>
        <w:t xml:space="preserve">18 </w:t>
      </w:r>
      <w:r w:rsidRPr="00620C76">
        <w:rPr>
          <w:rFonts w:asciiTheme="majorHAnsi" w:hAnsiTheme="majorHAnsi"/>
        </w:rPr>
        <w:t>state</w:t>
      </w:r>
      <w:r w:rsidR="00607AB9" w:rsidRPr="00620C76">
        <w:rPr>
          <w:rFonts w:asciiTheme="majorHAnsi" w:hAnsiTheme="majorHAnsi"/>
        </w:rPr>
        <w:t xml:space="preserve"> </w:t>
      </w:r>
      <w:r w:rsidR="00E64536" w:rsidRPr="00620C76">
        <w:rPr>
          <w:rFonts w:asciiTheme="majorHAnsi" w:hAnsiTheme="majorHAnsi"/>
        </w:rPr>
        <w:t>and local</w:t>
      </w:r>
      <w:r w:rsidRPr="00620C76">
        <w:rPr>
          <w:rFonts w:asciiTheme="majorHAnsi" w:hAnsiTheme="majorHAnsi"/>
        </w:rPr>
        <w:t xml:space="preserve"> </w:t>
      </w:r>
      <w:r w:rsidR="00E1151E" w:rsidRPr="00620C76">
        <w:rPr>
          <w:rFonts w:asciiTheme="majorHAnsi" w:hAnsiTheme="majorHAnsi"/>
        </w:rPr>
        <w:t xml:space="preserve">EH </w:t>
      </w:r>
      <w:r w:rsidR="004B07E7">
        <w:rPr>
          <w:rFonts w:asciiTheme="majorHAnsi" w:hAnsiTheme="majorHAnsi"/>
        </w:rPr>
        <w:t>p</w:t>
      </w:r>
      <w:r w:rsidR="00455AB1" w:rsidRPr="00620C76">
        <w:rPr>
          <w:rFonts w:asciiTheme="majorHAnsi" w:hAnsiTheme="majorHAnsi"/>
        </w:rPr>
        <w:t xml:space="preserve">ractitioners </w:t>
      </w:r>
      <w:r w:rsidR="00620C76" w:rsidRPr="00620C76">
        <w:rPr>
          <w:rFonts w:asciiTheme="majorHAnsi" w:hAnsiTheme="majorHAnsi"/>
        </w:rPr>
        <w:t>(</w:t>
      </w:r>
      <w:r w:rsidR="00253ECF" w:rsidRPr="00620C76">
        <w:rPr>
          <w:rFonts w:asciiTheme="majorHAnsi" w:hAnsiTheme="majorHAnsi"/>
        </w:rPr>
        <w:t>6 EH Directors</w:t>
      </w:r>
      <w:r w:rsidR="00620C76">
        <w:rPr>
          <w:rFonts w:asciiTheme="majorHAnsi" w:hAnsiTheme="majorHAnsi"/>
        </w:rPr>
        <w:t>, 6 PIs, and 6</w:t>
      </w:r>
      <w:r w:rsidR="00253ECF" w:rsidRPr="00620C76">
        <w:rPr>
          <w:rFonts w:asciiTheme="majorHAnsi" w:hAnsiTheme="majorHAnsi"/>
        </w:rPr>
        <w:t xml:space="preserve"> </w:t>
      </w:r>
      <w:r w:rsidR="00422D33">
        <w:rPr>
          <w:rFonts w:asciiTheme="majorHAnsi" w:hAnsiTheme="majorHAnsi"/>
        </w:rPr>
        <w:t xml:space="preserve">other </w:t>
      </w:r>
      <w:r w:rsidR="00253ECF" w:rsidRPr="00620C76">
        <w:rPr>
          <w:rFonts w:asciiTheme="majorHAnsi" w:hAnsiTheme="majorHAnsi"/>
        </w:rPr>
        <w:t xml:space="preserve">EH </w:t>
      </w:r>
      <w:r w:rsidR="00620C76">
        <w:rPr>
          <w:rFonts w:asciiTheme="majorHAnsi" w:hAnsiTheme="majorHAnsi"/>
        </w:rPr>
        <w:t>p</w:t>
      </w:r>
      <w:r w:rsidR="00620C76" w:rsidRPr="00620C76">
        <w:rPr>
          <w:rFonts w:asciiTheme="majorHAnsi" w:hAnsiTheme="majorHAnsi"/>
        </w:rPr>
        <w:t>ractitioners or designated s</w:t>
      </w:r>
      <w:r w:rsidR="00253ECF" w:rsidRPr="00620C76">
        <w:rPr>
          <w:rFonts w:asciiTheme="majorHAnsi" w:hAnsiTheme="majorHAnsi"/>
        </w:rPr>
        <w:t xml:space="preserve">taff) </w:t>
      </w:r>
      <w:r w:rsidR="00E1151E" w:rsidRPr="00620C76">
        <w:rPr>
          <w:rFonts w:asciiTheme="majorHAnsi" w:hAnsiTheme="majorHAnsi"/>
        </w:rPr>
        <w:t>via</w:t>
      </w:r>
      <w:r w:rsidR="00D20F14" w:rsidRPr="00620C76">
        <w:rPr>
          <w:rFonts w:asciiTheme="majorHAnsi" w:hAnsiTheme="majorHAnsi"/>
        </w:rPr>
        <w:t xml:space="preserve"> </w:t>
      </w:r>
      <w:r w:rsidR="001C07AE" w:rsidRPr="00620C76">
        <w:rPr>
          <w:rFonts w:asciiTheme="majorHAnsi" w:hAnsiTheme="majorHAnsi"/>
        </w:rPr>
        <w:t>in-person</w:t>
      </w:r>
      <w:r w:rsidR="00BA2A80" w:rsidRPr="00620C76">
        <w:rPr>
          <w:rFonts w:asciiTheme="majorHAnsi" w:hAnsiTheme="majorHAnsi"/>
        </w:rPr>
        <w:t xml:space="preserve"> </w:t>
      </w:r>
      <w:r w:rsidR="0072685E" w:rsidRPr="00620C76">
        <w:rPr>
          <w:rFonts w:asciiTheme="majorHAnsi" w:hAnsiTheme="majorHAnsi"/>
        </w:rPr>
        <w:t>interview</w:t>
      </w:r>
      <w:r w:rsidR="00607AB9" w:rsidRPr="00620C76">
        <w:rPr>
          <w:rFonts w:asciiTheme="majorHAnsi" w:hAnsiTheme="majorHAnsi"/>
        </w:rPr>
        <w:t>s</w:t>
      </w:r>
      <w:r w:rsidR="0072685E" w:rsidRPr="00620C76">
        <w:rPr>
          <w:rFonts w:asciiTheme="majorHAnsi" w:hAnsiTheme="majorHAnsi"/>
        </w:rPr>
        <w:t xml:space="preserve"> conducted by</w:t>
      </w:r>
      <w:r w:rsidR="00321836" w:rsidRPr="00620C76">
        <w:rPr>
          <w:rFonts w:asciiTheme="majorHAnsi" w:hAnsiTheme="majorHAnsi"/>
        </w:rPr>
        <w:t xml:space="preserve"> C</w:t>
      </w:r>
      <w:r w:rsidR="00607AB9" w:rsidRPr="00620C76">
        <w:rPr>
          <w:rFonts w:asciiTheme="majorHAnsi" w:hAnsiTheme="majorHAnsi"/>
        </w:rPr>
        <w:t>hange</w:t>
      </w:r>
      <w:r w:rsidR="00321836" w:rsidRPr="00620C76">
        <w:rPr>
          <w:rFonts w:asciiTheme="majorHAnsi" w:hAnsiTheme="majorHAnsi"/>
        </w:rPr>
        <w:t>L</w:t>
      </w:r>
      <w:r w:rsidR="00607AB9" w:rsidRPr="00620C76">
        <w:rPr>
          <w:rFonts w:asciiTheme="majorHAnsi" w:hAnsiTheme="majorHAnsi"/>
        </w:rPr>
        <w:t xml:space="preserve">ab </w:t>
      </w:r>
      <w:r w:rsidR="00321836" w:rsidRPr="00620C76">
        <w:rPr>
          <w:rFonts w:asciiTheme="majorHAnsi" w:hAnsiTheme="majorHAnsi"/>
        </w:rPr>
        <w:t>S</w:t>
      </w:r>
      <w:r w:rsidR="00607AB9" w:rsidRPr="00620C76">
        <w:rPr>
          <w:rFonts w:asciiTheme="majorHAnsi" w:hAnsiTheme="majorHAnsi"/>
        </w:rPr>
        <w:t>olutions staff</w:t>
      </w:r>
      <w:r w:rsidR="00B02EFF" w:rsidRPr="00620C76">
        <w:rPr>
          <w:rFonts w:asciiTheme="majorHAnsi" w:hAnsiTheme="majorHAnsi"/>
        </w:rPr>
        <w:t>, u</w:t>
      </w:r>
      <w:r w:rsidR="0072685E" w:rsidRPr="00620C76">
        <w:rPr>
          <w:rFonts w:asciiTheme="majorHAnsi" w:hAnsiTheme="majorHAnsi"/>
        </w:rPr>
        <w:t xml:space="preserve">sing a standard interview guide </w:t>
      </w:r>
      <w:r w:rsidR="00F17028" w:rsidRPr="00620C76">
        <w:rPr>
          <w:rFonts w:asciiTheme="majorHAnsi" w:hAnsiTheme="majorHAnsi"/>
        </w:rPr>
        <w:t xml:space="preserve">(see </w:t>
      </w:r>
      <w:r w:rsidR="00F17028" w:rsidRPr="00620C76">
        <w:rPr>
          <w:rFonts w:asciiTheme="majorHAnsi" w:hAnsiTheme="majorHAnsi"/>
          <w:b/>
        </w:rPr>
        <w:t>Attachment</w:t>
      </w:r>
      <w:r w:rsidR="00BA2A80" w:rsidRPr="00620C76">
        <w:rPr>
          <w:rFonts w:asciiTheme="majorHAnsi" w:hAnsiTheme="majorHAnsi"/>
          <w:b/>
        </w:rPr>
        <w:t xml:space="preserve"> </w:t>
      </w:r>
      <w:r w:rsidR="00D00348" w:rsidRPr="00620C76">
        <w:rPr>
          <w:rFonts w:asciiTheme="majorHAnsi" w:hAnsiTheme="majorHAnsi"/>
          <w:b/>
        </w:rPr>
        <w:t>B</w:t>
      </w:r>
      <w:r w:rsidR="00F17028" w:rsidRPr="00620C76">
        <w:rPr>
          <w:rFonts w:asciiTheme="majorHAnsi" w:hAnsiTheme="majorHAnsi"/>
          <w:b/>
        </w:rPr>
        <w:t xml:space="preserve"> </w:t>
      </w:r>
      <w:r w:rsidR="00BA2A80" w:rsidRPr="00620C76">
        <w:rPr>
          <w:rFonts w:asciiTheme="majorHAnsi" w:hAnsiTheme="majorHAnsi"/>
        </w:rPr>
        <w:t>—</w:t>
      </w:r>
      <w:r w:rsidR="00D00348" w:rsidRPr="00620C76">
        <w:rPr>
          <w:rFonts w:asciiTheme="majorHAnsi" w:hAnsiTheme="majorHAnsi"/>
          <w:b/>
        </w:rPr>
        <w:t>Interview Guide</w:t>
      </w:r>
      <w:r w:rsidR="00BA2A80" w:rsidRPr="00620C76">
        <w:rPr>
          <w:rFonts w:asciiTheme="majorHAnsi" w:hAnsiTheme="majorHAnsi"/>
        </w:rPr>
        <w:t>)</w:t>
      </w:r>
      <w:r w:rsidR="00B02EFF" w:rsidRPr="00620C76">
        <w:rPr>
          <w:rFonts w:asciiTheme="majorHAnsi" w:hAnsiTheme="majorHAnsi"/>
        </w:rPr>
        <w:t>.</w:t>
      </w:r>
      <w:r w:rsidR="0002027A">
        <w:rPr>
          <w:rFonts w:asciiTheme="majorHAnsi" w:hAnsiTheme="majorHAnsi"/>
        </w:rPr>
        <w:t xml:space="preserve"> Interview notes will be taken by CLS staff</w:t>
      </w:r>
      <w:r w:rsidR="0002027A" w:rsidRPr="00620C76">
        <w:rPr>
          <w:rFonts w:asciiTheme="majorHAnsi" w:hAnsiTheme="majorHAnsi"/>
        </w:rPr>
        <w:t xml:space="preserve"> on a portable computer during </w:t>
      </w:r>
      <w:r w:rsidR="0002027A">
        <w:rPr>
          <w:rFonts w:asciiTheme="majorHAnsi" w:hAnsiTheme="majorHAnsi"/>
        </w:rPr>
        <w:t xml:space="preserve">the interviews. </w:t>
      </w:r>
    </w:p>
    <w:p w14:paraId="03D5E7E2" w14:textId="09818FD7" w:rsidR="009764C5" w:rsidRPr="00D23089" w:rsidRDefault="0072685E" w:rsidP="009D170E">
      <w:pPr>
        <w:rPr>
          <w:rFonts w:asciiTheme="majorHAnsi" w:hAnsiTheme="majorHAnsi"/>
        </w:rPr>
      </w:pPr>
      <w:r w:rsidRPr="00BA6614">
        <w:rPr>
          <w:rFonts w:asciiTheme="majorHAnsi" w:hAnsiTheme="majorHAnsi"/>
        </w:rPr>
        <w:lastRenderedPageBreak/>
        <w:t xml:space="preserve">The interview guide was pilot tested by </w:t>
      </w:r>
      <w:r w:rsidR="0088223D">
        <w:rPr>
          <w:rFonts w:asciiTheme="majorHAnsi" w:hAnsiTheme="majorHAnsi"/>
        </w:rPr>
        <w:t>3 public health professionals, including</w:t>
      </w:r>
      <w:r w:rsidR="00174F67">
        <w:rPr>
          <w:rFonts w:asciiTheme="majorHAnsi" w:hAnsiTheme="majorHAnsi"/>
        </w:rPr>
        <w:t xml:space="preserve"> </w:t>
      </w:r>
      <w:r w:rsidR="00CE2747" w:rsidRPr="00BA6614">
        <w:rPr>
          <w:rFonts w:asciiTheme="majorHAnsi" w:hAnsiTheme="majorHAnsi"/>
        </w:rPr>
        <w:t xml:space="preserve">2 </w:t>
      </w:r>
      <w:r w:rsidR="00D30645">
        <w:rPr>
          <w:rFonts w:asciiTheme="majorHAnsi" w:hAnsiTheme="majorHAnsi"/>
        </w:rPr>
        <w:t>EH</w:t>
      </w:r>
      <w:r w:rsidR="002D2B83" w:rsidRPr="00BA6614">
        <w:rPr>
          <w:rFonts w:asciiTheme="majorHAnsi" w:hAnsiTheme="majorHAnsi"/>
        </w:rPr>
        <w:t xml:space="preserve"> </w:t>
      </w:r>
      <w:r w:rsidR="00D30645">
        <w:rPr>
          <w:rFonts w:asciiTheme="majorHAnsi" w:hAnsiTheme="majorHAnsi"/>
        </w:rPr>
        <w:t>practitioners</w:t>
      </w:r>
      <w:r w:rsidR="00BA6614" w:rsidRPr="00BA6614">
        <w:rPr>
          <w:rFonts w:asciiTheme="majorHAnsi" w:hAnsiTheme="majorHAnsi"/>
        </w:rPr>
        <w:t xml:space="preserve"> </w:t>
      </w:r>
      <w:r w:rsidR="002D2B83" w:rsidRPr="00BA6614">
        <w:rPr>
          <w:rFonts w:asciiTheme="majorHAnsi" w:hAnsiTheme="majorHAnsi"/>
        </w:rPr>
        <w:t xml:space="preserve">from the Cerro Gordo County Department </w:t>
      </w:r>
      <w:r w:rsidR="00694173" w:rsidRPr="00BA6614">
        <w:rPr>
          <w:rFonts w:asciiTheme="majorHAnsi" w:hAnsiTheme="majorHAnsi"/>
        </w:rPr>
        <w:t xml:space="preserve">of Public Health, Iowa and </w:t>
      </w:r>
      <w:r w:rsidR="00CE2747" w:rsidRPr="00BA6614">
        <w:rPr>
          <w:rFonts w:asciiTheme="majorHAnsi" w:hAnsiTheme="majorHAnsi"/>
        </w:rPr>
        <w:t xml:space="preserve">1 </w:t>
      </w:r>
      <w:r w:rsidR="00D30645">
        <w:rPr>
          <w:rFonts w:asciiTheme="majorHAnsi" w:hAnsiTheme="majorHAnsi"/>
        </w:rPr>
        <w:t xml:space="preserve">staffer </w:t>
      </w:r>
      <w:r w:rsidR="001E16F5" w:rsidRPr="00BA6614">
        <w:rPr>
          <w:rFonts w:asciiTheme="majorHAnsi" w:hAnsiTheme="majorHAnsi"/>
        </w:rPr>
        <w:t xml:space="preserve">from </w:t>
      </w:r>
      <w:r w:rsidR="002D2B83" w:rsidRPr="00BA6614">
        <w:rPr>
          <w:rFonts w:asciiTheme="majorHAnsi" w:hAnsiTheme="majorHAnsi"/>
        </w:rPr>
        <w:t>CLS</w:t>
      </w:r>
      <w:r w:rsidR="006177A6" w:rsidRPr="00BA6614">
        <w:rPr>
          <w:rFonts w:asciiTheme="majorHAnsi" w:hAnsiTheme="majorHAnsi"/>
        </w:rPr>
        <w:t xml:space="preserve">. </w:t>
      </w:r>
      <w:r w:rsidR="00BA2A80" w:rsidRPr="00BA6614">
        <w:rPr>
          <w:rFonts w:asciiTheme="majorHAnsi" w:hAnsiTheme="majorHAnsi"/>
        </w:rPr>
        <w:t xml:space="preserve"> Feedback from </w:t>
      </w:r>
      <w:r w:rsidR="003156E9" w:rsidRPr="00BA6614">
        <w:rPr>
          <w:rFonts w:asciiTheme="majorHAnsi" w:hAnsiTheme="majorHAnsi"/>
        </w:rPr>
        <w:t>th</w:t>
      </w:r>
      <w:r w:rsidR="001E16F5" w:rsidRPr="00BA6614">
        <w:rPr>
          <w:rFonts w:asciiTheme="majorHAnsi" w:hAnsiTheme="majorHAnsi"/>
        </w:rPr>
        <w:t xml:space="preserve">ese individuals </w:t>
      </w:r>
      <w:r w:rsidR="00694173" w:rsidRPr="00BA6614">
        <w:rPr>
          <w:rFonts w:asciiTheme="majorHAnsi" w:hAnsiTheme="majorHAnsi"/>
        </w:rPr>
        <w:t>w</w:t>
      </w:r>
      <w:r w:rsidR="00BA2A80" w:rsidRPr="00BA6614">
        <w:rPr>
          <w:rFonts w:asciiTheme="majorHAnsi" w:hAnsiTheme="majorHAnsi"/>
        </w:rPr>
        <w:t>as use</w:t>
      </w:r>
      <w:r w:rsidR="00CC0E0C" w:rsidRPr="00BA6614">
        <w:rPr>
          <w:rFonts w:asciiTheme="majorHAnsi" w:hAnsiTheme="majorHAnsi"/>
        </w:rPr>
        <w:t xml:space="preserve">d to refine questions </w:t>
      </w:r>
      <w:r w:rsidR="00BA2A80" w:rsidRPr="00BA6614">
        <w:rPr>
          <w:rFonts w:asciiTheme="majorHAnsi" w:hAnsiTheme="majorHAnsi"/>
        </w:rPr>
        <w:t xml:space="preserve">and </w:t>
      </w:r>
      <w:r w:rsidR="00694173" w:rsidRPr="00BA6614">
        <w:rPr>
          <w:rFonts w:asciiTheme="majorHAnsi" w:hAnsiTheme="majorHAnsi"/>
        </w:rPr>
        <w:t>to estimate</w:t>
      </w:r>
      <w:r w:rsidR="00BA2A80" w:rsidRPr="00BA6614">
        <w:rPr>
          <w:rFonts w:asciiTheme="majorHAnsi" w:hAnsiTheme="majorHAnsi"/>
        </w:rPr>
        <w:t xml:space="preserve"> the </w:t>
      </w:r>
      <w:r w:rsidR="00694173" w:rsidRPr="00BA6614">
        <w:rPr>
          <w:rFonts w:asciiTheme="majorHAnsi" w:hAnsiTheme="majorHAnsi"/>
        </w:rPr>
        <w:t xml:space="preserve">average </w:t>
      </w:r>
      <w:r w:rsidR="00BA2A80" w:rsidRPr="00BA6614">
        <w:rPr>
          <w:rFonts w:asciiTheme="majorHAnsi" w:hAnsiTheme="majorHAnsi"/>
        </w:rPr>
        <w:t xml:space="preserve">time required to complete the </w:t>
      </w:r>
      <w:r w:rsidRPr="00BA6614">
        <w:rPr>
          <w:rFonts w:asciiTheme="majorHAnsi" w:hAnsiTheme="majorHAnsi"/>
        </w:rPr>
        <w:t>interview</w:t>
      </w:r>
      <w:r w:rsidR="00B64B45" w:rsidRPr="00BA6614">
        <w:rPr>
          <w:rFonts w:asciiTheme="majorHAnsi" w:hAnsiTheme="majorHAnsi"/>
        </w:rPr>
        <w:t>.</w:t>
      </w:r>
    </w:p>
    <w:p w14:paraId="1F0ABD93" w14:textId="29AA867A" w:rsidR="00BA2A80" w:rsidRPr="00D23089" w:rsidRDefault="00BA2A80" w:rsidP="00473AC7">
      <w:pPr>
        <w:tabs>
          <w:tab w:val="left" w:pos="7140"/>
        </w:tabs>
        <w:rPr>
          <w:rFonts w:asciiTheme="majorHAnsi" w:hAnsiTheme="majorHAnsi"/>
          <w:b/>
        </w:rPr>
      </w:pPr>
      <w:r w:rsidRPr="00E65E29">
        <w:rPr>
          <w:rFonts w:asciiTheme="majorHAnsi" w:hAnsiTheme="majorHAnsi"/>
          <w:b/>
        </w:rPr>
        <w:t>Items</w:t>
      </w:r>
      <w:r w:rsidR="00851E59" w:rsidRPr="00E65E29">
        <w:rPr>
          <w:rFonts w:asciiTheme="majorHAnsi" w:hAnsiTheme="majorHAnsi"/>
          <w:b/>
        </w:rPr>
        <w:t xml:space="preserve"> of Information to be collected</w:t>
      </w:r>
    </w:p>
    <w:p w14:paraId="4FA2AC1D" w14:textId="22B93309" w:rsidR="00F21BEE" w:rsidRPr="00557BBE" w:rsidRDefault="00473AC7" w:rsidP="00BA2A80">
      <w:pPr>
        <w:rPr>
          <w:rFonts w:asciiTheme="majorHAnsi" w:hAnsiTheme="majorHAnsi"/>
        </w:rPr>
      </w:pPr>
      <w:r w:rsidRPr="007F55FF">
        <w:rPr>
          <w:rFonts w:asciiTheme="majorHAnsi" w:hAnsiTheme="majorHAnsi"/>
        </w:rPr>
        <w:t>T</w:t>
      </w:r>
      <w:r w:rsidR="005E313D" w:rsidRPr="007F55FF">
        <w:rPr>
          <w:rFonts w:asciiTheme="majorHAnsi" w:hAnsiTheme="majorHAnsi"/>
        </w:rPr>
        <w:t>h</w:t>
      </w:r>
      <w:r w:rsidRPr="007F55FF">
        <w:rPr>
          <w:rFonts w:asciiTheme="majorHAnsi" w:hAnsiTheme="majorHAnsi"/>
        </w:rPr>
        <w:t xml:space="preserve">is information collection </w:t>
      </w:r>
      <w:r w:rsidR="009F65B0" w:rsidRPr="007F55FF">
        <w:rPr>
          <w:rFonts w:asciiTheme="majorHAnsi" w:hAnsiTheme="majorHAnsi"/>
        </w:rPr>
        <w:t xml:space="preserve">will </w:t>
      </w:r>
      <w:r w:rsidR="00F21BEE" w:rsidRPr="007F55FF">
        <w:rPr>
          <w:rFonts w:asciiTheme="majorHAnsi" w:hAnsiTheme="majorHAnsi"/>
        </w:rPr>
        <w:t>assess</w:t>
      </w:r>
      <w:r w:rsidR="009F65B0" w:rsidRPr="007F55FF">
        <w:rPr>
          <w:rFonts w:asciiTheme="majorHAnsi" w:hAnsiTheme="majorHAnsi"/>
        </w:rPr>
        <w:t xml:space="preserve"> what</w:t>
      </w:r>
      <w:r w:rsidR="003A671D" w:rsidRPr="007F55FF">
        <w:rPr>
          <w:rFonts w:asciiTheme="majorHAnsi" w:hAnsiTheme="majorHAnsi"/>
        </w:rPr>
        <w:t xml:space="preserve"> strategies were </w:t>
      </w:r>
      <w:r w:rsidR="005E313D" w:rsidRPr="007F55FF">
        <w:rPr>
          <w:rFonts w:asciiTheme="majorHAnsi" w:hAnsiTheme="majorHAnsi"/>
        </w:rPr>
        <w:t>use</w:t>
      </w:r>
      <w:r w:rsidR="003A671D" w:rsidRPr="007F55FF">
        <w:rPr>
          <w:rFonts w:asciiTheme="majorHAnsi" w:hAnsiTheme="majorHAnsi"/>
        </w:rPr>
        <w:t xml:space="preserve">ful </w:t>
      </w:r>
      <w:r w:rsidR="009F65B0" w:rsidRPr="007F55FF">
        <w:rPr>
          <w:rFonts w:asciiTheme="majorHAnsi" w:hAnsiTheme="majorHAnsi"/>
        </w:rPr>
        <w:t xml:space="preserve">to </w:t>
      </w:r>
      <w:r w:rsidR="00D30645" w:rsidRPr="007F55FF">
        <w:rPr>
          <w:rFonts w:asciiTheme="majorHAnsi" w:hAnsiTheme="majorHAnsi"/>
        </w:rPr>
        <w:t xml:space="preserve">develop or amend </w:t>
      </w:r>
      <w:r w:rsidR="003A671D" w:rsidRPr="007F55FF">
        <w:rPr>
          <w:rFonts w:asciiTheme="majorHAnsi" w:hAnsiTheme="majorHAnsi"/>
        </w:rPr>
        <w:t xml:space="preserve">safe drinking water </w:t>
      </w:r>
      <w:r w:rsidR="009F65B0" w:rsidRPr="007F55FF">
        <w:rPr>
          <w:rFonts w:asciiTheme="majorHAnsi" w:hAnsiTheme="majorHAnsi"/>
        </w:rPr>
        <w:t xml:space="preserve">policies </w:t>
      </w:r>
      <w:r w:rsidR="006F026C" w:rsidRPr="007F55FF">
        <w:rPr>
          <w:rFonts w:asciiTheme="majorHAnsi" w:hAnsiTheme="majorHAnsi"/>
        </w:rPr>
        <w:t xml:space="preserve">during the conduct of </w:t>
      </w:r>
      <w:r w:rsidR="00F21BEE" w:rsidRPr="007F55FF">
        <w:rPr>
          <w:rFonts w:asciiTheme="majorHAnsi" w:hAnsiTheme="majorHAnsi"/>
        </w:rPr>
        <w:t xml:space="preserve">the </w:t>
      </w:r>
      <w:r w:rsidR="005E313D" w:rsidRPr="007F55FF">
        <w:rPr>
          <w:rFonts w:asciiTheme="majorHAnsi" w:hAnsiTheme="majorHAnsi"/>
        </w:rPr>
        <w:t xml:space="preserve">previous </w:t>
      </w:r>
      <w:r w:rsidR="00F21BEE" w:rsidRPr="007F55FF">
        <w:rPr>
          <w:rFonts w:asciiTheme="majorHAnsi" w:hAnsiTheme="majorHAnsi"/>
        </w:rPr>
        <w:t xml:space="preserve">EHSB-sponsored drinking water </w:t>
      </w:r>
      <w:r w:rsidR="00C7720B" w:rsidRPr="007F55FF">
        <w:rPr>
          <w:rFonts w:asciiTheme="majorHAnsi" w:hAnsiTheme="majorHAnsi"/>
        </w:rPr>
        <w:t xml:space="preserve">cooperative agreements </w:t>
      </w:r>
      <w:r w:rsidR="009A0402" w:rsidRPr="007F55FF">
        <w:rPr>
          <w:rFonts w:asciiTheme="majorHAnsi" w:hAnsiTheme="majorHAnsi"/>
        </w:rPr>
        <w:t xml:space="preserve">and </w:t>
      </w:r>
      <w:r w:rsidR="008B28D5" w:rsidRPr="007F55FF">
        <w:rPr>
          <w:rFonts w:asciiTheme="majorHAnsi" w:hAnsiTheme="majorHAnsi"/>
        </w:rPr>
        <w:t>lessons learned surrounding those policies (e.g., benefits, challenges).</w:t>
      </w:r>
      <w:r w:rsidR="00557BBE" w:rsidRPr="00E41C2E">
        <w:rPr>
          <w:rFonts w:asciiTheme="majorHAnsi" w:hAnsiTheme="majorHAnsi"/>
        </w:rPr>
        <w:t xml:space="preserve"> </w:t>
      </w:r>
    </w:p>
    <w:p w14:paraId="53F988BF" w14:textId="42E5F04C" w:rsidR="00D8546A" w:rsidRPr="00494687" w:rsidRDefault="0002027A" w:rsidP="00BA2A80">
      <w:pPr>
        <w:rPr>
          <w:rFonts w:asciiTheme="majorHAnsi" w:hAnsiTheme="majorHAnsi"/>
        </w:rPr>
      </w:pPr>
      <w:r w:rsidRPr="00494687">
        <w:rPr>
          <w:rFonts w:asciiTheme="majorHAnsi" w:hAnsiTheme="majorHAnsi"/>
        </w:rPr>
        <w:t xml:space="preserve">A standard interview guide (see </w:t>
      </w:r>
      <w:r w:rsidRPr="00494687">
        <w:rPr>
          <w:rFonts w:asciiTheme="majorHAnsi" w:hAnsiTheme="majorHAnsi"/>
          <w:b/>
        </w:rPr>
        <w:t xml:space="preserve">Attachment B </w:t>
      </w:r>
      <w:r w:rsidRPr="00494687">
        <w:rPr>
          <w:rFonts w:asciiTheme="majorHAnsi" w:hAnsiTheme="majorHAnsi"/>
        </w:rPr>
        <w:t>—</w:t>
      </w:r>
      <w:r w:rsidRPr="00494687">
        <w:rPr>
          <w:rFonts w:asciiTheme="majorHAnsi" w:hAnsiTheme="majorHAnsi"/>
          <w:b/>
        </w:rPr>
        <w:t>Interview Guide</w:t>
      </w:r>
      <w:r w:rsidRPr="00494687">
        <w:rPr>
          <w:rFonts w:asciiTheme="majorHAnsi" w:hAnsiTheme="majorHAnsi"/>
        </w:rPr>
        <w:t xml:space="preserve">) will be used to guide all interviews. At the beginning of each interview, the interviewer will remind </w:t>
      </w:r>
      <w:r w:rsidR="00E65E29" w:rsidRPr="00494687">
        <w:rPr>
          <w:rFonts w:asciiTheme="majorHAnsi" w:hAnsiTheme="majorHAnsi" w:cs="Arial"/>
        </w:rPr>
        <w:t>participants of the interview purpose, review logistics</w:t>
      </w:r>
      <w:r w:rsidR="00F21BEE" w:rsidRPr="00494687">
        <w:rPr>
          <w:rFonts w:asciiTheme="majorHAnsi" w:hAnsiTheme="majorHAnsi" w:cs="Arial"/>
        </w:rPr>
        <w:t xml:space="preserve"> and </w:t>
      </w:r>
      <w:r w:rsidR="00E65E29" w:rsidRPr="00494687">
        <w:rPr>
          <w:rFonts w:asciiTheme="majorHAnsi" w:hAnsiTheme="majorHAnsi" w:cs="Arial"/>
        </w:rPr>
        <w:t xml:space="preserve">obtain verbal permission </w:t>
      </w:r>
      <w:r w:rsidRPr="00494687">
        <w:rPr>
          <w:rFonts w:asciiTheme="majorHAnsi" w:hAnsiTheme="majorHAnsi" w:cs="Arial"/>
        </w:rPr>
        <w:t xml:space="preserve">for written notes to be taken </w:t>
      </w:r>
      <w:r w:rsidR="005E313D" w:rsidRPr="00494687">
        <w:rPr>
          <w:rFonts w:asciiTheme="majorHAnsi" w:hAnsiTheme="majorHAnsi" w:cs="Arial"/>
        </w:rPr>
        <w:t xml:space="preserve">on a portable </w:t>
      </w:r>
      <w:r w:rsidR="005E313D" w:rsidRPr="00494687">
        <w:rPr>
          <w:rFonts w:asciiTheme="majorHAnsi" w:hAnsiTheme="majorHAnsi" w:cs="Arial"/>
        </w:rPr>
        <w:lastRenderedPageBreak/>
        <w:t>computer</w:t>
      </w:r>
      <w:r w:rsidRPr="00494687">
        <w:rPr>
          <w:rFonts w:asciiTheme="majorHAnsi" w:hAnsiTheme="majorHAnsi" w:cs="Arial"/>
        </w:rPr>
        <w:t xml:space="preserve"> to document the conversation</w:t>
      </w:r>
      <w:r w:rsidR="00E65E29" w:rsidRPr="00494687">
        <w:rPr>
          <w:rFonts w:asciiTheme="majorHAnsi" w:hAnsiTheme="majorHAnsi" w:cs="Arial"/>
        </w:rPr>
        <w:t>.  The guide consists of</w:t>
      </w:r>
      <w:r w:rsidR="00D30645">
        <w:rPr>
          <w:rFonts w:asciiTheme="majorHAnsi" w:hAnsiTheme="majorHAnsi" w:cs="Arial"/>
        </w:rPr>
        <w:t xml:space="preserve"> 14 questions, 1 to collect respondent</w:t>
      </w:r>
      <w:r w:rsidR="009D6AA6">
        <w:rPr>
          <w:rFonts w:asciiTheme="majorHAnsi" w:hAnsiTheme="majorHAnsi" w:cs="Arial"/>
        </w:rPr>
        <w:t xml:space="preserve"> demographic</w:t>
      </w:r>
      <w:r w:rsidR="00D30645">
        <w:rPr>
          <w:rFonts w:asciiTheme="majorHAnsi" w:hAnsiTheme="majorHAnsi" w:cs="Arial"/>
        </w:rPr>
        <w:t xml:space="preserve"> information</w:t>
      </w:r>
      <w:r w:rsidR="009A0402">
        <w:rPr>
          <w:rFonts w:asciiTheme="majorHAnsi" w:hAnsiTheme="majorHAnsi" w:cs="Arial"/>
        </w:rPr>
        <w:t>,</w:t>
      </w:r>
      <w:r w:rsidR="00D30645">
        <w:rPr>
          <w:rFonts w:asciiTheme="majorHAnsi" w:hAnsiTheme="majorHAnsi" w:cs="Arial"/>
        </w:rPr>
        <w:t xml:space="preserve"> and</w:t>
      </w:r>
      <w:r w:rsidR="00E65E29" w:rsidRPr="00494687">
        <w:rPr>
          <w:rFonts w:asciiTheme="majorHAnsi" w:hAnsiTheme="majorHAnsi" w:cs="Arial"/>
        </w:rPr>
        <w:t xml:space="preserve"> 13 open-ended questions. </w:t>
      </w:r>
      <w:r w:rsidR="00637D27" w:rsidRPr="00494687">
        <w:rPr>
          <w:rFonts w:asciiTheme="majorHAnsi" w:hAnsiTheme="majorHAnsi"/>
        </w:rPr>
        <w:t>Open-</w:t>
      </w:r>
      <w:r w:rsidR="00EC0060" w:rsidRPr="00494687">
        <w:rPr>
          <w:rFonts w:asciiTheme="majorHAnsi" w:hAnsiTheme="majorHAnsi"/>
        </w:rPr>
        <w:t>ended interviews a</w:t>
      </w:r>
      <w:r w:rsidR="00936C55" w:rsidRPr="00494687">
        <w:rPr>
          <w:rFonts w:asciiTheme="majorHAnsi" w:hAnsiTheme="majorHAnsi"/>
        </w:rPr>
        <w:t>llow latitude for</w:t>
      </w:r>
      <w:r w:rsidR="00EC0060" w:rsidRPr="00494687">
        <w:rPr>
          <w:rFonts w:asciiTheme="majorHAnsi" w:hAnsiTheme="majorHAnsi"/>
        </w:rPr>
        <w:t xml:space="preserve"> </w:t>
      </w:r>
      <w:r w:rsidR="00936C55" w:rsidRPr="00494687">
        <w:rPr>
          <w:rFonts w:asciiTheme="majorHAnsi" w:hAnsiTheme="majorHAnsi"/>
        </w:rPr>
        <w:t>respondents</w:t>
      </w:r>
      <w:r w:rsidR="00EC0060" w:rsidRPr="00494687">
        <w:rPr>
          <w:rFonts w:asciiTheme="majorHAnsi" w:hAnsiTheme="majorHAnsi"/>
        </w:rPr>
        <w:t xml:space="preserve"> to speak about the issues important to them, facilitating a more natural flow of </w:t>
      </w:r>
      <w:r w:rsidR="00113853" w:rsidRPr="00494687">
        <w:rPr>
          <w:rFonts w:asciiTheme="majorHAnsi" w:hAnsiTheme="majorHAnsi"/>
        </w:rPr>
        <w:t>conversation</w:t>
      </w:r>
      <w:r w:rsidR="00EC0060" w:rsidRPr="00494687">
        <w:rPr>
          <w:rFonts w:asciiTheme="majorHAnsi" w:hAnsiTheme="majorHAnsi"/>
        </w:rPr>
        <w:t xml:space="preserve">. </w:t>
      </w:r>
      <w:r w:rsidR="00D22876" w:rsidRPr="00494687">
        <w:rPr>
          <w:rFonts w:asciiTheme="majorHAnsi" w:eastAsiaTheme="majorEastAsia" w:hAnsiTheme="majorHAnsi" w:cstheme="majorBidi"/>
        </w:rPr>
        <w:t xml:space="preserve">An effort was made to limit questions </w:t>
      </w:r>
      <w:r w:rsidR="00D22876" w:rsidRPr="00494687">
        <w:rPr>
          <w:rFonts w:asciiTheme="majorHAnsi" w:hAnsiTheme="majorHAnsi"/>
        </w:rPr>
        <w:t>whenever possible. Questions will be skipped if the respondent has already addressed the question in a previous response</w:t>
      </w:r>
      <w:r w:rsidRPr="00494687">
        <w:rPr>
          <w:rFonts w:asciiTheme="majorHAnsi" w:hAnsiTheme="majorHAnsi"/>
        </w:rPr>
        <w:t xml:space="preserve"> to reduce the burden on respondents</w:t>
      </w:r>
      <w:r w:rsidR="00D22876" w:rsidRPr="00494687">
        <w:rPr>
          <w:rFonts w:asciiTheme="majorHAnsi" w:hAnsiTheme="majorHAnsi"/>
        </w:rPr>
        <w:t>.</w:t>
      </w:r>
    </w:p>
    <w:p w14:paraId="6AED3932" w14:textId="40643B45" w:rsidR="00EB171F" w:rsidRPr="00494687" w:rsidRDefault="00BA2A80" w:rsidP="000957E6">
      <w:pPr>
        <w:rPr>
          <w:rFonts w:asciiTheme="majorHAnsi" w:hAnsiTheme="majorHAnsi"/>
          <w:i/>
        </w:rPr>
      </w:pPr>
      <w:r w:rsidRPr="00494687">
        <w:rPr>
          <w:rFonts w:asciiTheme="majorHAnsi" w:hAnsiTheme="majorHAnsi"/>
        </w:rPr>
        <w:t xml:space="preserve">The </w:t>
      </w:r>
      <w:r w:rsidR="00D8546A" w:rsidRPr="00494687">
        <w:rPr>
          <w:rFonts w:asciiTheme="majorHAnsi" w:hAnsiTheme="majorHAnsi"/>
        </w:rPr>
        <w:t xml:space="preserve">interview guide </w:t>
      </w:r>
      <w:r w:rsidR="00077357" w:rsidRPr="00494687">
        <w:rPr>
          <w:rFonts w:asciiTheme="majorHAnsi" w:hAnsiTheme="majorHAnsi"/>
        </w:rPr>
        <w:t>will be used to collect the information</w:t>
      </w:r>
      <w:r w:rsidR="00485EF2" w:rsidRPr="00494687">
        <w:rPr>
          <w:rFonts w:asciiTheme="majorHAnsi" w:hAnsiTheme="majorHAnsi"/>
        </w:rPr>
        <w:t xml:space="preserve"> summarized in the table below.</w:t>
      </w:r>
    </w:p>
    <w:tbl>
      <w:tblPr>
        <w:tblStyle w:val="TableGrid"/>
        <w:tblW w:w="11250" w:type="dxa"/>
        <w:tblInd w:w="-545" w:type="dxa"/>
        <w:tblLook w:val="04A0" w:firstRow="1" w:lastRow="0" w:firstColumn="1" w:lastColumn="0" w:noHBand="0" w:noVBand="1"/>
      </w:tblPr>
      <w:tblGrid>
        <w:gridCol w:w="4770"/>
        <w:gridCol w:w="1350"/>
        <w:gridCol w:w="5130"/>
      </w:tblGrid>
      <w:tr w:rsidR="00BA2A80" w:rsidRPr="00D23089" w14:paraId="1F0ABD9F" w14:textId="77777777" w:rsidTr="00C04431">
        <w:tc>
          <w:tcPr>
            <w:tcW w:w="4770" w:type="dxa"/>
            <w:shd w:val="clear" w:color="auto" w:fill="BFBFBF" w:themeFill="background1" w:themeFillShade="BF"/>
          </w:tcPr>
          <w:p w14:paraId="1F0ABD9C" w14:textId="1A8D2AA2" w:rsidR="00BA2A80" w:rsidRPr="000957E6" w:rsidRDefault="00F001AB" w:rsidP="00D460FA">
            <w:pPr>
              <w:jc w:val="center"/>
              <w:rPr>
                <w:rFonts w:asciiTheme="majorHAnsi" w:hAnsiTheme="majorHAnsi"/>
                <w:b/>
              </w:rPr>
            </w:pPr>
            <w:r>
              <w:rPr>
                <w:rFonts w:asciiTheme="majorHAnsi" w:hAnsiTheme="majorHAnsi"/>
                <w:b/>
              </w:rPr>
              <w:t>Question Type</w:t>
            </w:r>
          </w:p>
        </w:tc>
        <w:tc>
          <w:tcPr>
            <w:tcW w:w="1350" w:type="dxa"/>
            <w:shd w:val="clear" w:color="auto" w:fill="BFBFBF" w:themeFill="background1" w:themeFillShade="BF"/>
          </w:tcPr>
          <w:p w14:paraId="1F0ABD9D" w14:textId="34EC7F15" w:rsidR="00BA2A80" w:rsidRPr="000957E6" w:rsidRDefault="00BA2A80" w:rsidP="00D460FA">
            <w:pPr>
              <w:jc w:val="center"/>
              <w:rPr>
                <w:rFonts w:asciiTheme="majorHAnsi" w:hAnsiTheme="majorHAnsi"/>
                <w:b/>
              </w:rPr>
            </w:pPr>
            <w:r w:rsidRPr="000957E6">
              <w:rPr>
                <w:rFonts w:asciiTheme="majorHAnsi" w:hAnsiTheme="majorHAnsi"/>
                <w:b/>
              </w:rPr>
              <w:t>N</w:t>
            </w:r>
            <w:r w:rsidR="00940204" w:rsidRPr="000957E6">
              <w:rPr>
                <w:rFonts w:asciiTheme="majorHAnsi" w:hAnsiTheme="majorHAnsi"/>
                <w:b/>
              </w:rPr>
              <w:t>umber of questions</w:t>
            </w:r>
          </w:p>
        </w:tc>
        <w:tc>
          <w:tcPr>
            <w:tcW w:w="5130" w:type="dxa"/>
            <w:shd w:val="clear" w:color="auto" w:fill="BFBFBF" w:themeFill="background1" w:themeFillShade="BF"/>
          </w:tcPr>
          <w:p w14:paraId="1F0ABD9E" w14:textId="6FD42A8F" w:rsidR="00BA2A80" w:rsidRPr="000957E6" w:rsidRDefault="00BA2A80" w:rsidP="00D460FA">
            <w:pPr>
              <w:jc w:val="center"/>
              <w:rPr>
                <w:rFonts w:asciiTheme="majorHAnsi" w:hAnsiTheme="majorHAnsi"/>
                <w:b/>
              </w:rPr>
            </w:pPr>
            <w:r w:rsidRPr="000957E6">
              <w:rPr>
                <w:rFonts w:asciiTheme="majorHAnsi" w:hAnsiTheme="majorHAnsi"/>
                <w:b/>
              </w:rPr>
              <w:t>Purpose</w:t>
            </w:r>
          </w:p>
        </w:tc>
      </w:tr>
      <w:tr w:rsidR="00F001AB" w:rsidRPr="00D23089" w14:paraId="1F0ABDA3" w14:textId="77777777" w:rsidTr="00C04431">
        <w:tc>
          <w:tcPr>
            <w:tcW w:w="4770" w:type="dxa"/>
          </w:tcPr>
          <w:p w14:paraId="1F0ABDA0" w14:textId="2F60AC22" w:rsidR="00BA2A80" w:rsidRPr="00117C07" w:rsidRDefault="00940204" w:rsidP="00D30645">
            <w:pPr>
              <w:rPr>
                <w:rFonts w:asciiTheme="majorHAnsi" w:hAnsiTheme="majorHAnsi"/>
              </w:rPr>
            </w:pPr>
            <w:r w:rsidRPr="000957E6">
              <w:rPr>
                <w:rFonts w:asciiTheme="majorHAnsi" w:hAnsiTheme="majorHAnsi"/>
                <w:b/>
              </w:rPr>
              <w:t>Respondent Information</w:t>
            </w:r>
            <w:r w:rsidR="00117C07">
              <w:rPr>
                <w:rFonts w:asciiTheme="majorHAnsi" w:hAnsiTheme="majorHAnsi"/>
                <w:b/>
              </w:rPr>
              <w:t xml:space="preserve"> –</w:t>
            </w:r>
            <w:r w:rsidR="00864DA0">
              <w:rPr>
                <w:rFonts w:asciiTheme="majorHAnsi" w:hAnsiTheme="majorHAnsi"/>
              </w:rPr>
              <w:t>f</w:t>
            </w:r>
            <w:r w:rsidR="00117C07" w:rsidRPr="00117C07">
              <w:rPr>
                <w:rFonts w:asciiTheme="majorHAnsi" w:hAnsiTheme="majorHAnsi"/>
              </w:rPr>
              <w:t>or archiving purposes only.</w:t>
            </w:r>
          </w:p>
        </w:tc>
        <w:tc>
          <w:tcPr>
            <w:tcW w:w="1350" w:type="dxa"/>
            <w:vAlign w:val="center"/>
          </w:tcPr>
          <w:p w14:paraId="1F0ABDA1" w14:textId="77777777" w:rsidR="00BA2A80" w:rsidRPr="00D23089" w:rsidRDefault="00940204" w:rsidP="000957E6">
            <w:pPr>
              <w:jc w:val="center"/>
              <w:rPr>
                <w:rFonts w:asciiTheme="majorHAnsi" w:hAnsiTheme="majorHAnsi"/>
              </w:rPr>
            </w:pPr>
            <w:r w:rsidRPr="00D23089">
              <w:rPr>
                <w:rFonts w:asciiTheme="majorHAnsi" w:hAnsiTheme="majorHAnsi"/>
              </w:rPr>
              <w:t>1</w:t>
            </w:r>
          </w:p>
        </w:tc>
        <w:tc>
          <w:tcPr>
            <w:tcW w:w="5130" w:type="dxa"/>
          </w:tcPr>
          <w:p w14:paraId="1F0ABDA2" w14:textId="77777777" w:rsidR="00BA2A80" w:rsidRPr="00D23089" w:rsidRDefault="002A6B3D" w:rsidP="00464F0F">
            <w:pPr>
              <w:rPr>
                <w:rFonts w:asciiTheme="majorHAnsi" w:hAnsiTheme="majorHAnsi"/>
              </w:rPr>
            </w:pPr>
            <w:r w:rsidRPr="00D23089">
              <w:rPr>
                <w:rFonts w:asciiTheme="majorHAnsi" w:hAnsiTheme="majorHAnsi"/>
              </w:rPr>
              <w:t>T</w:t>
            </w:r>
            <w:r w:rsidR="00940204" w:rsidRPr="00D23089">
              <w:rPr>
                <w:rFonts w:asciiTheme="majorHAnsi" w:hAnsiTheme="majorHAnsi"/>
              </w:rPr>
              <w:t>o</w:t>
            </w:r>
            <w:r w:rsidR="00BE7A56" w:rsidRPr="00D23089">
              <w:rPr>
                <w:rFonts w:asciiTheme="majorHAnsi" w:hAnsiTheme="majorHAnsi"/>
              </w:rPr>
              <w:t xml:space="preserve"> gather</w:t>
            </w:r>
            <w:r w:rsidR="00940204" w:rsidRPr="00D23089">
              <w:rPr>
                <w:rFonts w:asciiTheme="majorHAnsi" w:hAnsiTheme="majorHAnsi"/>
              </w:rPr>
              <w:t xml:space="preserve"> respondent’s professional contact information; this information will be removed when the results are analyzed and will not be shared.</w:t>
            </w:r>
          </w:p>
        </w:tc>
      </w:tr>
      <w:tr w:rsidR="00F001AB" w:rsidRPr="00D23089" w14:paraId="1F0ABDA7" w14:textId="77777777" w:rsidTr="00C04431">
        <w:tc>
          <w:tcPr>
            <w:tcW w:w="4770" w:type="dxa"/>
          </w:tcPr>
          <w:p w14:paraId="105A63B9" w14:textId="77777777" w:rsidR="00BA2A80" w:rsidRDefault="00385CFB" w:rsidP="00464F0F">
            <w:pPr>
              <w:rPr>
                <w:rFonts w:asciiTheme="majorHAnsi" w:hAnsiTheme="majorHAnsi"/>
              </w:rPr>
            </w:pPr>
            <w:r w:rsidRPr="000957E6">
              <w:rPr>
                <w:rFonts w:asciiTheme="majorHAnsi" w:hAnsiTheme="majorHAnsi"/>
                <w:b/>
              </w:rPr>
              <w:lastRenderedPageBreak/>
              <w:t>Project</w:t>
            </w:r>
            <w:r w:rsidR="00940204" w:rsidRPr="000957E6">
              <w:rPr>
                <w:rFonts w:asciiTheme="majorHAnsi" w:hAnsiTheme="majorHAnsi"/>
                <w:b/>
              </w:rPr>
              <w:t xml:space="preserve"> </w:t>
            </w:r>
            <w:r w:rsidRPr="000957E6">
              <w:rPr>
                <w:rFonts w:asciiTheme="majorHAnsi" w:hAnsiTheme="majorHAnsi"/>
                <w:b/>
              </w:rPr>
              <w:t>Design</w:t>
            </w:r>
            <w:r w:rsidR="00117C07">
              <w:rPr>
                <w:rFonts w:asciiTheme="majorHAnsi" w:hAnsiTheme="majorHAnsi"/>
                <w:b/>
              </w:rPr>
              <w:t xml:space="preserve"> –</w:t>
            </w:r>
            <w:r w:rsidR="001E4F43">
              <w:rPr>
                <w:rFonts w:asciiTheme="majorHAnsi" w:hAnsiTheme="majorHAnsi"/>
              </w:rPr>
              <w:t>f</w:t>
            </w:r>
            <w:r w:rsidR="00117C07" w:rsidRPr="00117C07">
              <w:rPr>
                <w:rFonts w:asciiTheme="majorHAnsi" w:hAnsiTheme="majorHAnsi"/>
              </w:rPr>
              <w:t>o</w:t>
            </w:r>
            <w:r w:rsidR="001E4F43">
              <w:rPr>
                <w:rFonts w:asciiTheme="majorHAnsi" w:hAnsiTheme="majorHAnsi"/>
              </w:rPr>
              <w:t>r</w:t>
            </w:r>
            <w:r w:rsidR="00117C07" w:rsidRPr="00117C07">
              <w:rPr>
                <w:rFonts w:asciiTheme="majorHAnsi" w:hAnsiTheme="majorHAnsi"/>
              </w:rPr>
              <w:t xml:space="preserve"> gather</w:t>
            </w:r>
            <w:r w:rsidR="001E4F43">
              <w:rPr>
                <w:rFonts w:asciiTheme="majorHAnsi" w:hAnsiTheme="majorHAnsi"/>
              </w:rPr>
              <w:t>ing</w:t>
            </w:r>
            <w:r w:rsidR="00117C07" w:rsidRPr="00117C07">
              <w:rPr>
                <w:rFonts w:asciiTheme="majorHAnsi" w:hAnsiTheme="majorHAnsi"/>
              </w:rPr>
              <w:t xml:space="preserve"> details on the design of the private wells/unregulated drinking water systems project</w:t>
            </w:r>
            <w:r w:rsidR="00117C07">
              <w:rPr>
                <w:rFonts w:asciiTheme="majorHAnsi" w:hAnsiTheme="majorHAnsi"/>
              </w:rPr>
              <w:t>.</w:t>
            </w:r>
          </w:p>
          <w:p w14:paraId="1F0ABDA4" w14:textId="75E110DE" w:rsidR="00464F0F" w:rsidRPr="000957E6" w:rsidRDefault="00464F0F" w:rsidP="00464F0F">
            <w:pPr>
              <w:rPr>
                <w:rFonts w:asciiTheme="majorHAnsi" w:hAnsiTheme="majorHAnsi"/>
                <w:b/>
              </w:rPr>
            </w:pPr>
          </w:p>
        </w:tc>
        <w:tc>
          <w:tcPr>
            <w:tcW w:w="1350" w:type="dxa"/>
            <w:vAlign w:val="center"/>
          </w:tcPr>
          <w:p w14:paraId="1F0ABDA5" w14:textId="77777777" w:rsidR="00BA2A80" w:rsidRPr="00D23089" w:rsidRDefault="00385CFB" w:rsidP="000957E6">
            <w:pPr>
              <w:jc w:val="center"/>
              <w:rPr>
                <w:rFonts w:asciiTheme="majorHAnsi" w:hAnsiTheme="majorHAnsi"/>
              </w:rPr>
            </w:pPr>
            <w:r w:rsidRPr="00D23089">
              <w:rPr>
                <w:rFonts w:asciiTheme="majorHAnsi" w:hAnsiTheme="majorHAnsi"/>
              </w:rPr>
              <w:t>2</w:t>
            </w:r>
          </w:p>
        </w:tc>
        <w:tc>
          <w:tcPr>
            <w:tcW w:w="5130" w:type="dxa"/>
          </w:tcPr>
          <w:p w14:paraId="1F0ABDA6" w14:textId="68CF4313" w:rsidR="00BA2A80" w:rsidRPr="00D23089" w:rsidRDefault="00385CFB" w:rsidP="00464F0F">
            <w:pPr>
              <w:rPr>
                <w:rFonts w:asciiTheme="majorHAnsi" w:hAnsiTheme="majorHAnsi"/>
              </w:rPr>
            </w:pPr>
            <w:r w:rsidRPr="00D23089">
              <w:rPr>
                <w:rFonts w:asciiTheme="majorHAnsi" w:hAnsiTheme="majorHAnsi"/>
              </w:rPr>
              <w:t>To learn if</w:t>
            </w:r>
            <w:r w:rsidR="0016272E" w:rsidRPr="00D23089">
              <w:rPr>
                <w:rFonts w:asciiTheme="majorHAnsi" w:hAnsiTheme="majorHAnsi"/>
              </w:rPr>
              <w:t xml:space="preserve"> health departments</w:t>
            </w:r>
            <w:r w:rsidRPr="00D23089">
              <w:rPr>
                <w:rFonts w:asciiTheme="majorHAnsi" w:hAnsiTheme="majorHAnsi"/>
              </w:rPr>
              <w:t xml:space="preserve"> </w:t>
            </w:r>
            <w:r w:rsidR="00AF68CE">
              <w:rPr>
                <w:rFonts w:asciiTheme="majorHAnsi" w:hAnsiTheme="majorHAnsi"/>
              </w:rPr>
              <w:t>(PIs and EH practitioner</w:t>
            </w:r>
            <w:r w:rsidR="0016272E" w:rsidRPr="00D23089">
              <w:rPr>
                <w:rFonts w:asciiTheme="majorHAnsi" w:hAnsiTheme="majorHAnsi"/>
              </w:rPr>
              <w:t>s)</w:t>
            </w:r>
            <w:r w:rsidRPr="00D23089">
              <w:rPr>
                <w:rFonts w:asciiTheme="majorHAnsi" w:hAnsiTheme="majorHAnsi"/>
              </w:rPr>
              <w:t xml:space="preserve"> designed project with the aim to influence policy</w:t>
            </w:r>
            <w:r w:rsidR="00940204" w:rsidRPr="00D23089">
              <w:rPr>
                <w:rFonts w:asciiTheme="majorHAnsi" w:hAnsiTheme="majorHAnsi"/>
              </w:rPr>
              <w:t>.</w:t>
            </w:r>
          </w:p>
        </w:tc>
      </w:tr>
      <w:tr w:rsidR="00F001AB" w:rsidRPr="00D23089" w14:paraId="1F0ABDAB" w14:textId="77777777" w:rsidTr="00C04431">
        <w:tc>
          <w:tcPr>
            <w:tcW w:w="4770" w:type="dxa"/>
          </w:tcPr>
          <w:p w14:paraId="1F0ABDA8" w14:textId="7B7B0B0E" w:rsidR="00BA2A80" w:rsidRPr="00117C07" w:rsidRDefault="00385CFB" w:rsidP="00464F0F">
            <w:pPr>
              <w:rPr>
                <w:rFonts w:asciiTheme="majorHAnsi" w:hAnsiTheme="majorHAnsi"/>
              </w:rPr>
            </w:pPr>
            <w:r w:rsidRPr="000957E6">
              <w:rPr>
                <w:rFonts w:asciiTheme="majorHAnsi" w:hAnsiTheme="majorHAnsi"/>
                <w:b/>
              </w:rPr>
              <w:t>Project Process Description</w:t>
            </w:r>
            <w:r w:rsidR="00117C07">
              <w:rPr>
                <w:rFonts w:asciiTheme="majorHAnsi" w:hAnsiTheme="majorHAnsi"/>
              </w:rPr>
              <w:t xml:space="preserve"> –</w:t>
            </w:r>
            <w:r w:rsidR="001E4F43">
              <w:rPr>
                <w:rFonts w:asciiTheme="majorHAnsi" w:hAnsiTheme="majorHAnsi"/>
              </w:rPr>
              <w:t>f</w:t>
            </w:r>
            <w:r w:rsidR="00117C07">
              <w:rPr>
                <w:rFonts w:asciiTheme="majorHAnsi" w:hAnsiTheme="majorHAnsi"/>
              </w:rPr>
              <w:t>o</w:t>
            </w:r>
            <w:r w:rsidR="001E4F43">
              <w:rPr>
                <w:rFonts w:asciiTheme="majorHAnsi" w:hAnsiTheme="majorHAnsi"/>
              </w:rPr>
              <w:t>r</w:t>
            </w:r>
            <w:r w:rsidR="00117C07">
              <w:rPr>
                <w:rFonts w:asciiTheme="majorHAnsi" w:hAnsiTheme="majorHAnsi"/>
              </w:rPr>
              <w:t xml:space="preserve"> gather</w:t>
            </w:r>
            <w:r w:rsidR="001E4F43">
              <w:rPr>
                <w:rFonts w:asciiTheme="majorHAnsi" w:hAnsiTheme="majorHAnsi"/>
              </w:rPr>
              <w:t>ing</w:t>
            </w:r>
            <w:r w:rsidR="00117C07">
              <w:rPr>
                <w:rFonts w:asciiTheme="majorHAnsi" w:hAnsiTheme="majorHAnsi"/>
              </w:rPr>
              <w:t xml:space="preserve"> information on</w:t>
            </w:r>
            <w:r w:rsidR="00117C07">
              <w:t xml:space="preserve"> </w:t>
            </w:r>
            <w:r w:rsidR="00117C07" w:rsidRPr="00117C07">
              <w:rPr>
                <w:rFonts w:asciiTheme="majorHAnsi" w:hAnsiTheme="majorHAnsi"/>
              </w:rPr>
              <w:t>the process health departments followed to successfully address policy.</w:t>
            </w:r>
          </w:p>
        </w:tc>
        <w:tc>
          <w:tcPr>
            <w:tcW w:w="1350" w:type="dxa"/>
            <w:vAlign w:val="center"/>
          </w:tcPr>
          <w:p w14:paraId="1F0ABDA9" w14:textId="77777777" w:rsidR="00BA2A80" w:rsidRPr="00D23089" w:rsidRDefault="00940204" w:rsidP="000957E6">
            <w:pPr>
              <w:jc w:val="center"/>
              <w:rPr>
                <w:rFonts w:asciiTheme="majorHAnsi" w:hAnsiTheme="majorHAnsi"/>
              </w:rPr>
            </w:pPr>
            <w:r w:rsidRPr="00D23089">
              <w:rPr>
                <w:rFonts w:asciiTheme="majorHAnsi" w:hAnsiTheme="majorHAnsi"/>
              </w:rPr>
              <w:t>3</w:t>
            </w:r>
          </w:p>
        </w:tc>
        <w:tc>
          <w:tcPr>
            <w:tcW w:w="5130" w:type="dxa"/>
          </w:tcPr>
          <w:p w14:paraId="1F0ABDAA" w14:textId="560C14AA" w:rsidR="00BA2A80" w:rsidRPr="00D23089" w:rsidRDefault="0016272E" w:rsidP="00464F0F">
            <w:pPr>
              <w:rPr>
                <w:rFonts w:asciiTheme="majorHAnsi" w:hAnsiTheme="majorHAnsi"/>
              </w:rPr>
            </w:pPr>
            <w:r w:rsidRPr="00D23089">
              <w:rPr>
                <w:rFonts w:asciiTheme="majorHAnsi" w:hAnsiTheme="majorHAnsi"/>
              </w:rPr>
              <w:t>To learn about the process and</w:t>
            </w:r>
            <w:r w:rsidR="00385CFB" w:rsidRPr="00D23089">
              <w:rPr>
                <w:rFonts w:asciiTheme="majorHAnsi" w:hAnsiTheme="majorHAnsi"/>
              </w:rPr>
              <w:t xml:space="preserve"> crucial steps</w:t>
            </w:r>
            <w:r w:rsidRPr="00D23089">
              <w:rPr>
                <w:rFonts w:asciiTheme="majorHAnsi" w:hAnsiTheme="majorHAnsi"/>
              </w:rPr>
              <w:t xml:space="preserve"> that health departments</w:t>
            </w:r>
            <w:r w:rsidR="00AF68CE">
              <w:rPr>
                <w:rFonts w:asciiTheme="majorHAnsi" w:hAnsiTheme="majorHAnsi"/>
              </w:rPr>
              <w:t xml:space="preserve"> (PIs and EH practitioner</w:t>
            </w:r>
            <w:r w:rsidRPr="00D23089">
              <w:rPr>
                <w:rFonts w:asciiTheme="majorHAnsi" w:hAnsiTheme="majorHAnsi"/>
              </w:rPr>
              <w:t>s) followed</w:t>
            </w:r>
            <w:r w:rsidR="00385CFB" w:rsidRPr="00D23089">
              <w:rPr>
                <w:rFonts w:asciiTheme="majorHAnsi" w:hAnsiTheme="majorHAnsi"/>
              </w:rPr>
              <w:t xml:space="preserve">, and </w:t>
            </w:r>
            <w:r w:rsidRPr="00D23089">
              <w:rPr>
                <w:rFonts w:asciiTheme="majorHAnsi" w:hAnsiTheme="majorHAnsi"/>
              </w:rPr>
              <w:t xml:space="preserve">the </w:t>
            </w:r>
            <w:r w:rsidR="00385CFB" w:rsidRPr="00D23089">
              <w:rPr>
                <w:rFonts w:asciiTheme="majorHAnsi" w:hAnsiTheme="majorHAnsi"/>
              </w:rPr>
              <w:t xml:space="preserve">partnerships </w:t>
            </w:r>
            <w:r w:rsidR="00ED194C" w:rsidRPr="00D23089">
              <w:rPr>
                <w:rFonts w:asciiTheme="majorHAnsi" w:hAnsiTheme="majorHAnsi"/>
              </w:rPr>
              <w:t>they formed to</w:t>
            </w:r>
            <w:r w:rsidRPr="00D23089">
              <w:rPr>
                <w:rFonts w:asciiTheme="majorHAnsi" w:hAnsiTheme="majorHAnsi"/>
              </w:rPr>
              <w:t xml:space="preserve"> </w:t>
            </w:r>
            <w:r w:rsidR="00ED194C" w:rsidRPr="00D23089">
              <w:rPr>
                <w:rFonts w:asciiTheme="majorHAnsi" w:hAnsiTheme="majorHAnsi"/>
              </w:rPr>
              <w:t xml:space="preserve">successfully address policy or </w:t>
            </w:r>
            <w:r w:rsidRPr="00D23089">
              <w:rPr>
                <w:rFonts w:asciiTheme="majorHAnsi" w:hAnsiTheme="majorHAnsi"/>
              </w:rPr>
              <w:t>a</w:t>
            </w:r>
            <w:r w:rsidR="00ED194C" w:rsidRPr="00D23089">
              <w:rPr>
                <w:rFonts w:asciiTheme="majorHAnsi" w:hAnsiTheme="majorHAnsi"/>
              </w:rPr>
              <w:t>chiev</w:t>
            </w:r>
            <w:r w:rsidRPr="00D23089">
              <w:rPr>
                <w:rFonts w:asciiTheme="majorHAnsi" w:hAnsiTheme="majorHAnsi"/>
              </w:rPr>
              <w:t>e</w:t>
            </w:r>
            <w:r w:rsidR="00ED194C" w:rsidRPr="00D23089">
              <w:rPr>
                <w:rFonts w:asciiTheme="majorHAnsi" w:hAnsiTheme="majorHAnsi"/>
              </w:rPr>
              <w:t xml:space="preserve"> the potential to address policy</w:t>
            </w:r>
            <w:r w:rsidR="00940204" w:rsidRPr="00D23089">
              <w:rPr>
                <w:rFonts w:asciiTheme="majorHAnsi" w:hAnsiTheme="majorHAnsi"/>
              </w:rPr>
              <w:t>.</w:t>
            </w:r>
          </w:p>
        </w:tc>
      </w:tr>
      <w:tr w:rsidR="00F001AB" w:rsidRPr="00D23089" w14:paraId="1F0ABDAF" w14:textId="77777777" w:rsidTr="00C04431">
        <w:trPr>
          <w:trHeight w:val="782"/>
        </w:trPr>
        <w:tc>
          <w:tcPr>
            <w:tcW w:w="4770" w:type="dxa"/>
          </w:tcPr>
          <w:p w14:paraId="7DAA7BC0" w14:textId="77777777" w:rsidR="00BA2A80" w:rsidRDefault="00ED194C" w:rsidP="00464F0F">
            <w:pPr>
              <w:rPr>
                <w:rFonts w:asciiTheme="majorHAnsi" w:hAnsiTheme="majorHAnsi"/>
              </w:rPr>
            </w:pPr>
            <w:r w:rsidRPr="000957E6">
              <w:rPr>
                <w:rFonts w:asciiTheme="majorHAnsi" w:hAnsiTheme="majorHAnsi"/>
                <w:b/>
              </w:rPr>
              <w:t>Community Benefits from Policy</w:t>
            </w:r>
            <w:r w:rsidR="00117C07">
              <w:rPr>
                <w:rFonts w:asciiTheme="majorHAnsi" w:hAnsiTheme="majorHAnsi"/>
              </w:rPr>
              <w:t xml:space="preserve"> –</w:t>
            </w:r>
            <w:r w:rsidR="001E4F43">
              <w:rPr>
                <w:rFonts w:asciiTheme="majorHAnsi" w:hAnsiTheme="majorHAnsi"/>
              </w:rPr>
              <w:t>f</w:t>
            </w:r>
            <w:r w:rsidR="00117C07">
              <w:rPr>
                <w:rFonts w:asciiTheme="majorHAnsi" w:hAnsiTheme="majorHAnsi"/>
              </w:rPr>
              <w:t>o</w:t>
            </w:r>
            <w:r w:rsidR="001E4F43">
              <w:rPr>
                <w:rFonts w:asciiTheme="majorHAnsi" w:hAnsiTheme="majorHAnsi"/>
              </w:rPr>
              <w:t>r</w:t>
            </w:r>
            <w:r w:rsidR="00117C07">
              <w:rPr>
                <w:rFonts w:asciiTheme="majorHAnsi" w:hAnsiTheme="majorHAnsi"/>
              </w:rPr>
              <w:t xml:space="preserve"> gather</w:t>
            </w:r>
            <w:r w:rsidR="001E4F43">
              <w:rPr>
                <w:rFonts w:asciiTheme="majorHAnsi" w:hAnsiTheme="majorHAnsi"/>
              </w:rPr>
              <w:t>ing</w:t>
            </w:r>
            <w:r w:rsidR="00117C07">
              <w:rPr>
                <w:rFonts w:asciiTheme="majorHAnsi" w:hAnsiTheme="majorHAnsi"/>
              </w:rPr>
              <w:t xml:space="preserve"> d</w:t>
            </w:r>
            <w:r w:rsidR="00117C07" w:rsidRPr="00117C07">
              <w:rPr>
                <w:rFonts w:asciiTheme="majorHAnsi" w:hAnsiTheme="majorHAnsi"/>
              </w:rPr>
              <w:t>etails on how the policy that has been addressed will benefit the community.</w:t>
            </w:r>
          </w:p>
          <w:p w14:paraId="1F0ABDAC" w14:textId="5558DE73" w:rsidR="00464F0F" w:rsidRPr="00117C07" w:rsidRDefault="00464F0F" w:rsidP="00464F0F">
            <w:pPr>
              <w:rPr>
                <w:rFonts w:asciiTheme="majorHAnsi" w:hAnsiTheme="majorHAnsi"/>
              </w:rPr>
            </w:pPr>
          </w:p>
        </w:tc>
        <w:tc>
          <w:tcPr>
            <w:tcW w:w="1350" w:type="dxa"/>
            <w:vAlign w:val="center"/>
          </w:tcPr>
          <w:p w14:paraId="1F0ABDAD" w14:textId="77777777" w:rsidR="00BA2A80" w:rsidRPr="00D23089" w:rsidRDefault="00ED194C" w:rsidP="000957E6">
            <w:pPr>
              <w:jc w:val="center"/>
              <w:rPr>
                <w:rFonts w:asciiTheme="majorHAnsi" w:hAnsiTheme="majorHAnsi"/>
              </w:rPr>
            </w:pPr>
            <w:r w:rsidRPr="00D23089">
              <w:rPr>
                <w:rFonts w:asciiTheme="majorHAnsi" w:hAnsiTheme="majorHAnsi"/>
              </w:rPr>
              <w:t>3</w:t>
            </w:r>
          </w:p>
        </w:tc>
        <w:tc>
          <w:tcPr>
            <w:tcW w:w="5130" w:type="dxa"/>
          </w:tcPr>
          <w:p w14:paraId="1F0ABDAE" w14:textId="77777777" w:rsidR="00BA2A80" w:rsidRPr="00D23089" w:rsidRDefault="00AE3EC0" w:rsidP="00464F0F">
            <w:pPr>
              <w:rPr>
                <w:rFonts w:asciiTheme="majorHAnsi" w:hAnsiTheme="majorHAnsi"/>
              </w:rPr>
            </w:pPr>
            <w:r w:rsidRPr="00D23089">
              <w:rPr>
                <w:rFonts w:asciiTheme="majorHAnsi" w:hAnsiTheme="majorHAnsi"/>
              </w:rPr>
              <w:t xml:space="preserve">To learn how the community will benefit from the policy that has been addressed or </w:t>
            </w:r>
            <w:r w:rsidR="00F934B7" w:rsidRPr="00D23089">
              <w:rPr>
                <w:rFonts w:asciiTheme="majorHAnsi" w:hAnsiTheme="majorHAnsi"/>
              </w:rPr>
              <w:t xml:space="preserve">could </w:t>
            </w:r>
            <w:r w:rsidRPr="00D23089">
              <w:rPr>
                <w:rFonts w:asciiTheme="majorHAnsi" w:hAnsiTheme="majorHAnsi"/>
              </w:rPr>
              <w:t>potentially be addressed</w:t>
            </w:r>
            <w:r w:rsidR="00940204" w:rsidRPr="00D23089">
              <w:rPr>
                <w:rFonts w:asciiTheme="majorHAnsi" w:hAnsiTheme="majorHAnsi"/>
              </w:rPr>
              <w:t>.</w:t>
            </w:r>
          </w:p>
        </w:tc>
      </w:tr>
      <w:tr w:rsidR="00F001AB" w:rsidRPr="00D23089" w14:paraId="1F0ABDB3" w14:textId="77777777" w:rsidTr="00C04431">
        <w:tc>
          <w:tcPr>
            <w:tcW w:w="4770" w:type="dxa"/>
          </w:tcPr>
          <w:p w14:paraId="1F0ABDB0" w14:textId="26DB5550" w:rsidR="00BA2A80" w:rsidRPr="00117C07" w:rsidRDefault="009D41DD" w:rsidP="00464F0F">
            <w:pPr>
              <w:rPr>
                <w:rFonts w:asciiTheme="majorHAnsi" w:hAnsiTheme="majorHAnsi"/>
              </w:rPr>
            </w:pPr>
            <w:r w:rsidRPr="000957E6">
              <w:rPr>
                <w:rFonts w:asciiTheme="majorHAnsi" w:hAnsiTheme="majorHAnsi"/>
                <w:b/>
              </w:rPr>
              <w:t>Barriers to Policy Implementation</w:t>
            </w:r>
            <w:r w:rsidR="00117C07">
              <w:rPr>
                <w:rFonts w:asciiTheme="majorHAnsi" w:hAnsiTheme="majorHAnsi"/>
              </w:rPr>
              <w:t xml:space="preserve"> –</w:t>
            </w:r>
            <w:r w:rsidR="001E4F43">
              <w:rPr>
                <w:rFonts w:asciiTheme="majorHAnsi" w:hAnsiTheme="majorHAnsi"/>
              </w:rPr>
              <w:t>f</w:t>
            </w:r>
            <w:r w:rsidR="00117C07">
              <w:rPr>
                <w:rFonts w:asciiTheme="majorHAnsi" w:hAnsiTheme="majorHAnsi"/>
              </w:rPr>
              <w:t>o</w:t>
            </w:r>
            <w:r w:rsidR="001E4F43">
              <w:rPr>
                <w:rFonts w:asciiTheme="majorHAnsi" w:hAnsiTheme="majorHAnsi"/>
              </w:rPr>
              <w:t>r</w:t>
            </w:r>
            <w:r w:rsidR="00117C07">
              <w:rPr>
                <w:rFonts w:asciiTheme="majorHAnsi" w:hAnsiTheme="majorHAnsi"/>
              </w:rPr>
              <w:t xml:space="preserve"> learn</w:t>
            </w:r>
            <w:r w:rsidR="001E4F43">
              <w:rPr>
                <w:rFonts w:asciiTheme="majorHAnsi" w:hAnsiTheme="majorHAnsi"/>
              </w:rPr>
              <w:t>ing</w:t>
            </w:r>
            <w:r w:rsidR="00117C07">
              <w:rPr>
                <w:rFonts w:asciiTheme="majorHAnsi" w:hAnsiTheme="majorHAnsi"/>
              </w:rPr>
              <w:t xml:space="preserve"> about the b</w:t>
            </w:r>
            <w:r w:rsidR="00117C07" w:rsidRPr="00117C07">
              <w:rPr>
                <w:rFonts w:asciiTheme="majorHAnsi" w:hAnsiTheme="majorHAnsi"/>
              </w:rPr>
              <w:t xml:space="preserve">arriers </w:t>
            </w:r>
            <w:r w:rsidR="00117C07">
              <w:rPr>
                <w:rFonts w:asciiTheme="majorHAnsi" w:hAnsiTheme="majorHAnsi"/>
              </w:rPr>
              <w:t xml:space="preserve">that were </w:t>
            </w:r>
            <w:r w:rsidR="00117C07" w:rsidRPr="00117C07">
              <w:rPr>
                <w:rFonts w:asciiTheme="majorHAnsi" w:hAnsiTheme="majorHAnsi"/>
              </w:rPr>
              <w:t xml:space="preserve">identified </w:t>
            </w:r>
            <w:r w:rsidR="00117C07">
              <w:rPr>
                <w:rFonts w:asciiTheme="majorHAnsi" w:hAnsiTheme="majorHAnsi"/>
              </w:rPr>
              <w:t>during</w:t>
            </w:r>
            <w:r w:rsidR="00117C07" w:rsidRPr="00117C07">
              <w:rPr>
                <w:rFonts w:asciiTheme="majorHAnsi" w:hAnsiTheme="majorHAnsi"/>
              </w:rPr>
              <w:t xml:space="preserve"> the implementation of the </w:t>
            </w:r>
            <w:r w:rsidR="001E4F43" w:rsidRPr="00117C07">
              <w:rPr>
                <w:rFonts w:asciiTheme="majorHAnsi" w:hAnsiTheme="majorHAnsi"/>
              </w:rPr>
              <w:t xml:space="preserve">addressed </w:t>
            </w:r>
            <w:r w:rsidR="00117C07" w:rsidRPr="00117C07">
              <w:rPr>
                <w:rFonts w:asciiTheme="majorHAnsi" w:hAnsiTheme="majorHAnsi"/>
              </w:rPr>
              <w:t>policy.</w:t>
            </w:r>
          </w:p>
        </w:tc>
        <w:tc>
          <w:tcPr>
            <w:tcW w:w="1350" w:type="dxa"/>
            <w:vAlign w:val="center"/>
          </w:tcPr>
          <w:p w14:paraId="1F0ABDB1" w14:textId="77777777" w:rsidR="00BA2A80" w:rsidRPr="00D23089" w:rsidRDefault="00AE3EC0" w:rsidP="000957E6">
            <w:pPr>
              <w:jc w:val="center"/>
              <w:rPr>
                <w:rFonts w:asciiTheme="majorHAnsi" w:hAnsiTheme="majorHAnsi"/>
              </w:rPr>
            </w:pPr>
            <w:r w:rsidRPr="00D23089">
              <w:rPr>
                <w:rFonts w:asciiTheme="majorHAnsi" w:hAnsiTheme="majorHAnsi"/>
              </w:rPr>
              <w:t>2</w:t>
            </w:r>
          </w:p>
        </w:tc>
        <w:tc>
          <w:tcPr>
            <w:tcW w:w="5130" w:type="dxa"/>
          </w:tcPr>
          <w:p w14:paraId="1F0ABDB2" w14:textId="77777777" w:rsidR="00BA2A80" w:rsidRPr="00D23089" w:rsidRDefault="00F934B7" w:rsidP="00464F0F">
            <w:pPr>
              <w:rPr>
                <w:rFonts w:asciiTheme="majorHAnsi" w:hAnsiTheme="majorHAnsi"/>
              </w:rPr>
            </w:pPr>
            <w:r w:rsidRPr="00D23089">
              <w:rPr>
                <w:rFonts w:asciiTheme="majorHAnsi" w:hAnsiTheme="majorHAnsi"/>
              </w:rPr>
              <w:t>To learn if health departments identified barriers to the implementation of the policy that has been addressed or the one that could potentially be addressed, and what has been done to overcome those barriers.</w:t>
            </w:r>
          </w:p>
        </w:tc>
      </w:tr>
      <w:tr w:rsidR="00F001AB" w:rsidRPr="00D23089" w14:paraId="1F0ABDB7" w14:textId="77777777" w:rsidTr="00C04431">
        <w:tc>
          <w:tcPr>
            <w:tcW w:w="4770" w:type="dxa"/>
          </w:tcPr>
          <w:p w14:paraId="1F0ABDB4" w14:textId="27532A45" w:rsidR="00BA2A80" w:rsidRPr="00117C07" w:rsidRDefault="00F934B7" w:rsidP="00464F0F">
            <w:pPr>
              <w:rPr>
                <w:rFonts w:asciiTheme="majorHAnsi" w:hAnsiTheme="majorHAnsi"/>
              </w:rPr>
            </w:pPr>
            <w:r w:rsidRPr="000957E6">
              <w:rPr>
                <w:rFonts w:asciiTheme="majorHAnsi" w:hAnsiTheme="majorHAnsi"/>
                <w:b/>
              </w:rPr>
              <w:t xml:space="preserve">Recommendations </w:t>
            </w:r>
            <w:r w:rsidR="009D41DD" w:rsidRPr="000957E6">
              <w:rPr>
                <w:rFonts w:asciiTheme="majorHAnsi" w:hAnsiTheme="majorHAnsi"/>
                <w:b/>
              </w:rPr>
              <w:t>to Plan and Conduct Projects Aimed at Influencing Policy</w:t>
            </w:r>
            <w:r w:rsidR="00117C07">
              <w:rPr>
                <w:rFonts w:asciiTheme="majorHAnsi" w:hAnsiTheme="majorHAnsi"/>
              </w:rPr>
              <w:t xml:space="preserve"> –</w:t>
            </w:r>
            <w:r w:rsidR="001E4F43">
              <w:rPr>
                <w:rFonts w:asciiTheme="majorHAnsi" w:hAnsiTheme="majorHAnsi"/>
              </w:rPr>
              <w:t>f</w:t>
            </w:r>
            <w:r w:rsidR="00117C07">
              <w:rPr>
                <w:rFonts w:asciiTheme="majorHAnsi" w:hAnsiTheme="majorHAnsi"/>
              </w:rPr>
              <w:t>o</w:t>
            </w:r>
            <w:r w:rsidR="001E4F43">
              <w:rPr>
                <w:rFonts w:asciiTheme="majorHAnsi" w:hAnsiTheme="majorHAnsi"/>
              </w:rPr>
              <w:t>r</w:t>
            </w:r>
            <w:r w:rsidR="00117C07">
              <w:rPr>
                <w:rFonts w:asciiTheme="majorHAnsi" w:hAnsiTheme="majorHAnsi"/>
              </w:rPr>
              <w:t xml:space="preserve"> shar</w:t>
            </w:r>
            <w:r w:rsidR="001E4F43">
              <w:rPr>
                <w:rFonts w:asciiTheme="majorHAnsi" w:hAnsiTheme="majorHAnsi"/>
              </w:rPr>
              <w:t>ing</w:t>
            </w:r>
            <w:r w:rsidR="00117C07">
              <w:rPr>
                <w:rFonts w:asciiTheme="majorHAnsi" w:hAnsiTheme="majorHAnsi"/>
              </w:rPr>
              <w:t xml:space="preserve"> the r</w:t>
            </w:r>
            <w:r w:rsidR="00117C07" w:rsidRPr="00117C07">
              <w:rPr>
                <w:rFonts w:asciiTheme="majorHAnsi" w:hAnsiTheme="majorHAnsi"/>
              </w:rPr>
              <w:t>ecommendations</w:t>
            </w:r>
            <w:r w:rsidR="00117C07">
              <w:rPr>
                <w:rFonts w:asciiTheme="majorHAnsi" w:hAnsiTheme="majorHAnsi"/>
              </w:rPr>
              <w:t xml:space="preserve"> that</w:t>
            </w:r>
            <w:r w:rsidR="00117C07" w:rsidRPr="00117C07">
              <w:rPr>
                <w:rFonts w:asciiTheme="majorHAnsi" w:hAnsiTheme="majorHAnsi"/>
              </w:rPr>
              <w:t xml:space="preserve"> EH practitioners </w:t>
            </w:r>
            <w:r w:rsidR="00117C07" w:rsidRPr="00117C07">
              <w:rPr>
                <w:rFonts w:asciiTheme="majorHAnsi" w:hAnsiTheme="majorHAnsi"/>
              </w:rPr>
              <w:lastRenderedPageBreak/>
              <w:t>can provide when planning and conducting projects aimed to address policy.</w:t>
            </w:r>
          </w:p>
        </w:tc>
        <w:tc>
          <w:tcPr>
            <w:tcW w:w="1350" w:type="dxa"/>
            <w:vAlign w:val="center"/>
          </w:tcPr>
          <w:p w14:paraId="1F0ABDB5" w14:textId="77777777" w:rsidR="00BA2A80" w:rsidRPr="00D23089" w:rsidRDefault="00940204" w:rsidP="000957E6">
            <w:pPr>
              <w:jc w:val="center"/>
              <w:rPr>
                <w:rFonts w:asciiTheme="majorHAnsi" w:hAnsiTheme="majorHAnsi"/>
              </w:rPr>
            </w:pPr>
            <w:r w:rsidRPr="00D23089">
              <w:rPr>
                <w:rFonts w:asciiTheme="majorHAnsi" w:hAnsiTheme="majorHAnsi"/>
              </w:rPr>
              <w:lastRenderedPageBreak/>
              <w:t>2</w:t>
            </w:r>
          </w:p>
        </w:tc>
        <w:tc>
          <w:tcPr>
            <w:tcW w:w="5130" w:type="dxa"/>
          </w:tcPr>
          <w:p w14:paraId="1F0ABDB6" w14:textId="77777777" w:rsidR="00BA2A80" w:rsidRPr="00D23089" w:rsidRDefault="009D41DD" w:rsidP="00464F0F">
            <w:pPr>
              <w:rPr>
                <w:rFonts w:asciiTheme="majorHAnsi" w:hAnsiTheme="majorHAnsi"/>
              </w:rPr>
            </w:pPr>
            <w:r w:rsidRPr="00D23089">
              <w:rPr>
                <w:rFonts w:asciiTheme="majorHAnsi" w:hAnsiTheme="majorHAnsi"/>
              </w:rPr>
              <w:t>To learn if</w:t>
            </w:r>
            <w:r w:rsidR="005B130C" w:rsidRPr="00D23089">
              <w:rPr>
                <w:rFonts w:asciiTheme="majorHAnsi" w:hAnsiTheme="majorHAnsi"/>
              </w:rPr>
              <w:t xml:space="preserve"> health departments </w:t>
            </w:r>
            <w:r w:rsidR="008652D3" w:rsidRPr="00D23089">
              <w:rPr>
                <w:rFonts w:asciiTheme="majorHAnsi" w:hAnsiTheme="majorHAnsi"/>
              </w:rPr>
              <w:t>can make recommendations</w:t>
            </w:r>
            <w:r w:rsidRPr="00D23089">
              <w:rPr>
                <w:rFonts w:asciiTheme="majorHAnsi" w:hAnsiTheme="majorHAnsi"/>
              </w:rPr>
              <w:t xml:space="preserve"> </w:t>
            </w:r>
            <w:r w:rsidR="008652D3" w:rsidRPr="00D23089">
              <w:rPr>
                <w:rFonts w:asciiTheme="majorHAnsi" w:hAnsiTheme="majorHAnsi"/>
              </w:rPr>
              <w:t>for</w:t>
            </w:r>
            <w:r w:rsidRPr="00D23089">
              <w:rPr>
                <w:rFonts w:asciiTheme="majorHAnsi" w:hAnsiTheme="majorHAnsi"/>
              </w:rPr>
              <w:t xml:space="preserve"> planning and conducting </w:t>
            </w:r>
            <w:r w:rsidR="00511F0D" w:rsidRPr="00D23089">
              <w:rPr>
                <w:rFonts w:asciiTheme="majorHAnsi" w:hAnsiTheme="majorHAnsi"/>
              </w:rPr>
              <w:t xml:space="preserve">projects aimed at </w:t>
            </w:r>
            <w:r w:rsidR="008652D3" w:rsidRPr="00D23089">
              <w:rPr>
                <w:rFonts w:asciiTheme="majorHAnsi" w:hAnsiTheme="majorHAnsi"/>
              </w:rPr>
              <w:t>address</w:t>
            </w:r>
            <w:r w:rsidR="00511F0D" w:rsidRPr="00D23089">
              <w:rPr>
                <w:rFonts w:asciiTheme="majorHAnsi" w:hAnsiTheme="majorHAnsi"/>
              </w:rPr>
              <w:t>ing policy,</w:t>
            </w:r>
            <w:r w:rsidRPr="00D23089">
              <w:rPr>
                <w:rFonts w:asciiTheme="majorHAnsi" w:hAnsiTheme="majorHAnsi"/>
              </w:rPr>
              <w:t xml:space="preserve"> and if they identified the </w:t>
            </w:r>
            <w:r w:rsidRPr="00D23089">
              <w:rPr>
                <w:rFonts w:asciiTheme="majorHAnsi" w:hAnsiTheme="majorHAnsi"/>
              </w:rPr>
              <w:lastRenderedPageBreak/>
              <w:t xml:space="preserve">tools and resources needed </w:t>
            </w:r>
            <w:r w:rsidR="00511F0D" w:rsidRPr="00D23089">
              <w:rPr>
                <w:rFonts w:asciiTheme="majorHAnsi" w:hAnsiTheme="majorHAnsi"/>
              </w:rPr>
              <w:t>to become more effective in promoting and implementing policy change</w:t>
            </w:r>
            <w:r w:rsidR="005B130C" w:rsidRPr="00D23089">
              <w:rPr>
                <w:rFonts w:asciiTheme="majorHAnsi" w:hAnsiTheme="majorHAnsi"/>
              </w:rPr>
              <w:t>.</w:t>
            </w:r>
          </w:p>
        </w:tc>
      </w:tr>
      <w:tr w:rsidR="00F001AB" w:rsidRPr="00D23089" w14:paraId="1F0ABDBB" w14:textId="77777777" w:rsidTr="00C04431">
        <w:tc>
          <w:tcPr>
            <w:tcW w:w="4770" w:type="dxa"/>
          </w:tcPr>
          <w:p w14:paraId="293FD616" w14:textId="77777777" w:rsidR="00BA2A80" w:rsidRDefault="00940204" w:rsidP="00464F0F">
            <w:pPr>
              <w:rPr>
                <w:rFonts w:asciiTheme="majorHAnsi" w:hAnsiTheme="majorHAnsi"/>
              </w:rPr>
            </w:pPr>
            <w:r w:rsidRPr="000957E6">
              <w:rPr>
                <w:rFonts w:asciiTheme="majorHAnsi" w:hAnsiTheme="majorHAnsi"/>
                <w:b/>
              </w:rPr>
              <w:lastRenderedPageBreak/>
              <w:t>Additional Comments</w:t>
            </w:r>
            <w:r w:rsidR="00485EF2">
              <w:rPr>
                <w:rFonts w:asciiTheme="majorHAnsi" w:hAnsiTheme="majorHAnsi"/>
              </w:rPr>
              <w:t xml:space="preserve"> –</w:t>
            </w:r>
            <w:r w:rsidR="001E4F43">
              <w:rPr>
                <w:rFonts w:asciiTheme="majorHAnsi" w:hAnsiTheme="majorHAnsi"/>
              </w:rPr>
              <w:t>f</w:t>
            </w:r>
            <w:r w:rsidR="00485EF2">
              <w:rPr>
                <w:rFonts w:asciiTheme="majorHAnsi" w:hAnsiTheme="majorHAnsi"/>
              </w:rPr>
              <w:t>o</w:t>
            </w:r>
            <w:r w:rsidR="001E4F43">
              <w:rPr>
                <w:rFonts w:asciiTheme="majorHAnsi" w:hAnsiTheme="majorHAnsi"/>
              </w:rPr>
              <w:t>r</w:t>
            </w:r>
            <w:r w:rsidR="00485EF2">
              <w:rPr>
                <w:rFonts w:asciiTheme="majorHAnsi" w:hAnsiTheme="majorHAnsi"/>
              </w:rPr>
              <w:t xml:space="preserve"> gather</w:t>
            </w:r>
            <w:r w:rsidR="001E4F43">
              <w:rPr>
                <w:rFonts w:asciiTheme="majorHAnsi" w:hAnsiTheme="majorHAnsi"/>
              </w:rPr>
              <w:t>ing</w:t>
            </w:r>
            <w:r w:rsidR="00485EF2">
              <w:rPr>
                <w:rFonts w:asciiTheme="majorHAnsi" w:hAnsiTheme="majorHAnsi"/>
              </w:rPr>
              <w:t xml:space="preserve"> additional information that EH practitioners would like to share, which can be useful when planning and conducting water policy projects.</w:t>
            </w:r>
          </w:p>
          <w:p w14:paraId="1F0ABDB8" w14:textId="2E49167C" w:rsidR="00464F0F" w:rsidRPr="00485EF2" w:rsidRDefault="00464F0F" w:rsidP="00464F0F">
            <w:pPr>
              <w:rPr>
                <w:rFonts w:asciiTheme="majorHAnsi" w:hAnsiTheme="majorHAnsi"/>
              </w:rPr>
            </w:pPr>
          </w:p>
        </w:tc>
        <w:tc>
          <w:tcPr>
            <w:tcW w:w="1350" w:type="dxa"/>
            <w:vAlign w:val="center"/>
          </w:tcPr>
          <w:p w14:paraId="1F0ABDB9" w14:textId="77777777" w:rsidR="00BA2A80" w:rsidRPr="00D23089" w:rsidRDefault="00940204" w:rsidP="000957E6">
            <w:pPr>
              <w:jc w:val="center"/>
              <w:rPr>
                <w:rFonts w:asciiTheme="majorHAnsi" w:hAnsiTheme="majorHAnsi"/>
              </w:rPr>
            </w:pPr>
            <w:r w:rsidRPr="00D23089">
              <w:rPr>
                <w:rFonts w:asciiTheme="majorHAnsi" w:hAnsiTheme="majorHAnsi"/>
              </w:rPr>
              <w:t>1</w:t>
            </w:r>
          </w:p>
        </w:tc>
        <w:tc>
          <w:tcPr>
            <w:tcW w:w="5130" w:type="dxa"/>
          </w:tcPr>
          <w:p w14:paraId="1F0ABDBA" w14:textId="77777777" w:rsidR="00BA2A80" w:rsidRPr="00D23089" w:rsidRDefault="00F934B7" w:rsidP="00464F0F">
            <w:pPr>
              <w:rPr>
                <w:rFonts w:asciiTheme="majorHAnsi" w:hAnsiTheme="majorHAnsi"/>
              </w:rPr>
            </w:pPr>
            <w:r w:rsidRPr="00D23089">
              <w:rPr>
                <w:rFonts w:asciiTheme="majorHAnsi" w:hAnsiTheme="majorHAnsi"/>
              </w:rPr>
              <w:t>A</w:t>
            </w:r>
            <w:r w:rsidR="005B130C" w:rsidRPr="00D23089">
              <w:rPr>
                <w:rFonts w:asciiTheme="majorHAnsi" w:hAnsiTheme="majorHAnsi"/>
              </w:rPr>
              <w:t>ny other comments re</w:t>
            </w:r>
            <w:r w:rsidRPr="00D23089">
              <w:rPr>
                <w:rFonts w:asciiTheme="majorHAnsi" w:hAnsiTheme="majorHAnsi"/>
              </w:rPr>
              <w:t>ferred to</w:t>
            </w:r>
            <w:r w:rsidR="005B130C" w:rsidRPr="00D23089">
              <w:rPr>
                <w:rFonts w:asciiTheme="majorHAnsi" w:hAnsiTheme="majorHAnsi"/>
              </w:rPr>
              <w:t xml:space="preserve"> </w:t>
            </w:r>
            <w:r w:rsidRPr="00D23089">
              <w:rPr>
                <w:rFonts w:asciiTheme="majorHAnsi" w:hAnsiTheme="majorHAnsi"/>
              </w:rPr>
              <w:t>planning projects aimed at developing or amending safe water-related-policies</w:t>
            </w:r>
            <w:r w:rsidR="005B130C" w:rsidRPr="00D23089">
              <w:rPr>
                <w:rFonts w:asciiTheme="majorHAnsi" w:hAnsiTheme="majorHAnsi"/>
              </w:rPr>
              <w:t>.</w:t>
            </w:r>
          </w:p>
        </w:tc>
      </w:tr>
    </w:tbl>
    <w:p w14:paraId="021F29B6" w14:textId="77777777" w:rsidR="003E7A4C" w:rsidRPr="00D23089" w:rsidRDefault="003E7A4C" w:rsidP="00C91DD1">
      <w:pPr>
        <w:tabs>
          <w:tab w:val="left" w:pos="9075"/>
        </w:tabs>
        <w:rPr>
          <w:rFonts w:asciiTheme="majorHAnsi" w:hAnsiTheme="majorHAnsi"/>
          <w:b/>
        </w:rPr>
      </w:pPr>
    </w:p>
    <w:p w14:paraId="1F0ABDBE" w14:textId="5202FD35" w:rsidR="005B130C" w:rsidRPr="00C04431" w:rsidRDefault="005B130C" w:rsidP="00BE5B0A">
      <w:pPr>
        <w:pStyle w:val="ListParagraph"/>
        <w:numPr>
          <w:ilvl w:val="0"/>
          <w:numId w:val="4"/>
        </w:numPr>
        <w:rPr>
          <w:rFonts w:asciiTheme="majorHAnsi" w:hAnsiTheme="majorHAnsi"/>
          <w:b/>
        </w:rPr>
      </w:pPr>
      <w:r w:rsidRPr="00BE5B0A">
        <w:rPr>
          <w:rFonts w:asciiTheme="majorHAnsi" w:hAnsiTheme="majorHAnsi"/>
          <w:b/>
        </w:rPr>
        <w:t>Purpose and Us</w:t>
      </w:r>
      <w:r w:rsidR="00851E59" w:rsidRPr="00BE5B0A">
        <w:rPr>
          <w:rFonts w:asciiTheme="majorHAnsi" w:hAnsiTheme="majorHAnsi"/>
          <w:b/>
        </w:rPr>
        <w:t>e of the Information Collection</w:t>
      </w:r>
    </w:p>
    <w:p w14:paraId="1F0ABDC1" w14:textId="6B868D6C" w:rsidR="00323FBF" w:rsidRPr="00D23089" w:rsidRDefault="00CC353C" w:rsidP="000957E6">
      <w:r>
        <w:rPr>
          <w:rFonts w:asciiTheme="majorHAnsi" w:hAnsiTheme="majorHAnsi"/>
        </w:rPr>
        <w:t xml:space="preserve">The purpose of this collection of information is </w:t>
      </w:r>
      <w:r w:rsidR="00BF50D1">
        <w:rPr>
          <w:rFonts w:asciiTheme="majorHAnsi" w:hAnsiTheme="majorHAnsi"/>
        </w:rPr>
        <w:t>to</w:t>
      </w:r>
      <w:r w:rsidR="00323FBF" w:rsidRPr="00D23089">
        <w:rPr>
          <w:rFonts w:asciiTheme="majorHAnsi" w:hAnsiTheme="majorHAnsi"/>
        </w:rPr>
        <w:t>:</w:t>
      </w:r>
    </w:p>
    <w:p w14:paraId="12AEAF57" w14:textId="77777777" w:rsidR="00BF50D1" w:rsidRPr="0014665F" w:rsidRDefault="00BF50D1" w:rsidP="0014665F">
      <w:pPr>
        <w:pStyle w:val="ListParagraph"/>
        <w:numPr>
          <w:ilvl w:val="0"/>
          <w:numId w:val="31"/>
        </w:numPr>
        <w:spacing w:after="0"/>
        <w:rPr>
          <w:rFonts w:asciiTheme="majorHAnsi" w:hAnsiTheme="majorHAnsi"/>
        </w:rPr>
      </w:pPr>
      <w:r w:rsidRPr="0014665F">
        <w:rPr>
          <w:rFonts w:asciiTheme="majorHAnsi" w:hAnsiTheme="majorHAnsi"/>
        </w:rPr>
        <w:t>Understand the influence of water projects on policy, specifically, understand which water projects influenced which policies and how;</w:t>
      </w:r>
    </w:p>
    <w:p w14:paraId="52896A9B" w14:textId="77777777" w:rsidR="00BF50D1" w:rsidRPr="0014665F" w:rsidRDefault="00BF50D1" w:rsidP="0014665F">
      <w:pPr>
        <w:pStyle w:val="ListParagraph"/>
        <w:numPr>
          <w:ilvl w:val="0"/>
          <w:numId w:val="31"/>
        </w:numPr>
        <w:spacing w:after="0" w:line="240" w:lineRule="auto"/>
        <w:rPr>
          <w:rFonts w:asciiTheme="majorHAnsi" w:hAnsiTheme="majorHAnsi"/>
        </w:rPr>
      </w:pPr>
      <w:r w:rsidRPr="0014665F">
        <w:rPr>
          <w:rFonts w:asciiTheme="majorHAnsi" w:hAnsiTheme="majorHAnsi"/>
        </w:rPr>
        <w:lastRenderedPageBreak/>
        <w:t>Identify challenges to influencing policy through water projects and strategies for overcoming challenges;</w:t>
      </w:r>
    </w:p>
    <w:p w14:paraId="7CCB9984" w14:textId="77777777" w:rsidR="00BF50D1" w:rsidRPr="0014665F" w:rsidRDefault="00BF50D1" w:rsidP="0014665F">
      <w:pPr>
        <w:pStyle w:val="ListParagraph"/>
        <w:numPr>
          <w:ilvl w:val="0"/>
          <w:numId w:val="31"/>
        </w:numPr>
        <w:spacing w:after="0" w:line="240" w:lineRule="auto"/>
        <w:rPr>
          <w:rFonts w:asciiTheme="majorHAnsi" w:hAnsiTheme="majorHAnsi"/>
        </w:rPr>
      </w:pPr>
      <w:r w:rsidRPr="0014665F">
        <w:rPr>
          <w:rFonts w:asciiTheme="majorHAnsi" w:hAnsiTheme="majorHAnsi"/>
        </w:rPr>
        <w:t>Understand the type of partnerships needed to facilitate policy development;</w:t>
      </w:r>
    </w:p>
    <w:p w14:paraId="4B84B7B0" w14:textId="77777777" w:rsidR="009A0402" w:rsidRDefault="00BF50D1" w:rsidP="009A0402">
      <w:pPr>
        <w:pStyle w:val="ListParagraph"/>
        <w:numPr>
          <w:ilvl w:val="0"/>
          <w:numId w:val="31"/>
        </w:numPr>
        <w:spacing w:after="0" w:line="240" w:lineRule="auto"/>
        <w:rPr>
          <w:rFonts w:asciiTheme="majorHAnsi" w:hAnsiTheme="majorHAnsi"/>
        </w:rPr>
      </w:pPr>
      <w:r w:rsidRPr="0014665F">
        <w:rPr>
          <w:rFonts w:asciiTheme="majorHAnsi" w:hAnsiTheme="majorHAnsi"/>
        </w:rPr>
        <w:t>Identify the benefits gained to the local communities from the water project;</w:t>
      </w:r>
    </w:p>
    <w:p w14:paraId="64631942" w14:textId="4ECBD169" w:rsidR="00BF50D1" w:rsidRPr="009A0402" w:rsidRDefault="00BF50D1" w:rsidP="009A0402">
      <w:pPr>
        <w:pStyle w:val="ListParagraph"/>
        <w:spacing w:after="0" w:line="240" w:lineRule="auto"/>
        <w:rPr>
          <w:rFonts w:asciiTheme="majorHAnsi" w:hAnsiTheme="majorHAnsi"/>
        </w:rPr>
      </w:pPr>
      <w:r w:rsidRPr="009A0402">
        <w:rPr>
          <w:rFonts w:asciiTheme="majorHAnsi" w:hAnsiTheme="majorHAnsi"/>
        </w:rPr>
        <w:t>Identify training and resource needs of STLT staff working on water projects.</w:t>
      </w:r>
    </w:p>
    <w:p w14:paraId="474497B8" w14:textId="77777777" w:rsidR="00FC5A55" w:rsidRDefault="00FC5A55" w:rsidP="00BF50D1">
      <w:pPr>
        <w:rPr>
          <w:rFonts w:asciiTheme="majorHAnsi" w:hAnsiTheme="majorHAnsi"/>
        </w:rPr>
      </w:pPr>
    </w:p>
    <w:p w14:paraId="1A2C4534" w14:textId="23CD0C00" w:rsidR="0038511B" w:rsidRPr="007F55FF" w:rsidRDefault="00FC5A55" w:rsidP="00BF50D1">
      <w:pPr>
        <w:rPr>
          <w:rFonts w:asciiTheme="majorHAnsi" w:hAnsiTheme="majorHAnsi"/>
        </w:rPr>
      </w:pPr>
      <w:r w:rsidRPr="007F55FF">
        <w:rPr>
          <w:rFonts w:asciiTheme="majorHAnsi" w:hAnsiTheme="majorHAnsi"/>
        </w:rPr>
        <w:t>The information gleaned will help investigators understand the differences and nuances of how policy is developed and used at STLT health departments in relation to water projects</w:t>
      </w:r>
      <w:r w:rsidR="00C62F2D" w:rsidRPr="007F55FF">
        <w:rPr>
          <w:rFonts w:asciiTheme="majorHAnsi" w:hAnsiTheme="majorHAnsi"/>
          <w:bCs/>
        </w:rPr>
        <w:t xml:space="preserve"> focusing on federally unregulated drinking</w:t>
      </w:r>
      <w:r w:rsidR="00C62F2D" w:rsidRPr="007F55FF">
        <w:rPr>
          <w:rFonts w:asciiTheme="majorHAnsi" w:hAnsiTheme="majorHAnsi"/>
        </w:rPr>
        <w:t xml:space="preserve"> </w:t>
      </w:r>
      <w:r w:rsidR="00C62F2D" w:rsidRPr="007F55FF">
        <w:rPr>
          <w:rFonts w:asciiTheme="majorHAnsi" w:hAnsiTheme="majorHAnsi"/>
          <w:bCs/>
        </w:rPr>
        <w:t>water sources</w:t>
      </w:r>
      <w:r w:rsidR="00C62F2D" w:rsidRPr="007F55FF">
        <w:rPr>
          <w:rFonts w:asciiTheme="majorHAnsi" w:hAnsiTheme="majorHAnsi"/>
        </w:rPr>
        <w:t>.</w:t>
      </w:r>
      <w:r w:rsidRPr="007F55FF">
        <w:rPr>
          <w:rFonts w:asciiTheme="majorHAnsi" w:hAnsiTheme="majorHAnsi"/>
        </w:rPr>
        <w:t xml:space="preserve"> </w:t>
      </w:r>
      <w:r w:rsidR="0038511B" w:rsidRPr="007F55FF">
        <w:rPr>
          <w:rFonts w:asciiTheme="majorHAnsi" w:hAnsiTheme="majorHAnsi"/>
        </w:rPr>
        <w:t xml:space="preserve">Specifically, the information collected will be used to: </w:t>
      </w:r>
    </w:p>
    <w:p w14:paraId="6F29FE8E" w14:textId="751B4409" w:rsidR="00AC2749" w:rsidRPr="007F55FF" w:rsidRDefault="00AC2749" w:rsidP="0038511B">
      <w:pPr>
        <w:pStyle w:val="ListParagraph"/>
        <w:numPr>
          <w:ilvl w:val="0"/>
          <w:numId w:val="32"/>
        </w:numPr>
        <w:rPr>
          <w:rFonts w:asciiTheme="majorHAnsi" w:hAnsiTheme="majorHAnsi"/>
        </w:rPr>
      </w:pPr>
      <w:r w:rsidRPr="007F55FF">
        <w:rPr>
          <w:rFonts w:asciiTheme="majorHAnsi" w:hAnsiTheme="majorHAnsi"/>
        </w:rPr>
        <w:t xml:space="preserve">Assess which strategies have worked in addressing safe drinking water policies during the conduct of the EHS-Net Water Program and PW/UWDS programs within the small subset of grantees. </w:t>
      </w:r>
    </w:p>
    <w:p w14:paraId="25AB9309" w14:textId="77777777" w:rsidR="00AC2749" w:rsidRPr="007F55FF" w:rsidRDefault="00AC2749" w:rsidP="00AC2749">
      <w:pPr>
        <w:pStyle w:val="ListParagraph"/>
        <w:numPr>
          <w:ilvl w:val="0"/>
          <w:numId w:val="32"/>
        </w:numPr>
        <w:rPr>
          <w:rFonts w:asciiTheme="majorHAnsi" w:hAnsiTheme="majorHAnsi"/>
        </w:rPr>
      </w:pPr>
      <w:r w:rsidRPr="007F55FF">
        <w:rPr>
          <w:rFonts w:asciiTheme="majorHAnsi" w:hAnsiTheme="majorHAnsi"/>
        </w:rPr>
        <w:lastRenderedPageBreak/>
        <w:t xml:space="preserve">Inform CDC guidance regarding the delivery of essential environmental public health services for STLT drinking water programs. </w:t>
      </w:r>
    </w:p>
    <w:p w14:paraId="1300A7CF" w14:textId="77777777" w:rsidR="00C253D3" w:rsidRPr="007F55FF" w:rsidRDefault="00C253D3" w:rsidP="00C253D3">
      <w:pPr>
        <w:pStyle w:val="ListParagraph"/>
        <w:numPr>
          <w:ilvl w:val="0"/>
          <w:numId w:val="32"/>
        </w:numPr>
        <w:rPr>
          <w:rFonts w:asciiTheme="majorHAnsi" w:hAnsiTheme="majorHAnsi"/>
        </w:rPr>
      </w:pPr>
      <w:r w:rsidRPr="007F55FF">
        <w:rPr>
          <w:rFonts w:asciiTheme="majorHAnsi" w:hAnsiTheme="majorHAnsi"/>
        </w:rPr>
        <w:t xml:space="preserve">Develop “how to” guides for STLT health departments, outlining examples of water projects and their relationship to policy at the six sites that participate in the interviews. Although the sample size (n=6) is small, investigators believe other STLT health departments will benefit from learning from the experiences of these six sites, as they may be able to replicate safe water interventions in their own jurisdictions. </w:t>
      </w:r>
    </w:p>
    <w:p w14:paraId="239129E3" w14:textId="77777777" w:rsidR="00C253D3" w:rsidRPr="007F55FF" w:rsidRDefault="00C253D3" w:rsidP="00C253D3">
      <w:pPr>
        <w:pStyle w:val="ListParagraph"/>
        <w:rPr>
          <w:rFonts w:asciiTheme="majorHAnsi" w:hAnsiTheme="majorHAnsi"/>
        </w:rPr>
      </w:pPr>
    </w:p>
    <w:p w14:paraId="0A407791" w14:textId="02169F57" w:rsidR="00CE097C" w:rsidRPr="007F55FF" w:rsidRDefault="00AC2749" w:rsidP="00BF50D1">
      <w:pPr>
        <w:rPr>
          <w:rFonts w:asciiTheme="majorHAnsi" w:hAnsiTheme="majorHAnsi"/>
        </w:rPr>
      </w:pPr>
      <w:r w:rsidRPr="007F55FF">
        <w:rPr>
          <w:rFonts w:asciiTheme="majorHAnsi" w:hAnsiTheme="majorHAnsi"/>
        </w:rPr>
        <w:t xml:space="preserve">Please note: information collected will not be used to develop or influence policy, but rather, </w:t>
      </w:r>
      <w:r w:rsidR="00F21591" w:rsidRPr="007F55FF">
        <w:rPr>
          <w:rFonts w:asciiTheme="majorHAnsi" w:hAnsiTheme="majorHAnsi"/>
        </w:rPr>
        <w:t xml:space="preserve">to </w:t>
      </w:r>
      <w:r w:rsidRPr="007F55FF">
        <w:rPr>
          <w:rFonts w:asciiTheme="majorHAnsi" w:hAnsiTheme="majorHAnsi"/>
        </w:rPr>
        <w:t xml:space="preserve">provide CDC and STLT health departments with the opportunity to learn from six jurisdictions that have experience with implementing water projects that have affected policies. </w:t>
      </w:r>
    </w:p>
    <w:p w14:paraId="38EB8DF2" w14:textId="77777777" w:rsidR="00E41C2E" w:rsidRPr="00E41C2E" w:rsidRDefault="00E41C2E" w:rsidP="00BF50D1">
      <w:pPr>
        <w:rPr>
          <w:rFonts w:asciiTheme="majorHAnsi" w:hAnsiTheme="majorHAnsi"/>
          <w:highlight w:val="green"/>
        </w:rPr>
      </w:pPr>
    </w:p>
    <w:p w14:paraId="1F0ABDC6" w14:textId="12661DD7" w:rsidR="005B130C" w:rsidRPr="00BE5B0A" w:rsidRDefault="005B130C" w:rsidP="00BE5B0A">
      <w:pPr>
        <w:pStyle w:val="ListParagraph"/>
        <w:numPr>
          <w:ilvl w:val="0"/>
          <w:numId w:val="4"/>
        </w:numPr>
        <w:rPr>
          <w:rFonts w:asciiTheme="majorHAnsi" w:hAnsiTheme="majorHAnsi"/>
          <w:b/>
        </w:rPr>
      </w:pPr>
      <w:r w:rsidRPr="00BE5B0A">
        <w:rPr>
          <w:rFonts w:asciiTheme="majorHAnsi" w:hAnsiTheme="majorHAnsi"/>
          <w:b/>
        </w:rPr>
        <w:lastRenderedPageBreak/>
        <w:t xml:space="preserve">Use of Improved Information </w:t>
      </w:r>
      <w:r w:rsidR="00851E59" w:rsidRPr="00BE5B0A">
        <w:rPr>
          <w:rFonts w:asciiTheme="majorHAnsi" w:hAnsiTheme="majorHAnsi"/>
          <w:b/>
        </w:rPr>
        <w:t>Technology and Burden Reduction</w:t>
      </w:r>
    </w:p>
    <w:p w14:paraId="1E6E0B75" w14:textId="0F3B8F2E" w:rsidR="00485EF2" w:rsidRDefault="00E60A3E" w:rsidP="00C75959">
      <w:pPr>
        <w:rPr>
          <w:rFonts w:asciiTheme="majorHAnsi" w:hAnsiTheme="majorHAnsi"/>
        </w:rPr>
      </w:pPr>
      <w:r>
        <w:rPr>
          <w:rFonts w:asciiTheme="majorHAnsi" w:hAnsiTheme="majorHAnsi"/>
        </w:rPr>
        <w:t>All information will be collected</w:t>
      </w:r>
      <w:r w:rsidR="005B130C" w:rsidRPr="00D23089">
        <w:rPr>
          <w:rFonts w:asciiTheme="majorHAnsi" w:hAnsiTheme="majorHAnsi"/>
        </w:rPr>
        <w:t xml:space="preserve"> via </w:t>
      </w:r>
      <w:r w:rsidR="004568DB">
        <w:rPr>
          <w:rFonts w:asciiTheme="majorHAnsi" w:hAnsiTheme="majorHAnsi"/>
        </w:rPr>
        <w:t>in-person</w:t>
      </w:r>
      <w:r w:rsidR="00C91DD1" w:rsidRPr="00D23089">
        <w:rPr>
          <w:rFonts w:asciiTheme="majorHAnsi" w:hAnsiTheme="majorHAnsi"/>
        </w:rPr>
        <w:t xml:space="preserve"> interviews</w:t>
      </w:r>
      <w:r w:rsidR="00A60F78">
        <w:rPr>
          <w:rFonts w:asciiTheme="majorHAnsi" w:hAnsiTheme="majorHAnsi"/>
        </w:rPr>
        <w:t>.</w:t>
      </w:r>
      <w:r w:rsidR="001F5578" w:rsidRPr="00D23089">
        <w:rPr>
          <w:rFonts w:asciiTheme="majorHAnsi" w:hAnsiTheme="majorHAnsi"/>
        </w:rPr>
        <w:t xml:space="preserve"> </w:t>
      </w:r>
      <w:r w:rsidR="00903E59">
        <w:rPr>
          <w:rFonts w:asciiTheme="majorHAnsi" w:hAnsiTheme="majorHAnsi"/>
        </w:rPr>
        <w:t>Conducting in-person interviews</w:t>
      </w:r>
      <w:r w:rsidR="00903E59" w:rsidRPr="00D23089">
        <w:rPr>
          <w:rFonts w:asciiTheme="majorHAnsi" w:hAnsiTheme="majorHAnsi"/>
        </w:rPr>
        <w:t xml:space="preserve"> will</w:t>
      </w:r>
      <w:r w:rsidR="00903E59">
        <w:rPr>
          <w:rFonts w:asciiTheme="majorHAnsi" w:hAnsiTheme="majorHAnsi"/>
        </w:rPr>
        <w:t xml:space="preserve"> help to minimize burden on the respondents and CLS staff by</w:t>
      </w:r>
      <w:r w:rsidR="00903E59" w:rsidRPr="00D23089">
        <w:rPr>
          <w:rFonts w:asciiTheme="majorHAnsi" w:hAnsiTheme="majorHAnsi"/>
        </w:rPr>
        <w:t xml:space="preserve"> allow</w:t>
      </w:r>
      <w:r w:rsidR="00903E59">
        <w:rPr>
          <w:rFonts w:asciiTheme="majorHAnsi" w:hAnsiTheme="majorHAnsi"/>
        </w:rPr>
        <w:t>ing</w:t>
      </w:r>
      <w:r w:rsidR="00903E59" w:rsidRPr="00D23089">
        <w:rPr>
          <w:rFonts w:asciiTheme="majorHAnsi" w:hAnsiTheme="majorHAnsi"/>
        </w:rPr>
        <w:t xml:space="preserve"> respondents to complete their responses and make any </w:t>
      </w:r>
      <w:r w:rsidR="00903E59">
        <w:rPr>
          <w:rFonts w:asciiTheme="majorHAnsi" w:hAnsiTheme="majorHAnsi"/>
        </w:rPr>
        <w:t xml:space="preserve">necessary </w:t>
      </w:r>
      <w:r w:rsidR="00903E59" w:rsidRPr="00D23089">
        <w:rPr>
          <w:rFonts w:asciiTheme="majorHAnsi" w:hAnsiTheme="majorHAnsi"/>
        </w:rPr>
        <w:t xml:space="preserve">clarifications </w:t>
      </w:r>
      <w:r w:rsidR="00903E59">
        <w:rPr>
          <w:rFonts w:asciiTheme="majorHAnsi" w:hAnsiTheme="majorHAnsi"/>
        </w:rPr>
        <w:t xml:space="preserve">in real-time </w:t>
      </w:r>
      <w:r w:rsidR="00903E59" w:rsidRPr="00D23089">
        <w:rPr>
          <w:rFonts w:asciiTheme="majorHAnsi" w:hAnsiTheme="majorHAnsi"/>
        </w:rPr>
        <w:t>during the interview.</w:t>
      </w:r>
      <w:r w:rsidR="00903E59">
        <w:rPr>
          <w:rFonts w:asciiTheme="majorHAnsi" w:hAnsiTheme="majorHAnsi"/>
        </w:rPr>
        <w:t xml:space="preserve">  </w:t>
      </w:r>
      <w:r w:rsidR="00903E59" w:rsidRPr="00D23089">
        <w:rPr>
          <w:rFonts w:asciiTheme="majorHAnsi" w:hAnsiTheme="majorHAnsi"/>
        </w:rPr>
        <w:t xml:space="preserve">The </w:t>
      </w:r>
      <w:r w:rsidR="00903E59">
        <w:rPr>
          <w:rFonts w:asciiTheme="majorHAnsi" w:hAnsiTheme="majorHAnsi"/>
        </w:rPr>
        <w:t xml:space="preserve">use of </w:t>
      </w:r>
      <w:r w:rsidR="00903E59" w:rsidRPr="00D23089">
        <w:rPr>
          <w:rFonts w:asciiTheme="majorHAnsi" w:hAnsiTheme="majorHAnsi"/>
        </w:rPr>
        <w:t>open-ended questions will provide respondents ample latitude to speak about the issues important to them, facilitating a more natural flow of the interview.</w:t>
      </w:r>
      <w:r w:rsidR="00113853">
        <w:rPr>
          <w:rFonts w:asciiTheme="majorHAnsi" w:hAnsiTheme="majorHAnsi"/>
        </w:rPr>
        <w:t xml:space="preserve"> </w:t>
      </w:r>
      <w:r w:rsidR="00704BD8">
        <w:rPr>
          <w:rFonts w:asciiTheme="majorHAnsi" w:hAnsiTheme="majorHAnsi"/>
        </w:rPr>
        <w:t>T</w:t>
      </w:r>
      <w:r w:rsidR="00A60F78" w:rsidRPr="00D23089">
        <w:rPr>
          <w:rFonts w:asciiTheme="majorHAnsi" w:hAnsiTheme="majorHAnsi"/>
        </w:rPr>
        <w:t>he information collection instrument was designed to collect the minimum information necessary for the purposes of this project</w:t>
      </w:r>
      <w:r w:rsidR="002406BB">
        <w:rPr>
          <w:rFonts w:asciiTheme="majorHAnsi" w:hAnsiTheme="majorHAnsi"/>
        </w:rPr>
        <w:t xml:space="preserve"> (i.e., limited to </w:t>
      </w:r>
      <w:r w:rsidR="0088223D">
        <w:rPr>
          <w:rFonts w:asciiTheme="majorHAnsi" w:hAnsiTheme="majorHAnsi"/>
        </w:rPr>
        <w:t>14</w:t>
      </w:r>
      <w:r w:rsidR="002406BB">
        <w:rPr>
          <w:rFonts w:asciiTheme="majorHAnsi" w:hAnsiTheme="majorHAnsi"/>
        </w:rPr>
        <w:t xml:space="preserve"> questions)</w:t>
      </w:r>
      <w:r w:rsidR="00A60F78">
        <w:rPr>
          <w:rFonts w:asciiTheme="majorHAnsi" w:hAnsiTheme="majorHAnsi"/>
        </w:rPr>
        <w:t xml:space="preserve">. </w:t>
      </w:r>
    </w:p>
    <w:p w14:paraId="5633C0DE" w14:textId="77777777" w:rsidR="003E7A4C" w:rsidRPr="00D460FA" w:rsidRDefault="003E7A4C" w:rsidP="00C75959">
      <w:pPr>
        <w:rPr>
          <w:rFonts w:asciiTheme="majorHAnsi" w:hAnsiTheme="majorHAnsi"/>
        </w:rPr>
      </w:pPr>
    </w:p>
    <w:p w14:paraId="1F0ABDC9" w14:textId="2BFA41A6" w:rsidR="005B130C" w:rsidRPr="00BE5B0A" w:rsidRDefault="005B130C" w:rsidP="00BE5B0A">
      <w:pPr>
        <w:pStyle w:val="ListParagraph"/>
        <w:numPr>
          <w:ilvl w:val="0"/>
          <w:numId w:val="4"/>
        </w:numPr>
        <w:rPr>
          <w:rFonts w:asciiTheme="majorHAnsi" w:hAnsiTheme="majorHAnsi"/>
          <w:b/>
        </w:rPr>
      </w:pPr>
      <w:r w:rsidRPr="00BE5B0A">
        <w:rPr>
          <w:rFonts w:asciiTheme="majorHAnsi" w:hAnsiTheme="majorHAnsi"/>
          <w:b/>
        </w:rPr>
        <w:t>Efforts to Identify Duplication</w:t>
      </w:r>
      <w:r w:rsidR="00851E59" w:rsidRPr="00BE5B0A">
        <w:rPr>
          <w:rFonts w:asciiTheme="majorHAnsi" w:hAnsiTheme="majorHAnsi"/>
          <w:b/>
        </w:rPr>
        <w:t xml:space="preserve"> and Use of Similar Information</w:t>
      </w:r>
    </w:p>
    <w:p w14:paraId="5C657B06" w14:textId="39B1B2D2" w:rsidR="00085D47" w:rsidRDefault="00415CEA" w:rsidP="005B130C">
      <w:pPr>
        <w:rPr>
          <w:rFonts w:asciiTheme="majorHAnsi" w:hAnsiTheme="majorHAnsi"/>
        </w:rPr>
      </w:pPr>
      <w:r w:rsidRPr="00D23089">
        <w:rPr>
          <w:rFonts w:asciiTheme="majorHAnsi" w:hAnsiTheme="majorHAnsi"/>
        </w:rPr>
        <w:lastRenderedPageBreak/>
        <w:t xml:space="preserve">This is a new data collection effort, for which data do not exist elsewhere. </w:t>
      </w:r>
      <w:r>
        <w:rPr>
          <w:rFonts w:asciiTheme="majorHAnsi" w:hAnsiTheme="majorHAnsi"/>
        </w:rPr>
        <w:t>EHSB</w:t>
      </w:r>
      <w:r w:rsidR="005B130C" w:rsidRPr="00D23089">
        <w:rPr>
          <w:rFonts w:asciiTheme="majorHAnsi" w:hAnsiTheme="majorHAnsi"/>
        </w:rPr>
        <w:t xml:space="preserve"> </w:t>
      </w:r>
      <w:r>
        <w:rPr>
          <w:rFonts w:asciiTheme="majorHAnsi" w:hAnsiTheme="majorHAnsi"/>
        </w:rPr>
        <w:t xml:space="preserve">has </w:t>
      </w:r>
      <w:r w:rsidR="005B130C" w:rsidRPr="00D23089">
        <w:rPr>
          <w:rFonts w:asciiTheme="majorHAnsi" w:hAnsiTheme="majorHAnsi"/>
        </w:rPr>
        <w:t xml:space="preserve">reviewed existing published and unpublished literature, which determined that the planned data collection efforts do not duplicate any other current or previous data collection efforts. </w:t>
      </w:r>
    </w:p>
    <w:p w14:paraId="2C42049E" w14:textId="000F7717" w:rsidR="00464F0F" w:rsidRDefault="00881880" w:rsidP="005B130C">
      <w:pPr>
        <w:rPr>
          <w:rFonts w:asciiTheme="majorHAnsi" w:hAnsiTheme="majorHAnsi"/>
        </w:rPr>
      </w:pPr>
      <w:r>
        <w:rPr>
          <w:rFonts w:asciiTheme="majorHAnsi" w:hAnsiTheme="majorHAnsi"/>
        </w:rPr>
        <w:t>Previous</w:t>
      </w:r>
      <w:r w:rsidR="00DE79E1" w:rsidRPr="00D23089">
        <w:rPr>
          <w:rFonts w:asciiTheme="majorHAnsi" w:hAnsiTheme="majorHAnsi"/>
        </w:rPr>
        <w:t xml:space="preserve"> </w:t>
      </w:r>
      <w:r w:rsidR="00B5717E">
        <w:rPr>
          <w:rFonts w:asciiTheme="majorHAnsi" w:hAnsiTheme="majorHAnsi"/>
        </w:rPr>
        <w:t>wat</w:t>
      </w:r>
      <w:r w:rsidR="00B5717E" w:rsidRPr="00D23089">
        <w:rPr>
          <w:rFonts w:asciiTheme="majorHAnsi" w:hAnsiTheme="majorHAnsi"/>
        </w:rPr>
        <w:t>er</w:t>
      </w:r>
      <w:r w:rsidR="00B5717E">
        <w:rPr>
          <w:rFonts w:asciiTheme="majorHAnsi" w:hAnsiTheme="majorHAnsi"/>
        </w:rPr>
        <w:t xml:space="preserve"> quality</w:t>
      </w:r>
      <w:r w:rsidR="00B5717E" w:rsidRPr="00D23089">
        <w:rPr>
          <w:rFonts w:asciiTheme="majorHAnsi" w:hAnsiTheme="majorHAnsi"/>
        </w:rPr>
        <w:t xml:space="preserve"> assessments </w:t>
      </w:r>
      <w:r w:rsidR="00B5717E">
        <w:rPr>
          <w:rFonts w:asciiTheme="majorHAnsi" w:hAnsiTheme="majorHAnsi"/>
        </w:rPr>
        <w:t xml:space="preserve">for private </w:t>
      </w:r>
      <w:r>
        <w:rPr>
          <w:rFonts w:asciiTheme="majorHAnsi" w:hAnsiTheme="majorHAnsi"/>
        </w:rPr>
        <w:t>wells</w:t>
      </w:r>
      <w:r w:rsidR="00B5717E">
        <w:rPr>
          <w:rFonts w:asciiTheme="majorHAnsi" w:hAnsiTheme="majorHAnsi"/>
        </w:rPr>
        <w:t xml:space="preserve"> focused on evaluat</w:t>
      </w:r>
      <w:r w:rsidR="00B5717E" w:rsidRPr="00D23089">
        <w:rPr>
          <w:rFonts w:asciiTheme="majorHAnsi" w:hAnsiTheme="majorHAnsi"/>
        </w:rPr>
        <w:t>ing risk</w:t>
      </w:r>
      <w:r w:rsidR="00B5717E">
        <w:rPr>
          <w:rFonts w:asciiTheme="majorHAnsi" w:hAnsiTheme="majorHAnsi"/>
        </w:rPr>
        <w:t>s that were</w:t>
      </w:r>
      <w:r w:rsidR="00B5717E" w:rsidRPr="00D23089">
        <w:rPr>
          <w:rFonts w:asciiTheme="majorHAnsi" w:hAnsiTheme="majorHAnsi"/>
        </w:rPr>
        <w:t xml:space="preserve"> already identified.</w:t>
      </w:r>
      <w:r w:rsidR="00B5717E">
        <w:rPr>
          <w:rFonts w:asciiTheme="majorHAnsi" w:hAnsiTheme="majorHAnsi"/>
          <w:vertAlign w:val="superscript"/>
        </w:rPr>
        <w:t>6</w:t>
      </w:r>
      <w:r w:rsidR="00B5717E" w:rsidRPr="00D23089">
        <w:rPr>
          <w:rFonts w:asciiTheme="majorHAnsi" w:hAnsiTheme="majorHAnsi"/>
          <w:vertAlign w:val="superscript"/>
        </w:rPr>
        <w:t>-</w:t>
      </w:r>
      <w:r w:rsidR="00B5717E">
        <w:rPr>
          <w:rFonts w:asciiTheme="majorHAnsi" w:hAnsiTheme="majorHAnsi"/>
          <w:vertAlign w:val="superscript"/>
        </w:rPr>
        <w:t xml:space="preserve">9 </w:t>
      </w:r>
      <w:r>
        <w:rPr>
          <w:rFonts w:asciiTheme="majorHAnsi" w:hAnsiTheme="majorHAnsi"/>
        </w:rPr>
        <w:t>O</w:t>
      </w:r>
      <w:r w:rsidR="00B5717E">
        <w:rPr>
          <w:rFonts w:asciiTheme="majorHAnsi" w:hAnsiTheme="majorHAnsi"/>
        </w:rPr>
        <w:t xml:space="preserve">ther assessments </w:t>
      </w:r>
      <w:r>
        <w:rPr>
          <w:rFonts w:asciiTheme="majorHAnsi" w:hAnsiTheme="majorHAnsi"/>
        </w:rPr>
        <w:t xml:space="preserve">that </w:t>
      </w:r>
      <w:r w:rsidR="00B5717E">
        <w:rPr>
          <w:rFonts w:asciiTheme="majorHAnsi" w:hAnsiTheme="majorHAnsi"/>
        </w:rPr>
        <w:t xml:space="preserve">focused on improving the protection of populations served by </w:t>
      </w:r>
      <w:r w:rsidR="00B5717E" w:rsidRPr="00D23089">
        <w:rPr>
          <w:rFonts w:asciiTheme="majorHAnsi" w:hAnsiTheme="majorHAnsi"/>
        </w:rPr>
        <w:t>private well</w:t>
      </w:r>
      <w:r>
        <w:rPr>
          <w:rFonts w:asciiTheme="majorHAnsi" w:hAnsiTheme="majorHAnsi"/>
        </w:rPr>
        <w:t>s recommend</w:t>
      </w:r>
      <w:r w:rsidR="00B5717E">
        <w:rPr>
          <w:rFonts w:asciiTheme="majorHAnsi" w:hAnsiTheme="majorHAnsi"/>
        </w:rPr>
        <w:t>ed the</w:t>
      </w:r>
      <w:r>
        <w:rPr>
          <w:rFonts w:asciiTheme="majorHAnsi" w:hAnsiTheme="majorHAnsi"/>
        </w:rPr>
        <w:t xml:space="preserve"> </w:t>
      </w:r>
      <w:r w:rsidR="00B5717E">
        <w:rPr>
          <w:rFonts w:asciiTheme="majorHAnsi" w:hAnsiTheme="majorHAnsi"/>
        </w:rPr>
        <w:t>involve</w:t>
      </w:r>
      <w:r>
        <w:rPr>
          <w:rFonts w:asciiTheme="majorHAnsi" w:hAnsiTheme="majorHAnsi"/>
        </w:rPr>
        <w:t>ment of most</w:t>
      </w:r>
      <w:r w:rsidR="00B5717E">
        <w:rPr>
          <w:rFonts w:asciiTheme="majorHAnsi" w:hAnsiTheme="majorHAnsi"/>
        </w:rPr>
        <w:t xml:space="preserve"> stakeholders, including</w:t>
      </w:r>
      <w:r w:rsidR="00B5717E" w:rsidRPr="00D23089">
        <w:rPr>
          <w:rFonts w:asciiTheme="majorHAnsi" w:hAnsiTheme="majorHAnsi"/>
        </w:rPr>
        <w:t xml:space="preserve"> owners </w:t>
      </w:r>
      <w:r w:rsidR="00B5717E">
        <w:rPr>
          <w:rFonts w:asciiTheme="majorHAnsi" w:hAnsiTheme="majorHAnsi"/>
        </w:rPr>
        <w:t>of these systems</w:t>
      </w:r>
      <w:r w:rsidR="00B5717E" w:rsidRPr="00D23089">
        <w:rPr>
          <w:rFonts w:asciiTheme="majorHAnsi" w:hAnsiTheme="majorHAnsi"/>
        </w:rPr>
        <w:t>.</w:t>
      </w:r>
      <w:r w:rsidR="005B130C" w:rsidRPr="00D23089">
        <w:rPr>
          <w:rFonts w:asciiTheme="majorHAnsi" w:hAnsiTheme="majorHAnsi"/>
        </w:rPr>
        <w:t xml:space="preserve"> </w:t>
      </w:r>
      <w:r w:rsidR="00346159">
        <w:rPr>
          <w:rFonts w:asciiTheme="majorHAnsi" w:hAnsiTheme="majorHAnsi"/>
        </w:rPr>
        <w:t>Findings of</w:t>
      </w:r>
      <w:r w:rsidR="003F0F57" w:rsidRPr="00D23089">
        <w:rPr>
          <w:rFonts w:asciiTheme="majorHAnsi" w:hAnsiTheme="majorHAnsi"/>
        </w:rPr>
        <w:t xml:space="preserve"> </w:t>
      </w:r>
      <w:r w:rsidR="00B5717E">
        <w:rPr>
          <w:rFonts w:asciiTheme="majorHAnsi" w:hAnsiTheme="majorHAnsi"/>
        </w:rPr>
        <w:t>th</w:t>
      </w:r>
      <w:r>
        <w:rPr>
          <w:rFonts w:asciiTheme="majorHAnsi" w:hAnsiTheme="majorHAnsi"/>
        </w:rPr>
        <w:t>os</w:t>
      </w:r>
      <w:r w:rsidR="00B5717E">
        <w:rPr>
          <w:rFonts w:asciiTheme="majorHAnsi" w:hAnsiTheme="majorHAnsi"/>
        </w:rPr>
        <w:t>e</w:t>
      </w:r>
      <w:r w:rsidR="00675116" w:rsidRPr="00D23089">
        <w:rPr>
          <w:rFonts w:asciiTheme="majorHAnsi" w:hAnsiTheme="majorHAnsi"/>
        </w:rPr>
        <w:t xml:space="preserve"> </w:t>
      </w:r>
      <w:r w:rsidR="00557CED" w:rsidRPr="00D23089">
        <w:rPr>
          <w:rFonts w:asciiTheme="majorHAnsi" w:hAnsiTheme="majorHAnsi"/>
        </w:rPr>
        <w:t>assessment</w:t>
      </w:r>
      <w:r w:rsidR="00000B0E" w:rsidRPr="00D23089">
        <w:rPr>
          <w:rFonts w:asciiTheme="majorHAnsi" w:hAnsiTheme="majorHAnsi"/>
        </w:rPr>
        <w:t>s</w:t>
      </w:r>
      <w:r w:rsidR="00675116" w:rsidRPr="00D23089">
        <w:rPr>
          <w:rFonts w:asciiTheme="majorHAnsi" w:hAnsiTheme="majorHAnsi"/>
        </w:rPr>
        <w:t xml:space="preserve"> </w:t>
      </w:r>
      <w:r w:rsidR="00346159">
        <w:rPr>
          <w:rFonts w:asciiTheme="majorHAnsi" w:hAnsiTheme="majorHAnsi"/>
        </w:rPr>
        <w:t>revealed</w:t>
      </w:r>
      <w:r w:rsidR="005B130C" w:rsidRPr="00D23089">
        <w:rPr>
          <w:rFonts w:asciiTheme="majorHAnsi" w:hAnsiTheme="majorHAnsi"/>
        </w:rPr>
        <w:t xml:space="preserve"> the need for more information regarding </w:t>
      </w:r>
      <w:r w:rsidR="00B5717E">
        <w:rPr>
          <w:rFonts w:asciiTheme="majorHAnsi" w:hAnsiTheme="majorHAnsi"/>
        </w:rPr>
        <w:t xml:space="preserve">water quality of </w:t>
      </w:r>
      <w:r w:rsidR="0046717F" w:rsidRPr="00D23089">
        <w:rPr>
          <w:rFonts w:asciiTheme="majorHAnsi" w:hAnsiTheme="majorHAnsi"/>
        </w:rPr>
        <w:t xml:space="preserve">private </w:t>
      </w:r>
      <w:r w:rsidR="00675116" w:rsidRPr="00D23089">
        <w:rPr>
          <w:rFonts w:asciiTheme="majorHAnsi" w:hAnsiTheme="majorHAnsi"/>
        </w:rPr>
        <w:t>wells</w:t>
      </w:r>
      <w:r w:rsidR="00557CED" w:rsidRPr="00D23089">
        <w:rPr>
          <w:rFonts w:asciiTheme="majorHAnsi" w:hAnsiTheme="majorHAnsi"/>
        </w:rPr>
        <w:t xml:space="preserve"> </w:t>
      </w:r>
      <w:r w:rsidR="00B5717E">
        <w:rPr>
          <w:rFonts w:asciiTheme="majorHAnsi" w:hAnsiTheme="majorHAnsi"/>
        </w:rPr>
        <w:t xml:space="preserve">and </w:t>
      </w:r>
      <w:r>
        <w:rPr>
          <w:rFonts w:asciiTheme="majorHAnsi" w:hAnsiTheme="majorHAnsi"/>
        </w:rPr>
        <w:t xml:space="preserve">the associated </w:t>
      </w:r>
      <w:r w:rsidR="00B5717E">
        <w:rPr>
          <w:rFonts w:asciiTheme="majorHAnsi" w:hAnsiTheme="majorHAnsi"/>
        </w:rPr>
        <w:t xml:space="preserve">human health </w:t>
      </w:r>
      <w:r w:rsidR="00557CED" w:rsidRPr="00D23089">
        <w:rPr>
          <w:rFonts w:asciiTheme="majorHAnsi" w:hAnsiTheme="majorHAnsi"/>
        </w:rPr>
        <w:t>issues</w:t>
      </w:r>
      <w:r>
        <w:rPr>
          <w:rFonts w:asciiTheme="majorHAnsi" w:hAnsiTheme="majorHAnsi"/>
        </w:rPr>
        <w:t>,</w:t>
      </w:r>
      <w:r w:rsidR="005B130C" w:rsidRPr="00D23089">
        <w:rPr>
          <w:rFonts w:asciiTheme="majorHAnsi" w:hAnsiTheme="majorHAnsi"/>
        </w:rPr>
        <w:t xml:space="preserve"> and </w:t>
      </w:r>
      <w:r>
        <w:rPr>
          <w:rFonts w:asciiTheme="majorHAnsi" w:hAnsiTheme="majorHAnsi"/>
        </w:rPr>
        <w:t xml:space="preserve">the development of </w:t>
      </w:r>
      <w:r w:rsidR="005B130C" w:rsidRPr="00D23089">
        <w:rPr>
          <w:rFonts w:asciiTheme="majorHAnsi" w:hAnsiTheme="majorHAnsi"/>
        </w:rPr>
        <w:t>methodologies to address them</w:t>
      </w:r>
      <w:r w:rsidR="00415CEA">
        <w:rPr>
          <w:rFonts w:asciiTheme="majorHAnsi" w:hAnsiTheme="majorHAnsi"/>
        </w:rPr>
        <w:t>.</w:t>
      </w:r>
    </w:p>
    <w:p w14:paraId="1A7AEA1B" w14:textId="77777777" w:rsidR="003E7A4C" w:rsidRPr="00D460FA" w:rsidRDefault="003E7A4C" w:rsidP="005B130C">
      <w:pPr>
        <w:rPr>
          <w:rFonts w:asciiTheme="majorHAnsi" w:hAnsiTheme="majorHAnsi"/>
        </w:rPr>
      </w:pPr>
    </w:p>
    <w:p w14:paraId="1F0ABDCD" w14:textId="3E68B6F5" w:rsidR="005B130C" w:rsidRPr="00BE5B0A" w:rsidRDefault="005B130C" w:rsidP="00BE5B0A">
      <w:pPr>
        <w:pStyle w:val="ListParagraph"/>
        <w:numPr>
          <w:ilvl w:val="0"/>
          <w:numId w:val="4"/>
        </w:numPr>
        <w:rPr>
          <w:rFonts w:asciiTheme="majorHAnsi" w:hAnsiTheme="majorHAnsi"/>
          <w:b/>
        </w:rPr>
      </w:pPr>
      <w:r w:rsidRPr="00BE5B0A">
        <w:rPr>
          <w:rFonts w:asciiTheme="majorHAnsi" w:hAnsiTheme="majorHAnsi"/>
          <w:b/>
        </w:rPr>
        <w:t>Impact on Small Bus</w:t>
      </w:r>
      <w:r w:rsidR="00851E59" w:rsidRPr="00BE5B0A">
        <w:rPr>
          <w:rFonts w:asciiTheme="majorHAnsi" w:hAnsiTheme="majorHAnsi"/>
          <w:b/>
        </w:rPr>
        <w:t>inesses or Other Small Entities</w:t>
      </w:r>
    </w:p>
    <w:p w14:paraId="72C0B1D9" w14:textId="7DD7545D" w:rsidR="00464F0F" w:rsidRDefault="005B130C" w:rsidP="005B130C">
      <w:pPr>
        <w:rPr>
          <w:rFonts w:asciiTheme="majorHAnsi" w:hAnsiTheme="majorHAnsi"/>
        </w:rPr>
      </w:pPr>
      <w:r w:rsidRPr="00D23089">
        <w:rPr>
          <w:rFonts w:asciiTheme="majorHAnsi" w:hAnsiTheme="majorHAnsi"/>
        </w:rPr>
        <w:lastRenderedPageBreak/>
        <w:t xml:space="preserve">No small businesses will be involved </w:t>
      </w:r>
      <w:r w:rsidR="00851E59" w:rsidRPr="00D23089">
        <w:rPr>
          <w:rFonts w:asciiTheme="majorHAnsi" w:hAnsiTheme="majorHAnsi"/>
        </w:rPr>
        <w:t>in this information collection.</w:t>
      </w:r>
    </w:p>
    <w:p w14:paraId="7873BF09" w14:textId="77777777" w:rsidR="003E7A4C" w:rsidRPr="00BF3EF8" w:rsidRDefault="003E7A4C" w:rsidP="005B130C">
      <w:pPr>
        <w:rPr>
          <w:rFonts w:asciiTheme="majorHAnsi" w:hAnsiTheme="majorHAnsi"/>
        </w:rPr>
      </w:pPr>
    </w:p>
    <w:p w14:paraId="1F0ABDD0" w14:textId="1A4C5763" w:rsidR="005B130C" w:rsidRPr="00BE5B0A" w:rsidRDefault="005B130C" w:rsidP="00BE5B0A">
      <w:pPr>
        <w:pStyle w:val="ListParagraph"/>
        <w:numPr>
          <w:ilvl w:val="0"/>
          <w:numId w:val="4"/>
        </w:numPr>
        <w:rPr>
          <w:rFonts w:asciiTheme="majorHAnsi" w:hAnsiTheme="majorHAnsi"/>
          <w:b/>
        </w:rPr>
      </w:pPr>
      <w:r w:rsidRPr="00BE5B0A">
        <w:rPr>
          <w:rFonts w:asciiTheme="majorHAnsi" w:hAnsiTheme="majorHAnsi"/>
          <w:b/>
        </w:rPr>
        <w:t>Consequences of Collecting the Information Less Frequently</w:t>
      </w:r>
    </w:p>
    <w:p w14:paraId="1F0ABDD1" w14:textId="77777777" w:rsidR="005B130C" w:rsidRPr="00D23089" w:rsidRDefault="005B130C" w:rsidP="005B130C">
      <w:pPr>
        <w:rPr>
          <w:rFonts w:asciiTheme="majorHAnsi" w:hAnsiTheme="majorHAnsi"/>
        </w:rPr>
      </w:pPr>
      <w:r w:rsidRPr="00D23089">
        <w:rPr>
          <w:rFonts w:asciiTheme="majorHAnsi" w:hAnsiTheme="majorHAnsi"/>
        </w:rPr>
        <w:t>This request is for a one time information collection.  There are no legal obstacles to reduce the burden</w:t>
      </w:r>
      <w:r w:rsidR="00851E59" w:rsidRPr="00D23089">
        <w:rPr>
          <w:rFonts w:asciiTheme="majorHAnsi" w:hAnsiTheme="majorHAnsi"/>
        </w:rPr>
        <w:t>. If no data are collected, the CDC’s</w:t>
      </w:r>
      <w:r w:rsidRPr="00D23089">
        <w:rPr>
          <w:rFonts w:asciiTheme="majorHAnsi" w:hAnsiTheme="majorHAnsi"/>
        </w:rPr>
        <w:t xml:space="preserve"> </w:t>
      </w:r>
      <w:r w:rsidR="00D363DC">
        <w:rPr>
          <w:rFonts w:asciiTheme="majorHAnsi" w:hAnsiTheme="majorHAnsi"/>
        </w:rPr>
        <w:t>EHSB</w:t>
      </w:r>
      <w:r w:rsidR="00851E59" w:rsidRPr="00D23089">
        <w:rPr>
          <w:rFonts w:asciiTheme="majorHAnsi" w:hAnsiTheme="majorHAnsi"/>
        </w:rPr>
        <w:t xml:space="preserve"> will be unable to:</w:t>
      </w:r>
    </w:p>
    <w:p w14:paraId="2D6AB843" w14:textId="61BE91D1" w:rsidR="009A0402" w:rsidRDefault="005B130C" w:rsidP="009A0402">
      <w:pPr>
        <w:pStyle w:val="ListParagraph"/>
        <w:numPr>
          <w:ilvl w:val="0"/>
          <w:numId w:val="11"/>
        </w:numPr>
        <w:rPr>
          <w:rFonts w:asciiTheme="majorHAnsi" w:hAnsiTheme="majorHAnsi"/>
        </w:rPr>
      </w:pPr>
      <w:r w:rsidRPr="00D23089">
        <w:rPr>
          <w:rFonts w:asciiTheme="majorHAnsi" w:hAnsiTheme="majorHAnsi"/>
        </w:rPr>
        <w:t xml:space="preserve">Collect </w:t>
      </w:r>
      <w:r w:rsidR="00CF6975">
        <w:rPr>
          <w:rFonts w:asciiTheme="majorHAnsi" w:hAnsiTheme="majorHAnsi"/>
        </w:rPr>
        <w:t>information</w:t>
      </w:r>
      <w:r w:rsidR="006E185D">
        <w:rPr>
          <w:rFonts w:asciiTheme="majorHAnsi" w:hAnsiTheme="majorHAnsi"/>
        </w:rPr>
        <w:t>/recommendations</w:t>
      </w:r>
      <w:r w:rsidR="00CF6975">
        <w:rPr>
          <w:rFonts w:asciiTheme="majorHAnsi" w:hAnsiTheme="majorHAnsi"/>
        </w:rPr>
        <w:t xml:space="preserve"> </w:t>
      </w:r>
      <w:r w:rsidR="0050634B" w:rsidRPr="00D23089">
        <w:rPr>
          <w:rFonts w:asciiTheme="majorHAnsi" w:hAnsiTheme="majorHAnsi"/>
        </w:rPr>
        <w:t xml:space="preserve">from </w:t>
      </w:r>
      <w:r w:rsidR="0050634B">
        <w:rPr>
          <w:rFonts w:asciiTheme="majorHAnsi" w:hAnsiTheme="majorHAnsi"/>
        </w:rPr>
        <w:t>EH</w:t>
      </w:r>
      <w:r w:rsidR="00881880">
        <w:rPr>
          <w:rFonts w:asciiTheme="majorHAnsi" w:hAnsiTheme="majorHAnsi"/>
        </w:rPr>
        <w:t xml:space="preserve"> </w:t>
      </w:r>
      <w:r w:rsidR="00D906B4">
        <w:rPr>
          <w:rFonts w:asciiTheme="majorHAnsi" w:hAnsiTheme="majorHAnsi"/>
        </w:rPr>
        <w:t>practitione</w:t>
      </w:r>
      <w:r w:rsidR="00D906B4" w:rsidRPr="00D23089">
        <w:rPr>
          <w:rFonts w:asciiTheme="majorHAnsi" w:hAnsiTheme="majorHAnsi"/>
        </w:rPr>
        <w:t>rs</w:t>
      </w:r>
      <w:r w:rsidR="0050634B" w:rsidRPr="00D23089">
        <w:rPr>
          <w:rFonts w:asciiTheme="majorHAnsi" w:hAnsiTheme="majorHAnsi"/>
        </w:rPr>
        <w:t xml:space="preserve"> </w:t>
      </w:r>
      <w:r w:rsidRPr="00D23089">
        <w:rPr>
          <w:rFonts w:asciiTheme="majorHAnsi" w:hAnsiTheme="majorHAnsi"/>
        </w:rPr>
        <w:t xml:space="preserve">on how to </w:t>
      </w:r>
      <w:r w:rsidR="009341CD" w:rsidRPr="00D23089">
        <w:rPr>
          <w:rFonts w:asciiTheme="majorHAnsi" w:hAnsiTheme="majorHAnsi"/>
        </w:rPr>
        <w:t xml:space="preserve">design and conduct projects that successfully address </w:t>
      </w:r>
      <w:r w:rsidR="005719CE" w:rsidRPr="00D23089">
        <w:rPr>
          <w:rFonts w:asciiTheme="majorHAnsi" w:hAnsiTheme="majorHAnsi"/>
        </w:rPr>
        <w:t xml:space="preserve">drinking water </w:t>
      </w:r>
      <w:r w:rsidR="009341CD" w:rsidRPr="00D23089">
        <w:rPr>
          <w:rFonts w:asciiTheme="majorHAnsi" w:hAnsiTheme="majorHAnsi"/>
        </w:rPr>
        <w:t>polic</w:t>
      </w:r>
      <w:r w:rsidR="009341CD" w:rsidRPr="00BF6E32">
        <w:rPr>
          <w:rFonts w:asciiTheme="majorHAnsi" w:hAnsiTheme="majorHAnsi"/>
        </w:rPr>
        <w:t>y</w:t>
      </w:r>
      <w:r w:rsidR="00851E59" w:rsidRPr="00BF6E32">
        <w:rPr>
          <w:rFonts w:asciiTheme="majorHAnsi" w:hAnsiTheme="majorHAnsi"/>
        </w:rPr>
        <w:t>.</w:t>
      </w:r>
    </w:p>
    <w:p w14:paraId="3585B9D0" w14:textId="77777777" w:rsidR="00E41C2E" w:rsidRDefault="005B130C" w:rsidP="00E41C2E">
      <w:pPr>
        <w:pStyle w:val="ListParagraph"/>
        <w:numPr>
          <w:ilvl w:val="0"/>
          <w:numId w:val="11"/>
        </w:numPr>
        <w:rPr>
          <w:rFonts w:asciiTheme="majorHAnsi" w:hAnsiTheme="majorHAnsi"/>
        </w:rPr>
      </w:pPr>
      <w:r w:rsidRPr="009A0402">
        <w:rPr>
          <w:rFonts w:asciiTheme="majorHAnsi" w:hAnsiTheme="majorHAnsi"/>
        </w:rPr>
        <w:t>Gain an understanding of methodologies and acti</w:t>
      </w:r>
      <w:r w:rsidR="009341CD" w:rsidRPr="009A0402">
        <w:rPr>
          <w:rFonts w:asciiTheme="majorHAnsi" w:hAnsiTheme="majorHAnsi"/>
        </w:rPr>
        <w:t>vities</w:t>
      </w:r>
      <w:r w:rsidRPr="009A0402">
        <w:rPr>
          <w:rFonts w:asciiTheme="majorHAnsi" w:hAnsiTheme="majorHAnsi"/>
        </w:rPr>
        <w:t xml:space="preserve"> that </w:t>
      </w:r>
      <w:r w:rsidR="00887156" w:rsidRPr="009A0402">
        <w:rPr>
          <w:rFonts w:asciiTheme="majorHAnsi" w:hAnsiTheme="majorHAnsi"/>
        </w:rPr>
        <w:t>EH</w:t>
      </w:r>
      <w:r w:rsidR="00881880" w:rsidRPr="009A0402">
        <w:rPr>
          <w:rFonts w:asciiTheme="majorHAnsi" w:hAnsiTheme="majorHAnsi"/>
        </w:rPr>
        <w:t xml:space="preserve"> practitioner</w:t>
      </w:r>
      <w:r w:rsidR="00887156" w:rsidRPr="009A0402">
        <w:rPr>
          <w:rFonts w:asciiTheme="majorHAnsi" w:hAnsiTheme="majorHAnsi"/>
        </w:rPr>
        <w:t xml:space="preserve">s and officials of other </w:t>
      </w:r>
      <w:r w:rsidRPr="009A0402">
        <w:rPr>
          <w:rFonts w:asciiTheme="majorHAnsi" w:hAnsiTheme="majorHAnsi"/>
        </w:rPr>
        <w:t xml:space="preserve">public health </w:t>
      </w:r>
      <w:r w:rsidR="00887156" w:rsidRPr="009A0402">
        <w:rPr>
          <w:rFonts w:asciiTheme="majorHAnsi" w:hAnsiTheme="majorHAnsi"/>
        </w:rPr>
        <w:t>department</w:t>
      </w:r>
      <w:r w:rsidRPr="009A0402">
        <w:rPr>
          <w:rFonts w:asciiTheme="majorHAnsi" w:hAnsiTheme="majorHAnsi"/>
        </w:rPr>
        <w:t xml:space="preserve">s </w:t>
      </w:r>
      <w:r w:rsidR="009341CD" w:rsidRPr="009A0402">
        <w:rPr>
          <w:rFonts w:asciiTheme="majorHAnsi" w:hAnsiTheme="majorHAnsi"/>
        </w:rPr>
        <w:t>ar</w:t>
      </w:r>
      <w:r w:rsidR="00887156" w:rsidRPr="009A0402">
        <w:rPr>
          <w:rFonts w:asciiTheme="majorHAnsi" w:hAnsiTheme="majorHAnsi"/>
        </w:rPr>
        <w:t>e undertaking to shape policy and</w:t>
      </w:r>
      <w:r w:rsidR="009341CD" w:rsidRPr="009A0402">
        <w:rPr>
          <w:rFonts w:asciiTheme="majorHAnsi" w:hAnsiTheme="majorHAnsi"/>
        </w:rPr>
        <w:t xml:space="preserve"> advance their safe drinking water programs</w:t>
      </w:r>
      <w:r w:rsidR="00851E59" w:rsidRPr="009A0402">
        <w:rPr>
          <w:rFonts w:asciiTheme="majorHAnsi" w:hAnsiTheme="majorHAnsi"/>
        </w:rPr>
        <w:t>.</w:t>
      </w:r>
    </w:p>
    <w:p w14:paraId="7F65174A" w14:textId="6CAFD139" w:rsidR="00E41C2E" w:rsidRPr="00BF6E32" w:rsidRDefault="00B97F90" w:rsidP="00E41C2E">
      <w:pPr>
        <w:pStyle w:val="ListParagraph"/>
        <w:numPr>
          <w:ilvl w:val="0"/>
          <w:numId w:val="11"/>
        </w:numPr>
        <w:rPr>
          <w:rFonts w:asciiTheme="majorHAnsi" w:hAnsiTheme="majorHAnsi"/>
        </w:rPr>
      </w:pPr>
      <w:r w:rsidRPr="00BF6E32">
        <w:rPr>
          <w:rFonts w:asciiTheme="majorHAnsi" w:hAnsiTheme="majorHAnsi"/>
        </w:rPr>
        <w:lastRenderedPageBreak/>
        <w:t>Identify challenges to influencing policy through water projects and strategies for overcoming those challenges</w:t>
      </w:r>
      <w:r w:rsidRPr="00BF6E32" w:rsidDel="00B97F90">
        <w:rPr>
          <w:rFonts w:asciiTheme="majorHAnsi" w:hAnsiTheme="majorHAnsi"/>
        </w:rPr>
        <w:t xml:space="preserve"> </w:t>
      </w:r>
    </w:p>
    <w:p w14:paraId="2FFA6E8B" w14:textId="77777777" w:rsidR="00750BE6" w:rsidRPr="00750BE6" w:rsidRDefault="00750BE6" w:rsidP="00750BE6">
      <w:pPr>
        <w:pStyle w:val="ListParagraph"/>
        <w:rPr>
          <w:rFonts w:asciiTheme="majorHAnsi" w:hAnsiTheme="majorHAnsi"/>
        </w:rPr>
      </w:pPr>
    </w:p>
    <w:p w14:paraId="1F0ABDD7" w14:textId="1AE76D63" w:rsidR="005B130C" w:rsidRPr="00BE5B0A" w:rsidRDefault="005B130C" w:rsidP="00BE5B0A">
      <w:pPr>
        <w:pStyle w:val="ListParagraph"/>
        <w:numPr>
          <w:ilvl w:val="0"/>
          <w:numId w:val="4"/>
        </w:numPr>
        <w:rPr>
          <w:rFonts w:asciiTheme="majorHAnsi" w:hAnsiTheme="majorHAnsi"/>
          <w:b/>
        </w:rPr>
      </w:pPr>
      <w:r w:rsidRPr="00BE5B0A">
        <w:rPr>
          <w:rFonts w:asciiTheme="majorHAnsi" w:hAnsiTheme="majorHAnsi"/>
          <w:b/>
        </w:rPr>
        <w:t>Special Circumstances Relating to</w:t>
      </w:r>
      <w:r w:rsidR="00851E59" w:rsidRPr="00BE5B0A">
        <w:rPr>
          <w:rFonts w:asciiTheme="majorHAnsi" w:hAnsiTheme="majorHAnsi"/>
          <w:b/>
        </w:rPr>
        <w:t xml:space="preserve"> the Guidelines of 5 CFR 1320.5</w:t>
      </w:r>
    </w:p>
    <w:p w14:paraId="38E43E2A" w14:textId="2245E144" w:rsidR="0091421D" w:rsidRPr="00D460FA" w:rsidRDefault="005B130C" w:rsidP="005B130C">
      <w:pPr>
        <w:rPr>
          <w:rFonts w:asciiTheme="majorHAnsi" w:hAnsiTheme="majorHAnsi"/>
        </w:rPr>
      </w:pPr>
      <w:r w:rsidRPr="00D460FA">
        <w:rPr>
          <w:rFonts w:asciiTheme="majorHAnsi" w:hAnsiTheme="majorHAnsi"/>
        </w:rPr>
        <w:t>There are no special circumstances with this information collection package. This request fully complies with the regulation 5 CF</w:t>
      </w:r>
      <w:r w:rsidR="00851E59" w:rsidRPr="00D460FA">
        <w:rPr>
          <w:rFonts w:asciiTheme="majorHAnsi" w:hAnsiTheme="majorHAnsi"/>
        </w:rPr>
        <w:t>R 1320.5 and will be voluntary.</w:t>
      </w:r>
    </w:p>
    <w:p w14:paraId="1F0ABDD9" w14:textId="77777777" w:rsidR="005B130C" w:rsidRPr="00D460FA" w:rsidRDefault="005B130C" w:rsidP="005B130C">
      <w:pPr>
        <w:rPr>
          <w:rFonts w:asciiTheme="majorHAnsi" w:hAnsiTheme="majorHAnsi"/>
          <w:b/>
        </w:rPr>
      </w:pPr>
    </w:p>
    <w:p w14:paraId="1F0ABDDA" w14:textId="0E060B11" w:rsidR="005B130C" w:rsidRPr="00BE5B0A" w:rsidRDefault="005B130C" w:rsidP="00BE5B0A">
      <w:pPr>
        <w:pStyle w:val="ListParagraph"/>
        <w:numPr>
          <w:ilvl w:val="0"/>
          <w:numId w:val="4"/>
        </w:numPr>
        <w:rPr>
          <w:rFonts w:asciiTheme="majorHAnsi" w:hAnsiTheme="majorHAnsi"/>
          <w:b/>
        </w:rPr>
      </w:pPr>
      <w:r w:rsidRPr="00BE5B0A">
        <w:rPr>
          <w:rFonts w:asciiTheme="majorHAnsi" w:hAnsiTheme="majorHAnsi"/>
          <w:b/>
        </w:rPr>
        <w:t>Comments in Response to the Federal Register Notice and Effort</w:t>
      </w:r>
      <w:r w:rsidR="00851E59" w:rsidRPr="00BE5B0A">
        <w:rPr>
          <w:rFonts w:asciiTheme="majorHAnsi" w:hAnsiTheme="majorHAnsi"/>
          <w:b/>
        </w:rPr>
        <w:t>s to Consult Outside the Agency</w:t>
      </w:r>
    </w:p>
    <w:p w14:paraId="1F0ABDDB" w14:textId="23CF2909" w:rsidR="005B130C" w:rsidRPr="00D460FA" w:rsidRDefault="005B130C" w:rsidP="005B130C">
      <w:pPr>
        <w:rPr>
          <w:rFonts w:asciiTheme="majorHAnsi" w:hAnsiTheme="majorHAnsi"/>
        </w:rPr>
      </w:pPr>
      <w:r w:rsidRPr="00D460FA">
        <w:rPr>
          <w:rFonts w:asciiTheme="majorHAnsi" w:hAnsiTheme="majorHAnsi"/>
        </w:rPr>
        <w:lastRenderedPageBreak/>
        <w:t>This information collection is being conducted using the Generic Information Collection mechanism of the OSTLTS OMB Clearance Center (O2C2) – OMB No. 0920-0879. A 60-day Federal Register Notice was published in the Federal Register on October 31, 2013, Vol. 78, No. 211; pp. 653 25-</w:t>
      </w:r>
      <w:r w:rsidR="00CE097C">
        <w:rPr>
          <w:rFonts w:asciiTheme="majorHAnsi" w:hAnsiTheme="majorHAnsi"/>
        </w:rPr>
        <w:t xml:space="preserve">26. </w:t>
      </w:r>
      <w:r w:rsidR="00605672" w:rsidRPr="00D460FA">
        <w:rPr>
          <w:rFonts w:asciiTheme="majorHAnsi" w:hAnsiTheme="majorHAnsi"/>
        </w:rPr>
        <w:t>No comments were received.</w:t>
      </w:r>
    </w:p>
    <w:p w14:paraId="417395EC" w14:textId="061D79B5" w:rsidR="00464F0F" w:rsidRDefault="005B130C" w:rsidP="005C63AC">
      <w:pPr>
        <w:rPr>
          <w:rFonts w:asciiTheme="majorHAnsi" w:hAnsiTheme="majorHAnsi"/>
        </w:rPr>
      </w:pPr>
      <w:r w:rsidRPr="00D460FA">
        <w:rPr>
          <w:rFonts w:asciiTheme="majorHAnsi" w:hAnsiTheme="majorHAnsi"/>
        </w:rPr>
        <w:t>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w:t>
      </w:r>
      <w:r w:rsidR="0025687F" w:rsidRPr="00D460FA">
        <w:rPr>
          <w:rFonts w:asciiTheme="majorHAnsi" w:hAnsiTheme="majorHAnsi"/>
        </w:rPr>
        <w:t>ld</w:t>
      </w:r>
      <w:r w:rsidR="00851E59" w:rsidRPr="00D460FA">
        <w:rPr>
          <w:rFonts w:asciiTheme="majorHAnsi" w:hAnsiTheme="majorHAnsi"/>
        </w:rPr>
        <w:t xml:space="preserve"> within the same timeframe.</w:t>
      </w:r>
    </w:p>
    <w:p w14:paraId="14A0CB79" w14:textId="77777777" w:rsidR="003E7A4C" w:rsidRPr="00464F0F" w:rsidRDefault="003E7A4C" w:rsidP="005C63AC">
      <w:pPr>
        <w:rPr>
          <w:rFonts w:asciiTheme="majorHAnsi" w:hAnsiTheme="majorHAnsi"/>
        </w:rPr>
      </w:pPr>
    </w:p>
    <w:p w14:paraId="1F0ABDDE" w14:textId="734E11CC" w:rsidR="0025687F" w:rsidRPr="00BE5B0A" w:rsidRDefault="0025687F" w:rsidP="00BE5B0A">
      <w:pPr>
        <w:pStyle w:val="ListParagraph"/>
        <w:numPr>
          <w:ilvl w:val="0"/>
          <w:numId w:val="4"/>
        </w:numPr>
        <w:rPr>
          <w:rFonts w:asciiTheme="majorHAnsi" w:hAnsiTheme="majorHAnsi"/>
          <w:b/>
        </w:rPr>
      </w:pPr>
      <w:r w:rsidRPr="00BE5B0A">
        <w:rPr>
          <w:rFonts w:asciiTheme="majorHAnsi" w:hAnsiTheme="majorHAnsi"/>
          <w:b/>
        </w:rPr>
        <w:t>Explanation of Any</w:t>
      </w:r>
      <w:r w:rsidR="00851E59" w:rsidRPr="00BE5B0A">
        <w:rPr>
          <w:rFonts w:asciiTheme="majorHAnsi" w:hAnsiTheme="majorHAnsi"/>
          <w:b/>
        </w:rPr>
        <w:t xml:space="preserve"> Payment or Gift to Respondents</w:t>
      </w:r>
    </w:p>
    <w:p w14:paraId="476FE72B" w14:textId="33D2DB1D" w:rsidR="00464F0F" w:rsidRDefault="0025687F" w:rsidP="0025687F">
      <w:pPr>
        <w:rPr>
          <w:rFonts w:asciiTheme="majorHAnsi" w:hAnsiTheme="majorHAnsi"/>
        </w:rPr>
      </w:pPr>
      <w:r w:rsidRPr="00D460FA">
        <w:rPr>
          <w:rFonts w:asciiTheme="majorHAnsi" w:hAnsiTheme="majorHAnsi"/>
        </w:rPr>
        <w:lastRenderedPageBreak/>
        <w:t>CDC will not provide pa</w:t>
      </w:r>
      <w:r w:rsidR="00851E59" w:rsidRPr="00D460FA">
        <w:rPr>
          <w:rFonts w:asciiTheme="majorHAnsi" w:hAnsiTheme="majorHAnsi"/>
        </w:rPr>
        <w:t>yments or gifts to respondents.</w:t>
      </w:r>
    </w:p>
    <w:p w14:paraId="77AAA3F1" w14:textId="77777777" w:rsidR="003E7A4C" w:rsidRPr="00464F0F" w:rsidRDefault="003E7A4C" w:rsidP="0025687F">
      <w:pPr>
        <w:rPr>
          <w:rFonts w:asciiTheme="majorHAnsi" w:hAnsiTheme="majorHAnsi"/>
        </w:rPr>
      </w:pPr>
    </w:p>
    <w:p w14:paraId="1F0ABDE1" w14:textId="0700C186" w:rsidR="0025687F" w:rsidRPr="00C04431" w:rsidRDefault="00BE5B0A" w:rsidP="00BE5B0A">
      <w:pPr>
        <w:pStyle w:val="ListParagraph"/>
        <w:numPr>
          <w:ilvl w:val="0"/>
          <w:numId w:val="4"/>
        </w:numPr>
        <w:rPr>
          <w:rFonts w:asciiTheme="majorHAnsi" w:hAnsiTheme="majorHAnsi"/>
          <w:b/>
        </w:rPr>
      </w:pPr>
      <w:r>
        <w:rPr>
          <w:rFonts w:asciiTheme="majorHAnsi" w:hAnsiTheme="majorHAnsi"/>
          <w:b/>
        </w:rPr>
        <w:t xml:space="preserve"> </w:t>
      </w:r>
      <w:r w:rsidR="0091421D" w:rsidRPr="00C04431">
        <w:rPr>
          <w:rFonts w:asciiTheme="majorHAnsi" w:hAnsiTheme="majorHAnsi"/>
          <w:b/>
        </w:rPr>
        <w:t xml:space="preserve">Protection of the Privacy and Confidentiality of Information Provided by </w:t>
      </w:r>
      <w:r w:rsidR="00851E59" w:rsidRPr="00C04431">
        <w:rPr>
          <w:rFonts w:asciiTheme="majorHAnsi" w:hAnsiTheme="majorHAnsi"/>
          <w:b/>
        </w:rPr>
        <w:t>Respondents</w:t>
      </w:r>
    </w:p>
    <w:p w14:paraId="1F0ABDE2" w14:textId="37B42206" w:rsidR="0025687F" w:rsidRPr="00D460FA" w:rsidRDefault="009230C4" w:rsidP="0025687F">
      <w:pPr>
        <w:rPr>
          <w:rFonts w:asciiTheme="majorHAnsi" w:hAnsiTheme="majorHAnsi"/>
        </w:rPr>
      </w:pPr>
      <w:r w:rsidRPr="007F55FF">
        <w:rPr>
          <w:rFonts w:asciiTheme="majorHAnsi" w:hAnsiTheme="majorHAnsi"/>
        </w:rPr>
        <w:t xml:space="preserve">Personally identifiable </w:t>
      </w:r>
      <w:r w:rsidR="00A350C7" w:rsidRPr="007F55FF">
        <w:rPr>
          <w:rFonts w:asciiTheme="majorHAnsi" w:hAnsiTheme="majorHAnsi"/>
        </w:rPr>
        <w:t>d</w:t>
      </w:r>
      <w:r w:rsidRPr="007F55FF">
        <w:rPr>
          <w:rFonts w:asciiTheme="majorHAnsi" w:hAnsiTheme="majorHAnsi"/>
        </w:rPr>
        <w:t>ata from the participant responses will be</w:t>
      </w:r>
      <w:r w:rsidR="00A350C7" w:rsidRPr="007F55FF">
        <w:rPr>
          <w:rFonts w:asciiTheme="majorHAnsi" w:hAnsiTheme="majorHAnsi"/>
        </w:rPr>
        <w:t xml:space="preserve"> collected and</w:t>
      </w:r>
      <w:r w:rsidRPr="007F55FF">
        <w:rPr>
          <w:rFonts w:asciiTheme="majorHAnsi" w:hAnsiTheme="majorHAnsi"/>
        </w:rPr>
        <w:t xml:space="preserve"> stored in a secure database maintained by CLS</w:t>
      </w:r>
      <w:r w:rsidR="00A350C7" w:rsidRPr="007F55FF">
        <w:rPr>
          <w:rFonts w:asciiTheme="majorHAnsi" w:hAnsiTheme="majorHAnsi"/>
        </w:rPr>
        <w:t>.</w:t>
      </w:r>
      <w:r w:rsidRPr="007F55FF">
        <w:rPr>
          <w:rFonts w:asciiTheme="majorHAnsi" w:hAnsiTheme="majorHAnsi"/>
        </w:rPr>
        <w:t xml:space="preserve"> </w:t>
      </w:r>
      <w:r w:rsidR="00A350C7" w:rsidRPr="007F55FF">
        <w:rPr>
          <w:rFonts w:asciiTheme="majorHAnsi" w:hAnsiTheme="majorHAnsi"/>
        </w:rPr>
        <w:t>U</w:t>
      </w:r>
      <w:r w:rsidRPr="007F55FF">
        <w:rPr>
          <w:rFonts w:asciiTheme="majorHAnsi" w:hAnsiTheme="majorHAnsi"/>
        </w:rPr>
        <w:t xml:space="preserve">pon completion of data analysis, CLS will share </w:t>
      </w:r>
      <w:r w:rsidR="00A350C7" w:rsidRPr="007F55FF">
        <w:rPr>
          <w:rFonts w:asciiTheme="majorHAnsi" w:hAnsiTheme="majorHAnsi"/>
        </w:rPr>
        <w:t>the</w:t>
      </w:r>
      <w:r w:rsidRPr="007F55FF">
        <w:rPr>
          <w:rFonts w:asciiTheme="majorHAnsi" w:hAnsiTheme="majorHAnsi"/>
        </w:rPr>
        <w:t xml:space="preserve"> de-identified summary </w:t>
      </w:r>
      <w:r w:rsidR="00A350C7" w:rsidRPr="007F55FF">
        <w:rPr>
          <w:rFonts w:asciiTheme="majorHAnsi" w:hAnsiTheme="majorHAnsi"/>
        </w:rPr>
        <w:t xml:space="preserve">data </w:t>
      </w:r>
      <w:r w:rsidRPr="007F55FF">
        <w:rPr>
          <w:rFonts w:asciiTheme="majorHAnsi" w:hAnsiTheme="majorHAnsi"/>
        </w:rPr>
        <w:t xml:space="preserve">(in a Microsoft Excel file) </w:t>
      </w:r>
      <w:r w:rsidR="00A350C7" w:rsidRPr="007F55FF">
        <w:rPr>
          <w:rFonts w:asciiTheme="majorHAnsi" w:hAnsiTheme="majorHAnsi"/>
        </w:rPr>
        <w:t xml:space="preserve">and </w:t>
      </w:r>
      <w:r w:rsidRPr="007F55FF">
        <w:rPr>
          <w:rFonts w:asciiTheme="majorHAnsi" w:hAnsiTheme="majorHAnsi"/>
        </w:rPr>
        <w:t xml:space="preserve">report </w:t>
      </w:r>
      <w:r w:rsidR="00A350C7" w:rsidRPr="007F55FF">
        <w:rPr>
          <w:rFonts w:asciiTheme="majorHAnsi" w:hAnsiTheme="majorHAnsi"/>
        </w:rPr>
        <w:t>that summarizes results</w:t>
      </w:r>
      <w:r w:rsidRPr="007F55FF">
        <w:rPr>
          <w:rFonts w:asciiTheme="majorHAnsi" w:hAnsiTheme="majorHAnsi"/>
        </w:rPr>
        <w:t xml:space="preserve"> with EHSB for review.</w:t>
      </w:r>
    </w:p>
    <w:p w14:paraId="6242E278" w14:textId="3B2CB084" w:rsidR="006E185D" w:rsidRDefault="0025687F" w:rsidP="005C63AC">
      <w:pPr>
        <w:rPr>
          <w:rFonts w:asciiTheme="majorHAnsi" w:hAnsiTheme="majorHAnsi"/>
        </w:rPr>
      </w:pPr>
      <w:r w:rsidRPr="00D460FA">
        <w:rPr>
          <w:rFonts w:asciiTheme="majorHAnsi" w:hAnsiTheme="majorHAnsi"/>
        </w:rPr>
        <w:t>This information collection is not res</w:t>
      </w:r>
      <w:r w:rsidR="002653C6" w:rsidRPr="00D460FA">
        <w:rPr>
          <w:rFonts w:asciiTheme="majorHAnsi" w:hAnsiTheme="majorHAnsi"/>
        </w:rPr>
        <w:t>earch involving human subjects.</w:t>
      </w:r>
    </w:p>
    <w:p w14:paraId="68603D39" w14:textId="77777777" w:rsidR="003E7A4C" w:rsidRPr="00D460FA" w:rsidRDefault="003E7A4C" w:rsidP="005C63AC">
      <w:pPr>
        <w:rPr>
          <w:rFonts w:asciiTheme="majorHAnsi" w:hAnsiTheme="majorHAnsi"/>
        </w:rPr>
      </w:pPr>
    </w:p>
    <w:p w14:paraId="37166B18" w14:textId="34447C9D" w:rsidR="00464F0F" w:rsidRPr="00C04431" w:rsidRDefault="00BE5B0A" w:rsidP="00BE5B0A">
      <w:pPr>
        <w:pStyle w:val="ListParagraph"/>
        <w:numPr>
          <w:ilvl w:val="0"/>
          <w:numId w:val="4"/>
        </w:numPr>
        <w:rPr>
          <w:rFonts w:asciiTheme="majorHAnsi" w:hAnsiTheme="majorHAnsi"/>
          <w:b/>
        </w:rPr>
      </w:pPr>
      <w:r>
        <w:rPr>
          <w:rFonts w:asciiTheme="majorHAnsi" w:hAnsiTheme="majorHAnsi"/>
          <w:b/>
        </w:rPr>
        <w:t xml:space="preserve"> </w:t>
      </w:r>
      <w:r w:rsidR="0091421D" w:rsidRPr="00C04431">
        <w:rPr>
          <w:rFonts w:asciiTheme="majorHAnsi" w:hAnsiTheme="majorHAnsi"/>
          <w:b/>
        </w:rPr>
        <w:t>Institutional Review Board (IRB) and Justification for Sensitive Questions</w:t>
      </w:r>
    </w:p>
    <w:p w14:paraId="7F1DE0EC" w14:textId="3C7C8EA5" w:rsidR="00464F0F" w:rsidRDefault="0025687F" w:rsidP="00464F0F">
      <w:pPr>
        <w:rPr>
          <w:rFonts w:asciiTheme="majorHAnsi" w:hAnsiTheme="majorHAnsi"/>
        </w:rPr>
      </w:pPr>
      <w:r w:rsidRPr="00464F0F">
        <w:rPr>
          <w:rFonts w:asciiTheme="majorHAnsi" w:hAnsiTheme="majorHAnsi"/>
        </w:rPr>
        <w:lastRenderedPageBreak/>
        <w:t xml:space="preserve">No information will be collected that are of </w:t>
      </w:r>
      <w:r w:rsidR="0090052E" w:rsidRPr="00464F0F">
        <w:rPr>
          <w:rFonts w:asciiTheme="majorHAnsi" w:hAnsiTheme="majorHAnsi"/>
        </w:rPr>
        <w:t>a personal or sensitive nature.</w:t>
      </w:r>
    </w:p>
    <w:p w14:paraId="4F19AA78" w14:textId="77777777" w:rsidR="003E7A4C" w:rsidRPr="00187D4C" w:rsidRDefault="003E7A4C" w:rsidP="00464F0F">
      <w:pPr>
        <w:rPr>
          <w:rFonts w:asciiTheme="majorHAnsi" w:hAnsiTheme="majorHAnsi"/>
        </w:rPr>
      </w:pPr>
    </w:p>
    <w:p w14:paraId="1F0ABDEA" w14:textId="665AB1ED" w:rsidR="0025687F" w:rsidRPr="00086B58" w:rsidRDefault="00BE5B0A" w:rsidP="00BE5B0A">
      <w:pPr>
        <w:pStyle w:val="ListParagraph"/>
        <w:numPr>
          <w:ilvl w:val="0"/>
          <w:numId w:val="4"/>
        </w:numPr>
        <w:rPr>
          <w:rFonts w:asciiTheme="majorHAnsi" w:hAnsiTheme="majorHAnsi"/>
        </w:rPr>
      </w:pPr>
      <w:r>
        <w:rPr>
          <w:rFonts w:asciiTheme="majorHAnsi" w:hAnsiTheme="majorHAnsi"/>
          <w:b/>
        </w:rPr>
        <w:t xml:space="preserve"> </w:t>
      </w:r>
      <w:r w:rsidR="0025687F" w:rsidRPr="00BE5B0A">
        <w:rPr>
          <w:rFonts w:asciiTheme="majorHAnsi" w:hAnsiTheme="majorHAnsi"/>
          <w:b/>
        </w:rPr>
        <w:t>Estimates of Annualized Burden Hours and Costs</w:t>
      </w:r>
    </w:p>
    <w:p w14:paraId="1F0ABDEB" w14:textId="6535D85D" w:rsidR="0025687F" w:rsidRPr="00D23089" w:rsidRDefault="0025687F" w:rsidP="0025687F">
      <w:pPr>
        <w:rPr>
          <w:rFonts w:asciiTheme="majorHAnsi" w:hAnsiTheme="majorHAnsi"/>
        </w:rPr>
      </w:pPr>
      <w:r w:rsidRPr="00D23089">
        <w:rPr>
          <w:rFonts w:asciiTheme="majorHAnsi" w:hAnsiTheme="majorHAnsi"/>
        </w:rPr>
        <w:t>The estimate for burden hours is based on pilot test</w:t>
      </w:r>
      <w:r w:rsidR="00CD3620" w:rsidRPr="00D23089">
        <w:rPr>
          <w:rFonts w:asciiTheme="majorHAnsi" w:hAnsiTheme="majorHAnsi"/>
        </w:rPr>
        <w:t>s</w:t>
      </w:r>
      <w:r w:rsidRPr="00D23089">
        <w:rPr>
          <w:rFonts w:asciiTheme="majorHAnsi" w:hAnsiTheme="majorHAnsi"/>
        </w:rPr>
        <w:t xml:space="preserve"> of the </w:t>
      </w:r>
      <w:r w:rsidR="00E60A3E">
        <w:rPr>
          <w:rFonts w:asciiTheme="majorHAnsi" w:hAnsiTheme="majorHAnsi"/>
        </w:rPr>
        <w:t xml:space="preserve">interview </w:t>
      </w:r>
      <w:r w:rsidR="00E63B5C">
        <w:rPr>
          <w:rFonts w:asciiTheme="majorHAnsi" w:hAnsiTheme="majorHAnsi"/>
        </w:rPr>
        <w:t xml:space="preserve">guide by </w:t>
      </w:r>
      <w:r w:rsidR="00C21470">
        <w:rPr>
          <w:rFonts w:asciiTheme="majorHAnsi" w:hAnsiTheme="majorHAnsi"/>
        </w:rPr>
        <w:t>3 public health professionals</w:t>
      </w:r>
      <w:r w:rsidR="0088223D">
        <w:rPr>
          <w:rFonts w:asciiTheme="majorHAnsi" w:hAnsiTheme="majorHAnsi"/>
        </w:rPr>
        <w:t xml:space="preserve">, including 2 </w:t>
      </w:r>
      <w:r w:rsidR="00D30645">
        <w:rPr>
          <w:rFonts w:asciiTheme="majorHAnsi" w:hAnsiTheme="majorHAnsi"/>
        </w:rPr>
        <w:t>EH practitioners</w:t>
      </w:r>
      <w:r w:rsidR="00C21470">
        <w:rPr>
          <w:rFonts w:asciiTheme="majorHAnsi" w:hAnsiTheme="majorHAnsi"/>
        </w:rPr>
        <w:t xml:space="preserve"> </w:t>
      </w:r>
      <w:r w:rsidRPr="00D23089">
        <w:rPr>
          <w:rFonts w:asciiTheme="majorHAnsi" w:hAnsiTheme="majorHAnsi"/>
        </w:rPr>
        <w:t xml:space="preserve">from the </w:t>
      </w:r>
      <w:r w:rsidR="00236FB0" w:rsidRPr="00D23089">
        <w:rPr>
          <w:rFonts w:asciiTheme="majorHAnsi" w:hAnsiTheme="majorHAnsi"/>
        </w:rPr>
        <w:t>Cerro Gordo Count</w:t>
      </w:r>
      <w:r w:rsidR="0090052E" w:rsidRPr="00D23089">
        <w:rPr>
          <w:rFonts w:asciiTheme="majorHAnsi" w:hAnsiTheme="majorHAnsi"/>
        </w:rPr>
        <w:t>y Department of Public Health,</w:t>
      </w:r>
      <w:r w:rsidR="00CE505B" w:rsidRPr="00D23089">
        <w:rPr>
          <w:rFonts w:asciiTheme="majorHAnsi" w:hAnsiTheme="majorHAnsi"/>
        </w:rPr>
        <w:t xml:space="preserve"> Iowa</w:t>
      </w:r>
      <w:r w:rsidR="000B68A3" w:rsidRPr="000B68A3">
        <w:rPr>
          <w:rFonts w:asciiTheme="majorHAnsi" w:hAnsiTheme="majorHAnsi"/>
        </w:rPr>
        <w:t xml:space="preserve"> </w:t>
      </w:r>
      <w:r w:rsidR="000B68A3">
        <w:rPr>
          <w:rFonts w:asciiTheme="majorHAnsi" w:hAnsiTheme="majorHAnsi"/>
        </w:rPr>
        <w:t xml:space="preserve">and </w:t>
      </w:r>
      <w:r w:rsidR="00725828">
        <w:rPr>
          <w:rFonts w:asciiTheme="majorHAnsi" w:hAnsiTheme="majorHAnsi"/>
        </w:rPr>
        <w:t>1</w:t>
      </w:r>
      <w:r w:rsidR="00C21470" w:rsidRPr="007D0DD8">
        <w:rPr>
          <w:rFonts w:asciiTheme="majorHAnsi" w:hAnsiTheme="majorHAnsi"/>
        </w:rPr>
        <w:t xml:space="preserve"> </w:t>
      </w:r>
      <w:r w:rsidR="000B68A3" w:rsidRPr="007D0DD8">
        <w:rPr>
          <w:rFonts w:asciiTheme="majorHAnsi" w:hAnsiTheme="majorHAnsi"/>
        </w:rPr>
        <w:t>CLS staffer</w:t>
      </w:r>
      <w:r w:rsidR="00CE505B" w:rsidRPr="00D23089">
        <w:rPr>
          <w:rFonts w:asciiTheme="majorHAnsi" w:hAnsiTheme="majorHAnsi"/>
        </w:rPr>
        <w:t xml:space="preserve">. </w:t>
      </w:r>
      <w:r w:rsidR="0090052E" w:rsidRPr="00D23089">
        <w:rPr>
          <w:rFonts w:asciiTheme="majorHAnsi" w:hAnsiTheme="majorHAnsi"/>
        </w:rPr>
        <w:t xml:space="preserve">The average time to complete the </w:t>
      </w:r>
      <w:r w:rsidR="00704BD8">
        <w:rPr>
          <w:rFonts w:asciiTheme="majorHAnsi" w:hAnsiTheme="majorHAnsi"/>
        </w:rPr>
        <w:t>interview</w:t>
      </w:r>
      <w:r w:rsidRPr="00D23089">
        <w:rPr>
          <w:rFonts w:asciiTheme="majorHAnsi" w:hAnsiTheme="majorHAnsi"/>
        </w:rPr>
        <w:t xml:space="preserve">, including </w:t>
      </w:r>
      <w:r w:rsidR="0090052E" w:rsidRPr="00D23089">
        <w:rPr>
          <w:rFonts w:asciiTheme="majorHAnsi" w:hAnsiTheme="majorHAnsi"/>
        </w:rPr>
        <w:t>time for reviewing instructions</w:t>
      </w:r>
      <w:r w:rsidR="00632AE6">
        <w:rPr>
          <w:rFonts w:asciiTheme="majorHAnsi" w:hAnsiTheme="majorHAnsi"/>
        </w:rPr>
        <w:t>,</w:t>
      </w:r>
      <w:r w:rsidR="0090052E" w:rsidRPr="00D23089">
        <w:rPr>
          <w:rFonts w:asciiTheme="majorHAnsi" w:hAnsiTheme="majorHAnsi"/>
        </w:rPr>
        <w:t xml:space="preserve"> </w:t>
      </w:r>
      <w:r w:rsidRPr="00D23089">
        <w:rPr>
          <w:rFonts w:asciiTheme="majorHAnsi" w:hAnsiTheme="majorHAnsi"/>
        </w:rPr>
        <w:t xml:space="preserve">was approximately </w:t>
      </w:r>
      <w:r w:rsidR="00D24881">
        <w:rPr>
          <w:rFonts w:asciiTheme="majorHAnsi" w:hAnsiTheme="majorHAnsi"/>
        </w:rPr>
        <w:t>60</w:t>
      </w:r>
      <w:r w:rsidR="00002B2D" w:rsidRPr="00D23089">
        <w:rPr>
          <w:rFonts w:asciiTheme="majorHAnsi" w:hAnsiTheme="majorHAnsi"/>
        </w:rPr>
        <w:t xml:space="preserve"> </w:t>
      </w:r>
      <w:r w:rsidRPr="00D23089">
        <w:rPr>
          <w:rFonts w:asciiTheme="majorHAnsi" w:hAnsiTheme="majorHAnsi"/>
        </w:rPr>
        <w:t>minutes</w:t>
      </w:r>
      <w:r w:rsidR="009D6AA6">
        <w:rPr>
          <w:rFonts w:asciiTheme="majorHAnsi" w:hAnsiTheme="majorHAnsi"/>
        </w:rPr>
        <w:t xml:space="preserve"> (range: </w:t>
      </w:r>
      <w:r w:rsidR="0090052E" w:rsidRPr="00D23089">
        <w:rPr>
          <w:rFonts w:asciiTheme="majorHAnsi" w:hAnsiTheme="majorHAnsi"/>
        </w:rPr>
        <w:t>45</w:t>
      </w:r>
      <w:r w:rsidRPr="00D23089">
        <w:rPr>
          <w:rFonts w:asciiTheme="majorHAnsi" w:hAnsiTheme="majorHAnsi"/>
        </w:rPr>
        <w:t xml:space="preserve"> to </w:t>
      </w:r>
      <w:r w:rsidR="004D2DCD" w:rsidRPr="00D23089">
        <w:rPr>
          <w:rFonts w:asciiTheme="majorHAnsi" w:hAnsiTheme="majorHAnsi"/>
        </w:rPr>
        <w:t>7</w:t>
      </w:r>
      <w:r w:rsidR="0090052E" w:rsidRPr="00D23089">
        <w:rPr>
          <w:rFonts w:asciiTheme="majorHAnsi" w:hAnsiTheme="majorHAnsi"/>
        </w:rPr>
        <w:t>5</w:t>
      </w:r>
      <w:r w:rsidRPr="00D23089">
        <w:rPr>
          <w:rFonts w:asciiTheme="majorHAnsi" w:hAnsiTheme="majorHAnsi"/>
        </w:rPr>
        <w:t xml:space="preserve"> minutes</w:t>
      </w:r>
      <w:r w:rsidR="009D6AA6">
        <w:rPr>
          <w:rFonts w:asciiTheme="majorHAnsi" w:hAnsiTheme="majorHAnsi"/>
        </w:rPr>
        <w:t>)</w:t>
      </w:r>
      <w:r w:rsidRPr="00D23089">
        <w:rPr>
          <w:rFonts w:asciiTheme="majorHAnsi" w:hAnsiTheme="majorHAnsi"/>
        </w:rPr>
        <w:t xml:space="preserve">. For the purposes of estimating burden hours, the </w:t>
      </w:r>
      <w:r w:rsidR="00450409">
        <w:rPr>
          <w:rFonts w:asciiTheme="majorHAnsi" w:hAnsiTheme="majorHAnsi"/>
        </w:rPr>
        <w:t xml:space="preserve">upper limit </w:t>
      </w:r>
      <w:r w:rsidR="00632AE6">
        <w:rPr>
          <w:rFonts w:asciiTheme="majorHAnsi" w:hAnsiTheme="majorHAnsi"/>
        </w:rPr>
        <w:t>of this range</w:t>
      </w:r>
      <w:r w:rsidRPr="00D23089">
        <w:rPr>
          <w:rFonts w:asciiTheme="majorHAnsi" w:hAnsiTheme="majorHAnsi"/>
        </w:rPr>
        <w:t xml:space="preserve"> (i.e., </w:t>
      </w:r>
      <w:r w:rsidR="00450409">
        <w:rPr>
          <w:rFonts w:asciiTheme="majorHAnsi" w:hAnsiTheme="majorHAnsi"/>
        </w:rPr>
        <w:t>75</w:t>
      </w:r>
      <w:r w:rsidR="00D24881">
        <w:rPr>
          <w:rFonts w:asciiTheme="majorHAnsi" w:hAnsiTheme="majorHAnsi"/>
        </w:rPr>
        <w:t xml:space="preserve"> </w:t>
      </w:r>
      <w:r w:rsidR="0090052E" w:rsidRPr="00D23089">
        <w:rPr>
          <w:rFonts w:asciiTheme="majorHAnsi" w:hAnsiTheme="majorHAnsi"/>
        </w:rPr>
        <w:t>minutes) is used.</w:t>
      </w:r>
    </w:p>
    <w:p w14:paraId="312CAD15" w14:textId="3C97FBE9" w:rsidR="00187D4C" w:rsidRDefault="0025687F" w:rsidP="0025687F">
      <w:pPr>
        <w:rPr>
          <w:rFonts w:asciiTheme="majorHAnsi" w:hAnsiTheme="majorHAnsi"/>
        </w:rPr>
      </w:pPr>
      <w:r w:rsidRPr="00D23089">
        <w:rPr>
          <w:rFonts w:asciiTheme="majorHAnsi" w:hAnsiTheme="majorHAnsi"/>
        </w:rPr>
        <w:t>Estimates for the average hourly wage for respondents are based on the Department of Labor (DOL) National Compensation Survey estimate for environmental scientists and specialists, including health (</w:t>
      </w:r>
      <w:hyperlink r:id="rId14" w:history="1">
        <w:r w:rsidR="00340CF0" w:rsidRPr="00D23089">
          <w:rPr>
            <w:rStyle w:val="Hyperlink"/>
            <w:rFonts w:asciiTheme="majorHAnsi" w:hAnsiTheme="majorHAnsi"/>
          </w:rPr>
          <w:t>http://www.bls.gov/ncs/ocs/sp/nctb1349.pdf</w:t>
        </w:r>
      </w:hyperlink>
      <w:r w:rsidRPr="00D23089">
        <w:rPr>
          <w:rFonts w:asciiTheme="majorHAnsi" w:hAnsiTheme="majorHAnsi"/>
        </w:rPr>
        <w:t xml:space="preserve">). Based on DOL data, an average hourly </w:t>
      </w:r>
      <w:r w:rsidRPr="00D23089">
        <w:rPr>
          <w:rFonts w:asciiTheme="majorHAnsi" w:hAnsiTheme="majorHAnsi"/>
        </w:rPr>
        <w:lastRenderedPageBreak/>
        <w:t xml:space="preserve">wage of $32.62 is estimated for all </w:t>
      </w:r>
      <w:r w:rsidR="00340CF0" w:rsidRPr="00D23089">
        <w:rPr>
          <w:rFonts w:asciiTheme="majorHAnsi" w:hAnsiTheme="majorHAnsi"/>
        </w:rPr>
        <w:t>18</w:t>
      </w:r>
      <w:r w:rsidRPr="00D23089">
        <w:rPr>
          <w:rFonts w:asciiTheme="majorHAnsi" w:hAnsiTheme="majorHAnsi"/>
        </w:rPr>
        <w:t xml:space="preserve"> respondents. Table A-12 shows estimated burden and cost information.</w:t>
      </w:r>
    </w:p>
    <w:p w14:paraId="1F0ABDED" w14:textId="77777777" w:rsidR="000F253F" w:rsidRPr="00D23089" w:rsidRDefault="000F253F" w:rsidP="000F253F">
      <w:pPr>
        <w:rPr>
          <w:rFonts w:asciiTheme="majorHAnsi" w:hAnsiTheme="majorHAnsi"/>
        </w:rPr>
      </w:pPr>
      <w:r w:rsidRPr="00D23089">
        <w:rPr>
          <w:rFonts w:asciiTheme="majorHAnsi" w:hAnsiTheme="majorHAnsi"/>
          <w:b/>
          <w:u w:val="single"/>
        </w:rPr>
        <w:t>Table A-12</w:t>
      </w:r>
      <w:r w:rsidRPr="00D23089">
        <w:rPr>
          <w:rFonts w:asciiTheme="majorHAnsi" w:hAnsiTheme="majorHAnsi"/>
          <w:b/>
        </w:rPr>
        <w:t>:</w:t>
      </w:r>
      <w:r w:rsidRPr="00D23089">
        <w:rPr>
          <w:rFonts w:asciiTheme="majorHAnsi" w:hAnsiTheme="majorHAnsi"/>
        </w:rPr>
        <w:t xml:space="preserve"> Estimated Annualized Burden Hours and Costs to Respondents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710"/>
        <w:gridCol w:w="1321"/>
        <w:gridCol w:w="1334"/>
        <w:gridCol w:w="1199"/>
        <w:gridCol w:w="904"/>
        <w:gridCol w:w="878"/>
        <w:gridCol w:w="1273"/>
      </w:tblGrid>
      <w:tr w:rsidR="00686BAA" w:rsidRPr="00D23089" w14:paraId="1F0ABDF6" w14:textId="77777777" w:rsidTr="00E91ACA">
        <w:trPr>
          <w:trHeight w:val="1493"/>
        </w:trPr>
        <w:tc>
          <w:tcPr>
            <w:tcW w:w="0" w:type="auto"/>
            <w:shd w:val="clear" w:color="auto" w:fill="D9D9D9" w:themeFill="background1" w:themeFillShade="D9"/>
          </w:tcPr>
          <w:p w14:paraId="1F0ABDEE" w14:textId="77777777" w:rsidR="000F253F" w:rsidRPr="00D23089" w:rsidRDefault="000F253F" w:rsidP="00E91ACA">
            <w:pPr>
              <w:ind w:left="-18"/>
              <w:rPr>
                <w:rFonts w:asciiTheme="majorHAnsi" w:hAnsiTheme="majorHAnsi"/>
                <w:b/>
                <w:sz w:val="18"/>
                <w:szCs w:val="20"/>
              </w:rPr>
            </w:pPr>
            <w:r w:rsidRPr="00D23089">
              <w:rPr>
                <w:rFonts w:asciiTheme="majorHAnsi" w:hAnsiTheme="majorHAnsi"/>
                <w:b/>
                <w:sz w:val="18"/>
                <w:szCs w:val="20"/>
              </w:rPr>
              <w:t>Information collection Instrument: Form Name</w:t>
            </w:r>
          </w:p>
        </w:tc>
        <w:tc>
          <w:tcPr>
            <w:tcW w:w="0" w:type="auto"/>
            <w:shd w:val="clear" w:color="auto" w:fill="D9D9D9" w:themeFill="background1" w:themeFillShade="D9"/>
            <w:vAlign w:val="center"/>
          </w:tcPr>
          <w:p w14:paraId="1F0ABDEF" w14:textId="77777777" w:rsidR="000F253F" w:rsidRPr="00D23089" w:rsidRDefault="000F253F" w:rsidP="00E91ACA">
            <w:pPr>
              <w:ind w:left="-18"/>
              <w:rPr>
                <w:rFonts w:asciiTheme="majorHAnsi" w:hAnsiTheme="majorHAnsi"/>
                <w:b/>
                <w:sz w:val="18"/>
                <w:szCs w:val="20"/>
              </w:rPr>
            </w:pPr>
            <w:r w:rsidRPr="00D23089">
              <w:rPr>
                <w:rFonts w:asciiTheme="majorHAnsi" w:hAnsiTheme="majorHAnsi"/>
                <w:b/>
                <w:sz w:val="18"/>
                <w:szCs w:val="20"/>
              </w:rPr>
              <w:t>Type of Respondent</w:t>
            </w:r>
          </w:p>
        </w:tc>
        <w:tc>
          <w:tcPr>
            <w:tcW w:w="0" w:type="auto"/>
            <w:shd w:val="clear" w:color="auto" w:fill="D9D9D9" w:themeFill="background1" w:themeFillShade="D9"/>
            <w:vAlign w:val="center"/>
          </w:tcPr>
          <w:p w14:paraId="1F0ABDF0" w14:textId="77777777" w:rsidR="000F253F" w:rsidRPr="00D23089" w:rsidRDefault="000F253F" w:rsidP="00E91ACA">
            <w:pPr>
              <w:ind w:left="-18"/>
              <w:rPr>
                <w:rFonts w:asciiTheme="majorHAnsi" w:hAnsiTheme="majorHAnsi"/>
                <w:b/>
                <w:sz w:val="18"/>
                <w:szCs w:val="20"/>
              </w:rPr>
            </w:pPr>
            <w:r w:rsidRPr="00D23089">
              <w:rPr>
                <w:rFonts w:asciiTheme="majorHAnsi" w:hAnsiTheme="majorHAnsi"/>
                <w:b/>
                <w:sz w:val="18"/>
                <w:szCs w:val="20"/>
              </w:rPr>
              <w:t>No. of Respondents</w:t>
            </w:r>
          </w:p>
        </w:tc>
        <w:tc>
          <w:tcPr>
            <w:tcW w:w="0" w:type="auto"/>
            <w:shd w:val="clear" w:color="auto" w:fill="D9D9D9" w:themeFill="background1" w:themeFillShade="D9"/>
            <w:vAlign w:val="center"/>
          </w:tcPr>
          <w:p w14:paraId="1F0ABDF1" w14:textId="77777777" w:rsidR="000F253F" w:rsidRPr="00D23089" w:rsidRDefault="000F253F" w:rsidP="00E91ACA">
            <w:pPr>
              <w:ind w:left="-18"/>
              <w:rPr>
                <w:rFonts w:asciiTheme="majorHAnsi" w:hAnsiTheme="majorHAnsi"/>
                <w:b/>
                <w:sz w:val="18"/>
                <w:szCs w:val="20"/>
              </w:rPr>
            </w:pPr>
            <w:r w:rsidRPr="00D23089">
              <w:rPr>
                <w:rFonts w:asciiTheme="majorHAnsi" w:hAnsiTheme="majorHAnsi"/>
                <w:b/>
                <w:sz w:val="18"/>
                <w:szCs w:val="20"/>
              </w:rPr>
              <w:t>No. of Responses per Respondent</w:t>
            </w:r>
          </w:p>
        </w:tc>
        <w:tc>
          <w:tcPr>
            <w:tcW w:w="0" w:type="auto"/>
            <w:shd w:val="clear" w:color="auto" w:fill="D9D9D9" w:themeFill="background1" w:themeFillShade="D9"/>
            <w:vAlign w:val="center"/>
          </w:tcPr>
          <w:p w14:paraId="1F0ABDF2" w14:textId="77777777" w:rsidR="000F253F" w:rsidRPr="00D23089" w:rsidRDefault="000F253F" w:rsidP="00E91ACA">
            <w:pPr>
              <w:ind w:left="-18"/>
              <w:rPr>
                <w:rFonts w:asciiTheme="majorHAnsi" w:hAnsiTheme="majorHAnsi"/>
                <w:b/>
                <w:sz w:val="18"/>
                <w:szCs w:val="20"/>
              </w:rPr>
            </w:pPr>
            <w:r w:rsidRPr="00D23089">
              <w:rPr>
                <w:rFonts w:asciiTheme="majorHAnsi" w:hAnsiTheme="majorHAnsi"/>
                <w:b/>
                <w:sz w:val="18"/>
                <w:szCs w:val="20"/>
              </w:rPr>
              <w:t>Average Burden per Response (in hours)</w:t>
            </w:r>
          </w:p>
        </w:tc>
        <w:tc>
          <w:tcPr>
            <w:tcW w:w="0" w:type="auto"/>
            <w:shd w:val="clear" w:color="auto" w:fill="D9D9D9" w:themeFill="background1" w:themeFillShade="D9"/>
            <w:vAlign w:val="center"/>
          </w:tcPr>
          <w:p w14:paraId="1F0ABDF3" w14:textId="77777777" w:rsidR="000F253F" w:rsidRPr="00D23089" w:rsidRDefault="000F253F" w:rsidP="00E91ACA">
            <w:pPr>
              <w:ind w:left="-18"/>
              <w:rPr>
                <w:rFonts w:asciiTheme="majorHAnsi" w:hAnsiTheme="majorHAnsi"/>
                <w:b/>
                <w:sz w:val="18"/>
                <w:szCs w:val="20"/>
              </w:rPr>
            </w:pPr>
            <w:r w:rsidRPr="00D23089">
              <w:rPr>
                <w:rFonts w:asciiTheme="majorHAnsi" w:hAnsiTheme="majorHAnsi"/>
                <w:b/>
                <w:sz w:val="18"/>
                <w:szCs w:val="20"/>
              </w:rPr>
              <w:t>Total Burden Hours</w:t>
            </w:r>
          </w:p>
        </w:tc>
        <w:tc>
          <w:tcPr>
            <w:tcW w:w="0" w:type="auto"/>
            <w:shd w:val="clear" w:color="auto" w:fill="D9D9D9" w:themeFill="background1" w:themeFillShade="D9"/>
            <w:vAlign w:val="center"/>
          </w:tcPr>
          <w:p w14:paraId="1F0ABDF4" w14:textId="77777777" w:rsidR="000F253F" w:rsidRPr="00D23089" w:rsidRDefault="000F253F" w:rsidP="00E91ACA">
            <w:pPr>
              <w:ind w:left="-18"/>
              <w:rPr>
                <w:rFonts w:asciiTheme="majorHAnsi" w:hAnsiTheme="majorHAnsi"/>
                <w:b/>
                <w:sz w:val="18"/>
                <w:szCs w:val="20"/>
              </w:rPr>
            </w:pPr>
            <w:r w:rsidRPr="00D23089">
              <w:rPr>
                <w:rFonts w:asciiTheme="majorHAnsi" w:hAnsiTheme="majorHAnsi"/>
                <w:b/>
                <w:sz w:val="18"/>
                <w:szCs w:val="20"/>
              </w:rPr>
              <w:t>Hourly Wage Rate</w:t>
            </w:r>
          </w:p>
        </w:tc>
        <w:tc>
          <w:tcPr>
            <w:tcW w:w="0" w:type="auto"/>
            <w:shd w:val="clear" w:color="auto" w:fill="D9D9D9" w:themeFill="background1" w:themeFillShade="D9"/>
            <w:vAlign w:val="center"/>
          </w:tcPr>
          <w:p w14:paraId="1F0ABDF5" w14:textId="77777777" w:rsidR="000F253F" w:rsidRPr="00D23089" w:rsidRDefault="000F253F" w:rsidP="00E91ACA">
            <w:pPr>
              <w:ind w:left="-18"/>
              <w:rPr>
                <w:rFonts w:asciiTheme="majorHAnsi" w:hAnsiTheme="majorHAnsi"/>
                <w:b/>
                <w:sz w:val="18"/>
                <w:szCs w:val="20"/>
              </w:rPr>
            </w:pPr>
            <w:r w:rsidRPr="00D23089">
              <w:rPr>
                <w:rFonts w:asciiTheme="majorHAnsi" w:hAnsiTheme="majorHAnsi"/>
                <w:b/>
                <w:sz w:val="18"/>
                <w:szCs w:val="20"/>
              </w:rPr>
              <w:t>Total Respondent Costs</w:t>
            </w:r>
          </w:p>
        </w:tc>
      </w:tr>
      <w:tr w:rsidR="00686BAA" w:rsidRPr="00D23089" w14:paraId="1F0ABDFF" w14:textId="77777777" w:rsidTr="00E91ACA">
        <w:tc>
          <w:tcPr>
            <w:tcW w:w="0" w:type="auto"/>
          </w:tcPr>
          <w:p w14:paraId="1F0ABDF7" w14:textId="09C7E179" w:rsidR="000F253F" w:rsidRPr="00CB1FD6" w:rsidRDefault="00242B79">
            <w:pPr>
              <w:rPr>
                <w:rFonts w:asciiTheme="majorHAnsi" w:hAnsiTheme="majorHAnsi"/>
                <w:sz w:val="20"/>
                <w:szCs w:val="20"/>
              </w:rPr>
            </w:pPr>
            <w:r w:rsidRPr="00E26DF6">
              <w:rPr>
                <w:rFonts w:asciiTheme="majorHAnsi" w:hAnsiTheme="majorHAnsi"/>
                <w:sz w:val="20"/>
                <w:szCs w:val="20"/>
              </w:rPr>
              <w:t>Interview Guide</w:t>
            </w:r>
          </w:p>
        </w:tc>
        <w:tc>
          <w:tcPr>
            <w:tcW w:w="0" w:type="auto"/>
            <w:vAlign w:val="center"/>
          </w:tcPr>
          <w:p w14:paraId="1F0ABDF8" w14:textId="1C686AC5" w:rsidR="000F253F" w:rsidRPr="00CB1FD6" w:rsidRDefault="000F253F" w:rsidP="00686BAA">
            <w:pPr>
              <w:rPr>
                <w:rFonts w:asciiTheme="majorHAnsi" w:hAnsiTheme="majorHAnsi"/>
                <w:sz w:val="20"/>
                <w:szCs w:val="20"/>
              </w:rPr>
            </w:pPr>
            <w:r w:rsidRPr="00CB1FD6">
              <w:rPr>
                <w:rFonts w:asciiTheme="majorHAnsi" w:hAnsiTheme="majorHAnsi"/>
                <w:sz w:val="20"/>
                <w:szCs w:val="20"/>
              </w:rPr>
              <w:t>State</w:t>
            </w:r>
            <w:r w:rsidR="00552F19" w:rsidRPr="00CB1FD6">
              <w:rPr>
                <w:rFonts w:asciiTheme="majorHAnsi" w:hAnsiTheme="majorHAnsi"/>
                <w:sz w:val="20"/>
                <w:szCs w:val="20"/>
              </w:rPr>
              <w:t xml:space="preserve"> and</w:t>
            </w:r>
            <w:r w:rsidR="00B159E9" w:rsidRPr="00CB1FD6">
              <w:rPr>
                <w:rFonts w:asciiTheme="majorHAnsi" w:hAnsiTheme="majorHAnsi"/>
                <w:sz w:val="20"/>
                <w:szCs w:val="20"/>
              </w:rPr>
              <w:t xml:space="preserve"> </w:t>
            </w:r>
            <w:r w:rsidRPr="00CB1FD6">
              <w:rPr>
                <w:rFonts w:asciiTheme="majorHAnsi" w:hAnsiTheme="majorHAnsi"/>
                <w:sz w:val="20"/>
                <w:szCs w:val="20"/>
              </w:rPr>
              <w:t xml:space="preserve">local environmental </w:t>
            </w:r>
            <w:r w:rsidR="00686BAA">
              <w:rPr>
                <w:rFonts w:asciiTheme="majorHAnsi" w:hAnsiTheme="majorHAnsi"/>
                <w:sz w:val="20"/>
                <w:szCs w:val="20"/>
              </w:rPr>
              <w:t>health</w:t>
            </w:r>
            <w:r w:rsidR="009422D1">
              <w:rPr>
                <w:rFonts w:asciiTheme="majorHAnsi" w:hAnsiTheme="majorHAnsi"/>
                <w:sz w:val="20"/>
                <w:szCs w:val="20"/>
              </w:rPr>
              <w:t xml:space="preserve"> practitioners</w:t>
            </w:r>
            <w:r w:rsidR="009422D1" w:rsidRPr="00CB1FD6">
              <w:rPr>
                <w:rFonts w:asciiTheme="majorHAnsi" w:hAnsiTheme="majorHAnsi"/>
                <w:sz w:val="20"/>
                <w:szCs w:val="20"/>
              </w:rPr>
              <w:t xml:space="preserve"> </w:t>
            </w:r>
          </w:p>
        </w:tc>
        <w:tc>
          <w:tcPr>
            <w:tcW w:w="0" w:type="auto"/>
            <w:vAlign w:val="center"/>
          </w:tcPr>
          <w:p w14:paraId="1F0ABDF9" w14:textId="77777777" w:rsidR="000F253F" w:rsidRPr="00CB1FD6" w:rsidRDefault="000F253F" w:rsidP="00E91ACA">
            <w:pPr>
              <w:rPr>
                <w:rFonts w:asciiTheme="majorHAnsi" w:hAnsiTheme="majorHAnsi"/>
                <w:sz w:val="20"/>
                <w:szCs w:val="20"/>
              </w:rPr>
            </w:pPr>
            <w:r w:rsidRPr="00CB1FD6">
              <w:rPr>
                <w:rFonts w:asciiTheme="majorHAnsi" w:hAnsiTheme="majorHAnsi"/>
                <w:sz w:val="20"/>
                <w:szCs w:val="20"/>
              </w:rPr>
              <w:t>18</w:t>
            </w:r>
          </w:p>
        </w:tc>
        <w:tc>
          <w:tcPr>
            <w:tcW w:w="0" w:type="auto"/>
            <w:vAlign w:val="center"/>
          </w:tcPr>
          <w:p w14:paraId="1F0ABDFA" w14:textId="77777777" w:rsidR="000F253F" w:rsidRPr="00CB1FD6" w:rsidRDefault="000F253F" w:rsidP="00E91ACA">
            <w:pPr>
              <w:rPr>
                <w:rFonts w:asciiTheme="majorHAnsi" w:hAnsiTheme="majorHAnsi"/>
                <w:sz w:val="20"/>
                <w:szCs w:val="20"/>
              </w:rPr>
            </w:pPr>
            <w:r w:rsidRPr="00CB1FD6">
              <w:rPr>
                <w:rFonts w:asciiTheme="majorHAnsi" w:hAnsiTheme="majorHAnsi"/>
                <w:sz w:val="20"/>
                <w:szCs w:val="20"/>
              </w:rPr>
              <w:t>1</w:t>
            </w:r>
          </w:p>
        </w:tc>
        <w:tc>
          <w:tcPr>
            <w:tcW w:w="0" w:type="auto"/>
            <w:vAlign w:val="center"/>
          </w:tcPr>
          <w:p w14:paraId="1F0ABDFB" w14:textId="455BC98E" w:rsidR="000F253F" w:rsidRPr="00CB1FD6" w:rsidRDefault="000F253F" w:rsidP="00404415">
            <w:pPr>
              <w:rPr>
                <w:rFonts w:asciiTheme="majorHAnsi" w:hAnsiTheme="majorHAnsi"/>
                <w:sz w:val="20"/>
                <w:szCs w:val="20"/>
              </w:rPr>
            </w:pPr>
            <w:r w:rsidRPr="00CB1FD6">
              <w:rPr>
                <w:rFonts w:asciiTheme="majorHAnsi" w:hAnsiTheme="majorHAnsi"/>
                <w:sz w:val="20"/>
                <w:szCs w:val="20"/>
              </w:rPr>
              <w:t>1.</w:t>
            </w:r>
            <w:r w:rsidR="00404415">
              <w:rPr>
                <w:rFonts w:asciiTheme="majorHAnsi" w:hAnsiTheme="majorHAnsi"/>
                <w:sz w:val="20"/>
                <w:szCs w:val="20"/>
              </w:rPr>
              <w:t>25</w:t>
            </w:r>
          </w:p>
        </w:tc>
        <w:tc>
          <w:tcPr>
            <w:tcW w:w="0" w:type="auto"/>
            <w:vAlign w:val="center"/>
          </w:tcPr>
          <w:p w14:paraId="1F0ABDFC" w14:textId="57D76B99" w:rsidR="000F253F" w:rsidRPr="00CB1FD6" w:rsidRDefault="00EB244A" w:rsidP="00E91ACA">
            <w:pPr>
              <w:rPr>
                <w:rFonts w:asciiTheme="majorHAnsi" w:hAnsiTheme="majorHAnsi"/>
                <w:sz w:val="20"/>
                <w:szCs w:val="20"/>
              </w:rPr>
            </w:pPr>
            <w:r>
              <w:rPr>
                <w:rFonts w:asciiTheme="majorHAnsi" w:hAnsiTheme="majorHAnsi"/>
                <w:sz w:val="20"/>
                <w:szCs w:val="20"/>
              </w:rPr>
              <w:t>23</w:t>
            </w:r>
          </w:p>
        </w:tc>
        <w:tc>
          <w:tcPr>
            <w:tcW w:w="0" w:type="auto"/>
            <w:vAlign w:val="center"/>
          </w:tcPr>
          <w:p w14:paraId="1F0ABDFD" w14:textId="77777777" w:rsidR="000F253F" w:rsidRPr="00CB1FD6" w:rsidRDefault="000F253F" w:rsidP="00E91ACA">
            <w:pPr>
              <w:rPr>
                <w:rFonts w:asciiTheme="majorHAnsi" w:hAnsiTheme="majorHAnsi"/>
                <w:sz w:val="20"/>
                <w:szCs w:val="20"/>
              </w:rPr>
            </w:pPr>
            <w:r w:rsidRPr="00CB1FD6">
              <w:rPr>
                <w:rFonts w:asciiTheme="majorHAnsi" w:hAnsiTheme="majorHAnsi"/>
                <w:sz w:val="20"/>
                <w:szCs w:val="20"/>
              </w:rPr>
              <w:t>$32.62</w:t>
            </w:r>
          </w:p>
        </w:tc>
        <w:tc>
          <w:tcPr>
            <w:tcW w:w="0" w:type="auto"/>
            <w:vAlign w:val="center"/>
          </w:tcPr>
          <w:p w14:paraId="1F0ABDFE" w14:textId="59D8DF06" w:rsidR="000F253F" w:rsidRPr="00CB1FD6" w:rsidRDefault="00404415" w:rsidP="000F253F">
            <w:pPr>
              <w:rPr>
                <w:rFonts w:asciiTheme="majorHAnsi" w:hAnsiTheme="majorHAnsi"/>
                <w:sz w:val="20"/>
                <w:szCs w:val="20"/>
              </w:rPr>
            </w:pPr>
            <w:r>
              <w:rPr>
                <w:rFonts w:asciiTheme="majorHAnsi" w:hAnsiTheme="majorHAnsi"/>
                <w:sz w:val="20"/>
                <w:szCs w:val="20"/>
              </w:rPr>
              <w:t>$</w:t>
            </w:r>
            <w:r w:rsidR="000F253F" w:rsidRPr="00CB1FD6">
              <w:rPr>
                <w:rFonts w:asciiTheme="majorHAnsi" w:hAnsiTheme="majorHAnsi"/>
                <w:sz w:val="20"/>
                <w:szCs w:val="20"/>
              </w:rPr>
              <w:t>7</w:t>
            </w:r>
            <w:r w:rsidR="00EB244A">
              <w:rPr>
                <w:rFonts w:asciiTheme="majorHAnsi" w:hAnsiTheme="majorHAnsi"/>
                <w:sz w:val="20"/>
                <w:szCs w:val="20"/>
              </w:rPr>
              <w:t>34</w:t>
            </w:r>
          </w:p>
        </w:tc>
      </w:tr>
      <w:tr w:rsidR="00686BAA" w:rsidRPr="00D23089" w14:paraId="1F0ABE08" w14:textId="77777777" w:rsidTr="00E91ACA">
        <w:trPr>
          <w:trHeight w:hRule="exact" w:val="432"/>
        </w:trPr>
        <w:tc>
          <w:tcPr>
            <w:tcW w:w="0" w:type="auto"/>
          </w:tcPr>
          <w:p w14:paraId="1F0ABE00" w14:textId="77777777" w:rsidR="000F253F" w:rsidRPr="00D23089" w:rsidRDefault="000F253F" w:rsidP="00E91ACA">
            <w:pPr>
              <w:rPr>
                <w:rFonts w:asciiTheme="majorHAnsi" w:hAnsiTheme="majorHAnsi"/>
                <w:b/>
                <w:sz w:val="20"/>
                <w:szCs w:val="20"/>
              </w:rPr>
            </w:pPr>
          </w:p>
        </w:tc>
        <w:tc>
          <w:tcPr>
            <w:tcW w:w="0" w:type="auto"/>
            <w:vAlign w:val="center"/>
          </w:tcPr>
          <w:p w14:paraId="1F0ABE01" w14:textId="77777777" w:rsidR="000F253F" w:rsidRPr="00D23089" w:rsidRDefault="000F253F" w:rsidP="00E91ACA">
            <w:pPr>
              <w:rPr>
                <w:rFonts w:asciiTheme="majorHAnsi" w:hAnsiTheme="majorHAnsi"/>
                <w:b/>
                <w:sz w:val="20"/>
                <w:szCs w:val="20"/>
              </w:rPr>
            </w:pPr>
            <w:r w:rsidRPr="00D23089">
              <w:rPr>
                <w:rFonts w:asciiTheme="majorHAnsi" w:hAnsiTheme="majorHAnsi"/>
                <w:b/>
                <w:sz w:val="20"/>
                <w:szCs w:val="20"/>
              </w:rPr>
              <w:t>TOTALS</w:t>
            </w:r>
          </w:p>
        </w:tc>
        <w:tc>
          <w:tcPr>
            <w:tcW w:w="0" w:type="auto"/>
            <w:vAlign w:val="center"/>
          </w:tcPr>
          <w:p w14:paraId="1F0ABE02" w14:textId="77777777" w:rsidR="000F253F" w:rsidRPr="00D23089" w:rsidRDefault="000F253F" w:rsidP="00E91ACA">
            <w:pPr>
              <w:rPr>
                <w:rFonts w:asciiTheme="majorHAnsi" w:hAnsiTheme="majorHAnsi"/>
                <w:b/>
                <w:sz w:val="20"/>
                <w:szCs w:val="20"/>
              </w:rPr>
            </w:pPr>
            <w:r w:rsidRPr="00D23089">
              <w:rPr>
                <w:rFonts w:asciiTheme="majorHAnsi" w:hAnsiTheme="majorHAnsi"/>
                <w:b/>
                <w:sz w:val="20"/>
                <w:szCs w:val="20"/>
              </w:rPr>
              <w:t>18</w:t>
            </w:r>
          </w:p>
        </w:tc>
        <w:tc>
          <w:tcPr>
            <w:tcW w:w="0" w:type="auto"/>
            <w:shd w:val="clear" w:color="auto" w:fill="auto"/>
            <w:vAlign w:val="center"/>
          </w:tcPr>
          <w:p w14:paraId="1F0ABE03" w14:textId="77777777" w:rsidR="000F253F" w:rsidRPr="00D23089" w:rsidRDefault="000F253F" w:rsidP="00E91ACA">
            <w:pPr>
              <w:rPr>
                <w:rFonts w:asciiTheme="majorHAnsi" w:hAnsiTheme="majorHAnsi"/>
                <w:b/>
                <w:sz w:val="20"/>
                <w:szCs w:val="20"/>
              </w:rPr>
            </w:pPr>
            <w:r w:rsidRPr="00D23089">
              <w:rPr>
                <w:rFonts w:asciiTheme="majorHAnsi" w:hAnsiTheme="majorHAnsi"/>
                <w:b/>
                <w:sz w:val="20"/>
                <w:szCs w:val="20"/>
              </w:rPr>
              <w:t>1</w:t>
            </w:r>
          </w:p>
        </w:tc>
        <w:tc>
          <w:tcPr>
            <w:tcW w:w="0" w:type="auto"/>
            <w:shd w:val="clear" w:color="auto" w:fill="D9D9D9" w:themeFill="background1" w:themeFillShade="D9"/>
            <w:vAlign w:val="center"/>
          </w:tcPr>
          <w:p w14:paraId="1F0ABE04" w14:textId="77777777" w:rsidR="000F253F" w:rsidRPr="00D23089" w:rsidRDefault="000F253F" w:rsidP="00E91ACA">
            <w:pPr>
              <w:rPr>
                <w:rFonts w:asciiTheme="majorHAnsi" w:hAnsiTheme="majorHAnsi"/>
                <w:b/>
                <w:sz w:val="20"/>
                <w:szCs w:val="20"/>
              </w:rPr>
            </w:pPr>
          </w:p>
        </w:tc>
        <w:tc>
          <w:tcPr>
            <w:tcW w:w="0" w:type="auto"/>
            <w:vAlign w:val="center"/>
          </w:tcPr>
          <w:p w14:paraId="1F0ABE05" w14:textId="223D7B91" w:rsidR="000F253F" w:rsidRPr="00D23089" w:rsidRDefault="00EB244A" w:rsidP="00E91ACA">
            <w:pPr>
              <w:rPr>
                <w:rFonts w:asciiTheme="majorHAnsi" w:hAnsiTheme="majorHAnsi"/>
                <w:b/>
                <w:sz w:val="20"/>
                <w:szCs w:val="20"/>
              </w:rPr>
            </w:pPr>
            <w:r>
              <w:rPr>
                <w:rFonts w:asciiTheme="majorHAnsi" w:hAnsiTheme="majorHAnsi"/>
                <w:b/>
                <w:sz w:val="20"/>
                <w:szCs w:val="20"/>
              </w:rPr>
              <w:t>23</w:t>
            </w:r>
          </w:p>
        </w:tc>
        <w:tc>
          <w:tcPr>
            <w:tcW w:w="0" w:type="auto"/>
            <w:shd w:val="clear" w:color="auto" w:fill="D9D9D9" w:themeFill="background1" w:themeFillShade="D9"/>
            <w:vAlign w:val="center"/>
          </w:tcPr>
          <w:p w14:paraId="1F0ABE06" w14:textId="77777777" w:rsidR="000F253F" w:rsidRPr="00D23089" w:rsidRDefault="000F253F" w:rsidP="00E91ACA">
            <w:pPr>
              <w:rPr>
                <w:rFonts w:asciiTheme="majorHAnsi" w:hAnsiTheme="majorHAnsi"/>
                <w:b/>
                <w:sz w:val="20"/>
                <w:szCs w:val="20"/>
              </w:rPr>
            </w:pPr>
          </w:p>
        </w:tc>
        <w:tc>
          <w:tcPr>
            <w:tcW w:w="0" w:type="auto"/>
            <w:vAlign w:val="center"/>
          </w:tcPr>
          <w:p w14:paraId="1F0ABE07" w14:textId="79F6E773" w:rsidR="000F253F" w:rsidRPr="00D23089" w:rsidRDefault="00404415" w:rsidP="00404415">
            <w:pPr>
              <w:rPr>
                <w:rFonts w:asciiTheme="majorHAnsi" w:hAnsiTheme="majorHAnsi"/>
                <w:b/>
                <w:sz w:val="20"/>
                <w:szCs w:val="20"/>
              </w:rPr>
            </w:pPr>
            <w:r>
              <w:rPr>
                <w:rFonts w:asciiTheme="majorHAnsi" w:hAnsiTheme="majorHAnsi"/>
                <w:b/>
                <w:sz w:val="20"/>
                <w:szCs w:val="20"/>
              </w:rPr>
              <w:t>$</w:t>
            </w:r>
            <w:r w:rsidR="000F253F" w:rsidRPr="00D23089">
              <w:rPr>
                <w:rFonts w:asciiTheme="majorHAnsi" w:hAnsiTheme="majorHAnsi"/>
                <w:b/>
                <w:sz w:val="20"/>
                <w:szCs w:val="20"/>
              </w:rPr>
              <w:t>7</w:t>
            </w:r>
            <w:r w:rsidR="00EB244A">
              <w:rPr>
                <w:rFonts w:asciiTheme="majorHAnsi" w:hAnsiTheme="majorHAnsi"/>
                <w:b/>
                <w:sz w:val="20"/>
                <w:szCs w:val="20"/>
              </w:rPr>
              <w:t>34</w:t>
            </w:r>
          </w:p>
        </w:tc>
      </w:tr>
    </w:tbl>
    <w:p w14:paraId="2DA7E613" w14:textId="77777777" w:rsidR="00511A26" w:rsidRDefault="00511A26" w:rsidP="0042748B">
      <w:pPr>
        <w:rPr>
          <w:rFonts w:asciiTheme="majorHAnsi" w:hAnsiTheme="majorHAnsi"/>
          <w:b/>
        </w:rPr>
      </w:pPr>
    </w:p>
    <w:p w14:paraId="1D3224DF" w14:textId="77777777" w:rsidR="00511A26" w:rsidRDefault="00511A26" w:rsidP="0042748B">
      <w:pPr>
        <w:rPr>
          <w:rFonts w:asciiTheme="majorHAnsi" w:hAnsiTheme="majorHAnsi"/>
          <w:b/>
        </w:rPr>
      </w:pPr>
    </w:p>
    <w:p w14:paraId="1F0ABE0B" w14:textId="4068B19B" w:rsidR="00EF736D" w:rsidRPr="00086B58" w:rsidRDefault="00BE5B0A" w:rsidP="00BE5B0A">
      <w:pPr>
        <w:rPr>
          <w:rFonts w:asciiTheme="majorHAnsi" w:hAnsiTheme="majorHAnsi"/>
          <w:b/>
        </w:rPr>
      </w:pPr>
      <w:r w:rsidRPr="00BE5B0A">
        <w:rPr>
          <w:rFonts w:asciiTheme="majorHAnsi" w:hAnsiTheme="majorHAnsi"/>
          <w:b/>
        </w:rPr>
        <w:t>13.</w:t>
      </w:r>
      <w:r>
        <w:rPr>
          <w:rFonts w:asciiTheme="majorHAnsi" w:hAnsiTheme="majorHAnsi"/>
          <w:b/>
        </w:rPr>
        <w:t xml:space="preserve">  </w:t>
      </w:r>
      <w:r w:rsidR="00EF736D" w:rsidRPr="00086B58">
        <w:rPr>
          <w:rFonts w:asciiTheme="majorHAnsi" w:hAnsiTheme="majorHAnsi"/>
          <w:b/>
        </w:rPr>
        <w:t>Estimates of Other Total Annual Cost Burden t</w:t>
      </w:r>
      <w:r w:rsidR="0090052E" w:rsidRPr="00086B58">
        <w:rPr>
          <w:rFonts w:asciiTheme="majorHAnsi" w:hAnsiTheme="majorHAnsi"/>
          <w:b/>
        </w:rPr>
        <w:t>o Respondents or Record Keepers</w:t>
      </w:r>
    </w:p>
    <w:p w14:paraId="4258DF84" w14:textId="0A27AD55" w:rsidR="0091421D" w:rsidRDefault="00EF736D" w:rsidP="00EF736D">
      <w:pPr>
        <w:rPr>
          <w:rFonts w:asciiTheme="majorHAnsi" w:hAnsiTheme="majorHAnsi"/>
        </w:rPr>
      </w:pPr>
      <w:r w:rsidRPr="00D23089">
        <w:rPr>
          <w:rFonts w:asciiTheme="majorHAnsi" w:hAnsiTheme="majorHAnsi"/>
        </w:rPr>
        <w:t>There will be no direct costs to the respondents other than their time to participate</w:t>
      </w:r>
      <w:r w:rsidR="0090052E" w:rsidRPr="00D23089">
        <w:rPr>
          <w:rFonts w:asciiTheme="majorHAnsi" w:hAnsiTheme="majorHAnsi"/>
        </w:rPr>
        <w:t xml:space="preserve"> in the information collection.</w:t>
      </w:r>
    </w:p>
    <w:p w14:paraId="4755713E" w14:textId="77777777" w:rsidR="003E7A4C" w:rsidRPr="00D23089" w:rsidRDefault="003E7A4C" w:rsidP="00EF736D">
      <w:pPr>
        <w:rPr>
          <w:rFonts w:asciiTheme="majorHAnsi" w:hAnsiTheme="majorHAnsi"/>
        </w:rPr>
      </w:pPr>
    </w:p>
    <w:p w14:paraId="1F0ABE0E" w14:textId="0B725F5A" w:rsidR="00EF736D" w:rsidRPr="00D23089" w:rsidRDefault="00BE5B0A" w:rsidP="0042748B">
      <w:pPr>
        <w:pStyle w:val="ListParagraph"/>
        <w:ind w:left="0"/>
        <w:rPr>
          <w:rFonts w:asciiTheme="majorHAnsi" w:hAnsiTheme="majorHAnsi"/>
          <w:b/>
        </w:rPr>
      </w:pPr>
      <w:r>
        <w:rPr>
          <w:rFonts w:asciiTheme="majorHAnsi" w:hAnsiTheme="majorHAnsi"/>
          <w:b/>
        </w:rPr>
        <w:t xml:space="preserve">14.  </w:t>
      </w:r>
      <w:r w:rsidR="00EF736D" w:rsidRPr="00D23089">
        <w:rPr>
          <w:rFonts w:asciiTheme="majorHAnsi" w:hAnsiTheme="majorHAnsi"/>
          <w:b/>
        </w:rPr>
        <w:t>Ann</w:t>
      </w:r>
      <w:r w:rsidR="0090052E" w:rsidRPr="00D23089">
        <w:rPr>
          <w:rFonts w:asciiTheme="majorHAnsi" w:hAnsiTheme="majorHAnsi"/>
          <w:b/>
        </w:rPr>
        <w:t>ualized Cost to the Government</w:t>
      </w:r>
    </w:p>
    <w:p w14:paraId="4611F243" w14:textId="356FA7A2" w:rsidR="00E41C2E" w:rsidRPr="00D23089" w:rsidRDefault="00EF736D" w:rsidP="00EF736D">
      <w:pPr>
        <w:rPr>
          <w:rFonts w:asciiTheme="majorHAnsi" w:hAnsiTheme="majorHAnsi"/>
        </w:rPr>
      </w:pPr>
      <w:r w:rsidRPr="00D23089">
        <w:rPr>
          <w:rFonts w:asciiTheme="majorHAnsi" w:hAnsiTheme="majorHAnsi"/>
        </w:rPr>
        <w:lastRenderedPageBreak/>
        <w:t>There are no equipment or overhead costs. The only cost to the federal government would be the salary of two CDC staff members</w:t>
      </w:r>
      <w:r w:rsidR="001E63FB">
        <w:rPr>
          <w:rFonts w:asciiTheme="majorHAnsi" w:hAnsiTheme="majorHAnsi"/>
        </w:rPr>
        <w:t xml:space="preserve"> and CLS contractors</w:t>
      </w:r>
      <w:r w:rsidRPr="00D23089">
        <w:rPr>
          <w:rFonts w:asciiTheme="majorHAnsi" w:hAnsiTheme="majorHAnsi"/>
        </w:rPr>
        <w:t xml:space="preserve"> during the data collection and analysis activities. The total estimated cost to the federal government is $</w:t>
      </w:r>
      <w:r w:rsidR="002345F9" w:rsidRPr="00D23089">
        <w:rPr>
          <w:rFonts w:asciiTheme="majorHAnsi" w:hAnsiTheme="majorHAnsi"/>
        </w:rPr>
        <w:t>50</w:t>
      </w:r>
      <w:r w:rsidRPr="00D23089">
        <w:rPr>
          <w:rFonts w:asciiTheme="majorHAnsi" w:hAnsiTheme="majorHAnsi"/>
        </w:rPr>
        <w:t>,</w:t>
      </w:r>
      <w:r w:rsidR="002345F9" w:rsidRPr="00D23089">
        <w:rPr>
          <w:rFonts w:asciiTheme="majorHAnsi" w:hAnsiTheme="majorHAnsi"/>
        </w:rPr>
        <w:t>409.12</w:t>
      </w:r>
      <w:r w:rsidRPr="00D23089">
        <w:rPr>
          <w:rFonts w:asciiTheme="majorHAnsi" w:hAnsiTheme="majorHAnsi"/>
        </w:rPr>
        <w:t>. Table A-14 describes how this cost estimate was calculated.</w:t>
      </w:r>
    </w:p>
    <w:p w14:paraId="1F0ABE10" w14:textId="77777777" w:rsidR="000F253F" w:rsidRPr="00D23089" w:rsidRDefault="000F253F" w:rsidP="000F253F">
      <w:pPr>
        <w:rPr>
          <w:rFonts w:asciiTheme="majorHAnsi" w:hAnsiTheme="majorHAnsi"/>
        </w:rPr>
      </w:pPr>
      <w:r w:rsidRPr="00D23089">
        <w:rPr>
          <w:rFonts w:asciiTheme="majorHAnsi" w:hAnsiTheme="majorHAnsi"/>
          <w:b/>
          <w:u w:val="single"/>
        </w:rPr>
        <w:t>Table A-14</w:t>
      </w:r>
      <w:r w:rsidRPr="00D23089">
        <w:rPr>
          <w:rFonts w:asciiTheme="majorHAnsi" w:hAnsiTheme="majorHAnsi"/>
          <w:b/>
        </w:rPr>
        <w:t>:</w:t>
      </w:r>
      <w:r w:rsidRPr="00D23089">
        <w:rPr>
          <w:rFonts w:asciiTheme="majorHAnsi" w:hAnsiTheme="majorHAnsi"/>
        </w:rPr>
        <w:t xml:space="preserve"> Estimated Annualized Cost to the Federal Government</w:t>
      </w:r>
    </w:p>
    <w:tbl>
      <w:tblPr>
        <w:tblStyle w:val="TableGrid"/>
        <w:tblW w:w="0" w:type="auto"/>
        <w:tblLook w:val="04A0" w:firstRow="1" w:lastRow="0" w:firstColumn="1" w:lastColumn="0" w:noHBand="0" w:noVBand="1"/>
      </w:tblPr>
      <w:tblGrid>
        <w:gridCol w:w="4080"/>
        <w:gridCol w:w="1940"/>
        <w:gridCol w:w="1208"/>
        <w:gridCol w:w="236"/>
        <w:gridCol w:w="236"/>
        <w:gridCol w:w="1876"/>
      </w:tblGrid>
      <w:tr w:rsidR="000F253F" w:rsidRPr="00D23089" w14:paraId="1F0ABE15" w14:textId="77777777" w:rsidTr="00E91ACA">
        <w:trPr>
          <w:trHeight w:val="593"/>
        </w:trPr>
        <w:tc>
          <w:tcPr>
            <w:tcW w:w="4080" w:type="dxa"/>
            <w:tcBorders>
              <w:bottom w:val="single" w:sz="12" w:space="0" w:color="auto"/>
            </w:tcBorders>
            <w:shd w:val="clear" w:color="auto" w:fill="D9D9D9" w:themeFill="background1" w:themeFillShade="D9"/>
            <w:vAlign w:val="center"/>
          </w:tcPr>
          <w:p w14:paraId="1F0ABE11" w14:textId="77777777" w:rsidR="000F253F" w:rsidRPr="00D23089" w:rsidRDefault="000F253F" w:rsidP="00E91ACA">
            <w:pPr>
              <w:jc w:val="center"/>
              <w:rPr>
                <w:rFonts w:asciiTheme="majorHAnsi" w:hAnsiTheme="majorHAnsi"/>
                <w:b/>
                <w:sz w:val="20"/>
                <w:szCs w:val="20"/>
              </w:rPr>
            </w:pPr>
            <w:r w:rsidRPr="00D23089">
              <w:rPr>
                <w:rFonts w:asciiTheme="majorHAnsi" w:hAnsiTheme="majorHAnsi"/>
                <w:b/>
                <w:sz w:val="20"/>
                <w:szCs w:val="20"/>
              </w:rPr>
              <w:t>Staff (FTE)</w:t>
            </w:r>
          </w:p>
        </w:tc>
        <w:tc>
          <w:tcPr>
            <w:tcW w:w="1940" w:type="dxa"/>
            <w:tcBorders>
              <w:bottom w:val="single" w:sz="12" w:space="0" w:color="auto"/>
            </w:tcBorders>
            <w:shd w:val="clear" w:color="auto" w:fill="D9D9D9" w:themeFill="background1" w:themeFillShade="D9"/>
            <w:vAlign w:val="center"/>
          </w:tcPr>
          <w:p w14:paraId="1F0ABE12" w14:textId="77777777" w:rsidR="000F253F" w:rsidRPr="00D23089" w:rsidRDefault="000F253F" w:rsidP="00E91ACA">
            <w:pPr>
              <w:jc w:val="center"/>
              <w:rPr>
                <w:rFonts w:asciiTheme="majorHAnsi" w:hAnsiTheme="majorHAnsi"/>
                <w:b/>
                <w:sz w:val="20"/>
                <w:szCs w:val="20"/>
              </w:rPr>
            </w:pPr>
            <w:r w:rsidRPr="00D23089">
              <w:rPr>
                <w:rFonts w:asciiTheme="majorHAnsi" w:hAnsiTheme="majorHAnsi"/>
                <w:b/>
                <w:sz w:val="20"/>
                <w:szCs w:val="20"/>
              </w:rPr>
              <w:t>Average Hours per Collection</w:t>
            </w:r>
          </w:p>
        </w:tc>
        <w:tc>
          <w:tcPr>
            <w:tcW w:w="1680" w:type="dxa"/>
            <w:gridSpan w:val="3"/>
            <w:tcBorders>
              <w:bottom w:val="single" w:sz="12" w:space="0" w:color="auto"/>
            </w:tcBorders>
            <w:shd w:val="clear" w:color="auto" w:fill="D9D9D9" w:themeFill="background1" w:themeFillShade="D9"/>
            <w:vAlign w:val="center"/>
          </w:tcPr>
          <w:p w14:paraId="1F0ABE13" w14:textId="77777777" w:rsidR="000F253F" w:rsidRPr="00D23089" w:rsidRDefault="000F253F" w:rsidP="00E91ACA">
            <w:pPr>
              <w:jc w:val="center"/>
              <w:rPr>
                <w:rFonts w:asciiTheme="majorHAnsi" w:hAnsiTheme="majorHAnsi"/>
                <w:b/>
                <w:sz w:val="20"/>
                <w:szCs w:val="20"/>
              </w:rPr>
            </w:pPr>
            <w:r w:rsidRPr="00D23089">
              <w:rPr>
                <w:rFonts w:asciiTheme="majorHAnsi" w:hAnsiTheme="majorHAnsi"/>
                <w:b/>
                <w:sz w:val="20"/>
                <w:szCs w:val="20"/>
              </w:rPr>
              <w:t>Average Hourly Rate</w:t>
            </w:r>
          </w:p>
        </w:tc>
        <w:tc>
          <w:tcPr>
            <w:tcW w:w="1876" w:type="dxa"/>
            <w:tcBorders>
              <w:bottom w:val="single" w:sz="12" w:space="0" w:color="auto"/>
            </w:tcBorders>
            <w:shd w:val="clear" w:color="auto" w:fill="D9D9D9" w:themeFill="background1" w:themeFillShade="D9"/>
            <w:vAlign w:val="center"/>
          </w:tcPr>
          <w:p w14:paraId="1F0ABE14" w14:textId="77777777" w:rsidR="000F253F" w:rsidRPr="00D23089" w:rsidRDefault="000F253F" w:rsidP="00E91ACA">
            <w:pPr>
              <w:jc w:val="center"/>
              <w:rPr>
                <w:rFonts w:asciiTheme="majorHAnsi" w:hAnsiTheme="majorHAnsi"/>
                <w:b/>
                <w:sz w:val="20"/>
                <w:szCs w:val="20"/>
              </w:rPr>
            </w:pPr>
            <w:r w:rsidRPr="00D23089">
              <w:rPr>
                <w:rFonts w:asciiTheme="majorHAnsi" w:hAnsiTheme="majorHAnsi"/>
                <w:b/>
                <w:sz w:val="20"/>
                <w:szCs w:val="20"/>
              </w:rPr>
              <w:t>Average Cost</w:t>
            </w:r>
          </w:p>
        </w:tc>
      </w:tr>
      <w:tr w:rsidR="000F253F" w:rsidRPr="00D23089" w14:paraId="1F0ABE1A" w14:textId="77777777" w:rsidTr="00E91ACA">
        <w:tc>
          <w:tcPr>
            <w:tcW w:w="4080" w:type="dxa"/>
            <w:tcBorders>
              <w:top w:val="single" w:sz="12" w:space="0" w:color="auto"/>
            </w:tcBorders>
          </w:tcPr>
          <w:p w14:paraId="1F0ABE16" w14:textId="558D367E" w:rsidR="000F253F" w:rsidRPr="00D23089" w:rsidRDefault="00CB1FD6" w:rsidP="00CB1FD6">
            <w:pPr>
              <w:jc w:val="both"/>
              <w:rPr>
                <w:rFonts w:asciiTheme="majorHAnsi" w:hAnsiTheme="majorHAnsi"/>
                <w:sz w:val="20"/>
                <w:szCs w:val="20"/>
              </w:rPr>
            </w:pPr>
            <w:r>
              <w:rPr>
                <w:rFonts w:asciiTheme="majorHAnsi" w:hAnsiTheme="majorHAnsi"/>
                <w:sz w:val="20"/>
                <w:szCs w:val="20"/>
              </w:rPr>
              <w:t>EHSB</w:t>
            </w:r>
            <w:r w:rsidR="000F253F" w:rsidRPr="00D23089">
              <w:rPr>
                <w:rFonts w:asciiTheme="majorHAnsi" w:hAnsiTheme="majorHAnsi"/>
                <w:sz w:val="20"/>
                <w:szCs w:val="20"/>
              </w:rPr>
              <w:t xml:space="preserve"> Team Lead</w:t>
            </w:r>
            <w:r>
              <w:rPr>
                <w:rFonts w:asciiTheme="majorHAnsi" w:hAnsiTheme="majorHAnsi"/>
                <w:sz w:val="20"/>
                <w:szCs w:val="20"/>
              </w:rPr>
              <w:t xml:space="preserve"> (</w:t>
            </w:r>
            <w:r w:rsidRPr="00D23089">
              <w:rPr>
                <w:rFonts w:asciiTheme="majorHAnsi" w:hAnsiTheme="majorHAnsi"/>
                <w:sz w:val="20"/>
                <w:szCs w:val="20"/>
              </w:rPr>
              <w:t>GS-13</w:t>
            </w:r>
            <w:r>
              <w:rPr>
                <w:rFonts w:asciiTheme="majorHAnsi" w:hAnsiTheme="majorHAnsi"/>
                <w:sz w:val="20"/>
                <w:szCs w:val="20"/>
              </w:rPr>
              <w:t>)</w:t>
            </w:r>
          </w:p>
        </w:tc>
        <w:tc>
          <w:tcPr>
            <w:tcW w:w="1940" w:type="dxa"/>
            <w:tcBorders>
              <w:top w:val="single" w:sz="12" w:space="0" w:color="auto"/>
            </w:tcBorders>
          </w:tcPr>
          <w:p w14:paraId="1F0ABE17" w14:textId="77777777" w:rsidR="000F253F" w:rsidRPr="00D23089" w:rsidRDefault="004D2DCD" w:rsidP="00E91ACA">
            <w:pPr>
              <w:jc w:val="center"/>
              <w:rPr>
                <w:rFonts w:asciiTheme="majorHAnsi" w:hAnsiTheme="majorHAnsi"/>
                <w:sz w:val="20"/>
                <w:szCs w:val="20"/>
              </w:rPr>
            </w:pPr>
            <w:r w:rsidRPr="00D23089">
              <w:rPr>
                <w:rFonts w:asciiTheme="majorHAnsi" w:hAnsiTheme="majorHAnsi"/>
                <w:sz w:val="20"/>
                <w:szCs w:val="20"/>
              </w:rPr>
              <w:t>1</w:t>
            </w:r>
            <w:r w:rsidR="002345F9" w:rsidRPr="00D23089">
              <w:rPr>
                <w:rFonts w:asciiTheme="majorHAnsi" w:hAnsiTheme="majorHAnsi"/>
                <w:sz w:val="20"/>
                <w:szCs w:val="20"/>
              </w:rPr>
              <w:t>6</w:t>
            </w:r>
          </w:p>
        </w:tc>
        <w:tc>
          <w:tcPr>
            <w:tcW w:w="1680" w:type="dxa"/>
            <w:gridSpan w:val="3"/>
            <w:tcBorders>
              <w:top w:val="single" w:sz="12" w:space="0" w:color="auto"/>
            </w:tcBorders>
          </w:tcPr>
          <w:p w14:paraId="1F0ABE18" w14:textId="77777777" w:rsidR="000F253F" w:rsidRPr="00D23089" w:rsidRDefault="00434E80" w:rsidP="00E91ACA">
            <w:pPr>
              <w:jc w:val="center"/>
              <w:rPr>
                <w:rFonts w:asciiTheme="majorHAnsi" w:hAnsiTheme="majorHAnsi"/>
                <w:sz w:val="20"/>
                <w:szCs w:val="20"/>
              </w:rPr>
            </w:pPr>
            <w:r w:rsidRPr="00D23089">
              <w:rPr>
                <w:rFonts w:asciiTheme="majorHAnsi" w:hAnsiTheme="majorHAnsi"/>
                <w:sz w:val="20"/>
                <w:szCs w:val="20"/>
              </w:rPr>
              <w:t>$53.11</w:t>
            </w:r>
          </w:p>
        </w:tc>
        <w:tc>
          <w:tcPr>
            <w:tcW w:w="1876" w:type="dxa"/>
            <w:tcBorders>
              <w:top w:val="single" w:sz="12" w:space="0" w:color="auto"/>
            </w:tcBorders>
          </w:tcPr>
          <w:p w14:paraId="1F0ABE19" w14:textId="0AFCAB31" w:rsidR="000F253F" w:rsidRPr="00D23089" w:rsidRDefault="00434E80" w:rsidP="002027B8">
            <w:pPr>
              <w:jc w:val="right"/>
              <w:rPr>
                <w:rFonts w:asciiTheme="majorHAnsi" w:hAnsiTheme="majorHAnsi"/>
                <w:sz w:val="20"/>
                <w:szCs w:val="20"/>
              </w:rPr>
            </w:pPr>
            <w:r w:rsidRPr="00D23089">
              <w:rPr>
                <w:rFonts w:asciiTheme="majorHAnsi" w:hAnsiTheme="majorHAnsi"/>
                <w:sz w:val="20"/>
                <w:szCs w:val="20"/>
              </w:rPr>
              <w:t>$</w:t>
            </w:r>
            <w:r w:rsidR="002345F9" w:rsidRPr="00D23089">
              <w:rPr>
                <w:rFonts w:asciiTheme="majorHAnsi" w:hAnsiTheme="majorHAnsi"/>
                <w:sz w:val="20"/>
                <w:szCs w:val="20"/>
              </w:rPr>
              <w:t>849</w:t>
            </w:r>
            <w:r w:rsidRPr="00D23089">
              <w:rPr>
                <w:rFonts w:asciiTheme="majorHAnsi" w:hAnsiTheme="majorHAnsi"/>
                <w:sz w:val="20"/>
                <w:szCs w:val="20"/>
              </w:rPr>
              <w:t>.</w:t>
            </w:r>
            <w:r w:rsidR="002345F9" w:rsidRPr="00D23089">
              <w:rPr>
                <w:rFonts w:asciiTheme="majorHAnsi" w:hAnsiTheme="majorHAnsi"/>
                <w:sz w:val="20"/>
                <w:szCs w:val="20"/>
              </w:rPr>
              <w:t>7</w:t>
            </w:r>
            <w:r w:rsidRPr="00D23089">
              <w:rPr>
                <w:rFonts w:asciiTheme="majorHAnsi" w:hAnsiTheme="majorHAnsi"/>
                <w:sz w:val="20"/>
                <w:szCs w:val="20"/>
              </w:rPr>
              <w:t>6</w:t>
            </w:r>
          </w:p>
        </w:tc>
      </w:tr>
      <w:tr w:rsidR="000F253F" w:rsidRPr="00D23089" w14:paraId="1F0ABE1F" w14:textId="77777777" w:rsidTr="00E91ACA">
        <w:tc>
          <w:tcPr>
            <w:tcW w:w="4080" w:type="dxa"/>
          </w:tcPr>
          <w:p w14:paraId="1F0ABE1B" w14:textId="61BA46BB" w:rsidR="000F253F" w:rsidRPr="00D23089" w:rsidRDefault="00CB1FD6" w:rsidP="00E91ACA">
            <w:pPr>
              <w:jc w:val="both"/>
              <w:rPr>
                <w:rFonts w:asciiTheme="majorHAnsi" w:hAnsiTheme="majorHAnsi"/>
                <w:sz w:val="20"/>
                <w:szCs w:val="20"/>
              </w:rPr>
            </w:pPr>
            <w:r>
              <w:rPr>
                <w:rFonts w:asciiTheme="majorHAnsi" w:hAnsiTheme="majorHAnsi"/>
                <w:sz w:val="20"/>
                <w:szCs w:val="20"/>
              </w:rPr>
              <w:t xml:space="preserve">EHSB </w:t>
            </w:r>
            <w:r w:rsidR="004D2DCD" w:rsidRPr="00D23089">
              <w:rPr>
                <w:rFonts w:asciiTheme="majorHAnsi" w:hAnsiTheme="majorHAnsi"/>
                <w:sz w:val="20"/>
                <w:szCs w:val="20"/>
              </w:rPr>
              <w:t>Epidemiologist</w:t>
            </w:r>
            <w:r>
              <w:rPr>
                <w:rFonts w:asciiTheme="majorHAnsi" w:hAnsiTheme="majorHAnsi"/>
                <w:sz w:val="20"/>
                <w:szCs w:val="20"/>
              </w:rPr>
              <w:t xml:space="preserve"> (</w:t>
            </w:r>
            <w:r w:rsidRPr="00D23089">
              <w:rPr>
                <w:rFonts w:asciiTheme="majorHAnsi" w:hAnsiTheme="majorHAnsi"/>
                <w:sz w:val="20"/>
                <w:szCs w:val="20"/>
              </w:rPr>
              <w:t>GS-13</w:t>
            </w:r>
            <w:r>
              <w:rPr>
                <w:rFonts w:asciiTheme="majorHAnsi" w:hAnsiTheme="majorHAnsi"/>
                <w:sz w:val="20"/>
                <w:szCs w:val="20"/>
              </w:rPr>
              <w:t>)</w:t>
            </w:r>
          </w:p>
        </w:tc>
        <w:tc>
          <w:tcPr>
            <w:tcW w:w="1940" w:type="dxa"/>
          </w:tcPr>
          <w:p w14:paraId="1F0ABE1C" w14:textId="77777777" w:rsidR="000F253F" w:rsidRPr="00D23089" w:rsidRDefault="002345F9" w:rsidP="00E91ACA">
            <w:pPr>
              <w:jc w:val="center"/>
              <w:rPr>
                <w:rFonts w:asciiTheme="majorHAnsi" w:hAnsiTheme="majorHAnsi"/>
                <w:sz w:val="20"/>
                <w:szCs w:val="20"/>
              </w:rPr>
            </w:pPr>
            <w:r w:rsidRPr="00D23089">
              <w:rPr>
                <w:rFonts w:asciiTheme="majorHAnsi" w:hAnsiTheme="majorHAnsi"/>
                <w:sz w:val="20"/>
                <w:szCs w:val="20"/>
              </w:rPr>
              <w:t>48</w:t>
            </w:r>
          </w:p>
        </w:tc>
        <w:tc>
          <w:tcPr>
            <w:tcW w:w="1680" w:type="dxa"/>
            <w:gridSpan w:val="3"/>
          </w:tcPr>
          <w:p w14:paraId="1F0ABE1D" w14:textId="77777777" w:rsidR="000F253F" w:rsidRPr="00D23089" w:rsidRDefault="002520F9" w:rsidP="00E91ACA">
            <w:pPr>
              <w:jc w:val="center"/>
              <w:rPr>
                <w:rFonts w:asciiTheme="majorHAnsi" w:hAnsiTheme="majorHAnsi"/>
                <w:sz w:val="20"/>
                <w:szCs w:val="20"/>
              </w:rPr>
            </w:pPr>
            <w:r w:rsidRPr="00D23089">
              <w:rPr>
                <w:rFonts w:asciiTheme="majorHAnsi" w:hAnsiTheme="majorHAnsi"/>
                <w:sz w:val="20"/>
                <w:szCs w:val="20"/>
              </w:rPr>
              <w:t>$</w:t>
            </w:r>
            <w:r w:rsidR="00434E80" w:rsidRPr="00D23089">
              <w:rPr>
                <w:rFonts w:asciiTheme="majorHAnsi" w:hAnsiTheme="majorHAnsi"/>
                <w:sz w:val="20"/>
                <w:szCs w:val="20"/>
              </w:rPr>
              <w:t>50.32</w:t>
            </w:r>
          </w:p>
        </w:tc>
        <w:tc>
          <w:tcPr>
            <w:tcW w:w="1876" w:type="dxa"/>
          </w:tcPr>
          <w:p w14:paraId="1F0ABE1E" w14:textId="77777777" w:rsidR="000F253F" w:rsidRPr="00D23089" w:rsidRDefault="002345F9" w:rsidP="002027B8">
            <w:pPr>
              <w:jc w:val="right"/>
              <w:rPr>
                <w:rFonts w:asciiTheme="majorHAnsi" w:hAnsiTheme="majorHAnsi"/>
                <w:sz w:val="20"/>
                <w:szCs w:val="20"/>
              </w:rPr>
            </w:pPr>
            <w:r w:rsidRPr="00D23089">
              <w:rPr>
                <w:rFonts w:asciiTheme="majorHAnsi" w:hAnsiTheme="majorHAnsi"/>
                <w:sz w:val="20"/>
                <w:szCs w:val="20"/>
              </w:rPr>
              <w:t>$2,415.36</w:t>
            </w:r>
          </w:p>
        </w:tc>
      </w:tr>
      <w:tr w:rsidR="000F253F" w:rsidRPr="00D23089" w14:paraId="1F0ABE24" w14:textId="77777777" w:rsidTr="002520F9">
        <w:trPr>
          <w:trHeight w:val="70"/>
        </w:trPr>
        <w:tc>
          <w:tcPr>
            <w:tcW w:w="4080" w:type="dxa"/>
          </w:tcPr>
          <w:p w14:paraId="1F0ABE20" w14:textId="37E8B679" w:rsidR="000F253F" w:rsidRPr="00D23089" w:rsidRDefault="001E63FB" w:rsidP="00E91ACA">
            <w:pPr>
              <w:jc w:val="both"/>
              <w:rPr>
                <w:rFonts w:asciiTheme="majorHAnsi" w:hAnsiTheme="majorHAnsi"/>
                <w:sz w:val="20"/>
                <w:szCs w:val="20"/>
              </w:rPr>
            </w:pPr>
            <w:r w:rsidRPr="00D23089">
              <w:rPr>
                <w:rFonts w:asciiTheme="majorHAnsi" w:hAnsiTheme="majorHAnsi"/>
              </w:rPr>
              <w:t>ChangeLab Solutions</w:t>
            </w:r>
            <w:r w:rsidR="000F253F" w:rsidRPr="00D23089">
              <w:rPr>
                <w:rFonts w:asciiTheme="majorHAnsi" w:hAnsiTheme="majorHAnsi"/>
                <w:sz w:val="20"/>
                <w:szCs w:val="20"/>
              </w:rPr>
              <w:t xml:space="preserve"> Contract</w:t>
            </w:r>
          </w:p>
        </w:tc>
        <w:tc>
          <w:tcPr>
            <w:tcW w:w="1940" w:type="dxa"/>
          </w:tcPr>
          <w:p w14:paraId="1F0ABE21" w14:textId="77777777" w:rsidR="000F253F" w:rsidRPr="00D23089" w:rsidRDefault="000F253F" w:rsidP="00E91ACA">
            <w:pPr>
              <w:jc w:val="center"/>
              <w:rPr>
                <w:rFonts w:asciiTheme="majorHAnsi" w:hAnsiTheme="majorHAnsi"/>
                <w:sz w:val="20"/>
                <w:szCs w:val="20"/>
              </w:rPr>
            </w:pPr>
            <w:r w:rsidRPr="00D23089">
              <w:rPr>
                <w:rFonts w:asciiTheme="majorHAnsi" w:hAnsiTheme="majorHAnsi"/>
                <w:sz w:val="20"/>
                <w:szCs w:val="20"/>
              </w:rPr>
              <w:t>NA</w:t>
            </w:r>
          </w:p>
        </w:tc>
        <w:tc>
          <w:tcPr>
            <w:tcW w:w="1680" w:type="dxa"/>
            <w:gridSpan w:val="3"/>
          </w:tcPr>
          <w:p w14:paraId="1F0ABE22" w14:textId="77777777" w:rsidR="000F253F" w:rsidRPr="00D23089" w:rsidRDefault="000F253F" w:rsidP="00E91ACA">
            <w:pPr>
              <w:jc w:val="center"/>
              <w:rPr>
                <w:rFonts w:asciiTheme="majorHAnsi" w:hAnsiTheme="majorHAnsi"/>
                <w:sz w:val="20"/>
                <w:szCs w:val="20"/>
              </w:rPr>
            </w:pPr>
            <w:r w:rsidRPr="00D23089">
              <w:rPr>
                <w:rFonts w:asciiTheme="majorHAnsi" w:hAnsiTheme="majorHAnsi"/>
                <w:sz w:val="20"/>
                <w:szCs w:val="20"/>
              </w:rPr>
              <w:t>NA</w:t>
            </w:r>
          </w:p>
        </w:tc>
        <w:tc>
          <w:tcPr>
            <w:tcW w:w="1876" w:type="dxa"/>
          </w:tcPr>
          <w:p w14:paraId="1F0ABE23" w14:textId="77777777" w:rsidR="000F253F" w:rsidRPr="00D23089" w:rsidRDefault="000F253F" w:rsidP="002027B8">
            <w:pPr>
              <w:jc w:val="right"/>
              <w:rPr>
                <w:rFonts w:asciiTheme="majorHAnsi" w:hAnsiTheme="majorHAnsi"/>
                <w:sz w:val="20"/>
                <w:szCs w:val="20"/>
              </w:rPr>
            </w:pPr>
            <w:r w:rsidRPr="00D23089">
              <w:rPr>
                <w:rFonts w:asciiTheme="majorHAnsi" w:hAnsiTheme="majorHAnsi"/>
                <w:sz w:val="20"/>
                <w:szCs w:val="20"/>
              </w:rPr>
              <w:t>$</w:t>
            </w:r>
            <w:r w:rsidR="002345F9" w:rsidRPr="00D23089">
              <w:rPr>
                <w:rFonts w:asciiTheme="majorHAnsi" w:hAnsiTheme="majorHAnsi"/>
                <w:sz w:val="20"/>
                <w:szCs w:val="20"/>
              </w:rPr>
              <w:t>47</w:t>
            </w:r>
            <w:r w:rsidRPr="00D23089">
              <w:rPr>
                <w:rFonts w:asciiTheme="majorHAnsi" w:hAnsiTheme="majorHAnsi"/>
                <w:sz w:val="20"/>
                <w:szCs w:val="20"/>
              </w:rPr>
              <w:t>,</w:t>
            </w:r>
            <w:r w:rsidR="002345F9" w:rsidRPr="00D23089">
              <w:rPr>
                <w:rFonts w:asciiTheme="majorHAnsi" w:hAnsiTheme="majorHAnsi"/>
                <w:sz w:val="20"/>
                <w:szCs w:val="20"/>
              </w:rPr>
              <w:t>144.00</w:t>
            </w:r>
          </w:p>
        </w:tc>
      </w:tr>
      <w:tr w:rsidR="000F253F" w:rsidRPr="00D23089" w14:paraId="1F0ABE29" w14:textId="77777777" w:rsidTr="00E91ACA">
        <w:trPr>
          <w:trHeight w:val="332"/>
        </w:trPr>
        <w:tc>
          <w:tcPr>
            <w:tcW w:w="7228" w:type="dxa"/>
            <w:gridSpan w:val="3"/>
            <w:tcBorders>
              <w:right w:val="nil"/>
            </w:tcBorders>
            <w:vAlign w:val="center"/>
          </w:tcPr>
          <w:p w14:paraId="1F0ABE25" w14:textId="77777777" w:rsidR="000F253F" w:rsidRPr="00D23089" w:rsidRDefault="000F253F" w:rsidP="00E91ACA">
            <w:pPr>
              <w:jc w:val="right"/>
              <w:rPr>
                <w:rFonts w:asciiTheme="majorHAnsi" w:hAnsiTheme="majorHAnsi"/>
                <w:b/>
                <w:sz w:val="20"/>
                <w:szCs w:val="20"/>
              </w:rPr>
            </w:pPr>
            <w:r w:rsidRPr="00D23089">
              <w:rPr>
                <w:rFonts w:asciiTheme="majorHAnsi" w:hAnsiTheme="majorHAnsi"/>
                <w:b/>
                <w:sz w:val="20"/>
                <w:szCs w:val="20"/>
              </w:rPr>
              <w:t>Estimated Total Cost of Information Collection</w:t>
            </w:r>
          </w:p>
        </w:tc>
        <w:tc>
          <w:tcPr>
            <w:tcW w:w="236" w:type="dxa"/>
            <w:tcBorders>
              <w:left w:val="nil"/>
              <w:right w:val="nil"/>
            </w:tcBorders>
            <w:vAlign w:val="center"/>
          </w:tcPr>
          <w:p w14:paraId="1F0ABE26" w14:textId="77777777" w:rsidR="000F253F" w:rsidRPr="00D23089" w:rsidRDefault="000F253F" w:rsidP="00E91ACA">
            <w:pPr>
              <w:rPr>
                <w:rFonts w:asciiTheme="majorHAnsi" w:hAnsiTheme="majorHAnsi"/>
                <w:b/>
                <w:sz w:val="20"/>
                <w:szCs w:val="20"/>
              </w:rPr>
            </w:pPr>
          </w:p>
        </w:tc>
        <w:tc>
          <w:tcPr>
            <w:tcW w:w="236" w:type="dxa"/>
            <w:tcBorders>
              <w:left w:val="nil"/>
            </w:tcBorders>
            <w:vAlign w:val="center"/>
          </w:tcPr>
          <w:p w14:paraId="1F0ABE27" w14:textId="77777777" w:rsidR="000F253F" w:rsidRPr="00D23089" w:rsidRDefault="000F253F" w:rsidP="00E91ACA">
            <w:pPr>
              <w:rPr>
                <w:rFonts w:asciiTheme="majorHAnsi" w:hAnsiTheme="majorHAnsi"/>
                <w:b/>
                <w:sz w:val="20"/>
                <w:szCs w:val="20"/>
              </w:rPr>
            </w:pPr>
          </w:p>
        </w:tc>
        <w:tc>
          <w:tcPr>
            <w:tcW w:w="1876" w:type="dxa"/>
            <w:vAlign w:val="center"/>
          </w:tcPr>
          <w:p w14:paraId="1F0ABE28" w14:textId="77777777" w:rsidR="000F253F" w:rsidRPr="00D23089" w:rsidRDefault="002345F9" w:rsidP="002027B8">
            <w:pPr>
              <w:jc w:val="right"/>
              <w:rPr>
                <w:rFonts w:asciiTheme="majorHAnsi" w:hAnsiTheme="majorHAnsi"/>
                <w:b/>
                <w:sz w:val="20"/>
                <w:szCs w:val="20"/>
              </w:rPr>
            </w:pPr>
            <w:r w:rsidRPr="00D23089">
              <w:rPr>
                <w:rFonts w:asciiTheme="majorHAnsi" w:hAnsiTheme="majorHAnsi"/>
                <w:b/>
                <w:sz w:val="20"/>
                <w:szCs w:val="20"/>
              </w:rPr>
              <w:t>$50,409.12</w:t>
            </w:r>
          </w:p>
        </w:tc>
      </w:tr>
    </w:tbl>
    <w:p w14:paraId="5DBA4F69" w14:textId="77777777" w:rsidR="00CE097C" w:rsidRDefault="00CE097C" w:rsidP="00EB0D19">
      <w:pPr>
        <w:rPr>
          <w:rFonts w:asciiTheme="majorHAnsi" w:hAnsiTheme="majorHAnsi"/>
          <w:b/>
        </w:rPr>
      </w:pPr>
    </w:p>
    <w:p w14:paraId="3987DB71" w14:textId="77777777" w:rsidR="00E41C2E" w:rsidRDefault="00E41C2E" w:rsidP="00EB0D19">
      <w:pPr>
        <w:rPr>
          <w:rFonts w:asciiTheme="majorHAnsi" w:hAnsiTheme="majorHAnsi"/>
          <w:b/>
        </w:rPr>
      </w:pPr>
    </w:p>
    <w:p w14:paraId="177EC33A" w14:textId="77777777" w:rsidR="00750BE6" w:rsidRPr="00D23089" w:rsidRDefault="00750BE6" w:rsidP="00EB0D19">
      <w:pPr>
        <w:rPr>
          <w:rFonts w:asciiTheme="majorHAnsi" w:hAnsiTheme="majorHAnsi"/>
          <w:b/>
        </w:rPr>
      </w:pPr>
    </w:p>
    <w:p w14:paraId="1F0ABE2B" w14:textId="37237CBF" w:rsidR="00EF736D" w:rsidRPr="00BE5B0A" w:rsidRDefault="00BE5B0A" w:rsidP="00BE5B0A">
      <w:pPr>
        <w:rPr>
          <w:rFonts w:asciiTheme="majorHAnsi" w:hAnsiTheme="majorHAnsi"/>
          <w:b/>
        </w:rPr>
      </w:pPr>
      <w:r>
        <w:rPr>
          <w:rFonts w:asciiTheme="majorHAnsi" w:hAnsiTheme="majorHAnsi"/>
          <w:b/>
        </w:rPr>
        <w:t xml:space="preserve">15. </w:t>
      </w:r>
      <w:r w:rsidR="00EF736D" w:rsidRPr="00BE5B0A">
        <w:rPr>
          <w:rFonts w:asciiTheme="majorHAnsi" w:hAnsiTheme="majorHAnsi"/>
          <w:b/>
        </w:rPr>
        <w:t>Explanation for</w:t>
      </w:r>
      <w:r w:rsidR="002520F9" w:rsidRPr="00BE5B0A">
        <w:rPr>
          <w:rFonts w:asciiTheme="majorHAnsi" w:hAnsiTheme="majorHAnsi"/>
          <w:b/>
        </w:rPr>
        <w:t xml:space="preserve"> Program Changes or Adjustment</w:t>
      </w:r>
    </w:p>
    <w:p w14:paraId="1F0ABE2D" w14:textId="77A53F1F" w:rsidR="00EF736D" w:rsidRDefault="00EF736D" w:rsidP="00EF736D">
      <w:pPr>
        <w:rPr>
          <w:rFonts w:asciiTheme="majorHAnsi" w:hAnsiTheme="majorHAnsi"/>
        </w:rPr>
      </w:pPr>
      <w:r w:rsidRPr="00D23089">
        <w:rPr>
          <w:rFonts w:asciiTheme="majorHAnsi" w:hAnsiTheme="majorHAnsi"/>
        </w:rPr>
        <w:t>This i</w:t>
      </w:r>
      <w:r w:rsidR="0090052E" w:rsidRPr="00D23089">
        <w:rPr>
          <w:rFonts w:asciiTheme="majorHAnsi" w:hAnsiTheme="majorHAnsi"/>
        </w:rPr>
        <w:t>s a new information collection.</w:t>
      </w:r>
    </w:p>
    <w:p w14:paraId="4F855100" w14:textId="77777777" w:rsidR="00CE097C" w:rsidRPr="000C43C4" w:rsidRDefault="00CE097C" w:rsidP="00EF736D">
      <w:pPr>
        <w:rPr>
          <w:rFonts w:asciiTheme="majorHAnsi" w:hAnsiTheme="majorHAnsi"/>
          <w:b/>
          <w:sz w:val="16"/>
        </w:rPr>
      </w:pPr>
    </w:p>
    <w:p w14:paraId="1F0ABE2E" w14:textId="67756AC6" w:rsidR="00EF736D" w:rsidRPr="00BE5B0A" w:rsidRDefault="00BE5B0A" w:rsidP="00BE5B0A">
      <w:pPr>
        <w:rPr>
          <w:rFonts w:asciiTheme="majorHAnsi" w:hAnsiTheme="majorHAnsi"/>
          <w:b/>
        </w:rPr>
      </w:pPr>
      <w:r>
        <w:rPr>
          <w:rFonts w:asciiTheme="majorHAnsi" w:hAnsiTheme="majorHAnsi"/>
          <w:b/>
        </w:rPr>
        <w:t xml:space="preserve">16. </w:t>
      </w:r>
      <w:r w:rsidR="00EF736D" w:rsidRPr="00BE5B0A">
        <w:rPr>
          <w:rFonts w:asciiTheme="majorHAnsi" w:hAnsiTheme="majorHAnsi"/>
          <w:b/>
        </w:rPr>
        <w:t>Plans for Tabulation and Public</w:t>
      </w:r>
      <w:r w:rsidR="0090052E" w:rsidRPr="00BE5B0A">
        <w:rPr>
          <w:rFonts w:asciiTheme="majorHAnsi" w:hAnsiTheme="majorHAnsi"/>
          <w:b/>
        </w:rPr>
        <w:t>ation and Project Time Schedule</w:t>
      </w:r>
    </w:p>
    <w:p w14:paraId="13107FD9" w14:textId="7FE4E4CB" w:rsidR="00187D4C" w:rsidRPr="00D23089" w:rsidRDefault="0014665F" w:rsidP="00EF736D">
      <w:pPr>
        <w:rPr>
          <w:rFonts w:asciiTheme="majorHAnsi" w:hAnsiTheme="majorHAnsi"/>
        </w:rPr>
      </w:pPr>
      <w:r w:rsidRPr="00CE68B4">
        <w:rPr>
          <w:rFonts w:asciiTheme="majorHAnsi" w:hAnsiTheme="majorHAnsi"/>
        </w:rPr>
        <w:t xml:space="preserve">Data from the participant responses will be collected and stored in a </w:t>
      </w:r>
      <w:r>
        <w:rPr>
          <w:rFonts w:asciiTheme="majorHAnsi" w:hAnsiTheme="majorHAnsi"/>
        </w:rPr>
        <w:t xml:space="preserve">secure </w:t>
      </w:r>
      <w:r w:rsidRPr="00CE68B4">
        <w:rPr>
          <w:rFonts w:asciiTheme="majorHAnsi" w:hAnsiTheme="majorHAnsi"/>
        </w:rPr>
        <w:t xml:space="preserve">database maintained by CLS. </w:t>
      </w:r>
      <w:r>
        <w:rPr>
          <w:rFonts w:asciiTheme="majorHAnsi" w:hAnsiTheme="majorHAnsi"/>
        </w:rPr>
        <w:t xml:space="preserve"> </w:t>
      </w:r>
      <w:r w:rsidR="00EF736D" w:rsidRPr="00D23089">
        <w:rPr>
          <w:rFonts w:asciiTheme="majorHAnsi" w:hAnsiTheme="majorHAnsi"/>
        </w:rPr>
        <w:t>Upon completion of data collection and analysis, C</w:t>
      </w:r>
      <w:r w:rsidR="00D63039" w:rsidRPr="00D23089">
        <w:rPr>
          <w:rFonts w:asciiTheme="majorHAnsi" w:hAnsiTheme="majorHAnsi"/>
        </w:rPr>
        <w:t>L</w:t>
      </w:r>
      <w:r w:rsidR="00EF736D" w:rsidRPr="00D23089">
        <w:rPr>
          <w:rFonts w:asciiTheme="majorHAnsi" w:hAnsiTheme="majorHAnsi"/>
        </w:rPr>
        <w:t xml:space="preserve">S will share the de-identified summary data </w:t>
      </w:r>
      <w:r w:rsidR="00AD11C1">
        <w:rPr>
          <w:rFonts w:asciiTheme="majorHAnsi" w:hAnsiTheme="majorHAnsi"/>
        </w:rPr>
        <w:t>(</w:t>
      </w:r>
      <w:r w:rsidR="00EF736D" w:rsidRPr="00D23089">
        <w:rPr>
          <w:rFonts w:asciiTheme="majorHAnsi" w:hAnsiTheme="majorHAnsi"/>
        </w:rPr>
        <w:t>in a Microsoft Excel file</w:t>
      </w:r>
      <w:r w:rsidR="00AD11C1">
        <w:rPr>
          <w:rFonts w:asciiTheme="majorHAnsi" w:hAnsiTheme="majorHAnsi"/>
        </w:rPr>
        <w:t>)</w:t>
      </w:r>
      <w:r w:rsidR="00EF736D" w:rsidRPr="00D23089">
        <w:rPr>
          <w:rFonts w:asciiTheme="majorHAnsi" w:hAnsiTheme="majorHAnsi"/>
        </w:rPr>
        <w:t xml:space="preserve"> </w:t>
      </w:r>
      <w:r w:rsidR="00993E8C">
        <w:rPr>
          <w:rFonts w:asciiTheme="majorHAnsi" w:hAnsiTheme="majorHAnsi"/>
        </w:rPr>
        <w:t xml:space="preserve">and </w:t>
      </w:r>
      <w:r w:rsidR="00EF736D" w:rsidRPr="00D23089">
        <w:rPr>
          <w:rFonts w:asciiTheme="majorHAnsi" w:hAnsiTheme="majorHAnsi"/>
        </w:rPr>
        <w:t>a report that summarizes the results</w:t>
      </w:r>
      <w:r w:rsidR="00993E8C">
        <w:rPr>
          <w:rFonts w:asciiTheme="majorHAnsi" w:hAnsiTheme="majorHAnsi"/>
        </w:rPr>
        <w:t xml:space="preserve"> with </w:t>
      </w:r>
      <w:r w:rsidR="00714686">
        <w:rPr>
          <w:rFonts w:asciiTheme="majorHAnsi" w:hAnsiTheme="majorHAnsi"/>
        </w:rPr>
        <w:t>E</w:t>
      </w:r>
      <w:r w:rsidR="00993E8C">
        <w:rPr>
          <w:rFonts w:asciiTheme="majorHAnsi" w:hAnsiTheme="majorHAnsi"/>
        </w:rPr>
        <w:t>HSB for review</w:t>
      </w:r>
      <w:r w:rsidR="00EF736D" w:rsidRPr="00D23089">
        <w:rPr>
          <w:rFonts w:asciiTheme="majorHAnsi" w:hAnsiTheme="majorHAnsi"/>
        </w:rPr>
        <w:t>.</w:t>
      </w:r>
      <w:r w:rsidR="00511A26">
        <w:rPr>
          <w:rFonts w:asciiTheme="majorHAnsi" w:hAnsiTheme="majorHAnsi"/>
        </w:rPr>
        <w:t xml:space="preserve"> </w:t>
      </w:r>
      <w:r w:rsidR="00F257B9">
        <w:rPr>
          <w:rFonts w:asciiTheme="majorHAnsi" w:hAnsiTheme="majorHAnsi"/>
        </w:rPr>
        <w:t>CLS</w:t>
      </w:r>
      <w:r w:rsidR="00511A26">
        <w:rPr>
          <w:rFonts w:asciiTheme="majorHAnsi" w:hAnsiTheme="majorHAnsi"/>
        </w:rPr>
        <w:t>,</w:t>
      </w:r>
      <w:r w:rsidR="00993E8C">
        <w:rPr>
          <w:rFonts w:asciiTheme="majorHAnsi" w:hAnsiTheme="majorHAnsi"/>
        </w:rPr>
        <w:t xml:space="preserve"> </w:t>
      </w:r>
      <w:r w:rsidR="00174F67">
        <w:rPr>
          <w:rFonts w:asciiTheme="majorHAnsi" w:hAnsiTheme="majorHAnsi"/>
        </w:rPr>
        <w:t>in close collaboration with EHSB</w:t>
      </w:r>
      <w:r w:rsidR="00511A26">
        <w:rPr>
          <w:rFonts w:asciiTheme="majorHAnsi" w:hAnsiTheme="majorHAnsi"/>
        </w:rPr>
        <w:t>,</w:t>
      </w:r>
      <w:r w:rsidR="00174F67">
        <w:rPr>
          <w:rFonts w:asciiTheme="majorHAnsi" w:hAnsiTheme="majorHAnsi"/>
        </w:rPr>
        <w:t xml:space="preserve"> </w:t>
      </w:r>
      <w:r w:rsidR="00993E8C">
        <w:rPr>
          <w:rFonts w:asciiTheme="majorHAnsi" w:hAnsiTheme="majorHAnsi"/>
        </w:rPr>
        <w:t>will then</w:t>
      </w:r>
      <w:r w:rsidR="00174F67">
        <w:rPr>
          <w:rFonts w:asciiTheme="majorHAnsi" w:hAnsiTheme="majorHAnsi"/>
        </w:rPr>
        <w:t xml:space="preserve"> </w:t>
      </w:r>
      <w:r w:rsidR="00174F67" w:rsidRPr="00174F67">
        <w:rPr>
          <w:rFonts w:asciiTheme="majorHAnsi" w:hAnsiTheme="majorHAnsi"/>
        </w:rPr>
        <w:t xml:space="preserve">organize </w:t>
      </w:r>
      <w:r w:rsidR="00511A26">
        <w:rPr>
          <w:rFonts w:asciiTheme="majorHAnsi" w:hAnsiTheme="majorHAnsi"/>
        </w:rPr>
        <w:t xml:space="preserve">the </w:t>
      </w:r>
      <w:r w:rsidR="00174F67" w:rsidRPr="00174F67">
        <w:rPr>
          <w:rFonts w:asciiTheme="majorHAnsi" w:hAnsiTheme="majorHAnsi"/>
        </w:rPr>
        <w:t>information</w:t>
      </w:r>
      <w:r w:rsidR="00511A26">
        <w:rPr>
          <w:rFonts w:asciiTheme="majorHAnsi" w:hAnsiTheme="majorHAnsi"/>
        </w:rPr>
        <w:t xml:space="preserve"> collected</w:t>
      </w:r>
      <w:r w:rsidR="00174F67" w:rsidRPr="00174F67">
        <w:rPr>
          <w:rFonts w:asciiTheme="majorHAnsi" w:hAnsiTheme="majorHAnsi"/>
        </w:rPr>
        <w:t xml:space="preserve"> into products that </w:t>
      </w:r>
      <w:r w:rsidR="00174F67" w:rsidRPr="00174F67">
        <w:rPr>
          <w:rFonts w:asciiTheme="majorHAnsi" w:hAnsiTheme="majorHAnsi"/>
        </w:rPr>
        <w:lastRenderedPageBreak/>
        <w:t xml:space="preserve">will describe the policy work </w:t>
      </w:r>
      <w:r w:rsidR="00511A26">
        <w:rPr>
          <w:rFonts w:asciiTheme="majorHAnsi" w:hAnsiTheme="majorHAnsi"/>
        </w:rPr>
        <w:t xml:space="preserve">including </w:t>
      </w:r>
      <w:r w:rsidR="00174F67" w:rsidRPr="00174F67">
        <w:rPr>
          <w:rFonts w:asciiTheme="majorHAnsi" w:hAnsiTheme="majorHAnsi"/>
        </w:rPr>
        <w:t xml:space="preserve">lessons learned, best practices, key activities, accomplishments and recommendations. </w:t>
      </w:r>
      <w:r w:rsidR="00174F67" w:rsidRPr="00565454">
        <w:rPr>
          <w:rFonts w:asciiTheme="majorHAnsi" w:hAnsiTheme="majorHAnsi"/>
        </w:rPr>
        <w:t>These products will</w:t>
      </w:r>
      <w:r w:rsidR="00B97F90" w:rsidRPr="00565454">
        <w:rPr>
          <w:rFonts w:asciiTheme="majorHAnsi" w:hAnsiTheme="majorHAnsi"/>
        </w:rPr>
        <w:t xml:space="preserve"> then</w:t>
      </w:r>
      <w:r w:rsidR="00174F67" w:rsidRPr="00565454">
        <w:rPr>
          <w:rFonts w:asciiTheme="majorHAnsi" w:hAnsiTheme="majorHAnsi"/>
        </w:rPr>
        <w:t xml:space="preserve"> be shared with </w:t>
      </w:r>
      <w:r w:rsidR="00C34A04" w:rsidRPr="00565454">
        <w:rPr>
          <w:rFonts w:asciiTheme="majorHAnsi" w:hAnsiTheme="majorHAnsi"/>
        </w:rPr>
        <w:t xml:space="preserve">health departments that </w:t>
      </w:r>
      <w:r w:rsidR="00511A26" w:rsidRPr="00565454">
        <w:rPr>
          <w:rFonts w:asciiTheme="majorHAnsi" w:hAnsiTheme="majorHAnsi"/>
        </w:rPr>
        <w:t>participated in the information collection</w:t>
      </w:r>
      <w:r w:rsidR="00174F67" w:rsidRPr="00565454">
        <w:rPr>
          <w:rFonts w:asciiTheme="majorHAnsi" w:hAnsiTheme="majorHAnsi"/>
        </w:rPr>
        <w:t xml:space="preserve">. </w:t>
      </w:r>
      <w:r w:rsidR="00174F67" w:rsidRPr="007F55FF">
        <w:rPr>
          <w:rFonts w:asciiTheme="majorHAnsi" w:hAnsiTheme="majorHAnsi"/>
        </w:rPr>
        <w:t>The collection of state and local environmental health information on safe drinking water policy may ultimately form the basis for the development of “How-to” guides for STLT health departments</w:t>
      </w:r>
      <w:r w:rsidR="001E3B03" w:rsidRPr="007F55FF">
        <w:rPr>
          <w:rFonts w:asciiTheme="majorHAnsi" w:hAnsiTheme="majorHAnsi"/>
        </w:rPr>
        <w:t xml:space="preserve"> outlining examples of </w:t>
      </w:r>
      <w:r w:rsidR="00565454" w:rsidRPr="007F55FF">
        <w:rPr>
          <w:rFonts w:asciiTheme="majorHAnsi" w:hAnsiTheme="majorHAnsi"/>
        </w:rPr>
        <w:t>water projects</w:t>
      </w:r>
      <w:r w:rsidR="00301D69" w:rsidRPr="007F55FF">
        <w:rPr>
          <w:rFonts w:asciiTheme="majorHAnsi" w:hAnsiTheme="majorHAnsi"/>
        </w:rPr>
        <w:t>,</w:t>
      </w:r>
      <w:r w:rsidR="00565454" w:rsidRPr="007F55FF">
        <w:rPr>
          <w:rFonts w:asciiTheme="majorHAnsi" w:hAnsiTheme="majorHAnsi"/>
          <w:bCs/>
        </w:rPr>
        <w:t xml:space="preserve"> focusing on federally unregulated drinking</w:t>
      </w:r>
      <w:r w:rsidR="00565454" w:rsidRPr="007F55FF">
        <w:rPr>
          <w:rFonts w:asciiTheme="majorHAnsi" w:hAnsiTheme="majorHAnsi"/>
        </w:rPr>
        <w:t xml:space="preserve"> </w:t>
      </w:r>
      <w:r w:rsidR="00565454" w:rsidRPr="007F55FF">
        <w:rPr>
          <w:rFonts w:asciiTheme="majorHAnsi" w:hAnsiTheme="majorHAnsi"/>
          <w:bCs/>
        </w:rPr>
        <w:t>water sources</w:t>
      </w:r>
      <w:r w:rsidR="00301D69" w:rsidRPr="007F55FF">
        <w:rPr>
          <w:rFonts w:asciiTheme="majorHAnsi" w:hAnsiTheme="majorHAnsi"/>
          <w:bCs/>
        </w:rPr>
        <w:t>,</w:t>
      </w:r>
      <w:r w:rsidR="00565454" w:rsidRPr="007F55FF">
        <w:rPr>
          <w:rFonts w:asciiTheme="majorHAnsi" w:hAnsiTheme="majorHAnsi"/>
        </w:rPr>
        <w:t xml:space="preserve"> </w:t>
      </w:r>
      <w:r w:rsidR="001E3B03" w:rsidRPr="007F55FF">
        <w:rPr>
          <w:rFonts w:asciiTheme="majorHAnsi" w:hAnsiTheme="majorHAnsi"/>
        </w:rPr>
        <w:t>an</w:t>
      </w:r>
      <w:r w:rsidR="00300F31" w:rsidRPr="007F55FF">
        <w:rPr>
          <w:rFonts w:asciiTheme="majorHAnsi" w:hAnsiTheme="majorHAnsi"/>
        </w:rPr>
        <w:t>d their relationship to policy.</w:t>
      </w:r>
    </w:p>
    <w:p w14:paraId="1F0ABE30" w14:textId="77777777" w:rsidR="00A37EC8" w:rsidRDefault="00A37EC8" w:rsidP="00A37EC8">
      <w:pPr>
        <w:rPr>
          <w:rFonts w:asciiTheme="majorHAnsi" w:hAnsiTheme="majorHAnsi" w:cs="Arial"/>
        </w:rPr>
      </w:pPr>
      <w:r w:rsidRPr="00D23089">
        <w:rPr>
          <w:rFonts w:asciiTheme="majorHAnsi" w:hAnsiTheme="majorHAnsi" w:cs="Arial"/>
          <w:u w:val="single"/>
        </w:rPr>
        <w:t>Project Time Schedule</w:t>
      </w:r>
    </w:p>
    <w:p w14:paraId="1F0ABE31" w14:textId="77777777" w:rsidR="00EC0375" w:rsidRPr="00EC0375" w:rsidRDefault="00EC0375" w:rsidP="00EC0375">
      <w:pPr>
        <w:pStyle w:val="ListParagraph"/>
        <w:numPr>
          <w:ilvl w:val="0"/>
          <w:numId w:val="14"/>
        </w:numPr>
        <w:tabs>
          <w:tab w:val="right" w:leader="dot" w:pos="9360"/>
        </w:tabs>
        <w:spacing w:after="0"/>
        <w:rPr>
          <w:rFonts w:asciiTheme="majorHAnsi" w:hAnsiTheme="majorHAnsi"/>
        </w:rPr>
      </w:pPr>
      <w:r w:rsidRPr="00EC0375">
        <w:rPr>
          <w:rFonts w:asciiTheme="majorHAnsi" w:eastAsiaTheme="majorEastAsia" w:hAnsiTheme="majorHAnsi" w:cstheme="majorBidi"/>
        </w:rPr>
        <w:t xml:space="preserve">Design questionnaire </w:t>
      </w:r>
      <w:r w:rsidRPr="00EC0375">
        <w:rPr>
          <w:rFonts w:asciiTheme="majorHAnsi" w:hAnsiTheme="majorHAnsi"/>
        </w:rPr>
        <w:tab/>
      </w:r>
      <w:r w:rsidRPr="00EC0375">
        <w:rPr>
          <w:rFonts w:asciiTheme="majorHAnsi" w:eastAsiaTheme="majorEastAsia" w:hAnsiTheme="majorHAnsi" w:cstheme="majorBidi"/>
        </w:rPr>
        <w:t>(COMPLETE)</w:t>
      </w:r>
    </w:p>
    <w:p w14:paraId="1F0ABE32" w14:textId="77777777" w:rsidR="00EC0375" w:rsidRPr="00EC0375" w:rsidRDefault="00EC0375" w:rsidP="00EC0375">
      <w:pPr>
        <w:pStyle w:val="ListParagraph"/>
        <w:numPr>
          <w:ilvl w:val="0"/>
          <w:numId w:val="15"/>
        </w:numPr>
        <w:tabs>
          <w:tab w:val="right" w:leader="dot" w:pos="9360"/>
        </w:tabs>
        <w:spacing w:after="0"/>
        <w:rPr>
          <w:rFonts w:asciiTheme="majorHAnsi" w:hAnsiTheme="majorHAnsi"/>
        </w:rPr>
      </w:pPr>
      <w:r w:rsidRPr="00EC0375">
        <w:rPr>
          <w:rFonts w:asciiTheme="majorHAnsi" w:eastAsiaTheme="majorEastAsia" w:hAnsiTheme="majorHAnsi" w:cstheme="majorBidi"/>
        </w:rPr>
        <w:t xml:space="preserve">Develop protocol, instructions, and analysis plan </w:t>
      </w:r>
      <w:r w:rsidRPr="00EC0375">
        <w:rPr>
          <w:rFonts w:asciiTheme="majorHAnsi" w:hAnsiTheme="majorHAnsi"/>
        </w:rPr>
        <w:tab/>
      </w:r>
      <w:r w:rsidRPr="00EC0375">
        <w:rPr>
          <w:rFonts w:asciiTheme="majorHAnsi" w:eastAsiaTheme="majorEastAsia" w:hAnsiTheme="majorHAnsi" w:cstheme="majorBidi"/>
        </w:rPr>
        <w:t>(COMPLETE)</w:t>
      </w:r>
    </w:p>
    <w:p w14:paraId="1F0ABE33" w14:textId="77777777" w:rsidR="00EC0375" w:rsidRPr="00EC0375" w:rsidRDefault="00EC0375" w:rsidP="00EC0375">
      <w:pPr>
        <w:pStyle w:val="ListParagraph"/>
        <w:numPr>
          <w:ilvl w:val="0"/>
          <w:numId w:val="16"/>
        </w:numPr>
        <w:tabs>
          <w:tab w:val="right" w:leader="dot" w:pos="9360"/>
        </w:tabs>
        <w:spacing w:after="0"/>
        <w:ind w:left="720"/>
        <w:rPr>
          <w:rFonts w:asciiTheme="majorHAnsi" w:hAnsiTheme="majorHAnsi"/>
        </w:rPr>
      </w:pPr>
      <w:r w:rsidRPr="00EC0375">
        <w:rPr>
          <w:rFonts w:asciiTheme="majorHAnsi" w:eastAsiaTheme="majorEastAsia" w:hAnsiTheme="majorHAnsi" w:cstheme="majorBidi"/>
        </w:rPr>
        <w:t xml:space="preserve">Pilot test questionnaire </w:t>
      </w:r>
      <w:r w:rsidRPr="00EC0375">
        <w:rPr>
          <w:rFonts w:asciiTheme="majorHAnsi" w:hAnsiTheme="majorHAnsi"/>
        </w:rPr>
        <w:tab/>
      </w:r>
      <w:r w:rsidRPr="00EC0375">
        <w:rPr>
          <w:rFonts w:asciiTheme="majorHAnsi" w:eastAsiaTheme="majorEastAsia" w:hAnsiTheme="majorHAnsi" w:cstheme="majorBidi"/>
        </w:rPr>
        <w:t>(COMPLETE)</w:t>
      </w:r>
    </w:p>
    <w:p w14:paraId="1F0ABE34" w14:textId="77777777" w:rsidR="00EC0375" w:rsidRPr="00EC0375" w:rsidRDefault="00EC0375" w:rsidP="00EC0375">
      <w:pPr>
        <w:pStyle w:val="ListParagraph"/>
        <w:numPr>
          <w:ilvl w:val="0"/>
          <w:numId w:val="16"/>
        </w:numPr>
        <w:tabs>
          <w:tab w:val="right" w:leader="dot" w:pos="9360"/>
        </w:tabs>
        <w:spacing w:after="0"/>
        <w:ind w:left="720"/>
        <w:rPr>
          <w:rFonts w:asciiTheme="majorHAnsi" w:hAnsiTheme="majorHAnsi"/>
        </w:rPr>
      </w:pPr>
      <w:r w:rsidRPr="00EC0375">
        <w:rPr>
          <w:rFonts w:asciiTheme="majorHAnsi" w:eastAsiaTheme="majorEastAsia" w:hAnsiTheme="majorHAnsi" w:cstheme="majorBidi"/>
        </w:rPr>
        <w:t xml:space="preserve">Prepare OMB package </w:t>
      </w:r>
      <w:r w:rsidRPr="00EC0375">
        <w:rPr>
          <w:rFonts w:asciiTheme="majorHAnsi" w:hAnsiTheme="majorHAnsi"/>
        </w:rPr>
        <w:tab/>
      </w:r>
      <w:r w:rsidRPr="00EC0375">
        <w:rPr>
          <w:rFonts w:asciiTheme="majorHAnsi" w:eastAsiaTheme="majorEastAsia" w:hAnsiTheme="majorHAnsi" w:cstheme="majorBidi"/>
        </w:rPr>
        <w:t>(COMPLETE)</w:t>
      </w:r>
    </w:p>
    <w:p w14:paraId="1F0ABE35" w14:textId="77777777" w:rsidR="00EC0375" w:rsidRPr="00EC0375" w:rsidRDefault="00EC0375" w:rsidP="00EC0375">
      <w:pPr>
        <w:pStyle w:val="ListParagraph"/>
        <w:numPr>
          <w:ilvl w:val="0"/>
          <w:numId w:val="16"/>
        </w:numPr>
        <w:tabs>
          <w:tab w:val="right" w:leader="dot" w:pos="9360"/>
        </w:tabs>
        <w:spacing w:after="0"/>
        <w:ind w:left="720"/>
        <w:rPr>
          <w:rFonts w:asciiTheme="majorHAnsi" w:hAnsiTheme="majorHAnsi"/>
        </w:rPr>
      </w:pPr>
      <w:r w:rsidRPr="00EC0375">
        <w:rPr>
          <w:rFonts w:asciiTheme="majorHAnsi" w:eastAsiaTheme="majorEastAsia" w:hAnsiTheme="majorHAnsi" w:cstheme="majorBidi"/>
        </w:rPr>
        <w:t xml:space="preserve">Submit OMB package </w:t>
      </w:r>
      <w:r w:rsidRPr="00EC0375">
        <w:rPr>
          <w:rFonts w:asciiTheme="majorHAnsi" w:hAnsiTheme="majorHAnsi"/>
        </w:rPr>
        <w:tab/>
      </w:r>
      <w:r w:rsidRPr="00EC0375">
        <w:rPr>
          <w:rFonts w:asciiTheme="majorHAnsi" w:eastAsiaTheme="majorEastAsia" w:hAnsiTheme="majorHAnsi" w:cstheme="majorBidi"/>
        </w:rPr>
        <w:t>(COMPLETE)</w:t>
      </w:r>
    </w:p>
    <w:p w14:paraId="1F0ABE36" w14:textId="77777777" w:rsidR="00EC0375" w:rsidRPr="00EC0375" w:rsidRDefault="00EC0375" w:rsidP="00EC0375">
      <w:pPr>
        <w:pStyle w:val="ListParagraph"/>
        <w:numPr>
          <w:ilvl w:val="0"/>
          <w:numId w:val="13"/>
        </w:numPr>
        <w:tabs>
          <w:tab w:val="right" w:leader="dot" w:pos="9360"/>
        </w:tabs>
        <w:spacing w:after="0"/>
        <w:rPr>
          <w:rFonts w:asciiTheme="majorHAnsi" w:hAnsiTheme="majorHAnsi"/>
        </w:rPr>
      </w:pPr>
      <w:r w:rsidRPr="00EC0375">
        <w:rPr>
          <w:rFonts w:asciiTheme="majorHAnsi" w:eastAsiaTheme="majorEastAsia" w:hAnsiTheme="majorHAnsi" w:cstheme="majorBidi"/>
        </w:rPr>
        <w:lastRenderedPageBreak/>
        <w:t xml:space="preserve">OMB approval </w:t>
      </w:r>
      <w:r w:rsidRPr="00EC0375">
        <w:rPr>
          <w:rFonts w:asciiTheme="majorHAnsi" w:hAnsiTheme="majorHAnsi"/>
        </w:rPr>
        <w:tab/>
      </w:r>
      <w:r w:rsidRPr="00EC0375">
        <w:rPr>
          <w:rFonts w:asciiTheme="majorHAnsi" w:eastAsiaTheme="majorEastAsia" w:hAnsiTheme="majorHAnsi" w:cstheme="majorBidi"/>
        </w:rPr>
        <w:t>(TBD)</w:t>
      </w:r>
    </w:p>
    <w:p w14:paraId="1F0ABE37" w14:textId="77777777" w:rsidR="00EC0375" w:rsidRPr="00EC0375" w:rsidRDefault="00EC0375" w:rsidP="00EC0375">
      <w:pPr>
        <w:pStyle w:val="ListParagraph"/>
        <w:numPr>
          <w:ilvl w:val="0"/>
          <w:numId w:val="13"/>
        </w:numPr>
        <w:tabs>
          <w:tab w:val="right" w:leader="dot" w:pos="9360"/>
        </w:tabs>
        <w:spacing w:after="0"/>
        <w:rPr>
          <w:rFonts w:asciiTheme="majorHAnsi" w:hAnsiTheme="majorHAnsi"/>
        </w:rPr>
      </w:pPr>
      <w:r w:rsidRPr="00EC0375">
        <w:rPr>
          <w:rFonts w:asciiTheme="majorHAnsi" w:eastAsiaTheme="majorEastAsia" w:hAnsiTheme="majorHAnsi" w:cstheme="majorBidi"/>
        </w:rPr>
        <w:t xml:space="preserve">Conduct assessment </w:t>
      </w:r>
      <w:r w:rsidRPr="00EC0375">
        <w:rPr>
          <w:rFonts w:asciiTheme="majorHAnsi" w:hAnsiTheme="majorHAnsi"/>
        </w:rPr>
        <w:tab/>
      </w:r>
      <w:r>
        <w:rPr>
          <w:rFonts w:asciiTheme="majorHAnsi" w:eastAsiaTheme="majorEastAsia" w:hAnsiTheme="majorHAnsi" w:cstheme="majorBidi"/>
        </w:rPr>
        <w:t>(Assessment open 8</w:t>
      </w:r>
      <w:r w:rsidRPr="00EC0375">
        <w:rPr>
          <w:rFonts w:asciiTheme="majorHAnsi" w:eastAsiaTheme="majorEastAsia" w:hAnsiTheme="majorHAnsi" w:cstheme="majorBidi"/>
        </w:rPr>
        <w:t xml:space="preserve"> weeks)</w:t>
      </w:r>
    </w:p>
    <w:p w14:paraId="1F0ABE38" w14:textId="77777777" w:rsidR="00EC0375" w:rsidRPr="00EC0375" w:rsidRDefault="00EC0375" w:rsidP="00EC0375">
      <w:pPr>
        <w:pStyle w:val="ListParagraph"/>
        <w:numPr>
          <w:ilvl w:val="0"/>
          <w:numId w:val="13"/>
        </w:numPr>
        <w:tabs>
          <w:tab w:val="right" w:leader="dot" w:pos="9360"/>
        </w:tabs>
        <w:spacing w:after="0"/>
        <w:rPr>
          <w:rFonts w:asciiTheme="majorHAnsi" w:hAnsiTheme="majorHAnsi"/>
        </w:rPr>
      </w:pPr>
      <w:r w:rsidRPr="00EC0375">
        <w:rPr>
          <w:rFonts w:asciiTheme="majorHAnsi" w:eastAsiaTheme="majorEastAsia" w:hAnsiTheme="majorHAnsi" w:cstheme="majorBidi"/>
        </w:rPr>
        <w:t>Code, quality control, and analyze data</w:t>
      </w:r>
      <w:r w:rsidRPr="00EC0375">
        <w:rPr>
          <w:rFonts w:asciiTheme="majorHAnsi" w:hAnsiTheme="majorHAnsi" w:cs="Arial"/>
        </w:rPr>
        <w:tab/>
      </w:r>
      <w:r w:rsidRPr="00EC0375">
        <w:rPr>
          <w:rFonts w:asciiTheme="majorHAnsi" w:eastAsiaTheme="majorEastAsia" w:hAnsiTheme="majorHAnsi" w:cstheme="majorBidi"/>
        </w:rPr>
        <w:t>(4 weeks)</w:t>
      </w:r>
    </w:p>
    <w:p w14:paraId="1F0ABE39" w14:textId="77777777" w:rsidR="00EC0375" w:rsidRPr="00EC0375" w:rsidRDefault="00EC0375" w:rsidP="00EC0375">
      <w:pPr>
        <w:pStyle w:val="ListParagraph"/>
        <w:numPr>
          <w:ilvl w:val="0"/>
          <w:numId w:val="13"/>
        </w:numPr>
        <w:tabs>
          <w:tab w:val="right" w:leader="dot" w:pos="9360"/>
        </w:tabs>
        <w:spacing w:after="0"/>
        <w:rPr>
          <w:rFonts w:asciiTheme="majorHAnsi" w:hAnsiTheme="majorHAnsi"/>
        </w:rPr>
      </w:pPr>
      <w:r w:rsidRPr="00EC0375">
        <w:rPr>
          <w:rFonts w:asciiTheme="majorHAnsi" w:eastAsiaTheme="majorEastAsia" w:hAnsiTheme="majorHAnsi" w:cstheme="majorBidi"/>
        </w:rPr>
        <w:t xml:space="preserve">Prepare reports </w:t>
      </w:r>
      <w:r w:rsidRPr="00EC0375">
        <w:rPr>
          <w:rFonts w:asciiTheme="majorHAnsi" w:hAnsiTheme="majorHAnsi"/>
        </w:rPr>
        <w:tab/>
      </w:r>
      <w:r w:rsidRPr="00EC0375">
        <w:rPr>
          <w:rFonts w:asciiTheme="majorHAnsi" w:eastAsiaTheme="majorEastAsia" w:hAnsiTheme="majorHAnsi" w:cstheme="majorBidi"/>
        </w:rPr>
        <w:t>(4 weeks)</w:t>
      </w:r>
    </w:p>
    <w:p w14:paraId="1F0ABE3A" w14:textId="77777777" w:rsidR="00EC0375" w:rsidRPr="00EC0375" w:rsidRDefault="00EC0375" w:rsidP="00EC0375">
      <w:pPr>
        <w:pStyle w:val="ListParagraph"/>
        <w:numPr>
          <w:ilvl w:val="0"/>
          <w:numId w:val="13"/>
        </w:numPr>
        <w:tabs>
          <w:tab w:val="right" w:leader="dot" w:pos="9360"/>
        </w:tabs>
        <w:spacing w:after="0"/>
        <w:rPr>
          <w:rFonts w:asciiTheme="majorHAnsi" w:hAnsiTheme="majorHAnsi"/>
        </w:rPr>
      </w:pPr>
      <w:r w:rsidRPr="00EC0375">
        <w:rPr>
          <w:rFonts w:asciiTheme="majorHAnsi" w:eastAsiaTheme="majorEastAsia" w:hAnsiTheme="majorHAnsi" w:cstheme="majorBidi"/>
        </w:rPr>
        <w:t xml:space="preserve">Disseminate results/reports </w:t>
      </w:r>
      <w:r w:rsidRPr="00EC0375">
        <w:rPr>
          <w:rFonts w:asciiTheme="majorHAnsi" w:hAnsiTheme="majorHAnsi"/>
        </w:rPr>
        <w:tab/>
      </w:r>
      <w:r w:rsidRPr="00EC0375">
        <w:rPr>
          <w:rFonts w:asciiTheme="majorHAnsi" w:eastAsiaTheme="majorEastAsia" w:hAnsiTheme="majorHAnsi" w:cstheme="majorBidi"/>
        </w:rPr>
        <w:t>(4 weeks)</w:t>
      </w:r>
    </w:p>
    <w:p w14:paraId="0A6162E7" w14:textId="77777777" w:rsidR="003E7A4C" w:rsidRPr="00D23089" w:rsidRDefault="003E7A4C" w:rsidP="00EB0D19">
      <w:pPr>
        <w:rPr>
          <w:rFonts w:asciiTheme="majorHAnsi" w:hAnsiTheme="majorHAnsi"/>
          <w:b/>
        </w:rPr>
      </w:pPr>
    </w:p>
    <w:p w14:paraId="1F0ABE3C" w14:textId="57D0E00F" w:rsidR="00EF736D" w:rsidRPr="00C0271B" w:rsidRDefault="00C0271B" w:rsidP="00C0271B">
      <w:pPr>
        <w:rPr>
          <w:rFonts w:asciiTheme="majorHAnsi" w:hAnsiTheme="majorHAnsi"/>
          <w:b/>
        </w:rPr>
      </w:pPr>
      <w:r>
        <w:rPr>
          <w:rFonts w:asciiTheme="majorHAnsi" w:hAnsiTheme="majorHAnsi"/>
          <w:b/>
        </w:rPr>
        <w:t xml:space="preserve">17.  </w:t>
      </w:r>
      <w:r w:rsidR="00EF736D" w:rsidRPr="00C0271B">
        <w:rPr>
          <w:rFonts w:asciiTheme="majorHAnsi" w:hAnsiTheme="majorHAnsi"/>
          <w:b/>
        </w:rPr>
        <w:t>Reason(s) Display of OMB E</w:t>
      </w:r>
      <w:r w:rsidR="0090052E" w:rsidRPr="00C0271B">
        <w:rPr>
          <w:rFonts w:asciiTheme="majorHAnsi" w:hAnsiTheme="majorHAnsi"/>
          <w:b/>
        </w:rPr>
        <w:t>xpiration Date is Inappropriate</w:t>
      </w:r>
    </w:p>
    <w:p w14:paraId="37FA2284" w14:textId="758074C6" w:rsidR="00511A26" w:rsidRDefault="0090052E" w:rsidP="00EF736D">
      <w:pPr>
        <w:rPr>
          <w:rFonts w:asciiTheme="majorHAnsi" w:hAnsiTheme="majorHAnsi"/>
        </w:rPr>
      </w:pPr>
      <w:r w:rsidRPr="00D23089">
        <w:rPr>
          <w:rFonts w:asciiTheme="majorHAnsi" w:hAnsiTheme="majorHAnsi"/>
        </w:rPr>
        <w:t>We are requesting no exemption.</w:t>
      </w:r>
    </w:p>
    <w:p w14:paraId="5C0CCE1C" w14:textId="77777777" w:rsidR="00C426F4" w:rsidRPr="00187D4C" w:rsidRDefault="00C426F4" w:rsidP="00EF736D">
      <w:pPr>
        <w:rPr>
          <w:rFonts w:asciiTheme="majorHAnsi" w:hAnsiTheme="majorHAnsi"/>
        </w:rPr>
      </w:pPr>
    </w:p>
    <w:p w14:paraId="1F0ABE3F" w14:textId="00395153" w:rsidR="00EF736D" w:rsidRPr="00C0271B" w:rsidRDefault="00C0271B" w:rsidP="00C0271B">
      <w:pPr>
        <w:rPr>
          <w:rFonts w:asciiTheme="majorHAnsi" w:hAnsiTheme="majorHAnsi"/>
          <w:b/>
        </w:rPr>
      </w:pPr>
      <w:r>
        <w:rPr>
          <w:rFonts w:asciiTheme="majorHAnsi" w:hAnsiTheme="majorHAnsi"/>
          <w:b/>
        </w:rPr>
        <w:t xml:space="preserve">18.  </w:t>
      </w:r>
      <w:r w:rsidR="00EF736D" w:rsidRPr="00C0271B">
        <w:rPr>
          <w:rFonts w:asciiTheme="majorHAnsi" w:hAnsiTheme="majorHAnsi"/>
          <w:b/>
        </w:rPr>
        <w:t>Exceptions to Certification for Pape</w:t>
      </w:r>
      <w:r w:rsidR="0090052E" w:rsidRPr="00C0271B">
        <w:rPr>
          <w:rFonts w:asciiTheme="majorHAnsi" w:hAnsiTheme="majorHAnsi"/>
          <w:b/>
        </w:rPr>
        <w:t>rwork Reduction Act Submissions</w:t>
      </w:r>
    </w:p>
    <w:p w14:paraId="1EB14FB4" w14:textId="134B694F" w:rsidR="000C43C4" w:rsidRDefault="00EF736D" w:rsidP="00EF736D">
      <w:pPr>
        <w:rPr>
          <w:rFonts w:asciiTheme="majorHAnsi" w:hAnsiTheme="majorHAnsi"/>
        </w:rPr>
      </w:pPr>
      <w:r w:rsidRPr="00D23089">
        <w:rPr>
          <w:rFonts w:asciiTheme="majorHAnsi" w:hAnsiTheme="majorHAnsi"/>
        </w:rPr>
        <w:lastRenderedPageBreak/>
        <w:t xml:space="preserve">There are no exceptions to the certification.  These activities comply with the requirements in 5 CFR 1320.9. </w:t>
      </w:r>
    </w:p>
    <w:p w14:paraId="4F13C906" w14:textId="77777777" w:rsidR="000C43C4" w:rsidRPr="000C43C4" w:rsidRDefault="000C43C4" w:rsidP="00EF736D">
      <w:pPr>
        <w:rPr>
          <w:rFonts w:asciiTheme="majorHAnsi" w:hAnsiTheme="majorHAnsi"/>
          <w:sz w:val="6"/>
        </w:rPr>
      </w:pPr>
    </w:p>
    <w:p w14:paraId="1F0ABE42" w14:textId="77777777" w:rsidR="00EF736D" w:rsidRPr="00D23089" w:rsidRDefault="00691E0E" w:rsidP="00691E0E">
      <w:pPr>
        <w:pStyle w:val="Heading2"/>
        <w:rPr>
          <w:b/>
          <w:color w:val="auto"/>
        </w:rPr>
      </w:pPr>
      <w:r w:rsidRPr="00D23089">
        <w:rPr>
          <w:b/>
          <w:color w:val="auto"/>
        </w:rPr>
        <w:t>LIST OF ATTACHMENTS – Section A</w:t>
      </w:r>
    </w:p>
    <w:p w14:paraId="1F0ABE43" w14:textId="77777777" w:rsidR="00EF736D" w:rsidRPr="00D23089" w:rsidRDefault="00EF736D" w:rsidP="00EF736D">
      <w:pPr>
        <w:rPr>
          <w:rFonts w:asciiTheme="majorHAnsi" w:hAnsiTheme="majorHAnsi"/>
        </w:rPr>
      </w:pPr>
      <w:r w:rsidRPr="00D23089">
        <w:rPr>
          <w:rFonts w:asciiTheme="majorHAnsi" w:hAnsiTheme="majorHAnsi"/>
        </w:rPr>
        <w:t>Note: Attachments are included a</w:t>
      </w:r>
      <w:r w:rsidR="00670F68" w:rsidRPr="00D23089">
        <w:rPr>
          <w:rFonts w:asciiTheme="majorHAnsi" w:hAnsiTheme="majorHAnsi"/>
        </w:rPr>
        <w:t>s separate files as instructed.</w:t>
      </w:r>
    </w:p>
    <w:p w14:paraId="7C4ED649" w14:textId="1B15B18C" w:rsidR="00D00348" w:rsidRPr="002027B8" w:rsidRDefault="004E4BF5">
      <w:pPr>
        <w:pStyle w:val="ListParagraph"/>
        <w:numPr>
          <w:ilvl w:val="0"/>
          <w:numId w:val="12"/>
        </w:numPr>
        <w:rPr>
          <w:rFonts w:asciiTheme="majorHAnsi" w:hAnsiTheme="majorHAnsi"/>
          <w:b/>
        </w:rPr>
      </w:pPr>
      <w:r>
        <w:rPr>
          <w:rFonts w:asciiTheme="majorHAnsi" w:hAnsiTheme="majorHAnsi"/>
          <w:b/>
        </w:rPr>
        <w:t>Attachment A: List of state and county health departments</w:t>
      </w:r>
    </w:p>
    <w:p w14:paraId="658DFC21" w14:textId="27FFE2EC" w:rsidR="00300F31" w:rsidRPr="000C43C4" w:rsidRDefault="00D00348" w:rsidP="00511A26">
      <w:pPr>
        <w:pStyle w:val="ListParagraph"/>
        <w:numPr>
          <w:ilvl w:val="0"/>
          <w:numId w:val="12"/>
        </w:numPr>
        <w:rPr>
          <w:rFonts w:asciiTheme="majorHAnsi" w:hAnsiTheme="majorHAnsi"/>
        </w:rPr>
      </w:pPr>
      <w:r w:rsidRPr="00085D47">
        <w:rPr>
          <w:rFonts w:asciiTheme="majorHAnsi" w:hAnsiTheme="majorHAnsi"/>
          <w:b/>
        </w:rPr>
        <w:t>Attachment B:  Interview Guid</w:t>
      </w:r>
      <w:r w:rsidRPr="00505F0A">
        <w:rPr>
          <w:rFonts w:asciiTheme="majorHAnsi" w:hAnsiTheme="majorHAnsi"/>
          <w:b/>
        </w:rPr>
        <w:t>e</w:t>
      </w:r>
    </w:p>
    <w:p w14:paraId="1F0ABE46" w14:textId="77777777" w:rsidR="00EF736D" w:rsidRPr="00D23089" w:rsidRDefault="00EF736D" w:rsidP="00691E0E">
      <w:pPr>
        <w:pStyle w:val="Heading2"/>
        <w:rPr>
          <w:b/>
        </w:rPr>
      </w:pPr>
      <w:r w:rsidRPr="00D23089">
        <w:rPr>
          <w:b/>
          <w:color w:val="auto"/>
        </w:rPr>
        <w:lastRenderedPageBreak/>
        <w:t>REFERENCE LIST</w:t>
      </w:r>
    </w:p>
    <w:p w14:paraId="1F0ABE47" w14:textId="77777777" w:rsidR="00670F68" w:rsidRPr="00D23089" w:rsidRDefault="00911D98" w:rsidP="00911D98">
      <w:pPr>
        <w:pStyle w:val="ListParagraph"/>
        <w:numPr>
          <w:ilvl w:val="0"/>
          <w:numId w:val="8"/>
        </w:numPr>
        <w:ind w:left="360"/>
        <w:rPr>
          <w:rFonts w:asciiTheme="majorHAnsi" w:hAnsiTheme="majorHAnsi"/>
        </w:rPr>
      </w:pPr>
      <w:r w:rsidRPr="00D23089">
        <w:rPr>
          <w:rFonts w:asciiTheme="majorHAnsi" w:hAnsiTheme="majorHAnsi"/>
        </w:rPr>
        <w:t xml:space="preserve">Centers for Disease Control and Prevention (CDC). "National Public Health Performance Standards Program (NPHPSP): The Public Health System and the 10 Essential Public Health Services." Available at </w:t>
      </w:r>
      <w:hyperlink r:id="rId15" w:history="1">
        <w:r w:rsidRPr="00D23089">
          <w:rPr>
            <w:rStyle w:val="Hyperlink"/>
            <w:rFonts w:asciiTheme="majorHAnsi" w:hAnsiTheme="majorHAnsi"/>
          </w:rPr>
          <w:t>http://www.cdc.gov/nphpsp/essentialservices.html</w:t>
        </w:r>
      </w:hyperlink>
      <w:r w:rsidRPr="00D23089">
        <w:rPr>
          <w:rFonts w:asciiTheme="majorHAnsi" w:hAnsiTheme="majorHAnsi"/>
        </w:rPr>
        <w:t>. Last updated: 5/29/14. Accessed on 8/26/15.</w:t>
      </w:r>
    </w:p>
    <w:p w14:paraId="1F0ABE48" w14:textId="77777777" w:rsidR="00911D98" w:rsidRPr="00D23089" w:rsidRDefault="00000D6F" w:rsidP="00000D6F">
      <w:pPr>
        <w:pStyle w:val="ListParagraph"/>
        <w:numPr>
          <w:ilvl w:val="0"/>
          <w:numId w:val="8"/>
        </w:numPr>
        <w:ind w:left="360"/>
        <w:rPr>
          <w:rFonts w:asciiTheme="majorHAnsi" w:hAnsiTheme="majorHAnsi"/>
        </w:rPr>
      </w:pPr>
      <w:r w:rsidRPr="00D23089">
        <w:rPr>
          <w:rFonts w:asciiTheme="majorHAnsi" w:hAnsiTheme="majorHAnsi"/>
        </w:rPr>
        <w:t xml:space="preserve">Maupin, M.A., </w:t>
      </w:r>
      <w:r w:rsidR="003F2B62" w:rsidRPr="00D23089">
        <w:rPr>
          <w:rFonts w:asciiTheme="majorHAnsi" w:hAnsiTheme="majorHAnsi"/>
        </w:rPr>
        <w:t xml:space="preserve">J.F. </w:t>
      </w:r>
      <w:r w:rsidRPr="00D23089">
        <w:rPr>
          <w:rFonts w:asciiTheme="majorHAnsi" w:hAnsiTheme="majorHAnsi"/>
        </w:rPr>
        <w:t xml:space="preserve">Kenny, </w:t>
      </w:r>
      <w:r w:rsidR="003F2B62" w:rsidRPr="00D23089">
        <w:rPr>
          <w:rFonts w:asciiTheme="majorHAnsi" w:hAnsiTheme="majorHAnsi"/>
        </w:rPr>
        <w:t xml:space="preserve">S.S. </w:t>
      </w:r>
      <w:r w:rsidRPr="00D23089">
        <w:rPr>
          <w:rFonts w:asciiTheme="majorHAnsi" w:hAnsiTheme="majorHAnsi"/>
        </w:rPr>
        <w:t xml:space="preserve">Hutson, </w:t>
      </w:r>
      <w:r w:rsidR="003F2B62" w:rsidRPr="00D23089">
        <w:rPr>
          <w:rFonts w:asciiTheme="majorHAnsi" w:hAnsiTheme="majorHAnsi"/>
        </w:rPr>
        <w:t>J.K. Lovelace, N.L. Barber, and K.S. Linsey.</w:t>
      </w:r>
      <w:r w:rsidRPr="00D23089">
        <w:rPr>
          <w:rFonts w:asciiTheme="majorHAnsi" w:hAnsiTheme="majorHAnsi"/>
        </w:rPr>
        <w:t xml:space="preserve"> 2014. Estimated use of water in the United States in 2010: U.S. Geological Survey Circular 1405, 56 </w:t>
      </w:r>
      <w:r w:rsidR="00964A4F" w:rsidRPr="00D23089">
        <w:rPr>
          <w:rFonts w:asciiTheme="majorHAnsi" w:hAnsiTheme="majorHAnsi"/>
        </w:rPr>
        <w:t>p</w:t>
      </w:r>
      <w:r w:rsidR="00424DB3">
        <w:rPr>
          <w:rFonts w:asciiTheme="majorHAnsi" w:hAnsiTheme="majorHAnsi"/>
        </w:rPr>
        <w:t xml:space="preserve">p. Available at </w:t>
      </w:r>
      <w:hyperlink r:id="rId16" w:history="1">
        <w:r w:rsidR="00582716" w:rsidRPr="00831982">
          <w:rPr>
            <w:rStyle w:val="Hyperlink"/>
            <w:rFonts w:asciiTheme="majorHAnsi" w:hAnsiTheme="majorHAnsi"/>
          </w:rPr>
          <w:t>http://dx.doi.org/10.3133/cir1405. ISSN 2330–5703</w:t>
        </w:r>
      </w:hyperlink>
      <w:r w:rsidR="00424DB3">
        <w:rPr>
          <w:rFonts w:asciiTheme="majorHAnsi" w:hAnsiTheme="majorHAnsi"/>
        </w:rPr>
        <w:t>.</w:t>
      </w:r>
      <w:r w:rsidR="00582716">
        <w:rPr>
          <w:rFonts w:asciiTheme="majorHAnsi" w:hAnsiTheme="majorHAnsi"/>
        </w:rPr>
        <w:t xml:space="preserve"> </w:t>
      </w:r>
      <w:r w:rsidR="00582716" w:rsidRPr="00D23089">
        <w:rPr>
          <w:rFonts w:asciiTheme="majorHAnsi" w:hAnsiTheme="majorHAnsi"/>
        </w:rPr>
        <w:t>Accessed on 8/26/15.</w:t>
      </w:r>
    </w:p>
    <w:p w14:paraId="1F0ABE49" w14:textId="77777777" w:rsidR="00000D6F" w:rsidRPr="00D23089" w:rsidRDefault="00465B1A" w:rsidP="00465B1A">
      <w:pPr>
        <w:pStyle w:val="ListParagraph"/>
        <w:numPr>
          <w:ilvl w:val="0"/>
          <w:numId w:val="8"/>
        </w:numPr>
        <w:ind w:left="360"/>
        <w:rPr>
          <w:rFonts w:asciiTheme="majorHAnsi" w:hAnsiTheme="majorHAnsi"/>
        </w:rPr>
      </w:pPr>
      <w:r w:rsidRPr="00D23089">
        <w:rPr>
          <w:rFonts w:asciiTheme="majorHAnsi" w:hAnsiTheme="majorHAnsi"/>
        </w:rPr>
        <w:t xml:space="preserve">U.S. Geological Survey (USGS). “The National Water-Quality Assessment (NAWQA) Program.” Available at </w:t>
      </w:r>
      <w:hyperlink r:id="rId17" w:history="1">
        <w:r w:rsidRPr="00D23089">
          <w:rPr>
            <w:rStyle w:val="Hyperlink"/>
            <w:rFonts w:asciiTheme="majorHAnsi" w:hAnsiTheme="majorHAnsi"/>
          </w:rPr>
          <w:t>http://water.usgs.gov/nawqa/</w:t>
        </w:r>
      </w:hyperlink>
      <w:r w:rsidRPr="00D23089">
        <w:rPr>
          <w:rFonts w:asciiTheme="majorHAnsi" w:hAnsiTheme="majorHAnsi"/>
        </w:rPr>
        <w:t>. Last modified: 7/31/15. Accessed on 8/26/15.</w:t>
      </w:r>
    </w:p>
    <w:p w14:paraId="1F0ABE4A" w14:textId="77777777" w:rsidR="00033728" w:rsidRPr="00033728" w:rsidRDefault="00B10078" w:rsidP="00B10078">
      <w:pPr>
        <w:pStyle w:val="ListParagraph"/>
        <w:numPr>
          <w:ilvl w:val="0"/>
          <w:numId w:val="8"/>
        </w:numPr>
        <w:ind w:left="360"/>
        <w:rPr>
          <w:rFonts w:asciiTheme="majorHAnsi" w:hAnsiTheme="majorHAnsi"/>
        </w:rPr>
      </w:pPr>
      <w:r w:rsidRPr="00B10078">
        <w:rPr>
          <w:rFonts w:asciiTheme="majorHAnsi" w:hAnsiTheme="majorHAnsi"/>
        </w:rPr>
        <w:t>DeSimone, L.A. 2009</w:t>
      </w:r>
      <w:r w:rsidR="00424DB3">
        <w:rPr>
          <w:rFonts w:asciiTheme="majorHAnsi" w:hAnsiTheme="majorHAnsi"/>
        </w:rPr>
        <w:t>.</w:t>
      </w:r>
      <w:r w:rsidRPr="00B10078">
        <w:rPr>
          <w:rFonts w:asciiTheme="majorHAnsi" w:hAnsiTheme="majorHAnsi"/>
        </w:rPr>
        <w:t xml:space="preserve"> Quality of water from domestic wells in principal aquifers of the United States, 1991–2004: U.S. Geological Survey Scientific Investigations Report 2008–5227, 139 p</w:t>
      </w:r>
      <w:r w:rsidR="00424DB3">
        <w:rPr>
          <w:rFonts w:asciiTheme="majorHAnsi" w:hAnsiTheme="majorHAnsi"/>
        </w:rPr>
        <w:t>p</w:t>
      </w:r>
      <w:r w:rsidRPr="00B10078">
        <w:rPr>
          <w:rFonts w:asciiTheme="majorHAnsi" w:hAnsiTheme="majorHAnsi"/>
        </w:rPr>
        <w:t>.</w:t>
      </w:r>
      <w:r w:rsidR="00424DB3">
        <w:rPr>
          <w:rFonts w:asciiTheme="majorHAnsi" w:hAnsiTheme="majorHAnsi"/>
        </w:rPr>
        <w:t xml:space="preserve"> A</w:t>
      </w:r>
      <w:r w:rsidRPr="00B10078">
        <w:rPr>
          <w:rFonts w:asciiTheme="majorHAnsi" w:hAnsiTheme="majorHAnsi"/>
        </w:rPr>
        <w:t>vailable at</w:t>
      </w:r>
      <w:r w:rsidR="00424DB3">
        <w:rPr>
          <w:rFonts w:asciiTheme="majorHAnsi" w:hAnsiTheme="majorHAnsi"/>
        </w:rPr>
        <w:t xml:space="preserve"> </w:t>
      </w:r>
      <w:hyperlink r:id="rId18" w:history="1">
        <w:r w:rsidR="00424DB3" w:rsidRPr="00FD2CFD">
          <w:rPr>
            <w:rStyle w:val="Hyperlink"/>
            <w:rFonts w:asciiTheme="majorHAnsi" w:hAnsiTheme="majorHAnsi"/>
          </w:rPr>
          <w:t>http://pubs.usgs.gov/sir/2008/5227</w:t>
        </w:r>
      </w:hyperlink>
      <w:r w:rsidR="00424DB3">
        <w:rPr>
          <w:rFonts w:asciiTheme="majorHAnsi" w:hAnsiTheme="majorHAnsi"/>
        </w:rPr>
        <w:t xml:space="preserve">. </w:t>
      </w:r>
      <w:r w:rsidR="00582716">
        <w:rPr>
          <w:rFonts w:asciiTheme="majorHAnsi" w:hAnsiTheme="majorHAnsi"/>
        </w:rPr>
        <w:t>Accessed on 9/14</w:t>
      </w:r>
      <w:r w:rsidR="00582716" w:rsidRPr="00D23089">
        <w:rPr>
          <w:rFonts w:asciiTheme="majorHAnsi" w:hAnsiTheme="majorHAnsi"/>
        </w:rPr>
        <w:t>/15.</w:t>
      </w:r>
    </w:p>
    <w:p w14:paraId="1F0ABE4C" w14:textId="77777777" w:rsidR="00033060" w:rsidRPr="00D23089" w:rsidRDefault="00033060" w:rsidP="00DA3DAA">
      <w:pPr>
        <w:pStyle w:val="ListParagraph"/>
        <w:numPr>
          <w:ilvl w:val="0"/>
          <w:numId w:val="8"/>
        </w:numPr>
        <w:ind w:left="360"/>
        <w:rPr>
          <w:rFonts w:asciiTheme="majorHAnsi" w:hAnsiTheme="majorHAnsi"/>
        </w:rPr>
      </w:pPr>
      <w:r w:rsidRPr="00D23089">
        <w:rPr>
          <w:rFonts w:asciiTheme="majorHAnsi" w:hAnsiTheme="majorHAnsi"/>
        </w:rPr>
        <w:lastRenderedPageBreak/>
        <w:t xml:space="preserve">Centers for Disease Control and Prevention (CDC). “National Outbreak Reporting System (NORS).” Available at </w:t>
      </w:r>
      <w:hyperlink r:id="rId19" w:history="1">
        <w:r w:rsidRPr="00D23089">
          <w:rPr>
            <w:rStyle w:val="Hyperlink"/>
            <w:rFonts w:asciiTheme="majorHAnsi" w:hAnsiTheme="majorHAnsi"/>
          </w:rPr>
          <w:t>http://www.cdc.gov/nors/index.html</w:t>
        </w:r>
      </w:hyperlink>
      <w:r w:rsidRPr="00D23089">
        <w:rPr>
          <w:rFonts w:asciiTheme="majorHAnsi" w:hAnsiTheme="majorHAnsi"/>
        </w:rPr>
        <w:t>. Last update</w:t>
      </w:r>
      <w:r w:rsidR="00DA3DAA" w:rsidRPr="00D23089">
        <w:rPr>
          <w:rFonts w:asciiTheme="majorHAnsi" w:hAnsiTheme="majorHAnsi"/>
        </w:rPr>
        <w:t>d</w:t>
      </w:r>
      <w:r w:rsidRPr="00D23089">
        <w:rPr>
          <w:rFonts w:asciiTheme="majorHAnsi" w:hAnsiTheme="majorHAnsi"/>
        </w:rPr>
        <w:t xml:space="preserve">: </w:t>
      </w:r>
      <w:r w:rsidR="00DA3DAA" w:rsidRPr="00D23089">
        <w:rPr>
          <w:rFonts w:asciiTheme="majorHAnsi" w:hAnsiTheme="majorHAnsi"/>
        </w:rPr>
        <w:t>9/03/15</w:t>
      </w:r>
      <w:r w:rsidRPr="00D23089">
        <w:rPr>
          <w:rFonts w:asciiTheme="majorHAnsi" w:hAnsiTheme="majorHAnsi"/>
        </w:rPr>
        <w:t>. Accessed on 9/14/15.</w:t>
      </w:r>
    </w:p>
    <w:p w14:paraId="1F0ABE52" w14:textId="77777777" w:rsidR="0035503F" w:rsidRPr="00D23089" w:rsidRDefault="0035503F" w:rsidP="0035503F">
      <w:pPr>
        <w:pStyle w:val="ListParagraph"/>
        <w:numPr>
          <w:ilvl w:val="0"/>
          <w:numId w:val="8"/>
        </w:numPr>
        <w:ind w:left="360"/>
        <w:rPr>
          <w:rFonts w:asciiTheme="majorHAnsi" w:hAnsiTheme="majorHAnsi"/>
        </w:rPr>
      </w:pPr>
      <w:r w:rsidRPr="00D23089">
        <w:rPr>
          <w:rFonts w:asciiTheme="majorHAnsi" w:hAnsiTheme="majorHAnsi"/>
        </w:rPr>
        <w:t xml:space="preserve">Knobeloch, L., Salna, B., Hogan, A., Postle, J., &amp; Anderson, H. </w:t>
      </w:r>
      <w:r w:rsidR="00A15333" w:rsidRPr="00D23089">
        <w:rPr>
          <w:rFonts w:asciiTheme="majorHAnsi" w:hAnsiTheme="majorHAnsi"/>
        </w:rPr>
        <w:t xml:space="preserve">(2000). </w:t>
      </w:r>
      <w:r w:rsidRPr="00D23089">
        <w:rPr>
          <w:rFonts w:asciiTheme="majorHAnsi" w:hAnsiTheme="majorHAnsi"/>
        </w:rPr>
        <w:t xml:space="preserve">Blue babies and nitrate-contaminated well water. </w:t>
      </w:r>
      <w:r w:rsidRPr="00D23089">
        <w:rPr>
          <w:rFonts w:asciiTheme="majorHAnsi" w:hAnsiTheme="majorHAnsi"/>
          <w:i/>
        </w:rPr>
        <w:t>En</w:t>
      </w:r>
      <w:r w:rsidR="00A15333" w:rsidRPr="00D23089">
        <w:rPr>
          <w:rFonts w:asciiTheme="majorHAnsi" w:hAnsiTheme="majorHAnsi"/>
          <w:i/>
        </w:rPr>
        <w:t>vironmental Health Perspectives</w:t>
      </w:r>
      <w:r w:rsidR="00A15333" w:rsidRPr="00D23089">
        <w:rPr>
          <w:rFonts w:asciiTheme="majorHAnsi" w:hAnsiTheme="majorHAnsi"/>
        </w:rPr>
        <w:t>, 108(7):</w:t>
      </w:r>
      <w:r w:rsidRPr="00D23089">
        <w:rPr>
          <w:rFonts w:asciiTheme="majorHAnsi" w:hAnsiTheme="majorHAnsi"/>
        </w:rPr>
        <w:t>675-678.</w:t>
      </w:r>
    </w:p>
    <w:p w14:paraId="1F0ABE53" w14:textId="77777777" w:rsidR="0035503F" w:rsidRPr="00D23089" w:rsidRDefault="00A15333" w:rsidP="0035503F">
      <w:pPr>
        <w:pStyle w:val="ListParagraph"/>
        <w:numPr>
          <w:ilvl w:val="0"/>
          <w:numId w:val="8"/>
        </w:numPr>
        <w:ind w:left="360"/>
        <w:rPr>
          <w:rFonts w:asciiTheme="majorHAnsi" w:hAnsiTheme="majorHAnsi"/>
        </w:rPr>
      </w:pPr>
      <w:r w:rsidRPr="00D23089">
        <w:rPr>
          <w:rFonts w:asciiTheme="majorHAnsi" w:hAnsiTheme="majorHAnsi"/>
        </w:rPr>
        <w:t>Borchardt, M.A., Bertz, P.D., Spencer, S.K., &amp;</w:t>
      </w:r>
      <w:r w:rsidR="0035503F" w:rsidRPr="00D23089">
        <w:rPr>
          <w:rFonts w:asciiTheme="majorHAnsi" w:hAnsiTheme="majorHAnsi"/>
        </w:rPr>
        <w:t xml:space="preserve"> Battigelli, D.A. </w:t>
      </w:r>
      <w:r w:rsidR="00EB0467" w:rsidRPr="00D23089">
        <w:rPr>
          <w:rFonts w:asciiTheme="majorHAnsi" w:hAnsiTheme="majorHAnsi"/>
        </w:rPr>
        <w:t>(</w:t>
      </w:r>
      <w:r w:rsidRPr="00D23089">
        <w:rPr>
          <w:rFonts w:asciiTheme="majorHAnsi" w:hAnsiTheme="majorHAnsi"/>
        </w:rPr>
        <w:t>2003</w:t>
      </w:r>
      <w:r w:rsidR="00EB0467" w:rsidRPr="00D23089">
        <w:rPr>
          <w:rFonts w:asciiTheme="majorHAnsi" w:hAnsiTheme="majorHAnsi"/>
        </w:rPr>
        <w:t>)</w:t>
      </w:r>
      <w:r w:rsidRPr="00D23089">
        <w:rPr>
          <w:rFonts w:asciiTheme="majorHAnsi" w:hAnsiTheme="majorHAnsi"/>
        </w:rPr>
        <w:t xml:space="preserve">. </w:t>
      </w:r>
      <w:r w:rsidR="0035503F" w:rsidRPr="00D23089">
        <w:rPr>
          <w:rFonts w:asciiTheme="majorHAnsi" w:hAnsiTheme="majorHAnsi"/>
        </w:rPr>
        <w:t xml:space="preserve">Incidence of enteric viruses in groundwater from household wells in Wisconsin. </w:t>
      </w:r>
      <w:r w:rsidR="0035503F" w:rsidRPr="00D23089">
        <w:rPr>
          <w:rFonts w:asciiTheme="majorHAnsi" w:hAnsiTheme="majorHAnsi"/>
          <w:i/>
        </w:rPr>
        <w:t>Applied</w:t>
      </w:r>
      <w:r w:rsidRPr="00D23089">
        <w:rPr>
          <w:rFonts w:asciiTheme="majorHAnsi" w:hAnsiTheme="majorHAnsi"/>
          <w:i/>
        </w:rPr>
        <w:t xml:space="preserve"> and Environmental Microbiology</w:t>
      </w:r>
      <w:r w:rsidRPr="00D23089">
        <w:rPr>
          <w:rFonts w:asciiTheme="majorHAnsi" w:hAnsiTheme="majorHAnsi"/>
        </w:rPr>
        <w:t>,</w:t>
      </w:r>
      <w:r w:rsidR="0035503F" w:rsidRPr="00D23089">
        <w:rPr>
          <w:rFonts w:asciiTheme="majorHAnsi" w:hAnsiTheme="majorHAnsi"/>
        </w:rPr>
        <w:t xml:space="preserve"> 69</w:t>
      </w:r>
      <w:r w:rsidR="00EB0467" w:rsidRPr="00D23089">
        <w:rPr>
          <w:rFonts w:asciiTheme="majorHAnsi" w:hAnsiTheme="majorHAnsi"/>
        </w:rPr>
        <w:t>(2):</w:t>
      </w:r>
      <w:r w:rsidR="0035503F" w:rsidRPr="00D23089">
        <w:rPr>
          <w:rFonts w:asciiTheme="majorHAnsi" w:hAnsiTheme="majorHAnsi"/>
        </w:rPr>
        <w:t>1172-1180.</w:t>
      </w:r>
    </w:p>
    <w:p w14:paraId="1F0ABE54" w14:textId="77777777" w:rsidR="00A15333" w:rsidRPr="00D23089" w:rsidRDefault="00A15333" w:rsidP="00A15333">
      <w:pPr>
        <w:pStyle w:val="ListParagraph"/>
        <w:numPr>
          <w:ilvl w:val="0"/>
          <w:numId w:val="8"/>
        </w:numPr>
        <w:ind w:left="360"/>
        <w:rPr>
          <w:rFonts w:asciiTheme="majorHAnsi" w:hAnsiTheme="majorHAnsi"/>
        </w:rPr>
      </w:pPr>
      <w:r w:rsidRPr="00D23089">
        <w:rPr>
          <w:rFonts w:asciiTheme="majorHAnsi" w:hAnsiTheme="majorHAnsi"/>
        </w:rPr>
        <w:t>Sanders, A., Messier, K., Sheh</w:t>
      </w:r>
      <w:r w:rsidR="00D84344" w:rsidRPr="00D23089">
        <w:rPr>
          <w:rFonts w:asciiTheme="majorHAnsi" w:hAnsiTheme="majorHAnsi"/>
        </w:rPr>
        <w:t>ee, M., Rudo, K., Serre, M., &amp;</w:t>
      </w:r>
      <w:r w:rsidRPr="00D23089">
        <w:rPr>
          <w:rFonts w:asciiTheme="majorHAnsi" w:hAnsiTheme="majorHAnsi"/>
        </w:rPr>
        <w:t xml:space="preserve"> Fry, R. </w:t>
      </w:r>
      <w:r w:rsidR="00D84344" w:rsidRPr="00D23089">
        <w:rPr>
          <w:rFonts w:asciiTheme="majorHAnsi" w:hAnsiTheme="majorHAnsi"/>
        </w:rPr>
        <w:t xml:space="preserve">(2012). </w:t>
      </w:r>
      <w:r w:rsidRPr="00D23089">
        <w:rPr>
          <w:rFonts w:asciiTheme="majorHAnsi" w:hAnsiTheme="majorHAnsi"/>
        </w:rPr>
        <w:t>Ars</w:t>
      </w:r>
      <w:r w:rsidR="00D84344" w:rsidRPr="00D23089">
        <w:rPr>
          <w:rFonts w:asciiTheme="majorHAnsi" w:hAnsiTheme="majorHAnsi"/>
        </w:rPr>
        <w:t>enic in North Carolina: Public health i</w:t>
      </w:r>
      <w:r w:rsidRPr="00D23089">
        <w:rPr>
          <w:rFonts w:asciiTheme="majorHAnsi" w:hAnsiTheme="majorHAnsi"/>
        </w:rPr>
        <w:t>mplicati</w:t>
      </w:r>
      <w:r w:rsidR="00D84344" w:rsidRPr="00D23089">
        <w:rPr>
          <w:rFonts w:asciiTheme="majorHAnsi" w:hAnsiTheme="majorHAnsi"/>
        </w:rPr>
        <w:t xml:space="preserve">ons. </w:t>
      </w:r>
      <w:r w:rsidR="00D84344" w:rsidRPr="00D23089">
        <w:rPr>
          <w:rFonts w:asciiTheme="majorHAnsi" w:hAnsiTheme="majorHAnsi"/>
          <w:i/>
        </w:rPr>
        <w:t>Environment International</w:t>
      </w:r>
      <w:r w:rsidR="00D84344" w:rsidRPr="00D23089">
        <w:rPr>
          <w:rFonts w:asciiTheme="majorHAnsi" w:hAnsiTheme="majorHAnsi"/>
        </w:rPr>
        <w:t>, 38(1):</w:t>
      </w:r>
      <w:r w:rsidRPr="00D23089">
        <w:rPr>
          <w:rFonts w:asciiTheme="majorHAnsi" w:hAnsiTheme="majorHAnsi"/>
        </w:rPr>
        <w:t>10-</w:t>
      </w:r>
      <w:r w:rsidR="00D84344" w:rsidRPr="00D23089">
        <w:rPr>
          <w:rFonts w:asciiTheme="majorHAnsi" w:hAnsiTheme="majorHAnsi"/>
        </w:rPr>
        <w:t>1</w:t>
      </w:r>
      <w:r w:rsidRPr="00D23089">
        <w:rPr>
          <w:rFonts w:asciiTheme="majorHAnsi" w:hAnsiTheme="majorHAnsi"/>
        </w:rPr>
        <w:t>6.</w:t>
      </w:r>
    </w:p>
    <w:p w14:paraId="1F0ABE55" w14:textId="77777777" w:rsidR="0035503F" w:rsidRDefault="0035503F" w:rsidP="0035503F">
      <w:pPr>
        <w:pStyle w:val="ListParagraph"/>
        <w:numPr>
          <w:ilvl w:val="0"/>
          <w:numId w:val="8"/>
        </w:numPr>
        <w:ind w:left="360"/>
        <w:rPr>
          <w:rFonts w:asciiTheme="majorHAnsi" w:hAnsiTheme="majorHAnsi"/>
        </w:rPr>
      </w:pPr>
      <w:r w:rsidRPr="00D23089">
        <w:rPr>
          <w:rFonts w:asciiTheme="majorHAnsi" w:hAnsiTheme="majorHAnsi"/>
        </w:rPr>
        <w:t>Allevi, R.</w:t>
      </w:r>
      <w:r w:rsidR="00580474" w:rsidRPr="00D23089">
        <w:rPr>
          <w:rFonts w:asciiTheme="majorHAnsi" w:hAnsiTheme="majorHAnsi"/>
        </w:rPr>
        <w:t>P., Krometis, L-A.H.</w:t>
      </w:r>
      <w:r w:rsidRPr="00D23089">
        <w:rPr>
          <w:rFonts w:asciiTheme="majorHAnsi" w:hAnsiTheme="majorHAnsi"/>
        </w:rPr>
        <w:t>, Hagedorn, C., Benham, B., Lawrence, A.</w:t>
      </w:r>
      <w:r w:rsidR="00580474" w:rsidRPr="00D23089">
        <w:rPr>
          <w:rFonts w:asciiTheme="majorHAnsi" w:hAnsiTheme="majorHAnsi"/>
        </w:rPr>
        <w:t>H.</w:t>
      </w:r>
      <w:r w:rsidRPr="00D23089">
        <w:rPr>
          <w:rFonts w:asciiTheme="majorHAnsi" w:hAnsiTheme="majorHAnsi"/>
        </w:rPr>
        <w:t>, Ling, E.</w:t>
      </w:r>
      <w:r w:rsidR="00580474" w:rsidRPr="00D23089">
        <w:rPr>
          <w:rFonts w:asciiTheme="majorHAnsi" w:hAnsiTheme="majorHAnsi"/>
        </w:rPr>
        <w:t>H.</w:t>
      </w:r>
      <w:r w:rsidRPr="00D23089">
        <w:rPr>
          <w:rFonts w:asciiTheme="majorHAnsi" w:hAnsiTheme="majorHAnsi"/>
        </w:rPr>
        <w:t xml:space="preserve">, </w:t>
      </w:r>
      <w:r w:rsidR="00580474" w:rsidRPr="00D23089">
        <w:rPr>
          <w:rFonts w:asciiTheme="majorHAnsi" w:hAnsiTheme="majorHAnsi"/>
        </w:rPr>
        <w:t>&amp;</w:t>
      </w:r>
      <w:r w:rsidRPr="00D23089">
        <w:rPr>
          <w:rFonts w:asciiTheme="majorHAnsi" w:hAnsiTheme="majorHAnsi"/>
        </w:rPr>
        <w:t xml:space="preserve"> Ziegler, P</w:t>
      </w:r>
      <w:r w:rsidR="00580474" w:rsidRPr="00D23089">
        <w:rPr>
          <w:rFonts w:asciiTheme="majorHAnsi" w:hAnsiTheme="majorHAnsi"/>
        </w:rPr>
        <w:t>.E</w:t>
      </w:r>
      <w:r w:rsidRPr="00D23089">
        <w:rPr>
          <w:rFonts w:asciiTheme="majorHAnsi" w:hAnsiTheme="majorHAnsi"/>
        </w:rPr>
        <w:t xml:space="preserve">. </w:t>
      </w:r>
      <w:r w:rsidR="00580474" w:rsidRPr="00D23089">
        <w:rPr>
          <w:rFonts w:asciiTheme="majorHAnsi" w:hAnsiTheme="majorHAnsi"/>
        </w:rPr>
        <w:t xml:space="preserve">(2013). </w:t>
      </w:r>
      <w:r w:rsidRPr="00D23089">
        <w:rPr>
          <w:rFonts w:asciiTheme="majorHAnsi" w:hAnsiTheme="majorHAnsi"/>
        </w:rPr>
        <w:t xml:space="preserve">Quantitative analysis of microbial contamination in private drinking water supply systems. </w:t>
      </w:r>
      <w:r w:rsidRPr="00D23089">
        <w:rPr>
          <w:rFonts w:asciiTheme="majorHAnsi" w:hAnsiTheme="majorHAnsi"/>
          <w:i/>
        </w:rPr>
        <w:t>Journal of Water and Health</w:t>
      </w:r>
      <w:r w:rsidR="00580474" w:rsidRPr="00D23089">
        <w:rPr>
          <w:rFonts w:asciiTheme="majorHAnsi" w:hAnsiTheme="majorHAnsi"/>
        </w:rPr>
        <w:t xml:space="preserve">, </w:t>
      </w:r>
      <w:r w:rsidRPr="00D23089">
        <w:rPr>
          <w:rFonts w:asciiTheme="majorHAnsi" w:hAnsiTheme="majorHAnsi"/>
        </w:rPr>
        <w:t>11(2)</w:t>
      </w:r>
      <w:r w:rsidR="00580474" w:rsidRPr="00D23089">
        <w:rPr>
          <w:rFonts w:asciiTheme="majorHAnsi" w:hAnsiTheme="majorHAnsi"/>
        </w:rPr>
        <w:t>:</w:t>
      </w:r>
      <w:r w:rsidRPr="00D23089">
        <w:rPr>
          <w:rFonts w:asciiTheme="majorHAnsi" w:hAnsiTheme="majorHAnsi"/>
        </w:rPr>
        <w:t>244-</w:t>
      </w:r>
      <w:r w:rsidR="00580474" w:rsidRPr="00D23089">
        <w:rPr>
          <w:rFonts w:asciiTheme="majorHAnsi" w:hAnsiTheme="majorHAnsi"/>
        </w:rPr>
        <w:t>2</w:t>
      </w:r>
      <w:r w:rsidRPr="00D23089">
        <w:rPr>
          <w:rFonts w:asciiTheme="majorHAnsi" w:hAnsiTheme="majorHAnsi"/>
        </w:rPr>
        <w:t>55.</w:t>
      </w:r>
    </w:p>
    <w:p w14:paraId="1F0ABE57" w14:textId="55C8962D" w:rsidR="00670F68" w:rsidRPr="00300F31" w:rsidRDefault="0010155C" w:rsidP="00EF736D">
      <w:pPr>
        <w:pStyle w:val="ListParagraph"/>
        <w:numPr>
          <w:ilvl w:val="0"/>
          <w:numId w:val="8"/>
        </w:numPr>
        <w:ind w:left="360"/>
        <w:rPr>
          <w:rFonts w:asciiTheme="majorHAnsi" w:hAnsiTheme="majorHAnsi"/>
        </w:rPr>
      </w:pPr>
      <w:r>
        <w:rPr>
          <w:rFonts w:asciiTheme="majorHAnsi" w:hAnsiTheme="majorHAnsi"/>
        </w:rPr>
        <w:lastRenderedPageBreak/>
        <w:t xml:space="preserve">ChangeLab Solutions (2016).  ChangeLab Solution – About Us. Available at: </w:t>
      </w:r>
      <w:hyperlink r:id="rId20" w:history="1">
        <w:r w:rsidRPr="00A24425">
          <w:rPr>
            <w:rStyle w:val="Hyperlink"/>
            <w:rFonts w:asciiTheme="majorHAnsi" w:hAnsiTheme="majorHAnsi"/>
          </w:rPr>
          <w:t>http://www.changelabsolutions.org/about-us</w:t>
        </w:r>
      </w:hyperlink>
      <w:r>
        <w:rPr>
          <w:rFonts w:asciiTheme="majorHAnsi" w:hAnsiTheme="majorHAnsi"/>
        </w:rPr>
        <w:t>. Accessed on December 9, 2015.</w:t>
      </w:r>
    </w:p>
    <w:sectPr w:rsidR="00670F68" w:rsidRPr="00300F31" w:rsidSect="006C6578">
      <w:footerReference w:type="default" r:id="rId2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5AA9E" w14:textId="77777777" w:rsidR="00B97F90" w:rsidRDefault="00B97F90" w:rsidP="008B5D54">
      <w:pPr>
        <w:spacing w:after="0" w:line="240" w:lineRule="auto"/>
      </w:pPr>
      <w:r>
        <w:separator/>
      </w:r>
    </w:p>
  </w:endnote>
  <w:endnote w:type="continuationSeparator" w:id="0">
    <w:p w14:paraId="6ED3DC32" w14:textId="77777777" w:rsidR="00B97F90" w:rsidRDefault="00B97F90"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font>
  <w:font w:name="TimesNewRomanPSM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1037069"/>
      <w:docPartObj>
        <w:docPartGallery w:val="Page Numbers (Bottom of Page)"/>
        <w:docPartUnique/>
      </w:docPartObj>
    </w:sdtPr>
    <w:sdtEndPr/>
    <w:sdtContent>
      <w:sdt>
        <w:sdtPr>
          <w:id w:val="-1769616900"/>
          <w:docPartObj>
            <w:docPartGallery w:val="Page Numbers (Top of Page)"/>
            <w:docPartUnique/>
          </w:docPartObj>
        </w:sdtPr>
        <w:sdtEndPr/>
        <w:sdtContent>
          <w:p w14:paraId="1F0ABE5F" w14:textId="77777777" w:rsidR="00B97F90" w:rsidRDefault="00B97F9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F55F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55FF">
              <w:rPr>
                <w:b/>
                <w:bCs/>
                <w:noProof/>
              </w:rPr>
              <w:t>12</w:t>
            </w:r>
            <w:r>
              <w:rPr>
                <w:b/>
                <w:bCs/>
                <w:sz w:val="24"/>
                <w:szCs w:val="24"/>
              </w:rPr>
              <w:fldChar w:fldCharType="end"/>
            </w:r>
          </w:p>
        </w:sdtContent>
      </w:sdt>
    </w:sdtContent>
  </w:sdt>
  <w:p w14:paraId="1F0ABE60" w14:textId="77777777" w:rsidR="00B97F90" w:rsidRDefault="00B97F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CDEFB" w14:textId="77777777" w:rsidR="00B97F90" w:rsidRDefault="00B97F90" w:rsidP="008B5D54">
      <w:pPr>
        <w:spacing w:after="0" w:line="240" w:lineRule="auto"/>
      </w:pPr>
      <w:r>
        <w:separator/>
      </w:r>
    </w:p>
  </w:footnote>
  <w:footnote w:type="continuationSeparator" w:id="0">
    <w:p w14:paraId="07404C3C" w14:textId="77777777" w:rsidR="00B97F90" w:rsidRDefault="00B97F90"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10F54"/>
    <w:multiLevelType w:val="multilevel"/>
    <w:tmpl w:val="C6ECF026"/>
    <w:lvl w:ilvl="0">
      <w:start w:val="1"/>
      <w:numFmt w:val="lowerLetter"/>
      <w:lvlText w:val="%1."/>
      <w:lvlJc w:val="left"/>
      <w:pPr>
        <w:ind w:left="720" w:hanging="360"/>
      </w:pPr>
    </w:lvl>
    <w:lvl w:ilvl="1">
      <w:start w:val="1"/>
      <w:numFmt w:val="decimal"/>
      <w:isLgl/>
      <w:lvlText w:val="%1.%2"/>
      <w:lvlJc w:val="left"/>
      <w:pPr>
        <w:ind w:left="88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BB7241C"/>
    <w:multiLevelType w:val="hybridMultilevel"/>
    <w:tmpl w:val="0EF8B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D11C9B"/>
    <w:multiLevelType w:val="hybridMultilevel"/>
    <w:tmpl w:val="42C4E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2608B"/>
    <w:multiLevelType w:val="hybridMultilevel"/>
    <w:tmpl w:val="F7C289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A20452"/>
    <w:multiLevelType w:val="multilevel"/>
    <w:tmpl w:val="6C30F0DE"/>
    <w:lvl w:ilvl="0">
      <w:start w:val="1"/>
      <w:numFmt w:val="bullet"/>
      <w:lvlText w:val=""/>
      <w:lvlJc w:val="left"/>
      <w:pPr>
        <w:ind w:left="540" w:hanging="360"/>
      </w:pPr>
      <w:rPr>
        <w:rFonts w:ascii="Symbol" w:hAnsi="Symbol" w:hint="default"/>
      </w:rPr>
    </w:lvl>
    <w:lvl w:ilvl="1">
      <w:start w:val="1"/>
      <w:numFmt w:val="decimal"/>
      <w:isLgl/>
      <w:lvlText w:val="%1.%2"/>
      <w:lvlJc w:val="left"/>
      <w:pPr>
        <w:ind w:left="705" w:hanging="43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620" w:hanging="1440"/>
      </w:pPr>
      <w:rPr>
        <w:rFonts w:hint="default"/>
      </w:rPr>
    </w:lvl>
  </w:abstractNum>
  <w:abstractNum w:abstractNumId="5" w15:restartNumberingAfterBreak="0">
    <w:nsid w:val="2B732883"/>
    <w:multiLevelType w:val="hybridMultilevel"/>
    <w:tmpl w:val="CD58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84D83"/>
    <w:multiLevelType w:val="multilevel"/>
    <w:tmpl w:val="2D8809A2"/>
    <w:lvl w:ilvl="0">
      <w:start w:val="1"/>
      <w:numFmt w:val="decimal"/>
      <w:lvlText w:val="%1."/>
      <w:lvlJc w:val="left"/>
      <w:pPr>
        <w:ind w:left="360" w:hanging="360"/>
      </w:pPr>
      <w:rPr>
        <w:b/>
      </w:rPr>
    </w:lvl>
    <w:lvl w:ilvl="1">
      <w:start w:val="1"/>
      <w:numFmt w:val="decimal"/>
      <w:isLgl/>
      <w:lvlText w:val="%1.%2"/>
      <w:lvlJc w:val="left"/>
      <w:pPr>
        <w:ind w:left="88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B6553F"/>
    <w:multiLevelType w:val="hybridMultilevel"/>
    <w:tmpl w:val="0F941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871AA9"/>
    <w:multiLevelType w:val="hybridMultilevel"/>
    <w:tmpl w:val="F8B849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9AE5567"/>
    <w:multiLevelType w:val="multilevel"/>
    <w:tmpl w:val="3E3271DA"/>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4C6A4C52"/>
    <w:multiLevelType w:val="hybridMultilevel"/>
    <w:tmpl w:val="5058B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E4330BC"/>
    <w:multiLevelType w:val="hybridMultilevel"/>
    <w:tmpl w:val="A2CCD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BE0AF8"/>
    <w:multiLevelType w:val="hybridMultilevel"/>
    <w:tmpl w:val="1A323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A870C3"/>
    <w:multiLevelType w:val="hybridMultilevel"/>
    <w:tmpl w:val="8940FAD4"/>
    <w:lvl w:ilvl="0" w:tplc="34D2E6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47352C"/>
    <w:multiLevelType w:val="hybridMultilevel"/>
    <w:tmpl w:val="2376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377E23"/>
    <w:multiLevelType w:val="hybridMultilevel"/>
    <w:tmpl w:val="BDBAF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703EE5"/>
    <w:multiLevelType w:val="hybridMultilevel"/>
    <w:tmpl w:val="4E4E9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38096E"/>
    <w:multiLevelType w:val="hybridMultilevel"/>
    <w:tmpl w:val="69A2C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F8B32F5"/>
    <w:multiLevelType w:val="hybridMultilevel"/>
    <w:tmpl w:val="12A45D34"/>
    <w:lvl w:ilvl="0" w:tplc="E96A3BE4">
      <w:start w:val="1"/>
      <w:numFmt w:val="low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0"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2726B13"/>
    <w:multiLevelType w:val="hybridMultilevel"/>
    <w:tmpl w:val="FA320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0F2AEC"/>
    <w:multiLevelType w:val="hybridMultilevel"/>
    <w:tmpl w:val="BF7A2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A85927"/>
    <w:multiLevelType w:val="hybridMultilevel"/>
    <w:tmpl w:val="769A6520"/>
    <w:lvl w:ilvl="0" w:tplc="E79AC2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326C3E"/>
    <w:multiLevelType w:val="multilevel"/>
    <w:tmpl w:val="C6ECF026"/>
    <w:lvl w:ilvl="0">
      <w:start w:val="1"/>
      <w:numFmt w:val="lowerLetter"/>
      <w:lvlText w:val="%1."/>
      <w:lvlJc w:val="left"/>
      <w:pPr>
        <w:ind w:left="720" w:hanging="360"/>
      </w:pPr>
    </w:lvl>
    <w:lvl w:ilvl="1">
      <w:start w:val="1"/>
      <w:numFmt w:val="decimal"/>
      <w:isLgl/>
      <w:lvlText w:val="%1.%2"/>
      <w:lvlJc w:val="left"/>
      <w:pPr>
        <w:ind w:left="88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1A6A20"/>
    <w:multiLevelType w:val="multilevel"/>
    <w:tmpl w:val="C6ECF026"/>
    <w:lvl w:ilvl="0">
      <w:start w:val="1"/>
      <w:numFmt w:val="lowerLetter"/>
      <w:lvlText w:val="%1."/>
      <w:lvlJc w:val="left"/>
      <w:pPr>
        <w:ind w:left="720" w:hanging="360"/>
      </w:pPr>
    </w:lvl>
    <w:lvl w:ilvl="1">
      <w:start w:val="1"/>
      <w:numFmt w:val="decimal"/>
      <w:isLgl/>
      <w:lvlText w:val="%1.%2"/>
      <w:lvlJc w:val="left"/>
      <w:pPr>
        <w:ind w:left="88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B641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AF43EC3"/>
    <w:multiLevelType w:val="hybridMultilevel"/>
    <w:tmpl w:val="718A4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E8B74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0"/>
  </w:num>
  <w:num w:numId="2">
    <w:abstractNumId w:val="10"/>
  </w:num>
  <w:num w:numId="3">
    <w:abstractNumId w:val="29"/>
  </w:num>
  <w:num w:numId="4">
    <w:abstractNumId w:val="6"/>
  </w:num>
  <w:num w:numId="5">
    <w:abstractNumId w:val="21"/>
  </w:num>
  <w:num w:numId="6">
    <w:abstractNumId w:val="12"/>
  </w:num>
  <w:num w:numId="7">
    <w:abstractNumId w:val="28"/>
  </w:num>
  <w:num w:numId="8">
    <w:abstractNumId w:val="13"/>
  </w:num>
  <w:num w:numId="9">
    <w:abstractNumId w:val="15"/>
  </w:num>
  <w:num w:numId="10">
    <w:abstractNumId w:val="2"/>
  </w:num>
  <w:num w:numId="11">
    <w:abstractNumId w:val="16"/>
  </w:num>
  <w:num w:numId="12">
    <w:abstractNumId w:val="23"/>
  </w:num>
  <w:num w:numId="13">
    <w:abstractNumId w:val="24"/>
  </w:num>
  <w:num w:numId="14">
    <w:abstractNumId w:val="26"/>
  </w:num>
  <w:num w:numId="15">
    <w:abstractNumId w:val="7"/>
  </w:num>
  <w:num w:numId="16">
    <w:abstractNumId w:val="20"/>
  </w:num>
  <w:num w:numId="17">
    <w:abstractNumId w:val="3"/>
  </w:num>
  <w:num w:numId="18">
    <w:abstractNumId w:val="17"/>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8"/>
  </w:num>
  <w:num w:numId="22">
    <w:abstractNumId w:val="1"/>
  </w:num>
  <w:num w:numId="23">
    <w:abstractNumId w:val="19"/>
  </w:num>
  <w:num w:numId="24">
    <w:abstractNumId w:val="14"/>
  </w:num>
  <w:num w:numId="25">
    <w:abstractNumId w:val="4"/>
  </w:num>
  <w:num w:numId="26">
    <w:abstractNumId w:val="27"/>
  </w:num>
  <w:num w:numId="27">
    <w:abstractNumId w:val="0"/>
  </w:num>
  <w:num w:numId="28">
    <w:abstractNumId w:val="25"/>
  </w:num>
  <w:num w:numId="29">
    <w:abstractNumId w:val="8"/>
  </w:num>
  <w:num w:numId="30">
    <w:abstractNumId w:val="9"/>
  </w:num>
  <w:num w:numId="31">
    <w:abstractNumId w:val="5"/>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removeDateAndTime/>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D19"/>
    <w:rsid w:val="00000B0E"/>
    <w:rsid w:val="00000CF0"/>
    <w:rsid w:val="00000D6F"/>
    <w:rsid w:val="00002B2D"/>
    <w:rsid w:val="00003EA4"/>
    <w:rsid w:val="00015E3F"/>
    <w:rsid w:val="0002027A"/>
    <w:rsid w:val="00021C9C"/>
    <w:rsid w:val="00023673"/>
    <w:rsid w:val="00032ADC"/>
    <w:rsid w:val="00033060"/>
    <w:rsid w:val="00033083"/>
    <w:rsid w:val="00033728"/>
    <w:rsid w:val="00036195"/>
    <w:rsid w:val="00037879"/>
    <w:rsid w:val="00044AD9"/>
    <w:rsid w:val="00044C56"/>
    <w:rsid w:val="00047C26"/>
    <w:rsid w:val="00056E94"/>
    <w:rsid w:val="00063D3F"/>
    <w:rsid w:val="0006673B"/>
    <w:rsid w:val="0007238E"/>
    <w:rsid w:val="00072D57"/>
    <w:rsid w:val="000771C0"/>
    <w:rsid w:val="00077357"/>
    <w:rsid w:val="00080BD8"/>
    <w:rsid w:val="00085C9C"/>
    <w:rsid w:val="00085D47"/>
    <w:rsid w:val="0008601A"/>
    <w:rsid w:val="00086B58"/>
    <w:rsid w:val="000957E6"/>
    <w:rsid w:val="000A772E"/>
    <w:rsid w:val="000B05EA"/>
    <w:rsid w:val="000B0823"/>
    <w:rsid w:val="000B4F2F"/>
    <w:rsid w:val="000B68A3"/>
    <w:rsid w:val="000C0E67"/>
    <w:rsid w:val="000C1023"/>
    <w:rsid w:val="000C43C4"/>
    <w:rsid w:val="000D0188"/>
    <w:rsid w:val="000D51B2"/>
    <w:rsid w:val="000D5D08"/>
    <w:rsid w:val="000E30B8"/>
    <w:rsid w:val="000E35A8"/>
    <w:rsid w:val="000F1A85"/>
    <w:rsid w:val="000F253F"/>
    <w:rsid w:val="000F2E09"/>
    <w:rsid w:val="000F59AD"/>
    <w:rsid w:val="001004CF"/>
    <w:rsid w:val="00101417"/>
    <w:rsid w:val="0010155C"/>
    <w:rsid w:val="001066DF"/>
    <w:rsid w:val="0010698E"/>
    <w:rsid w:val="00106F9E"/>
    <w:rsid w:val="001072C4"/>
    <w:rsid w:val="00110A16"/>
    <w:rsid w:val="001121C8"/>
    <w:rsid w:val="00113853"/>
    <w:rsid w:val="001161EB"/>
    <w:rsid w:val="00117C07"/>
    <w:rsid w:val="0013075B"/>
    <w:rsid w:val="00133449"/>
    <w:rsid w:val="001353BC"/>
    <w:rsid w:val="00135423"/>
    <w:rsid w:val="00136B47"/>
    <w:rsid w:val="00144BD5"/>
    <w:rsid w:val="0014665F"/>
    <w:rsid w:val="001556FD"/>
    <w:rsid w:val="00157BB6"/>
    <w:rsid w:val="00160DA7"/>
    <w:rsid w:val="0016139E"/>
    <w:rsid w:val="0016272E"/>
    <w:rsid w:val="00164514"/>
    <w:rsid w:val="0016489D"/>
    <w:rsid w:val="00171F5C"/>
    <w:rsid w:val="0017421A"/>
    <w:rsid w:val="00174F67"/>
    <w:rsid w:val="0018588E"/>
    <w:rsid w:val="00185F18"/>
    <w:rsid w:val="00187D4C"/>
    <w:rsid w:val="00187FCB"/>
    <w:rsid w:val="0019390A"/>
    <w:rsid w:val="0019697E"/>
    <w:rsid w:val="001A1805"/>
    <w:rsid w:val="001B242F"/>
    <w:rsid w:val="001B4B64"/>
    <w:rsid w:val="001B4D2A"/>
    <w:rsid w:val="001B54DB"/>
    <w:rsid w:val="001B61B2"/>
    <w:rsid w:val="001C07AE"/>
    <w:rsid w:val="001C3554"/>
    <w:rsid w:val="001C46D4"/>
    <w:rsid w:val="001C65B6"/>
    <w:rsid w:val="001D2DEA"/>
    <w:rsid w:val="001D79EB"/>
    <w:rsid w:val="001E16F5"/>
    <w:rsid w:val="001E3B03"/>
    <w:rsid w:val="001E4F43"/>
    <w:rsid w:val="001E63FB"/>
    <w:rsid w:val="001E6F6B"/>
    <w:rsid w:val="001F15E8"/>
    <w:rsid w:val="001F46CB"/>
    <w:rsid w:val="001F5578"/>
    <w:rsid w:val="0020087E"/>
    <w:rsid w:val="002027B8"/>
    <w:rsid w:val="00204BE5"/>
    <w:rsid w:val="0020545E"/>
    <w:rsid w:val="00210280"/>
    <w:rsid w:val="002125F2"/>
    <w:rsid w:val="002214BF"/>
    <w:rsid w:val="002218B8"/>
    <w:rsid w:val="00224D0F"/>
    <w:rsid w:val="00231247"/>
    <w:rsid w:val="002345F9"/>
    <w:rsid w:val="00236FB0"/>
    <w:rsid w:val="002406BB"/>
    <w:rsid w:val="00242B79"/>
    <w:rsid w:val="00250A41"/>
    <w:rsid w:val="002520F9"/>
    <w:rsid w:val="00253ECF"/>
    <w:rsid w:val="002555EB"/>
    <w:rsid w:val="0025687F"/>
    <w:rsid w:val="00257D3A"/>
    <w:rsid w:val="00260270"/>
    <w:rsid w:val="002622A6"/>
    <w:rsid w:val="002653C6"/>
    <w:rsid w:val="00270842"/>
    <w:rsid w:val="002714A1"/>
    <w:rsid w:val="002718F6"/>
    <w:rsid w:val="00273262"/>
    <w:rsid w:val="00273E7E"/>
    <w:rsid w:val="002744B8"/>
    <w:rsid w:val="002804E6"/>
    <w:rsid w:val="00291BDF"/>
    <w:rsid w:val="002921BF"/>
    <w:rsid w:val="002943AD"/>
    <w:rsid w:val="00294E61"/>
    <w:rsid w:val="00296887"/>
    <w:rsid w:val="002A38DE"/>
    <w:rsid w:val="002A6B3D"/>
    <w:rsid w:val="002B32DF"/>
    <w:rsid w:val="002B5592"/>
    <w:rsid w:val="002C0188"/>
    <w:rsid w:val="002C06C7"/>
    <w:rsid w:val="002C1991"/>
    <w:rsid w:val="002C457A"/>
    <w:rsid w:val="002D2B83"/>
    <w:rsid w:val="002D4F9F"/>
    <w:rsid w:val="002E2DC8"/>
    <w:rsid w:val="002E3F35"/>
    <w:rsid w:val="002E414C"/>
    <w:rsid w:val="00300F31"/>
    <w:rsid w:val="00301D69"/>
    <w:rsid w:val="0030438A"/>
    <w:rsid w:val="00307BAB"/>
    <w:rsid w:val="00313DAB"/>
    <w:rsid w:val="003156E9"/>
    <w:rsid w:val="003156EF"/>
    <w:rsid w:val="00316FBA"/>
    <w:rsid w:val="00321836"/>
    <w:rsid w:val="00323FBF"/>
    <w:rsid w:val="00326346"/>
    <w:rsid w:val="00330B72"/>
    <w:rsid w:val="003348DB"/>
    <w:rsid w:val="003370A9"/>
    <w:rsid w:val="00340CF0"/>
    <w:rsid w:val="003412D7"/>
    <w:rsid w:val="00343928"/>
    <w:rsid w:val="00345BAA"/>
    <w:rsid w:val="00346159"/>
    <w:rsid w:val="003469C1"/>
    <w:rsid w:val="0034732B"/>
    <w:rsid w:val="003478E1"/>
    <w:rsid w:val="00354C4C"/>
    <w:rsid w:val="0035503F"/>
    <w:rsid w:val="003562D2"/>
    <w:rsid w:val="00375A4F"/>
    <w:rsid w:val="00376BF4"/>
    <w:rsid w:val="0038338F"/>
    <w:rsid w:val="0038511B"/>
    <w:rsid w:val="00385CFB"/>
    <w:rsid w:val="0039785F"/>
    <w:rsid w:val="003A225F"/>
    <w:rsid w:val="003A4A55"/>
    <w:rsid w:val="003A56CE"/>
    <w:rsid w:val="003A671D"/>
    <w:rsid w:val="003B5D1D"/>
    <w:rsid w:val="003C4F4B"/>
    <w:rsid w:val="003D2B7E"/>
    <w:rsid w:val="003D534A"/>
    <w:rsid w:val="003D61BC"/>
    <w:rsid w:val="003E1836"/>
    <w:rsid w:val="003E21B0"/>
    <w:rsid w:val="003E42E7"/>
    <w:rsid w:val="003E6714"/>
    <w:rsid w:val="003E68D8"/>
    <w:rsid w:val="003E731E"/>
    <w:rsid w:val="003E7A4C"/>
    <w:rsid w:val="003F0867"/>
    <w:rsid w:val="003F0EF6"/>
    <w:rsid w:val="003F0F57"/>
    <w:rsid w:val="003F2B62"/>
    <w:rsid w:val="003F49F1"/>
    <w:rsid w:val="00401DE8"/>
    <w:rsid w:val="00404415"/>
    <w:rsid w:val="00404A10"/>
    <w:rsid w:val="00412BAD"/>
    <w:rsid w:val="00415CEA"/>
    <w:rsid w:val="00422D33"/>
    <w:rsid w:val="00422FDF"/>
    <w:rsid w:val="00424DB3"/>
    <w:rsid w:val="004259F0"/>
    <w:rsid w:val="00425CA6"/>
    <w:rsid w:val="0042748B"/>
    <w:rsid w:val="00427661"/>
    <w:rsid w:val="00434E80"/>
    <w:rsid w:val="0044454C"/>
    <w:rsid w:val="004472CB"/>
    <w:rsid w:val="004474C6"/>
    <w:rsid w:val="00450409"/>
    <w:rsid w:val="00452E64"/>
    <w:rsid w:val="00455AB1"/>
    <w:rsid w:val="004568DB"/>
    <w:rsid w:val="00461EDD"/>
    <w:rsid w:val="00464F0F"/>
    <w:rsid w:val="00465B1A"/>
    <w:rsid w:val="00466081"/>
    <w:rsid w:val="0046717F"/>
    <w:rsid w:val="00467B64"/>
    <w:rsid w:val="00472A0E"/>
    <w:rsid w:val="00473AC7"/>
    <w:rsid w:val="00474ECF"/>
    <w:rsid w:val="00477328"/>
    <w:rsid w:val="004823EF"/>
    <w:rsid w:val="004847FF"/>
    <w:rsid w:val="00485EF2"/>
    <w:rsid w:val="00491F62"/>
    <w:rsid w:val="00494128"/>
    <w:rsid w:val="00494687"/>
    <w:rsid w:val="004A0F97"/>
    <w:rsid w:val="004B07E7"/>
    <w:rsid w:val="004B4CEB"/>
    <w:rsid w:val="004C1405"/>
    <w:rsid w:val="004C16D9"/>
    <w:rsid w:val="004C5E93"/>
    <w:rsid w:val="004D2DCD"/>
    <w:rsid w:val="004D5459"/>
    <w:rsid w:val="004D6455"/>
    <w:rsid w:val="004E22B8"/>
    <w:rsid w:val="004E23C0"/>
    <w:rsid w:val="004E4BF5"/>
    <w:rsid w:val="004F195A"/>
    <w:rsid w:val="004F4879"/>
    <w:rsid w:val="004F725F"/>
    <w:rsid w:val="00505F0A"/>
    <w:rsid w:val="0050634B"/>
    <w:rsid w:val="00507F3D"/>
    <w:rsid w:val="00511A26"/>
    <w:rsid w:val="00511F0D"/>
    <w:rsid w:val="00523890"/>
    <w:rsid w:val="00531FEA"/>
    <w:rsid w:val="00533D64"/>
    <w:rsid w:val="00540898"/>
    <w:rsid w:val="005459C5"/>
    <w:rsid w:val="00552F19"/>
    <w:rsid w:val="00557B1E"/>
    <w:rsid w:val="00557BBE"/>
    <w:rsid w:val="00557CED"/>
    <w:rsid w:val="005652B5"/>
    <w:rsid w:val="00565454"/>
    <w:rsid w:val="00565E70"/>
    <w:rsid w:val="00567BF8"/>
    <w:rsid w:val="005719CE"/>
    <w:rsid w:val="00580474"/>
    <w:rsid w:val="00580D5D"/>
    <w:rsid w:val="005821F0"/>
    <w:rsid w:val="00582716"/>
    <w:rsid w:val="005842DC"/>
    <w:rsid w:val="0058433C"/>
    <w:rsid w:val="00587D5F"/>
    <w:rsid w:val="005A0687"/>
    <w:rsid w:val="005A3F6A"/>
    <w:rsid w:val="005B130C"/>
    <w:rsid w:val="005B2FA7"/>
    <w:rsid w:val="005B466D"/>
    <w:rsid w:val="005C00B2"/>
    <w:rsid w:val="005C34F1"/>
    <w:rsid w:val="005C5E2E"/>
    <w:rsid w:val="005C63AC"/>
    <w:rsid w:val="005E313D"/>
    <w:rsid w:val="005F4EFD"/>
    <w:rsid w:val="00605672"/>
    <w:rsid w:val="006075BD"/>
    <w:rsid w:val="00607AB9"/>
    <w:rsid w:val="006109B4"/>
    <w:rsid w:val="00613B8A"/>
    <w:rsid w:val="006177A6"/>
    <w:rsid w:val="00620C76"/>
    <w:rsid w:val="00632AE6"/>
    <w:rsid w:val="00635211"/>
    <w:rsid w:val="00635F20"/>
    <w:rsid w:val="00637D27"/>
    <w:rsid w:val="006400B7"/>
    <w:rsid w:val="00643A1E"/>
    <w:rsid w:val="00644156"/>
    <w:rsid w:val="006443B5"/>
    <w:rsid w:val="00645CD8"/>
    <w:rsid w:val="00646705"/>
    <w:rsid w:val="00651E1A"/>
    <w:rsid w:val="006520D2"/>
    <w:rsid w:val="00652168"/>
    <w:rsid w:val="00660A11"/>
    <w:rsid w:val="00663AB3"/>
    <w:rsid w:val="00670F68"/>
    <w:rsid w:val="006739D7"/>
    <w:rsid w:val="0067463A"/>
    <w:rsid w:val="00675116"/>
    <w:rsid w:val="00684E7F"/>
    <w:rsid w:val="00686BAA"/>
    <w:rsid w:val="00690A12"/>
    <w:rsid w:val="00691E0E"/>
    <w:rsid w:val="00694173"/>
    <w:rsid w:val="006A11DC"/>
    <w:rsid w:val="006A2CBE"/>
    <w:rsid w:val="006A4F32"/>
    <w:rsid w:val="006B30A7"/>
    <w:rsid w:val="006B3873"/>
    <w:rsid w:val="006B64A9"/>
    <w:rsid w:val="006C0EDD"/>
    <w:rsid w:val="006C3E3F"/>
    <w:rsid w:val="006C641A"/>
    <w:rsid w:val="006C6578"/>
    <w:rsid w:val="006C65F6"/>
    <w:rsid w:val="006C7F48"/>
    <w:rsid w:val="006D547B"/>
    <w:rsid w:val="006E185D"/>
    <w:rsid w:val="006E7D62"/>
    <w:rsid w:val="006F026C"/>
    <w:rsid w:val="006F20B4"/>
    <w:rsid w:val="0070229B"/>
    <w:rsid w:val="00704BD8"/>
    <w:rsid w:val="00706A81"/>
    <w:rsid w:val="00707363"/>
    <w:rsid w:val="00710E7C"/>
    <w:rsid w:val="007123D3"/>
    <w:rsid w:val="007126EA"/>
    <w:rsid w:val="0071384D"/>
    <w:rsid w:val="00714686"/>
    <w:rsid w:val="00720FFE"/>
    <w:rsid w:val="00725828"/>
    <w:rsid w:val="0072685E"/>
    <w:rsid w:val="007275EA"/>
    <w:rsid w:val="007279BE"/>
    <w:rsid w:val="007318C1"/>
    <w:rsid w:val="00746DCA"/>
    <w:rsid w:val="007478DA"/>
    <w:rsid w:val="00750BE6"/>
    <w:rsid w:val="007564AF"/>
    <w:rsid w:val="007674A5"/>
    <w:rsid w:val="00772239"/>
    <w:rsid w:val="007758FB"/>
    <w:rsid w:val="00780D3E"/>
    <w:rsid w:val="00793706"/>
    <w:rsid w:val="00795E4F"/>
    <w:rsid w:val="00796094"/>
    <w:rsid w:val="00797503"/>
    <w:rsid w:val="007A2B96"/>
    <w:rsid w:val="007A30A3"/>
    <w:rsid w:val="007A7CC9"/>
    <w:rsid w:val="007C48AE"/>
    <w:rsid w:val="007C4BA1"/>
    <w:rsid w:val="007C5F01"/>
    <w:rsid w:val="007C707F"/>
    <w:rsid w:val="007D2B94"/>
    <w:rsid w:val="007E0B3A"/>
    <w:rsid w:val="007E1108"/>
    <w:rsid w:val="007E1CCA"/>
    <w:rsid w:val="007E2F25"/>
    <w:rsid w:val="007E6789"/>
    <w:rsid w:val="007E78BC"/>
    <w:rsid w:val="007F3303"/>
    <w:rsid w:val="007F55FF"/>
    <w:rsid w:val="007F6C34"/>
    <w:rsid w:val="007F6E58"/>
    <w:rsid w:val="00802D51"/>
    <w:rsid w:val="00806456"/>
    <w:rsid w:val="008132AC"/>
    <w:rsid w:val="008134E2"/>
    <w:rsid w:val="008237E7"/>
    <w:rsid w:val="008239CF"/>
    <w:rsid w:val="00825596"/>
    <w:rsid w:val="00825DDF"/>
    <w:rsid w:val="0082608B"/>
    <w:rsid w:val="00827D66"/>
    <w:rsid w:val="00832CB3"/>
    <w:rsid w:val="00834870"/>
    <w:rsid w:val="0083797A"/>
    <w:rsid w:val="008404A6"/>
    <w:rsid w:val="00850016"/>
    <w:rsid w:val="00851E59"/>
    <w:rsid w:val="00862FD8"/>
    <w:rsid w:val="00863AB0"/>
    <w:rsid w:val="00864DA0"/>
    <w:rsid w:val="008652D3"/>
    <w:rsid w:val="0086655D"/>
    <w:rsid w:val="00872D68"/>
    <w:rsid w:val="0087409B"/>
    <w:rsid w:val="008755EC"/>
    <w:rsid w:val="00876086"/>
    <w:rsid w:val="00876B44"/>
    <w:rsid w:val="00881880"/>
    <w:rsid w:val="0088223D"/>
    <w:rsid w:val="00883C30"/>
    <w:rsid w:val="00884A3C"/>
    <w:rsid w:val="00885E22"/>
    <w:rsid w:val="00887156"/>
    <w:rsid w:val="00887441"/>
    <w:rsid w:val="008900E9"/>
    <w:rsid w:val="008922F4"/>
    <w:rsid w:val="008927EE"/>
    <w:rsid w:val="0089614C"/>
    <w:rsid w:val="008A07CC"/>
    <w:rsid w:val="008A11BC"/>
    <w:rsid w:val="008A6E53"/>
    <w:rsid w:val="008B20C3"/>
    <w:rsid w:val="008B28D5"/>
    <w:rsid w:val="008B5B5D"/>
    <w:rsid w:val="008B5D54"/>
    <w:rsid w:val="008B776E"/>
    <w:rsid w:val="008C0218"/>
    <w:rsid w:val="008C344E"/>
    <w:rsid w:val="008C3732"/>
    <w:rsid w:val="008C5E8D"/>
    <w:rsid w:val="008D123A"/>
    <w:rsid w:val="008D15C6"/>
    <w:rsid w:val="008D66B1"/>
    <w:rsid w:val="008D6EA0"/>
    <w:rsid w:val="008E1CE9"/>
    <w:rsid w:val="008E223F"/>
    <w:rsid w:val="008F29C2"/>
    <w:rsid w:val="008F5C33"/>
    <w:rsid w:val="0090052E"/>
    <w:rsid w:val="00903E59"/>
    <w:rsid w:val="00905C2D"/>
    <w:rsid w:val="009100DC"/>
    <w:rsid w:val="00911D98"/>
    <w:rsid w:val="00912D86"/>
    <w:rsid w:val="00913A34"/>
    <w:rsid w:val="0091421D"/>
    <w:rsid w:val="00920F1E"/>
    <w:rsid w:val="009230C4"/>
    <w:rsid w:val="00932328"/>
    <w:rsid w:val="00933A1B"/>
    <w:rsid w:val="009341CD"/>
    <w:rsid w:val="00936C55"/>
    <w:rsid w:val="00937A87"/>
    <w:rsid w:val="00940204"/>
    <w:rsid w:val="009422D1"/>
    <w:rsid w:val="009504C0"/>
    <w:rsid w:val="00964A4F"/>
    <w:rsid w:val="009738CE"/>
    <w:rsid w:val="009764C5"/>
    <w:rsid w:val="00981393"/>
    <w:rsid w:val="0098195A"/>
    <w:rsid w:val="00984AD1"/>
    <w:rsid w:val="00987BC9"/>
    <w:rsid w:val="009908E5"/>
    <w:rsid w:val="0099096E"/>
    <w:rsid w:val="00992EDE"/>
    <w:rsid w:val="00993E8C"/>
    <w:rsid w:val="009A0402"/>
    <w:rsid w:val="009A1086"/>
    <w:rsid w:val="009A3A55"/>
    <w:rsid w:val="009A3ECB"/>
    <w:rsid w:val="009B4854"/>
    <w:rsid w:val="009B5B10"/>
    <w:rsid w:val="009C36F0"/>
    <w:rsid w:val="009C4496"/>
    <w:rsid w:val="009C548B"/>
    <w:rsid w:val="009C71A8"/>
    <w:rsid w:val="009D170E"/>
    <w:rsid w:val="009D41DD"/>
    <w:rsid w:val="009D6AA6"/>
    <w:rsid w:val="009D7A9D"/>
    <w:rsid w:val="009D7DC5"/>
    <w:rsid w:val="009F256A"/>
    <w:rsid w:val="009F65B0"/>
    <w:rsid w:val="00A03625"/>
    <w:rsid w:val="00A148DB"/>
    <w:rsid w:val="00A15333"/>
    <w:rsid w:val="00A16DCF"/>
    <w:rsid w:val="00A21011"/>
    <w:rsid w:val="00A26A08"/>
    <w:rsid w:val="00A350C4"/>
    <w:rsid w:val="00A350C7"/>
    <w:rsid w:val="00A37EC8"/>
    <w:rsid w:val="00A41B99"/>
    <w:rsid w:val="00A44452"/>
    <w:rsid w:val="00A47007"/>
    <w:rsid w:val="00A477D0"/>
    <w:rsid w:val="00A50330"/>
    <w:rsid w:val="00A55F76"/>
    <w:rsid w:val="00A60F78"/>
    <w:rsid w:val="00A614BC"/>
    <w:rsid w:val="00A6285B"/>
    <w:rsid w:val="00A63D24"/>
    <w:rsid w:val="00A66D34"/>
    <w:rsid w:val="00A70387"/>
    <w:rsid w:val="00A7263F"/>
    <w:rsid w:val="00A74CB4"/>
    <w:rsid w:val="00A76FEA"/>
    <w:rsid w:val="00A82005"/>
    <w:rsid w:val="00A8352E"/>
    <w:rsid w:val="00A852B2"/>
    <w:rsid w:val="00A8752A"/>
    <w:rsid w:val="00A91952"/>
    <w:rsid w:val="00A97A03"/>
    <w:rsid w:val="00AC2749"/>
    <w:rsid w:val="00AC2A71"/>
    <w:rsid w:val="00AD11C1"/>
    <w:rsid w:val="00AE01D5"/>
    <w:rsid w:val="00AE2A3F"/>
    <w:rsid w:val="00AE3EC0"/>
    <w:rsid w:val="00AE417D"/>
    <w:rsid w:val="00AE48F4"/>
    <w:rsid w:val="00AF0C03"/>
    <w:rsid w:val="00AF2350"/>
    <w:rsid w:val="00AF4215"/>
    <w:rsid w:val="00AF4BC2"/>
    <w:rsid w:val="00AF68CE"/>
    <w:rsid w:val="00AF6D8E"/>
    <w:rsid w:val="00B02A20"/>
    <w:rsid w:val="00B02EFF"/>
    <w:rsid w:val="00B10078"/>
    <w:rsid w:val="00B159E9"/>
    <w:rsid w:val="00B2682B"/>
    <w:rsid w:val="00B31F87"/>
    <w:rsid w:val="00B3255E"/>
    <w:rsid w:val="00B3503E"/>
    <w:rsid w:val="00B35A66"/>
    <w:rsid w:val="00B424C9"/>
    <w:rsid w:val="00B44334"/>
    <w:rsid w:val="00B44FF8"/>
    <w:rsid w:val="00B47FF2"/>
    <w:rsid w:val="00B51B7F"/>
    <w:rsid w:val="00B5560F"/>
    <w:rsid w:val="00B55735"/>
    <w:rsid w:val="00B5717E"/>
    <w:rsid w:val="00B5728F"/>
    <w:rsid w:val="00B608AC"/>
    <w:rsid w:val="00B64B45"/>
    <w:rsid w:val="00B65FE2"/>
    <w:rsid w:val="00B738E7"/>
    <w:rsid w:val="00B776B3"/>
    <w:rsid w:val="00B812CF"/>
    <w:rsid w:val="00B81A97"/>
    <w:rsid w:val="00B822DA"/>
    <w:rsid w:val="00B842F2"/>
    <w:rsid w:val="00B872E2"/>
    <w:rsid w:val="00B9554D"/>
    <w:rsid w:val="00B95981"/>
    <w:rsid w:val="00B97F90"/>
    <w:rsid w:val="00BA0EAB"/>
    <w:rsid w:val="00BA2A80"/>
    <w:rsid w:val="00BA3D40"/>
    <w:rsid w:val="00BA54AB"/>
    <w:rsid w:val="00BA6614"/>
    <w:rsid w:val="00BB2CC3"/>
    <w:rsid w:val="00BB40A4"/>
    <w:rsid w:val="00BC45B9"/>
    <w:rsid w:val="00BC4E99"/>
    <w:rsid w:val="00BC6CC1"/>
    <w:rsid w:val="00BD0DBB"/>
    <w:rsid w:val="00BE2C6C"/>
    <w:rsid w:val="00BE330D"/>
    <w:rsid w:val="00BE5B0A"/>
    <w:rsid w:val="00BE7A56"/>
    <w:rsid w:val="00BF2998"/>
    <w:rsid w:val="00BF3EF8"/>
    <w:rsid w:val="00BF50D1"/>
    <w:rsid w:val="00BF6E32"/>
    <w:rsid w:val="00C0271B"/>
    <w:rsid w:val="00C0282B"/>
    <w:rsid w:val="00C04431"/>
    <w:rsid w:val="00C21470"/>
    <w:rsid w:val="00C2356B"/>
    <w:rsid w:val="00C24DA2"/>
    <w:rsid w:val="00C253D3"/>
    <w:rsid w:val="00C34A04"/>
    <w:rsid w:val="00C36501"/>
    <w:rsid w:val="00C3681E"/>
    <w:rsid w:val="00C426F4"/>
    <w:rsid w:val="00C4781D"/>
    <w:rsid w:val="00C50050"/>
    <w:rsid w:val="00C55D24"/>
    <w:rsid w:val="00C6247F"/>
    <w:rsid w:val="00C62640"/>
    <w:rsid w:val="00C62F2D"/>
    <w:rsid w:val="00C73898"/>
    <w:rsid w:val="00C75959"/>
    <w:rsid w:val="00C76BD7"/>
    <w:rsid w:val="00C7720B"/>
    <w:rsid w:val="00C7749F"/>
    <w:rsid w:val="00C86391"/>
    <w:rsid w:val="00C91831"/>
    <w:rsid w:val="00C91DD1"/>
    <w:rsid w:val="00C92974"/>
    <w:rsid w:val="00CA5554"/>
    <w:rsid w:val="00CA5A6F"/>
    <w:rsid w:val="00CB0159"/>
    <w:rsid w:val="00CB0F1F"/>
    <w:rsid w:val="00CB1FD6"/>
    <w:rsid w:val="00CB271B"/>
    <w:rsid w:val="00CB7053"/>
    <w:rsid w:val="00CC0D0F"/>
    <w:rsid w:val="00CC0E0C"/>
    <w:rsid w:val="00CC353C"/>
    <w:rsid w:val="00CC47D6"/>
    <w:rsid w:val="00CD1529"/>
    <w:rsid w:val="00CD3620"/>
    <w:rsid w:val="00CE097C"/>
    <w:rsid w:val="00CE2747"/>
    <w:rsid w:val="00CE505B"/>
    <w:rsid w:val="00CF12DC"/>
    <w:rsid w:val="00CF47DE"/>
    <w:rsid w:val="00CF6975"/>
    <w:rsid w:val="00D00348"/>
    <w:rsid w:val="00D049FE"/>
    <w:rsid w:val="00D13BE8"/>
    <w:rsid w:val="00D15F91"/>
    <w:rsid w:val="00D172E6"/>
    <w:rsid w:val="00D20F14"/>
    <w:rsid w:val="00D211B1"/>
    <w:rsid w:val="00D21D7A"/>
    <w:rsid w:val="00D22876"/>
    <w:rsid w:val="00D23089"/>
    <w:rsid w:val="00D24881"/>
    <w:rsid w:val="00D30645"/>
    <w:rsid w:val="00D363DC"/>
    <w:rsid w:val="00D4256B"/>
    <w:rsid w:val="00D4409B"/>
    <w:rsid w:val="00D460FA"/>
    <w:rsid w:val="00D5012F"/>
    <w:rsid w:val="00D561FC"/>
    <w:rsid w:val="00D57094"/>
    <w:rsid w:val="00D57750"/>
    <w:rsid w:val="00D60249"/>
    <w:rsid w:val="00D612F9"/>
    <w:rsid w:val="00D61CB0"/>
    <w:rsid w:val="00D63039"/>
    <w:rsid w:val="00D73032"/>
    <w:rsid w:val="00D764DC"/>
    <w:rsid w:val="00D7702C"/>
    <w:rsid w:val="00D816F9"/>
    <w:rsid w:val="00D821A0"/>
    <w:rsid w:val="00D84344"/>
    <w:rsid w:val="00D85113"/>
    <w:rsid w:val="00D8546A"/>
    <w:rsid w:val="00D85572"/>
    <w:rsid w:val="00D86CA7"/>
    <w:rsid w:val="00D906B4"/>
    <w:rsid w:val="00DA1E72"/>
    <w:rsid w:val="00DA3AED"/>
    <w:rsid w:val="00DA3DAA"/>
    <w:rsid w:val="00DA5E28"/>
    <w:rsid w:val="00DB0C75"/>
    <w:rsid w:val="00DC57CC"/>
    <w:rsid w:val="00DC61B1"/>
    <w:rsid w:val="00DC6AF0"/>
    <w:rsid w:val="00DD0764"/>
    <w:rsid w:val="00DD45D6"/>
    <w:rsid w:val="00DD62C9"/>
    <w:rsid w:val="00DD6FF8"/>
    <w:rsid w:val="00DE2098"/>
    <w:rsid w:val="00DE2333"/>
    <w:rsid w:val="00DE54EB"/>
    <w:rsid w:val="00DE79E1"/>
    <w:rsid w:val="00DF0213"/>
    <w:rsid w:val="00DF03E3"/>
    <w:rsid w:val="00DF553B"/>
    <w:rsid w:val="00DF5B2E"/>
    <w:rsid w:val="00DF5F50"/>
    <w:rsid w:val="00DF7945"/>
    <w:rsid w:val="00E00D5B"/>
    <w:rsid w:val="00E00F51"/>
    <w:rsid w:val="00E02738"/>
    <w:rsid w:val="00E04223"/>
    <w:rsid w:val="00E07F50"/>
    <w:rsid w:val="00E1151E"/>
    <w:rsid w:val="00E15EED"/>
    <w:rsid w:val="00E1771E"/>
    <w:rsid w:val="00E21843"/>
    <w:rsid w:val="00E23E37"/>
    <w:rsid w:val="00E26DF6"/>
    <w:rsid w:val="00E35E71"/>
    <w:rsid w:val="00E41C2E"/>
    <w:rsid w:val="00E475F1"/>
    <w:rsid w:val="00E51CB5"/>
    <w:rsid w:val="00E51E13"/>
    <w:rsid w:val="00E60A3E"/>
    <w:rsid w:val="00E63B5C"/>
    <w:rsid w:val="00E64536"/>
    <w:rsid w:val="00E65E29"/>
    <w:rsid w:val="00E70C72"/>
    <w:rsid w:val="00E762D0"/>
    <w:rsid w:val="00E77A54"/>
    <w:rsid w:val="00E77DCE"/>
    <w:rsid w:val="00E8527C"/>
    <w:rsid w:val="00E91ACA"/>
    <w:rsid w:val="00E92146"/>
    <w:rsid w:val="00E960E7"/>
    <w:rsid w:val="00EA6F87"/>
    <w:rsid w:val="00EB0467"/>
    <w:rsid w:val="00EB0AA4"/>
    <w:rsid w:val="00EB0D19"/>
    <w:rsid w:val="00EB0F37"/>
    <w:rsid w:val="00EB171F"/>
    <w:rsid w:val="00EB244A"/>
    <w:rsid w:val="00EC0060"/>
    <w:rsid w:val="00EC0375"/>
    <w:rsid w:val="00EC4A1B"/>
    <w:rsid w:val="00ED06D3"/>
    <w:rsid w:val="00ED194C"/>
    <w:rsid w:val="00ED3150"/>
    <w:rsid w:val="00EF736D"/>
    <w:rsid w:val="00EF742F"/>
    <w:rsid w:val="00F001AB"/>
    <w:rsid w:val="00F02B0B"/>
    <w:rsid w:val="00F02E8F"/>
    <w:rsid w:val="00F17028"/>
    <w:rsid w:val="00F21591"/>
    <w:rsid w:val="00F21BEE"/>
    <w:rsid w:val="00F232C1"/>
    <w:rsid w:val="00F23962"/>
    <w:rsid w:val="00F257B9"/>
    <w:rsid w:val="00F302ED"/>
    <w:rsid w:val="00F31D0B"/>
    <w:rsid w:val="00F33681"/>
    <w:rsid w:val="00F344F1"/>
    <w:rsid w:val="00F37559"/>
    <w:rsid w:val="00F37CB1"/>
    <w:rsid w:val="00F41009"/>
    <w:rsid w:val="00F4426E"/>
    <w:rsid w:val="00F503CE"/>
    <w:rsid w:val="00F52382"/>
    <w:rsid w:val="00F565D3"/>
    <w:rsid w:val="00F60EC3"/>
    <w:rsid w:val="00F72D93"/>
    <w:rsid w:val="00F73AC4"/>
    <w:rsid w:val="00F75D67"/>
    <w:rsid w:val="00F804D5"/>
    <w:rsid w:val="00F838E0"/>
    <w:rsid w:val="00F87231"/>
    <w:rsid w:val="00F934B7"/>
    <w:rsid w:val="00F94381"/>
    <w:rsid w:val="00F943C2"/>
    <w:rsid w:val="00F9583C"/>
    <w:rsid w:val="00F95CFB"/>
    <w:rsid w:val="00FA53FA"/>
    <w:rsid w:val="00FA646C"/>
    <w:rsid w:val="00FA79B0"/>
    <w:rsid w:val="00FB17B3"/>
    <w:rsid w:val="00FB17D2"/>
    <w:rsid w:val="00FB2827"/>
    <w:rsid w:val="00FB7D74"/>
    <w:rsid w:val="00FC0BC9"/>
    <w:rsid w:val="00FC2794"/>
    <w:rsid w:val="00FC5A55"/>
    <w:rsid w:val="00FD0359"/>
    <w:rsid w:val="00FD13C1"/>
    <w:rsid w:val="00FD644A"/>
    <w:rsid w:val="00FD64D9"/>
    <w:rsid w:val="00FE086C"/>
    <w:rsid w:val="00FE428D"/>
    <w:rsid w:val="00FE6BEF"/>
    <w:rsid w:val="00FE7371"/>
    <w:rsid w:val="00FF2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F0ABD39"/>
  <w15:chartTrackingRefBased/>
  <w15:docId w15:val="{61D9D845-D586-4BAA-93BE-CE624051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922F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478E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EB0D19"/>
    <w:pPr>
      <w:ind w:left="720"/>
      <w:contextualSpacing/>
    </w:pPr>
  </w:style>
  <w:style w:type="character" w:customStyle="1" w:styleId="Heading2Char">
    <w:name w:val="Heading 2 Char"/>
    <w:basedOn w:val="DefaultParagraphFont"/>
    <w:link w:val="Heading2"/>
    <w:uiPriority w:val="9"/>
    <w:rsid w:val="003478E1"/>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BA2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A2A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11D98"/>
    <w:rPr>
      <w:color w:val="0000FF" w:themeColor="hyperlink"/>
      <w:u w:val="single"/>
    </w:rPr>
  </w:style>
  <w:style w:type="character" w:styleId="FollowedHyperlink">
    <w:name w:val="FollowedHyperlink"/>
    <w:basedOn w:val="DefaultParagraphFont"/>
    <w:uiPriority w:val="99"/>
    <w:semiHidden/>
    <w:unhideWhenUsed/>
    <w:rsid w:val="00911D98"/>
    <w:rPr>
      <w:color w:val="800080" w:themeColor="followedHyperlink"/>
      <w:u w:val="single"/>
    </w:rPr>
  </w:style>
  <w:style w:type="paragraph" w:customStyle="1" w:styleId="Default">
    <w:name w:val="Default"/>
    <w:rsid w:val="000F253F"/>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851E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E59"/>
    <w:rPr>
      <w:rFonts w:ascii="Segoe UI" w:hAnsi="Segoe UI" w:cs="Segoe UI"/>
      <w:sz w:val="18"/>
      <w:szCs w:val="18"/>
    </w:rPr>
  </w:style>
  <w:style w:type="character" w:customStyle="1" w:styleId="Heading1Char">
    <w:name w:val="Heading 1 Char"/>
    <w:basedOn w:val="DefaultParagraphFont"/>
    <w:link w:val="Heading1"/>
    <w:uiPriority w:val="9"/>
    <w:rsid w:val="008922F4"/>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101417"/>
    <w:rPr>
      <w:sz w:val="16"/>
      <w:szCs w:val="16"/>
    </w:rPr>
  </w:style>
  <w:style w:type="paragraph" w:styleId="CommentText">
    <w:name w:val="annotation text"/>
    <w:basedOn w:val="Normal"/>
    <w:link w:val="CommentTextChar"/>
    <w:uiPriority w:val="99"/>
    <w:unhideWhenUsed/>
    <w:rsid w:val="00101417"/>
    <w:pPr>
      <w:spacing w:line="240" w:lineRule="auto"/>
    </w:pPr>
    <w:rPr>
      <w:sz w:val="20"/>
      <w:szCs w:val="20"/>
    </w:rPr>
  </w:style>
  <w:style w:type="character" w:customStyle="1" w:styleId="CommentTextChar">
    <w:name w:val="Comment Text Char"/>
    <w:basedOn w:val="DefaultParagraphFont"/>
    <w:link w:val="CommentText"/>
    <w:uiPriority w:val="99"/>
    <w:rsid w:val="00101417"/>
    <w:rPr>
      <w:sz w:val="20"/>
      <w:szCs w:val="20"/>
    </w:rPr>
  </w:style>
  <w:style w:type="paragraph" w:styleId="CommentSubject">
    <w:name w:val="annotation subject"/>
    <w:basedOn w:val="CommentText"/>
    <w:next w:val="CommentText"/>
    <w:link w:val="CommentSubjectChar"/>
    <w:uiPriority w:val="99"/>
    <w:semiHidden/>
    <w:unhideWhenUsed/>
    <w:rsid w:val="00101417"/>
    <w:rPr>
      <w:b/>
      <w:bCs/>
    </w:rPr>
  </w:style>
  <w:style w:type="character" w:customStyle="1" w:styleId="CommentSubjectChar">
    <w:name w:val="Comment Subject Char"/>
    <w:basedOn w:val="CommentTextChar"/>
    <w:link w:val="CommentSubject"/>
    <w:uiPriority w:val="99"/>
    <w:semiHidden/>
    <w:rsid w:val="00101417"/>
    <w:rPr>
      <w:b/>
      <w:bCs/>
      <w:sz w:val="20"/>
      <w:szCs w:val="20"/>
    </w:rPr>
  </w:style>
  <w:style w:type="paragraph" w:styleId="Revision">
    <w:name w:val="Revision"/>
    <w:hidden/>
    <w:uiPriority w:val="99"/>
    <w:semiHidden/>
    <w:rsid w:val="008A07CC"/>
    <w:pPr>
      <w:spacing w:after="0" w:line="240" w:lineRule="auto"/>
    </w:pPr>
  </w:style>
  <w:style w:type="character" w:styleId="Strong">
    <w:name w:val="Strong"/>
    <w:basedOn w:val="DefaultParagraphFont"/>
    <w:uiPriority w:val="22"/>
    <w:qFormat/>
    <w:rsid w:val="005C5E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613870">
      <w:bodyDiv w:val="1"/>
      <w:marLeft w:val="0"/>
      <w:marRight w:val="0"/>
      <w:marTop w:val="0"/>
      <w:marBottom w:val="0"/>
      <w:divBdr>
        <w:top w:val="none" w:sz="0" w:space="0" w:color="auto"/>
        <w:left w:val="none" w:sz="0" w:space="0" w:color="auto"/>
        <w:bottom w:val="none" w:sz="0" w:space="0" w:color="auto"/>
        <w:right w:val="none" w:sz="0" w:space="0" w:color="auto"/>
      </w:divBdr>
    </w:div>
    <w:div w:id="475689460">
      <w:bodyDiv w:val="1"/>
      <w:marLeft w:val="0"/>
      <w:marRight w:val="0"/>
      <w:marTop w:val="0"/>
      <w:marBottom w:val="0"/>
      <w:divBdr>
        <w:top w:val="none" w:sz="0" w:space="0" w:color="auto"/>
        <w:left w:val="none" w:sz="0" w:space="0" w:color="auto"/>
        <w:bottom w:val="none" w:sz="0" w:space="0" w:color="auto"/>
        <w:right w:val="none" w:sz="0" w:space="0" w:color="auto"/>
      </w:divBdr>
    </w:div>
    <w:div w:id="771390611">
      <w:bodyDiv w:val="1"/>
      <w:marLeft w:val="0"/>
      <w:marRight w:val="0"/>
      <w:marTop w:val="0"/>
      <w:marBottom w:val="0"/>
      <w:divBdr>
        <w:top w:val="none" w:sz="0" w:space="0" w:color="auto"/>
        <w:left w:val="none" w:sz="0" w:space="0" w:color="auto"/>
        <w:bottom w:val="none" w:sz="0" w:space="0" w:color="auto"/>
        <w:right w:val="none" w:sz="0" w:space="0" w:color="auto"/>
      </w:divBdr>
    </w:div>
    <w:div w:id="1245145560">
      <w:bodyDiv w:val="1"/>
      <w:marLeft w:val="0"/>
      <w:marRight w:val="0"/>
      <w:marTop w:val="0"/>
      <w:marBottom w:val="0"/>
      <w:divBdr>
        <w:top w:val="none" w:sz="0" w:space="0" w:color="auto"/>
        <w:left w:val="none" w:sz="0" w:space="0" w:color="auto"/>
        <w:bottom w:val="none" w:sz="0" w:space="0" w:color="auto"/>
        <w:right w:val="none" w:sz="0" w:space="0" w:color="auto"/>
      </w:divBdr>
    </w:div>
    <w:div w:id="1455364228">
      <w:bodyDiv w:val="1"/>
      <w:marLeft w:val="0"/>
      <w:marRight w:val="0"/>
      <w:marTop w:val="0"/>
      <w:marBottom w:val="0"/>
      <w:divBdr>
        <w:top w:val="none" w:sz="0" w:space="0" w:color="auto"/>
        <w:left w:val="none" w:sz="0" w:space="0" w:color="auto"/>
        <w:bottom w:val="none" w:sz="0" w:space="0" w:color="auto"/>
        <w:right w:val="none" w:sz="0" w:space="0" w:color="auto"/>
      </w:divBdr>
    </w:div>
    <w:div w:id="211532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cz4@cdc.gov" TargetMode="External"/><Relationship Id="rId18" Type="http://schemas.openxmlformats.org/officeDocument/2006/relationships/hyperlink" Target="http://pubs.usgs.gov/sir/2008/5227"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ater.usgs.gov/nawqa/" TargetMode="External"/><Relationship Id="rId2" Type="http://schemas.openxmlformats.org/officeDocument/2006/relationships/customXml" Target="../customXml/item2.xml"/><Relationship Id="rId16" Type="http://schemas.openxmlformats.org/officeDocument/2006/relationships/hyperlink" Target="http://dx.doi.org/10.3133/cir1405.%20ISSN%202330&#8211;5703" TargetMode="External"/><Relationship Id="rId20" Type="http://schemas.openxmlformats.org/officeDocument/2006/relationships/hyperlink" Target="http://www.changelabsolutions.org/about-u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cdc.gov/nphpsp/essentialservices.html"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cdc.gov/nors/index.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ncs/ocs/sp/nctb1349.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2.xml><?xml version="1.0" encoding="utf-8"?>
<p:properties xmlns:p="http://schemas.microsoft.com/office/2006/metadata/properties" xmlns:xsi="http://www.w3.org/2001/XMLSchema-instance" xmlns:pc="http://schemas.microsoft.com/office/infopath/2007/PartnerControls">
  <documentManagement>
    <OSC_StateA_14_8Average_Hours_Per_Collection xmlns="bd99c180-279b-44c3-9486-dd050336677e">0</OSC_StateA_14_8Average_Hours_Per_Collection>
    <OSC_StateA_Consequences_Collecting_Less_Frequently xmlns="bd99c180-279b-44c3-9486-dd050336677e" xsi:nil="true"/>
    <OSC_StateA_Background xmlns="bd99c180-279b-44c3-9486-dd050336677e" xsi:nil="true"/>
    <GenICPIBranchOROfficeTitle xmlns="bd99c180-279b-44c3-9486-dd050336677e">=&gt;Enter branch or office title&lt;=</GenICPIBranchOROfficeTitle>
    <OSC_StateA_12_1Hourly_Wage_Rate xmlns="bd99c180-279b-44c3-9486-dd050336677e">0</OSC_StateA_12_1Hourly_Wage_Rate>
    <OSC_StateA_12_9Number_of_Respondents xmlns="bd99c180-279b-44c3-9486-dd050336677e">0</OSC_StateA_12_9Number_of_Respondents>
    <OSC_StateA_12_2Average_Burden_per_Response_in_Hours xmlns="bd99c180-279b-44c3-9486-dd050336677e">=&gt;20/60&lt;=</OSC_StateA_12_2Average_Burden_per_Response_in_Hours>
    <OSC_StateA_14_6Staff_FTE xmlns="bd99c180-279b-44c3-9486-dd050336677e">=&gt;Enter&lt;=</OSC_StateA_14_6Staff_FTE>
    <OSC_StateA_14_1Staff_FTE xmlns="bd99c180-279b-44c3-9486-dd050336677e">=&gt;Enter&lt;=</OSC_StateA_14_1Staff_FTE>
    <OSC_StateA_14_10Average_Hours_Per_Collection xmlns="bd99c180-279b-44c3-9486-dd050336677e">0</OSC_StateA_14_10Average_Hours_Per_Collection>
    <OSC_StateA_12_3Total_Burden_Hours xmlns="bd99c180-279b-44c3-9486-dd050336677e">0</OSC_StateA_12_3Total_Burden_Hours>
    <OSC_StateA_12_3Type_of_Respondent xmlns="bd99c180-279b-44c3-9486-dd050336677e">=&gt;Enter&lt;=</OSC_StateA_12_3Type_of_Respondent>
    <OSC_StateA_12_10Total_Respondent_Costs xmlns="bd99c180-279b-44c3-9486-dd050336677e">0</OSC_StateA_12_10Total_Respondent_Costs>
    <GenICTitle xmlns="15b1c282-9287-45cb-9b41-eae3a76919a0">=&gt;Enter short but descriptive title reflecting the purpose of the data collection. &lt;=</GenICTitle>
    <OSC_StateA_14_1Average_Cost xmlns="bd99c180-279b-44c3-9486-dd050336677e">0</OSC_StateA_14_1Average_Cost>
    <_dlc_DocId xmlns="b5c0ca00-073d-4463-9985-b654f14791fe">OSTLTSDOC-726-132</_dlc_DocId>
    <OSC_StateA_12_2Number_of_Respondents xmlns="bd99c180-279b-44c3-9486-dd050336677e">0</OSC_StateA_12_2Number_of_Respondents>
    <OSC_StateA_Websites_Directed_at_Children xmlns="bd99c180-279b-44c3-9486-dd050336677e" xsi:nil="true"/>
    <OSC_StateA_14_2Average_Hours_Per_Collection xmlns="bd99c180-279b-44c3-9486-dd050336677e">0</OSC_StateA_14_2Average_Hours_Per_Collection>
    <OSC_StateA_14_Estimated_Total_Cost_of_Information_Collection xmlns="bd99c180-279b-44c3-9486-dd050336677e">0</OSC_StateA_14_Estimated_Total_Cost_of_Information_Collection>
    <GenICNickname xmlns="15b1c282-9287-45cb-9b41-eae3a76919a0" xsi:nil="true"/>
    <OSC_StateA_12_9Number_of_Responses_per_Respondent xmlns="bd99c180-279b-44c3-9486-dd050336677e">1</OSC_StateA_12_9Number_of_Responses_per_Respondent>
    <OSC_StateA_12_4Average_Burden_per_Response_in_Hours xmlns="bd99c180-279b-44c3-9486-dd050336677e">=&gt;20/60&lt;=</OSC_StateA_12_4Average_Burden_per_Response_in_Hours>
    <OSC_StateA_12_9Average_Burden_per_Response_in_Hours xmlns="bd99c180-279b-44c3-9486-dd050336677e">=&gt;20/60&lt;=</OSC_StateA_12_9Average_Burden_per_Response_in_Hours>
    <OSC_StateA_12_9Hourly_Wage_Rate xmlns="bd99c180-279b-44c3-9486-dd050336677e">0</OSC_StateA_12_9Hourly_Wage_Rate>
    <OSC_StateA_14_9Staff_FTE xmlns="bd99c180-279b-44c3-9486-dd050336677e">=&gt;Enter&lt;=</OSC_StateA_14_9Staff_FTE>
    <OSC_StateA_12_4Number_of_Respondents xmlns="bd99c180-279b-44c3-9486-dd050336677e">0</OSC_StateA_12_4Number_of_Respondents>
    <OSC_StateA_14_4Staff_FTE xmlns="bd99c180-279b-44c3-9486-dd050336677e">=&gt;Enter&lt;=</OSC_StateA_14_4Staff_FTE>
    <OSC_StateA_12_8Number_of_Responses_per_Respondent xmlns="bd99c180-279b-44c3-9486-dd050336677e">1</OSC_StateA_12_8Number_of_Responses_per_Respondent>
    <OSC_StateA_12_4Type_of_Respondent xmlns="bd99c180-279b-44c3-9486-dd050336677e">=&gt;Enter&lt;=</OSC_StateA_12_4Type_of_Respondent>
    <OSC_StateA_12_4Total_Burden_Hours xmlns="bd99c180-279b-44c3-9486-dd050336677e">0</OSC_StateA_12_4Total_Burden_Hours>
    <GenICPITitle xmlns="bd99c180-279b-44c3-9486-dd050336677e">=&gt;Enter official CDC title&lt;=</GenICPITitle>
    <OSC_StateA_14_9Average_Hours_Per_Collection xmlns="bd99c180-279b-44c3-9486-dd050336677e">0</OSC_StateA_14_9Average_Hours_Per_Collection>
    <OSC_StateA_Response_to_the_Federal_Register_Notice_and_Efforts xmlns="bd99c180-279b-44c3-9486-dd050336677e" xsi:nil="true"/>
    <OSC_StateA_14_5Average_Cost xmlns="bd99c180-279b-44c3-9486-dd050336677e">0</OSC_StateA_14_5Average_Cost>
    <OSC_StateA_12_7Number_of_Responses_per_Respondent xmlns="bd99c180-279b-44c3-9486-dd050336677e">1</OSC_StateA_12_7Number_of_Responses_per_Respondent>
    <OSC_StateA_Date_Submitted xmlns="bd99c180-279b-44c3-9486-dd050336677e" xsi:nil="true"/>
    <OSC_StateA_12_9Total_Respondent_Costs xmlns="bd99c180-279b-44c3-9486-dd050336677e">0</OSC_StateA_12_9Total_Respondent_Costs>
    <OSC_StateA_12_6Number_of_Respondents xmlns="bd99c180-279b-44c3-9486-dd050336677e">0</OSC_StateA_12_6Number_of_Respondents>
    <OSC_StateA_Explanation_for_Program_Changes_or_Adjustments xmlns="bd99c180-279b-44c3-9486-dd050336677e" xsi:nil="true"/>
    <OSC_StateA_14_10Average_Cost xmlns="bd99c180-279b-44c3-9486-dd050336677e">0</OSC_StateA_14_10Average_Cost>
    <OSC_StateA_12_6Number_of_Responses_per_Respondent xmlns="bd99c180-279b-44c3-9486-dd050336677e">1</OSC_StateA_12_6Number_of_Responses_per_Respondent>
    <OSC_StateA_Overview_Of_Data_Collection_System xmlns="bd99c180-279b-44c3-9486-dd050336677e" xsi:nil="true"/>
    <OSC_StateA_14_6Average_Hours_Per_Collection xmlns="bd99c180-279b-44c3-9486-dd050336677e">0</OSC_StateA_14_6Average_Hours_Per_Collection>
    <OSC_StateA_12_8Hourly_Wage_Rate xmlns="bd99c180-279b-44c3-9486-dd050336677e">0</OSC_StateA_12_8Hourly_Wage_Rate>
    <GenICPIDivisionOROfficeTitle xmlns="bd99c180-279b-44c3-9486-dd050336677e">=&gt;Enter division or office title&lt;=</GenICPIDivisionOROfficeTitle>
    <OSC_StateA_12_8Total_Respondent_Costs xmlns="bd99c180-279b-44c3-9486-dd050336677e">0</OSC_StateA_12_8Total_Respondent_Costs>
    <GenICPICenterDivisionBranch xmlns="bd99c180-279b-44c3-9486-dd050336677e" xsi:nil="true"/>
    <OSC_StateA_12_Total_Total_Burden_Hours xmlns="bd99c180-279b-44c3-9486-dd050336677e">0</OSC_StateA_12_Total_Total_Burden_Hours>
    <OSC_StateA_12_6Average_Burden_per_Response_in_Hours xmlns="bd99c180-279b-44c3-9486-dd050336677e">=&gt;20/60&lt;=</OSC_StateA_12_6Average_Burden_per_Response_in_Hours>
    <OSC_StateA_14_2Staff_FTE xmlns="bd99c180-279b-44c3-9486-dd050336677e">=&gt;Enter&lt;=</OSC_StateA_14_2Staff_FTE>
    <OSC_StateA_14_9Average_Cost xmlns="bd99c180-279b-44c3-9486-dd050336677e">0</OSC_StateA_14_9Average_Cost>
    <OSC_StateA_12_5Type_of_Respondent xmlns="bd99c180-279b-44c3-9486-dd050336677e">=&gt;Enter&lt;=</OSC_StateA_12_5Type_of_Respondent>
    <OSC_StateA_12_5Number_of_Responses_per_Respondent xmlns="bd99c180-279b-44c3-9486-dd050336677e">1</OSC_StateA_12_5Number_of_Responses_per_Respondent>
    <OSC_StateA_12_5Total_Burden_Hours xmlns="bd99c180-279b-44c3-9486-dd050336677e">0</OSC_StateA_12_5Total_Burden_Hours>
    <OSC_StateA_14_7Staff_FTE xmlns="bd99c180-279b-44c3-9486-dd050336677e">=&gt;Enter&lt;=</OSC_StateA_14_7Staff_FTE>
    <GenICPIPhone xmlns="bd99c180-279b-44c3-9486-dd050336677e">=&gt;###-###-####&lt;=</GenICPIPhone>
    <OSC_StateA_12_1Average_Burden_per_Response_in_Hours xmlns="bd99c180-279b-44c3-9486-dd050336677e">=&gt;20/60&lt;=</OSC_StateA_12_1Average_Burden_per_Response_in_Hours>
    <OSC_StateA_Impact_on_Small_Businesses_or_Other_Small_Entities xmlns="bd99c180-279b-44c3-9486-dd050336677e" xsi:nil="true"/>
    <OSC_StateA_14_10Average_Hourly_Rate xmlns="bd99c180-279b-44c3-9486-dd050336677e">0</OSC_StateA_14_10Average_Hourly_Rate>
    <OSC_StateA_Estimates_of_Annualized_Burden_Hours_and_Costs xmlns="bd99c180-279b-44c3-9486-dd050336677e" xsi:nil="true"/>
    <OSC_StateA_Explanation_of_Any_Payment_or_Gift_to_Respondents xmlns="bd99c180-279b-44c3-9486-dd050336677e" xsi:nil="true"/>
    <OSC_StateA_12_4Number_of_Responses_per_Respondent xmlns="bd99c180-279b-44c3-9486-dd050336677e">1</OSC_StateA_12_4Number_of_Responses_per_Respondent>
    <OSC_StateA_12_7Hourly_Wage_Rate xmlns="bd99c180-279b-44c3-9486-dd050336677e">0</OSC_StateA_12_7Hourly_Wage_Rate>
    <OSC_StateA_12_8Number_of_Respondents xmlns="bd99c180-279b-44c3-9486-dd050336677e">0</OSC_StateA_12_8Number_of_Respondents>
    <OSC_StateA_14_3Average_Hours_Per_Collection xmlns="bd99c180-279b-44c3-9486-dd050336677e">0</OSC_StateA_14_3Average_Hours_Per_Collection>
    <OSC_StateA_Estimate_Other_Total_Annual_Cost_Burden_to_Respond xmlns="bd99c180-279b-44c3-9486-dd050336677e" xsi:nil="true"/>
    <OSC_StateA_12_7Total_Respondent_Costs xmlns="bd99c180-279b-44c3-9486-dd050336677e">0</OSC_StateA_12_7Total_Respondent_Costs>
    <OSC_StateA_14_4Average_Hourly_Rate xmlns="bd99c180-279b-44c3-9486-dd050336677e">0</OSC_StateA_14_4Average_Hourly_Rate>
    <OSC_StateA_Justification_for_Sensitive_Questions xmlns="bd99c180-279b-44c3-9486-dd050336677e" xsi:nil="true"/>
    <OSC_StateA_12_Total_Total_Respondent_Costs xmlns="bd99c180-279b-44c3-9486-dd050336677e">0</OSC_StateA_12_Total_Total_Respondent_Costs>
    <OSC_StateA_14_1Average_Hourly_Rate xmlns="bd99c180-279b-44c3-9486-dd050336677e">0</OSC_StateA_14_1Average_Hourly_Rate>
    <OSC_StateA_14_4Average_Cost xmlns="bd99c180-279b-44c3-9486-dd050336677e">0</OSC_StateA_14_4Average_Cost>
    <OSC_StateA_12_3Number_of_Responses_per_Respondent xmlns="bd99c180-279b-44c3-9486-dd050336677e">1</OSC_StateA_12_3Number_of_Responses_per_Respondent>
    <OSC_StateA_14_3Average_Hourly_Rate xmlns="bd99c180-279b-44c3-9486-dd050336677e">0</OSC_StateA_14_3Average_Hourly_Rate>
    <OSC_StateA_14_2Average_Hourly_Rate xmlns="bd99c180-279b-44c3-9486-dd050336677e">0</OSC_StateA_14_2Average_Hourly_Rate>
    <OSC_StateA_14_5Average_Hourly_Rate xmlns="bd99c180-279b-44c3-9486-dd050336677e">0</OSC_StateA_14_5Average_Hourly_Rate>
    <OSC_StateA_14_7Average_Hourly_Rate xmlns="bd99c180-279b-44c3-9486-dd050336677e">0</OSC_StateA_14_7Average_Hourly_Rate>
    <OSC_StateA_Tabulation_and_Publication_and_Project_Time_Schedule xmlns="bd99c180-279b-44c3-9486-dd050336677e" xsi:nil="true"/>
    <OSC_StateA_14_6Average_Hourly_Rate xmlns="bd99c180-279b-44c3-9486-dd050336677e">0</OSC_StateA_14_6Average_Hourly_Rate>
    <OSC_StateA_14_9Average_Hourly_Rate xmlns="bd99c180-279b-44c3-9486-dd050336677e">0</OSC_StateA_14_9Average_Hourly_Rate>
    <OSC_StateA_14_8Average_Hourly_Rate xmlns="bd99c180-279b-44c3-9486-dd050336677e">0</OSC_StateA_14_8Average_Hourly_Rate>
    <OSC_StateA_12_6Hourly_Wage_Rate xmlns="bd99c180-279b-44c3-9486-dd050336677e">0</OSC_StateA_12_6Hourly_Wage_Rate>
    <OSC_StateA_12_6Total_Respondent_Costs xmlns="bd99c180-279b-44c3-9486-dd050336677e">0</OSC_StateA_12_6Total_Respondent_Costs>
    <OSC_StateA_Annualized_Cost_to_the_Government xmlns="bd99c180-279b-44c3-9486-dd050336677e" xsi:nil="true"/>
    <OSC_StateA_12_1Number_of_Respondents xmlns="bd99c180-279b-44c3-9486-dd050336677e">0</OSC_StateA_12_1Number_of_Respondents>
    <GenICPIName xmlns="bd99c180-279b-44c3-9486-dd050336677e">=&gt;Enter full name and credentials&lt;=</GenICPIName>
    <OSC_StateA_12_6Type_of_Respondent xmlns="bd99c180-279b-44c3-9486-dd050336677e">=&gt;Enter&lt;=</OSC_StateA_12_6Type_of_Respondent>
    <OSC_StateA_12_6Total_Burden_Hours xmlns="bd99c180-279b-44c3-9486-dd050336677e">0</OSC_StateA_12_6Total_Burden_Hours>
    <OSC_StateA_12_2Number_of_Responses_per_Respondent xmlns="bd99c180-279b-44c3-9486-dd050336677e">1</OSC_StateA_12_2Number_of_Responses_per_Respondent>
    <GenICPIFax xmlns="bd99c180-279b-44c3-9486-dd050336677e">=&gt;###-###-####&lt;=</GenICPIFax>
    <OSC_StateA_12_10Number_of_Respondents xmlns="bd99c180-279b-44c3-9486-dd050336677e">0</OSC_StateA_12_10Number_of_Respondents>
    <OSC_StateA_Items_to_be_collected xmlns="bd99c180-279b-44c3-9486-dd050336677e" xsi:nil="true"/>
    <OSC_StateA_12_5Total_Respondent_Costs xmlns="bd99c180-279b-44c3-9486-dd050336677e">0</OSC_StateA_12_5Total_Respondent_Costs>
    <OSC_StateA_12_1Number_of_Responses_per_Respondent xmlns="bd99c180-279b-44c3-9486-dd050336677e">1</OSC_StateA_12_1Number_of_Responses_per_Respondent>
    <OSC_StateA_12_3Average_Burden_per_Response_in_Hours xmlns="bd99c180-279b-44c3-9486-dd050336677e">=&gt;20/60&lt;=</OSC_StateA_12_3Average_Burden_per_Response_in_Hours>
    <OSC_StateA_14_8Average_Cost xmlns="bd99c180-279b-44c3-9486-dd050336677e">0</OSC_StateA_14_8Average_Cost>
    <OSC_StateA_12_8Average_Burden_per_Response_in_Hours xmlns="bd99c180-279b-44c3-9486-dd050336677e">=&gt;20/60&lt;=</OSC_StateA_12_8Average_Burden_per_Response_in_Hours>
    <OSC_StateA_List_Of_Attachments xmlns="bd99c180-279b-44c3-9486-dd050336677e" xsi:nil="true"/>
    <OSC_StateA_12_5Hourly_Wage_Rate xmlns="bd99c180-279b-44c3-9486-dd050336677e">0</OSC_StateA_12_5Hourly_Wage_Rate>
    <OSC_StateA_14_5Staff_FTE xmlns="bd99c180-279b-44c3-9486-dd050336677e">=&gt;Enter&lt;=</OSC_StateA_14_5Staff_FTE>
    <OSC_StateA_12_3Number_of_Respondents xmlns="bd99c180-279b-44c3-9486-dd050336677e">0</OSC_StateA_12_3Number_of_Respondents>
    <OSC_StateA_14_7Average_Hours_Per_Collection xmlns="bd99c180-279b-44c3-9486-dd050336677e">0</OSC_StateA_14_7Average_Hours_Per_Collection>
    <OSC_StateA_12_4Total_Respondent_Costs xmlns="bd99c180-279b-44c3-9486-dd050336677e">0</OSC_StateA_12_4Total_Respondent_Costs>
    <OSC_StateA_14_3Average_Cost xmlns="bd99c180-279b-44c3-9486-dd050336677e">0</OSC_StateA_14_3Average_Cost>
    <OSC_StateA_12_10Hourly_Wage_Rate xmlns="bd99c180-279b-44c3-9486-dd050336677e">0</OSC_StateA_12_10Hourly_Wage_Rate>
    <GenICPIWorkMailingAddress xmlns="bd99c180-279b-44c3-9486-dd050336677e">=&gt;Enter work mailing address&lt;=</GenICPIWorkMailingAddress>
    <OSC_StateA_Identify_Duplication_Similar_Information xmlns="bd99c180-279b-44c3-9486-dd050336677e" xsi:nil="true"/>
    <OSC_StateA_12_7Type_of_Respondent xmlns="bd99c180-279b-44c3-9486-dd050336677e">=&gt;Enter&lt;=</OSC_StateA_12_7Type_of_Respondent>
    <OSC_StateA_12_3Total_Respondent_Costs xmlns="bd99c180-279b-44c3-9486-dd050336677e">0</OSC_StateA_12_3Total_Respondent_Costs>
    <OSC_StateA_12_4Hourly_Wage_Rate xmlns="bd99c180-279b-44c3-9486-dd050336677e">0</OSC_StateA_12_4Hourly_Wage_Rate>
    <OSC_StateA_12_7Total_Burden_Hours xmlns="bd99c180-279b-44c3-9486-dd050336677e">0</OSC_StateA_12_7Total_Burden_Hours>
    <GenICPIEmail xmlns="bd99c180-279b-44c3-9486-dd050336677e">=&gt;Enter work email&lt;=</GenICPIEmail>
    <OSC_StateA_12_10Number_of_Responses_per_Respondent xmlns="bd99c180-279b-44c3-9486-dd050336677e">1</OSC_StateA_12_10Number_of_Responses_per_Respondent>
    <OSC_StateA_14_4Average_Hours_Per_Collection xmlns="bd99c180-279b-44c3-9486-dd050336677e">0</OSC_StateA_14_4Average_Hours_Per_Collection>
    <OSC_StateA_Reason_Display_OMB_Expiration_Date_is_Inappropriate xmlns="bd99c180-279b-44c3-9486-dd050336677e" xsi:nil="true"/>
    <OSC_StateA_12_Total_Number_of_Responses_per_Respondent xmlns="bd99c180-279b-44c3-9486-dd050336677e">1</OSC_StateA_12_Total_Number_of_Responses_per_Respondent>
    <OSC_StateA_Exceptions_Certification_Paperwork_Reduction_Act xmlns="bd99c180-279b-44c3-9486-dd050336677e" xsi:nil="true"/>
    <OSC_StateA_12_5Number_of_Respondents xmlns="bd99c180-279b-44c3-9486-dd050336677e">0</OSC_StateA_12_5Number_of_Respondents>
    <OSC_StateA_12_10Average_Burden_per_Response_in_Hours xmlns="bd99c180-279b-44c3-9486-dd050336677e">=&gt;20/60&lt;=</OSC_StateA_12_10Average_Burden_per_Response_in_Hours>
    <GenICPICDCID xmlns="bd99c180-279b-44c3-9486-dd050336677e" xsi:nil="true"/>
    <OSC_StateA_12_1Total_Burden_Hours xmlns="bd99c180-279b-44c3-9486-dd050336677e">0</OSC_StateA_12_1Total_Burden_Hours>
    <GenICPICIO xmlns="bd99c180-279b-44c3-9486-dd050336677e" xsi:nil="true"/>
    <OSC_StateA_12_2Total_Respondent_Costs xmlns="bd99c180-279b-44c3-9486-dd050336677e">0</OSC_StateA_12_2Total_Respondent_Costs>
    <OSC_StateA_12_1Type_of_Respondent xmlns="bd99c180-279b-44c3-9486-dd050336677e">=&gt;Enter&lt;=</OSC_StateA_12_1Type_of_Respondent>
    <OSC_StateA_12_3Hourly_Wage_Rate xmlns="bd99c180-279b-44c3-9486-dd050336677e">0</OSC_StateA_12_3Hourly_Wage_Rate>
    <OSC_StateA_14_3Staff_FTE xmlns="bd99c180-279b-44c3-9486-dd050336677e">=&gt;Enter&lt;=</OSC_StateA_14_3Staff_FTE>
    <OSC_StateA_12_5Average_Burden_per_Response_in_Hours xmlns="bd99c180-279b-44c3-9486-dd050336677e">=&gt;20/60&lt;=</OSC_StateA_12_5Average_Burden_per_Response_in_Hours>
    <OSC_StateA_14_8Staff_FTE xmlns="bd99c180-279b-44c3-9486-dd050336677e">=&gt;Enter&lt;=</OSC_StateA_14_8Staff_FTE>
    <OSC_StateA_14_7Average_Cost xmlns="bd99c180-279b-44c3-9486-dd050336677e">0</OSC_StateA_14_7Average_Cost>
    <OSC_StateA_Purpose_and_Use xmlns="bd99c180-279b-44c3-9486-dd050336677e" xsi:nil="true"/>
    <OSC_StateA_12_1Total_Respondent_Costs xmlns="bd99c180-279b-44c3-9486-dd050336677e">0</OSC_StateA_12_1Total_Respondent_Costs>
    <OSC_StateA_14_1Average_Hours_Per_Collection xmlns="bd99c180-279b-44c3-9486-dd050336677e">0</OSC_StateA_14_1Average_Hours_Per_Collection>
    <OSC_StateA_12_8Type_of_Respondent xmlns="bd99c180-279b-44c3-9486-dd050336677e">=&gt;Enter&lt;=</OSC_StateA_12_8Type_of_Respondent>
    <OSC_StateA_14_10Staff_FTE xmlns="bd99c180-279b-44c3-9486-dd050336677e">=&gt;Enter&lt;=</OSC_StateA_14_10Staff_FTE>
    <OSC_StateA_12_7Number_of_Respondents xmlns="bd99c180-279b-44c3-9486-dd050336677e">0</OSC_StateA_12_7Number_of_Respondents>
    <OSC_StateA_12_8Total_Burden_Hours xmlns="bd99c180-279b-44c3-9486-dd050336677e">0</OSC_StateA_12_8Total_Burden_Hours>
    <_dlc_DocIdUrl xmlns="b5c0ca00-073d-4463-9985-b654f14791fe">
      <Url>https://esp.cdc.gov/sites/ostlts/pip/osc/_layouts/15/DocIdRedir.aspx?ID=OSTLTSDOC-726-132</Url>
      <Description>OSTLTSDOC-726-132</Description>
    </_dlc_DocIdUrl>
    <OSC_StateA_12_Total_Number_of_Respondents xmlns="ce849d94-b00b-4457-8fdf-7e9e81e05b5e">0</OSC_StateA_12_Total_Number_of_Respondents>
    <OSC_StateA_Assurance_of_Confidentiality_Provided_to_Respondents xmlns="bd99c180-279b-44c3-9486-dd050336677e" xsi:nil="true"/>
    <OSC_StateA_14_2Average_Cost xmlns="bd99c180-279b-44c3-9486-dd050336677e">0</OSC_StateA_14_2Average_Cost>
    <OSC_StateA_12_2Hourly_Wage_Rate xmlns="bd99c180-279b-44c3-9486-dd050336677e">0</OSC_StateA_12_2Hourly_Wage_Rate>
    <OSC_StateA_12_2Total_Burden_Hours xmlns="bd99c180-279b-44c3-9486-dd050336677e">0</OSC_StateA_12_2Total_Burden_Hours>
    <OSC_StateA_12_2Type_of_Respondent xmlns="bd99c180-279b-44c3-9486-dd050336677e">=&gt;Enter&lt;=</OSC_StateA_12_2Type_of_Respondent>
    <OSC_StateA_Improved_Information_Technology_and_Burden_Reduction xmlns="bd99c180-279b-44c3-9486-dd050336677e" xsi:nil="true"/>
    <OSC_StateA_12_7Average_Burden_per_Response_in_Hours xmlns="bd99c180-279b-44c3-9486-dd050336677e">=&gt;20/60&lt;=</OSC_StateA_12_7Average_Burden_per_Response_in_Hours>
    <OSC_StateA_12_9Type_of_Respondent xmlns="bd99c180-279b-44c3-9486-dd050336677e">=&gt;Enter&lt;=</OSC_StateA_12_9Type_of_Respondent>
    <OSC_StateA_14_6Average_Cost xmlns="bd99c180-279b-44c3-9486-dd050336677e">0</OSC_StateA_14_6Average_Cost>
    <OSC_StateA_12_10Type_of_Respondent xmlns="bd99c180-279b-44c3-9486-dd050336677e">=&gt;Enter&lt;=</OSC_StateA_12_10Type_of_Respondent>
    <OSC_StateA_14_5Average_Hours_Per_Collection xmlns="bd99c180-279b-44c3-9486-dd050336677e">0</OSC_StateA_14_5Average_Hours_Per_Collection>
    <OSC_StateA_12_10Total_Burden_Hours xmlns="bd99c180-279b-44c3-9486-dd050336677e">0</OSC_StateA_12_10Total_Burden_Hours>
    <OSC_StateA_12_9Total_Burden_Hours xmlns="bd99c180-279b-44c3-9486-dd050336677e">0</OSC_StateA_12_9Total_Burden_Hour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3F435-AF7A-4678-84F4-A2AFE1297E14}">
  <ds:schemaRefs>
    <ds:schemaRef ds:uri="http://schemas.microsoft.com/office/2006/metadata/customXsn"/>
  </ds:schemaRefs>
</ds:datastoreItem>
</file>

<file path=customXml/itemProps2.xml><?xml version="1.0" encoding="utf-8"?>
<ds:datastoreItem xmlns:ds="http://schemas.openxmlformats.org/officeDocument/2006/customXml" ds:itemID="{CDB0722D-4B5B-40EC-8CB2-0F2CD35C66D0}">
  <ds:schemaRefs>
    <ds:schemaRef ds:uri="15b1c282-9287-45cb-9b41-eae3a76919a0"/>
    <ds:schemaRef ds:uri="http://schemas.microsoft.com/office/2006/metadata/properties"/>
    <ds:schemaRef ds:uri="http://schemas.microsoft.com/office/infopath/2007/PartnerControls"/>
    <ds:schemaRef ds:uri="ce849d94-b00b-4457-8fdf-7e9e81e05b5e"/>
    <ds:schemaRef ds:uri="http://schemas.openxmlformats.org/package/2006/metadata/core-properties"/>
    <ds:schemaRef ds:uri="http://purl.org/dc/terms/"/>
    <ds:schemaRef ds:uri="http://www.w3.org/XML/1998/namespace"/>
    <ds:schemaRef ds:uri="http://schemas.microsoft.com/office/2006/documentManagement/types"/>
    <ds:schemaRef ds:uri="b5c0ca00-073d-4463-9985-b654f14791fe"/>
    <ds:schemaRef ds:uri="bd99c180-279b-44c3-9486-dd050336677e"/>
    <ds:schemaRef ds:uri="http://purl.org/dc/dcmitype/"/>
    <ds:schemaRef ds:uri="http://purl.org/dc/elements/1.1/"/>
  </ds:schemaRefs>
</ds:datastoreItem>
</file>

<file path=customXml/itemProps3.xml><?xml version="1.0" encoding="utf-8"?>
<ds:datastoreItem xmlns:ds="http://schemas.openxmlformats.org/officeDocument/2006/customXml" ds:itemID="{C773E234-F66C-4256-B751-671128694EFA}">
  <ds:schemaRefs>
    <ds:schemaRef ds:uri="http://schemas.microsoft.com/sharepoint/events"/>
  </ds:schemaRefs>
</ds:datastoreItem>
</file>

<file path=customXml/itemProps4.xml><?xml version="1.0" encoding="utf-8"?>
<ds:datastoreItem xmlns:ds="http://schemas.openxmlformats.org/officeDocument/2006/customXml" ds:itemID="{233B42DA-4FCF-4A93-829A-88FFFAA78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0ACE51-355C-46B7-8AC8-9EA29405BDC3}">
  <ds:schemaRefs>
    <ds:schemaRef ds:uri="http://schemas.microsoft.com/sharepoint/v3/contenttype/forms"/>
  </ds:schemaRefs>
</ds:datastoreItem>
</file>

<file path=customXml/itemProps6.xml><?xml version="1.0" encoding="utf-8"?>
<ds:datastoreItem xmlns:ds="http://schemas.openxmlformats.org/officeDocument/2006/customXml" ds:itemID="{CDD77248-254F-4A0D-9684-D6417BC32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4591</Words>
  <Characters>26169</Characters>
  <Application>Microsoft Office Word</Application>
  <DocSecurity>4</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Zarate-Bermudez, Max A. (CDC/ONDIEH/NCEH)</dc:creator>
  <cp:keywords/>
  <dc:description/>
  <cp:lastModifiedBy>Zirger, Jeffrey (CDC/OD/OADS)</cp:lastModifiedBy>
  <cp:revision>2</cp:revision>
  <cp:lastPrinted>2016-01-26T17:24:00Z</cp:lastPrinted>
  <dcterms:created xsi:type="dcterms:W3CDTF">2016-02-02T19:41:00Z</dcterms:created>
  <dcterms:modified xsi:type="dcterms:W3CDTF">2016-02-02T19:41:00Z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79594c18-8e2d-4adb-be56-bc28bbe63785</vt:lpwstr>
  </property>
</Properties>
</file>