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B61F2" w14:textId="77777777" w:rsidR="00B714AC" w:rsidRPr="00B0632D" w:rsidRDefault="00B714AC" w:rsidP="00B0632D">
      <w:pPr>
        <w:spacing w:after="0" w:line="240" w:lineRule="auto"/>
        <w:rPr>
          <w:rFonts w:asciiTheme="majorHAnsi" w:hAnsiTheme="majorHAnsi"/>
        </w:rPr>
      </w:pPr>
    </w:p>
    <w:p w14:paraId="305B61F3" w14:textId="77777777" w:rsidR="00B714AC" w:rsidRPr="00B0632D" w:rsidRDefault="00B714AC" w:rsidP="00B0632D">
      <w:pPr>
        <w:spacing w:after="0" w:line="240" w:lineRule="auto"/>
        <w:rPr>
          <w:rFonts w:asciiTheme="majorHAnsi" w:hAnsiTheme="majorHAnsi"/>
        </w:rPr>
      </w:pPr>
    </w:p>
    <w:p w14:paraId="305B61F4" w14:textId="77777777" w:rsidR="00B714AC" w:rsidRPr="00B0632D" w:rsidRDefault="00B714AC" w:rsidP="00B0632D">
      <w:pPr>
        <w:spacing w:after="0" w:line="240" w:lineRule="auto"/>
        <w:rPr>
          <w:rFonts w:asciiTheme="majorHAnsi" w:hAnsiTheme="majorHAnsi"/>
        </w:rPr>
      </w:pPr>
    </w:p>
    <w:p w14:paraId="305B61F5" w14:textId="77777777" w:rsidR="00B714AC" w:rsidRPr="00B0632D" w:rsidRDefault="00B714AC" w:rsidP="00B0632D">
      <w:pPr>
        <w:spacing w:after="0" w:line="240" w:lineRule="auto"/>
        <w:rPr>
          <w:rFonts w:asciiTheme="majorHAnsi" w:hAnsiTheme="majorHAnsi"/>
        </w:rPr>
      </w:pPr>
    </w:p>
    <w:p w14:paraId="305B61F6" w14:textId="77777777" w:rsidR="00B714AC" w:rsidRPr="00B0632D" w:rsidRDefault="00B714AC" w:rsidP="00B0632D">
      <w:pPr>
        <w:spacing w:after="0" w:line="240" w:lineRule="auto"/>
        <w:rPr>
          <w:rFonts w:asciiTheme="majorHAnsi" w:hAnsiTheme="majorHAnsi"/>
        </w:rPr>
      </w:pPr>
    </w:p>
    <w:p w14:paraId="305B61F7" w14:textId="77777777" w:rsidR="00B714AC" w:rsidRPr="00B0632D" w:rsidRDefault="00B714AC" w:rsidP="00B0632D">
      <w:pPr>
        <w:spacing w:after="0" w:line="240" w:lineRule="auto"/>
        <w:rPr>
          <w:rFonts w:asciiTheme="majorHAnsi" w:hAnsiTheme="majorHAnsi"/>
        </w:rPr>
      </w:pPr>
    </w:p>
    <w:p w14:paraId="305B61F8" w14:textId="77777777" w:rsidR="00B714AC" w:rsidRPr="00B0632D" w:rsidRDefault="00B714AC" w:rsidP="00B0632D">
      <w:pPr>
        <w:spacing w:after="0" w:line="240" w:lineRule="auto"/>
        <w:rPr>
          <w:rFonts w:asciiTheme="majorHAnsi" w:hAnsiTheme="majorHAnsi"/>
        </w:rPr>
      </w:pPr>
    </w:p>
    <w:p w14:paraId="305B61F9" w14:textId="77777777" w:rsidR="00B714AC" w:rsidRPr="00B0632D" w:rsidRDefault="00B714AC" w:rsidP="00B0632D">
      <w:pPr>
        <w:spacing w:after="0" w:line="240" w:lineRule="auto"/>
        <w:rPr>
          <w:rFonts w:asciiTheme="majorHAnsi" w:hAnsiTheme="majorHAnsi"/>
        </w:rPr>
      </w:pPr>
    </w:p>
    <w:p w14:paraId="305B61FA" w14:textId="5E4530B3" w:rsidR="00B714AC" w:rsidRPr="00B0632D" w:rsidRDefault="00F9343D" w:rsidP="00B0632D">
      <w:pPr>
        <w:pStyle w:val="Heading1"/>
        <w:spacing w:line="240" w:lineRule="auto"/>
        <w:rPr>
          <w:color w:val="0070C0"/>
        </w:rPr>
      </w:pPr>
      <w:r>
        <w:rPr>
          <w:szCs w:val="40"/>
        </w:rPr>
        <w:t xml:space="preserve">Federally </w:t>
      </w:r>
      <w:r w:rsidRPr="00D23089">
        <w:rPr>
          <w:szCs w:val="40"/>
        </w:rPr>
        <w:t>Unregulated Drinking Water Programs</w:t>
      </w:r>
      <w:r>
        <w:rPr>
          <w:szCs w:val="40"/>
        </w:rPr>
        <w:t>:</w:t>
      </w:r>
      <w:r w:rsidRPr="00D23089">
        <w:rPr>
          <w:szCs w:val="40"/>
        </w:rPr>
        <w:t xml:space="preserve"> </w:t>
      </w:r>
      <w:r>
        <w:rPr>
          <w:szCs w:val="40"/>
        </w:rPr>
        <w:t>Assessing Strategies Leading t</w:t>
      </w:r>
      <w:r w:rsidRPr="00D23089">
        <w:rPr>
          <w:szCs w:val="40"/>
        </w:rPr>
        <w:t>o Policy Change</w:t>
      </w:r>
    </w:p>
    <w:p w14:paraId="305B61FB" w14:textId="77777777" w:rsidR="00B714AC" w:rsidRPr="00B0632D" w:rsidRDefault="00B714AC" w:rsidP="00B0632D">
      <w:pPr>
        <w:spacing w:after="0" w:line="240" w:lineRule="auto"/>
        <w:rPr>
          <w:rFonts w:asciiTheme="majorHAnsi" w:hAnsiTheme="majorHAnsi"/>
        </w:rPr>
      </w:pPr>
    </w:p>
    <w:p w14:paraId="305B61FC" w14:textId="77777777" w:rsidR="00B714AC" w:rsidRPr="00B0632D" w:rsidRDefault="00B714AC" w:rsidP="00B0632D">
      <w:pPr>
        <w:spacing w:after="0" w:line="240" w:lineRule="auto"/>
        <w:jc w:val="center"/>
        <w:rPr>
          <w:rFonts w:asciiTheme="majorHAnsi" w:hAnsiTheme="majorHAnsi"/>
        </w:rPr>
      </w:pPr>
      <w:r w:rsidRPr="00B0632D">
        <w:rPr>
          <w:rFonts w:asciiTheme="majorHAnsi" w:hAnsiTheme="majorHAnsi"/>
        </w:rPr>
        <w:t>OSTLTS Generic Information Collection Request</w:t>
      </w:r>
    </w:p>
    <w:p w14:paraId="305B61FD" w14:textId="77777777" w:rsidR="00B714AC" w:rsidRPr="00B0632D" w:rsidRDefault="00B714AC" w:rsidP="00B0632D">
      <w:pPr>
        <w:pStyle w:val="Header"/>
        <w:jc w:val="center"/>
        <w:rPr>
          <w:rFonts w:asciiTheme="majorHAnsi" w:hAnsiTheme="majorHAnsi"/>
        </w:rPr>
      </w:pPr>
      <w:r w:rsidRPr="00B0632D">
        <w:rPr>
          <w:rFonts w:asciiTheme="majorHAnsi" w:hAnsiTheme="majorHAnsi"/>
        </w:rPr>
        <w:t>OMB No. 0920-0879</w:t>
      </w:r>
    </w:p>
    <w:p w14:paraId="305B61FE" w14:textId="77777777" w:rsidR="00B714AC" w:rsidRPr="00B0632D" w:rsidRDefault="00B714AC" w:rsidP="00B0632D">
      <w:pPr>
        <w:spacing w:after="0" w:line="240" w:lineRule="auto"/>
        <w:rPr>
          <w:rFonts w:asciiTheme="majorHAnsi" w:hAnsiTheme="majorHAnsi"/>
        </w:rPr>
      </w:pPr>
    </w:p>
    <w:p w14:paraId="305B61FF" w14:textId="77777777" w:rsidR="00B714AC" w:rsidRPr="00B0632D" w:rsidRDefault="00B714AC" w:rsidP="00B0632D">
      <w:pPr>
        <w:spacing w:after="0" w:line="240" w:lineRule="auto"/>
        <w:rPr>
          <w:rFonts w:asciiTheme="majorHAnsi" w:hAnsiTheme="majorHAnsi"/>
        </w:rPr>
      </w:pPr>
    </w:p>
    <w:p w14:paraId="305B6200" w14:textId="77777777" w:rsidR="00B714AC" w:rsidRPr="00B0632D" w:rsidRDefault="00B714AC" w:rsidP="00B0632D">
      <w:pPr>
        <w:spacing w:after="0" w:line="240" w:lineRule="auto"/>
        <w:rPr>
          <w:rFonts w:asciiTheme="majorHAnsi" w:hAnsiTheme="majorHAnsi"/>
        </w:rPr>
      </w:pPr>
    </w:p>
    <w:p w14:paraId="305B6201" w14:textId="77777777" w:rsidR="00B714AC" w:rsidRPr="00B0632D" w:rsidRDefault="00B714AC" w:rsidP="00B0632D">
      <w:pPr>
        <w:spacing w:after="0" w:line="240" w:lineRule="auto"/>
        <w:rPr>
          <w:rFonts w:asciiTheme="majorHAnsi" w:hAnsiTheme="majorHAnsi"/>
        </w:rPr>
      </w:pPr>
    </w:p>
    <w:p w14:paraId="305B6202" w14:textId="77777777" w:rsidR="00B714AC" w:rsidRPr="00B0632D" w:rsidRDefault="00B714AC" w:rsidP="00B0632D">
      <w:pPr>
        <w:pStyle w:val="Heading2"/>
        <w:spacing w:line="240" w:lineRule="auto"/>
      </w:pPr>
      <w:r w:rsidRPr="00B0632D">
        <w:t>Supporting Statement – Section B</w:t>
      </w:r>
    </w:p>
    <w:p w14:paraId="305B6203" w14:textId="77777777" w:rsidR="00B714AC" w:rsidRPr="00B0632D" w:rsidRDefault="00B714AC" w:rsidP="00B0632D">
      <w:pPr>
        <w:spacing w:after="0" w:line="240" w:lineRule="auto"/>
        <w:rPr>
          <w:rFonts w:asciiTheme="majorHAnsi" w:hAnsiTheme="majorHAnsi"/>
        </w:rPr>
      </w:pPr>
    </w:p>
    <w:p w14:paraId="305B6204" w14:textId="77777777" w:rsidR="00B714AC" w:rsidRPr="00B0632D" w:rsidRDefault="00B714AC" w:rsidP="00B0632D">
      <w:pPr>
        <w:spacing w:after="0" w:line="240" w:lineRule="auto"/>
        <w:rPr>
          <w:rFonts w:asciiTheme="majorHAnsi" w:hAnsiTheme="majorHAnsi"/>
        </w:rPr>
      </w:pPr>
    </w:p>
    <w:p w14:paraId="305B6205" w14:textId="77777777" w:rsidR="00B714AC" w:rsidRPr="00B0632D" w:rsidRDefault="00B714AC" w:rsidP="00B0632D">
      <w:pPr>
        <w:spacing w:after="0" w:line="240" w:lineRule="auto"/>
        <w:rPr>
          <w:rFonts w:asciiTheme="majorHAnsi" w:hAnsiTheme="majorHAnsi"/>
        </w:rPr>
      </w:pPr>
    </w:p>
    <w:p w14:paraId="305B6206" w14:textId="77777777" w:rsidR="00B714AC" w:rsidRPr="00B0632D" w:rsidRDefault="00B714AC" w:rsidP="00B0632D">
      <w:pPr>
        <w:spacing w:after="0" w:line="240" w:lineRule="auto"/>
        <w:rPr>
          <w:rFonts w:asciiTheme="majorHAnsi" w:hAnsiTheme="majorHAnsi"/>
        </w:rPr>
      </w:pPr>
    </w:p>
    <w:p w14:paraId="305B6207" w14:textId="77777777" w:rsidR="00B714AC" w:rsidRPr="00B0632D" w:rsidRDefault="00B714AC" w:rsidP="00B0632D">
      <w:pPr>
        <w:spacing w:after="0" w:line="240" w:lineRule="auto"/>
        <w:rPr>
          <w:rFonts w:asciiTheme="majorHAnsi" w:hAnsiTheme="majorHAnsi"/>
        </w:rPr>
      </w:pPr>
    </w:p>
    <w:p w14:paraId="305B6208" w14:textId="77777777" w:rsidR="00B714AC" w:rsidRPr="00B0632D" w:rsidRDefault="00B714AC" w:rsidP="00B0632D">
      <w:pPr>
        <w:spacing w:after="0" w:line="240" w:lineRule="auto"/>
        <w:rPr>
          <w:rFonts w:asciiTheme="majorHAnsi" w:hAnsiTheme="majorHAnsi"/>
        </w:rPr>
      </w:pPr>
    </w:p>
    <w:p w14:paraId="305B6209" w14:textId="12EB3A63" w:rsidR="00B714AC" w:rsidRPr="00B0632D" w:rsidRDefault="00B714AC" w:rsidP="00B0632D">
      <w:pPr>
        <w:spacing w:after="0" w:line="240" w:lineRule="auto"/>
        <w:jc w:val="center"/>
        <w:rPr>
          <w:rFonts w:asciiTheme="majorHAnsi" w:hAnsiTheme="majorHAnsi"/>
        </w:rPr>
      </w:pPr>
      <w:r w:rsidRPr="00B0632D">
        <w:rPr>
          <w:rFonts w:asciiTheme="majorHAnsi" w:hAnsiTheme="majorHAnsi"/>
        </w:rPr>
        <w:t xml:space="preserve">Submitted: </w:t>
      </w:r>
      <w:r w:rsidR="005C2474" w:rsidRPr="005C2474">
        <w:rPr>
          <w:rFonts w:asciiTheme="majorHAnsi" w:hAnsiTheme="majorHAnsi"/>
        </w:rPr>
        <w:t>January 2</w:t>
      </w:r>
      <w:r w:rsidR="00C67BBF">
        <w:rPr>
          <w:rFonts w:asciiTheme="majorHAnsi" w:hAnsiTheme="majorHAnsi"/>
        </w:rPr>
        <w:t>7</w:t>
      </w:r>
      <w:r w:rsidR="005C2474" w:rsidRPr="005C2474">
        <w:rPr>
          <w:rFonts w:asciiTheme="majorHAnsi" w:hAnsiTheme="majorHAnsi"/>
          <w:vertAlign w:val="superscript"/>
        </w:rPr>
        <w:t>th</w:t>
      </w:r>
      <w:r w:rsidR="005C2474" w:rsidRPr="005C2474">
        <w:rPr>
          <w:rFonts w:asciiTheme="majorHAnsi" w:hAnsiTheme="majorHAnsi"/>
        </w:rPr>
        <w:t>, 2016</w:t>
      </w:r>
    </w:p>
    <w:p w14:paraId="305B620A" w14:textId="77777777" w:rsidR="00B714AC" w:rsidRPr="00B0632D" w:rsidRDefault="00B714AC" w:rsidP="00B0632D">
      <w:pPr>
        <w:spacing w:after="0" w:line="240" w:lineRule="auto"/>
        <w:rPr>
          <w:rFonts w:asciiTheme="majorHAnsi" w:hAnsiTheme="majorHAnsi"/>
        </w:rPr>
      </w:pPr>
    </w:p>
    <w:p w14:paraId="305B620B" w14:textId="77777777" w:rsidR="00B714AC" w:rsidRPr="00B0632D" w:rsidRDefault="00B714AC" w:rsidP="00B0632D">
      <w:pPr>
        <w:spacing w:after="0" w:line="240" w:lineRule="auto"/>
        <w:rPr>
          <w:rFonts w:asciiTheme="majorHAnsi" w:hAnsiTheme="majorHAnsi"/>
        </w:rPr>
      </w:pPr>
    </w:p>
    <w:p w14:paraId="305B620C" w14:textId="77777777" w:rsidR="00B714AC" w:rsidRPr="00B0632D" w:rsidRDefault="00B714AC" w:rsidP="00B0632D">
      <w:pPr>
        <w:spacing w:after="0" w:line="240" w:lineRule="auto"/>
        <w:rPr>
          <w:rFonts w:asciiTheme="majorHAnsi" w:hAnsiTheme="majorHAnsi"/>
        </w:rPr>
      </w:pPr>
    </w:p>
    <w:p w14:paraId="305B620D" w14:textId="77777777" w:rsidR="00B714AC" w:rsidRPr="00B0632D" w:rsidRDefault="00B714AC" w:rsidP="00B0632D">
      <w:pPr>
        <w:spacing w:after="0" w:line="240" w:lineRule="auto"/>
        <w:rPr>
          <w:rFonts w:asciiTheme="majorHAnsi" w:hAnsiTheme="majorHAnsi"/>
        </w:rPr>
      </w:pPr>
    </w:p>
    <w:p w14:paraId="305B620E" w14:textId="77777777" w:rsidR="00B714AC" w:rsidRPr="00B0632D" w:rsidRDefault="00B714AC" w:rsidP="00B0632D">
      <w:pPr>
        <w:spacing w:after="0" w:line="240" w:lineRule="auto"/>
        <w:rPr>
          <w:rFonts w:asciiTheme="majorHAnsi" w:hAnsiTheme="majorHAnsi"/>
        </w:rPr>
      </w:pPr>
    </w:p>
    <w:p w14:paraId="305B620F" w14:textId="77777777" w:rsidR="00B714AC" w:rsidRPr="00B0632D" w:rsidRDefault="00B714AC" w:rsidP="00B0632D">
      <w:pPr>
        <w:spacing w:after="0" w:line="240" w:lineRule="auto"/>
        <w:rPr>
          <w:rFonts w:asciiTheme="majorHAnsi" w:hAnsiTheme="majorHAnsi"/>
        </w:rPr>
      </w:pPr>
    </w:p>
    <w:p w14:paraId="305B6210" w14:textId="77777777" w:rsidR="00B0632D" w:rsidRPr="00D23089" w:rsidRDefault="00B0632D" w:rsidP="00B0632D">
      <w:pPr>
        <w:spacing w:after="0" w:line="240" w:lineRule="auto"/>
        <w:rPr>
          <w:rFonts w:asciiTheme="majorHAnsi" w:hAnsiTheme="majorHAnsi"/>
          <w:b/>
          <w:u w:val="single"/>
        </w:rPr>
      </w:pPr>
      <w:r w:rsidRPr="00D23089">
        <w:rPr>
          <w:rFonts w:asciiTheme="majorHAnsi" w:hAnsiTheme="majorHAnsi"/>
          <w:b/>
          <w:u w:val="single"/>
        </w:rPr>
        <w:t xml:space="preserve">Program Official/Project Officer </w:t>
      </w:r>
    </w:p>
    <w:p w14:paraId="305B6211" w14:textId="77777777" w:rsidR="00B0632D" w:rsidRPr="00D23089" w:rsidRDefault="00B0632D" w:rsidP="00B0632D">
      <w:pPr>
        <w:spacing w:after="0" w:line="240" w:lineRule="auto"/>
        <w:rPr>
          <w:rFonts w:asciiTheme="majorHAnsi" w:hAnsiTheme="majorHAnsi"/>
        </w:rPr>
      </w:pPr>
      <w:r w:rsidRPr="00D23089">
        <w:rPr>
          <w:rFonts w:asciiTheme="majorHAnsi" w:hAnsiTheme="majorHAnsi"/>
        </w:rPr>
        <w:t>Max Zarate-Bermudez</w:t>
      </w:r>
    </w:p>
    <w:p w14:paraId="305B6212" w14:textId="77777777" w:rsidR="00B0632D" w:rsidRPr="00D23089" w:rsidRDefault="00B0632D" w:rsidP="00B0632D">
      <w:pPr>
        <w:spacing w:after="0" w:line="240" w:lineRule="auto"/>
        <w:rPr>
          <w:rFonts w:asciiTheme="majorHAnsi" w:hAnsiTheme="majorHAnsi"/>
        </w:rPr>
      </w:pPr>
      <w:r w:rsidRPr="00D23089">
        <w:rPr>
          <w:rFonts w:asciiTheme="majorHAnsi" w:hAnsiTheme="majorHAnsi"/>
        </w:rPr>
        <w:t>Epidemiologist</w:t>
      </w:r>
    </w:p>
    <w:p w14:paraId="305B6213" w14:textId="77777777" w:rsidR="00B0632D" w:rsidRPr="00D23089" w:rsidRDefault="00B0632D" w:rsidP="00B0632D">
      <w:pPr>
        <w:spacing w:after="0" w:line="240" w:lineRule="auto"/>
        <w:rPr>
          <w:rFonts w:asciiTheme="majorHAnsi" w:hAnsiTheme="majorHAnsi"/>
        </w:rPr>
      </w:pPr>
      <w:r w:rsidRPr="00D23089">
        <w:rPr>
          <w:rFonts w:asciiTheme="majorHAnsi" w:hAnsiTheme="majorHAnsi"/>
        </w:rPr>
        <w:t>Environmental Health Services Branch</w:t>
      </w:r>
    </w:p>
    <w:p w14:paraId="305B6214" w14:textId="77777777" w:rsidR="00B0632D" w:rsidRPr="00D23089" w:rsidRDefault="00B0632D" w:rsidP="00B0632D">
      <w:pPr>
        <w:spacing w:after="0" w:line="240" w:lineRule="auto"/>
        <w:rPr>
          <w:rFonts w:asciiTheme="majorHAnsi" w:hAnsiTheme="majorHAnsi"/>
        </w:rPr>
      </w:pPr>
      <w:r w:rsidRPr="00D23089">
        <w:rPr>
          <w:rFonts w:asciiTheme="majorHAnsi" w:hAnsiTheme="majorHAnsi"/>
        </w:rPr>
        <w:t>Division of Emergency and Environmental Health Services</w:t>
      </w:r>
    </w:p>
    <w:p w14:paraId="305B6215" w14:textId="77777777" w:rsidR="00B0632D" w:rsidRPr="00D23089" w:rsidRDefault="00B0632D" w:rsidP="00B0632D">
      <w:pPr>
        <w:spacing w:after="0" w:line="240" w:lineRule="auto"/>
        <w:rPr>
          <w:rFonts w:asciiTheme="majorHAnsi" w:hAnsiTheme="majorHAnsi"/>
        </w:rPr>
      </w:pPr>
      <w:r w:rsidRPr="00D23089">
        <w:rPr>
          <w:rFonts w:asciiTheme="majorHAnsi" w:hAnsiTheme="majorHAnsi"/>
        </w:rPr>
        <w:t>National Center for Environmental Health</w:t>
      </w:r>
    </w:p>
    <w:p w14:paraId="305B6216" w14:textId="77777777" w:rsidR="00B0632D" w:rsidRPr="00D23089" w:rsidRDefault="00B0632D" w:rsidP="00B0632D">
      <w:pPr>
        <w:spacing w:after="0" w:line="240" w:lineRule="auto"/>
        <w:rPr>
          <w:rFonts w:asciiTheme="majorHAnsi" w:hAnsiTheme="majorHAnsi"/>
        </w:rPr>
      </w:pPr>
      <w:r w:rsidRPr="00D23089">
        <w:rPr>
          <w:rFonts w:asciiTheme="majorHAnsi" w:hAnsiTheme="majorHAnsi"/>
        </w:rPr>
        <w:t>4770 Buford Highway NE, MS F-58</w:t>
      </w:r>
    </w:p>
    <w:p w14:paraId="305B6217" w14:textId="77777777" w:rsidR="00B0632D" w:rsidRPr="00D23089" w:rsidRDefault="00B0632D" w:rsidP="00B0632D">
      <w:pPr>
        <w:spacing w:after="0" w:line="240" w:lineRule="auto"/>
        <w:rPr>
          <w:rFonts w:asciiTheme="majorHAnsi" w:hAnsiTheme="majorHAnsi"/>
        </w:rPr>
      </w:pPr>
      <w:r w:rsidRPr="00D23089">
        <w:rPr>
          <w:rFonts w:asciiTheme="majorHAnsi" w:hAnsiTheme="majorHAnsi"/>
        </w:rPr>
        <w:t>Atlanta, GA 30341</w:t>
      </w:r>
    </w:p>
    <w:p w14:paraId="305B6218" w14:textId="77777777" w:rsidR="00B0632D" w:rsidRPr="00D23089" w:rsidRDefault="00B0632D" w:rsidP="00B0632D">
      <w:pPr>
        <w:spacing w:after="0" w:line="240" w:lineRule="auto"/>
        <w:rPr>
          <w:rFonts w:asciiTheme="majorHAnsi" w:hAnsiTheme="majorHAnsi"/>
        </w:rPr>
      </w:pPr>
      <w:r w:rsidRPr="00D23089">
        <w:rPr>
          <w:rFonts w:asciiTheme="majorHAnsi" w:hAnsiTheme="majorHAnsi"/>
        </w:rPr>
        <w:t>Phone: 770.488.7421</w:t>
      </w:r>
    </w:p>
    <w:p w14:paraId="305B6219" w14:textId="77777777" w:rsidR="00B0632D" w:rsidRPr="00D23089" w:rsidRDefault="00B0632D" w:rsidP="00B0632D">
      <w:pPr>
        <w:spacing w:after="0" w:line="240" w:lineRule="auto"/>
        <w:rPr>
          <w:rFonts w:asciiTheme="majorHAnsi" w:hAnsiTheme="majorHAnsi"/>
        </w:rPr>
      </w:pPr>
      <w:r w:rsidRPr="00D23089">
        <w:rPr>
          <w:rFonts w:asciiTheme="majorHAnsi" w:hAnsiTheme="majorHAnsi"/>
        </w:rPr>
        <w:t xml:space="preserve">Email: </w:t>
      </w:r>
      <w:hyperlink r:id="rId13" w:history="1">
        <w:r w:rsidRPr="00D23089">
          <w:rPr>
            <w:rStyle w:val="Hyperlink"/>
            <w:rFonts w:asciiTheme="majorHAnsi" w:hAnsiTheme="majorHAnsi"/>
          </w:rPr>
          <w:t>mcz4@cdc.gov</w:t>
        </w:r>
      </w:hyperlink>
      <w:r w:rsidRPr="00D23089">
        <w:rPr>
          <w:rFonts w:asciiTheme="majorHAnsi" w:hAnsiTheme="majorHAnsi"/>
        </w:rPr>
        <w:t xml:space="preserve"> </w:t>
      </w:r>
    </w:p>
    <w:p w14:paraId="305B621A" w14:textId="77777777" w:rsidR="00B0632D" w:rsidRPr="00D23089" w:rsidRDefault="00B0632D" w:rsidP="00B0632D">
      <w:pPr>
        <w:spacing w:after="0" w:line="240" w:lineRule="auto"/>
        <w:rPr>
          <w:rFonts w:asciiTheme="majorHAnsi" w:hAnsiTheme="majorHAnsi"/>
        </w:rPr>
      </w:pPr>
    </w:p>
    <w:p w14:paraId="305B621B" w14:textId="77777777" w:rsidR="00B714AC" w:rsidRPr="00B0632D" w:rsidRDefault="00B714AC" w:rsidP="00B0632D">
      <w:pPr>
        <w:spacing w:after="0" w:line="240" w:lineRule="auto"/>
        <w:rPr>
          <w:rFonts w:asciiTheme="majorHAnsi" w:hAnsiTheme="majorHAnsi"/>
        </w:rPr>
      </w:pPr>
    </w:p>
    <w:p w14:paraId="305B621C" w14:textId="77777777" w:rsidR="00B714AC" w:rsidRPr="00B0632D" w:rsidRDefault="00B714AC" w:rsidP="00B0632D">
      <w:pPr>
        <w:spacing w:after="0" w:line="240" w:lineRule="auto"/>
        <w:rPr>
          <w:rFonts w:asciiTheme="majorHAnsi" w:hAnsiTheme="majorHAnsi"/>
        </w:rPr>
      </w:pPr>
    </w:p>
    <w:p w14:paraId="305B621D" w14:textId="77777777" w:rsidR="00B714AC" w:rsidRPr="00B0632D" w:rsidRDefault="00B714AC" w:rsidP="00B714AC">
      <w:pPr>
        <w:rPr>
          <w:rFonts w:asciiTheme="majorHAnsi" w:hAnsiTheme="majorHAnsi"/>
          <w:sz w:val="28"/>
        </w:rPr>
      </w:pPr>
      <w:r w:rsidRPr="00B0632D">
        <w:rPr>
          <w:rFonts w:asciiTheme="majorHAnsi" w:hAnsiTheme="majorHAnsi"/>
        </w:rPr>
        <w:lastRenderedPageBreak/>
        <w:br w:type="page"/>
      </w:r>
    </w:p>
    <w:p w14:paraId="42C377B3" w14:textId="77777777" w:rsidR="000000D6" w:rsidRPr="000000D6" w:rsidRDefault="000000D6" w:rsidP="000000D6">
      <w:pPr>
        <w:rPr>
          <w:rFonts w:asciiTheme="majorHAnsi" w:hAnsiTheme="majorHAnsi"/>
          <w:b/>
          <w:sz w:val="28"/>
        </w:rPr>
      </w:pPr>
      <w:bookmarkStart w:id="0" w:name="_Toc413847909"/>
      <w:r w:rsidRPr="000000D6">
        <w:rPr>
          <w:rFonts w:asciiTheme="majorHAnsi" w:hAnsiTheme="majorHAnsi"/>
          <w:b/>
          <w:sz w:val="28"/>
        </w:rPr>
        <w:lastRenderedPageBreak/>
        <w:t>Table of Contents</w:t>
      </w:r>
      <w:bookmarkEnd w:id="0"/>
    </w:p>
    <w:p w14:paraId="5FD3F726" w14:textId="582F8109" w:rsidR="000000D6" w:rsidRPr="000000D6" w:rsidRDefault="000000D6" w:rsidP="000000D6">
      <w:pPr>
        <w:pStyle w:val="TOC1"/>
        <w:tabs>
          <w:tab w:val="left" w:pos="1188"/>
        </w:tabs>
        <w:spacing w:line="240" w:lineRule="auto"/>
        <w:rPr>
          <w:noProof/>
        </w:rPr>
      </w:pPr>
      <w:r w:rsidRPr="000000D6">
        <w:fldChar w:fldCharType="begin"/>
      </w:r>
      <w:r w:rsidRPr="000000D6">
        <w:instrText xml:space="preserve"> TOC \h \z \u \t "Heading 3,1,Heading 4,2" </w:instrText>
      </w:r>
      <w:r w:rsidRPr="000000D6">
        <w:fldChar w:fldCharType="separate"/>
      </w:r>
    </w:p>
    <w:p w14:paraId="61BD66F0" w14:textId="66CD658A" w:rsidR="000000D6" w:rsidRPr="000000D6" w:rsidRDefault="00B554C3" w:rsidP="000000D6">
      <w:pPr>
        <w:pStyle w:val="TOC1"/>
        <w:tabs>
          <w:tab w:val="right" w:leader="dot" w:pos="9350"/>
        </w:tabs>
        <w:rPr>
          <w:noProof/>
        </w:rPr>
      </w:pPr>
      <w:hyperlink w:anchor="_Toc413847910" w:history="1">
        <w:r w:rsidR="000000D6" w:rsidRPr="000000D6">
          <w:rPr>
            <w:rStyle w:val="Hyperlink"/>
            <w:noProof/>
          </w:rPr>
          <w:t>Section B – Information Collection Procedures</w:t>
        </w:r>
        <w:r w:rsidR="000000D6" w:rsidRPr="000000D6">
          <w:rPr>
            <w:noProof/>
            <w:webHidden/>
          </w:rPr>
          <w:tab/>
        </w:r>
        <w:r w:rsidR="000000D6" w:rsidRPr="000000D6">
          <w:rPr>
            <w:noProof/>
            <w:webHidden/>
          </w:rPr>
          <w:fldChar w:fldCharType="begin"/>
        </w:r>
        <w:r w:rsidR="000000D6" w:rsidRPr="000000D6">
          <w:rPr>
            <w:noProof/>
            <w:webHidden/>
          </w:rPr>
          <w:instrText xml:space="preserve"> PAGEREF _Toc413847910 \h </w:instrText>
        </w:r>
        <w:r w:rsidR="000000D6" w:rsidRPr="000000D6">
          <w:rPr>
            <w:noProof/>
            <w:webHidden/>
          </w:rPr>
        </w:r>
        <w:r w:rsidR="000000D6" w:rsidRPr="000000D6">
          <w:rPr>
            <w:noProof/>
            <w:webHidden/>
          </w:rPr>
          <w:fldChar w:fldCharType="separate"/>
        </w:r>
        <w:r w:rsidR="000000D6" w:rsidRPr="000000D6">
          <w:rPr>
            <w:noProof/>
            <w:webHidden/>
          </w:rPr>
          <w:t>3</w:t>
        </w:r>
        <w:r w:rsidR="000000D6" w:rsidRPr="000000D6">
          <w:rPr>
            <w:noProof/>
            <w:webHidden/>
          </w:rPr>
          <w:fldChar w:fldCharType="end"/>
        </w:r>
      </w:hyperlink>
    </w:p>
    <w:p w14:paraId="3A22E1E0" w14:textId="77777777" w:rsidR="000000D6" w:rsidRPr="000000D6" w:rsidRDefault="00B554C3" w:rsidP="000000D6">
      <w:pPr>
        <w:pStyle w:val="TOC2"/>
        <w:rPr>
          <w:noProof/>
        </w:rPr>
      </w:pPr>
      <w:hyperlink w:anchor="_Toc413847911" w:history="1">
        <w:r w:rsidR="000000D6" w:rsidRPr="000000D6">
          <w:rPr>
            <w:rStyle w:val="Hyperlink"/>
            <w:noProof/>
          </w:rPr>
          <w:t>1.</w:t>
        </w:r>
        <w:r w:rsidR="000000D6" w:rsidRPr="000000D6">
          <w:rPr>
            <w:noProof/>
          </w:rPr>
          <w:tab/>
        </w:r>
        <w:r w:rsidR="000000D6" w:rsidRPr="000000D6">
          <w:rPr>
            <w:rStyle w:val="Hyperlink"/>
            <w:noProof/>
          </w:rPr>
          <w:t>Respondent Universe and Sampling Methods</w:t>
        </w:r>
        <w:r w:rsidR="000000D6" w:rsidRPr="000000D6">
          <w:rPr>
            <w:noProof/>
            <w:webHidden/>
          </w:rPr>
          <w:tab/>
        </w:r>
        <w:r w:rsidR="000000D6" w:rsidRPr="000000D6">
          <w:rPr>
            <w:noProof/>
            <w:webHidden/>
          </w:rPr>
          <w:fldChar w:fldCharType="begin"/>
        </w:r>
        <w:r w:rsidR="000000D6" w:rsidRPr="000000D6">
          <w:rPr>
            <w:noProof/>
            <w:webHidden/>
          </w:rPr>
          <w:instrText xml:space="preserve"> PAGEREF _Toc413847911 \h </w:instrText>
        </w:r>
        <w:r w:rsidR="000000D6" w:rsidRPr="000000D6">
          <w:rPr>
            <w:noProof/>
            <w:webHidden/>
          </w:rPr>
        </w:r>
        <w:r w:rsidR="000000D6" w:rsidRPr="000000D6">
          <w:rPr>
            <w:noProof/>
            <w:webHidden/>
          </w:rPr>
          <w:fldChar w:fldCharType="separate"/>
        </w:r>
        <w:r w:rsidR="000000D6" w:rsidRPr="000000D6">
          <w:rPr>
            <w:noProof/>
            <w:webHidden/>
          </w:rPr>
          <w:t>3</w:t>
        </w:r>
        <w:r w:rsidR="000000D6" w:rsidRPr="000000D6">
          <w:rPr>
            <w:noProof/>
            <w:webHidden/>
          </w:rPr>
          <w:fldChar w:fldCharType="end"/>
        </w:r>
      </w:hyperlink>
    </w:p>
    <w:p w14:paraId="67401C4C" w14:textId="75B07EBF" w:rsidR="000000D6" w:rsidRPr="000000D6" w:rsidRDefault="00B554C3" w:rsidP="000000D6">
      <w:pPr>
        <w:pStyle w:val="TOC2"/>
        <w:rPr>
          <w:noProof/>
        </w:rPr>
      </w:pPr>
      <w:hyperlink w:anchor="_Toc413847912" w:history="1">
        <w:r w:rsidR="000000D6" w:rsidRPr="000000D6">
          <w:rPr>
            <w:rStyle w:val="Hyperlink"/>
            <w:noProof/>
          </w:rPr>
          <w:t>2.</w:t>
        </w:r>
        <w:r w:rsidR="000000D6" w:rsidRPr="000000D6">
          <w:rPr>
            <w:noProof/>
          </w:rPr>
          <w:tab/>
        </w:r>
        <w:r w:rsidR="000000D6" w:rsidRPr="000000D6">
          <w:rPr>
            <w:rStyle w:val="Hyperlink"/>
            <w:noProof/>
          </w:rPr>
          <w:t>Procedures for the Collection of Information</w:t>
        </w:r>
        <w:r w:rsidR="000000D6" w:rsidRPr="000000D6">
          <w:rPr>
            <w:noProof/>
            <w:webHidden/>
          </w:rPr>
          <w:tab/>
        </w:r>
        <w:r w:rsidR="007C52B9">
          <w:rPr>
            <w:noProof/>
            <w:webHidden/>
          </w:rPr>
          <w:t>4</w:t>
        </w:r>
      </w:hyperlink>
    </w:p>
    <w:p w14:paraId="218A8C38" w14:textId="5DEDDE2B" w:rsidR="000000D6" w:rsidRPr="000000D6" w:rsidRDefault="00B554C3" w:rsidP="000000D6">
      <w:pPr>
        <w:pStyle w:val="TOC2"/>
        <w:rPr>
          <w:noProof/>
        </w:rPr>
      </w:pPr>
      <w:hyperlink w:anchor="_Toc413847913" w:history="1">
        <w:r w:rsidR="000000D6" w:rsidRPr="000000D6">
          <w:rPr>
            <w:rStyle w:val="Hyperlink"/>
            <w:noProof/>
          </w:rPr>
          <w:t>3.</w:t>
        </w:r>
        <w:r w:rsidR="000000D6" w:rsidRPr="000000D6">
          <w:rPr>
            <w:noProof/>
          </w:rPr>
          <w:tab/>
        </w:r>
        <w:r w:rsidR="000000D6" w:rsidRPr="000000D6">
          <w:rPr>
            <w:rStyle w:val="Hyperlink"/>
            <w:noProof/>
          </w:rPr>
          <w:t>Methods to Maximize Response Rates  Deal with Nonresponse</w:t>
        </w:r>
        <w:r w:rsidR="000000D6" w:rsidRPr="000000D6">
          <w:rPr>
            <w:noProof/>
            <w:webHidden/>
          </w:rPr>
          <w:tab/>
        </w:r>
        <w:r w:rsidR="007C52B9">
          <w:rPr>
            <w:noProof/>
            <w:webHidden/>
          </w:rPr>
          <w:t>5</w:t>
        </w:r>
      </w:hyperlink>
    </w:p>
    <w:p w14:paraId="5B31F671" w14:textId="12C9793C" w:rsidR="000000D6" w:rsidRPr="000000D6" w:rsidRDefault="00B554C3" w:rsidP="000000D6">
      <w:pPr>
        <w:pStyle w:val="TOC2"/>
        <w:rPr>
          <w:noProof/>
        </w:rPr>
      </w:pPr>
      <w:hyperlink w:anchor="_Toc413847914" w:history="1">
        <w:r w:rsidR="000000D6" w:rsidRPr="000000D6">
          <w:rPr>
            <w:rStyle w:val="Hyperlink"/>
            <w:noProof/>
          </w:rPr>
          <w:t>4.</w:t>
        </w:r>
        <w:r w:rsidR="000000D6" w:rsidRPr="000000D6">
          <w:rPr>
            <w:noProof/>
          </w:rPr>
          <w:tab/>
        </w:r>
        <w:r w:rsidR="000000D6" w:rsidRPr="000000D6">
          <w:rPr>
            <w:rStyle w:val="Hyperlink"/>
            <w:noProof/>
          </w:rPr>
          <w:t>Test of Procedures or Methods to be Undertaken</w:t>
        </w:r>
        <w:r w:rsidR="000000D6" w:rsidRPr="000000D6">
          <w:rPr>
            <w:noProof/>
            <w:webHidden/>
          </w:rPr>
          <w:tab/>
        </w:r>
        <w:r w:rsidR="000000D6">
          <w:rPr>
            <w:noProof/>
            <w:webHidden/>
          </w:rPr>
          <w:t>……..5</w:t>
        </w:r>
      </w:hyperlink>
    </w:p>
    <w:p w14:paraId="1C77A1F1" w14:textId="65D6BA15" w:rsidR="000000D6" w:rsidRDefault="00B554C3" w:rsidP="000000D6">
      <w:pPr>
        <w:pStyle w:val="TOC2"/>
        <w:rPr>
          <w:noProof/>
        </w:rPr>
      </w:pPr>
      <w:hyperlink w:anchor="_Toc413847915" w:history="1">
        <w:r w:rsidR="000000D6" w:rsidRPr="00017FCA">
          <w:rPr>
            <w:rStyle w:val="Hyperlink"/>
            <w:noProof/>
          </w:rPr>
          <w:t>5.</w:t>
        </w:r>
        <w:r w:rsidR="000000D6">
          <w:rPr>
            <w:noProof/>
          </w:rPr>
          <w:tab/>
        </w:r>
        <w:r w:rsidR="000000D6" w:rsidRPr="00017FCA">
          <w:rPr>
            <w:rStyle w:val="Hyperlink"/>
            <w:noProof/>
          </w:rPr>
          <w:t xml:space="preserve">Individuals Consulted on Statistical Aspects and Individuals Collecting and/or Analyzing </w:t>
        </w:r>
        <w:r w:rsidR="000000D6">
          <w:rPr>
            <w:rStyle w:val="Hyperlink"/>
            <w:noProof/>
          </w:rPr>
          <w:t xml:space="preserve">                         </w:t>
        </w:r>
        <w:r w:rsidR="000000D6" w:rsidRPr="00017FCA">
          <w:rPr>
            <w:rStyle w:val="Hyperlink"/>
            <w:noProof/>
          </w:rPr>
          <w:t>Data</w:t>
        </w:r>
        <w:r w:rsidR="000000D6">
          <w:rPr>
            <w:rStyle w:val="Hyperlink"/>
            <w:noProof/>
          </w:rPr>
          <w:t>………………………………………………………………………………………………………………………………….</w:t>
        </w:r>
        <w:r w:rsidR="000000D6">
          <w:rPr>
            <w:noProof/>
            <w:webHidden/>
          </w:rPr>
          <w:t>5</w:t>
        </w:r>
      </w:hyperlink>
    </w:p>
    <w:p w14:paraId="685D80ED" w14:textId="4C15BEDF" w:rsidR="000000D6" w:rsidRPr="000000D6" w:rsidRDefault="00B554C3" w:rsidP="000000D6">
      <w:pPr>
        <w:pStyle w:val="TOC1"/>
        <w:tabs>
          <w:tab w:val="right" w:leader="dot" w:pos="9350"/>
        </w:tabs>
        <w:rPr>
          <w:noProof/>
        </w:rPr>
      </w:pPr>
      <w:hyperlink w:anchor="_Toc413847916" w:history="1">
        <w:r w:rsidR="000000D6" w:rsidRPr="000000D6">
          <w:rPr>
            <w:rStyle w:val="Hyperlink"/>
            <w:noProof/>
          </w:rPr>
          <w:t>LIST OF ATTACHMENTS – Section B</w:t>
        </w:r>
        <w:r w:rsidR="000000D6" w:rsidRPr="000000D6">
          <w:rPr>
            <w:noProof/>
            <w:webHidden/>
          </w:rPr>
          <w:tab/>
        </w:r>
        <w:r w:rsidR="000000D6">
          <w:rPr>
            <w:noProof/>
            <w:webHidden/>
          </w:rPr>
          <w:t>6</w:t>
        </w:r>
      </w:hyperlink>
    </w:p>
    <w:p w14:paraId="1EA9C79E" w14:textId="662805CC" w:rsidR="000000D6" w:rsidRDefault="000000D6" w:rsidP="000000D6">
      <w:pPr>
        <w:pStyle w:val="Heading3"/>
      </w:pPr>
      <w:r w:rsidRPr="000000D6">
        <w:rPr>
          <w:sz w:val="22"/>
        </w:rPr>
        <w:fldChar w:fldCharType="end"/>
      </w:r>
    </w:p>
    <w:p w14:paraId="28734D0F" w14:textId="77777777" w:rsidR="000000D6" w:rsidRDefault="000000D6" w:rsidP="000000D6"/>
    <w:p w14:paraId="6A600C24" w14:textId="77777777" w:rsidR="000000D6" w:rsidRDefault="000000D6" w:rsidP="000000D6"/>
    <w:p w14:paraId="01BEBD2A" w14:textId="77777777" w:rsidR="000000D6" w:rsidRDefault="000000D6" w:rsidP="000000D6"/>
    <w:p w14:paraId="0D6B9FF2" w14:textId="77777777" w:rsidR="000000D6" w:rsidRDefault="000000D6" w:rsidP="000000D6"/>
    <w:p w14:paraId="74E3B66B" w14:textId="77777777" w:rsidR="000000D6" w:rsidRDefault="000000D6" w:rsidP="000000D6"/>
    <w:p w14:paraId="5EDA1DDB" w14:textId="77777777" w:rsidR="000000D6" w:rsidRDefault="000000D6" w:rsidP="000000D6"/>
    <w:p w14:paraId="70B8457B" w14:textId="77777777" w:rsidR="000000D6" w:rsidRDefault="000000D6" w:rsidP="000000D6"/>
    <w:p w14:paraId="684E613D" w14:textId="77777777" w:rsidR="000000D6" w:rsidRDefault="000000D6" w:rsidP="000000D6"/>
    <w:p w14:paraId="21F54E2F" w14:textId="77777777" w:rsidR="000000D6" w:rsidRDefault="000000D6" w:rsidP="000000D6"/>
    <w:p w14:paraId="5AC51F90" w14:textId="77777777" w:rsidR="000000D6" w:rsidRDefault="000000D6" w:rsidP="000000D6"/>
    <w:p w14:paraId="5758C3E2" w14:textId="77777777" w:rsidR="000000D6" w:rsidRDefault="000000D6" w:rsidP="000000D6"/>
    <w:p w14:paraId="035F9683" w14:textId="77777777" w:rsidR="000000D6" w:rsidRDefault="000000D6" w:rsidP="000000D6"/>
    <w:p w14:paraId="051DD82A" w14:textId="77777777" w:rsidR="000000D6" w:rsidRDefault="000000D6" w:rsidP="000000D6"/>
    <w:p w14:paraId="64FA7C0D" w14:textId="77777777" w:rsidR="000000D6" w:rsidRDefault="000000D6" w:rsidP="000000D6"/>
    <w:p w14:paraId="7875F2C9" w14:textId="77777777" w:rsidR="000000D6" w:rsidRDefault="000000D6" w:rsidP="000000D6"/>
    <w:p w14:paraId="5FEFF0B8" w14:textId="77777777" w:rsidR="000000D6" w:rsidRDefault="000000D6" w:rsidP="000000D6"/>
    <w:p w14:paraId="12F2ABAC" w14:textId="77777777" w:rsidR="000000D6" w:rsidRPr="000000D6" w:rsidRDefault="000000D6" w:rsidP="000000D6"/>
    <w:p w14:paraId="725BB1DE" w14:textId="77777777" w:rsidR="000000D6" w:rsidRDefault="000000D6" w:rsidP="00B714AC">
      <w:pPr>
        <w:pStyle w:val="Heading3"/>
      </w:pPr>
    </w:p>
    <w:p w14:paraId="305B621E" w14:textId="77777777" w:rsidR="00B714AC" w:rsidRPr="00B0632D" w:rsidRDefault="00B714AC" w:rsidP="00B714AC">
      <w:pPr>
        <w:pStyle w:val="Heading3"/>
      </w:pPr>
      <w:r w:rsidRPr="00B0632D">
        <w:t>Section B – Information Collection Procedures</w:t>
      </w:r>
    </w:p>
    <w:p w14:paraId="305B621F" w14:textId="77777777" w:rsidR="00762379" w:rsidRPr="00CE68B4" w:rsidRDefault="00762379" w:rsidP="00671EF0">
      <w:pPr>
        <w:pStyle w:val="NormalWeb"/>
        <w:numPr>
          <w:ilvl w:val="0"/>
          <w:numId w:val="2"/>
        </w:numPr>
        <w:ind w:left="360"/>
        <w:rPr>
          <w:rFonts w:asciiTheme="majorHAnsi" w:hAnsiTheme="majorHAnsi"/>
          <w:b/>
          <w:sz w:val="22"/>
          <w:szCs w:val="22"/>
        </w:rPr>
      </w:pPr>
      <w:r w:rsidRPr="00CE68B4">
        <w:rPr>
          <w:rFonts w:asciiTheme="majorHAnsi" w:hAnsiTheme="majorHAnsi"/>
          <w:b/>
          <w:sz w:val="22"/>
          <w:szCs w:val="22"/>
        </w:rPr>
        <w:t>Responden</w:t>
      </w:r>
      <w:r w:rsidR="00671EF0" w:rsidRPr="00CE68B4">
        <w:rPr>
          <w:rFonts w:asciiTheme="majorHAnsi" w:hAnsiTheme="majorHAnsi"/>
          <w:b/>
          <w:sz w:val="22"/>
          <w:szCs w:val="22"/>
        </w:rPr>
        <w:t>t Universe and Sampling Methods</w:t>
      </w:r>
    </w:p>
    <w:p w14:paraId="5BB9A049" w14:textId="4BA89767" w:rsidR="00B92C31" w:rsidRDefault="00C23C59" w:rsidP="006963BA">
      <w:pPr>
        <w:pStyle w:val="NormalWeb"/>
        <w:spacing w:line="276" w:lineRule="auto"/>
        <w:rPr>
          <w:rFonts w:asciiTheme="majorHAnsi" w:hAnsiTheme="majorHAnsi"/>
          <w:sz w:val="22"/>
          <w:szCs w:val="22"/>
        </w:rPr>
      </w:pPr>
      <w:r>
        <w:rPr>
          <w:rFonts w:asciiTheme="majorHAnsi" w:hAnsiTheme="majorHAnsi"/>
          <w:sz w:val="22"/>
          <w:szCs w:val="22"/>
        </w:rPr>
        <w:t xml:space="preserve">The respondent universe </w:t>
      </w:r>
      <w:r w:rsidR="003B1E50">
        <w:rPr>
          <w:rFonts w:asciiTheme="majorHAnsi" w:hAnsiTheme="majorHAnsi"/>
          <w:sz w:val="22"/>
          <w:szCs w:val="22"/>
        </w:rPr>
        <w:t xml:space="preserve">for this assessment </w:t>
      </w:r>
      <w:r w:rsidR="00694BC0">
        <w:rPr>
          <w:rFonts w:asciiTheme="majorHAnsi" w:hAnsiTheme="majorHAnsi"/>
          <w:sz w:val="22"/>
          <w:szCs w:val="22"/>
        </w:rPr>
        <w:t xml:space="preserve">will consist </w:t>
      </w:r>
      <w:r>
        <w:rPr>
          <w:rFonts w:asciiTheme="majorHAnsi" w:hAnsiTheme="majorHAnsi"/>
          <w:sz w:val="22"/>
          <w:szCs w:val="22"/>
        </w:rPr>
        <w:t xml:space="preserve">of 18 </w:t>
      </w:r>
      <w:r w:rsidR="00323C99" w:rsidRPr="00052D28">
        <w:rPr>
          <w:rFonts w:asciiTheme="majorHAnsi" w:hAnsiTheme="majorHAnsi"/>
          <w:sz w:val="22"/>
          <w:szCs w:val="22"/>
        </w:rPr>
        <w:t xml:space="preserve">environmental health (EH) practitioners </w:t>
      </w:r>
      <w:r w:rsidR="005553E8">
        <w:rPr>
          <w:rFonts w:asciiTheme="majorHAnsi" w:hAnsiTheme="majorHAnsi"/>
          <w:sz w:val="22"/>
          <w:szCs w:val="22"/>
        </w:rPr>
        <w:t xml:space="preserve">from 6 state and </w:t>
      </w:r>
      <w:r w:rsidR="007D6303" w:rsidRPr="00052D28">
        <w:rPr>
          <w:rFonts w:asciiTheme="majorHAnsi" w:hAnsiTheme="majorHAnsi"/>
          <w:sz w:val="22"/>
          <w:szCs w:val="22"/>
        </w:rPr>
        <w:t>county</w:t>
      </w:r>
      <w:r w:rsidR="00762379" w:rsidRPr="00CE68B4" w:rsidDel="005553E8">
        <w:rPr>
          <w:rFonts w:asciiTheme="majorHAnsi" w:hAnsiTheme="majorHAnsi"/>
          <w:sz w:val="22"/>
          <w:szCs w:val="22"/>
        </w:rPr>
        <w:t xml:space="preserve"> health departments</w:t>
      </w:r>
      <w:r w:rsidR="00154AF9">
        <w:rPr>
          <w:rFonts w:asciiTheme="majorHAnsi" w:hAnsiTheme="majorHAnsi"/>
          <w:sz w:val="22"/>
          <w:szCs w:val="22"/>
        </w:rPr>
        <w:t xml:space="preserve"> </w:t>
      </w:r>
      <w:r w:rsidR="00154AF9" w:rsidRPr="00DD51A9">
        <w:rPr>
          <w:rFonts w:asciiTheme="majorHAnsi" w:hAnsiTheme="majorHAnsi"/>
          <w:sz w:val="22"/>
          <w:szCs w:val="22"/>
        </w:rPr>
        <w:t xml:space="preserve">(see </w:t>
      </w:r>
      <w:r w:rsidR="00154AF9" w:rsidRPr="00FB1391">
        <w:rPr>
          <w:rFonts w:asciiTheme="majorHAnsi" w:hAnsiTheme="majorHAnsi" w:cs="Arial"/>
          <w:b/>
          <w:sz w:val="22"/>
          <w:szCs w:val="22"/>
        </w:rPr>
        <w:t>Attachment A–List of state and county health departments</w:t>
      </w:r>
      <w:r w:rsidR="00154AF9" w:rsidRPr="00FB1391">
        <w:rPr>
          <w:rFonts w:asciiTheme="majorHAnsi" w:hAnsiTheme="majorHAnsi" w:cs="Arial"/>
          <w:sz w:val="22"/>
          <w:szCs w:val="22"/>
        </w:rPr>
        <w:t>)</w:t>
      </w:r>
      <w:r w:rsidR="00762379" w:rsidRPr="00CE68B4" w:rsidDel="005553E8">
        <w:rPr>
          <w:rFonts w:asciiTheme="majorHAnsi" w:hAnsiTheme="majorHAnsi"/>
          <w:sz w:val="22"/>
          <w:szCs w:val="22"/>
        </w:rPr>
        <w:t xml:space="preserve"> </w:t>
      </w:r>
      <w:r w:rsidR="00765633" w:rsidRPr="00CE68B4">
        <w:rPr>
          <w:rFonts w:asciiTheme="majorHAnsi" w:hAnsiTheme="majorHAnsi"/>
          <w:sz w:val="22"/>
          <w:szCs w:val="22"/>
        </w:rPr>
        <w:t xml:space="preserve">who participated in </w:t>
      </w:r>
      <w:r w:rsidR="00D370F3" w:rsidRPr="00CE68B4">
        <w:rPr>
          <w:rFonts w:asciiTheme="majorHAnsi" w:hAnsiTheme="majorHAnsi"/>
          <w:sz w:val="22"/>
          <w:szCs w:val="22"/>
        </w:rPr>
        <w:t xml:space="preserve">projects of </w:t>
      </w:r>
      <w:r w:rsidR="00C72FCC" w:rsidRPr="00CE68B4">
        <w:rPr>
          <w:rFonts w:asciiTheme="majorHAnsi" w:hAnsiTheme="majorHAnsi"/>
          <w:sz w:val="22"/>
          <w:szCs w:val="22"/>
        </w:rPr>
        <w:t>two</w:t>
      </w:r>
      <w:r w:rsidR="00765633" w:rsidRPr="00CE68B4">
        <w:rPr>
          <w:rFonts w:asciiTheme="majorHAnsi" w:hAnsiTheme="majorHAnsi"/>
          <w:sz w:val="22"/>
          <w:szCs w:val="22"/>
        </w:rPr>
        <w:t xml:space="preserve"> </w:t>
      </w:r>
      <w:r w:rsidR="00323C99" w:rsidRPr="00052D28">
        <w:rPr>
          <w:rFonts w:asciiTheme="majorHAnsi" w:hAnsiTheme="majorHAnsi"/>
          <w:sz w:val="22"/>
          <w:szCs w:val="22"/>
        </w:rPr>
        <w:t xml:space="preserve">Environmental Health Services Branch </w:t>
      </w:r>
      <w:r w:rsidR="00323C99" w:rsidRPr="00052D28">
        <w:rPr>
          <w:rFonts w:asciiTheme="majorHAnsi" w:hAnsiTheme="majorHAnsi"/>
          <w:sz w:val="22"/>
          <w:szCs w:val="22"/>
        </w:rPr>
        <w:lastRenderedPageBreak/>
        <w:t>(</w:t>
      </w:r>
      <w:r w:rsidR="005553E8" w:rsidRPr="00052D28">
        <w:rPr>
          <w:rFonts w:asciiTheme="majorHAnsi" w:hAnsiTheme="majorHAnsi"/>
          <w:sz w:val="22"/>
          <w:szCs w:val="22"/>
        </w:rPr>
        <w:t>EHSB</w:t>
      </w:r>
      <w:r w:rsidR="00323C99" w:rsidRPr="00052D28">
        <w:rPr>
          <w:rFonts w:asciiTheme="majorHAnsi" w:hAnsiTheme="majorHAnsi"/>
          <w:sz w:val="22"/>
          <w:szCs w:val="22"/>
        </w:rPr>
        <w:t>)</w:t>
      </w:r>
      <w:r w:rsidR="00765633" w:rsidRPr="00052D28">
        <w:rPr>
          <w:rFonts w:asciiTheme="majorHAnsi" w:hAnsiTheme="majorHAnsi"/>
          <w:sz w:val="22"/>
          <w:szCs w:val="22"/>
        </w:rPr>
        <w:t xml:space="preserve">-funded </w:t>
      </w:r>
      <w:r w:rsidR="00D66EF3" w:rsidRPr="00052D28">
        <w:rPr>
          <w:rFonts w:asciiTheme="majorHAnsi" w:hAnsiTheme="majorHAnsi"/>
          <w:sz w:val="22"/>
          <w:szCs w:val="22"/>
        </w:rPr>
        <w:t>cooperative agreement</w:t>
      </w:r>
      <w:r w:rsidR="00765633" w:rsidRPr="00CE68B4">
        <w:rPr>
          <w:rFonts w:asciiTheme="majorHAnsi" w:hAnsiTheme="majorHAnsi"/>
          <w:sz w:val="22"/>
          <w:szCs w:val="22"/>
        </w:rPr>
        <w:t xml:space="preserve"> </w:t>
      </w:r>
      <w:r w:rsidR="00A0281C" w:rsidRPr="00CE68B4">
        <w:rPr>
          <w:rFonts w:asciiTheme="majorHAnsi" w:hAnsiTheme="majorHAnsi"/>
          <w:sz w:val="22"/>
          <w:szCs w:val="22"/>
        </w:rPr>
        <w:t xml:space="preserve">water </w:t>
      </w:r>
      <w:r w:rsidR="00182C82" w:rsidRPr="00CE68B4">
        <w:rPr>
          <w:rFonts w:asciiTheme="majorHAnsi" w:hAnsiTheme="majorHAnsi"/>
          <w:sz w:val="22"/>
          <w:szCs w:val="22"/>
        </w:rPr>
        <w:t>pro</w:t>
      </w:r>
      <w:r w:rsidR="00A0281C" w:rsidRPr="00CE68B4">
        <w:rPr>
          <w:rFonts w:asciiTheme="majorHAnsi" w:hAnsiTheme="majorHAnsi"/>
          <w:sz w:val="22"/>
          <w:szCs w:val="22"/>
        </w:rPr>
        <w:t>gram</w:t>
      </w:r>
      <w:r w:rsidR="00765633" w:rsidRPr="00CE68B4">
        <w:rPr>
          <w:rFonts w:asciiTheme="majorHAnsi" w:hAnsiTheme="majorHAnsi"/>
          <w:sz w:val="22"/>
          <w:szCs w:val="22"/>
        </w:rPr>
        <w:t>s</w:t>
      </w:r>
      <w:r w:rsidR="00CD3F07" w:rsidRPr="00CE68B4">
        <w:rPr>
          <w:rFonts w:asciiTheme="majorHAnsi" w:hAnsiTheme="majorHAnsi"/>
          <w:sz w:val="22"/>
          <w:szCs w:val="22"/>
        </w:rPr>
        <w:t xml:space="preserve">: the </w:t>
      </w:r>
      <w:r w:rsidR="00C72FCC" w:rsidRPr="00CE68B4">
        <w:rPr>
          <w:rFonts w:asciiTheme="majorHAnsi" w:hAnsiTheme="majorHAnsi"/>
          <w:sz w:val="22"/>
          <w:szCs w:val="22"/>
        </w:rPr>
        <w:t xml:space="preserve">Environmental Health Specialists Network-Water </w:t>
      </w:r>
      <w:r w:rsidR="00A0281C" w:rsidRPr="00CE68B4">
        <w:rPr>
          <w:rFonts w:asciiTheme="majorHAnsi" w:hAnsiTheme="majorHAnsi"/>
          <w:sz w:val="22"/>
          <w:szCs w:val="22"/>
        </w:rPr>
        <w:t xml:space="preserve">(EHS-Net Water) </w:t>
      </w:r>
      <w:r w:rsidR="00C72FCC" w:rsidRPr="00CE68B4">
        <w:rPr>
          <w:rFonts w:asciiTheme="majorHAnsi" w:hAnsiTheme="majorHAnsi"/>
          <w:sz w:val="22"/>
          <w:szCs w:val="22"/>
        </w:rPr>
        <w:t>and Private Well/Unregulated Drinking Water Systems</w:t>
      </w:r>
      <w:r w:rsidR="00A0281C" w:rsidRPr="00CE68B4">
        <w:rPr>
          <w:rFonts w:asciiTheme="majorHAnsi" w:hAnsiTheme="majorHAnsi"/>
          <w:sz w:val="22"/>
          <w:szCs w:val="22"/>
        </w:rPr>
        <w:t xml:space="preserve"> (PW/UDWS)</w:t>
      </w:r>
      <w:r w:rsidR="00765633" w:rsidRPr="00CE68B4">
        <w:rPr>
          <w:rFonts w:asciiTheme="majorHAnsi" w:hAnsiTheme="majorHAnsi"/>
          <w:sz w:val="22"/>
          <w:szCs w:val="22"/>
        </w:rPr>
        <w:t xml:space="preserve">. </w:t>
      </w:r>
      <w:r w:rsidR="00323C99" w:rsidRPr="00052D28">
        <w:rPr>
          <w:rFonts w:asciiTheme="majorHAnsi" w:hAnsiTheme="majorHAnsi" w:cs="TimesNewRomanPSMT"/>
          <w:sz w:val="22"/>
          <w:szCs w:val="22"/>
        </w:rPr>
        <w:t xml:space="preserve">EHSB funded </w:t>
      </w:r>
      <w:r w:rsidR="007D6303" w:rsidRPr="00052D28">
        <w:rPr>
          <w:rFonts w:asciiTheme="majorHAnsi" w:hAnsiTheme="majorHAnsi" w:cs="TimesNewRomanPSMT"/>
          <w:sz w:val="22"/>
          <w:szCs w:val="22"/>
        </w:rPr>
        <w:t xml:space="preserve">4 </w:t>
      </w:r>
      <w:r w:rsidR="00323C99" w:rsidRPr="00052D28">
        <w:rPr>
          <w:rFonts w:asciiTheme="majorHAnsi" w:hAnsiTheme="majorHAnsi" w:cs="TimesNewRomanPSMT"/>
          <w:sz w:val="22"/>
          <w:szCs w:val="22"/>
        </w:rPr>
        <w:t xml:space="preserve">state and </w:t>
      </w:r>
      <w:r w:rsidR="007D6303" w:rsidRPr="00052D28">
        <w:rPr>
          <w:rFonts w:asciiTheme="majorHAnsi" w:hAnsiTheme="majorHAnsi" w:cs="TimesNewRomanPSMT"/>
          <w:sz w:val="22"/>
          <w:szCs w:val="22"/>
        </w:rPr>
        <w:t xml:space="preserve">1 </w:t>
      </w:r>
      <w:r w:rsidR="00323C99" w:rsidRPr="00052D28">
        <w:rPr>
          <w:rFonts w:asciiTheme="majorHAnsi" w:hAnsiTheme="majorHAnsi" w:cs="TimesNewRomanPSMT"/>
          <w:sz w:val="22"/>
          <w:szCs w:val="22"/>
        </w:rPr>
        <w:t xml:space="preserve">county public health </w:t>
      </w:r>
      <w:r w:rsidR="007D6303" w:rsidRPr="00052D28">
        <w:rPr>
          <w:rFonts w:asciiTheme="majorHAnsi" w:hAnsiTheme="majorHAnsi" w:cs="TimesNewRomanPSMT"/>
          <w:sz w:val="22"/>
          <w:szCs w:val="22"/>
        </w:rPr>
        <w:t xml:space="preserve">departments </w:t>
      </w:r>
      <w:r w:rsidR="00323C99" w:rsidRPr="00052D28">
        <w:rPr>
          <w:rFonts w:asciiTheme="majorHAnsi" w:hAnsiTheme="majorHAnsi" w:cs="TimesNewRomanPSMT"/>
          <w:sz w:val="22"/>
          <w:szCs w:val="22"/>
        </w:rPr>
        <w:t xml:space="preserve">as part of the EHS-Net Water Program </w:t>
      </w:r>
      <w:r w:rsidR="00052D28">
        <w:rPr>
          <w:rFonts w:asciiTheme="majorHAnsi" w:hAnsiTheme="majorHAnsi" w:cs="TimesNewRomanPSMT"/>
          <w:sz w:val="22"/>
          <w:szCs w:val="22"/>
        </w:rPr>
        <w:t>(</w:t>
      </w:r>
      <w:r w:rsidR="00B92C31">
        <w:rPr>
          <w:rFonts w:asciiTheme="majorHAnsi" w:hAnsiTheme="majorHAnsi" w:cs="TimesNewRomanPSMT"/>
          <w:sz w:val="22"/>
          <w:szCs w:val="22"/>
        </w:rPr>
        <w:t xml:space="preserve">total funded = 5; </w:t>
      </w:r>
      <w:r w:rsidR="00052D28">
        <w:rPr>
          <w:rFonts w:asciiTheme="majorHAnsi" w:hAnsiTheme="majorHAnsi" w:cs="TimesNewRomanPSMT"/>
          <w:sz w:val="22"/>
          <w:szCs w:val="22"/>
        </w:rPr>
        <w:t xml:space="preserve">2010-2015) </w:t>
      </w:r>
      <w:r w:rsidR="00052D28">
        <w:rPr>
          <w:rFonts w:asciiTheme="majorHAnsi" w:hAnsiTheme="majorHAnsi"/>
          <w:sz w:val="22"/>
          <w:szCs w:val="22"/>
        </w:rPr>
        <w:t>and</w:t>
      </w:r>
      <w:r w:rsidR="00323C99" w:rsidRPr="00052D28">
        <w:rPr>
          <w:rFonts w:asciiTheme="majorHAnsi" w:hAnsiTheme="majorHAnsi"/>
          <w:sz w:val="22"/>
          <w:szCs w:val="22"/>
        </w:rPr>
        <w:t xml:space="preserve"> funded </w:t>
      </w:r>
      <w:r w:rsidR="007D6303" w:rsidRPr="00052D28">
        <w:rPr>
          <w:rFonts w:asciiTheme="majorHAnsi" w:hAnsiTheme="majorHAnsi"/>
          <w:sz w:val="22"/>
          <w:szCs w:val="22"/>
        </w:rPr>
        <w:t xml:space="preserve">9 </w:t>
      </w:r>
      <w:r w:rsidR="00323C99" w:rsidRPr="00052D28">
        <w:rPr>
          <w:rFonts w:asciiTheme="majorHAnsi" w:hAnsiTheme="majorHAnsi"/>
          <w:sz w:val="22"/>
          <w:szCs w:val="22"/>
        </w:rPr>
        <w:t xml:space="preserve">state and </w:t>
      </w:r>
      <w:r w:rsidR="007D6303" w:rsidRPr="00052D28">
        <w:rPr>
          <w:rFonts w:asciiTheme="majorHAnsi" w:hAnsiTheme="majorHAnsi"/>
          <w:sz w:val="22"/>
          <w:szCs w:val="22"/>
        </w:rPr>
        <w:t xml:space="preserve">2 </w:t>
      </w:r>
      <w:r w:rsidR="00323C99" w:rsidRPr="00052D28">
        <w:rPr>
          <w:rFonts w:asciiTheme="majorHAnsi" w:hAnsiTheme="majorHAnsi"/>
          <w:sz w:val="22"/>
          <w:szCs w:val="22"/>
        </w:rPr>
        <w:t>county health department</w:t>
      </w:r>
      <w:r w:rsidR="00052D28">
        <w:rPr>
          <w:rFonts w:asciiTheme="majorHAnsi" w:hAnsiTheme="majorHAnsi"/>
          <w:sz w:val="22"/>
          <w:szCs w:val="22"/>
        </w:rPr>
        <w:t>s</w:t>
      </w:r>
      <w:r w:rsidR="00323C99" w:rsidRPr="00052D28">
        <w:rPr>
          <w:rFonts w:asciiTheme="majorHAnsi" w:hAnsiTheme="majorHAnsi"/>
          <w:sz w:val="22"/>
          <w:szCs w:val="22"/>
        </w:rPr>
        <w:t xml:space="preserve"> </w:t>
      </w:r>
      <w:r w:rsidR="00052D28">
        <w:rPr>
          <w:rFonts w:asciiTheme="majorHAnsi" w:hAnsiTheme="majorHAnsi"/>
          <w:sz w:val="22"/>
          <w:szCs w:val="22"/>
        </w:rPr>
        <w:t>as part of</w:t>
      </w:r>
      <w:r w:rsidR="00323C99" w:rsidRPr="00052D28">
        <w:rPr>
          <w:rFonts w:asciiTheme="majorHAnsi" w:hAnsiTheme="majorHAnsi"/>
          <w:sz w:val="22"/>
          <w:szCs w:val="22"/>
        </w:rPr>
        <w:t xml:space="preserve"> the PW/UWDS </w:t>
      </w:r>
      <w:r w:rsidR="00052D28">
        <w:rPr>
          <w:rFonts w:asciiTheme="majorHAnsi" w:hAnsiTheme="majorHAnsi"/>
          <w:sz w:val="22"/>
          <w:szCs w:val="22"/>
        </w:rPr>
        <w:t>Program (</w:t>
      </w:r>
      <w:r w:rsidR="00B92C31">
        <w:rPr>
          <w:rFonts w:asciiTheme="majorHAnsi" w:hAnsiTheme="majorHAnsi"/>
          <w:sz w:val="22"/>
          <w:szCs w:val="22"/>
        </w:rPr>
        <w:t xml:space="preserve">total funded = </w:t>
      </w:r>
      <w:r w:rsidR="0069158F">
        <w:rPr>
          <w:rFonts w:asciiTheme="majorHAnsi" w:hAnsiTheme="majorHAnsi"/>
          <w:sz w:val="22"/>
          <w:szCs w:val="22"/>
        </w:rPr>
        <w:t>11</w:t>
      </w:r>
      <w:r w:rsidR="00B92C31">
        <w:rPr>
          <w:rFonts w:asciiTheme="majorHAnsi" w:hAnsiTheme="majorHAnsi"/>
          <w:sz w:val="22"/>
          <w:szCs w:val="22"/>
        </w:rPr>
        <w:t xml:space="preserve">; </w:t>
      </w:r>
      <w:r w:rsidR="00052D28">
        <w:rPr>
          <w:rFonts w:asciiTheme="majorHAnsi" w:hAnsiTheme="majorHAnsi"/>
          <w:sz w:val="22"/>
          <w:szCs w:val="22"/>
        </w:rPr>
        <w:t>2013-2015)</w:t>
      </w:r>
      <w:r w:rsidR="00323C99" w:rsidRPr="00052D28">
        <w:rPr>
          <w:rFonts w:asciiTheme="majorHAnsi" w:hAnsiTheme="majorHAnsi"/>
          <w:bCs/>
          <w:iCs/>
          <w:sz w:val="22"/>
          <w:szCs w:val="22"/>
        </w:rPr>
        <w:t>.</w:t>
      </w:r>
      <w:r w:rsidR="00545D80">
        <w:rPr>
          <w:rFonts w:asciiTheme="majorHAnsi" w:hAnsiTheme="majorHAnsi"/>
          <w:bCs/>
          <w:iCs/>
          <w:sz w:val="22"/>
          <w:szCs w:val="22"/>
        </w:rPr>
        <w:t xml:space="preserve"> Two</w:t>
      </w:r>
      <w:r w:rsidR="004B08C1" w:rsidRPr="00052D28">
        <w:rPr>
          <w:rFonts w:asciiTheme="majorHAnsi" w:hAnsiTheme="majorHAnsi"/>
          <w:bCs/>
          <w:iCs/>
          <w:sz w:val="22"/>
          <w:szCs w:val="22"/>
        </w:rPr>
        <w:t xml:space="preserve"> </w:t>
      </w:r>
      <w:r w:rsidR="007D6303" w:rsidRPr="00052D28">
        <w:rPr>
          <w:rFonts w:asciiTheme="majorHAnsi" w:hAnsiTheme="majorHAnsi"/>
          <w:bCs/>
          <w:iCs/>
          <w:sz w:val="22"/>
          <w:szCs w:val="22"/>
        </w:rPr>
        <w:t xml:space="preserve">(1 state and 1 county) health departments received funding from both </w:t>
      </w:r>
      <w:r w:rsidR="00052D28">
        <w:rPr>
          <w:rFonts w:asciiTheme="majorHAnsi" w:hAnsiTheme="majorHAnsi"/>
          <w:bCs/>
          <w:iCs/>
          <w:sz w:val="22"/>
          <w:szCs w:val="22"/>
        </w:rPr>
        <w:t xml:space="preserve">the </w:t>
      </w:r>
      <w:r w:rsidR="007D6303" w:rsidRPr="00052D28">
        <w:rPr>
          <w:rFonts w:asciiTheme="majorHAnsi" w:hAnsiTheme="majorHAnsi"/>
          <w:bCs/>
          <w:iCs/>
          <w:sz w:val="22"/>
          <w:szCs w:val="22"/>
        </w:rPr>
        <w:t>EHS-Net Water and the PW/UDWS</w:t>
      </w:r>
      <w:r w:rsidR="00052D28">
        <w:rPr>
          <w:rFonts w:asciiTheme="majorHAnsi" w:hAnsiTheme="majorHAnsi"/>
          <w:bCs/>
          <w:iCs/>
          <w:sz w:val="22"/>
          <w:szCs w:val="22"/>
        </w:rPr>
        <w:t xml:space="preserve"> Programs</w:t>
      </w:r>
      <w:r w:rsidR="007D6303" w:rsidRPr="00052D28">
        <w:rPr>
          <w:rFonts w:asciiTheme="majorHAnsi" w:hAnsiTheme="majorHAnsi"/>
          <w:bCs/>
          <w:iCs/>
          <w:sz w:val="22"/>
          <w:szCs w:val="22"/>
        </w:rPr>
        <w:t>.</w:t>
      </w:r>
      <w:r w:rsidR="00052D28" w:rsidRPr="00052D28">
        <w:rPr>
          <w:rFonts w:asciiTheme="majorHAnsi" w:hAnsiTheme="majorHAnsi"/>
          <w:sz w:val="22"/>
          <w:szCs w:val="22"/>
        </w:rPr>
        <w:t xml:space="preserve"> </w:t>
      </w:r>
    </w:p>
    <w:p w14:paraId="4C3A1879" w14:textId="77777777" w:rsidR="00D4190C" w:rsidRDefault="00B92C31" w:rsidP="008576CD">
      <w:pPr>
        <w:pStyle w:val="NormalWeb"/>
        <w:spacing w:line="276" w:lineRule="auto"/>
        <w:rPr>
          <w:rFonts w:asciiTheme="majorHAnsi" w:hAnsiTheme="majorHAnsi"/>
          <w:sz w:val="22"/>
          <w:szCs w:val="22"/>
        </w:rPr>
      </w:pPr>
      <w:r>
        <w:rPr>
          <w:rFonts w:asciiTheme="majorHAnsi" w:hAnsiTheme="majorHAnsi"/>
          <w:sz w:val="22"/>
          <w:szCs w:val="22"/>
        </w:rPr>
        <w:t xml:space="preserve">Of the 14 total state and local health departments that were funded by the EHS-Net Water Program and the PW/UWDS Program, </w:t>
      </w:r>
      <w:r w:rsidR="007158C1">
        <w:rPr>
          <w:rFonts w:asciiTheme="majorHAnsi" w:hAnsiTheme="majorHAnsi"/>
          <w:sz w:val="22"/>
          <w:szCs w:val="22"/>
        </w:rPr>
        <w:t>6</w:t>
      </w:r>
      <w:r w:rsidR="002D264A">
        <w:rPr>
          <w:rFonts w:asciiTheme="majorHAnsi" w:hAnsiTheme="majorHAnsi"/>
          <w:sz w:val="22"/>
          <w:szCs w:val="22"/>
        </w:rPr>
        <w:t xml:space="preserve"> (4 state and 2 county)</w:t>
      </w:r>
      <w:r>
        <w:rPr>
          <w:rFonts w:asciiTheme="majorHAnsi" w:hAnsiTheme="majorHAnsi"/>
          <w:sz w:val="22"/>
          <w:szCs w:val="22"/>
        </w:rPr>
        <w:t xml:space="preserve"> were selected for inclusion in this study. To select these 6, </w:t>
      </w:r>
      <w:r w:rsidR="004B08C1">
        <w:rPr>
          <w:rFonts w:asciiTheme="majorHAnsi" w:hAnsiTheme="majorHAnsi"/>
          <w:sz w:val="22"/>
          <w:szCs w:val="22"/>
        </w:rPr>
        <w:t>EHSB</w:t>
      </w:r>
      <w:r w:rsidR="004B08C1" w:rsidRPr="00052D28">
        <w:rPr>
          <w:rFonts w:asciiTheme="majorHAnsi" w:hAnsiTheme="majorHAnsi"/>
          <w:sz w:val="22"/>
          <w:szCs w:val="22"/>
        </w:rPr>
        <w:t xml:space="preserve"> </w:t>
      </w:r>
      <w:r w:rsidR="00052D28" w:rsidRPr="00052D28">
        <w:rPr>
          <w:rFonts w:asciiTheme="majorHAnsi" w:hAnsiTheme="majorHAnsi"/>
          <w:sz w:val="22"/>
          <w:szCs w:val="22"/>
        </w:rPr>
        <w:t xml:space="preserve">and CLS staff </w:t>
      </w:r>
      <w:r w:rsidR="00A718B2">
        <w:rPr>
          <w:rFonts w:asciiTheme="majorHAnsi" w:hAnsiTheme="majorHAnsi"/>
          <w:sz w:val="22"/>
          <w:szCs w:val="22"/>
        </w:rPr>
        <w:t>conducted a thorough review of available documentation</w:t>
      </w:r>
      <w:r w:rsidR="00052D28" w:rsidRPr="004B08C1">
        <w:rPr>
          <w:rFonts w:asciiTheme="majorHAnsi" w:hAnsiTheme="majorHAnsi"/>
          <w:sz w:val="20"/>
          <w:szCs w:val="22"/>
        </w:rPr>
        <w:t xml:space="preserve"> </w:t>
      </w:r>
      <w:r w:rsidRPr="004B08C1">
        <w:rPr>
          <w:rFonts w:asciiTheme="majorHAnsi" w:hAnsiTheme="majorHAnsi"/>
          <w:sz w:val="22"/>
        </w:rPr>
        <w:t xml:space="preserve">(e.g., </w:t>
      </w:r>
      <w:r w:rsidR="0069158F" w:rsidRPr="004B08C1">
        <w:rPr>
          <w:rFonts w:asciiTheme="majorHAnsi" w:hAnsiTheme="majorHAnsi"/>
          <w:sz w:val="22"/>
        </w:rPr>
        <w:t>proposals, interim and final reports, and presentations</w:t>
      </w:r>
      <w:r w:rsidRPr="004B08C1">
        <w:rPr>
          <w:rFonts w:asciiTheme="majorHAnsi" w:hAnsiTheme="majorHAnsi"/>
          <w:sz w:val="22"/>
        </w:rPr>
        <w:t xml:space="preserve">) </w:t>
      </w:r>
      <w:r w:rsidR="003D3401" w:rsidRPr="003D3401">
        <w:rPr>
          <w:rFonts w:asciiTheme="majorHAnsi" w:hAnsiTheme="majorHAnsi"/>
          <w:sz w:val="22"/>
          <w:szCs w:val="22"/>
        </w:rPr>
        <w:t xml:space="preserve">to determine which grantees proposed to </w:t>
      </w:r>
      <w:r w:rsidR="004B08C1">
        <w:rPr>
          <w:rFonts w:asciiTheme="majorHAnsi" w:hAnsiTheme="majorHAnsi"/>
          <w:sz w:val="22"/>
          <w:szCs w:val="22"/>
        </w:rPr>
        <w:t xml:space="preserve">or did </w:t>
      </w:r>
      <w:r w:rsidR="003D3401" w:rsidRPr="003D3401">
        <w:rPr>
          <w:rFonts w:asciiTheme="majorHAnsi" w:hAnsiTheme="majorHAnsi"/>
          <w:sz w:val="22"/>
          <w:szCs w:val="22"/>
        </w:rPr>
        <w:t xml:space="preserve">address policy </w:t>
      </w:r>
      <w:r w:rsidR="004B08C1">
        <w:rPr>
          <w:rFonts w:asciiTheme="majorHAnsi" w:hAnsiTheme="majorHAnsi"/>
          <w:sz w:val="22"/>
          <w:szCs w:val="22"/>
        </w:rPr>
        <w:t>as a part</w:t>
      </w:r>
      <w:r w:rsidR="003D3401" w:rsidRPr="003D3401">
        <w:rPr>
          <w:rFonts w:asciiTheme="majorHAnsi" w:hAnsiTheme="majorHAnsi"/>
          <w:sz w:val="22"/>
          <w:szCs w:val="22"/>
        </w:rPr>
        <w:t xml:space="preserve"> of their project activities. In addition, they identified findings related to the development or amendment of policy during the grantees’ projects. CLS and CDC staff selected 9 of the 14 previously funded grantees that had addressed safe drinking water policy in their </w:t>
      </w:r>
      <w:r w:rsidR="003D3401" w:rsidRPr="003D3401">
        <w:rPr>
          <w:rFonts w:asciiTheme="majorHAnsi" w:hAnsiTheme="majorHAnsi"/>
          <w:sz w:val="22"/>
          <w:szCs w:val="22"/>
        </w:rPr>
        <w:lastRenderedPageBreak/>
        <w:t>jurisdictions during the course of their cooperative agreements. After further review of these 9 grantees’ work, CDC and CLS chose the 6 grantees that offered the best potential to provide information describing the need for policy change and the most diversity in how they developed and implemented policy</w:t>
      </w:r>
      <w:r>
        <w:rPr>
          <w:rFonts w:asciiTheme="majorHAnsi" w:hAnsiTheme="majorHAnsi"/>
          <w:sz w:val="22"/>
          <w:szCs w:val="22"/>
        </w:rPr>
        <w:t>.</w:t>
      </w:r>
      <w:r w:rsidR="008576CD">
        <w:rPr>
          <w:rFonts w:asciiTheme="majorHAnsi" w:hAnsiTheme="majorHAnsi"/>
          <w:sz w:val="22"/>
          <w:szCs w:val="22"/>
        </w:rPr>
        <w:t xml:space="preserve"> </w:t>
      </w:r>
      <w:r w:rsidR="008576CD" w:rsidRPr="00380A8C">
        <w:rPr>
          <w:rFonts w:asciiTheme="majorHAnsi" w:hAnsiTheme="majorHAnsi"/>
          <w:sz w:val="22"/>
          <w:szCs w:val="22"/>
        </w:rPr>
        <w:t xml:space="preserve">The sample for this information collection is purposive. </w:t>
      </w:r>
      <w:r w:rsidR="008576CD">
        <w:rPr>
          <w:rFonts w:asciiTheme="majorHAnsi" w:hAnsiTheme="majorHAnsi"/>
          <w:sz w:val="22"/>
          <w:szCs w:val="22"/>
        </w:rPr>
        <w:t>Participants were selected based upon the fact that they</w:t>
      </w:r>
      <w:r w:rsidR="008576CD" w:rsidRPr="00380A8C" w:rsidDel="00DA624D">
        <w:rPr>
          <w:rFonts w:asciiTheme="majorHAnsi" w:hAnsiTheme="majorHAnsi"/>
          <w:sz w:val="22"/>
          <w:szCs w:val="22"/>
        </w:rPr>
        <w:t xml:space="preserve"> </w:t>
      </w:r>
      <w:r w:rsidR="008576CD" w:rsidRPr="00380A8C">
        <w:rPr>
          <w:rFonts w:asciiTheme="majorHAnsi" w:hAnsiTheme="majorHAnsi"/>
          <w:sz w:val="22"/>
          <w:szCs w:val="22"/>
        </w:rPr>
        <w:t>had a key role in the planning, design, and conduct of the above projects and</w:t>
      </w:r>
      <w:r w:rsidR="008576CD">
        <w:rPr>
          <w:rFonts w:asciiTheme="majorHAnsi" w:hAnsiTheme="majorHAnsi"/>
          <w:sz w:val="22"/>
          <w:szCs w:val="22"/>
        </w:rPr>
        <w:t>/or</w:t>
      </w:r>
      <w:r w:rsidR="008576CD" w:rsidRPr="00380A8C">
        <w:rPr>
          <w:rFonts w:asciiTheme="majorHAnsi" w:hAnsiTheme="majorHAnsi"/>
          <w:sz w:val="22"/>
          <w:szCs w:val="22"/>
        </w:rPr>
        <w:t xml:space="preserve"> possess knowledge and expertise in addressing</w:t>
      </w:r>
      <w:r w:rsidR="008576CD" w:rsidRPr="00871048">
        <w:rPr>
          <w:rFonts w:asciiTheme="majorHAnsi" w:hAnsiTheme="majorHAnsi"/>
          <w:sz w:val="22"/>
          <w:szCs w:val="22"/>
        </w:rPr>
        <w:t xml:space="preserve"> policy change in their local safe drinking water programs.</w:t>
      </w:r>
    </w:p>
    <w:p w14:paraId="6BEDBEF2" w14:textId="68248439" w:rsidR="00DA6E7A" w:rsidRDefault="00DA6E7A" w:rsidP="00DA6E7A">
      <w:pPr>
        <w:pStyle w:val="NormalWeb"/>
        <w:spacing w:line="276" w:lineRule="auto"/>
        <w:rPr>
          <w:rFonts w:asciiTheme="majorHAnsi" w:hAnsiTheme="majorHAnsi"/>
          <w:sz w:val="22"/>
          <w:szCs w:val="22"/>
        </w:rPr>
      </w:pPr>
      <w:r w:rsidRPr="00052D28">
        <w:rPr>
          <w:rFonts w:asciiTheme="majorHAnsi" w:hAnsiTheme="majorHAnsi"/>
          <w:sz w:val="22"/>
          <w:szCs w:val="22"/>
        </w:rPr>
        <w:t xml:space="preserve">CLS staff will interview 3 EH practitioners from each of the 6 state and county health departments who participated in projects of the CDC-funded </w:t>
      </w:r>
      <w:r w:rsidRPr="00052D28">
        <w:rPr>
          <w:rFonts w:asciiTheme="majorHAnsi" w:hAnsiTheme="majorHAnsi"/>
          <w:bCs/>
          <w:iCs/>
          <w:sz w:val="22"/>
          <w:szCs w:val="22"/>
        </w:rPr>
        <w:t>EHS-Net Water and PW/UDWS</w:t>
      </w:r>
      <w:r>
        <w:rPr>
          <w:rFonts w:asciiTheme="majorHAnsi" w:hAnsiTheme="majorHAnsi"/>
          <w:bCs/>
          <w:iCs/>
          <w:sz w:val="22"/>
          <w:szCs w:val="22"/>
        </w:rPr>
        <w:t xml:space="preserve"> </w:t>
      </w:r>
      <w:r w:rsidRPr="00052D28">
        <w:rPr>
          <w:rFonts w:asciiTheme="majorHAnsi" w:hAnsiTheme="majorHAnsi"/>
          <w:sz w:val="22"/>
          <w:szCs w:val="22"/>
        </w:rPr>
        <w:t>cooperative agreements</w:t>
      </w:r>
      <w:r>
        <w:rPr>
          <w:rFonts w:asciiTheme="majorHAnsi" w:hAnsiTheme="majorHAnsi"/>
          <w:sz w:val="22"/>
          <w:szCs w:val="22"/>
        </w:rPr>
        <w:t xml:space="preserve">, </w:t>
      </w:r>
      <w:r w:rsidRPr="00D000BD">
        <w:rPr>
          <w:rFonts w:asciiTheme="majorHAnsi" w:hAnsiTheme="majorHAnsi"/>
          <w:sz w:val="22"/>
        </w:rPr>
        <w:t>acting in their official capacities</w:t>
      </w:r>
      <w:r w:rsidRPr="00052D28">
        <w:rPr>
          <w:rFonts w:asciiTheme="majorHAnsi" w:hAnsiTheme="majorHAnsi"/>
          <w:sz w:val="22"/>
          <w:szCs w:val="22"/>
        </w:rPr>
        <w:t xml:space="preserve">. </w:t>
      </w:r>
      <w:r w:rsidRPr="003E66AE">
        <w:rPr>
          <w:rFonts w:asciiTheme="majorHAnsi" w:hAnsiTheme="majorHAnsi"/>
          <w:sz w:val="22"/>
        </w:rPr>
        <w:t>The 3 EH Practitioners include the EH Director, the principal investigator (PI) of the project, and an EH practitioner, designated by the EH director, who participated in the project.</w:t>
      </w:r>
      <w:r w:rsidDel="00674255">
        <w:rPr>
          <w:rFonts w:asciiTheme="majorHAnsi" w:hAnsiTheme="majorHAnsi"/>
          <w:sz w:val="22"/>
          <w:szCs w:val="22"/>
        </w:rPr>
        <w:t xml:space="preserve"> </w:t>
      </w:r>
    </w:p>
    <w:p w14:paraId="305B6221" w14:textId="60F397AB" w:rsidR="00762379" w:rsidRDefault="00857257" w:rsidP="00857257">
      <w:pPr>
        <w:pStyle w:val="NormalWeb"/>
        <w:spacing w:line="276" w:lineRule="auto"/>
        <w:rPr>
          <w:rFonts w:asciiTheme="majorHAnsi" w:hAnsiTheme="majorHAnsi"/>
          <w:sz w:val="22"/>
          <w:szCs w:val="22"/>
        </w:rPr>
      </w:pPr>
      <w:r>
        <w:rPr>
          <w:rFonts w:asciiTheme="majorHAnsi" w:hAnsiTheme="majorHAnsi"/>
          <w:sz w:val="22"/>
          <w:szCs w:val="22"/>
        </w:rPr>
        <w:lastRenderedPageBreak/>
        <w:t>We anticipate a response rate of</w:t>
      </w:r>
      <w:r w:rsidRPr="008802AE">
        <w:rPr>
          <w:rFonts w:asciiTheme="majorHAnsi" w:hAnsiTheme="majorHAnsi"/>
          <w:sz w:val="22"/>
          <w:szCs w:val="22"/>
        </w:rPr>
        <w:t xml:space="preserve"> 100%</w:t>
      </w:r>
      <w:r>
        <w:rPr>
          <w:rFonts w:asciiTheme="majorHAnsi" w:hAnsiTheme="majorHAnsi"/>
          <w:sz w:val="22"/>
          <w:szCs w:val="22"/>
        </w:rPr>
        <w:t>. Should</w:t>
      </w:r>
      <w:r w:rsidRPr="008802AE">
        <w:rPr>
          <w:rFonts w:asciiTheme="majorHAnsi" w:hAnsiTheme="majorHAnsi"/>
          <w:sz w:val="22"/>
          <w:szCs w:val="22"/>
        </w:rPr>
        <w:t xml:space="preserve"> any of the EH</w:t>
      </w:r>
      <w:r w:rsidR="00323C99">
        <w:rPr>
          <w:rFonts w:asciiTheme="majorHAnsi" w:hAnsiTheme="majorHAnsi"/>
          <w:sz w:val="22"/>
          <w:szCs w:val="22"/>
        </w:rPr>
        <w:t xml:space="preserve"> practitioner</w:t>
      </w:r>
      <w:r w:rsidRPr="008802AE">
        <w:rPr>
          <w:rFonts w:asciiTheme="majorHAnsi" w:hAnsiTheme="majorHAnsi"/>
          <w:sz w:val="22"/>
          <w:szCs w:val="22"/>
        </w:rPr>
        <w:t xml:space="preserve">s decline or are not available, CLS will </w:t>
      </w:r>
      <w:r w:rsidR="00176235">
        <w:rPr>
          <w:rFonts w:asciiTheme="majorHAnsi" w:hAnsiTheme="majorHAnsi"/>
          <w:sz w:val="22"/>
          <w:szCs w:val="22"/>
        </w:rPr>
        <w:t>request</w:t>
      </w:r>
      <w:r w:rsidR="00B12E36">
        <w:rPr>
          <w:rFonts w:asciiTheme="majorHAnsi" w:hAnsiTheme="majorHAnsi"/>
          <w:sz w:val="22"/>
          <w:szCs w:val="22"/>
        </w:rPr>
        <w:t xml:space="preserve"> that</w:t>
      </w:r>
      <w:r w:rsidR="00176235">
        <w:rPr>
          <w:rFonts w:asciiTheme="majorHAnsi" w:hAnsiTheme="majorHAnsi"/>
          <w:sz w:val="22"/>
          <w:szCs w:val="22"/>
        </w:rPr>
        <w:t xml:space="preserve"> the EH Director </w:t>
      </w:r>
      <w:r w:rsidR="00B12E36">
        <w:rPr>
          <w:rFonts w:asciiTheme="majorHAnsi" w:hAnsiTheme="majorHAnsi"/>
          <w:sz w:val="22"/>
          <w:szCs w:val="22"/>
        </w:rPr>
        <w:t>nominate</w:t>
      </w:r>
      <w:r w:rsidRPr="008802AE">
        <w:rPr>
          <w:rFonts w:asciiTheme="majorHAnsi" w:hAnsiTheme="majorHAnsi"/>
          <w:sz w:val="22"/>
          <w:szCs w:val="22"/>
        </w:rPr>
        <w:t xml:space="preserve"> other </w:t>
      </w:r>
      <w:r w:rsidR="00B12E36">
        <w:rPr>
          <w:rFonts w:asciiTheme="majorHAnsi" w:hAnsiTheme="majorHAnsi"/>
          <w:sz w:val="22"/>
          <w:szCs w:val="22"/>
        </w:rPr>
        <w:t xml:space="preserve">safe drinking water program </w:t>
      </w:r>
      <w:r w:rsidRPr="008802AE">
        <w:rPr>
          <w:rFonts w:asciiTheme="majorHAnsi" w:hAnsiTheme="majorHAnsi"/>
          <w:sz w:val="22"/>
          <w:szCs w:val="22"/>
        </w:rPr>
        <w:t xml:space="preserve">staff </w:t>
      </w:r>
      <w:r w:rsidR="00B12E36">
        <w:rPr>
          <w:rFonts w:asciiTheme="majorHAnsi" w:hAnsiTheme="majorHAnsi"/>
          <w:sz w:val="22"/>
          <w:szCs w:val="22"/>
        </w:rPr>
        <w:t>member</w:t>
      </w:r>
      <w:r w:rsidR="006D4748">
        <w:rPr>
          <w:rFonts w:asciiTheme="majorHAnsi" w:hAnsiTheme="majorHAnsi"/>
          <w:sz w:val="22"/>
          <w:szCs w:val="22"/>
        </w:rPr>
        <w:t>s</w:t>
      </w:r>
      <w:r w:rsidRPr="008802AE">
        <w:rPr>
          <w:rFonts w:asciiTheme="majorHAnsi" w:hAnsiTheme="majorHAnsi"/>
          <w:sz w:val="22"/>
          <w:szCs w:val="22"/>
        </w:rPr>
        <w:t xml:space="preserve">  who played an essential role </w:t>
      </w:r>
      <w:r w:rsidR="006D4748">
        <w:rPr>
          <w:rFonts w:asciiTheme="majorHAnsi" w:hAnsiTheme="majorHAnsi"/>
          <w:sz w:val="22"/>
          <w:szCs w:val="22"/>
        </w:rPr>
        <w:t>in</w:t>
      </w:r>
      <w:r w:rsidRPr="008802AE">
        <w:rPr>
          <w:rFonts w:asciiTheme="majorHAnsi" w:hAnsiTheme="majorHAnsi"/>
          <w:sz w:val="22"/>
          <w:szCs w:val="22"/>
        </w:rPr>
        <w:t xml:space="preserve"> the </w:t>
      </w:r>
      <w:r w:rsidR="006D4748">
        <w:rPr>
          <w:rFonts w:asciiTheme="majorHAnsi" w:hAnsiTheme="majorHAnsi"/>
          <w:sz w:val="22"/>
          <w:szCs w:val="22"/>
        </w:rPr>
        <w:t>drinking water</w:t>
      </w:r>
      <w:r w:rsidRPr="008802AE">
        <w:rPr>
          <w:rFonts w:asciiTheme="majorHAnsi" w:hAnsiTheme="majorHAnsi"/>
          <w:sz w:val="22"/>
          <w:szCs w:val="22"/>
        </w:rPr>
        <w:t xml:space="preserve"> projects</w:t>
      </w:r>
      <w:r w:rsidR="007C6DFF">
        <w:rPr>
          <w:rFonts w:asciiTheme="majorHAnsi" w:hAnsiTheme="majorHAnsi"/>
          <w:sz w:val="22"/>
          <w:szCs w:val="22"/>
        </w:rPr>
        <w:t xml:space="preserve"> to participate</w:t>
      </w:r>
      <w:r w:rsidRPr="008802AE">
        <w:rPr>
          <w:rFonts w:asciiTheme="majorHAnsi" w:hAnsiTheme="majorHAnsi"/>
          <w:sz w:val="22"/>
          <w:szCs w:val="22"/>
        </w:rPr>
        <w:t>.</w:t>
      </w:r>
      <w:r w:rsidR="00D370F3" w:rsidRPr="00380A8C" w:rsidDel="005553E8">
        <w:rPr>
          <w:rFonts w:asciiTheme="majorHAnsi" w:hAnsiTheme="majorHAnsi"/>
          <w:sz w:val="22"/>
          <w:szCs w:val="22"/>
        </w:rPr>
        <w:t xml:space="preserve"> </w:t>
      </w:r>
    </w:p>
    <w:p w14:paraId="5AFB6CDF" w14:textId="755C88FF" w:rsidR="00D4190C" w:rsidRPr="00B554C3" w:rsidRDefault="00D4190C" w:rsidP="00D4190C">
      <w:pPr>
        <w:pStyle w:val="NormalWeb"/>
        <w:spacing w:line="276" w:lineRule="auto"/>
        <w:rPr>
          <w:rFonts w:asciiTheme="majorHAnsi" w:hAnsiTheme="majorHAnsi"/>
          <w:sz w:val="22"/>
          <w:szCs w:val="22"/>
        </w:rPr>
      </w:pPr>
      <w:r w:rsidRPr="00B554C3">
        <w:rPr>
          <w:rFonts w:asciiTheme="majorHAnsi" w:hAnsiTheme="majorHAnsi"/>
          <w:sz w:val="22"/>
          <w:szCs w:val="22"/>
        </w:rPr>
        <w:t>Investigators acknowledge that</w:t>
      </w:r>
      <w:r w:rsidR="00ED732F" w:rsidRPr="00B554C3">
        <w:rPr>
          <w:rFonts w:asciiTheme="majorHAnsi" w:hAnsiTheme="majorHAnsi"/>
          <w:sz w:val="22"/>
          <w:szCs w:val="22"/>
        </w:rPr>
        <w:t xml:space="preserve"> the sample size (n=6) is small and results cannot be generalized. The purpose of the information collected is not to develop or influence policy, but rather to learn from the experiences of the six sites. Specifically, investigators aim to understand the differences and nuances of how policy is developed and used at STLT health departments in relation to water projects</w:t>
      </w:r>
      <w:r w:rsidR="008125BD" w:rsidRPr="00B554C3">
        <w:rPr>
          <w:rFonts w:asciiTheme="majorHAnsi" w:hAnsiTheme="majorHAnsi"/>
          <w:bCs/>
        </w:rPr>
        <w:t xml:space="preserve"> </w:t>
      </w:r>
      <w:r w:rsidR="008125BD" w:rsidRPr="00B554C3">
        <w:rPr>
          <w:rFonts w:asciiTheme="majorHAnsi" w:hAnsiTheme="majorHAnsi"/>
          <w:bCs/>
          <w:sz w:val="22"/>
          <w:szCs w:val="22"/>
        </w:rPr>
        <w:t>focusing on federally unregulated drinking</w:t>
      </w:r>
      <w:r w:rsidR="008125BD" w:rsidRPr="00B554C3">
        <w:rPr>
          <w:rFonts w:asciiTheme="majorHAnsi" w:hAnsiTheme="majorHAnsi"/>
          <w:sz w:val="22"/>
          <w:szCs w:val="22"/>
        </w:rPr>
        <w:t xml:space="preserve"> </w:t>
      </w:r>
      <w:r w:rsidR="008125BD" w:rsidRPr="00B554C3">
        <w:rPr>
          <w:rFonts w:asciiTheme="majorHAnsi" w:hAnsiTheme="majorHAnsi"/>
          <w:bCs/>
          <w:sz w:val="22"/>
          <w:szCs w:val="22"/>
        </w:rPr>
        <w:t>water sources</w:t>
      </w:r>
      <w:r w:rsidR="00ED732F" w:rsidRPr="00B554C3">
        <w:rPr>
          <w:rFonts w:asciiTheme="majorHAnsi" w:hAnsiTheme="majorHAnsi"/>
          <w:sz w:val="22"/>
          <w:szCs w:val="22"/>
        </w:rPr>
        <w:t>. Investigators will use the data collected to develop “how to” guides for other STLT health departments, outlining examples of water projects</w:t>
      </w:r>
      <w:r w:rsidR="008125BD" w:rsidRPr="00B554C3">
        <w:rPr>
          <w:rFonts w:asciiTheme="majorHAnsi" w:hAnsiTheme="majorHAnsi"/>
          <w:sz w:val="22"/>
          <w:szCs w:val="22"/>
        </w:rPr>
        <w:t xml:space="preserve">, </w:t>
      </w:r>
      <w:r w:rsidR="008125BD" w:rsidRPr="00B554C3">
        <w:rPr>
          <w:rFonts w:asciiTheme="majorHAnsi" w:hAnsiTheme="majorHAnsi"/>
          <w:bCs/>
          <w:sz w:val="22"/>
          <w:szCs w:val="22"/>
        </w:rPr>
        <w:t>focusing on federally unregulated drinking</w:t>
      </w:r>
      <w:r w:rsidR="008125BD" w:rsidRPr="00B554C3">
        <w:rPr>
          <w:rFonts w:asciiTheme="majorHAnsi" w:hAnsiTheme="majorHAnsi"/>
          <w:sz w:val="22"/>
          <w:szCs w:val="22"/>
        </w:rPr>
        <w:t xml:space="preserve"> </w:t>
      </w:r>
      <w:r w:rsidR="008125BD" w:rsidRPr="00B554C3">
        <w:rPr>
          <w:rFonts w:asciiTheme="majorHAnsi" w:hAnsiTheme="majorHAnsi"/>
          <w:bCs/>
          <w:sz w:val="22"/>
          <w:szCs w:val="22"/>
        </w:rPr>
        <w:t>water sources,</w:t>
      </w:r>
      <w:r w:rsidR="00ED732F" w:rsidRPr="00B554C3">
        <w:rPr>
          <w:rFonts w:asciiTheme="majorHAnsi" w:hAnsiTheme="majorHAnsi"/>
          <w:sz w:val="22"/>
          <w:szCs w:val="22"/>
        </w:rPr>
        <w:t xml:space="preserve"> and their relationship to policy at the six sites. Although the sample size (n=6) is small, investigators believe other STLT health departments will benefit from learning from the experiences of these six sites, as they may be able to replicate safe water interventions in their own jurisdictions. Additionally</w:t>
      </w:r>
      <w:r w:rsidR="008125BD" w:rsidRPr="00B554C3">
        <w:rPr>
          <w:rFonts w:asciiTheme="majorHAnsi" w:hAnsiTheme="majorHAnsi"/>
          <w:sz w:val="22"/>
          <w:szCs w:val="22"/>
        </w:rPr>
        <w:t>,</w:t>
      </w:r>
      <w:r w:rsidR="00ED732F" w:rsidRPr="00B554C3">
        <w:rPr>
          <w:rFonts w:asciiTheme="majorHAnsi" w:hAnsiTheme="majorHAnsi"/>
          <w:sz w:val="22"/>
          <w:szCs w:val="22"/>
        </w:rPr>
        <w:t xml:space="preserve"> investigators </w:t>
      </w:r>
      <w:r w:rsidR="00ED732F" w:rsidRPr="00B554C3">
        <w:rPr>
          <w:rFonts w:asciiTheme="majorHAnsi" w:hAnsiTheme="majorHAnsi"/>
          <w:sz w:val="22"/>
          <w:szCs w:val="22"/>
        </w:rPr>
        <w:lastRenderedPageBreak/>
        <w:t xml:space="preserve">will use the data collected to assess strategies that were successful in addressing safe drinking water policies in </w:t>
      </w:r>
      <w:r w:rsidR="003E79D0" w:rsidRPr="00B554C3">
        <w:rPr>
          <w:rFonts w:asciiTheme="majorHAnsi" w:hAnsiTheme="majorHAnsi"/>
          <w:sz w:val="22"/>
          <w:szCs w:val="22"/>
        </w:rPr>
        <w:t>these</w:t>
      </w:r>
      <w:r w:rsidR="00ED732F" w:rsidRPr="00B554C3">
        <w:rPr>
          <w:rFonts w:asciiTheme="majorHAnsi" w:hAnsiTheme="majorHAnsi"/>
          <w:sz w:val="22"/>
          <w:szCs w:val="22"/>
        </w:rPr>
        <w:t xml:space="preserve"> two cooperative agreements (EHS-Net Water, PW/UWDS) and inform future CDC guidance on the delivery of essential environmental public health services of STLT drinking water programs. </w:t>
      </w:r>
    </w:p>
    <w:p w14:paraId="2A13F71A" w14:textId="77777777" w:rsidR="00D4190C" w:rsidRPr="00380A8C" w:rsidRDefault="00D4190C" w:rsidP="00857257">
      <w:pPr>
        <w:pStyle w:val="NormalWeb"/>
        <w:spacing w:line="276" w:lineRule="auto"/>
        <w:rPr>
          <w:rFonts w:asciiTheme="majorHAnsi" w:hAnsiTheme="majorHAnsi"/>
          <w:sz w:val="22"/>
          <w:szCs w:val="22"/>
        </w:rPr>
      </w:pPr>
    </w:p>
    <w:p w14:paraId="305B6222" w14:textId="77777777" w:rsidR="00762379" w:rsidRPr="00CE68B4" w:rsidRDefault="00762379" w:rsidP="006963BA">
      <w:pPr>
        <w:pStyle w:val="NormalWeb"/>
        <w:numPr>
          <w:ilvl w:val="0"/>
          <w:numId w:val="2"/>
        </w:numPr>
        <w:tabs>
          <w:tab w:val="left" w:pos="9540"/>
        </w:tabs>
        <w:spacing w:line="276" w:lineRule="auto"/>
        <w:ind w:left="360"/>
        <w:rPr>
          <w:rFonts w:asciiTheme="majorHAnsi" w:hAnsiTheme="majorHAnsi"/>
          <w:b/>
          <w:sz w:val="22"/>
          <w:szCs w:val="22"/>
        </w:rPr>
      </w:pPr>
      <w:r w:rsidRPr="00CE68B4">
        <w:rPr>
          <w:rFonts w:asciiTheme="majorHAnsi" w:hAnsiTheme="majorHAnsi"/>
          <w:b/>
          <w:sz w:val="22"/>
          <w:szCs w:val="22"/>
        </w:rPr>
        <w:t>Procedures fo</w:t>
      </w:r>
      <w:r w:rsidR="00671EF0" w:rsidRPr="00CE68B4">
        <w:rPr>
          <w:rFonts w:asciiTheme="majorHAnsi" w:hAnsiTheme="majorHAnsi"/>
          <w:b/>
          <w:sz w:val="22"/>
          <w:szCs w:val="22"/>
        </w:rPr>
        <w:t>r the Collection of Information</w:t>
      </w:r>
    </w:p>
    <w:p w14:paraId="27144C64" w14:textId="38545B1F" w:rsidR="00A06ACA" w:rsidRDefault="004A42D7" w:rsidP="006963BA">
      <w:pPr>
        <w:pStyle w:val="NormalWeb"/>
        <w:spacing w:line="276" w:lineRule="auto"/>
        <w:rPr>
          <w:rFonts w:asciiTheme="majorHAnsi" w:hAnsiTheme="majorHAnsi"/>
          <w:sz w:val="22"/>
          <w:szCs w:val="22"/>
        </w:rPr>
      </w:pPr>
      <w:r w:rsidRPr="00CE68B4">
        <w:rPr>
          <w:rFonts w:asciiTheme="majorHAnsi" w:hAnsiTheme="majorHAnsi"/>
          <w:sz w:val="22"/>
          <w:szCs w:val="22"/>
        </w:rPr>
        <w:t>Information</w:t>
      </w:r>
      <w:r w:rsidR="00762379" w:rsidRPr="00CE68B4">
        <w:rPr>
          <w:rFonts w:asciiTheme="majorHAnsi" w:hAnsiTheme="majorHAnsi"/>
          <w:sz w:val="22"/>
          <w:szCs w:val="22"/>
        </w:rPr>
        <w:t xml:space="preserve"> will be collected through one-time </w:t>
      </w:r>
      <w:r w:rsidR="00DF151E">
        <w:rPr>
          <w:rFonts w:asciiTheme="majorHAnsi" w:hAnsiTheme="majorHAnsi"/>
          <w:sz w:val="22"/>
          <w:szCs w:val="22"/>
        </w:rPr>
        <w:t>in-person</w:t>
      </w:r>
      <w:r w:rsidR="00671EF0" w:rsidRPr="00CE68B4">
        <w:rPr>
          <w:rFonts w:asciiTheme="majorHAnsi" w:hAnsiTheme="majorHAnsi"/>
          <w:sz w:val="22"/>
          <w:szCs w:val="22"/>
        </w:rPr>
        <w:t xml:space="preserve"> interview</w:t>
      </w:r>
      <w:r w:rsidR="003D21FD">
        <w:rPr>
          <w:rFonts w:asciiTheme="majorHAnsi" w:hAnsiTheme="majorHAnsi"/>
          <w:sz w:val="22"/>
          <w:szCs w:val="22"/>
        </w:rPr>
        <w:t>s</w:t>
      </w:r>
      <w:r w:rsidR="00671EF0" w:rsidRPr="00CE68B4" w:rsidDel="00A06ACA">
        <w:rPr>
          <w:rFonts w:asciiTheme="majorHAnsi" w:hAnsiTheme="majorHAnsi"/>
          <w:sz w:val="22"/>
          <w:szCs w:val="22"/>
        </w:rPr>
        <w:t xml:space="preserve"> using </w:t>
      </w:r>
      <w:r w:rsidR="00176235">
        <w:rPr>
          <w:rFonts w:asciiTheme="majorHAnsi" w:hAnsiTheme="majorHAnsi"/>
          <w:sz w:val="22"/>
          <w:szCs w:val="22"/>
        </w:rPr>
        <w:t>an</w:t>
      </w:r>
      <w:r w:rsidR="003D21FD">
        <w:rPr>
          <w:rFonts w:asciiTheme="majorHAnsi" w:hAnsiTheme="majorHAnsi"/>
          <w:sz w:val="22"/>
          <w:szCs w:val="22"/>
        </w:rPr>
        <w:t xml:space="preserve"> </w:t>
      </w:r>
      <w:r w:rsidR="00176235">
        <w:rPr>
          <w:rFonts w:asciiTheme="majorHAnsi" w:hAnsiTheme="majorHAnsi"/>
          <w:sz w:val="22"/>
          <w:szCs w:val="22"/>
        </w:rPr>
        <w:t xml:space="preserve">open-ended </w:t>
      </w:r>
      <w:r w:rsidR="003D21FD" w:rsidDel="00A06ACA">
        <w:rPr>
          <w:rFonts w:asciiTheme="majorHAnsi" w:hAnsiTheme="majorHAnsi"/>
          <w:sz w:val="22"/>
          <w:szCs w:val="22"/>
        </w:rPr>
        <w:t xml:space="preserve">interview guide containing </w:t>
      </w:r>
      <w:r w:rsidR="00C64AC0" w:rsidDel="00A06ACA">
        <w:rPr>
          <w:rFonts w:asciiTheme="majorHAnsi" w:hAnsiTheme="majorHAnsi"/>
          <w:sz w:val="22"/>
          <w:szCs w:val="22"/>
        </w:rPr>
        <w:t>1</w:t>
      </w:r>
      <w:r w:rsidR="00C64AC0">
        <w:rPr>
          <w:rFonts w:asciiTheme="majorHAnsi" w:hAnsiTheme="majorHAnsi"/>
          <w:sz w:val="22"/>
          <w:szCs w:val="22"/>
        </w:rPr>
        <w:t>4</w:t>
      </w:r>
      <w:r w:rsidR="00C64AC0" w:rsidDel="00A06ACA">
        <w:rPr>
          <w:rFonts w:asciiTheme="majorHAnsi" w:hAnsiTheme="majorHAnsi"/>
          <w:sz w:val="22"/>
          <w:szCs w:val="22"/>
        </w:rPr>
        <w:t xml:space="preserve"> </w:t>
      </w:r>
      <w:r w:rsidR="003D21FD" w:rsidDel="00A06ACA">
        <w:rPr>
          <w:rFonts w:asciiTheme="majorHAnsi" w:hAnsiTheme="majorHAnsi"/>
          <w:sz w:val="22"/>
          <w:szCs w:val="22"/>
        </w:rPr>
        <w:t>questions</w:t>
      </w:r>
      <w:r w:rsidR="00D57028">
        <w:rPr>
          <w:rFonts w:asciiTheme="majorHAnsi" w:hAnsiTheme="majorHAnsi"/>
          <w:sz w:val="22"/>
          <w:szCs w:val="22"/>
        </w:rPr>
        <w:t xml:space="preserve"> </w:t>
      </w:r>
      <w:r w:rsidR="00D57028" w:rsidRPr="00D57028">
        <w:rPr>
          <w:rFonts w:asciiTheme="majorHAnsi" w:hAnsiTheme="majorHAnsi"/>
          <w:sz w:val="22"/>
        </w:rPr>
        <w:t xml:space="preserve">(see </w:t>
      </w:r>
      <w:r w:rsidR="00D57028" w:rsidRPr="00D57028">
        <w:rPr>
          <w:rFonts w:asciiTheme="majorHAnsi" w:hAnsiTheme="majorHAnsi"/>
          <w:b/>
          <w:sz w:val="22"/>
        </w:rPr>
        <w:t xml:space="preserve">Attachment B </w:t>
      </w:r>
      <w:r w:rsidR="00D57028" w:rsidRPr="00D57028">
        <w:rPr>
          <w:rFonts w:asciiTheme="majorHAnsi" w:hAnsiTheme="majorHAnsi"/>
          <w:sz w:val="22"/>
        </w:rPr>
        <w:t>—</w:t>
      </w:r>
      <w:r w:rsidR="00D57028" w:rsidRPr="00D57028">
        <w:rPr>
          <w:rFonts w:asciiTheme="majorHAnsi" w:hAnsiTheme="majorHAnsi"/>
          <w:b/>
          <w:sz w:val="22"/>
        </w:rPr>
        <w:t>Interview Guide</w:t>
      </w:r>
      <w:r w:rsidR="00D57028" w:rsidRPr="00D57028">
        <w:rPr>
          <w:rFonts w:asciiTheme="majorHAnsi" w:hAnsiTheme="majorHAnsi"/>
          <w:sz w:val="22"/>
        </w:rPr>
        <w:t>)</w:t>
      </w:r>
      <w:r w:rsidR="003D21FD">
        <w:rPr>
          <w:rFonts w:asciiTheme="majorHAnsi" w:hAnsiTheme="majorHAnsi"/>
          <w:sz w:val="22"/>
          <w:szCs w:val="22"/>
        </w:rPr>
        <w:t xml:space="preserve">. </w:t>
      </w:r>
      <w:r w:rsidR="00A06ACA">
        <w:rPr>
          <w:rFonts w:asciiTheme="majorHAnsi" w:hAnsiTheme="majorHAnsi"/>
          <w:sz w:val="22"/>
          <w:szCs w:val="22"/>
        </w:rPr>
        <w:t xml:space="preserve">An introductory </w:t>
      </w:r>
      <w:r w:rsidR="00176235">
        <w:rPr>
          <w:rFonts w:asciiTheme="majorHAnsi" w:hAnsiTheme="majorHAnsi"/>
          <w:sz w:val="22"/>
          <w:szCs w:val="22"/>
        </w:rPr>
        <w:t xml:space="preserve">and invitation </w:t>
      </w:r>
      <w:r w:rsidR="00A06ACA">
        <w:rPr>
          <w:rFonts w:asciiTheme="majorHAnsi" w:hAnsiTheme="majorHAnsi"/>
          <w:sz w:val="22"/>
          <w:szCs w:val="22"/>
        </w:rPr>
        <w:t xml:space="preserve">email </w:t>
      </w:r>
      <w:r w:rsidR="00762379" w:rsidRPr="00E66720">
        <w:rPr>
          <w:rFonts w:asciiTheme="majorHAnsi" w:hAnsiTheme="majorHAnsi"/>
          <w:sz w:val="22"/>
          <w:szCs w:val="22"/>
        </w:rPr>
        <w:t>(see</w:t>
      </w:r>
      <w:r w:rsidR="00762379" w:rsidRPr="006963BA">
        <w:rPr>
          <w:rFonts w:asciiTheme="majorHAnsi" w:hAnsiTheme="majorHAnsi"/>
          <w:b/>
          <w:sz w:val="22"/>
          <w:szCs w:val="22"/>
        </w:rPr>
        <w:t xml:space="preserve"> Att</w:t>
      </w:r>
      <w:r w:rsidR="009373EA" w:rsidRPr="006963BA">
        <w:rPr>
          <w:rFonts w:asciiTheme="majorHAnsi" w:hAnsiTheme="majorHAnsi"/>
          <w:b/>
          <w:sz w:val="22"/>
          <w:szCs w:val="22"/>
        </w:rPr>
        <w:t>achment</w:t>
      </w:r>
      <w:r w:rsidR="00762379" w:rsidRPr="006963BA">
        <w:rPr>
          <w:rFonts w:asciiTheme="majorHAnsi" w:hAnsiTheme="majorHAnsi"/>
          <w:b/>
          <w:sz w:val="22"/>
          <w:szCs w:val="22"/>
        </w:rPr>
        <w:t xml:space="preserve"> </w:t>
      </w:r>
      <w:r w:rsidR="00903091">
        <w:rPr>
          <w:rFonts w:asciiTheme="majorHAnsi" w:hAnsiTheme="majorHAnsi"/>
          <w:b/>
          <w:sz w:val="22"/>
          <w:szCs w:val="22"/>
        </w:rPr>
        <w:t>C</w:t>
      </w:r>
      <w:r w:rsidR="00762379" w:rsidRPr="006963BA">
        <w:rPr>
          <w:rFonts w:asciiTheme="majorHAnsi" w:hAnsiTheme="majorHAnsi"/>
          <w:b/>
          <w:sz w:val="22"/>
          <w:szCs w:val="22"/>
        </w:rPr>
        <w:t>—Invitation Email</w:t>
      </w:r>
      <w:r w:rsidR="00762379" w:rsidRPr="00E66720">
        <w:rPr>
          <w:rFonts w:asciiTheme="majorHAnsi" w:hAnsiTheme="majorHAnsi"/>
          <w:sz w:val="22"/>
          <w:szCs w:val="22"/>
        </w:rPr>
        <w:t>)</w:t>
      </w:r>
      <w:r w:rsidR="00A06ACA">
        <w:rPr>
          <w:rFonts w:asciiTheme="majorHAnsi" w:hAnsiTheme="majorHAnsi"/>
          <w:sz w:val="22"/>
          <w:szCs w:val="22"/>
        </w:rPr>
        <w:t xml:space="preserve"> will be sent to </w:t>
      </w:r>
      <w:r w:rsidR="00176235">
        <w:rPr>
          <w:rFonts w:asciiTheme="majorHAnsi" w:hAnsiTheme="majorHAnsi"/>
          <w:sz w:val="22"/>
          <w:szCs w:val="22"/>
        </w:rPr>
        <w:t xml:space="preserve">the </w:t>
      </w:r>
      <w:r w:rsidR="00A06ACA">
        <w:rPr>
          <w:rFonts w:asciiTheme="majorHAnsi" w:hAnsiTheme="majorHAnsi"/>
          <w:sz w:val="22"/>
          <w:szCs w:val="22"/>
        </w:rPr>
        <w:t xml:space="preserve">6 </w:t>
      </w:r>
      <w:r w:rsidR="00176235">
        <w:rPr>
          <w:rFonts w:asciiTheme="majorHAnsi" w:hAnsiTheme="majorHAnsi"/>
          <w:sz w:val="22"/>
          <w:szCs w:val="22"/>
        </w:rPr>
        <w:t xml:space="preserve">EH Directors </w:t>
      </w:r>
      <w:r w:rsidR="00040756">
        <w:rPr>
          <w:rFonts w:asciiTheme="majorHAnsi" w:hAnsiTheme="majorHAnsi"/>
          <w:sz w:val="22"/>
          <w:szCs w:val="22"/>
        </w:rPr>
        <w:t>from the 6 selected state and local health departments</w:t>
      </w:r>
      <w:r w:rsidR="00A06ACA">
        <w:rPr>
          <w:rFonts w:asciiTheme="majorHAnsi" w:hAnsiTheme="majorHAnsi"/>
          <w:sz w:val="22"/>
          <w:szCs w:val="22"/>
        </w:rPr>
        <w:t xml:space="preserve"> </w:t>
      </w:r>
      <w:r w:rsidR="00A06ACA" w:rsidRPr="00DD51A9">
        <w:rPr>
          <w:rFonts w:asciiTheme="majorHAnsi" w:hAnsiTheme="majorHAnsi"/>
          <w:sz w:val="22"/>
          <w:szCs w:val="22"/>
        </w:rPr>
        <w:t xml:space="preserve">(see </w:t>
      </w:r>
      <w:r w:rsidR="00A06ACA" w:rsidRPr="00387808">
        <w:rPr>
          <w:rFonts w:asciiTheme="majorHAnsi" w:hAnsiTheme="majorHAnsi" w:cs="Arial"/>
          <w:b/>
          <w:sz w:val="22"/>
          <w:szCs w:val="22"/>
        </w:rPr>
        <w:t xml:space="preserve">Attachment A–List of </w:t>
      </w:r>
      <w:r w:rsidR="00E54208" w:rsidRPr="00387808">
        <w:rPr>
          <w:rFonts w:asciiTheme="majorHAnsi" w:hAnsiTheme="majorHAnsi" w:cs="Arial"/>
          <w:b/>
          <w:sz w:val="22"/>
          <w:szCs w:val="22"/>
        </w:rPr>
        <w:t>s</w:t>
      </w:r>
      <w:r w:rsidR="00A06ACA" w:rsidRPr="00387808">
        <w:rPr>
          <w:rFonts w:asciiTheme="majorHAnsi" w:hAnsiTheme="majorHAnsi" w:cs="Arial"/>
          <w:b/>
          <w:sz w:val="22"/>
          <w:szCs w:val="22"/>
        </w:rPr>
        <w:t>tate</w:t>
      </w:r>
      <w:r w:rsidR="00E54208" w:rsidRPr="00387808">
        <w:rPr>
          <w:rFonts w:asciiTheme="majorHAnsi" w:hAnsiTheme="majorHAnsi" w:cs="Arial"/>
          <w:b/>
          <w:sz w:val="22"/>
          <w:szCs w:val="22"/>
        </w:rPr>
        <w:t xml:space="preserve"> and county </w:t>
      </w:r>
      <w:r w:rsidR="00E54208" w:rsidRPr="00387808">
        <w:rPr>
          <w:rFonts w:asciiTheme="majorHAnsi" w:hAnsiTheme="majorHAnsi" w:cs="Arial"/>
          <w:b/>
          <w:sz w:val="22"/>
          <w:szCs w:val="22"/>
        </w:rPr>
        <w:lastRenderedPageBreak/>
        <w:t>health department</w:t>
      </w:r>
      <w:r w:rsidR="00A06ACA" w:rsidRPr="00387808">
        <w:rPr>
          <w:rFonts w:asciiTheme="majorHAnsi" w:hAnsiTheme="majorHAnsi" w:cs="Arial"/>
          <w:b/>
          <w:sz w:val="22"/>
          <w:szCs w:val="22"/>
        </w:rPr>
        <w:t>s</w:t>
      </w:r>
      <w:r w:rsidR="00A06ACA" w:rsidRPr="00387808">
        <w:rPr>
          <w:rFonts w:asciiTheme="majorHAnsi" w:hAnsiTheme="majorHAnsi" w:cs="Arial"/>
          <w:sz w:val="22"/>
          <w:szCs w:val="22"/>
        </w:rPr>
        <w:t>)</w:t>
      </w:r>
      <w:r w:rsidR="00762379" w:rsidRPr="00DD51A9">
        <w:rPr>
          <w:rFonts w:asciiTheme="majorHAnsi" w:hAnsiTheme="majorHAnsi"/>
          <w:sz w:val="22"/>
          <w:szCs w:val="22"/>
        </w:rPr>
        <w:t>.</w:t>
      </w:r>
      <w:r w:rsidR="00762379" w:rsidRPr="007D29AC">
        <w:rPr>
          <w:rFonts w:asciiTheme="majorHAnsi" w:hAnsiTheme="majorHAnsi"/>
          <w:sz w:val="22"/>
          <w:szCs w:val="22"/>
        </w:rPr>
        <w:t xml:space="preserve"> </w:t>
      </w:r>
      <w:r w:rsidR="00762379" w:rsidRPr="00CE68B4">
        <w:rPr>
          <w:rFonts w:asciiTheme="majorHAnsi" w:hAnsiTheme="majorHAnsi"/>
          <w:sz w:val="22"/>
          <w:szCs w:val="22"/>
        </w:rPr>
        <w:t>The invitation email will explain</w:t>
      </w:r>
      <w:r w:rsidR="009373EA" w:rsidRPr="00CE68B4">
        <w:rPr>
          <w:rFonts w:asciiTheme="majorHAnsi" w:hAnsiTheme="majorHAnsi"/>
          <w:sz w:val="22"/>
          <w:szCs w:val="22"/>
        </w:rPr>
        <w:t xml:space="preserve"> </w:t>
      </w:r>
      <w:r w:rsidR="003B1E50">
        <w:rPr>
          <w:rFonts w:asciiTheme="majorHAnsi" w:hAnsiTheme="majorHAnsi"/>
          <w:sz w:val="22"/>
          <w:szCs w:val="22"/>
        </w:rPr>
        <w:t>the p</w:t>
      </w:r>
      <w:r w:rsidR="00762379" w:rsidRPr="00CE68B4">
        <w:rPr>
          <w:rFonts w:asciiTheme="majorHAnsi" w:hAnsiTheme="majorHAnsi"/>
          <w:sz w:val="22"/>
          <w:szCs w:val="22"/>
        </w:rPr>
        <w:t xml:space="preserve">urpose of the </w:t>
      </w:r>
      <w:r w:rsidRPr="00CE68B4">
        <w:rPr>
          <w:rFonts w:asciiTheme="majorHAnsi" w:hAnsiTheme="majorHAnsi"/>
          <w:sz w:val="22"/>
          <w:szCs w:val="22"/>
        </w:rPr>
        <w:t>collection of information</w:t>
      </w:r>
      <w:r w:rsidR="00B57C31">
        <w:rPr>
          <w:rFonts w:asciiTheme="majorHAnsi" w:hAnsiTheme="majorHAnsi"/>
          <w:sz w:val="22"/>
          <w:szCs w:val="22"/>
        </w:rPr>
        <w:t xml:space="preserve"> and</w:t>
      </w:r>
      <w:r w:rsidR="00176235">
        <w:rPr>
          <w:rFonts w:asciiTheme="majorHAnsi" w:hAnsiTheme="majorHAnsi"/>
          <w:sz w:val="22"/>
          <w:szCs w:val="22"/>
        </w:rPr>
        <w:t xml:space="preserve"> </w:t>
      </w:r>
      <w:r w:rsidR="003B1E50">
        <w:rPr>
          <w:rFonts w:asciiTheme="majorHAnsi" w:hAnsiTheme="majorHAnsi"/>
          <w:sz w:val="22"/>
          <w:szCs w:val="22"/>
        </w:rPr>
        <w:t>m</w:t>
      </w:r>
      <w:r w:rsidR="00762379" w:rsidRPr="00CE68B4">
        <w:rPr>
          <w:rFonts w:asciiTheme="majorHAnsi" w:hAnsiTheme="majorHAnsi"/>
          <w:sz w:val="22"/>
          <w:szCs w:val="22"/>
        </w:rPr>
        <w:t>eth</w:t>
      </w:r>
      <w:r w:rsidR="00D370F3" w:rsidRPr="00CE68B4">
        <w:rPr>
          <w:rFonts w:asciiTheme="majorHAnsi" w:hAnsiTheme="majorHAnsi"/>
          <w:sz w:val="22"/>
          <w:szCs w:val="22"/>
        </w:rPr>
        <w:t>od</w:t>
      </w:r>
      <w:r w:rsidR="003B1E50">
        <w:rPr>
          <w:rFonts w:asciiTheme="majorHAnsi" w:hAnsiTheme="majorHAnsi"/>
          <w:sz w:val="22"/>
          <w:szCs w:val="22"/>
        </w:rPr>
        <w:t>s</w:t>
      </w:r>
      <w:r w:rsidR="00D370F3" w:rsidRPr="00CE68B4">
        <w:rPr>
          <w:rFonts w:asciiTheme="majorHAnsi" w:hAnsiTheme="majorHAnsi"/>
          <w:sz w:val="22"/>
          <w:szCs w:val="22"/>
        </w:rPr>
        <w:t xml:space="preserve"> to safeguard responses</w:t>
      </w:r>
      <w:r w:rsidR="00B57C31">
        <w:rPr>
          <w:rFonts w:asciiTheme="majorHAnsi" w:hAnsiTheme="majorHAnsi"/>
          <w:sz w:val="22"/>
          <w:szCs w:val="22"/>
        </w:rPr>
        <w:t xml:space="preserve">. It will also </w:t>
      </w:r>
      <w:r w:rsidR="003B1E50">
        <w:rPr>
          <w:rFonts w:asciiTheme="majorHAnsi" w:hAnsiTheme="majorHAnsi"/>
          <w:sz w:val="22"/>
          <w:szCs w:val="22"/>
        </w:rPr>
        <w:t>provide c</w:t>
      </w:r>
      <w:r w:rsidR="00762379" w:rsidRPr="00CE68B4">
        <w:rPr>
          <w:rFonts w:asciiTheme="majorHAnsi" w:hAnsiTheme="majorHAnsi"/>
          <w:sz w:val="22"/>
          <w:szCs w:val="22"/>
        </w:rPr>
        <w:t>ontact info</w:t>
      </w:r>
      <w:r w:rsidR="00D370F3" w:rsidRPr="00CE68B4">
        <w:rPr>
          <w:rFonts w:asciiTheme="majorHAnsi" w:hAnsiTheme="majorHAnsi"/>
          <w:sz w:val="22"/>
          <w:szCs w:val="22"/>
        </w:rPr>
        <w:t xml:space="preserve">rmation for the </w:t>
      </w:r>
      <w:r w:rsidR="003B1E50">
        <w:rPr>
          <w:rFonts w:asciiTheme="majorHAnsi" w:hAnsiTheme="majorHAnsi"/>
          <w:sz w:val="22"/>
          <w:szCs w:val="22"/>
        </w:rPr>
        <w:t xml:space="preserve">CLS </w:t>
      </w:r>
      <w:r w:rsidR="00D370F3" w:rsidRPr="00CE68B4">
        <w:rPr>
          <w:rFonts w:asciiTheme="majorHAnsi" w:hAnsiTheme="majorHAnsi"/>
          <w:sz w:val="22"/>
          <w:szCs w:val="22"/>
        </w:rPr>
        <w:t>assessment team</w:t>
      </w:r>
      <w:r w:rsidR="00A06ACA">
        <w:rPr>
          <w:rFonts w:asciiTheme="majorHAnsi" w:hAnsiTheme="majorHAnsi"/>
          <w:sz w:val="22"/>
          <w:szCs w:val="22"/>
        </w:rPr>
        <w:t xml:space="preserve"> and include a request to identify 2 additional </w:t>
      </w:r>
      <w:r w:rsidR="00176235">
        <w:rPr>
          <w:rFonts w:asciiTheme="majorHAnsi" w:hAnsiTheme="majorHAnsi"/>
          <w:sz w:val="22"/>
          <w:szCs w:val="22"/>
        </w:rPr>
        <w:t>EH practitioners</w:t>
      </w:r>
      <w:r w:rsidR="00A06ACA">
        <w:rPr>
          <w:rFonts w:asciiTheme="majorHAnsi" w:hAnsiTheme="majorHAnsi"/>
          <w:sz w:val="22"/>
          <w:szCs w:val="22"/>
        </w:rPr>
        <w:t xml:space="preserve"> from their respective program</w:t>
      </w:r>
      <w:r w:rsidR="00040756">
        <w:rPr>
          <w:rFonts w:asciiTheme="majorHAnsi" w:hAnsiTheme="majorHAnsi"/>
          <w:sz w:val="22"/>
          <w:szCs w:val="22"/>
        </w:rPr>
        <w:t>s</w:t>
      </w:r>
      <w:r w:rsidR="00A06ACA">
        <w:rPr>
          <w:rFonts w:asciiTheme="majorHAnsi" w:hAnsiTheme="majorHAnsi"/>
          <w:sz w:val="22"/>
          <w:szCs w:val="22"/>
        </w:rPr>
        <w:t xml:space="preserve"> who would be appropriate to participate</w:t>
      </w:r>
      <w:r w:rsidR="00040756">
        <w:rPr>
          <w:rFonts w:asciiTheme="majorHAnsi" w:hAnsiTheme="majorHAnsi"/>
          <w:sz w:val="22"/>
          <w:szCs w:val="22"/>
        </w:rPr>
        <w:t xml:space="preserve"> in the interviews as well. The letter will suggest that the two additional participants include the </w:t>
      </w:r>
      <w:r w:rsidR="00176235">
        <w:rPr>
          <w:rFonts w:asciiTheme="majorHAnsi" w:hAnsiTheme="majorHAnsi"/>
          <w:sz w:val="22"/>
          <w:szCs w:val="22"/>
        </w:rPr>
        <w:t>PI of the project</w:t>
      </w:r>
      <w:r w:rsidR="004B08C1">
        <w:rPr>
          <w:rFonts w:asciiTheme="majorHAnsi" w:hAnsiTheme="majorHAnsi"/>
          <w:sz w:val="22"/>
          <w:szCs w:val="22"/>
        </w:rPr>
        <w:t>,</w:t>
      </w:r>
      <w:r w:rsidR="00040756">
        <w:rPr>
          <w:rFonts w:asciiTheme="majorHAnsi" w:hAnsiTheme="majorHAnsi"/>
          <w:sz w:val="22"/>
          <w:szCs w:val="22"/>
        </w:rPr>
        <w:t xml:space="preserve"> </w:t>
      </w:r>
      <w:r w:rsidR="00C64AC0" w:rsidRPr="00C64AC0">
        <w:rPr>
          <w:rFonts w:asciiTheme="majorHAnsi" w:hAnsiTheme="majorHAnsi"/>
          <w:sz w:val="22"/>
          <w:szCs w:val="22"/>
        </w:rPr>
        <w:t xml:space="preserve">an EH practitioner who worked </w:t>
      </w:r>
      <w:r w:rsidR="004B08C1">
        <w:rPr>
          <w:rFonts w:asciiTheme="majorHAnsi" w:hAnsiTheme="majorHAnsi"/>
          <w:sz w:val="22"/>
          <w:szCs w:val="22"/>
        </w:rPr>
        <w:t>on the EHSB-funded project</w:t>
      </w:r>
      <w:r w:rsidR="00C64AC0" w:rsidRPr="00C64AC0">
        <w:rPr>
          <w:rFonts w:asciiTheme="majorHAnsi" w:hAnsiTheme="majorHAnsi"/>
          <w:sz w:val="22"/>
          <w:szCs w:val="22"/>
        </w:rPr>
        <w:t xml:space="preserve"> or other drinking water </w:t>
      </w:r>
      <w:r w:rsidR="00D57028">
        <w:rPr>
          <w:rFonts w:asciiTheme="majorHAnsi" w:hAnsiTheme="majorHAnsi"/>
          <w:sz w:val="22"/>
          <w:szCs w:val="22"/>
        </w:rPr>
        <w:t>program staff</w:t>
      </w:r>
      <w:r w:rsidR="00A06ACA">
        <w:rPr>
          <w:rFonts w:asciiTheme="majorHAnsi" w:hAnsiTheme="majorHAnsi"/>
          <w:sz w:val="22"/>
          <w:szCs w:val="22"/>
        </w:rPr>
        <w:t xml:space="preserve">. </w:t>
      </w:r>
      <w:r w:rsidR="00762379" w:rsidRPr="00CE68B4">
        <w:rPr>
          <w:rFonts w:asciiTheme="majorHAnsi" w:hAnsiTheme="majorHAnsi"/>
          <w:sz w:val="22"/>
          <w:szCs w:val="22"/>
        </w:rPr>
        <w:t xml:space="preserve">The email will also </w:t>
      </w:r>
      <w:r w:rsidR="00A06ACA">
        <w:rPr>
          <w:rFonts w:asciiTheme="majorHAnsi" w:hAnsiTheme="majorHAnsi"/>
          <w:sz w:val="22"/>
          <w:szCs w:val="22"/>
        </w:rPr>
        <w:t>provide</w:t>
      </w:r>
      <w:r w:rsidR="00A06ACA" w:rsidRPr="00CE68B4">
        <w:rPr>
          <w:rFonts w:asciiTheme="majorHAnsi" w:hAnsiTheme="majorHAnsi"/>
          <w:sz w:val="22"/>
          <w:szCs w:val="22"/>
        </w:rPr>
        <w:t xml:space="preserve"> </w:t>
      </w:r>
      <w:r w:rsidR="00762379" w:rsidRPr="00CE68B4">
        <w:rPr>
          <w:rFonts w:asciiTheme="majorHAnsi" w:hAnsiTheme="majorHAnsi"/>
          <w:sz w:val="22"/>
          <w:szCs w:val="22"/>
        </w:rPr>
        <w:t xml:space="preserve">instructions for participating and </w:t>
      </w:r>
      <w:r w:rsidR="002D5C0C" w:rsidRPr="00CE68B4">
        <w:rPr>
          <w:rFonts w:asciiTheme="majorHAnsi" w:hAnsiTheme="majorHAnsi"/>
          <w:sz w:val="22"/>
          <w:szCs w:val="22"/>
        </w:rPr>
        <w:t xml:space="preserve">will </w:t>
      </w:r>
      <w:r w:rsidR="00A06B34" w:rsidRPr="00CE68B4">
        <w:rPr>
          <w:rFonts w:asciiTheme="majorHAnsi" w:hAnsiTheme="majorHAnsi"/>
          <w:sz w:val="22"/>
          <w:szCs w:val="22"/>
        </w:rPr>
        <w:t>include</w:t>
      </w:r>
      <w:r w:rsidR="00E23593">
        <w:rPr>
          <w:rFonts w:asciiTheme="majorHAnsi" w:hAnsiTheme="majorHAnsi"/>
          <w:sz w:val="22"/>
          <w:szCs w:val="22"/>
        </w:rPr>
        <w:t xml:space="preserve"> </w:t>
      </w:r>
      <w:r w:rsidRPr="00CE68B4">
        <w:rPr>
          <w:rFonts w:asciiTheme="majorHAnsi" w:hAnsiTheme="majorHAnsi"/>
          <w:sz w:val="22"/>
          <w:szCs w:val="22"/>
        </w:rPr>
        <w:t>the information collection instrument</w:t>
      </w:r>
      <w:r w:rsidR="00E23593">
        <w:rPr>
          <w:rFonts w:asciiTheme="majorHAnsi" w:hAnsiTheme="majorHAnsi"/>
          <w:sz w:val="22"/>
          <w:szCs w:val="22"/>
        </w:rPr>
        <w:t xml:space="preserve"> for their review and preparation in advance of the interview</w:t>
      </w:r>
      <w:r w:rsidR="008169F1" w:rsidDel="001D2A3F">
        <w:rPr>
          <w:rFonts w:asciiTheme="majorHAnsi" w:hAnsiTheme="majorHAnsi"/>
          <w:sz w:val="22"/>
          <w:szCs w:val="22"/>
        </w:rPr>
        <w:t>.</w:t>
      </w:r>
    </w:p>
    <w:p w14:paraId="305B622B" w14:textId="136E7874" w:rsidR="00762379" w:rsidRPr="00CE68B4" w:rsidRDefault="00A06ACA" w:rsidP="006963BA">
      <w:pPr>
        <w:pStyle w:val="NormalWeb"/>
        <w:spacing w:line="276" w:lineRule="auto"/>
        <w:rPr>
          <w:rFonts w:asciiTheme="majorHAnsi" w:hAnsiTheme="majorHAnsi"/>
          <w:sz w:val="22"/>
          <w:szCs w:val="22"/>
        </w:rPr>
      </w:pPr>
      <w:r>
        <w:rPr>
          <w:rFonts w:asciiTheme="majorHAnsi" w:hAnsiTheme="majorHAnsi"/>
          <w:sz w:val="22"/>
          <w:szCs w:val="22"/>
        </w:rPr>
        <w:t>F</w:t>
      </w:r>
      <w:r w:rsidRPr="00380A8C">
        <w:rPr>
          <w:rFonts w:asciiTheme="majorHAnsi" w:hAnsiTheme="majorHAnsi"/>
          <w:sz w:val="22"/>
          <w:szCs w:val="22"/>
        </w:rPr>
        <w:t xml:space="preserve">ollowing the invitation e-mail, </w:t>
      </w:r>
      <w:r w:rsidR="005268D4">
        <w:rPr>
          <w:rFonts w:asciiTheme="majorHAnsi" w:hAnsiTheme="majorHAnsi"/>
          <w:sz w:val="22"/>
          <w:szCs w:val="22"/>
        </w:rPr>
        <w:t xml:space="preserve">the </w:t>
      </w:r>
      <w:r>
        <w:rPr>
          <w:rFonts w:asciiTheme="majorHAnsi" w:hAnsiTheme="majorHAnsi"/>
          <w:sz w:val="22"/>
          <w:szCs w:val="22"/>
        </w:rPr>
        <w:t>EH</w:t>
      </w:r>
      <w:r w:rsidR="005268D4">
        <w:rPr>
          <w:rFonts w:asciiTheme="majorHAnsi" w:hAnsiTheme="majorHAnsi"/>
          <w:sz w:val="22"/>
          <w:szCs w:val="22"/>
        </w:rPr>
        <w:t xml:space="preserve"> Director</w:t>
      </w:r>
      <w:r w:rsidR="00136DC9">
        <w:rPr>
          <w:rFonts w:asciiTheme="majorHAnsi" w:hAnsiTheme="majorHAnsi"/>
          <w:sz w:val="22"/>
          <w:szCs w:val="22"/>
        </w:rPr>
        <w:t>s</w:t>
      </w:r>
      <w:r w:rsidR="005268D4">
        <w:rPr>
          <w:rFonts w:asciiTheme="majorHAnsi" w:hAnsiTheme="majorHAnsi"/>
          <w:sz w:val="22"/>
          <w:szCs w:val="22"/>
        </w:rPr>
        <w:t xml:space="preserve"> and</w:t>
      </w:r>
      <w:r w:rsidR="00176235">
        <w:rPr>
          <w:rFonts w:asciiTheme="majorHAnsi" w:hAnsiTheme="majorHAnsi"/>
          <w:sz w:val="22"/>
          <w:szCs w:val="22"/>
        </w:rPr>
        <w:t xml:space="preserve"> practitioner</w:t>
      </w:r>
      <w:r>
        <w:rPr>
          <w:rFonts w:asciiTheme="majorHAnsi" w:hAnsiTheme="majorHAnsi"/>
          <w:sz w:val="22"/>
          <w:szCs w:val="22"/>
        </w:rPr>
        <w:t>s</w:t>
      </w:r>
      <w:r w:rsidRPr="00380A8C">
        <w:rPr>
          <w:rFonts w:asciiTheme="majorHAnsi" w:hAnsiTheme="majorHAnsi"/>
          <w:sz w:val="22"/>
          <w:szCs w:val="22"/>
        </w:rPr>
        <w:t xml:space="preserve"> will have </w:t>
      </w:r>
      <w:r w:rsidR="008E61F1">
        <w:rPr>
          <w:rFonts w:asciiTheme="majorHAnsi" w:hAnsiTheme="majorHAnsi"/>
          <w:sz w:val="22"/>
          <w:szCs w:val="22"/>
        </w:rPr>
        <w:t xml:space="preserve">2 </w:t>
      </w:r>
      <w:r w:rsidR="00CF16EE">
        <w:rPr>
          <w:rFonts w:asciiTheme="majorHAnsi" w:hAnsiTheme="majorHAnsi"/>
          <w:sz w:val="22"/>
          <w:szCs w:val="22"/>
        </w:rPr>
        <w:t>weeks</w:t>
      </w:r>
      <w:r w:rsidRPr="00380A8C">
        <w:rPr>
          <w:rFonts w:asciiTheme="majorHAnsi" w:hAnsiTheme="majorHAnsi"/>
          <w:sz w:val="22"/>
          <w:szCs w:val="22"/>
        </w:rPr>
        <w:t xml:space="preserve"> to schedule </w:t>
      </w:r>
      <w:r>
        <w:rPr>
          <w:rFonts w:asciiTheme="majorHAnsi" w:hAnsiTheme="majorHAnsi"/>
          <w:sz w:val="22"/>
          <w:szCs w:val="22"/>
        </w:rPr>
        <w:t>their</w:t>
      </w:r>
      <w:r w:rsidRPr="00380A8C">
        <w:rPr>
          <w:rFonts w:asciiTheme="majorHAnsi" w:hAnsiTheme="majorHAnsi"/>
          <w:sz w:val="22"/>
          <w:szCs w:val="22"/>
        </w:rPr>
        <w:t xml:space="preserve"> in-person interview plac</w:t>
      </w:r>
      <w:r>
        <w:rPr>
          <w:rFonts w:asciiTheme="majorHAnsi" w:hAnsiTheme="majorHAnsi"/>
          <w:sz w:val="22"/>
          <w:szCs w:val="22"/>
        </w:rPr>
        <w:t xml:space="preserve">e, </w:t>
      </w:r>
      <w:r w:rsidRPr="00380A8C">
        <w:rPr>
          <w:rFonts w:asciiTheme="majorHAnsi" w:hAnsiTheme="majorHAnsi"/>
          <w:sz w:val="22"/>
          <w:szCs w:val="22"/>
        </w:rPr>
        <w:t>date</w:t>
      </w:r>
      <w:r>
        <w:rPr>
          <w:rFonts w:asciiTheme="majorHAnsi" w:hAnsiTheme="majorHAnsi"/>
          <w:sz w:val="22"/>
          <w:szCs w:val="22"/>
        </w:rPr>
        <w:t xml:space="preserve"> and t</w:t>
      </w:r>
      <w:r w:rsidRPr="00380A8C">
        <w:rPr>
          <w:rFonts w:asciiTheme="majorHAnsi" w:hAnsiTheme="majorHAnsi"/>
          <w:sz w:val="22"/>
          <w:szCs w:val="22"/>
        </w:rPr>
        <w:t>ime (</w:t>
      </w:r>
      <w:r w:rsidRPr="00BA5ABC">
        <w:rPr>
          <w:rFonts w:asciiTheme="majorHAnsi" w:hAnsiTheme="majorHAnsi"/>
          <w:sz w:val="22"/>
          <w:szCs w:val="22"/>
        </w:rPr>
        <w:t>see</w:t>
      </w:r>
      <w:r w:rsidRPr="00380A8C">
        <w:rPr>
          <w:rFonts w:asciiTheme="majorHAnsi" w:hAnsiTheme="majorHAnsi"/>
          <w:b/>
          <w:sz w:val="22"/>
          <w:szCs w:val="22"/>
        </w:rPr>
        <w:t xml:space="preserve"> Attachment D: </w:t>
      </w:r>
      <w:r w:rsidR="005268D4">
        <w:rPr>
          <w:rFonts w:asciiTheme="majorHAnsi" w:hAnsiTheme="majorHAnsi"/>
          <w:b/>
          <w:sz w:val="22"/>
          <w:szCs w:val="22"/>
        </w:rPr>
        <w:t>Scheduling In-Person Interview</w:t>
      </w:r>
      <w:r>
        <w:rPr>
          <w:rFonts w:asciiTheme="majorHAnsi" w:hAnsiTheme="majorHAnsi"/>
          <w:b/>
          <w:sz w:val="22"/>
          <w:szCs w:val="22"/>
        </w:rPr>
        <w:t xml:space="preserve"> </w:t>
      </w:r>
      <w:r w:rsidRPr="00380A8C">
        <w:rPr>
          <w:rFonts w:asciiTheme="majorHAnsi" w:hAnsiTheme="majorHAnsi"/>
          <w:b/>
          <w:sz w:val="22"/>
          <w:szCs w:val="22"/>
        </w:rPr>
        <w:t>Email</w:t>
      </w:r>
      <w:r w:rsidRPr="00380A8C">
        <w:rPr>
          <w:rFonts w:asciiTheme="majorHAnsi" w:hAnsiTheme="majorHAnsi"/>
          <w:sz w:val="22"/>
          <w:szCs w:val="22"/>
        </w:rPr>
        <w:t xml:space="preserve">). </w:t>
      </w:r>
      <w:r w:rsidRPr="00154AF9">
        <w:rPr>
          <w:rFonts w:asciiTheme="majorHAnsi" w:hAnsiTheme="majorHAnsi"/>
          <w:sz w:val="22"/>
          <w:szCs w:val="22"/>
        </w:rPr>
        <w:t xml:space="preserve">Those who do not respond within </w:t>
      </w:r>
      <w:r w:rsidR="00040756">
        <w:rPr>
          <w:rFonts w:asciiTheme="majorHAnsi" w:hAnsiTheme="majorHAnsi"/>
          <w:sz w:val="22"/>
          <w:szCs w:val="22"/>
        </w:rPr>
        <w:t>the</w:t>
      </w:r>
      <w:r w:rsidR="00154AF9">
        <w:rPr>
          <w:rFonts w:asciiTheme="majorHAnsi" w:hAnsiTheme="majorHAnsi"/>
          <w:sz w:val="22"/>
          <w:szCs w:val="22"/>
        </w:rPr>
        <w:t xml:space="preserve"> </w:t>
      </w:r>
      <w:r w:rsidR="008E61F1" w:rsidRPr="00154AF9">
        <w:rPr>
          <w:rFonts w:asciiTheme="majorHAnsi" w:hAnsiTheme="majorHAnsi"/>
          <w:sz w:val="22"/>
          <w:szCs w:val="22"/>
        </w:rPr>
        <w:t>2</w:t>
      </w:r>
      <w:r w:rsidR="005268D4" w:rsidRPr="00154AF9">
        <w:rPr>
          <w:rFonts w:asciiTheme="majorHAnsi" w:hAnsiTheme="majorHAnsi"/>
          <w:sz w:val="22"/>
          <w:szCs w:val="22"/>
        </w:rPr>
        <w:t>-week</w:t>
      </w:r>
      <w:r w:rsidRPr="00154AF9">
        <w:rPr>
          <w:rFonts w:asciiTheme="majorHAnsi" w:hAnsiTheme="majorHAnsi"/>
          <w:sz w:val="22"/>
          <w:szCs w:val="22"/>
        </w:rPr>
        <w:t xml:space="preserve"> timeframe </w:t>
      </w:r>
      <w:r w:rsidRPr="008802AE">
        <w:rPr>
          <w:rFonts w:asciiTheme="majorHAnsi" w:hAnsiTheme="majorHAnsi"/>
          <w:sz w:val="22"/>
          <w:szCs w:val="22"/>
        </w:rPr>
        <w:t xml:space="preserve">will </w:t>
      </w:r>
      <w:r>
        <w:rPr>
          <w:rFonts w:asciiTheme="majorHAnsi" w:hAnsiTheme="majorHAnsi"/>
          <w:sz w:val="22"/>
          <w:szCs w:val="22"/>
        </w:rPr>
        <w:t>receive</w:t>
      </w:r>
      <w:r w:rsidRPr="008802AE">
        <w:rPr>
          <w:rFonts w:asciiTheme="majorHAnsi" w:hAnsiTheme="majorHAnsi"/>
          <w:sz w:val="22"/>
          <w:szCs w:val="22"/>
        </w:rPr>
        <w:t xml:space="preserve"> a telephone </w:t>
      </w:r>
      <w:r w:rsidR="00040756">
        <w:rPr>
          <w:rFonts w:asciiTheme="majorHAnsi" w:hAnsiTheme="majorHAnsi"/>
          <w:sz w:val="22"/>
          <w:szCs w:val="22"/>
        </w:rPr>
        <w:t xml:space="preserve">reminder </w:t>
      </w:r>
      <w:r w:rsidRPr="008802AE">
        <w:rPr>
          <w:rFonts w:asciiTheme="majorHAnsi" w:hAnsiTheme="majorHAnsi"/>
          <w:sz w:val="22"/>
          <w:szCs w:val="22"/>
        </w:rPr>
        <w:t>call</w:t>
      </w:r>
      <w:r>
        <w:rPr>
          <w:rFonts w:asciiTheme="majorHAnsi" w:hAnsiTheme="majorHAnsi"/>
          <w:sz w:val="22"/>
          <w:szCs w:val="22"/>
        </w:rPr>
        <w:t xml:space="preserve"> from CLS staff</w:t>
      </w:r>
      <w:r w:rsidRPr="008802AE">
        <w:rPr>
          <w:rFonts w:asciiTheme="majorHAnsi" w:hAnsiTheme="majorHAnsi"/>
          <w:sz w:val="22"/>
          <w:szCs w:val="22"/>
        </w:rPr>
        <w:t xml:space="preserve"> </w:t>
      </w:r>
      <w:r>
        <w:rPr>
          <w:rFonts w:asciiTheme="majorHAnsi" w:hAnsiTheme="majorHAnsi"/>
          <w:sz w:val="22"/>
          <w:szCs w:val="22"/>
        </w:rPr>
        <w:t xml:space="preserve">to </w:t>
      </w:r>
      <w:r w:rsidR="00040756">
        <w:rPr>
          <w:rFonts w:asciiTheme="majorHAnsi" w:hAnsiTheme="majorHAnsi"/>
          <w:sz w:val="22"/>
          <w:szCs w:val="22"/>
        </w:rPr>
        <w:t>encourage participation</w:t>
      </w:r>
      <w:r w:rsidRPr="008802AE">
        <w:rPr>
          <w:rFonts w:asciiTheme="majorHAnsi" w:hAnsiTheme="majorHAnsi"/>
          <w:sz w:val="22"/>
          <w:szCs w:val="22"/>
        </w:rPr>
        <w:t>.</w:t>
      </w:r>
      <w:r>
        <w:rPr>
          <w:rFonts w:asciiTheme="majorHAnsi" w:hAnsiTheme="majorHAnsi"/>
          <w:sz w:val="22"/>
          <w:szCs w:val="22"/>
        </w:rPr>
        <w:t xml:space="preserve"> Once the interview</w:t>
      </w:r>
      <w:r w:rsidR="00AA0974">
        <w:rPr>
          <w:rFonts w:asciiTheme="majorHAnsi" w:hAnsiTheme="majorHAnsi"/>
          <w:sz w:val="22"/>
          <w:szCs w:val="22"/>
        </w:rPr>
        <w:t>s</w:t>
      </w:r>
      <w:r>
        <w:rPr>
          <w:rFonts w:asciiTheme="majorHAnsi" w:hAnsiTheme="majorHAnsi"/>
          <w:sz w:val="22"/>
          <w:szCs w:val="22"/>
        </w:rPr>
        <w:t xml:space="preserve"> </w:t>
      </w:r>
      <w:r w:rsidR="00AA0974">
        <w:rPr>
          <w:rFonts w:asciiTheme="majorHAnsi" w:hAnsiTheme="majorHAnsi"/>
          <w:sz w:val="22"/>
          <w:szCs w:val="22"/>
        </w:rPr>
        <w:t>are</w:t>
      </w:r>
      <w:r>
        <w:rPr>
          <w:rFonts w:asciiTheme="majorHAnsi" w:hAnsiTheme="majorHAnsi"/>
          <w:sz w:val="22"/>
          <w:szCs w:val="22"/>
        </w:rPr>
        <w:t xml:space="preserve"> scheduled, participants will receive a </w:t>
      </w:r>
      <w:r w:rsidRPr="00380A8C">
        <w:rPr>
          <w:rFonts w:asciiTheme="majorHAnsi" w:hAnsiTheme="majorHAnsi"/>
          <w:sz w:val="22"/>
          <w:szCs w:val="22"/>
        </w:rPr>
        <w:t>confirmation email</w:t>
      </w:r>
      <w:r>
        <w:rPr>
          <w:rFonts w:asciiTheme="majorHAnsi" w:hAnsiTheme="majorHAnsi"/>
          <w:sz w:val="22"/>
          <w:szCs w:val="22"/>
        </w:rPr>
        <w:t xml:space="preserve"> </w:t>
      </w:r>
      <w:r w:rsidRPr="00380A8C">
        <w:rPr>
          <w:rFonts w:asciiTheme="majorHAnsi" w:hAnsiTheme="majorHAnsi"/>
          <w:sz w:val="22"/>
          <w:szCs w:val="22"/>
        </w:rPr>
        <w:t xml:space="preserve">(see </w:t>
      </w:r>
      <w:r w:rsidRPr="00380A8C">
        <w:rPr>
          <w:rFonts w:asciiTheme="majorHAnsi" w:hAnsiTheme="majorHAnsi"/>
          <w:b/>
          <w:sz w:val="22"/>
          <w:szCs w:val="22"/>
        </w:rPr>
        <w:t>Attachment E: Confirmation Email</w:t>
      </w:r>
      <w:r w:rsidRPr="008802AE">
        <w:rPr>
          <w:rFonts w:asciiTheme="majorHAnsi" w:hAnsiTheme="majorHAnsi"/>
          <w:sz w:val="22"/>
          <w:szCs w:val="22"/>
        </w:rPr>
        <w:t>)</w:t>
      </w:r>
      <w:r>
        <w:rPr>
          <w:rFonts w:asciiTheme="majorHAnsi" w:hAnsiTheme="majorHAnsi"/>
          <w:sz w:val="22"/>
          <w:szCs w:val="22"/>
        </w:rPr>
        <w:t xml:space="preserve"> containing the </w:t>
      </w:r>
      <w:r>
        <w:rPr>
          <w:rFonts w:asciiTheme="majorHAnsi" w:hAnsiTheme="majorHAnsi"/>
          <w:sz w:val="22"/>
          <w:szCs w:val="22"/>
        </w:rPr>
        <w:lastRenderedPageBreak/>
        <w:t>details of their interview date, time, and location</w:t>
      </w:r>
      <w:r>
        <w:rPr>
          <w:rFonts w:asciiTheme="majorHAnsi" w:hAnsiTheme="majorHAnsi"/>
          <w:b/>
          <w:sz w:val="22"/>
          <w:szCs w:val="22"/>
        </w:rPr>
        <w:t xml:space="preserve">. </w:t>
      </w:r>
      <w:r w:rsidRPr="00380A8C">
        <w:rPr>
          <w:rFonts w:asciiTheme="majorHAnsi" w:hAnsiTheme="majorHAnsi"/>
          <w:b/>
          <w:sz w:val="22"/>
          <w:szCs w:val="22"/>
        </w:rPr>
        <w:t xml:space="preserve"> </w:t>
      </w:r>
      <w:r w:rsidRPr="008802AE">
        <w:rPr>
          <w:rFonts w:asciiTheme="majorHAnsi" w:hAnsiTheme="majorHAnsi"/>
          <w:sz w:val="22"/>
          <w:szCs w:val="22"/>
        </w:rPr>
        <w:t>As a courtesy, participants will also receive a reminder email</w:t>
      </w:r>
      <w:r>
        <w:rPr>
          <w:rFonts w:asciiTheme="majorHAnsi" w:hAnsiTheme="majorHAnsi"/>
          <w:b/>
          <w:sz w:val="22"/>
          <w:szCs w:val="22"/>
        </w:rPr>
        <w:t xml:space="preserve"> </w:t>
      </w:r>
      <w:r>
        <w:rPr>
          <w:rFonts w:asciiTheme="majorHAnsi" w:hAnsiTheme="majorHAnsi"/>
          <w:sz w:val="22"/>
          <w:szCs w:val="22"/>
        </w:rPr>
        <w:t xml:space="preserve">(see </w:t>
      </w:r>
      <w:r w:rsidRPr="00380A8C">
        <w:rPr>
          <w:rFonts w:asciiTheme="majorHAnsi" w:hAnsiTheme="majorHAnsi"/>
          <w:b/>
          <w:sz w:val="22"/>
          <w:szCs w:val="22"/>
        </w:rPr>
        <w:t>Attachment F: Reminder Email</w:t>
      </w:r>
      <w:r w:rsidRPr="00380A8C">
        <w:rPr>
          <w:rFonts w:asciiTheme="majorHAnsi" w:hAnsiTheme="majorHAnsi"/>
          <w:sz w:val="22"/>
          <w:szCs w:val="22"/>
        </w:rPr>
        <w:t xml:space="preserve">) </w:t>
      </w:r>
      <w:r w:rsidR="008E61F1">
        <w:rPr>
          <w:rFonts w:asciiTheme="majorHAnsi" w:hAnsiTheme="majorHAnsi"/>
          <w:sz w:val="22"/>
          <w:szCs w:val="22"/>
        </w:rPr>
        <w:t xml:space="preserve">2 </w:t>
      </w:r>
      <w:r>
        <w:rPr>
          <w:rFonts w:asciiTheme="majorHAnsi" w:hAnsiTheme="majorHAnsi"/>
          <w:sz w:val="22"/>
          <w:szCs w:val="22"/>
        </w:rPr>
        <w:t>weeks</w:t>
      </w:r>
      <w:r w:rsidR="00B57C31">
        <w:rPr>
          <w:rFonts w:asciiTheme="majorHAnsi" w:hAnsiTheme="majorHAnsi"/>
          <w:sz w:val="22"/>
          <w:szCs w:val="22"/>
        </w:rPr>
        <w:t xml:space="preserve"> or, at a minimum, </w:t>
      </w:r>
      <w:r w:rsidR="008E61F1">
        <w:rPr>
          <w:rFonts w:asciiTheme="majorHAnsi" w:hAnsiTheme="majorHAnsi"/>
          <w:sz w:val="22"/>
          <w:szCs w:val="22"/>
        </w:rPr>
        <w:t xml:space="preserve">1 </w:t>
      </w:r>
      <w:r w:rsidR="00B57C31">
        <w:rPr>
          <w:rFonts w:asciiTheme="majorHAnsi" w:hAnsiTheme="majorHAnsi"/>
          <w:sz w:val="22"/>
          <w:szCs w:val="22"/>
        </w:rPr>
        <w:t>week</w:t>
      </w:r>
      <w:r>
        <w:rPr>
          <w:rFonts w:asciiTheme="majorHAnsi" w:hAnsiTheme="majorHAnsi"/>
          <w:sz w:val="22"/>
          <w:szCs w:val="22"/>
        </w:rPr>
        <w:t xml:space="preserve"> prior to their scheduled interview date.</w:t>
      </w:r>
      <w:r w:rsidR="00762379" w:rsidRPr="00CE68B4">
        <w:rPr>
          <w:rFonts w:asciiTheme="majorHAnsi" w:hAnsiTheme="majorHAnsi"/>
          <w:sz w:val="22"/>
          <w:szCs w:val="22"/>
        </w:rPr>
        <w:t xml:space="preserve"> </w:t>
      </w:r>
      <w:r w:rsidR="0002246A" w:rsidRPr="00CE68B4">
        <w:rPr>
          <w:rFonts w:asciiTheme="majorHAnsi" w:hAnsiTheme="majorHAnsi"/>
          <w:sz w:val="22"/>
          <w:szCs w:val="22"/>
        </w:rPr>
        <w:t xml:space="preserve">This e-mail will also state that </w:t>
      </w:r>
      <w:r w:rsidR="00762379" w:rsidRPr="00CE68B4">
        <w:rPr>
          <w:rFonts w:asciiTheme="majorHAnsi" w:hAnsiTheme="majorHAnsi"/>
          <w:sz w:val="22"/>
          <w:szCs w:val="22"/>
        </w:rPr>
        <w:t xml:space="preserve">at the completion of the </w:t>
      </w:r>
      <w:r w:rsidR="0002246A" w:rsidRPr="00CE68B4">
        <w:rPr>
          <w:rFonts w:asciiTheme="majorHAnsi" w:hAnsiTheme="majorHAnsi"/>
          <w:sz w:val="22"/>
          <w:szCs w:val="22"/>
        </w:rPr>
        <w:t>interview</w:t>
      </w:r>
      <w:r w:rsidR="00762379" w:rsidRPr="00CE68B4">
        <w:rPr>
          <w:rFonts w:asciiTheme="majorHAnsi" w:hAnsiTheme="majorHAnsi"/>
          <w:sz w:val="22"/>
          <w:szCs w:val="22"/>
        </w:rPr>
        <w:t>, C</w:t>
      </w:r>
      <w:r w:rsidR="0002246A" w:rsidRPr="00CE68B4">
        <w:rPr>
          <w:rFonts w:asciiTheme="majorHAnsi" w:hAnsiTheme="majorHAnsi"/>
          <w:sz w:val="22"/>
          <w:szCs w:val="22"/>
        </w:rPr>
        <w:t>L</w:t>
      </w:r>
      <w:r w:rsidR="00762379" w:rsidRPr="00CE68B4">
        <w:rPr>
          <w:rFonts w:asciiTheme="majorHAnsi" w:hAnsiTheme="majorHAnsi"/>
          <w:sz w:val="22"/>
          <w:szCs w:val="22"/>
        </w:rPr>
        <w:t xml:space="preserve">S staff </w:t>
      </w:r>
      <w:r w:rsidR="0002246A" w:rsidRPr="00CE68B4">
        <w:rPr>
          <w:rFonts w:asciiTheme="majorHAnsi" w:hAnsiTheme="majorHAnsi"/>
          <w:sz w:val="22"/>
          <w:szCs w:val="22"/>
        </w:rPr>
        <w:t xml:space="preserve">may </w:t>
      </w:r>
      <w:r w:rsidR="00762379" w:rsidRPr="00CE68B4">
        <w:rPr>
          <w:rFonts w:asciiTheme="majorHAnsi" w:hAnsiTheme="majorHAnsi"/>
          <w:sz w:val="22"/>
          <w:szCs w:val="22"/>
        </w:rPr>
        <w:t xml:space="preserve">contact respondents </w:t>
      </w:r>
      <w:r w:rsidR="0002246A" w:rsidRPr="00CE68B4">
        <w:rPr>
          <w:rFonts w:asciiTheme="majorHAnsi" w:hAnsiTheme="majorHAnsi"/>
          <w:sz w:val="22"/>
          <w:szCs w:val="22"/>
        </w:rPr>
        <w:t>directly for any further clarifications.</w:t>
      </w:r>
    </w:p>
    <w:p w14:paraId="02B09D63" w14:textId="52928659" w:rsidR="000000D6" w:rsidRDefault="00762379" w:rsidP="006963BA">
      <w:pPr>
        <w:pStyle w:val="NormalWeb"/>
        <w:spacing w:line="276" w:lineRule="auto"/>
        <w:rPr>
          <w:rFonts w:asciiTheme="majorHAnsi" w:hAnsiTheme="majorHAnsi"/>
          <w:sz w:val="22"/>
          <w:szCs w:val="22"/>
        </w:rPr>
      </w:pPr>
      <w:r w:rsidRPr="00CE68B4">
        <w:rPr>
          <w:rFonts w:asciiTheme="majorHAnsi" w:hAnsiTheme="majorHAnsi"/>
          <w:sz w:val="22"/>
          <w:szCs w:val="22"/>
        </w:rPr>
        <w:t xml:space="preserve">Data from the participant responses will be collected and stored in a </w:t>
      </w:r>
      <w:r w:rsidR="008E61F1">
        <w:rPr>
          <w:rFonts w:asciiTheme="majorHAnsi" w:hAnsiTheme="majorHAnsi"/>
          <w:sz w:val="22"/>
          <w:szCs w:val="22"/>
        </w:rPr>
        <w:t xml:space="preserve">secure </w:t>
      </w:r>
      <w:r w:rsidRPr="00CE68B4">
        <w:rPr>
          <w:rFonts w:asciiTheme="majorHAnsi" w:hAnsiTheme="majorHAnsi"/>
          <w:sz w:val="22"/>
          <w:szCs w:val="22"/>
        </w:rPr>
        <w:t>database maintained by C</w:t>
      </w:r>
      <w:r w:rsidR="0002246A" w:rsidRPr="00CE68B4">
        <w:rPr>
          <w:rFonts w:asciiTheme="majorHAnsi" w:hAnsiTheme="majorHAnsi"/>
          <w:sz w:val="22"/>
          <w:szCs w:val="22"/>
        </w:rPr>
        <w:t>L</w:t>
      </w:r>
      <w:r w:rsidRPr="00CE68B4">
        <w:rPr>
          <w:rFonts w:asciiTheme="majorHAnsi" w:hAnsiTheme="majorHAnsi"/>
          <w:sz w:val="22"/>
          <w:szCs w:val="22"/>
        </w:rPr>
        <w:t>S.</w:t>
      </w:r>
      <w:r w:rsidR="00AC6D86">
        <w:rPr>
          <w:rFonts w:asciiTheme="majorHAnsi" w:hAnsiTheme="majorHAnsi"/>
          <w:sz w:val="22"/>
          <w:szCs w:val="22"/>
        </w:rPr>
        <w:t xml:space="preserve"> </w:t>
      </w:r>
      <w:r w:rsidR="00AC6D86" w:rsidRPr="00402732">
        <w:rPr>
          <w:rFonts w:asciiTheme="majorHAnsi" w:hAnsiTheme="majorHAnsi"/>
          <w:sz w:val="21"/>
          <w:szCs w:val="21"/>
        </w:rPr>
        <w:t>Qualitative thematic analyses will be performed to compile responses and summarize the results.</w:t>
      </w:r>
      <w:r w:rsidR="00402732">
        <w:rPr>
          <w:rFonts w:asciiTheme="majorHAnsi" w:hAnsiTheme="majorHAnsi"/>
          <w:sz w:val="22"/>
          <w:szCs w:val="22"/>
        </w:rPr>
        <w:t xml:space="preserve"> </w:t>
      </w:r>
      <w:r w:rsidR="00BD5237" w:rsidRPr="00154AF9">
        <w:rPr>
          <w:rFonts w:asciiTheme="majorHAnsi" w:hAnsiTheme="majorHAnsi"/>
          <w:sz w:val="22"/>
        </w:rPr>
        <w:t>CLS will</w:t>
      </w:r>
      <w:r w:rsidR="00264401">
        <w:rPr>
          <w:rFonts w:asciiTheme="majorHAnsi" w:hAnsiTheme="majorHAnsi"/>
          <w:sz w:val="22"/>
        </w:rPr>
        <w:t xml:space="preserve"> </w:t>
      </w:r>
      <w:r w:rsidR="00BD5237" w:rsidRPr="00154AF9">
        <w:rPr>
          <w:rFonts w:asciiTheme="majorHAnsi" w:hAnsiTheme="majorHAnsi"/>
          <w:sz w:val="22"/>
        </w:rPr>
        <w:t xml:space="preserve">share the de-identified </w:t>
      </w:r>
      <w:r w:rsidR="00BD5237" w:rsidRPr="00545D80">
        <w:rPr>
          <w:rFonts w:asciiTheme="majorHAnsi" w:hAnsiTheme="majorHAnsi"/>
          <w:sz w:val="22"/>
          <w:szCs w:val="22"/>
        </w:rPr>
        <w:t xml:space="preserve">summary data </w:t>
      </w:r>
      <w:r w:rsidR="00BD5237" w:rsidRPr="005C2474">
        <w:rPr>
          <w:rFonts w:asciiTheme="majorHAnsi" w:hAnsiTheme="majorHAnsi"/>
          <w:sz w:val="22"/>
          <w:szCs w:val="22"/>
        </w:rPr>
        <w:t xml:space="preserve">(in a Microsoft Excel file) and a report that summarizes the results with </w:t>
      </w:r>
      <w:r w:rsidR="00040756" w:rsidRPr="005C2474">
        <w:rPr>
          <w:rFonts w:asciiTheme="majorHAnsi" w:hAnsiTheme="majorHAnsi"/>
          <w:sz w:val="22"/>
          <w:szCs w:val="22"/>
        </w:rPr>
        <w:t>E</w:t>
      </w:r>
      <w:r w:rsidR="00BD5237" w:rsidRPr="005C2474">
        <w:rPr>
          <w:rFonts w:asciiTheme="majorHAnsi" w:hAnsiTheme="majorHAnsi"/>
          <w:sz w:val="22"/>
          <w:szCs w:val="22"/>
        </w:rPr>
        <w:t>HSB for review</w:t>
      </w:r>
      <w:r w:rsidR="00040756" w:rsidRPr="005C2474">
        <w:rPr>
          <w:rFonts w:asciiTheme="majorHAnsi" w:hAnsiTheme="majorHAnsi"/>
          <w:sz w:val="22"/>
          <w:szCs w:val="22"/>
        </w:rPr>
        <w:t xml:space="preserve">. </w:t>
      </w:r>
      <w:r w:rsidR="00D57028" w:rsidRPr="005C2474">
        <w:rPr>
          <w:rFonts w:asciiTheme="majorHAnsi" w:hAnsiTheme="majorHAnsi"/>
          <w:sz w:val="22"/>
          <w:szCs w:val="22"/>
        </w:rPr>
        <w:t xml:space="preserve">CLS, in close collaboration with EHSB, will then organize the information collected into products that will describe the policy work including lessons learned, best practices, key activities, accomplishments and recommendations. These products will </w:t>
      </w:r>
      <w:r w:rsidR="009C3DB3">
        <w:rPr>
          <w:rFonts w:asciiTheme="majorHAnsi" w:hAnsiTheme="majorHAnsi"/>
          <w:sz w:val="22"/>
          <w:szCs w:val="22"/>
        </w:rPr>
        <w:t xml:space="preserve">then </w:t>
      </w:r>
      <w:r w:rsidR="00D57028" w:rsidRPr="005C2474">
        <w:rPr>
          <w:rFonts w:asciiTheme="majorHAnsi" w:hAnsiTheme="majorHAnsi"/>
          <w:sz w:val="22"/>
          <w:szCs w:val="22"/>
        </w:rPr>
        <w:t xml:space="preserve">be shared with health departments that participated in the information collection. The collection of state and local environmental health information on safe drinking water policy may ultimately form the basis for the development of “How-to” guides for STLT health departments </w:t>
      </w:r>
      <w:r w:rsidR="00C610E7" w:rsidRPr="00B554C3">
        <w:rPr>
          <w:rFonts w:asciiTheme="majorHAnsi" w:hAnsiTheme="majorHAnsi"/>
          <w:sz w:val="22"/>
        </w:rPr>
        <w:lastRenderedPageBreak/>
        <w:t>outlining examples of water projects</w:t>
      </w:r>
      <w:r w:rsidR="004104B7" w:rsidRPr="00B554C3">
        <w:rPr>
          <w:rFonts w:asciiTheme="majorHAnsi" w:hAnsiTheme="majorHAnsi"/>
          <w:sz w:val="22"/>
        </w:rPr>
        <w:t xml:space="preserve">, </w:t>
      </w:r>
      <w:r w:rsidR="004104B7" w:rsidRPr="00B554C3">
        <w:rPr>
          <w:rFonts w:asciiTheme="majorHAnsi" w:hAnsiTheme="majorHAnsi"/>
          <w:bCs/>
          <w:sz w:val="22"/>
          <w:szCs w:val="22"/>
        </w:rPr>
        <w:t>focusing on federally unregulated drinking</w:t>
      </w:r>
      <w:r w:rsidR="004104B7" w:rsidRPr="00B554C3">
        <w:rPr>
          <w:rFonts w:asciiTheme="majorHAnsi" w:hAnsiTheme="majorHAnsi"/>
          <w:sz w:val="22"/>
          <w:szCs w:val="22"/>
        </w:rPr>
        <w:t xml:space="preserve"> </w:t>
      </w:r>
      <w:r w:rsidR="004104B7" w:rsidRPr="00B554C3">
        <w:rPr>
          <w:rFonts w:asciiTheme="majorHAnsi" w:hAnsiTheme="majorHAnsi"/>
          <w:bCs/>
          <w:sz w:val="22"/>
          <w:szCs w:val="22"/>
        </w:rPr>
        <w:t>water sources</w:t>
      </w:r>
      <w:r w:rsidR="004104B7" w:rsidRPr="00B554C3">
        <w:rPr>
          <w:rFonts w:asciiTheme="majorHAnsi" w:hAnsiTheme="majorHAnsi"/>
          <w:bCs/>
        </w:rPr>
        <w:t>,</w:t>
      </w:r>
      <w:r w:rsidR="00C610E7" w:rsidRPr="00B554C3">
        <w:rPr>
          <w:rFonts w:asciiTheme="majorHAnsi" w:hAnsiTheme="majorHAnsi"/>
          <w:sz w:val="22"/>
        </w:rPr>
        <w:t xml:space="preserve"> and their relationship to policy.</w:t>
      </w:r>
    </w:p>
    <w:p w14:paraId="1CFF877D" w14:textId="77777777" w:rsidR="00402732" w:rsidRDefault="00402732" w:rsidP="006963BA">
      <w:pPr>
        <w:pStyle w:val="NormalWeb"/>
        <w:spacing w:line="276" w:lineRule="auto"/>
        <w:rPr>
          <w:rFonts w:asciiTheme="majorHAnsi" w:hAnsiTheme="majorHAnsi"/>
          <w:sz w:val="22"/>
          <w:szCs w:val="22"/>
        </w:rPr>
      </w:pPr>
      <w:bookmarkStart w:id="1" w:name="_GoBack"/>
      <w:bookmarkEnd w:id="1"/>
    </w:p>
    <w:p w14:paraId="5A38E450" w14:textId="77777777" w:rsidR="004104B7" w:rsidRPr="005C2474" w:rsidRDefault="004104B7" w:rsidP="006963BA">
      <w:pPr>
        <w:pStyle w:val="NormalWeb"/>
        <w:spacing w:line="276" w:lineRule="auto"/>
        <w:rPr>
          <w:rFonts w:asciiTheme="majorHAnsi" w:hAnsiTheme="majorHAnsi"/>
          <w:sz w:val="22"/>
          <w:szCs w:val="22"/>
        </w:rPr>
      </w:pPr>
    </w:p>
    <w:p w14:paraId="305B622D" w14:textId="77777777" w:rsidR="00762379" w:rsidRPr="00CE68B4" w:rsidRDefault="00762379" w:rsidP="006963BA">
      <w:pPr>
        <w:pStyle w:val="NormalWeb"/>
        <w:numPr>
          <w:ilvl w:val="0"/>
          <w:numId w:val="2"/>
        </w:numPr>
        <w:spacing w:line="276" w:lineRule="auto"/>
        <w:ind w:left="360"/>
        <w:rPr>
          <w:rFonts w:asciiTheme="majorHAnsi" w:hAnsiTheme="majorHAnsi"/>
          <w:b/>
          <w:sz w:val="22"/>
          <w:szCs w:val="22"/>
        </w:rPr>
      </w:pPr>
      <w:r w:rsidRPr="00CE68B4">
        <w:rPr>
          <w:rFonts w:asciiTheme="majorHAnsi" w:hAnsiTheme="majorHAnsi"/>
          <w:b/>
          <w:sz w:val="22"/>
          <w:szCs w:val="22"/>
        </w:rPr>
        <w:t>Methods to Maximize Response</w:t>
      </w:r>
      <w:r w:rsidR="0003188F" w:rsidRPr="00CE68B4">
        <w:rPr>
          <w:rFonts w:asciiTheme="majorHAnsi" w:hAnsiTheme="majorHAnsi"/>
          <w:b/>
          <w:sz w:val="22"/>
          <w:szCs w:val="22"/>
        </w:rPr>
        <w:t xml:space="preserve"> Rates to Deal with Nonresponse</w:t>
      </w:r>
    </w:p>
    <w:p w14:paraId="73CF03C1" w14:textId="2563907E" w:rsidR="00362E63" w:rsidRDefault="006E73B9" w:rsidP="00387808">
      <w:pPr>
        <w:rPr>
          <w:rFonts w:asciiTheme="majorHAnsi" w:hAnsiTheme="majorHAnsi" w:cs="Arial"/>
        </w:rPr>
      </w:pPr>
      <w:r w:rsidRPr="00380A8C">
        <w:rPr>
          <w:rFonts w:asciiTheme="majorHAnsi" w:hAnsiTheme="majorHAnsi" w:cs="Arial"/>
        </w:rPr>
        <w:t xml:space="preserve">Although participation in the assessment is voluntary, every effort will be made to maximize the rate of response. </w:t>
      </w:r>
      <w:r w:rsidR="00362E63" w:rsidRPr="00380A8C">
        <w:rPr>
          <w:rFonts w:asciiTheme="majorHAnsi" w:hAnsiTheme="majorHAnsi" w:cs="Arial"/>
        </w:rPr>
        <w:t>In-person interviews allow the collection of rich qualitative data that would not be obtained through an online or telephone assessment.</w:t>
      </w:r>
      <w:r w:rsidR="00A83569">
        <w:rPr>
          <w:rFonts w:asciiTheme="majorHAnsi" w:hAnsiTheme="majorHAnsi" w:cs="Arial"/>
        </w:rPr>
        <w:t xml:space="preserve"> </w:t>
      </w:r>
    </w:p>
    <w:p w14:paraId="55EE92B9" w14:textId="77AAF6C8" w:rsidR="004E5F8F" w:rsidRPr="00387808" w:rsidRDefault="004E5F8F" w:rsidP="00387808">
      <w:pPr>
        <w:rPr>
          <w:rFonts w:asciiTheme="majorHAnsi" w:hAnsiTheme="majorHAnsi"/>
        </w:rPr>
      </w:pPr>
      <w:r w:rsidRPr="00154AF9">
        <w:rPr>
          <w:rFonts w:asciiTheme="majorHAnsi" w:hAnsiTheme="majorHAnsi"/>
        </w:rPr>
        <w:lastRenderedPageBreak/>
        <w:t>We anticipate a response rate of 100%. Should any of the EH practitioners decline or are not available, CLS will request that t</w:t>
      </w:r>
      <w:r w:rsidRPr="00BB4E7D">
        <w:rPr>
          <w:rFonts w:asciiTheme="majorHAnsi" w:hAnsiTheme="majorHAnsi"/>
        </w:rPr>
        <w:t>he EH Director to nominate</w:t>
      </w:r>
      <w:r w:rsidRPr="00154AF9">
        <w:rPr>
          <w:rFonts w:asciiTheme="majorHAnsi" w:hAnsiTheme="majorHAnsi"/>
        </w:rPr>
        <w:t xml:space="preserve"> other safe drinking water program staff members who played an ess</w:t>
      </w:r>
      <w:r w:rsidRPr="00387808">
        <w:rPr>
          <w:rFonts w:asciiTheme="majorHAnsi" w:hAnsiTheme="majorHAnsi"/>
        </w:rPr>
        <w:t>ential role in the drinking water projects.</w:t>
      </w:r>
    </w:p>
    <w:p w14:paraId="4C927F69" w14:textId="256EAE1A" w:rsidR="000000D6" w:rsidRDefault="004E5F8F">
      <w:pPr>
        <w:pStyle w:val="NormalWeb"/>
        <w:spacing w:line="276" w:lineRule="auto"/>
        <w:rPr>
          <w:rFonts w:asciiTheme="majorHAnsi" w:hAnsiTheme="majorHAnsi"/>
          <w:sz w:val="22"/>
          <w:szCs w:val="22"/>
        </w:rPr>
      </w:pPr>
      <w:r w:rsidRPr="00664D24">
        <w:rPr>
          <w:rFonts w:asciiTheme="majorHAnsi" w:hAnsiTheme="majorHAnsi"/>
          <w:sz w:val="22"/>
          <w:szCs w:val="22"/>
        </w:rPr>
        <w:t>Following the invitation e-mail, the EH Directors and practitioners will have 2 weeks to schedule their in-person interview place, date and time (</w:t>
      </w:r>
      <w:r w:rsidRPr="00BA5ABC">
        <w:rPr>
          <w:rFonts w:asciiTheme="majorHAnsi" w:hAnsiTheme="majorHAnsi"/>
          <w:sz w:val="22"/>
          <w:szCs w:val="22"/>
        </w:rPr>
        <w:t>see</w:t>
      </w:r>
      <w:r w:rsidRPr="00664D24">
        <w:rPr>
          <w:rFonts w:asciiTheme="majorHAnsi" w:hAnsiTheme="majorHAnsi"/>
          <w:b/>
          <w:sz w:val="22"/>
          <w:szCs w:val="22"/>
        </w:rPr>
        <w:t xml:space="preserve"> Attachment D: Scheduling the In-Person Interview Email</w:t>
      </w:r>
      <w:r w:rsidRPr="00664D24">
        <w:rPr>
          <w:rFonts w:asciiTheme="majorHAnsi" w:hAnsiTheme="majorHAnsi"/>
          <w:sz w:val="22"/>
          <w:szCs w:val="22"/>
        </w:rPr>
        <w:t xml:space="preserve">). </w:t>
      </w:r>
      <w:r w:rsidRPr="00154AF9">
        <w:rPr>
          <w:rFonts w:asciiTheme="majorHAnsi" w:hAnsiTheme="majorHAnsi" w:cs="Arial"/>
          <w:sz w:val="22"/>
          <w:szCs w:val="22"/>
        </w:rPr>
        <w:t xml:space="preserve">Those who do not respond within that 2-week timeframe </w:t>
      </w:r>
      <w:r w:rsidRPr="00664D24">
        <w:rPr>
          <w:rFonts w:asciiTheme="majorHAnsi" w:hAnsiTheme="majorHAnsi"/>
          <w:sz w:val="22"/>
          <w:szCs w:val="22"/>
        </w:rPr>
        <w:t xml:space="preserve">will receive a telephone call from CLS staff to </w:t>
      </w:r>
      <w:r w:rsidR="00F3140D">
        <w:rPr>
          <w:rFonts w:asciiTheme="majorHAnsi" w:hAnsiTheme="majorHAnsi"/>
          <w:sz w:val="22"/>
          <w:szCs w:val="22"/>
        </w:rPr>
        <w:t>encourage participation</w:t>
      </w:r>
      <w:r w:rsidRPr="00664D24">
        <w:rPr>
          <w:rFonts w:asciiTheme="majorHAnsi" w:hAnsiTheme="majorHAnsi"/>
          <w:sz w:val="22"/>
          <w:szCs w:val="22"/>
        </w:rPr>
        <w:t xml:space="preserve">. Once the interviews are scheduled, participants will receive a confirmation email (see </w:t>
      </w:r>
      <w:r w:rsidRPr="00664D24">
        <w:rPr>
          <w:rFonts w:asciiTheme="majorHAnsi" w:hAnsiTheme="majorHAnsi"/>
          <w:b/>
          <w:sz w:val="22"/>
          <w:szCs w:val="22"/>
        </w:rPr>
        <w:t>Attachment E: Confirmation Email</w:t>
      </w:r>
      <w:r w:rsidRPr="00664D24">
        <w:rPr>
          <w:rFonts w:asciiTheme="majorHAnsi" w:hAnsiTheme="majorHAnsi"/>
          <w:sz w:val="22"/>
          <w:szCs w:val="22"/>
        </w:rPr>
        <w:t>) containing the details of their interview date, time, and location</w:t>
      </w:r>
      <w:r w:rsidRPr="00664D24">
        <w:rPr>
          <w:rFonts w:asciiTheme="majorHAnsi" w:hAnsiTheme="majorHAnsi"/>
          <w:b/>
          <w:sz w:val="22"/>
          <w:szCs w:val="22"/>
        </w:rPr>
        <w:t xml:space="preserve">.  </w:t>
      </w:r>
      <w:r w:rsidRPr="00664D24">
        <w:rPr>
          <w:rFonts w:asciiTheme="majorHAnsi" w:hAnsiTheme="majorHAnsi"/>
          <w:sz w:val="22"/>
          <w:szCs w:val="22"/>
        </w:rPr>
        <w:t>As a courtesy, participants will also receive a reminder email</w:t>
      </w:r>
      <w:r w:rsidRPr="00664D24">
        <w:rPr>
          <w:rFonts w:asciiTheme="majorHAnsi" w:hAnsiTheme="majorHAnsi"/>
          <w:b/>
          <w:sz w:val="22"/>
          <w:szCs w:val="22"/>
        </w:rPr>
        <w:t xml:space="preserve"> </w:t>
      </w:r>
      <w:r w:rsidRPr="00664D24">
        <w:rPr>
          <w:rFonts w:asciiTheme="majorHAnsi" w:hAnsiTheme="majorHAnsi"/>
          <w:sz w:val="22"/>
          <w:szCs w:val="22"/>
        </w:rPr>
        <w:t xml:space="preserve">(see </w:t>
      </w:r>
      <w:r w:rsidRPr="00664D24">
        <w:rPr>
          <w:rFonts w:asciiTheme="majorHAnsi" w:hAnsiTheme="majorHAnsi"/>
          <w:b/>
          <w:sz w:val="22"/>
          <w:szCs w:val="22"/>
        </w:rPr>
        <w:t>Attachment F: Reminder Email</w:t>
      </w:r>
      <w:r w:rsidRPr="00664D24">
        <w:rPr>
          <w:rFonts w:asciiTheme="majorHAnsi" w:hAnsiTheme="majorHAnsi"/>
          <w:sz w:val="22"/>
          <w:szCs w:val="22"/>
        </w:rPr>
        <w:t xml:space="preserve">) 2 weeks or, at a minimum, 1 week prior to their scheduled interview date. This e-mail will also state that at the completion of the interview, CLS staff may contact respondents directly for any further clarifications. </w:t>
      </w:r>
    </w:p>
    <w:p w14:paraId="15F88372" w14:textId="77777777" w:rsidR="000000D6" w:rsidRDefault="000000D6">
      <w:pPr>
        <w:pStyle w:val="NormalWeb"/>
        <w:spacing w:line="276" w:lineRule="auto"/>
        <w:rPr>
          <w:rFonts w:asciiTheme="majorHAnsi" w:hAnsiTheme="majorHAnsi"/>
          <w:sz w:val="22"/>
          <w:szCs w:val="22"/>
        </w:rPr>
      </w:pPr>
    </w:p>
    <w:p w14:paraId="305B622F" w14:textId="77777777" w:rsidR="00762379" w:rsidRPr="00CE68B4" w:rsidRDefault="00762379" w:rsidP="006963BA">
      <w:pPr>
        <w:pStyle w:val="NormalWeb"/>
        <w:numPr>
          <w:ilvl w:val="0"/>
          <w:numId w:val="2"/>
        </w:numPr>
        <w:spacing w:line="276" w:lineRule="auto"/>
        <w:ind w:left="360"/>
        <w:rPr>
          <w:rFonts w:asciiTheme="majorHAnsi" w:hAnsiTheme="majorHAnsi"/>
          <w:b/>
          <w:sz w:val="22"/>
          <w:szCs w:val="22"/>
        </w:rPr>
      </w:pPr>
      <w:r w:rsidRPr="00CE68B4">
        <w:rPr>
          <w:rFonts w:asciiTheme="majorHAnsi" w:hAnsiTheme="majorHAnsi"/>
          <w:b/>
          <w:sz w:val="22"/>
          <w:szCs w:val="22"/>
        </w:rPr>
        <w:t>Test of Procedu</w:t>
      </w:r>
      <w:r w:rsidR="00671EF0" w:rsidRPr="00CE68B4">
        <w:rPr>
          <w:rFonts w:asciiTheme="majorHAnsi" w:hAnsiTheme="majorHAnsi"/>
          <w:b/>
          <w:sz w:val="22"/>
          <w:szCs w:val="22"/>
        </w:rPr>
        <w:t>res or Methods to be Undertaken</w:t>
      </w:r>
    </w:p>
    <w:p w14:paraId="2B2EAB93" w14:textId="10513204" w:rsidR="000000D6" w:rsidRDefault="007D0DD8">
      <w:pPr>
        <w:pStyle w:val="NormalWeb"/>
        <w:spacing w:line="276" w:lineRule="auto"/>
        <w:rPr>
          <w:rFonts w:asciiTheme="majorHAnsi" w:hAnsiTheme="majorHAnsi"/>
          <w:sz w:val="22"/>
          <w:szCs w:val="22"/>
        </w:rPr>
      </w:pPr>
      <w:r w:rsidRPr="00387808">
        <w:rPr>
          <w:rFonts w:asciiTheme="majorHAnsi" w:hAnsiTheme="majorHAnsi"/>
          <w:sz w:val="22"/>
          <w:szCs w:val="22"/>
        </w:rPr>
        <w:t xml:space="preserve">The estimate for burden hours is based on pilot tests of the </w:t>
      </w:r>
      <w:r w:rsidR="00FA5788" w:rsidRPr="00387808">
        <w:rPr>
          <w:rFonts w:asciiTheme="majorHAnsi" w:hAnsiTheme="majorHAnsi"/>
          <w:sz w:val="22"/>
          <w:szCs w:val="22"/>
        </w:rPr>
        <w:t>interview guide</w:t>
      </w:r>
      <w:r w:rsidR="00424C67" w:rsidRPr="00387808">
        <w:rPr>
          <w:rFonts w:asciiTheme="majorHAnsi" w:hAnsiTheme="majorHAnsi"/>
          <w:sz w:val="22"/>
          <w:szCs w:val="22"/>
        </w:rPr>
        <w:t xml:space="preserve"> </w:t>
      </w:r>
      <w:r w:rsidR="00FA5788" w:rsidRPr="00387808">
        <w:rPr>
          <w:rFonts w:asciiTheme="majorHAnsi" w:hAnsiTheme="majorHAnsi"/>
          <w:sz w:val="22"/>
          <w:szCs w:val="22"/>
        </w:rPr>
        <w:t>of 3 public health professionals</w:t>
      </w:r>
      <w:r w:rsidR="007C75C2">
        <w:rPr>
          <w:rFonts w:asciiTheme="majorHAnsi" w:hAnsiTheme="majorHAnsi"/>
          <w:sz w:val="22"/>
          <w:szCs w:val="22"/>
        </w:rPr>
        <w:t>,</w:t>
      </w:r>
      <w:r w:rsidR="00FA5788" w:rsidRPr="00387808">
        <w:rPr>
          <w:rFonts w:asciiTheme="majorHAnsi" w:hAnsiTheme="majorHAnsi"/>
          <w:sz w:val="22"/>
          <w:szCs w:val="22"/>
        </w:rPr>
        <w:t xml:space="preserve"> including 2 </w:t>
      </w:r>
      <w:r w:rsidR="00D57028">
        <w:rPr>
          <w:rFonts w:asciiTheme="majorHAnsi" w:hAnsiTheme="majorHAnsi"/>
          <w:sz w:val="22"/>
          <w:szCs w:val="22"/>
        </w:rPr>
        <w:t>EH</w:t>
      </w:r>
      <w:r w:rsidR="00FA5788" w:rsidRPr="00387808">
        <w:rPr>
          <w:rFonts w:asciiTheme="majorHAnsi" w:hAnsiTheme="majorHAnsi"/>
          <w:sz w:val="22"/>
          <w:szCs w:val="22"/>
        </w:rPr>
        <w:t xml:space="preserve"> practitioners</w:t>
      </w:r>
      <w:r w:rsidRPr="00387808">
        <w:rPr>
          <w:rFonts w:asciiTheme="majorHAnsi" w:hAnsiTheme="majorHAnsi"/>
          <w:sz w:val="22"/>
          <w:szCs w:val="22"/>
        </w:rPr>
        <w:t xml:space="preserve"> from the Cerro Gordo County Department of Public Health, Iowa</w:t>
      </w:r>
      <w:r w:rsidR="00CE68B4" w:rsidRPr="00387808">
        <w:rPr>
          <w:rFonts w:asciiTheme="majorHAnsi" w:hAnsiTheme="majorHAnsi"/>
          <w:sz w:val="22"/>
          <w:szCs w:val="22"/>
        </w:rPr>
        <w:t xml:space="preserve"> and </w:t>
      </w:r>
      <w:r w:rsidR="00FA5788" w:rsidRPr="00387808">
        <w:rPr>
          <w:rFonts w:asciiTheme="majorHAnsi" w:hAnsiTheme="majorHAnsi"/>
          <w:sz w:val="22"/>
          <w:szCs w:val="22"/>
        </w:rPr>
        <w:t>1</w:t>
      </w:r>
      <w:r w:rsidRPr="00387808">
        <w:rPr>
          <w:rFonts w:asciiTheme="majorHAnsi" w:hAnsiTheme="majorHAnsi"/>
          <w:sz w:val="22"/>
          <w:szCs w:val="22"/>
        </w:rPr>
        <w:t xml:space="preserve"> CLS staffer</w:t>
      </w:r>
      <w:r w:rsidR="00FA5788" w:rsidRPr="00387808">
        <w:rPr>
          <w:rFonts w:asciiTheme="majorHAnsi" w:hAnsiTheme="majorHAnsi"/>
          <w:sz w:val="22"/>
          <w:szCs w:val="22"/>
        </w:rPr>
        <w:t>.</w:t>
      </w:r>
      <w:r w:rsidRPr="00387808">
        <w:rPr>
          <w:rFonts w:asciiTheme="majorHAnsi" w:hAnsiTheme="majorHAnsi"/>
          <w:sz w:val="22"/>
          <w:szCs w:val="22"/>
        </w:rPr>
        <w:t xml:space="preserve"> The average time to complete the </w:t>
      </w:r>
      <w:r w:rsidR="00FA5788" w:rsidRPr="00387808">
        <w:rPr>
          <w:rFonts w:asciiTheme="majorHAnsi" w:hAnsiTheme="majorHAnsi"/>
          <w:sz w:val="22"/>
          <w:szCs w:val="22"/>
        </w:rPr>
        <w:t>interview</w:t>
      </w:r>
      <w:r w:rsidRPr="00387808">
        <w:rPr>
          <w:rFonts w:asciiTheme="majorHAnsi" w:hAnsiTheme="majorHAnsi"/>
          <w:sz w:val="22"/>
          <w:szCs w:val="22"/>
        </w:rPr>
        <w:t>, including time for reviewing instructions, was approximately 60 minutes</w:t>
      </w:r>
      <w:r w:rsidR="00545D80">
        <w:rPr>
          <w:rFonts w:asciiTheme="majorHAnsi" w:hAnsiTheme="majorHAnsi"/>
          <w:sz w:val="22"/>
          <w:szCs w:val="22"/>
        </w:rPr>
        <w:t xml:space="preserve"> (range: </w:t>
      </w:r>
      <w:r w:rsidRPr="00387808">
        <w:rPr>
          <w:rFonts w:asciiTheme="majorHAnsi" w:hAnsiTheme="majorHAnsi"/>
          <w:sz w:val="22"/>
          <w:szCs w:val="22"/>
        </w:rPr>
        <w:t>45 to 75 minutes</w:t>
      </w:r>
      <w:r w:rsidR="00545D80">
        <w:rPr>
          <w:rFonts w:asciiTheme="majorHAnsi" w:hAnsiTheme="majorHAnsi"/>
          <w:sz w:val="22"/>
          <w:szCs w:val="22"/>
        </w:rPr>
        <w:t>)</w:t>
      </w:r>
      <w:r w:rsidRPr="00387808">
        <w:rPr>
          <w:rFonts w:asciiTheme="majorHAnsi" w:hAnsiTheme="majorHAnsi"/>
          <w:sz w:val="22"/>
          <w:szCs w:val="22"/>
        </w:rPr>
        <w:t xml:space="preserve">. For the purposes of estimating burden hours, the </w:t>
      </w:r>
      <w:r w:rsidR="00FA5788" w:rsidRPr="00387808">
        <w:rPr>
          <w:rFonts w:asciiTheme="majorHAnsi" w:hAnsiTheme="majorHAnsi"/>
          <w:sz w:val="22"/>
          <w:szCs w:val="22"/>
        </w:rPr>
        <w:t>upper limit of this range</w:t>
      </w:r>
      <w:r w:rsidRPr="00387808">
        <w:rPr>
          <w:rFonts w:asciiTheme="majorHAnsi" w:hAnsiTheme="majorHAnsi"/>
          <w:sz w:val="22"/>
          <w:szCs w:val="22"/>
        </w:rPr>
        <w:t xml:space="preserve"> (i.e., </w:t>
      </w:r>
      <w:r w:rsidR="00FA5788" w:rsidRPr="00387808">
        <w:rPr>
          <w:rFonts w:asciiTheme="majorHAnsi" w:hAnsiTheme="majorHAnsi"/>
          <w:sz w:val="22"/>
          <w:szCs w:val="22"/>
        </w:rPr>
        <w:t>75</w:t>
      </w:r>
      <w:r w:rsidRPr="00387808">
        <w:rPr>
          <w:rFonts w:asciiTheme="majorHAnsi" w:hAnsiTheme="majorHAnsi"/>
          <w:sz w:val="22"/>
          <w:szCs w:val="22"/>
        </w:rPr>
        <w:t xml:space="preserve"> minutes) is used</w:t>
      </w:r>
      <w:r w:rsidR="000000D6">
        <w:rPr>
          <w:rFonts w:asciiTheme="majorHAnsi" w:hAnsiTheme="majorHAnsi"/>
          <w:sz w:val="22"/>
          <w:szCs w:val="22"/>
        </w:rPr>
        <w:t>.</w:t>
      </w:r>
    </w:p>
    <w:p w14:paraId="666A1FC2" w14:textId="77777777" w:rsidR="000000D6" w:rsidRPr="000000D6" w:rsidRDefault="000000D6">
      <w:pPr>
        <w:pStyle w:val="NormalWeb"/>
        <w:spacing w:line="276" w:lineRule="auto"/>
        <w:rPr>
          <w:rFonts w:asciiTheme="majorHAnsi" w:hAnsiTheme="majorHAnsi"/>
          <w:sz w:val="12"/>
          <w:szCs w:val="22"/>
        </w:rPr>
      </w:pPr>
    </w:p>
    <w:p w14:paraId="305B6231" w14:textId="77777777" w:rsidR="00762379" w:rsidRPr="00CE68B4" w:rsidRDefault="00762379" w:rsidP="00224CF3">
      <w:pPr>
        <w:pStyle w:val="NormalWeb"/>
        <w:numPr>
          <w:ilvl w:val="0"/>
          <w:numId w:val="2"/>
        </w:numPr>
        <w:ind w:left="360"/>
        <w:rPr>
          <w:rFonts w:asciiTheme="majorHAnsi" w:hAnsiTheme="majorHAnsi"/>
          <w:b/>
          <w:sz w:val="22"/>
          <w:szCs w:val="22"/>
        </w:rPr>
      </w:pPr>
      <w:r w:rsidRPr="00CE68B4">
        <w:rPr>
          <w:rFonts w:asciiTheme="majorHAnsi" w:hAnsiTheme="majorHAnsi"/>
          <w:b/>
          <w:sz w:val="22"/>
          <w:szCs w:val="22"/>
        </w:rPr>
        <w:t>Individuals Consulted on Statistical Aspects and Individuals Collect</w:t>
      </w:r>
      <w:r w:rsidR="00224CF3" w:rsidRPr="00CE68B4">
        <w:rPr>
          <w:rFonts w:asciiTheme="majorHAnsi" w:hAnsiTheme="majorHAnsi"/>
          <w:b/>
          <w:sz w:val="22"/>
          <w:szCs w:val="22"/>
        </w:rPr>
        <w:t>ing and/or Analyzing Data</w:t>
      </w:r>
    </w:p>
    <w:p w14:paraId="305B6232" w14:textId="77777777" w:rsidR="00D352D0" w:rsidRPr="00D352D0" w:rsidRDefault="00D352D0" w:rsidP="00D352D0">
      <w:pPr>
        <w:pStyle w:val="NormalWeb"/>
        <w:spacing w:before="0" w:beforeAutospacing="0" w:after="0" w:afterAutospacing="0"/>
        <w:rPr>
          <w:rFonts w:asciiTheme="majorHAnsi" w:hAnsiTheme="majorHAnsi"/>
          <w:sz w:val="22"/>
          <w:szCs w:val="22"/>
        </w:rPr>
      </w:pPr>
      <w:r w:rsidRPr="00D352D0">
        <w:rPr>
          <w:rFonts w:asciiTheme="majorHAnsi" w:hAnsiTheme="majorHAnsi"/>
          <w:sz w:val="22"/>
          <w:szCs w:val="22"/>
        </w:rPr>
        <w:lastRenderedPageBreak/>
        <w:t>Marice Ashe, JD, MPH</w:t>
      </w:r>
    </w:p>
    <w:p w14:paraId="305B6233" w14:textId="77777777" w:rsidR="00D352D0" w:rsidRPr="00D352D0" w:rsidRDefault="00D352D0" w:rsidP="00D352D0">
      <w:pPr>
        <w:pStyle w:val="NormalWeb"/>
        <w:spacing w:before="0" w:beforeAutospacing="0" w:after="0" w:afterAutospacing="0"/>
        <w:rPr>
          <w:rFonts w:asciiTheme="majorHAnsi" w:hAnsiTheme="majorHAnsi"/>
          <w:sz w:val="22"/>
          <w:szCs w:val="22"/>
        </w:rPr>
      </w:pPr>
      <w:r w:rsidRPr="00D352D0">
        <w:rPr>
          <w:rFonts w:asciiTheme="majorHAnsi" w:hAnsiTheme="majorHAnsi"/>
          <w:sz w:val="22"/>
          <w:szCs w:val="22"/>
        </w:rPr>
        <w:t>Founder and CEO</w:t>
      </w:r>
    </w:p>
    <w:p w14:paraId="305B6234" w14:textId="77777777" w:rsidR="00D352D0" w:rsidRDefault="00D352D0" w:rsidP="00D352D0">
      <w:pPr>
        <w:pStyle w:val="NormalWeb"/>
        <w:spacing w:before="0" w:beforeAutospacing="0" w:after="0" w:afterAutospacing="0"/>
        <w:rPr>
          <w:rFonts w:asciiTheme="majorHAnsi" w:hAnsiTheme="majorHAnsi"/>
          <w:sz w:val="22"/>
          <w:szCs w:val="22"/>
        </w:rPr>
      </w:pPr>
      <w:r w:rsidRPr="00D352D0">
        <w:rPr>
          <w:rFonts w:asciiTheme="majorHAnsi" w:hAnsiTheme="majorHAnsi"/>
          <w:sz w:val="22"/>
          <w:szCs w:val="22"/>
        </w:rPr>
        <w:t>ChangeLab Solutions</w:t>
      </w:r>
      <w:r>
        <w:rPr>
          <w:rFonts w:asciiTheme="majorHAnsi" w:hAnsiTheme="majorHAnsi"/>
          <w:sz w:val="22"/>
          <w:szCs w:val="22"/>
        </w:rPr>
        <w:t xml:space="preserve"> (CLS)</w:t>
      </w:r>
    </w:p>
    <w:p w14:paraId="305B6235" w14:textId="77777777" w:rsidR="00D352D0" w:rsidRDefault="00D352D0" w:rsidP="00D352D0">
      <w:pPr>
        <w:pStyle w:val="NormalWeb"/>
        <w:spacing w:before="0" w:beforeAutospacing="0" w:after="0" w:afterAutospacing="0"/>
        <w:rPr>
          <w:rFonts w:asciiTheme="majorHAnsi" w:hAnsiTheme="majorHAnsi"/>
          <w:sz w:val="22"/>
          <w:szCs w:val="22"/>
        </w:rPr>
      </w:pPr>
      <w:r>
        <w:rPr>
          <w:rFonts w:asciiTheme="majorHAnsi" w:hAnsiTheme="majorHAnsi"/>
          <w:sz w:val="22"/>
          <w:szCs w:val="22"/>
        </w:rPr>
        <w:t>510-302-3380</w:t>
      </w:r>
    </w:p>
    <w:p w14:paraId="305B6236" w14:textId="77777777" w:rsidR="008169F1" w:rsidRDefault="00B554C3" w:rsidP="00D352D0">
      <w:pPr>
        <w:pStyle w:val="NormalWeb"/>
        <w:spacing w:before="0" w:beforeAutospacing="0" w:after="0" w:afterAutospacing="0"/>
        <w:rPr>
          <w:rFonts w:asciiTheme="majorHAnsi" w:hAnsiTheme="majorHAnsi"/>
          <w:sz w:val="22"/>
          <w:szCs w:val="22"/>
        </w:rPr>
      </w:pPr>
      <w:hyperlink r:id="rId14" w:history="1">
        <w:r w:rsidR="008169F1" w:rsidRPr="00771A41">
          <w:rPr>
            <w:rStyle w:val="Hyperlink"/>
            <w:rFonts w:asciiTheme="majorHAnsi" w:hAnsiTheme="majorHAnsi"/>
            <w:sz w:val="22"/>
            <w:szCs w:val="22"/>
          </w:rPr>
          <w:t>mashe@changelabsolutions.org</w:t>
        </w:r>
      </w:hyperlink>
    </w:p>
    <w:p w14:paraId="305B6237" w14:textId="77777777" w:rsidR="008169F1" w:rsidRDefault="008169F1" w:rsidP="00224CF3">
      <w:pPr>
        <w:pStyle w:val="NormalWeb"/>
        <w:spacing w:before="0" w:beforeAutospacing="0" w:after="0" w:afterAutospacing="0"/>
        <w:rPr>
          <w:rFonts w:asciiTheme="majorHAnsi" w:hAnsiTheme="majorHAnsi"/>
          <w:sz w:val="22"/>
          <w:szCs w:val="22"/>
        </w:rPr>
      </w:pPr>
    </w:p>
    <w:p w14:paraId="305B6238" w14:textId="77777777" w:rsidR="00224CF3" w:rsidRPr="00CE68B4" w:rsidRDefault="00224CF3" w:rsidP="00224CF3">
      <w:pPr>
        <w:pStyle w:val="NormalWeb"/>
        <w:spacing w:before="0" w:beforeAutospacing="0" w:after="0" w:afterAutospacing="0"/>
        <w:rPr>
          <w:rFonts w:asciiTheme="majorHAnsi" w:hAnsiTheme="majorHAnsi"/>
          <w:sz w:val="22"/>
          <w:szCs w:val="22"/>
        </w:rPr>
      </w:pPr>
      <w:r w:rsidRPr="00CE68B4">
        <w:rPr>
          <w:rFonts w:asciiTheme="majorHAnsi" w:hAnsiTheme="majorHAnsi"/>
          <w:sz w:val="22"/>
          <w:szCs w:val="22"/>
        </w:rPr>
        <w:t>Ian McLaughlin</w:t>
      </w:r>
    </w:p>
    <w:p w14:paraId="305B6239" w14:textId="77777777" w:rsidR="00224CF3" w:rsidRPr="00CE68B4" w:rsidRDefault="00771577" w:rsidP="00224CF3">
      <w:pPr>
        <w:pStyle w:val="NormalWeb"/>
        <w:spacing w:before="0" w:beforeAutospacing="0" w:after="0" w:afterAutospacing="0"/>
        <w:rPr>
          <w:rFonts w:asciiTheme="majorHAnsi" w:hAnsiTheme="majorHAnsi"/>
          <w:sz w:val="22"/>
          <w:szCs w:val="22"/>
        </w:rPr>
      </w:pPr>
      <w:r w:rsidRPr="00771577">
        <w:rPr>
          <w:rFonts w:asciiTheme="majorHAnsi" w:hAnsiTheme="majorHAnsi"/>
          <w:sz w:val="22"/>
          <w:szCs w:val="22"/>
        </w:rPr>
        <w:t>Senior Staff Attorney and Program Director</w:t>
      </w:r>
      <w:r>
        <w:rPr>
          <w:rFonts w:asciiTheme="majorHAnsi" w:hAnsiTheme="majorHAnsi"/>
          <w:sz w:val="22"/>
          <w:szCs w:val="22"/>
        </w:rPr>
        <w:t>,</w:t>
      </w:r>
      <w:r w:rsidRPr="00771577">
        <w:rPr>
          <w:rFonts w:asciiTheme="majorHAnsi" w:hAnsiTheme="majorHAnsi"/>
          <w:sz w:val="22"/>
          <w:szCs w:val="22"/>
        </w:rPr>
        <w:t xml:space="preserve"> </w:t>
      </w:r>
      <w:r w:rsidR="00224CF3" w:rsidRPr="00CE68B4">
        <w:rPr>
          <w:rFonts w:asciiTheme="majorHAnsi" w:hAnsiTheme="majorHAnsi"/>
          <w:sz w:val="22"/>
          <w:szCs w:val="22"/>
        </w:rPr>
        <w:t>CLS</w:t>
      </w:r>
    </w:p>
    <w:p w14:paraId="305B623A" w14:textId="77777777" w:rsidR="00224CF3" w:rsidRPr="00CE68B4" w:rsidRDefault="00224CF3" w:rsidP="00224CF3">
      <w:pPr>
        <w:pStyle w:val="NormalWeb"/>
        <w:spacing w:before="0" w:beforeAutospacing="0" w:after="0" w:afterAutospacing="0"/>
        <w:rPr>
          <w:rFonts w:asciiTheme="majorHAnsi" w:hAnsiTheme="majorHAnsi"/>
          <w:sz w:val="22"/>
          <w:szCs w:val="22"/>
        </w:rPr>
      </w:pPr>
      <w:r w:rsidRPr="00CE68B4">
        <w:rPr>
          <w:rFonts w:asciiTheme="majorHAnsi" w:hAnsiTheme="majorHAnsi"/>
          <w:sz w:val="22"/>
          <w:szCs w:val="22"/>
        </w:rPr>
        <w:t>510-</w:t>
      </w:r>
      <w:r w:rsidR="00CE68B4">
        <w:rPr>
          <w:rFonts w:asciiTheme="majorHAnsi" w:hAnsiTheme="majorHAnsi"/>
          <w:sz w:val="22"/>
          <w:szCs w:val="22"/>
        </w:rPr>
        <w:t>302-3315 (office) and 510-759-</w:t>
      </w:r>
      <w:r w:rsidR="00CE68B4" w:rsidRPr="00CE68B4">
        <w:rPr>
          <w:rFonts w:asciiTheme="majorHAnsi" w:hAnsiTheme="majorHAnsi"/>
          <w:sz w:val="22"/>
          <w:szCs w:val="22"/>
        </w:rPr>
        <w:t>9633</w:t>
      </w:r>
      <w:r w:rsidR="00CE68B4">
        <w:rPr>
          <w:rFonts w:asciiTheme="majorHAnsi" w:hAnsiTheme="majorHAnsi"/>
          <w:sz w:val="22"/>
          <w:szCs w:val="22"/>
        </w:rPr>
        <w:t xml:space="preserve"> (mobile)</w:t>
      </w:r>
    </w:p>
    <w:p w14:paraId="305B623B" w14:textId="77777777" w:rsidR="00224CF3" w:rsidRPr="00CE68B4" w:rsidRDefault="00B554C3" w:rsidP="00224CF3">
      <w:pPr>
        <w:pStyle w:val="NormalWeb"/>
        <w:spacing w:before="0" w:beforeAutospacing="0" w:after="0" w:afterAutospacing="0"/>
        <w:rPr>
          <w:rFonts w:asciiTheme="majorHAnsi" w:hAnsiTheme="majorHAnsi"/>
          <w:sz w:val="22"/>
          <w:szCs w:val="22"/>
        </w:rPr>
      </w:pPr>
      <w:hyperlink r:id="rId15" w:history="1">
        <w:r w:rsidR="00224CF3" w:rsidRPr="00CE68B4">
          <w:rPr>
            <w:rStyle w:val="Hyperlink"/>
            <w:rFonts w:asciiTheme="majorHAnsi" w:hAnsiTheme="majorHAnsi"/>
            <w:sz w:val="22"/>
            <w:szCs w:val="22"/>
          </w:rPr>
          <w:t>imclaughlin@changelabsolutions.org</w:t>
        </w:r>
      </w:hyperlink>
    </w:p>
    <w:p w14:paraId="305B623C" w14:textId="77777777" w:rsidR="008169F1" w:rsidRDefault="008169F1" w:rsidP="00224CF3">
      <w:pPr>
        <w:pStyle w:val="NormalWeb"/>
        <w:spacing w:before="0" w:beforeAutospacing="0" w:after="0" w:afterAutospacing="0"/>
        <w:rPr>
          <w:rFonts w:asciiTheme="majorHAnsi" w:hAnsiTheme="majorHAnsi"/>
          <w:sz w:val="22"/>
          <w:szCs w:val="22"/>
        </w:rPr>
      </w:pPr>
    </w:p>
    <w:p w14:paraId="305B623D" w14:textId="77777777" w:rsidR="00762379" w:rsidRPr="00CE68B4" w:rsidRDefault="00224CF3" w:rsidP="00224CF3">
      <w:pPr>
        <w:pStyle w:val="NormalWeb"/>
        <w:spacing w:before="0" w:beforeAutospacing="0" w:after="0" w:afterAutospacing="0"/>
        <w:rPr>
          <w:rFonts w:asciiTheme="majorHAnsi" w:hAnsiTheme="majorHAnsi"/>
          <w:sz w:val="22"/>
          <w:szCs w:val="22"/>
        </w:rPr>
      </w:pPr>
      <w:r w:rsidRPr="00CE68B4">
        <w:rPr>
          <w:rFonts w:asciiTheme="majorHAnsi" w:hAnsiTheme="majorHAnsi"/>
          <w:sz w:val="22"/>
          <w:szCs w:val="22"/>
        </w:rPr>
        <w:t>Heath</w:t>
      </w:r>
      <w:r w:rsidR="00762379" w:rsidRPr="00CE68B4">
        <w:rPr>
          <w:rFonts w:asciiTheme="majorHAnsi" w:hAnsiTheme="majorHAnsi"/>
          <w:sz w:val="22"/>
          <w:szCs w:val="22"/>
        </w:rPr>
        <w:t>er Le</w:t>
      </w:r>
      <w:r w:rsidRPr="00CE68B4">
        <w:rPr>
          <w:rFonts w:asciiTheme="majorHAnsi" w:hAnsiTheme="majorHAnsi"/>
          <w:sz w:val="22"/>
          <w:szCs w:val="22"/>
        </w:rPr>
        <w:t>w</w:t>
      </w:r>
      <w:r w:rsidR="00762379" w:rsidRPr="00CE68B4">
        <w:rPr>
          <w:rFonts w:asciiTheme="majorHAnsi" w:hAnsiTheme="majorHAnsi"/>
          <w:sz w:val="22"/>
          <w:szCs w:val="22"/>
        </w:rPr>
        <w:t xml:space="preserve">is </w:t>
      </w:r>
    </w:p>
    <w:p w14:paraId="305B623E" w14:textId="77777777" w:rsidR="00762379" w:rsidRPr="00CE68B4" w:rsidRDefault="00771577" w:rsidP="00224CF3">
      <w:pPr>
        <w:pStyle w:val="NormalWeb"/>
        <w:spacing w:before="0" w:beforeAutospacing="0" w:after="0" w:afterAutospacing="0"/>
        <w:rPr>
          <w:rFonts w:asciiTheme="majorHAnsi" w:hAnsiTheme="majorHAnsi"/>
          <w:sz w:val="22"/>
          <w:szCs w:val="22"/>
        </w:rPr>
      </w:pPr>
      <w:r>
        <w:rPr>
          <w:rFonts w:asciiTheme="majorHAnsi" w:hAnsiTheme="majorHAnsi"/>
          <w:sz w:val="22"/>
          <w:szCs w:val="22"/>
        </w:rPr>
        <w:t xml:space="preserve">Staff Attorney, </w:t>
      </w:r>
      <w:r w:rsidR="00762379" w:rsidRPr="00CE68B4">
        <w:rPr>
          <w:rFonts w:asciiTheme="majorHAnsi" w:hAnsiTheme="majorHAnsi"/>
          <w:sz w:val="22"/>
          <w:szCs w:val="22"/>
        </w:rPr>
        <w:t>C</w:t>
      </w:r>
      <w:r w:rsidR="00224CF3" w:rsidRPr="00CE68B4">
        <w:rPr>
          <w:rFonts w:asciiTheme="majorHAnsi" w:hAnsiTheme="majorHAnsi"/>
          <w:sz w:val="22"/>
          <w:szCs w:val="22"/>
        </w:rPr>
        <w:t xml:space="preserve">LS </w:t>
      </w:r>
    </w:p>
    <w:p w14:paraId="305B623F" w14:textId="77777777" w:rsidR="00762379" w:rsidRPr="00CE68B4" w:rsidRDefault="00224CF3" w:rsidP="00224CF3">
      <w:pPr>
        <w:pStyle w:val="NormalWeb"/>
        <w:spacing w:before="0" w:beforeAutospacing="0" w:after="0" w:afterAutospacing="0"/>
        <w:rPr>
          <w:rFonts w:asciiTheme="majorHAnsi" w:hAnsiTheme="majorHAnsi"/>
          <w:sz w:val="22"/>
          <w:szCs w:val="22"/>
        </w:rPr>
      </w:pPr>
      <w:r w:rsidRPr="00CE68B4">
        <w:rPr>
          <w:rFonts w:asciiTheme="majorHAnsi" w:hAnsiTheme="majorHAnsi"/>
          <w:sz w:val="22"/>
          <w:szCs w:val="22"/>
        </w:rPr>
        <w:t>510-</w:t>
      </w:r>
      <w:r w:rsidR="00CE68B4" w:rsidRPr="00CE68B4">
        <w:rPr>
          <w:rFonts w:asciiTheme="majorHAnsi" w:hAnsiTheme="majorHAnsi"/>
          <w:sz w:val="22"/>
          <w:szCs w:val="22"/>
        </w:rPr>
        <w:t>302-3342</w:t>
      </w:r>
    </w:p>
    <w:p w14:paraId="305B6240" w14:textId="77777777" w:rsidR="00762379" w:rsidRPr="00CE68B4" w:rsidRDefault="00B554C3" w:rsidP="00224CF3">
      <w:pPr>
        <w:pStyle w:val="NormalWeb"/>
        <w:spacing w:before="0" w:beforeAutospacing="0" w:after="0" w:afterAutospacing="0"/>
        <w:rPr>
          <w:rFonts w:asciiTheme="majorHAnsi" w:hAnsiTheme="majorHAnsi"/>
          <w:sz w:val="22"/>
          <w:szCs w:val="22"/>
        </w:rPr>
      </w:pPr>
      <w:hyperlink r:id="rId16" w:history="1">
        <w:r w:rsidR="00224CF3" w:rsidRPr="00CE68B4">
          <w:rPr>
            <w:rStyle w:val="Hyperlink"/>
            <w:rFonts w:asciiTheme="majorHAnsi" w:hAnsiTheme="majorHAnsi"/>
            <w:sz w:val="22"/>
            <w:szCs w:val="22"/>
          </w:rPr>
          <w:t>hlewis@changelabsolutions.org</w:t>
        </w:r>
      </w:hyperlink>
    </w:p>
    <w:p w14:paraId="305B6241" w14:textId="77777777" w:rsidR="008169F1" w:rsidRDefault="008169F1" w:rsidP="00224CF3">
      <w:pPr>
        <w:pStyle w:val="NormalWeb"/>
        <w:spacing w:before="0" w:beforeAutospacing="0" w:after="0" w:afterAutospacing="0"/>
        <w:rPr>
          <w:rFonts w:asciiTheme="majorHAnsi" w:hAnsiTheme="majorHAnsi"/>
          <w:sz w:val="22"/>
          <w:szCs w:val="22"/>
        </w:rPr>
      </w:pPr>
    </w:p>
    <w:p w14:paraId="3C7DD567" w14:textId="507DA85C" w:rsidR="007C75C2" w:rsidRDefault="00CA58BF" w:rsidP="00224CF3">
      <w:pPr>
        <w:pStyle w:val="NormalWeb"/>
        <w:spacing w:before="0" w:beforeAutospacing="0" w:after="0" w:afterAutospacing="0"/>
        <w:rPr>
          <w:rFonts w:asciiTheme="majorHAnsi" w:hAnsiTheme="majorHAnsi"/>
          <w:sz w:val="22"/>
          <w:szCs w:val="22"/>
        </w:rPr>
      </w:pPr>
      <w:r>
        <w:rPr>
          <w:rFonts w:asciiTheme="majorHAnsi" w:hAnsiTheme="majorHAnsi"/>
          <w:sz w:val="22"/>
          <w:szCs w:val="22"/>
        </w:rPr>
        <w:t>Brian Hubbard</w:t>
      </w:r>
    </w:p>
    <w:p w14:paraId="4270B379" w14:textId="7B57570A" w:rsidR="007C75C2" w:rsidRDefault="007C75C2" w:rsidP="00224CF3">
      <w:pPr>
        <w:pStyle w:val="NormalWeb"/>
        <w:spacing w:before="0" w:beforeAutospacing="0" w:after="0" w:afterAutospacing="0"/>
        <w:rPr>
          <w:rFonts w:asciiTheme="majorHAnsi" w:hAnsiTheme="majorHAnsi"/>
          <w:sz w:val="22"/>
          <w:szCs w:val="22"/>
        </w:rPr>
      </w:pPr>
      <w:r>
        <w:rPr>
          <w:rFonts w:asciiTheme="majorHAnsi" w:hAnsiTheme="majorHAnsi"/>
          <w:sz w:val="22"/>
          <w:szCs w:val="22"/>
        </w:rPr>
        <w:t>Health Scientist</w:t>
      </w:r>
    </w:p>
    <w:p w14:paraId="0D4F9C38" w14:textId="77777777" w:rsidR="007C75C2" w:rsidRDefault="007C75C2" w:rsidP="007C75C2">
      <w:pPr>
        <w:pStyle w:val="NormalWeb"/>
        <w:spacing w:before="0" w:beforeAutospacing="0" w:after="0" w:afterAutospacing="0"/>
        <w:rPr>
          <w:rFonts w:asciiTheme="majorHAnsi" w:hAnsiTheme="majorHAnsi"/>
          <w:sz w:val="22"/>
          <w:szCs w:val="22"/>
        </w:rPr>
      </w:pPr>
      <w:r>
        <w:rPr>
          <w:rFonts w:asciiTheme="majorHAnsi" w:hAnsiTheme="majorHAnsi"/>
          <w:sz w:val="22"/>
          <w:szCs w:val="22"/>
        </w:rPr>
        <w:t>Environmental Health Services Branch, CDC</w:t>
      </w:r>
    </w:p>
    <w:p w14:paraId="2974A7D5" w14:textId="13F739A7" w:rsidR="007C75C2" w:rsidRDefault="007C75C2" w:rsidP="007C75C2">
      <w:pPr>
        <w:pStyle w:val="NormalWeb"/>
        <w:spacing w:before="0" w:beforeAutospacing="0" w:after="0" w:afterAutospacing="0"/>
        <w:rPr>
          <w:rFonts w:asciiTheme="majorHAnsi" w:hAnsiTheme="majorHAnsi"/>
          <w:sz w:val="22"/>
          <w:szCs w:val="22"/>
        </w:rPr>
      </w:pPr>
      <w:r>
        <w:rPr>
          <w:rFonts w:asciiTheme="majorHAnsi" w:hAnsiTheme="majorHAnsi"/>
          <w:sz w:val="22"/>
          <w:szCs w:val="22"/>
        </w:rPr>
        <w:t>770-488-7098</w:t>
      </w:r>
    </w:p>
    <w:p w14:paraId="31A7F88E" w14:textId="5091A858" w:rsidR="007C75C2" w:rsidRDefault="00B554C3" w:rsidP="007C75C2">
      <w:pPr>
        <w:pStyle w:val="NormalWeb"/>
        <w:spacing w:before="0" w:beforeAutospacing="0" w:after="0" w:afterAutospacing="0"/>
        <w:rPr>
          <w:rFonts w:asciiTheme="majorHAnsi" w:hAnsiTheme="majorHAnsi"/>
          <w:sz w:val="22"/>
          <w:szCs w:val="22"/>
        </w:rPr>
      </w:pPr>
      <w:hyperlink r:id="rId17" w:history="1">
        <w:r w:rsidR="007C75C2" w:rsidRPr="00A24425">
          <w:rPr>
            <w:rStyle w:val="Hyperlink"/>
            <w:rFonts w:asciiTheme="majorHAnsi" w:hAnsiTheme="majorHAnsi"/>
            <w:sz w:val="22"/>
            <w:szCs w:val="22"/>
          </w:rPr>
          <w:t>bnh5@cdc.gov</w:t>
        </w:r>
      </w:hyperlink>
      <w:r w:rsidR="007C75C2">
        <w:rPr>
          <w:rFonts w:asciiTheme="majorHAnsi" w:hAnsiTheme="majorHAnsi"/>
          <w:sz w:val="22"/>
          <w:szCs w:val="22"/>
        </w:rPr>
        <w:t xml:space="preserve"> </w:t>
      </w:r>
    </w:p>
    <w:p w14:paraId="7B0FD53E" w14:textId="77777777" w:rsidR="007C75C2" w:rsidRDefault="007C75C2" w:rsidP="00224CF3">
      <w:pPr>
        <w:pStyle w:val="NormalWeb"/>
        <w:spacing w:before="0" w:beforeAutospacing="0" w:after="0" w:afterAutospacing="0"/>
        <w:rPr>
          <w:rFonts w:asciiTheme="majorHAnsi" w:hAnsiTheme="majorHAnsi"/>
          <w:sz w:val="22"/>
          <w:szCs w:val="22"/>
        </w:rPr>
      </w:pPr>
    </w:p>
    <w:p w14:paraId="305B6242" w14:textId="77777777" w:rsidR="00771577" w:rsidRDefault="00771577" w:rsidP="00224CF3">
      <w:pPr>
        <w:pStyle w:val="NormalWeb"/>
        <w:spacing w:before="0" w:beforeAutospacing="0" w:after="0" w:afterAutospacing="0"/>
        <w:rPr>
          <w:rFonts w:asciiTheme="majorHAnsi" w:hAnsiTheme="majorHAnsi"/>
          <w:sz w:val="22"/>
          <w:szCs w:val="22"/>
        </w:rPr>
      </w:pPr>
      <w:r>
        <w:rPr>
          <w:rFonts w:asciiTheme="majorHAnsi" w:hAnsiTheme="majorHAnsi"/>
          <w:sz w:val="22"/>
          <w:szCs w:val="22"/>
        </w:rPr>
        <w:t>Max Zarate-Bermudez, MS MPH, PhD</w:t>
      </w:r>
    </w:p>
    <w:p w14:paraId="305B6243" w14:textId="77777777" w:rsidR="00771577" w:rsidRDefault="00771577" w:rsidP="00224CF3">
      <w:pPr>
        <w:pStyle w:val="NormalWeb"/>
        <w:spacing w:before="0" w:beforeAutospacing="0" w:after="0" w:afterAutospacing="0"/>
        <w:rPr>
          <w:rFonts w:asciiTheme="majorHAnsi" w:hAnsiTheme="majorHAnsi"/>
          <w:sz w:val="22"/>
          <w:szCs w:val="22"/>
        </w:rPr>
      </w:pPr>
      <w:r>
        <w:rPr>
          <w:rFonts w:asciiTheme="majorHAnsi" w:hAnsiTheme="majorHAnsi"/>
          <w:sz w:val="22"/>
          <w:szCs w:val="22"/>
        </w:rPr>
        <w:t>Epidemiologist</w:t>
      </w:r>
    </w:p>
    <w:p w14:paraId="305B6244" w14:textId="77777777" w:rsidR="00771577" w:rsidRDefault="00771577" w:rsidP="00224CF3">
      <w:pPr>
        <w:pStyle w:val="NormalWeb"/>
        <w:spacing w:before="0" w:beforeAutospacing="0" w:after="0" w:afterAutospacing="0"/>
        <w:rPr>
          <w:rFonts w:asciiTheme="majorHAnsi" w:hAnsiTheme="majorHAnsi"/>
          <w:sz w:val="22"/>
          <w:szCs w:val="22"/>
        </w:rPr>
      </w:pPr>
      <w:r>
        <w:rPr>
          <w:rFonts w:asciiTheme="majorHAnsi" w:hAnsiTheme="majorHAnsi"/>
          <w:sz w:val="22"/>
          <w:szCs w:val="22"/>
        </w:rPr>
        <w:t>Environmental Health Services Branch, CDC</w:t>
      </w:r>
    </w:p>
    <w:p w14:paraId="305B6245" w14:textId="77777777" w:rsidR="00771577" w:rsidRDefault="00771577" w:rsidP="00224CF3">
      <w:pPr>
        <w:pStyle w:val="NormalWeb"/>
        <w:spacing w:before="0" w:beforeAutospacing="0" w:after="0" w:afterAutospacing="0"/>
        <w:rPr>
          <w:rFonts w:asciiTheme="majorHAnsi" w:hAnsiTheme="majorHAnsi"/>
          <w:sz w:val="22"/>
          <w:szCs w:val="22"/>
        </w:rPr>
      </w:pPr>
      <w:r>
        <w:rPr>
          <w:rFonts w:asciiTheme="majorHAnsi" w:hAnsiTheme="majorHAnsi"/>
          <w:sz w:val="22"/>
          <w:szCs w:val="22"/>
        </w:rPr>
        <w:t>770-488-7421</w:t>
      </w:r>
    </w:p>
    <w:p w14:paraId="3878FB5F" w14:textId="2D3A4CCF" w:rsidR="000000D6" w:rsidRDefault="00B554C3" w:rsidP="00224CF3">
      <w:pPr>
        <w:pStyle w:val="NormalWeb"/>
        <w:spacing w:before="0" w:beforeAutospacing="0" w:after="0" w:afterAutospacing="0"/>
        <w:rPr>
          <w:rStyle w:val="Hyperlink"/>
          <w:rFonts w:asciiTheme="majorHAnsi" w:hAnsiTheme="majorHAnsi"/>
          <w:sz w:val="22"/>
          <w:szCs w:val="22"/>
        </w:rPr>
      </w:pPr>
      <w:hyperlink r:id="rId18" w:history="1">
        <w:r w:rsidR="00771577" w:rsidRPr="00543B7D">
          <w:rPr>
            <w:rStyle w:val="Hyperlink"/>
            <w:rFonts w:asciiTheme="majorHAnsi" w:hAnsiTheme="majorHAnsi"/>
            <w:sz w:val="22"/>
            <w:szCs w:val="22"/>
          </w:rPr>
          <w:t>mcz4@cdc.gov</w:t>
        </w:r>
      </w:hyperlink>
    </w:p>
    <w:p w14:paraId="11FD8B46" w14:textId="77777777" w:rsidR="00402732" w:rsidRDefault="00402732" w:rsidP="00224CF3">
      <w:pPr>
        <w:pStyle w:val="NormalWeb"/>
        <w:spacing w:before="0" w:beforeAutospacing="0" w:after="0" w:afterAutospacing="0"/>
        <w:rPr>
          <w:rStyle w:val="Hyperlink"/>
          <w:rFonts w:asciiTheme="majorHAnsi" w:hAnsiTheme="majorHAnsi"/>
          <w:sz w:val="22"/>
          <w:szCs w:val="22"/>
        </w:rPr>
      </w:pPr>
    </w:p>
    <w:p w14:paraId="46D4AD22" w14:textId="77777777" w:rsidR="00402732" w:rsidRDefault="00402732" w:rsidP="00224CF3">
      <w:pPr>
        <w:pStyle w:val="NormalWeb"/>
        <w:spacing w:before="0" w:beforeAutospacing="0" w:after="0" w:afterAutospacing="0"/>
        <w:rPr>
          <w:rStyle w:val="Hyperlink"/>
          <w:rFonts w:asciiTheme="majorHAnsi" w:hAnsiTheme="majorHAnsi"/>
          <w:sz w:val="22"/>
          <w:szCs w:val="22"/>
        </w:rPr>
      </w:pPr>
    </w:p>
    <w:p w14:paraId="6802CDBC" w14:textId="77777777" w:rsidR="00402732" w:rsidRPr="00221B3A" w:rsidRDefault="00402732" w:rsidP="00224CF3">
      <w:pPr>
        <w:pStyle w:val="NormalWeb"/>
        <w:spacing w:before="0" w:beforeAutospacing="0" w:after="0" w:afterAutospacing="0"/>
        <w:rPr>
          <w:rFonts w:asciiTheme="majorHAnsi" w:hAnsiTheme="majorHAnsi"/>
          <w:sz w:val="22"/>
          <w:szCs w:val="22"/>
        </w:rPr>
      </w:pPr>
    </w:p>
    <w:p w14:paraId="305B624A" w14:textId="52DE11E1" w:rsidR="00BC7963" w:rsidRPr="00A915FB" w:rsidRDefault="00BC7963" w:rsidP="00A915FB">
      <w:pPr>
        <w:pStyle w:val="Heading3"/>
        <w:spacing w:line="240" w:lineRule="auto"/>
      </w:pPr>
      <w:r>
        <w:lastRenderedPageBreak/>
        <w:t>LIST OF ATTACHMENTS – Section B</w:t>
      </w:r>
    </w:p>
    <w:p w14:paraId="305B624B" w14:textId="77777777" w:rsidR="00762379" w:rsidRDefault="00762379" w:rsidP="00BC7963">
      <w:pPr>
        <w:pStyle w:val="NormalWeb"/>
        <w:spacing w:before="0" w:beforeAutospacing="0" w:after="0" w:afterAutospacing="0"/>
        <w:rPr>
          <w:rFonts w:asciiTheme="majorHAnsi" w:hAnsiTheme="majorHAnsi"/>
          <w:sz w:val="22"/>
          <w:szCs w:val="22"/>
        </w:rPr>
      </w:pPr>
      <w:r w:rsidRPr="00CE68B4">
        <w:rPr>
          <w:rFonts w:asciiTheme="majorHAnsi" w:hAnsiTheme="majorHAnsi"/>
          <w:sz w:val="22"/>
          <w:szCs w:val="22"/>
        </w:rPr>
        <w:t>Note: Attachments are includ</w:t>
      </w:r>
      <w:r w:rsidR="00BC7963">
        <w:rPr>
          <w:rFonts w:asciiTheme="majorHAnsi" w:hAnsiTheme="majorHAnsi"/>
          <w:sz w:val="22"/>
          <w:szCs w:val="22"/>
        </w:rPr>
        <w:t>ed as separate files as instructed.</w:t>
      </w:r>
    </w:p>
    <w:p w14:paraId="16C30686" w14:textId="77777777" w:rsidR="00A915FB" w:rsidRPr="00CE68B4" w:rsidRDefault="00A915FB" w:rsidP="00BC7963">
      <w:pPr>
        <w:pStyle w:val="NormalWeb"/>
        <w:spacing w:before="0" w:beforeAutospacing="0" w:after="0" w:afterAutospacing="0"/>
        <w:rPr>
          <w:rFonts w:asciiTheme="majorHAnsi" w:hAnsiTheme="majorHAnsi"/>
          <w:sz w:val="22"/>
          <w:szCs w:val="22"/>
        </w:rPr>
      </w:pPr>
    </w:p>
    <w:p w14:paraId="305B624C" w14:textId="16B64C21" w:rsidR="00762379" w:rsidRPr="00A915FB" w:rsidRDefault="00A915FB" w:rsidP="00A915FB">
      <w:pPr>
        <w:pStyle w:val="NormalWeb"/>
        <w:numPr>
          <w:ilvl w:val="0"/>
          <w:numId w:val="5"/>
        </w:numPr>
        <w:spacing w:before="0" w:beforeAutospacing="0" w:after="0" w:afterAutospacing="0"/>
        <w:rPr>
          <w:rFonts w:asciiTheme="majorHAnsi" w:hAnsiTheme="majorHAnsi"/>
          <w:b/>
          <w:sz w:val="22"/>
          <w:szCs w:val="22"/>
        </w:rPr>
      </w:pPr>
      <w:r>
        <w:rPr>
          <w:rFonts w:asciiTheme="majorHAnsi" w:hAnsiTheme="majorHAnsi"/>
          <w:b/>
          <w:sz w:val="22"/>
          <w:szCs w:val="22"/>
        </w:rPr>
        <w:t xml:space="preserve">Attachment C: </w:t>
      </w:r>
      <w:r w:rsidR="00224CF3" w:rsidRPr="00A915FB">
        <w:rPr>
          <w:rFonts w:asciiTheme="majorHAnsi" w:hAnsiTheme="majorHAnsi"/>
          <w:b/>
          <w:sz w:val="22"/>
          <w:szCs w:val="22"/>
        </w:rPr>
        <w:t>Invitation Email</w:t>
      </w:r>
    </w:p>
    <w:p w14:paraId="305B624D" w14:textId="30C726EF" w:rsidR="0094442B" w:rsidRPr="00A915FB" w:rsidRDefault="00A915FB" w:rsidP="00A915FB">
      <w:pPr>
        <w:pStyle w:val="NormalWeb"/>
        <w:numPr>
          <w:ilvl w:val="0"/>
          <w:numId w:val="5"/>
        </w:numPr>
        <w:spacing w:before="0" w:beforeAutospacing="0" w:after="0" w:afterAutospacing="0"/>
        <w:rPr>
          <w:rFonts w:asciiTheme="majorHAnsi" w:hAnsiTheme="majorHAnsi"/>
          <w:b/>
          <w:sz w:val="22"/>
          <w:szCs w:val="22"/>
        </w:rPr>
      </w:pPr>
      <w:r>
        <w:rPr>
          <w:rFonts w:asciiTheme="majorHAnsi" w:hAnsiTheme="majorHAnsi"/>
          <w:b/>
          <w:sz w:val="22"/>
          <w:szCs w:val="22"/>
        </w:rPr>
        <w:t xml:space="preserve">Attachment D: </w:t>
      </w:r>
      <w:r w:rsidR="0094442B" w:rsidRPr="00A915FB">
        <w:rPr>
          <w:rFonts w:asciiTheme="majorHAnsi" w:hAnsiTheme="majorHAnsi"/>
          <w:b/>
          <w:sz w:val="22"/>
          <w:szCs w:val="22"/>
        </w:rPr>
        <w:t>Scheduling In-</w:t>
      </w:r>
      <w:r w:rsidR="006E1004" w:rsidRPr="00A915FB">
        <w:rPr>
          <w:rFonts w:asciiTheme="majorHAnsi" w:hAnsiTheme="majorHAnsi"/>
          <w:b/>
          <w:sz w:val="22"/>
          <w:szCs w:val="22"/>
        </w:rPr>
        <w:t>person</w:t>
      </w:r>
      <w:r w:rsidR="0094442B" w:rsidRPr="00A915FB">
        <w:rPr>
          <w:rFonts w:asciiTheme="majorHAnsi" w:hAnsiTheme="majorHAnsi"/>
          <w:b/>
          <w:sz w:val="22"/>
          <w:szCs w:val="22"/>
        </w:rPr>
        <w:t xml:space="preserve"> Interview Email</w:t>
      </w:r>
    </w:p>
    <w:p w14:paraId="305B624E" w14:textId="620DA858" w:rsidR="0094442B" w:rsidRPr="00A915FB" w:rsidRDefault="00A915FB" w:rsidP="00A915FB">
      <w:pPr>
        <w:pStyle w:val="NormalWeb"/>
        <w:numPr>
          <w:ilvl w:val="0"/>
          <w:numId w:val="5"/>
        </w:numPr>
        <w:spacing w:before="0" w:beforeAutospacing="0" w:after="0" w:afterAutospacing="0"/>
        <w:rPr>
          <w:rFonts w:asciiTheme="majorHAnsi" w:hAnsiTheme="majorHAnsi"/>
          <w:b/>
          <w:sz w:val="22"/>
          <w:szCs w:val="22"/>
        </w:rPr>
      </w:pPr>
      <w:r>
        <w:rPr>
          <w:rFonts w:asciiTheme="majorHAnsi" w:hAnsiTheme="majorHAnsi"/>
          <w:b/>
          <w:sz w:val="22"/>
          <w:szCs w:val="22"/>
        </w:rPr>
        <w:t xml:space="preserve">Attachment E: </w:t>
      </w:r>
      <w:r w:rsidR="0094442B" w:rsidRPr="00A915FB">
        <w:rPr>
          <w:rFonts w:asciiTheme="majorHAnsi" w:hAnsiTheme="majorHAnsi"/>
          <w:b/>
          <w:sz w:val="22"/>
          <w:szCs w:val="22"/>
        </w:rPr>
        <w:t>Confirmation Email</w:t>
      </w:r>
    </w:p>
    <w:p w14:paraId="305B6250" w14:textId="3B1F7F37" w:rsidR="000A12E0" w:rsidRPr="00A915FB" w:rsidRDefault="00A915FB" w:rsidP="00A915FB">
      <w:pPr>
        <w:pStyle w:val="NormalWeb"/>
        <w:numPr>
          <w:ilvl w:val="0"/>
          <w:numId w:val="5"/>
        </w:numPr>
        <w:spacing w:before="0" w:beforeAutospacing="0" w:after="0" w:afterAutospacing="0"/>
        <w:rPr>
          <w:rFonts w:asciiTheme="majorHAnsi" w:hAnsiTheme="majorHAnsi"/>
          <w:b/>
          <w:sz w:val="22"/>
          <w:szCs w:val="22"/>
        </w:rPr>
      </w:pPr>
      <w:r>
        <w:rPr>
          <w:rFonts w:asciiTheme="majorHAnsi" w:hAnsiTheme="majorHAnsi"/>
          <w:b/>
          <w:sz w:val="22"/>
          <w:szCs w:val="22"/>
        </w:rPr>
        <w:t xml:space="preserve">Attachment F: </w:t>
      </w:r>
      <w:r w:rsidR="00224CF3" w:rsidRPr="00A915FB">
        <w:rPr>
          <w:rFonts w:asciiTheme="majorHAnsi" w:hAnsiTheme="majorHAnsi"/>
          <w:b/>
          <w:sz w:val="22"/>
          <w:szCs w:val="22"/>
        </w:rPr>
        <w:t>Reminder Email</w:t>
      </w:r>
    </w:p>
    <w:sectPr w:rsidR="000A12E0" w:rsidRPr="00A915FB" w:rsidSect="006C6578">
      <w:footerReference w:type="defaul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91CCF" w14:textId="77777777" w:rsidR="00195205" w:rsidRDefault="00195205" w:rsidP="008B5D54">
      <w:pPr>
        <w:spacing w:after="0" w:line="240" w:lineRule="auto"/>
      </w:pPr>
      <w:r>
        <w:separator/>
      </w:r>
    </w:p>
  </w:endnote>
  <w:endnote w:type="continuationSeparator" w:id="0">
    <w:p w14:paraId="77B7C88B" w14:textId="77777777" w:rsidR="00195205" w:rsidRDefault="00195205" w:rsidP="008B5D54">
      <w:pPr>
        <w:spacing w:after="0" w:line="240" w:lineRule="auto"/>
      </w:pPr>
      <w:r>
        <w:continuationSeparator/>
      </w:r>
    </w:p>
  </w:endnote>
  <w:endnote w:type="continuationNotice" w:id="1">
    <w:p w14:paraId="5F3D0F09" w14:textId="77777777" w:rsidR="00195205" w:rsidRDefault="00195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745A8" w14:textId="77777777" w:rsidR="00AC6D86" w:rsidRPr="000000D6" w:rsidRDefault="00B554C3" w:rsidP="000000D6">
    <w:pPr>
      <w:pStyle w:val="Footer"/>
      <w:jc w:val="right"/>
      <w:rPr>
        <w:rFonts w:asciiTheme="majorHAnsi" w:hAnsiTheme="majorHAnsi"/>
      </w:rPr>
    </w:pPr>
    <w:sdt>
      <w:sdtPr>
        <w:id w:val="860082579"/>
        <w:docPartObj>
          <w:docPartGallery w:val="Page Numbers (Top of Page)"/>
          <w:docPartUnique/>
        </w:docPartObj>
      </w:sdtPr>
      <w:sdtEndPr>
        <w:rPr>
          <w:rFonts w:asciiTheme="majorHAnsi" w:hAnsiTheme="majorHAnsi"/>
        </w:rPr>
      </w:sdtEndPr>
      <w:sdtContent>
        <w:r w:rsidR="00AC6D86" w:rsidRPr="000000D6">
          <w:rPr>
            <w:rFonts w:asciiTheme="majorHAnsi" w:hAnsiTheme="majorHAnsi"/>
          </w:rPr>
          <w:t xml:space="preserve">Page </w:t>
        </w:r>
        <w:r w:rsidR="00AC6D86" w:rsidRPr="000000D6">
          <w:rPr>
            <w:rFonts w:asciiTheme="majorHAnsi" w:hAnsiTheme="majorHAnsi"/>
            <w:b/>
            <w:bCs/>
            <w:sz w:val="24"/>
            <w:szCs w:val="24"/>
          </w:rPr>
          <w:fldChar w:fldCharType="begin"/>
        </w:r>
        <w:r w:rsidR="00AC6D86" w:rsidRPr="000000D6">
          <w:rPr>
            <w:rFonts w:asciiTheme="majorHAnsi" w:hAnsiTheme="majorHAnsi"/>
            <w:b/>
            <w:bCs/>
          </w:rPr>
          <w:instrText xml:space="preserve"> PAGE </w:instrText>
        </w:r>
        <w:r w:rsidR="00AC6D86" w:rsidRPr="000000D6">
          <w:rPr>
            <w:rFonts w:asciiTheme="majorHAnsi" w:hAnsiTheme="majorHAnsi"/>
            <w:b/>
            <w:bCs/>
            <w:sz w:val="24"/>
            <w:szCs w:val="24"/>
          </w:rPr>
          <w:fldChar w:fldCharType="separate"/>
        </w:r>
        <w:r>
          <w:rPr>
            <w:rFonts w:asciiTheme="majorHAnsi" w:hAnsiTheme="majorHAnsi"/>
            <w:b/>
            <w:bCs/>
            <w:noProof/>
          </w:rPr>
          <w:t>2</w:t>
        </w:r>
        <w:r w:rsidR="00AC6D86" w:rsidRPr="000000D6">
          <w:rPr>
            <w:rFonts w:asciiTheme="majorHAnsi" w:hAnsiTheme="majorHAnsi"/>
            <w:b/>
            <w:bCs/>
            <w:sz w:val="24"/>
            <w:szCs w:val="24"/>
          </w:rPr>
          <w:fldChar w:fldCharType="end"/>
        </w:r>
        <w:r w:rsidR="00AC6D86" w:rsidRPr="000000D6">
          <w:rPr>
            <w:rFonts w:asciiTheme="majorHAnsi" w:hAnsiTheme="majorHAnsi"/>
          </w:rPr>
          <w:t xml:space="preserve"> of </w:t>
        </w:r>
        <w:r w:rsidR="00AC6D86" w:rsidRPr="000000D6">
          <w:rPr>
            <w:rFonts w:asciiTheme="majorHAnsi" w:hAnsiTheme="majorHAnsi"/>
            <w:b/>
            <w:bCs/>
            <w:sz w:val="24"/>
            <w:szCs w:val="24"/>
          </w:rPr>
          <w:fldChar w:fldCharType="begin"/>
        </w:r>
        <w:r w:rsidR="00AC6D86" w:rsidRPr="000000D6">
          <w:rPr>
            <w:rFonts w:asciiTheme="majorHAnsi" w:hAnsiTheme="majorHAnsi"/>
            <w:b/>
            <w:bCs/>
          </w:rPr>
          <w:instrText xml:space="preserve"> NUMPAGES  </w:instrText>
        </w:r>
        <w:r w:rsidR="00AC6D86" w:rsidRPr="000000D6">
          <w:rPr>
            <w:rFonts w:asciiTheme="majorHAnsi" w:hAnsiTheme="majorHAnsi"/>
            <w:b/>
            <w:bCs/>
            <w:sz w:val="24"/>
            <w:szCs w:val="24"/>
          </w:rPr>
          <w:fldChar w:fldCharType="separate"/>
        </w:r>
        <w:r>
          <w:rPr>
            <w:rFonts w:asciiTheme="majorHAnsi" w:hAnsiTheme="majorHAnsi"/>
            <w:b/>
            <w:bCs/>
            <w:noProof/>
          </w:rPr>
          <w:t>6</w:t>
        </w:r>
        <w:r w:rsidR="00AC6D86" w:rsidRPr="000000D6">
          <w:rPr>
            <w:rFonts w:asciiTheme="majorHAnsi" w:hAnsiTheme="majorHAnsi"/>
            <w:b/>
            <w:bCs/>
            <w:sz w:val="24"/>
            <w:szCs w:val="24"/>
          </w:rPr>
          <w:fldChar w:fldCharType="end"/>
        </w:r>
      </w:sdtContent>
    </w:sdt>
  </w:p>
  <w:p w14:paraId="22739BB6" w14:textId="77777777" w:rsidR="00AC6D86" w:rsidRPr="000000D6" w:rsidRDefault="00AC6D86">
    <w:pPr>
      <w:pStyle w:val="Foo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F2325" w14:textId="77777777" w:rsidR="00195205" w:rsidRDefault="00195205" w:rsidP="008B5D54">
      <w:pPr>
        <w:spacing w:after="0" w:line="240" w:lineRule="auto"/>
      </w:pPr>
      <w:r>
        <w:separator/>
      </w:r>
    </w:p>
  </w:footnote>
  <w:footnote w:type="continuationSeparator" w:id="0">
    <w:p w14:paraId="6E75F576" w14:textId="77777777" w:rsidR="00195205" w:rsidRDefault="00195205" w:rsidP="008B5D54">
      <w:pPr>
        <w:spacing w:after="0" w:line="240" w:lineRule="auto"/>
      </w:pPr>
      <w:r>
        <w:continuationSeparator/>
      </w:r>
    </w:p>
  </w:footnote>
  <w:footnote w:type="continuationNotice" w:id="1">
    <w:p w14:paraId="1D269CCE" w14:textId="77777777" w:rsidR="00195205" w:rsidRDefault="0019520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252E"/>
    <w:multiLevelType w:val="hybridMultilevel"/>
    <w:tmpl w:val="140A38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E3121"/>
    <w:multiLevelType w:val="hybridMultilevel"/>
    <w:tmpl w:val="9208D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46886"/>
    <w:multiLevelType w:val="hybridMultilevel"/>
    <w:tmpl w:val="47561DC8"/>
    <w:lvl w:ilvl="0" w:tplc="AAFC2B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32883"/>
    <w:multiLevelType w:val="hybridMultilevel"/>
    <w:tmpl w:val="CD5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C5206E"/>
    <w:multiLevelType w:val="hybridMultilevel"/>
    <w:tmpl w:val="43BC0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A7B0529"/>
    <w:multiLevelType w:val="hybridMultilevel"/>
    <w:tmpl w:val="53741BBC"/>
    <w:lvl w:ilvl="0" w:tplc="2696AE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BD"/>
    <w:rsid w:val="000000D6"/>
    <w:rsid w:val="000138F8"/>
    <w:rsid w:val="0002246A"/>
    <w:rsid w:val="0003188F"/>
    <w:rsid w:val="00040756"/>
    <w:rsid w:val="00052D28"/>
    <w:rsid w:val="000A12E0"/>
    <w:rsid w:val="000B11EE"/>
    <w:rsid w:val="000D37F7"/>
    <w:rsid w:val="000F1ECD"/>
    <w:rsid w:val="00135496"/>
    <w:rsid w:val="00136DC9"/>
    <w:rsid w:val="001436CF"/>
    <w:rsid w:val="00145AF9"/>
    <w:rsid w:val="00154AF9"/>
    <w:rsid w:val="001563DA"/>
    <w:rsid w:val="00176235"/>
    <w:rsid w:val="00182C82"/>
    <w:rsid w:val="00195205"/>
    <w:rsid w:val="001B050D"/>
    <w:rsid w:val="001D2A3F"/>
    <w:rsid w:val="001F1AAD"/>
    <w:rsid w:val="0021545A"/>
    <w:rsid w:val="00221021"/>
    <w:rsid w:val="00221B3A"/>
    <w:rsid w:val="00223449"/>
    <w:rsid w:val="00224CF3"/>
    <w:rsid w:val="002475D0"/>
    <w:rsid w:val="002541E6"/>
    <w:rsid w:val="00264401"/>
    <w:rsid w:val="00267476"/>
    <w:rsid w:val="00294717"/>
    <w:rsid w:val="002952CB"/>
    <w:rsid w:val="002D264A"/>
    <w:rsid w:val="002D54C2"/>
    <w:rsid w:val="002D5C0C"/>
    <w:rsid w:val="00323C99"/>
    <w:rsid w:val="00331A51"/>
    <w:rsid w:val="003431EA"/>
    <w:rsid w:val="00362E63"/>
    <w:rsid w:val="003639B3"/>
    <w:rsid w:val="00380A8C"/>
    <w:rsid w:val="00387808"/>
    <w:rsid w:val="00391724"/>
    <w:rsid w:val="003B1E50"/>
    <w:rsid w:val="003C0324"/>
    <w:rsid w:val="003D21FD"/>
    <w:rsid w:val="003D3401"/>
    <w:rsid w:val="003E20D0"/>
    <w:rsid w:val="003E66AE"/>
    <w:rsid w:val="003E79D0"/>
    <w:rsid w:val="003F713B"/>
    <w:rsid w:val="00402732"/>
    <w:rsid w:val="004104B7"/>
    <w:rsid w:val="00411BF6"/>
    <w:rsid w:val="00424C67"/>
    <w:rsid w:val="00431A3C"/>
    <w:rsid w:val="00434D6A"/>
    <w:rsid w:val="00451D89"/>
    <w:rsid w:val="0045475F"/>
    <w:rsid w:val="004A42D7"/>
    <w:rsid w:val="004B08C1"/>
    <w:rsid w:val="004E165F"/>
    <w:rsid w:val="004E5F8F"/>
    <w:rsid w:val="00521989"/>
    <w:rsid w:val="005268D4"/>
    <w:rsid w:val="0052712C"/>
    <w:rsid w:val="00545D80"/>
    <w:rsid w:val="005553E8"/>
    <w:rsid w:val="005A00D2"/>
    <w:rsid w:val="005C2474"/>
    <w:rsid w:val="005D1E4B"/>
    <w:rsid w:val="005E2BA2"/>
    <w:rsid w:val="005F5132"/>
    <w:rsid w:val="00615720"/>
    <w:rsid w:val="00651A6C"/>
    <w:rsid w:val="006561D0"/>
    <w:rsid w:val="00664D24"/>
    <w:rsid w:val="00665933"/>
    <w:rsid w:val="00671EF0"/>
    <w:rsid w:val="00674255"/>
    <w:rsid w:val="0069158F"/>
    <w:rsid w:val="00694BC0"/>
    <w:rsid w:val="006963BA"/>
    <w:rsid w:val="006C0FB5"/>
    <w:rsid w:val="006C6578"/>
    <w:rsid w:val="006D4748"/>
    <w:rsid w:val="006E1004"/>
    <w:rsid w:val="006E73B9"/>
    <w:rsid w:val="006F5780"/>
    <w:rsid w:val="00703B0B"/>
    <w:rsid w:val="007146BD"/>
    <w:rsid w:val="007158C1"/>
    <w:rsid w:val="0071688C"/>
    <w:rsid w:val="00762379"/>
    <w:rsid w:val="00765633"/>
    <w:rsid w:val="00766F81"/>
    <w:rsid w:val="00771577"/>
    <w:rsid w:val="00790821"/>
    <w:rsid w:val="007B01F0"/>
    <w:rsid w:val="007C2FDA"/>
    <w:rsid w:val="007C3620"/>
    <w:rsid w:val="007C52B9"/>
    <w:rsid w:val="007C6DFF"/>
    <w:rsid w:val="007C75C2"/>
    <w:rsid w:val="007D0DD8"/>
    <w:rsid w:val="007D29AC"/>
    <w:rsid w:val="007D4D97"/>
    <w:rsid w:val="007D6303"/>
    <w:rsid w:val="007E2259"/>
    <w:rsid w:val="007E562E"/>
    <w:rsid w:val="007E7191"/>
    <w:rsid w:val="007E72DB"/>
    <w:rsid w:val="008125BD"/>
    <w:rsid w:val="008169F1"/>
    <w:rsid w:val="00832A34"/>
    <w:rsid w:val="00857257"/>
    <w:rsid w:val="008576CD"/>
    <w:rsid w:val="00864F7B"/>
    <w:rsid w:val="00871048"/>
    <w:rsid w:val="008A3CC2"/>
    <w:rsid w:val="008B3616"/>
    <w:rsid w:val="008B5D54"/>
    <w:rsid w:val="008E61F1"/>
    <w:rsid w:val="00903091"/>
    <w:rsid w:val="0091049A"/>
    <w:rsid w:val="0093630A"/>
    <w:rsid w:val="0093675D"/>
    <w:rsid w:val="009373EA"/>
    <w:rsid w:val="0094442B"/>
    <w:rsid w:val="00967A2F"/>
    <w:rsid w:val="00980381"/>
    <w:rsid w:val="0099588F"/>
    <w:rsid w:val="009C3DB3"/>
    <w:rsid w:val="00A0281C"/>
    <w:rsid w:val="00A06ACA"/>
    <w:rsid w:val="00A06B34"/>
    <w:rsid w:val="00A151C8"/>
    <w:rsid w:val="00A17E72"/>
    <w:rsid w:val="00A57523"/>
    <w:rsid w:val="00A671AE"/>
    <w:rsid w:val="00A718B2"/>
    <w:rsid w:val="00A766C1"/>
    <w:rsid w:val="00A77F8B"/>
    <w:rsid w:val="00A83569"/>
    <w:rsid w:val="00A90A52"/>
    <w:rsid w:val="00A915FB"/>
    <w:rsid w:val="00AA0974"/>
    <w:rsid w:val="00AC6D86"/>
    <w:rsid w:val="00B0632D"/>
    <w:rsid w:val="00B10A91"/>
    <w:rsid w:val="00B12E36"/>
    <w:rsid w:val="00B162F0"/>
    <w:rsid w:val="00B44FF8"/>
    <w:rsid w:val="00B475B3"/>
    <w:rsid w:val="00B554C3"/>
    <w:rsid w:val="00B55735"/>
    <w:rsid w:val="00B57C31"/>
    <w:rsid w:val="00B608AC"/>
    <w:rsid w:val="00B714AC"/>
    <w:rsid w:val="00B7326F"/>
    <w:rsid w:val="00B75785"/>
    <w:rsid w:val="00B92C31"/>
    <w:rsid w:val="00B9499F"/>
    <w:rsid w:val="00BA1821"/>
    <w:rsid w:val="00BA5ABC"/>
    <w:rsid w:val="00BB4E7D"/>
    <w:rsid w:val="00BB58E4"/>
    <w:rsid w:val="00BC7963"/>
    <w:rsid w:val="00BD5237"/>
    <w:rsid w:val="00C02C95"/>
    <w:rsid w:val="00C06E23"/>
    <w:rsid w:val="00C23C59"/>
    <w:rsid w:val="00C26486"/>
    <w:rsid w:val="00C44338"/>
    <w:rsid w:val="00C610E7"/>
    <w:rsid w:val="00C62C49"/>
    <w:rsid w:val="00C64AC0"/>
    <w:rsid w:val="00C67BBF"/>
    <w:rsid w:val="00C72FCC"/>
    <w:rsid w:val="00C75F19"/>
    <w:rsid w:val="00CA58BF"/>
    <w:rsid w:val="00CD2160"/>
    <w:rsid w:val="00CD3512"/>
    <w:rsid w:val="00CD3F07"/>
    <w:rsid w:val="00CD3F68"/>
    <w:rsid w:val="00CD7049"/>
    <w:rsid w:val="00CE0BF9"/>
    <w:rsid w:val="00CE3D96"/>
    <w:rsid w:val="00CE68B4"/>
    <w:rsid w:val="00CF16EE"/>
    <w:rsid w:val="00CF433D"/>
    <w:rsid w:val="00D000BD"/>
    <w:rsid w:val="00D034E1"/>
    <w:rsid w:val="00D352D0"/>
    <w:rsid w:val="00D370F3"/>
    <w:rsid w:val="00D417E4"/>
    <w:rsid w:val="00D4190C"/>
    <w:rsid w:val="00D501C1"/>
    <w:rsid w:val="00D53804"/>
    <w:rsid w:val="00D57028"/>
    <w:rsid w:val="00D61F2A"/>
    <w:rsid w:val="00D646B3"/>
    <w:rsid w:val="00D66EF3"/>
    <w:rsid w:val="00DA624D"/>
    <w:rsid w:val="00DA6E7A"/>
    <w:rsid w:val="00DC57CC"/>
    <w:rsid w:val="00DD51A9"/>
    <w:rsid w:val="00DF151E"/>
    <w:rsid w:val="00E03A33"/>
    <w:rsid w:val="00E23593"/>
    <w:rsid w:val="00E44E18"/>
    <w:rsid w:val="00E47A47"/>
    <w:rsid w:val="00E524E9"/>
    <w:rsid w:val="00E54208"/>
    <w:rsid w:val="00E66720"/>
    <w:rsid w:val="00E706E8"/>
    <w:rsid w:val="00E71B9A"/>
    <w:rsid w:val="00EA22B3"/>
    <w:rsid w:val="00EA3E3D"/>
    <w:rsid w:val="00EB4FFD"/>
    <w:rsid w:val="00ED732F"/>
    <w:rsid w:val="00F04D9F"/>
    <w:rsid w:val="00F06BA1"/>
    <w:rsid w:val="00F2132D"/>
    <w:rsid w:val="00F27142"/>
    <w:rsid w:val="00F3140D"/>
    <w:rsid w:val="00F70D9E"/>
    <w:rsid w:val="00F75E85"/>
    <w:rsid w:val="00F9095B"/>
    <w:rsid w:val="00F9343D"/>
    <w:rsid w:val="00FA5788"/>
    <w:rsid w:val="00FC1D3D"/>
    <w:rsid w:val="00FF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5B61F2"/>
  <w15:chartTrackingRefBased/>
  <w15:docId w15:val="{C55E61DE-8519-4A7A-8BAD-B4134762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14AC"/>
    <w:pPr>
      <w:spacing w:after="0"/>
      <w:jc w:val="center"/>
      <w:outlineLvl w:val="0"/>
    </w:pPr>
    <w:rPr>
      <w:rFonts w:asciiTheme="majorHAnsi" w:eastAsiaTheme="minorEastAsia" w:hAnsiTheme="majorHAnsi"/>
      <w:b/>
      <w:sz w:val="40"/>
    </w:rPr>
  </w:style>
  <w:style w:type="paragraph" w:styleId="Heading2">
    <w:name w:val="heading 2"/>
    <w:basedOn w:val="Normal"/>
    <w:link w:val="Heading2Char"/>
    <w:uiPriority w:val="9"/>
    <w:qFormat/>
    <w:rsid w:val="00B714AC"/>
    <w:pPr>
      <w:spacing w:after="0"/>
      <w:jc w:val="center"/>
      <w:outlineLvl w:val="1"/>
    </w:pPr>
    <w:rPr>
      <w:rFonts w:asciiTheme="majorHAnsi" w:eastAsiaTheme="minorEastAsia" w:hAnsiTheme="majorHAnsi"/>
      <w:b/>
      <w:sz w:val="32"/>
    </w:rPr>
  </w:style>
  <w:style w:type="paragraph" w:styleId="Heading3">
    <w:name w:val="heading 3"/>
    <w:basedOn w:val="Normal"/>
    <w:next w:val="Normal"/>
    <w:link w:val="Heading3Char"/>
    <w:uiPriority w:val="9"/>
    <w:unhideWhenUsed/>
    <w:qFormat/>
    <w:rsid w:val="00B714AC"/>
    <w:pPr>
      <w:spacing w:after="0"/>
      <w:outlineLvl w:val="2"/>
    </w:pPr>
    <w:rPr>
      <w:rFonts w:asciiTheme="majorHAnsi" w:eastAsiaTheme="minorEastAsia" w:hAnsiTheme="majorHAnsi"/>
      <w:b/>
      <w:sz w:val="28"/>
    </w:rPr>
  </w:style>
  <w:style w:type="paragraph" w:styleId="Heading4">
    <w:name w:val="heading 4"/>
    <w:basedOn w:val="Normal"/>
    <w:next w:val="Normal"/>
    <w:link w:val="Heading4Char"/>
    <w:uiPriority w:val="9"/>
    <w:semiHidden/>
    <w:unhideWhenUsed/>
    <w:qFormat/>
    <w:rsid w:val="000000D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unhideWhenUsed/>
    <w:rsid w:val="007623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14AC"/>
    <w:rPr>
      <w:rFonts w:asciiTheme="majorHAnsi" w:eastAsiaTheme="minorEastAsia" w:hAnsiTheme="majorHAnsi"/>
      <w:b/>
      <w:sz w:val="40"/>
    </w:rPr>
  </w:style>
  <w:style w:type="character" w:customStyle="1" w:styleId="Heading2Char">
    <w:name w:val="Heading 2 Char"/>
    <w:basedOn w:val="DefaultParagraphFont"/>
    <w:link w:val="Heading2"/>
    <w:uiPriority w:val="9"/>
    <w:rsid w:val="00B714AC"/>
    <w:rPr>
      <w:rFonts w:asciiTheme="majorHAnsi" w:eastAsiaTheme="minorEastAsia" w:hAnsiTheme="majorHAnsi"/>
      <w:b/>
      <w:sz w:val="32"/>
    </w:rPr>
  </w:style>
  <w:style w:type="character" w:customStyle="1" w:styleId="Heading3Char">
    <w:name w:val="Heading 3 Char"/>
    <w:basedOn w:val="DefaultParagraphFont"/>
    <w:link w:val="Heading3"/>
    <w:uiPriority w:val="9"/>
    <w:rsid w:val="00B714AC"/>
    <w:rPr>
      <w:rFonts w:asciiTheme="majorHAnsi" w:eastAsiaTheme="minorEastAsia" w:hAnsiTheme="majorHAnsi"/>
      <w:b/>
      <w:sz w:val="28"/>
    </w:rPr>
  </w:style>
  <w:style w:type="character" w:styleId="CommentReference">
    <w:name w:val="annotation reference"/>
    <w:basedOn w:val="DefaultParagraphFont"/>
    <w:uiPriority w:val="99"/>
    <w:semiHidden/>
    <w:unhideWhenUsed/>
    <w:rsid w:val="00B714AC"/>
    <w:rPr>
      <w:sz w:val="16"/>
      <w:szCs w:val="16"/>
    </w:rPr>
  </w:style>
  <w:style w:type="paragraph" w:styleId="CommentText">
    <w:name w:val="annotation text"/>
    <w:basedOn w:val="Normal"/>
    <w:link w:val="CommentTextChar"/>
    <w:uiPriority w:val="99"/>
    <w:unhideWhenUsed/>
    <w:rsid w:val="00B714AC"/>
    <w:pPr>
      <w:spacing w:after="0" w:line="240" w:lineRule="auto"/>
      <w:ind w:left="720"/>
    </w:pPr>
    <w:rPr>
      <w:rFonts w:asciiTheme="majorHAnsi" w:eastAsiaTheme="minorEastAsia" w:hAnsiTheme="majorHAnsi"/>
      <w:sz w:val="20"/>
      <w:szCs w:val="20"/>
    </w:rPr>
  </w:style>
  <w:style w:type="character" w:customStyle="1" w:styleId="CommentTextChar">
    <w:name w:val="Comment Text Char"/>
    <w:basedOn w:val="DefaultParagraphFont"/>
    <w:link w:val="CommentText"/>
    <w:uiPriority w:val="99"/>
    <w:rsid w:val="00B714AC"/>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B71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4AC"/>
    <w:rPr>
      <w:rFonts w:ascii="Segoe UI" w:hAnsi="Segoe UI" w:cs="Segoe UI"/>
      <w:sz w:val="18"/>
      <w:szCs w:val="18"/>
    </w:rPr>
  </w:style>
  <w:style w:type="character" w:styleId="Hyperlink">
    <w:name w:val="Hyperlink"/>
    <w:basedOn w:val="DefaultParagraphFont"/>
    <w:uiPriority w:val="99"/>
    <w:unhideWhenUsed/>
    <w:rsid w:val="00B0632D"/>
    <w:rPr>
      <w:color w:val="0000FF" w:themeColor="hyperlink"/>
      <w:u w:val="single"/>
    </w:rPr>
  </w:style>
  <w:style w:type="paragraph" w:styleId="ListParagraph">
    <w:name w:val="List Paragraph"/>
    <w:basedOn w:val="Normal"/>
    <w:uiPriority w:val="34"/>
    <w:qFormat/>
    <w:rsid w:val="007D0DD8"/>
    <w:pPr>
      <w:ind w:left="720"/>
      <w:contextualSpacing/>
    </w:pPr>
  </w:style>
  <w:style w:type="paragraph" w:styleId="CommentSubject">
    <w:name w:val="annotation subject"/>
    <w:basedOn w:val="CommentText"/>
    <w:next w:val="CommentText"/>
    <w:link w:val="CommentSubjectChar"/>
    <w:uiPriority w:val="99"/>
    <w:semiHidden/>
    <w:unhideWhenUsed/>
    <w:rsid w:val="006963BA"/>
    <w:pPr>
      <w:spacing w:after="200"/>
      <w:ind w:left="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6963BA"/>
    <w:rPr>
      <w:rFonts w:asciiTheme="majorHAnsi" w:eastAsiaTheme="minorEastAsia" w:hAnsiTheme="majorHAnsi"/>
      <w:b/>
      <w:bCs/>
      <w:sz w:val="20"/>
      <w:szCs w:val="20"/>
    </w:rPr>
  </w:style>
  <w:style w:type="character" w:styleId="FollowedHyperlink">
    <w:name w:val="FollowedHyperlink"/>
    <w:basedOn w:val="DefaultParagraphFont"/>
    <w:uiPriority w:val="99"/>
    <w:semiHidden/>
    <w:unhideWhenUsed/>
    <w:rsid w:val="00F9343D"/>
    <w:rPr>
      <w:color w:val="800080" w:themeColor="followedHyperlink"/>
      <w:u w:val="single"/>
    </w:rPr>
  </w:style>
  <w:style w:type="paragraph" w:styleId="Revision">
    <w:name w:val="Revision"/>
    <w:hidden/>
    <w:uiPriority w:val="99"/>
    <w:semiHidden/>
    <w:rsid w:val="00380A8C"/>
    <w:pPr>
      <w:spacing w:after="0" w:line="240" w:lineRule="auto"/>
    </w:pPr>
  </w:style>
  <w:style w:type="paragraph" w:styleId="TOC2">
    <w:name w:val="toc 2"/>
    <w:basedOn w:val="Normal"/>
    <w:next w:val="Normal"/>
    <w:autoRedefine/>
    <w:uiPriority w:val="39"/>
    <w:unhideWhenUsed/>
    <w:rsid w:val="000000D6"/>
    <w:pPr>
      <w:tabs>
        <w:tab w:val="left" w:pos="660"/>
        <w:tab w:val="right" w:leader="dot" w:pos="9350"/>
      </w:tabs>
      <w:spacing w:after="100"/>
      <w:ind w:left="630" w:hanging="410"/>
    </w:pPr>
    <w:rPr>
      <w:rFonts w:asciiTheme="majorHAnsi" w:eastAsiaTheme="minorEastAsia" w:hAnsiTheme="majorHAnsi"/>
    </w:rPr>
  </w:style>
  <w:style w:type="paragraph" w:styleId="TOC1">
    <w:name w:val="toc 1"/>
    <w:basedOn w:val="Normal"/>
    <w:next w:val="Normal"/>
    <w:autoRedefine/>
    <w:uiPriority w:val="39"/>
    <w:unhideWhenUsed/>
    <w:rsid w:val="000000D6"/>
    <w:pPr>
      <w:spacing w:after="100"/>
    </w:pPr>
    <w:rPr>
      <w:rFonts w:asciiTheme="majorHAnsi" w:eastAsiaTheme="minorEastAsia" w:hAnsiTheme="majorHAnsi"/>
    </w:rPr>
  </w:style>
  <w:style w:type="character" w:customStyle="1" w:styleId="Heading4Char">
    <w:name w:val="Heading 4 Char"/>
    <w:basedOn w:val="DefaultParagraphFont"/>
    <w:link w:val="Heading4"/>
    <w:uiPriority w:val="9"/>
    <w:semiHidden/>
    <w:rsid w:val="000000D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83624">
      <w:bodyDiv w:val="1"/>
      <w:marLeft w:val="0"/>
      <w:marRight w:val="0"/>
      <w:marTop w:val="0"/>
      <w:marBottom w:val="0"/>
      <w:divBdr>
        <w:top w:val="none" w:sz="0" w:space="0" w:color="auto"/>
        <w:left w:val="none" w:sz="0" w:space="0" w:color="auto"/>
        <w:bottom w:val="none" w:sz="0" w:space="0" w:color="auto"/>
        <w:right w:val="none" w:sz="0" w:space="0" w:color="auto"/>
      </w:divBdr>
    </w:div>
    <w:div w:id="150492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cz4@cdc.gov" TargetMode="External"/><Relationship Id="rId18" Type="http://schemas.openxmlformats.org/officeDocument/2006/relationships/hyperlink" Target="mailto:mcz4@cd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nh5@cdc.gov" TargetMode="External"/><Relationship Id="rId2" Type="http://schemas.openxmlformats.org/officeDocument/2006/relationships/customXml" Target="../customXml/item2.xml"/><Relationship Id="rId16" Type="http://schemas.openxmlformats.org/officeDocument/2006/relationships/hyperlink" Target="mailto:hlewis@changelabsolution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mclaughlin@changelabsolutions.org"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she@changelabsolu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SC_StateB_TableB_1_Potential_Respondent3 xmlns="bd99c180-279b-44c3-9486-dd050336677e">=&gt;Enter potential respondent 3 or delete this comment&lt;=</OSC_StateB_TableB_1_Potential_Respondent3>
    <OSC_StateB_TableB_1_N3 xmlns="bd99c180-279b-44c3-9486-dd050336677e">0</OSC_StateB_TableB_1_N3>
    <OSC_StateB_TableB_1_Entity4 xmlns="bd99c180-279b-44c3-9486-dd050336677e">=&gt;Enter entity 4 or delete this comment&lt;=</OSC_StateB_TableB_1_Entity4>
    <GenICPIBranchOROfficeTitle xmlns="bd99c180-279b-44c3-9486-dd050336677e">=&gt;Enter branch or office title&lt;=</GenICPIBranchOROfficeTitle>
    <OSC_StateB_Test_of_Procedures_or_Methods_to_be_Undertaken xmlns="bd99c180-279b-44c3-9486-dd050336677e" xsi:nil="true"/>
    <OSC_StateB_Methods_to_Maximize_Response_Rates_and_Deal_with_Nonresponse xmlns="bd99c180-279b-44c3-9486-dd050336677e" xsi:nil="true"/>
    <OSC_StateB_TableB_1_N1 xmlns="bd99c180-279b-44c3-9486-dd050336677e">0</OSC_StateB_TableB_1_N1>
    <OSC_StateB_Date_Submitted xmlns="bd99c180-279b-44c3-9486-dd050336677e" xsi:nil="true"/>
    <OSC_StateB_TableB_1_Potential_Respondent1 xmlns="bd99c180-279b-44c3-9486-dd050336677e">=&gt;Enter potential respondent 1 or delete this comment&lt;=</OSC_StateB_TableB_1_Potential_Respondent1>
    <OSC_StateB_TableB_1_Entity2 xmlns="bd99c180-279b-44c3-9486-dd050336677e">=&gt;Enter entity 2 or delete this comment&lt;=</OSC_StateB_TableB_1_Entity2>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GenICPIFax xmlns="bd99c180-279b-44c3-9486-dd050336677e">=&gt;###-###-####&lt;=</GenICPIFax>
    <_dlc_DocId xmlns="b5c0ca00-073d-4463-9985-b654f14791fe">OSTLTSDOC-727-99</_dlc_DocId>
    <OSC_StateB_List_Of_Attachments xmlns="bd99c180-279b-44c3-9486-dd050336677e" xsi:nil="true"/>
    <OSC_StateB_TableB_1_N4 xmlns="bd99c180-279b-44c3-9486-dd050336677e">0</OSC_StateB_TableB_1_N4>
    <GenICTitle xmlns="15b1c282-9287-45cb-9b41-eae3a76919a0">=&gt;Enter short but descriptive title reflecting the purpose of the data collection. &lt;=</GenICTitle>
    <OSC_StateB_TableB_1_Potential_Respondent4 xmlns="bd99c180-279b-44c3-9486-dd050336677e">=&gt;Enter potential respondent 4 or delete this comment&lt;=</OSC_StateB_TableB_1_Potential_Respondent4>
    <OSC_StateB_TableB_1_N_Total xmlns="bd99c180-279b-44c3-9486-dd050336677e">0</OSC_StateB_TableB_1_N_Total>
    <GenICNickname xmlns="15b1c282-9287-45cb-9b41-eae3a76919a0" xsi:nil="true"/>
    <OSC_StateB_Respondent_Universe_and_Sampling_Methods xmlns="bd99c180-279b-44c3-9486-dd050336677e" xsi:nil="true"/>
    <GenICPIWorkMailingAddress xmlns="bd99c180-279b-44c3-9486-dd050336677e">=&gt;Enter work mailing address&lt;=</GenICPIWorkMailingAddress>
    <GenICPIEmail xmlns="bd99c180-279b-44c3-9486-dd050336677e">=&gt;Enter work email&lt;=</GenICPIEmail>
    <OSC_StateB_TableB_1_Entity3 xmlns="bd99c180-279b-44c3-9486-dd050336677e">=&gt;Enter entity 3 or delete this comment&lt;=</OSC_StateB_TableB_1_Entity3>
    <OSC_StateB_TableB_1_N2 xmlns="bd99c180-279b-44c3-9486-dd050336677e">0</OSC_StateB_TableB_1_N2>
    <GenICPITitle xmlns="bd99c180-279b-44c3-9486-dd050336677e">=&gt;Enter official CDC title&lt;=</GenICPITitle>
    <OSC_StateB_TableB_1_Potential_Respondent2 xmlns="bd99c180-279b-44c3-9486-dd050336677e">=&gt;Enter potential respondent 2 or delete this comment&lt;=</OSC_StateB_TableB_1_Potential_Respondent2>
    <GenICPICIO xmlns="bd99c180-279b-44c3-9486-dd050336677e" xsi:nil="true"/>
    <GenICPICDCID xmlns="bd99c180-279b-44c3-9486-dd050336677e" xsi:nil="true"/>
    <GenICPIDivisionOROfficeTitle xmlns="bd99c180-279b-44c3-9486-dd050336677e">=&gt;Enter division or office title&lt;=</GenICPIDivisionOROfficeTitle>
    <OSC_StateB_TableB_1_Entity1 xmlns="bd99c180-279b-44c3-9486-dd050336677e">=&gt;Enter entity 1 or delete this comment&lt;=</OSC_StateB_TableB_1_Entity1>
    <GenICPICenterDivisionBranch xmlns="bd99c180-279b-44c3-9486-dd050336677e" xsi:nil="true"/>
    <_dlc_DocIdUrl xmlns="b5c0ca00-073d-4463-9985-b654f14791fe">
      <Url>https://esp.cdc.gov/sites/ostlts/pip/osc/_layouts/15/DocIdRedir.aspx?ID=OSTLTSDOC-727-99</Url>
      <Description>OSTLTSDOC-727-99</Description>
    </_dlc_DocIdUrl>
    <GenICPIPhone xmlns="bd99c180-279b-44c3-9486-dd050336677e">=&gt;###-###-####&lt;=</GenICPIPhon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52D2-94FD-47FF-A178-8CDCE319ED32}">
  <ds:schemaRefs>
    <ds:schemaRef ds:uri="http://schemas.microsoft.com/office/2006/metadata/customXsn"/>
  </ds:schemaRefs>
</ds:datastoreItem>
</file>

<file path=customXml/itemProps2.xml><?xml version="1.0" encoding="utf-8"?>
<ds:datastoreItem xmlns:ds="http://schemas.openxmlformats.org/officeDocument/2006/customXml" ds:itemID="{57C1E17D-D9E7-4433-8870-FCC7F343F7B3}">
  <ds:schemaRefs>
    <ds:schemaRef ds:uri="http://schemas.microsoft.com/sharepoint/v3/contenttype/forms"/>
  </ds:schemaRefs>
</ds:datastoreItem>
</file>

<file path=customXml/itemProps3.xml><?xml version="1.0" encoding="utf-8"?>
<ds:datastoreItem xmlns:ds="http://schemas.openxmlformats.org/officeDocument/2006/customXml" ds:itemID="{539655B6-C9E5-4923-AD6E-830B3CF71C43}">
  <ds:schemaRefs>
    <ds:schemaRef ds:uri="http://schemas.microsoft.com/office/2006/metadata/properties"/>
    <ds:schemaRef ds:uri="http://purl.org/dc/terms/"/>
    <ds:schemaRef ds:uri="b5c0ca00-073d-4463-9985-b654f14791fe"/>
    <ds:schemaRef ds:uri="bd99c180-279b-44c3-9486-dd050336677e"/>
    <ds:schemaRef ds:uri="http://schemas.openxmlformats.org/package/2006/metadata/core-properties"/>
    <ds:schemaRef ds:uri="http://schemas.microsoft.com/office/2006/documentManagement/types"/>
    <ds:schemaRef ds:uri="http://www.w3.org/XML/1998/namespace"/>
    <ds:schemaRef ds:uri="15b1c282-9287-45cb-9b41-eae3a76919a0"/>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8A3DD950-9B04-4412-8059-87AFC12B2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82FE1B-978A-4116-8E43-A6C553A0A456}">
  <ds:schemaRefs>
    <ds:schemaRef ds:uri="http://schemas.microsoft.com/sharepoint/events"/>
  </ds:schemaRefs>
</ds:datastoreItem>
</file>

<file path=customXml/itemProps6.xml><?xml version="1.0" encoding="utf-8"?>
<ds:datastoreItem xmlns:ds="http://schemas.openxmlformats.org/officeDocument/2006/customXml" ds:itemID="{10BB323F-74F3-4819-AAD3-84134F22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1741</Words>
  <Characters>9925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Zarate-Bermudez, Max A. (CDC/ONDIEH/NCEH)</dc:creator>
  <cp:keywords/>
  <dc:description/>
  <cp:lastModifiedBy>Zirger, Jeffrey (CDC/OD/OADS)</cp:lastModifiedBy>
  <cp:revision>2</cp:revision>
  <dcterms:created xsi:type="dcterms:W3CDTF">2016-02-02T19:44:00Z</dcterms:created>
  <dcterms:modified xsi:type="dcterms:W3CDTF">2016-02-02T19:44:00Z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5a0d2766-019f-408f-a94e-47c99855c8e0</vt:lpwstr>
  </property>
</Properties>
</file>