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9E16D" w14:textId="77777777" w:rsidR="00716F94" w:rsidRDefault="00716F94" w:rsidP="009D1149"/>
    <w:p w14:paraId="3AB9CADF" w14:textId="77777777" w:rsidR="009B4A51" w:rsidRDefault="009B4A51" w:rsidP="009D1149"/>
    <w:p w14:paraId="04A8904D" w14:textId="77777777" w:rsidR="009B4A51" w:rsidRDefault="009B4A51" w:rsidP="009D1149"/>
    <w:p w14:paraId="51B491CB" w14:textId="77777777" w:rsidR="009B4A51" w:rsidRDefault="009B4A51" w:rsidP="009D1149"/>
    <w:p w14:paraId="1749FEF3" w14:textId="77777777" w:rsidR="009B4A51" w:rsidRDefault="009B4A51" w:rsidP="009D1149"/>
    <w:p w14:paraId="0CC680D4" w14:textId="77777777" w:rsidR="00667C89" w:rsidRDefault="00667C89" w:rsidP="009D1149"/>
    <w:p w14:paraId="3649029C" w14:textId="77777777" w:rsidR="009B4A51" w:rsidRDefault="009B4A51" w:rsidP="009D1149"/>
    <w:p w14:paraId="29F5D9FD" w14:textId="77777777" w:rsidR="009B4A51" w:rsidRDefault="009B4A51" w:rsidP="009D1149">
      <w:pPr>
        <w:ind w:left="0"/>
      </w:pPr>
    </w:p>
    <w:p w14:paraId="1766DA03" w14:textId="1F61D3F7" w:rsidR="00EA2A54" w:rsidRPr="00DF630A" w:rsidRDefault="00EA2A54" w:rsidP="009D1149">
      <w:pPr>
        <w:ind w:left="0"/>
        <w:jc w:val="center"/>
        <w:rPr>
          <w:b/>
          <w:sz w:val="28"/>
          <w:szCs w:val="28"/>
        </w:rPr>
      </w:pPr>
      <w:r w:rsidRPr="00DF630A">
        <w:rPr>
          <w:b/>
          <w:sz w:val="28"/>
          <w:szCs w:val="28"/>
        </w:rPr>
        <w:t xml:space="preserve">Systematic Identification </w:t>
      </w:r>
      <w:r w:rsidR="00374985">
        <w:rPr>
          <w:b/>
          <w:sz w:val="28"/>
          <w:szCs w:val="28"/>
        </w:rPr>
        <w:t xml:space="preserve">and Assessment </w:t>
      </w:r>
      <w:r w:rsidRPr="00DF630A">
        <w:rPr>
          <w:b/>
          <w:sz w:val="28"/>
          <w:szCs w:val="28"/>
        </w:rPr>
        <w:t>of Sexual Violence Prevention Strategies</w:t>
      </w:r>
    </w:p>
    <w:p w14:paraId="5CD4D16F" w14:textId="77777777" w:rsidR="00AA3192" w:rsidRDefault="00AA3192" w:rsidP="009D1149">
      <w:pPr>
        <w:ind w:left="0"/>
      </w:pPr>
    </w:p>
    <w:p w14:paraId="6B737261" w14:textId="77777777" w:rsidR="00716F94" w:rsidRPr="00AA3192" w:rsidRDefault="00484011" w:rsidP="009D1149">
      <w:pPr>
        <w:ind w:left="0"/>
        <w:jc w:val="center"/>
      </w:pPr>
      <w:r w:rsidRPr="00AA3192">
        <w:t>OSTL</w:t>
      </w:r>
      <w:r w:rsidR="00316F00">
        <w:t>TS Generic Information Collection</w:t>
      </w:r>
      <w:r w:rsidRPr="00AA3192">
        <w:t xml:space="preserve"> Request</w:t>
      </w:r>
    </w:p>
    <w:p w14:paraId="46F7D206" w14:textId="77777777" w:rsidR="00484011" w:rsidRPr="00AA3192" w:rsidRDefault="00484011">
      <w:pPr>
        <w:ind w:left="0"/>
        <w:jc w:val="center"/>
      </w:pPr>
      <w:r w:rsidRPr="00AA3192">
        <w:t>OMB No. 0920-0879</w:t>
      </w:r>
    </w:p>
    <w:p w14:paraId="2C41017A" w14:textId="77777777" w:rsidR="009B4A51" w:rsidRDefault="009B4A51">
      <w:pPr>
        <w:ind w:left="0"/>
      </w:pPr>
    </w:p>
    <w:p w14:paraId="54E2823B" w14:textId="77777777" w:rsidR="009B4A51" w:rsidRDefault="009B4A51">
      <w:pPr>
        <w:ind w:left="0"/>
      </w:pPr>
    </w:p>
    <w:p w14:paraId="10AAF444" w14:textId="77777777" w:rsidR="00AA3192" w:rsidRDefault="00AA3192">
      <w:pPr>
        <w:ind w:left="0"/>
      </w:pPr>
    </w:p>
    <w:p w14:paraId="09699E96" w14:textId="77777777" w:rsidR="00AA3192" w:rsidRDefault="00AA3192">
      <w:pPr>
        <w:ind w:left="0"/>
      </w:pPr>
    </w:p>
    <w:p w14:paraId="33F597B7" w14:textId="77777777" w:rsidR="009B4A51" w:rsidRPr="007D6163" w:rsidRDefault="009B4A51">
      <w:pPr>
        <w:pStyle w:val="Heading2"/>
        <w:ind w:left="0"/>
      </w:pPr>
      <w:r w:rsidRPr="007D6163">
        <w:t>Supporting Statement – Section A</w:t>
      </w:r>
    </w:p>
    <w:p w14:paraId="6FCA1C4C" w14:textId="77777777" w:rsidR="009B4A51" w:rsidRDefault="009B4A51">
      <w:pPr>
        <w:ind w:left="0"/>
      </w:pPr>
    </w:p>
    <w:p w14:paraId="37AC8120" w14:textId="77777777" w:rsidR="00484011" w:rsidRDefault="00484011">
      <w:pPr>
        <w:ind w:left="0"/>
      </w:pPr>
    </w:p>
    <w:p w14:paraId="6FE289A8" w14:textId="77777777" w:rsidR="00AA3192" w:rsidRDefault="00AA3192">
      <w:pPr>
        <w:ind w:left="0"/>
      </w:pPr>
    </w:p>
    <w:p w14:paraId="60C7D47C" w14:textId="77777777" w:rsidR="009B4A51" w:rsidRDefault="009B4A51">
      <w:pPr>
        <w:ind w:left="0"/>
      </w:pPr>
    </w:p>
    <w:p w14:paraId="6D2F8CF5" w14:textId="77777777" w:rsidR="009B4A51" w:rsidRDefault="009B4A51">
      <w:pPr>
        <w:ind w:left="0"/>
      </w:pPr>
    </w:p>
    <w:p w14:paraId="543F9321" w14:textId="77777777" w:rsidR="00187D5A" w:rsidRDefault="00187D5A">
      <w:pPr>
        <w:ind w:left="0"/>
      </w:pPr>
    </w:p>
    <w:p w14:paraId="25FC4A35" w14:textId="23C85E1E" w:rsidR="009B4A51" w:rsidRPr="009B4A51" w:rsidRDefault="009B4A51">
      <w:pPr>
        <w:ind w:left="0"/>
        <w:jc w:val="center"/>
      </w:pPr>
      <w:r w:rsidRPr="00AA3192">
        <w:t>Submitted:</w:t>
      </w:r>
      <w:r w:rsidR="008857B0">
        <w:t xml:space="preserve"> </w:t>
      </w:r>
      <w:r w:rsidR="00C65A5A">
        <w:t>5/16/2016</w:t>
      </w:r>
      <w:bookmarkStart w:id="0" w:name="_GoBack"/>
      <w:bookmarkEnd w:id="0"/>
    </w:p>
    <w:p w14:paraId="5AB79856" w14:textId="77777777" w:rsidR="009B4A51" w:rsidRDefault="009B4A51"/>
    <w:p w14:paraId="505C0737" w14:textId="77777777" w:rsidR="009B4A51" w:rsidRDefault="009B4A51"/>
    <w:p w14:paraId="758D9900" w14:textId="77777777" w:rsidR="009B4A51" w:rsidRDefault="009B4A51"/>
    <w:p w14:paraId="543394E7" w14:textId="77777777" w:rsidR="00AA3192" w:rsidRDefault="00AA3192"/>
    <w:p w14:paraId="59E43E27" w14:textId="77777777" w:rsidR="00AA3192" w:rsidRDefault="00AA3192"/>
    <w:p w14:paraId="24314F03" w14:textId="77777777" w:rsidR="009B4A51" w:rsidRDefault="009B4A51"/>
    <w:p w14:paraId="12B0EEB3" w14:textId="5CC5B7FD" w:rsidR="00441CC3" w:rsidRDefault="00667C89">
      <w:pPr>
        <w:ind w:left="0"/>
        <w:rPr>
          <w:b/>
          <w:u w:val="single"/>
        </w:rPr>
      </w:pPr>
      <w:r w:rsidRPr="00CA5840">
        <w:rPr>
          <w:b/>
          <w:u w:val="single"/>
        </w:rPr>
        <w:t>Project Officer</w:t>
      </w:r>
    </w:p>
    <w:p w14:paraId="28C1FCE1" w14:textId="5FC3BD4C" w:rsidR="00321B51" w:rsidRPr="00EF7DDA" w:rsidRDefault="00EA2A54">
      <w:pPr>
        <w:ind w:left="0"/>
      </w:pPr>
      <w:r w:rsidRPr="00EF7DDA">
        <w:t>Linda Vo-Green</w:t>
      </w:r>
      <w:r w:rsidR="00EF7DDA" w:rsidRPr="00EF7DDA">
        <w:t>, MPH</w:t>
      </w:r>
    </w:p>
    <w:p w14:paraId="2D6A47A0" w14:textId="77777777" w:rsidR="00EA2A54" w:rsidRPr="00EF7DDA" w:rsidRDefault="00EA2A54">
      <w:pPr>
        <w:ind w:left="0"/>
        <w:rPr>
          <w:rFonts w:cs="Segoe UI"/>
        </w:rPr>
      </w:pPr>
      <w:r w:rsidRPr="00EF7DDA">
        <w:rPr>
          <w:rFonts w:cs="Segoe UI"/>
        </w:rPr>
        <w:t>Behavioral Scientist</w:t>
      </w:r>
    </w:p>
    <w:p w14:paraId="16027E30" w14:textId="77777777" w:rsidR="00EA2A54" w:rsidRPr="00EF7DDA" w:rsidRDefault="00EA2A54">
      <w:pPr>
        <w:ind w:left="0"/>
        <w:rPr>
          <w:rFonts w:cs="Segoe UI"/>
        </w:rPr>
      </w:pPr>
      <w:r w:rsidRPr="00EF7DDA">
        <w:rPr>
          <w:rFonts w:cs="Segoe UI"/>
        </w:rPr>
        <w:t>National Center for Injury Prevention and Control (NCIPC)</w:t>
      </w:r>
    </w:p>
    <w:p w14:paraId="78AFB3AD" w14:textId="77777777" w:rsidR="00EA2A54" w:rsidRPr="00EF7DDA" w:rsidRDefault="00EA2A54">
      <w:pPr>
        <w:ind w:left="0"/>
        <w:rPr>
          <w:rFonts w:cs="Segoe UI"/>
        </w:rPr>
      </w:pPr>
      <w:r w:rsidRPr="00EF7DDA">
        <w:rPr>
          <w:rFonts w:cs="Segoe UI"/>
        </w:rPr>
        <w:t>Centers for Disease Control and Prevention (CDC)</w:t>
      </w:r>
    </w:p>
    <w:p w14:paraId="078CF58D" w14:textId="77777777" w:rsidR="00EA2A54" w:rsidRPr="00EF7DDA" w:rsidRDefault="00EA2A54">
      <w:pPr>
        <w:ind w:left="0"/>
        <w:rPr>
          <w:rFonts w:cs="Segoe UI"/>
        </w:rPr>
      </w:pPr>
      <w:r w:rsidRPr="00EF7DDA">
        <w:rPr>
          <w:rFonts w:cs="Segoe UI"/>
        </w:rPr>
        <w:t>4700 Buford Highway NE, Mailstop F-64, Atlanta, GA 30341-3717</w:t>
      </w:r>
    </w:p>
    <w:p w14:paraId="13F1266E" w14:textId="77777777" w:rsidR="00EF7DDA" w:rsidRPr="00EF7DDA" w:rsidRDefault="00EF7DDA">
      <w:pPr>
        <w:ind w:left="0"/>
        <w:rPr>
          <w:rFonts w:cs="Segoe UI"/>
        </w:rPr>
      </w:pPr>
      <w:r w:rsidRPr="00EF7DDA">
        <w:rPr>
          <w:rFonts w:cs="Segoe UI"/>
        </w:rPr>
        <w:t xml:space="preserve">TEL: </w:t>
      </w:r>
      <w:r w:rsidR="00EA2A54" w:rsidRPr="00EF7DDA">
        <w:rPr>
          <w:rFonts w:cs="Segoe UI"/>
        </w:rPr>
        <w:t>770.</w:t>
      </w:r>
      <w:r w:rsidRPr="00EF7DDA">
        <w:rPr>
          <w:rFonts w:cs="Segoe UI"/>
        </w:rPr>
        <w:t>488.0046</w:t>
      </w:r>
    </w:p>
    <w:p w14:paraId="45B4E5E2" w14:textId="55891931" w:rsidR="00EA2A54" w:rsidRPr="00EF7DDA" w:rsidRDefault="00EF7DDA">
      <w:pPr>
        <w:ind w:left="0"/>
        <w:rPr>
          <w:rFonts w:cs="Segoe UI"/>
        </w:rPr>
      </w:pPr>
      <w:r w:rsidRPr="00EF7DDA">
        <w:rPr>
          <w:rFonts w:cs="Segoe UI"/>
        </w:rPr>
        <w:t>FAX</w:t>
      </w:r>
      <w:r w:rsidR="00EA2A54" w:rsidRPr="00EF7DDA">
        <w:rPr>
          <w:rFonts w:cs="Segoe UI"/>
        </w:rPr>
        <w:t>: 770.488.4349</w:t>
      </w:r>
    </w:p>
    <w:p w14:paraId="6F96F379" w14:textId="3EF0E500" w:rsidR="000B0962" w:rsidRPr="00EF7DDA" w:rsidRDefault="00EF7DDA">
      <w:pPr>
        <w:ind w:left="0"/>
        <w:rPr>
          <w:rFonts w:ascii="Segoe UI" w:hAnsi="Segoe UI" w:cs="Segoe UI"/>
          <w:sz w:val="20"/>
          <w:szCs w:val="20"/>
        </w:rPr>
      </w:pPr>
      <w:r w:rsidRPr="00EF7DDA">
        <w:t>wuw9@cdc.gov</w:t>
      </w:r>
    </w:p>
    <w:p w14:paraId="0D075070" w14:textId="77777777" w:rsidR="000B0962" w:rsidRDefault="000B0962"/>
    <w:p w14:paraId="6CA58651" w14:textId="77777777" w:rsidR="00CA5840" w:rsidRDefault="00CA5840">
      <w:pPr>
        <w:tabs>
          <w:tab w:val="clear" w:pos="9360"/>
        </w:tabs>
        <w:ind w:left="0"/>
        <w:rPr>
          <w:b/>
          <w:sz w:val="28"/>
        </w:rPr>
      </w:pPr>
      <w:r>
        <w:br w:type="page"/>
      </w:r>
    </w:p>
    <w:p w14:paraId="251EC305" w14:textId="77777777" w:rsidR="003860A5" w:rsidRDefault="003860A5">
      <w:pPr>
        <w:pStyle w:val="Heading3"/>
        <w:ind w:left="0"/>
      </w:pPr>
      <w:bookmarkStart w:id="1" w:name="_Toc427752811"/>
      <w:r>
        <w:lastRenderedPageBreak/>
        <w:t>Table of Contents</w:t>
      </w:r>
      <w:bookmarkEnd w:id="1"/>
    </w:p>
    <w:p w14:paraId="282C5861" w14:textId="77777777" w:rsidR="003860A5" w:rsidRPr="003860A5" w:rsidRDefault="003860A5"/>
    <w:p w14:paraId="4847589B" w14:textId="77777777" w:rsidR="00CC4DAB" w:rsidRDefault="003860A5">
      <w:pPr>
        <w:pStyle w:val="TOC1"/>
        <w:tabs>
          <w:tab w:val="right" w:leader="dot" w:pos="9350"/>
        </w:tabs>
        <w:spacing w:after="0"/>
        <w:rPr>
          <w:rFonts w:asciiTheme="minorHAnsi" w:hAnsiTheme="minorHAnsi"/>
          <w:noProof/>
        </w:rPr>
      </w:pPr>
      <w:r>
        <w:fldChar w:fldCharType="begin"/>
      </w:r>
      <w:r>
        <w:instrText xml:space="preserve"> TOC \h \z \u \t "Heading 3,1,Heading 4,2" </w:instrText>
      </w:r>
      <w:r>
        <w:fldChar w:fldCharType="separate"/>
      </w:r>
      <w:hyperlink w:anchor="_Toc427752811" w:history="1">
        <w:r w:rsidR="00CC4DAB" w:rsidRPr="00A94C41">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832525">
          <w:rPr>
            <w:noProof/>
            <w:webHidden/>
          </w:rPr>
          <w:t>2</w:t>
        </w:r>
        <w:r w:rsidR="00CC4DAB">
          <w:rPr>
            <w:noProof/>
            <w:webHidden/>
          </w:rPr>
          <w:fldChar w:fldCharType="end"/>
        </w:r>
      </w:hyperlink>
    </w:p>
    <w:p w14:paraId="741F0434" w14:textId="77777777" w:rsidR="00CC4DAB" w:rsidRDefault="00C72B44">
      <w:pPr>
        <w:pStyle w:val="TOC1"/>
        <w:tabs>
          <w:tab w:val="right" w:leader="dot" w:pos="9350"/>
        </w:tabs>
        <w:spacing w:after="0"/>
        <w:rPr>
          <w:rFonts w:asciiTheme="minorHAnsi" w:hAnsiTheme="minorHAnsi"/>
          <w:noProof/>
        </w:rPr>
      </w:pPr>
      <w:hyperlink w:anchor="_Toc427752813" w:history="1">
        <w:r w:rsidR="00CC4DAB" w:rsidRPr="00A94C41">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832525">
          <w:rPr>
            <w:noProof/>
            <w:webHidden/>
          </w:rPr>
          <w:t>3</w:t>
        </w:r>
        <w:r w:rsidR="00CC4DAB">
          <w:rPr>
            <w:noProof/>
            <w:webHidden/>
          </w:rPr>
          <w:fldChar w:fldCharType="end"/>
        </w:r>
      </w:hyperlink>
    </w:p>
    <w:p w14:paraId="64F12D2F" w14:textId="77777777" w:rsidR="00CC4DAB" w:rsidRDefault="00C72B44" w:rsidP="001657BC">
      <w:pPr>
        <w:pStyle w:val="TOC2"/>
        <w:rPr>
          <w:rFonts w:asciiTheme="minorHAnsi" w:hAnsiTheme="minorHAnsi"/>
          <w:noProof/>
        </w:rPr>
      </w:pPr>
      <w:hyperlink w:anchor="_Toc427752814" w:history="1">
        <w:r w:rsidR="00CC4DAB" w:rsidRPr="00A94C41">
          <w:rPr>
            <w:rStyle w:val="Hyperlink"/>
            <w:noProof/>
          </w:rPr>
          <w:t>1.</w:t>
        </w:r>
        <w:r w:rsidR="00CC4DAB">
          <w:rPr>
            <w:rFonts w:asciiTheme="minorHAnsi" w:hAnsiTheme="minorHAnsi"/>
            <w:noProof/>
          </w:rPr>
          <w:tab/>
        </w:r>
        <w:r w:rsidR="00CC4DAB" w:rsidRPr="00A94C41">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832525">
          <w:rPr>
            <w:noProof/>
            <w:webHidden/>
          </w:rPr>
          <w:t>3</w:t>
        </w:r>
        <w:r w:rsidR="00CC4DAB">
          <w:rPr>
            <w:noProof/>
            <w:webHidden/>
          </w:rPr>
          <w:fldChar w:fldCharType="end"/>
        </w:r>
      </w:hyperlink>
    </w:p>
    <w:p w14:paraId="135F4C4D" w14:textId="59A7380C" w:rsidR="00CC4DAB" w:rsidRDefault="00C72B44" w:rsidP="001657BC">
      <w:pPr>
        <w:pStyle w:val="TOC2"/>
        <w:rPr>
          <w:rFonts w:asciiTheme="minorHAnsi" w:hAnsiTheme="minorHAnsi"/>
          <w:noProof/>
        </w:rPr>
      </w:pPr>
      <w:hyperlink w:anchor="_Toc427752815" w:history="1">
        <w:r w:rsidR="00CC4DAB" w:rsidRPr="00A94C41">
          <w:rPr>
            <w:rStyle w:val="Hyperlink"/>
            <w:noProof/>
          </w:rPr>
          <w:t>2.</w:t>
        </w:r>
        <w:r w:rsidR="00CC4DAB">
          <w:rPr>
            <w:rFonts w:asciiTheme="minorHAnsi" w:hAnsiTheme="minorHAnsi"/>
            <w:noProof/>
          </w:rPr>
          <w:tab/>
        </w:r>
        <w:r w:rsidR="00CC4DAB" w:rsidRPr="00A94C41">
          <w:rPr>
            <w:rStyle w:val="Hyperlink"/>
            <w:noProof/>
          </w:rPr>
          <w:t>Purpose and Use of the Information Collection</w:t>
        </w:r>
        <w:r w:rsidR="00CC4DAB">
          <w:rPr>
            <w:noProof/>
            <w:webHidden/>
          </w:rPr>
          <w:tab/>
        </w:r>
        <w:r w:rsidR="00CC4DAB">
          <w:rPr>
            <w:noProof/>
            <w:webHidden/>
          </w:rPr>
          <w:fldChar w:fldCharType="begin"/>
        </w:r>
        <w:r w:rsidR="00CC4DAB">
          <w:rPr>
            <w:noProof/>
            <w:webHidden/>
          </w:rPr>
          <w:instrText xml:space="preserve"> PAGEREF _Toc427752815 \h </w:instrText>
        </w:r>
        <w:r w:rsidR="00CC4DAB">
          <w:rPr>
            <w:noProof/>
            <w:webHidden/>
          </w:rPr>
        </w:r>
        <w:r w:rsidR="00CC4DAB">
          <w:rPr>
            <w:noProof/>
            <w:webHidden/>
          </w:rPr>
          <w:fldChar w:fldCharType="separate"/>
        </w:r>
        <w:r w:rsidR="00832525">
          <w:rPr>
            <w:noProof/>
            <w:webHidden/>
          </w:rPr>
          <w:t>9</w:t>
        </w:r>
        <w:r w:rsidR="00CC4DAB">
          <w:rPr>
            <w:noProof/>
            <w:webHidden/>
          </w:rPr>
          <w:fldChar w:fldCharType="end"/>
        </w:r>
      </w:hyperlink>
    </w:p>
    <w:p w14:paraId="49FEF2D9" w14:textId="7F1E0EFB" w:rsidR="00CC4DAB" w:rsidRDefault="00C72B44">
      <w:pPr>
        <w:pStyle w:val="TOC2"/>
        <w:rPr>
          <w:rFonts w:asciiTheme="minorHAnsi" w:hAnsiTheme="minorHAnsi"/>
          <w:noProof/>
        </w:rPr>
      </w:pPr>
      <w:hyperlink w:anchor="_Toc427752816" w:history="1">
        <w:r w:rsidR="00CC4DAB" w:rsidRPr="00A94C41">
          <w:rPr>
            <w:rStyle w:val="Hyperlink"/>
            <w:noProof/>
          </w:rPr>
          <w:t>3.</w:t>
        </w:r>
        <w:r w:rsidR="00CC4DAB">
          <w:rPr>
            <w:rFonts w:asciiTheme="minorHAnsi" w:hAnsiTheme="minorHAnsi"/>
            <w:noProof/>
          </w:rPr>
          <w:tab/>
        </w:r>
        <w:r w:rsidR="00CC4DAB" w:rsidRPr="00A94C41">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832525">
          <w:rPr>
            <w:noProof/>
            <w:webHidden/>
          </w:rPr>
          <w:t>10</w:t>
        </w:r>
        <w:r w:rsidR="00CC4DAB">
          <w:rPr>
            <w:noProof/>
            <w:webHidden/>
          </w:rPr>
          <w:fldChar w:fldCharType="end"/>
        </w:r>
      </w:hyperlink>
    </w:p>
    <w:p w14:paraId="54B7569B" w14:textId="3F319F3B" w:rsidR="00CC4DAB" w:rsidRDefault="00C72B44">
      <w:pPr>
        <w:pStyle w:val="TOC2"/>
        <w:rPr>
          <w:rFonts w:asciiTheme="minorHAnsi" w:hAnsiTheme="minorHAnsi"/>
          <w:noProof/>
        </w:rPr>
      </w:pPr>
      <w:hyperlink w:anchor="_Toc427752817" w:history="1">
        <w:r w:rsidR="00CC4DAB" w:rsidRPr="00A94C41">
          <w:rPr>
            <w:rStyle w:val="Hyperlink"/>
            <w:noProof/>
          </w:rPr>
          <w:t>4.</w:t>
        </w:r>
        <w:r w:rsidR="00CC4DAB">
          <w:rPr>
            <w:rFonts w:asciiTheme="minorHAnsi" w:hAnsiTheme="minorHAnsi"/>
            <w:noProof/>
          </w:rPr>
          <w:tab/>
        </w:r>
        <w:r w:rsidR="00CC4DAB" w:rsidRPr="00A94C41">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832525">
          <w:rPr>
            <w:noProof/>
            <w:webHidden/>
          </w:rPr>
          <w:t>10</w:t>
        </w:r>
        <w:r w:rsidR="00CC4DAB">
          <w:rPr>
            <w:noProof/>
            <w:webHidden/>
          </w:rPr>
          <w:fldChar w:fldCharType="end"/>
        </w:r>
      </w:hyperlink>
    </w:p>
    <w:p w14:paraId="1882681B" w14:textId="6DB67193" w:rsidR="00CC4DAB" w:rsidRDefault="00C72B44">
      <w:pPr>
        <w:pStyle w:val="TOC2"/>
        <w:rPr>
          <w:rFonts w:asciiTheme="minorHAnsi" w:hAnsiTheme="minorHAnsi"/>
          <w:noProof/>
        </w:rPr>
      </w:pPr>
      <w:hyperlink w:anchor="_Toc427752818" w:history="1">
        <w:r w:rsidR="00CC4DAB" w:rsidRPr="00A94C41">
          <w:rPr>
            <w:rStyle w:val="Hyperlink"/>
            <w:noProof/>
          </w:rPr>
          <w:t>5.</w:t>
        </w:r>
        <w:r w:rsidR="00CC4DAB">
          <w:rPr>
            <w:rFonts w:asciiTheme="minorHAnsi" w:hAnsiTheme="minorHAnsi"/>
            <w:noProof/>
          </w:rPr>
          <w:tab/>
        </w:r>
        <w:r w:rsidR="00CC4DAB" w:rsidRPr="00A94C41">
          <w:rPr>
            <w:rStyle w:val="Hyperlink"/>
            <w:noProof/>
          </w:rPr>
          <w:t>Impact on Small Businesses or Other Small Entities</w:t>
        </w:r>
        <w:r w:rsidR="00CC4DAB">
          <w:rPr>
            <w:noProof/>
            <w:webHidden/>
          </w:rPr>
          <w:tab/>
        </w:r>
        <w:r w:rsidR="00CC4DAB">
          <w:rPr>
            <w:noProof/>
            <w:webHidden/>
          </w:rPr>
          <w:fldChar w:fldCharType="begin"/>
        </w:r>
        <w:r w:rsidR="00CC4DAB">
          <w:rPr>
            <w:noProof/>
            <w:webHidden/>
          </w:rPr>
          <w:instrText xml:space="preserve"> PAGEREF _Toc427752818 \h </w:instrText>
        </w:r>
        <w:r w:rsidR="00CC4DAB">
          <w:rPr>
            <w:noProof/>
            <w:webHidden/>
          </w:rPr>
        </w:r>
        <w:r w:rsidR="00CC4DAB">
          <w:rPr>
            <w:noProof/>
            <w:webHidden/>
          </w:rPr>
          <w:fldChar w:fldCharType="separate"/>
        </w:r>
        <w:r w:rsidR="00832525">
          <w:rPr>
            <w:noProof/>
            <w:webHidden/>
          </w:rPr>
          <w:t>10</w:t>
        </w:r>
        <w:r w:rsidR="00CC4DAB">
          <w:rPr>
            <w:noProof/>
            <w:webHidden/>
          </w:rPr>
          <w:fldChar w:fldCharType="end"/>
        </w:r>
      </w:hyperlink>
    </w:p>
    <w:p w14:paraId="5DE08795" w14:textId="0B2FF7C3" w:rsidR="00CC4DAB" w:rsidRDefault="00C72B44">
      <w:pPr>
        <w:pStyle w:val="TOC2"/>
        <w:rPr>
          <w:rFonts w:asciiTheme="minorHAnsi" w:hAnsiTheme="minorHAnsi"/>
          <w:noProof/>
        </w:rPr>
      </w:pPr>
      <w:hyperlink w:anchor="_Toc427752819" w:history="1">
        <w:r w:rsidR="00CC4DAB" w:rsidRPr="00A94C41">
          <w:rPr>
            <w:rStyle w:val="Hyperlink"/>
            <w:noProof/>
          </w:rPr>
          <w:t>6.</w:t>
        </w:r>
        <w:r w:rsidR="00CC4DAB">
          <w:rPr>
            <w:rFonts w:asciiTheme="minorHAnsi" w:hAnsiTheme="minorHAnsi"/>
            <w:noProof/>
          </w:rPr>
          <w:tab/>
        </w:r>
        <w:r w:rsidR="00CC4DAB" w:rsidRPr="00A94C41">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832525">
          <w:rPr>
            <w:noProof/>
            <w:webHidden/>
          </w:rPr>
          <w:t>10</w:t>
        </w:r>
        <w:r w:rsidR="00CC4DAB">
          <w:rPr>
            <w:noProof/>
            <w:webHidden/>
          </w:rPr>
          <w:fldChar w:fldCharType="end"/>
        </w:r>
      </w:hyperlink>
    </w:p>
    <w:p w14:paraId="09BE4CAD" w14:textId="6E697A94" w:rsidR="00CC4DAB" w:rsidRDefault="00C72B44">
      <w:pPr>
        <w:pStyle w:val="TOC2"/>
        <w:rPr>
          <w:rFonts w:asciiTheme="minorHAnsi" w:hAnsiTheme="minorHAnsi"/>
          <w:noProof/>
        </w:rPr>
      </w:pPr>
      <w:hyperlink w:anchor="_Toc427752820" w:history="1">
        <w:r w:rsidR="00CC4DAB" w:rsidRPr="00A94C41">
          <w:rPr>
            <w:rStyle w:val="Hyperlink"/>
            <w:noProof/>
          </w:rPr>
          <w:t>7.</w:t>
        </w:r>
        <w:r w:rsidR="00CC4DAB">
          <w:rPr>
            <w:rFonts w:asciiTheme="minorHAnsi" w:hAnsiTheme="minorHAnsi"/>
            <w:noProof/>
          </w:rPr>
          <w:tab/>
        </w:r>
        <w:r w:rsidR="00CC4DAB" w:rsidRPr="00A94C41">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832525">
          <w:rPr>
            <w:noProof/>
            <w:webHidden/>
          </w:rPr>
          <w:t>10</w:t>
        </w:r>
        <w:r w:rsidR="00CC4DAB">
          <w:rPr>
            <w:noProof/>
            <w:webHidden/>
          </w:rPr>
          <w:fldChar w:fldCharType="end"/>
        </w:r>
      </w:hyperlink>
    </w:p>
    <w:p w14:paraId="649051C0" w14:textId="4A40A1EC" w:rsidR="00CC4DAB" w:rsidRDefault="00C72B44">
      <w:pPr>
        <w:pStyle w:val="TOC2"/>
        <w:rPr>
          <w:rFonts w:asciiTheme="minorHAnsi" w:hAnsiTheme="minorHAnsi"/>
          <w:noProof/>
        </w:rPr>
      </w:pPr>
      <w:hyperlink w:anchor="_Toc427752821" w:history="1">
        <w:r w:rsidR="00CC4DAB" w:rsidRPr="00A94C41">
          <w:rPr>
            <w:rStyle w:val="Hyperlink"/>
            <w:noProof/>
          </w:rPr>
          <w:t>8.</w:t>
        </w:r>
        <w:r w:rsidR="00CC4DAB">
          <w:rPr>
            <w:rFonts w:asciiTheme="minorHAnsi" w:hAnsiTheme="minorHAnsi"/>
            <w:noProof/>
          </w:rPr>
          <w:tab/>
        </w:r>
        <w:r w:rsidR="00CC4DAB" w:rsidRPr="00A94C41">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832525">
          <w:rPr>
            <w:noProof/>
            <w:webHidden/>
          </w:rPr>
          <w:t>11</w:t>
        </w:r>
        <w:r w:rsidR="00CC4DAB">
          <w:rPr>
            <w:noProof/>
            <w:webHidden/>
          </w:rPr>
          <w:fldChar w:fldCharType="end"/>
        </w:r>
      </w:hyperlink>
    </w:p>
    <w:p w14:paraId="0F9D28D7" w14:textId="2C90A969" w:rsidR="00CC4DAB" w:rsidRDefault="00C72B44">
      <w:pPr>
        <w:pStyle w:val="TOC2"/>
        <w:rPr>
          <w:rFonts w:asciiTheme="minorHAnsi" w:hAnsiTheme="minorHAnsi"/>
          <w:noProof/>
        </w:rPr>
      </w:pPr>
      <w:hyperlink w:anchor="_Toc427752822" w:history="1">
        <w:r w:rsidR="00CC4DAB" w:rsidRPr="00A94C41">
          <w:rPr>
            <w:rStyle w:val="Hyperlink"/>
            <w:noProof/>
          </w:rPr>
          <w:t>9.</w:t>
        </w:r>
        <w:r w:rsidR="00CC4DAB">
          <w:rPr>
            <w:rFonts w:asciiTheme="minorHAnsi" w:hAnsiTheme="minorHAnsi"/>
            <w:noProof/>
          </w:rPr>
          <w:tab/>
        </w:r>
        <w:r w:rsidR="00CC4DAB" w:rsidRPr="00A94C41">
          <w:rPr>
            <w:rStyle w:val="Hyperlink"/>
            <w:noProof/>
          </w:rPr>
          <w:t>Explanation of Any Payment or Gift to Respondents</w:t>
        </w:r>
        <w:r w:rsidR="00CC4DAB">
          <w:rPr>
            <w:noProof/>
            <w:webHidden/>
          </w:rPr>
          <w:tab/>
        </w:r>
        <w:r w:rsidR="00CC4DAB">
          <w:rPr>
            <w:noProof/>
            <w:webHidden/>
          </w:rPr>
          <w:fldChar w:fldCharType="begin"/>
        </w:r>
        <w:r w:rsidR="00CC4DAB">
          <w:rPr>
            <w:noProof/>
            <w:webHidden/>
          </w:rPr>
          <w:instrText xml:space="preserve"> PAGEREF _Toc427752822 \h </w:instrText>
        </w:r>
        <w:r w:rsidR="00CC4DAB">
          <w:rPr>
            <w:noProof/>
            <w:webHidden/>
          </w:rPr>
        </w:r>
        <w:r w:rsidR="00CC4DAB">
          <w:rPr>
            <w:noProof/>
            <w:webHidden/>
          </w:rPr>
          <w:fldChar w:fldCharType="separate"/>
        </w:r>
        <w:r w:rsidR="00832525">
          <w:rPr>
            <w:noProof/>
            <w:webHidden/>
          </w:rPr>
          <w:t>11</w:t>
        </w:r>
        <w:r w:rsidR="00CC4DAB">
          <w:rPr>
            <w:noProof/>
            <w:webHidden/>
          </w:rPr>
          <w:fldChar w:fldCharType="end"/>
        </w:r>
      </w:hyperlink>
    </w:p>
    <w:p w14:paraId="1B347DC6" w14:textId="44BFF058" w:rsidR="00CC4DAB" w:rsidRDefault="00C72B44">
      <w:pPr>
        <w:pStyle w:val="TOC2"/>
        <w:rPr>
          <w:rFonts w:asciiTheme="minorHAnsi" w:hAnsiTheme="minorHAnsi"/>
          <w:noProof/>
        </w:rPr>
      </w:pPr>
      <w:hyperlink w:anchor="_Toc427752823" w:history="1">
        <w:r w:rsidR="00CC4DAB" w:rsidRPr="00A94C41">
          <w:rPr>
            <w:rStyle w:val="Hyperlink"/>
            <w:noProof/>
          </w:rPr>
          <w:t>10.</w:t>
        </w:r>
        <w:r w:rsidR="00CC4DAB">
          <w:rPr>
            <w:rFonts w:asciiTheme="minorHAnsi" w:hAnsiTheme="minorHAnsi"/>
            <w:noProof/>
          </w:rPr>
          <w:tab/>
        </w:r>
        <w:r w:rsidR="00CC4DAB" w:rsidRPr="00A94C41">
          <w:rPr>
            <w:rStyle w:val="Hyperlink"/>
            <w:noProof/>
          </w:rPr>
          <w:t>Protection of the Privacy and Confidentiality of Information Provided by Respondents</w:t>
        </w:r>
        <w:r w:rsidR="00CC4DAB">
          <w:rPr>
            <w:noProof/>
            <w:webHidden/>
          </w:rPr>
          <w:tab/>
        </w:r>
        <w:r w:rsidR="00CC4DAB">
          <w:rPr>
            <w:noProof/>
            <w:webHidden/>
          </w:rPr>
          <w:fldChar w:fldCharType="begin"/>
        </w:r>
        <w:r w:rsidR="00CC4DAB">
          <w:rPr>
            <w:noProof/>
            <w:webHidden/>
          </w:rPr>
          <w:instrText xml:space="preserve"> PAGEREF _Toc427752823 \h </w:instrText>
        </w:r>
        <w:r w:rsidR="00CC4DAB">
          <w:rPr>
            <w:noProof/>
            <w:webHidden/>
          </w:rPr>
        </w:r>
        <w:r w:rsidR="00CC4DAB">
          <w:rPr>
            <w:noProof/>
            <w:webHidden/>
          </w:rPr>
          <w:fldChar w:fldCharType="separate"/>
        </w:r>
        <w:r w:rsidR="00832525">
          <w:rPr>
            <w:noProof/>
            <w:webHidden/>
          </w:rPr>
          <w:t>11</w:t>
        </w:r>
        <w:r w:rsidR="00CC4DAB">
          <w:rPr>
            <w:noProof/>
            <w:webHidden/>
          </w:rPr>
          <w:fldChar w:fldCharType="end"/>
        </w:r>
      </w:hyperlink>
    </w:p>
    <w:p w14:paraId="47C9DB36" w14:textId="12743996" w:rsidR="00CC4DAB" w:rsidRDefault="00C72B44">
      <w:pPr>
        <w:pStyle w:val="TOC2"/>
        <w:rPr>
          <w:rFonts w:asciiTheme="minorHAnsi" w:hAnsiTheme="minorHAnsi"/>
          <w:noProof/>
        </w:rPr>
      </w:pPr>
      <w:hyperlink w:anchor="_Toc427752824" w:history="1">
        <w:r w:rsidR="00CC4DAB" w:rsidRPr="00A94C41">
          <w:rPr>
            <w:rStyle w:val="Hyperlink"/>
            <w:noProof/>
          </w:rPr>
          <w:t>11.</w:t>
        </w:r>
        <w:r w:rsidR="00CC4DAB">
          <w:rPr>
            <w:rFonts w:asciiTheme="minorHAnsi" w:hAnsiTheme="minorHAnsi"/>
            <w:noProof/>
          </w:rPr>
          <w:tab/>
        </w:r>
        <w:r w:rsidR="00CC4DAB" w:rsidRPr="00A94C41">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832525">
          <w:rPr>
            <w:noProof/>
            <w:webHidden/>
          </w:rPr>
          <w:t>11</w:t>
        </w:r>
        <w:r w:rsidR="00CC4DAB">
          <w:rPr>
            <w:noProof/>
            <w:webHidden/>
          </w:rPr>
          <w:fldChar w:fldCharType="end"/>
        </w:r>
      </w:hyperlink>
    </w:p>
    <w:p w14:paraId="25EB8EFF" w14:textId="0FD1EC43" w:rsidR="00CC4DAB" w:rsidRDefault="00C72B44">
      <w:pPr>
        <w:pStyle w:val="TOC2"/>
        <w:rPr>
          <w:rFonts w:asciiTheme="minorHAnsi" w:hAnsiTheme="minorHAnsi"/>
          <w:noProof/>
        </w:rPr>
      </w:pPr>
      <w:hyperlink w:anchor="_Toc427752825" w:history="1">
        <w:r w:rsidR="00CC4DAB" w:rsidRPr="00A94C41">
          <w:rPr>
            <w:rStyle w:val="Hyperlink"/>
            <w:noProof/>
          </w:rPr>
          <w:t>12.</w:t>
        </w:r>
        <w:r w:rsidR="00CC4DAB">
          <w:rPr>
            <w:rFonts w:asciiTheme="minorHAnsi" w:hAnsiTheme="minorHAnsi"/>
            <w:noProof/>
          </w:rPr>
          <w:tab/>
        </w:r>
        <w:r w:rsidR="00CC4DAB" w:rsidRPr="00A94C41">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832525">
          <w:rPr>
            <w:noProof/>
            <w:webHidden/>
          </w:rPr>
          <w:t>11</w:t>
        </w:r>
        <w:r w:rsidR="00CC4DAB">
          <w:rPr>
            <w:noProof/>
            <w:webHidden/>
          </w:rPr>
          <w:fldChar w:fldCharType="end"/>
        </w:r>
      </w:hyperlink>
    </w:p>
    <w:p w14:paraId="58D98116" w14:textId="036185BC" w:rsidR="00CC4DAB" w:rsidRDefault="00C72B44">
      <w:pPr>
        <w:pStyle w:val="TOC2"/>
        <w:rPr>
          <w:rFonts w:asciiTheme="minorHAnsi" w:hAnsiTheme="minorHAnsi"/>
          <w:noProof/>
        </w:rPr>
      </w:pPr>
      <w:hyperlink w:anchor="_Toc427752826" w:history="1">
        <w:r w:rsidR="00CC4DAB" w:rsidRPr="00A94C41">
          <w:rPr>
            <w:rStyle w:val="Hyperlink"/>
            <w:noProof/>
          </w:rPr>
          <w:t>13.</w:t>
        </w:r>
        <w:r w:rsidR="00CC4DAB">
          <w:rPr>
            <w:rFonts w:asciiTheme="minorHAnsi" w:hAnsiTheme="minorHAnsi"/>
            <w:noProof/>
          </w:rPr>
          <w:tab/>
        </w:r>
        <w:r w:rsidR="00CC4DAB" w:rsidRPr="00A94C41">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832525">
          <w:rPr>
            <w:noProof/>
            <w:webHidden/>
          </w:rPr>
          <w:t>12</w:t>
        </w:r>
        <w:r w:rsidR="00CC4DAB">
          <w:rPr>
            <w:noProof/>
            <w:webHidden/>
          </w:rPr>
          <w:fldChar w:fldCharType="end"/>
        </w:r>
      </w:hyperlink>
    </w:p>
    <w:p w14:paraId="2B3A0887" w14:textId="4F542409" w:rsidR="00CC4DAB" w:rsidRDefault="00C72B44">
      <w:pPr>
        <w:pStyle w:val="TOC2"/>
        <w:rPr>
          <w:rFonts w:asciiTheme="minorHAnsi" w:hAnsiTheme="minorHAnsi"/>
          <w:noProof/>
        </w:rPr>
      </w:pPr>
      <w:hyperlink w:anchor="_Toc427752827" w:history="1">
        <w:r w:rsidR="00CC4DAB" w:rsidRPr="00A94C41">
          <w:rPr>
            <w:rStyle w:val="Hyperlink"/>
            <w:noProof/>
          </w:rPr>
          <w:t>14.</w:t>
        </w:r>
        <w:r w:rsidR="00CC4DAB">
          <w:rPr>
            <w:rFonts w:asciiTheme="minorHAnsi" w:hAnsiTheme="minorHAnsi"/>
            <w:noProof/>
          </w:rPr>
          <w:tab/>
        </w:r>
        <w:r w:rsidR="00CC4DAB" w:rsidRPr="00A94C41">
          <w:rPr>
            <w:rStyle w:val="Hyperlink"/>
            <w:noProof/>
          </w:rPr>
          <w:t>Annualized Cost to the Government</w:t>
        </w:r>
        <w:r w:rsidR="00CC4DAB">
          <w:rPr>
            <w:noProof/>
            <w:webHidden/>
          </w:rPr>
          <w:tab/>
        </w:r>
        <w:r w:rsidR="00CC4DAB">
          <w:rPr>
            <w:noProof/>
            <w:webHidden/>
          </w:rPr>
          <w:fldChar w:fldCharType="begin"/>
        </w:r>
        <w:r w:rsidR="00CC4DAB">
          <w:rPr>
            <w:noProof/>
            <w:webHidden/>
          </w:rPr>
          <w:instrText xml:space="preserve"> PAGEREF _Toc427752827 \h </w:instrText>
        </w:r>
        <w:r w:rsidR="00CC4DAB">
          <w:rPr>
            <w:noProof/>
            <w:webHidden/>
          </w:rPr>
        </w:r>
        <w:r w:rsidR="00CC4DAB">
          <w:rPr>
            <w:noProof/>
            <w:webHidden/>
          </w:rPr>
          <w:fldChar w:fldCharType="separate"/>
        </w:r>
        <w:r w:rsidR="00832525">
          <w:rPr>
            <w:noProof/>
            <w:webHidden/>
          </w:rPr>
          <w:t>12</w:t>
        </w:r>
        <w:r w:rsidR="00CC4DAB">
          <w:rPr>
            <w:noProof/>
            <w:webHidden/>
          </w:rPr>
          <w:fldChar w:fldCharType="end"/>
        </w:r>
      </w:hyperlink>
    </w:p>
    <w:p w14:paraId="6C65ED38" w14:textId="69F74396" w:rsidR="00CC4DAB" w:rsidRDefault="00C72B44">
      <w:pPr>
        <w:pStyle w:val="TOC2"/>
        <w:rPr>
          <w:rFonts w:asciiTheme="minorHAnsi" w:hAnsiTheme="minorHAnsi"/>
          <w:noProof/>
        </w:rPr>
      </w:pPr>
      <w:hyperlink w:anchor="_Toc427752828" w:history="1">
        <w:r w:rsidR="00CC4DAB" w:rsidRPr="00A94C41">
          <w:rPr>
            <w:rStyle w:val="Hyperlink"/>
            <w:noProof/>
          </w:rPr>
          <w:t>15.</w:t>
        </w:r>
        <w:r w:rsidR="00CC4DAB">
          <w:rPr>
            <w:rFonts w:asciiTheme="minorHAnsi" w:hAnsiTheme="minorHAnsi"/>
            <w:noProof/>
          </w:rPr>
          <w:tab/>
        </w:r>
        <w:r w:rsidR="00CC4DAB" w:rsidRPr="00A94C41">
          <w:rPr>
            <w:rStyle w:val="Hyperlink"/>
            <w:noProof/>
          </w:rPr>
          <w:t>Explanation for Program Changes or Adjustments</w:t>
        </w:r>
        <w:r w:rsidR="00CC4DAB">
          <w:rPr>
            <w:noProof/>
            <w:webHidden/>
          </w:rPr>
          <w:tab/>
        </w:r>
        <w:r w:rsidR="00CC4DAB">
          <w:rPr>
            <w:noProof/>
            <w:webHidden/>
          </w:rPr>
          <w:fldChar w:fldCharType="begin"/>
        </w:r>
        <w:r w:rsidR="00CC4DAB">
          <w:rPr>
            <w:noProof/>
            <w:webHidden/>
          </w:rPr>
          <w:instrText xml:space="preserve"> PAGEREF _Toc427752828 \h </w:instrText>
        </w:r>
        <w:r w:rsidR="00CC4DAB">
          <w:rPr>
            <w:noProof/>
            <w:webHidden/>
          </w:rPr>
        </w:r>
        <w:r w:rsidR="00CC4DAB">
          <w:rPr>
            <w:noProof/>
            <w:webHidden/>
          </w:rPr>
          <w:fldChar w:fldCharType="separate"/>
        </w:r>
        <w:r w:rsidR="00832525">
          <w:rPr>
            <w:noProof/>
            <w:webHidden/>
          </w:rPr>
          <w:t>13</w:t>
        </w:r>
        <w:r w:rsidR="00CC4DAB">
          <w:rPr>
            <w:noProof/>
            <w:webHidden/>
          </w:rPr>
          <w:fldChar w:fldCharType="end"/>
        </w:r>
      </w:hyperlink>
    </w:p>
    <w:p w14:paraId="1D4A76CE" w14:textId="4DE8B4EC" w:rsidR="00CC4DAB" w:rsidRDefault="00C72B44">
      <w:pPr>
        <w:pStyle w:val="TOC2"/>
        <w:rPr>
          <w:rFonts w:asciiTheme="minorHAnsi" w:hAnsiTheme="minorHAnsi"/>
          <w:noProof/>
        </w:rPr>
      </w:pPr>
      <w:hyperlink w:anchor="_Toc427752829" w:history="1">
        <w:r w:rsidR="00CC4DAB" w:rsidRPr="00A94C41">
          <w:rPr>
            <w:rStyle w:val="Hyperlink"/>
            <w:noProof/>
          </w:rPr>
          <w:t>16.</w:t>
        </w:r>
        <w:r w:rsidR="00CC4DAB">
          <w:rPr>
            <w:rFonts w:asciiTheme="minorHAnsi" w:hAnsiTheme="minorHAnsi"/>
            <w:noProof/>
          </w:rPr>
          <w:tab/>
        </w:r>
        <w:r w:rsidR="00CC4DAB" w:rsidRPr="00A94C41">
          <w:rPr>
            <w:rStyle w:val="Hyperlink"/>
            <w:noProof/>
          </w:rPr>
          <w:t>Plans for Tabulation and Publication and Project Time Schedule</w:t>
        </w:r>
        <w:r w:rsidR="00CC4DAB">
          <w:rPr>
            <w:noProof/>
            <w:webHidden/>
          </w:rPr>
          <w:tab/>
        </w:r>
        <w:r w:rsidR="00CC4DAB">
          <w:rPr>
            <w:noProof/>
            <w:webHidden/>
          </w:rPr>
          <w:fldChar w:fldCharType="begin"/>
        </w:r>
        <w:r w:rsidR="00CC4DAB">
          <w:rPr>
            <w:noProof/>
            <w:webHidden/>
          </w:rPr>
          <w:instrText xml:space="preserve"> PAGEREF _Toc427752829 \h </w:instrText>
        </w:r>
        <w:r w:rsidR="00CC4DAB">
          <w:rPr>
            <w:noProof/>
            <w:webHidden/>
          </w:rPr>
        </w:r>
        <w:r w:rsidR="00CC4DAB">
          <w:rPr>
            <w:noProof/>
            <w:webHidden/>
          </w:rPr>
          <w:fldChar w:fldCharType="separate"/>
        </w:r>
        <w:r w:rsidR="00832525">
          <w:rPr>
            <w:noProof/>
            <w:webHidden/>
          </w:rPr>
          <w:t>13</w:t>
        </w:r>
        <w:r w:rsidR="00CC4DAB">
          <w:rPr>
            <w:noProof/>
            <w:webHidden/>
          </w:rPr>
          <w:fldChar w:fldCharType="end"/>
        </w:r>
      </w:hyperlink>
    </w:p>
    <w:p w14:paraId="4CBC813F" w14:textId="73719CFF" w:rsidR="00CC4DAB" w:rsidRDefault="00C72B44">
      <w:pPr>
        <w:pStyle w:val="TOC2"/>
        <w:rPr>
          <w:rFonts w:asciiTheme="minorHAnsi" w:hAnsiTheme="minorHAnsi"/>
          <w:noProof/>
        </w:rPr>
      </w:pPr>
      <w:hyperlink w:anchor="_Toc427752830" w:history="1">
        <w:r w:rsidR="00CC4DAB" w:rsidRPr="00A94C41">
          <w:rPr>
            <w:rStyle w:val="Hyperlink"/>
            <w:noProof/>
          </w:rPr>
          <w:t>17.</w:t>
        </w:r>
        <w:r w:rsidR="00CC4DAB">
          <w:rPr>
            <w:rFonts w:asciiTheme="minorHAnsi" w:hAnsiTheme="minorHAnsi"/>
            <w:noProof/>
          </w:rPr>
          <w:tab/>
        </w:r>
        <w:r w:rsidR="00CC4DAB" w:rsidRPr="00A94C41">
          <w:rPr>
            <w:rStyle w:val="Hyperlink"/>
            <w:noProof/>
          </w:rPr>
          <w:t>Reason(s) Display of OMB Expiration Date is Inappropriate</w:t>
        </w:r>
        <w:r w:rsidR="00CC4DAB">
          <w:rPr>
            <w:noProof/>
            <w:webHidden/>
          </w:rPr>
          <w:tab/>
        </w:r>
        <w:r w:rsidR="00CC4DAB">
          <w:rPr>
            <w:noProof/>
            <w:webHidden/>
          </w:rPr>
          <w:fldChar w:fldCharType="begin"/>
        </w:r>
        <w:r w:rsidR="00CC4DAB">
          <w:rPr>
            <w:noProof/>
            <w:webHidden/>
          </w:rPr>
          <w:instrText xml:space="preserve"> PAGEREF _Toc427752830 \h </w:instrText>
        </w:r>
        <w:r w:rsidR="00CC4DAB">
          <w:rPr>
            <w:noProof/>
            <w:webHidden/>
          </w:rPr>
        </w:r>
        <w:r w:rsidR="00CC4DAB">
          <w:rPr>
            <w:noProof/>
            <w:webHidden/>
          </w:rPr>
          <w:fldChar w:fldCharType="separate"/>
        </w:r>
        <w:r w:rsidR="00832525">
          <w:rPr>
            <w:noProof/>
            <w:webHidden/>
          </w:rPr>
          <w:t>14</w:t>
        </w:r>
        <w:r w:rsidR="00CC4DAB">
          <w:rPr>
            <w:noProof/>
            <w:webHidden/>
          </w:rPr>
          <w:fldChar w:fldCharType="end"/>
        </w:r>
      </w:hyperlink>
    </w:p>
    <w:p w14:paraId="76B72181" w14:textId="68A0C59D" w:rsidR="00CC4DAB" w:rsidRDefault="00C72B44">
      <w:pPr>
        <w:pStyle w:val="TOC2"/>
        <w:rPr>
          <w:rFonts w:asciiTheme="minorHAnsi" w:hAnsiTheme="minorHAnsi"/>
          <w:noProof/>
        </w:rPr>
      </w:pPr>
      <w:hyperlink w:anchor="_Toc427752831" w:history="1">
        <w:r w:rsidR="00CC4DAB" w:rsidRPr="00A94C41">
          <w:rPr>
            <w:rStyle w:val="Hyperlink"/>
            <w:noProof/>
          </w:rPr>
          <w:t>18.</w:t>
        </w:r>
        <w:r w:rsidR="00CC4DAB">
          <w:rPr>
            <w:rFonts w:asciiTheme="minorHAnsi" w:hAnsiTheme="minorHAnsi"/>
            <w:noProof/>
          </w:rPr>
          <w:tab/>
        </w:r>
        <w:r w:rsidR="00CC4DAB" w:rsidRPr="00A94C41">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832525">
          <w:rPr>
            <w:noProof/>
            <w:webHidden/>
          </w:rPr>
          <w:t>14</w:t>
        </w:r>
        <w:r w:rsidR="00CC4DAB">
          <w:rPr>
            <w:noProof/>
            <w:webHidden/>
          </w:rPr>
          <w:fldChar w:fldCharType="end"/>
        </w:r>
      </w:hyperlink>
    </w:p>
    <w:p w14:paraId="6A8D46F9" w14:textId="7ACA1649" w:rsidR="00CC4DAB" w:rsidRDefault="00C72B44">
      <w:pPr>
        <w:pStyle w:val="TOC1"/>
        <w:tabs>
          <w:tab w:val="right" w:leader="dot" w:pos="9350"/>
        </w:tabs>
        <w:spacing w:after="0"/>
        <w:rPr>
          <w:rFonts w:asciiTheme="minorHAnsi" w:hAnsiTheme="minorHAnsi"/>
          <w:noProof/>
        </w:rPr>
      </w:pPr>
      <w:hyperlink w:anchor="_Toc427752832" w:history="1">
        <w:r w:rsidR="00CC4DAB" w:rsidRPr="00A94C41">
          <w:rPr>
            <w:rStyle w:val="Hyperlink"/>
            <w:noProof/>
          </w:rPr>
          <w:t>LIST OF ATTACHMENTS – Section A</w:t>
        </w:r>
        <w:r w:rsidR="00CC4DAB">
          <w:rPr>
            <w:noProof/>
            <w:webHidden/>
          </w:rPr>
          <w:tab/>
        </w:r>
        <w:r w:rsidR="00CC4DAB">
          <w:rPr>
            <w:noProof/>
            <w:webHidden/>
          </w:rPr>
          <w:fldChar w:fldCharType="begin"/>
        </w:r>
        <w:r w:rsidR="00CC4DAB">
          <w:rPr>
            <w:noProof/>
            <w:webHidden/>
          </w:rPr>
          <w:instrText xml:space="preserve"> PAGEREF _Toc427752832 \h </w:instrText>
        </w:r>
        <w:r w:rsidR="00CC4DAB">
          <w:rPr>
            <w:noProof/>
            <w:webHidden/>
          </w:rPr>
        </w:r>
        <w:r w:rsidR="00CC4DAB">
          <w:rPr>
            <w:noProof/>
            <w:webHidden/>
          </w:rPr>
          <w:fldChar w:fldCharType="separate"/>
        </w:r>
        <w:r w:rsidR="00832525">
          <w:rPr>
            <w:noProof/>
            <w:webHidden/>
          </w:rPr>
          <w:t>14</w:t>
        </w:r>
        <w:r w:rsidR="00CC4DAB">
          <w:rPr>
            <w:noProof/>
            <w:webHidden/>
          </w:rPr>
          <w:fldChar w:fldCharType="end"/>
        </w:r>
      </w:hyperlink>
    </w:p>
    <w:p w14:paraId="48E8BB10" w14:textId="35C5F132" w:rsidR="00CC4DAB" w:rsidRDefault="00C72B44">
      <w:pPr>
        <w:pStyle w:val="TOC1"/>
        <w:tabs>
          <w:tab w:val="right" w:leader="dot" w:pos="9350"/>
        </w:tabs>
        <w:spacing w:after="0"/>
        <w:rPr>
          <w:rFonts w:asciiTheme="minorHAnsi" w:hAnsiTheme="minorHAnsi"/>
          <w:noProof/>
        </w:rPr>
      </w:pPr>
      <w:hyperlink w:anchor="_Toc427752833" w:history="1">
        <w:r w:rsidR="00CC4DAB" w:rsidRPr="00A94C41">
          <w:rPr>
            <w:rStyle w:val="Hyperlink"/>
            <w:noProof/>
          </w:rPr>
          <w:t xml:space="preserve">REFERENCE LIST </w:t>
        </w:r>
        <w:r w:rsidR="00CC4DAB">
          <w:rPr>
            <w:noProof/>
            <w:webHidden/>
          </w:rPr>
          <w:tab/>
        </w:r>
        <w:r w:rsidR="00CC4DAB">
          <w:rPr>
            <w:noProof/>
            <w:webHidden/>
          </w:rPr>
          <w:fldChar w:fldCharType="begin"/>
        </w:r>
        <w:r w:rsidR="00CC4DAB">
          <w:rPr>
            <w:noProof/>
            <w:webHidden/>
          </w:rPr>
          <w:instrText xml:space="preserve"> PAGEREF _Toc427752833 \h </w:instrText>
        </w:r>
        <w:r w:rsidR="00CC4DAB">
          <w:rPr>
            <w:noProof/>
            <w:webHidden/>
          </w:rPr>
        </w:r>
        <w:r w:rsidR="00CC4DAB">
          <w:rPr>
            <w:noProof/>
            <w:webHidden/>
          </w:rPr>
          <w:fldChar w:fldCharType="separate"/>
        </w:r>
        <w:r w:rsidR="00832525">
          <w:rPr>
            <w:noProof/>
            <w:webHidden/>
          </w:rPr>
          <w:t>14</w:t>
        </w:r>
        <w:r w:rsidR="00CC4DAB">
          <w:rPr>
            <w:noProof/>
            <w:webHidden/>
          </w:rPr>
          <w:fldChar w:fldCharType="end"/>
        </w:r>
      </w:hyperlink>
    </w:p>
    <w:p w14:paraId="235D3147" w14:textId="77777777" w:rsidR="003860A5" w:rsidRDefault="003860A5" w:rsidP="0086542B">
      <w:pPr>
        <w:pStyle w:val="B1BodyCopy"/>
      </w:pPr>
      <w:r>
        <w:fldChar w:fldCharType="end"/>
      </w:r>
    </w:p>
    <w:p w14:paraId="493829D0" w14:textId="77777777" w:rsidR="00487937" w:rsidRDefault="00487937" w:rsidP="00A80D29">
      <w:pPr>
        <w:ind w:left="-90"/>
      </w:pPr>
      <w:bookmarkStart w:id="2" w:name="_Toc413847747"/>
      <w:bookmarkStart w:id="3" w:name="_Toc427752812"/>
      <w:r w:rsidRPr="00487937">
        <w:rPr>
          <w:rFonts w:eastAsia="Calibri"/>
          <w:noProof/>
        </w:rPr>
        <w:lastRenderedPageBreak/>
        <mc:AlternateContent>
          <mc:Choice Requires="wps">
            <w:drawing>
              <wp:inline distT="0" distB="0" distL="0" distR="0" wp14:anchorId="6B448C71" wp14:editId="3DCC16C6">
                <wp:extent cx="6012611" cy="5362575"/>
                <wp:effectExtent l="0" t="0" r="26670"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611" cy="5362575"/>
                        </a:xfrm>
                        <a:prstGeom prst="rect">
                          <a:avLst/>
                        </a:prstGeom>
                        <a:solidFill>
                          <a:srgbClr val="FFFFFF"/>
                        </a:solidFill>
                        <a:ln w="9525">
                          <a:solidFill>
                            <a:srgbClr val="000000"/>
                          </a:solidFill>
                          <a:miter lim="800000"/>
                          <a:headEnd/>
                          <a:tailEnd/>
                        </a:ln>
                      </wps:spPr>
                      <wps:txbx>
                        <w:txbxContent>
                          <w:p w14:paraId="5C1441A6" w14:textId="643301AA" w:rsidR="00CC40A3" w:rsidRPr="003F0B6F" w:rsidRDefault="00CC40A3" w:rsidP="003F0B6F">
                            <w:pPr>
                              <w:pStyle w:val="ListParagraph"/>
                              <w:numPr>
                                <w:ilvl w:val="0"/>
                                <w:numId w:val="34"/>
                              </w:numPr>
                            </w:pPr>
                            <w:r w:rsidRPr="00374985">
                              <w:rPr>
                                <w:b/>
                              </w:rPr>
                              <w:t>Goal</w:t>
                            </w:r>
                            <w:r>
                              <w:t xml:space="preserve">: The goal is to solicit nominations of practice-based sexual violence (SV) prevention strategies with the purpose of identifying prevention strategies that </w:t>
                            </w:r>
                            <w:r w:rsidRPr="006F3472">
                              <w:rPr>
                                <w:bCs/>
                              </w:rPr>
                              <w:t>(1) have high potential for population-level impact on SV outcomes</w:t>
                            </w:r>
                            <w:r>
                              <w:rPr>
                                <w:bCs/>
                              </w:rPr>
                              <w:t xml:space="preserve">, </w:t>
                            </w:r>
                            <w:r w:rsidRPr="006F3472">
                              <w:rPr>
                                <w:bCs/>
                              </w:rPr>
                              <w:t>(2) have high potential for widespread adoption</w:t>
                            </w:r>
                            <w:r>
                              <w:rPr>
                                <w:bCs/>
                              </w:rPr>
                              <w:t>, and (3) are ready for an evaluability assessment (EA) to be reviewed and considered for a site visit EA by CDC.</w:t>
                            </w:r>
                          </w:p>
                          <w:p w14:paraId="2588F51D" w14:textId="77777777" w:rsidR="00CC40A3" w:rsidRPr="003F0B6F" w:rsidRDefault="00CC40A3" w:rsidP="003F0B6F">
                            <w:pPr>
                              <w:pStyle w:val="ListParagraph"/>
                            </w:pPr>
                          </w:p>
                          <w:p w14:paraId="5AF0A3F4" w14:textId="71A8D956" w:rsidR="00CC40A3" w:rsidRPr="00EE5049" w:rsidRDefault="00CC40A3" w:rsidP="00EE5049">
                            <w:pPr>
                              <w:pStyle w:val="ListParagraph"/>
                              <w:numPr>
                                <w:ilvl w:val="0"/>
                                <w:numId w:val="44"/>
                              </w:numPr>
                              <w:rPr>
                                <w:rFonts w:cs="Arial"/>
                              </w:rPr>
                            </w:pPr>
                            <w:r w:rsidRPr="00EE5049">
                              <w:rPr>
                                <w:b/>
                              </w:rPr>
                              <w:t>Intended use of the resulting data</w:t>
                            </w:r>
                            <w:r w:rsidRPr="00542BE9">
                              <w:t xml:space="preserve">: </w:t>
                            </w:r>
                            <w:r>
                              <w:t>Data will be used by a review panel to assess and rate the prevention strategies, and make recommendations to CDC, who will use the findings to invite selected practice-based SV prevention strategies to undergo a site visit EA</w:t>
                            </w:r>
                            <w:r w:rsidRPr="00FD3220">
                              <w:t>.</w:t>
                            </w:r>
                            <w:r>
                              <w:t xml:space="preserve"> CDC will also use the results to develop briefs that describe the major features of each strategy, and some strategies may be considered for future CDC assessment activities. Moreover, the results and processes will be shared or published through reports, briefs, factsheets, PowerPoint presentations, manuscripts, peer-reviewed publications, or dissemination at national conferences about the process, results, and lessons learned to inform SV prevention evidence base and practice. </w:t>
                            </w:r>
                          </w:p>
                          <w:p w14:paraId="0688B8BB" w14:textId="08DB2A41" w:rsidR="00CC40A3" w:rsidRPr="003B2968" w:rsidRDefault="00CC40A3" w:rsidP="00EE5049">
                            <w:pPr>
                              <w:pStyle w:val="ListParagraph"/>
                              <w:tabs>
                                <w:tab w:val="clear" w:pos="9360"/>
                              </w:tabs>
                              <w:spacing w:after="200"/>
                              <w:ind w:left="360"/>
                            </w:pPr>
                          </w:p>
                          <w:p w14:paraId="46238665" w14:textId="73D312A2" w:rsidR="00CC40A3" w:rsidRDefault="00CC40A3" w:rsidP="00EF7DDA">
                            <w:pPr>
                              <w:pStyle w:val="ListParagraph"/>
                              <w:numPr>
                                <w:ilvl w:val="0"/>
                                <w:numId w:val="34"/>
                              </w:numPr>
                              <w:tabs>
                                <w:tab w:val="clear" w:pos="9360"/>
                              </w:tabs>
                              <w:spacing w:after="200"/>
                            </w:pPr>
                            <w:r w:rsidRPr="006A0D88">
                              <w:rPr>
                                <w:b/>
                              </w:rPr>
                              <w:t>Methods to be used to collect</w:t>
                            </w:r>
                            <w:r>
                              <w:rPr>
                                <w:b/>
                              </w:rPr>
                              <w:t xml:space="preserve">: </w:t>
                            </w:r>
                            <w:r w:rsidRPr="00C770FC">
                              <w:t xml:space="preserve">A </w:t>
                            </w:r>
                            <w:r>
                              <w:t xml:space="preserve">one-time web-based instrument (i.e., Sexual Violence Prevention Strategy Description) will be used to collect information about practice-based SV prevention strategies. </w:t>
                            </w:r>
                          </w:p>
                          <w:p w14:paraId="5BE7ADD3" w14:textId="77777777" w:rsidR="00CC40A3" w:rsidRPr="00E840F3" w:rsidRDefault="00CC40A3" w:rsidP="00EF7DDA">
                            <w:pPr>
                              <w:pStyle w:val="ListParagraph"/>
                              <w:ind w:left="360"/>
                              <w:rPr>
                                <w:rFonts w:cs="Segoe UI"/>
                              </w:rPr>
                            </w:pPr>
                          </w:p>
                          <w:p w14:paraId="5F320CD8" w14:textId="760BD953" w:rsidR="00CC40A3" w:rsidRDefault="00CC40A3" w:rsidP="003F0B6F">
                            <w:pPr>
                              <w:pStyle w:val="ListParagraph"/>
                              <w:numPr>
                                <w:ilvl w:val="0"/>
                                <w:numId w:val="44"/>
                              </w:numPr>
                            </w:pPr>
                            <w:r w:rsidRPr="00730B6B">
                              <w:rPr>
                                <w:b/>
                              </w:rPr>
                              <w:t xml:space="preserve">The subpopulation to be studied: </w:t>
                            </w:r>
                            <w:r w:rsidRPr="00871DC2">
                              <w:t>55</w:t>
                            </w:r>
                            <w:r w:rsidRPr="00730B6B">
                              <w:rPr>
                                <w:b/>
                              </w:rPr>
                              <w:t xml:space="preserve"> </w:t>
                            </w:r>
                            <w:r w:rsidRPr="009034C5">
                              <w:t xml:space="preserve">SV program managers </w:t>
                            </w:r>
                            <w:r>
                              <w:t>within</w:t>
                            </w:r>
                            <w:r w:rsidRPr="009034C5">
                              <w:t xml:space="preserve"> health departments in 50 states, the District of Columbia, and four U.S. territories (i.e., Commonwealth of Northern Mariana Islands, Guam, Puerto Rico, U.S. Virgin Islands) and 470 of their</w:t>
                            </w:r>
                            <w:r w:rsidRPr="00C770FC">
                              <w:t xml:space="preserve"> delegates </w:t>
                            </w:r>
                            <w:r>
                              <w:t xml:space="preserve"> located in all 50 states, the District of Columbia, and one territory. </w:t>
                            </w:r>
                          </w:p>
                          <w:p w14:paraId="6A949704" w14:textId="77777777" w:rsidR="00CC40A3" w:rsidRDefault="00CC40A3" w:rsidP="00730B6B">
                            <w:pPr>
                              <w:pStyle w:val="ListParagraph"/>
                              <w:ind w:left="360"/>
                            </w:pPr>
                          </w:p>
                          <w:p w14:paraId="2C6FA3F6" w14:textId="13C8EDD6" w:rsidR="00CC40A3" w:rsidRDefault="00CC40A3" w:rsidP="008D0902">
                            <w:pPr>
                              <w:pStyle w:val="ListParagraph"/>
                              <w:numPr>
                                <w:ilvl w:val="0"/>
                                <w:numId w:val="34"/>
                              </w:numPr>
                              <w:tabs>
                                <w:tab w:val="clear" w:pos="9360"/>
                              </w:tabs>
                              <w:spacing w:after="200"/>
                            </w:pPr>
                            <w:r w:rsidRPr="008D0902">
                              <w:rPr>
                                <w:b/>
                              </w:rPr>
                              <w:t>How data will be analyzed</w:t>
                            </w:r>
                            <w:r>
                              <w:t xml:space="preserve">: The information to be collected will be analyzed using descriptive statistics and qualitative content analysis. </w:t>
                            </w:r>
                          </w:p>
                        </w:txbxContent>
                      </wps:txbx>
                      <wps:bodyPr rot="0" vert="horz" wrap="square" lIns="91440" tIns="45720" rIns="91440" bIns="45720" anchor="t" anchorCtr="0">
                        <a:noAutofit/>
                      </wps:bodyPr>
                    </wps:wsp>
                  </a:graphicData>
                </a:graphic>
              </wp:inline>
            </w:drawing>
          </mc:Choice>
          <mc:Fallback>
            <w:pict>
              <v:shapetype w14:anchorId="6B448C71" id="_x0000_t202" coordsize="21600,21600" o:spt="202" path="m,l,21600r21600,l21600,xe">
                <v:stroke joinstyle="miter"/>
                <v:path gradientshapeok="t" o:connecttype="rect"/>
              </v:shapetype>
              <v:shape id="Text Box 2" o:spid="_x0000_s1026" type="#_x0000_t202" style="width:473.45pt;height:4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">
                <v:textbox>
                  <w:txbxContent>
                    <w:p w14:paraId="5C1441A6" w14:textId="643301AA" w:rsidR="00CC40A3" w:rsidRPr="003F0B6F" w:rsidRDefault="00CC40A3" w:rsidP="003F0B6F">
                      <w:pPr>
                        <w:pStyle w:val="ListParagraph"/>
                        <w:numPr>
                          <w:ilvl w:val="0"/>
                          <w:numId w:val="34"/>
                        </w:numPr>
                      </w:pPr>
                      <w:r w:rsidRPr="00374985">
                        <w:rPr>
                          <w:b/>
                        </w:rPr>
                        <w:t>Goal</w:t>
                      </w:r>
                      <w:r>
                        <w:t xml:space="preserve">: The goal is to solicit nominations of practice-based sexual violence (SV) prevention strategies with the purpose of identifying prevention strategies that </w:t>
                      </w:r>
                      <w:r w:rsidRPr="006F3472">
                        <w:rPr>
                          <w:bCs/>
                        </w:rPr>
                        <w:t>(1) have high potential for population-level impact on SV outcomes</w:t>
                      </w:r>
                      <w:r>
                        <w:rPr>
                          <w:bCs/>
                        </w:rPr>
                        <w:t xml:space="preserve">, </w:t>
                      </w:r>
                      <w:r w:rsidRPr="006F3472">
                        <w:rPr>
                          <w:bCs/>
                        </w:rPr>
                        <w:t>(2) have high potential for widespread adoption</w:t>
                      </w:r>
                      <w:r>
                        <w:rPr>
                          <w:bCs/>
                        </w:rPr>
                        <w:t>, and (3) are ready for an evaluability assessment (EA) to be reviewed and considered for a site visit EA by CDC.</w:t>
                      </w:r>
                    </w:p>
                    <w:p w14:paraId="2588F51D" w14:textId="77777777" w:rsidR="00CC40A3" w:rsidRPr="003F0B6F" w:rsidRDefault="00CC40A3" w:rsidP="003F0B6F">
                      <w:pPr>
                        <w:pStyle w:val="ListParagraph"/>
                      </w:pPr>
                    </w:p>
                    <w:p w14:paraId="5AF0A3F4" w14:textId="71A8D956" w:rsidR="00CC40A3" w:rsidRPr="00EE5049" w:rsidRDefault="00CC40A3" w:rsidP="00EE5049">
                      <w:pPr>
                        <w:pStyle w:val="ListParagraph"/>
                        <w:numPr>
                          <w:ilvl w:val="0"/>
                          <w:numId w:val="44"/>
                        </w:numPr>
                        <w:rPr>
                          <w:rFonts w:cs="Arial"/>
                        </w:rPr>
                      </w:pPr>
                      <w:r w:rsidRPr="00EE5049">
                        <w:rPr>
                          <w:b/>
                        </w:rPr>
                        <w:t>Intended use of the resulting data</w:t>
                      </w:r>
                      <w:r w:rsidRPr="00542BE9">
                        <w:t xml:space="preserve">: </w:t>
                      </w:r>
                      <w:r>
                        <w:t>Data will be used by a review panel to assess and rate the prevention strategies, and make recommendations to CDC, who will use the findings to invite selected practice-based SV prevention strategies to undergo a site visit EA</w:t>
                      </w:r>
                      <w:r w:rsidRPr="00FD3220">
                        <w:t>.</w:t>
                      </w:r>
                      <w:r>
                        <w:t xml:space="preserve"> CDC will also use the results to develop briefs that describe the major features of each strategy, and some strategies may be considered for future CDC assessment activities. Moreover, the results and processes will be shared or published through reports, briefs, factsheets, PowerPoint presentations, manuscripts, peer-reviewed publications, or dissemination at national conferences about the process, results, and lessons learned to inform SV prevention evidence base and practice. </w:t>
                      </w:r>
                    </w:p>
                    <w:p w14:paraId="0688B8BB" w14:textId="08DB2A41" w:rsidR="00CC40A3" w:rsidRPr="003B2968" w:rsidRDefault="00CC40A3" w:rsidP="00EE5049">
                      <w:pPr>
                        <w:pStyle w:val="ListParagraph"/>
                        <w:tabs>
                          <w:tab w:val="clear" w:pos="9360"/>
                        </w:tabs>
                        <w:spacing w:after="200"/>
                        <w:ind w:left="360"/>
                      </w:pPr>
                    </w:p>
                    <w:p w14:paraId="46238665" w14:textId="73D312A2" w:rsidR="00CC40A3" w:rsidRDefault="00CC40A3" w:rsidP="00EF7DDA">
                      <w:pPr>
                        <w:pStyle w:val="ListParagraph"/>
                        <w:numPr>
                          <w:ilvl w:val="0"/>
                          <w:numId w:val="34"/>
                        </w:numPr>
                        <w:tabs>
                          <w:tab w:val="clear" w:pos="9360"/>
                        </w:tabs>
                        <w:spacing w:after="200"/>
                      </w:pPr>
                      <w:r w:rsidRPr="006A0D88">
                        <w:rPr>
                          <w:b/>
                        </w:rPr>
                        <w:t>Methods to be used to collect</w:t>
                      </w:r>
                      <w:r>
                        <w:rPr>
                          <w:b/>
                        </w:rPr>
                        <w:t xml:space="preserve">: </w:t>
                      </w:r>
                      <w:r w:rsidRPr="00C770FC">
                        <w:t xml:space="preserve">A </w:t>
                      </w:r>
                      <w:r>
                        <w:t xml:space="preserve">one-time web-based instrument (i.e., Sexual Violence Prevention Strategy Description) will be used to collect information about practice-based SV prevention strategies. </w:t>
                      </w:r>
                    </w:p>
                    <w:p w14:paraId="5BE7ADD3" w14:textId="77777777" w:rsidR="00CC40A3" w:rsidRPr="00E840F3" w:rsidRDefault="00CC40A3" w:rsidP="00EF7DDA">
                      <w:pPr>
                        <w:pStyle w:val="ListParagraph"/>
                        <w:ind w:left="360"/>
                        <w:rPr>
                          <w:rFonts w:cs="Segoe UI"/>
                        </w:rPr>
                      </w:pPr>
                    </w:p>
                    <w:p w14:paraId="5F320CD8" w14:textId="760BD953" w:rsidR="00CC40A3" w:rsidRDefault="00CC40A3" w:rsidP="003F0B6F">
                      <w:pPr>
                        <w:pStyle w:val="ListParagraph"/>
                        <w:numPr>
                          <w:ilvl w:val="0"/>
                          <w:numId w:val="44"/>
                        </w:numPr>
                      </w:pPr>
                      <w:r w:rsidRPr="00730B6B">
                        <w:rPr>
                          <w:b/>
                        </w:rPr>
                        <w:t xml:space="preserve">The subpopulation to be studied: </w:t>
                      </w:r>
                      <w:r w:rsidRPr="00871DC2">
                        <w:t>55</w:t>
                      </w:r>
                      <w:r w:rsidRPr="00730B6B">
                        <w:rPr>
                          <w:b/>
                        </w:rPr>
                        <w:t xml:space="preserve"> </w:t>
                      </w:r>
                      <w:r w:rsidRPr="009034C5">
                        <w:t xml:space="preserve">SV program managers </w:t>
                      </w:r>
                      <w:r>
                        <w:t>within</w:t>
                      </w:r>
                      <w:r w:rsidRPr="009034C5">
                        <w:t xml:space="preserve"> health departments in 50 states, the District of Columbia, and four U.S. territories (i.e., Commonwealth of Northern Mariana Islands, Guam, Puerto Rico, U.S. Virgin Islands) and 470 of their</w:t>
                      </w:r>
                      <w:r w:rsidRPr="00C770FC">
                        <w:t xml:space="preserve"> delegates </w:t>
                      </w:r>
                      <w:r>
                        <w:t xml:space="preserve"> located in all 50 states, the District of Columbia, and one territory. </w:t>
                      </w:r>
                    </w:p>
                    <w:p w14:paraId="6A949704" w14:textId="77777777" w:rsidR="00CC40A3" w:rsidRDefault="00CC40A3" w:rsidP="00730B6B">
                      <w:pPr>
                        <w:pStyle w:val="ListParagraph"/>
                        <w:ind w:left="360"/>
                      </w:pPr>
                    </w:p>
                    <w:p w14:paraId="2C6FA3F6" w14:textId="13C8EDD6" w:rsidR="00CC40A3" w:rsidRDefault="00CC40A3" w:rsidP="008D0902">
                      <w:pPr>
                        <w:pStyle w:val="ListParagraph"/>
                        <w:numPr>
                          <w:ilvl w:val="0"/>
                          <w:numId w:val="34"/>
                        </w:numPr>
                        <w:tabs>
                          <w:tab w:val="clear" w:pos="9360"/>
                        </w:tabs>
                        <w:spacing w:after="200"/>
                      </w:pPr>
                      <w:r w:rsidRPr="008D0902">
                        <w:rPr>
                          <w:b/>
                        </w:rPr>
                        <w:t>How data will be analyzed</w:t>
                      </w:r>
                      <w:r>
                        <w:t xml:space="preserve">: The information to be collected will be analyzed using descriptive statistics and qualitative content analysis. </w:t>
                      </w:r>
                    </w:p>
                  </w:txbxContent>
                </v:textbox>
                <w10:anchorlock/>
              </v:shape>
            </w:pict>
          </mc:Fallback>
        </mc:AlternateContent>
      </w:r>
      <w:bookmarkEnd w:id="2"/>
      <w:bookmarkEnd w:id="3"/>
    </w:p>
    <w:p w14:paraId="0AA8F32C" w14:textId="77777777" w:rsidR="00487937" w:rsidRDefault="00487937" w:rsidP="0086542B"/>
    <w:p w14:paraId="0E8593F6" w14:textId="77777777" w:rsidR="00CD1EA8" w:rsidRPr="007D6163" w:rsidRDefault="00CD1EA8">
      <w:pPr>
        <w:pStyle w:val="Heading3"/>
        <w:ind w:left="0"/>
      </w:pPr>
      <w:bookmarkStart w:id="4" w:name="_Toc427752813"/>
      <w:r w:rsidRPr="007D6163">
        <w:t>Section A</w:t>
      </w:r>
      <w:r w:rsidR="00B12F51" w:rsidRPr="007D6163">
        <w:t xml:space="preserve"> – Justification</w:t>
      </w:r>
      <w:bookmarkEnd w:id="4"/>
    </w:p>
    <w:p w14:paraId="358A07F4" w14:textId="77777777" w:rsidR="00B12F51" w:rsidRDefault="00B12F51"/>
    <w:p w14:paraId="0B5FEF57" w14:textId="77777777" w:rsidR="00CD1EA8" w:rsidRPr="007D6163" w:rsidRDefault="00B12F51">
      <w:pPr>
        <w:pStyle w:val="Heading4"/>
        <w:spacing w:after="0"/>
      </w:pPr>
      <w:bookmarkStart w:id="5" w:name="_Toc427752814"/>
      <w:r w:rsidRPr="00692DEB">
        <w:t>Circumstances</w:t>
      </w:r>
      <w:r w:rsidRPr="007D6163">
        <w:t xml:space="preserve"> Making the Collection of Information </w:t>
      </w:r>
      <w:r w:rsidRPr="00692DEB">
        <w:t>Necessary</w:t>
      </w:r>
      <w:bookmarkEnd w:id="5"/>
    </w:p>
    <w:p w14:paraId="17CC4DA7" w14:textId="77777777" w:rsidR="0041755F" w:rsidRDefault="0041755F" w:rsidP="0086542B">
      <w:pPr>
        <w:pStyle w:val="B1BodyCopy"/>
      </w:pPr>
    </w:p>
    <w:p w14:paraId="7A6D8BF5" w14:textId="77777777" w:rsidR="00E33E1B" w:rsidRPr="007D6163" w:rsidRDefault="00E33E1B">
      <w:pPr>
        <w:pStyle w:val="Heading5"/>
        <w:ind w:left="0"/>
      </w:pPr>
      <w:r w:rsidRPr="007D6163">
        <w:t>Background</w:t>
      </w:r>
    </w:p>
    <w:p w14:paraId="579F2E6A" w14:textId="622C7E69" w:rsidR="0019164D" w:rsidRPr="00711BFA" w:rsidRDefault="004F67A8">
      <w:pPr>
        <w:ind w:left="0"/>
      </w:pPr>
      <w:r w:rsidRPr="00E27924">
        <w:t xml:space="preserve">This </w:t>
      </w:r>
      <w:r w:rsidR="00157413" w:rsidRPr="00E27924">
        <w:t>information collection</w:t>
      </w:r>
      <w:r w:rsidR="00484011" w:rsidRPr="00E27924">
        <w:t xml:space="preserve"> is being conducted </w:t>
      </w:r>
      <w:r w:rsidR="009252DC" w:rsidRPr="00E27924">
        <w:t>using</w:t>
      </w:r>
      <w:r w:rsidR="00484011" w:rsidRPr="00E27924">
        <w:t xml:space="preserve"> the Generic Information Collection mechanism </w:t>
      </w:r>
      <w:r w:rsidR="00157413" w:rsidRPr="00E27924">
        <w:t>of the OSTLTS OMB Clearance Center</w:t>
      </w:r>
      <w:r w:rsidR="009252DC" w:rsidRPr="00E27924">
        <w:t xml:space="preserve"> (O</w:t>
      </w:r>
      <w:r w:rsidR="00157413" w:rsidRPr="00E27924">
        <w:t>2</w:t>
      </w:r>
      <w:r w:rsidR="009252DC" w:rsidRPr="00E27924">
        <w:t>C</w:t>
      </w:r>
      <w:r w:rsidR="00157413" w:rsidRPr="00E27924">
        <w:t>2</w:t>
      </w:r>
      <w:r w:rsidR="009252DC" w:rsidRPr="00E27924">
        <w:t xml:space="preserve">) </w:t>
      </w:r>
      <w:r w:rsidR="006F25B6">
        <w:t>—</w:t>
      </w:r>
      <w:r w:rsidR="00484011" w:rsidRPr="00E27924">
        <w:t xml:space="preserve"> OMB No. 0920-0879</w:t>
      </w:r>
      <w:r w:rsidRPr="00E27924">
        <w:t>.</w:t>
      </w:r>
      <w:r w:rsidR="009252DC" w:rsidRPr="00E27924">
        <w:t xml:space="preserve"> The respondent universe for this </w:t>
      </w:r>
      <w:r w:rsidR="00157413" w:rsidRPr="00E27924">
        <w:t>information collection aligns with that of the O2C2.</w:t>
      </w:r>
      <w:r w:rsidR="009252DC" w:rsidRPr="00E27924">
        <w:t xml:space="preserve"> </w:t>
      </w:r>
      <w:r w:rsidR="00B1350D">
        <w:t>Information</w:t>
      </w:r>
      <w:r w:rsidR="00B1350D" w:rsidRPr="00E27924">
        <w:t xml:space="preserve"> </w:t>
      </w:r>
      <w:r w:rsidR="00B57B26">
        <w:t xml:space="preserve">about sexual violence (SV) prevention strategies </w:t>
      </w:r>
      <w:r w:rsidR="0019164D" w:rsidRPr="00E27924">
        <w:t xml:space="preserve">will be </w:t>
      </w:r>
      <w:r w:rsidR="00E95C64">
        <w:t>voluntarily</w:t>
      </w:r>
      <w:r w:rsidR="00B57B26">
        <w:t xml:space="preserve"> submitted by </w:t>
      </w:r>
      <w:r w:rsidR="007B10F6">
        <w:t>55</w:t>
      </w:r>
      <w:r w:rsidR="00385A05">
        <w:t xml:space="preserve"> </w:t>
      </w:r>
      <w:r w:rsidR="00724A58">
        <w:t>SV</w:t>
      </w:r>
      <w:r w:rsidR="007B10F6">
        <w:t xml:space="preserve"> </w:t>
      </w:r>
      <w:r w:rsidR="009351C6" w:rsidRPr="00B435D8">
        <w:t>program managers</w:t>
      </w:r>
      <w:r w:rsidR="004A49D0" w:rsidRPr="00B435D8">
        <w:t xml:space="preserve"> </w:t>
      </w:r>
      <w:r w:rsidR="0018779D" w:rsidRPr="00B435D8">
        <w:t>within</w:t>
      </w:r>
      <w:r w:rsidR="009351C6" w:rsidRPr="00B435D8">
        <w:t xml:space="preserve"> </w:t>
      </w:r>
      <w:r w:rsidR="005E40EA" w:rsidRPr="00B435D8">
        <w:t xml:space="preserve">health departments </w:t>
      </w:r>
      <w:r w:rsidR="009351C6" w:rsidRPr="00B435D8">
        <w:t xml:space="preserve">in </w:t>
      </w:r>
      <w:r w:rsidR="00AB5DCE" w:rsidRPr="00B435D8">
        <w:t>50 states, the District of Columbia, and four</w:t>
      </w:r>
      <w:r w:rsidR="00AB5DCE" w:rsidRPr="00C770FC">
        <w:t xml:space="preserve"> U.S. territories</w:t>
      </w:r>
      <w:r w:rsidR="00E35C0C">
        <w:t xml:space="preserve"> (i.e., Commonwealth of Northern Mariana Islands, Guam, Puerto Rico, U.S. Virgin Islands)</w:t>
      </w:r>
      <w:r w:rsidR="00AB5DCE" w:rsidRPr="00C770FC">
        <w:t xml:space="preserve"> </w:t>
      </w:r>
      <w:r w:rsidR="005E40EA" w:rsidRPr="00C770FC">
        <w:t xml:space="preserve">and </w:t>
      </w:r>
      <w:r w:rsidR="00D614BB">
        <w:t>470</w:t>
      </w:r>
      <w:r w:rsidR="004E429C">
        <w:t xml:space="preserve"> of</w:t>
      </w:r>
      <w:r w:rsidR="007B10F6">
        <w:t xml:space="preserve"> </w:t>
      </w:r>
      <w:r w:rsidR="005E40EA" w:rsidRPr="00C770FC">
        <w:t>their delegates</w:t>
      </w:r>
      <w:r w:rsidR="00BD2781">
        <w:t xml:space="preserve"> </w:t>
      </w:r>
      <w:r w:rsidR="00FE68D4">
        <w:t xml:space="preserve">(i.e., non-profit organizations, public academic institutions, private organizations, local health departments) </w:t>
      </w:r>
      <w:r w:rsidR="00BD2781">
        <w:t>located in all 50 states, the District of Columbia, and one territory</w:t>
      </w:r>
      <w:r w:rsidR="0019164D" w:rsidRPr="00C770FC">
        <w:t xml:space="preserve"> </w:t>
      </w:r>
      <w:r w:rsidR="00D614BB">
        <w:t>(</w:t>
      </w:r>
      <w:r w:rsidR="00D614BB" w:rsidRPr="009034C5">
        <w:rPr>
          <w:b/>
        </w:rPr>
        <w:t xml:space="preserve">see Att. A—RPE </w:t>
      </w:r>
      <w:r w:rsidR="0093377C">
        <w:rPr>
          <w:b/>
        </w:rPr>
        <w:lastRenderedPageBreak/>
        <w:t>Awardees and Sub-Awardees</w:t>
      </w:r>
      <w:r w:rsidR="00DD2EF6">
        <w:rPr>
          <w:b/>
        </w:rPr>
        <w:t xml:space="preserve"> Count</w:t>
      </w:r>
      <w:r w:rsidR="00D614BB">
        <w:t xml:space="preserve">) </w:t>
      </w:r>
      <w:r w:rsidR="0019164D" w:rsidRPr="00824E2E">
        <w:t xml:space="preserve">acting </w:t>
      </w:r>
      <w:r w:rsidR="004C35CD">
        <w:t xml:space="preserve">on behalf of those health departments </w:t>
      </w:r>
      <w:r w:rsidR="0019164D" w:rsidRPr="00824E2E">
        <w:t xml:space="preserve">in </w:t>
      </w:r>
      <w:r w:rsidR="0019164D" w:rsidRPr="00A21E4C">
        <w:t xml:space="preserve">their </w:t>
      </w:r>
      <w:r w:rsidR="0019164D" w:rsidRPr="00C770FC">
        <w:t>official capacities</w:t>
      </w:r>
      <w:r w:rsidR="00AB5DCE">
        <w:t xml:space="preserve"> </w:t>
      </w:r>
      <w:r w:rsidR="002D20C5">
        <w:t xml:space="preserve">funded </w:t>
      </w:r>
      <w:r w:rsidR="0083506E">
        <w:t xml:space="preserve">through </w:t>
      </w:r>
      <w:r w:rsidR="002D20C5">
        <w:t xml:space="preserve">CDC’s Rape Prevention and Education (RPE) Program cooperative agreement </w:t>
      </w:r>
      <w:r w:rsidR="00724A58">
        <w:t>funding to implement SV primary prevention strategies</w:t>
      </w:r>
      <w:r w:rsidR="00E95C64">
        <w:t xml:space="preserve"> (</w:t>
      </w:r>
      <w:r w:rsidR="00C667CA">
        <w:t>total of 525 respondents)</w:t>
      </w:r>
      <w:r w:rsidR="0019164D" w:rsidRPr="00C770FC">
        <w:t>.</w:t>
      </w:r>
    </w:p>
    <w:p w14:paraId="70466057" w14:textId="77777777" w:rsidR="006F3472" w:rsidRDefault="006F3472"/>
    <w:p w14:paraId="5ACE18BA" w14:textId="5AB57DDA" w:rsidR="001E7537" w:rsidRPr="00774689" w:rsidRDefault="00350C8C">
      <w:pPr>
        <w:ind w:left="0"/>
        <w:rPr>
          <w:i/>
          <w:iCs/>
        </w:rPr>
      </w:pPr>
      <w:r>
        <w:t xml:space="preserve">This </w:t>
      </w:r>
      <w:r w:rsidR="00157413">
        <w:t>information collection</w:t>
      </w:r>
      <w:r>
        <w:t xml:space="preserve"> is authorized by Section 301 of the Public Health Service Act (42 U.S.C. </w:t>
      </w:r>
      <w:r w:rsidRPr="001A28F6">
        <w:t>241).</w:t>
      </w:r>
      <w:r w:rsidR="001E7537">
        <w:t xml:space="preserve"> </w:t>
      </w:r>
      <w:r w:rsidR="001E7537">
        <w:rPr>
          <w:iCs/>
        </w:rPr>
        <w:t>This information</w:t>
      </w:r>
      <w:r w:rsidR="001E7537" w:rsidRPr="00E94775">
        <w:rPr>
          <w:iCs/>
        </w:rPr>
        <w:t xml:space="preserve"> collection falls under the essential public health service</w:t>
      </w:r>
      <w:r w:rsidR="001E7537">
        <w:rPr>
          <w:iCs/>
        </w:rPr>
        <w:t>(s)</w:t>
      </w:r>
      <w:r w:rsidR="001E7537" w:rsidRPr="00E94775">
        <w:rPr>
          <w:iCs/>
        </w:rPr>
        <w:t xml:space="preserve"> </w:t>
      </w:r>
      <w:r w:rsidR="006F3472">
        <w:rPr>
          <w:iCs/>
        </w:rPr>
        <w:t>of:</w:t>
      </w:r>
    </w:p>
    <w:p w14:paraId="2F978771" w14:textId="77777777" w:rsidR="00350C8C" w:rsidRPr="00774689" w:rsidRDefault="00350C8C">
      <w:pPr>
        <w:ind w:left="0"/>
      </w:pPr>
    </w:p>
    <w:p w14:paraId="6333B4CB" w14:textId="77777777" w:rsidR="00587C72" w:rsidRPr="00774689" w:rsidRDefault="00B63CF3">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bookmarkStart w:id="6" w:name="Check25"/>
      <w:r w:rsidRPr="00774689">
        <w:rPr>
          <w:rFonts w:ascii="Shruti" w:eastAsia="Times New Roman" w:hAnsi="Shruti" w:cs="Shruti"/>
          <w:sz w:val="16"/>
          <w:szCs w:val="14"/>
        </w:rPr>
        <w:instrText xml:space="preserve"> FORMCHECKBOX </w:instrText>
      </w:r>
      <w:r w:rsidR="00C72B44">
        <w:rPr>
          <w:rFonts w:ascii="Shruti" w:eastAsia="Times New Roman" w:hAnsi="Shruti" w:cs="Shruti"/>
          <w:sz w:val="16"/>
          <w:szCs w:val="14"/>
        </w:rPr>
      </w:r>
      <w:r w:rsidR="00C72B44">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bookmarkEnd w:id="6"/>
      <w:r w:rsidRPr="00774689">
        <w:rPr>
          <w:rFonts w:ascii="Shruti" w:eastAsia="Times New Roman" w:hAnsi="Shruti" w:cs="Shruti"/>
          <w:sz w:val="16"/>
          <w:szCs w:val="14"/>
        </w:rPr>
        <w:t xml:space="preserve"> </w:t>
      </w:r>
      <w:r w:rsidR="00F45451" w:rsidRPr="00774689">
        <w:t>1. M</w:t>
      </w:r>
      <w:r w:rsidR="00587C72" w:rsidRPr="00774689">
        <w:t>onitoring health status to identify community health problems</w:t>
      </w:r>
    </w:p>
    <w:p w14:paraId="51ABB92B" w14:textId="77777777" w:rsidR="00587C72" w:rsidRPr="00774689" w:rsidRDefault="00B63CF3">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C72B44">
        <w:rPr>
          <w:rFonts w:ascii="Shruti" w:eastAsia="Times New Roman" w:hAnsi="Shruti" w:cs="Shruti"/>
          <w:sz w:val="16"/>
          <w:szCs w:val="14"/>
        </w:rPr>
      </w:r>
      <w:r w:rsidR="00C72B44">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2. D</w:t>
      </w:r>
      <w:r w:rsidR="00587C72" w:rsidRPr="00774689">
        <w:t>iagnosing and investigating health problems and health hazards in the community</w:t>
      </w:r>
    </w:p>
    <w:p w14:paraId="43EB9644" w14:textId="7612639B" w:rsidR="00587C72" w:rsidRPr="00774689" w:rsidRDefault="00A0264A">
      <w:pPr>
        <w:ind w:left="0"/>
      </w:pPr>
      <w:r>
        <w:rPr>
          <w:rFonts w:ascii="Shruti" w:eastAsia="Times New Roman" w:hAnsi="Shruti" w:cs="Shruti"/>
          <w:sz w:val="16"/>
          <w:szCs w:val="14"/>
        </w:rPr>
        <w:fldChar w:fldCharType="begin">
          <w:ffData>
            <w:name w:val=""/>
            <w:enabled/>
            <w:calcOnExit w:val="0"/>
            <w:checkBox>
              <w:sizeAuto/>
              <w:default w:val="0"/>
            </w:checkBox>
          </w:ffData>
        </w:fldChar>
      </w:r>
      <w:r>
        <w:rPr>
          <w:rFonts w:ascii="Shruti" w:eastAsia="Times New Roman" w:hAnsi="Shruti" w:cs="Shruti"/>
          <w:sz w:val="16"/>
          <w:szCs w:val="14"/>
        </w:rPr>
        <w:instrText xml:space="preserve"> FORMCHECKBOX </w:instrText>
      </w:r>
      <w:r w:rsidR="00C72B44">
        <w:rPr>
          <w:rFonts w:ascii="Shruti" w:eastAsia="Times New Roman" w:hAnsi="Shruti" w:cs="Shruti"/>
          <w:sz w:val="16"/>
          <w:szCs w:val="14"/>
        </w:rPr>
      </w:r>
      <w:r w:rsidR="00C72B44">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F45451" w:rsidRPr="00774689">
        <w:t>3. I</w:t>
      </w:r>
      <w:r w:rsidR="00587C72" w:rsidRPr="00774689">
        <w:t>nforming, educating, and empowering people about health issues</w:t>
      </w:r>
    </w:p>
    <w:p w14:paraId="3FF07AE8" w14:textId="290F0084" w:rsidR="00587C72" w:rsidRPr="00774689" w:rsidRDefault="00A0264A">
      <w:pPr>
        <w:ind w:left="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C72B44">
        <w:rPr>
          <w:rFonts w:ascii="Shruti" w:eastAsia="Times New Roman" w:hAnsi="Shruti" w:cs="Shruti"/>
          <w:sz w:val="16"/>
          <w:szCs w:val="14"/>
        </w:rPr>
      </w:r>
      <w:r w:rsidR="00C72B44">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4. M</w:t>
      </w:r>
      <w:r w:rsidR="00587C72" w:rsidRPr="00774689">
        <w:t>obilizing community partnerships to identify and solve health problems</w:t>
      </w:r>
    </w:p>
    <w:p w14:paraId="07A7E5B6" w14:textId="7011C149" w:rsidR="00587C72" w:rsidRPr="00774689" w:rsidRDefault="00A0264A">
      <w:pPr>
        <w:ind w:left="0"/>
      </w:pPr>
      <w:r>
        <w:rPr>
          <w:rFonts w:ascii="Shruti" w:eastAsia="Times New Roman" w:hAnsi="Shruti" w:cs="Shruti"/>
          <w:sz w:val="16"/>
          <w:szCs w:val="14"/>
        </w:rPr>
        <w:fldChar w:fldCharType="begin">
          <w:ffData>
            <w:name w:val=""/>
            <w:enabled/>
            <w:calcOnExit w:val="0"/>
            <w:checkBox>
              <w:sizeAuto/>
              <w:default w:val="0"/>
            </w:checkBox>
          </w:ffData>
        </w:fldChar>
      </w:r>
      <w:r>
        <w:rPr>
          <w:rFonts w:ascii="Shruti" w:eastAsia="Times New Roman" w:hAnsi="Shruti" w:cs="Shruti"/>
          <w:sz w:val="16"/>
          <w:szCs w:val="14"/>
        </w:rPr>
        <w:instrText xml:space="preserve"> FORMCHECKBOX </w:instrText>
      </w:r>
      <w:r w:rsidR="00C72B44">
        <w:rPr>
          <w:rFonts w:ascii="Shruti" w:eastAsia="Times New Roman" w:hAnsi="Shruti" w:cs="Shruti"/>
          <w:sz w:val="16"/>
          <w:szCs w:val="14"/>
        </w:rPr>
      </w:r>
      <w:r w:rsidR="00C72B44">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5. D</w:t>
      </w:r>
      <w:r w:rsidR="00587C72" w:rsidRPr="00774689">
        <w:t>evelopment of policies and plans that support individual and community health efforts</w:t>
      </w:r>
    </w:p>
    <w:p w14:paraId="4F2418E9" w14:textId="77777777" w:rsidR="00587C72" w:rsidRPr="00774689" w:rsidRDefault="00B63CF3">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C72B44">
        <w:rPr>
          <w:rFonts w:ascii="Shruti" w:eastAsia="Times New Roman" w:hAnsi="Shruti" w:cs="Shruti"/>
          <w:sz w:val="16"/>
          <w:szCs w:val="14"/>
        </w:rPr>
      </w:r>
      <w:r w:rsidR="00C72B44">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6. E</w:t>
      </w:r>
      <w:r w:rsidR="00587C72" w:rsidRPr="00774689">
        <w:t>nforcement of laws and regulations that pr</w:t>
      </w:r>
      <w:r w:rsidR="008E3D8D" w:rsidRPr="00774689">
        <w:t>otect health and ensure safety</w:t>
      </w:r>
    </w:p>
    <w:p w14:paraId="432A9805" w14:textId="27D4C89A" w:rsidR="00587C72" w:rsidRPr="00774689" w:rsidRDefault="00B63CF3" w:rsidP="004D311F">
      <w:pPr>
        <w:ind w:left="360" w:hanging="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C72B44">
        <w:rPr>
          <w:rFonts w:ascii="Shruti" w:eastAsia="Times New Roman" w:hAnsi="Shruti" w:cs="Shruti"/>
          <w:sz w:val="16"/>
          <w:szCs w:val="14"/>
        </w:rPr>
      </w:r>
      <w:r w:rsidR="00C72B44">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7. L</w:t>
      </w:r>
      <w:r w:rsidR="00587C72" w:rsidRPr="00774689">
        <w:t>inking people to needed personal health services and assure the provision of health care</w:t>
      </w:r>
      <w:r w:rsidR="004D311F">
        <w:t xml:space="preserve"> </w:t>
      </w:r>
      <w:r w:rsidR="00587C72" w:rsidRPr="00774689">
        <w:t>when otherwise unavailable</w:t>
      </w:r>
    </w:p>
    <w:p w14:paraId="5416E0B7" w14:textId="77777777" w:rsidR="00587C72" w:rsidRPr="00774689" w:rsidRDefault="00B63CF3" w:rsidP="004D311F">
      <w:pPr>
        <w:ind w:left="360" w:hanging="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C72B44">
        <w:rPr>
          <w:rFonts w:ascii="Shruti" w:eastAsia="Times New Roman" w:hAnsi="Shruti" w:cs="Shruti"/>
          <w:sz w:val="16"/>
          <w:szCs w:val="14"/>
        </w:rPr>
      </w:r>
      <w:r w:rsidR="00C72B44">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8. A</w:t>
      </w:r>
      <w:r w:rsidR="00587C72" w:rsidRPr="00774689">
        <w:t>ssuring a competent public health and personal health care workforce</w:t>
      </w:r>
    </w:p>
    <w:p w14:paraId="7E2955CD" w14:textId="344CCB10" w:rsidR="00587C72" w:rsidRPr="00774689" w:rsidRDefault="00EF7DDA" w:rsidP="004D311F">
      <w:pPr>
        <w:ind w:left="360" w:hanging="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C72B44">
        <w:rPr>
          <w:rFonts w:ascii="Shruti" w:eastAsia="Times New Roman" w:hAnsi="Shruti" w:cs="Shruti"/>
          <w:sz w:val="16"/>
          <w:szCs w:val="14"/>
        </w:rPr>
      </w:r>
      <w:r w:rsidR="00C72B44">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9. E</w:t>
      </w:r>
      <w:r w:rsidR="00587C72" w:rsidRPr="00774689">
        <w:t>valuating effectiveness, accessibility, and quality of personal and population-based health</w:t>
      </w:r>
      <w:r w:rsidR="00481D80" w:rsidRPr="00774689">
        <w:t xml:space="preserve"> </w:t>
      </w:r>
      <w:r w:rsidR="00587C72" w:rsidRPr="00774689">
        <w:t>services</w:t>
      </w:r>
    </w:p>
    <w:p w14:paraId="12CD8CA4" w14:textId="466C8B83" w:rsidR="00481D80" w:rsidRDefault="004E14A2">
      <w:pPr>
        <w:ind w:left="0"/>
      </w:pPr>
      <w:r>
        <w:rPr>
          <w:rFonts w:ascii="Shruti" w:eastAsia="Times New Roman" w:hAnsi="Shruti" w:cs="Shruti"/>
          <w:sz w:val="16"/>
          <w:szCs w:val="14"/>
        </w:rPr>
        <w:fldChar w:fldCharType="begin">
          <w:ffData>
            <w:name w:val=""/>
            <w:enabled/>
            <w:calcOnExit w:val="0"/>
            <w:checkBox>
              <w:sizeAuto/>
              <w:default w:val="0"/>
            </w:checkBox>
          </w:ffData>
        </w:fldChar>
      </w:r>
      <w:r>
        <w:rPr>
          <w:rFonts w:ascii="Shruti" w:eastAsia="Times New Roman" w:hAnsi="Shruti" w:cs="Shruti"/>
          <w:sz w:val="16"/>
          <w:szCs w:val="14"/>
        </w:rPr>
        <w:instrText xml:space="preserve"> FORMCHECKBOX </w:instrText>
      </w:r>
      <w:r w:rsidR="00C72B44">
        <w:rPr>
          <w:rFonts w:ascii="Shruti" w:eastAsia="Times New Roman" w:hAnsi="Shruti" w:cs="Shruti"/>
          <w:sz w:val="16"/>
          <w:szCs w:val="14"/>
        </w:rPr>
      </w:r>
      <w:r w:rsidR="00C72B44">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10. R</w:t>
      </w:r>
      <w:r w:rsidR="00587C72" w:rsidRPr="00774689">
        <w:t>esearch for new insights and innovative solutions to health problems</w:t>
      </w:r>
      <w:r w:rsidR="00587C72" w:rsidRPr="00774689">
        <w:rPr>
          <w:iCs/>
          <w:vertAlign w:val="superscript"/>
        </w:rPr>
        <w:t xml:space="preserve"> 1</w:t>
      </w:r>
    </w:p>
    <w:p w14:paraId="72992A18" w14:textId="77777777" w:rsidR="00481D80" w:rsidRDefault="00481D80">
      <w:pPr>
        <w:ind w:left="0"/>
      </w:pPr>
    </w:p>
    <w:p w14:paraId="1E58B324" w14:textId="5E9B8FBE" w:rsidR="00EF7DDA" w:rsidRPr="00EF7DDA" w:rsidRDefault="009D59E4">
      <w:pPr>
        <w:ind w:left="0"/>
        <w:rPr>
          <w:rFonts w:cs="Arial"/>
          <w:bCs/>
        </w:rPr>
      </w:pPr>
      <w:r w:rsidRPr="00EF7DDA">
        <w:rPr>
          <w:rFonts w:cs="Arial"/>
          <w:bCs/>
        </w:rPr>
        <w:t>CDC’s National Intimate Partner and Sexual Violence Survey reports that nearly 1 in 5 women and 1 in 7</w:t>
      </w:r>
      <w:r>
        <w:rPr>
          <w:rFonts w:cs="Arial"/>
          <w:bCs/>
        </w:rPr>
        <w:t>1</w:t>
      </w:r>
      <w:r w:rsidRPr="00EF7DDA">
        <w:rPr>
          <w:rFonts w:cs="Arial"/>
          <w:bCs/>
        </w:rPr>
        <w:t xml:space="preserve"> men in the U.S. have been raped during their lifetime, and nearly 1 in 2 women and 1 in 5 men have experience some form of SV victimization in their lifetime.</w:t>
      </w:r>
      <w:r w:rsidRPr="00EF7DDA">
        <w:rPr>
          <w:rFonts w:cs="Arial"/>
          <w:bCs/>
          <w:vertAlign w:val="superscript"/>
        </w:rPr>
        <w:t>2</w:t>
      </w:r>
      <w:r w:rsidRPr="00EF7DDA">
        <w:rPr>
          <w:rFonts w:cs="Arial"/>
          <w:bCs/>
        </w:rPr>
        <w:t xml:space="preserve"> </w:t>
      </w:r>
      <w:r w:rsidR="00EF7DDA" w:rsidRPr="00EF7DDA">
        <w:rPr>
          <w:rFonts w:cs="Arial"/>
          <w:bCs/>
        </w:rPr>
        <w:t>Additionally, h</w:t>
      </w:r>
      <w:r w:rsidR="00EF7DDA" w:rsidRPr="00EF7DDA">
        <w:rPr>
          <w:rFonts w:cs="Arial"/>
        </w:rPr>
        <w:t>igh</w:t>
      </w:r>
      <w:r w:rsidR="00320B69">
        <w:rPr>
          <w:rFonts w:cs="Arial"/>
        </w:rPr>
        <w:t>-</w:t>
      </w:r>
      <w:r w:rsidR="00EF7DDA" w:rsidRPr="00EF7DDA">
        <w:rPr>
          <w:rFonts w:cs="Arial"/>
        </w:rPr>
        <w:t>risk groups, such as racial</w:t>
      </w:r>
      <w:r w:rsidR="00320B69">
        <w:rPr>
          <w:rFonts w:cs="Arial"/>
        </w:rPr>
        <w:t xml:space="preserve"> and </w:t>
      </w:r>
      <w:r w:rsidR="00EF7DDA" w:rsidRPr="00EF7DDA">
        <w:rPr>
          <w:rFonts w:cs="Arial"/>
        </w:rPr>
        <w:t>ethnic minorities and youths (&lt;25 years old) continue to experience high rates of SV in a variety of forms.</w:t>
      </w:r>
      <w:r w:rsidR="001D7787">
        <w:rPr>
          <w:rFonts w:cs="Arial"/>
          <w:vertAlign w:val="superscript"/>
        </w:rPr>
        <w:t>2</w:t>
      </w:r>
      <w:r w:rsidR="00EF7DDA" w:rsidRPr="00EF7DDA">
        <w:rPr>
          <w:szCs w:val="24"/>
        </w:rPr>
        <w:t xml:space="preserve"> </w:t>
      </w:r>
      <w:r w:rsidRPr="00EF7DDA">
        <w:rPr>
          <w:rFonts w:cs="Arial"/>
        </w:rPr>
        <w:t>SV victimization is associated with adverse health consequences, and is a risk factor for further victimization and violence perpetration.</w:t>
      </w:r>
      <w:r w:rsidRPr="009D59E4">
        <w:rPr>
          <w:rFonts w:cs="Arial"/>
          <w:bCs/>
        </w:rPr>
        <w:t xml:space="preserve"> </w:t>
      </w:r>
      <w:r w:rsidRPr="00EF7DDA">
        <w:rPr>
          <w:rFonts w:cs="Arial"/>
          <w:bCs/>
        </w:rPr>
        <w:t>SV</w:t>
      </w:r>
      <w:r>
        <w:rPr>
          <w:rFonts w:cs="Arial"/>
          <w:bCs/>
        </w:rPr>
        <w:t xml:space="preserve"> </w:t>
      </w:r>
      <w:r w:rsidRPr="00EF7DDA">
        <w:rPr>
          <w:rFonts w:cs="Arial"/>
          <w:bCs/>
        </w:rPr>
        <w:t>is a serious public health problem that affects millions of individuals</w:t>
      </w:r>
      <w:r>
        <w:rPr>
          <w:rFonts w:cs="Arial"/>
          <w:bCs/>
        </w:rPr>
        <w:t>, but it is preventable.</w:t>
      </w:r>
    </w:p>
    <w:p w14:paraId="4BDD1BA8" w14:textId="77777777" w:rsidR="00EF7DDA" w:rsidRPr="00EF7DDA" w:rsidRDefault="00EF7DDA">
      <w:pPr>
        <w:ind w:left="0"/>
        <w:rPr>
          <w:rFonts w:cs="Arial"/>
          <w:bCs/>
        </w:rPr>
      </w:pPr>
    </w:p>
    <w:p w14:paraId="24CCF182" w14:textId="56524831" w:rsidR="003A1395" w:rsidRDefault="00EB2145">
      <w:pPr>
        <w:tabs>
          <w:tab w:val="clear" w:pos="9360"/>
        </w:tabs>
        <w:ind w:left="0"/>
        <w:rPr>
          <w:rFonts w:cs="Arial"/>
          <w:bCs/>
        </w:rPr>
      </w:pPr>
      <w:r w:rsidRPr="003A6992">
        <w:rPr>
          <w:rFonts w:cs="Arial"/>
          <w:bCs/>
        </w:rPr>
        <w:t xml:space="preserve">CDC's Division of Violence Prevention (DVP) within the National Center for Injury Prevention and Control (NCIPC) is </w:t>
      </w:r>
      <w:r w:rsidR="00EF7DDA" w:rsidRPr="003A6992">
        <w:rPr>
          <w:rFonts w:cs="Arial"/>
          <w:bCs/>
        </w:rPr>
        <w:t xml:space="preserve">leading the field in SV research to improve </w:t>
      </w:r>
      <w:r w:rsidR="00DC42CF">
        <w:rPr>
          <w:rFonts w:cs="Arial"/>
          <w:bCs/>
        </w:rPr>
        <w:t xml:space="preserve">SV </w:t>
      </w:r>
      <w:r w:rsidR="00EF7DDA" w:rsidRPr="003A6992">
        <w:rPr>
          <w:rFonts w:cs="Arial"/>
          <w:bCs/>
        </w:rPr>
        <w:t xml:space="preserve">outcomes and evidence-based practice, build federal partnerships to increase influence, and advance prevention practice through </w:t>
      </w:r>
      <w:r w:rsidRPr="003A6992">
        <w:rPr>
          <w:rFonts w:cs="Arial"/>
          <w:bCs/>
        </w:rPr>
        <w:t xml:space="preserve">the </w:t>
      </w:r>
      <w:r w:rsidR="001D7787" w:rsidRPr="003A6992">
        <w:rPr>
          <w:rFonts w:cs="Arial"/>
          <w:bCs/>
        </w:rPr>
        <w:t>RPE Program</w:t>
      </w:r>
      <w:r w:rsidR="00EF7DDA" w:rsidRPr="003A6992">
        <w:rPr>
          <w:rFonts w:cs="Arial"/>
          <w:bCs/>
        </w:rPr>
        <w:t xml:space="preserve">. </w:t>
      </w:r>
      <w:r w:rsidRPr="003A6992">
        <w:rPr>
          <w:rFonts w:cs="Arial"/>
          <w:bCs/>
        </w:rPr>
        <w:t xml:space="preserve">The </w:t>
      </w:r>
      <w:r w:rsidR="00EF7DDA" w:rsidRPr="003A6992">
        <w:rPr>
          <w:rFonts w:cs="Arial"/>
          <w:bCs/>
        </w:rPr>
        <w:t xml:space="preserve">RPE </w:t>
      </w:r>
      <w:r w:rsidRPr="003A6992">
        <w:rPr>
          <w:rFonts w:cs="Arial"/>
          <w:bCs/>
        </w:rPr>
        <w:t>Program</w:t>
      </w:r>
      <w:r w:rsidR="00652564">
        <w:rPr>
          <w:rFonts w:cs="Arial"/>
          <w:bCs/>
        </w:rPr>
        <w:t xml:space="preserve">, authorized under the Violence against Women Act of </w:t>
      </w:r>
      <w:r w:rsidR="007B10F6">
        <w:rPr>
          <w:rFonts w:cs="Arial"/>
          <w:bCs/>
        </w:rPr>
        <w:t>1994 (VAWA) and Violence against Women Reauthorization Act of 201</w:t>
      </w:r>
      <w:r w:rsidR="00D614BB">
        <w:rPr>
          <w:rFonts w:cs="Arial"/>
          <w:bCs/>
        </w:rPr>
        <w:t>3</w:t>
      </w:r>
      <w:r w:rsidR="00FA02FD">
        <w:rPr>
          <w:rFonts w:cs="Arial"/>
          <w:bCs/>
        </w:rPr>
        <w:t xml:space="preserve"> (</w:t>
      </w:r>
      <w:r w:rsidR="00FA02FD" w:rsidRPr="00E95C64">
        <w:rPr>
          <w:rFonts w:cs="Arial"/>
          <w:b/>
          <w:bCs/>
        </w:rPr>
        <w:t>see</w:t>
      </w:r>
      <w:r w:rsidR="00FA02FD" w:rsidRPr="00FA02FD">
        <w:rPr>
          <w:rFonts w:cs="Arial"/>
          <w:b/>
          <w:bCs/>
        </w:rPr>
        <w:t xml:space="preserve"> </w:t>
      </w:r>
      <w:r w:rsidR="00FA02FD" w:rsidRPr="003A6992">
        <w:rPr>
          <w:rFonts w:cs="Arial"/>
          <w:b/>
          <w:bCs/>
        </w:rPr>
        <w:t xml:space="preserve">Att. </w:t>
      </w:r>
      <w:r w:rsidR="00FA02FD">
        <w:rPr>
          <w:rFonts w:cs="Arial"/>
          <w:b/>
          <w:bCs/>
        </w:rPr>
        <w:t>B</w:t>
      </w:r>
      <w:r w:rsidR="00FA02FD" w:rsidRPr="003A6992">
        <w:rPr>
          <w:rFonts w:cs="Arial"/>
          <w:b/>
          <w:bCs/>
        </w:rPr>
        <w:t>—</w:t>
      </w:r>
      <w:r w:rsidR="00FA02FD">
        <w:rPr>
          <w:b/>
        </w:rPr>
        <w:t>VAWA</w:t>
      </w:r>
      <w:r w:rsidR="00B926C3">
        <w:rPr>
          <w:b/>
        </w:rPr>
        <w:t xml:space="preserve"> </w:t>
      </w:r>
      <w:r w:rsidR="00A450AA">
        <w:rPr>
          <w:b/>
        </w:rPr>
        <w:t>Reauthorization</w:t>
      </w:r>
      <w:r w:rsidR="00B765CE">
        <w:rPr>
          <w:b/>
        </w:rPr>
        <w:t xml:space="preserve"> </w:t>
      </w:r>
      <w:r w:rsidR="00B926C3">
        <w:rPr>
          <w:b/>
        </w:rPr>
        <w:t>Legislation</w:t>
      </w:r>
      <w:r w:rsidR="00235CAA" w:rsidRPr="00461064">
        <w:t>)</w:t>
      </w:r>
      <w:r w:rsidR="00235CAA">
        <w:rPr>
          <w:b/>
        </w:rPr>
        <w:t xml:space="preserve"> </w:t>
      </w:r>
      <w:r w:rsidR="00B765CE" w:rsidRPr="00C70EF2">
        <w:t xml:space="preserve">and </w:t>
      </w:r>
      <w:r w:rsidR="00A87E54">
        <w:t>under</w:t>
      </w:r>
      <w:r w:rsidR="00235CAA" w:rsidRPr="00C70EF2">
        <w:t xml:space="preserve"> the Public Health Service Act Title 42 Chapter 6A Subchapter II Part J </w:t>
      </w:r>
      <w:r w:rsidR="00B66078" w:rsidRPr="00C70EF2">
        <w:t>Section USC 280b-1b</w:t>
      </w:r>
      <w:r w:rsidR="00B66078">
        <w:rPr>
          <w:b/>
        </w:rPr>
        <w:t xml:space="preserve"> </w:t>
      </w:r>
      <w:r w:rsidR="00235CAA" w:rsidRPr="00461064">
        <w:t>(</w:t>
      </w:r>
      <w:r w:rsidR="00FF15BA">
        <w:rPr>
          <w:b/>
        </w:rPr>
        <w:t>Att</w:t>
      </w:r>
      <w:r w:rsidR="00E25B07">
        <w:rPr>
          <w:b/>
        </w:rPr>
        <w:t>.</w:t>
      </w:r>
      <w:r w:rsidR="00FF15BA">
        <w:rPr>
          <w:b/>
        </w:rPr>
        <w:t xml:space="preserve"> C</w:t>
      </w:r>
      <w:r w:rsidR="00E25B07" w:rsidRPr="003A6992">
        <w:rPr>
          <w:rFonts w:cs="Arial"/>
          <w:b/>
          <w:bCs/>
        </w:rPr>
        <w:t>—</w:t>
      </w:r>
      <w:r w:rsidR="00FF15BA">
        <w:rPr>
          <w:b/>
        </w:rPr>
        <w:t xml:space="preserve">Public Health Service Act </w:t>
      </w:r>
      <w:r w:rsidR="00FF15BA" w:rsidRPr="00FF15BA">
        <w:rPr>
          <w:b/>
        </w:rPr>
        <w:t>42 USC 280b-1b</w:t>
      </w:r>
      <w:r w:rsidR="00FA02FD" w:rsidRPr="00461064">
        <w:t>)</w:t>
      </w:r>
      <w:r w:rsidR="00652564" w:rsidRPr="00AB4BC6">
        <w:rPr>
          <w:rFonts w:cs="Arial"/>
          <w:bCs/>
        </w:rPr>
        <w:t>,</w:t>
      </w:r>
      <w:r w:rsidRPr="003A6992">
        <w:rPr>
          <w:rFonts w:cs="Arial"/>
          <w:bCs/>
        </w:rPr>
        <w:t xml:space="preserve"> </w:t>
      </w:r>
      <w:r w:rsidR="00EF7DDA" w:rsidRPr="003A6992">
        <w:rPr>
          <w:rFonts w:cs="Arial"/>
          <w:bCs/>
        </w:rPr>
        <w:t xml:space="preserve">is a national initiative to address the public health burden of SV through cooperative agreement funding and technical assistance to health departments in all 50 states, </w:t>
      </w:r>
      <w:r w:rsidR="00684F15" w:rsidRPr="003A6992">
        <w:rPr>
          <w:rFonts w:cs="Arial"/>
          <w:bCs/>
        </w:rPr>
        <w:t>the District of Columbia</w:t>
      </w:r>
      <w:r w:rsidR="00EF7DDA" w:rsidRPr="003A6992">
        <w:rPr>
          <w:rFonts w:cs="Arial"/>
          <w:bCs/>
        </w:rPr>
        <w:t xml:space="preserve">, and </w:t>
      </w:r>
      <w:r w:rsidR="00B435D8">
        <w:rPr>
          <w:rFonts w:cs="Arial"/>
          <w:bCs/>
        </w:rPr>
        <w:t>four</w:t>
      </w:r>
      <w:r w:rsidR="00EF7DDA" w:rsidRPr="003A6992">
        <w:rPr>
          <w:rFonts w:cs="Arial"/>
          <w:bCs/>
        </w:rPr>
        <w:t xml:space="preserve"> </w:t>
      </w:r>
      <w:r w:rsidR="00AE248D" w:rsidRPr="003A6992">
        <w:rPr>
          <w:rFonts w:cs="Arial"/>
          <w:bCs/>
        </w:rPr>
        <w:t xml:space="preserve">U.S. </w:t>
      </w:r>
      <w:r w:rsidR="00EF7DDA" w:rsidRPr="003A6992">
        <w:rPr>
          <w:rFonts w:cs="Arial"/>
          <w:bCs/>
        </w:rPr>
        <w:t>territories</w:t>
      </w:r>
      <w:r w:rsidR="00E35C0C">
        <w:rPr>
          <w:rFonts w:cs="Arial"/>
          <w:bCs/>
        </w:rPr>
        <w:t xml:space="preserve"> </w:t>
      </w:r>
      <w:r w:rsidR="00E35C0C">
        <w:t>(i.e., Commonwealth of Northern Mariana Islands, Guam, Puerto Rico, U.S. Virgin Islands)</w:t>
      </w:r>
      <w:r w:rsidR="00997DCD" w:rsidRPr="003A6992">
        <w:rPr>
          <w:rFonts w:cs="Arial"/>
          <w:bCs/>
        </w:rPr>
        <w:t xml:space="preserve"> (</w:t>
      </w:r>
      <w:r w:rsidR="00997DCD" w:rsidRPr="009176D1">
        <w:rPr>
          <w:rFonts w:cs="Arial"/>
          <w:b/>
          <w:bCs/>
        </w:rPr>
        <w:t xml:space="preserve">see </w:t>
      </w:r>
      <w:r w:rsidR="00997DCD" w:rsidRPr="003A6992">
        <w:rPr>
          <w:rFonts w:cs="Arial"/>
          <w:b/>
          <w:bCs/>
        </w:rPr>
        <w:t xml:space="preserve">Att. </w:t>
      </w:r>
      <w:r w:rsidR="000B396F">
        <w:rPr>
          <w:rFonts w:cs="Arial"/>
          <w:b/>
          <w:bCs/>
        </w:rPr>
        <w:t>D</w:t>
      </w:r>
      <w:r w:rsidR="00997DCD" w:rsidRPr="003A6992">
        <w:rPr>
          <w:rFonts w:cs="Arial"/>
          <w:b/>
          <w:bCs/>
        </w:rPr>
        <w:t>—</w:t>
      </w:r>
      <w:r w:rsidR="00A87B80">
        <w:rPr>
          <w:b/>
        </w:rPr>
        <w:t>Rape Prevention and Education Program</w:t>
      </w:r>
      <w:r w:rsidR="00203BB4">
        <w:rPr>
          <w:b/>
        </w:rPr>
        <w:t xml:space="preserve"> Factsheet</w:t>
      </w:r>
      <w:r w:rsidR="00997DCD" w:rsidRPr="00AB4BC6">
        <w:t>)</w:t>
      </w:r>
      <w:r w:rsidR="00EF7DDA" w:rsidRPr="003A6992">
        <w:rPr>
          <w:rFonts w:cs="Arial"/>
          <w:bCs/>
        </w:rPr>
        <w:t>.</w:t>
      </w:r>
      <w:r w:rsidR="007F4C4E">
        <w:rPr>
          <w:rFonts w:cs="Arial"/>
          <w:bCs/>
        </w:rPr>
        <w:t xml:space="preserve"> </w:t>
      </w:r>
    </w:p>
    <w:p w14:paraId="5657FA74" w14:textId="77777777" w:rsidR="004227D9" w:rsidRDefault="004227D9">
      <w:pPr>
        <w:tabs>
          <w:tab w:val="clear" w:pos="9360"/>
        </w:tabs>
        <w:ind w:left="0"/>
        <w:rPr>
          <w:rFonts w:cs="Arial"/>
          <w:bCs/>
        </w:rPr>
      </w:pPr>
    </w:p>
    <w:p w14:paraId="26749CFD" w14:textId="2696462A" w:rsidR="009B1F5B" w:rsidRPr="0097649F" w:rsidRDefault="00BD2781">
      <w:pPr>
        <w:tabs>
          <w:tab w:val="clear" w:pos="9360"/>
        </w:tabs>
        <w:ind w:left="0"/>
        <w:rPr>
          <w:rFonts w:cs="Arial"/>
          <w:b/>
          <w:bCs/>
        </w:rPr>
      </w:pPr>
      <w:r>
        <w:lastRenderedPageBreak/>
        <w:t xml:space="preserve">There is great diversity in the organization and management of SV prevention efforts within those government jurisdictions because SV prevention is situated with different topics (e.g., </w:t>
      </w:r>
      <w:r w:rsidRPr="0018107C">
        <w:t>maternal and child health, injury prevention, emergency management, trauma, women’s health</w:t>
      </w:r>
      <w:r>
        <w:t xml:space="preserve">) across different state and territorial agencies. </w:t>
      </w:r>
      <w:r w:rsidR="006A425E">
        <w:rPr>
          <w:rFonts w:cs="Arial"/>
          <w:bCs/>
        </w:rPr>
        <w:t xml:space="preserve">Through the VAWA legislations, health departments are mandated to allot funding to </w:t>
      </w:r>
      <w:r w:rsidR="000056FE">
        <w:rPr>
          <w:rFonts w:cs="Arial"/>
          <w:bCs/>
        </w:rPr>
        <w:t xml:space="preserve">different </w:t>
      </w:r>
      <w:r w:rsidR="006A425E">
        <w:rPr>
          <w:rFonts w:cs="Arial"/>
          <w:bCs/>
        </w:rPr>
        <w:t xml:space="preserve">local organizations </w:t>
      </w:r>
      <w:r w:rsidR="000056FE">
        <w:rPr>
          <w:rFonts w:cs="Arial"/>
          <w:bCs/>
        </w:rPr>
        <w:t xml:space="preserve">(i.e., sub-awardees) </w:t>
      </w:r>
      <w:r w:rsidR="006A425E">
        <w:rPr>
          <w:rFonts w:cs="Arial"/>
          <w:bCs/>
        </w:rPr>
        <w:t xml:space="preserve">to </w:t>
      </w:r>
      <w:r w:rsidR="00EF7DDA" w:rsidRPr="003A6992">
        <w:rPr>
          <w:rFonts w:cs="Arial"/>
          <w:bCs/>
        </w:rPr>
        <w:t>implement primary prevention strategies</w:t>
      </w:r>
      <w:r w:rsidR="00053654">
        <w:rPr>
          <w:rFonts w:cs="Arial"/>
          <w:bCs/>
        </w:rPr>
        <w:t xml:space="preserve"> </w:t>
      </w:r>
      <w:r w:rsidR="006A425E">
        <w:rPr>
          <w:rFonts w:cs="Arial"/>
          <w:bCs/>
        </w:rPr>
        <w:t>to prevent SV</w:t>
      </w:r>
      <w:r w:rsidR="00190651">
        <w:rPr>
          <w:rFonts w:cs="Arial"/>
          <w:bCs/>
        </w:rPr>
        <w:t>.</w:t>
      </w:r>
      <w:r w:rsidR="004D40DE">
        <w:rPr>
          <w:rFonts w:cs="Arial"/>
          <w:bCs/>
        </w:rPr>
        <w:t xml:space="preserve"> </w:t>
      </w:r>
      <w:r w:rsidR="004227D9">
        <w:rPr>
          <w:rFonts w:cs="Arial"/>
          <w:bCs/>
        </w:rPr>
        <w:t xml:space="preserve">Based on administrative data </w:t>
      </w:r>
      <w:r w:rsidR="004227D9">
        <w:t>(</w:t>
      </w:r>
      <w:r w:rsidR="004227D9" w:rsidRPr="009034C5">
        <w:rPr>
          <w:b/>
        </w:rPr>
        <w:t xml:space="preserve">see Att. A—RPE </w:t>
      </w:r>
      <w:r w:rsidR="004227D9">
        <w:rPr>
          <w:b/>
        </w:rPr>
        <w:t>Awardees and Sub-Awardees Count</w:t>
      </w:r>
      <w:r w:rsidR="004227D9">
        <w:t>)</w:t>
      </w:r>
      <w:r w:rsidR="004227D9">
        <w:rPr>
          <w:rFonts w:cs="Arial"/>
          <w:bCs/>
        </w:rPr>
        <w:t xml:space="preserve">, a </w:t>
      </w:r>
      <w:r w:rsidR="002D20C5">
        <w:rPr>
          <w:rFonts w:cs="Arial"/>
          <w:bCs/>
        </w:rPr>
        <w:t xml:space="preserve">total of 470 sub-awardees </w:t>
      </w:r>
      <w:r>
        <w:t>located in all 50 states, the District of Columbia, and one territory</w:t>
      </w:r>
      <w:r w:rsidR="004227D9">
        <w:t xml:space="preserve"> is estimated for this information collection. Of </w:t>
      </w:r>
      <w:r w:rsidR="009D012F">
        <w:rPr>
          <w:rFonts w:cs="Arial"/>
          <w:bCs/>
        </w:rPr>
        <w:t>that total</w:t>
      </w:r>
      <w:r w:rsidR="004227D9">
        <w:rPr>
          <w:rFonts w:cs="Arial"/>
          <w:bCs/>
        </w:rPr>
        <w:t>,</w:t>
      </w:r>
      <w:r w:rsidR="00E95C64">
        <w:rPr>
          <w:rFonts w:cs="Arial"/>
          <w:bCs/>
        </w:rPr>
        <w:t xml:space="preserve"> </w:t>
      </w:r>
      <w:r w:rsidR="000B7078">
        <w:rPr>
          <w:rFonts w:cs="Arial"/>
          <w:bCs/>
        </w:rPr>
        <w:t xml:space="preserve">396 </w:t>
      </w:r>
      <w:r w:rsidR="009D012F">
        <w:rPr>
          <w:rFonts w:cs="Arial"/>
          <w:bCs/>
        </w:rPr>
        <w:t xml:space="preserve">are </w:t>
      </w:r>
      <w:r w:rsidR="000B7078">
        <w:rPr>
          <w:rFonts w:cs="Arial"/>
          <w:bCs/>
        </w:rPr>
        <w:t>non-profit organizations (</w:t>
      </w:r>
      <w:r w:rsidR="00B90F61">
        <w:rPr>
          <w:rFonts w:cs="Arial"/>
          <w:bCs/>
        </w:rPr>
        <w:t xml:space="preserve">e.g., </w:t>
      </w:r>
      <w:r w:rsidR="00DC17F8" w:rsidRPr="00DC17F8">
        <w:rPr>
          <w:rFonts w:cs="Arial"/>
          <w:bCs/>
        </w:rPr>
        <w:t>rape crisis centers</w:t>
      </w:r>
      <w:r w:rsidR="000B7078">
        <w:rPr>
          <w:rFonts w:cs="Arial"/>
          <w:bCs/>
        </w:rPr>
        <w:t xml:space="preserve"> and state sexual assault coalitions), 52 </w:t>
      </w:r>
      <w:r w:rsidR="009D012F">
        <w:rPr>
          <w:rFonts w:cs="Arial"/>
          <w:bCs/>
        </w:rPr>
        <w:t xml:space="preserve">are </w:t>
      </w:r>
      <w:r w:rsidR="00DC17F8" w:rsidRPr="00DC17F8">
        <w:rPr>
          <w:rFonts w:cs="Arial"/>
          <w:bCs/>
        </w:rPr>
        <w:t>public</w:t>
      </w:r>
      <w:r w:rsidR="000B7078">
        <w:rPr>
          <w:rFonts w:cs="Arial"/>
          <w:bCs/>
        </w:rPr>
        <w:t xml:space="preserve"> academic institutions</w:t>
      </w:r>
      <w:r w:rsidR="00B90F61">
        <w:rPr>
          <w:rFonts w:cs="Arial"/>
          <w:bCs/>
        </w:rPr>
        <w:t xml:space="preserve"> (e.g., universities, middle school, high school)</w:t>
      </w:r>
      <w:r w:rsidR="000B7078">
        <w:rPr>
          <w:rFonts w:cs="Arial"/>
          <w:bCs/>
        </w:rPr>
        <w:t xml:space="preserve">, 16 </w:t>
      </w:r>
      <w:r w:rsidR="009D012F">
        <w:rPr>
          <w:rFonts w:cs="Arial"/>
          <w:bCs/>
        </w:rPr>
        <w:t xml:space="preserve">are </w:t>
      </w:r>
      <w:r w:rsidR="000B7078">
        <w:rPr>
          <w:rFonts w:cs="Arial"/>
          <w:bCs/>
        </w:rPr>
        <w:t>private organizations (</w:t>
      </w:r>
      <w:r w:rsidR="00B90F61">
        <w:rPr>
          <w:rFonts w:cs="Arial"/>
          <w:bCs/>
        </w:rPr>
        <w:t xml:space="preserve">e.g., </w:t>
      </w:r>
      <w:r w:rsidR="00730B6B">
        <w:rPr>
          <w:rFonts w:cs="Arial"/>
          <w:bCs/>
        </w:rPr>
        <w:t>assessment</w:t>
      </w:r>
      <w:r w:rsidR="000B7078">
        <w:rPr>
          <w:rFonts w:cs="Arial"/>
          <w:bCs/>
        </w:rPr>
        <w:t xml:space="preserve"> consultants and private academic institutions), and 6 </w:t>
      </w:r>
      <w:r w:rsidR="009D012F">
        <w:rPr>
          <w:rFonts w:cs="Arial"/>
          <w:bCs/>
        </w:rPr>
        <w:t xml:space="preserve">are </w:t>
      </w:r>
      <w:r w:rsidR="000B7078">
        <w:rPr>
          <w:rFonts w:cs="Arial"/>
          <w:bCs/>
        </w:rPr>
        <w:t>local health departments</w:t>
      </w:r>
      <w:r w:rsidR="00E95C64">
        <w:rPr>
          <w:rFonts w:cs="Arial"/>
          <w:bCs/>
        </w:rPr>
        <w:t xml:space="preserve"> (e.g., city and county health departments)</w:t>
      </w:r>
      <w:r w:rsidR="00DC17F8" w:rsidRPr="00DC17F8">
        <w:rPr>
          <w:rFonts w:cs="Arial"/>
          <w:bCs/>
        </w:rPr>
        <w:t xml:space="preserve">. </w:t>
      </w:r>
      <w:r w:rsidR="009B1F5B">
        <w:rPr>
          <w:rFonts w:cs="Arial"/>
          <w:bCs/>
        </w:rPr>
        <w:t>These sub-awardees are delegates because the</w:t>
      </w:r>
      <w:r w:rsidR="003354B0">
        <w:rPr>
          <w:rFonts w:cs="Arial"/>
          <w:bCs/>
        </w:rPr>
        <w:t xml:space="preserve"> SV programs in the state and territorial health departments are legislatively required </w:t>
      </w:r>
      <w:r w:rsidR="00155F6A">
        <w:rPr>
          <w:rFonts w:cs="Arial"/>
          <w:bCs/>
        </w:rPr>
        <w:t xml:space="preserve">by VAWA </w:t>
      </w:r>
      <w:r w:rsidR="003354B0">
        <w:rPr>
          <w:rFonts w:cs="Arial"/>
          <w:bCs/>
        </w:rPr>
        <w:t xml:space="preserve">to allot RPE funding to those local organizations to </w:t>
      </w:r>
      <w:r w:rsidR="009B1F5B">
        <w:rPr>
          <w:rFonts w:cs="Arial"/>
          <w:bCs/>
        </w:rPr>
        <w:t xml:space="preserve">provide legislatively mandated </w:t>
      </w:r>
      <w:r w:rsidR="00AB4B82">
        <w:rPr>
          <w:rFonts w:cs="Arial"/>
          <w:bCs/>
        </w:rPr>
        <w:t xml:space="preserve">public health </w:t>
      </w:r>
      <w:r w:rsidR="009B1F5B">
        <w:rPr>
          <w:rFonts w:cs="Arial"/>
          <w:bCs/>
        </w:rPr>
        <w:t xml:space="preserve">provisions </w:t>
      </w:r>
      <w:r w:rsidR="00196E8B">
        <w:rPr>
          <w:rFonts w:cs="Arial"/>
          <w:bCs/>
        </w:rPr>
        <w:t xml:space="preserve">on their behalf </w:t>
      </w:r>
      <w:r w:rsidR="007A2FFB">
        <w:rPr>
          <w:rFonts w:cs="Arial"/>
          <w:bCs/>
        </w:rPr>
        <w:t xml:space="preserve">to raise awareness, affect community change, and ultimately prevent </w:t>
      </w:r>
      <w:r w:rsidR="00E52B21">
        <w:rPr>
          <w:rFonts w:cs="Arial"/>
          <w:bCs/>
        </w:rPr>
        <w:t>SV from occurring in the first place</w:t>
      </w:r>
      <w:r w:rsidR="00FB658D">
        <w:rPr>
          <w:rFonts w:cs="Arial"/>
          <w:bCs/>
        </w:rPr>
        <w:t xml:space="preserve"> </w:t>
      </w:r>
      <w:r w:rsidR="0054296D">
        <w:rPr>
          <w:rFonts w:cs="Arial"/>
          <w:bCs/>
        </w:rPr>
        <w:t>(</w:t>
      </w:r>
      <w:r w:rsidR="0054296D" w:rsidRPr="00B55CED">
        <w:rPr>
          <w:rFonts w:cs="Arial"/>
          <w:b/>
          <w:bCs/>
        </w:rPr>
        <w:t xml:space="preserve">see Att. B—VAWA </w:t>
      </w:r>
      <w:r w:rsidR="00B765CE">
        <w:rPr>
          <w:rFonts w:cs="Arial"/>
          <w:b/>
          <w:bCs/>
        </w:rPr>
        <w:t>Reauthorization</w:t>
      </w:r>
      <w:r w:rsidR="0054296D">
        <w:rPr>
          <w:rFonts w:cs="Arial"/>
          <w:b/>
          <w:bCs/>
        </w:rPr>
        <w:t xml:space="preserve"> </w:t>
      </w:r>
      <w:r w:rsidR="0054296D" w:rsidRPr="00B55CED">
        <w:rPr>
          <w:rFonts w:cs="Arial"/>
          <w:b/>
          <w:bCs/>
        </w:rPr>
        <w:t xml:space="preserve">Legislation page </w:t>
      </w:r>
      <w:r w:rsidR="00B765CE">
        <w:rPr>
          <w:rFonts w:cs="Arial"/>
          <w:b/>
          <w:bCs/>
        </w:rPr>
        <w:t xml:space="preserve">31 </w:t>
      </w:r>
      <w:r w:rsidR="00B765CE" w:rsidRPr="00C70EF2">
        <w:rPr>
          <w:rFonts w:cs="Arial"/>
          <w:b/>
          <w:bCs/>
        </w:rPr>
        <w:t>and</w:t>
      </w:r>
      <w:r w:rsidR="00C70EF2" w:rsidRPr="00C70EF2">
        <w:t xml:space="preserve"> </w:t>
      </w:r>
      <w:r w:rsidR="00C70EF2" w:rsidRPr="00C70EF2">
        <w:rPr>
          <w:b/>
        </w:rPr>
        <w:t>Att. C</w:t>
      </w:r>
      <w:r w:rsidR="00C70EF2" w:rsidRPr="00C70EF2">
        <w:rPr>
          <w:rFonts w:cs="Arial"/>
          <w:b/>
          <w:bCs/>
        </w:rPr>
        <w:t>—</w:t>
      </w:r>
      <w:r w:rsidR="00C70EF2" w:rsidRPr="0097649F">
        <w:rPr>
          <w:b/>
        </w:rPr>
        <w:t>Public Health Service Act 42 USC 280b-1b)</w:t>
      </w:r>
      <w:r w:rsidR="007A2FFB" w:rsidRPr="0097649F">
        <w:rPr>
          <w:rFonts w:cs="Arial"/>
          <w:b/>
          <w:bCs/>
        </w:rPr>
        <w:t>.</w:t>
      </w:r>
      <w:r w:rsidR="009B1F5B" w:rsidRPr="0097649F">
        <w:rPr>
          <w:rFonts w:cs="Arial"/>
          <w:b/>
          <w:bCs/>
        </w:rPr>
        <w:t xml:space="preserve"> </w:t>
      </w:r>
    </w:p>
    <w:p w14:paraId="32274BD8" w14:textId="77777777" w:rsidR="009B1F5B" w:rsidRDefault="009B1F5B">
      <w:pPr>
        <w:tabs>
          <w:tab w:val="clear" w:pos="9360"/>
        </w:tabs>
        <w:ind w:left="0"/>
        <w:rPr>
          <w:rFonts w:cs="Arial"/>
          <w:bCs/>
        </w:rPr>
      </w:pPr>
    </w:p>
    <w:p w14:paraId="03A3C772" w14:textId="1CC01D32" w:rsidR="00035995" w:rsidRPr="001C48A0" w:rsidRDefault="0079659A" w:rsidP="00871DC2">
      <w:pPr>
        <w:tabs>
          <w:tab w:val="clear" w:pos="9360"/>
        </w:tabs>
        <w:ind w:left="0"/>
        <w:rPr>
          <w:rFonts w:cs="Arial"/>
          <w:bCs/>
        </w:rPr>
      </w:pPr>
      <w:r>
        <w:rPr>
          <w:rFonts w:cs="Arial"/>
          <w:bCs/>
        </w:rPr>
        <w:t xml:space="preserve">The CDC </w:t>
      </w:r>
      <w:r w:rsidR="00EB2145" w:rsidRPr="0013658C">
        <w:rPr>
          <w:rFonts w:cs="Arial"/>
          <w:bCs/>
        </w:rPr>
        <w:t>invest</w:t>
      </w:r>
      <w:r w:rsidR="00714C84">
        <w:rPr>
          <w:rFonts w:cs="Arial"/>
          <w:bCs/>
        </w:rPr>
        <w:t>s</w:t>
      </w:r>
      <w:r w:rsidR="00EB2145" w:rsidRPr="0013658C">
        <w:rPr>
          <w:rFonts w:cs="Arial"/>
          <w:bCs/>
        </w:rPr>
        <w:t xml:space="preserve"> in building the infrastructure and capacity </w:t>
      </w:r>
      <w:r w:rsidR="007D79E7">
        <w:rPr>
          <w:rFonts w:cs="Arial"/>
          <w:bCs/>
        </w:rPr>
        <w:t xml:space="preserve">RPE awardees and sub-awardees </w:t>
      </w:r>
      <w:r w:rsidR="00EB2145" w:rsidRPr="0013658C">
        <w:rPr>
          <w:rFonts w:cs="Arial"/>
          <w:bCs/>
        </w:rPr>
        <w:t>to implement evidence-based prevention strategies</w:t>
      </w:r>
      <w:r w:rsidR="00215047">
        <w:rPr>
          <w:rFonts w:cs="Arial"/>
          <w:bCs/>
        </w:rPr>
        <w:t xml:space="preserve"> with an expectation of reducing </w:t>
      </w:r>
      <w:r w:rsidR="00E52B21">
        <w:rPr>
          <w:rFonts w:cs="Arial"/>
          <w:bCs/>
        </w:rPr>
        <w:t>SV</w:t>
      </w:r>
      <w:r w:rsidR="00215047">
        <w:rPr>
          <w:rFonts w:cs="Arial"/>
          <w:bCs/>
        </w:rPr>
        <w:t xml:space="preserve"> outcomes.</w:t>
      </w:r>
      <w:r w:rsidR="00215047">
        <w:rPr>
          <w:rFonts w:cs="Arial"/>
          <w:bCs/>
          <w:vertAlign w:val="superscript"/>
        </w:rPr>
        <w:t>3</w:t>
      </w:r>
      <w:r w:rsidR="00215047">
        <w:rPr>
          <w:rFonts w:cs="Arial"/>
          <w:bCs/>
        </w:rPr>
        <w:t xml:space="preserve"> </w:t>
      </w:r>
      <w:r w:rsidR="00A86B67">
        <w:rPr>
          <w:rFonts w:cs="Arial"/>
          <w:bCs/>
        </w:rPr>
        <w:t xml:space="preserve">However, </w:t>
      </w:r>
      <w:r w:rsidR="00FB7A44">
        <w:rPr>
          <w:rFonts w:cs="Arial"/>
          <w:bCs/>
        </w:rPr>
        <w:t xml:space="preserve">CDC found through a systematic review of </w:t>
      </w:r>
      <w:r w:rsidR="00215047">
        <w:rPr>
          <w:rFonts w:cs="Arial"/>
          <w:bCs/>
        </w:rPr>
        <w:t>the literature that t</w:t>
      </w:r>
      <w:r w:rsidR="00EF7DDA" w:rsidRPr="00EF7DDA">
        <w:rPr>
          <w:rFonts w:cs="Arial"/>
          <w:bCs/>
        </w:rPr>
        <w:t xml:space="preserve">he SV field currently lacks sufficient </w:t>
      </w:r>
      <w:r w:rsidR="00EF7DDA" w:rsidRPr="00FC5698">
        <w:rPr>
          <w:rFonts w:cs="Arial"/>
          <w:bCs/>
        </w:rPr>
        <w:t xml:space="preserve">evidence-based strategies </w:t>
      </w:r>
      <w:r w:rsidR="0013658C" w:rsidRPr="00FC5698">
        <w:rPr>
          <w:rFonts w:cs="Arial"/>
          <w:bCs/>
        </w:rPr>
        <w:t xml:space="preserve">that </w:t>
      </w:r>
      <w:r w:rsidR="00EF7DDA" w:rsidRPr="00FC5698">
        <w:rPr>
          <w:rFonts w:cs="Arial"/>
          <w:bCs/>
        </w:rPr>
        <w:t>impact population-level health outcomes.</w:t>
      </w:r>
      <w:r w:rsidR="004E34E3">
        <w:rPr>
          <w:rFonts w:cs="Arial"/>
          <w:bCs/>
          <w:vertAlign w:val="superscript"/>
        </w:rPr>
        <w:t>4</w:t>
      </w:r>
      <w:r w:rsidR="00EF7DDA" w:rsidRPr="00FC5698">
        <w:rPr>
          <w:rFonts w:cs="Arial"/>
          <w:bCs/>
        </w:rPr>
        <w:t xml:space="preserve"> </w:t>
      </w:r>
      <w:r w:rsidR="00FB7A44">
        <w:rPr>
          <w:rFonts w:cs="Arial"/>
          <w:bCs/>
        </w:rPr>
        <w:t xml:space="preserve">DeGue, et al </w:t>
      </w:r>
      <w:r w:rsidR="00D0389B" w:rsidRPr="00FC5698">
        <w:rPr>
          <w:rFonts w:cs="Arial"/>
          <w:bCs/>
        </w:rPr>
        <w:t>review</w:t>
      </w:r>
      <w:r w:rsidR="00FB7A44">
        <w:rPr>
          <w:rFonts w:cs="Arial"/>
          <w:bCs/>
        </w:rPr>
        <w:t>ed</w:t>
      </w:r>
      <w:r w:rsidR="00D0389B" w:rsidRPr="00FC5698">
        <w:rPr>
          <w:rFonts w:cs="Arial"/>
          <w:bCs/>
        </w:rPr>
        <w:t xml:space="preserve"> 140 outcome </w:t>
      </w:r>
      <w:r w:rsidR="00730B6B">
        <w:rPr>
          <w:rFonts w:cs="Arial"/>
          <w:bCs/>
        </w:rPr>
        <w:t>assessment</w:t>
      </w:r>
      <w:r w:rsidR="00730B6B" w:rsidRPr="00FC5698">
        <w:rPr>
          <w:rFonts w:cs="Arial"/>
          <w:bCs/>
        </w:rPr>
        <w:t xml:space="preserve">s </w:t>
      </w:r>
      <w:r w:rsidR="00D0389B" w:rsidRPr="00FC5698">
        <w:rPr>
          <w:rFonts w:cs="Arial"/>
          <w:bCs/>
        </w:rPr>
        <w:t xml:space="preserve">of prevention strategies for SV perpetration from 1985 until 2012 </w:t>
      </w:r>
      <w:r w:rsidR="00FB7A44">
        <w:rPr>
          <w:rFonts w:cs="Arial"/>
          <w:bCs/>
        </w:rPr>
        <w:t xml:space="preserve">and </w:t>
      </w:r>
      <w:r w:rsidR="00D0389B" w:rsidRPr="00FC5698">
        <w:rPr>
          <w:rFonts w:cs="Arial"/>
          <w:bCs/>
        </w:rPr>
        <w:t xml:space="preserve">found that only three strategies </w:t>
      </w:r>
      <w:r w:rsidR="00A86B67">
        <w:rPr>
          <w:rFonts w:cs="Arial"/>
          <w:bCs/>
        </w:rPr>
        <w:t>have been shown to be effective</w:t>
      </w:r>
      <w:r w:rsidR="00D0389B" w:rsidRPr="00FC5698">
        <w:rPr>
          <w:rFonts w:cs="Arial"/>
          <w:bCs/>
        </w:rPr>
        <w:t xml:space="preserve"> on </w:t>
      </w:r>
      <w:r w:rsidR="00A86B67">
        <w:rPr>
          <w:rFonts w:cs="Arial"/>
          <w:bCs/>
        </w:rPr>
        <w:t xml:space="preserve">preventing SV perpetration </w:t>
      </w:r>
      <w:r w:rsidR="00D0389B" w:rsidRPr="00FC5698">
        <w:rPr>
          <w:rFonts w:cs="Arial"/>
          <w:bCs/>
        </w:rPr>
        <w:t xml:space="preserve">in a rigorous </w:t>
      </w:r>
      <w:r w:rsidR="00FB570E">
        <w:rPr>
          <w:rFonts w:cs="Arial"/>
          <w:bCs/>
        </w:rPr>
        <w:t>assessment</w:t>
      </w:r>
      <w:r w:rsidR="00D0389B" w:rsidRPr="00FC5698">
        <w:rPr>
          <w:rFonts w:cs="Arial"/>
          <w:bCs/>
        </w:rPr>
        <w:t>.</w:t>
      </w:r>
      <w:r w:rsidR="00D0389B" w:rsidRPr="00FC5698">
        <w:rPr>
          <w:rFonts w:cs="Arial"/>
          <w:bCs/>
          <w:vertAlign w:val="superscript"/>
        </w:rPr>
        <w:t>3</w:t>
      </w:r>
      <w:r w:rsidR="00FC5698">
        <w:rPr>
          <w:rFonts w:cs="Arial"/>
          <w:bCs/>
          <w:vertAlign w:val="superscript"/>
        </w:rPr>
        <w:t xml:space="preserve"> </w:t>
      </w:r>
      <w:r w:rsidR="00215047">
        <w:rPr>
          <w:rFonts w:cs="Arial"/>
          <w:bCs/>
        </w:rPr>
        <w:t xml:space="preserve">This review was the first comprehensive, systematic review of assessment research on primary prevention </w:t>
      </w:r>
      <w:r w:rsidR="00A86B67">
        <w:rPr>
          <w:rFonts w:cs="Arial"/>
          <w:bCs/>
        </w:rPr>
        <w:t xml:space="preserve">strategies for SV perpetration and </w:t>
      </w:r>
      <w:r w:rsidR="00276092">
        <w:rPr>
          <w:rFonts w:cs="Arial"/>
          <w:bCs/>
        </w:rPr>
        <w:t>concluded</w:t>
      </w:r>
      <w:r w:rsidR="00215047">
        <w:rPr>
          <w:rFonts w:cs="Arial"/>
          <w:bCs/>
        </w:rPr>
        <w:t xml:space="preserve"> that t</w:t>
      </w:r>
      <w:r w:rsidR="00FC5698" w:rsidRPr="00FC5698">
        <w:rPr>
          <w:rFonts w:cs="Arial"/>
          <w:bCs/>
        </w:rPr>
        <w:t>he lack of effective prevention strategies</w:t>
      </w:r>
      <w:r w:rsidR="004E14A2">
        <w:rPr>
          <w:rFonts w:cs="Arial"/>
          <w:bCs/>
        </w:rPr>
        <w:t xml:space="preserve"> is</w:t>
      </w:r>
      <w:r w:rsidR="00FC5698" w:rsidRPr="00FC5698">
        <w:rPr>
          <w:rFonts w:cs="Arial"/>
          <w:bCs/>
        </w:rPr>
        <w:t xml:space="preserve"> not only</w:t>
      </w:r>
      <w:r w:rsidR="00FC5698">
        <w:rPr>
          <w:rFonts w:cs="Arial"/>
          <w:bCs/>
        </w:rPr>
        <w:t xml:space="preserve"> due to</w:t>
      </w:r>
      <w:r w:rsidR="00FC5698" w:rsidRPr="00FC5698">
        <w:rPr>
          <w:rFonts w:cs="Arial"/>
          <w:bCs/>
        </w:rPr>
        <w:t xml:space="preserve"> </w:t>
      </w:r>
      <w:r w:rsidR="00FC5698">
        <w:rPr>
          <w:rFonts w:cs="Arial"/>
          <w:bCs/>
        </w:rPr>
        <w:t xml:space="preserve">a lack of rigorous </w:t>
      </w:r>
      <w:r w:rsidR="00FB570E">
        <w:rPr>
          <w:rFonts w:cs="Arial"/>
          <w:bCs/>
        </w:rPr>
        <w:t xml:space="preserve">assessment </w:t>
      </w:r>
      <w:r w:rsidR="00FC5698">
        <w:rPr>
          <w:rFonts w:cs="Arial"/>
          <w:bCs/>
        </w:rPr>
        <w:t xml:space="preserve"> of prevention strategies, but also the quality of the prevention strategies developed.</w:t>
      </w:r>
      <w:r w:rsidR="00E35C0C">
        <w:rPr>
          <w:rFonts w:cs="Arial"/>
          <w:bCs/>
          <w:vertAlign w:val="superscript"/>
        </w:rPr>
        <w:t>3</w:t>
      </w:r>
      <w:r w:rsidR="00FC5698">
        <w:rPr>
          <w:rFonts w:cs="Arial"/>
          <w:bCs/>
        </w:rPr>
        <w:t xml:space="preserve"> </w:t>
      </w:r>
      <w:r w:rsidR="00C44243">
        <w:rPr>
          <w:rFonts w:cs="Arial"/>
          <w:bCs/>
        </w:rPr>
        <w:t xml:space="preserve">This </w:t>
      </w:r>
      <w:r w:rsidR="00035995">
        <w:rPr>
          <w:rFonts w:cs="Arial"/>
          <w:bCs/>
        </w:rPr>
        <w:t>indicates</w:t>
      </w:r>
      <w:r w:rsidR="00C44243">
        <w:rPr>
          <w:rFonts w:cs="Arial"/>
          <w:bCs/>
        </w:rPr>
        <w:t xml:space="preserve"> that</w:t>
      </w:r>
      <w:r w:rsidR="00276092">
        <w:rPr>
          <w:rFonts w:cs="Arial"/>
          <w:bCs/>
        </w:rPr>
        <w:t xml:space="preserve"> the field’s ability to identify effective SV prevention strategies lies in the quality of available research, and that more rigorous </w:t>
      </w:r>
      <w:r w:rsidR="00052254">
        <w:rPr>
          <w:rFonts w:cs="Arial"/>
          <w:bCs/>
        </w:rPr>
        <w:t>assessments should be conducted</w:t>
      </w:r>
      <w:r w:rsidR="00276092">
        <w:rPr>
          <w:rFonts w:cs="Arial"/>
          <w:bCs/>
        </w:rPr>
        <w:t xml:space="preserve"> to determine whether a strategy is likely to achieve </w:t>
      </w:r>
      <w:r w:rsidR="00052254">
        <w:rPr>
          <w:rFonts w:cs="Arial"/>
          <w:bCs/>
        </w:rPr>
        <w:t>its</w:t>
      </w:r>
      <w:r w:rsidR="00276092">
        <w:rPr>
          <w:rFonts w:cs="Arial"/>
          <w:bCs/>
        </w:rPr>
        <w:t xml:space="preserve"> desired outcomes.</w:t>
      </w:r>
      <w:r w:rsidR="00276092">
        <w:rPr>
          <w:rFonts w:cs="Arial"/>
          <w:bCs/>
          <w:vertAlign w:val="superscript"/>
        </w:rPr>
        <w:t xml:space="preserve">3 </w:t>
      </w:r>
      <w:r w:rsidR="00276092">
        <w:rPr>
          <w:rFonts w:cs="Arial"/>
          <w:bCs/>
        </w:rPr>
        <w:t>Additionally, this points to a need to develop more quality SV prevention strategies. Quality prevention strategies are rooted in the principles of prevention</w:t>
      </w:r>
      <w:r w:rsidR="00052254">
        <w:rPr>
          <w:rFonts w:cs="Arial"/>
          <w:bCs/>
        </w:rPr>
        <w:t xml:space="preserve"> </w:t>
      </w:r>
      <w:r w:rsidR="00035995">
        <w:rPr>
          <w:rFonts w:cs="Arial"/>
          <w:bCs/>
        </w:rPr>
        <w:t xml:space="preserve">and contain the following “best practices” </w:t>
      </w:r>
      <w:r w:rsidR="00276092">
        <w:rPr>
          <w:rFonts w:cs="Arial"/>
          <w:bCs/>
        </w:rPr>
        <w:t>characte</w:t>
      </w:r>
      <w:r w:rsidR="00052254">
        <w:rPr>
          <w:rFonts w:cs="Arial"/>
          <w:bCs/>
        </w:rPr>
        <w:t>ris</w:t>
      </w:r>
      <w:r w:rsidR="00276092">
        <w:rPr>
          <w:rFonts w:cs="Arial"/>
          <w:bCs/>
        </w:rPr>
        <w:t>tics: comprehensive, appropriately timed, utilized varied teaching methods, had sufficient dosage, were administered by well-trained staff, provided opportunities for positive relationships, were socio-culturally relevant, were theory</w:t>
      </w:r>
      <w:r w:rsidR="00052254">
        <w:rPr>
          <w:rFonts w:cs="Arial"/>
          <w:bCs/>
        </w:rPr>
        <w:t>-driven, and included outcome evaluation.</w:t>
      </w:r>
      <w:r w:rsidR="004A71A4">
        <w:rPr>
          <w:rFonts w:cs="Arial"/>
          <w:bCs/>
          <w:vertAlign w:val="superscript"/>
        </w:rPr>
        <w:t>5</w:t>
      </w:r>
      <w:r w:rsidR="00276092">
        <w:rPr>
          <w:rFonts w:cs="Arial"/>
          <w:bCs/>
        </w:rPr>
        <w:t xml:space="preserve"> </w:t>
      </w:r>
      <w:r w:rsidR="008660D4">
        <w:rPr>
          <w:rFonts w:cs="Arial"/>
          <w:bCs/>
        </w:rPr>
        <w:t>A large portion of the research to date have been invested in prevention strategies that are not consistent with the principles of prevention.</w:t>
      </w:r>
      <w:r w:rsidR="008660D4">
        <w:rPr>
          <w:rFonts w:cs="Arial"/>
          <w:bCs/>
          <w:vertAlign w:val="superscript"/>
        </w:rPr>
        <w:t>3</w:t>
      </w:r>
      <w:r w:rsidR="008660D4">
        <w:rPr>
          <w:rFonts w:cs="Arial"/>
          <w:bCs/>
        </w:rPr>
        <w:t xml:space="preserve"> Therefore, there is a need for more prevention strategies based on (1) a coherent theory of change with plausible likelihood for impact on SV perpetration, (2) addressing a range of risk and protective factors for SV, and (3) </w:t>
      </w:r>
      <w:r w:rsidR="008660D4" w:rsidRPr="00FC5698">
        <w:rPr>
          <w:rFonts w:cs="Arial"/>
          <w:bCs/>
        </w:rPr>
        <w:t>community- and societal-level prevention approaches in the field of SV prevention.</w:t>
      </w:r>
      <w:r w:rsidR="008660D4" w:rsidRPr="00FC5698">
        <w:rPr>
          <w:rFonts w:cs="Arial"/>
          <w:bCs/>
          <w:vertAlign w:val="superscript"/>
        </w:rPr>
        <w:t xml:space="preserve"> 3</w:t>
      </w:r>
      <w:r w:rsidR="008660D4" w:rsidRPr="00FC5698">
        <w:rPr>
          <w:rFonts w:cs="Arial"/>
          <w:bCs/>
        </w:rPr>
        <w:t xml:space="preserve"> </w:t>
      </w:r>
    </w:p>
    <w:p w14:paraId="643B2D37" w14:textId="6941EC3A" w:rsidR="00215047" w:rsidRDefault="00FE3A57" w:rsidP="00871DC2">
      <w:pPr>
        <w:tabs>
          <w:tab w:val="clear" w:pos="9360"/>
          <w:tab w:val="left" w:pos="8352"/>
        </w:tabs>
        <w:ind w:left="0"/>
        <w:rPr>
          <w:rFonts w:cs="Arial"/>
          <w:bCs/>
        </w:rPr>
      </w:pPr>
      <w:r>
        <w:rPr>
          <w:rFonts w:cs="Arial"/>
          <w:bCs/>
        </w:rPr>
        <w:tab/>
      </w:r>
    </w:p>
    <w:p w14:paraId="18EA15DD" w14:textId="1E669F29" w:rsidR="009B7369" w:rsidRDefault="008167E3">
      <w:pPr>
        <w:ind w:left="0"/>
        <w:rPr>
          <w:rFonts w:cs="Arial"/>
          <w:bCs/>
        </w:rPr>
      </w:pPr>
      <w:r>
        <w:rPr>
          <w:rFonts w:cs="Arial"/>
          <w:bCs/>
        </w:rPr>
        <w:lastRenderedPageBreak/>
        <w:t xml:space="preserve">An evaluability assessment </w:t>
      </w:r>
      <w:r w:rsidR="00034B6E">
        <w:rPr>
          <w:rFonts w:cs="Arial"/>
          <w:bCs/>
        </w:rPr>
        <w:t xml:space="preserve">(EA) </w:t>
      </w:r>
      <w:r>
        <w:rPr>
          <w:rFonts w:cs="Arial"/>
          <w:bCs/>
        </w:rPr>
        <w:t xml:space="preserve">that was conducted from 2001 through 2004 of the RPE Program, found that </w:t>
      </w:r>
      <w:r w:rsidR="000C548A">
        <w:rPr>
          <w:rFonts w:cs="Arial"/>
          <w:bCs/>
        </w:rPr>
        <w:t>RPE awardees echoed this need for more evidence-based SV prevention strategies</w:t>
      </w:r>
      <w:r w:rsidR="001C48A0">
        <w:rPr>
          <w:rFonts w:cs="Arial"/>
          <w:bCs/>
        </w:rPr>
        <w:t>.</w:t>
      </w:r>
      <w:r w:rsidR="004A71A4">
        <w:rPr>
          <w:rFonts w:cs="Arial"/>
          <w:bCs/>
          <w:vertAlign w:val="superscript"/>
        </w:rPr>
        <w:t>6</w:t>
      </w:r>
      <w:r w:rsidR="001C48A0">
        <w:rPr>
          <w:rFonts w:cs="Arial"/>
          <w:bCs/>
        </w:rPr>
        <w:t xml:space="preserve"> An </w:t>
      </w:r>
      <w:r w:rsidR="00034B6E">
        <w:rPr>
          <w:rFonts w:cs="Arial"/>
          <w:bCs/>
        </w:rPr>
        <w:t>EA</w:t>
      </w:r>
      <w:r w:rsidR="001C48A0">
        <w:rPr>
          <w:rFonts w:cs="Arial"/>
          <w:bCs/>
        </w:rPr>
        <w:t xml:space="preserve"> is a method </w:t>
      </w:r>
      <w:r w:rsidR="004A71A4">
        <w:rPr>
          <w:rFonts w:cs="Arial"/>
          <w:bCs/>
        </w:rPr>
        <w:t>used to determine</w:t>
      </w:r>
      <w:r w:rsidR="001C48A0">
        <w:rPr>
          <w:rFonts w:cs="Arial"/>
          <w:bCs/>
        </w:rPr>
        <w:t xml:space="preserve"> (1) if the necessary program activities are in place for a successful outcome assessment, (2) if the program </w:t>
      </w:r>
      <w:r w:rsidR="000C548A">
        <w:rPr>
          <w:rFonts w:cs="Arial"/>
          <w:bCs/>
        </w:rPr>
        <w:t>activities</w:t>
      </w:r>
      <w:r w:rsidR="001C48A0">
        <w:rPr>
          <w:rFonts w:cs="Arial"/>
          <w:bCs/>
        </w:rPr>
        <w:t xml:space="preserve"> include plausible and well defined program objectives, and (3) </w:t>
      </w:r>
      <w:r w:rsidR="000C548A">
        <w:rPr>
          <w:rFonts w:cs="Arial"/>
          <w:bCs/>
        </w:rPr>
        <w:t>if the intended uses of information from an outcome assessment have been clearly outlined.</w:t>
      </w:r>
      <w:r w:rsidR="00322687">
        <w:rPr>
          <w:rFonts w:cs="Arial"/>
          <w:bCs/>
          <w:vertAlign w:val="superscript"/>
        </w:rPr>
        <w:t>7</w:t>
      </w:r>
      <w:r w:rsidR="000C548A">
        <w:rPr>
          <w:rFonts w:cs="Arial"/>
          <w:bCs/>
        </w:rPr>
        <w:t xml:space="preserve"> This method was developed by Joseph Wholey and colleagues at the Urban Institute and the method has been expanded to ask if a program can realistically achieve the intended goals or anticipated effects.</w:t>
      </w:r>
      <w:r w:rsidR="00322687">
        <w:rPr>
          <w:rFonts w:cs="Arial"/>
          <w:bCs/>
          <w:vertAlign w:val="superscript"/>
        </w:rPr>
        <w:t>7,8</w:t>
      </w:r>
      <w:r w:rsidR="000C548A">
        <w:rPr>
          <w:rFonts w:cs="Arial"/>
          <w:bCs/>
        </w:rPr>
        <w:t xml:space="preserve"> Through document review and interviews with stakeholders, 92% of respondents of RPE awardees indicated that training and technical assistance needs included a need for evidence-based prevention strategies, especially focused on youth.</w:t>
      </w:r>
      <w:r w:rsidR="00354FCB">
        <w:rPr>
          <w:rFonts w:cs="Arial"/>
          <w:bCs/>
          <w:vertAlign w:val="superscript"/>
        </w:rPr>
        <w:t>6</w:t>
      </w:r>
      <w:r w:rsidR="000C548A">
        <w:rPr>
          <w:rFonts w:cs="Arial"/>
          <w:bCs/>
        </w:rPr>
        <w:t xml:space="preserve"> </w:t>
      </w:r>
      <w:r w:rsidR="009B7369" w:rsidRPr="009B7369">
        <w:rPr>
          <w:rFonts w:cs="Arial"/>
          <w:bCs/>
        </w:rPr>
        <w:t xml:space="preserve">As the evidence of effective </w:t>
      </w:r>
      <w:r w:rsidR="00E52B21">
        <w:rPr>
          <w:rFonts w:cs="Arial"/>
          <w:bCs/>
        </w:rPr>
        <w:t>SV</w:t>
      </w:r>
      <w:r w:rsidR="009B7369" w:rsidRPr="009B7369">
        <w:rPr>
          <w:rFonts w:cs="Arial"/>
          <w:bCs/>
        </w:rPr>
        <w:t xml:space="preserve"> prevention strategies is emerging, </w:t>
      </w:r>
      <w:r w:rsidR="009B7369">
        <w:rPr>
          <w:rFonts w:cs="Arial"/>
          <w:bCs/>
        </w:rPr>
        <w:t xml:space="preserve">DVP </w:t>
      </w:r>
      <w:r w:rsidR="000C548A">
        <w:rPr>
          <w:rFonts w:cs="Arial"/>
          <w:bCs/>
        </w:rPr>
        <w:t xml:space="preserve">is </w:t>
      </w:r>
      <w:r>
        <w:rPr>
          <w:rFonts w:cs="Arial"/>
          <w:bCs/>
        </w:rPr>
        <w:t xml:space="preserve">developing and </w:t>
      </w:r>
      <w:r w:rsidR="009B7369" w:rsidRPr="009B7369">
        <w:rPr>
          <w:rFonts w:cs="Arial"/>
          <w:bCs/>
        </w:rPr>
        <w:t>provid</w:t>
      </w:r>
      <w:r>
        <w:rPr>
          <w:rFonts w:cs="Arial"/>
          <w:bCs/>
        </w:rPr>
        <w:t>ing</w:t>
      </w:r>
      <w:r w:rsidR="009B7369" w:rsidRPr="009B7369">
        <w:rPr>
          <w:rFonts w:cs="Arial"/>
          <w:bCs/>
        </w:rPr>
        <w:t xml:space="preserve"> tools, </w:t>
      </w:r>
      <w:r>
        <w:rPr>
          <w:rFonts w:cs="Arial"/>
          <w:bCs/>
        </w:rPr>
        <w:t xml:space="preserve">and also is providing </w:t>
      </w:r>
      <w:r w:rsidR="009B7369" w:rsidRPr="009B7369">
        <w:rPr>
          <w:rFonts w:cs="Arial"/>
          <w:bCs/>
        </w:rPr>
        <w:t xml:space="preserve">training and technical assistance to RPE </w:t>
      </w:r>
      <w:r w:rsidR="009B7369">
        <w:rPr>
          <w:rFonts w:cs="Arial"/>
          <w:bCs/>
        </w:rPr>
        <w:t xml:space="preserve">awardees </w:t>
      </w:r>
      <w:r w:rsidR="009B7369" w:rsidRPr="009B7369">
        <w:rPr>
          <w:rFonts w:cs="Arial"/>
          <w:bCs/>
        </w:rPr>
        <w:t xml:space="preserve">for understanding the continuum of evidence and making evidence-based decisions. </w:t>
      </w:r>
      <w:r w:rsidR="00A75646">
        <w:rPr>
          <w:rFonts w:cs="Arial"/>
          <w:bCs/>
        </w:rPr>
        <w:t>Meanwhile</w:t>
      </w:r>
      <w:r w:rsidR="009B7369" w:rsidRPr="009B7369">
        <w:rPr>
          <w:rFonts w:cs="Arial"/>
          <w:bCs/>
        </w:rPr>
        <w:t xml:space="preserve">, states are assessing the capacity of state and local organizations to collect data about their prevention strategies and use that data to improve </w:t>
      </w:r>
      <w:r w:rsidR="00B460FA">
        <w:rPr>
          <w:rFonts w:cs="Arial"/>
          <w:bCs/>
        </w:rPr>
        <w:t>their work</w:t>
      </w:r>
      <w:r w:rsidR="009B7369" w:rsidRPr="009B7369">
        <w:rPr>
          <w:rFonts w:cs="Arial"/>
          <w:bCs/>
        </w:rPr>
        <w:t xml:space="preserve">. </w:t>
      </w:r>
    </w:p>
    <w:p w14:paraId="4E6C9436" w14:textId="77777777" w:rsidR="00583940" w:rsidRDefault="00583940">
      <w:pPr>
        <w:ind w:left="0"/>
        <w:rPr>
          <w:rFonts w:cs="Arial"/>
          <w:bCs/>
        </w:rPr>
      </w:pPr>
    </w:p>
    <w:p w14:paraId="3C960193" w14:textId="275BCD25" w:rsidR="008B5F76" w:rsidRDefault="004F7AE5" w:rsidP="008B5F76">
      <w:pPr>
        <w:ind w:left="0"/>
        <w:rPr>
          <w:rFonts w:cs="Arial"/>
          <w:bCs/>
        </w:rPr>
      </w:pPr>
      <w:r>
        <w:rPr>
          <w:rFonts w:cs="Arial"/>
          <w:bCs/>
        </w:rPr>
        <w:t>To advance the evidence base for SV prevention, it is necessary to understand what works in practice. The Center for the Study of Social Policy suggests that a useful approach to solve complex, social problems is to obtain practice-based evidence that are rooted in population- and community-level influences.</w:t>
      </w:r>
      <w:r>
        <w:rPr>
          <w:rFonts w:cs="Arial"/>
          <w:bCs/>
          <w:vertAlign w:val="superscript"/>
        </w:rPr>
        <w:t>9</w:t>
      </w:r>
      <w:r>
        <w:rPr>
          <w:rFonts w:cs="Arial"/>
          <w:bCs/>
        </w:rPr>
        <w:t xml:space="preserve"> </w:t>
      </w:r>
      <w:r w:rsidR="00BF6B80">
        <w:rPr>
          <w:rFonts w:cs="Arial"/>
          <w:bCs/>
        </w:rPr>
        <w:t xml:space="preserve">One method to identify practice-based prevention strategies is the </w:t>
      </w:r>
      <w:r w:rsidR="00EF7DDA" w:rsidRPr="00EF7DDA">
        <w:rPr>
          <w:rFonts w:cs="Arial"/>
          <w:bCs/>
        </w:rPr>
        <w:t>Systematic Screening and Assessment</w:t>
      </w:r>
      <w:r w:rsidR="0013658C">
        <w:rPr>
          <w:rFonts w:cs="Arial"/>
          <w:bCs/>
        </w:rPr>
        <w:t xml:space="preserve"> </w:t>
      </w:r>
      <w:r w:rsidR="0013658C" w:rsidRPr="00EF7DDA">
        <w:rPr>
          <w:rFonts w:cs="Arial"/>
          <w:bCs/>
        </w:rPr>
        <w:t>(SSA)</w:t>
      </w:r>
      <w:r w:rsidR="00EF7DDA" w:rsidRPr="00EF7DDA">
        <w:rPr>
          <w:rFonts w:cs="Arial"/>
          <w:bCs/>
        </w:rPr>
        <w:t xml:space="preserve"> Method</w:t>
      </w:r>
      <w:r w:rsidR="00BF6B80">
        <w:rPr>
          <w:rFonts w:cs="Arial"/>
          <w:bCs/>
        </w:rPr>
        <w:t>.</w:t>
      </w:r>
      <w:r w:rsidR="00BF6B80">
        <w:rPr>
          <w:rFonts w:cs="Arial"/>
          <w:bCs/>
          <w:vertAlign w:val="superscript"/>
        </w:rPr>
        <w:t>10</w:t>
      </w:r>
      <w:r w:rsidR="00A73053">
        <w:rPr>
          <w:rFonts w:cs="Arial"/>
          <w:bCs/>
          <w:vertAlign w:val="superscript"/>
        </w:rPr>
        <w:t xml:space="preserve"> </w:t>
      </w:r>
      <w:r w:rsidR="0013658C">
        <w:rPr>
          <w:rFonts w:cs="Arial"/>
          <w:bCs/>
        </w:rPr>
        <w:t xml:space="preserve">The </w:t>
      </w:r>
      <w:r w:rsidR="00EF7DDA" w:rsidRPr="00EF7DDA">
        <w:rPr>
          <w:rFonts w:cs="Arial"/>
          <w:bCs/>
        </w:rPr>
        <w:t xml:space="preserve">SSA </w:t>
      </w:r>
      <w:r w:rsidR="0013658C">
        <w:rPr>
          <w:rFonts w:cs="Arial"/>
          <w:bCs/>
        </w:rPr>
        <w:t xml:space="preserve">Method </w:t>
      </w:r>
      <w:r w:rsidR="00EF7DDA" w:rsidRPr="00EF7DDA">
        <w:rPr>
          <w:rFonts w:cs="Arial"/>
          <w:bCs/>
        </w:rPr>
        <w:t>has been used by both CDC’s Division of Nutrition, Physical Activity and Obesity and Division of Cancer Prevention and Control to identify promising practice</w:t>
      </w:r>
      <w:r w:rsidR="008C005E">
        <w:rPr>
          <w:rFonts w:cs="Arial"/>
          <w:bCs/>
        </w:rPr>
        <w:t>-based programs</w:t>
      </w:r>
      <w:r w:rsidR="00EF7DDA" w:rsidRPr="00EF7DDA">
        <w:rPr>
          <w:rFonts w:cs="Arial"/>
          <w:bCs/>
        </w:rPr>
        <w:t xml:space="preserve"> and strategies in their respective fields. </w:t>
      </w:r>
      <w:r w:rsidR="00EF7DDA" w:rsidRPr="00EF7DDA">
        <w:rPr>
          <w:bCs/>
        </w:rPr>
        <w:t xml:space="preserve">The SSA Method integrates a review by subject matter experts </w:t>
      </w:r>
      <w:r w:rsidR="00031211">
        <w:rPr>
          <w:bCs/>
        </w:rPr>
        <w:t xml:space="preserve">of nominated strategies </w:t>
      </w:r>
      <w:r w:rsidR="00031211">
        <w:rPr>
          <w:rFonts w:cs="Arial"/>
          <w:bCs/>
        </w:rPr>
        <w:t xml:space="preserve">developed in practice </w:t>
      </w:r>
      <w:r w:rsidR="00031211">
        <w:t>(practice-based)</w:t>
      </w:r>
      <w:r w:rsidR="00031211">
        <w:rPr>
          <w:rFonts w:cs="Arial"/>
          <w:bCs/>
        </w:rPr>
        <w:t xml:space="preserve"> </w:t>
      </w:r>
      <w:r w:rsidR="00EF7DDA" w:rsidRPr="00EF7DDA">
        <w:rPr>
          <w:bCs/>
        </w:rPr>
        <w:t xml:space="preserve">with EAs </w:t>
      </w:r>
      <w:r w:rsidR="00034B6E">
        <w:rPr>
          <w:rFonts w:cs="Arial"/>
          <w:bCs/>
        </w:rPr>
        <w:t xml:space="preserve">to </w:t>
      </w:r>
      <w:r w:rsidR="00031211">
        <w:rPr>
          <w:rFonts w:cs="Arial"/>
          <w:bCs/>
        </w:rPr>
        <w:t xml:space="preserve">identify strategies that meet criteria for effective prevention </w:t>
      </w:r>
      <w:r w:rsidR="00EF7DDA" w:rsidRPr="00EF7DDA">
        <w:rPr>
          <w:bCs/>
        </w:rPr>
        <w:t>through the following steps:</w:t>
      </w:r>
      <w:r w:rsidR="00EF7DDA" w:rsidRPr="00EF7DDA">
        <w:t xml:space="preserve"> (1) soliciting and assessing nominations of strategies; (2) identifying strategies to undergo EAs through a review panel</w:t>
      </w:r>
      <w:r w:rsidR="008167E3">
        <w:t xml:space="preserve"> </w:t>
      </w:r>
      <w:r w:rsidR="00474C18">
        <w:t xml:space="preserve">consisting </w:t>
      </w:r>
      <w:r w:rsidR="003F0B6F">
        <w:t>of assessors</w:t>
      </w:r>
      <w:r w:rsidR="008167E3" w:rsidRPr="005F3C9F">
        <w:t>, practitioners, subject matter experts, and allie</w:t>
      </w:r>
      <w:r w:rsidR="008167E3">
        <w:t>s in the field of SV prevention</w:t>
      </w:r>
      <w:r w:rsidR="00EF7DDA" w:rsidRPr="00EF7DDA">
        <w:t xml:space="preserve">; (3) conducting EAs; (4) determining strategies ready </w:t>
      </w:r>
      <w:r w:rsidR="00474C18">
        <w:t xml:space="preserve">to be </w:t>
      </w:r>
      <w:r w:rsidR="003E7E86">
        <w:rPr>
          <w:bCs/>
        </w:rPr>
        <w:t xml:space="preserve">further </w:t>
      </w:r>
      <w:r w:rsidR="00474C18">
        <w:t xml:space="preserve">assessed </w:t>
      </w:r>
      <w:r w:rsidR="00EF7DDA" w:rsidRPr="00EF7DDA">
        <w:t xml:space="preserve">through a second review panel. </w:t>
      </w:r>
      <w:r w:rsidR="00EF7DDA" w:rsidRPr="00EF7DDA">
        <w:rPr>
          <w:rFonts w:cs="Arial"/>
          <w:bCs/>
        </w:rPr>
        <w:t xml:space="preserve">DVP </w:t>
      </w:r>
      <w:r w:rsidR="008B5F76">
        <w:rPr>
          <w:rFonts w:cs="Arial"/>
          <w:bCs/>
        </w:rPr>
        <w:t xml:space="preserve">is using this method to advance its work </w:t>
      </w:r>
      <w:r w:rsidR="00EF7DDA" w:rsidRPr="00EF7DDA">
        <w:rPr>
          <w:rFonts w:cs="Arial"/>
          <w:bCs/>
        </w:rPr>
        <w:t xml:space="preserve">by identifying </w:t>
      </w:r>
      <w:r w:rsidR="008B5F76">
        <w:rPr>
          <w:bCs/>
        </w:rPr>
        <w:t xml:space="preserve">practice-based SV prevention strategies that have high potential for population-level impact on SV outcomes, </w:t>
      </w:r>
      <w:r w:rsidR="00880BCE">
        <w:rPr>
          <w:bCs/>
        </w:rPr>
        <w:t xml:space="preserve">have </w:t>
      </w:r>
      <w:r w:rsidR="008B5F76">
        <w:rPr>
          <w:bCs/>
        </w:rPr>
        <w:t xml:space="preserve">high potential for widespread adoption, and are ready </w:t>
      </w:r>
      <w:r w:rsidR="00D7481B">
        <w:rPr>
          <w:bCs/>
        </w:rPr>
        <w:t>for more assessment</w:t>
      </w:r>
      <w:r w:rsidR="008B5F76">
        <w:rPr>
          <w:bCs/>
        </w:rPr>
        <w:t xml:space="preserve"> in order to </w:t>
      </w:r>
      <w:r w:rsidR="008B5F76">
        <w:rPr>
          <w:rFonts w:cs="Arial"/>
          <w:bCs/>
        </w:rPr>
        <w:t xml:space="preserve">lay </w:t>
      </w:r>
      <w:r w:rsidR="008B5F76" w:rsidRPr="00EF7DDA">
        <w:rPr>
          <w:rFonts w:cs="Arial"/>
          <w:bCs/>
        </w:rPr>
        <w:t xml:space="preserve">the foundation for demonstrating the </w:t>
      </w:r>
      <w:r w:rsidR="008B5F76" w:rsidRPr="00B435D8">
        <w:rPr>
          <w:rFonts w:cs="Arial"/>
          <w:bCs/>
        </w:rPr>
        <w:t>impact of these prevention strategies</w:t>
      </w:r>
      <w:r w:rsidR="008B5F76">
        <w:rPr>
          <w:rFonts w:cs="Arial"/>
          <w:bCs/>
        </w:rPr>
        <w:t xml:space="preserve"> and building the evidence base for SV prevention practice</w:t>
      </w:r>
      <w:r w:rsidR="008B5F76" w:rsidRPr="00B435D8">
        <w:rPr>
          <w:rFonts w:cs="Arial"/>
          <w:bCs/>
        </w:rPr>
        <w:t xml:space="preserve">. </w:t>
      </w:r>
    </w:p>
    <w:p w14:paraId="27E10A49" w14:textId="3B0355B3" w:rsidR="008B5F76" w:rsidRPr="00B435D8" w:rsidRDefault="008B5F76" w:rsidP="009D1149">
      <w:pPr>
        <w:ind w:left="0"/>
        <w:rPr>
          <w:rFonts w:cs="Arial"/>
          <w:bCs/>
        </w:rPr>
      </w:pPr>
    </w:p>
    <w:p w14:paraId="02DDAC86" w14:textId="6E0E7B44" w:rsidR="00A97629" w:rsidRDefault="002C637F" w:rsidP="001B2792">
      <w:pPr>
        <w:tabs>
          <w:tab w:val="clear" w:pos="9360"/>
        </w:tabs>
        <w:ind w:left="0"/>
        <w:rPr>
          <w:bCs/>
        </w:rPr>
      </w:pPr>
      <w:r w:rsidRPr="00730D64">
        <w:rPr>
          <w:rFonts w:cs="Arial"/>
          <w:bCs/>
        </w:rPr>
        <w:t>The</w:t>
      </w:r>
      <w:r w:rsidR="00C57376" w:rsidRPr="00730D64">
        <w:rPr>
          <w:rFonts w:cs="Arial"/>
          <w:bCs/>
        </w:rPr>
        <w:t xml:space="preserve"> goal </w:t>
      </w:r>
      <w:r w:rsidRPr="00730D64">
        <w:rPr>
          <w:rFonts w:cs="Arial"/>
          <w:bCs/>
        </w:rPr>
        <w:t xml:space="preserve">of this </w:t>
      </w:r>
      <w:r w:rsidR="00A961F3">
        <w:rPr>
          <w:rFonts w:cs="Arial"/>
          <w:bCs/>
        </w:rPr>
        <w:t xml:space="preserve">information </w:t>
      </w:r>
      <w:r w:rsidR="00730B6B">
        <w:rPr>
          <w:rFonts w:cs="Arial"/>
          <w:bCs/>
        </w:rPr>
        <w:t xml:space="preserve">collection </w:t>
      </w:r>
      <w:r w:rsidRPr="00730D64">
        <w:rPr>
          <w:rFonts w:cs="Arial"/>
          <w:bCs/>
        </w:rPr>
        <w:t xml:space="preserve">request </w:t>
      </w:r>
      <w:r w:rsidR="00B435D8" w:rsidRPr="00730D64">
        <w:rPr>
          <w:rFonts w:cs="Arial"/>
          <w:bCs/>
        </w:rPr>
        <w:t xml:space="preserve">is to </w:t>
      </w:r>
      <w:r w:rsidR="00C57376">
        <w:t xml:space="preserve">solicit nominations of practice-based SV prevention strategies with the purpose of identifying prevention strategies that </w:t>
      </w:r>
      <w:r w:rsidR="00C57376" w:rsidRPr="00730D64">
        <w:rPr>
          <w:bCs/>
        </w:rPr>
        <w:t>(1) have high potential for population-level impact on SV outcomes</w:t>
      </w:r>
      <w:r w:rsidR="00F11D90" w:rsidRPr="00730D64">
        <w:rPr>
          <w:bCs/>
        </w:rPr>
        <w:t xml:space="preserve">, </w:t>
      </w:r>
      <w:r w:rsidR="00C57376" w:rsidRPr="00730D64">
        <w:rPr>
          <w:bCs/>
        </w:rPr>
        <w:t>(2) have high potential for widespread adoption,</w:t>
      </w:r>
      <w:r w:rsidR="00F11D90" w:rsidRPr="00730D64">
        <w:rPr>
          <w:bCs/>
        </w:rPr>
        <w:t xml:space="preserve"> and (3) </w:t>
      </w:r>
      <w:r w:rsidR="000A1D99">
        <w:rPr>
          <w:bCs/>
        </w:rPr>
        <w:t xml:space="preserve">are </w:t>
      </w:r>
      <w:r w:rsidR="00F11D90" w:rsidRPr="00730D64">
        <w:rPr>
          <w:bCs/>
        </w:rPr>
        <w:t xml:space="preserve">ready for </w:t>
      </w:r>
      <w:r w:rsidR="000A1D99">
        <w:rPr>
          <w:bCs/>
        </w:rPr>
        <w:t xml:space="preserve">an </w:t>
      </w:r>
      <w:r w:rsidR="003A618E" w:rsidRPr="00730D64">
        <w:rPr>
          <w:bCs/>
        </w:rPr>
        <w:t>EA</w:t>
      </w:r>
      <w:r w:rsidR="00F11D90" w:rsidRPr="00730D64">
        <w:rPr>
          <w:bCs/>
        </w:rPr>
        <w:t xml:space="preserve"> to be </w:t>
      </w:r>
      <w:r w:rsidR="009A21E4">
        <w:rPr>
          <w:bCs/>
        </w:rPr>
        <w:t xml:space="preserve">reviewed and considered for </w:t>
      </w:r>
      <w:r w:rsidR="00F11D90" w:rsidRPr="00730D64">
        <w:rPr>
          <w:bCs/>
        </w:rPr>
        <w:t>a site visit EA by CDC.</w:t>
      </w:r>
      <w:r w:rsidR="00C57376" w:rsidRPr="00730D64">
        <w:rPr>
          <w:bCs/>
        </w:rPr>
        <w:t xml:space="preserve"> </w:t>
      </w:r>
      <w:r w:rsidR="00A97629" w:rsidRPr="00730D64">
        <w:rPr>
          <w:bCs/>
        </w:rPr>
        <w:t>The solicitation of nomina</w:t>
      </w:r>
      <w:r w:rsidR="00A97629">
        <w:rPr>
          <w:bCs/>
        </w:rPr>
        <w:t xml:space="preserve">tions </w:t>
      </w:r>
      <w:r w:rsidR="00A97629" w:rsidRPr="00730D64">
        <w:rPr>
          <w:bCs/>
        </w:rPr>
        <w:t xml:space="preserve">is </w:t>
      </w:r>
      <w:r w:rsidR="00A97629">
        <w:rPr>
          <w:bCs/>
        </w:rPr>
        <w:t xml:space="preserve">the crucial </w:t>
      </w:r>
      <w:r w:rsidR="00A97629" w:rsidRPr="00730D64">
        <w:rPr>
          <w:rFonts w:cs="Arial"/>
          <w:bCs/>
        </w:rPr>
        <w:t xml:space="preserve">first step in the SSA Method to gather a list of </w:t>
      </w:r>
      <w:r w:rsidR="00A97629">
        <w:rPr>
          <w:rFonts w:cs="Arial"/>
          <w:bCs/>
        </w:rPr>
        <w:t xml:space="preserve">prevention </w:t>
      </w:r>
      <w:r w:rsidR="00A97629" w:rsidRPr="00730D64">
        <w:rPr>
          <w:rFonts w:cs="Arial"/>
          <w:bCs/>
        </w:rPr>
        <w:t xml:space="preserve">strategies (Step 1 of SSA) for a review panel to systematically assess and rate the strategies based a set of specified criteria </w:t>
      </w:r>
      <w:r w:rsidR="00A97629">
        <w:rPr>
          <w:rFonts w:cs="Arial"/>
          <w:bCs/>
        </w:rPr>
        <w:t xml:space="preserve">related to their </w:t>
      </w:r>
      <w:r w:rsidR="00A97629" w:rsidRPr="00730D64">
        <w:t>quality</w:t>
      </w:r>
      <w:r w:rsidR="00A97629">
        <w:t xml:space="preserve">, </w:t>
      </w:r>
      <w:r w:rsidR="00A97629" w:rsidRPr="00730D64">
        <w:t xml:space="preserve">implementation, potential for impact, and readiness for </w:t>
      </w:r>
      <w:r w:rsidR="00A97629">
        <w:t>a site visit</w:t>
      </w:r>
      <w:r w:rsidR="00A97629" w:rsidRPr="00730D64">
        <w:t xml:space="preserve"> EA</w:t>
      </w:r>
      <w:r w:rsidR="00A97629">
        <w:t xml:space="preserve"> </w:t>
      </w:r>
      <w:r w:rsidR="00A97629" w:rsidRPr="00730D64">
        <w:rPr>
          <w:rFonts w:cs="Arial"/>
          <w:bCs/>
        </w:rPr>
        <w:t xml:space="preserve">(Step 2 of SSA). Using the review panel’s recommendations, CDC will select prevention strategies </w:t>
      </w:r>
      <w:r w:rsidR="00A97629">
        <w:rPr>
          <w:rFonts w:cs="Arial"/>
          <w:bCs/>
        </w:rPr>
        <w:t xml:space="preserve">to conduct </w:t>
      </w:r>
      <w:r w:rsidR="00A97629" w:rsidRPr="00730D64">
        <w:rPr>
          <w:rFonts w:cs="Arial"/>
          <w:bCs/>
        </w:rPr>
        <w:t>a site visit EA (Step 3 of SSA).</w:t>
      </w:r>
    </w:p>
    <w:p w14:paraId="12262804" w14:textId="77777777" w:rsidR="00A97629" w:rsidRDefault="00A97629" w:rsidP="001B2792">
      <w:pPr>
        <w:tabs>
          <w:tab w:val="clear" w:pos="9360"/>
        </w:tabs>
        <w:ind w:left="0"/>
        <w:rPr>
          <w:bCs/>
        </w:rPr>
      </w:pPr>
    </w:p>
    <w:p w14:paraId="1C424D6D" w14:textId="36FA0492" w:rsidR="00EF7DDA" w:rsidRDefault="00171C93" w:rsidP="001B2792">
      <w:pPr>
        <w:tabs>
          <w:tab w:val="clear" w:pos="9360"/>
        </w:tabs>
        <w:ind w:left="0"/>
      </w:pPr>
      <w:r w:rsidRPr="00732FFA">
        <w:rPr>
          <w:bCs/>
        </w:rPr>
        <w:t>Fifty-five</w:t>
      </w:r>
      <w:r w:rsidR="00303EB3" w:rsidRPr="00732FFA">
        <w:rPr>
          <w:b/>
        </w:rPr>
        <w:t xml:space="preserve"> </w:t>
      </w:r>
      <w:r w:rsidRPr="00732FFA">
        <w:t>state and territorial</w:t>
      </w:r>
      <w:r w:rsidRPr="00732FFA">
        <w:rPr>
          <w:b/>
        </w:rPr>
        <w:t xml:space="preserve"> </w:t>
      </w:r>
      <w:r w:rsidR="00303EB3" w:rsidRPr="00732FFA">
        <w:t>SV program managers and 470 delegates will voluntary submit information to nominate prevention strategies</w:t>
      </w:r>
      <w:r w:rsidR="008A053C" w:rsidRPr="00732FFA">
        <w:t xml:space="preserve"> to be</w:t>
      </w:r>
      <w:r w:rsidR="00033F91" w:rsidRPr="00732FFA">
        <w:t xml:space="preserve"> reviewed and considered for a site visit </w:t>
      </w:r>
      <w:r w:rsidR="008A053C" w:rsidRPr="00732FFA">
        <w:t>EA</w:t>
      </w:r>
      <w:r w:rsidR="00373B52" w:rsidRPr="00732FFA">
        <w:t>.</w:t>
      </w:r>
      <w:r w:rsidR="00B52DA1" w:rsidRPr="00730D64">
        <w:rPr>
          <w:bCs/>
        </w:rPr>
        <w:t xml:space="preserve"> </w:t>
      </w:r>
      <w:r w:rsidR="008B0302">
        <w:rPr>
          <w:rFonts w:cs="Times New Roman"/>
        </w:rPr>
        <w:t xml:space="preserve">DVP and its </w:t>
      </w:r>
      <w:r w:rsidR="00823243" w:rsidRPr="00B603B8">
        <w:rPr>
          <w:rFonts w:cs="Times New Roman"/>
        </w:rPr>
        <w:t>partner</w:t>
      </w:r>
      <w:r w:rsidR="004964C3">
        <w:rPr>
          <w:rFonts w:cs="Times New Roman"/>
        </w:rPr>
        <w:t>—</w:t>
      </w:r>
      <w:r w:rsidR="00823243" w:rsidRPr="00B603B8">
        <w:rPr>
          <w:rFonts w:cs="Times New Roman"/>
        </w:rPr>
        <w:t>National Sexual Violence Resource Center (NSVRC)</w:t>
      </w:r>
      <w:r w:rsidR="00EF2319">
        <w:rPr>
          <w:rFonts w:cs="Times New Roman"/>
        </w:rPr>
        <w:t xml:space="preserve">, who </w:t>
      </w:r>
      <w:r w:rsidR="00823243">
        <w:rPr>
          <w:rFonts w:cs="Times New Roman"/>
        </w:rPr>
        <w:t>provide technical assistance to SV programs</w:t>
      </w:r>
      <w:r w:rsidR="00EE5049">
        <w:rPr>
          <w:rFonts w:cs="Times New Roman"/>
        </w:rPr>
        <w:t>—</w:t>
      </w:r>
      <w:r w:rsidR="00823243">
        <w:rPr>
          <w:rFonts w:cs="Times New Roman"/>
        </w:rPr>
        <w:t>will advertise</w:t>
      </w:r>
      <w:r w:rsidR="004964C3">
        <w:rPr>
          <w:rFonts w:cs="Times New Roman"/>
        </w:rPr>
        <w:t xml:space="preserve"> the call for nomination</w:t>
      </w:r>
      <w:r w:rsidR="00EE5049">
        <w:rPr>
          <w:rFonts w:cs="Times New Roman"/>
        </w:rPr>
        <w:t>s</w:t>
      </w:r>
      <w:r w:rsidR="004964C3">
        <w:rPr>
          <w:rFonts w:cs="Times New Roman"/>
        </w:rPr>
        <w:t xml:space="preserve">, and encourage </w:t>
      </w:r>
      <w:r w:rsidR="00A278B5">
        <w:rPr>
          <w:rFonts w:cs="Times New Roman"/>
        </w:rPr>
        <w:t>organizations</w:t>
      </w:r>
      <w:r w:rsidR="004964C3">
        <w:rPr>
          <w:rFonts w:cs="Times New Roman"/>
        </w:rPr>
        <w:t xml:space="preserve"> receiving RPE funding to submit nominations </w:t>
      </w:r>
      <w:r w:rsidR="00095F50">
        <w:rPr>
          <w:rFonts w:cs="Times New Roman"/>
        </w:rPr>
        <w:t xml:space="preserve">of SV </w:t>
      </w:r>
      <w:r w:rsidR="004964C3">
        <w:rPr>
          <w:rFonts w:cs="Times New Roman"/>
        </w:rPr>
        <w:t>prevention strateg</w:t>
      </w:r>
      <w:r w:rsidR="00095F50">
        <w:rPr>
          <w:rFonts w:cs="Times New Roman"/>
        </w:rPr>
        <w:t>ies</w:t>
      </w:r>
      <w:r w:rsidR="008B0302">
        <w:rPr>
          <w:rFonts w:cs="Times New Roman"/>
        </w:rPr>
        <w:t xml:space="preserve"> </w:t>
      </w:r>
      <w:r w:rsidR="0097511B">
        <w:rPr>
          <w:rFonts w:cs="Times New Roman"/>
        </w:rPr>
        <w:t xml:space="preserve">that focus </w:t>
      </w:r>
      <w:r w:rsidR="008B0302">
        <w:rPr>
          <w:rFonts w:cs="Times New Roman"/>
        </w:rPr>
        <w:t xml:space="preserve">on </w:t>
      </w:r>
      <w:r w:rsidR="00B9300C">
        <w:rPr>
          <w:rFonts w:cs="Times New Roman"/>
        </w:rPr>
        <w:t xml:space="preserve">any of the </w:t>
      </w:r>
      <w:r w:rsidR="00C75C1A">
        <w:rPr>
          <w:rFonts w:cs="Times New Roman"/>
        </w:rPr>
        <w:t xml:space="preserve">three </w:t>
      </w:r>
      <w:r w:rsidR="00B9300C">
        <w:rPr>
          <w:rFonts w:cs="Times New Roman"/>
        </w:rPr>
        <w:t>following</w:t>
      </w:r>
      <w:r w:rsidR="00C8029A">
        <w:rPr>
          <w:rFonts w:cs="Times New Roman"/>
        </w:rPr>
        <w:t xml:space="preserve"> prioritized areas</w:t>
      </w:r>
      <w:r w:rsidR="00B9300C">
        <w:rPr>
          <w:rFonts w:cs="Times New Roman"/>
        </w:rPr>
        <w:t>: c</w:t>
      </w:r>
      <w:r w:rsidR="00B9300C" w:rsidRPr="00B9300C">
        <w:rPr>
          <w:rFonts w:cs="Times New Roman"/>
        </w:rPr>
        <w:t>reating safe and protective environments</w:t>
      </w:r>
      <w:r w:rsidR="00B9300C">
        <w:rPr>
          <w:rFonts w:cs="Times New Roman"/>
        </w:rPr>
        <w:t>, p</w:t>
      </w:r>
      <w:r w:rsidR="00B9300C" w:rsidRPr="00B9300C">
        <w:rPr>
          <w:rFonts w:cs="Times New Roman"/>
        </w:rPr>
        <w:t>romoting healthy social norms that protect against SV</w:t>
      </w:r>
      <w:r w:rsidR="00B9300C">
        <w:rPr>
          <w:rFonts w:cs="Times New Roman"/>
        </w:rPr>
        <w:t>, or u</w:t>
      </w:r>
      <w:r w:rsidR="00B9300C" w:rsidRPr="00B9300C">
        <w:rPr>
          <w:rFonts w:cs="Times New Roman"/>
        </w:rPr>
        <w:t>sing gender equity approaches</w:t>
      </w:r>
      <w:r w:rsidR="00B9300C">
        <w:rPr>
          <w:rFonts w:cs="Times New Roman"/>
        </w:rPr>
        <w:t>.</w:t>
      </w:r>
      <w:r w:rsidR="0097511B">
        <w:rPr>
          <w:rFonts w:cs="Times New Roman"/>
        </w:rPr>
        <w:t xml:space="preserve"> </w:t>
      </w:r>
      <w:r w:rsidR="00EF7DDA" w:rsidRPr="00730D64">
        <w:rPr>
          <w:rFonts w:cs="Arial"/>
          <w:bCs/>
        </w:rPr>
        <w:t xml:space="preserve"> </w:t>
      </w:r>
      <w:r w:rsidR="004575DE">
        <w:rPr>
          <w:rFonts w:cs="Arial"/>
          <w:bCs/>
        </w:rPr>
        <w:t>These focus areas were identified after a thorough review of key DVP documents, the SSA literature, and RPE activities, in addition to input from our</w:t>
      </w:r>
      <w:r w:rsidR="00080A22">
        <w:rPr>
          <w:rFonts w:cs="Arial"/>
          <w:bCs/>
        </w:rPr>
        <w:t xml:space="preserve"> federal</w:t>
      </w:r>
      <w:r w:rsidR="004575DE">
        <w:rPr>
          <w:rFonts w:cs="Arial"/>
          <w:bCs/>
        </w:rPr>
        <w:t xml:space="preserve"> partners. </w:t>
      </w:r>
      <w:r w:rsidR="00A476C3">
        <w:rPr>
          <w:rFonts w:cs="Arial"/>
          <w:bCs/>
        </w:rPr>
        <w:t xml:space="preserve">In addition, focus areas are aligned with focus areas described in the Division of Violence Prevention’s Sexual Violence technical package, to be released at the end of April 2016.  </w:t>
      </w:r>
      <w:r w:rsidR="00730D64" w:rsidRPr="00730D64">
        <w:rPr>
          <w:rFonts w:cs="Arial"/>
          <w:bCs/>
        </w:rPr>
        <w:t xml:space="preserve">The site visit EA provides an opportunity for technical assistance to the sites </w:t>
      </w:r>
      <w:r w:rsidR="00D92585">
        <w:rPr>
          <w:rFonts w:cs="Arial"/>
          <w:bCs/>
        </w:rPr>
        <w:t xml:space="preserve">regarding </w:t>
      </w:r>
      <w:r w:rsidR="00730D64" w:rsidRPr="00730D64">
        <w:rPr>
          <w:rFonts w:cs="Arial"/>
          <w:bCs/>
        </w:rPr>
        <w:t>strategy implementation</w:t>
      </w:r>
      <w:r w:rsidR="00D92585">
        <w:rPr>
          <w:rFonts w:cs="Arial"/>
          <w:bCs/>
        </w:rPr>
        <w:t xml:space="preserve">, capacity building, </w:t>
      </w:r>
      <w:r w:rsidR="00B34E53">
        <w:rPr>
          <w:rFonts w:cs="Arial"/>
          <w:bCs/>
        </w:rPr>
        <w:t xml:space="preserve">assessment, </w:t>
      </w:r>
      <w:r w:rsidR="00D92585">
        <w:rPr>
          <w:rFonts w:cs="Arial"/>
          <w:bCs/>
        </w:rPr>
        <w:t>and continuous improvement</w:t>
      </w:r>
      <w:r w:rsidR="00D76C3A">
        <w:rPr>
          <w:rFonts w:cs="Arial"/>
          <w:bCs/>
        </w:rPr>
        <w:t>.</w:t>
      </w:r>
      <w:r w:rsidR="000C4B34" w:rsidRPr="00EF7DDA">
        <w:rPr>
          <w:rFonts w:cs="Arial"/>
          <w:bCs/>
        </w:rPr>
        <w:t xml:space="preserve"> Overall</w:t>
      </w:r>
      <w:r w:rsidR="00EF7DDA" w:rsidRPr="00EF7DDA">
        <w:rPr>
          <w:rFonts w:cs="Arial"/>
          <w:bCs/>
        </w:rPr>
        <w:t>, the information</w:t>
      </w:r>
      <w:r w:rsidR="007F4BF9">
        <w:rPr>
          <w:rFonts w:cs="Arial"/>
          <w:bCs/>
        </w:rPr>
        <w:t xml:space="preserve"> to be</w:t>
      </w:r>
      <w:r w:rsidR="00EF7DDA" w:rsidRPr="00EF7DDA">
        <w:rPr>
          <w:rFonts w:cs="Arial"/>
          <w:bCs/>
        </w:rPr>
        <w:t xml:space="preserve"> collected will </w:t>
      </w:r>
      <w:r w:rsidR="00EF7DDA" w:rsidRPr="00EF7DDA">
        <w:t>facilitate a better investment of RPE funds in evidence-based prevention strategies</w:t>
      </w:r>
      <w:r w:rsidR="00496649">
        <w:t xml:space="preserve">, </w:t>
      </w:r>
      <w:r w:rsidR="00EF7DDA" w:rsidRPr="00EF7DDA">
        <w:t>improve technical assistance provided to RPE awardees and sub-awardees</w:t>
      </w:r>
      <w:r w:rsidR="00496649">
        <w:t>, and add value to the SV prevention field and its evidence base</w:t>
      </w:r>
      <w:r w:rsidR="00EF7DDA" w:rsidRPr="00EF7DDA">
        <w:t>.</w:t>
      </w:r>
      <w:r w:rsidR="00EF7DDA" w:rsidRPr="00EF7DDA">
        <w:rPr>
          <w:rFonts w:cs="Arial"/>
          <w:bCs/>
        </w:rPr>
        <w:t xml:space="preserve"> </w:t>
      </w:r>
    </w:p>
    <w:p w14:paraId="1D40EF01" w14:textId="77777777" w:rsidR="00EF7DDA" w:rsidRDefault="00EF7DDA" w:rsidP="009D1149">
      <w:pPr>
        <w:ind w:left="0"/>
      </w:pPr>
    </w:p>
    <w:p w14:paraId="78F0D599" w14:textId="77777777" w:rsidR="00692DEB" w:rsidRDefault="006102DA">
      <w:pPr>
        <w:pStyle w:val="Heading5"/>
        <w:ind w:left="0"/>
      </w:pPr>
      <w:r w:rsidRPr="00692DEB">
        <w:t xml:space="preserve">Overview of the </w:t>
      </w:r>
      <w:r w:rsidR="007F5776" w:rsidRPr="00692DEB">
        <w:t>Information C</w:t>
      </w:r>
      <w:r w:rsidR="00157413" w:rsidRPr="00692DEB">
        <w:t>ollection</w:t>
      </w:r>
      <w:r w:rsidRPr="00692DEB">
        <w:t xml:space="preserve"> System</w:t>
      </w:r>
      <w:r w:rsidR="00151567" w:rsidRPr="001A28F6">
        <w:t xml:space="preserve"> </w:t>
      </w:r>
    </w:p>
    <w:p w14:paraId="5ABC745C" w14:textId="7F60F68D" w:rsidR="002A7385" w:rsidRDefault="003708F4" w:rsidP="002A7385">
      <w:pPr>
        <w:ind w:left="0"/>
      </w:pPr>
      <w:r>
        <w:t>I</w:t>
      </w:r>
      <w:r w:rsidR="00B82A97">
        <w:t xml:space="preserve">nformation </w:t>
      </w:r>
      <w:r w:rsidR="00EF7DDA">
        <w:t xml:space="preserve">will be collected via a web-based </w:t>
      </w:r>
      <w:r w:rsidR="006F5F35">
        <w:t>form</w:t>
      </w:r>
      <w:r w:rsidR="00C17B54">
        <w:t xml:space="preserve">. </w:t>
      </w:r>
      <w:r w:rsidR="003F5129">
        <w:t>R</w:t>
      </w:r>
      <w:r w:rsidR="00EF7DDA">
        <w:t xml:space="preserve">espondents </w:t>
      </w:r>
      <w:r w:rsidR="003F5129">
        <w:t xml:space="preserve">will </w:t>
      </w:r>
      <w:r w:rsidR="00083837">
        <w:t xml:space="preserve">voluntarily </w:t>
      </w:r>
      <w:r w:rsidR="00EF7DDA">
        <w:t xml:space="preserve">complete and submit </w:t>
      </w:r>
      <w:r w:rsidR="007C43CF">
        <w:t xml:space="preserve">information </w:t>
      </w:r>
      <w:r w:rsidR="008343F3">
        <w:t xml:space="preserve">electronically </w:t>
      </w:r>
      <w:r w:rsidR="007C43CF">
        <w:t xml:space="preserve">about a prevention strategy </w:t>
      </w:r>
      <w:r w:rsidR="007C43CF">
        <w:rPr>
          <w:rFonts w:eastAsia="Times New Roman" w:cs="Times New Roman"/>
        </w:rPr>
        <w:t xml:space="preserve">through a web-based </w:t>
      </w:r>
      <w:r w:rsidR="00A961F3">
        <w:rPr>
          <w:rFonts w:eastAsia="Times New Roman" w:cs="Times New Roman"/>
        </w:rPr>
        <w:t>information</w:t>
      </w:r>
      <w:r w:rsidR="007C43CF">
        <w:rPr>
          <w:rFonts w:eastAsia="Times New Roman" w:cs="Times New Roman"/>
        </w:rPr>
        <w:t xml:space="preserve"> collection instrument </w:t>
      </w:r>
      <w:r w:rsidR="007C43CF">
        <w:t xml:space="preserve">via Survey Monkey </w:t>
      </w:r>
      <w:r w:rsidR="00A24FEB">
        <w:t>(</w:t>
      </w:r>
      <w:r w:rsidR="00A24FEB" w:rsidRPr="003708F4">
        <w:rPr>
          <w:b/>
        </w:rPr>
        <w:t xml:space="preserve">see </w:t>
      </w:r>
      <w:r w:rsidR="00C644C5" w:rsidRPr="003708F4">
        <w:rPr>
          <w:b/>
        </w:rPr>
        <w:t xml:space="preserve">Att. </w:t>
      </w:r>
      <w:r w:rsidR="000B396F">
        <w:rPr>
          <w:b/>
        </w:rPr>
        <w:t>E</w:t>
      </w:r>
      <w:r w:rsidR="00A24FEB" w:rsidRPr="003708F4">
        <w:rPr>
          <w:b/>
        </w:rPr>
        <w:t>—</w:t>
      </w:r>
      <w:r w:rsidR="001A773F">
        <w:rPr>
          <w:b/>
        </w:rPr>
        <w:t>Instrument</w:t>
      </w:r>
      <w:r w:rsidR="00A24FEB" w:rsidRPr="003708F4">
        <w:rPr>
          <w:b/>
        </w:rPr>
        <w:t xml:space="preserve"> Word </w:t>
      </w:r>
      <w:r w:rsidR="00CE3FBB">
        <w:rPr>
          <w:b/>
        </w:rPr>
        <w:t>V</w:t>
      </w:r>
      <w:r w:rsidR="00A24FEB" w:rsidRPr="003708F4">
        <w:rPr>
          <w:b/>
        </w:rPr>
        <w:t>ersion</w:t>
      </w:r>
      <w:r w:rsidR="00A24FEB" w:rsidRPr="002639CB">
        <w:t xml:space="preserve"> and </w:t>
      </w:r>
      <w:r w:rsidR="00A24FEB" w:rsidRPr="003708F4">
        <w:rPr>
          <w:b/>
        </w:rPr>
        <w:t>Att</w:t>
      </w:r>
      <w:r w:rsidR="00BC157C" w:rsidRPr="003708F4">
        <w:rPr>
          <w:b/>
        </w:rPr>
        <w:t>.</w:t>
      </w:r>
      <w:r w:rsidR="00A24FEB" w:rsidRPr="003708F4">
        <w:rPr>
          <w:b/>
        </w:rPr>
        <w:t xml:space="preserve"> </w:t>
      </w:r>
      <w:r w:rsidR="000B396F">
        <w:rPr>
          <w:b/>
        </w:rPr>
        <w:t>F</w:t>
      </w:r>
      <w:r w:rsidR="00A24FEB" w:rsidRPr="003708F4">
        <w:rPr>
          <w:b/>
        </w:rPr>
        <w:t>—</w:t>
      </w:r>
      <w:r w:rsidR="001A773F">
        <w:rPr>
          <w:b/>
        </w:rPr>
        <w:t>Instrument</w:t>
      </w:r>
      <w:r w:rsidR="00A24FEB" w:rsidRPr="003708F4">
        <w:rPr>
          <w:b/>
        </w:rPr>
        <w:t xml:space="preserve"> Web </w:t>
      </w:r>
      <w:r w:rsidR="00CE3FBB">
        <w:rPr>
          <w:b/>
        </w:rPr>
        <w:t>V</w:t>
      </w:r>
      <w:r w:rsidR="00A24FEB" w:rsidRPr="003708F4">
        <w:rPr>
          <w:b/>
        </w:rPr>
        <w:t>ersion</w:t>
      </w:r>
      <w:r w:rsidR="00A24FEB" w:rsidRPr="002639CB">
        <w:t>)</w:t>
      </w:r>
      <w:r w:rsidR="00EF7DDA" w:rsidRPr="002639CB">
        <w:t xml:space="preserve">. </w:t>
      </w:r>
      <w:r w:rsidR="002A7385">
        <w:t xml:space="preserve">Respondents will voluntarily submit </w:t>
      </w:r>
      <w:r w:rsidR="007E239A">
        <w:t>information</w:t>
      </w:r>
      <w:r w:rsidR="002A7385">
        <w:t xml:space="preserve"> to nominate a prevention strategy that is both developed in practice and aligned with at least one of the focus areas (i.e., creating safe and protective environments, promoting healthy social norms that protect against SV, using gender equity approaches). </w:t>
      </w:r>
    </w:p>
    <w:p w14:paraId="12DE3C08" w14:textId="6F198F42" w:rsidR="00EC0C6D" w:rsidRDefault="00EC0C6D" w:rsidP="008B10D8">
      <w:pPr>
        <w:ind w:left="0"/>
      </w:pPr>
    </w:p>
    <w:p w14:paraId="26A4E4CF" w14:textId="52FB7C3D" w:rsidR="00EC0C6D" w:rsidRDefault="00EC0C6D" w:rsidP="00EC0C6D">
      <w:pPr>
        <w:ind w:left="0"/>
      </w:pPr>
      <w:r>
        <w:t xml:space="preserve">The </w:t>
      </w:r>
      <w:r w:rsidR="008343F3">
        <w:t xml:space="preserve">information collection </w:t>
      </w:r>
      <w:r>
        <w:t xml:space="preserve">instrument was pilot tested </w:t>
      </w:r>
      <w:r w:rsidRPr="00B435D8">
        <w:t xml:space="preserve">by </w:t>
      </w:r>
      <w:r>
        <w:t>3</w:t>
      </w:r>
      <w:r w:rsidRPr="00B435D8">
        <w:t xml:space="preserve"> public</w:t>
      </w:r>
      <w:r>
        <w:t xml:space="preserve"> health professionals. </w:t>
      </w:r>
      <w:r w:rsidRPr="00711BFA">
        <w:t>Feedback from this group was used to refine questions as needed, ensure accurate programming and skip patterns</w:t>
      </w:r>
      <w:r>
        <w:t xml:space="preserve">, </w:t>
      </w:r>
      <w:r w:rsidRPr="00711BFA">
        <w:t xml:space="preserve">estimate </w:t>
      </w:r>
      <w:r>
        <w:t xml:space="preserve">completion </w:t>
      </w:r>
      <w:r w:rsidRPr="00711BFA">
        <w:t>time</w:t>
      </w:r>
      <w:r>
        <w:t>, and to ensure only the minimum number of questions are required to minimize burden while asking for necessary information for the purpose of this information collection</w:t>
      </w:r>
      <w:r w:rsidRPr="00711BFA">
        <w:t>.</w:t>
      </w:r>
    </w:p>
    <w:p w14:paraId="7CE58A91" w14:textId="795FF36B" w:rsidR="00A24FEB" w:rsidRDefault="00A24FEB">
      <w:pPr>
        <w:ind w:left="0"/>
      </w:pPr>
    </w:p>
    <w:p w14:paraId="744683AE" w14:textId="77777777" w:rsidR="00692DEB" w:rsidRPr="00692DEB" w:rsidRDefault="00692DEB">
      <w:pPr>
        <w:pStyle w:val="Heading5"/>
        <w:ind w:left="0"/>
      </w:pPr>
      <w:r w:rsidRPr="00692DEB">
        <w:t>Items of Information to be Collected</w:t>
      </w:r>
    </w:p>
    <w:p w14:paraId="2DCDD006" w14:textId="50697CD3" w:rsidR="00C644C5" w:rsidRDefault="00692DEB">
      <w:pPr>
        <w:ind w:left="0"/>
      </w:pPr>
      <w:r w:rsidRPr="04524006">
        <w:t xml:space="preserve">The online </w:t>
      </w:r>
      <w:r w:rsidR="00A67F44">
        <w:t>information</w:t>
      </w:r>
      <w:r w:rsidR="00A67F44" w:rsidRPr="04524006">
        <w:t xml:space="preserve"> </w:t>
      </w:r>
      <w:r w:rsidRPr="04524006">
        <w:t xml:space="preserve">collection instrument consists </w:t>
      </w:r>
      <w:r w:rsidRPr="00B435D8">
        <w:t xml:space="preserve">of </w:t>
      </w:r>
      <w:r w:rsidR="00DF7D03">
        <w:t>23</w:t>
      </w:r>
      <w:r w:rsidR="00EE5049">
        <w:t xml:space="preserve"> </w:t>
      </w:r>
      <w:r w:rsidRPr="00B435D8">
        <w:t xml:space="preserve">main </w:t>
      </w:r>
      <w:r w:rsidRPr="04524006">
        <w:t>questions of various types, including</w:t>
      </w:r>
      <w:r w:rsidR="008C59E7">
        <w:t xml:space="preserve"> </w:t>
      </w:r>
      <w:r w:rsidR="008C59E7" w:rsidRPr="00A24FEB">
        <w:t>dichotomous (yes/no), multiple resp</w:t>
      </w:r>
      <w:r w:rsidR="00A24FEB" w:rsidRPr="00A24FEB">
        <w:t xml:space="preserve">onse, </w:t>
      </w:r>
      <w:r w:rsidR="008C59E7" w:rsidRPr="00A24FEB">
        <w:t>an</w:t>
      </w:r>
      <w:r w:rsidR="00A24FEB" w:rsidRPr="00A24FEB">
        <w:rPr>
          <w:rFonts w:eastAsiaTheme="majorEastAsia" w:cstheme="majorBidi"/>
        </w:rPr>
        <w:t>d open-ended questions</w:t>
      </w:r>
      <w:r w:rsidRPr="00A24FEB">
        <w:rPr>
          <w:rFonts w:eastAsiaTheme="majorEastAsia" w:cstheme="majorBidi"/>
        </w:rPr>
        <w:t xml:space="preserve">. </w:t>
      </w:r>
      <w:r w:rsidR="00C96DE3">
        <w:rPr>
          <w:rFonts w:eastAsiaTheme="majorEastAsia" w:cstheme="majorBidi"/>
        </w:rPr>
        <w:t xml:space="preserve">The instrument was designed to </w:t>
      </w:r>
      <w:r w:rsidR="004755C5">
        <w:rPr>
          <w:rFonts w:cs="Times New Roman"/>
        </w:rPr>
        <w:t xml:space="preserve">collect only the necessary information for the review panel to </w:t>
      </w:r>
      <w:r w:rsidR="00EE5049">
        <w:rPr>
          <w:rFonts w:cs="Times New Roman"/>
        </w:rPr>
        <w:t>assess</w:t>
      </w:r>
      <w:r w:rsidR="00DF7D03">
        <w:rPr>
          <w:rFonts w:cs="Times New Roman"/>
        </w:rPr>
        <w:t xml:space="preserve"> and </w:t>
      </w:r>
      <w:r w:rsidR="004755C5">
        <w:rPr>
          <w:rFonts w:cs="Times New Roman"/>
        </w:rPr>
        <w:t xml:space="preserve">rate the nominated practice-based SV prevention strategies based on </w:t>
      </w:r>
      <w:r w:rsidR="009900BD">
        <w:rPr>
          <w:bCs/>
        </w:rPr>
        <w:t>the following criteria which includes, but is not limited to: transportability/generalizability, innovativeness, ethical approach, sustainability of intended outcomes, potential impact, feasibility of implementation, feasibility of adoption, readiness for more assessment, reach to target population, and strategy sustainability</w:t>
      </w:r>
      <w:r w:rsidR="004755C5">
        <w:rPr>
          <w:rFonts w:cs="Times New Roman"/>
        </w:rPr>
        <w:t xml:space="preserve">. The instrument </w:t>
      </w:r>
      <w:r w:rsidR="00C96DE3">
        <w:rPr>
          <w:rFonts w:eastAsiaTheme="majorEastAsia" w:cstheme="majorBidi"/>
        </w:rPr>
        <w:t>address</w:t>
      </w:r>
      <w:r w:rsidR="004755C5">
        <w:rPr>
          <w:rFonts w:eastAsiaTheme="majorEastAsia" w:cstheme="majorBidi"/>
        </w:rPr>
        <w:t>es</w:t>
      </w:r>
      <w:r w:rsidR="00C96DE3">
        <w:rPr>
          <w:rFonts w:eastAsiaTheme="majorEastAsia" w:cstheme="majorBidi"/>
        </w:rPr>
        <w:t xml:space="preserve"> three main areas: (1) strategy goals and focus, (2) strategy implementation, and (3) information collection and assessment efforts. These key areas were chosen </w:t>
      </w:r>
      <w:r w:rsidR="005F30D9">
        <w:rPr>
          <w:rFonts w:eastAsiaTheme="majorEastAsia" w:cstheme="majorBidi"/>
        </w:rPr>
        <w:t xml:space="preserve">to best identify </w:t>
      </w:r>
      <w:r w:rsidR="005F30D9">
        <w:t xml:space="preserve">prevention strategies that </w:t>
      </w:r>
      <w:r w:rsidR="005F30D9" w:rsidRPr="006F3472">
        <w:rPr>
          <w:bCs/>
        </w:rPr>
        <w:t xml:space="preserve">(1) have high potential for population-level </w:t>
      </w:r>
      <w:r w:rsidR="005F30D9" w:rsidRPr="006F3472">
        <w:rPr>
          <w:bCs/>
        </w:rPr>
        <w:lastRenderedPageBreak/>
        <w:t xml:space="preserve">impact on SV outcomes, (2) have high potential for widespread adoption, and (3) are ready for more </w:t>
      </w:r>
      <w:r w:rsidR="005F30D9">
        <w:rPr>
          <w:bCs/>
        </w:rPr>
        <w:t xml:space="preserve">assessment. </w:t>
      </w:r>
      <w:r w:rsidR="00E67F95">
        <w:t>Specifically, t</w:t>
      </w:r>
      <w:r w:rsidRPr="04524006">
        <w:t xml:space="preserve">he instrument will collect information </w:t>
      </w:r>
      <w:r w:rsidR="00180E6C">
        <w:t>about</w:t>
      </w:r>
      <w:r w:rsidR="00180E6C" w:rsidRPr="04524006">
        <w:t xml:space="preserve"> </w:t>
      </w:r>
      <w:r w:rsidRPr="04524006">
        <w:t>the following:</w:t>
      </w:r>
      <w:r>
        <w:t xml:space="preserve"> </w:t>
      </w:r>
    </w:p>
    <w:p w14:paraId="551336FA" w14:textId="77777777" w:rsidR="00905FAE" w:rsidRDefault="00905FAE">
      <w:pPr>
        <w:ind w:left="0"/>
      </w:pPr>
    </w:p>
    <w:p w14:paraId="1634B3F9" w14:textId="79C87F1F" w:rsidR="000D03E3" w:rsidRPr="00157EF7" w:rsidRDefault="00C644C5">
      <w:pPr>
        <w:pStyle w:val="ListParagraph"/>
        <w:numPr>
          <w:ilvl w:val="0"/>
          <w:numId w:val="25"/>
        </w:numPr>
        <w:tabs>
          <w:tab w:val="clear" w:pos="9360"/>
        </w:tabs>
      </w:pPr>
      <w:r>
        <w:t>Strategy Goals and F</w:t>
      </w:r>
      <w:r w:rsidR="00157EF7" w:rsidRPr="00157EF7">
        <w:t>ocus</w:t>
      </w:r>
    </w:p>
    <w:p w14:paraId="1586BD2A" w14:textId="7A7E44C9" w:rsidR="00157EF7" w:rsidRPr="00157EF7" w:rsidRDefault="00157EF7">
      <w:pPr>
        <w:pStyle w:val="ListParagraph"/>
        <w:numPr>
          <w:ilvl w:val="1"/>
          <w:numId w:val="25"/>
        </w:numPr>
        <w:tabs>
          <w:tab w:val="clear" w:pos="9360"/>
        </w:tabs>
      </w:pPr>
      <w:r w:rsidRPr="00157EF7">
        <w:t>SV prevention focus areas</w:t>
      </w:r>
    </w:p>
    <w:p w14:paraId="687ACB3A" w14:textId="0D0C571B" w:rsidR="00C644C5" w:rsidRDefault="00157EF7">
      <w:pPr>
        <w:pStyle w:val="ListParagraph"/>
        <w:numPr>
          <w:ilvl w:val="1"/>
          <w:numId w:val="25"/>
        </w:numPr>
        <w:tabs>
          <w:tab w:val="clear" w:pos="9360"/>
        </w:tabs>
      </w:pPr>
      <w:r w:rsidRPr="00157EF7">
        <w:t>Social Ecological Model levels</w:t>
      </w:r>
    </w:p>
    <w:p w14:paraId="6A764969" w14:textId="38134703" w:rsidR="00C644C5" w:rsidRPr="00157EF7" w:rsidRDefault="00C644C5">
      <w:pPr>
        <w:pStyle w:val="ListParagraph"/>
        <w:numPr>
          <w:ilvl w:val="1"/>
          <w:numId w:val="25"/>
        </w:numPr>
        <w:tabs>
          <w:tab w:val="clear" w:pos="9360"/>
        </w:tabs>
      </w:pPr>
      <w:r>
        <w:t xml:space="preserve">General strategy </w:t>
      </w:r>
      <w:r w:rsidRPr="00157EF7">
        <w:t>description</w:t>
      </w:r>
      <w:r>
        <w:t xml:space="preserve"> and activities</w:t>
      </w:r>
    </w:p>
    <w:p w14:paraId="185F465B" w14:textId="0641492C" w:rsidR="00824E1C" w:rsidRDefault="00824E1C">
      <w:pPr>
        <w:pStyle w:val="ListParagraph"/>
        <w:numPr>
          <w:ilvl w:val="1"/>
          <w:numId w:val="25"/>
        </w:numPr>
        <w:tabs>
          <w:tab w:val="clear" w:pos="9360"/>
        </w:tabs>
      </w:pPr>
      <w:r>
        <w:t>Adaptation of promising or evidence-based strategy</w:t>
      </w:r>
    </w:p>
    <w:p w14:paraId="2439B2DE" w14:textId="77777777" w:rsidR="00C644C5" w:rsidRDefault="00C644C5">
      <w:pPr>
        <w:pStyle w:val="ListParagraph"/>
        <w:numPr>
          <w:ilvl w:val="1"/>
          <w:numId w:val="25"/>
        </w:numPr>
        <w:tabs>
          <w:tab w:val="clear" w:pos="9360"/>
        </w:tabs>
      </w:pPr>
      <w:r w:rsidDel="0061286C">
        <w:t>Target population</w:t>
      </w:r>
    </w:p>
    <w:p w14:paraId="17FD399A" w14:textId="62F324F3" w:rsidR="00824E1C" w:rsidDel="0061286C" w:rsidRDefault="00824E1C">
      <w:pPr>
        <w:pStyle w:val="ListParagraph"/>
        <w:numPr>
          <w:ilvl w:val="1"/>
          <w:numId w:val="25"/>
        </w:numPr>
        <w:tabs>
          <w:tab w:val="clear" w:pos="9360"/>
        </w:tabs>
      </w:pPr>
      <w:r w:rsidRPr="00157EF7">
        <w:t>Outcomes addressed by strategy</w:t>
      </w:r>
    </w:p>
    <w:p w14:paraId="77C365BD" w14:textId="77777777" w:rsidR="00C644C5" w:rsidRDefault="00C644C5">
      <w:pPr>
        <w:pStyle w:val="ListParagraph"/>
        <w:numPr>
          <w:ilvl w:val="0"/>
          <w:numId w:val="25"/>
        </w:numPr>
        <w:tabs>
          <w:tab w:val="clear" w:pos="9360"/>
        </w:tabs>
      </w:pPr>
      <w:r>
        <w:t>Strategy I</w:t>
      </w:r>
      <w:r w:rsidRPr="00157EF7">
        <w:t>mplementation</w:t>
      </w:r>
    </w:p>
    <w:p w14:paraId="43315620" w14:textId="28550A7D" w:rsidR="007D4E90" w:rsidRDefault="007D4E90">
      <w:pPr>
        <w:pStyle w:val="ListParagraph"/>
        <w:numPr>
          <w:ilvl w:val="1"/>
          <w:numId w:val="25"/>
        </w:numPr>
        <w:tabs>
          <w:tab w:val="clear" w:pos="9360"/>
        </w:tabs>
      </w:pPr>
      <w:r>
        <w:t>Setting of implementation of prevention strategy</w:t>
      </w:r>
    </w:p>
    <w:p w14:paraId="1E230789" w14:textId="77777777" w:rsidR="00C644C5" w:rsidRDefault="00C644C5">
      <w:pPr>
        <w:pStyle w:val="ListParagraph"/>
        <w:numPr>
          <w:ilvl w:val="1"/>
          <w:numId w:val="25"/>
        </w:numPr>
        <w:tabs>
          <w:tab w:val="clear" w:pos="9360"/>
        </w:tabs>
      </w:pPr>
      <w:r>
        <w:t>Duration of strategy</w:t>
      </w:r>
    </w:p>
    <w:p w14:paraId="5E729B90" w14:textId="291D526E" w:rsidR="00824E1C" w:rsidRDefault="00824E1C">
      <w:pPr>
        <w:pStyle w:val="ListParagraph"/>
        <w:numPr>
          <w:ilvl w:val="1"/>
          <w:numId w:val="25"/>
        </w:numPr>
        <w:tabs>
          <w:tab w:val="clear" w:pos="9360"/>
        </w:tabs>
      </w:pPr>
      <w:r w:rsidDel="00060658">
        <w:t>Reach of prevention strategy</w:t>
      </w:r>
    </w:p>
    <w:p w14:paraId="601F7F69" w14:textId="0DED57D1" w:rsidR="00824E1C" w:rsidRDefault="00C644C5">
      <w:pPr>
        <w:pStyle w:val="ListParagraph"/>
        <w:numPr>
          <w:ilvl w:val="1"/>
          <w:numId w:val="25"/>
        </w:numPr>
        <w:tabs>
          <w:tab w:val="clear" w:pos="9360"/>
        </w:tabs>
      </w:pPr>
      <w:r>
        <w:t xml:space="preserve">Resources necessary to </w:t>
      </w:r>
      <w:r w:rsidR="007D4E90">
        <w:t>implement</w:t>
      </w:r>
      <w:r>
        <w:t xml:space="preserve"> strategy </w:t>
      </w:r>
    </w:p>
    <w:p w14:paraId="3D2BC066" w14:textId="018A1CD0" w:rsidR="00C644C5" w:rsidRDefault="007D4E90">
      <w:pPr>
        <w:pStyle w:val="ListParagraph"/>
        <w:numPr>
          <w:ilvl w:val="0"/>
          <w:numId w:val="25"/>
        </w:numPr>
        <w:tabs>
          <w:tab w:val="clear" w:pos="9360"/>
        </w:tabs>
      </w:pPr>
      <w:r>
        <w:t>Information Collection and</w:t>
      </w:r>
      <w:r w:rsidR="00CA7C79">
        <w:t xml:space="preserve"> </w:t>
      </w:r>
      <w:r w:rsidR="002351AE">
        <w:t>Assessment</w:t>
      </w:r>
      <w:r w:rsidR="00C644C5">
        <w:t xml:space="preserve"> Efforts</w:t>
      </w:r>
    </w:p>
    <w:p w14:paraId="5280CAC4" w14:textId="37AEB46A" w:rsidR="00C644C5" w:rsidRDefault="007D4E90">
      <w:pPr>
        <w:pStyle w:val="ListParagraph"/>
        <w:numPr>
          <w:ilvl w:val="1"/>
          <w:numId w:val="25"/>
        </w:numPr>
        <w:tabs>
          <w:tab w:val="clear" w:pos="9360"/>
        </w:tabs>
      </w:pPr>
      <w:r>
        <w:t>Information or data</w:t>
      </w:r>
      <w:r w:rsidR="00C644C5">
        <w:t xml:space="preserve"> on strategy implementation </w:t>
      </w:r>
    </w:p>
    <w:p w14:paraId="31EFA682" w14:textId="129D7515" w:rsidR="00C644C5" w:rsidRDefault="007D4E90">
      <w:pPr>
        <w:pStyle w:val="ListParagraph"/>
        <w:numPr>
          <w:ilvl w:val="1"/>
          <w:numId w:val="25"/>
        </w:numPr>
        <w:tabs>
          <w:tab w:val="clear" w:pos="9360"/>
        </w:tabs>
      </w:pPr>
      <w:r>
        <w:t>Information or data</w:t>
      </w:r>
      <w:r w:rsidR="00C644C5">
        <w:t xml:space="preserve"> on outcomes of strategy </w:t>
      </w:r>
    </w:p>
    <w:p w14:paraId="51D392E1" w14:textId="77777777" w:rsidR="00C644C5" w:rsidRDefault="00C644C5">
      <w:pPr>
        <w:pStyle w:val="ListParagraph"/>
        <w:numPr>
          <w:ilvl w:val="1"/>
          <w:numId w:val="25"/>
        </w:numPr>
        <w:tabs>
          <w:tab w:val="clear" w:pos="9360"/>
        </w:tabs>
      </w:pPr>
      <w:r>
        <w:t>Data to potentially be collected</w:t>
      </w:r>
    </w:p>
    <w:p w14:paraId="5BA6AF93" w14:textId="27E625B2" w:rsidR="00C644C5" w:rsidRDefault="00C644C5">
      <w:pPr>
        <w:pStyle w:val="ListParagraph"/>
        <w:numPr>
          <w:ilvl w:val="0"/>
          <w:numId w:val="25"/>
        </w:numPr>
        <w:tabs>
          <w:tab w:val="clear" w:pos="9360"/>
        </w:tabs>
      </w:pPr>
      <w:r>
        <w:t>Additional Questions</w:t>
      </w:r>
    </w:p>
    <w:p w14:paraId="3CB6B0C8" w14:textId="084EA3B2" w:rsidR="00C644C5" w:rsidRDefault="00C644C5">
      <w:pPr>
        <w:pStyle w:val="ListParagraph"/>
        <w:numPr>
          <w:ilvl w:val="1"/>
          <w:numId w:val="25"/>
        </w:numPr>
        <w:tabs>
          <w:tab w:val="clear" w:pos="9360"/>
        </w:tabs>
      </w:pPr>
      <w:r>
        <w:t>Reason for nominating strategy</w:t>
      </w:r>
    </w:p>
    <w:p w14:paraId="31540723" w14:textId="4F835A08" w:rsidR="00C644C5" w:rsidRDefault="00C644C5">
      <w:pPr>
        <w:pStyle w:val="ListParagraph"/>
        <w:numPr>
          <w:ilvl w:val="1"/>
          <w:numId w:val="25"/>
        </w:numPr>
        <w:tabs>
          <w:tab w:val="clear" w:pos="9360"/>
        </w:tabs>
      </w:pPr>
      <w:r>
        <w:t>Any additiona</w:t>
      </w:r>
      <w:r w:rsidR="007D4E90">
        <w:t>l information to share</w:t>
      </w:r>
    </w:p>
    <w:p w14:paraId="19424192" w14:textId="77777777" w:rsidR="00E67F95" w:rsidRDefault="00E67F95" w:rsidP="00E67F95">
      <w:pPr>
        <w:pStyle w:val="ListParagraph"/>
        <w:tabs>
          <w:tab w:val="clear" w:pos="9360"/>
        </w:tabs>
        <w:ind w:left="1440"/>
      </w:pPr>
    </w:p>
    <w:p w14:paraId="7D21CCAE" w14:textId="6D21D299" w:rsidR="007D4E90" w:rsidRDefault="00E67F95" w:rsidP="00145507">
      <w:pPr>
        <w:tabs>
          <w:tab w:val="clear" w:pos="9360"/>
        </w:tabs>
        <w:ind w:left="0"/>
      </w:pPr>
      <w:r>
        <w:rPr>
          <w:bCs/>
        </w:rPr>
        <w:t xml:space="preserve">The review panel will rate the nominated prevention strategies on criteria related to their </w:t>
      </w:r>
      <w:r w:rsidRPr="00730D64">
        <w:t>quality</w:t>
      </w:r>
      <w:r>
        <w:t xml:space="preserve">, </w:t>
      </w:r>
      <w:r w:rsidRPr="00730D64">
        <w:t xml:space="preserve">implementation, potential for impact, and readiness </w:t>
      </w:r>
      <w:r>
        <w:t xml:space="preserve">to be further assessed, </w:t>
      </w:r>
      <w:r>
        <w:rPr>
          <w:bCs/>
        </w:rPr>
        <w:t xml:space="preserve">which includes, but is not limited to: transportability/generalizability, innovativeness, ethical approach, sustainability of intended outcomes, potential impact, feasibility of implementation, feasibility of adoption, readiness for more assessment, reach to target population, and strategy sustainability. </w:t>
      </w:r>
      <w:r>
        <w:rPr>
          <w:rFonts w:eastAsiaTheme="majorEastAsia" w:cstheme="majorBidi"/>
        </w:rPr>
        <w:t>A</w:t>
      </w:r>
      <w:r w:rsidRPr="04524006">
        <w:rPr>
          <w:rFonts w:eastAsiaTheme="majorEastAsia" w:cstheme="majorBidi"/>
        </w:rPr>
        <w:t>n effort was made to limit questions requiring narrative respo</w:t>
      </w:r>
      <w:r w:rsidRPr="04524006">
        <w:t>nses from respondents</w:t>
      </w:r>
      <w:r>
        <w:t xml:space="preserve"> whenever possible</w:t>
      </w:r>
      <w:r w:rsidRPr="04524006">
        <w:t>.</w:t>
      </w:r>
    </w:p>
    <w:p w14:paraId="47A702C3" w14:textId="77777777" w:rsidR="00E67F95" w:rsidRPr="00157EF7" w:rsidRDefault="00E67F95" w:rsidP="00145507">
      <w:pPr>
        <w:tabs>
          <w:tab w:val="clear" w:pos="9360"/>
        </w:tabs>
        <w:ind w:left="0"/>
      </w:pPr>
    </w:p>
    <w:p w14:paraId="3F0A1336" w14:textId="77777777" w:rsidR="00B12F51" w:rsidRPr="00D62411" w:rsidRDefault="00B12F51">
      <w:pPr>
        <w:pStyle w:val="Heading4"/>
        <w:spacing w:after="0"/>
      </w:pPr>
      <w:bookmarkStart w:id="7" w:name="_Toc427752815"/>
      <w:r w:rsidRPr="00D62411">
        <w:t>Purpose and Use of the Information Collection</w:t>
      </w:r>
      <w:bookmarkEnd w:id="7"/>
    </w:p>
    <w:p w14:paraId="231A7A44" w14:textId="298F493A" w:rsidR="003A2EF0" w:rsidRDefault="000A1D99">
      <w:pPr>
        <w:ind w:left="0"/>
      </w:pPr>
      <w:r>
        <w:t>The goal</w:t>
      </w:r>
      <w:r w:rsidR="007B165D">
        <w:t xml:space="preserve"> of this information collection</w:t>
      </w:r>
      <w:r>
        <w:t xml:space="preserve"> is to solicit nominations of practice-based SV prevention strategies </w:t>
      </w:r>
      <w:r w:rsidR="007B165D">
        <w:t xml:space="preserve">for </w:t>
      </w:r>
      <w:r>
        <w:t>the purpose</w:t>
      </w:r>
      <w:r w:rsidR="007B165D">
        <w:t>s</w:t>
      </w:r>
      <w:r>
        <w:t xml:space="preserve"> of identifying prevention strategies that </w:t>
      </w:r>
      <w:r w:rsidRPr="006F3472">
        <w:rPr>
          <w:bCs/>
        </w:rPr>
        <w:t>(1) have high potential for population-level impact on SV outcomes</w:t>
      </w:r>
      <w:r>
        <w:rPr>
          <w:bCs/>
        </w:rPr>
        <w:t xml:space="preserve">, </w:t>
      </w:r>
      <w:r w:rsidRPr="006F3472">
        <w:rPr>
          <w:bCs/>
        </w:rPr>
        <w:t>(2) have high potential for widespread adoption</w:t>
      </w:r>
      <w:r>
        <w:rPr>
          <w:bCs/>
        </w:rPr>
        <w:t xml:space="preserve">, and (3) are ready for an EA, to be </w:t>
      </w:r>
      <w:r w:rsidR="008E413F">
        <w:rPr>
          <w:bCs/>
        </w:rPr>
        <w:t xml:space="preserve">reviewed and considered for </w:t>
      </w:r>
      <w:r>
        <w:rPr>
          <w:bCs/>
        </w:rPr>
        <w:t xml:space="preserve">a site visit EA by CDC. </w:t>
      </w:r>
      <w:r w:rsidR="00262387">
        <w:rPr>
          <w:bCs/>
        </w:rPr>
        <w:t>The solicitation of nominat</w:t>
      </w:r>
      <w:r w:rsidR="008E413F">
        <w:rPr>
          <w:bCs/>
        </w:rPr>
        <w:t>ions</w:t>
      </w:r>
      <w:r w:rsidR="00262387">
        <w:rPr>
          <w:bCs/>
        </w:rPr>
        <w:t xml:space="preserve"> is </w:t>
      </w:r>
      <w:r w:rsidR="00EE5049">
        <w:rPr>
          <w:bCs/>
        </w:rPr>
        <w:t>the</w:t>
      </w:r>
      <w:r w:rsidR="008E413F">
        <w:rPr>
          <w:bCs/>
        </w:rPr>
        <w:t xml:space="preserve"> crucial </w:t>
      </w:r>
      <w:r w:rsidR="00262387" w:rsidRPr="00B435D8">
        <w:rPr>
          <w:rFonts w:cs="Arial"/>
          <w:bCs/>
        </w:rPr>
        <w:t>first</w:t>
      </w:r>
      <w:r w:rsidR="00262387" w:rsidRPr="00EF7DDA">
        <w:rPr>
          <w:rFonts w:cs="Arial"/>
          <w:bCs/>
        </w:rPr>
        <w:t xml:space="preserve"> step</w:t>
      </w:r>
      <w:r w:rsidR="00262387">
        <w:rPr>
          <w:rFonts w:cs="Arial"/>
          <w:bCs/>
        </w:rPr>
        <w:t xml:space="preserve"> in the SSA Method </w:t>
      </w:r>
      <w:r w:rsidR="00262387" w:rsidRPr="00EF7DDA">
        <w:rPr>
          <w:rFonts w:cs="Arial"/>
          <w:bCs/>
        </w:rPr>
        <w:t xml:space="preserve">to gather a list of </w:t>
      </w:r>
      <w:r w:rsidR="008E413F">
        <w:rPr>
          <w:rFonts w:cs="Arial"/>
          <w:bCs/>
        </w:rPr>
        <w:t xml:space="preserve">prevention </w:t>
      </w:r>
      <w:r w:rsidR="00262387" w:rsidRPr="00EF7DDA">
        <w:rPr>
          <w:rFonts w:cs="Arial"/>
          <w:bCs/>
        </w:rPr>
        <w:t>strategies</w:t>
      </w:r>
      <w:r w:rsidR="00262387">
        <w:rPr>
          <w:rFonts w:cs="Arial"/>
          <w:bCs/>
        </w:rPr>
        <w:t xml:space="preserve"> and collect information </w:t>
      </w:r>
      <w:r w:rsidR="00487F6D">
        <w:rPr>
          <w:rFonts w:cs="Arial"/>
          <w:bCs/>
        </w:rPr>
        <w:t xml:space="preserve">about </w:t>
      </w:r>
      <w:r w:rsidR="008E413F">
        <w:rPr>
          <w:rFonts w:cs="Arial"/>
          <w:bCs/>
        </w:rPr>
        <w:t xml:space="preserve">their </w:t>
      </w:r>
      <w:r w:rsidR="00262387">
        <w:rPr>
          <w:bCs/>
        </w:rPr>
        <w:t xml:space="preserve">goals and focus, strategy implementation, and information collection and assessment efforts. </w:t>
      </w:r>
      <w:r w:rsidR="00262387" w:rsidDel="005F30D9">
        <w:t xml:space="preserve"> </w:t>
      </w:r>
    </w:p>
    <w:p w14:paraId="3522133A" w14:textId="77777777" w:rsidR="009D1149" w:rsidRDefault="009D1149">
      <w:pPr>
        <w:ind w:left="0"/>
      </w:pPr>
    </w:p>
    <w:p w14:paraId="52CCB91E" w14:textId="45DF72D6" w:rsidR="000D03E3" w:rsidRDefault="00F211B4">
      <w:pPr>
        <w:ind w:left="0"/>
      </w:pPr>
      <w:r>
        <w:t>Data will be used to conduct a review panel</w:t>
      </w:r>
      <w:r w:rsidR="006B314F">
        <w:t xml:space="preserve"> </w:t>
      </w:r>
      <w:r w:rsidR="00B83AE0">
        <w:t xml:space="preserve">to assess and </w:t>
      </w:r>
      <w:r w:rsidR="006B314F">
        <w:t>rate the prevention strategies and make recommendations to CDC</w:t>
      </w:r>
      <w:r w:rsidR="006F68F4">
        <w:t>, who will use those recommendations to invite selected practice-based SV prevention strategies to undergo a site visit EA</w:t>
      </w:r>
      <w:r>
        <w:t xml:space="preserve">. </w:t>
      </w:r>
      <w:r w:rsidR="008139D5">
        <w:t xml:space="preserve">The CDC and its contractors will conduct an initial review and analysis of the </w:t>
      </w:r>
      <w:r w:rsidR="006B314F">
        <w:t>nominated prevention strategies</w:t>
      </w:r>
      <w:r w:rsidR="008139D5">
        <w:t xml:space="preserve">, and will develop </w:t>
      </w:r>
      <w:r w:rsidR="00AE30E1">
        <w:t xml:space="preserve">and present </w:t>
      </w:r>
      <w:r w:rsidR="008139D5">
        <w:t xml:space="preserve">summary </w:t>
      </w:r>
      <w:r w:rsidR="008139D5">
        <w:lastRenderedPageBreak/>
        <w:t xml:space="preserve">reports </w:t>
      </w:r>
      <w:r w:rsidR="00FC5D8B">
        <w:t xml:space="preserve">of </w:t>
      </w:r>
      <w:r w:rsidR="00AE30E1">
        <w:t xml:space="preserve">each prevention strategy </w:t>
      </w:r>
      <w:r w:rsidR="008139D5">
        <w:t>to the review panel</w:t>
      </w:r>
      <w:r w:rsidR="00AE30E1">
        <w:t>.</w:t>
      </w:r>
      <w:r w:rsidR="00E67F95">
        <w:t xml:space="preserve"> Assessors</w:t>
      </w:r>
      <w:r w:rsidR="0054462B">
        <w:rPr>
          <w:rFonts w:cs="Arial"/>
          <w:bCs/>
        </w:rPr>
        <w:t xml:space="preserve">, practitioners, </w:t>
      </w:r>
      <w:r w:rsidR="004E14A2">
        <w:rPr>
          <w:rFonts w:cs="Arial"/>
          <w:bCs/>
        </w:rPr>
        <w:t xml:space="preserve">SV </w:t>
      </w:r>
      <w:r w:rsidR="0054462B">
        <w:rPr>
          <w:rFonts w:cs="Arial"/>
          <w:bCs/>
        </w:rPr>
        <w:t>subject matter experts, and allies in the</w:t>
      </w:r>
      <w:r w:rsidR="005C6671">
        <w:rPr>
          <w:rFonts w:cs="Arial"/>
          <w:bCs/>
        </w:rPr>
        <w:t xml:space="preserve"> field of SV prevention</w:t>
      </w:r>
      <w:r w:rsidR="0042379C">
        <w:t xml:space="preserve"> will comprise the review panel. </w:t>
      </w:r>
      <w:r w:rsidR="008139D5">
        <w:t xml:space="preserve">As part of the </w:t>
      </w:r>
      <w:r w:rsidR="009F6F0D">
        <w:rPr>
          <w:rFonts w:cs="Arial"/>
          <w:bCs/>
        </w:rPr>
        <w:t>SSA Method</w:t>
      </w:r>
      <w:r w:rsidR="003A2EF0">
        <w:rPr>
          <w:rFonts w:cs="Arial"/>
          <w:bCs/>
        </w:rPr>
        <w:t xml:space="preserve">, </w:t>
      </w:r>
      <w:r w:rsidR="004325B0">
        <w:t>each nominated prevention strategy</w:t>
      </w:r>
      <w:r w:rsidR="009B59F3">
        <w:t xml:space="preserve"> will be reviewed and rated </w:t>
      </w:r>
      <w:r w:rsidR="004F40B8">
        <w:t>based on</w:t>
      </w:r>
      <w:r w:rsidR="00FB658D">
        <w:t xml:space="preserve"> quality of the prevention strategy, quality of strategy implementation, and evaluation capacity</w:t>
      </w:r>
      <w:r w:rsidR="004325B0">
        <w:t xml:space="preserve">.  </w:t>
      </w:r>
      <w:r w:rsidR="00D33712">
        <w:t xml:space="preserve">The review panel will make recommendations to CDC on strategies that are ready for an </w:t>
      </w:r>
      <w:r w:rsidR="003A618E">
        <w:t>EA</w:t>
      </w:r>
      <w:r w:rsidR="00D33712">
        <w:t xml:space="preserve">. In turn, CDC will use the review panel’s recommendations to inform its selection of SV prevention strategies for </w:t>
      </w:r>
      <w:r w:rsidR="003A618E">
        <w:t>EAs</w:t>
      </w:r>
      <w:r w:rsidR="001028CA">
        <w:t>,</w:t>
      </w:r>
      <w:r w:rsidR="00D33712">
        <w:t xml:space="preserve"> </w:t>
      </w:r>
      <w:r w:rsidR="008A1970">
        <w:t xml:space="preserve">which will include </w:t>
      </w:r>
      <w:r w:rsidR="008A1970" w:rsidRPr="001B3544">
        <w:t xml:space="preserve">a site visit from </w:t>
      </w:r>
      <w:r w:rsidR="008A1970">
        <w:t xml:space="preserve">CDC staff to further assess readiness </w:t>
      </w:r>
      <w:r w:rsidR="00C144D6">
        <w:t xml:space="preserve">to be further assessed, </w:t>
      </w:r>
      <w:r w:rsidR="008A1970">
        <w:t xml:space="preserve">and provide recommendations for program improvement and </w:t>
      </w:r>
      <w:r w:rsidR="006B314F">
        <w:t xml:space="preserve">assessment </w:t>
      </w:r>
      <w:r w:rsidR="008A1970">
        <w:t>design.</w:t>
      </w:r>
      <w:r w:rsidR="00E978ED">
        <w:t xml:space="preserve"> </w:t>
      </w:r>
      <w:r w:rsidR="00AE76A4" w:rsidRPr="00730D64">
        <w:rPr>
          <w:rFonts w:cs="Arial"/>
          <w:bCs/>
        </w:rPr>
        <w:t xml:space="preserve">The site visit EA provides an opportunity for technical assistance </w:t>
      </w:r>
      <w:r w:rsidR="00AE76A4">
        <w:rPr>
          <w:rFonts w:cs="Arial"/>
          <w:bCs/>
        </w:rPr>
        <w:t xml:space="preserve">regarding </w:t>
      </w:r>
      <w:r w:rsidR="00AE76A4" w:rsidRPr="00730D64">
        <w:rPr>
          <w:rFonts w:cs="Arial"/>
          <w:bCs/>
        </w:rPr>
        <w:t xml:space="preserve">strategy </w:t>
      </w:r>
      <w:r w:rsidR="00AE76A4">
        <w:rPr>
          <w:rFonts w:cs="Arial"/>
          <w:bCs/>
        </w:rPr>
        <w:t xml:space="preserve">design, </w:t>
      </w:r>
      <w:r w:rsidR="00AE76A4" w:rsidRPr="00730D64">
        <w:rPr>
          <w:rFonts w:cs="Arial"/>
          <w:bCs/>
        </w:rPr>
        <w:t>implementation</w:t>
      </w:r>
      <w:r w:rsidR="00AE76A4">
        <w:rPr>
          <w:rFonts w:cs="Arial"/>
          <w:bCs/>
        </w:rPr>
        <w:t>, capacity building, assessment, and continuous improvement.</w:t>
      </w:r>
      <w:r w:rsidR="00AE76A4" w:rsidRPr="00EF7DDA">
        <w:rPr>
          <w:rFonts w:cs="Arial"/>
          <w:bCs/>
        </w:rPr>
        <w:t xml:space="preserve"> </w:t>
      </w:r>
      <w:r w:rsidR="00D33712">
        <w:t xml:space="preserve">CDC will </w:t>
      </w:r>
      <w:r w:rsidR="000F2B9A">
        <w:t xml:space="preserve">also </w:t>
      </w:r>
      <w:r w:rsidR="00D33712">
        <w:t xml:space="preserve">use the results to develop briefs that describe the major features of each strategy, and some strategies may be considered for future CDC </w:t>
      </w:r>
      <w:r w:rsidR="006B314F">
        <w:t xml:space="preserve">assessment </w:t>
      </w:r>
      <w:r w:rsidR="00D33712">
        <w:t xml:space="preserve">activities. </w:t>
      </w:r>
      <w:r w:rsidR="00EE5049">
        <w:t xml:space="preserve">Moreover, the results and processes will be shared or published through reports, briefs, factsheets, PowerPoint presentations, manuscripts, peer-reviewed publications, or dissemination at national conferences about the process, results, and lessons learned to inform SV prevention evidence base and practice. For example, </w:t>
      </w:r>
      <w:r w:rsidR="00EE5049">
        <w:rPr>
          <w:rFonts w:cs="Arial"/>
        </w:rPr>
        <w:t xml:space="preserve">a summary report of the panel review will be prepared and shared with CDC leadership, RPE Program leadership, and other key stakeholders.  </w:t>
      </w:r>
      <w:r w:rsidR="00EE5049">
        <w:t xml:space="preserve"> </w:t>
      </w:r>
      <w:r w:rsidR="00262387">
        <w:rPr>
          <w:rFonts w:cs="Arial"/>
          <w:bCs/>
        </w:rPr>
        <w:t xml:space="preserve">This </w:t>
      </w:r>
      <w:r w:rsidR="00262387" w:rsidRPr="00D62411">
        <w:rPr>
          <w:rFonts w:cs="Arial"/>
          <w:bCs/>
        </w:rPr>
        <w:t xml:space="preserve">will </w:t>
      </w:r>
      <w:r w:rsidR="00262387" w:rsidRPr="00D62411">
        <w:t>facilitate a better investment of RPE funds in evidence-based prevention strategies and improve technical assistance provided to RPE awardees and sub-awardees</w:t>
      </w:r>
      <w:r w:rsidR="00262387">
        <w:t xml:space="preserve">. </w:t>
      </w:r>
    </w:p>
    <w:p w14:paraId="45471EAA" w14:textId="77777777" w:rsidR="00AA4764" w:rsidRDefault="00AA4764">
      <w:pPr>
        <w:ind w:left="0"/>
      </w:pPr>
    </w:p>
    <w:p w14:paraId="7F048BA4" w14:textId="77777777" w:rsidR="00B47055" w:rsidRPr="00B47055" w:rsidRDefault="00B47055">
      <w:pPr>
        <w:pStyle w:val="Heading4"/>
        <w:spacing w:after="0"/>
      </w:pPr>
      <w:bookmarkStart w:id="8" w:name="_Toc427752816"/>
      <w:r w:rsidRPr="00B47055">
        <w:t>Use of Improved Information Technology and Burden Reduction</w:t>
      </w:r>
      <w:bookmarkEnd w:id="8"/>
    </w:p>
    <w:p w14:paraId="6C6DFE6F" w14:textId="307279D6" w:rsidR="00692DEB" w:rsidRPr="00711BFA" w:rsidRDefault="00B31436">
      <w:pPr>
        <w:ind w:left="0"/>
      </w:pPr>
      <w:r>
        <w:t>Information</w:t>
      </w:r>
      <w:r w:rsidR="00E64FA5" w:rsidRPr="00711BFA">
        <w:t xml:space="preserve"> </w:t>
      </w:r>
      <w:r w:rsidR="00692DEB" w:rsidRPr="00711BFA">
        <w:t xml:space="preserve">will be collected via a web-based questionnaire allowing respondents to complete and submit their responses electronically. This method was chosen to reduce the overall burden on respondents. </w:t>
      </w:r>
      <w:r w:rsidR="00692DEB" w:rsidRPr="006F0460">
        <w:t xml:space="preserve">The information collection instrument </w:t>
      </w:r>
      <w:r w:rsidR="00692DEB" w:rsidRPr="00711BFA">
        <w:t xml:space="preserve">was designed to collect the minimum information necessary for the purposes of this project (i.e., limited </w:t>
      </w:r>
      <w:r w:rsidR="00692DEB" w:rsidRPr="00B435D8">
        <w:t xml:space="preserve">to </w:t>
      </w:r>
      <w:r w:rsidR="00E62DF5">
        <w:t>23</w:t>
      </w:r>
      <w:r w:rsidR="00E62DF5" w:rsidRPr="00B435D8">
        <w:t xml:space="preserve"> </w:t>
      </w:r>
      <w:r w:rsidR="00692DEB" w:rsidRPr="00B435D8">
        <w:t>questions</w:t>
      </w:r>
      <w:r w:rsidR="00692DEB" w:rsidRPr="00711BFA">
        <w:t>).</w:t>
      </w:r>
    </w:p>
    <w:p w14:paraId="52C6E77A" w14:textId="77777777" w:rsidR="00E8736B" w:rsidRDefault="00E8736B">
      <w:pPr>
        <w:pStyle w:val="ListParagraph"/>
      </w:pPr>
    </w:p>
    <w:p w14:paraId="33AB169A" w14:textId="77777777" w:rsidR="00B47055" w:rsidRPr="00B47055" w:rsidRDefault="00B47055">
      <w:pPr>
        <w:pStyle w:val="Heading4"/>
        <w:spacing w:after="0"/>
      </w:pPr>
      <w:bookmarkStart w:id="9" w:name="_Toc427752817"/>
      <w:r w:rsidRPr="00B47055">
        <w:t>Efforts to Identify Duplication and Use of Similar Information</w:t>
      </w:r>
      <w:bookmarkEnd w:id="9"/>
    </w:p>
    <w:p w14:paraId="2BA88412" w14:textId="01F8975F" w:rsidR="0056585A" w:rsidRPr="00D26A64" w:rsidRDefault="0056585A">
      <w:pPr>
        <w:ind w:left="0"/>
      </w:pPr>
      <w:r w:rsidRPr="0085100A">
        <w:t>Since CDC is the only federal agency providing funding for state and territorial health depart</w:t>
      </w:r>
      <w:r>
        <w:t>ments to conduct SV</w:t>
      </w:r>
      <w:r w:rsidRPr="0085100A">
        <w:t xml:space="preserve"> prevention work by emphasizing prevention of first</w:t>
      </w:r>
      <w:r w:rsidR="0008551D">
        <w:t>-</w:t>
      </w:r>
      <w:r w:rsidRPr="0085100A">
        <w:t>time rape perpetration</w:t>
      </w:r>
      <w:r w:rsidR="004E14A2">
        <w:t xml:space="preserve"> (i.e., primary prevention)</w:t>
      </w:r>
      <w:r w:rsidRPr="0085100A">
        <w:t xml:space="preserve">, the information </w:t>
      </w:r>
      <w:r w:rsidR="006802FD">
        <w:t xml:space="preserve">to be </w:t>
      </w:r>
      <w:r w:rsidRPr="0085100A">
        <w:t>collected is not available from other sources.</w:t>
      </w:r>
      <w:r>
        <w:t xml:space="preserve">  </w:t>
      </w:r>
      <w:r w:rsidR="004342CA">
        <w:t xml:space="preserve">An </w:t>
      </w:r>
      <w:r w:rsidR="003A618E">
        <w:t>EA</w:t>
      </w:r>
      <w:r w:rsidR="004342CA">
        <w:t xml:space="preserve"> of the </w:t>
      </w:r>
      <w:r w:rsidR="004E14A2">
        <w:t xml:space="preserve">overall </w:t>
      </w:r>
      <w:r w:rsidR="004342CA">
        <w:t xml:space="preserve">RPE program was conducted in 2004 (OMB No. </w:t>
      </w:r>
      <w:r w:rsidR="004342CA" w:rsidRPr="004342CA">
        <w:t>0920-0567</w:t>
      </w:r>
      <w:r w:rsidR="004342CA">
        <w:t xml:space="preserve">) to establish a baseline description and understanding of the program’s goals, activities, performance measures, </w:t>
      </w:r>
      <w:r w:rsidR="00055F11">
        <w:t xml:space="preserve">funds allocations, </w:t>
      </w:r>
      <w:r w:rsidR="004342CA">
        <w:t xml:space="preserve">and technical </w:t>
      </w:r>
      <w:r w:rsidR="00CD1B1A">
        <w:t>assistance needs and to inform strategic planning.</w:t>
      </w:r>
      <w:r w:rsidR="004342CA">
        <w:t xml:space="preserve">  </w:t>
      </w:r>
      <w:r w:rsidR="008C14EE">
        <w:t>The information to be colle</w:t>
      </w:r>
      <w:r w:rsidR="00CD1B1A">
        <w:t xml:space="preserve">cted is not duplicative of those </w:t>
      </w:r>
      <w:r w:rsidR="008C14EE">
        <w:t>efforts or of current reporting efforts.</w:t>
      </w:r>
      <w:r w:rsidR="003F1F4C">
        <w:t xml:space="preserve"> </w:t>
      </w:r>
    </w:p>
    <w:p w14:paraId="14B61F02" w14:textId="77777777" w:rsidR="007D4E90" w:rsidRDefault="007D4E90">
      <w:pPr>
        <w:ind w:left="0"/>
      </w:pPr>
    </w:p>
    <w:p w14:paraId="5F26FEF3" w14:textId="77777777" w:rsidR="00B12F51" w:rsidRPr="00B47055" w:rsidRDefault="00B47055">
      <w:pPr>
        <w:pStyle w:val="Heading4"/>
        <w:spacing w:after="0"/>
      </w:pPr>
      <w:bookmarkStart w:id="10" w:name="_Toc427752818"/>
      <w:r w:rsidRPr="00B47055">
        <w:t>Impact on Small Businesses or Other Small Entities</w:t>
      </w:r>
      <w:bookmarkEnd w:id="10"/>
    </w:p>
    <w:p w14:paraId="760F8CA9" w14:textId="77777777" w:rsidR="0053557D" w:rsidRDefault="00D26A64">
      <w:pPr>
        <w:ind w:left="0"/>
      </w:pPr>
      <w:r>
        <w:t>N</w:t>
      </w:r>
      <w:r w:rsidR="00AF2252">
        <w:t xml:space="preserve">o small businesses will be involved in this </w:t>
      </w:r>
      <w:r w:rsidR="00157413">
        <w:t>information collection</w:t>
      </w:r>
      <w:r>
        <w:t>.</w:t>
      </w:r>
    </w:p>
    <w:p w14:paraId="4D942E2C" w14:textId="77777777" w:rsidR="00441CC3" w:rsidRDefault="00441CC3"/>
    <w:p w14:paraId="18312525" w14:textId="77777777" w:rsidR="00B12F51" w:rsidRPr="00B47055" w:rsidRDefault="00B47055">
      <w:pPr>
        <w:pStyle w:val="Heading4"/>
        <w:spacing w:after="0"/>
      </w:pPr>
      <w:bookmarkStart w:id="11" w:name="_Toc427752819"/>
      <w:r w:rsidRPr="00B47055">
        <w:t xml:space="preserve">Consequences of Collecting the Information Less Frequently </w:t>
      </w:r>
      <w:r w:rsidR="00D95FBF" w:rsidRPr="00B47055">
        <w:t xml:space="preserve">  </w:t>
      </w:r>
      <w:bookmarkEnd w:id="11"/>
      <w:r w:rsidR="00D95FBF" w:rsidRPr="00B47055">
        <w:t xml:space="preserve"> </w:t>
      </w:r>
    </w:p>
    <w:p w14:paraId="26F7C2EE" w14:textId="12EA3E10" w:rsidR="0056585A" w:rsidRDefault="0056585A">
      <w:pPr>
        <w:ind w:left="0"/>
      </w:pPr>
      <w:r w:rsidRPr="00711BFA">
        <w:t>This request is for a one time information collection.  There are no legal obstacles to reduce the burden.</w:t>
      </w:r>
      <w:r>
        <w:t xml:space="preserve"> </w:t>
      </w:r>
      <w:r w:rsidR="00A67F44">
        <w:t>Without this information collection</w:t>
      </w:r>
      <w:r w:rsidRPr="0061015C">
        <w:t xml:space="preserve">, </w:t>
      </w:r>
      <w:r>
        <w:t>CDC</w:t>
      </w:r>
      <w:r w:rsidRPr="0061015C">
        <w:t xml:space="preserve"> will be unable to:</w:t>
      </w:r>
    </w:p>
    <w:p w14:paraId="0CECECC7" w14:textId="77777777" w:rsidR="00B9056E" w:rsidRDefault="00B9056E">
      <w:pPr>
        <w:ind w:left="0"/>
      </w:pPr>
    </w:p>
    <w:p w14:paraId="09FDF683" w14:textId="4FB898A0" w:rsidR="0056585A" w:rsidRDefault="0056585A">
      <w:pPr>
        <w:pStyle w:val="ListParagraph"/>
        <w:numPr>
          <w:ilvl w:val="0"/>
          <w:numId w:val="35"/>
        </w:numPr>
      </w:pPr>
      <w:r>
        <w:lastRenderedPageBreak/>
        <w:t>Assess</w:t>
      </w:r>
      <w:r w:rsidR="00055906">
        <w:t xml:space="preserve"> the quality of </w:t>
      </w:r>
      <w:r>
        <w:t xml:space="preserve">current </w:t>
      </w:r>
      <w:r w:rsidR="00055906">
        <w:t xml:space="preserve">practice-based </w:t>
      </w:r>
      <w:r w:rsidR="00C66779" w:rsidRPr="006C1D51">
        <w:t xml:space="preserve">SV </w:t>
      </w:r>
      <w:r w:rsidRPr="006C1D51">
        <w:t>prevention strategies</w:t>
      </w:r>
      <w:r w:rsidR="00055906">
        <w:t xml:space="preserve">, their implementation, </w:t>
      </w:r>
      <w:r w:rsidR="004C7820">
        <w:t xml:space="preserve">potential for impact, </w:t>
      </w:r>
      <w:r w:rsidR="00055906">
        <w:t>and readiness for</w:t>
      </w:r>
      <w:r w:rsidR="003708F4">
        <w:t xml:space="preserve"> an EA</w:t>
      </w:r>
    </w:p>
    <w:p w14:paraId="3E3F93E9" w14:textId="77777777" w:rsidR="00033F91" w:rsidRDefault="00216637" w:rsidP="00033F91">
      <w:pPr>
        <w:pStyle w:val="ListParagraph"/>
        <w:numPr>
          <w:ilvl w:val="0"/>
          <w:numId w:val="35"/>
        </w:numPr>
      </w:pPr>
      <w:r>
        <w:t xml:space="preserve">Select </w:t>
      </w:r>
      <w:r w:rsidR="00055906">
        <w:t xml:space="preserve">prevention strategies </w:t>
      </w:r>
      <w:r>
        <w:t xml:space="preserve">for </w:t>
      </w:r>
      <w:r w:rsidR="0056585A">
        <w:t xml:space="preserve">an </w:t>
      </w:r>
      <w:r w:rsidR="00B52DA1">
        <w:t>EA</w:t>
      </w:r>
      <w:r w:rsidR="00055906">
        <w:t xml:space="preserve"> to determine </w:t>
      </w:r>
      <w:r w:rsidR="00F35A8D">
        <w:t xml:space="preserve">readiness for </w:t>
      </w:r>
      <w:r w:rsidR="00D61214">
        <w:t>more assessment</w:t>
      </w:r>
      <w:r w:rsidR="00F35A8D">
        <w:t xml:space="preserve">, and provide </w:t>
      </w:r>
      <w:r w:rsidR="0050055F">
        <w:t>recommendations</w:t>
      </w:r>
      <w:r w:rsidR="00F35A8D">
        <w:t xml:space="preserve"> for improvement and </w:t>
      </w:r>
      <w:r w:rsidR="00D61214">
        <w:t xml:space="preserve">assessment </w:t>
      </w:r>
      <w:r w:rsidR="00F35A8D">
        <w:t>design</w:t>
      </w:r>
    </w:p>
    <w:p w14:paraId="4A2A0862" w14:textId="4F7CCE06" w:rsidR="00B81D9F" w:rsidRDefault="00546FF2" w:rsidP="00033F91">
      <w:pPr>
        <w:pStyle w:val="ListParagraph"/>
        <w:numPr>
          <w:ilvl w:val="0"/>
          <w:numId w:val="35"/>
        </w:numPr>
      </w:pPr>
      <w:r>
        <w:t>Improve CDC’s technical assistance related to practice-based prevention strategies</w:t>
      </w:r>
    </w:p>
    <w:p w14:paraId="77177615" w14:textId="270C33D0" w:rsidR="000058E0" w:rsidRDefault="008B1CA2" w:rsidP="00EF6D83">
      <w:pPr>
        <w:pStyle w:val="ListParagraph"/>
        <w:numPr>
          <w:ilvl w:val="0"/>
          <w:numId w:val="35"/>
        </w:numPr>
        <w:rPr>
          <w:bCs/>
        </w:rPr>
      </w:pPr>
      <w:r>
        <w:t xml:space="preserve">Identify current SV practice-based strategies that have </w:t>
      </w:r>
      <w:r w:rsidRPr="00B81D9F">
        <w:rPr>
          <w:bCs/>
        </w:rPr>
        <w:t xml:space="preserve">high potential for population-level impact on SV outcomes, have high potential for widespread adoption, and (3) are ready </w:t>
      </w:r>
      <w:r w:rsidR="007B16EA">
        <w:rPr>
          <w:bCs/>
        </w:rPr>
        <w:t>to further assessed</w:t>
      </w:r>
    </w:p>
    <w:p w14:paraId="2C91384A" w14:textId="7DE52486" w:rsidR="000443DA" w:rsidRPr="00B81D9F" w:rsidRDefault="000443DA" w:rsidP="000443DA">
      <w:pPr>
        <w:pStyle w:val="ListParagraph"/>
        <w:numPr>
          <w:ilvl w:val="0"/>
          <w:numId w:val="35"/>
        </w:numPr>
        <w:rPr>
          <w:bCs/>
        </w:rPr>
      </w:pPr>
      <w:r>
        <w:rPr>
          <w:rFonts w:cs="Arial"/>
          <w:bCs/>
        </w:rPr>
        <w:t xml:space="preserve">Lay foundations to demonstrate </w:t>
      </w:r>
      <w:r w:rsidRPr="00EF7DDA">
        <w:rPr>
          <w:rFonts w:cs="Arial"/>
          <w:bCs/>
        </w:rPr>
        <w:t xml:space="preserve">the </w:t>
      </w:r>
      <w:r w:rsidRPr="00B435D8">
        <w:rPr>
          <w:rFonts w:cs="Arial"/>
          <w:bCs/>
        </w:rPr>
        <w:t xml:space="preserve">impact of </w:t>
      </w:r>
      <w:r>
        <w:rPr>
          <w:rFonts w:cs="Arial"/>
          <w:bCs/>
        </w:rPr>
        <w:t xml:space="preserve">practice-based SV </w:t>
      </w:r>
      <w:r w:rsidRPr="00B435D8">
        <w:rPr>
          <w:rFonts w:cs="Arial"/>
          <w:bCs/>
        </w:rPr>
        <w:t>prevention strategies</w:t>
      </w:r>
    </w:p>
    <w:p w14:paraId="54BA3700" w14:textId="77777777" w:rsidR="000443DA" w:rsidRDefault="000443DA" w:rsidP="000443DA">
      <w:pPr>
        <w:pStyle w:val="ListParagraph"/>
        <w:numPr>
          <w:ilvl w:val="0"/>
          <w:numId w:val="35"/>
        </w:numPr>
      </w:pPr>
      <w:r>
        <w:t xml:space="preserve">Advance the field of SV prevention, evidence base, and prevention practice </w:t>
      </w:r>
    </w:p>
    <w:p w14:paraId="06DCE195" w14:textId="77777777" w:rsidR="000443DA" w:rsidRDefault="000443DA" w:rsidP="000443DA">
      <w:pPr>
        <w:pStyle w:val="ListParagraph"/>
        <w:numPr>
          <w:ilvl w:val="0"/>
          <w:numId w:val="35"/>
        </w:numPr>
      </w:pPr>
      <w:r>
        <w:t>Facilitate better CDC investment in evidence-based prevention strategies</w:t>
      </w:r>
    </w:p>
    <w:p w14:paraId="35233206" w14:textId="77777777" w:rsidR="003F5129" w:rsidRDefault="003F5129" w:rsidP="001B2824">
      <w:pPr>
        <w:pStyle w:val="ListParagraph"/>
      </w:pPr>
    </w:p>
    <w:p w14:paraId="5A19FEE2" w14:textId="77777777" w:rsidR="00B12F51" w:rsidRPr="00B47055" w:rsidRDefault="00B47055">
      <w:pPr>
        <w:pStyle w:val="Heading4"/>
        <w:spacing w:after="0"/>
      </w:pPr>
      <w:bookmarkStart w:id="12" w:name="_Toc427752820"/>
      <w:r w:rsidRPr="00B47055">
        <w:t>Special Circumstances Relating to the Guidelines of 5 CFR 1320.5</w:t>
      </w:r>
      <w:bookmarkEnd w:id="12"/>
    </w:p>
    <w:p w14:paraId="32541CAA" w14:textId="77777777" w:rsidR="00F52BCC" w:rsidRDefault="00A809AA">
      <w:pPr>
        <w:ind w:left="0"/>
      </w:pPr>
      <w:r>
        <w:t xml:space="preserve">There are no special circumstances with this information collection package. </w:t>
      </w:r>
      <w:r w:rsidR="00835CA7">
        <w:t>This request fully complies with the regulation 5 CFR 1320.5</w:t>
      </w:r>
      <w:r w:rsidR="00D95FBF">
        <w:t xml:space="preserve"> and will be voluntary</w:t>
      </w:r>
      <w:r w:rsidR="00835CA7">
        <w:t>.</w:t>
      </w:r>
    </w:p>
    <w:p w14:paraId="5FDC6333" w14:textId="77777777" w:rsidR="00F52BCC" w:rsidRDefault="00F52BCC"/>
    <w:p w14:paraId="24D67345" w14:textId="77777777" w:rsidR="00B12F51" w:rsidRPr="0088467A" w:rsidRDefault="0088467A">
      <w:pPr>
        <w:pStyle w:val="Heading4"/>
        <w:spacing w:after="0"/>
      </w:pPr>
      <w:bookmarkStart w:id="13" w:name="_Toc427752821"/>
      <w:r w:rsidRPr="0088467A">
        <w:t>Comments in Response to the Federal Register Notice and Efforts to Consult Outside the Agency</w:t>
      </w:r>
      <w:bookmarkEnd w:id="13"/>
    </w:p>
    <w:p w14:paraId="5210EC71" w14:textId="28D32875" w:rsidR="00A809AA" w:rsidRPr="00A809AA" w:rsidRDefault="00C768E5">
      <w:pPr>
        <w:ind w:left="0"/>
      </w:pPr>
      <w:r>
        <w:t xml:space="preserve">This </w:t>
      </w:r>
      <w:r w:rsidR="00157413">
        <w:t>information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w:t>
      </w:r>
      <w:r w:rsidR="00F41721">
        <w:t>—</w:t>
      </w:r>
      <w:r>
        <w:t xml:space="preserve"> OMB No. 0920-0879. </w:t>
      </w:r>
      <w:r w:rsidR="00A809AA" w:rsidRPr="00A809AA">
        <w:t xml:space="preserve">A 60-day Federal Register Notice was published in the Federal Register on </w:t>
      </w:r>
      <w:r w:rsidR="005115FA" w:rsidRPr="005115FA">
        <w:t>October 31, 2013, Vol. 78, No. 211; pp. 653 25-26</w:t>
      </w:r>
      <w:r w:rsidR="00A809AA" w:rsidRPr="00A809AA">
        <w:t xml:space="preserve">.  </w:t>
      </w:r>
      <w:r w:rsidR="005115FA">
        <w:t xml:space="preserve">No </w:t>
      </w:r>
      <w:r w:rsidR="00A809AA" w:rsidRPr="00A809AA">
        <w:t>comments were received</w:t>
      </w:r>
      <w:r w:rsidR="00783C75">
        <w:t>.</w:t>
      </w:r>
    </w:p>
    <w:p w14:paraId="6E4B84BD" w14:textId="77777777" w:rsidR="00A809AA" w:rsidRPr="00A809AA" w:rsidRDefault="00A809AA">
      <w:pPr>
        <w:ind w:left="0"/>
      </w:pPr>
    </w:p>
    <w:p w14:paraId="623030C2" w14:textId="77777777" w:rsidR="00A809AA" w:rsidRPr="00A809AA" w:rsidRDefault="00A809AA">
      <w:pPr>
        <w:ind w:left="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6DCB641B" w14:textId="77777777" w:rsidR="00F52BCC" w:rsidRPr="00A809AA" w:rsidRDefault="00F52BCC"/>
    <w:p w14:paraId="2ECC53A6" w14:textId="77777777" w:rsidR="00B12F51" w:rsidRPr="0088467A" w:rsidRDefault="0088467A">
      <w:pPr>
        <w:pStyle w:val="Heading4"/>
        <w:spacing w:after="0"/>
      </w:pPr>
      <w:bookmarkStart w:id="14" w:name="_Toc427752822"/>
      <w:r w:rsidRPr="0088467A">
        <w:t>Explanation of Any Payment or Gift to Respondents</w:t>
      </w:r>
      <w:bookmarkEnd w:id="14"/>
    </w:p>
    <w:p w14:paraId="6FB1DA3F" w14:textId="77777777" w:rsidR="00F52BCC" w:rsidRDefault="00A809AA">
      <w:pPr>
        <w:ind w:left="0"/>
      </w:pPr>
      <w:r>
        <w:t>CDC will not provide p</w:t>
      </w:r>
      <w:r w:rsidR="00D26A64">
        <w:t>ayments or gifts to respondents.</w:t>
      </w:r>
    </w:p>
    <w:p w14:paraId="150EA604" w14:textId="77777777" w:rsidR="00F52BCC" w:rsidRDefault="00F52BCC"/>
    <w:p w14:paraId="6E039622" w14:textId="77777777" w:rsidR="00B12F51" w:rsidRPr="00D16E78" w:rsidRDefault="0088467A">
      <w:pPr>
        <w:pStyle w:val="Heading4"/>
        <w:spacing w:after="0"/>
      </w:pPr>
      <w:r>
        <w:t xml:space="preserve"> </w:t>
      </w:r>
      <w:bookmarkStart w:id="15" w:name="_Toc427752823"/>
      <w:r w:rsidR="009D5927" w:rsidRPr="009D5927">
        <w:t>Protection of the Privacy and Confidentiality of Information Provided by Respondents</w:t>
      </w:r>
      <w:bookmarkEnd w:id="15"/>
    </w:p>
    <w:p w14:paraId="0C026EE4" w14:textId="42A21F34" w:rsidR="003C31C9" w:rsidRDefault="003C31C9">
      <w:pPr>
        <w:ind w:left="0"/>
      </w:pPr>
      <w:r w:rsidRPr="003C31C9">
        <w:t xml:space="preserve">The Privacy Act does not apply to this </w:t>
      </w:r>
      <w:r w:rsidR="00157413">
        <w:t xml:space="preserve">information </w:t>
      </w:r>
      <w:r w:rsidR="00157413" w:rsidRPr="00040611">
        <w:t>collection</w:t>
      </w:r>
      <w:r w:rsidRPr="00040611">
        <w:t xml:space="preserve">.  </w:t>
      </w:r>
      <w:r w:rsidR="007F5776" w:rsidRPr="00040611">
        <w:t>STLT governmental staff and</w:t>
      </w:r>
      <w:r w:rsidR="009D559F">
        <w:t xml:space="preserve"> </w:t>
      </w:r>
      <w:r w:rsidR="007F5776" w:rsidRPr="00040611">
        <w:t xml:space="preserve">delegates </w:t>
      </w:r>
      <w:r w:rsidRPr="00040611">
        <w:t>will be speaking from their official roles</w:t>
      </w:r>
      <w:r w:rsidR="009D559F">
        <w:t xml:space="preserve">. </w:t>
      </w:r>
      <w:r w:rsidR="005B4F0E">
        <w:t xml:space="preserve">All </w:t>
      </w:r>
      <w:r w:rsidR="009D559F">
        <w:t xml:space="preserve">data will be reported in aggregate form and all data will be kept secure following CDC information protection and security measures to ensure protection of information. </w:t>
      </w:r>
    </w:p>
    <w:p w14:paraId="5146F1C3" w14:textId="77777777" w:rsidR="0096797C" w:rsidRPr="003C31C9" w:rsidRDefault="0096797C">
      <w:pPr>
        <w:ind w:left="0"/>
      </w:pPr>
    </w:p>
    <w:p w14:paraId="5464E503" w14:textId="77777777" w:rsidR="003C31C9" w:rsidRPr="003C31C9" w:rsidRDefault="003C31C9">
      <w:pPr>
        <w:ind w:left="0"/>
      </w:pPr>
      <w:r w:rsidRPr="003C31C9">
        <w:t xml:space="preserve">This </w:t>
      </w:r>
      <w:r w:rsidR="00157413">
        <w:t>information collection</w:t>
      </w:r>
      <w:r w:rsidRPr="003C31C9">
        <w:t xml:space="preserve"> is not research involving human subjects.</w:t>
      </w:r>
    </w:p>
    <w:p w14:paraId="3DB2892B" w14:textId="77777777" w:rsidR="000058E0" w:rsidRDefault="000058E0" w:rsidP="0086542B"/>
    <w:p w14:paraId="054511BD" w14:textId="77777777" w:rsidR="00B12F51" w:rsidRPr="0088467A" w:rsidRDefault="009D5927">
      <w:pPr>
        <w:pStyle w:val="Heading4"/>
        <w:spacing w:after="0"/>
      </w:pPr>
      <w:bookmarkStart w:id="16" w:name="_Toc427752824"/>
      <w:r w:rsidRPr="009D5927">
        <w:t>Institutional Review Board (IRB) and Justification for Sensitive Questions</w:t>
      </w:r>
      <w:bookmarkEnd w:id="16"/>
    </w:p>
    <w:p w14:paraId="45C62E57" w14:textId="77777777" w:rsidR="00F52BCC" w:rsidRDefault="003C31C9">
      <w:pPr>
        <w:ind w:left="0"/>
      </w:pPr>
      <w:r>
        <w:t>No information will be collected</w:t>
      </w:r>
      <w:r w:rsidR="00616090">
        <w:t xml:space="preserve"> that are of personal or sensitive nature</w:t>
      </w:r>
      <w:r w:rsidR="00D26A64">
        <w:t>.</w:t>
      </w:r>
    </w:p>
    <w:p w14:paraId="5EEC9FA9" w14:textId="77777777" w:rsidR="00616090" w:rsidRPr="0088467A" w:rsidRDefault="00616090"/>
    <w:p w14:paraId="36B6115A" w14:textId="77777777" w:rsidR="00B64BFA" w:rsidRPr="002639CB" w:rsidRDefault="0088467A">
      <w:pPr>
        <w:pStyle w:val="Heading4"/>
        <w:spacing w:after="0"/>
      </w:pPr>
      <w:bookmarkStart w:id="17" w:name="_Toc427752825"/>
      <w:r w:rsidRPr="002639CB">
        <w:lastRenderedPageBreak/>
        <w:t>Estimates of Annualized Burden Hours and Costs</w:t>
      </w:r>
      <w:bookmarkEnd w:id="17"/>
    </w:p>
    <w:p w14:paraId="1DCEB914" w14:textId="3620A88E" w:rsidR="006427DF" w:rsidRDefault="000058E0" w:rsidP="00191A5F">
      <w:pPr>
        <w:ind w:left="0"/>
        <w:rPr>
          <w:color w:val="000000"/>
          <w:lang w:eastAsia="zh-CN"/>
        </w:rPr>
      </w:pPr>
      <w:r w:rsidRPr="00711BFA">
        <w:rPr>
          <w:color w:val="000000"/>
        </w:rPr>
        <w:t xml:space="preserve">The estimate for burden hours is based on a pilot test of </w:t>
      </w:r>
      <w:r w:rsidRPr="0061015C">
        <w:t>the information collection instru</w:t>
      </w:r>
      <w:r w:rsidRPr="0018051D">
        <w:t xml:space="preserve">ment </w:t>
      </w:r>
      <w:r w:rsidRPr="006536A4">
        <w:t xml:space="preserve">by </w:t>
      </w:r>
      <w:r w:rsidR="00E62DF5">
        <w:t xml:space="preserve">3 </w:t>
      </w:r>
      <w:r w:rsidRPr="0018051D">
        <w:t xml:space="preserve">public health professionals. In the pilot test, the time to complete the instrument including time for reviewing instructions, gathering needed information and completing the instrument </w:t>
      </w:r>
      <w:r w:rsidR="003F5129">
        <w:t xml:space="preserve">averaged </w:t>
      </w:r>
      <w:r w:rsidRPr="0018051D">
        <w:t xml:space="preserve">approximately </w:t>
      </w:r>
      <w:r w:rsidR="00E62DF5">
        <w:t>30</w:t>
      </w:r>
      <w:r w:rsidRPr="006536A4">
        <w:t xml:space="preserve"> </w:t>
      </w:r>
      <w:r w:rsidRPr="0018051D">
        <w:t>minutes</w:t>
      </w:r>
      <w:r w:rsidR="003F5129">
        <w:t xml:space="preserve"> for </w:t>
      </w:r>
      <w:r w:rsidR="00A90A7E">
        <w:t>each submission</w:t>
      </w:r>
      <w:r w:rsidRPr="0018051D">
        <w:t xml:space="preserve">. Based on these results, the estimated time range for actual respondents to complete </w:t>
      </w:r>
      <w:r w:rsidR="003F5129">
        <w:t xml:space="preserve">each </w:t>
      </w:r>
      <w:r w:rsidR="00A90A7E">
        <w:t xml:space="preserve">submission </w:t>
      </w:r>
      <w:r w:rsidRPr="0018051D">
        <w:t xml:space="preserve">is </w:t>
      </w:r>
      <w:r w:rsidR="00E62DF5">
        <w:t>20</w:t>
      </w:r>
      <w:r w:rsidR="008C59E7" w:rsidRPr="006536A4">
        <w:t xml:space="preserve"> to </w:t>
      </w:r>
      <w:r w:rsidR="00E62DF5">
        <w:t>40</w:t>
      </w:r>
      <w:r w:rsidRPr="006536A4">
        <w:t xml:space="preserve"> </w:t>
      </w:r>
      <w:r w:rsidRPr="0018051D">
        <w:t xml:space="preserve">minutes. For the purposes of estimating burden hours, the upper limit of this range (i.e., </w:t>
      </w:r>
      <w:r w:rsidR="00E62DF5">
        <w:t xml:space="preserve">40 </w:t>
      </w:r>
      <w:r w:rsidRPr="0018051D">
        <w:t>minutes) is used</w:t>
      </w:r>
      <w:r w:rsidR="00A90A7E">
        <w:t xml:space="preserve"> for each response</w:t>
      </w:r>
      <w:r w:rsidRPr="0018051D">
        <w:t>.</w:t>
      </w:r>
      <w:r w:rsidR="00191A5F">
        <w:t xml:space="preserve"> </w:t>
      </w:r>
      <w:r w:rsidR="00A90A7E">
        <w:rPr>
          <w:color w:val="000000"/>
          <w:lang w:eastAsia="zh-CN"/>
        </w:rPr>
        <w:t xml:space="preserve">This burden is used for each </w:t>
      </w:r>
      <w:r w:rsidR="00435E78">
        <w:rPr>
          <w:color w:val="000000"/>
          <w:lang w:eastAsia="zh-CN"/>
        </w:rPr>
        <w:t xml:space="preserve">response by RPE awardees and sub-awardees. </w:t>
      </w:r>
    </w:p>
    <w:p w14:paraId="55F89E79" w14:textId="77777777" w:rsidR="006427DF" w:rsidRDefault="006427DF" w:rsidP="00191A5F">
      <w:pPr>
        <w:ind w:left="0"/>
        <w:rPr>
          <w:color w:val="000000"/>
          <w:lang w:eastAsia="zh-CN"/>
        </w:rPr>
      </w:pPr>
    </w:p>
    <w:p w14:paraId="062CA12E" w14:textId="7FF2EF10" w:rsidR="00191A5F" w:rsidRPr="006427DF" w:rsidRDefault="006427DF" w:rsidP="00191A5F">
      <w:pPr>
        <w:ind w:left="0"/>
        <w:rPr>
          <w:color w:val="000000"/>
          <w:lang w:eastAsia="zh-CN"/>
        </w:rPr>
      </w:pPr>
      <w:r>
        <w:rPr>
          <w:color w:val="000000"/>
          <w:lang w:eastAsia="zh-CN"/>
        </w:rPr>
        <w:t xml:space="preserve">Note, </w:t>
      </w:r>
      <w:r w:rsidRPr="006427DF">
        <w:rPr>
          <w:color w:val="000000"/>
          <w:lang w:eastAsia="zh-CN"/>
        </w:rPr>
        <w:t>RPE awardees may submit up to three responses while RPE sub-awardees may submit one. As noted, there is diversity in which SV prevention efforts are organized and managed in the health departments across 50 states, the District of Columbia, and four U.S. territories (i.e., Commonwealth of Northern Mariana Islands, Guam, Puerto Rico, U.S. Virgin Islands) because of their context in terms of geographic location and size, their organizational capacities and infrastructure, and their selected strategic approach to SV prevention. Some may implement multiple SV prevention strategies, for some of which they may sub-contract to sub-awardees and for some of which they may implement using health department capacities. Without an inventory or accurate report of these contextual information, an upper limit of three responses was used for RPE awardees to account of these contexts in order to meet the purpose of this information collection. RPE sub-awardees may only submit one nomination.</w:t>
      </w:r>
      <w:r>
        <w:rPr>
          <w:color w:val="000000"/>
          <w:lang w:eastAsia="zh-CN"/>
        </w:rPr>
        <w:t xml:space="preserve">  </w:t>
      </w:r>
      <w:r w:rsidR="00435E78">
        <w:rPr>
          <w:color w:val="000000"/>
          <w:lang w:eastAsia="zh-CN"/>
        </w:rPr>
        <w:t xml:space="preserve">Since RPE awardees can submit up to three responses, the burden is multiplied by three </w:t>
      </w:r>
      <w:r w:rsidR="0003416E">
        <w:rPr>
          <w:color w:val="000000"/>
          <w:lang w:eastAsia="zh-CN"/>
        </w:rPr>
        <w:t>whereas one response was used for sub-awardees</w:t>
      </w:r>
      <w:r w:rsidR="00435E78">
        <w:rPr>
          <w:color w:val="000000"/>
          <w:lang w:eastAsia="zh-CN"/>
        </w:rPr>
        <w:t xml:space="preserve">. </w:t>
      </w:r>
    </w:p>
    <w:p w14:paraId="6B614BA7" w14:textId="77777777" w:rsidR="000058E0" w:rsidRDefault="000058E0">
      <w:pPr>
        <w:ind w:left="0"/>
      </w:pPr>
    </w:p>
    <w:p w14:paraId="531C4C57" w14:textId="674A3F96" w:rsidR="0060311F" w:rsidRPr="00441CC3" w:rsidRDefault="0060311F" w:rsidP="0060311F">
      <w:pPr>
        <w:ind w:left="0"/>
      </w:pPr>
      <w:r w:rsidRPr="003E7701">
        <w:t xml:space="preserve">Estimates for the average hourly wage for respondents are based on the Department of Labor (DOL) </w:t>
      </w:r>
      <w:r>
        <w:t>Bureau of Labor Statistics for occupati</w:t>
      </w:r>
      <w:r w:rsidRPr="00552E48">
        <w:t>onal employment for</w:t>
      </w:r>
      <w:r w:rsidRPr="00552E48">
        <w:rPr>
          <w:color w:val="0070C0"/>
        </w:rPr>
        <w:t xml:space="preserve"> </w:t>
      </w:r>
      <w:r w:rsidR="0015748F">
        <w:t>medical and health services managers</w:t>
      </w:r>
      <w:r w:rsidRPr="00552E48">
        <w:t xml:space="preserve"> </w:t>
      </w:r>
      <w:hyperlink r:id="rId13" w:history="1">
        <w:r w:rsidRPr="00552E48">
          <w:rPr>
            <w:rStyle w:val="Hyperlink"/>
          </w:rPr>
          <w:t>http://www.bls.gov/oes/current/oes_nat.htm</w:t>
        </w:r>
      </w:hyperlink>
      <w:r w:rsidRPr="00552E48">
        <w:t>.</w:t>
      </w:r>
      <w:r>
        <w:t xml:space="preserve">  </w:t>
      </w:r>
      <w:r w:rsidRPr="00711BFA">
        <w:t xml:space="preserve">Based on DOL data, an average hourly wage of </w:t>
      </w:r>
      <w:r w:rsidR="00552E48" w:rsidRPr="00552E48">
        <w:t>$5</w:t>
      </w:r>
      <w:r w:rsidR="0015748F">
        <w:t>0</w:t>
      </w:r>
      <w:r w:rsidR="00552E48" w:rsidRPr="00552E48">
        <w:t>.</w:t>
      </w:r>
      <w:r w:rsidR="0015748F">
        <w:t>99</w:t>
      </w:r>
      <w:r w:rsidRPr="00552E48">
        <w:t xml:space="preserve"> </w:t>
      </w:r>
      <w:r>
        <w:t>is estimated for all 525</w:t>
      </w:r>
      <w:r w:rsidRPr="00BB090C">
        <w:rPr>
          <w:color w:val="0070C0"/>
        </w:rPr>
        <w:t xml:space="preserve"> </w:t>
      </w:r>
      <w:r w:rsidRPr="00711BFA">
        <w:t>respondents. Table A-12 shows estimated burden and cost information.</w:t>
      </w:r>
    </w:p>
    <w:p w14:paraId="35B983DB" w14:textId="385A3CBD" w:rsidR="005A59E5" w:rsidRPr="002A1948" w:rsidRDefault="005A59E5">
      <w:pPr>
        <w:ind w:left="0"/>
      </w:pPr>
    </w:p>
    <w:p w14:paraId="2904495E" w14:textId="77777777" w:rsidR="005A59E5" w:rsidRDefault="005A59E5">
      <w:pPr>
        <w:pStyle w:val="ListParagraph"/>
        <w:ind w:left="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882"/>
        <w:gridCol w:w="1350"/>
        <w:gridCol w:w="1170"/>
        <w:gridCol w:w="1168"/>
        <w:gridCol w:w="904"/>
        <w:gridCol w:w="749"/>
        <w:gridCol w:w="709"/>
        <w:gridCol w:w="1325"/>
      </w:tblGrid>
      <w:tr w:rsidR="00742C21" w:rsidRPr="006F6856" w14:paraId="205A98B2" w14:textId="77777777" w:rsidTr="007E082B">
        <w:trPr>
          <w:trHeight w:val="1493"/>
        </w:trPr>
        <w:tc>
          <w:tcPr>
            <w:tcW w:w="1093" w:type="dxa"/>
            <w:shd w:val="clear" w:color="auto" w:fill="D9D9D9" w:themeFill="background1" w:themeFillShade="D9"/>
            <w:vAlign w:val="center"/>
          </w:tcPr>
          <w:p w14:paraId="247F68B4" w14:textId="65CA8AE2" w:rsidR="002C6C16" w:rsidRPr="00033F91" w:rsidRDefault="00033F91" w:rsidP="002C6C16">
            <w:pPr>
              <w:ind w:left="-18"/>
              <w:jc w:val="center"/>
              <w:rPr>
                <w:b/>
                <w:sz w:val="16"/>
                <w:szCs w:val="16"/>
              </w:rPr>
            </w:pPr>
            <w:r>
              <w:rPr>
                <w:b/>
                <w:sz w:val="16"/>
                <w:szCs w:val="16"/>
              </w:rPr>
              <w:t>Information C</w:t>
            </w:r>
            <w:r w:rsidR="002C6C16" w:rsidRPr="00033F91">
              <w:rPr>
                <w:b/>
                <w:sz w:val="16"/>
                <w:szCs w:val="16"/>
              </w:rPr>
              <w:t>ollection Instrument: Form Name</w:t>
            </w:r>
          </w:p>
        </w:tc>
        <w:tc>
          <w:tcPr>
            <w:tcW w:w="2232" w:type="dxa"/>
            <w:gridSpan w:val="2"/>
            <w:shd w:val="clear" w:color="auto" w:fill="D9D9D9" w:themeFill="background1" w:themeFillShade="D9"/>
            <w:vAlign w:val="center"/>
          </w:tcPr>
          <w:p w14:paraId="46E074CB" w14:textId="39F1AA2E" w:rsidR="002C6C16" w:rsidRPr="00033F91" w:rsidRDefault="002C6C16" w:rsidP="002C6C16">
            <w:pPr>
              <w:ind w:left="-18"/>
              <w:jc w:val="center"/>
              <w:rPr>
                <w:b/>
                <w:sz w:val="16"/>
                <w:szCs w:val="16"/>
              </w:rPr>
            </w:pPr>
            <w:r w:rsidRPr="00033F91">
              <w:rPr>
                <w:b/>
                <w:sz w:val="16"/>
                <w:szCs w:val="16"/>
              </w:rPr>
              <w:t>Type of Respondent</w:t>
            </w:r>
          </w:p>
        </w:tc>
        <w:tc>
          <w:tcPr>
            <w:tcW w:w="1170" w:type="dxa"/>
            <w:shd w:val="clear" w:color="auto" w:fill="D9D9D9" w:themeFill="background1" w:themeFillShade="D9"/>
            <w:vAlign w:val="center"/>
          </w:tcPr>
          <w:p w14:paraId="2BED5A73" w14:textId="77777777" w:rsidR="002C6C16" w:rsidRPr="00033F91" w:rsidRDefault="002C6C16" w:rsidP="002C6C16">
            <w:pPr>
              <w:ind w:left="-18"/>
              <w:jc w:val="center"/>
              <w:rPr>
                <w:b/>
                <w:sz w:val="16"/>
                <w:szCs w:val="16"/>
              </w:rPr>
            </w:pPr>
            <w:r w:rsidRPr="00033F91">
              <w:rPr>
                <w:b/>
                <w:sz w:val="16"/>
                <w:szCs w:val="16"/>
              </w:rPr>
              <w:t>No. of Respondents</w:t>
            </w:r>
          </w:p>
        </w:tc>
        <w:tc>
          <w:tcPr>
            <w:tcW w:w="1168" w:type="dxa"/>
            <w:shd w:val="clear" w:color="auto" w:fill="D9D9D9" w:themeFill="background1" w:themeFillShade="D9"/>
            <w:vAlign w:val="center"/>
          </w:tcPr>
          <w:p w14:paraId="4BB3CB4A" w14:textId="77777777" w:rsidR="002C6C16" w:rsidRPr="00033F91" w:rsidRDefault="002C6C16" w:rsidP="002C6C16">
            <w:pPr>
              <w:ind w:left="-18"/>
              <w:jc w:val="center"/>
              <w:rPr>
                <w:b/>
                <w:sz w:val="16"/>
                <w:szCs w:val="16"/>
              </w:rPr>
            </w:pPr>
            <w:r w:rsidRPr="00033F91">
              <w:rPr>
                <w:b/>
                <w:sz w:val="16"/>
                <w:szCs w:val="16"/>
              </w:rPr>
              <w:t>No. of Responses per Respondent</w:t>
            </w:r>
          </w:p>
        </w:tc>
        <w:tc>
          <w:tcPr>
            <w:tcW w:w="904" w:type="dxa"/>
            <w:shd w:val="clear" w:color="auto" w:fill="D9D9D9" w:themeFill="background1" w:themeFillShade="D9"/>
            <w:vAlign w:val="center"/>
          </w:tcPr>
          <w:p w14:paraId="32B8CC5A" w14:textId="77777777" w:rsidR="00033F91" w:rsidRDefault="002C6C16" w:rsidP="002C6C16">
            <w:pPr>
              <w:ind w:left="-18"/>
              <w:jc w:val="center"/>
              <w:rPr>
                <w:b/>
                <w:sz w:val="16"/>
                <w:szCs w:val="16"/>
              </w:rPr>
            </w:pPr>
            <w:r w:rsidRPr="00033F91">
              <w:rPr>
                <w:b/>
                <w:sz w:val="16"/>
                <w:szCs w:val="16"/>
              </w:rPr>
              <w:t xml:space="preserve">Average Burden per Response </w:t>
            </w:r>
          </w:p>
          <w:p w14:paraId="4B8AA3BC" w14:textId="768468B7" w:rsidR="002C6C16" w:rsidRPr="00033F91" w:rsidRDefault="002C6C16" w:rsidP="002C6C16">
            <w:pPr>
              <w:ind w:left="-18"/>
              <w:jc w:val="center"/>
              <w:rPr>
                <w:b/>
                <w:sz w:val="16"/>
                <w:szCs w:val="16"/>
              </w:rPr>
            </w:pPr>
            <w:r w:rsidRPr="00033F91">
              <w:rPr>
                <w:b/>
                <w:sz w:val="16"/>
                <w:szCs w:val="16"/>
              </w:rPr>
              <w:t>(in hours)</w:t>
            </w:r>
          </w:p>
        </w:tc>
        <w:tc>
          <w:tcPr>
            <w:tcW w:w="749" w:type="dxa"/>
            <w:shd w:val="clear" w:color="auto" w:fill="D9D9D9" w:themeFill="background1" w:themeFillShade="D9"/>
            <w:vAlign w:val="center"/>
          </w:tcPr>
          <w:p w14:paraId="20B83293" w14:textId="77777777" w:rsidR="002C6C16" w:rsidRPr="00033F91" w:rsidRDefault="002C6C16" w:rsidP="002C6C16">
            <w:pPr>
              <w:ind w:left="-18"/>
              <w:jc w:val="center"/>
              <w:rPr>
                <w:b/>
                <w:sz w:val="16"/>
                <w:szCs w:val="16"/>
              </w:rPr>
            </w:pPr>
            <w:r w:rsidRPr="00033F91">
              <w:rPr>
                <w:b/>
                <w:sz w:val="16"/>
                <w:szCs w:val="16"/>
              </w:rPr>
              <w:t>Total Burden Hours</w:t>
            </w:r>
          </w:p>
        </w:tc>
        <w:tc>
          <w:tcPr>
            <w:tcW w:w="709" w:type="dxa"/>
            <w:shd w:val="clear" w:color="auto" w:fill="D9D9D9" w:themeFill="background1" w:themeFillShade="D9"/>
            <w:vAlign w:val="center"/>
          </w:tcPr>
          <w:p w14:paraId="5578EB9F" w14:textId="77777777" w:rsidR="002C6C16" w:rsidRPr="00033F91" w:rsidRDefault="002C6C16" w:rsidP="002C6C16">
            <w:pPr>
              <w:ind w:left="-18"/>
              <w:jc w:val="center"/>
              <w:rPr>
                <w:b/>
                <w:sz w:val="16"/>
                <w:szCs w:val="16"/>
              </w:rPr>
            </w:pPr>
            <w:r w:rsidRPr="00033F91">
              <w:rPr>
                <w:b/>
                <w:sz w:val="16"/>
                <w:szCs w:val="16"/>
              </w:rPr>
              <w:t>Hourly Wage Rate</w:t>
            </w:r>
          </w:p>
        </w:tc>
        <w:tc>
          <w:tcPr>
            <w:tcW w:w="1325" w:type="dxa"/>
            <w:shd w:val="clear" w:color="auto" w:fill="D9D9D9" w:themeFill="background1" w:themeFillShade="D9"/>
            <w:vAlign w:val="center"/>
          </w:tcPr>
          <w:p w14:paraId="1AF411C6" w14:textId="77777777" w:rsidR="002C6C16" w:rsidRPr="00033F91" w:rsidRDefault="002C6C16" w:rsidP="002C6C16">
            <w:pPr>
              <w:ind w:left="-18"/>
              <w:jc w:val="center"/>
              <w:rPr>
                <w:b/>
                <w:sz w:val="16"/>
                <w:szCs w:val="16"/>
              </w:rPr>
            </w:pPr>
            <w:r w:rsidRPr="00033F91">
              <w:rPr>
                <w:b/>
                <w:sz w:val="16"/>
                <w:szCs w:val="16"/>
              </w:rPr>
              <w:t>Total Respondent Costs</w:t>
            </w:r>
          </w:p>
        </w:tc>
      </w:tr>
      <w:tr w:rsidR="00742C21" w:rsidRPr="006F6856" w14:paraId="3B9A78CB" w14:textId="77777777" w:rsidTr="007E082B">
        <w:tc>
          <w:tcPr>
            <w:tcW w:w="1093" w:type="dxa"/>
            <w:vMerge w:val="restart"/>
            <w:vAlign w:val="center"/>
          </w:tcPr>
          <w:p w14:paraId="4EA0AE3E" w14:textId="29B59A10" w:rsidR="00FE2F85" w:rsidRPr="00033F91" w:rsidRDefault="00FE2F85" w:rsidP="00FE2F85">
            <w:pPr>
              <w:ind w:left="0"/>
              <w:jc w:val="center"/>
              <w:rPr>
                <w:b/>
                <w:sz w:val="16"/>
                <w:szCs w:val="16"/>
              </w:rPr>
            </w:pPr>
            <w:r w:rsidRPr="00033F91">
              <w:rPr>
                <w:b/>
                <w:sz w:val="16"/>
                <w:szCs w:val="16"/>
              </w:rPr>
              <w:t xml:space="preserve">Sexual Violence Prevention Strategy Description </w:t>
            </w:r>
          </w:p>
        </w:tc>
        <w:tc>
          <w:tcPr>
            <w:tcW w:w="882" w:type="dxa"/>
            <w:vMerge w:val="restart"/>
            <w:vAlign w:val="center"/>
          </w:tcPr>
          <w:p w14:paraId="210FE990" w14:textId="4071AFA7" w:rsidR="00FE2F85" w:rsidRPr="00033F91" w:rsidRDefault="00FE2F85" w:rsidP="00FE2F85">
            <w:pPr>
              <w:ind w:left="0"/>
              <w:jc w:val="center"/>
              <w:rPr>
                <w:sz w:val="16"/>
                <w:szCs w:val="16"/>
              </w:rPr>
            </w:pPr>
            <w:r w:rsidRPr="00033F91">
              <w:rPr>
                <w:sz w:val="16"/>
                <w:szCs w:val="16"/>
              </w:rPr>
              <w:t>State</w:t>
            </w:r>
          </w:p>
        </w:tc>
        <w:tc>
          <w:tcPr>
            <w:tcW w:w="1350" w:type="dxa"/>
            <w:vAlign w:val="center"/>
          </w:tcPr>
          <w:p w14:paraId="0549689A" w14:textId="4238272F" w:rsidR="00FE2F85" w:rsidRPr="00033F91" w:rsidRDefault="00FE2F85" w:rsidP="00FE2F85">
            <w:pPr>
              <w:ind w:left="0"/>
              <w:rPr>
                <w:sz w:val="16"/>
                <w:szCs w:val="16"/>
              </w:rPr>
            </w:pPr>
            <w:r w:rsidRPr="00033F91">
              <w:rPr>
                <w:sz w:val="16"/>
                <w:szCs w:val="16"/>
              </w:rPr>
              <w:t xml:space="preserve">SV program managers in State health departments (SHD), including District of Columbia </w:t>
            </w:r>
          </w:p>
        </w:tc>
        <w:tc>
          <w:tcPr>
            <w:tcW w:w="1170" w:type="dxa"/>
            <w:vAlign w:val="center"/>
          </w:tcPr>
          <w:p w14:paraId="6C3E9AE2" w14:textId="78D48FA4" w:rsidR="00FE2F85" w:rsidRPr="00033F91" w:rsidRDefault="00FE2F85" w:rsidP="00FE2F85">
            <w:pPr>
              <w:ind w:left="0"/>
              <w:jc w:val="center"/>
              <w:rPr>
                <w:sz w:val="16"/>
                <w:szCs w:val="16"/>
              </w:rPr>
            </w:pPr>
            <w:r w:rsidRPr="00033F91">
              <w:rPr>
                <w:sz w:val="16"/>
                <w:szCs w:val="16"/>
              </w:rPr>
              <w:t>51</w:t>
            </w:r>
          </w:p>
        </w:tc>
        <w:tc>
          <w:tcPr>
            <w:tcW w:w="1168" w:type="dxa"/>
            <w:vAlign w:val="center"/>
          </w:tcPr>
          <w:p w14:paraId="38C8C01F" w14:textId="289832D9" w:rsidR="00FE2F85" w:rsidRPr="00FD2B1A" w:rsidRDefault="00FB658D" w:rsidP="00FE2F85">
            <w:pPr>
              <w:ind w:left="0"/>
              <w:jc w:val="center"/>
              <w:rPr>
                <w:sz w:val="16"/>
                <w:szCs w:val="16"/>
              </w:rPr>
            </w:pPr>
            <w:r>
              <w:rPr>
                <w:sz w:val="16"/>
                <w:szCs w:val="16"/>
              </w:rPr>
              <w:t>3</w:t>
            </w:r>
          </w:p>
        </w:tc>
        <w:tc>
          <w:tcPr>
            <w:tcW w:w="904" w:type="dxa"/>
            <w:vAlign w:val="center"/>
          </w:tcPr>
          <w:p w14:paraId="087F2E05" w14:textId="5D8AC553" w:rsidR="00FE2F85" w:rsidRPr="00FD2B1A" w:rsidRDefault="00FE2F85" w:rsidP="00FE2F85">
            <w:pPr>
              <w:ind w:left="0"/>
              <w:jc w:val="center"/>
              <w:rPr>
                <w:sz w:val="16"/>
                <w:szCs w:val="16"/>
              </w:rPr>
            </w:pPr>
            <w:r w:rsidRPr="00FD2B1A">
              <w:rPr>
                <w:sz w:val="16"/>
                <w:szCs w:val="16"/>
              </w:rPr>
              <w:t>40/60</w:t>
            </w:r>
          </w:p>
        </w:tc>
        <w:tc>
          <w:tcPr>
            <w:tcW w:w="749" w:type="dxa"/>
            <w:vAlign w:val="center"/>
          </w:tcPr>
          <w:p w14:paraId="1215379B" w14:textId="71E38991" w:rsidR="00FE2F85" w:rsidRPr="00FD2B1A" w:rsidRDefault="00FB658D" w:rsidP="00FE2F85">
            <w:pPr>
              <w:ind w:left="0"/>
              <w:jc w:val="center"/>
              <w:rPr>
                <w:sz w:val="16"/>
                <w:szCs w:val="16"/>
              </w:rPr>
            </w:pPr>
            <w:r>
              <w:rPr>
                <w:sz w:val="16"/>
                <w:szCs w:val="16"/>
              </w:rPr>
              <w:t>102</w:t>
            </w:r>
          </w:p>
        </w:tc>
        <w:tc>
          <w:tcPr>
            <w:tcW w:w="709" w:type="dxa"/>
            <w:vAlign w:val="center"/>
          </w:tcPr>
          <w:p w14:paraId="5302FB37" w14:textId="452084B5" w:rsidR="00FE2F85" w:rsidRPr="00FD2B1A" w:rsidRDefault="00FE2F85" w:rsidP="00347724">
            <w:pPr>
              <w:ind w:left="0"/>
              <w:jc w:val="center"/>
              <w:rPr>
                <w:sz w:val="16"/>
                <w:szCs w:val="16"/>
              </w:rPr>
            </w:pPr>
            <w:r w:rsidRPr="00FD2B1A">
              <w:rPr>
                <w:sz w:val="16"/>
                <w:szCs w:val="16"/>
              </w:rPr>
              <w:t>$</w:t>
            </w:r>
            <w:r w:rsidR="00332DF7" w:rsidRPr="00332DF7">
              <w:rPr>
                <w:sz w:val="16"/>
                <w:szCs w:val="16"/>
              </w:rPr>
              <w:t>50.99</w:t>
            </w:r>
          </w:p>
        </w:tc>
        <w:tc>
          <w:tcPr>
            <w:tcW w:w="1325" w:type="dxa"/>
            <w:vAlign w:val="center"/>
          </w:tcPr>
          <w:p w14:paraId="346C58E1" w14:textId="3D02CEC2" w:rsidR="00FE2F85" w:rsidRPr="00FD2B1A" w:rsidRDefault="00FE2F85" w:rsidP="00335F58">
            <w:pPr>
              <w:ind w:left="0"/>
              <w:jc w:val="center"/>
              <w:rPr>
                <w:sz w:val="16"/>
                <w:szCs w:val="16"/>
              </w:rPr>
            </w:pPr>
            <w:r w:rsidRPr="00FD2B1A">
              <w:rPr>
                <w:sz w:val="16"/>
                <w:szCs w:val="16"/>
              </w:rPr>
              <w:t>$</w:t>
            </w:r>
            <w:r w:rsidR="00FB658D">
              <w:rPr>
                <w:sz w:val="16"/>
                <w:szCs w:val="16"/>
              </w:rPr>
              <w:t>5,201</w:t>
            </w:r>
          </w:p>
        </w:tc>
      </w:tr>
      <w:tr w:rsidR="00742C21" w:rsidRPr="006F6856" w14:paraId="30BEDA9B" w14:textId="77777777" w:rsidTr="007E082B">
        <w:tc>
          <w:tcPr>
            <w:tcW w:w="1093" w:type="dxa"/>
            <w:vMerge/>
            <w:vAlign w:val="center"/>
          </w:tcPr>
          <w:p w14:paraId="503E9545" w14:textId="77777777" w:rsidR="00332DF7" w:rsidRPr="00033F91" w:rsidRDefault="00332DF7" w:rsidP="00332DF7">
            <w:pPr>
              <w:ind w:left="0"/>
              <w:jc w:val="center"/>
              <w:rPr>
                <w:b/>
                <w:sz w:val="16"/>
                <w:szCs w:val="16"/>
              </w:rPr>
            </w:pPr>
          </w:p>
        </w:tc>
        <w:tc>
          <w:tcPr>
            <w:tcW w:w="882" w:type="dxa"/>
            <w:vMerge/>
          </w:tcPr>
          <w:p w14:paraId="1ABCBB43" w14:textId="77777777" w:rsidR="00332DF7" w:rsidRPr="00033F91" w:rsidRDefault="00332DF7" w:rsidP="00332DF7">
            <w:pPr>
              <w:ind w:left="0"/>
              <w:rPr>
                <w:sz w:val="16"/>
                <w:szCs w:val="16"/>
              </w:rPr>
            </w:pPr>
          </w:p>
        </w:tc>
        <w:tc>
          <w:tcPr>
            <w:tcW w:w="1350" w:type="dxa"/>
            <w:vAlign w:val="center"/>
          </w:tcPr>
          <w:p w14:paraId="0BF14BFD" w14:textId="62F3286E" w:rsidR="00332DF7" w:rsidRPr="00033F91" w:rsidRDefault="00332DF7" w:rsidP="00332DF7">
            <w:pPr>
              <w:ind w:left="0"/>
              <w:rPr>
                <w:sz w:val="16"/>
                <w:szCs w:val="16"/>
              </w:rPr>
            </w:pPr>
            <w:r w:rsidRPr="00033F91">
              <w:rPr>
                <w:sz w:val="16"/>
                <w:szCs w:val="16"/>
              </w:rPr>
              <w:t xml:space="preserve">SHD </w:t>
            </w:r>
            <w:r w:rsidR="00417E9E">
              <w:rPr>
                <w:sz w:val="16"/>
                <w:szCs w:val="16"/>
              </w:rPr>
              <w:t>sub-awardees</w:t>
            </w:r>
            <w:r w:rsidRPr="00033F91">
              <w:rPr>
                <w:sz w:val="16"/>
                <w:szCs w:val="16"/>
              </w:rPr>
              <w:t>: non-profit organizations</w:t>
            </w:r>
          </w:p>
        </w:tc>
        <w:tc>
          <w:tcPr>
            <w:tcW w:w="1170" w:type="dxa"/>
            <w:vAlign w:val="center"/>
          </w:tcPr>
          <w:p w14:paraId="42FCED2C" w14:textId="0422583E" w:rsidR="00332DF7" w:rsidRPr="00033F91" w:rsidRDefault="00332DF7" w:rsidP="00332DF7">
            <w:pPr>
              <w:ind w:left="0"/>
              <w:jc w:val="center"/>
              <w:rPr>
                <w:sz w:val="16"/>
                <w:szCs w:val="16"/>
              </w:rPr>
            </w:pPr>
            <w:r w:rsidRPr="00033F91">
              <w:rPr>
                <w:sz w:val="16"/>
                <w:szCs w:val="16"/>
              </w:rPr>
              <w:t>394</w:t>
            </w:r>
          </w:p>
        </w:tc>
        <w:tc>
          <w:tcPr>
            <w:tcW w:w="1168" w:type="dxa"/>
            <w:vAlign w:val="center"/>
          </w:tcPr>
          <w:p w14:paraId="7C2376AA" w14:textId="7647C9EA" w:rsidR="00332DF7" w:rsidRPr="00FD2B1A" w:rsidRDefault="00332DF7" w:rsidP="00332DF7">
            <w:pPr>
              <w:ind w:left="0"/>
              <w:jc w:val="center"/>
              <w:rPr>
                <w:sz w:val="16"/>
                <w:szCs w:val="16"/>
              </w:rPr>
            </w:pPr>
            <w:r w:rsidRPr="00FD2B1A">
              <w:rPr>
                <w:sz w:val="16"/>
                <w:szCs w:val="16"/>
              </w:rPr>
              <w:t>1</w:t>
            </w:r>
          </w:p>
        </w:tc>
        <w:tc>
          <w:tcPr>
            <w:tcW w:w="904" w:type="dxa"/>
            <w:vAlign w:val="center"/>
          </w:tcPr>
          <w:p w14:paraId="778C551C" w14:textId="73C45C7F" w:rsidR="00332DF7" w:rsidRPr="00FD2B1A" w:rsidRDefault="00332DF7" w:rsidP="00332DF7">
            <w:pPr>
              <w:ind w:left="0"/>
              <w:jc w:val="center"/>
              <w:rPr>
                <w:sz w:val="16"/>
                <w:szCs w:val="16"/>
              </w:rPr>
            </w:pPr>
            <w:r w:rsidRPr="00FD2B1A">
              <w:rPr>
                <w:sz w:val="16"/>
                <w:szCs w:val="16"/>
              </w:rPr>
              <w:t>40/60</w:t>
            </w:r>
          </w:p>
        </w:tc>
        <w:tc>
          <w:tcPr>
            <w:tcW w:w="749" w:type="dxa"/>
            <w:vAlign w:val="center"/>
          </w:tcPr>
          <w:p w14:paraId="5DAA0F07" w14:textId="34BC7D51" w:rsidR="00332DF7" w:rsidRPr="00FD2B1A" w:rsidRDefault="00332DF7" w:rsidP="00332DF7">
            <w:pPr>
              <w:ind w:left="0"/>
              <w:jc w:val="center"/>
              <w:rPr>
                <w:sz w:val="16"/>
                <w:szCs w:val="16"/>
              </w:rPr>
            </w:pPr>
            <w:r w:rsidRPr="00FD2B1A">
              <w:rPr>
                <w:sz w:val="16"/>
                <w:szCs w:val="16"/>
              </w:rPr>
              <w:t>263</w:t>
            </w:r>
          </w:p>
        </w:tc>
        <w:tc>
          <w:tcPr>
            <w:tcW w:w="709" w:type="dxa"/>
            <w:vAlign w:val="center"/>
          </w:tcPr>
          <w:p w14:paraId="600F631F" w14:textId="29C9F3EF" w:rsidR="00332DF7" w:rsidRPr="00FD2B1A" w:rsidRDefault="00332DF7" w:rsidP="00332DF7">
            <w:pPr>
              <w:ind w:left="0"/>
              <w:jc w:val="center"/>
              <w:rPr>
                <w:sz w:val="16"/>
                <w:szCs w:val="16"/>
              </w:rPr>
            </w:pPr>
            <w:r w:rsidRPr="00FD2B1A">
              <w:rPr>
                <w:sz w:val="16"/>
                <w:szCs w:val="16"/>
              </w:rPr>
              <w:t>$</w:t>
            </w:r>
            <w:r w:rsidRPr="00332DF7">
              <w:rPr>
                <w:sz w:val="16"/>
                <w:szCs w:val="16"/>
              </w:rPr>
              <w:t>50.99</w:t>
            </w:r>
          </w:p>
        </w:tc>
        <w:tc>
          <w:tcPr>
            <w:tcW w:w="1325" w:type="dxa"/>
            <w:vAlign w:val="center"/>
          </w:tcPr>
          <w:p w14:paraId="495A8576" w14:textId="1B330A0B" w:rsidR="00332DF7" w:rsidRPr="00FD2B1A" w:rsidRDefault="00332DF7" w:rsidP="00335F58">
            <w:pPr>
              <w:ind w:left="0"/>
              <w:jc w:val="center"/>
              <w:rPr>
                <w:sz w:val="16"/>
                <w:szCs w:val="16"/>
              </w:rPr>
            </w:pPr>
            <w:r w:rsidRPr="00FD2B1A">
              <w:rPr>
                <w:sz w:val="16"/>
                <w:szCs w:val="16"/>
              </w:rPr>
              <w:t>$1</w:t>
            </w:r>
            <w:r w:rsidR="00335F58">
              <w:rPr>
                <w:sz w:val="16"/>
                <w:szCs w:val="16"/>
              </w:rPr>
              <w:t>3</w:t>
            </w:r>
            <w:r w:rsidRPr="00FD2B1A">
              <w:rPr>
                <w:sz w:val="16"/>
                <w:szCs w:val="16"/>
              </w:rPr>
              <w:t>,</w:t>
            </w:r>
            <w:r w:rsidR="00335F58">
              <w:rPr>
                <w:sz w:val="16"/>
                <w:szCs w:val="16"/>
              </w:rPr>
              <w:t>410</w:t>
            </w:r>
          </w:p>
        </w:tc>
      </w:tr>
      <w:tr w:rsidR="00742C21" w:rsidRPr="006F6856" w14:paraId="6949A5E0" w14:textId="77777777" w:rsidTr="007E082B">
        <w:tc>
          <w:tcPr>
            <w:tcW w:w="1093" w:type="dxa"/>
            <w:vMerge/>
          </w:tcPr>
          <w:p w14:paraId="402BD606" w14:textId="28934A1D" w:rsidR="00332DF7" w:rsidRPr="00033F91" w:rsidRDefault="00332DF7" w:rsidP="00332DF7">
            <w:pPr>
              <w:ind w:left="0"/>
              <w:rPr>
                <w:sz w:val="16"/>
                <w:szCs w:val="16"/>
              </w:rPr>
            </w:pPr>
          </w:p>
        </w:tc>
        <w:tc>
          <w:tcPr>
            <w:tcW w:w="882" w:type="dxa"/>
            <w:vMerge/>
          </w:tcPr>
          <w:p w14:paraId="6CBE6AAF" w14:textId="77777777" w:rsidR="00332DF7" w:rsidRPr="00033F91" w:rsidRDefault="00332DF7" w:rsidP="00332DF7">
            <w:pPr>
              <w:ind w:left="0"/>
              <w:rPr>
                <w:sz w:val="16"/>
                <w:szCs w:val="16"/>
              </w:rPr>
            </w:pPr>
          </w:p>
        </w:tc>
        <w:tc>
          <w:tcPr>
            <w:tcW w:w="1350" w:type="dxa"/>
            <w:vAlign w:val="center"/>
          </w:tcPr>
          <w:p w14:paraId="600FB8DA" w14:textId="049D97A1" w:rsidR="00332DF7" w:rsidRPr="00033F91" w:rsidRDefault="00332DF7" w:rsidP="00332DF7">
            <w:pPr>
              <w:ind w:left="0"/>
              <w:rPr>
                <w:sz w:val="16"/>
                <w:szCs w:val="16"/>
              </w:rPr>
            </w:pPr>
            <w:r w:rsidRPr="00033F91">
              <w:rPr>
                <w:sz w:val="16"/>
                <w:szCs w:val="16"/>
              </w:rPr>
              <w:t xml:space="preserve">SHD </w:t>
            </w:r>
            <w:r w:rsidR="00417E9E">
              <w:rPr>
                <w:sz w:val="16"/>
                <w:szCs w:val="16"/>
              </w:rPr>
              <w:t>sub-awardees</w:t>
            </w:r>
            <w:r w:rsidRPr="00033F91">
              <w:rPr>
                <w:sz w:val="16"/>
                <w:szCs w:val="16"/>
              </w:rPr>
              <w:t xml:space="preserve">: </w:t>
            </w:r>
            <w:r w:rsidRPr="00033F91">
              <w:rPr>
                <w:sz w:val="16"/>
                <w:szCs w:val="16"/>
              </w:rPr>
              <w:lastRenderedPageBreak/>
              <w:t>public academic institutions</w:t>
            </w:r>
          </w:p>
        </w:tc>
        <w:tc>
          <w:tcPr>
            <w:tcW w:w="1170" w:type="dxa"/>
            <w:vAlign w:val="center"/>
          </w:tcPr>
          <w:p w14:paraId="56337802" w14:textId="349FFA92" w:rsidR="00332DF7" w:rsidRPr="00033F91" w:rsidRDefault="00332DF7" w:rsidP="00332DF7">
            <w:pPr>
              <w:ind w:left="0"/>
              <w:jc w:val="center"/>
              <w:rPr>
                <w:sz w:val="16"/>
                <w:szCs w:val="16"/>
              </w:rPr>
            </w:pPr>
            <w:r w:rsidRPr="00033F91">
              <w:rPr>
                <w:sz w:val="16"/>
                <w:szCs w:val="16"/>
              </w:rPr>
              <w:lastRenderedPageBreak/>
              <w:t>52</w:t>
            </w:r>
          </w:p>
        </w:tc>
        <w:tc>
          <w:tcPr>
            <w:tcW w:w="1168" w:type="dxa"/>
            <w:vAlign w:val="center"/>
          </w:tcPr>
          <w:p w14:paraId="0F8FC563" w14:textId="670BD8CC" w:rsidR="00332DF7" w:rsidRPr="00FD2B1A" w:rsidRDefault="00332DF7" w:rsidP="00332DF7">
            <w:pPr>
              <w:ind w:left="0"/>
              <w:jc w:val="center"/>
              <w:rPr>
                <w:sz w:val="16"/>
                <w:szCs w:val="16"/>
              </w:rPr>
            </w:pPr>
            <w:r w:rsidRPr="00FD2B1A">
              <w:rPr>
                <w:sz w:val="16"/>
                <w:szCs w:val="16"/>
              </w:rPr>
              <w:t>1</w:t>
            </w:r>
          </w:p>
        </w:tc>
        <w:tc>
          <w:tcPr>
            <w:tcW w:w="904" w:type="dxa"/>
            <w:vAlign w:val="center"/>
          </w:tcPr>
          <w:p w14:paraId="19942695" w14:textId="4C890956" w:rsidR="00332DF7" w:rsidRPr="00FD2B1A" w:rsidRDefault="00332DF7" w:rsidP="00332DF7">
            <w:pPr>
              <w:ind w:left="0"/>
              <w:jc w:val="center"/>
              <w:rPr>
                <w:sz w:val="16"/>
                <w:szCs w:val="16"/>
              </w:rPr>
            </w:pPr>
            <w:r w:rsidRPr="00FD2B1A">
              <w:rPr>
                <w:sz w:val="16"/>
                <w:szCs w:val="16"/>
              </w:rPr>
              <w:t>40/60</w:t>
            </w:r>
          </w:p>
        </w:tc>
        <w:tc>
          <w:tcPr>
            <w:tcW w:w="749" w:type="dxa"/>
            <w:vAlign w:val="center"/>
          </w:tcPr>
          <w:p w14:paraId="6398DDC5" w14:textId="3E205C4D" w:rsidR="00332DF7" w:rsidRPr="00FD2B1A" w:rsidRDefault="00332DF7" w:rsidP="00332DF7">
            <w:pPr>
              <w:ind w:left="0"/>
              <w:jc w:val="center"/>
              <w:rPr>
                <w:sz w:val="16"/>
                <w:szCs w:val="16"/>
              </w:rPr>
            </w:pPr>
            <w:r w:rsidRPr="00FD2B1A">
              <w:rPr>
                <w:sz w:val="16"/>
                <w:szCs w:val="16"/>
              </w:rPr>
              <w:t>35</w:t>
            </w:r>
          </w:p>
        </w:tc>
        <w:tc>
          <w:tcPr>
            <w:tcW w:w="709" w:type="dxa"/>
            <w:vAlign w:val="center"/>
          </w:tcPr>
          <w:p w14:paraId="7A80BEE1" w14:textId="653B6FA6" w:rsidR="00332DF7" w:rsidRPr="00FD2B1A" w:rsidRDefault="00332DF7" w:rsidP="00332DF7">
            <w:pPr>
              <w:ind w:left="0"/>
              <w:jc w:val="center"/>
              <w:rPr>
                <w:sz w:val="16"/>
                <w:szCs w:val="16"/>
              </w:rPr>
            </w:pPr>
            <w:r w:rsidRPr="00FD2B1A">
              <w:rPr>
                <w:sz w:val="16"/>
                <w:szCs w:val="16"/>
              </w:rPr>
              <w:t>$</w:t>
            </w:r>
            <w:r w:rsidRPr="00332DF7">
              <w:rPr>
                <w:sz w:val="16"/>
                <w:szCs w:val="16"/>
              </w:rPr>
              <w:t>50.99</w:t>
            </w:r>
          </w:p>
        </w:tc>
        <w:tc>
          <w:tcPr>
            <w:tcW w:w="1325" w:type="dxa"/>
            <w:vAlign w:val="center"/>
          </w:tcPr>
          <w:p w14:paraId="3827C8A8" w14:textId="44F6C955" w:rsidR="00332DF7" w:rsidRPr="00FD2B1A" w:rsidRDefault="00332DF7" w:rsidP="00335F58">
            <w:pPr>
              <w:ind w:left="0"/>
              <w:jc w:val="center"/>
              <w:rPr>
                <w:sz w:val="16"/>
                <w:szCs w:val="16"/>
              </w:rPr>
            </w:pPr>
            <w:r w:rsidRPr="00FD2B1A">
              <w:rPr>
                <w:sz w:val="16"/>
                <w:szCs w:val="16"/>
              </w:rPr>
              <w:t>$1,</w:t>
            </w:r>
            <w:r w:rsidR="00335F58">
              <w:rPr>
                <w:sz w:val="16"/>
                <w:szCs w:val="16"/>
              </w:rPr>
              <w:t>785</w:t>
            </w:r>
          </w:p>
        </w:tc>
      </w:tr>
      <w:tr w:rsidR="00742C21" w:rsidRPr="006F6856" w14:paraId="33FE5BF4" w14:textId="77777777" w:rsidTr="007E082B">
        <w:tc>
          <w:tcPr>
            <w:tcW w:w="1093" w:type="dxa"/>
            <w:vMerge/>
          </w:tcPr>
          <w:p w14:paraId="4A0C46E5" w14:textId="77777777" w:rsidR="00332DF7" w:rsidRPr="00033F91" w:rsidRDefault="00332DF7" w:rsidP="00332DF7">
            <w:pPr>
              <w:ind w:left="0"/>
              <w:rPr>
                <w:sz w:val="16"/>
                <w:szCs w:val="16"/>
              </w:rPr>
            </w:pPr>
          </w:p>
        </w:tc>
        <w:tc>
          <w:tcPr>
            <w:tcW w:w="882" w:type="dxa"/>
            <w:vMerge/>
          </w:tcPr>
          <w:p w14:paraId="54089A9A" w14:textId="77777777" w:rsidR="00332DF7" w:rsidRPr="00033F91" w:rsidRDefault="00332DF7" w:rsidP="00332DF7">
            <w:pPr>
              <w:ind w:left="0"/>
              <w:rPr>
                <w:sz w:val="16"/>
                <w:szCs w:val="16"/>
              </w:rPr>
            </w:pPr>
          </w:p>
        </w:tc>
        <w:tc>
          <w:tcPr>
            <w:tcW w:w="1350" w:type="dxa"/>
            <w:vAlign w:val="center"/>
          </w:tcPr>
          <w:p w14:paraId="691FF6DC" w14:textId="7E4C8BD6" w:rsidR="00332DF7" w:rsidRPr="00033F91" w:rsidRDefault="00332DF7" w:rsidP="00417E9E">
            <w:pPr>
              <w:ind w:left="0"/>
              <w:rPr>
                <w:sz w:val="16"/>
                <w:szCs w:val="16"/>
              </w:rPr>
            </w:pPr>
            <w:r w:rsidRPr="00033F91">
              <w:rPr>
                <w:sz w:val="16"/>
                <w:szCs w:val="16"/>
              </w:rPr>
              <w:t xml:space="preserve">SHD </w:t>
            </w:r>
            <w:r w:rsidR="00417E9E">
              <w:rPr>
                <w:sz w:val="16"/>
                <w:szCs w:val="16"/>
              </w:rPr>
              <w:t>sub-awardees</w:t>
            </w:r>
            <w:r w:rsidRPr="00033F91">
              <w:rPr>
                <w:sz w:val="16"/>
                <w:szCs w:val="16"/>
              </w:rPr>
              <w:t>: private organizations</w:t>
            </w:r>
          </w:p>
        </w:tc>
        <w:tc>
          <w:tcPr>
            <w:tcW w:w="1170" w:type="dxa"/>
            <w:vAlign w:val="center"/>
          </w:tcPr>
          <w:p w14:paraId="0A4E4BDD" w14:textId="785C87C8" w:rsidR="00332DF7" w:rsidRPr="00033F91" w:rsidRDefault="00332DF7" w:rsidP="00332DF7">
            <w:pPr>
              <w:ind w:left="0"/>
              <w:jc w:val="center"/>
              <w:rPr>
                <w:sz w:val="16"/>
                <w:szCs w:val="16"/>
              </w:rPr>
            </w:pPr>
            <w:r w:rsidRPr="00033F91">
              <w:rPr>
                <w:sz w:val="16"/>
                <w:szCs w:val="16"/>
              </w:rPr>
              <w:t>16</w:t>
            </w:r>
          </w:p>
        </w:tc>
        <w:tc>
          <w:tcPr>
            <w:tcW w:w="1168" w:type="dxa"/>
            <w:vAlign w:val="center"/>
          </w:tcPr>
          <w:p w14:paraId="78C10D03" w14:textId="4227551C" w:rsidR="00332DF7" w:rsidRPr="00FD2B1A" w:rsidRDefault="00332DF7" w:rsidP="00332DF7">
            <w:pPr>
              <w:ind w:left="0"/>
              <w:jc w:val="center"/>
              <w:rPr>
                <w:sz w:val="16"/>
                <w:szCs w:val="16"/>
              </w:rPr>
            </w:pPr>
            <w:r w:rsidRPr="00FD2B1A">
              <w:rPr>
                <w:sz w:val="16"/>
                <w:szCs w:val="16"/>
              </w:rPr>
              <w:t>1</w:t>
            </w:r>
          </w:p>
        </w:tc>
        <w:tc>
          <w:tcPr>
            <w:tcW w:w="904" w:type="dxa"/>
            <w:vAlign w:val="center"/>
          </w:tcPr>
          <w:p w14:paraId="211D20FB" w14:textId="79F8DC86" w:rsidR="00332DF7" w:rsidRPr="00FD2B1A" w:rsidRDefault="00332DF7" w:rsidP="00332DF7">
            <w:pPr>
              <w:ind w:left="0"/>
              <w:jc w:val="center"/>
              <w:rPr>
                <w:sz w:val="16"/>
                <w:szCs w:val="16"/>
              </w:rPr>
            </w:pPr>
            <w:r w:rsidRPr="00FD2B1A">
              <w:rPr>
                <w:sz w:val="16"/>
                <w:szCs w:val="16"/>
              </w:rPr>
              <w:t>40/60</w:t>
            </w:r>
          </w:p>
        </w:tc>
        <w:tc>
          <w:tcPr>
            <w:tcW w:w="749" w:type="dxa"/>
            <w:vAlign w:val="center"/>
          </w:tcPr>
          <w:p w14:paraId="7586FE71" w14:textId="7A81C192" w:rsidR="00332DF7" w:rsidRPr="00FD2B1A" w:rsidRDefault="00332DF7" w:rsidP="00332DF7">
            <w:pPr>
              <w:ind w:left="0"/>
              <w:jc w:val="center"/>
              <w:rPr>
                <w:sz w:val="16"/>
                <w:szCs w:val="16"/>
              </w:rPr>
            </w:pPr>
            <w:r w:rsidRPr="00FD2B1A">
              <w:rPr>
                <w:sz w:val="16"/>
                <w:szCs w:val="16"/>
              </w:rPr>
              <w:t>11</w:t>
            </w:r>
          </w:p>
        </w:tc>
        <w:tc>
          <w:tcPr>
            <w:tcW w:w="709" w:type="dxa"/>
            <w:vAlign w:val="center"/>
          </w:tcPr>
          <w:p w14:paraId="56DC3D45" w14:textId="43EDFD57" w:rsidR="00332DF7" w:rsidRPr="00FD2B1A" w:rsidRDefault="00332DF7" w:rsidP="00332DF7">
            <w:pPr>
              <w:ind w:left="0"/>
              <w:jc w:val="center"/>
              <w:rPr>
                <w:sz w:val="16"/>
                <w:szCs w:val="16"/>
              </w:rPr>
            </w:pPr>
            <w:r w:rsidRPr="00FD2B1A">
              <w:rPr>
                <w:sz w:val="16"/>
                <w:szCs w:val="16"/>
              </w:rPr>
              <w:t>$</w:t>
            </w:r>
            <w:r w:rsidRPr="00332DF7">
              <w:rPr>
                <w:sz w:val="16"/>
                <w:szCs w:val="16"/>
              </w:rPr>
              <w:t>50.99</w:t>
            </w:r>
          </w:p>
        </w:tc>
        <w:tc>
          <w:tcPr>
            <w:tcW w:w="1325" w:type="dxa"/>
            <w:vAlign w:val="center"/>
          </w:tcPr>
          <w:p w14:paraId="5A276299" w14:textId="0F119152" w:rsidR="00332DF7" w:rsidRPr="00FD2B1A" w:rsidRDefault="00332DF7" w:rsidP="00335F58">
            <w:pPr>
              <w:ind w:left="0"/>
              <w:jc w:val="center"/>
              <w:rPr>
                <w:sz w:val="16"/>
                <w:szCs w:val="16"/>
              </w:rPr>
            </w:pPr>
            <w:r w:rsidRPr="00FD2B1A">
              <w:rPr>
                <w:sz w:val="16"/>
                <w:szCs w:val="16"/>
              </w:rPr>
              <w:t>$</w:t>
            </w:r>
            <w:r w:rsidR="00335F58">
              <w:rPr>
                <w:sz w:val="16"/>
                <w:szCs w:val="16"/>
              </w:rPr>
              <w:t>561</w:t>
            </w:r>
          </w:p>
        </w:tc>
      </w:tr>
      <w:tr w:rsidR="00742C21" w:rsidRPr="006F6856" w14:paraId="00A4EB80" w14:textId="77777777" w:rsidTr="007E082B">
        <w:tc>
          <w:tcPr>
            <w:tcW w:w="1093" w:type="dxa"/>
            <w:vMerge/>
          </w:tcPr>
          <w:p w14:paraId="19628711" w14:textId="77777777" w:rsidR="00332DF7" w:rsidRPr="00033F91" w:rsidRDefault="00332DF7" w:rsidP="00332DF7">
            <w:pPr>
              <w:ind w:left="0"/>
              <w:rPr>
                <w:sz w:val="16"/>
                <w:szCs w:val="16"/>
              </w:rPr>
            </w:pPr>
          </w:p>
        </w:tc>
        <w:tc>
          <w:tcPr>
            <w:tcW w:w="882" w:type="dxa"/>
            <w:vMerge/>
          </w:tcPr>
          <w:p w14:paraId="73E45EA8" w14:textId="77777777" w:rsidR="00332DF7" w:rsidRPr="00033F91" w:rsidRDefault="00332DF7" w:rsidP="00332DF7">
            <w:pPr>
              <w:ind w:left="0"/>
              <w:rPr>
                <w:sz w:val="16"/>
                <w:szCs w:val="16"/>
              </w:rPr>
            </w:pPr>
          </w:p>
        </w:tc>
        <w:tc>
          <w:tcPr>
            <w:tcW w:w="1350" w:type="dxa"/>
            <w:vAlign w:val="center"/>
          </w:tcPr>
          <w:p w14:paraId="1B1037D0" w14:textId="5F4CA6BA" w:rsidR="00332DF7" w:rsidRPr="00033F91" w:rsidRDefault="00332DF7" w:rsidP="00332DF7">
            <w:pPr>
              <w:ind w:left="0"/>
              <w:rPr>
                <w:sz w:val="16"/>
                <w:szCs w:val="16"/>
              </w:rPr>
            </w:pPr>
            <w:r w:rsidRPr="00033F91">
              <w:rPr>
                <w:sz w:val="16"/>
                <w:szCs w:val="16"/>
              </w:rPr>
              <w:t xml:space="preserve">SHD </w:t>
            </w:r>
            <w:r w:rsidR="00417E9E">
              <w:rPr>
                <w:sz w:val="16"/>
                <w:szCs w:val="16"/>
              </w:rPr>
              <w:t>sub-awardees</w:t>
            </w:r>
            <w:r w:rsidRPr="00033F91">
              <w:rPr>
                <w:sz w:val="16"/>
                <w:szCs w:val="16"/>
              </w:rPr>
              <w:t>: local health departments</w:t>
            </w:r>
          </w:p>
        </w:tc>
        <w:tc>
          <w:tcPr>
            <w:tcW w:w="1170" w:type="dxa"/>
            <w:vAlign w:val="center"/>
          </w:tcPr>
          <w:p w14:paraId="5839E5E0" w14:textId="10D1EE35" w:rsidR="00332DF7" w:rsidRPr="00033F91" w:rsidRDefault="00332DF7" w:rsidP="00332DF7">
            <w:pPr>
              <w:ind w:left="0"/>
              <w:jc w:val="center"/>
              <w:rPr>
                <w:sz w:val="16"/>
                <w:szCs w:val="16"/>
              </w:rPr>
            </w:pPr>
            <w:r w:rsidRPr="00033F91">
              <w:rPr>
                <w:sz w:val="16"/>
                <w:szCs w:val="16"/>
              </w:rPr>
              <w:t>6</w:t>
            </w:r>
          </w:p>
        </w:tc>
        <w:tc>
          <w:tcPr>
            <w:tcW w:w="1168" w:type="dxa"/>
            <w:vAlign w:val="center"/>
          </w:tcPr>
          <w:p w14:paraId="4034AEDF" w14:textId="00FBDB70" w:rsidR="00332DF7" w:rsidRPr="00FD2B1A" w:rsidRDefault="00332DF7" w:rsidP="00332DF7">
            <w:pPr>
              <w:ind w:left="0"/>
              <w:jc w:val="center"/>
              <w:rPr>
                <w:sz w:val="16"/>
                <w:szCs w:val="16"/>
              </w:rPr>
            </w:pPr>
            <w:r w:rsidRPr="00FD2B1A">
              <w:rPr>
                <w:sz w:val="16"/>
                <w:szCs w:val="16"/>
              </w:rPr>
              <w:t>1</w:t>
            </w:r>
          </w:p>
        </w:tc>
        <w:tc>
          <w:tcPr>
            <w:tcW w:w="904" w:type="dxa"/>
            <w:vAlign w:val="center"/>
          </w:tcPr>
          <w:p w14:paraId="40257B73" w14:textId="591E07CA" w:rsidR="00332DF7" w:rsidRPr="00FD2B1A" w:rsidRDefault="00332DF7" w:rsidP="00332DF7">
            <w:pPr>
              <w:ind w:left="0"/>
              <w:jc w:val="center"/>
              <w:rPr>
                <w:sz w:val="16"/>
                <w:szCs w:val="16"/>
              </w:rPr>
            </w:pPr>
            <w:r w:rsidRPr="00FD2B1A">
              <w:rPr>
                <w:sz w:val="16"/>
                <w:szCs w:val="16"/>
              </w:rPr>
              <w:t>40/60</w:t>
            </w:r>
          </w:p>
        </w:tc>
        <w:tc>
          <w:tcPr>
            <w:tcW w:w="749" w:type="dxa"/>
            <w:vAlign w:val="center"/>
          </w:tcPr>
          <w:p w14:paraId="78FDCDD4" w14:textId="5EEC08CE" w:rsidR="00332DF7" w:rsidRPr="00FD2B1A" w:rsidRDefault="00332DF7" w:rsidP="00332DF7">
            <w:pPr>
              <w:ind w:left="0"/>
              <w:jc w:val="center"/>
              <w:rPr>
                <w:sz w:val="16"/>
                <w:szCs w:val="16"/>
              </w:rPr>
            </w:pPr>
            <w:r w:rsidRPr="00FD2B1A">
              <w:rPr>
                <w:sz w:val="16"/>
                <w:szCs w:val="16"/>
              </w:rPr>
              <w:t>4</w:t>
            </w:r>
          </w:p>
        </w:tc>
        <w:tc>
          <w:tcPr>
            <w:tcW w:w="709" w:type="dxa"/>
            <w:vAlign w:val="center"/>
          </w:tcPr>
          <w:p w14:paraId="3BCE432A" w14:textId="16E1EE57" w:rsidR="00332DF7" w:rsidRPr="00FD2B1A" w:rsidRDefault="00332DF7" w:rsidP="00332DF7">
            <w:pPr>
              <w:ind w:left="0"/>
              <w:jc w:val="center"/>
              <w:rPr>
                <w:sz w:val="16"/>
                <w:szCs w:val="16"/>
              </w:rPr>
            </w:pPr>
            <w:r w:rsidRPr="00FD2B1A">
              <w:rPr>
                <w:sz w:val="16"/>
                <w:szCs w:val="16"/>
              </w:rPr>
              <w:t>$</w:t>
            </w:r>
            <w:r w:rsidRPr="00332DF7">
              <w:rPr>
                <w:sz w:val="16"/>
                <w:szCs w:val="16"/>
              </w:rPr>
              <w:t>50.99</w:t>
            </w:r>
          </w:p>
        </w:tc>
        <w:tc>
          <w:tcPr>
            <w:tcW w:w="1325" w:type="dxa"/>
            <w:vAlign w:val="center"/>
          </w:tcPr>
          <w:p w14:paraId="72F3738D" w14:textId="257F59A5" w:rsidR="00332DF7" w:rsidRPr="00FD2B1A" w:rsidRDefault="00332DF7" w:rsidP="00335F58">
            <w:pPr>
              <w:ind w:left="0"/>
              <w:jc w:val="center"/>
              <w:rPr>
                <w:sz w:val="16"/>
                <w:szCs w:val="16"/>
              </w:rPr>
            </w:pPr>
            <w:r w:rsidRPr="00FD2B1A">
              <w:rPr>
                <w:sz w:val="16"/>
                <w:szCs w:val="16"/>
              </w:rPr>
              <w:t>$</w:t>
            </w:r>
            <w:r w:rsidR="00335F58">
              <w:rPr>
                <w:sz w:val="16"/>
                <w:szCs w:val="16"/>
              </w:rPr>
              <w:t>204</w:t>
            </w:r>
          </w:p>
        </w:tc>
      </w:tr>
      <w:tr w:rsidR="00742C21" w:rsidRPr="006F6856" w14:paraId="364C7773" w14:textId="77777777" w:rsidTr="007E082B">
        <w:tc>
          <w:tcPr>
            <w:tcW w:w="1093" w:type="dxa"/>
            <w:vMerge/>
          </w:tcPr>
          <w:p w14:paraId="3018E168" w14:textId="77777777" w:rsidR="00332DF7" w:rsidRPr="00033F91" w:rsidRDefault="00332DF7" w:rsidP="00332DF7">
            <w:pPr>
              <w:ind w:left="0"/>
              <w:rPr>
                <w:sz w:val="16"/>
                <w:szCs w:val="16"/>
              </w:rPr>
            </w:pPr>
          </w:p>
        </w:tc>
        <w:tc>
          <w:tcPr>
            <w:tcW w:w="882" w:type="dxa"/>
            <w:vMerge w:val="restart"/>
            <w:vAlign w:val="center"/>
          </w:tcPr>
          <w:p w14:paraId="2D081099" w14:textId="73D13ED5" w:rsidR="00332DF7" w:rsidRPr="00033F91" w:rsidRDefault="00332DF7" w:rsidP="00332DF7">
            <w:pPr>
              <w:ind w:left="0"/>
              <w:jc w:val="center"/>
              <w:rPr>
                <w:sz w:val="16"/>
                <w:szCs w:val="16"/>
              </w:rPr>
            </w:pPr>
            <w:r w:rsidRPr="00033F91">
              <w:rPr>
                <w:sz w:val="16"/>
                <w:szCs w:val="16"/>
              </w:rPr>
              <w:t>U.S. Territory</w:t>
            </w:r>
          </w:p>
        </w:tc>
        <w:tc>
          <w:tcPr>
            <w:tcW w:w="1350" w:type="dxa"/>
            <w:vAlign w:val="center"/>
          </w:tcPr>
          <w:p w14:paraId="458C2E92" w14:textId="4F4CE69A" w:rsidR="00332DF7" w:rsidRPr="00033F91" w:rsidRDefault="00332DF7" w:rsidP="00332DF7">
            <w:pPr>
              <w:ind w:left="0"/>
              <w:rPr>
                <w:sz w:val="16"/>
                <w:szCs w:val="16"/>
              </w:rPr>
            </w:pPr>
            <w:r w:rsidRPr="00033F91">
              <w:rPr>
                <w:sz w:val="16"/>
                <w:szCs w:val="16"/>
              </w:rPr>
              <w:t>SV program managers in Territorial health departments (THD)</w:t>
            </w:r>
          </w:p>
        </w:tc>
        <w:tc>
          <w:tcPr>
            <w:tcW w:w="1170" w:type="dxa"/>
            <w:vAlign w:val="center"/>
          </w:tcPr>
          <w:p w14:paraId="2DE35E13" w14:textId="4868F0DB" w:rsidR="00332DF7" w:rsidRPr="00033F91" w:rsidRDefault="00332DF7" w:rsidP="00332DF7">
            <w:pPr>
              <w:ind w:left="0"/>
              <w:jc w:val="center"/>
              <w:rPr>
                <w:sz w:val="16"/>
                <w:szCs w:val="16"/>
              </w:rPr>
            </w:pPr>
            <w:r w:rsidRPr="00033F91">
              <w:rPr>
                <w:sz w:val="16"/>
                <w:szCs w:val="16"/>
              </w:rPr>
              <w:t>4</w:t>
            </w:r>
          </w:p>
        </w:tc>
        <w:tc>
          <w:tcPr>
            <w:tcW w:w="1168" w:type="dxa"/>
            <w:vAlign w:val="center"/>
          </w:tcPr>
          <w:p w14:paraId="069CB9E0" w14:textId="0DEEB465" w:rsidR="00332DF7" w:rsidRPr="00FD2B1A" w:rsidRDefault="00FB658D" w:rsidP="00332DF7">
            <w:pPr>
              <w:ind w:left="0"/>
              <w:jc w:val="center"/>
              <w:rPr>
                <w:sz w:val="16"/>
                <w:szCs w:val="16"/>
              </w:rPr>
            </w:pPr>
            <w:r>
              <w:rPr>
                <w:sz w:val="16"/>
                <w:szCs w:val="16"/>
              </w:rPr>
              <w:t>3</w:t>
            </w:r>
          </w:p>
        </w:tc>
        <w:tc>
          <w:tcPr>
            <w:tcW w:w="904" w:type="dxa"/>
            <w:vAlign w:val="center"/>
          </w:tcPr>
          <w:p w14:paraId="459377FA" w14:textId="4B106A54" w:rsidR="00332DF7" w:rsidRPr="00FD2B1A" w:rsidRDefault="00332DF7" w:rsidP="00332DF7">
            <w:pPr>
              <w:ind w:left="0"/>
              <w:jc w:val="center"/>
              <w:rPr>
                <w:sz w:val="16"/>
                <w:szCs w:val="16"/>
              </w:rPr>
            </w:pPr>
            <w:r w:rsidRPr="00FD2B1A">
              <w:rPr>
                <w:sz w:val="16"/>
                <w:szCs w:val="16"/>
              </w:rPr>
              <w:t>40/60</w:t>
            </w:r>
          </w:p>
        </w:tc>
        <w:tc>
          <w:tcPr>
            <w:tcW w:w="749" w:type="dxa"/>
            <w:vAlign w:val="center"/>
          </w:tcPr>
          <w:p w14:paraId="456E951A" w14:textId="198B3393" w:rsidR="00332DF7" w:rsidRPr="00FD2B1A" w:rsidRDefault="00FB658D" w:rsidP="00332DF7">
            <w:pPr>
              <w:ind w:left="0"/>
              <w:jc w:val="center"/>
              <w:rPr>
                <w:sz w:val="16"/>
                <w:szCs w:val="16"/>
              </w:rPr>
            </w:pPr>
            <w:r>
              <w:rPr>
                <w:sz w:val="16"/>
                <w:szCs w:val="16"/>
              </w:rPr>
              <w:t>8</w:t>
            </w:r>
          </w:p>
        </w:tc>
        <w:tc>
          <w:tcPr>
            <w:tcW w:w="709" w:type="dxa"/>
            <w:vAlign w:val="center"/>
          </w:tcPr>
          <w:p w14:paraId="3E5AD3C6" w14:textId="1D7D0830" w:rsidR="00332DF7" w:rsidRPr="00FD2B1A" w:rsidRDefault="00332DF7" w:rsidP="00332DF7">
            <w:pPr>
              <w:ind w:left="0"/>
              <w:jc w:val="center"/>
              <w:rPr>
                <w:sz w:val="16"/>
                <w:szCs w:val="16"/>
              </w:rPr>
            </w:pPr>
            <w:r w:rsidRPr="00FD2B1A">
              <w:rPr>
                <w:sz w:val="16"/>
                <w:szCs w:val="16"/>
              </w:rPr>
              <w:t>$</w:t>
            </w:r>
            <w:r w:rsidRPr="00332DF7">
              <w:rPr>
                <w:sz w:val="16"/>
                <w:szCs w:val="16"/>
              </w:rPr>
              <w:t>50.99</w:t>
            </w:r>
          </w:p>
        </w:tc>
        <w:tc>
          <w:tcPr>
            <w:tcW w:w="1325" w:type="dxa"/>
            <w:vAlign w:val="center"/>
          </w:tcPr>
          <w:p w14:paraId="3D7B17CA" w14:textId="02F79143" w:rsidR="00332DF7" w:rsidRPr="00FD2B1A" w:rsidRDefault="00332DF7" w:rsidP="00335F58">
            <w:pPr>
              <w:ind w:left="0"/>
              <w:jc w:val="center"/>
              <w:rPr>
                <w:sz w:val="16"/>
                <w:szCs w:val="16"/>
              </w:rPr>
            </w:pPr>
            <w:r w:rsidRPr="00FD2B1A">
              <w:rPr>
                <w:sz w:val="16"/>
                <w:szCs w:val="16"/>
              </w:rPr>
              <w:t>$</w:t>
            </w:r>
            <w:r w:rsidR="00FB658D">
              <w:rPr>
                <w:sz w:val="16"/>
                <w:szCs w:val="16"/>
              </w:rPr>
              <w:t>408</w:t>
            </w:r>
          </w:p>
        </w:tc>
      </w:tr>
      <w:tr w:rsidR="00742C21" w:rsidRPr="006F6856" w14:paraId="74973654" w14:textId="77777777" w:rsidTr="007E082B">
        <w:tc>
          <w:tcPr>
            <w:tcW w:w="1093" w:type="dxa"/>
            <w:vMerge/>
          </w:tcPr>
          <w:p w14:paraId="6DEF7DAD" w14:textId="77777777" w:rsidR="00332DF7" w:rsidRPr="00033F91" w:rsidRDefault="00332DF7" w:rsidP="00332DF7">
            <w:pPr>
              <w:ind w:left="0"/>
              <w:rPr>
                <w:sz w:val="16"/>
                <w:szCs w:val="16"/>
              </w:rPr>
            </w:pPr>
          </w:p>
        </w:tc>
        <w:tc>
          <w:tcPr>
            <w:tcW w:w="882" w:type="dxa"/>
            <w:vMerge/>
          </w:tcPr>
          <w:p w14:paraId="17B554A1" w14:textId="77777777" w:rsidR="00332DF7" w:rsidRPr="00033F91" w:rsidRDefault="00332DF7" w:rsidP="00332DF7">
            <w:pPr>
              <w:ind w:left="0"/>
              <w:rPr>
                <w:sz w:val="16"/>
                <w:szCs w:val="16"/>
              </w:rPr>
            </w:pPr>
          </w:p>
        </w:tc>
        <w:tc>
          <w:tcPr>
            <w:tcW w:w="1350" w:type="dxa"/>
            <w:vAlign w:val="center"/>
          </w:tcPr>
          <w:p w14:paraId="227C64DB" w14:textId="0F6A27A4" w:rsidR="00332DF7" w:rsidRPr="00033F91" w:rsidRDefault="00332DF7" w:rsidP="00332DF7">
            <w:pPr>
              <w:ind w:left="0"/>
              <w:rPr>
                <w:sz w:val="16"/>
                <w:szCs w:val="16"/>
              </w:rPr>
            </w:pPr>
            <w:r w:rsidRPr="00033F91">
              <w:rPr>
                <w:sz w:val="16"/>
                <w:szCs w:val="16"/>
              </w:rPr>
              <w:t xml:space="preserve">THD </w:t>
            </w:r>
            <w:r w:rsidR="00417E9E">
              <w:rPr>
                <w:sz w:val="16"/>
                <w:szCs w:val="16"/>
              </w:rPr>
              <w:t>sub-awardees</w:t>
            </w:r>
            <w:r w:rsidRPr="00033F91">
              <w:rPr>
                <w:sz w:val="16"/>
                <w:szCs w:val="16"/>
              </w:rPr>
              <w:t>: non-profit organizations</w:t>
            </w:r>
          </w:p>
        </w:tc>
        <w:tc>
          <w:tcPr>
            <w:tcW w:w="1170" w:type="dxa"/>
            <w:vAlign w:val="center"/>
          </w:tcPr>
          <w:p w14:paraId="1935DA29" w14:textId="60AC261E" w:rsidR="00332DF7" w:rsidRPr="00033F91" w:rsidRDefault="00332DF7" w:rsidP="00332DF7">
            <w:pPr>
              <w:ind w:left="0"/>
              <w:jc w:val="center"/>
              <w:rPr>
                <w:sz w:val="16"/>
                <w:szCs w:val="16"/>
              </w:rPr>
            </w:pPr>
            <w:r w:rsidRPr="00033F91">
              <w:rPr>
                <w:sz w:val="16"/>
                <w:szCs w:val="16"/>
              </w:rPr>
              <w:t>2</w:t>
            </w:r>
          </w:p>
        </w:tc>
        <w:tc>
          <w:tcPr>
            <w:tcW w:w="1168" w:type="dxa"/>
            <w:vAlign w:val="center"/>
          </w:tcPr>
          <w:p w14:paraId="41FF1E00" w14:textId="336FD976" w:rsidR="00332DF7" w:rsidRPr="00FD2B1A" w:rsidRDefault="00332DF7" w:rsidP="00332DF7">
            <w:pPr>
              <w:ind w:left="0"/>
              <w:jc w:val="center"/>
              <w:rPr>
                <w:sz w:val="16"/>
                <w:szCs w:val="16"/>
              </w:rPr>
            </w:pPr>
            <w:r w:rsidRPr="00FD2B1A">
              <w:rPr>
                <w:sz w:val="16"/>
                <w:szCs w:val="16"/>
              </w:rPr>
              <w:t>1</w:t>
            </w:r>
          </w:p>
        </w:tc>
        <w:tc>
          <w:tcPr>
            <w:tcW w:w="904" w:type="dxa"/>
            <w:vAlign w:val="center"/>
          </w:tcPr>
          <w:p w14:paraId="732ECE4C" w14:textId="64F64487" w:rsidR="00332DF7" w:rsidRPr="00FD2B1A" w:rsidRDefault="00332DF7" w:rsidP="00332DF7">
            <w:pPr>
              <w:ind w:left="0"/>
              <w:jc w:val="center"/>
              <w:rPr>
                <w:sz w:val="16"/>
                <w:szCs w:val="16"/>
              </w:rPr>
            </w:pPr>
            <w:r w:rsidRPr="00FD2B1A">
              <w:rPr>
                <w:sz w:val="16"/>
                <w:szCs w:val="16"/>
              </w:rPr>
              <w:t>40/60</w:t>
            </w:r>
          </w:p>
        </w:tc>
        <w:tc>
          <w:tcPr>
            <w:tcW w:w="749" w:type="dxa"/>
            <w:vAlign w:val="center"/>
          </w:tcPr>
          <w:p w14:paraId="65AD33D1" w14:textId="377D733B" w:rsidR="00332DF7" w:rsidRPr="00FD2B1A" w:rsidRDefault="00D03D33" w:rsidP="00332DF7">
            <w:pPr>
              <w:ind w:left="0"/>
              <w:jc w:val="center"/>
              <w:rPr>
                <w:sz w:val="16"/>
                <w:szCs w:val="16"/>
              </w:rPr>
            </w:pPr>
            <w:r>
              <w:rPr>
                <w:sz w:val="16"/>
                <w:szCs w:val="16"/>
              </w:rPr>
              <w:t>1</w:t>
            </w:r>
          </w:p>
        </w:tc>
        <w:tc>
          <w:tcPr>
            <w:tcW w:w="709" w:type="dxa"/>
            <w:vAlign w:val="center"/>
          </w:tcPr>
          <w:p w14:paraId="40A9BCA8" w14:textId="56E7158E" w:rsidR="00332DF7" w:rsidRPr="00FD2B1A" w:rsidRDefault="00332DF7" w:rsidP="00332DF7">
            <w:pPr>
              <w:ind w:left="0"/>
              <w:jc w:val="center"/>
              <w:rPr>
                <w:sz w:val="16"/>
                <w:szCs w:val="16"/>
              </w:rPr>
            </w:pPr>
            <w:r w:rsidRPr="00FD2B1A">
              <w:rPr>
                <w:sz w:val="16"/>
                <w:szCs w:val="16"/>
              </w:rPr>
              <w:t>$</w:t>
            </w:r>
            <w:r w:rsidRPr="00332DF7">
              <w:rPr>
                <w:sz w:val="16"/>
                <w:szCs w:val="16"/>
              </w:rPr>
              <w:t>50.99</w:t>
            </w:r>
          </w:p>
        </w:tc>
        <w:tc>
          <w:tcPr>
            <w:tcW w:w="1325" w:type="dxa"/>
            <w:vAlign w:val="center"/>
          </w:tcPr>
          <w:p w14:paraId="4AB749CE" w14:textId="01EA259D" w:rsidR="00332DF7" w:rsidRPr="00FD2B1A" w:rsidRDefault="00332DF7" w:rsidP="00335F58">
            <w:pPr>
              <w:ind w:left="0"/>
              <w:jc w:val="center"/>
              <w:rPr>
                <w:sz w:val="16"/>
                <w:szCs w:val="16"/>
              </w:rPr>
            </w:pPr>
            <w:r w:rsidRPr="00FD2B1A">
              <w:rPr>
                <w:sz w:val="16"/>
                <w:szCs w:val="16"/>
              </w:rPr>
              <w:t>$</w:t>
            </w:r>
            <w:r w:rsidR="00D03D33">
              <w:rPr>
                <w:sz w:val="16"/>
                <w:szCs w:val="16"/>
              </w:rPr>
              <w:t>51</w:t>
            </w:r>
          </w:p>
        </w:tc>
      </w:tr>
      <w:tr w:rsidR="00742C21" w:rsidRPr="006F6856" w14:paraId="376AA711" w14:textId="77777777" w:rsidTr="007E082B">
        <w:trPr>
          <w:trHeight w:hRule="exact" w:val="514"/>
        </w:trPr>
        <w:tc>
          <w:tcPr>
            <w:tcW w:w="1093" w:type="dxa"/>
          </w:tcPr>
          <w:p w14:paraId="59ADD0FE" w14:textId="77777777" w:rsidR="00FE2F85" w:rsidRPr="00033F91" w:rsidRDefault="00FE2F85" w:rsidP="00FE2F85">
            <w:pPr>
              <w:ind w:left="0"/>
              <w:rPr>
                <w:b/>
                <w:sz w:val="16"/>
                <w:szCs w:val="16"/>
              </w:rPr>
            </w:pPr>
          </w:p>
        </w:tc>
        <w:tc>
          <w:tcPr>
            <w:tcW w:w="882" w:type="dxa"/>
          </w:tcPr>
          <w:p w14:paraId="2391BFA5" w14:textId="77777777" w:rsidR="00FE2F85" w:rsidRPr="00033F91" w:rsidRDefault="00FE2F85" w:rsidP="00FE2F85">
            <w:pPr>
              <w:ind w:left="0"/>
              <w:rPr>
                <w:b/>
                <w:sz w:val="16"/>
                <w:szCs w:val="16"/>
              </w:rPr>
            </w:pPr>
          </w:p>
        </w:tc>
        <w:tc>
          <w:tcPr>
            <w:tcW w:w="1350" w:type="dxa"/>
            <w:vAlign w:val="center"/>
          </w:tcPr>
          <w:p w14:paraId="7C378E91" w14:textId="13D31322" w:rsidR="00FE2F85" w:rsidRPr="00033F91" w:rsidRDefault="00FE2F85" w:rsidP="00FE2F85">
            <w:pPr>
              <w:ind w:left="0"/>
              <w:rPr>
                <w:b/>
                <w:sz w:val="16"/>
                <w:szCs w:val="16"/>
              </w:rPr>
            </w:pPr>
            <w:r w:rsidRPr="00033F91">
              <w:rPr>
                <w:b/>
                <w:sz w:val="16"/>
                <w:szCs w:val="16"/>
              </w:rPr>
              <w:t>TOTALS</w:t>
            </w:r>
          </w:p>
        </w:tc>
        <w:tc>
          <w:tcPr>
            <w:tcW w:w="1170" w:type="dxa"/>
            <w:vAlign w:val="center"/>
          </w:tcPr>
          <w:p w14:paraId="7A6538E6" w14:textId="79284E66" w:rsidR="00FE2F85" w:rsidRPr="00033F91" w:rsidRDefault="00FE2F85" w:rsidP="00FE2F85">
            <w:pPr>
              <w:ind w:left="0"/>
              <w:jc w:val="center"/>
              <w:rPr>
                <w:b/>
                <w:sz w:val="16"/>
                <w:szCs w:val="16"/>
              </w:rPr>
            </w:pPr>
            <w:r w:rsidRPr="00033F91">
              <w:rPr>
                <w:b/>
                <w:sz w:val="16"/>
                <w:szCs w:val="16"/>
              </w:rPr>
              <w:t>525</w:t>
            </w:r>
          </w:p>
        </w:tc>
        <w:tc>
          <w:tcPr>
            <w:tcW w:w="1168" w:type="dxa"/>
            <w:shd w:val="clear" w:color="auto" w:fill="auto"/>
            <w:vAlign w:val="center"/>
          </w:tcPr>
          <w:p w14:paraId="1844C2DF" w14:textId="0CBF0541" w:rsidR="00FE2F85" w:rsidRPr="00033F91" w:rsidRDefault="00742C21" w:rsidP="00FE2F85">
            <w:pPr>
              <w:ind w:left="0"/>
              <w:jc w:val="center"/>
              <w:rPr>
                <w:b/>
                <w:sz w:val="16"/>
                <w:szCs w:val="16"/>
              </w:rPr>
            </w:pPr>
            <w:r>
              <w:rPr>
                <w:b/>
                <w:sz w:val="16"/>
                <w:szCs w:val="16"/>
              </w:rPr>
              <w:t>635</w:t>
            </w:r>
          </w:p>
        </w:tc>
        <w:tc>
          <w:tcPr>
            <w:tcW w:w="904" w:type="dxa"/>
            <w:shd w:val="clear" w:color="auto" w:fill="D9D9D9" w:themeFill="background1" w:themeFillShade="D9"/>
            <w:vAlign w:val="center"/>
          </w:tcPr>
          <w:p w14:paraId="20F4AD78" w14:textId="77777777" w:rsidR="00FE2F85" w:rsidRPr="00033F91" w:rsidRDefault="00FE2F85" w:rsidP="00FE2F85">
            <w:pPr>
              <w:ind w:left="0"/>
              <w:jc w:val="center"/>
              <w:rPr>
                <w:b/>
                <w:sz w:val="16"/>
                <w:szCs w:val="16"/>
              </w:rPr>
            </w:pPr>
          </w:p>
        </w:tc>
        <w:tc>
          <w:tcPr>
            <w:tcW w:w="749" w:type="dxa"/>
            <w:vAlign w:val="center"/>
          </w:tcPr>
          <w:p w14:paraId="65AFA0DE" w14:textId="69D153DB" w:rsidR="00FE2F85" w:rsidRPr="00033F91" w:rsidRDefault="00996F59" w:rsidP="00347724">
            <w:pPr>
              <w:ind w:left="0"/>
              <w:jc w:val="center"/>
              <w:rPr>
                <w:b/>
                <w:sz w:val="16"/>
                <w:szCs w:val="16"/>
              </w:rPr>
            </w:pPr>
            <w:r>
              <w:rPr>
                <w:b/>
                <w:sz w:val="16"/>
                <w:szCs w:val="16"/>
              </w:rPr>
              <w:t>42</w:t>
            </w:r>
            <w:r w:rsidR="00D03D33">
              <w:rPr>
                <w:b/>
                <w:sz w:val="16"/>
                <w:szCs w:val="16"/>
              </w:rPr>
              <w:t>4</w:t>
            </w:r>
          </w:p>
        </w:tc>
        <w:tc>
          <w:tcPr>
            <w:tcW w:w="709" w:type="dxa"/>
            <w:shd w:val="clear" w:color="auto" w:fill="D9D9D9" w:themeFill="background1" w:themeFillShade="D9"/>
            <w:vAlign w:val="center"/>
          </w:tcPr>
          <w:p w14:paraId="1DBB6168" w14:textId="77777777" w:rsidR="00FE2F85" w:rsidRPr="00033F91" w:rsidRDefault="00FE2F85" w:rsidP="00FE2F85">
            <w:pPr>
              <w:ind w:left="0"/>
              <w:jc w:val="center"/>
              <w:rPr>
                <w:b/>
                <w:sz w:val="16"/>
                <w:szCs w:val="16"/>
              </w:rPr>
            </w:pPr>
          </w:p>
        </w:tc>
        <w:tc>
          <w:tcPr>
            <w:tcW w:w="1325" w:type="dxa"/>
            <w:vAlign w:val="center"/>
          </w:tcPr>
          <w:p w14:paraId="389496D1" w14:textId="5AAAE516" w:rsidR="00FE2F85" w:rsidRPr="00033F91" w:rsidRDefault="00FE2F85" w:rsidP="00335F58">
            <w:pPr>
              <w:ind w:left="0"/>
              <w:jc w:val="center"/>
              <w:rPr>
                <w:b/>
                <w:sz w:val="16"/>
                <w:szCs w:val="16"/>
              </w:rPr>
            </w:pPr>
            <w:r w:rsidRPr="00033F91">
              <w:rPr>
                <w:b/>
                <w:sz w:val="16"/>
                <w:szCs w:val="16"/>
              </w:rPr>
              <w:t>$</w:t>
            </w:r>
            <w:r w:rsidR="00996F59">
              <w:rPr>
                <w:b/>
                <w:sz w:val="16"/>
                <w:szCs w:val="16"/>
              </w:rPr>
              <w:t>21,6</w:t>
            </w:r>
            <w:r w:rsidR="00D03D33">
              <w:rPr>
                <w:b/>
                <w:sz w:val="16"/>
                <w:szCs w:val="16"/>
              </w:rPr>
              <w:t>20</w:t>
            </w:r>
          </w:p>
        </w:tc>
      </w:tr>
    </w:tbl>
    <w:p w14:paraId="0D2B3B4D" w14:textId="77777777" w:rsidR="00C43A89" w:rsidRDefault="00C43A89" w:rsidP="009D1149">
      <w:pPr>
        <w:ind w:left="0"/>
      </w:pPr>
    </w:p>
    <w:p w14:paraId="133EA7B4" w14:textId="77777777" w:rsidR="00B12F51" w:rsidRPr="0088467A" w:rsidRDefault="0088467A" w:rsidP="009D1149">
      <w:pPr>
        <w:pStyle w:val="Heading4"/>
        <w:spacing w:after="0"/>
      </w:pPr>
      <w:bookmarkStart w:id="18" w:name="_Toc427752826"/>
      <w:r w:rsidRPr="0088467A">
        <w:t>Estimates of Other Total Annual Cost Burden to Respondents or Record Keepers</w:t>
      </w:r>
      <w:bookmarkEnd w:id="18"/>
    </w:p>
    <w:p w14:paraId="29D04381" w14:textId="13E7A05D" w:rsidR="007D4E90" w:rsidRDefault="003C31C9">
      <w:pPr>
        <w:ind w:left="0"/>
      </w:pPr>
      <w:r w:rsidRPr="003C31C9">
        <w:t xml:space="preserve">There will be no </w:t>
      </w:r>
      <w:r w:rsidRPr="00040611">
        <w:t xml:space="preserve">direct costs to the respondents other than their time to participate in each </w:t>
      </w:r>
      <w:r w:rsidR="00157413" w:rsidRPr="008C59E7">
        <w:t>information collection</w:t>
      </w:r>
      <w:r w:rsidRPr="008C59E7">
        <w:t>.</w:t>
      </w:r>
      <w:r w:rsidR="00821C37" w:rsidDel="00821C37">
        <w:t xml:space="preserve"> </w:t>
      </w:r>
    </w:p>
    <w:p w14:paraId="5F716BE8" w14:textId="77777777" w:rsidR="001A38ED" w:rsidRDefault="001A38ED">
      <w:pPr>
        <w:ind w:left="0"/>
      </w:pPr>
    </w:p>
    <w:p w14:paraId="789DA6D3" w14:textId="77777777" w:rsidR="00B12F51" w:rsidRPr="002639CB" w:rsidRDefault="0088467A">
      <w:pPr>
        <w:pStyle w:val="Heading4"/>
        <w:spacing w:after="0"/>
      </w:pPr>
      <w:bookmarkStart w:id="19" w:name="_Toc427752827"/>
      <w:r w:rsidRPr="002639CB">
        <w:t>Annualized Cost to the Government</w:t>
      </w:r>
      <w:bookmarkEnd w:id="19"/>
      <w:r w:rsidR="00D75750" w:rsidRPr="002639CB">
        <w:t xml:space="preserve"> </w:t>
      </w:r>
    </w:p>
    <w:p w14:paraId="07DF4555" w14:textId="1769A73F" w:rsidR="00692DEB" w:rsidRDefault="000058E0">
      <w:pPr>
        <w:ind w:left="0"/>
      </w:pPr>
      <w:r w:rsidRPr="000E58F5">
        <w:rPr>
          <w:rFonts w:cs="Arial"/>
        </w:rPr>
        <w:t xml:space="preserve">There are no equipment or overhead costs.  Contractors, however, are being used to support development of the </w:t>
      </w:r>
      <w:r w:rsidR="005C5847">
        <w:rPr>
          <w:rFonts w:cs="Arial"/>
        </w:rPr>
        <w:t xml:space="preserve">collection </w:t>
      </w:r>
      <w:r w:rsidRPr="000E58F5">
        <w:rPr>
          <w:rFonts w:cs="Arial"/>
        </w:rPr>
        <w:t xml:space="preserve">tool, </w:t>
      </w:r>
      <w:r w:rsidR="005C5847">
        <w:rPr>
          <w:rFonts w:cs="Arial"/>
        </w:rPr>
        <w:t xml:space="preserve">information </w:t>
      </w:r>
      <w:r w:rsidRPr="000E58F5">
        <w:rPr>
          <w:rFonts w:cs="Arial"/>
        </w:rPr>
        <w:t xml:space="preserve">collection, and </w:t>
      </w:r>
      <w:r w:rsidR="005C5847">
        <w:rPr>
          <w:rFonts w:cs="Arial"/>
        </w:rPr>
        <w:t xml:space="preserve">information </w:t>
      </w:r>
      <w:r w:rsidRPr="000E58F5">
        <w:rPr>
          <w:rFonts w:cs="Arial"/>
        </w:rPr>
        <w:t>analysis</w:t>
      </w:r>
      <w:r w:rsidR="00B90A6E">
        <w:rPr>
          <w:rFonts w:cs="Arial"/>
        </w:rPr>
        <w:t xml:space="preserve"> described in this ICR</w:t>
      </w:r>
      <w:r w:rsidRPr="000E58F5">
        <w:rPr>
          <w:rFonts w:cs="Arial"/>
        </w:rPr>
        <w:t>. The only cost to the federal government would be the salary of CDC staff and contractors.</w:t>
      </w:r>
      <w:r>
        <w:rPr>
          <w:rFonts w:cs="Arial"/>
        </w:rPr>
        <w:t xml:space="preserve"> </w:t>
      </w:r>
      <w:r w:rsidR="0040589A">
        <w:rPr>
          <w:rFonts w:cs="Arial"/>
        </w:rPr>
        <w:t xml:space="preserve">The </w:t>
      </w:r>
      <w:r w:rsidR="005C637E">
        <w:rPr>
          <w:rFonts w:cs="Arial"/>
        </w:rPr>
        <w:t xml:space="preserve">estimated cost </w:t>
      </w:r>
      <w:r w:rsidR="0040589A">
        <w:rPr>
          <w:rFonts w:cs="Arial"/>
        </w:rPr>
        <w:t xml:space="preserve">for </w:t>
      </w:r>
      <w:r w:rsidR="005C637E">
        <w:rPr>
          <w:rFonts w:cs="Arial"/>
        </w:rPr>
        <w:t>the contractor reflected is based on</w:t>
      </w:r>
      <w:r w:rsidR="00DF056A">
        <w:rPr>
          <w:rFonts w:cs="Arial"/>
        </w:rPr>
        <w:t xml:space="preserve"> the</w:t>
      </w:r>
      <w:r w:rsidR="005C637E">
        <w:rPr>
          <w:rFonts w:cs="Arial"/>
        </w:rPr>
        <w:t xml:space="preserve"> independent government cost estimate (IGCE) for the activities related to the information collection described in this IC, which was part of the </w:t>
      </w:r>
      <w:r w:rsidR="0040589A">
        <w:rPr>
          <w:rFonts w:cs="Arial"/>
        </w:rPr>
        <w:t xml:space="preserve">statement of work </w:t>
      </w:r>
      <w:r w:rsidR="005C637E">
        <w:rPr>
          <w:rFonts w:cs="Arial"/>
        </w:rPr>
        <w:t xml:space="preserve">for the request for proposal for the overall SSA project. The IGCE was </w:t>
      </w:r>
      <w:r w:rsidR="0040589A">
        <w:rPr>
          <w:rFonts w:cs="Arial"/>
        </w:rPr>
        <w:t xml:space="preserve">based on previous </w:t>
      </w:r>
      <w:r w:rsidR="005C637E">
        <w:rPr>
          <w:rFonts w:cs="Arial"/>
        </w:rPr>
        <w:t xml:space="preserve">budget proposals and reports of </w:t>
      </w:r>
      <w:r w:rsidR="0040589A">
        <w:rPr>
          <w:rFonts w:cs="Arial"/>
        </w:rPr>
        <w:t xml:space="preserve">contracts conducting </w:t>
      </w:r>
      <w:r w:rsidR="005C637E">
        <w:rPr>
          <w:rFonts w:cs="Arial"/>
        </w:rPr>
        <w:t>work similar to the SSA method for other CDC divisions</w:t>
      </w:r>
      <w:r w:rsidR="0040589A">
        <w:rPr>
          <w:rFonts w:cs="Arial"/>
        </w:rPr>
        <w:t xml:space="preserve">. </w:t>
      </w:r>
      <w:r w:rsidR="00AB2F48">
        <w:rPr>
          <w:rFonts w:cs="Arial"/>
        </w:rPr>
        <w:t xml:space="preserve">A contractor will be </w:t>
      </w:r>
      <w:r w:rsidR="006E1CA7">
        <w:rPr>
          <w:rFonts w:cs="Arial"/>
        </w:rPr>
        <w:t>selected no later than June 2016</w:t>
      </w:r>
      <w:r w:rsidR="009B49AF">
        <w:rPr>
          <w:rFonts w:cs="Arial"/>
        </w:rPr>
        <w:t>; the total cost of the contracting agency will not exceed the amount provided in table A-14</w:t>
      </w:r>
      <w:r w:rsidR="00037956">
        <w:rPr>
          <w:rFonts w:cs="Arial"/>
        </w:rPr>
        <w:t>.</w:t>
      </w:r>
      <w:r w:rsidR="006E1CA7">
        <w:rPr>
          <w:rFonts w:cs="Arial"/>
        </w:rPr>
        <w:t xml:space="preserve"> </w:t>
      </w:r>
      <w:r w:rsidRPr="000E58F5">
        <w:rPr>
          <w:rFonts w:cs="Arial"/>
        </w:rPr>
        <w:t xml:space="preserve">The total estimated </w:t>
      </w:r>
      <w:r w:rsidR="001941D9">
        <w:rPr>
          <w:rFonts w:cs="Arial"/>
        </w:rPr>
        <w:t xml:space="preserve">annualized </w:t>
      </w:r>
      <w:r w:rsidRPr="000E58F5">
        <w:rPr>
          <w:rFonts w:cs="Arial"/>
        </w:rPr>
        <w:t xml:space="preserve">cost to the federal government </w:t>
      </w:r>
      <w:r w:rsidR="003844FE">
        <w:rPr>
          <w:rFonts w:cs="Arial"/>
        </w:rPr>
        <w:t xml:space="preserve">for only those activities </w:t>
      </w:r>
      <w:r w:rsidR="009060AE">
        <w:rPr>
          <w:rFonts w:cs="Arial"/>
        </w:rPr>
        <w:t xml:space="preserve">related to this information collection </w:t>
      </w:r>
      <w:r w:rsidR="003844FE">
        <w:rPr>
          <w:rFonts w:cs="Arial"/>
        </w:rPr>
        <w:t xml:space="preserve">described herein </w:t>
      </w:r>
      <w:r w:rsidRPr="000E58F5">
        <w:rPr>
          <w:rFonts w:cs="Arial"/>
        </w:rPr>
        <w:t>is</w:t>
      </w:r>
      <w:r w:rsidR="008C59E7">
        <w:rPr>
          <w:rFonts w:cs="Arial"/>
        </w:rPr>
        <w:t xml:space="preserve"> </w:t>
      </w:r>
      <w:r w:rsidR="004A03C8" w:rsidRPr="004A03C8">
        <w:rPr>
          <w:rFonts w:cs="Arial"/>
        </w:rPr>
        <w:t>$252,236.80</w:t>
      </w:r>
      <w:r w:rsidR="004A03C8">
        <w:rPr>
          <w:rFonts w:cs="Arial"/>
        </w:rPr>
        <w:t xml:space="preserve">. </w:t>
      </w:r>
      <w:r w:rsidRPr="000E58F5">
        <w:rPr>
          <w:rFonts w:cs="Arial"/>
        </w:rPr>
        <w:t>Table A-14 describes how this cost estimate was calculated.</w:t>
      </w:r>
    </w:p>
    <w:p w14:paraId="7973E51E" w14:textId="77777777" w:rsidR="001B2824" w:rsidRDefault="001B2824">
      <w:pPr>
        <w:ind w:left="0"/>
      </w:pPr>
    </w:p>
    <w:p w14:paraId="1B7377D7" w14:textId="77777777" w:rsidR="003C31C9" w:rsidRPr="00D75750" w:rsidRDefault="00321B51">
      <w:pPr>
        <w:ind w:left="0"/>
      </w:pPr>
      <w:r w:rsidRPr="00692DEB">
        <w:rPr>
          <w:color w:val="000000"/>
        </w:rPr>
        <w:t xml:space="preserve"> </w:t>
      </w:r>
      <w:r w:rsidR="008E0683" w:rsidRPr="00692DEB">
        <w:rPr>
          <w:b/>
          <w:u w:val="single"/>
        </w:rPr>
        <w:t>Table A-14</w:t>
      </w:r>
      <w:r w:rsidR="008E0683" w:rsidRPr="00692DEB">
        <w:rPr>
          <w:b/>
        </w:rPr>
        <w:t>:</w:t>
      </w:r>
      <w:r w:rsidR="008E0683" w:rsidRPr="008E0683">
        <w:t xml:space="preserve"> Estimated Annualized Cost to the Federal Government</w:t>
      </w:r>
    </w:p>
    <w:tbl>
      <w:tblPr>
        <w:tblStyle w:val="TableGrid"/>
        <w:tblW w:w="0" w:type="auto"/>
        <w:tblLook w:val="04A0" w:firstRow="1" w:lastRow="0" w:firstColumn="1" w:lastColumn="0" w:noHBand="0" w:noVBand="1"/>
      </w:tblPr>
      <w:tblGrid>
        <w:gridCol w:w="4073"/>
        <w:gridCol w:w="1930"/>
        <w:gridCol w:w="1200"/>
        <w:gridCol w:w="236"/>
        <w:gridCol w:w="236"/>
        <w:gridCol w:w="1675"/>
      </w:tblGrid>
      <w:tr w:rsidR="00F042D3" w:rsidRPr="004841F1" w14:paraId="36685922" w14:textId="77777777" w:rsidTr="00CA5840">
        <w:trPr>
          <w:trHeight w:val="593"/>
        </w:trPr>
        <w:tc>
          <w:tcPr>
            <w:tcW w:w="4195" w:type="dxa"/>
            <w:tcBorders>
              <w:bottom w:val="single" w:sz="12" w:space="0" w:color="auto"/>
            </w:tcBorders>
            <w:shd w:val="clear" w:color="auto" w:fill="D9D9D9" w:themeFill="background1" w:themeFillShade="D9"/>
            <w:vAlign w:val="center"/>
          </w:tcPr>
          <w:p w14:paraId="37C94228" w14:textId="77777777" w:rsidR="004841F1" w:rsidRPr="00EE5049" w:rsidRDefault="004841F1">
            <w:pPr>
              <w:spacing w:line="276" w:lineRule="auto"/>
              <w:ind w:left="0"/>
              <w:jc w:val="center"/>
              <w:rPr>
                <w:b/>
                <w:sz w:val="16"/>
                <w:szCs w:val="16"/>
              </w:rPr>
            </w:pPr>
            <w:r w:rsidRPr="00EE5049">
              <w:rPr>
                <w:b/>
                <w:sz w:val="16"/>
                <w:szCs w:val="16"/>
              </w:rPr>
              <w:t>Staff (FTE)</w:t>
            </w:r>
          </w:p>
        </w:tc>
        <w:tc>
          <w:tcPr>
            <w:tcW w:w="1969" w:type="dxa"/>
            <w:tcBorders>
              <w:bottom w:val="single" w:sz="12" w:space="0" w:color="auto"/>
            </w:tcBorders>
            <w:shd w:val="clear" w:color="auto" w:fill="D9D9D9" w:themeFill="background1" w:themeFillShade="D9"/>
            <w:vAlign w:val="center"/>
          </w:tcPr>
          <w:p w14:paraId="3EFBC436" w14:textId="77777777" w:rsidR="004841F1" w:rsidRPr="00EE5049" w:rsidRDefault="004841F1">
            <w:pPr>
              <w:spacing w:line="276" w:lineRule="auto"/>
              <w:ind w:left="0"/>
              <w:jc w:val="center"/>
              <w:rPr>
                <w:b/>
                <w:sz w:val="16"/>
                <w:szCs w:val="16"/>
              </w:rPr>
            </w:pPr>
            <w:r w:rsidRPr="00EE5049">
              <w:rPr>
                <w:b/>
                <w:sz w:val="16"/>
                <w:szCs w:val="16"/>
              </w:rPr>
              <w:t>Average Hours per Collection</w:t>
            </w:r>
          </w:p>
        </w:tc>
        <w:tc>
          <w:tcPr>
            <w:tcW w:w="1706" w:type="dxa"/>
            <w:gridSpan w:val="3"/>
            <w:tcBorders>
              <w:bottom w:val="single" w:sz="12" w:space="0" w:color="auto"/>
            </w:tcBorders>
            <w:shd w:val="clear" w:color="auto" w:fill="D9D9D9" w:themeFill="background1" w:themeFillShade="D9"/>
            <w:vAlign w:val="center"/>
          </w:tcPr>
          <w:p w14:paraId="5BA310A0" w14:textId="77777777" w:rsidR="004841F1" w:rsidRPr="00EE5049" w:rsidRDefault="004841F1">
            <w:pPr>
              <w:spacing w:line="276" w:lineRule="auto"/>
              <w:ind w:left="0"/>
              <w:jc w:val="center"/>
              <w:rPr>
                <w:b/>
                <w:sz w:val="16"/>
                <w:szCs w:val="16"/>
              </w:rPr>
            </w:pPr>
            <w:r w:rsidRPr="00EE5049">
              <w:rPr>
                <w:b/>
                <w:sz w:val="16"/>
                <w:szCs w:val="16"/>
              </w:rPr>
              <w:t>Average Hourly Rate</w:t>
            </w:r>
          </w:p>
        </w:tc>
        <w:tc>
          <w:tcPr>
            <w:tcW w:w="1706" w:type="dxa"/>
            <w:tcBorders>
              <w:bottom w:val="single" w:sz="12" w:space="0" w:color="auto"/>
            </w:tcBorders>
            <w:shd w:val="clear" w:color="auto" w:fill="D9D9D9" w:themeFill="background1" w:themeFillShade="D9"/>
            <w:vAlign w:val="center"/>
          </w:tcPr>
          <w:p w14:paraId="19C1AF22" w14:textId="77777777" w:rsidR="004841F1" w:rsidRPr="00EE5049" w:rsidRDefault="004841F1">
            <w:pPr>
              <w:spacing w:line="276" w:lineRule="auto"/>
              <w:ind w:left="0"/>
              <w:jc w:val="center"/>
              <w:rPr>
                <w:b/>
                <w:sz w:val="16"/>
                <w:szCs w:val="16"/>
              </w:rPr>
            </w:pPr>
            <w:r w:rsidRPr="00EE5049">
              <w:rPr>
                <w:b/>
                <w:sz w:val="16"/>
                <w:szCs w:val="16"/>
              </w:rPr>
              <w:t>Average Cost</w:t>
            </w:r>
          </w:p>
        </w:tc>
      </w:tr>
      <w:tr w:rsidR="00F042D3" w:rsidRPr="004841F1" w14:paraId="2B5B9262" w14:textId="77777777" w:rsidTr="00CA5840">
        <w:tc>
          <w:tcPr>
            <w:tcW w:w="4195" w:type="dxa"/>
            <w:tcBorders>
              <w:top w:val="single" w:sz="12" w:space="0" w:color="auto"/>
            </w:tcBorders>
          </w:tcPr>
          <w:p w14:paraId="5C304684" w14:textId="6DBB7AE8" w:rsidR="00A60118" w:rsidRPr="00222DB7" w:rsidRDefault="00FB787B" w:rsidP="00E57DFB">
            <w:pPr>
              <w:spacing w:line="276" w:lineRule="auto"/>
              <w:ind w:left="0"/>
              <w:rPr>
                <w:b/>
                <w:sz w:val="16"/>
                <w:szCs w:val="16"/>
              </w:rPr>
            </w:pPr>
            <w:r w:rsidRPr="00EE5049">
              <w:rPr>
                <w:b/>
                <w:sz w:val="16"/>
                <w:szCs w:val="16"/>
              </w:rPr>
              <w:t xml:space="preserve">Behavioral Scientist (GS-12) </w:t>
            </w:r>
          </w:p>
        </w:tc>
        <w:tc>
          <w:tcPr>
            <w:tcW w:w="1969" w:type="dxa"/>
            <w:tcBorders>
              <w:top w:val="single" w:sz="12" w:space="0" w:color="auto"/>
            </w:tcBorders>
          </w:tcPr>
          <w:p w14:paraId="430E15A3" w14:textId="3BAB05E8" w:rsidR="004841F1" w:rsidRPr="00EE5049" w:rsidRDefault="005F2D7A" w:rsidP="009D1149">
            <w:pPr>
              <w:spacing w:line="276" w:lineRule="auto"/>
              <w:ind w:left="0"/>
              <w:jc w:val="center"/>
              <w:rPr>
                <w:sz w:val="16"/>
                <w:szCs w:val="16"/>
              </w:rPr>
            </w:pPr>
            <w:r w:rsidRPr="00EE5049">
              <w:rPr>
                <w:sz w:val="16"/>
                <w:szCs w:val="16"/>
              </w:rPr>
              <w:t>80</w:t>
            </w:r>
          </w:p>
        </w:tc>
        <w:tc>
          <w:tcPr>
            <w:tcW w:w="1706" w:type="dxa"/>
            <w:gridSpan w:val="3"/>
            <w:tcBorders>
              <w:top w:val="single" w:sz="12" w:space="0" w:color="auto"/>
            </w:tcBorders>
          </w:tcPr>
          <w:p w14:paraId="0E60E655" w14:textId="392DAF95" w:rsidR="004841F1" w:rsidRPr="00EE5049" w:rsidRDefault="00EB6133" w:rsidP="009D1149">
            <w:pPr>
              <w:spacing w:line="276" w:lineRule="auto"/>
              <w:ind w:left="0"/>
              <w:jc w:val="center"/>
              <w:rPr>
                <w:sz w:val="16"/>
                <w:szCs w:val="16"/>
              </w:rPr>
            </w:pPr>
            <w:r w:rsidRPr="00EE5049">
              <w:rPr>
                <w:sz w:val="16"/>
                <w:szCs w:val="16"/>
              </w:rPr>
              <w:t>$35.58</w:t>
            </w:r>
          </w:p>
        </w:tc>
        <w:tc>
          <w:tcPr>
            <w:tcW w:w="1706" w:type="dxa"/>
            <w:tcBorders>
              <w:top w:val="single" w:sz="12" w:space="0" w:color="auto"/>
            </w:tcBorders>
          </w:tcPr>
          <w:p w14:paraId="7813E6A0" w14:textId="41D5F747" w:rsidR="004841F1" w:rsidRDefault="000D67B1" w:rsidP="009D1149">
            <w:pPr>
              <w:spacing w:line="276" w:lineRule="auto"/>
              <w:ind w:left="0"/>
              <w:jc w:val="center"/>
              <w:rPr>
                <w:sz w:val="16"/>
                <w:szCs w:val="16"/>
              </w:rPr>
            </w:pPr>
            <w:r w:rsidRPr="00EE5049">
              <w:rPr>
                <w:sz w:val="16"/>
                <w:szCs w:val="16"/>
              </w:rPr>
              <w:t>$</w:t>
            </w:r>
            <w:r w:rsidR="00E96860" w:rsidRPr="00EE5049">
              <w:rPr>
                <w:sz w:val="16"/>
                <w:szCs w:val="16"/>
              </w:rPr>
              <w:t>2</w:t>
            </w:r>
            <w:r w:rsidR="00B92CC3" w:rsidRPr="00EE5049">
              <w:rPr>
                <w:sz w:val="16"/>
                <w:szCs w:val="16"/>
              </w:rPr>
              <w:t>,</w:t>
            </w:r>
            <w:r w:rsidR="00E96860" w:rsidRPr="00EE5049">
              <w:rPr>
                <w:sz w:val="16"/>
                <w:szCs w:val="16"/>
              </w:rPr>
              <w:t>846</w:t>
            </w:r>
          </w:p>
          <w:p w14:paraId="367115BC" w14:textId="79E77795" w:rsidR="007E6167" w:rsidRPr="00EE5049" w:rsidRDefault="007E6167" w:rsidP="009D1149">
            <w:pPr>
              <w:spacing w:line="276" w:lineRule="auto"/>
              <w:ind w:left="0"/>
              <w:jc w:val="center"/>
              <w:rPr>
                <w:sz w:val="16"/>
                <w:szCs w:val="16"/>
              </w:rPr>
            </w:pPr>
          </w:p>
        </w:tc>
      </w:tr>
      <w:tr w:rsidR="00F042D3" w:rsidRPr="004841F1" w14:paraId="7616FF52" w14:textId="77777777" w:rsidTr="00CA5840">
        <w:tc>
          <w:tcPr>
            <w:tcW w:w="4195" w:type="dxa"/>
          </w:tcPr>
          <w:p w14:paraId="730B7F35" w14:textId="1089F5DB" w:rsidR="00EE5BD5" w:rsidRPr="00222DB7" w:rsidRDefault="00243EBA" w:rsidP="00BC6B3A">
            <w:pPr>
              <w:spacing w:line="276" w:lineRule="auto"/>
              <w:ind w:left="0"/>
              <w:rPr>
                <w:b/>
                <w:sz w:val="16"/>
                <w:szCs w:val="16"/>
              </w:rPr>
            </w:pPr>
            <w:r>
              <w:rPr>
                <w:b/>
                <w:sz w:val="16"/>
                <w:szCs w:val="16"/>
              </w:rPr>
              <w:t>ORISE Fellow</w:t>
            </w:r>
            <w:r w:rsidR="00FB787B" w:rsidRPr="00EE5049">
              <w:rPr>
                <w:b/>
                <w:sz w:val="16"/>
                <w:szCs w:val="16"/>
              </w:rPr>
              <w:t xml:space="preserve"> (GS-9 equivalent) </w:t>
            </w:r>
          </w:p>
        </w:tc>
        <w:tc>
          <w:tcPr>
            <w:tcW w:w="1969" w:type="dxa"/>
          </w:tcPr>
          <w:p w14:paraId="1B1C0AA5" w14:textId="5461A658" w:rsidR="004841F1" w:rsidRPr="00EE5049" w:rsidRDefault="00FC343E" w:rsidP="009D1149">
            <w:pPr>
              <w:spacing w:line="276" w:lineRule="auto"/>
              <w:ind w:left="0"/>
              <w:jc w:val="center"/>
              <w:rPr>
                <w:sz w:val="16"/>
                <w:szCs w:val="16"/>
              </w:rPr>
            </w:pPr>
            <w:r w:rsidRPr="00EE5049">
              <w:rPr>
                <w:sz w:val="16"/>
                <w:szCs w:val="16"/>
              </w:rPr>
              <w:t>160</w:t>
            </w:r>
          </w:p>
        </w:tc>
        <w:tc>
          <w:tcPr>
            <w:tcW w:w="1706" w:type="dxa"/>
            <w:gridSpan w:val="3"/>
          </w:tcPr>
          <w:p w14:paraId="1DD10F1F" w14:textId="05DE0E31" w:rsidR="004841F1" w:rsidRPr="00EE5049" w:rsidRDefault="00185C9F" w:rsidP="009D1149">
            <w:pPr>
              <w:spacing w:line="276" w:lineRule="auto"/>
              <w:ind w:left="0"/>
              <w:jc w:val="center"/>
              <w:rPr>
                <w:sz w:val="16"/>
                <w:szCs w:val="16"/>
              </w:rPr>
            </w:pPr>
            <w:r w:rsidRPr="00EE5049">
              <w:rPr>
                <w:sz w:val="16"/>
                <w:szCs w:val="16"/>
              </w:rPr>
              <w:t>$ 24.54</w:t>
            </w:r>
          </w:p>
        </w:tc>
        <w:tc>
          <w:tcPr>
            <w:tcW w:w="1706" w:type="dxa"/>
          </w:tcPr>
          <w:p w14:paraId="6715F60A" w14:textId="487C2766" w:rsidR="004841F1" w:rsidRDefault="000D67B1" w:rsidP="00B92CC3">
            <w:pPr>
              <w:spacing w:line="276" w:lineRule="auto"/>
              <w:ind w:left="0"/>
              <w:jc w:val="center"/>
              <w:rPr>
                <w:sz w:val="16"/>
                <w:szCs w:val="16"/>
              </w:rPr>
            </w:pPr>
            <w:r w:rsidRPr="00EE5049">
              <w:rPr>
                <w:sz w:val="16"/>
                <w:szCs w:val="16"/>
              </w:rPr>
              <w:t>$</w:t>
            </w:r>
            <w:r w:rsidR="00E96860" w:rsidRPr="00EE5049">
              <w:rPr>
                <w:sz w:val="16"/>
                <w:szCs w:val="16"/>
              </w:rPr>
              <w:t>3</w:t>
            </w:r>
            <w:r w:rsidR="00B92CC3" w:rsidRPr="00EE5049">
              <w:rPr>
                <w:sz w:val="16"/>
                <w:szCs w:val="16"/>
              </w:rPr>
              <w:t>,</w:t>
            </w:r>
            <w:r w:rsidR="00E96860" w:rsidRPr="00EE5049">
              <w:rPr>
                <w:sz w:val="16"/>
                <w:szCs w:val="16"/>
              </w:rPr>
              <w:t>926</w:t>
            </w:r>
          </w:p>
          <w:p w14:paraId="783DCE0F" w14:textId="14D10627" w:rsidR="007E6167" w:rsidRPr="00EE5049" w:rsidRDefault="007E6167" w:rsidP="00B92CC3">
            <w:pPr>
              <w:spacing w:line="276" w:lineRule="auto"/>
              <w:ind w:left="0"/>
              <w:jc w:val="center"/>
              <w:rPr>
                <w:sz w:val="16"/>
                <w:szCs w:val="16"/>
              </w:rPr>
            </w:pPr>
          </w:p>
        </w:tc>
      </w:tr>
      <w:tr w:rsidR="00F042D3" w:rsidRPr="007B305A" w14:paraId="744D53F3" w14:textId="77777777" w:rsidTr="005D6F14">
        <w:tc>
          <w:tcPr>
            <w:tcW w:w="4195" w:type="dxa"/>
            <w:tcBorders>
              <w:bottom w:val="single" w:sz="4" w:space="0" w:color="auto"/>
            </w:tcBorders>
          </w:tcPr>
          <w:p w14:paraId="6B4DDFF4" w14:textId="2697AA3F" w:rsidR="000F1D2F" w:rsidRPr="00222DB7" w:rsidRDefault="00222DB7" w:rsidP="00E57DFB">
            <w:pPr>
              <w:spacing w:line="276" w:lineRule="auto"/>
              <w:ind w:left="0"/>
              <w:rPr>
                <w:b/>
                <w:sz w:val="16"/>
                <w:szCs w:val="16"/>
              </w:rPr>
            </w:pPr>
            <w:r>
              <w:rPr>
                <w:b/>
                <w:sz w:val="16"/>
                <w:szCs w:val="16"/>
              </w:rPr>
              <w:t>Contracting Agency</w:t>
            </w:r>
          </w:p>
        </w:tc>
        <w:tc>
          <w:tcPr>
            <w:tcW w:w="1969" w:type="dxa"/>
            <w:tcBorders>
              <w:bottom w:val="single" w:sz="4" w:space="0" w:color="auto"/>
            </w:tcBorders>
          </w:tcPr>
          <w:p w14:paraId="25957486" w14:textId="4FF6A097" w:rsidR="004824FA" w:rsidRPr="00EE5049" w:rsidRDefault="004824FA" w:rsidP="009D1149">
            <w:pPr>
              <w:spacing w:line="276" w:lineRule="auto"/>
              <w:ind w:left="0"/>
              <w:jc w:val="center"/>
              <w:rPr>
                <w:sz w:val="16"/>
                <w:szCs w:val="16"/>
              </w:rPr>
            </w:pPr>
          </w:p>
        </w:tc>
        <w:tc>
          <w:tcPr>
            <w:tcW w:w="1706" w:type="dxa"/>
            <w:gridSpan w:val="3"/>
            <w:tcBorders>
              <w:bottom w:val="single" w:sz="4" w:space="0" w:color="auto"/>
            </w:tcBorders>
          </w:tcPr>
          <w:p w14:paraId="71A40D45" w14:textId="437B8EEE" w:rsidR="004824FA" w:rsidRPr="00EE5049" w:rsidRDefault="004824FA" w:rsidP="009D1149">
            <w:pPr>
              <w:spacing w:line="276" w:lineRule="auto"/>
              <w:ind w:left="0"/>
              <w:jc w:val="center"/>
              <w:rPr>
                <w:sz w:val="16"/>
                <w:szCs w:val="16"/>
              </w:rPr>
            </w:pPr>
          </w:p>
        </w:tc>
        <w:tc>
          <w:tcPr>
            <w:tcW w:w="1706" w:type="dxa"/>
          </w:tcPr>
          <w:p w14:paraId="508CD059" w14:textId="4CC77B37" w:rsidR="004824FA" w:rsidRDefault="00DF4720" w:rsidP="009D1149">
            <w:pPr>
              <w:spacing w:line="276" w:lineRule="auto"/>
              <w:ind w:left="0"/>
              <w:jc w:val="center"/>
              <w:rPr>
                <w:sz w:val="16"/>
                <w:szCs w:val="16"/>
              </w:rPr>
            </w:pPr>
            <w:r w:rsidRPr="00EE5049">
              <w:rPr>
                <w:sz w:val="16"/>
                <w:szCs w:val="16"/>
              </w:rPr>
              <w:t>$245,464</w:t>
            </w:r>
          </w:p>
          <w:p w14:paraId="3D9E130B" w14:textId="239076B0" w:rsidR="007E6167" w:rsidRPr="00EE5049" w:rsidRDefault="007E6167" w:rsidP="009D1149">
            <w:pPr>
              <w:spacing w:line="276" w:lineRule="auto"/>
              <w:ind w:left="0"/>
              <w:jc w:val="center"/>
              <w:rPr>
                <w:sz w:val="16"/>
                <w:szCs w:val="16"/>
              </w:rPr>
            </w:pPr>
          </w:p>
        </w:tc>
      </w:tr>
      <w:tr w:rsidR="005D6F14" w:rsidRPr="004841F1" w14:paraId="5DEC151A" w14:textId="77777777" w:rsidTr="007E6167">
        <w:trPr>
          <w:trHeight w:val="332"/>
        </w:trPr>
        <w:tc>
          <w:tcPr>
            <w:tcW w:w="7398" w:type="dxa"/>
            <w:gridSpan w:val="3"/>
            <w:tcBorders>
              <w:right w:val="nil"/>
            </w:tcBorders>
            <w:vAlign w:val="center"/>
          </w:tcPr>
          <w:p w14:paraId="559A9201" w14:textId="77777777" w:rsidR="005D6F14" w:rsidRPr="00EE5049" w:rsidRDefault="005D6F14" w:rsidP="009D1149">
            <w:pPr>
              <w:spacing w:line="276" w:lineRule="auto"/>
              <w:ind w:left="0"/>
              <w:jc w:val="right"/>
              <w:rPr>
                <w:b/>
                <w:sz w:val="16"/>
                <w:szCs w:val="16"/>
              </w:rPr>
            </w:pPr>
            <w:r w:rsidRPr="00EE5049">
              <w:rPr>
                <w:b/>
                <w:sz w:val="16"/>
                <w:szCs w:val="16"/>
              </w:rPr>
              <w:lastRenderedPageBreak/>
              <w:t>Estimated Total Cost of Information Collection</w:t>
            </w:r>
          </w:p>
        </w:tc>
        <w:tc>
          <w:tcPr>
            <w:tcW w:w="236" w:type="dxa"/>
            <w:tcBorders>
              <w:left w:val="nil"/>
              <w:right w:val="nil"/>
            </w:tcBorders>
            <w:vAlign w:val="center"/>
          </w:tcPr>
          <w:p w14:paraId="25E00C9A" w14:textId="77777777" w:rsidR="005D6F14" w:rsidRPr="00EE5049" w:rsidRDefault="005D6F14" w:rsidP="009D1149">
            <w:pPr>
              <w:spacing w:line="276" w:lineRule="auto"/>
              <w:ind w:left="0"/>
              <w:rPr>
                <w:b/>
                <w:sz w:val="16"/>
                <w:szCs w:val="16"/>
              </w:rPr>
            </w:pPr>
          </w:p>
        </w:tc>
        <w:tc>
          <w:tcPr>
            <w:tcW w:w="236" w:type="dxa"/>
            <w:tcBorders>
              <w:left w:val="nil"/>
            </w:tcBorders>
            <w:vAlign w:val="center"/>
          </w:tcPr>
          <w:p w14:paraId="1F503A6D" w14:textId="77777777" w:rsidR="005D6F14" w:rsidRPr="00EE5049" w:rsidRDefault="005D6F14" w:rsidP="009D1149">
            <w:pPr>
              <w:spacing w:line="276" w:lineRule="auto"/>
              <w:ind w:left="0"/>
              <w:rPr>
                <w:b/>
                <w:sz w:val="16"/>
                <w:szCs w:val="16"/>
              </w:rPr>
            </w:pPr>
          </w:p>
        </w:tc>
        <w:tc>
          <w:tcPr>
            <w:tcW w:w="1706" w:type="dxa"/>
            <w:vAlign w:val="center"/>
          </w:tcPr>
          <w:p w14:paraId="4521C3B1" w14:textId="5E004E44" w:rsidR="005D6F14" w:rsidRDefault="00DF4720" w:rsidP="007E6167">
            <w:pPr>
              <w:spacing w:line="276" w:lineRule="auto"/>
              <w:ind w:left="0"/>
              <w:jc w:val="center"/>
              <w:rPr>
                <w:b/>
                <w:sz w:val="16"/>
                <w:szCs w:val="16"/>
              </w:rPr>
            </w:pPr>
            <w:r w:rsidRPr="00EE5049">
              <w:rPr>
                <w:b/>
                <w:sz w:val="16"/>
                <w:szCs w:val="16"/>
              </w:rPr>
              <w:t>$252,236</w:t>
            </w:r>
          </w:p>
          <w:p w14:paraId="63DE3034" w14:textId="1725A13D" w:rsidR="007E6167" w:rsidRPr="00EE5049" w:rsidRDefault="007E6167" w:rsidP="007E6167">
            <w:pPr>
              <w:spacing w:line="276" w:lineRule="auto"/>
              <w:ind w:left="0"/>
              <w:jc w:val="center"/>
              <w:rPr>
                <w:b/>
                <w:sz w:val="16"/>
                <w:szCs w:val="16"/>
              </w:rPr>
            </w:pPr>
          </w:p>
        </w:tc>
      </w:tr>
    </w:tbl>
    <w:p w14:paraId="4B2ED150" w14:textId="77777777" w:rsidR="00545E38" w:rsidRDefault="00545E38" w:rsidP="009D1149">
      <w:pPr>
        <w:ind w:left="0"/>
      </w:pPr>
    </w:p>
    <w:p w14:paraId="2563F427" w14:textId="77777777" w:rsidR="00B12F51" w:rsidRPr="00D75750" w:rsidRDefault="00D75750" w:rsidP="009D1149">
      <w:pPr>
        <w:pStyle w:val="Heading4"/>
        <w:spacing w:after="0"/>
      </w:pPr>
      <w:bookmarkStart w:id="20" w:name="_Toc427752828"/>
      <w:r w:rsidRPr="00D75750">
        <w:t>Explanation for Program Changes or Adjustments</w:t>
      </w:r>
      <w:bookmarkEnd w:id="20"/>
    </w:p>
    <w:p w14:paraId="069A4C45" w14:textId="77777777" w:rsidR="00F52BCC" w:rsidRDefault="003C7C5D" w:rsidP="009D1149">
      <w:pPr>
        <w:ind w:left="0"/>
      </w:pPr>
      <w:r>
        <w:t xml:space="preserve">This is a new </w:t>
      </w:r>
      <w:r w:rsidR="00157413">
        <w:t>information collection</w:t>
      </w:r>
      <w:r>
        <w:t>.</w:t>
      </w:r>
    </w:p>
    <w:p w14:paraId="686CAD35" w14:textId="77777777" w:rsidR="00F52BCC" w:rsidRDefault="00F52BCC" w:rsidP="00E57DFB"/>
    <w:p w14:paraId="2C3DC8A9" w14:textId="77777777" w:rsidR="00B12F51" w:rsidRPr="00EF33CD" w:rsidRDefault="00616090">
      <w:pPr>
        <w:pStyle w:val="Heading4"/>
        <w:spacing w:after="0"/>
      </w:pPr>
      <w:bookmarkStart w:id="21" w:name="_Toc427752829"/>
      <w:r>
        <w:t>Plan</w:t>
      </w:r>
      <w:r w:rsidR="00D75750">
        <w:t>s</w:t>
      </w:r>
      <w:r w:rsidR="00D75750" w:rsidRPr="00D75750">
        <w:t xml:space="preserve"> for Tabulation and Publication and Project Time Schedule</w:t>
      </w:r>
      <w:bookmarkEnd w:id="21"/>
    </w:p>
    <w:p w14:paraId="1E17099F" w14:textId="36E41195" w:rsidR="00866229" w:rsidRDefault="0056585A">
      <w:pPr>
        <w:ind w:left="0"/>
        <w:rPr>
          <w:rFonts w:cs="Arial"/>
        </w:rPr>
      </w:pPr>
      <w:r>
        <w:rPr>
          <w:rFonts w:cs="Arial"/>
        </w:rPr>
        <w:t xml:space="preserve">The </w:t>
      </w:r>
      <w:r w:rsidR="00977650">
        <w:rPr>
          <w:rFonts w:cs="Arial"/>
        </w:rPr>
        <w:t xml:space="preserve">information </w:t>
      </w:r>
      <w:r>
        <w:rPr>
          <w:rFonts w:cs="Arial"/>
        </w:rPr>
        <w:t>collected from the Sexual Violence Prevention Strategy Description</w:t>
      </w:r>
      <w:r w:rsidR="00F65349">
        <w:rPr>
          <w:rFonts w:cs="Arial"/>
        </w:rPr>
        <w:t xml:space="preserve"> </w:t>
      </w:r>
      <w:r>
        <w:rPr>
          <w:rFonts w:cs="Arial"/>
        </w:rPr>
        <w:t xml:space="preserve">will be </w:t>
      </w:r>
      <w:r w:rsidR="00A47605">
        <w:rPr>
          <w:rFonts w:cs="Arial"/>
        </w:rPr>
        <w:t xml:space="preserve">downloaded, reviewed, and </w:t>
      </w:r>
      <w:r>
        <w:rPr>
          <w:rFonts w:cs="Arial"/>
        </w:rPr>
        <w:t xml:space="preserve">analyzed </w:t>
      </w:r>
      <w:r w:rsidR="003C020A">
        <w:rPr>
          <w:rFonts w:cs="Arial"/>
        </w:rPr>
        <w:t xml:space="preserve">using descriptive statistics </w:t>
      </w:r>
      <w:r w:rsidR="00A47605">
        <w:rPr>
          <w:rFonts w:cs="Arial"/>
        </w:rPr>
        <w:t>in Excel</w:t>
      </w:r>
      <w:r w:rsidR="004E14A2">
        <w:rPr>
          <w:rFonts w:cs="Arial"/>
        </w:rPr>
        <w:t xml:space="preserve"> and SPSS</w:t>
      </w:r>
      <w:r w:rsidR="00A47605">
        <w:rPr>
          <w:rFonts w:cs="Arial"/>
        </w:rPr>
        <w:t xml:space="preserve">. </w:t>
      </w:r>
      <w:r w:rsidR="00E96860">
        <w:t xml:space="preserve">CDC staff and </w:t>
      </w:r>
      <w:r w:rsidR="004E14A2">
        <w:t xml:space="preserve">the contractor </w:t>
      </w:r>
      <w:r w:rsidR="00A47605">
        <w:t xml:space="preserve">on this project will perform a content analysis of the strategy description forms and create summaries of each </w:t>
      </w:r>
      <w:r w:rsidR="003F2869">
        <w:t xml:space="preserve">nominated </w:t>
      </w:r>
      <w:r w:rsidR="00F7381B">
        <w:t>SV prevention strategy</w:t>
      </w:r>
      <w:r w:rsidR="00A47605">
        <w:t xml:space="preserve">. Descriptive statistics will also be performed to describe the information about the nominated practice-based prevention strategies. </w:t>
      </w:r>
      <w:r w:rsidR="003C020A">
        <w:rPr>
          <w:rFonts w:cs="Arial"/>
        </w:rPr>
        <w:t xml:space="preserve"> </w:t>
      </w:r>
    </w:p>
    <w:p w14:paraId="3E33D9E8" w14:textId="77777777" w:rsidR="00866229" w:rsidRDefault="00866229">
      <w:pPr>
        <w:ind w:left="0"/>
        <w:rPr>
          <w:rFonts w:cs="Arial"/>
        </w:rPr>
      </w:pPr>
    </w:p>
    <w:p w14:paraId="7BC77F7A" w14:textId="7F4AB790" w:rsidR="00B30BB2" w:rsidRDefault="0056585A" w:rsidP="009D1149">
      <w:pPr>
        <w:ind w:left="0"/>
        <w:rPr>
          <w:rFonts w:cs="Arial"/>
        </w:rPr>
      </w:pPr>
      <w:r>
        <w:rPr>
          <w:rFonts w:cs="Arial"/>
        </w:rPr>
        <w:t xml:space="preserve">Information collected </w:t>
      </w:r>
      <w:r w:rsidR="00866229">
        <w:rPr>
          <w:rFonts w:cs="Arial"/>
        </w:rPr>
        <w:t xml:space="preserve">from the Sexual Violence Prevention Strategy Description </w:t>
      </w:r>
      <w:r>
        <w:rPr>
          <w:rFonts w:cs="Arial"/>
        </w:rPr>
        <w:t xml:space="preserve">will </w:t>
      </w:r>
      <w:r w:rsidR="00866229">
        <w:rPr>
          <w:rFonts w:cs="Arial"/>
        </w:rPr>
        <w:t xml:space="preserve">be presented in a summary report for each nominated strategy and will </w:t>
      </w:r>
      <w:r>
        <w:rPr>
          <w:rFonts w:cs="Arial"/>
        </w:rPr>
        <w:t>rated by</w:t>
      </w:r>
      <w:r w:rsidR="00866229">
        <w:rPr>
          <w:rFonts w:cs="Arial"/>
        </w:rPr>
        <w:t xml:space="preserve"> a review </w:t>
      </w:r>
      <w:r>
        <w:rPr>
          <w:rFonts w:cs="Arial"/>
        </w:rPr>
        <w:t>panel based on specified cri</w:t>
      </w:r>
      <w:r w:rsidR="00866229">
        <w:rPr>
          <w:rFonts w:cs="Arial"/>
        </w:rPr>
        <w:t xml:space="preserve">teria. </w:t>
      </w:r>
      <w:r w:rsidR="00890636">
        <w:rPr>
          <w:rFonts w:cs="Arial"/>
        </w:rPr>
        <w:t xml:space="preserve">The review panel will </w:t>
      </w:r>
      <w:r w:rsidR="00545E38">
        <w:t xml:space="preserve">make recommendations to CDC on strategies that are ready for an </w:t>
      </w:r>
      <w:r w:rsidR="00B52DA1">
        <w:t>EA</w:t>
      </w:r>
      <w:r w:rsidR="00545E38">
        <w:t xml:space="preserve">. In turn, CDC will use the review panel’s recommendations to inform its selection of SV prevention strategies for </w:t>
      </w:r>
      <w:r w:rsidR="00B52DA1">
        <w:t>EAs</w:t>
      </w:r>
      <w:r w:rsidR="00545E38">
        <w:t xml:space="preserve">. CDC will use the results to develop briefs that describe the major features of each strategy, and some strategies may be considered for future CDC </w:t>
      </w:r>
      <w:r w:rsidR="00D61214">
        <w:t xml:space="preserve">assessment </w:t>
      </w:r>
      <w:r w:rsidR="00545E38">
        <w:t>activities. Moreover, the results and processes will be shared or published through reports, briefs, factsheets, PowerPoint presentations, manuscripts</w:t>
      </w:r>
      <w:r w:rsidR="00FB0201">
        <w:t xml:space="preserve">, peer-reviewed publications, or dissemination at national conferences </w:t>
      </w:r>
      <w:r w:rsidR="00545E38">
        <w:t xml:space="preserve">about the process, results, and lessons learned to inform SV prevention evidence base and practice. </w:t>
      </w:r>
      <w:r w:rsidR="00B30BB2">
        <w:t xml:space="preserve">For example, </w:t>
      </w:r>
      <w:r w:rsidR="00B30BB2">
        <w:rPr>
          <w:rFonts w:cs="Arial"/>
        </w:rPr>
        <w:t xml:space="preserve">a summary report of the panel review will be prepared and shared with CDC leadership, RPE Program leadership, and other key stakeholders.  </w:t>
      </w:r>
      <w:r w:rsidR="00B30BB2">
        <w:t xml:space="preserve"> </w:t>
      </w:r>
    </w:p>
    <w:p w14:paraId="04317FBF" w14:textId="77777777" w:rsidR="00866229" w:rsidRDefault="00866229" w:rsidP="009D1149">
      <w:pPr>
        <w:ind w:left="0"/>
        <w:rPr>
          <w:rFonts w:cs="Arial"/>
        </w:rPr>
      </w:pPr>
    </w:p>
    <w:p w14:paraId="04D51306" w14:textId="174642B1" w:rsidR="008C59E7" w:rsidRPr="0056585A" w:rsidRDefault="008C59E7">
      <w:pPr>
        <w:ind w:left="0"/>
        <w:rPr>
          <w:rFonts w:cs="Arial"/>
        </w:rPr>
      </w:pPr>
      <w:r w:rsidRPr="00BB090C">
        <w:rPr>
          <w:rFonts w:cs="Arial"/>
          <w:u w:val="single"/>
        </w:rPr>
        <w:t xml:space="preserve">Project </w:t>
      </w:r>
      <w:r w:rsidRPr="0056585A">
        <w:rPr>
          <w:rFonts w:cs="Arial"/>
          <w:u w:val="single"/>
        </w:rPr>
        <w:t>Time Schedule</w:t>
      </w:r>
      <w:r w:rsidR="0056585A" w:rsidRPr="0056585A">
        <w:rPr>
          <w:rFonts w:cs="Arial"/>
        </w:rPr>
        <w:t xml:space="preserve"> </w:t>
      </w:r>
    </w:p>
    <w:p w14:paraId="7D477A5C" w14:textId="5C12F71B" w:rsidR="008C59E7" w:rsidRPr="0056585A" w:rsidRDefault="008C59E7">
      <w:pPr>
        <w:pStyle w:val="ListParagraph"/>
        <w:numPr>
          <w:ilvl w:val="0"/>
          <w:numId w:val="17"/>
        </w:numPr>
        <w:tabs>
          <w:tab w:val="right" w:leader="dot" w:pos="9360"/>
        </w:tabs>
      </w:pPr>
      <w:r w:rsidRPr="0056585A">
        <w:rPr>
          <w:rFonts w:eastAsiaTheme="majorEastAsia" w:cstheme="majorBidi"/>
        </w:rPr>
        <w:t xml:space="preserve">Design </w:t>
      </w:r>
      <w:r w:rsidR="0056585A">
        <w:rPr>
          <w:rFonts w:eastAsiaTheme="majorEastAsia" w:cstheme="majorBidi"/>
        </w:rPr>
        <w:t>Sexual Violence Prevention Strategy Description</w:t>
      </w:r>
      <w:r w:rsidRPr="0056585A">
        <w:tab/>
      </w:r>
      <w:r w:rsidRPr="0056585A">
        <w:rPr>
          <w:rFonts w:eastAsiaTheme="majorEastAsia" w:cstheme="majorBidi"/>
        </w:rPr>
        <w:t>(COMPLETE)</w:t>
      </w:r>
    </w:p>
    <w:p w14:paraId="3A2E0991" w14:textId="77777777" w:rsidR="008C59E7" w:rsidRPr="0056585A" w:rsidRDefault="008C59E7">
      <w:pPr>
        <w:pStyle w:val="ListParagraph"/>
        <w:numPr>
          <w:ilvl w:val="0"/>
          <w:numId w:val="18"/>
        </w:numPr>
        <w:tabs>
          <w:tab w:val="right" w:leader="dot" w:pos="9360"/>
        </w:tabs>
      </w:pPr>
      <w:r w:rsidRPr="0056585A">
        <w:rPr>
          <w:rFonts w:eastAsiaTheme="majorEastAsia" w:cstheme="majorBidi"/>
        </w:rPr>
        <w:t xml:space="preserve">Develop protocol, instructions, and analysis plan </w:t>
      </w:r>
      <w:r w:rsidRPr="0056585A">
        <w:tab/>
      </w:r>
      <w:r w:rsidRPr="0056585A">
        <w:rPr>
          <w:rFonts w:eastAsiaTheme="majorEastAsia" w:cstheme="majorBidi"/>
        </w:rPr>
        <w:t>(COMPLETE)</w:t>
      </w:r>
    </w:p>
    <w:p w14:paraId="1331DA1E" w14:textId="77777777" w:rsidR="008C59E7" w:rsidRPr="0056585A" w:rsidRDefault="008C59E7" w:rsidP="0051623E">
      <w:pPr>
        <w:pStyle w:val="ListParagraph"/>
        <w:numPr>
          <w:ilvl w:val="0"/>
          <w:numId w:val="21"/>
        </w:numPr>
        <w:tabs>
          <w:tab w:val="right" w:leader="dot" w:pos="9360"/>
        </w:tabs>
        <w:ind w:left="720"/>
      </w:pPr>
      <w:r w:rsidRPr="0056585A">
        <w:rPr>
          <w:rFonts w:eastAsiaTheme="majorEastAsia" w:cstheme="majorBidi"/>
        </w:rPr>
        <w:t xml:space="preserve">Pilot test questionnaire </w:t>
      </w:r>
      <w:r w:rsidRPr="0056585A">
        <w:tab/>
      </w:r>
      <w:r w:rsidRPr="0056585A">
        <w:rPr>
          <w:rFonts w:eastAsiaTheme="majorEastAsia" w:cstheme="majorBidi"/>
        </w:rPr>
        <w:t>(COMPLETE)</w:t>
      </w:r>
    </w:p>
    <w:p w14:paraId="7A896D96" w14:textId="77777777" w:rsidR="008C59E7" w:rsidRPr="0056585A" w:rsidRDefault="008C59E7" w:rsidP="0051623E">
      <w:pPr>
        <w:pStyle w:val="ListParagraph"/>
        <w:numPr>
          <w:ilvl w:val="0"/>
          <w:numId w:val="21"/>
        </w:numPr>
        <w:tabs>
          <w:tab w:val="right" w:leader="dot" w:pos="9360"/>
        </w:tabs>
        <w:ind w:left="720"/>
      </w:pPr>
      <w:r w:rsidRPr="0056585A">
        <w:rPr>
          <w:rFonts w:eastAsiaTheme="majorEastAsia" w:cstheme="majorBidi"/>
        </w:rPr>
        <w:t xml:space="preserve">Prepare OMB package </w:t>
      </w:r>
      <w:r w:rsidRPr="0056585A">
        <w:tab/>
      </w:r>
      <w:r w:rsidRPr="0056585A">
        <w:rPr>
          <w:rFonts w:eastAsiaTheme="majorEastAsia" w:cstheme="majorBidi"/>
        </w:rPr>
        <w:t>(COMPLETE)</w:t>
      </w:r>
    </w:p>
    <w:p w14:paraId="053E18A5" w14:textId="77777777" w:rsidR="008C59E7" w:rsidRPr="0056585A" w:rsidRDefault="008C59E7" w:rsidP="0051623E">
      <w:pPr>
        <w:pStyle w:val="ListParagraph"/>
        <w:numPr>
          <w:ilvl w:val="0"/>
          <w:numId w:val="21"/>
        </w:numPr>
        <w:tabs>
          <w:tab w:val="right" w:leader="dot" w:pos="9360"/>
        </w:tabs>
        <w:ind w:left="720"/>
      </w:pPr>
      <w:r w:rsidRPr="0056585A">
        <w:rPr>
          <w:rFonts w:eastAsiaTheme="majorEastAsia" w:cstheme="majorBidi"/>
        </w:rPr>
        <w:t xml:space="preserve">Submit OMB package </w:t>
      </w:r>
      <w:r w:rsidRPr="0056585A">
        <w:tab/>
      </w:r>
      <w:r w:rsidRPr="0056585A">
        <w:rPr>
          <w:rFonts w:eastAsiaTheme="majorEastAsia" w:cstheme="majorBidi"/>
        </w:rPr>
        <w:t>(COMPLETE)</w:t>
      </w:r>
    </w:p>
    <w:p w14:paraId="3A441CE0" w14:textId="77777777" w:rsidR="008C59E7" w:rsidRPr="0056585A" w:rsidRDefault="008C59E7">
      <w:pPr>
        <w:pStyle w:val="ListParagraph"/>
        <w:numPr>
          <w:ilvl w:val="0"/>
          <w:numId w:val="16"/>
        </w:numPr>
        <w:tabs>
          <w:tab w:val="right" w:leader="dot" w:pos="9360"/>
        </w:tabs>
      </w:pPr>
      <w:r w:rsidRPr="0056585A">
        <w:rPr>
          <w:rFonts w:eastAsiaTheme="majorEastAsia" w:cstheme="majorBidi"/>
        </w:rPr>
        <w:t xml:space="preserve">OMB approval </w:t>
      </w:r>
      <w:r w:rsidRPr="0056585A">
        <w:tab/>
      </w:r>
      <w:r w:rsidRPr="0056585A">
        <w:rPr>
          <w:rFonts w:eastAsiaTheme="majorEastAsia" w:cstheme="majorBidi"/>
        </w:rPr>
        <w:t>(TBD)</w:t>
      </w:r>
    </w:p>
    <w:p w14:paraId="47AA2A5D" w14:textId="2C07C38B" w:rsidR="0056585A" w:rsidRPr="0056585A" w:rsidRDefault="0056585A">
      <w:pPr>
        <w:pStyle w:val="ListParagraph"/>
        <w:numPr>
          <w:ilvl w:val="0"/>
          <w:numId w:val="16"/>
        </w:numPr>
        <w:tabs>
          <w:tab w:val="right" w:leader="dot" w:pos="9360"/>
        </w:tabs>
      </w:pPr>
      <w:r w:rsidRPr="0056585A">
        <w:rPr>
          <w:rFonts w:eastAsiaTheme="majorEastAsia" w:cstheme="majorBidi"/>
        </w:rPr>
        <w:t xml:space="preserve">Solicit nominations </w:t>
      </w:r>
      <w:r w:rsidRPr="0056585A">
        <w:tab/>
      </w:r>
      <w:r w:rsidRPr="0056585A">
        <w:rPr>
          <w:rFonts w:eastAsiaTheme="majorEastAsia" w:cstheme="majorBidi"/>
        </w:rPr>
        <w:t>(</w:t>
      </w:r>
      <w:r w:rsidR="00252EEB">
        <w:rPr>
          <w:rFonts w:eastAsiaTheme="majorEastAsia" w:cstheme="majorBidi"/>
        </w:rPr>
        <w:t>4</w:t>
      </w:r>
      <w:r w:rsidR="00552453">
        <w:rPr>
          <w:rFonts w:eastAsiaTheme="majorEastAsia" w:cstheme="majorBidi"/>
        </w:rPr>
        <w:t>–6</w:t>
      </w:r>
      <w:r w:rsidRPr="0056585A">
        <w:rPr>
          <w:rFonts w:eastAsiaTheme="majorEastAsia" w:cstheme="majorBidi"/>
        </w:rPr>
        <w:t xml:space="preserve"> </w:t>
      </w:r>
      <w:r w:rsidR="00252EEB">
        <w:rPr>
          <w:rFonts w:eastAsiaTheme="majorEastAsia" w:cstheme="majorBidi"/>
        </w:rPr>
        <w:t>weeks</w:t>
      </w:r>
      <w:r w:rsidRPr="0056585A">
        <w:rPr>
          <w:rFonts w:eastAsiaTheme="majorEastAsia" w:cstheme="majorBidi"/>
        </w:rPr>
        <w:t>)</w:t>
      </w:r>
    </w:p>
    <w:p w14:paraId="6628028E" w14:textId="6F658D86" w:rsidR="0056585A" w:rsidRPr="0056585A" w:rsidRDefault="0056585A">
      <w:pPr>
        <w:pStyle w:val="ListParagraph"/>
        <w:numPr>
          <w:ilvl w:val="0"/>
          <w:numId w:val="16"/>
        </w:numPr>
        <w:tabs>
          <w:tab w:val="right" w:leader="dot" w:pos="9360"/>
        </w:tabs>
      </w:pPr>
      <w:r w:rsidRPr="0056585A">
        <w:rPr>
          <w:rFonts w:eastAsiaTheme="majorEastAsia" w:cstheme="majorBidi"/>
        </w:rPr>
        <w:t xml:space="preserve">Code and analyze </w:t>
      </w:r>
      <w:r w:rsidR="00F4042A">
        <w:rPr>
          <w:rFonts w:eastAsiaTheme="majorEastAsia" w:cstheme="majorBidi"/>
        </w:rPr>
        <w:t>information</w:t>
      </w:r>
      <w:r w:rsidRPr="0056585A">
        <w:rPr>
          <w:rFonts w:cs="Arial"/>
        </w:rPr>
        <w:tab/>
      </w:r>
      <w:r w:rsidRPr="0056585A">
        <w:rPr>
          <w:rFonts w:eastAsiaTheme="majorEastAsia" w:cstheme="majorBidi"/>
        </w:rPr>
        <w:t>(</w:t>
      </w:r>
      <w:r w:rsidR="00252EEB">
        <w:rPr>
          <w:rFonts w:eastAsiaTheme="majorEastAsia" w:cstheme="majorBidi"/>
        </w:rPr>
        <w:t>4</w:t>
      </w:r>
      <w:r w:rsidR="00252EEB" w:rsidRPr="0056585A">
        <w:rPr>
          <w:rFonts w:eastAsiaTheme="majorEastAsia" w:cstheme="majorBidi"/>
        </w:rPr>
        <w:t xml:space="preserve"> </w:t>
      </w:r>
      <w:r w:rsidR="00252EEB">
        <w:rPr>
          <w:rFonts w:eastAsiaTheme="majorEastAsia" w:cstheme="majorBidi"/>
        </w:rPr>
        <w:t>weeks</w:t>
      </w:r>
      <w:r w:rsidRPr="0056585A">
        <w:rPr>
          <w:rFonts w:eastAsiaTheme="majorEastAsia" w:cstheme="majorBidi"/>
        </w:rPr>
        <w:t>)</w:t>
      </w:r>
    </w:p>
    <w:p w14:paraId="27F6FA72" w14:textId="7D6DBD68" w:rsidR="0056585A" w:rsidRPr="0056585A" w:rsidRDefault="0056585A">
      <w:pPr>
        <w:pStyle w:val="ListParagraph"/>
        <w:numPr>
          <w:ilvl w:val="0"/>
          <w:numId w:val="16"/>
        </w:numPr>
        <w:tabs>
          <w:tab w:val="right" w:leader="dot" w:pos="9360"/>
        </w:tabs>
      </w:pPr>
      <w:r w:rsidRPr="0056585A">
        <w:rPr>
          <w:rFonts w:eastAsiaTheme="majorEastAsia" w:cstheme="majorBidi"/>
        </w:rPr>
        <w:t xml:space="preserve">Prepare </w:t>
      </w:r>
      <w:r w:rsidR="00551420">
        <w:rPr>
          <w:rFonts w:eastAsiaTheme="majorEastAsia" w:cstheme="majorBidi"/>
        </w:rPr>
        <w:t xml:space="preserve">and </w:t>
      </w:r>
      <w:r w:rsidR="00AD47C4">
        <w:rPr>
          <w:rFonts w:eastAsiaTheme="majorEastAsia" w:cstheme="majorBidi"/>
        </w:rPr>
        <w:t>provide</w:t>
      </w:r>
      <w:r w:rsidR="00551420">
        <w:rPr>
          <w:rFonts w:eastAsiaTheme="majorEastAsia" w:cstheme="majorBidi"/>
        </w:rPr>
        <w:t xml:space="preserve"> reports to review panel</w:t>
      </w:r>
      <w:r w:rsidR="00551420" w:rsidRPr="0056585A">
        <w:rPr>
          <w:rFonts w:eastAsiaTheme="majorEastAsia" w:cstheme="majorBidi"/>
        </w:rPr>
        <w:t xml:space="preserve"> </w:t>
      </w:r>
      <w:r w:rsidRPr="0056585A">
        <w:tab/>
      </w:r>
      <w:r w:rsidRPr="0056585A">
        <w:rPr>
          <w:rFonts w:eastAsiaTheme="majorEastAsia" w:cstheme="majorBidi"/>
        </w:rPr>
        <w:t>(</w:t>
      </w:r>
      <w:r w:rsidR="00252EEB">
        <w:rPr>
          <w:rFonts w:eastAsiaTheme="majorEastAsia" w:cstheme="majorBidi"/>
        </w:rPr>
        <w:t>4</w:t>
      </w:r>
      <w:r w:rsidR="00252EEB" w:rsidRPr="0056585A">
        <w:rPr>
          <w:rFonts w:eastAsiaTheme="majorEastAsia" w:cstheme="majorBidi"/>
        </w:rPr>
        <w:t xml:space="preserve"> </w:t>
      </w:r>
      <w:r w:rsidR="00252EEB">
        <w:rPr>
          <w:rFonts w:eastAsiaTheme="majorEastAsia" w:cstheme="majorBidi"/>
        </w:rPr>
        <w:t>weeks</w:t>
      </w:r>
      <w:r w:rsidRPr="0056585A">
        <w:rPr>
          <w:rFonts w:eastAsiaTheme="majorEastAsia" w:cstheme="majorBidi"/>
        </w:rPr>
        <w:t>)</w:t>
      </w:r>
    </w:p>
    <w:p w14:paraId="3E5F937A" w14:textId="65C69BBC" w:rsidR="00CC05A6" w:rsidRPr="003B2968" w:rsidRDefault="0039220E">
      <w:pPr>
        <w:pStyle w:val="ListParagraph"/>
        <w:numPr>
          <w:ilvl w:val="0"/>
          <w:numId w:val="16"/>
        </w:numPr>
        <w:tabs>
          <w:tab w:val="right" w:leader="dot" w:pos="9360"/>
        </w:tabs>
      </w:pPr>
      <w:r>
        <w:rPr>
          <w:rFonts w:eastAsiaTheme="majorEastAsia" w:cstheme="majorBidi"/>
        </w:rPr>
        <w:t>Review p</w:t>
      </w:r>
      <w:r w:rsidR="00B40359">
        <w:rPr>
          <w:rFonts w:eastAsiaTheme="majorEastAsia" w:cstheme="majorBidi"/>
        </w:rPr>
        <w:t>anel review and rate based on specified criteria</w:t>
      </w:r>
      <w:r w:rsidR="00B40359">
        <w:rPr>
          <w:rFonts w:eastAsiaTheme="majorEastAsia" w:cstheme="majorBidi"/>
        </w:rPr>
        <w:tab/>
        <w:t>(4 weeks)</w:t>
      </w:r>
    </w:p>
    <w:p w14:paraId="5E505FD6" w14:textId="5AC98BC1" w:rsidR="00B40359" w:rsidRPr="007A2B8E" w:rsidRDefault="00BD4124">
      <w:pPr>
        <w:pStyle w:val="ListParagraph"/>
        <w:numPr>
          <w:ilvl w:val="0"/>
          <w:numId w:val="16"/>
        </w:numPr>
        <w:tabs>
          <w:tab w:val="right" w:leader="dot" w:pos="9360"/>
        </w:tabs>
      </w:pPr>
      <w:r>
        <w:rPr>
          <w:rFonts w:eastAsiaTheme="majorEastAsia" w:cstheme="majorBidi"/>
        </w:rPr>
        <w:t>Select</w:t>
      </w:r>
      <w:r w:rsidR="00B40359">
        <w:rPr>
          <w:rFonts w:eastAsiaTheme="majorEastAsia" w:cstheme="majorBidi"/>
        </w:rPr>
        <w:t xml:space="preserve"> </w:t>
      </w:r>
      <w:r w:rsidR="008C1F58">
        <w:rPr>
          <w:rFonts w:eastAsiaTheme="majorEastAsia" w:cstheme="majorBidi"/>
        </w:rPr>
        <w:t xml:space="preserve">prevention </w:t>
      </w:r>
      <w:r w:rsidR="00A47605">
        <w:rPr>
          <w:rFonts w:eastAsiaTheme="majorEastAsia" w:cstheme="majorBidi"/>
        </w:rPr>
        <w:t xml:space="preserve">strategies </w:t>
      </w:r>
      <w:r>
        <w:rPr>
          <w:rFonts w:eastAsiaTheme="majorEastAsia" w:cstheme="majorBidi"/>
        </w:rPr>
        <w:t xml:space="preserve">for </w:t>
      </w:r>
      <w:r w:rsidR="00B40359">
        <w:rPr>
          <w:rFonts w:eastAsiaTheme="majorEastAsia" w:cstheme="majorBidi"/>
        </w:rPr>
        <w:t xml:space="preserve">site visit </w:t>
      </w:r>
      <w:r w:rsidR="00461E7A">
        <w:rPr>
          <w:rFonts w:eastAsiaTheme="majorEastAsia" w:cstheme="majorBidi"/>
        </w:rPr>
        <w:t>EA</w:t>
      </w:r>
      <w:r w:rsidR="00B40359">
        <w:rPr>
          <w:rFonts w:eastAsiaTheme="majorEastAsia" w:cstheme="majorBidi"/>
        </w:rPr>
        <w:tab/>
        <w:t>(4 weeks)</w:t>
      </w:r>
    </w:p>
    <w:p w14:paraId="4F8968BC" w14:textId="68FEF461" w:rsidR="009317AB" w:rsidRPr="0056585A" w:rsidRDefault="009317AB">
      <w:pPr>
        <w:pStyle w:val="ListParagraph"/>
        <w:numPr>
          <w:ilvl w:val="0"/>
          <w:numId w:val="16"/>
        </w:numPr>
        <w:tabs>
          <w:tab w:val="right" w:leader="dot" w:pos="9360"/>
        </w:tabs>
      </w:pPr>
      <w:r w:rsidRPr="009317AB">
        <w:rPr>
          <w:rFonts w:eastAsiaTheme="majorEastAsia" w:cstheme="majorBidi"/>
        </w:rPr>
        <w:t xml:space="preserve">Prepare and </w:t>
      </w:r>
      <w:r w:rsidR="00551420" w:rsidRPr="009317AB">
        <w:rPr>
          <w:rFonts w:eastAsiaTheme="majorEastAsia" w:cstheme="majorBidi"/>
        </w:rPr>
        <w:t>disseminate</w:t>
      </w:r>
      <w:r w:rsidRPr="009317AB">
        <w:rPr>
          <w:rFonts w:eastAsiaTheme="majorEastAsia" w:cstheme="majorBidi"/>
        </w:rPr>
        <w:t xml:space="preserve"> reports</w:t>
      </w:r>
      <w:r w:rsidR="007F42E6">
        <w:rPr>
          <w:rFonts w:eastAsiaTheme="majorEastAsia" w:cstheme="majorBidi"/>
        </w:rPr>
        <w:t xml:space="preserve"> about the results of the </w:t>
      </w:r>
      <w:r w:rsidR="005E3378">
        <w:rPr>
          <w:rFonts w:eastAsiaTheme="majorEastAsia" w:cstheme="majorBidi"/>
        </w:rPr>
        <w:t>review panel</w:t>
      </w:r>
      <w:r w:rsidRPr="0056585A">
        <w:tab/>
      </w:r>
      <w:r w:rsidRPr="009317AB">
        <w:rPr>
          <w:rFonts w:eastAsiaTheme="majorEastAsia" w:cstheme="majorBidi"/>
        </w:rPr>
        <w:t>(4 weeks)</w:t>
      </w:r>
    </w:p>
    <w:p w14:paraId="361D61BB" w14:textId="77777777" w:rsidR="000A71DF" w:rsidRDefault="000A71DF"/>
    <w:p w14:paraId="203B0E17" w14:textId="77777777" w:rsidR="00B12F51" w:rsidRPr="00D75750" w:rsidRDefault="00D75750">
      <w:pPr>
        <w:pStyle w:val="Heading4"/>
        <w:spacing w:after="0"/>
      </w:pPr>
      <w:bookmarkStart w:id="22" w:name="_Toc427752830"/>
      <w:r w:rsidRPr="00D75750">
        <w:t xml:space="preserve">Reason(s) Display of OMB Expiration </w:t>
      </w:r>
      <w:r>
        <w:t xml:space="preserve">Date </w:t>
      </w:r>
      <w:r w:rsidRPr="00D75750">
        <w:t>is Inappropriate</w:t>
      </w:r>
      <w:bookmarkEnd w:id="22"/>
    </w:p>
    <w:p w14:paraId="149842F4" w14:textId="77777777" w:rsidR="00F52BCC" w:rsidRDefault="00180D45">
      <w:pPr>
        <w:ind w:left="0"/>
      </w:pPr>
      <w:r>
        <w:t>We are requesting no exemption.</w:t>
      </w:r>
    </w:p>
    <w:p w14:paraId="304D3FC4" w14:textId="77777777" w:rsidR="00F52BCC" w:rsidRDefault="00F52BCC"/>
    <w:p w14:paraId="4B41CFA9" w14:textId="78206219" w:rsidR="00037956" w:rsidRDefault="00037956"/>
    <w:p w14:paraId="0B4F313B" w14:textId="77777777" w:rsidR="00037956" w:rsidRPr="007E6167" w:rsidRDefault="00037956"/>
    <w:p w14:paraId="1E9413BA" w14:textId="77777777" w:rsidR="00B12F51" w:rsidRPr="00D26A64" w:rsidRDefault="00B12F51">
      <w:pPr>
        <w:pStyle w:val="Heading4"/>
        <w:spacing w:after="0"/>
      </w:pPr>
      <w:bookmarkStart w:id="23" w:name="_Toc427752831"/>
      <w:r w:rsidRPr="00D26A64">
        <w:lastRenderedPageBreak/>
        <w:t>Exceptions to Certification for Paperwork Reduction Act Submissions</w:t>
      </w:r>
      <w:bookmarkEnd w:id="23"/>
    </w:p>
    <w:p w14:paraId="31C59206" w14:textId="77777777" w:rsidR="00F52BCC" w:rsidRDefault="0031279F">
      <w:pPr>
        <w:ind w:left="0"/>
      </w:pPr>
      <w:r>
        <w:t>There are no exceptions to the certification.</w:t>
      </w:r>
      <w:r w:rsidR="00180D45">
        <w:t xml:space="preserve">  These activities comply with the requirements in 5 CFR 1320.9.</w:t>
      </w:r>
    </w:p>
    <w:p w14:paraId="57F4994F" w14:textId="77777777" w:rsidR="00D1343B" w:rsidRPr="007E6167" w:rsidRDefault="00D1343B" w:rsidP="009D1149">
      <w:pPr>
        <w:ind w:left="0"/>
      </w:pPr>
    </w:p>
    <w:p w14:paraId="5DAA3EB8" w14:textId="77777777" w:rsidR="00A36419" w:rsidRDefault="00A36419" w:rsidP="009D1149">
      <w:pPr>
        <w:pStyle w:val="Heading3"/>
        <w:ind w:left="0"/>
      </w:pPr>
      <w:bookmarkStart w:id="24" w:name="_Toc427752832"/>
      <w:r>
        <w:t>LIST OF ATTACHMENTS</w:t>
      </w:r>
      <w:r w:rsidR="00A33E90">
        <w:t xml:space="preserve"> – Section A</w:t>
      </w:r>
      <w:bookmarkEnd w:id="24"/>
    </w:p>
    <w:p w14:paraId="1DE93DFF" w14:textId="77777777" w:rsidR="00CE0D80" w:rsidRPr="007A25F9" w:rsidRDefault="00CE0D80" w:rsidP="00E019CA">
      <w:pPr>
        <w:pStyle w:val="ListParagraph"/>
        <w:numPr>
          <w:ilvl w:val="0"/>
          <w:numId w:val="26"/>
        </w:numPr>
        <w:tabs>
          <w:tab w:val="clear" w:pos="9360"/>
        </w:tabs>
        <w:ind w:left="720"/>
      </w:pPr>
      <w:r w:rsidRPr="007A25F9">
        <w:t>RPE Awardees and Sub-Awardees Count</w:t>
      </w:r>
    </w:p>
    <w:p w14:paraId="3FE05436" w14:textId="042ADCCB" w:rsidR="000C4B34" w:rsidRPr="007C3C08" w:rsidRDefault="00D4639D" w:rsidP="009D1149">
      <w:pPr>
        <w:pStyle w:val="ListParagraph"/>
        <w:numPr>
          <w:ilvl w:val="0"/>
          <w:numId w:val="26"/>
        </w:numPr>
        <w:tabs>
          <w:tab w:val="clear" w:pos="9360"/>
        </w:tabs>
        <w:ind w:left="720"/>
      </w:pPr>
      <w:r w:rsidRPr="008718B3">
        <w:rPr>
          <w:rFonts w:cs="Arial"/>
          <w:bCs/>
        </w:rPr>
        <w:t xml:space="preserve">VAWA </w:t>
      </w:r>
      <w:r w:rsidR="0001182C" w:rsidRPr="008718B3">
        <w:rPr>
          <w:rFonts w:cs="Arial"/>
          <w:bCs/>
        </w:rPr>
        <w:t xml:space="preserve">Reauthorization </w:t>
      </w:r>
      <w:r w:rsidR="000C4B34" w:rsidRPr="007C3C08">
        <w:rPr>
          <w:rFonts w:cs="Arial"/>
          <w:bCs/>
        </w:rPr>
        <w:t>Legislation</w:t>
      </w:r>
    </w:p>
    <w:p w14:paraId="7B650BE5" w14:textId="7B75C37B" w:rsidR="0001182C" w:rsidRPr="007A25F9" w:rsidRDefault="0001182C" w:rsidP="009D1149">
      <w:pPr>
        <w:pStyle w:val="ListParagraph"/>
        <w:numPr>
          <w:ilvl w:val="0"/>
          <w:numId w:val="26"/>
        </w:numPr>
        <w:tabs>
          <w:tab w:val="clear" w:pos="9360"/>
        </w:tabs>
        <w:ind w:left="720"/>
      </w:pPr>
      <w:r w:rsidRPr="007A25F9">
        <w:t>Public Health Service Act 42 USC</w:t>
      </w:r>
      <w:r w:rsidR="00094FF8">
        <w:t xml:space="preserve"> 2</w:t>
      </w:r>
      <w:r w:rsidRPr="007A25F9">
        <w:t>80b-1b</w:t>
      </w:r>
    </w:p>
    <w:p w14:paraId="555C1578" w14:textId="48B08A97" w:rsidR="00E2375F" w:rsidRPr="007A25F9" w:rsidRDefault="00E2375F" w:rsidP="009D1149">
      <w:pPr>
        <w:pStyle w:val="ListParagraph"/>
        <w:numPr>
          <w:ilvl w:val="0"/>
          <w:numId w:val="26"/>
        </w:numPr>
        <w:tabs>
          <w:tab w:val="clear" w:pos="9360"/>
        </w:tabs>
        <w:ind w:left="720"/>
      </w:pPr>
      <w:r w:rsidRPr="007A25F9">
        <w:t>Rape Prevention and Education Program Factsheet</w:t>
      </w:r>
    </w:p>
    <w:p w14:paraId="4D71E4D8" w14:textId="39C1E839" w:rsidR="00E647FB" w:rsidRPr="007A25F9" w:rsidRDefault="00951F2D" w:rsidP="009D1149">
      <w:pPr>
        <w:pStyle w:val="ListParagraph"/>
        <w:numPr>
          <w:ilvl w:val="0"/>
          <w:numId w:val="26"/>
        </w:numPr>
        <w:tabs>
          <w:tab w:val="clear" w:pos="9360"/>
        </w:tabs>
        <w:ind w:left="720"/>
      </w:pPr>
      <w:r w:rsidRPr="007A25F9">
        <w:rPr>
          <w:rFonts w:eastAsia="Times New Roman" w:cs="Times New Roman"/>
        </w:rPr>
        <w:t>Instrument</w:t>
      </w:r>
      <w:r w:rsidR="00E647FB" w:rsidRPr="007A25F9">
        <w:t xml:space="preserve"> Word </w:t>
      </w:r>
      <w:r w:rsidRPr="007A25F9">
        <w:t>V</w:t>
      </w:r>
      <w:r w:rsidR="00E647FB" w:rsidRPr="007A25F9">
        <w:t>ersion</w:t>
      </w:r>
    </w:p>
    <w:p w14:paraId="3084C526" w14:textId="17DF6D75" w:rsidR="000E6577" w:rsidRPr="007A25F9" w:rsidRDefault="00951F2D" w:rsidP="00EE5049">
      <w:pPr>
        <w:pStyle w:val="ListParagraph"/>
        <w:numPr>
          <w:ilvl w:val="0"/>
          <w:numId w:val="26"/>
        </w:numPr>
        <w:tabs>
          <w:tab w:val="clear" w:pos="9360"/>
        </w:tabs>
        <w:ind w:left="720"/>
      </w:pPr>
      <w:r w:rsidRPr="007A25F9">
        <w:t xml:space="preserve">Instrument </w:t>
      </w:r>
      <w:r w:rsidR="00E647FB" w:rsidRPr="007A25F9">
        <w:t xml:space="preserve">Web </w:t>
      </w:r>
      <w:r w:rsidRPr="007A25F9">
        <w:t>V</w:t>
      </w:r>
      <w:r w:rsidR="00E647FB" w:rsidRPr="007A25F9">
        <w:t>ersion</w:t>
      </w:r>
    </w:p>
    <w:p w14:paraId="31B4FF15" w14:textId="01D438E4" w:rsidR="00E96860" w:rsidRPr="007E6167" w:rsidRDefault="00E96860">
      <w:pPr>
        <w:ind w:left="0"/>
      </w:pPr>
      <w:bookmarkStart w:id="25" w:name="_Toc427752833"/>
    </w:p>
    <w:p w14:paraId="48174FED" w14:textId="25B1D13E" w:rsidR="00CC7188" w:rsidRDefault="00CC7188">
      <w:pPr>
        <w:pStyle w:val="Heading3"/>
        <w:ind w:left="0"/>
      </w:pPr>
      <w:r w:rsidRPr="00CC7188">
        <w:t xml:space="preserve">REFERENCE LIST </w:t>
      </w:r>
      <w:bookmarkEnd w:id="25"/>
    </w:p>
    <w:p w14:paraId="7F1BA0B0" w14:textId="77777777" w:rsidR="006F3472" w:rsidRDefault="000058E0" w:rsidP="009D1149">
      <w:pPr>
        <w:pStyle w:val="ListParagraph"/>
        <w:numPr>
          <w:ilvl w:val="2"/>
          <w:numId w:val="2"/>
        </w:numPr>
        <w:tabs>
          <w:tab w:val="clear" w:pos="9360"/>
        </w:tabs>
        <w:ind w:hanging="360"/>
      </w:pPr>
      <w:r w:rsidRPr="008C59E7">
        <w:t xml:space="preserve">Centers for Disease Control and Prevention (CDC). "National Public Health Performance Standards Program (NPHPSP): 10 Essential Public Health Services." Available at </w:t>
      </w:r>
      <w:hyperlink r:id="rId14" w:history="1">
        <w:r w:rsidR="006F3472" w:rsidRPr="002F239C">
          <w:rPr>
            <w:rStyle w:val="Hyperlink"/>
          </w:rPr>
          <w:t>http://www.cdc.gov/nphpsp/essentialservices.html. Accessed on 8/14/14</w:t>
        </w:r>
      </w:hyperlink>
      <w:r w:rsidRPr="008C59E7">
        <w:t>.</w:t>
      </w:r>
    </w:p>
    <w:p w14:paraId="10A4DA35" w14:textId="04DEDF5C" w:rsidR="006F3472" w:rsidRDefault="003D1D1A">
      <w:pPr>
        <w:pStyle w:val="ListParagraph"/>
        <w:numPr>
          <w:ilvl w:val="2"/>
          <w:numId w:val="2"/>
        </w:numPr>
        <w:tabs>
          <w:tab w:val="clear" w:pos="9360"/>
        </w:tabs>
        <w:ind w:hanging="360"/>
      </w:pPr>
      <w:r>
        <w:t>Breiding MJ, Smith SG, Basile KC</w:t>
      </w:r>
      <w:r w:rsidR="006F3472" w:rsidRPr="00F46DD5">
        <w:t xml:space="preserve">, </w:t>
      </w:r>
      <w:r>
        <w:t>Walters ML, Chen J, Merrick M</w:t>
      </w:r>
      <w:r w:rsidR="006F3472" w:rsidRPr="00F46DD5">
        <w:t xml:space="preserve">T. Prevalence and characteristics of sexual violence, stalking, and intimate partner violence victimization—national intimate partner and sexual violence survey, United States, 2011. </w:t>
      </w:r>
      <w:r>
        <w:t xml:space="preserve">MMWR Surveill Summ. 2014; </w:t>
      </w:r>
      <w:r w:rsidR="00006919">
        <w:t>63(8):</w:t>
      </w:r>
      <w:r w:rsidR="006F3472" w:rsidRPr="003D1D1A">
        <w:t xml:space="preserve">1-18. </w:t>
      </w:r>
    </w:p>
    <w:p w14:paraId="551CD050" w14:textId="22EA344E" w:rsidR="00FC5698" w:rsidRDefault="00006919">
      <w:pPr>
        <w:pStyle w:val="ListParagraph"/>
        <w:numPr>
          <w:ilvl w:val="2"/>
          <w:numId w:val="2"/>
        </w:numPr>
        <w:tabs>
          <w:tab w:val="clear" w:pos="9360"/>
        </w:tabs>
        <w:ind w:hanging="360"/>
      </w:pPr>
      <w:r>
        <w:t>DeGu</w:t>
      </w:r>
      <w:r w:rsidR="00FC5698">
        <w:t>e S, Valle LA, Holt MK, Massetti GM, Matjasko JL, Tharp, AT. A systematic review of primary prevention strategies for sexual violence perpetration. Aggression and Violent Behavior. 2014</w:t>
      </w:r>
      <w:r>
        <w:t>;19:346-362.</w:t>
      </w:r>
    </w:p>
    <w:p w14:paraId="43B10B12" w14:textId="0B660731" w:rsidR="004E34E3" w:rsidRDefault="004E34E3">
      <w:pPr>
        <w:pStyle w:val="ListParagraph"/>
        <w:numPr>
          <w:ilvl w:val="2"/>
          <w:numId w:val="2"/>
        </w:numPr>
        <w:tabs>
          <w:tab w:val="clear" w:pos="9360"/>
        </w:tabs>
        <w:ind w:hanging="360"/>
      </w:pPr>
      <w:r>
        <w:t xml:space="preserve">DeGue S, Simon TR, Basile KC, Yee SL, Lang K, Spivak, H. Moving forward by looking back: Reflecting on a decade of CDC’s work in sexual violence prevention, 2000-2010. Journal of Women’s Health. 2012; 21(12): 1211-1218. </w:t>
      </w:r>
    </w:p>
    <w:p w14:paraId="7415C29D" w14:textId="76056197" w:rsidR="004A71A4" w:rsidRDefault="009D1149">
      <w:pPr>
        <w:pStyle w:val="ListParagraph"/>
        <w:numPr>
          <w:ilvl w:val="2"/>
          <w:numId w:val="2"/>
        </w:numPr>
        <w:tabs>
          <w:tab w:val="clear" w:pos="9360"/>
        </w:tabs>
        <w:ind w:hanging="360"/>
      </w:pPr>
      <w:r>
        <w:t>Nation M, Crusto C, Wandersman A. What works in prevention: Principles of effective prevention programs. American Psychologist. 2003; 58(6-7): 449-456.</w:t>
      </w:r>
    </w:p>
    <w:p w14:paraId="24000F41" w14:textId="331E1C06" w:rsidR="00322687" w:rsidRDefault="004A71A4" w:rsidP="009D1149">
      <w:pPr>
        <w:pStyle w:val="ListParagraph"/>
        <w:numPr>
          <w:ilvl w:val="2"/>
          <w:numId w:val="2"/>
        </w:numPr>
        <w:tabs>
          <w:tab w:val="clear" w:pos="9360"/>
        </w:tabs>
        <w:ind w:hanging="360"/>
      </w:pPr>
      <w:r>
        <w:t>Basile KC, Lang KS, Bartenfeld TA</w:t>
      </w:r>
      <w:r w:rsidR="009D1149">
        <w:t>.</w:t>
      </w:r>
      <w:r>
        <w:t xml:space="preserve"> Clinton-Sherrod M. Evaluability assessment of the Rape Prevention and Education Program: Summary of findings and recommendations</w:t>
      </w:r>
      <w:r w:rsidR="00322687">
        <w:t xml:space="preserve">. Journal of Women’s Health. 2005; 14(3): 201-207. </w:t>
      </w:r>
    </w:p>
    <w:p w14:paraId="763C31E8" w14:textId="77777777" w:rsidR="00322687" w:rsidRDefault="00322687" w:rsidP="009D1149">
      <w:pPr>
        <w:pStyle w:val="ListParagraph"/>
        <w:numPr>
          <w:ilvl w:val="2"/>
          <w:numId w:val="2"/>
        </w:numPr>
        <w:tabs>
          <w:tab w:val="clear" w:pos="9360"/>
        </w:tabs>
        <w:ind w:hanging="360"/>
      </w:pPr>
      <w:r>
        <w:t>Wholey JS. Evaluation: Promise and performance. Washington, DC: The Urban Institute 1979.</w:t>
      </w:r>
    </w:p>
    <w:p w14:paraId="48032295" w14:textId="77777777" w:rsidR="00322687" w:rsidRDefault="00322687">
      <w:pPr>
        <w:pStyle w:val="ListParagraph"/>
        <w:numPr>
          <w:ilvl w:val="2"/>
          <w:numId w:val="2"/>
        </w:numPr>
        <w:tabs>
          <w:tab w:val="clear" w:pos="9360"/>
        </w:tabs>
        <w:ind w:hanging="360"/>
      </w:pPr>
      <w:r>
        <w:t>Rutman L. Planning useful evaluations: Evaluability assessment. Beverley Hills, CA: Sage, 1980.</w:t>
      </w:r>
    </w:p>
    <w:p w14:paraId="30341583" w14:textId="7109E761" w:rsidR="00BF6B80" w:rsidRDefault="00BF6B80">
      <w:pPr>
        <w:pStyle w:val="ListParagraph"/>
        <w:numPr>
          <w:ilvl w:val="2"/>
          <w:numId w:val="2"/>
        </w:numPr>
        <w:tabs>
          <w:tab w:val="clear" w:pos="9360"/>
        </w:tabs>
        <w:ind w:hanging="360"/>
      </w:pPr>
      <w:r>
        <w:t xml:space="preserve">Schorr LB, Farrow F. Expanding the evidence universe: Doing better by knowing more. </w:t>
      </w:r>
      <w:r w:rsidR="00985577">
        <w:t>Center for the Study of Social Policy. 2011; 58.</w:t>
      </w:r>
    </w:p>
    <w:p w14:paraId="4940EBB5" w14:textId="77777777" w:rsidR="00B1303E" w:rsidRDefault="003D1D1A">
      <w:pPr>
        <w:pStyle w:val="ListParagraph"/>
        <w:numPr>
          <w:ilvl w:val="2"/>
          <w:numId w:val="2"/>
        </w:numPr>
        <w:tabs>
          <w:tab w:val="clear" w:pos="9360"/>
        </w:tabs>
        <w:ind w:hanging="360"/>
      </w:pPr>
      <w:r>
        <w:t xml:space="preserve">Leviton LC, Gutman, MA. </w:t>
      </w:r>
      <w:r w:rsidR="006F3472" w:rsidRPr="003D30A5">
        <w:t xml:space="preserve">Overview and rationale for the Systematic Screening and </w:t>
      </w:r>
      <w:r w:rsidR="006F3472" w:rsidRPr="00B1303E">
        <w:t>Assessment method. In</w:t>
      </w:r>
      <w:r w:rsidRPr="00B1303E">
        <w:t xml:space="preserve">: Leviton C, </w:t>
      </w:r>
      <w:r w:rsidR="006F3472" w:rsidRPr="00B1303E">
        <w:t>Kettel Khan</w:t>
      </w:r>
      <w:r w:rsidRPr="00B1303E">
        <w:t xml:space="preserve"> L, D</w:t>
      </w:r>
      <w:r w:rsidR="006F3472" w:rsidRPr="00B1303E">
        <w:t xml:space="preserve">awkins </w:t>
      </w:r>
      <w:r w:rsidRPr="00B1303E">
        <w:t>N. ed.</w:t>
      </w:r>
      <w:r w:rsidR="006F3472" w:rsidRPr="00B1303E">
        <w:t xml:space="preserve"> </w:t>
      </w:r>
      <w:r w:rsidRPr="00B1303E">
        <w:t>New Directions for Evaluation. Wiley; 2010:</w:t>
      </w:r>
      <w:r w:rsidR="006F3472" w:rsidRPr="00B1303E">
        <w:t>7-31.</w:t>
      </w:r>
    </w:p>
    <w:p w14:paraId="18EB3A65" w14:textId="5A9F573E" w:rsidR="006F3472" w:rsidRPr="00B1303E" w:rsidRDefault="00354FCB">
      <w:pPr>
        <w:pStyle w:val="ListParagraph"/>
        <w:numPr>
          <w:ilvl w:val="2"/>
          <w:numId w:val="2"/>
        </w:numPr>
        <w:tabs>
          <w:tab w:val="clear" w:pos="9360"/>
        </w:tabs>
        <w:ind w:hanging="360"/>
      </w:pPr>
      <w:r w:rsidRPr="00B1303E">
        <w:rPr>
          <w:rFonts w:cs="Berkeley-Medium"/>
        </w:rPr>
        <w:t>Glasgow RE, Green LW</w:t>
      </w:r>
      <w:r w:rsidR="00B1303E" w:rsidRPr="00B1303E">
        <w:rPr>
          <w:rFonts w:cs="Berkeley-Medium"/>
        </w:rPr>
        <w:t>, Klesges</w:t>
      </w:r>
      <w:r w:rsidRPr="00B1303E">
        <w:rPr>
          <w:rFonts w:cs="Berkeley-Medium"/>
        </w:rPr>
        <w:t xml:space="preserve"> LW, e</w:t>
      </w:r>
      <w:r w:rsidR="00B1303E" w:rsidRPr="00B1303E">
        <w:rPr>
          <w:rFonts w:cs="Berkeley-Medium"/>
        </w:rPr>
        <w:t xml:space="preserve">t al. </w:t>
      </w:r>
      <w:r w:rsidRPr="00B1303E">
        <w:rPr>
          <w:rFonts w:cs="Berkeley-Medium"/>
        </w:rPr>
        <w:t xml:space="preserve">External validity: We need to do more. </w:t>
      </w:r>
      <w:r w:rsidRPr="00B1303E">
        <w:rPr>
          <w:rFonts w:cs="Berkeley-Italic"/>
          <w:iCs/>
        </w:rPr>
        <w:t>Annals of Behavioral Medicin</w:t>
      </w:r>
      <w:r w:rsidR="00B1303E" w:rsidRPr="00B1303E">
        <w:rPr>
          <w:rFonts w:cs="Berkeley-Italic"/>
          <w:iCs/>
        </w:rPr>
        <w:t xml:space="preserve">e. 2006; </w:t>
      </w:r>
      <w:r w:rsidRPr="00B1303E">
        <w:rPr>
          <w:rFonts w:cs="Berkeley-Italic"/>
          <w:iCs/>
        </w:rPr>
        <w:t>3</w:t>
      </w:r>
      <w:r w:rsidR="00B1303E" w:rsidRPr="00B1303E">
        <w:rPr>
          <w:rFonts w:cs="Berkeley-Italic"/>
          <w:iCs/>
        </w:rPr>
        <w:t>(</w:t>
      </w:r>
      <w:r w:rsidRPr="00B1303E">
        <w:rPr>
          <w:rFonts w:cs="Berkeley-Medium"/>
        </w:rPr>
        <w:t>12</w:t>
      </w:r>
      <w:r w:rsidR="00B1303E" w:rsidRPr="00B1303E">
        <w:rPr>
          <w:rFonts w:cs="Berkeley-Medium"/>
        </w:rPr>
        <w:t>): 105-108</w:t>
      </w:r>
      <w:r w:rsidRPr="00B1303E">
        <w:rPr>
          <w:rFonts w:cs="Berkeley-Medium"/>
        </w:rPr>
        <w:t>.</w:t>
      </w:r>
    </w:p>
    <w:sectPr w:rsidR="006F3472" w:rsidRPr="00B1303E" w:rsidSect="00385BB5">
      <w:headerReference w:type="default" r:id="rId15"/>
      <w:footerReference w:type="defaul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66E51" w14:textId="77777777" w:rsidR="00CC40A3" w:rsidRDefault="00CC40A3" w:rsidP="007D6163">
      <w:r>
        <w:separator/>
      </w:r>
    </w:p>
    <w:p w14:paraId="77D31A86" w14:textId="77777777" w:rsidR="00CC40A3" w:rsidRDefault="00CC40A3" w:rsidP="007D6163"/>
  </w:endnote>
  <w:endnote w:type="continuationSeparator" w:id="0">
    <w:p w14:paraId="33EE5FEB" w14:textId="77777777" w:rsidR="00CC40A3" w:rsidRDefault="00CC40A3" w:rsidP="007D6163">
      <w:r>
        <w:continuationSeparator/>
      </w:r>
    </w:p>
    <w:p w14:paraId="5AE29003" w14:textId="77777777" w:rsidR="00CC40A3" w:rsidRDefault="00CC40A3"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roman"/>
    <w:notTrueType/>
    <w:pitch w:val="default"/>
    <w:sig w:usb0="00000003" w:usb1="00000000" w:usb2="00000000" w:usb3="00000000" w:csb0="00000001" w:csb1="00000000"/>
  </w:font>
  <w:font w:name="Lato">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Shruti">
    <w:panose1 w:val="020B0502040204020203"/>
    <w:charset w:val="00"/>
    <w:family w:val="swiss"/>
    <w:pitch w:val="variable"/>
    <w:sig w:usb0="00040003" w:usb1="00000000" w:usb2="00000000" w:usb3="00000000" w:csb0="00000001" w:csb1="00000000"/>
  </w:font>
  <w:font w:name="Berkeley-Medium">
    <w:panose1 w:val="00000000000000000000"/>
    <w:charset w:val="00"/>
    <w:family w:val="auto"/>
    <w:notTrueType/>
    <w:pitch w:val="default"/>
    <w:sig w:usb0="00000003" w:usb1="00000000" w:usb2="00000000" w:usb3="00000000" w:csb0="00000001" w:csb1="00000000"/>
  </w:font>
  <w:font w:name="Berkeley-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51B59F8E" w14:textId="77777777" w:rsidR="00CC40A3" w:rsidRDefault="00CC40A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72B44">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72B44">
              <w:rPr>
                <w:b/>
                <w:bCs/>
                <w:noProof/>
              </w:rPr>
              <w:t>14</w:t>
            </w:r>
            <w:r>
              <w:rPr>
                <w:b/>
                <w:bCs/>
                <w:sz w:val="24"/>
                <w:szCs w:val="24"/>
              </w:rPr>
              <w:fldChar w:fldCharType="end"/>
            </w:r>
          </w:p>
        </w:sdtContent>
      </w:sdt>
    </w:sdtContent>
  </w:sdt>
  <w:p w14:paraId="3FB6FD60" w14:textId="77777777" w:rsidR="00CC40A3" w:rsidRDefault="00CC40A3"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0D77E" w14:textId="77777777" w:rsidR="00CC40A3" w:rsidRDefault="00CC40A3" w:rsidP="007D6163">
      <w:r>
        <w:separator/>
      </w:r>
    </w:p>
    <w:p w14:paraId="4227BDD0" w14:textId="77777777" w:rsidR="00CC40A3" w:rsidRDefault="00CC40A3" w:rsidP="007D6163"/>
  </w:footnote>
  <w:footnote w:type="continuationSeparator" w:id="0">
    <w:p w14:paraId="4BA60D55" w14:textId="77777777" w:rsidR="00CC40A3" w:rsidRDefault="00CC40A3" w:rsidP="007D6163">
      <w:r>
        <w:continuationSeparator/>
      </w:r>
    </w:p>
    <w:p w14:paraId="3C5A618D" w14:textId="77777777" w:rsidR="00CC40A3" w:rsidRDefault="00CC40A3"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3C727" w14:textId="77777777" w:rsidR="00CC40A3" w:rsidRPr="00716F94" w:rsidRDefault="00CC40A3" w:rsidP="007D6163">
    <w:pPr>
      <w:pStyle w:val="Header"/>
      <w:rPr>
        <w:color w:val="0033CC"/>
      </w:rPr>
    </w:pPr>
    <w:r>
      <w:tab/>
    </w:r>
  </w:p>
  <w:p w14:paraId="300BE5A1" w14:textId="77777777" w:rsidR="00CC40A3" w:rsidRDefault="00CC40A3"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E4CB5"/>
    <w:multiLevelType w:val="hybridMultilevel"/>
    <w:tmpl w:val="D7DE1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22082"/>
    <w:multiLevelType w:val="hybridMultilevel"/>
    <w:tmpl w:val="2F427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F32C4B"/>
    <w:multiLevelType w:val="hybridMultilevel"/>
    <w:tmpl w:val="C4081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F2608B"/>
    <w:multiLevelType w:val="hybridMultilevel"/>
    <w:tmpl w:val="F7C289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AF3879"/>
    <w:multiLevelType w:val="hybridMultilevel"/>
    <w:tmpl w:val="204EB8C6"/>
    <w:lvl w:ilvl="0" w:tplc="FD5C5C6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0F0FA1"/>
    <w:multiLevelType w:val="hybridMultilevel"/>
    <w:tmpl w:val="596AC156"/>
    <w:lvl w:ilvl="0" w:tplc="805E065A">
      <w:start w:val="1"/>
      <w:numFmt w:val="decimal"/>
      <w:pStyle w:val="Heading4"/>
      <w:lvlText w:val="%1."/>
      <w:lvlJc w:val="left"/>
      <w:pPr>
        <w:ind w:left="405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9" w15:restartNumberingAfterBreak="0">
    <w:nsid w:val="33DA708B"/>
    <w:multiLevelType w:val="hybridMultilevel"/>
    <w:tmpl w:val="C80C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D1405C"/>
    <w:multiLevelType w:val="hybridMultilevel"/>
    <w:tmpl w:val="959E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3C654E"/>
    <w:multiLevelType w:val="hybridMultilevel"/>
    <w:tmpl w:val="B8DA0332"/>
    <w:lvl w:ilvl="0" w:tplc="EB8045DC">
      <w:start w:val="1"/>
      <w:numFmt w:val="upp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C297D85"/>
    <w:multiLevelType w:val="hybridMultilevel"/>
    <w:tmpl w:val="6C9C02D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50407B8B"/>
    <w:multiLevelType w:val="hybridMultilevel"/>
    <w:tmpl w:val="A5DA209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508F5107"/>
    <w:multiLevelType w:val="hybridMultilevel"/>
    <w:tmpl w:val="5BBA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6" w15:restartNumberingAfterBreak="0">
    <w:nsid w:val="51363846"/>
    <w:multiLevelType w:val="hybridMultilevel"/>
    <w:tmpl w:val="FE4A2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2222C2"/>
    <w:multiLevelType w:val="hybridMultilevel"/>
    <w:tmpl w:val="40B0F64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CD7EA1"/>
    <w:multiLevelType w:val="hybridMultilevel"/>
    <w:tmpl w:val="6A84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1FF31F5"/>
    <w:multiLevelType w:val="hybridMultilevel"/>
    <w:tmpl w:val="1A5C8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CA33DE"/>
    <w:multiLevelType w:val="hybridMultilevel"/>
    <w:tmpl w:val="0A9EC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41"/>
  </w:num>
  <w:num w:numId="4">
    <w:abstractNumId w:val="14"/>
  </w:num>
  <w:num w:numId="5">
    <w:abstractNumId w:val="25"/>
  </w:num>
  <w:num w:numId="6">
    <w:abstractNumId w:val="10"/>
  </w:num>
  <w:num w:numId="7">
    <w:abstractNumId w:val="0"/>
  </w:num>
  <w:num w:numId="8">
    <w:abstractNumId w:val="6"/>
  </w:num>
  <w:num w:numId="9">
    <w:abstractNumId w:val="11"/>
  </w:num>
  <w:num w:numId="10">
    <w:abstractNumId w:val="31"/>
  </w:num>
  <w:num w:numId="11">
    <w:abstractNumId w:val="2"/>
  </w:num>
  <w:num w:numId="12">
    <w:abstractNumId w:val="40"/>
  </w:num>
  <w:num w:numId="13">
    <w:abstractNumId w:val="9"/>
  </w:num>
  <w:num w:numId="14">
    <w:abstractNumId w:val="3"/>
  </w:num>
  <w:num w:numId="15">
    <w:abstractNumId w:val="35"/>
  </w:num>
  <w:num w:numId="16">
    <w:abstractNumId w:val="37"/>
  </w:num>
  <w:num w:numId="17">
    <w:abstractNumId w:val="39"/>
  </w:num>
  <w:num w:numId="18">
    <w:abstractNumId w:val="17"/>
  </w:num>
  <w:num w:numId="19">
    <w:abstractNumId w:val="43"/>
  </w:num>
  <w:num w:numId="20">
    <w:abstractNumId w:val="28"/>
  </w:num>
  <w:num w:numId="21">
    <w:abstractNumId w:val="33"/>
  </w:num>
  <w:num w:numId="22">
    <w:abstractNumId w:val="27"/>
  </w:num>
  <w:num w:numId="23">
    <w:abstractNumId w:val="8"/>
  </w:num>
  <w:num w:numId="24">
    <w:abstractNumId w:val="36"/>
  </w:num>
  <w:num w:numId="25">
    <w:abstractNumId w:val="5"/>
  </w:num>
  <w:num w:numId="26">
    <w:abstractNumId w:val="21"/>
  </w:num>
  <w:num w:numId="27">
    <w:abstractNumId w:val="7"/>
  </w:num>
  <w:num w:numId="28">
    <w:abstractNumId w:val="13"/>
  </w:num>
  <w:num w:numId="29">
    <w:abstractNumId w:val="30"/>
  </w:num>
  <w:num w:numId="30">
    <w:abstractNumId w:val="42"/>
  </w:num>
  <w:num w:numId="31">
    <w:abstractNumId w:val="19"/>
  </w:num>
  <w:num w:numId="32">
    <w:abstractNumId w:val="24"/>
  </w:num>
  <w:num w:numId="33">
    <w:abstractNumId w:val="12"/>
  </w:num>
  <w:num w:numId="34">
    <w:abstractNumId w:val="16"/>
  </w:num>
  <w:num w:numId="35">
    <w:abstractNumId w:val="20"/>
  </w:num>
  <w:num w:numId="36">
    <w:abstractNumId w:val="4"/>
  </w:num>
  <w:num w:numId="37">
    <w:abstractNumId w:val="26"/>
  </w:num>
  <w:num w:numId="38">
    <w:abstractNumId w:val="15"/>
  </w:num>
  <w:num w:numId="39">
    <w:abstractNumId w:val="22"/>
  </w:num>
  <w:num w:numId="40">
    <w:abstractNumId w:val="23"/>
  </w:num>
  <w:num w:numId="41">
    <w:abstractNumId w:val="34"/>
  </w:num>
  <w:num w:numId="42">
    <w:abstractNumId w:val="38"/>
  </w:num>
  <w:num w:numId="43">
    <w:abstractNumId w:val="29"/>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E75"/>
    <w:rsid w:val="0000024A"/>
    <w:rsid w:val="00000A15"/>
    <w:rsid w:val="00001811"/>
    <w:rsid w:val="00003096"/>
    <w:rsid w:val="000056FE"/>
    <w:rsid w:val="000058E0"/>
    <w:rsid w:val="00006769"/>
    <w:rsid w:val="00006792"/>
    <w:rsid w:val="00006919"/>
    <w:rsid w:val="000069B7"/>
    <w:rsid w:val="00006E69"/>
    <w:rsid w:val="000113D4"/>
    <w:rsid w:val="0001182C"/>
    <w:rsid w:val="00011A98"/>
    <w:rsid w:val="00011F8D"/>
    <w:rsid w:val="00012863"/>
    <w:rsid w:val="00012AFE"/>
    <w:rsid w:val="000130B4"/>
    <w:rsid w:val="00013176"/>
    <w:rsid w:val="00014361"/>
    <w:rsid w:val="00014579"/>
    <w:rsid w:val="00014A70"/>
    <w:rsid w:val="00015C45"/>
    <w:rsid w:val="0002054E"/>
    <w:rsid w:val="00020F61"/>
    <w:rsid w:val="00021735"/>
    <w:rsid w:val="00021D3F"/>
    <w:rsid w:val="00027120"/>
    <w:rsid w:val="0003100D"/>
    <w:rsid w:val="00031211"/>
    <w:rsid w:val="00031420"/>
    <w:rsid w:val="0003226B"/>
    <w:rsid w:val="00033F91"/>
    <w:rsid w:val="0003416E"/>
    <w:rsid w:val="0003483D"/>
    <w:rsid w:val="00034B6E"/>
    <w:rsid w:val="00035995"/>
    <w:rsid w:val="00035D32"/>
    <w:rsid w:val="00036E56"/>
    <w:rsid w:val="000370EA"/>
    <w:rsid w:val="00037956"/>
    <w:rsid w:val="00040611"/>
    <w:rsid w:val="00040F37"/>
    <w:rsid w:val="0004251F"/>
    <w:rsid w:val="0004305C"/>
    <w:rsid w:val="0004415F"/>
    <w:rsid w:val="000443DA"/>
    <w:rsid w:val="000448FF"/>
    <w:rsid w:val="00044937"/>
    <w:rsid w:val="00045ACB"/>
    <w:rsid w:val="00045F34"/>
    <w:rsid w:val="000474FB"/>
    <w:rsid w:val="00047760"/>
    <w:rsid w:val="000507C4"/>
    <w:rsid w:val="00052254"/>
    <w:rsid w:val="00052A57"/>
    <w:rsid w:val="0005341C"/>
    <w:rsid w:val="00053654"/>
    <w:rsid w:val="00053A92"/>
    <w:rsid w:val="0005472E"/>
    <w:rsid w:val="00054776"/>
    <w:rsid w:val="00054839"/>
    <w:rsid w:val="00055906"/>
    <w:rsid w:val="00055DAE"/>
    <w:rsid w:val="00055F11"/>
    <w:rsid w:val="0005742B"/>
    <w:rsid w:val="00057F36"/>
    <w:rsid w:val="00060658"/>
    <w:rsid w:val="0006122E"/>
    <w:rsid w:val="00063D0E"/>
    <w:rsid w:val="0006526B"/>
    <w:rsid w:val="00067CA3"/>
    <w:rsid w:val="00072E1E"/>
    <w:rsid w:val="000734EE"/>
    <w:rsid w:val="00075EF0"/>
    <w:rsid w:val="00080A22"/>
    <w:rsid w:val="00083837"/>
    <w:rsid w:val="00084D98"/>
    <w:rsid w:val="00084F92"/>
    <w:rsid w:val="0008551D"/>
    <w:rsid w:val="0008559B"/>
    <w:rsid w:val="000864C6"/>
    <w:rsid w:val="00086E60"/>
    <w:rsid w:val="00091D3A"/>
    <w:rsid w:val="0009222D"/>
    <w:rsid w:val="0009246C"/>
    <w:rsid w:val="0009292C"/>
    <w:rsid w:val="0009371F"/>
    <w:rsid w:val="00094FF8"/>
    <w:rsid w:val="00095F50"/>
    <w:rsid w:val="00096226"/>
    <w:rsid w:val="000A07D3"/>
    <w:rsid w:val="000A10E9"/>
    <w:rsid w:val="000A1868"/>
    <w:rsid w:val="000A19F8"/>
    <w:rsid w:val="000A1D99"/>
    <w:rsid w:val="000A1F30"/>
    <w:rsid w:val="000A2D0C"/>
    <w:rsid w:val="000A5367"/>
    <w:rsid w:val="000A5973"/>
    <w:rsid w:val="000A71DF"/>
    <w:rsid w:val="000A77AC"/>
    <w:rsid w:val="000B0962"/>
    <w:rsid w:val="000B0C58"/>
    <w:rsid w:val="000B1A0F"/>
    <w:rsid w:val="000B2CBC"/>
    <w:rsid w:val="000B36D3"/>
    <w:rsid w:val="000B396F"/>
    <w:rsid w:val="000B4BEF"/>
    <w:rsid w:val="000B6840"/>
    <w:rsid w:val="000B6984"/>
    <w:rsid w:val="000B7078"/>
    <w:rsid w:val="000B7155"/>
    <w:rsid w:val="000B7459"/>
    <w:rsid w:val="000C0733"/>
    <w:rsid w:val="000C095F"/>
    <w:rsid w:val="000C25A3"/>
    <w:rsid w:val="000C3A06"/>
    <w:rsid w:val="000C4B34"/>
    <w:rsid w:val="000C51AB"/>
    <w:rsid w:val="000C548A"/>
    <w:rsid w:val="000D03E3"/>
    <w:rsid w:val="000D0BCD"/>
    <w:rsid w:val="000D2E36"/>
    <w:rsid w:val="000D3915"/>
    <w:rsid w:val="000D45FD"/>
    <w:rsid w:val="000D5CC6"/>
    <w:rsid w:val="000D67B1"/>
    <w:rsid w:val="000D769C"/>
    <w:rsid w:val="000E18A3"/>
    <w:rsid w:val="000E4437"/>
    <w:rsid w:val="000E6577"/>
    <w:rsid w:val="000E663E"/>
    <w:rsid w:val="000E7A19"/>
    <w:rsid w:val="000F0921"/>
    <w:rsid w:val="000F094E"/>
    <w:rsid w:val="000F1B2D"/>
    <w:rsid w:val="000F1D2F"/>
    <w:rsid w:val="000F2B9A"/>
    <w:rsid w:val="000F3FBA"/>
    <w:rsid w:val="000F7A35"/>
    <w:rsid w:val="000F7AE3"/>
    <w:rsid w:val="000F7C93"/>
    <w:rsid w:val="001028CA"/>
    <w:rsid w:val="00104A1B"/>
    <w:rsid w:val="00105177"/>
    <w:rsid w:val="001073FC"/>
    <w:rsid w:val="00107685"/>
    <w:rsid w:val="00114006"/>
    <w:rsid w:val="00116D2B"/>
    <w:rsid w:val="001177DD"/>
    <w:rsid w:val="00117AB0"/>
    <w:rsid w:val="00117B39"/>
    <w:rsid w:val="0012089A"/>
    <w:rsid w:val="00121C48"/>
    <w:rsid w:val="0012204B"/>
    <w:rsid w:val="001220BF"/>
    <w:rsid w:val="00123E8E"/>
    <w:rsid w:val="001257B8"/>
    <w:rsid w:val="0012600C"/>
    <w:rsid w:val="001264B8"/>
    <w:rsid w:val="00126B79"/>
    <w:rsid w:val="00126CFB"/>
    <w:rsid w:val="001278F2"/>
    <w:rsid w:val="001306CD"/>
    <w:rsid w:val="00130BAA"/>
    <w:rsid w:val="00132CED"/>
    <w:rsid w:val="00132E60"/>
    <w:rsid w:val="001337A2"/>
    <w:rsid w:val="001346CE"/>
    <w:rsid w:val="00135334"/>
    <w:rsid w:val="0013656B"/>
    <w:rsid w:val="0013658C"/>
    <w:rsid w:val="001412D4"/>
    <w:rsid w:val="001414FC"/>
    <w:rsid w:val="00142BDA"/>
    <w:rsid w:val="00144897"/>
    <w:rsid w:val="00144C75"/>
    <w:rsid w:val="00144F64"/>
    <w:rsid w:val="00145507"/>
    <w:rsid w:val="00145D62"/>
    <w:rsid w:val="00146C3B"/>
    <w:rsid w:val="00147AE1"/>
    <w:rsid w:val="001509FD"/>
    <w:rsid w:val="00151567"/>
    <w:rsid w:val="001523D6"/>
    <w:rsid w:val="00152F04"/>
    <w:rsid w:val="001536B4"/>
    <w:rsid w:val="0015427F"/>
    <w:rsid w:val="001559C9"/>
    <w:rsid w:val="00155F6A"/>
    <w:rsid w:val="001567ED"/>
    <w:rsid w:val="0015680E"/>
    <w:rsid w:val="00157413"/>
    <w:rsid w:val="0015748F"/>
    <w:rsid w:val="00157EF7"/>
    <w:rsid w:val="00160940"/>
    <w:rsid w:val="00160D47"/>
    <w:rsid w:val="001618AD"/>
    <w:rsid w:val="00163E02"/>
    <w:rsid w:val="00163E17"/>
    <w:rsid w:val="001657BC"/>
    <w:rsid w:val="00166F9E"/>
    <w:rsid w:val="00167880"/>
    <w:rsid w:val="00170C82"/>
    <w:rsid w:val="00171C93"/>
    <w:rsid w:val="00175EE0"/>
    <w:rsid w:val="00177172"/>
    <w:rsid w:val="0018051D"/>
    <w:rsid w:val="00180D45"/>
    <w:rsid w:val="00180E6C"/>
    <w:rsid w:val="00180EED"/>
    <w:rsid w:val="00181AF0"/>
    <w:rsid w:val="00181ED0"/>
    <w:rsid w:val="00185B26"/>
    <w:rsid w:val="00185C9F"/>
    <w:rsid w:val="0018779D"/>
    <w:rsid w:val="00187870"/>
    <w:rsid w:val="00187D5A"/>
    <w:rsid w:val="00187FC4"/>
    <w:rsid w:val="00190231"/>
    <w:rsid w:val="00190651"/>
    <w:rsid w:val="00190DE0"/>
    <w:rsid w:val="0019164D"/>
    <w:rsid w:val="00191A5F"/>
    <w:rsid w:val="00191DCA"/>
    <w:rsid w:val="001941D9"/>
    <w:rsid w:val="001958E3"/>
    <w:rsid w:val="00196D46"/>
    <w:rsid w:val="00196E8B"/>
    <w:rsid w:val="001972D7"/>
    <w:rsid w:val="001A035A"/>
    <w:rsid w:val="001A036B"/>
    <w:rsid w:val="001A063C"/>
    <w:rsid w:val="001A11AD"/>
    <w:rsid w:val="001A1831"/>
    <w:rsid w:val="001A22B6"/>
    <w:rsid w:val="001A28F6"/>
    <w:rsid w:val="001A295D"/>
    <w:rsid w:val="001A38ED"/>
    <w:rsid w:val="001A3E5E"/>
    <w:rsid w:val="001A560B"/>
    <w:rsid w:val="001A59A0"/>
    <w:rsid w:val="001A773F"/>
    <w:rsid w:val="001A7F3E"/>
    <w:rsid w:val="001B0618"/>
    <w:rsid w:val="001B0EE2"/>
    <w:rsid w:val="001B1310"/>
    <w:rsid w:val="001B1DDD"/>
    <w:rsid w:val="001B2792"/>
    <w:rsid w:val="001B2824"/>
    <w:rsid w:val="001B2831"/>
    <w:rsid w:val="001B3544"/>
    <w:rsid w:val="001B3A1C"/>
    <w:rsid w:val="001B4065"/>
    <w:rsid w:val="001B5910"/>
    <w:rsid w:val="001B5FBB"/>
    <w:rsid w:val="001B70B4"/>
    <w:rsid w:val="001C0493"/>
    <w:rsid w:val="001C28AD"/>
    <w:rsid w:val="001C3666"/>
    <w:rsid w:val="001C36E9"/>
    <w:rsid w:val="001C4040"/>
    <w:rsid w:val="001C48A0"/>
    <w:rsid w:val="001D0951"/>
    <w:rsid w:val="001D0F9D"/>
    <w:rsid w:val="001D1C23"/>
    <w:rsid w:val="001D6B43"/>
    <w:rsid w:val="001D6E2A"/>
    <w:rsid w:val="001D7252"/>
    <w:rsid w:val="001D7787"/>
    <w:rsid w:val="001D7E20"/>
    <w:rsid w:val="001D7FCB"/>
    <w:rsid w:val="001E081D"/>
    <w:rsid w:val="001E2B99"/>
    <w:rsid w:val="001E38B5"/>
    <w:rsid w:val="001E57A9"/>
    <w:rsid w:val="001E69B6"/>
    <w:rsid w:val="001E7537"/>
    <w:rsid w:val="001F17F9"/>
    <w:rsid w:val="001F3737"/>
    <w:rsid w:val="001F424B"/>
    <w:rsid w:val="001F4DBB"/>
    <w:rsid w:val="00200D93"/>
    <w:rsid w:val="00202D07"/>
    <w:rsid w:val="0020312D"/>
    <w:rsid w:val="002038FE"/>
    <w:rsid w:val="00203BB4"/>
    <w:rsid w:val="00203EF6"/>
    <w:rsid w:val="002042C0"/>
    <w:rsid w:val="0020647F"/>
    <w:rsid w:val="00206C42"/>
    <w:rsid w:val="00206E33"/>
    <w:rsid w:val="00206FDB"/>
    <w:rsid w:val="00207ACE"/>
    <w:rsid w:val="00210124"/>
    <w:rsid w:val="00210519"/>
    <w:rsid w:val="00211D1C"/>
    <w:rsid w:val="002138F2"/>
    <w:rsid w:val="00215047"/>
    <w:rsid w:val="002152D5"/>
    <w:rsid w:val="00215A6E"/>
    <w:rsid w:val="00216637"/>
    <w:rsid w:val="0022121B"/>
    <w:rsid w:val="00221929"/>
    <w:rsid w:val="002225EB"/>
    <w:rsid w:val="002228D2"/>
    <w:rsid w:val="00222DB7"/>
    <w:rsid w:val="0022303B"/>
    <w:rsid w:val="002245E2"/>
    <w:rsid w:val="002246D1"/>
    <w:rsid w:val="00224F28"/>
    <w:rsid w:val="002263AC"/>
    <w:rsid w:val="00227259"/>
    <w:rsid w:val="00227496"/>
    <w:rsid w:val="002314B4"/>
    <w:rsid w:val="002316A2"/>
    <w:rsid w:val="00232412"/>
    <w:rsid w:val="0023402F"/>
    <w:rsid w:val="002351AE"/>
    <w:rsid w:val="00235B6E"/>
    <w:rsid w:val="00235CAA"/>
    <w:rsid w:val="00236023"/>
    <w:rsid w:val="00241493"/>
    <w:rsid w:val="00241B17"/>
    <w:rsid w:val="00241C81"/>
    <w:rsid w:val="00243EBA"/>
    <w:rsid w:val="00244557"/>
    <w:rsid w:val="002456A4"/>
    <w:rsid w:val="00245D6C"/>
    <w:rsid w:val="00250171"/>
    <w:rsid w:val="00250936"/>
    <w:rsid w:val="002516B1"/>
    <w:rsid w:val="002519B7"/>
    <w:rsid w:val="00252468"/>
    <w:rsid w:val="00252EEB"/>
    <w:rsid w:val="002535FA"/>
    <w:rsid w:val="00254ADC"/>
    <w:rsid w:val="002553B4"/>
    <w:rsid w:val="002557AE"/>
    <w:rsid w:val="002575D0"/>
    <w:rsid w:val="00257A1C"/>
    <w:rsid w:val="00257DBB"/>
    <w:rsid w:val="00262387"/>
    <w:rsid w:val="002639CB"/>
    <w:rsid w:val="002647CF"/>
    <w:rsid w:val="00264CEE"/>
    <w:rsid w:val="00265665"/>
    <w:rsid w:val="00266E14"/>
    <w:rsid w:val="0027234C"/>
    <w:rsid w:val="00272A5F"/>
    <w:rsid w:val="00274079"/>
    <w:rsid w:val="00275074"/>
    <w:rsid w:val="00275A0D"/>
    <w:rsid w:val="00276092"/>
    <w:rsid w:val="00276578"/>
    <w:rsid w:val="00281795"/>
    <w:rsid w:val="00282C98"/>
    <w:rsid w:val="002850E3"/>
    <w:rsid w:val="00286A11"/>
    <w:rsid w:val="00287E2F"/>
    <w:rsid w:val="002943CE"/>
    <w:rsid w:val="00294B25"/>
    <w:rsid w:val="00295E20"/>
    <w:rsid w:val="002A02C5"/>
    <w:rsid w:val="002A0451"/>
    <w:rsid w:val="002A1948"/>
    <w:rsid w:val="002A1C5D"/>
    <w:rsid w:val="002A72AE"/>
    <w:rsid w:val="002A7385"/>
    <w:rsid w:val="002A74E3"/>
    <w:rsid w:val="002B5DFF"/>
    <w:rsid w:val="002B5FA3"/>
    <w:rsid w:val="002B7792"/>
    <w:rsid w:val="002C0877"/>
    <w:rsid w:val="002C0EE6"/>
    <w:rsid w:val="002C1237"/>
    <w:rsid w:val="002C16BB"/>
    <w:rsid w:val="002C2AE2"/>
    <w:rsid w:val="002C3270"/>
    <w:rsid w:val="002C4E43"/>
    <w:rsid w:val="002C637F"/>
    <w:rsid w:val="002C6956"/>
    <w:rsid w:val="002C6C16"/>
    <w:rsid w:val="002C6CCE"/>
    <w:rsid w:val="002C775F"/>
    <w:rsid w:val="002D0DCE"/>
    <w:rsid w:val="002D20C5"/>
    <w:rsid w:val="002D2A97"/>
    <w:rsid w:val="002D38B8"/>
    <w:rsid w:val="002D502E"/>
    <w:rsid w:val="002D6F95"/>
    <w:rsid w:val="002E16BB"/>
    <w:rsid w:val="002E2231"/>
    <w:rsid w:val="002E2B10"/>
    <w:rsid w:val="002E54B4"/>
    <w:rsid w:val="002E6714"/>
    <w:rsid w:val="002E73B0"/>
    <w:rsid w:val="002F08F8"/>
    <w:rsid w:val="002F1502"/>
    <w:rsid w:val="002F2069"/>
    <w:rsid w:val="002F34BA"/>
    <w:rsid w:val="002F356F"/>
    <w:rsid w:val="002F3753"/>
    <w:rsid w:val="002F4190"/>
    <w:rsid w:val="002F4D62"/>
    <w:rsid w:val="002F6FC1"/>
    <w:rsid w:val="002F71A2"/>
    <w:rsid w:val="00300304"/>
    <w:rsid w:val="0030065F"/>
    <w:rsid w:val="00301DDC"/>
    <w:rsid w:val="003032C1"/>
    <w:rsid w:val="00303EB3"/>
    <w:rsid w:val="003041AD"/>
    <w:rsid w:val="00306458"/>
    <w:rsid w:val="00307072"/>
    <w:rsid w:val="00307108"/>
    <w:rsid w:val="003107E0"/>
    <w:rsid w:val="00311412"/>
    <w:rsid w:val="0031279F"/>
    <w:rsid w:val="00316F00"/>
    <w:rsid w:val="003172B1"/>
    <w:rsid w:val="00317BC0"/>
    <w:rsid w:val="00320B69"/>
    <w:rsid w:val="00321B51"/>
    <w:rsid w:val="00322687"/>
    <w:rsid w:val="0032289A"/>
    <w:rsid w:val="00322C6B"/>
    <w:rsid w:val="003248CC"/>
    <w:rsid w:val="00327212"/>
    <w:rsid w:val="003309C0"/>
    <w:rsid w:val="00332DF7"/>
    <w:rsid w:val="003352DE"/>
    <w:rsid w:val="003354B0"/>
    <w:rsid w:val="00335F58"/>
    <w:rsid w:val="00336A6C"/>
    <w:rsid w:val="00336D96"/>
    <w:rsid w:val="00336E49"/>
    <w:rsid w:val="0033748D"/>
    <w:rsid w:val="00337F4A"/>
    <w:rsid w:val="00344A68"/>
    <w:rsid w:val="00344F07"/>
    <w:rsid w:val="003469C8"/>
    <w:rsid w:val="00347724"/>
    <w:rsid w:val="00347FAF"/>
    <w:rsid w:val="00350C8C"/>
    <w:rsid w:val="00351700"/>
    <w:rsid w:val="00352001"/>
    <w:rsid w:val="00352A06"/>
    <w:rsid w:val="00352C0B"/>
    <w:rsid w:val="00352D74"/>
    <w:rsid w:val="00354FCB"/>
    <w:rsid w:val="00355EA4"/>
    <w:rsid w:val="00356EC1"/>
    <w:rsid w:val="003610D8"/>
    <w:rsid w:val="00361AB1"/>
    <w:rsid w:val="003635BE"/>
    <w:rsid w:val="00365045"/>
    <w:rsid w:val="00366B5E"/>
    <w:rsid w:val="003677D4"/>
    <w:rsid w:val="003708F4"/>
    <w:rsid w:val="0037146D"/>
    <w:rsid w:val="003719C8"/>
    <w:rsid w:val="00373B52"/>
    <w:rsid w:val="00374236"/>
    <w:rsid w:val="00374985"/>
    <w:rsid w:val="0038112C"/>
    <w:rsid w:val="003824E5"/>
    <w:rsid w:val="0038260D"/>
    <w:rsid w:val="00382FB5"/>
    <w:rsid w:val="003844FE"/>
    <w:rsid w:val="00385A05"/>
    <w:rsid w:val="00385BB5"/>
    <w:rsid w:val="003860A5"/>
    <w:rsid w:val="00386BC2"/>
    <w:rsid w:val="00387513"/>
    <w:rsid w:val="003877F3"/>
    <w:rsid w:val="00390BAC"/>
    <w:rsid w:val="0039220E"/>
    <w:rsid w:val="00392A74"/>
    <w:rsid w:val="0039363B"/>
    <w:rsid w:val="0039411E"/>
    <w:rsid w:val="00394582"/>
    <w:rsid w:val="00395743"/>
    <w:rsid w:val="00395FE6"/>
    <w:rsid w:val="00396603"/>
    <w:rsid w:val="003A1395"/>
    <w:rsid w:val="003A160F"/>
    <w:rsid w:val="003A2EF0"/>
    <w:rsid w:val="003A4FCE"/>
    <w:rsid w:val="003A5104"/>
    <w:rsid w:val="003A547C"/>
    <w:rsid w:val="003A618E"/>
    <w:rsid w:val="003A6992"/>
    <w:rsid w:val="003A6CC3"/>
    <w:rsid w:val="003A6EBF"/>
    <w:rsid w:val="003B125E"/>
    <w:rsid w:val="003B1BE3"/>
    <w:rsid w:val="003B2200"/>
    <w:rsid w:val="003B2968"/>
    <w:rsid w:val="003B2AE6"/>
    <w:rsid w:val="003B2B20"/>
    <w:rsid w:val="003B2F88"/>
    <w:rsid w:val="003B3BA6"/>
    <w:rsid w:val="003B4B68"/>
    <w:rsid w:val="003B6FB5"/>
    <w:rsid w:val="003B745B"/>
    <w:rsid w:val="003C020A"/>
    <w:rsid w:val="003C0AF3"/>
    <w:rsid w:val="003C10E4"/>
    <w:rsid w:val="003C31C9"/>
    <w:rsid w:val="003C3D72"/>
    <w:rsid w:val="003C4961"/>
    <w:rsid w:val="003C49BB"/>
    <w:rsid w:val="003C5CD1"/>
    <w:rsid w:val="003C7C5D"/>
    <w:rsid w:val="003C7D03"/>
    <w:rsid w:val="003D02AA"/>
    <w:rsid w:val="003D0AD2"/>
    <w:rsid w:val="003D0D61"/>
    <w:rsid w:val="003D0DB8"/>
    <w:rsid w:val="003D193C"/>
    <w:rsid w:val="003D1C56"/>
    <w:rsid w:val="003D1D1A"/>
    <w:rsid w:val="003D1EEF"/>
    <w:rsid w:val="003D3839"/>
    <w:rsid w:val="003D42B2"/>
    <w:rsid w:val="003D78CA"/>
    <w:rsid w:val="003E3DB3"/>
    <w:rsid w:val="003E3DE3"/>
    <w:rsid w:val="003E6440"/>
    <w:rsid w:val="003E7E86"/>
    <w:rsid w:val="003F00AF"/>
    <w:rsid w:val="003F00E3"/>
    <w:rsid w:val="003F0B6F"/>
    <w:rsid w:val="003F10CA"/>
    <w:rsid w:val="003F1958"/>
    <w:rsid w:val="003F1F4C"/>
    <w:rsid w:val="003F2869"/>
    <w:rsid w:val="003F317E"/>
    <w:rsid w:val="003F5129"/>
    <w:rsid w:val="003F54B6"/>
    <w:rsid w:val="003F5913"/>
    <w:rsid w:val="003F5D1E"/>
    <w:rsid w:val="003F5EB6"/>
    <w:rsid w:val="003F7B56"/>
    <w:rsid w:val="004008EE"/>
    <w:rsid w:val="00401527"/>
    <w:rsid w:val="00401543"/>
    <w:rsid w:val="00401C13"/>
    <w:rsid w:val="004024F8"/>
    <w:rsid w:val="00404745"/>
    <w:rsid w:val="00405696"/>
    <w:rsid w:val="0040589A"/>
    <w:rsid w:val="0041159A"/>
    <w:rsid w:val="0041468C"/>
    <w:rsid w:val="00414715"/>
    <w:rsid w:val="004174C3"/>
    <w:rsid w:val="0041755F"/>
    <w:rsid w:val="00417E9E"/>
    <w:rsid w:val="004210A8"/>
    <w:rsid w:val="0042172E"/>
    <w:rsid w:val="004226DA"/>
    <w:rsid w:val="004227D9"/>
    <w:rsid w:val="0042379C"/>
    <w:rsid w:val="004250F1"/>
    <w:rsid w:val="00426A0C"/>
    <w:rsid w:val="00426F80"/>
    <w:rsid w:val="00427849"/>
    <w:rsid w:val="004305A8"/>
    <w:rsid w:val="00430F5A"/>
    <w:rsid w:val="0043229B"/>
    <w:rsid w:val="004325B0"/>
    <w:rsid w:val="00433264"/>
    <w:rsid w:val="004342CA"/>
    <w:rsid w:val="00434A10"/>
    <w:rsid w:val="004353D5"/>
    <w:rsid w:val="00435E78"/>
    <w:rsid w:val="004373C8"/>
    <w:rsid w:val="00441CC3"/>
    <w:rsid w:val="00442CD5"/>
    <w:rsid w:val="00443CA0"/>
    <w:rsid w:val="00447699"/>
    <w:rsid w:val="00447E75"/>
    <w:rsid w:val="00447ED9"/>
    <w:rsid w:val="00450E14"/>
    <w:rsid w:val="004513FC"/>
    <w:rsid w:val="0045145F"/>
    <w:rsid w:val="0045288A"/>
    <w:rsid w:val="00454984"/>
    <w:rsid w:val="004566C8"/>
    <w:rsid w:val="004575DE"/>
    <w:rsid w:val="00457673"/>
    <w:rsid w:val="00461064"/>
    <w:rsid w:val="00461909"/>
    <w:rsid w:val="00461A1A"/>
    <w:rsid w:val="00461E7A"/>
    <w:rsid w:val="00462C65"/>
    <w:rsid w:val="00463816"/>
    <w:rsid w:val="004650D0"/>
    <w:rsid w:val="004674E7"/>
    <w:rsid w:val="00467B14"/>
    <w:rsid w:val="00467D07"/>
    <w:rsid w:val="00473343"/>
    <w:rsid w:val="00474BAD"/>
    <w:rsid w:val="00474C18"/>
    <w:rsid w:val="00474EDA"/>
    <w:rsid w:val="004754FE"/>
    <w:rsid w:val="004755C5"/>
    <w:rsid w:val="004814EC"/>
    <w:rsid w:val="00481527"/>
    <w:rsid w:val="00481D80"/>
    <w:rsid w:val="004824FA"/>
    <w:rsid w:val="00484011"/>
    <w:rsid w:val="004841F1"/>
    <w:rsid w:val="00484C01"/>
    <w:rsid w:val="00485AB6"/>
    <w:rsid w:val="00487937"/>
    <w:rsid w:val="00487F6D"/>
    <w:rsid w:val="004924D2"/>
    <w:rsid w:val="00493331"/>
    <w:rsid w:val="00495808"/>
    <w:rsid w:val="00495B1C"/>
    <w:rsid w:val="004964C3"/>
    <w:rsid w:val="00496649"/>
    <w:rsid w:val="00497448"/>
    <w:rsid w:val="004A01D1"/>
    <w:rsid w:val="004A03C8"/>
    <w:rsid w:val="004A0EB4"/>
    <w:rsid w:val="004A1E3A"/>
    <w:rsid w:val="004A2379"/>
    <w:rsid w:val="004A2C30"/>
    <w:rsid w:val="004A438A"/>
    <w:rsid w:val="004A49D0"/>
    <w:rsid w:val="004A6A90"/>
    <w:rsid w:val="004A71A4"/>
    <w:rsid w:val="004A7DE7"/>
    <w:rsid w:val="004B06EC"/>
    <w:rsid w:val="004B11F2"/>
    <w:rsid w:val="004B4641"/>
    <w:rsid w:val="004B46D6"/>
    <w:rsid w:val="004B5C10"/>
    <w:rsid w:val="004C0323"/>
    <w:rsid w:val="004C0BF6"/>
    <w:rsid w:val="004C2C19"/>
    <w:rsid w:val="004C2C4F"/>
    <w:rsid w:val="004C35CD"/>
    <w:rsid w:val="004C4464"/>
    <w:rsid w:val="004C4AEA"/>
    <w:rsid w:val="004C7820"/>
    <w:rsid w:val="004D0430"/>
    <w:rsid w:val="004D1413"/>
    <w:rsid w:val="004D1DAA"/>
    <w:rsid w:val="004D311F"/>
    <w:rsid w:val="004D4014"/>
    <w:rsid w:val="004D40DE"/>
    <w:rsid w:val="004D411D"/>
    <w:rsid w:val="004D4EB1"/>
    <w:rsid w:val="004D68AD"/>
    <w:rsid w:val="004E003C"/>
    <w:rsid w:val="004E0A9C"/>
    <w:rsid w:val="004E0EA3"/>
    <w:rsid w:val="004E14A2"/>
    <w:rsid w:val="004E16EB"/>
    <w:rsid w:val="004E2031"/>
    <w:rsid w:val="004E34E3"/>
    <w:rsid w:val="004E3673"/>
    <w:rsid w:val="004E429C"/>
    <w:rsid w:val="004E4C63"/>
    <w:rsid w:val="004E514E"/>
    <w:rsid w:val="004E5BB0"/>
    <w:rsid w:val="004E6665"/>
    <w:rsid w:val="004E68CF"/>
    <w:rsid w:val="004E7ECA"/>
    <w:rsid w:val="004F3544"/>
    <w:rsid w:val="004F408A"/>
    <w:rsid w:val="004F40B8"/>
    <w:rsid w:val="004F5A0B"/>
    <w:rsid w:val="004F634E"/>
    <w:rsid w:val="004F67A8"/>
    <w:rsid w:val="004F6D06"/>
    <w:rsid w:val="004F704E"/>
    <w:rsid w:val="004F7AE5"/>
    <w:rsid w:val="0050055F"/>
    <w:rsid w:val="0050089B"/>
    <w:rsid w:val="00500F13"/>
    <w:rsid w:val="00502189"/>
    <w:rsid w:val="00503B4E"/>
    <w:rsid w:val="0050472B"/>
    <w:rsid w:val="00506945"/>
    <w:rsid w:val="005070F6"/>
    <w:rsid w:val="00510CB6"/>
    <w:rsid w:val="005115FA"/>
    <w:rsid w:val="00514E36"/>
    <w:rsid w:val="0051582C"/>
    <w:rsid w:val="0051623E"/>
    <w:rsid w:val="00517926"/>
    <w:rsid w:val="00521A92"/>
    <w:rsid w:val="00522A50"/>
    <w:rsid w:val="00523071"/>
    <w:rsid w:val="00524D65"/>
    <w:rsid w:val="00525E61"/>
    <w:rsid w:val="005264F7"/>
    <w:rsid w:val="005266EC"/>
    <w:rsid w:val="00527225"/>
    <w:rsid w:val="0052737A"/>
    <w:rsid w:val="0052791A"/>
    <w:rsid w:val="00530302"/>
    <w:rsid w:val="0053557D"/>
    <w:rsid w:val="0053594D"/>
    <w:rsid w:val="00537BD8"/>
    <w:rsid w:val="00540003"/>
    <w:rsid w:val="005403D9"/>
    <w:rsid w:val="0054078F"/>
    <w:rsid w:val="005410E3"/>
    <w:rsid w:val="0054296D"/>
    <w:rsid w:val="005429BB"/>
    <w:rsid w:val="00542BE9"/>
    <w:rsid w:val="00542CB5"/>
    <w:rsid w:val="00543978"/>
    <w:rsid w:val="0054462B"/>
    <w:rsid w:val="00545E38"/>
    <w:rsid w:val="005461BB"/>
    <w:rsid w:val="005463DE"/>
    <w:rsid w:val="0054665C"/>
    <w:rsid w:val="00546DC2"/>
    <w:rsid w:val="00546FF2"/>
    <w:rsid w:val="00547E9B"/>
    <w:rsid w:val="00551137"/>
    <w:rsid w:val="00551420"/>
    <w:rsid w:val="00552453"/>
    <w:rsid w:val="00552E48"/>
    <w:rsid w:val="005532AD"/>
    <w:rsid w:val="00553F7E"/>
    <w:rsid w:val="005540B6"/>
    <w:rsid w:val="005542E8"/>
    <w:rsid w:val="00554F6F"/>
    <w:rsid w:val="0055631A"/>
    <w:rsid w:val="00556630"/>
    <w:rsid w:val="0055686D"/>
    <w:rsid w:val="00560FFC"/>
    <w:rsid w:val="00563377"/>
    <w:rsid w:val="0056422D"/>
    <w:rsid w:val="0056585A"/>
    <w:rsid w:val="00566C4B"/>
    <w:rsid w:val="005712E6"/>
    <w:rsid w:val="00571B0E"/>
    <w:rsid w:val="005800EE"/>
    <w:rsid w:val="005807E6"/>
    <w:rsid w:val="00583940"/>
    <w:rsid w:val="00584FCA"/>
    <w:rsid w:val="005869D6"/>
    <w:rsid w:val="00586D64"/>
    <w:rsid w:val="0058752E"/>
    <w:rsid w:val="00587C72"/>
    <w:rsid w:val="00591377"/>
    <w:rsid w:val="0059331E"/>
    <w:rsid w:val="00594619"/>
    <w:rsid w:val="005A02A4"/>
    <w:rsid w:val="005A0CE7"/>
    <w:rsid w:val="005A2315"/>
    <w:rsid w:val="005A33F6"/>
    <w:rsid w:val="005A453F"/>
    <w:rsid w:val="005A59E5"/>
    <w:rsid w:val="005A759D"/>
    <w:rsid w:val="005B15C4"/>
    <w:rsid w:val="005B1B56"/>
    <w:rsid w:val="005B4F0E"/>
    <w:rsid w:val="005B5280"/>
    <w:rsid w:val="005B7440"/>
    <w:rsid w:val="005C0F22"/>
    <w:rsid w:val="005C15C7"/>
    <w:rsid w:val="005C4FD9"/>
    <w:rsid w:val="005C5847"/>
    <w:rsid w:val="005C637E"/>
    <w:rsid w:val="005C6671"/>
    <w:rsid w:val="005C7C0C"/>
    <w:rsid w:val="005D04F1"/>
    <w:rsid w:val="005D45ED"/>
    <w:rsid w:val="005D6A6B"/>
    <w:rsid w:val="005D6F14"/>
    <w:rsid w:val="005D7C26"/>
    <w:rsid w:val="005E0D65"/>
    <w:rsid w:val="005E2150"/>
    <w:rsid w:val="005E2995"/>
    <w:rsid w:val="005E3378"/>
    <w:rsid w:val="005E40EA"/>
    <w:rsid w:val="005E417D"/>
    <w:rsid w:val="005E4D8A"/>
    <w:rsid w:val="005E5AFF"/>
    <w:rsid w:val="005E6302"/>
    <w:rsid w:val="005E71E9"/>
    <w:rsid w:val="005F18E0"/>
    <w:rsid w:val="005F2D7A"/>
    <w:rsid w:val="005F30D9"/>
    <w:rsid w:val="005F37FC"/>
    <w:rsid w:val="005F39AF"/>
    <w:rsid w:val="005F3FEF"/>
    <w:rsid w:val="005F5957"/>
    <w:rsid w:val="005F69AD"/>
    <w:rsid w:val="005F71B2"/>
    <w:rsid w:val="00600C4F"/>
    <w:rsid w:val="00601C3B"/>
    <w:rsid w:val="0060287B"/>
    <w:rsid w:val="0060311F"/>
    <w:rsid w:val="00603D92"/>
    <w:rsid w:val="00607A29"/>
    <w:rsid w:val="00607F7C"/>
    <w:rsid w:val="006102A1"/>
    <w:rsid w:val="006102DA"/>
    <w:rsid w:val="0061286C"/>
    <w:rsid w:val="00612F0B"/>
    <w:rsid w:val="0061386D"/>
    <w:rsid w:val="00613E7D"/>
    <w:rsid w:val="006145E1"/>
    <w:rsid w:val="006146A3"/>
    <w:rsid w:val="00614FDD"/>
    <w:rsid w:val="00616090"/>
    <w:rsid w:val="00616419"/>
    <w:rsid w:val="00616C50"/>
    <w:rsid w:val="006202BB"/>
    <w:rsid w:val="006241F0"/>
    <w:rsid w:val="00624738"/>
    <w:rsid w:val="00625A8B"/>
    <w:rsid w:val="006273E9"/>
    <w:rsid w:val="00627555"/>
    <w:rsid w:val="0063025A"/>
    <w:rsid w:val="006302AC"/>
    <w:rsid w:val="006315A3"/>
    <w:rsid w:val="006325D0"/>
    <w:rsid w:val="00634397"/>
    <w:rsid w:val="0063468E"/>
    <w:rsid w:val="00637030"/>
    <w:rsid w:val="006427DF"/>
    <w:rsid w:val="006464E1"/>
    <w:rsid w:val="006467DD"/>
    <w:rsid w:val="00650A0C"/>
    <w:rsid w:val="00652564"/>
    <w:rsid w:val="006536A4"/>
    <w:rsid w:val="00655A12"/>
    <w:rsid w:val="00655F8E"/>
    <w:rsid w:val="006572A0"/>
    <w:rsid w:val="006576BC"/>
    <w:rsid w:val="006579A2"/>
    <w:rsid w:val="00657CAE"/>
    <w:rsid w:val="00662AF7"/>
    <w:rsid w:val="006642E4"/>
    <w:rsid w:val="006644D5"/>
    <w:rsid w:val="00665614"/>
    <w:rsid w:val="00666713"/>
    <w:rsid w:val="00667128"/>
    <w:rsid w:val="00667800"/>
    <w:rsid w:val="00667888"/>
    <w:rsid w:val="00667C89"/>
    <w:rsid w:val="006711EE"/>
    <w:rsid w:val="006718A2"/>
    <w:rsid w:val="00674082"/>
    <w:rsid w:val="0067464E"/>
    <w:rsid w:val="0067672F"/>
    <w:rsid w:val="0067758D"/>
    <w:rsid w:val="006802FD"/>
    <w:rsid w:val="006809BB"/>
    <w:rsid w:val="006809FD"/>
    <w:rsid w:val="00680C12"/>
    <w:rsid w:val="00682EB9"/>
    <w:rsid w:val="00684F15"/>
    <w:rsid w:val="00686C66"/>
    <w:rsid w:val="00691A02"/>
    <w:rsid w:val="00691D1F"/>
    <w:rsid w:val="00692245"/>
    <w:rsid w:val="00692DEB"/>
    <w:rsid w:val="006938E9"/>
    <w:rsid w:val="00697008"/>
    <w:rsid w:val="00697BAE"/>
    <w:rsid w:val="00697C0B"/>
    <w:rsid w:val="006A0F9B"/>
    <w:rsid w:val="006A35A2"/>
    <w:rsid w:val="006A3A64"/>
    <w:rsid w:val="006A425E"/>
    <w:rsid w:val="006A5310"/>
    <w:rsid w:val="006A60A3"/>
    <w:rsid w:val="006B0142"/>
    <w:rsid w:val="006B1ED6"/>
    <w:rsid w:val="006B2EB6"/>
    <w:rsid w:val="006B314F"/>
    <w:rsid w:val="006B4184"/>
    <w:rsid w:val="006B475C"/>
    <w:rsid w:val="006B4779"/>
    <w:rsid w:val="006B4DDC"/>
    <w:rsid w:val="006B51BD"/>
    <w:rsid w:val="006B5E55"/>
    <w:rsid w:val="006B6F20"/>
    <w:rsid w:val="006B744C"/>
    <w:rsid w:val="006C48FC"/>
    <w:rsid w:val="006C4DA7"/>
    <w:rsid w:val="006C6BDF"/>
    <w:rsid w:val="006D25A1"/>
    <w:rsid w:val="006D2E3C"/>
    <w:rsid w:val="006E14E9"/>
    <w:rsid w:val="006E1B0B"/>
    <w:rsid w:val="006E1CA7"/>
    <w:rsid w:val="006E24ED"/>
    <w:rsid w:val="006E5077"/>
    <w:rsid w:val="006E5421"/>
    <w:rsid w:val="006E6576"/>
    <w:rsid w:val="006E749F"/>
    <w:rsid w:val="006F09A2"/>
    <w:rsid w:val="006F25B6"/>
    <w:rsid w:val="006F2702"/>
    <w:rsid w:val="006F3472"/>
    <w:rsid w:val="006F36C6"/>
    <w:rsid w:val="006F52CC"/>
    <w:rsid w:val="006F5F35"/>
    <w:rsid w:val="006F6856"/>
    <w:rsid w:val="006F68F4"/>
    <w:rsid w:val="006F6EB1"/>
    <w:rsid w:val="00701343"/>
    <w:rsid w:val="00701BA6"/>
    <w:rsid w:val="007021A1"/>
    <w:rsid w:val="00702540"/>
    <w:rsid w:val="00703534"/>
    <w:rsid w:val="00704A2B"/>
    <w:rsid w:val="007056A7"/>
    <w:rsid w:val="0070629B"/>
    <w:rsid w:val="0070705E"/>
    <w:rsid w:val="00710BF7"/>
    <w:rsid w:val="00711730"/>
    <w:rsid w:val="00713412"/>
    <w:rsid w:val="0071342A"/>
    <w:rsid w:val="007142EF"/>
    <w:rsid w:val="007145D0"/>
    <w:rsid w:val="00714B0E"/>
    <w:rsid w:val="00714C84"/>
    <w:rsid w:val="0071557D"/>
    <w:rsid w:val="00715787"/>
    <w:rsid w:val="00715A90"/>
    <w:rsid w:val="00716F94"/>
    <w:rsid w:val="00717E3D"/>
    <w:rsid w:val="0072054E"/>
    <w:rsid w:val="00721180"/>
    <w:rsid w:val="007214FF"/>
    <w:rsid w:val="007217C0"/>
    <w:rsid w:val="00723595"/>
    <w:rsid w:val="00724A58"/>
    <w:rsid w:val="00730A25"/>
    <w:rsid w:val="00730B6B"/>
    <w:rsid w:val="00730D64"/>
    <w:rsid w:val="0073242E"/>
    <w:rsid w:val="00732FFA"/>
    <w:rsid w:val="0073366F"/>
    <w:rsid w:val="007357B3"/>
    <w:rsid w:val="007365DF"/>
    <w:rsid w:val="007376A4"/>
    <w:rsid w:val="007412DC"/>
    <w:rsid w:val="00742345"/>
    <w:rsid w:val="00742C21"/>
    <w:rsid w:val="00744463"/>
    <w:rsid w:val="007449B7"/>
    <w:rsid w:val="00744FF8"/>
    <w:rsid w:val="007452A7"/>
    <w:rsid w:val="00745DA5"/>
    <w:rsid w:val="00746654"/>
    <w:rsid w:val="00746F09"/>
    <w:rsid w:val="00747872"/>
    <w:rsid w:val="007479EB"/>
    <w:rsid w:val="00750889"/>
    <w:rsid w:val="00750BA5"/>
    <w:rsid w:val="0075188E"/>
    <w:rsid w:val="0075312F"/>
    <w:rsid w:val="0075541B"/>
    <w:rsid w:val="0076001C"/>
    <w:rsid w:val="00760447"/>
    <w:rsid w:val="00760A79"/>
    <w:rsid w:val="00760E12"/>
    <w:rsid w:val="00762AF4"/>
    <w:rsid w:val="00763CF3"/>
    <w:rsid w:val="00766276"/>
    <w:rsid w:val="007707C0"/>
    <w:rsid w:val="00772293"/>
    <w:rsid w:val="00773473"/>
    <w:rsid w:val="007742F4"/>
    <w:rsid w:val="00774689"/>
    <w:rsid w:val="007749A1"/>
    <w:rsid w:val="0077583B"/>
    <w:rsid w:val="00776898"/>
    <w:rsid w:val="00776981"/>
    <w:rsid w:val="007777B5"/>
    <w:rsid w:val="00781AE3"/>
    <w:rsid w:val="00781BC8"/>
    <w:rsid w:val="0078340B"/>
    <w:rsid w:val="00783C75"/>
    <w:rsid w:val="00784619"/>
    <w:rsid w:val="00784735"/>
    <w:rsid w:val="00784795"/>
    <w:rsid w:val="00784B74"/>
    <w:rsid w:val="00784EA1"/>
    <w:rsid w:val="0078627B"/>
    <w:rsid w:val="0078765B"/>
    <w:rsid w:val="00787A83"/>
    <w:rsid w:val="00787C24"/>
    <w:rsid w:val="00791948"/>
    <w:rsid w:val="007921F1"/>
    <w:rsid w:val="007940AA"/>
    <w:rsid w:val="00794E32"/>
    <w:rsid w:val="007950FB"/>
    <w:rsid w:val="0079659A"/>
    <w:rsid w:val="007A0D73"/>
    <w:rsid w:val="007A25F9"/>
    <w:rsid w:val="007A2B8E"/>
    <w:rsid w:val="007A2CC2"/>
    <w:rsid w:val="007A2FFB"/>
    <w:rsid w:val="007A411D"/>
    <w:rsid w:val="007A6384"/>
    <w:rsid w:val="007A65B1"/>
    <w:rsid w:val="007A7261"/>
    <w:rsid w:val="007A7AAF"/>
    <w:rsid w:val="007A7DD1"/>
    <w:rsid w:val="007B10F6"/>
    <w:rsid w:val="007B15D0"/>
    <w:rsid w:val="007B165D"/>
    <w:rsid w:val="007B16EA"/>
    <w:rsid w:val="007B305A"/>
    <w:rsid w:val="007B5C70"/>
    <w:rsid w:val="007B7452"/>
    <w:rsid w:val="007B75D2"/>
    <w:rsid w:val="007C2381"/>
    <w:rsid w:val="007C3533"/>
    <w:rsid w:val="007C3C08"/>
    <w:rsid w:val="007C43CF"/>
    <w:rsid w:val="007C4CD1"/>
    <w:rsid w:val="007C6DAC"/>
    <w:rsid w:val="007D0FA7"/>
    <w:rsid w:val="007D134F"/>
    <w:rsid w:val="007D26CD"/>
    <w:rsid w:val="007D4977"/>
    <w:rsid w:val="007D4E90"/>
    <w:rsid w:val="007D519C"/>
    <w:rsid w:val="007D6163"/>
    <w:rsid w:val="007D79E7"/>
    <w:rsid w:val="007E082B"/>
    <w:rsid w:val="007E12CB"/>
    <w:rsid w:val="007E150E"/>
    <w:rsid w:val="007E1900"/>
    <w:rsid w:val="007E2033"/>
    <w:rsid w:val="007E239A"/>
    <w:rsid w:val="007E24DE"/>
    <w:rsid w:val="007E2B92"/>
    <w:rsid w:val="007E424B"/>
    <w:rsid w:val="007E4C4D"/>
    <w:rsid w:val="007E575D"/>
    <w:rsid w:val="007E57CD"/>
    <w:rsid w:val="007E6167"/>
    <w:rsid w:val="007E6AEF"/>
    <w:rsid w:val="007F2BDB"/>
    <w:rsid w:val="007F3516"/>
    <w:rsid w:val="007F42E6"/>
    <w:rsid w:val="007F4A01"/>
    <w:rsid w:val="007F4BF9"/>
    <w:rsid w:val="007F4C4E"/>
    <w:rsid w:val="007F572E"/>
    <w:rsid w:val="007F5776"/>
    <w:rsid w:val="007F5F92"/>
    <w:rsid w:val="008000CD"/>
    <w:rsid w:val="00803D8E"/>
    <w:rsid w:val="008058BE"/>
    <w:rsid w:val="00810914"/>
    <w:rsid w:val="00810BB5"/>
    <w:rsid w:val="0081169E"/>
    <w:rsid w:val="008139D5"/>
    <w:rsid w:val="00814E2F"/>
    <w:rsid w:val="00815C7D"/>
    <w:rsid w:val="00816105"/>
    <w:rsid w:val="008167E3"/>
    <w:rsid w:val="008170C9"/>
    <w:rsid w:val="00817941"/>
    <w:rsid w:val="00817DC4"/>
    <w:rsid w:val="00821C37"/>
    <w:rsid w:val="008229E4"/>
    <w:rsid w:val="00822F94"/>
    <w:rsid w:val="00823243"/>
    <w:rsid w:val="00823547"/>
    <w:rsid w:val="00823568"/>
    <w:rsid w:val="00823A21"/>
    <w:rsid w:val="00824E1C"/>
    <w:rsid w:val="00824E2E"/>
    <w:rsid w:val="00825248"/>
    <w:rsid w:val="00825272"/>
    <w:rsid w:val="008261AB"/>
    <w:rsid w:val="008262EC"/>
    <w:rsid w:val="008269AB"/>
    <w:rsid w:val="00827498"/>
    <w:rsid w:val="00832525"/>
    <w:rsid w:val="0083354B"/>
    <w:rsid w:val="008343F3"/>
    <w:rsid w:val="00834C91"/>
    <w:rsid w:val="0083506E"/>
    <w:rsid w:val="00835CA7"/>
    <w:rsid w:val="008370D4"/>
    <w:rsid w:val="008414AD"/>
    <w:rsid w:val="0084159B"/>
    <w:rsid w:val="008428D9"/>
    <w:rsid w:val="008458D6"/>
    <w:rsid w:val="00845ED7"/>
    <w:rsid w:val="008522B1"/>
    <w:rsid w:val="008545AD"/>
    <w:rsid w:val="00855B82"/>
    <w:rsid w:val="0086076D"/>
    <w:rsid w:val="0086200A"/>
    <w:rsid w:val="00863A2D"/>
    <w:rsid w:val="0086542B"/>
    <w:rsid w:val="008660D4"/>
    <w:rsid w:val="0086618F"/>
    <w:rsid w:val="00866229"/>
    <w:rsid w:val="00867053"/>
    <w:rsid w:val="0086738F"/>
    <w:rsid w:val="008715C0"/>
    <w:rsid w:val="008715E7"/>
    <w:rsid w:val="008718B3"/>
    <w:rsid w:val="008719AB"/>
    <w:rsid w:val="00871DC2"/>
    <w:rsid w:val="00872E7A"/>
    <w:rsid w:val="008740AE"/>
    <w:rsid w:val="00874BA4"/>
    <w:rsid w:val="0088030E"/>
    <w:rsid w:val="00880BCE"/>
    <w:rsid w:val="00883FB6"/>
    <w:rsid w:val="0088467A"/>
    <w:rsid w:val="00884780"/>
    <w:rsid w:val="0088489E"/>
    <w:rsid w:val="00884DB9"/>
    <w:rsid w:val="008857B0"/>
    <w:rsid w:val="00890636"/>
    <w:rsid w:val="00891170"/>
    <w:rsid w:val="00891300"/>
    <w:rsid w:val="00891BCD"/>
    <w:rsid w:val="00893A3C"/>
    <w:rsid w:val="0089413C"/>
    <w:rsid w:val="00894CF8"/>
    <w:rsid w:val="00895E22"/>
    <w:rsid w:val="00896BE0"/>
    <w:rsid w:val="008A0423"/>
    <w:rsid w:val="008A053C"/>
    <w:rsid w:val="008A1970"/>
    <w:rsid w:val="008A481F"/>
    <w:rsid w:val="008A5564"/>
    <w:rsid w:val="008B0154"/>
    <w:rsid w:val="008B0302"/>
    <w:rsid w:val="008B05AA"/>
    <w:rsid w:val="008B10D8"/>
    <w:rsid w:val="008B1906"/>
    <w:rsid w:val="008B1CA2"/>
    <w:rsid w:val="008B2F77"/>
    <w:rsid w:val="008B326F"/>
    <w:rsid w:val="008B3FFB"/>
    <w:rsid w:val="008B5888"/>
    <w:rsid w:val="008B5F3C"/>
    <w:rsid w:val="008B5F76"/>
    <w:rsid w:val="008B660C"/>
    <w:rsid w:val="008B66FD"/>
    <w:rsid w:val="008B7093"/>
    <w:rsid w:val="008C005E"/>
    <w:rsid w:val="008C1016"/>
    <w:rsid w:val="008C14EE"/>
    <w:rsid w:val="008C1831"/>
    <w:rsid w:val="008C1F58"/>
    <w:rsid w:val="008C3C63"/>
    <w:rsid w:val="008C59E7"/>
    <w:rsid w:val="008C67D2"/>
    <w:rsid w:val="008C7DED"/>
    <w:rsid w:val="008D025D"/>
    <w:rsid w:val="008D0902"/>
    <w:rsid w:val="008E0683"/>
    <w:rsid w:val="008E1D89"/>
    <w:rsid w:val="008E3209"/>
    <w:rsid w:val="008E3D8D"/>
    <w:rsid w:val="008E413F"/>
    <w:rsid w:val="008E5AEE"/>
    <w:rsid w:val="008E6029"/>
    <w:rsid w:val="008E68E7"/>
    <w:rsid w:val="008E6A8B"/>
    <w:rsid w:val="008E6D71"/>
    <w:rsid w:val="008F22E8"/>
    <w:rsid w:val="008F52A2"/>
    <w:rsid w:val="008F6A2B"/>
    <w:rsid w:val="00901E41"/>
    <w:rsid w:val="00902D84"/>
    <w:rsid w:val="00902DD9"/>
    <w:rsid w:val="0090336C"/>
    <w:rsid w:val="009034C5"/>
    <w:rsid w:val="00903C2A"/>
    <w:rsid w:val="0090575B"/>
    <w:rsid w:val="00905E92"/>
    <w:rsid w:val="00905FAE"/>
    <w:rsid w:val="009060AE"/>
    <w:rsid w:val="009075ED"/>
    <w:rsid w:val="00907889"/>
    <w:rsid w:val="009104C6"/>
    <w:rsid w:val="00910F4C"/>
    <w:rsid w:val="00911486"/>
    <w:rsid w:val="00912300"/>
    <w:rsid w:val="009129CA"/>
    <w:rsid w:val="00914E2C"/>
    <w:rsid w:val="00916859"/>
    <w:rsid w:val="009176D1"/>
    <w:rsid w:val="00920402"/>
    <w:rsid w:val="0092056C"/>
    <w:rsid w:val="009206B6"/>
    <w:rsid w:val="009229A3"/>
    <w:rsid w:val="00922B17"/>
    <w:rsid w:val="00924810"/>
    <w:rsid w:val="009252DC"/>
    <w:rsid w:val="009252F5"/>
    <w:rsid w:val="009263C1"/>
    <w:rsid w:val="009277B3"/>
    <w:rsid w:val="009278EB"/>
    <w:rsid w:val="00927B11"/>
    <w:rsid w:val="00930334"/>
    <w:rsid w:val="00930EE2"/>
    <w:rsid w:val="009317AB"/>
    <w:rsid w:val="0093220B"/>
    <w:rsid w:val="0093231B"/>
    <w:rsid w:val="0093377C"/>
    <w:rsid w:val="00934C7D"/>
    <w:rsid w:val="009351C6"/>
    <w:rsid w:val="00936221"/>
    <w:rsid w:val="00941B4F"/>
    <w:rsid w:val="0094322F"/>
    <w:rsid w:val="00943D9E"/>
    <w:rsid w:val="00947EF6"/>
    <w:rsid w:val="009518C0"/>
    <w:rsid w:val="00951F2D"/>
    <w:rsid w:val="00955396"/>
    <w:rsid w:val="00956204"/>
    <w:rsid w:val="00956C66"/>
    <w:rsid w:val="0096001A"/>
    <w:rsid w:val="00963CE3"/>
    <w:rsid w:val="00964B72"/>
    <w:rsid w:val="00964F18"/>
    <w:rsid w:val="0096797C"/>
    <w:rsid w:val="00967C01"/>
    <w:rsid w:val="00967D87"/>
    <w:rsid w:val="00970597"/>
    <w:rsid w:val="009706D6"/>
    <w:rsid w:val="00970BBD"/>
    <w:rsid w:val="00970FDA"/>
    <w:rsid w:val="00971A7F"/>
    <w:rsid w:val="00971B19"/>
    <w:rsid w:val="0097292B"/>
    <w:rsid w:val="00973E8F"/>
    <w:rsid w:val="00974424"/>
    <w:rsid w:val="00974706"/>
    <w:rsid w:val="0097511B"/>
    <w:rsid w:val="009756B6"/>
    <w:rsid w:val="0097649F"/>
    <w:rsid w:val="00976583"/>
    <w:rsid w:val="00976663"/>
    <w:rsid w:val="00976675"/>
    <w:rsid w:val="00977650"/>
    <w:rsid w:val="00977F2A"/>
    <w:rsid w:val="009844E0"/>
    <w:rsid w:val="00985577"/>
    <w:rsid w:val="00986B9B"/>
    <w:rsid w:val="00987D30"/>
    <w:rsid w:val="00987F76"/>
    <w:rsid w:val="009900BD"/>
    <w:rsid w:val="009902D4"/>
    <w:rsid w:val="0099076C"/>
    <w:rsid w:val="00991612"/>
    <w:rsid w:val="00991802"/>
    <w:rsid w:val="00993088"/>
    <w:rsid w:val="00996493"/>
    <w:rsid w:val="0099664F"/>
    <w:rsid w:val="00996F59"/>
    <w:rsid w:val="00997D5D"/>
    <w:rsid w:val="00997DCD"/>
    <w:rsid w:val="009A0447"/>
    <w:rsid w:val="009A0533"/>
    <w:rsid w:val="009A08F0"/>
    <w:rsid w:val="009A21E4"/>
    <w:rsid w:val="009A2CE5"/>
    <w:rsid w:val="009A34E6"/>
    <w:rsid w:val="009A4B59"/>
    <w:rsid w:val="009A720A"/>
    <w:rsid w:val="009B05A8"/>
    <w:rsid w:val="009B10E4"/>
    <w:rsid w:val="009B1F5B"/>
    <w:rsid w:val="009B3997"/>
    <w:rsid w:val="009B495D"/>
    <w:rsid w:val="009B49AF"/>
    <w:rsid w:val="009B4A51"/>
    <w:rsid w:val="009B5226"/>
    <w:rsid w:val="009B59F3"/>
    <w:rsid w:val="009B71AE"/>
    <w:rsid w:val="009B7369"/>
    <w:rsid w:val="009C0BEB"/>
    <w:rsid w:val="009C1137"/>
    <w:rsid w:val="009C28B1"/>
    <w:rsid w:val="009C4758"/>
    <w:rsid w:val="009C61AD"/>
    <w:rsid w:val="009C6697"/>
    <w:rsid w:val="009C66D8"/>
    <w:rsid w:val="009C72B2"/>
    <w:rsid w:val="009D012F"/>
    <w:rsid w:val="009D1149"/>
    <w:rsid w:val="009D15CD"/>
    <w:rsid w:val="009D221E"/>
    <w:rsid w:val="009D373D"/>
    <w:rsid w:val="009D39D3"/>
    <w:rsid w:val="009D436B"/>
    <w:rsid w:val="009D462E"/>
    <w:rsid w:val="009D559F"/>
    <w:rsid w:val="009D5927"/>
    <w:rsid w:val="009D59E4"/>
    <w:rsid w:val="009D64BD"/>
    <w:rsid w:val="009D73AA"/>
    <w:rsid w:val="009D74E1"/>
    <w:rsid w:val="009D7B2C"/>
    <w:rsid w:val="009E0801"/>
    <w:rsid w:val="009E0CBA"/>
    <w:rsid w:val="009E1B2F"/>
    <w:rsid w:val="009E1D05"/>
    <w:rsid w:val="009E3262"/>
    <w:rsid w:val="009E3672"/>
    <w:rsid w:val="009E3A3E"/>
    <w:rsid w:val="009E4C03"/>
    <w:rsid w:val="009E4EF5"/>
    <w:rsid w:val="009E5538"/>
    <w:rsid w:val="009E674B"/>
    <w:rsid w:val="009F037F"/>
    <w:rsid w:val="009F0635"/>
    <w:rsid w:val="009F17FA"/>
    <w:rsid w:val="009F261C"/>
    <w:rsid w:val="009F44ED"/>
    <w:rsid w:val="009F4AFE"/>
    <w:rsid w:val="009F6AD8"/>
    <w:rsid w:val="009F6F0D"/>
    <w:rsid w:val="009F78A7"/>
    <w:rsid w:val="009F7DE0"/>
    <w:rsid w:val="00A005FC"/>
    <w:rsid w:val="00A00851"/>
    <w:rsid w:val="00A018C9"/>
    <w:rsid w:val="00A0264A"/>
    <w:rsid w:val="00A0356E"/>
    <w:rsid w:val="00A05321"/>
    <w:rsid w:val="00A05973"/>
    <w:rsid w:val="00A05FCE"/>
    <w:rsid w:val="00A06818"/>
    <w:rsid w:val="00A06BCB"/>
    <w:rsid w:val="00A07CCE"/>
    <w:rsid w:val="00A07F11"/>
    <w:rsid w:val="00A115C7"/>
    <w:rsid w:val="00A119DA"/>
    <w:rsid w:val="00A11A6E"/>
    <w:rsid w:val="00A11B0C"/>
    <w:rsid w:val="00A133CF"/>
    <w:rsid w:val="00A13C3E"/>
    <w:rsid w:val="00A15AAC"/>
    <w:rsid w:val="00A1661E"/>
    <w:rsid w:val="00A21E4C"/>
    <w:rsid w:val="00A221DD"/>
    <w:rsid w:val="00A243D4"/>
    <w:rsid w:val="00A24FEB"/>
    <w:rsid w:val="00A25D8B"/>
    <w:rsid w:val="00A26772"/>
    <w:rsid w:val="00A27278"/>
    <w:rsid w:val="00A278B5"/>
    <w:rsid w:val="00A30012"/>
    <w:rsid w:val="00A31C03"/>
    <w:rsid w:val="00A337BD"/>
    <w:rsid w:val="00A33B35"/>
    <w:rsid w:val="00A33E90"/>
    <w:rsid w:val="00A35D14"/>
    <w:rsid w:val="00A36419"/>
    <w:rsid w:val="00A36E46"/>
    <w:rsid w:val="00A40971"/>
    <w:rsid w:val="00A41B41"/>
    <w:rsid w:val="00A4212C"/>
    <w:rsid w:val="00A421FA"/>
    <w:rsid w:val="00A44921"/>
    <w:rsid w:val="00A44AD9"/>
    <w:rsid w:val="00A44B63"/>
    <w:rsid w:val="00A450AA"/>
    <w:rsid w:val="00A4590C"/>
    <w:rsid w:val="00A4613D"/>
    <w:rsid w:val="00A46815"/>
    <w:rsid w:val="00A46D57"/>
    <w:rsid w:val="00A47605"/>
    <w:rsid w:val="00A476C3"/>
    <w:rsid w:val="00A47BCC"/>
    <w:rsid w:val="00A50815"/>
    <w:rsid w:val="00A54F10"/>
    <w:rsid w:val="00A55126"/>
    <w:rsid w:val="00A56C4A"/>
    <w:rsid w:val="00A56C8B"/>
    <w:rsid w:val="00A578C2"/>
    <w:rsid w:val="00A60118"/>
    <w:rsid w:val="00A62520"/>
    <w:rsid w:val="00A62A62"/>
    <w:rsid w:val="00A62BCE"/>
    <w:rsid w:val="00A6474C"/>
    <w:rsid w:val="00A651A7"/>
    <w:rsid w:val="00A66219"/>
    <w:rsid w:val="00A67877"/>
    <w:rsid w:val="00A67F44"/>
    <w:rsid w:val="00A72652"/>
    <w:rsid w:val="00A73053"/>
    <w:rsid w:val="00A74BBC"/>
    <w:rsid w:val="00A75284"/>
    <w:rsid w:val="00A75646"/>
    <w:rsid w:val="00A75934"/>
    <w:rsid w:val="00A75D1C"/>
    <w:rsid w:val="00A779B4"/>
    <w:rsid w:val="00A809AA"/>
    <w:rsid w:val="00A80D29"/>
    <w:rsid w:val="00A810BC"/>
    <w:rsid w:val="00A834E0"/>
    <w:rsid w:val="00A835D3"/>
    <w:rsid w:val="00A835EA"/>
    <w:rsid w:val="00A83AA0"/>
    <w:rsid w:val="00A849B3"/>
    <w:rsid w:val="00A8510D"/>
    <w:rsid w:val="00A86AF3"/>
    <w:rsid w:val="00A86B67"/>
    <w:rsid w:val="00A87B80"/>
    <w:rsid w:val="00A87E54"/>
    <w:rsid w:val="00A90A7E"/>
    <w:rsid w:val="00A90AFF"/>
    <w:rsid w:val="00A90BDC"/>
    <w:rsid w:val="00A91D91"/>
    <w:rsid w:val="00A95477"/>
    <w:rsid w:val="00A961F3"/>
    <w:rsid w:val="00A963B3"/>
    <w:rsid w:val="00A96ECB"/>
    <w:rsid w:val="00A9736D"/>
    <w:rsid w:val="00A975A9"/>
    <w:rsid w:val="00A97606"/>
    <w:rsid w:val="00A97629"/>
    <w:rsid w:val="00A976F5"/>
    <w:rsid w:val="00AA12C5"/>
    <w:rsid w:val="00AA1D28"/>
    <w:rsid w:val="00AA3192"/>
    <w:rsid w:val="00AA32A7"/>
    <w:rsid w:val="00AA3A1A"/>
    <w:rsid w:val="00AA4764"/>
    <w:rsid w:val="00AA50F6"/>
    <w:rsid w:val="00AA6DBC"/>
    <w:rsid w:val="00AB0486"/>
    <w:rsid w:val="00AB0619"/>
    <w:rsid w:val="00AB251E"/>
    <w:rsid w:val="00AB2F48"/>
    <w:rsid w:val="00AB3608"/>
    <w:rsid w:val="00AB4B82"/>
    <w:rsid w:val="00AB4BC6"/>
    <w:rsid w:val="00AB5DCE"/>
    <w:rsid w:val="00AB6E55"/>
    <w:rsid w:val="00AB6F5A"/>
    <w:rsid w:val="00AC1272"/>
    <w:rsid w:val="00AC18F1"/>
    <w:rsid w:val="00AC451E"/>
    <w:rsid w:val="00AC5C48"/>
    <w:rsid w:val="00AC60F1"/>
    <w:rsid w:val="00AC63E3"/>
    <w:rsid w:val="00AC73C0"/>
    <w:rsid w:val="00AD3F08"/>
    <w:rsid w:val="00AD47C4"/>
    <w:rsid w:val="00AD7327"/>
    <w:rsid w:val="00AE04A1"/>
    <w:rsid w:val="00AE092F"/>
    <w:rsid w:val="00AE1855"/>
    <w:rsid w:val="00AE248D"/>
    <w:rsid w:val="00AE30E1"/>
    <w:rsid w:val="00AE71E1"/>
    <w:rsid w:val="00AE73EE"/>
    <w:rsid w:val="00AE76A4"/>
    <w:rsid w:val="00AE78BD"/>
    <w:rsid w:val="00AF0CF4"/>
    <w:rsid w:val="00AF1FC4"/>
    <w:rsid w:val="00AF2252"/>
    <w:rsid w:val="00AF2D41"/>
    <w:rsid w:val="00AF4261"/>
    <w:rsid w:val="00AF6113"/>
    <w:rsid w:val="00B00740"/>
    <w:rsid w:val="00B0098C"/>
    <w:rsid w:val="00B00B12"/>
    <w:rsid w:val="00B00BA8"/>
    <w:rsid w:val="00B0133E"/>
    <w:rsid w:val="00B01A8E"/>
    <w:rsid w:val="00B0288F"/>
    <w:rsid w:val="00B0479B"/>
    <w:rsid w:val="00B1044F"/>
    <w:rsid w:val="00B1129F"/>
    <w:rsid w:val="00B11742"/>
    <w:rsid w:val="00B11D61"/>
    <w:rsid w:val="00B121FC"/>
    <w:rsid w:val="00B12F51"/>
    <w:rsid w:val="00B1303E"/>
    <w:rsid w:val="00B1350D"/>
    <w:rsid w:val="00B14229"/>
    <w:rsid w:val="00B15F0D"/>
    <w:rsid w:val="00B16863"/>
    <w:rsid w:val="00B179A9"/>
    <w:rsid w:val="00B2156D"/>
    <w:rsid w:val="00B23ADF"/>
    <w:rsid w:val="00B2557E"/>
    <w:rsid w:val="00B25678"/>
    <w:rsid w:val="00B26F3E"/>
    <w:rsid w:val="00B2751E"/>
    <w:rsid w:val="00B30BB2"/>
    <w:rsid w:val="00B31436"/>
    <w:rsid w:val="00B34E53"/>
    <w:rsid w:val="00B35753"/>
    <w:rsid w:val="00B3591B"/>
    <w:rsid w:val="00B3650C"/>
    <w:rsid w:val="00B40359"/>
    <w:rsid w:val="00B4137B"/>
    <w:rsid w:val="00B435D8"/>
    <w:rsid w:val="00B43AFE"/>
    <w:rsid w:val="00B44950"/>
    <w:rsid w:val="00B44B8F"/>
    <w:rsid w:val="00B460FA"/>
    <w:rsid w:val="00B47055"/>
    <w:rsid w:val="00B52DA1"/>
    <w:rsid w:val="00B5661A"/>
    <w:rsid w:val="00B57B26"/>
    <w:rsid w:val="00B60F68"/>
    <w:rsid w:val="00B611EB"/>
    <w:rsid w:val="00B6226F"/>
    <w:rsid w:val="00B63CF3"/>
    <w:rsid w:val="00B64BFA"/>
    <w:rsid w:val="00B66078"/>
    <w:rsid w:val="00B6793B"/>
    <w:rsid w:val="00B67AFF"/>
    <w:rsid w:val="00B70D99"/>
    <w:rsid w:val="00B71815"/>
    <w:rsid w:val="00B71E63"/>
    <w:rsid w:val="00B7256C"/>
    <w:rsid w:val="00B728D6"/>
    <w:rsid w:val="00B729C9"/>
    <w:rsid w:val="00B739B3"/>
    <w:rsid w:val="00B765CE"/>
    <w:rsid w:val="00B76D98"/>
    <w:rsid w:val="00B81D9F"/>
    <w:rsid w:val="00B828F3"/>
    <w:rsid w:val="00B82A97"/>
    <w:rsid w:val="00B830B8"/>
    <w:rsid w:val="00B83212"/>
    <w:rsid w:val="00B83AE0"/>
    <w:rsid w:val="00B84599"/>
    <w:rsid w:val="00B84DAD"/>
    <w:rsid w:val="00B84E32"/>
    <w:rsid w:val="00B852A0"/>
    <w:rsid w:val="00B8588C"/>
    <w:rsid w:val="00B85DE4"/>
    <w:rsid w:val="00B868EC"/>
    <w:rsid w:val="00B87AAD"/>
    <w:rsid w:val="00B9056E"/>
    <w:rsid w:val="00B90A6E"/>
    <w:rsid w:val="00B90F61"/>
    <w:rsid w:val="00B90FF9"/>
    <w:rsid w:val="00B91A31"/>
    <w:rsid w:val="00B926C3"/>
    <w:rsid w:val="00B92CC3"/>
    <w:rsid w:val="00B92E6A"/>
    <w:rsid w:val="00B9300C"/>
    <w:rsid w:val="00B958C8"/>
    <w:rsid w:val="00B96EA6"/>
    <w:rsid w:val="00B97140"/>
    <w:rsid w:val="00BA25E4"/>
    <w:rsid w:val="00BA30DF"/>
    <w:rsid w:val="00BA50D9"/>
    <w:rsid w:val="00BA6C28"/>
    <w:rsid w:val="00BA6D10"/>
    <w:rsid w:val="00BA6DB4"/>
    <w:rsid w:val="00BA77D7"/>
    <w:rsid w:val="00BB0013"/>
    <w:rsid w:val="00BB0758"/>
    <w:rsid w:val="00BB090C"/>
    <w:rsid w:val="00BB1DFC"/>
    <w:rsid w:val="00BB2317"/>
    <w:rsid w:val="00BB4D6E"/>
    <w:rsid w:val="00BB568D"/>
    <w:rsid w:val="00BC157C"/>
    <w:rsid w:val="00BC2345"/>
    <w:rsid w:val="00BC2585"/>
    <w:rsid w:val="00BC3F3C"/>
    <w:rsid w:val="00BC5606"/>
    <w:rsid w:val="00BC5BB2"/>
    <w:rsid w:val="00BC62B2"/>
    <w:rsid w:val="00BC6B3A"/>
    <w:rsid w:val="00BC7D3A"/>
    <w:rsid w:val="00BD0644"/>
    <w:rsid w:val="00BD22E9"/>
    <w:rsid w:val="00BD22F3"/>
    <w:rsid w:val="00BD2781"/>
    <w:rsid w:val="00BD3A05"/>
    <w:rsid w:val="00BD4124"/>
    <w:rsid w:val="00BD56AF"/>
    <w:rsid w:val="00BD5B8B"/>
    <w:rsid w:val="00BD69CC"/>
    <w:rsid w:val="00BD6E3D"/>
    <w:rsid w:val="00BD703B"/>
    <w:rsid w:val="00BD7B45"/>
    <w:rsid w:val="00BD7F79"/>
    <w:rsid w:val="00BE2754"/>
    <w:rsid w:val="00BE3825"/>
    <w:rsid w:val="00BE5B6B"/>
    <w:rsid w:val="00BE738E"/>
    <w:rsid w:val="00BE7AFA"/>
    <w:rsid w:val="00BF11A1"/>
    <w:rsid w:val="00BF1276"/>
    <w:rsid w:val="00BF3C9F"/>
    <w:rsid w:val="00BF3F54"/>
    <w:rsid w:val="00BF4B3B"/>
    <w:rsid w:val="00BF5261"/>
    <w:rsid w:val="00BF56C1"/>
    <w:rsid w:val="00BF6003"/>
    <w:rsid w:val="00BF6327"/>
    <w:rsid w:val="00BF6B80"/>
    <w:rsid w:val="00BF6E13"/>
    <w:rsid w:val="00BF71F8"/>
    <w:rsid w:val="00C00697"/>
    <w:rsid w:val="00C0376C"/>
    <w:rsid w:val="00C06D77"/>
    <w:rsid w:val="00C06D92"/>
    <w:rsid w:val="00C103C4"/>
    <w:rsid w:val="00C139BB"/>
    <w:rsid w:val="00C141C5"/>
    <w:rsid w:val="00C144A2"/>
    <w:rsid w:val="00C144D6"/>
    <w:rsid w:val="00C147D1"/>
    <w:rsid w:val="00C14BA6"/>
    <w:rsid w:val="00C16BF4"/>
    <w:rsid w:val="00C17397"/>
    <w:rsid w:val="00C17B54"/>
    <w:rsid w:val="00C202E0"/>
    <w:rsid w:val="00C2290A"/>
    <w:rsid w:val="00C27C12"/>
    <w:rsid w:val="00C30291"/>
    <w:rsid w:val="00C308D3"/>
    <w:rsid w:val="00C30BEE"/>
    <w:rsid w:val="00C31A2F"/>
    <w:rsid w:val="00C3485C"/>
    <w:rsid w:val="00C43A89"/>
    <w:rsid w:val="00C44243"/>
    <w:rsid w:val="00C4570B"/>
    <w:rsid w:val="00C52CEA"/>
    <w:rsid w:val="00C544A4"/>
    <w:rsid w:val="00C55AFD"/>
    <w:rsid w:val="00C55F26"/>
    <w:rsid w:val="00C5636A"/>
    <w:rsid w:val="00C56B7B"/>
    <w:rsid w:val="00C57376"/>
    <w:rsid w:val="00C576FA"/>
    <w:rsid w:val="00C57730"/>
    <w:rsid w:val="00C6194D"/>
    <w:rsid w:val="00C62CCC"/>
    <w:rsid w:val="00C644C5"/>
    <w:rsid w:val="00C6578F"/>
    <w:rsid w:val="00C65A5A"/>
    <w:rsid w:val="00C66779"/>
    <w:rsid w:val="00C667CA"/>
    <w:rsid w:val="00C70EF2"/>
    <w:rsid w:val="00C72B44"/>
    <w:rsid w:val="00C72E81"/>
    <w:rsid w:val="00C739B2"/>
    <w:rsid w:val="00C73BBC"/>
    <w:rsid w:val="00C74547"/>
    <w:rsid w:val="00C74C9F"/>
    <w:rsid w:val="00C75C1A"/>
    <w:rsid w:val="00C75DC3"/>
    <w:rsid w:val="00C768E5"/>
    <w:rsid w:val="00C770FC"/>
    <w:rsid w:val="00C8029A"/>
    <w:rsid w:val="00C857C9"/>
    <w:rsid w:val="00C9084E"/>
    <w:rsid w:val="00C922BE"/>
    <w:rsid w:val="00C93096"/>
    <w:rsid w:val="00C96DE3"/>
    <w:rsid w:val="00C97C55"/>
    <w:rsid w:val="00CA042A"/>
    <w:rsid w:val="00CA17D2"/>
    <w:rsid w:val="00CA2004"/>
    <w:rsid w:val="00CA3636"/>
    <w:rsid w:val="00CA5840"/>
    <w:rsid w:val="00CA5B99"/>
    <w:rsid w:val="00CA7C79"/>
    <w:rsid w:val="00CA7FAF"/>
    <w:rsid w:val="00CB0933"/>
    <w:rsid w:val="00CB1010"/>
    <w:rsid w:val="00CB2905"/>
    <w:rsid w:val="00CB334D"/>
    <w:rsid w:val="00CB531C"/>
    <w:rsid w:val="00CB56D5"/>
    <w:rsid w:val="00CB63A3"/>
    <w:rsid w:val="00CB756C"/>
    <w:rsid w:val="00CC05A6"/>
    <w:rsid w:val="00CC2B37"/>
    <w:rsid w:val="00CC3748"/>
    <w:rsid w:val="00CC3E8B"/>
    <w:rsid w:val="00CC40A3"/>
    <w:rsid w:val="00CC40D9"/>
    <w:rsid w:val="00CC462F"/>
    <w:rsid w:val="00CC4DAB"/>
    <w:rsid w:val="00CC7188"/>
    <w:rsid w:val="00CC76CD"/>
    <w:rsid w:val="00CD1B1A"/>
    <w:rsid w:val="00CD1EA8"/>
    <w:rsid w:val="00CD205D"/>
    <w:rsid w:val="00CD2A0B"/>
    <w:rsid w:val="00CD37C9"/>
    <w:rsid w:val="00CD4551"/>
    <w:rsid w:val="00CD4BBD"/>
    <w:rsid w:val="00CD7BE6"/>
    <w:rsid w:val="00CE01F1"/>
    <w:rsid w:val="00CE083C"/>
    <w:rsid w:val="00CE0D80"/>
    <w:rsid w:val="00CE1CC6"/>
    <w:rsid w:val="00CE1E8D"/>
    <w:rsid w:val="00CE282E"/>
    <w:rsid w:val="00CE2C4E"/>
    <w:rsid w:val="00CE3FBB"/>
    <w:rsid w:val="00CE4579"/>
    <w:rsid w:val="00CE4996"/>
    <w:rsid w:val="00CE5DCF"/>
    <w:rsid w:val="00CE76E6"/>
    <w:rsid w:val="00CF0503"/>
    <w:rsid w:val="00CF1936"/>
    <w:rsid w:val="00CF218A"/>
    <w:rsid w:val="00CF2F88"/>
    <w:rsid w:val="00CF3121"/>
    <w:rsid w:val="00CF5ABD"/>
    <w:rsid w:val="00CF63CE"/>
    <w:rsid w:val="00CF74D6"/>
    <w:rsid w:val="00CF7552"/>
    <w:rsid w:val="00CF7CD7"/>
    <w:rsid w:val="00D026FA"/>
    <w:rsid w:val="00D0389B"/>
    <w:rsid w:val="00D03D33"/>
    <w:rsid w:val="00D05A6B"/>
    <w:rsid w:val="00D064F0"/>
    <w:rsid w:val="00D067C1"/>
    <w:rsid w:val="00D06AED"/>
    <w:rsid w:val="00D1149D"/>
    <w:rsid w:val="00D12046"/>
    <w:rsid w:val="00D1343B"/>
    <w:rsid w:val="00D13B13"/>
    <w:rsid w:val="00D14D00"/>
    <w:rsid w:val="00D14E9C"/>
    <w:rsid w:val="00D152D3"/>
    <w:rsid w:val="00D16A05"/>
    <w:rsid w:val="00D16E78"/>
    <w:rsid w:val="00D16F69"/>
    <w:rsid w:val="00D201D3"/>
    <w:rsid w:val="00D204C8"/>
    <w:rsid w:val="00D21DA4"/>
    <w:rsid w:val="00D224C9"/>
    <w:rsid w:val="00D23027"/>
    <w:rsid w:val="00D23E0E"/>
    <w:rsid w:val="00D24C42"/>
    <w:rsid w:val="00D267D5"/>
    <w:rsid w:val="00D26A64"/>
    <w:rsid w:val="00D306FD"/>
    <w:rsid w:val="00D31720"/>
    <w:rsid w:val="00D33712"/>
    <w:rsid w:val="00D3470E"/>
    <w:rsid w:val="00D34EF0"/>
    <w:rsid w:val="00D351A3"/>
    <w:rsid w:val="00D405B9"/>
    <w:rsid w:val="00D443F1"/>
    <w:rsid w:val="00D4639D"/>
    <w:rsid w:val="00D5006C"/>
    <w:rsid w:val="00D5072D"/>
    <w:rsid w:val="00D51084"/>
    <w:rsid w:val="00D51393"/>
    <w:rsid w:val="00D51DA4"/>
    <w:rsid w:val="00D52B9A"/>
    <w:rsid w:val="00D5367E"/>
    <w:rsid w:val="00D53B1E"/>
    <w:rsid w:val="00D54CE7"/>
    <w:rsid w:val="00D6105F"/>
    <w:rsid w:val="00D61214"/>
    <w:rsid w:val="00D614BB"/>
    <w:rsid w:val="00D61AD2"/>
    <w:rsid w:val="00D62411"/>
    <w:rsid w:val="00D62510"/>
    <w:rsid w:val="00D627B0"/>
    <w:rsid w:val="00D66FE6"/>
    <w:rsid w:val="00D71C1C"/>
    <w:rsid w:val="00D73E2E"/>
    <w:rsid w:val="00D7481B"/>
    <w:rsid w:val="00D752B3"/>
    <w:rsid w:val="00D75750"/>
    <w:rsid w:val="00D76899"/>
    <w:rsid w:val="00D76C3A"/>
    <w:rsid w:val="00D806CB"/>
    <w:rsid w:val="00D81200"/>
    <w:rsid w:val="00D82ECF"/>
    <w:rsid w:val="00D84EF0"/>
    <w:rsid w:val="00D85E38"/>
    <w:rsid w:val="00D861ED"/>
    <w:rsid w:val="00D86588"/>
    <w:rsid w:val="00D86C50"/>
    <w:rsid w:val="00D873E0"/>
    <w:rsid w:val="00D87DA9"/>
    <w:rsid w:val="00D900B7"/>
    <w:rsid w:val="00D90CDA"/>
    <w:rsid w:val="00D91486"/>
    <w:rsid w:val="00D92585"/>
    <w:rsid w:val="00D93EE6"/>
    <w:rsid w:val="00D94189"/>
    <w:rsid w:val="00D941E3"/>
    <w:rsid w:val="00D94F8B"/>
    <w:rsid w:val="00D95FBF"/>
    <w:rsid w:val="00DA2BB8"/>
    <w:rsid w:val="00DA5988"/>
    <w:rsid w:val="00DB27DF"/>
    <w:rsid w:val="00DB2B6A"/>
    <w:rsid w:val="00DB313D"/>
    <w:rsid w:val="00DB4BD4"/>
    <w:rsid w:val="00DB570A"/>
    <w:rsid w:val="00DB7206"/>
    <w:rsid w:val="00DB7F78"/>
    <w:rsid w:val="00DC0184"/>
    <w:rsid w:val="00DC17F8"/>
    <w:rsid w:val="00DC2579"/>
    <w:rsid w:val="00DC317C"/>
    <w:rsid w:val="00DC42CF"/>
    <w:rsid w:val="00DC4BB5"/>
    <w:rsid w:val="00DC4DA8"/>
    <w:rsid w:val="00DC4FF2"/>
    <w:rsid w:val="00DC53F7"/>
    <w:rsid w:val="00DC60B3"/>
    <w:rsid w:val="00DC79CC"/>
    <w:rsid w:val="00DD1242"/>
    <w:rsid w:val="00DD13F3"/>
    <w:rsid w:val="00DD153E"/>
    <w:rsid w:val="00DD2331"/>
    <w:rsid w:val="00DD2676"/>
    <w:rsid w:val="00DD2EF6"/>
    <w:rsid w:val="00DD683C"/>
    <w:rsid w:val="00DD7BF0"/>
    <w:rsid w:val="00DD7FD4"/>
    <w:rsid w:val="00DE712F"/>
    <w:rsid w:val="00DF056A"/>
    <w:rsid w:val="00DF12B4"/>
    <w:rsid w:val="00DF4720"/>
    <w:rsid w:val="00DF60FF"/>
    <w:rsid w:val="00DF7516"/>
    <w:rsid w:val="00DF7598"/>
    <w:rsid w:val="00DF76A7"/>
    <w:rsid w:val="00DF7D03"/>
    <w:rsid w:val="00E0037F"/>
    <w:rsid w:val="00E01487"/>
    <w:rsid w:val="00E015BA"/>
    <w:rsid w:val="00E019CA"/>
    <w:rsid w:val="00E04170"/>
    <w:rsid w:val="00E043A9"/>
    <w:rsid w:val="00E05B1A"/>
    <w:rsid w:val="00E06053"/>
    <w:rsid w:val="00E10D39"/>
    <w:rsid w:val="00E134F4"/>
    <w:rsid w:val="00E150A8"/>
    <w:rsid w:val="00E162E0"/>
    <w:rsid w:val="00E2012D"/>
    <w:rsid w:val="00E20D75"/>
    <w:rsid w:val="00E21E72"/>
    <w:rsid w:val="00E22006"/>
    <w:rsid w:val="00E22081"/>
    <w:rsid w:val="00E2267C"/>
    <w:rsid w:val="00E23568"/>
    <w:rsid w:val="00E2375F"/>
    <w:rsid w:val="00E237CF"/>
    <w:rsid w:val="00E245B5"/>
    <w:rsid w:val="00E24F31"/>
    <w:rsid w:val="00E2592A"/>
    <w:rsid w:val="00E25B07"/>
    <w:rsid w:val="00E25E4B"/>
    <w:rsid w:val="00E27924"/>
    <w:rsid w:val="00E27AE5"/>
    <w:rsid w:val="00E30418"/>
    <w:rsid w:val="00E33E1B"/>
    <w:rsid w:val="00E34771"/>
    <w:rsid w:val="00E34D3E"/>
    <w:rsid w:val="00E35C0C"/>
    <w:rsid w:val="00E40F29"/>
    <w:rsid w:val="00E422BF"/>
    <w:rsid w:val="00E431C5"/>
    <w:rsid w:val="00E469C5"/>
    <w:rsid w:val="00E47D73"/>
    <w:rsid w:val="00E50F44"/>
    <w:rsid w:val="00E51E22"/>
    <w:rsid w:val="00E52B21"/>
    <w:rsid w:val="00E52EB5"/>
    <w:rsid w:val="00E55867"/>
    <w:rsid w:val="00E57B57"/>
    <w:rsid w:val="00E57D6A"/>
    <w:rsid w:val="00E57DFB"/>
    <w:rsid w:val="00E62BD2"/>
    <w:rsid w:val="00E62DF5"/>
    <w:rsid w:val="00E62EF0"/>
    <w:rsid w:val="00E647FB"/>
    <w:rsid w:val="00E64E67"/>
    <w:rsid w:val="00E64FA5"/>
    <w:rsid w:val="00E665B6"/>
    <w:rsid w:val="00E667B6"/>
    <w:rsid w:val="00E67F95"/>
    <w:rsid w:val="00E720E9"/>
    <w:rsid w:val="00E7239B"/>
    <w:rsid w:val="00E76225"/>
    <w:rsid w:val="00E77292"/>
    <w:rsid w:val="00E81C5E"/>
    <w:rsid w:val="00E826D6"/>
    <w:rsid w:val="00E83464"/>
    <w:rsid w:val="00E83B3C"/>
    <w:rsid w:val="00E86AC7"/>
    <w:rsid w:val="00E8700B"/>
    <w:rsid w:val="00E8736B"/>
    <w:rsid w:val="00E87671"/>
    <w:rsid w:val="00E87EE6"/>
    <w:rsid w:val="00E90275"/>
    <w:rsid w:val="00E915BE"/>
    <w:rsid w:val="00E925D4"/>
    <w:rsid w:val="00E943DE"/>
    <w:rsid w:val="00E9465D"/>
    <w:rsid w:val="00E95C64"/>
    <w:rsid w:val="00E95FB4"/>
    <w:rsid w:val="00E96860"/>
    <w:rsid w:val="00E96A04"/>
    <w:rsid w:val="00E96E7E"/>
    <w:rsid w:val="00E97226"/>
    <w:rsid w:val="00E972D8"/>
    <w:rsid w:val="00E9755F"/>
    <w:rsid w:val="00E977E8"/>
    <w:rsid w:val="00E978ED"/>
    <w:rsid w:val="00EA28BB"/>
    <w:rsid w:val="00EA2A54"/>
    <w:rsid w:val="00EA2B44"/>
    <w:rsid w:val="00EA33EF"/>
    <w:rsid w:val="00EA36CF"/>
    <w:rsid w:val="00EA512B"/>
    <w:rsid w:val="00EA5DB9"/>
    <w:rsid w:val="00EA6C2F"/>
    <w:rsid w:val="00EA6CC0"/>
    <w:rsid w:val="00EA76B3"/>
    <w:rsid w:val="00EB2145"/>
    <w:rsid w:val="00EB2DEB"/>
    <w:rsid w:val="00EB3C04"/>
    <w:rsid w:val="00EB4437"/>
    <w:rsid w:val="00EB6133"/>
    <w:rsid w:val="00EB7E9F"/>
    <w:rsid w:val="00EC01CC"/>
    <w:rsid w:val="00EC0C6D"/>
    <w:rsid w:val="00EC17B4"/>
    <w:rsid w:val="00EC4FFD"/>
    <w:rsid w:val="00EC58F5"/>
    <w:rsid w:val="00EC5B2C"/>
    <w:rsid w:val="00EC5EFC"/>
    <w:rsid w:val="00EC7217"/>
    <w:rsid w:val="00ED018C"/>
    <w:rsid w:val="00ED0551"/>
    <w:rsid w:val="00ED2202"/>
    <w:rsid w:val="00ED2349"/>
    <w:rsid w:val="00ED289A"/>
    <w:rsid w:val="00ED33D4"/>
    <w:rsid w:val="00ED3803"/>
    <w:rsid w:val="00ED40E8"/>
    <w:rsid w:val="00ED57D1"/>
    <w:rsid w:val="00ED6DF6"/>
    <w:rsid w:val="00EE410F"/>
    <w:rsid w:val="00EE4572"/>
    <w:rsid w:val="00EE5049"/>
    <w:rsid w:val="00EE5BD5"/>
    <w:rsid w:val="00EE5C97"/>
    <w:rsid w:val="00EE612C"/>
    <w:rsid w:val="00EF0AEE"/>
    <w:rsid w:val="00EF1C6B"/>
    <w:rsid w:val="00EF2319"/>
    <w:rsid w:val="00EF33CD"/>
    <w:rsid w:val="00EF6D83"/>
    <w:rsid w:val="00EF7DDA"/>
    <w:rsid w:val="00F00194"/>
    <w:rsid w:val="00F01A15"/>
    <w:rsid w:val="00F01B88"/>
    <w:rsid w:val="00F042D3"/>
    <w:rsid w:val="00F059F9"/>
    <w:rsid w:val="00F06659"/>
    <w:rsid w:val="00F10DB3"/>
    <w:rsid w:val="00F11D90"/>
    <w:rsid w:val="00F12924"/>
    <w:rsid w:val="00F12B9C"/>
    <w:rsid w:val="00F137B5"/>
    <w:rsid w:val="00F148F0"/>
    <w:rsid w:val="00F15922"/>
    <w:rsid w:val="00F16AC8"/>
    <w:rsid w:val="00F16F54"/>
    <w:rsid w:val="00F17105"/>
    <w:rsid w:val="00F20C9B"/>
    <w:rsid w:val="00F211B4"/>
    <w:rsid w:val="00F22AB5"/>
    <w:rsid w:val="00F22FD0"/>
    <w:rsid w:val="00F23B71"/>
    <w:rsid w:val="00F24528"/>
    <w:rsid w:val="00F25736"/>
    <w:rsid w:val="00F300CB"/>
    <w:rsid w:val="00F310D8"/>
    <w:rsid w:val="00F31310"/>
    <w:rsid w:val="00F31591"/>
    <w:rsid w:val="00F32CB3"/>
    <w:rsid w:val="00F341DE"/>
    <w:rsid w:val="00F35A8D"/>
    <w:rsid w:val="00F376D0"/>
    <w:rsid w:val="00F4042A"/>
    <w:rsid w:val="00F41721"/>
    <w:rsid w:val="00F42139"/>
    <w:rsid w:val="00F42C3A"/>
    <w:rsid w:val="00F45451"/>
    <w:rsid w:val="00F45776"/>
    <w:rsid w:val="00F46CEF"/>
    <w:rsid w:val="00F47D98"/>
    <w:rsid w:val="00F50DCA"/>
    <w:rsid w:val="00F50FB1"/>
    <w:rsid w:val="00F5166D"/>
    <w:rsid w:val="00F52BCC"/>
    <w:rsid w:val="00F5313F"/>
    <w:rsid w:val="00F5339C"/>
    <w:rsid w:val="00F53853"/>
    <w:rsid w:val="00F62E83"/>
    <w:rsid w:val="00F62F1A"/>
    <w:rsid w:val="00F6343C"/>
    <w:rsid w:val="00F6417A"/>
    <w:rsid w:val="00F65349"/>
    <w:rsid w:val="00F655E5"/>
    <w:rsid w:val="00F66E15"/>
    <w:rsid w:val="00F67974"/>
    <w:rsid w:val="00F70EBD"/>
    <w:rsid w:val="00F71C1D"/>
    <w:rsid w:val="00F7381B"/>
    <w:rsid w:val="00F748DD"/>
    <w:rsid w:val="00F76051"/>
    <w:rsid w:val="00F76B01"/>
    <w:rsid w:val="00F772C0"/>
    <w:rsid w:val="00F77E66"/>
    <w:rsid w:val="00F81135"/>
    <w:rsid w:val="00F81A48"/>
    <w:rsid w:val="00F81BA7"/>
    <w:rsid w:val="00F833E6"/>
    <w:rsid w:val="00F85202"/>
    <w:rsid w:val="00F86C0E"/>
    <w:rsid w:val="00F90868"/>
    <w:rsid w:val="00F93C78"/>
    <w:rsid w:val="00F956A1"/>
    <w:rsid w:val="00F97302"/>
    <w:rsid w:val="00F97F3D"/>
    <w:rsid w:val="00FA02FD"/>
    <w:rsid w:val="00FB0201"/>
    <w:rsid w:val="00FB17F3"/>
    <w:rsid w:val="00FB2D8F"/>
    <w:rsid w:val="00FB4715"/>
    <w:rsid w:val="00FB570E"/>
    <w:rsid w:val="00FB62BC"/>
    <w:rsid w:val="00FB658D"/>
    <w:rsid w:val="00FB68DB"/>
    <w:rsid w:val="00FB767C"/>
    <w:rsid w:val="00FB787B"/>
    <w:rsid w:val="00FB7A44"/>
    <w:rsid w:val="00FC2DB3"/>
    <w:rsid w:val="00FC343E"/>
    <w:rsid w:val="00FC389D"/>
    <w:rsid w:val="00FC41D0"/>
    <w:rsid w:val="00FC4ACB"/>
    <w:rsid w:val="00FC5698"/>
    <w:rsid w:val="00FC5D8B"/>
    <w:rsid w:val="00FC6096"/>
    <w:rsid w:val="00FD17C9"/>
    <w:rsid w:val="00FD2A5B"/>
    <w:rsid w:val="00FD2B1A"/>
    <w:rsid w:val="00FD3220"/>
    <w:rsid w:val="00FD4849"/>
    <w:rsid w:val="00FD731A"/>
    <w:rsid w:val="00FD7E66"/>
    <w:rsid w:val="00FE1783"/>
    <w:rsid w:val="00FE2984"/>
    <w:rsid w:val="00FE2F85"/>
    <w:rsid w:val="00FE34C2"/>
    <w:rsid w:val="00FE3A57"/>
    <w:rsid w:val="00FE3FC1"/>
    <w:rsid w:val="00FE467D"/>
    <w:rsid w:val="00FE68D4"/>
    <w:rsid w:val="00FE6A5C"/>
    <w:rsid w:val="00FF15BA"/>
    <w:rsid w:val="00FF223B"/>
    <w:rsid w:val="00FF4E7F"/>
    <w:rsid w:val="00FF551C"/>
    <w:rsid w:val="00FF5D0E"/>
    <w:rsid w:val="00FF6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03245"/>
  <w15:docId w15:val="{EF484C82-1A03-4134-A7DE-3EA04C86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2"/>
      </w:numPr>
      <w:spacing w:after="120"/>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657BC"/>
    <w:pPr>
      <w:tabs>
        <w:tab w:val="clear" w:pos="9360"/>
        <w:tab w:val="left" w:pos="660"/>
        <w:tab w:val="right" w:leader="dot" w:pos="9350"/>
      </w:tabs>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paragraph" w:customStyle="1" w:styleId="EndNoteBibliography">
    <w:name w:val="EndNote Bibliography"/>
    <w:basedOn w:val="Normal"/>
    <w:link w:val="EndNoteBibliographyChar"/>
    <w:rsid w:val="006F3472"/>
    <w:pPr>
      <w:tabs>
        <w:tab w:val="clear" w:pos="9360"/>
      </w:tabs>
      <w:spacing w:after="200" w:line="240" w:lineRule="auto"/>
      <w:ind w:left="0"/>
    </w:pPr>
    <w:rPr>
      <w:rFonts w:ascii="Calibri" w:eastAsia="Calibri" w:hAnsi="Calibri" w:cs="Times New Roman"/>
      <w:noProof/>
    </w:rPr>
  </w:style>
  <w:style w:type="character" w:customStyle="1" w:styleId="EndNoteBibliographyChar">
    <w:name w:val="EndNote Bibliography Char"/>
    <w:link w:val="EndNoteBibliography"/>
    <w:rsid w:val="006F3472"/>
    <w:rPr>
      <w:rFonts w:ascii="Calibri" w:eastAsia="Calibri" w:hAnsi="Calibri" w:cs="Times New Roman"/>
      <w:noProof/>
    </w:rPr>
  </w:style>
  <w:style w:type="paragraph" w:customStyle="1" w:styleId="BodyText1">
    <w:name w:val="Body Text1"/>
    <w:basedOn w:val="Normal"/>
    <w:rsid w:val="0055631A"/>
    <w:pPr>
      <w:tabs>
        <w:tab w:val="clear" w:pos="9360"/>
      </w:tabs>
      <w:spacing w:after="120" w:line="240" w:lineRule="auto"/>
      <w:ind w:left="0" w:firstLine="720"/>
    </w:pPr>
    <w:rPr>
      <w:rFonts w:ascii="Times New Roman" w:eastAsia="Times New Roman" w:hAnsi="Times New Roman" w:cs="Times New Roman"/>
      <w:szCs w:val="20"/>
    </w:rPr>
  </w:style>
  <w:style w:type="character" w:customStyle="1" w:styleId="A3">
    <w:name w:val="A3"/>
    <w:uiPriority w:val="99"/>
    <w:rsid w:val="009B7369"/>
    <w:rPr>
      <w:rFonts w:cs="Myriad Pro"/>
      <w:color w:val="000000"/>
      <w:sz w:val="20"/>
      <w:szCs w:val="20"/>
    </w:rPr>
  </w:style>
  <w:style w:type="character" w:styleId="FollowedHyperlink">
    <w:name w:val="FollowedHyperlink"/>
    <w:basedOn w:val="DefaultParagraphFont"/>
    <w:uiPriority w:val="99"/>
    <w:semiHidden/>
    <w:unhideWhenUsed/>
    <w:rsid w:val="00396603"/>
    <w:rPr>
      <w:color w:val="800080" w:themeColor="followedHyperlink"/>
      <w:u w:val="single"/>
    </w:rPr>
  </w:style>
  <w:style w:type="character" w:styleId="Emphasis">
    <w:name w:val="Emphasis"/>
    <w:basedOn w:val="DefaultParagraphFont"/>
    <w:uiPriority w:val="20"/>
    <w:qFormat/>
    <w:rsid w:val="00003096"/>
    <w:rPr>
      <w:rFonts w:ascii="Lato" w:hAnsi="Lato" w:hint="default"/>
      <w:i/>
      <w:iCs/>
    </w:rPr>
  </w:style>
  <w:style w:type="character" w:customStyle="1" w:styleId="tp-label">
    <w:name w:val="tp-label"/>
    <w:basedOn w:val="DefaultParagraphFont"/>
    <w:rsid w:val="00A86B67"/>
  </w:style>
  <w:style w:type="character" w:customStyle="1" w:styleId="tp-size">
    <w:name w:val="tp-size"/>
    <w:basedOn w:val="DefaultParagraphFont"/>
    <w:rsid w:val="00A86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073141">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22569837">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ls.gov/oes/current/oes_nat.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dc.gov/nphpsp/essentialservices.html.%20Accessed%20on%208/14/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esp.cdc.gov/sites/ostlts/pip/osc/StatementA/Form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https://esp.cdc.gov/sites/ostlts/pip/osc/_layouts/15/DocIdRedir.aspx?ID=OSTLTSDOC-726-143</Url>
      <Description>OSTLTSDOC-726-143</Description>
    </_dlc_DocIdUrl>
    <_dlc_DocId xmlns="b5c0ca00-073d-4463-9985-b654f14791fe">OSTLTSDOC-726-143</_dlc_Doc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3CA09-DA58-4C05-AB66-C7CE9A7BC86D}">
  <ds:schemaRefs>
    <ds:schemaRef ds:uri="http://schemas.microsoft.com/office/2006/metadata/customXsn"/>
  </ds:schemaRefs>
</ds:datastoreItem>
</file>

<file path=customXml/itemProps2.xml><?xml version="1.0" encoding="utf-8"?>
<ds:datastoreItem xmlns:ds="http://schemas.openxmlformats.org/officeDocument/2006/customXml" ds:itemID="{EAA9829A-9932-469D-AA5E-BEF3EA41F48C}">
  <ds:schemaRefs>
    <ds:schemaRef ds:uri="http://schemas.microsoft.com/sharepoint/events"/>
  </ds:schemaRefs>
</ds:datastoreItem>
</file>

<file path=customXml/itemProps3.xml><?xml version="1.0" encoding="utf-8"?>
<ds:datastoreItem xmlns:ds="http://schemas.openxmlformats.org/officeDocument/2006/customXml" ds:itemID="{E4E8F635-0732-46DB-A594-461B0F5BF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DD5616-A2EB-450D-B97F-567EAD887AA7}">
  <ds:schemaRefs>
    <ds:schemaRef ds:uri="http://schemas.microsoft.com/office/2006/metadata/properties"/>
    <ds:schemaRef ds:uri="http://www.w3.org/XML/1998/namespace"/>
    <ds:schemaRef ds:uri="bd99c180-279b-44c3-9486-dd050336677e"/>
    <ds:schemaRef ds:uri="http://purl.org/dc/elements/1.1/"/>
    <ds:schemaRef ds:uri="http://schemas.microsoft.com/office/2006/documentManagement/types"/>
    <ds:schemaRef ds:uri="15b1c282-9287-45cb-9b41-eae3a76919a0"/>
    <ds:schemaRef ds:uri="ce849d94-b00b-4457-8fdf-7e9e81e05b5e"/>
    <ds:schemaRef ds:uri="http://purl.org/dc/dcmitype/"/>
    <ds:schemaRef ds:uri="http://schemas.microsoft.com/office/infopath/2007/PartnerControls"/>
    <ds:schemaRef ds:uri="http://schemas.openxmlformats.org/package/2006/metadata/core-properties"/>
    <ds:schemaRef ds:uri="b5c0ca00-073d-4463-9985-b654f14791fe"/>
    <ds:schemaRef ds:uri="http://purl.org/dc/terms/"/>
  </ds:schemaRefs>
</ds:datastoreItem>
</file>

<file path=customXml/itemProps5.xml><?xml version="1.0" encoding="utf-8"?>
<ds:datastoreItem xmlns:ds="http://schemas.openxmlformats.org/officeDocument/2006/customXml" ds:itemID="{3D33BC25-32B6-45A5-8395-439B2C71F889}">
  <ds:schemaRefs>
    <ds:schemaRef ds:uri="http://schemas.microsoft.com/sharepoint/v3/contenttype/forms"/>
  </ds:schemaRefs>
</ds:datastoreItem>
</file>

<file path=customXml/itemProps6.xml><?xml version="1.0" encoding="utf-8"?>
<ds:datastoreItem xmlns:ds="http://schemas.openxmlformats.org/officeDocument/2006/customXml" ds:itemID="{DB3C7C5B-4345-426E-871B-A76C27AFB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14</Pages>
  <Words>5451</Words>
  <Characters>31075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36454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CDC User</cp:lastModifiedBy>
  <cp:revision>3</cp:revision>
  <cp:lastPrinted>2011-06-07T15:53:00Z</cp:lastPrinted>
  <dcterms:created xsi:type="dcterms:W3CDTF">2016-05-16T16:24:00Z</dcterms:created>
  <dcterms:modified xsi:type="dcterms:W3CDTF">2016-05-16T16:25:00Z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73b06685-df83-4764-bb3b-b8a9323618d5</vt:lpwstr>
  </property>
</Properties>
</file>