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AA21D" w14:textId="77E206F9" w:rsidR="00716F94" w:rsidRDefault="006B6533" w:rsidP="00BC6896">
      <w:r>
        <w:t xml:space="preserve"> </w:t>
      </w:r>
    </w:p>
    <w:p w14:paraId="226A0662" w14:textId="77777777" w:rsidR="009B4A51" w:rsidRDefault="009B4A51" w:rsidP="00BC6896"/>
    <w:p w14:paraId="58839AE4" w14:textId="77777777" w:rsidR="009B4A51" w:rsidRDefault="009B4A51" w:rsidP="00BC6896"/>
    <w:p w14:paraId="4BDA0CFF" w14:textId="77777777" w:rsidR="009B4A51" w:rsidRDefault="009B4A51" w:rsidP="00BC6896"/>
    <w:p w14:paraId="07316942" w14:textId="77777777" w:rsidR="009B4A51" w:rsidRDefault="009B4A51" w:rsidP="00BC6896"/>
    <w:p w14:paraId="0D9FBB8E" w14:textId="77777777" w:rsidR="00667C89" w:rsidRDefault="00667C89" w:rsidP="00BC6896"/>
    <w:p w14:paraId="43EB015D" w14:textId="77777777" w:rsidR="009B4A51" w:rsidRDefault="009B4A51" w:rsidP="00BC6896"/>
    <w:p w14:paraId="29A03144" w14:textId="77777777" w:rsidR="009B4A51" w:rsidRDefault="009B4A51" w:rsidP="00BC6896"/>
    <w:p w14:paraId="6CE9B5F3" w14:textId="77777777" w:rsidR="00566303" w:rsidRPr="00182681" w:rsidRDefault="00566303" w:rsidP="00566303">
      <w:pPr>
        <w:pStyle w:val="Heading1"/>
      </w:pPr>
      <w:r w:rsidRPr="00182681">
        <w:t>Awareness and Practice of Disaster Risk Reduction for Health: A National Assessment</w:t>
      </w:r>
    </w:p>
    <w:p w14:paraId="5D85BCF9" w14:textId="77777777" w:rsidR="00AA3192" w:rsidRDefault="00AA3192" w:rsidP="00BC6896"/>
    <w:p w14:paraId="6EAF7984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5CD5B92F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0E2E2036" w14:textId="77777777" w:rsidR="009B4A51" w:rsidRDefault="009B4A51" w:rsidP="00BC6896"/>
    <w:p w14:paraId="1A966CD2" w14:textId="77777777" w:rsidR="009B4A51" w:rsidRDefault="009B4A51" w:rsidP="00BC6896"/>
    <w:p w14:paraId="17D9666B" w14:textId="77777777" w:rsidR="00AA3192" w:rsidRDefault="00AA3192" w:rsidP="00BC6896"/>
    <w:p w14:paraId="0A3ADE35" w14:textId="77777777" w:rsidR="00AA3192" w:rsidRDefault="00AA3192" w:rsidP="00BC6896"/>
    <w:p w14:paraId="0F6B47BC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21ABBEC8" w14:textId="77777777" w:rsidR="009B4A51" w:rsidRDefault="009B4A51" w:rsidP="00BC6896"/>
    <w:p w14:paraId="54C2BD12" w14:textId="77777777" w:rsidR="00484011" w:rsidRDefault="00484011" w:rsidP="00BC6896"/>
    <w:p w14:paraId="4DDC4124" w14:textId="77777777" w:rsidR="00AA3192" w:rsidRDefault="00AA3192" w:rsidP="00BC6896"/>
    <w:p w14:paraId="15BBE79C" w14:textId="77777777" w:rsidR="009B4A51" w:rsidRDefault="009B4A51" w:rsidP="00BC6896"/>
    <w:p w14:paraId="64B103DE" w14:textId="77777777" w:rsidR="009B4A51" w:rsidRDefault="009B4A51" w:rsidP="00BC6896"/>
    <w:p w14:paraId="75EE3E53" w14:textId="77777777" w:rsidR="00187D5A" w:rsidRDefault="00187D5A" w:rsidP="00BC6896"/>
    <w:p w14:paraId="4FD9FED2" w14:textId="431BB3F5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3305E9" w:rsidRPr="003305E9">
        <w:rPr>
          <w:color w:val="0070C0"/>
        </w:rPr>
        <w:t>May 17</w:t>
      </w:r>
      <w:r w:rsidR="003305E9" w:rsidRPr="003305E9">
        <w:rPr>
          <w:color w:val="0070C0"/>
          <w:vertAlign w:val="superscript"/>
        </w:rPr>
        <w:t>th</w:t>
      </w:r>
      <w:r w:rsidR="003305E9" w:rsidRPr="003305E9">
        <w:rPr>
          <w:color w:val="0070C0"/>
        </w:rPr>
        <w:t>, 2016</w:t>
      </w:r>
    </w:p>
    <w:p w14:paraId="7911A41D" w14:textId="77777777" w:rsidR="009B4A51" w:rsidRDefault="009B4A51" w:rsidP="00BC6896"/>
    <w:p w14:paraId="34D1E6F8" w14:textId="77777777" w:rsidR="009B4A51" w:rsidRDefault="009B4A51" w:rsidP="00BC6896"/>
    <w:p w14:paraId="73968A70" w14:textId="77777777" w:rsidR="009B4A51" w:rsidRDefault="009B4A51" w:rsidP="00BC6896"/>
    <w:p w14:paraId="7149DC6D" w14:textId="77777777" w:rsidR="00AA3192" w:rsidRDefault="00AA3192" w:rsidP="00BC6896"/>
    <w:p w14:paraId="399A379C" w14:textId="77777777" w:rsidR="00AA3192" w:rsidRDefault="00AA3192" w:rsidP="00BC6896"/>
    <w:p w14:paraId="6C5438CE" w14:textId="77777777" w:rsidR="009B4A51" w:rsidRDefault="009B4A51" w:rsidP="00BC6896"/>
    <w:p w14:paraId="76142E92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1B27DAC0" w14:textId="77777777" w:rsidR="00566303" w:rsidRPr="00182681" w:rsidRDefault="00566303" w:rsidP="00566303">
      <w:pPr>
        <w:ind w:left="0"/>
      </w:pPr>
      <w:r w:rsidRPr="00182681">
        <w:t>Mollie Mahany, MPH</w:t>
      </w:r>
    </w:p>
    <w:p w14:paraId="62FFAA8D" w14:textId="77777777" w:rsidR="00566303" w:rsidRPr="00182681" w:rsidRDefault="00566303" w:rsidP="00566303">
      <w:pPr>
        <w:ind w:left="0"/>
      </w:pPr>
      <w:r w:rsidRPr="00182681">
        <w:t>Public Health Advisor</w:t>
      </w:r>
    </w:p>
    <w:p w14:paraId="053EC2E9" w14:textId="77777777" w:rsidR="00566303" w:rsidRPr="00182681" w:rsidRDefault="00566303" w:rsidP="00566303">
      <w:pPr>
        <w:ind w:left="0"/>
      </w:pPr>
      <w:r w:rsidRPr="00182681">
        <w:t>CIO: Office of Non-communicable Diseases, Injury, and Environmental Health, National Center for Environmental Health/Agency for Toxic Substances and Disease Registry, Office of the Director</w:t>
      </w:r>
    </w:p>
    <w:p w14:paraId="53C81665" w14:textId="77777777" w:rsidR="00566303" w:rsidRPr="00182681" w:rsidRDefault="00566303" w:rsidP="00566303">
      <w:pPr>
        <w:ind w:left="0"/>
      </w:pPr>
      <w:r w:rsidRPr="00182681">
        <w:t>Office of Environmental Health Emergency Management</w:t>
      </w:r>
    </w:p>
    <w:p w14:paraId="3E1011E9" w14:textId="77777777" w:rsidR="00566303" w:rsidRPr="00182681" w:rsidRDefault="00566303" w:rsidP="00566303">
      <w:pPr>
        <w:ind w:left="0"/>
      </w:pPr>
      <w:r w:rsidRPr="00182681">
        <w:t>Address:  4770 Buford Highway, NE, MS F-09, Atlanta, GA 30341</w:t>
      </w:r>
    </w:p>
    <w:p w14:paraId="098BDCBB" w14:textId="77777777" w:rsidR="00566303" w:rsidRPr="00182681" w:rsidRDefault="00566303" w:rsidP="00566303">
      <w:pPr>
        <w:ind w:left="0"/>
      </w:pPr>
      <w:r w:rsidRPr="00182681">
        <w:t>Phone:  770 488-0518</w:t>
      </w:r>
    </w:p>
    <w:p w14:paraId="0F56537C" w14:textId="251BCDA5" w:rsidR="00BC6896" w:rsidRPr="00383335" w:rsidRDefault="00566303" w:rsidP="00383335">
      <w:pPr>
        <w:ind w:left="0"/>
      </w:pPr>
      <w:r w:rsidRPr="00182681">
        <w:t>Email:  mmahany@cdc.gov</w:t>
      </w:r>
      <w:r w:rsidR="00BC6896">
        <w:br w:type="page"/>
      </w:r>
    </w:p>
    <w:p w14:paraId="7DCD65EE" w14:textId="77777777" w:rsidR="00245F1F" w:rsidRDefault="00245F1F" w:rsidP="00BC6896">
      <w:pPr>
        <w:pStyle w:val="Heading3"/>
      </w:pPr>
      <w:bookmarkStart w:id="0" w:name="_Toc413847909"/>
      <w:r>
        <w:lastRenderedPageBreak/>
        <w:t>Table of Contents</w:t>
      </w:r>
      <w:bookmarkEnd w:id="0"/>
    </w:p>
    <w:p w14:paraId="4BCC49E8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773C193A" w14:textId="15201E73" w:rsidR="00245F1F" w:rsidRDefault="009547C9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3305E9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57A0BF01" w14:textId="0C3CD22F" w:rsidR="00245F1F" w:rsidRDefault="009547C9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3305E9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4CCC69CC" w14:textId="14581597" w:rsidR="00245F1F" w:rsidRDefault="009547C9" w:rsidP="00245F1F">
      <w:pPr>
        <w:pStyle w:val="TOC2"/>
        <w:rPr>
          <w:noProof/>
        </w:rPr>
      </w:pPr>
      <w:hyperlink w:anchor="_Toc413847912" w:history="1">
        <w:r w:rsidR="00245F1F" w:rsidRPr="00017FCA">
          <w:rPr>
            <w:rStyle w:val="Hyperlink"/>
            <w:noProof/>
          </w:rPr>
          <w:t>2.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Procedures for the Collection of Information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_Toc413847912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3305E9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5903882E" w14:textId="12410465" w:rsidR="00245F1F" w:rsidRDefault="009547C9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3305E9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78C3B14" w14:textId="6352558E" w:rsidR="00245F1F" w:rsidRDefault="009547C9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3305E9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36E540A0" w14:textId="4B1C2936" w:rsidR="00245F1F" w:rsidRPr="001100BE" w:rsidRDefault="009547C9" w:rsidP="001100BE">
      <w:pPr>
        <w:pStyle w:val="TOC2"/>
        <w:rPr>
          <w:noProof/>
        </w:rPr>
      </w:pPr>
      <w:hyperlink w:anchor="_Toc413847915" w:history="1">
        <w:r w:rsidR="00245F1F" w:rsidRPr="00017FCA">
          <w:rPr>
            <w:rStyle w:val="Hyperlink"/>
            <w:noProof/>
          </w:rPr>
          <w:t>5.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245F1F">
          <w:rPr>
            <w:rStyle w:val="Hyperlink"/>
            <w:noProof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_Toc413847915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3305E9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448B869E" w14:textId="4F786D64" w:rsidR="003305E9" w:rsidRDefault="00245F1F" w:rsidP="003305E9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end"/>
      </w:r>
      <w:r w:rsidR="003305E9" w:rsidRPr="003305E9">
        <w:rPr>
          <w:noProof/>
        </w:rPr>
        <w:t>LIST OF ATTACHMENTS – Section B</w:t>
      </w:r>
      <w:r w:rsidR="003305E9">
        <w:rPr>
          <w:noProof/>
          <w:webHidden/>
        </w:rPr>
        <w:tab/>
      </w:r>
      <w:r w:rsidR="003305E9">
        <w:rPr>
          <w:noProof/>
          <w:webHidden/>
        </w:rPr>
        <w:t>5</w:t>
      </w:r>
    </w:p>
    <w:p w14:paraId="13ECFBEA" w14:textId="77777777" w:rsidR="00245F1F" w:rsidRDefault="00245F1F" w:rsidP="00BC6896">
      <w:pPr>
        <w:pStyle w:val="Heading3"/>
      </w:pPr>
    </w:p>
    <w:p w14:paraId="058905EB" w14:textId="77777777" w:rsidR="00245F1F" w:rsidRDefault="00245F1F">
      <w:pPr>
        <w:spacing w:after="200"/>
        <w:ind w:left="0"/>
        <w:rPr>
          <w:b/>
          <w:sz w:val="28"/>
        </w:rPr>
      </w:pPr>
      <w:bookmarkStart w:id="1" w:name="_Toc413847910"/>
      <w:r>
        <w:br w:type="page"/>
      </w:r>
    </w:p>
    <w:p w14:paraId="74B4CDE7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1"/>
    </w:p>
    <w:p w14:paraId="574C0656" w14:textId="77777777" w:rsidR="00287E2F" w:rsidRDefault="00287E2F" w:rsidP="00BC6896"/>
    <w:p w14:paraId="1A9BEEFB" w14:textId="77777777" w:rsidR="00A75D1C" w:rsidRPr="006026DA" w:rsidRDefault="009759F3" w:rsidP="00991BF9">
      <w:pPr>
        <w:pStyle w:val="Heading4"/>
      </w:pPr>
      <w:bookmarkStart w:id="2" w:name="_Toc413847911"/>
      <w:r w:rsidRPr="00AB6C25">
        <w:t>Respondent Universe and Sampling Methods</w:t>
      </w:r>
      <w:bookmarkEnd w:id="2"/>
      <w:r w:rsidR="00A305CE" w:rsidRPr="00AB6C25">
        <w:t xml:space="preserve"> </w:t>
      </w:r>
    </w:p>
    <w:p w14:paraId="6D5DC2E7" w14:textId="0B94676C" w:rsidR="00321EB8" w:rsidRDefault="00C62592" w:rsidP="006026DA">
      <w:pPr>
        <w:ind w:left="0"/>
      </w:pPr>
      <w:r w:rsidRPr="006026DA">
        <w:t xml:space="preserve">The respondent universe for this information </w:t>
      </w:r>
      <w:r w:rsidR="007C5FB3" w:rsidRPr="006026DA">
        <w:t xml:space="preserve">collection </w:t>
      </w:r>
      <w:r w:rsidRPr="006026DA">
        <w:t xml:space="preserve">includes 56 </w:t>
      </w:r>
      <w:r w:rsidR="006026DA" w:rsidRPr="006026DA">
        <w:t>(50 states, 5 territories, and the District of Columbia</w:t>
      </w:r>
      <w:r w:rsidR="006026DA">
        <w:t>)</w:t>
      </w:r>
      <w:r w:rsidR="006026DA" w:rsidRPr="006026DA">
        <w:t xml:space="preserve"> </w:t>
      </w:r>
      <w:r w:rsidR="002A21E8">
        <w:t>state and territorial health departments</w:t>
      </w:r>
      <w:r w:rsidRPr="006026DA">
        <w:t xml:space="preserve"> funded under the CDC Public Health Emergency Preparedness </w:t>
      </w:r>
      <w:r w:rsidR="005B4D75">
        <w:t xml:space="preserve">(PHEP) </w:t>
      </w:r>
      <w:r w:rsidRPr="006026DA">
        <w:t>cooperative agreement</w:t>
      </w:r>
      <w:r w:rsidR="002A21E8">
        <w:t>. Respondents from the selected states and territories will consist of</w:t>
      </w:r>
      <w:r w:rsidRPr="006026DA">
        <w:t xml:space="preserve"> </w:t>
      </w:r>
      <w:r w:rsidR="002A21E8">
        <w:t xml:space="preserve">public health preparedness program directors, or their designee, </w:t>
      </w:r>
      <w:r w:rsidRPr="006026DA">
        <w:t xml:space="preserve">acting in their official capacities. </w:t>
      </w:r>
    </w:p>
    <w:p w14:paraId="2F189335" w14:textId="77777777" w:rsidR="00F45F9C" w:rsidRDefault="00F45F9C" w:rsidP="006026DA">
      <w:pPr>
        <w:ind w:left="0"/>
      </w:pPr>
    </w:p>
    <w:p w14:paraId="3BE284E5" w14:textId="11F04A8C" w:rsidR="00F45F9C" w:rsidRDefault="005B4D75" w:rsidP="006026DA">
      <w:pPr>
        <w:ind w:left="0"/>
      </w:pPr>
      <w:r>
        <w:t xml:space="preserve">There are a total of 62 </w:t>
      </w:r>
      <w:r w:rsidR="00736382">
        <w:t>state, local, and territorial health department grantees</w:t>
      </w:r>
      <w:r>
        <w:t xml:space="preserve">. </w:t>
      </w:r>
      <w:r w:rsidR="00F45F9C">
        <w:t xml:space="preserve">Of the 62 total state, local, and territorial health departments that were funded by PHEP, 56 </w:t>
      </w:r>
      <w:r w:rsidR="00F45F9C" w:rsidRPr="006026DA">
        <w:t>(50 states, 5 territories, and the District of Columbia</w:t>
      </w:r>
      <w:r w:rsidR="00F45F9C">
        <w:t>) were selected for inclusion in this information collection.</w:t>
      </w:r>
      <w:r w:rsidR="001626EF">
        <w:t xml:space="preserve"> </w:t>
      </w:r>
      <w:r>
        <w:t xml:space="preserve">The decision to select 56 out of the 62 jurisdictions was purposeful. </w:t>
      </w:r>
      <w:r w:rsidR="001626EF">
        <w:t xml:space="preserve">CDC and ASTHO chose to exclude the remaining </w:t>
      </w:r>
      <w:r w:rsidR="001626EF" w:rsidRPr="006026DA">
        <w:t xml:space="preserve">6 </w:t>
      </w:r>
      <w:r w:rsidR="001626EF">
        <w:t xml:space="preserve">PHEP funded </w:t>
      </w:r>
      <w:r w:rsidR="001626EF" w:rsidRPr="006026DA">
        <w:t xml:space="preserve">metropolitan areas </w:t>
      </w:r>
      <w:r w:rsidR="00F37C9D">
        <w:t xml:space="preserve">due to the fact that they reside </w:t>
      </w:r>
      <w:r w:rsidR="001626EF" w:rsidRPr="006026DA">
        <w:t>within states already being assessed</w:t>
      </w:r>
      <w:r w:rsidR="00F37C9D">
        <w:t>.</w:t>
      </w:r>
      <w:r w:rsidR="001626EF" w:rsidRPr="00380A8C">
        <w:t xml:space="preserve"> </w:t>
      </w:r>
      <w:r w:rsidR="001626EF">
        <w:t>Participants were selected based upon the fact that</w:t>
      </w:r>
      <w:r w:rsidR="00F37C9D">
        <w:t xml:space="preserve"> </w:t>
      </w:r>
      <w:r w:rsidR="00F37C9D" w:rsidRPr="006026DA">
        <w:t xml:space="preserve">they are the primary recipients of federal funding for public health preparedness in the US and are, therefore, the most knowledgeable about the information being collected in this assessment. </w:t>
      </w:r>
    </w:p>
    <w:p w14:paraId="6B2BCF93" w14:textId="67C22693" w:rsidR="00BC5BB2" w:rsidRPr="006026DA" w:rsidRDefault="00321EB8" w:rsidP="006026DA">
      <w:pPr>
        <w:spacing w:before="100" w:beforeAutospacing="1" w:after="100" w:afterAutospacing="1"/>
        <w:ind w:left="0"/>
        <w:rPr>
          <w:rFonts w:eastAsia="Times New Roman" w:cs="Times New Roman"/>
        </w:rPr>
      </w:pPr>
      <w:r w:rsidRPr="006026DA">
        <w:rPr>
          <w:rFonts w:eastAsia="Times New Roman" w:cs="Times New Roman"/>
        </w:rPr>
        <w:t>We anticipate a response rate of approximately 80-90%</w:t>
      </w:r>
      <w:r w:rsidR="000F5FEE">
        <w:rPr>
          <w:rFonts w:eastAsia="Times New Roman" w:cs="Times New Roman"/>
        </w:rPr>
        <w:t>.  Should any of the</w:t>
      </w:r>
      <w:r w:rsidRPr="006026DA">
        <w:rPr>
          <w:rFonts w:eastAsia="Times New Roman" w:cs="Times New Roman"/>
        </w:rPr>
        <w:t xml:space="preserve"> 56 state program directors not respond to the invitation </w:t>
      </w:r>
      <w:r w:rsidR="00A80C2F" w:rsidRPr="006026DA">
        <w:rPr>
          <w:rFonts w:eastAsia="Times New Roman" w:cs="Times New Roman"/>
        </w:rPr>
        <w:t xml:space="preserve">within one week </w:t>
      </w:r>
      <w:r w:rsidR="000F5FEE">
        <w:rPr>
          <w:rFonts w:eastAsia="Times New Roman" w:cs="Times New Roman"/>
        </w:rPr>
        <w:t>of</w:t>
      </w:r>
      <w:r w:rsidR="00A80C2F" w:rsidRPr="006026DA">
        <w:rPr>
          <w:rFonts w:eastAsia="Times New Roman" w:cs="Times New Roman"/>
        </w:rPr>
        <w:t xml:space="preserve"> the initial notification e-mail</w:t>
      </w:r>
      <w:r w:rsidR="000F5FEE">
        <w:rPr>
          <w:rFonts w:eastAsia="Times New Roman" w:cs="Times New Roman"/>
        </w:rPr>
        <w:t>, they</w:t>
      </w:r>
      <w:r w:rsidR="00A80C2F" w:rsidRPr="006026DA">
        <w:rPr>
          <w:rFonts w:eastAsia="Times New Roman" w:cs="Times New Roman"/>
        </w:rPr>
        <w:t xml:space="preserve"> will receive a reminder email (</w:t>
      </w:r>
      <w:r w:rsidR="00A80C2F" w:rsidRPr="005825D4">
        <w:rPr>
          <w:rFonts w:eastAsia="Times New Roman" w:cs="Times New Roman"/>
        </w:rPr>
        <w:t>see</w:t>
      </w:r>
      <w:r w:rsidR="00A80C2F" w:rsidRPr="006026DA">
        <w:rPr>
          <w:rFonts w:eastAsia="Times New Roman" w:cs="Times New Roman"/>
          <w:b/>
        </w:rPr>
        <w:t xml:space="preserve"> Attachment </w:t>
      </w:r>
      <w:r w:rsidR="00CF067D">
        <w:rPr>
          <w:rFonts w:eastAsia="Times New Roman" w:cs="Times New Roman"/>
          <w:b/>
        </w:rPr>
        <w:t>E</w:t>
      </w:r>
      <w:r w:rsidR="00A80C2F" w:rsidRPr="006026DA">
        <w:rPr>
          <w:rFonts w:eastAsia="Times New Roman" w:cs="Times New Roman"/>
          <w:b/>
        </w:rPr>
        <w:t>—Reminder Email</w:t>
      </w:r>
      <w:r w:rsidR="00A80C2F" w:rsidRPr="006026DA">
        <w:rPr>
          <w:rFonts w:eastAsia="Times New Roman" w:cs="Times New Roman"/>
        </w:rPr>
        <w:t xml:space="preserve">) urging them to complete the assessment.  </w:t>
      </w:r>
    </w:p>
    <w:p w14:paraId="0AC723AE" w14:textId="77777777" w:rsidR="00F52BCC" w:rsidRDefault="00F52BCC" w:rsidP="00991BF9">
      <w:pPr>
        <w:ind w:left="360"/>
      </w:pPr>
    </w:p>
    <w:p w14:paraId="14B085A2" w14:textId="77777777" w:rsidR="00287E2F" w:rsidRPr="00A063E3" w:rsidRDefault="00287E2F" w:rsidP="00991BF9">
      <w:pPr>
        <w:pStyle w:val="Heading4"/>
      </w:pPr>
      <w:bookmarkStart w:id="3" w:name="_Toc413847912"/>
      <w:r w:rsidRPr="00A063E3">
        <w:t xml:space="preserve">Procedures for </w:t>
      </w:r>
      <w:r w:rsidR="009759F3" w:rsidRPr="00A063E3">
        <w:t xml:space="preserve">the </w:t>
      </w:r>
      <w:r w:rsidRPr="00A063E3">
        <w:t>Collecti</w:t>
      </w:r>
      <w:r w:rsidR="009759F3" w:rsidRPr="00A063E3">
        <w:t>on</w:t>
      </w:r>
      <w:r w:rsidRPr="00A063E3">
        <w:t xml:space="preserve"> of Information</w:t>
      </w:r>
      <w:bookmarkEnd w:id="3"/>
      <w:r w:rsidR="00F725B5" w:rsidRPr="00A063E3">
        <w:t xml:space="preserve"> </w:t>
      </w:r>
      <w:r w:rsidR="009759F3" w:rsidRPr="00A063E3">
        <w:t xml:space="preserve">  </w:t>
      </w:r>
    </w:p>
    <w:p w14:paraId="53034CE6" w14:textId="1C6CBB9E" w:rsidR="00991BF9" w:rsidRPr="009011A8" w:rsidRDefault="00111599" w:rsidP="00991BF9">
      <w:pPr>
        <w:ind w:left="0"/>
      </w:pPr>
      <w:r>
        <w:t>Information</w:t>
      </w:r>
      <w:r w:rsidRPr="003163A2">
        <w:t xml:space="preserve"> </w:t>
      </w:r>
      <w:r w:rsidR="00991BF9" w:rsidRPr="003163A2">
        <w:t xml:space="preserve">will be collected through a one-time web-based </w:t>
      </w:r>
      <w:r w:rsidR="00991BF9">
        <w:t>assessment</w:t>
      </w:r>
      <w:r w:rsidR="0006615D">
        <w:t>.</w:t>
      </w:r>
      <w:r w:rsidR="00180C49">
        <w:t xml:space="preserve"> </w:t>
      </w:r>
      <w:r w:rsidR="00F73CE8">
        <w:t>A</w:t>
      </w:r>
      <w:r w:rsidR="009A7D2A">
        <w:t xml:space="preserve"> </w:t>
      </w:r>
      <w:r w:rsidR="00991BF9">
        <w:t xml:space="preserve">notification </w:t>
      </w:r>
      <w:r w:rsidR="00991BF9" w:rsidRPr="003163A2">
        <w:t>email</w:t>
      </w:r>
      <w:r w:rsidR="0098039F">
        <w:t xml:space="preserve"> </w:t>
      </w:r>
      <w:r w:rsidR="009A7D2A" w:rsidRPr="009011A8">
        <w:t xml:space="preserve">(see </w:t>
      </w:r>
      <w:r w:rsidR="009A7D2A" w:rsidRPr="009011A8">
        <w:rPr>
          <w:b/>
        </w:rPr>
        <w:t xml:space="preserve">Attachment </w:t>
      </w:r>
      <w:r w:rsidR="009A7D2A" w:rsidRPr="00AB6C25">
        <w:rPr>
          <w:b/>
        </w:rPr>
        <w:t>D—</w:t>
      </w:r>
      <w:r w:rsidR="001100BE">
        <w:rPr>
          <w:b/>
        </w:rPr>
        <w:t>Introduction</w:t>
      </w:r>
      <w:r w:rsidR="001100BE" w:rsidRPr="00AB6C25">
        <w:rPr>
          <w:b/>
        </w:rPr>
        <w:t xml:space="preserve"> </w:t>
      </w:r>
      <w:r w:rsidR="009A7D2A" w:rsidRPr="00AB6C25">
        <w:rPr>
          <w:b/>
        </w:rPr>
        <w:t>Email</w:t>
      </w:r>
      <w:r w:rsidR="009A7D2A" w:rsidRPr="00AB6C25">
        <w:t>)</w:t>
      </w:r>
      <w:r w:rsidR="009A7D2A">
        <w:t xml:space="preserve"> will be </w:t>
      </w:r>
      <w:r w:rsidR="0098039F">
        <w:t>sent</w:t>
      </w:r>
      <w:r w:rsidR="00991BF9" w:rsidRPr="003163A2">
        <w:t xml:space="preserve"> </w:t>
      </w:r>
      <w:r w:rsidR="00F73CE8">
        <w:t xml:space="preserve">by ASTHO </w:t>
      </w:r>
      <w:r w:rsidR="00991BF9">
        <w:t>to the</w:t>
      </w:r>
      <w:r w:rsidR="000B28C4">
        <w:t xml:space="preserve"> </w:t>
      </w:r>
      <w:r w:rsidR="000B28C4" w:rsidRPr="007C5FB3">
        <w:t>state</w:t>
      </w:r>
      <w:r w:rsidR="000B28C4">
        <w:rPr>
          <w:color w:val="0070C0"/>
        </w:rPr>
        <w:t xml:space="preserve"> </w:t>
      </w:r>
      <w:r w:rsidR="000B28C4" w:rsidRPr="00C20572">
        <w:t>Program Directors</w:t>
      </w:r>
      <w:r w:rsidR="00991BF9" w:rsidRPr="00AB6C25">
        <w:t>.</w:t>
      </w:r>
      <w:r w:rsidR="00991BF9" w:rsidRPr="009011A8">
        <w:t xml:space="preserve">  The notification email will explain: </w:t>
      </w:r>
    </w:p>
    <w:p w14:paraId="40AA0479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557A6588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5395E87F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39054507" w14:textId="186EDD01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  <w:r w:rsidR="00E57E45">
        <w:t>(i.e., 2 weeks)</w:t>
      </w:r>
    </w:p>
    <w:p w14:paraId="1A35DECF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1FB166B2" w14:textId="77777777" w:rsidR="00991BF9" w:rsidRDefault="00991BF9" w:rsidP="00991BF9">
      <w:pPr>
        <w:pStyle w:val="ListParagraph"/>
        <w:ind w:left="0"/>
      </w:pPr>
    </w:p>
    <w:p w14:paraId="1C76E699" w14:textId="3599C909" w:rsidR="001404DA" w:rsidRDefault="00991BF9" w:rsidP="006026DA">
      <w:pPr>
        <w:ind w:left="0"/>
      </w:pPr>
      <w:r>
        <w:t xml:space="preserve">The </w:t>
      </w:r>
      <w:r w:rsidR="001404DA">
        <w:t xml:space="preserve">introduction </w:t>
      </w:r>
      <w:r>
        <w:t xml:space="preserve">email will also </w:t>
      </w:r>
      <w:r w:rsidR="00926D6F">
        <w:t xml:space="preserve">include </w:t>
      </w:r>
      <w:r>
        <w:t>i</w:t>
      </w:r>
      <w:r w:rsidRPr="009011A8">
        <w:t xml:space="preserve">nstructions for participating and a link to the </w:t>
      </w:r>
      <w:r w:rsidR="00926D6F">
        <w:t>survey</w:t>
      </w:r>
      <w:r>
        <w:t xml:space="preserve">. </w:t>
      </w:r>
    </w:p>
    <w:p w14:paraId="6DDF51F2" w14:textId="77777777" w:rsidR="001404DA" w:rsidRDefault="001404DA" w:rsidP="006026DA">
      <w:pPr>
        <w:ind w:left="0"/>
      </w:pPr>
    </w:p>
    <w:p w14:paraId="7FFAB77A" w14:textId="0981B660" w:rsidR="00954601" w:rsidRPr="001404DA" w:rsidRDefault="001404DA" w:rsidP="001404DA">
      <w:pPr>
        <w:ind w:left="0"/>
      </w:pPr>
      <w:r>
        <w:rPr>
          <w:rFonts w:cs="Arial"/>
        </w:rPr>
        <w:t>F</w:t>
      </w:r>
      <w:r w:rsidRPr="0055524B">
        <w:rPr>
          <w:rFonts w:cs="Arial"/>
        </w:rPr>
        <w:t xml:space="preserve">ollowing the </w:t>
      </w:r>
      <w:r>
        <w:rPr>
          <w:rFonts w:cs="Arial"/>
        </w:rPr>
        <w:t>introduction</w:t>
      </w:r>
      <w:r w:rsidRPr="0055524B">
        <w:rPr>
          <w:rFonts w:cs="Arial"/>
        </w:rPr>
        <w:t xml:space="preserve"> e-mail, </w:t>
      </w:r>
      <w:r w:rsidRPr="006026DA">
        <w:t xml:space="preserve">Program Directors </w:t>
      </w:r>
      <w:r>
        <w:t xml:space="preserve">who do not respond </w:t>
      </w:r>
      <w:r w:rsidRPr="006026DA">
        <w:t xml:space="preserve">within </w:t>
      </w:r>
      <w:r w:rsidR="007463AD">
        <w:t>1</w:t>
      </w:r>
      <w:r w:rsidRPr="006026DA">
        <w:t xml:space="preserve"> week will receive a reminder email </w:t>
      </w:r>
      <w:r w:rsidRPr="00111599">
        <w:t>(</w:t>
      </w:r>
      <w:r w:rsidRPr="005825D4">
        <w:t>see</w:t>
      </w:r>
      <w:r w:rsidRPr="006026DA">
        <w:rPr>
          <w:b/>
        </w:rPr>
        <w:t xml:space="preserve"> Attachment E—</w:t>
      </w:r>
      <w:r w:rsidR="00CC219B" w:rsidRPr="00CC219B">
        <w:rPr>
          <w:rFonts w:ascii="Cambria" w:hAnsi="Cambria"/>
          <w:b/>
        </w:rPr>
        <w:t xml:space="preserve"> </w:t>
      </w:r>
      <w:r w:rsidR="00CC219B" w:rsidRPr="007C5FB3">
        <w:rPr>
          <w:rFonts w:ascii="Cambria" w:hAnsi="Cambria"/>
          <w:b/>
        </w:rPr>
        <w:t>Reminder Email</w:t>
      </w:r>
      <w:bookmarkStart w:id="4" w:name="_GoBack"/>
      <w:bookmarkEnd w:id="4"/>
      <w:r w:rsidRPr="006026DA">
        <w:t>) urging them to complete the assessment.</w:t>
      </w:r>
      <w:r>
        <w:t xml:space="preserve"> </w:t>
      </w:r>
      <w:r w:rsidR="007463AD">
        <w:rPr>
          <w:rFonts w:cs="Arial"/>
        </w:rPr>
        <w:t xml:space="preserve"> </w:t>
      </w:r>
      <w:r w:rsidR="00BA3426">
        <w:rPr>
          <w:rFonts w:cs="Arial"/>
        </w:rPr>
        <w:t xml:space="preserve">Three </w:t>
      </w:r>
      <w:r w:rsidR="007463AD">
        <w:rPr>
          <w:rFonts w:cs="Arial"/>
        </w:rPr>
        <w:t>days f</w:t>
      </w:r>
      <w:r>
        <w:rPr>
          <w:rFonts w:cs="Arial"/>
        </w:rPr>
        <w:t xml:space="preserve">ollowing the reminder email, remaining non-responders will receive a reminder phone call requesting their participation </w:t>
      </w:r>
      <w:r w:rsidRPr="009011A8">
        <w:t xml:space="preserve">(see </w:t>
      </w:r>
      <w:r w:rsidRPr="009011A8">
        <w:rPr>
          <w:b/>
        </w:rPr>
        <w:t xml:space="preserve">Attachment </w:t>
      </w:r>
      <w:r>
        <w:rPr>
          <w:b/>
        </w:rPr>
        <w:t>F</w:t>
      </w:r>
      <w:r w:rsidRPr="00AB6C25">
        <w:rPr>
          <w:b/>
        </w:rPr>
        <w:t>—</w:t>
      </w:r>
      <w:r>
        <w:rPr>
          <w:b/>
        </w:rPr>
        <w:t>Reminder Phone Call Script</w:t>
      </w:r>
      <w:r w:rsidRPr="00AB6C25">
        <w:t>)</w:t>
      </w:r>
      <w:r>
        <w:rPr>
          <w:rFonts w:cs="Arial"/>
        </w:rPr>
        <w:t xml:space="preserve">.  Those who do not respond within </w:t>
      </w:r>
      <w:r w:rsidR="00BA3426">
        <w:rPr>
          <w:rFonts w:cs="Arial"/>
        </w:rPr>
        <w:t>four</w:t>
      </w:r>
      <w:r>
        <w:rPr>
          <w:rFonts w:cs="Arial"/>
        </w:rPr>
        <w:t xml:space="preserve"> days from the reminder phone call, or the end of the two week survey period, will be considered non-responders.  </w:t>
      </w:r>
      <w:r w:rsidR="00100E75" w:rsidRPr="006026DA">
        <w:t xml:space="preserve">Program Directors who decline to </w:t>
      </w:r>
      <w:r w:rsidR="00100E75" w:rsidRPr="006026DA">
        <w:lastRenderedPageBreak/>
        <w:t>participate</w:t>
      </w:r>
      <w:r>
        <w:t xml:space="preserve"> outright</w:t>
      </w:r>
      <w:r w:rsidR="00100E75" w:rsidRPr="006026DA">
        <w:t xml:space="preserve"> will receive an email requesting they delegate the task to an appropriate designee.  If the request </w:t>
      </w:r>
      <w:r w:rsidR="00100E75">
        <w:t>to provide a designee is also declined, the d</w:t>
      </w:r>
      <w:r w:rsidR="00100E75" w:rsidRPr="006026DA">
        <w:t xml:space="preserve">irector will receive no </w:t>
      </w:r>
      <w:r w:rsidR="00100E75">
        <w:t>further</w:t>
      </w:r>
      <w:r w:rsidR="00100E75" w:rsidRPr="006026DA">
        <w:t xml:space="preserve"> communication.</w:t>
      </w:r>
    </w:p>
    <w:p w14:paraId="39E0CC63" w14:textId="77777777" w:rsidR="00954601" w:rsidRDefault="00954601" w:rsidP="00954601">
      <w:pPr>
        <w:pStyle w:val="ListParagraph"/>
        <w:ind w:left="0"/>
        <w:rPr>
          <w:rFonts w:cs="Arial"/>
        </w:rPr>
      </w:pPr>
    </w:p>
    <w:p w14:paraId="7F6B9E27" w14:textId="6399BAA3" w:rsidR="00991BF9" w:rsidRDefault="003305E9" w:rsidP="006026DA">
      <w:pPr>
        <w:ind w:left="0"/>
      </w:pPr>
      <w:r>
        <w:rPr>
          <w:rFonts w:cs="Arial"/>
        </w:rPr>
        <w:t>Once the 2 week survey period has closed, ASTHO will send the de-identified survey data set to CDC for analysis.  All responses will be analyzed</w:t>
      </w:r>
      <w:r w:rsidRPr="00E71164">
        <w:rPr>
          <w:rFonts w:cs="Arial"/>
        </w:rPr>
        <w:t xml:space="preserve"> using Microsoft Excel t</w:t>
      </w:r>
      <w:r>
        <w:rPr>
          <w:rFonts w:cs="Arial"/>
        </w:rPr>
        <w:t xml:space="preserve">o gather descriptive statistics. </w:t>
      </w:r>
      <w:r>
        <w:t>D</w:t>
      </w:r>
      <w:r w:rsidRPr="00675CFF">
        <w:t>ata from the participant responses will be stored in a secure database maintained by CDC. Upon completion of data analysis, CDC will</w:t>
      </w:r>
      <w:r>
        <w:t xml:space="preserve"> utilize the de-identified data to draft a</w:t>
      </w:r>
      <w:r w:rsidRPr="007F2B83">
        <w:t xml:space="preserve"> report </w:t>
      </w:r>
      <w:r>
        <w:t xml:space="preserve">summarizing the results for distribution to </w:t>
      </w:r>
      <w:r w:rsidRPr="00E71164">
        <w:rPr>
          <w:rFonts w:cs="Arial"/>
        </w:rPr>
        <w:t>CDC leadership</w:t>
      </w:r>
      <w:r>
        <w:rPr>
          <w:rFonts w:cs="Arial"/>
        </w:rPr>
        <w:t>,</w:t>
      </w:r>
      <w:r w:rsidRPr="00E71164">
        <w:rPr>
          <w:rFonts w:cs="Arial"/>
        </w:rPr>
        <w:t xml:space="preserve"> </w:t>
      </w:r>
      <w:r>
        <w:t>survey respondents,</w:t>
      </w:r>
      <w:r>
        <w:rPr>
          <w:rFonts w:cs="Arial"/>
        </w:rPr>
        <w:t xml:space="preserve"> and various </w:t>
      </w:r>
      <w:r w:rsidRPr="00E71164">
        <w:rPr>
          <w:rFonts w:cs="Arial"/>
        </w:rPr>
        <w:t>CDC stakeholders</w:t>
      </w:r>
      <w:r>
        <w:rPr>
          <w:rFonts w:cs="Arial"/>
        </w:rPr>
        <w:t>. CDC will also explore additional opportunities for presenting and publishing information collection findings following completion of the analysis and reporting activity.</w:t>
      </w:r>
      <w:r w:rsidR="00457A71" w:rsidRPr="006026DA">
        <w:t xml:space="preserve"> </w:t>
      </w:r>
    </w:p>
    <w:p w14:paraId="6228C98E" w14:textId="77777777" w:rsidR="00AF5861" w:rsidRPr="006026DA" w:rsidRDefault="00AF5861" w:rsidP="006026DA">
      <w:pPr>
        <w:ind w:left="0"/>
        <w:rPr>
          <w:color w:val="0070C0"/>
        </w:rPr>
      </w:pPr>
    </w:p>
    <w:p w14:paraId="5E9F27AA" w14:textId="77777777" w:rsidR="00991BF9" w:rsidRDefault="00991BF9" w:rsidP="006026DA"/>
    <w:p w14:paraId="1AC19B5F" w14:textId="46215592" w:rsidR="009759F3" w:rsidRPr="009759F3" w:rsidRDefault="00287E2F" w:rsidP="006026DA">
      <w:pPr>
        <w:pStyle w:val="Heading4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09357198" w14:textId="7372E6B3" w:rsidR="00A94727" w:rsidRDefault="00991BF9" w:rsidP="006026DA">
      <w:pPr>
        <w:pStyle w:val="ListParagraph"/>
        <w:ind w:left="0"/>
        <w:rPr>
          <w:rFonts w:cs="Times New Roman"/>
        </w:rPr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every effort</w:t>
      </w:r>
      <w:r w:rsidR="00D21DAB">
        <w:rPr>
          <w:rFonts w:cs="Times New Roman"/>
        </w:rPr>
        <w:t xml:space="preserve"> will be made</w:t>
      </w:r>
      <w:r w:rsidRPr="007C6296">
        <w:rPr>
          <w:rFonts w:cs="Times New Roman"/>
        </w:rPr>
        <w:t xml:space="preserve"> to maximize the rate of response. </w:t>
      </w:r>
    </w:p>
    <w:p w14:paraId="3BA03148" w14:textId="77777777" w:rsidR="00A94727" w:rsidRDefault="00A94727" w:rsidP="006026DA">
      <w:pPr>
        <w:pStyle w:val="ListParagraph"/>
        <w:ind w:left="0"/>
        <w:rPr>
          <w:rFonts w:cs="Times New Roman"/>
        </w:rPr>
      </w:pPr>
    </w:p>
    <w:p w14:paraId="10725399" w14:textId="47CC5EDD" w:rsidR="00991BF9" w:rsidRDefault="00B65EBB" w:rsidP="006026DA">
      <w:pPr>
        <w:pStyle w:val="ListParagraph"/>
        <w:ind w:left="0"/>
        <w:rPr>
          <w:rFonts w:cs="Arial"/>
        </w:rPr>
      </w:pPr>
      <w:r>
        <w:rPr>
          <w:rFonts w:cs="Arial"/>
        </w:rPr>
        <w:t>F</w:t>
      </w:r>
      <w:r w:rsidRPr="0055524B">
        <w:rPr>
          <w:rFonts w:cs="Arial"/>
        </w:rPr>
        <w:t xml:space="preserve">ollowing the </w:t>
      </w:r>
      <w:r>
        <w:rPr>
          <w:rFonts w:cs="Arial"/>
        </w:rPr>
        <w:t xml:space="preserve">introductory </w:t>
      </w:r>
      <w:r w:rsidRPr="0055524B">
        <w:rPr>
          <w:rFonts w:cs="Arial"/>
        </w:rPr>
        <w:t>e-mail</w:t>
      </w:r>
      <w:r w:rsidR="001100BE">
        <w:rPr>
          <w:rFonts w:cs="Arial"/>
        </w:rPr>
        <w:t xml:space="preserve"> </w:t>
      </w:r>
      <w:r w:rsidR="001100BE" w:rsidRPr="009011A8">
        <w:t xml:space="preserve">(see </w:t>
      </w:r>
      <w:r w:rsidR="001100BE" w:rsidRPr="009011A8">
        <w:rPr>
          <w:b/>
        </w:rPr>
        <w:t xml:space="preserve">Attachment </w:t>
      </w:r>
      <w:r w:rsidR="001100BE" w:rsidRPr="00AB6C25">
        <w:rPr>
          <w:b/>
        </w:rPr>
        <w:t>D—</w:t>
      </w:r>
      <w:r w:rsidR="001100BE">
        <w:rPr>
          <w:b/>
        </w:rPr>
        <w:t>Introduction</w:t>
      </w:r>
      <w:r w:rsidR="001100BE" w:rsidRPr="00AB6C25">
        <w:rPr>
          <w:b/>
        </w:rPr>
        <w:t xml:space="preserve"> Email</w:t>
      </w:r>
      <w:r w:rsidR="001100BE" w:rsidRPr="00AB6C25">
        <w:t>)</w:t>
      </w:r>
      <w:r w:rsidRPr="0055524B">
        <w:rPr>
          <w:rFonts w:cs="Arial"/>
        </w:rPr>
        <w:t xml:space="preserve">, </w:t>
      </w:r>
      <w:r>
        <w:rPr>
          <w:rFonts w:cs="Arial"/>
        </w:rPr>
        <w:t xml:space="preserve">program directors will have two weeks to complete the survey. Those who do not respond within one week will receive a reminder email </w:t>
      </w:r>
      <w:r w:rsidR="00767033">
        <w:rPr>
          <w:rFonts w:cs="Arial"/>
        </w:rPr>
        <w:t xml:space="preserve">from ASTHO </w:t>
      </w:r>
      <w:r w:rsidRPr="00197215">
        <w:rPr>
          <w:rFonts w:cs="Arial"/>
        </w:rPr>
        <w:t>(</w:t>
      </w:r>
      <w:r w:rsidR="00197215" w:rsidRPr="00197215">
        <w:rPr>
          <w:rFonts w:cs="Arial"/>
        </w:rPr>
        <w:t>see</w:t>
      </w:r>
      <w:r w:rsidR="00197215">
        <w:rPr>
          <w:rFonts w:cs="Arial"/>
          <w:b/>
        </w:rPr>
        <w:t xml:space="preserve"> </w:t>
      </w:r>
      <w:r>
        <w:rPr>
          <w:rFonts w:cs="Arial"/>
          <w:b/>
        </w:rPr>
        <w:t>Attachment E</w:t>
      </w:r>
      <w:r w:rsidR="007160A0" w:rsidRPr="00AB6C25">
        <w:rPr>
          <w:b/>
        </w:rPr>
        <w:t>—</w:t>
      </w:r>
      <w:r w:rsidR="00CC219B" w:rsidRPr="00CC219B">
        <w:rPr>
          <w:rFonts w:ascii="Cambria" w:hAnsi="Cambria"/>
          <w:b/>
        </w:rPr>
        <w:t xml:space="preserve"> </w:t>
      </w:r>
      <w:r w:rsidR="00CC219B" w:rsidRPr="007C5FB3">
        <w:rPr>
          <w:rFonts w:ascii="Cambria" w:hAnsi="Cambria"/>
          <w:b/>
        </w:rPr>
        <w:t>Reminder Email</w:t>
      </w:r>
      <w:r w:rsidR="006026DA" w:rsidRPr="00197215">
        <w:rPr>
          <w:rFonts w:cs="Arial"/>
        </w:rPr>
        <w:t>)</w:t>
      </w:r>
      <w:r w:rsidR="00197215">
        <w:rPr>
          <w:rFonts w:cs="Arial"/>
        </w:rPr>
        <w:t>.</w:t>
      </w:r>
      <w:r w:rsidR="006026DA">
        <w:rPr>
          <w:rFonts w:cs="Arial"/>
        </w:rPr>
        <w:t xml:space="preserve"> </w:t>
      </w:r>
      <w:r w:rsidR="003305E9">
        <w:rPr>
          <w:rFonts w:cs="Arial"/>
        </w:rPr>
        <w:t>3 days f</w:t>
      </w:r>
      <w:r w:rsidR="001C546D">
        <w:rPr>
          <w:rFonts w:cs="Arial"/>
        </w:rPr>
        <w:t>ollowing the reminder email</w:t>
      </w:r>
      <w:r w:rsidR="0049287B">
        <w:rPr>
          <w:rFonts w:cs="Arial"/>
        </w:rPr>
        <w:t xml:space="preserve">, remaining non-responders </w:t>
      </w:r>
      <w:r w:rsidR="001C546D">
        <w:rPr>
          <w:rFonts w:cs="Arial"/>
        </w:rPr>
        <w:t xml:space="preserve">will receive </w:t>
      </w:r>
      <w:r w:rsidR="0049287B">
        <w:rPr>
          <w:rFonts w:cs="Arial"/>
        </w:rPr>
        <w:t xml:space="preserve">a reminder </w:t>
      </w:r>
      <w:r w:rsidR="001C546D">
        <w:rPr>
          <w:rFonts w:cs="Arial"/>
        </w:rPr>
        <w:t>phone call requesting their participation</w:t>
      </w:r>
      <w:r w:rsidR="007160A0">
        <w:rPr>
          <w:rFonts w:cs="Arial"/>
        </w:rPr>
        <w:t xml:space="preserve"> </w:t>
      </w:r>
      <w:r w:rsidR="007160A0" w:rsidRPr="009011A8">
        <w:t xml:space="preserve">(see </w:t>
      </w:r>
      <w:r w:rsidR="007160A0" w:rsidRPr="009011A8">
        <w:rPr>
          <w:b/>
        </w:rPr>
        <w:t xml:space="preserve">Attachment </w:t>
      </w:r>
      <w:r w:rsidR="007160A0">
        <w:rPr>
          <w:b/>
        </w:rPr>
        <w:t>F</w:t>
      </w:r>
      <w:r w:rsidR="007160A0" w:rsidRPr="00AB6C25">
        <w:rPr>
          <w:b/>
        </w:rPr>
        <w:t>—</w:t>
      </w:r>
      <w:r w:rsidR="007160A0">
        <w:rPr>
          <w:b/>
        </w:rPr>
        <w:t>Reminder Phone Call Script</w:t>
      </w:r>
      <w:r w:rsidR="007160A0" w:rsidRPr="00AB6C25">
        <w:t>)</w:t>
      </w:r>
      <w:r w:rsidR="001C546D">
        <w:rPr>
          <w:rFonts w:cs="Arial"/>
        </w:rPr>
        <w:t xml:space="preserve">.  </w:t>
      </w:r>
      <w:r w:rsidR="003305E9">
        <w:rPr>
          <w:rFonts w:cs="Arial"/>
        </w:rPr>
        <w:t>Those who do not respond within four day</w:t>
      </w:r>
      <w:r w:rsidR="003305E9">
        <w:rPr>
          <w:rFonts w:cs="Arial"/>
        </w:rPr>
        <w:t xml:space="preserve">s from the reminder phone call </w:t>
      </w:r>
      <w:r w:rsidR="001C546D">
        <w:rPr>
          <w:rFonts w:cs="Arial"/>
        </w:rPr>
        <w:t xml:space="preserve">will be </w:t>
      </w:r>
      <w:r w:rsidR="00494BAB">
        <w:rPr>
          <w:rFonts w:cs="Arial"/>
        </w:rPr>
        <w:t>considered non-responders</w:t>
      </w:r>
      <w:r w:rsidR="001C546D">
        <w:rPr>
          <w:rFonts w:cs="Arial"/>
        </w:rPr>
        <w:t xml:space="preserve">.  </w:t>
      </w:r>
    </w:p>
    <w:p w14:paraId="0CE41784" w14:textId="77777777" w:rsidR="00AF5861" w:rsidRPr="00B65EBB" w:rsidRDefault="00AF5861" w:rsidP="006026DA">
      <w:pPr>
        <w:pStyle w:val="ListParagraph"/>
        <w:ind w:left="0"/>
        <w:rPr>
          <w:rFonts w:cs="Arial"/>
        </w:rPr>
      </w:pPr>
    </w:p>
    <w:p w14:paraId="0CFDBE05" w14:textId="77777777" w:rsidR="00991BF9" w:rsidRDefault="00991BF9" w:rsidP="006026DA"/>
    <w:p w14:paraId="7D6F8A73" w14:textId="77777777" w:rsidR="00F52BCC" w:rsidRPr="009759F3" w:rsidRDefault="00287E2F" w:rsidP="006026DA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 xml:space="preserve">or Methods to be </w:t>
      </w:r>
      <w:proofErr w:type="gramStart"/>
      <w:r w:rsidR="009759F3" w:rsidRPr="009759F3">
        <w:t>Undertaken</w:t>
      </w:r>
      <w:bookmarkEnd w:id="6"/>
      <w:proofErr w:type="gramEnd"/>
    </w:p>
    <w:p w14:paraId="69B16B62" w14:textId="238C18B6" w:rsidR="009B0E88" w:rsidRDefault="009B0E88" w:rsidP="006026DA">
      <w:pPr>
        <w:ind w:left="0"/>
      </w:pPr>
      <w:r w:rsidRPr="00364CB2">
        <w:rPr>
          <w:color w:val="000000"/>
        </w:rPr>
        <w:t>The estimate for burden</w:t>
      </w:r>
      <w:r w:rsidRPr="00711BFA">
        <w:rPr>
          <w:color w:val="000000"/>
        </w:rPr>
        <w:t xml:space="preserve"> hours is based on a pilot test of </w:t>
      </w:r>
      <w:r w:rsidRPr="0061015C">
        <w:t xml:space="preserve">the information collection instrument </w:t>
      </w:r>
      <w:r w:rsidRPr="00711BFA">
        <w:rPr>
          <w:color w:val="000000"/>
        </w:rPr>
        <w:t xml:space="preserve">by </w:t>
      </w:r>
      <w:r w:rsidR="00934065">
        <w:rPr>
          <w:color w:val="000000"/>
        </w:rPr>
        <w:t>4</w:t>
      </w:r>
      <w:r w:rsidRPr="00711BFA">
        <w:t xml:space="preserve"> public health professionals. In the pilot test, the average time to complete the </w:t>
      </w:r>
      <w:r w:rsidRPr="0061015C">
        <w:t>instrument including time for reviewing instructions, gathering needed information and completing the instrument</w:t>
      </w:r>
      <w:r w:rsidRPr="00711BFA">
        <w:t xml:space="preserve">, was approximately </w:t>
      </w:r>
      <w:r w:rsidRPr="0046107C">
        <w:t xml:space="preserve">8.5 </w:t>
      </w:r>
      <w:r w:rsidRPr="00711BFA">
        <w:t>minutes</w:t>
      </w:r>
      <w:r w:rsidR="00494BAB">
        <w:t xml:space="preserve"> (range: </w:t>
      </w:r>
      <w:r>
        <w:t>7</w:t>
      </w:r>
      <w:r w:rsidRPr="00774689">
        <w:rPr>
          <w:color w:val="0070C0"/>
        </w:rPr>
        <w:t xml:space="preserve"> </w:t>
      </w:r>
      <w:r w:rsidRPr="0046107C">
        <w:t xml:space="preserve">to 10 </w:t>
      </w:r>
      <w:r w:rsidRPr="00711BFA">
        <w:t>minutes</w:t>
      </w:r>
      <w:r w:rsidR="00494BAB">
        <w:t>)</w:t>
      </w:r>
      <w:r w:rsidRPr="00711BFA">
        <w:t xml:space="preserve">. For the purposes of estimating burden hours, the upper limit of this range (i.e., </w:t>
      </w:r>
      <w:r w:rsidRPr="00364CB2">
        <w:t>10</w:t>
      </w:r>
      <w:r w:rsidRPr="00774689">
        <w:rPr>
          <w:color w:val="0070C0"/>
        </w:rPr>
        <w:t xml:space="preserve"> </w:t>
      </w:r>
      <w:r w:rsidRPr="00711BFA">
        <w:t>minutes) is used.</w:t>
      </w:r>
    </w:p>
    <w:p w14:paraId="04C8C325" w14:textId="77777777" w:rsidR="00AF5861" w:rsidRPr="00711BFA" w:rsidRDefault="00AF5861" w:rsidP="006026DA">
      <w:pPr>
        <w:ind w:left="0"/>
        <w:rPr>
          <w:color w:val="000000"/>
        </w:rPr>
      </w:pPr>
    </w:p>
    <w:p w14:paraId="39D8E0CC" w14:textId="77777777" w:rsidR="00F52BCC" w:rsidRDefault="00F52BCC" w:rsidP="00991BF9">
      <w:pPr>
        <w:ind w:left="360"/>
      </w:pPr>
    </w:p>
    <w:p w14:paraId="5034D05E" w14:textId="77777777" w:rsidR="009759F3" w:rsidRPr="009759F3" w:rsidRDefault="009759F3" w:rsidP="00991BF9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152A9352" w14:textId="7E665A22" w:rsidR="00287E2F" w:rsidRPr="009B0E88" w:rsidRDefault="001A6DFB" w:rsidP="00991BF9">
      <w:pPr>
        <w:ind w:left="0"/>
      </w:pPr>
      <w:r w:rsidRPr="009B0E88">
        <w:t>Mollie Mahany</w:t>
      </w:r>
    </w:p>
    <w:p w14:paraId="5671855D" w14:textId="3114C663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>Public Health Advisor</w:t>
      </w:r>
    </w:p>
    <w:p w14:paraId="4C2792BB" w14:textId="1F284638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>Centers for Disease Control and Prevention</w:t>
      </w:r>
    </w:p>
    <w:p w14:paraId="671AA5E3" w14:textId="045AE39D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 xml:space="preserve">Office of Environmental Health Emergency Management </w:t>
      </w:r>
    </w:p>
    <w:p w14:paraId="2DDAB1F6" w14:textId="60FB1F12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>Work: (770) 488-0518</w:t>
      </w:r>
    </w:p>
    <w:p w14:paraId="39E9FF7D" w14:textId="116C3988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 xml:space="preserve">Email: </w:t>
      </w:r>
      <w:hyperlink r:id="rId13" w:history="1">
        <w:r w:rsidRPr="005271EF">
          <w:rPr>
            <w:rStyle w:val="Hyperlink"/>
            <w:i/>
          </w:rPr>
          <w:t>heu0@cdc.gov</w:t>
        </w:r>
      </w:hyperlink>
      <w:r>
        <w:rPr>
          <w:i/>
        </w:rPr>
        <w:t xml:space="preserve"> </w:t>
      </w:r>
    </w:p>
    <w:p w14:paraId="7A307C12" w14:textId="77777777" w:rsidR="009B0E88" w:rsidRPr="009B0E88" w:rsidRDefault="009B0E88" w:rsidP="00991BF9">
      <w:pPr>
        <w:ind w:left="0"/>
      </w:pPr>
    </w:p>
    <w:p w14:paraId="22D271D9" w14:textId="16B44882" w:rsidR="001A6DFB" w:rsidRDefault="001A6DFB" w:rsidP="00991BF9">
      <w:pPr>
        <w:ind w:left="0"/>
      </w:pPr>
      <w:r w:rsidRPr="009B0E88">
        <w:lastRenderedPageBreak/>
        <w:t>Miguel Cruz</w:t>
      </w:r>
    </w:p>
    <w:p w14:paraId="70135298" w14:textId="3054947F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>Emergency Operations Officer</w:t>
      </w:r>
    </w:p>
    <w:p w14:paraId="2F23FA13" w14:textId="77777777" w:rsidR="009B0E88" w:rsidRPr="009B0E88" w:rsidRDefault="009B0E88" w:rsidP="009B0E88">
      <w:pPr>
        <w:ind w:left="0"/>
        <w:rPr>
          <w:i/>
        </w:rPr>
      </w:pPr>
      <w:r w:rsidRPr="009B0E88">
        <w:rPr>
          <w:i/>
        </w:rPr>
        <w:t>Centers for Disease Control and Prevention</w:t>
      </w:r>
    </w:p>
    <w:p w14:paraId="123D7D07" w14:textId="77777777" w:rsidR="009B0E88" w:rsidRPr="009B0E88" w:rsidRDefault="009B0E88" w:rsidP="009B0E88">
      <w:pPr>
        <w:ind w:left="0"/>
        <w:rPr>
          <w:i/>
        </w:rPr>
      </w:pPr>
      <w:r w:rsidRPr="009B0E88">
        <w:rPr>
          <w:i/>
        </w:rPr>
        <w:t xml:space="preserve">Office of Environmental Health Emergency Management </w:t>
      </w:r>
    </w:p>
    <w:p w14:paraId="4CAD4B06" w14:textId="748F7150" w:rsidR="009B0E88" w:rsidRPr="009B0E88" w:rsidRDefault="009B0E88" w:rsidP="00991BF9">
      <w:pPr>
        <w:ind w:left="0"/>
        <w:rPr>
          <w:i/>
        </w:rPr>
      </w:pPr>
      <w:r w:rsidRPr="009B0E88">
        <w:rPr>
          <w:i/>
        </w:rPr>
        <w:t>Work: (770) 488.3637</w:t>
      </w:r>
      <w:r w:rsidRPr="009B0E88">
        <w:rPr>
          <w:i/>
        </w:rPr>
        <w:tab/>
      </w:r>
    </w:p>
    <w:p w14:paraId="7175821A" w14:textId="25A9274C" w:rsidR="000B2DEE" w:rsidRDefault="009B0E88" w:rsidP="00991BF9">
      <w:pPr>
        <w:ind w:left="0"/>
      </w:pPr>
      <w:r w:rsidRPr="009B0E88">
        <w:rPr>
          <w:i/>
        </w:rPr>
        <w:t xml:space="preserve">Email: </w:t>
      </w:r>
      <w:hyperlink r:id="rId14" w:history="1">
        <w:r w:rsidRPr="009B0E88">
          <w:rPr>
            <w:rStyle w:val="Hyperlink"/>
            <w:i/>
          </w:rPr>
          <w:t>mgc8@cdc.gov</w:t>
        </w:r>
      </w:hyperlink>
      <w:r w:rsidRPr="009B0E88">
        <w:rPr>
          <w:i/>
        </w:rPr>
        <w:t xml:space="preserve"> </w:t>
      </w:r>
      <w:proofErr w:type="spellStart"/>
      <w:r w:rsidR="000B2DEE">
        <w:t>Gerrit</w:t>
      </w:r>
      <w:proofErr w:type="spellEnd"/>
      <w:r w:rsidR="000B2DEE">
        <w:t xml:space="preserve"> Bakker</w:t>
      </w:r>
    </w:p>
    <w:p w14:paraId="3EA1812C" w14:textId="5349CE64" w:rsidR="000B2DEE" w:rsidRPr="000B2DEE" w:rsidRDefault="000B2DEE" w:rsidP="00991BF9">
      <w:pPr>
        <w:ind w:left="0"/>
        <w:rPr>
          <w:i/>
        </w:rPr>
      </w:pPr>
      <w:r w:rsidRPr="000B2DEE">
        <w:rPr>
          <w:i/>
        </w:rPr>
        <w:t>Senior Director, Public Health Preparedness</w:t>
      </w:r>
    </w:p>
    <w:p w14:paraId="16A85822" w14:textId="34B53DBA" w:rsidR="000B2DEE" w:rsidRPr="000B2DEE" w:rsidRDefault="000B2DEE" w:rsidP="00991BF9">
      <w:pPr>
        <w:ind w:left="0"/>
        <w:rPr>
          <w:i/>
        </w:rPr>
      </w:pPr>
      <w:r w:rsidRPr="000B2DEE">
        <w:rPr>
          <w:i/>
        </w:rPr>
        <w:t>Association of State and Territorial Health Officials (ASTHO)</w:t>
      </w:r>
    </w:p>
    <w:p w14:paraId="72E0CA13" w14:textId="1199F6C8" w:rsidR="000B2DEE" w:rsidRPr="000B2DEE" w:rsidRDefault="000B2DEE" w:rsidP="00991BF9">
      <w:pPr>
        <w:ind w:left="0"/>
        <w:rPr>
          <w:i/>
        </w:rPr>
      </w:pPr>
      <w:r w:rsidRPr="000B2DEE">
        <w:rPr>
          <w:i/>
        </w:rPr>
        <w:t>Work: (202) 590-8518</w:t>
      </w:r>
    </w:p>
    <w:p w14:paraId="5B42A0E4" w14:textId="4ED35F5A" w:rsidR="000B2DEE" w:rsidRDefault="000B2DEE" w:rsidP="00991BF9">
      <w:pPr>
        <w:ind w:left="0"/>
      </w:pPr>
      <w:r w:rsidRPr="000B2DEE">
        <w:rPr>
          <w:i/>
        </w:rPr>
        <w:t xml:space="preserve">Email: </w:t>
      </w:r>
      <w:hyperlink r:id="rId15" w:history="1">
        <w:r w:rsidRPr="002960DD">
          <w:rPr>
            <w:rStyle w:val="Hyperlink"/>
            <w:i/>
          </w:rPr>
          <w:t>gbakker@astho.org</w:t>
        </w:r>
      </w:hyperlink>
    </w:p>
    <w:p w14:paraId="604853DA" w14:textId="77777777" w:rsidR="009B0E88" w:rsidRPr="009B0E88" w:rsidRDefault="009B0E88" w:rsidP="00991BF9">
      <w:pPr>
        <w:ind w:left="0"/>
      </w:pPr>
    </w:p>
    <w:p w14:paraId="3AB3A7E6" w14:textId="552F8EE7" w:rsidR="001A6DFB" w:rsidRDefault="001A6DFB" w:rsidP="00991BF9">
      <w:pPr>
        <w:ind w:left="0"/>
      </w:pPr>
      <w:r w:rsidRPr="009B0E88">
        <w:t>Alison Brooks</w:t>
      </w:r>
    </w:p>
    <w:p w14:paraId="17C5AA40" w14:textId="77777777" w:rsidR="009B0E88" w:rsidRDefault="009B0E88" w:rsidP="009B0E88">
      <w:pPr>
        <w:ind w:left="0"/>
        <w:rPr>
          <w:i/>
          <w:iCs/>
        </w:rPr>
      </w:pPr>
      <w:r>
        <w:rPr>
          <w:i/>
          <w:iCs/>
        </w:rPr>
        <w:t>ORISE Fellow</w:t>
      </w:r>
    </w:p>
    <w:p w14:paraId="152111AD" w14:textId="77777777" w:rsidR="009B0E88" w:rsidRDefault="009B0E88" w:rsidP="009B0E88">
      <w:pPr>
        <w:ind w:left="0"/>
        <w:rPr>
          <w:rFonts w:ascii="Calibri" w:hAnsi="Calibri"/>
          <w:i/>
          <w:iCs/>
        </w:rPr>
      </w:pPr>
      <w:r w:rsidRPr="009B0E88">
        <w:rPr>
          <w:i/>
          <w:iCs/>
        </w:rPr>
        <w:t>Centers for Disease Control and Prevention</w:t>
      </w:r>
    </w:p>
    <w:p w14:paraId="30AFC4B5" w14:textId="77777777" w:rsidR="009B0E88" w:rsidRDefault="009B0E88" w:rsidP="009B0E88">
      <w:pPr>
        <w:ind w:left="0"/>
        <w:rPr>
          <w:i/>
          <w:iCs/>
        </w:rPr>
      </w:pPr>
      <w:r>
        <w:rPr>
          <w:i/>
          <w:iCs/>
        </w:rPr>
        <w:t xml:space="preserve">Office of Environmental Health Emergency Management </w:t>
      </w:r>
    </w:p>
    <w:p w14:paraId="1D4E6684" w14:textId="3D169507" w:rsidR="001A6DFB" w:rsidRDefault="009B0E88" w:rsidP="00991BF9">
      <w:pPr>
        <w:ind w:left="0"/>
        <w:rPr>
          <w:i/>
        </w:rPr>
      </w:pPr>
      <w:r>
        <w:rPr>
          <w:i/>
        </w:rPr>
        <w:t>Mobile: (919) 696-6121</w:t>
      </w:r>
    </w:p>
    <w:p w14:paraId="46260EE7" w14:textId="6D64D855" w:rsidR="009B0E88" w:rsidRDefault="009B0E88" w:rsidP="00991BF9">
      <w:pPr>
        <w:ind w:left="0"/>
        <w:rPr>
          <w:i/>
        </w:rPr>
      </w:pPr>
      <w:r>
        <w:rPr>
          <w:i/>
        </w:rPr>
        <w:t xml:space="preserve">Email: </w:t>
      </w:r>
      <w:hyperlink r:id="rId16" w:history="1">
        <w:r w:rsidRPr="005271EF">
          <w:rPr>
            <w:rStyle w:val="Hyperlink"/>
            <w:i/>
          </w:rPr>
          <w:t>lqa3@cdc.gov</w:t>
        </w:r>
      </w:hyperlink>
      <w:r>
        <w:rPr>
          <w:i/>
        </w:rPr>
        <w:t xml:space="preserve"> </w:t>
      </w:r>
    </w:p>
    <w:p w14:paraId="5F59DEC7" w14:textId="58C94D23" w:rsidR="00EB3FF7" w:rsidRDefault="00EB3FF7" w:rsidP="00991BF9">
      <w:pPr>
        <w:ind w:left="0"/>
        <w:rPr>
          <w:i/>
        </w:rPr>
      </w:pPr>
    </w:p>
    <w:p w14:paraId="0CEE52F0" w14:textId="77777777" w:rsidR="00EB3FF7" w:rsidRDefault="00EB3FF7" w:rsidP="00EB3FF7">
      <w:pPr>
        <w:ind w:left="0"/>
      </w:pPr>
      <w:r w:rsidRPr="009B0E88">
        <w:t>Rosemary Pearson-Clarke</w:t>
      </w:r>
    </w:p>
    <w:p w14:paraId="2DF06E25" w14:textId="77777777" w:rsidR="00EB3FF7" w:rsidRDefault="00EB3FF7" w:rsidP="00EB3FF7">
      <w:pPr>
        <w:ind w:left="0"/>
        <w:rPr>
          <w:i/>
          <w:iCs/>
        </w:rPr>
      </w:pPr>
      <w:r>
        <w:rPr>
          <w:i/>
          <w:iCs/>
        </w:rPr>
        <w:t>ORISE Fellow</w:t>
      </w:r>
    </w:p>
    <w:p w14:paraId="7BBE5AAD" w14:textId="77777777" w:rsidR="00EB3FF7" w:rsidRDefault="00EB3FF7" w:rsidP="00EB3FF7">
      <w:pPr>
        <w:ind w:left="0"/>
        <w:rPr>
          <w:rFonts w:ascii="Calibri" w:hAnsi="Calibri"/>
          <w:i/>
          <w:iCs/>
        </w:rPr>
      </w:pPr>
      <w:r w:rsidRPr="009B0E88">
        <w:rPr>
          <w:i/>
          <w:iCs/>
        </w:rPr>
        <w:t>Centers for Disease Control and Prevention</w:t>
      </w:r>
    </w:p>
    <w:p w14:paraId="50A9ABDD" w14:textId="77777777" w:rsidR="00EB3FF7" w:rsidRDefault="00EB3FF7" w:rsidP="00EB3FF7">
      <w:pPr>
        <w:ind w:left="0"/>
        <w:rPr>
          <w:i/>
          <w:iCs/>
        </w:rPr>
      </w:pPr>
      <w:r>
        <w:rPr>
          <w:i/>
          <w:iCs/>
        </w:rPr>
        <w:t xml:space="preserve">Office of Environmental Health Emergency Management </w:t>
      </w:r>
    </w:p>
    <w:p w14:paraId="1833116F" w14:textId="77777777" w:rsidR="00EB3FF7" w:rsidRDefault="00EB3FF7" w:rsidP="00EB3FF7">
      <w:pPr>
        <w:ind w:left="0"/>
        <w:rPr>
          <w:i/>
          <w:iCs/>
        </w:rPr>
      </w:pPr>
      <w:r>
        <w:rPr>
          <w:i/>
          <w:iCs/>
        </w:rPr>
        <w:t>Mobile: (770) 380-6115</w:t>
      </w:r>
    </w:p>
    <w:p w14:paraId="7A30821F" w14:textId="77777777" w:rsidR="00EB3FF7" w:rsidRDefault="00EB3FF7" w:rsidP="00EB3FF7">
      <w:pPr>
        <w:ind w:left="0"/>
        <w:rPr>
          <w:i/>
          <w:iCs/>
        </w:rPr>
      </w:pPr>
      <w:r>
        <w:rPr>
          <w:i/>
          <w:iCs/>
        </w:rPr>
        <w:t xml:space="preserve">Email: </w:t>
      </w:r>
      <w:hyperlink r:id="rId17" w:history="1">
        <w:r w:rsidRPr="005271EF">
          <w:rPr>
            <w:rStyle w:val="Hyperlink"/>
            <w:i/>
            <w:iCs/>
          </w:rPr>
          <w:t>ygs1@cdc.gov</w:t>
        </w:r>
      </w:hyperlink>
      <w:r>
        <w:rPr>
          <w:i/>
          <w:iCs/>
        </w:rPr>
        <w:t xml:space="preserve">  </w:t>
      </w:r>
    </w:p>
    <w:p w14:paraId="6C99867D" w14:textId="77777777" w:rsidR="00EB3FF7" w:rsidRPr="009B0E88" w:rsidRDefault="00EB3FF7" w:rsidP="00991BF9">
      <w:pPr>
        <w:ind w:left="0"/>
        <w:rPr>
          <w:i/>
        </w:rPr>
      </w:pPr>
    </w:p>
    <w:p w14:paraId="1D627D38" w14:textId="77777777" w:rsidR="00E24C20" w:rsidRDefault="00E24C20" w:rsidP="00BC6896"/>
    <w:p w14:paraId="666A8B4F" w14:textId="77777777" w:rsidR="00A36419" w:rsidRPr="00BC6896" w:rsidRDefault="00A36419" w:rsidP="00BC6896">
      <w:pPr>
        <w:pStyle w:val="Heading3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206F37DC" w14:textId="77777777" w:rsidR="006B5E55" w:rsidRPr="00CD1EA8" w:rsidRDefault="006B5E55" w:rsidP="00BC6896">
      <w:pPr>
        <w:ind w:left="0"/>
      </w:pPr>
      <w:r w:rsidRPr="00CD1EA8">
        <w:t>Note:</w:t>
      </w:r>
      <w:r>
        <w:t xml:space="preserve"> Attachments are included as separate files as instructed.</w:t>
      </w:r>
    </w:p>
    <w:p w14:paraId="65BEA473" w14:textId="77777777" w:rsidR="00A36419" w:rsidRPr="00A36419" w:rsidRDefault="00A36419" w:rsidP="00991BF9">
      <w:pPr>
        <w:ind w:left="0"/>
      </w:pPr>
    </w:p>
    <w:p w14:paraId="175842D3" w14:textId="39DB5BB2" w:rsidR="007463AD" w:rsidRPr="007C5FB3" w:rsidRDefault="00AA650A" w:rsidP="00991BF9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b/>
        </w:rPr>
      </w:pPr>
      <w:r w:rsidRPr="007C5FB3">
        <w:rPr>
          <w:rFonts w:ascii="Cambria" w:hAnsi="Cambria"/>
          <w:b/>
        </w:rPr>
        <w:t xml:space="preserve">Attachment D- </w:t>
      </w:r>
      <w:r w:rsidR="007256A0">
        <w:rPr>
          <w:rFonts w:ascii="Cambria" w:hAnsi="Cambria"/>
          <w:b/>
        </w:rPr>
        <w:t>Introduction</w:t>
      </w:r>
      <w:r w:rsidR="00991BF9" w:rsidRPr="007C5FB3">
        <w:rPr>
          <w:rFonts w:ascii="Cambria" w:hAnsi="Cambria"/>
          <w:b/>
        </w:rPr>
        <w:t xml:space="preserve"> Email</w:t>
      </w:r>
    </w:p>
    <w:p w14:paraId="6A51BFCD" w14:textId="463F86E2" w:rsidR="00991BF9" w:rsidRDefault="00AA650A" w:rsidP="00991BF9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b/>
        </w:rPr>
      </w:pPr>
      <w:r w:rsidRPr="007C5FB3">
        <w:rPr>
          <w:rFonts w:ascii="Cambria" w:hAnsi="Cambria"/>
          <w:b/>
        </w:rPr>
        <w:t xml:space="preserve">Attachment E- </w:t>
      </w:r>
      <w:r w:rsidR="00991BF9" w:rsidRPr="007C5FB3">
        <w:rPr>
          <w:rFonts w:ascii="Cambria" w:hAnsi="Cambria"/>
          <w:b/>
        </w:rPr>
        <w:t>Reminder Email</w:t>
      </w:r>
    </w:p>
    <w:p w14:paraId="54EC6DA8" w14:textId="0AE164A7" w:rsidR="00C426EA" w:rsidRDefault="00C426EA" w:rsidP="00C426EA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Attachment F</w:t>
      </w:r>
      <w:r w:rsidRPr="007C5FB3">
        <w:rPr>
          <w:rFonts w:ascii="Cambria" w:hAnsi="Cambria"/>
          <w:b/>
        </w:rPr>
        <w:t xml:space="preserve">- Reminder </w:t>
      </w:r>
      <w:r>
        <w:rPr>
          <w:rFonts w:ascii="Cambria" w:hAnsi="Cambria"/>
          <w:b/>
        </w:rPr>
        <w:t>Phone Call Script</w:t>
      </w:r>
    </w:p>
    <w:p w14:paraId="1DFDECCB" w14:textId="77777777" w:rsidR="00C426EA" w:rsidRPr="007C5FB3" w:rsidRDefault="00C426EA" w:rsidP="00C426EA">
      <w:pPr>
        <w:pStyle w:val="ListParagraph"/>
        <w:spacing w:line="240" w:lineRule="auto"/>
        <w:rPr>
          <w:rFonts w:ascii="Cambria" w:hAnsi="Cambria"/>
          <w:b/>
        </w:rPr>
      </w:pPr>
    </w:p>
    <w:p w14:paraId="5D380652" w14:textId="77777777" w:rsidR="000E6577" w:rsidRPr="009D77CD" w:rsidRDefault="000E6577" w:rsidP="00BC6896">
      <w:pPr>
        <w:ind w:left="0"/>
        <w:rPr>
          <w:color w:val="0070C0"/>
        </w:rPr>
      </w:pPr>
    </w:p>
    <w:sectPr w:rsidR="000E6577" w:rsidRPr="009D77CD" w:rsidSect="003E5D5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47E5A" w14:textId="77777777" w:rsidR="00165BCA" w:rsidRDefault="00165BCA" w:rsidP="00BC6896">
      <w:r>
        <w:separator/>
      </w:r>
    </w:p>
    <w:p w14:paraId="5EC01EC8" w14:textId="77777777" w:rsidR="00165BCA" w:rsidRDefault="00165BCA" w:rsidP="00BC6896"/>
  </w:endnote>
  <w:endnote w:type="continuationSeparator" w:id="0">
    <w:p w14:paraId="73338228" w14:textId="77777777" w:rsidR="00165BCA" w:rsidRDefault="00165BCA" w:rsidP="00BC6896">
      <w:r>
        <w:continuationSeparator/>
      </w:r>
    </w:p>
    <w:p w14:paraId="1A15385D" w14:textId="77777777" w:rsidR="00165BCA" w:rsidRDefault="00165BCA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B5EB43" w14:textId="77777777" w:rsidR="00165BCA" w:rsidRDefault="00165B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6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6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0F17B8" w14:textId="77777777" w:rsidR="00165BCA" w:rsidRDefault="00165BCA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003F9" w14:textId="77777777" w:rsidR="00165BCA" w:rsidRDefault="00165BCA" w:rsidP="00BC6896">
      <w:r>
        <w:separator/>
      </w:r>
    </w:p>
    <w:p w14:paraId="68953C80" w14:textId="77777777" w:rsidR="00165BCA" w:rsidRDefault="00165BCA" w:rsidP="00BC6896"/>
  </w:footnote>
  <w:footnote w:type="continuationSeparator" w:id="0">
    <w:p w14:paraId="4653748B" w14:textId="77777777" w:rsidR="00165BCA" w:rsidRDefault="00165BCA" w:rsidP="00BC6896">
      <w:r>
        <w:continuationSeparator/>
      </w:r>
    </w:p>
    <w:p w14:paraId="0AAAD51C" w14:textId="77777777" w:rsidR="00165BCA" w:rsidRDefault="00165BCA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A92C5" w14:textId="77777777" w:rsidR="00165BCA" w:rsidRPr="00716F94" w:rsidRDefault="00165BCA" w:rsidP="00BC6896">
    <w:pPr>
      <w:pStyle w:val="Header"/>
      <w:rPr>
        <w:color w:val="0033CC"/>
      </w:rPr>
    </w:pPr>
    <w:r>
      <w:tab/>
    </w:r>
  </w:p>
  <w:p w14:paraId="4BED7A0A" w14:textId="77777777" w:rsidR="00165BCA" w:rsidRDefault="00165BCA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21"/>
  </w:num>
  <w:num w:numId="13">
    <w:abstractNumId w:val="6"/>
  </w:num>
  <w:num w:numId="14">
    <w:abstractNumId w:val="3"/>
  </w:num>
  <w:num w:numId="15">
    <w:abstractNumId w:val="19"/>
  </w:num>
  <w:num w:numId="16">
    <w:abstractNumId w:val="24"/>
  </w:num>
  <w:num w:numId="17">
    <w:abstractNumId w:val="8"/>
  </w:num>
  <w:num w:numId="18">
    <w:abstractNumId w:val="12"/>
  </w:num>
  <w:num w:numId="19">
    <w:abstractNumId w:val="4"/>
  </w:num>
  <w:num w:numId="20">
    <w:abstractNumId w:val="13"/>
  </w:num>
  <w:num w:numId="21">
    <w:abstractNumId w:val="23"/>
  </w:num>
  <w:num w:numId="22">
    <w:abstractNumId w:val="17"/>
  </w:num>
  <w:num w:numId="23">
    <w:abstractNumId w:val="11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A4"/>
    <w:rsid w:val="00010420"/>
    <w:rsid w:val="00011A98"/>
    <w:rsid w:val="00011F8D"/>
    <w:rsid w:val="000130B4"/>
    <w:rsid w:val="00014361"/>
    <w:rsid w:val="000474FB"/>
    <w:rsid w:val="00052A34"/>
    <w:rsid w:val="00053A92"/>
    <w:rsid w:val="000557D0"/>
    <w:rsid w:val="0005605E"/>
    <w:rsid w:val="00057F36"/>
    <w:rsid w:val="0006615D"/>
    <w:rsid w:val="000A1F30"/>
    <w:rsid w:val="000B0CC0"/>
    <w:rsid w:val="000B28C4"/>
    <w:rsid w:val="000B2DEE"/>
    <w:rsid w:val="000D44CC"/>
    <w:rsid w:val="000E6577"/>
    <w:rsid w:val="000E7A19"/>
    <w:rsid w:val="000F5FEE"/>
    <w:rsid w:val="00100E75"/>
    <w:rsid w:val="00104A1B"/>
    <w:rsid w:val="001100BE"/>
    <w:rsid w:val="00111599"/>
    <w:rsid w:val="00116C65"/>
    <w:rsid w:val="001177DD"/>
    <w:rsid w:val="001308EB"/>
    <w:rsid w:val="001404DA"/>
    <w:rsid w:val="001412D4"/>
    <w:rsid w:val="00144F64"/>
    <w:rsid w:val="00151567"/>
    <w:rsid w:val="001626EF"/>
    <w:rsid w:val="00163E17"/>
    <w:rsid w:val="00165BCA"/>
    <w:rsid w:val="00166F9E"/>
    <w:rsid w:val="00180C49"/>
    <w:rsid w:val="00182681"/>
    <w:rsid w:val="00187D5A"/>
    <w:rsid w:val="00197215"/>
    <w:rsid w:val="001972D7"/>
    <w:rsid w:val="001A28F6"/>
    <w:rsid w:val="001A6DFB"/>
    <w:rsid w:val="001A7D0E"/>
    <w:rsid w:val="001B2831"/>
    <w:rsid w:val="001C0493"/>
    <w:rsid w:val="001C28AD"/>
    <w:rsid w:val="001C312F"/>
    <w:rsid w:val="001C546D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45F1F"/>
    <w:rsid w:val="00256392"/>
    <w:rsid w:val="00257A1C"/>
    <w:rsid w:val="00266497"/>
    <w:rsid w:val="0027234C"/>
    <w:rsid w:val="00272E03"/>
    <w:rsid w:val="00277A34"/>
    <w:rsid w:val="00281795"/>
    <w:rsid w:val="002850E3"/>
    <w:rsid w:val="00287E2F"/>
    <w:rsid w:val="002A1948"/>
    <w:rsid w:val="002A21E8"/>
    <w:rsid w:val="002C0877"/>
    <w:rsid w:val="002C2AE2"/>
    <w:rsid w:val="002D0DCE"/>
    <w:rsid w:val="002E2B10"/>
    <w:rsid w:val="002F1502"/>
    <w:rsid w:val="002F169D"/>
    <w:rsid w:val="002F2069"/>
    <w:rsid w:val="002F2975"/>
    <w:rsid w:val="002F6F92"/>
    <w:rsid w:val="003041AD"/>
    <w:rsid w:val="0031279F"/>
    <w:rsid w:val="00312D63"/>
    <w:rsid w:val="00321EB8"/>
    <w:rsid w:val="00327D05"/>
    <w:rsid w:val="003305E9"/>
    <w:rsid w:val="00335EBD"/>
    <w:rsid w:val="00336D96"/>
    <w:rsid w:val="00344F07"/>
    <w:rsid w:val="003469C8"/>
    <w:rsid w:val="00355EA4"/>
    <w:rsid w:val="0036296B"/>
    <w:rsid w:val="003635BE"/>
    <w:rsid w:val="00366B5E"/>
    <w:rsid w:val="00372844"/>
    <w:rsid w:val="00383040"/>
    <w:rsid w:val="00383335"/>
    <w:rsid w:val="0038560A"/>
    <w:rsid w:val="00386BBC"/>
    <w:rsid w:val="00394C66"/>
    <w:rsid w:val="003A40AD"/>
    <w:rsid w:val="003A439F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25B31"/>
    <w:rsid w:val="004305A8"/>
    <w:rsid w:val="00433DB7"/>
    <w:rsid w:val="0043417A"/>
    <w:rsid w:val="00443CA0"/>
    <w:rsid w:val="00450E14"/>
    <w:rsid w:val="00457A71"/>
    <w:rsid w:val="00462C65"/>
    <w:rsid w:val="00467B14"/>
    <w:rsid w:val="00474EDA"/>
    <w:rsid w:val="0047536D"/>
    <w:rsid w:val="004824FA"/>
    <w:rsid w:val="00484011"/>
    <w:rsid w:val="004841F1"/>
    <w:rsid w:val="0049287B"/>
    <w:rsid w:val="00494BAB"/>
    <w:rsid w:val="004A1E3A"/>
    <w:rsid w:val="004B4EB5"/>
    <w:rsid w:val="004B74B6"/>
    <w:rsid w:val="004C4AEA"/>
    <w:rsid w:val="004E003C"/>
    <w:rsid w:val="004E16EB"/>
    <w:rsid w:val="004E6665"/>
    <w:rsid w:val="004F634E"/>
    <w:rsid w:val="004F67A8"/>
    <w:rsid w:val="00522A50"/>
    <w:rsid w:val="00527225"/>
    <w:rsid w:val="005314B9"/>
    <w:rsid w:val="0053557D"/>
    <w:rsid w:val="005463DE"/>
    <w:rsid w:val="00546DC2"/>
    <w:rsid w:val="005542E8"/>
    <w:rsid w:val="00556630"/>
    <w:rsid w:val="0055686D"/>
    <w:rsid w:val="00566303"/>
    <w:rsid w:val="005800EE"/>
    <w:rsid w:val="005825D4"/>
    <w:rsid w:val="005869D6"/>
    <w:rsid w:val="00587366"/>
    <w:rsid w:val="005A33F6"/>
    <w:rsid w:val="005A59E5"/>
    <w:rsid w:val="005B4D75"/>
    <w:rsid w:val="005B7440"/>
    <w:rsid w:val="005C6E9D"/>
    <w:rsid w:val="005E2150"/>
    <w:rsid w:val="005E2995"/>
    <w:rsid w:val="005F3FEF"/>
    <w:rsid w:val="00601392"/>
    <w:rsid w:val="006026DA"/>
    <w:rsid w:val="006075F6"/>
    <w:rsid w:val="00607967"/>
    <w:rsid w:val="00607F7C"/>
    <w:rsid w:val="006102DA"/>
    <w:rsid w:val="006153C7"/>
    <w:rsid w:val="00621F93"/>
    <w:rsid w:val="006315A3"/>
    <w:rsid w:val="00635F97"/>
    <w:rsid w:val="00637CC1"/>
    <w:rsid w:val="006466BA"/>
    <w:rsid w:val="006579A2"/>
    <w:rsid w:val="00662513"/>
    <w:rsid w:val="00667C89"/>
    <w:rsid w:val="00670313"/>
    <w:rsid w:val="006711EE"/>
    <w:rsid w:val="006809BB"/>
    <w:rsid w:val="006809FD"/>
    <w:rsid w:val="00691D1F"/>
    <w:rsid w:val="00697BAE"/>
    <w:rsid w:val="006B0DEF"/>
    <w:rsid w:val="006B4DDC"/>
    <w:rsid w:val="006B5E55"/>
    <w:rsid w:val="006B6533"/>
    <w:rsid w:val="006D1DD0"/>
    <w:rsid w:val="006D25A1"/>
    <w:rsid w:val="006F004C"/>
    <w:rsid w:val="006F6856"/>
    <w:rsid w:val="0071190E"/>
    <w:rsid w:val="007145D0"/>
    <w:rsid w:val="007160A0"/>
    <w:rsid w:val="00716F94"/>
    <w:rsid w:val="007256A0"/>
    <w:rsid w:val="00736382"/>
    <w:rsid w:val="007463AD"/>
    <w:rsid w:val="00760E12"/>
    <w:rsid w:val="00763CF3"/>
    <w:rsid w:val="00767033"/>
    <w:rsid w:val="00772293"/>
    <w:rsid w:val="00783A3C"/>
    <w:rsid w:val="00783C75"/>
    <w:rsid w:val="00784619"/>
    <w:rsid w:val="0078627B"/>
    <w:rsid w:val="0079271D"/>
    <w:rsid w:val="00794E32"/>
    <w:rsid w:val="007A76A4"/>
    <w:rsid w:val="007B1D45"/>
    <w:rsid w:val="007B305A"/>
    <w:rsid w:val="007C5FB3"/>
    <w:rsid w:val="007D2067"/>
    <w:rsid w:val="007E3235"/>
    <w:rsid w:val="00800993"/>
    <w:rsid w:val="00815C7D"/>
    <w:rsid w:val="00817941"/>
    <w:rsid w:val="008261AB"/>
    <w:rsid w:val="00835CA7"/>
    <w:rsid w:val="008370D4"/>
    <w:rsid w:val="008414AD"/>
    <w:rsid w:val="008428D9"/>
    <w:rsid w:val="0087555D"/>
    <w:rsid w:val="00884627"/>
    <w:rsid w:val="00884DB9"/>
    <w:rsid w:val="0089676F"/>
    <w:rsid w:val="00897A09"/>
    <w:rsid w:val="008A17BE"/>
    <w:rsid w:val="008C67D2"/>
    <w:rsid w:val="008E0683"/>
    <w:rsid w:val="00902DD9"/>
    <w:rsid w:val="00911486"/>
    <w:rsid w:val="009129CA"/>
    <w:rsid w:val="009206B6"/>
    <w:rsid w:val="009263C1"/>
    <w:rsid w:val="00926D6F"/>
    <w:rsid w:val="00931C02"/>
    <w:rsid w:val="00934065"/>
    <w:rsid w:val="00935FFD"/>
    <w:rsid w:val="00941B4F"/>
    <w:rsid w:val="00954601"/>
    <w:rsid w:val="00963CE3"/>
    <w:rsid w:val="00964F18"/>
    <w:rsid w:val="00974424"/>
    <w:rsid w:val="00974E87"/>
    <w:rsid w:val="009759F3"/>
    <w:rsid w:val="0098039F"/>
    <w:rsid w:val="00987F76"/>
    <w:rsid w:val="00991BF9"/>
    <w:rsid w:val="00993088"/>
    <w:rsid w:val="0099664F"/>
    <w:rsid w:val="00997D5D"/>
    <w:rsid w:val="009A0447"/>
    <w:rsid w:val="009A7D2A"/>
    <w:rsid w:val="009B034F"/>
    <w:rsid w:val="009B0E88"/>
    <w:rsid w:val="009B4A51"/>
    <w:rsid w:val="009C28B1"/>
    <w:rsid w:val="009C61AD"/>
    <w:rsid w:val="009D373D"/>
    <w:rsid w:val="009D5C88"/>
    <w:rsid w:val="009D77CD"/>
    <w:rsid w:val="009E1D05"/>
    <w:rsid w:val="009F7283"/>
    <w:rsid w:val="00A00636"/>
    <w:rsid w:val="00A063E3"/>
    <w:rsid w:val="00A11B0C"/>
    <w:rsid w:val="00A305CE"/>
    <w:rsid w:val="00A33B35"/>
    <w:rsid w:val="00A36419"/>
    <w:rsid w:val="00A4636F"/>
    <w:rsid w:val="00A578C2"/>
    <w:rsid w:val="00A70EBC"/>
    <w:rsid w:val="00A71BA8"/>
    <w:rsid w:val="00A72652"/>
    <w:rsid w:val="00A75D1C"/>
    <w:rsid w:val="00A809AA"/>
    <w:rsid w:val="00A80C2F"/>
    <w:rsid w:val="00A849B3"/>
    <w:rsid w:val="00A8510D"/>
    <w:rsid w:val="00A86AF3"/>
    <w:rsid w:val="00A90BDC"/>
    <w:rsid w:val="00A94727"/>
    <w:rsid w:val="00A95477"/>
    <w:rsid w:val="00A975A9"/>
    <w:rsid w:val="00AA3192"/>
    <w:rsid w:val="00AA650A"/>
    <w:rsid w:val="00AB3608"/>
    <w:rsid w:val="00AB6C25"/>
    <w:rsid w:val="00AC5C48"/>
    <w:rsid w:val="00AF0CF4"/>
    <w:rsid w:val="00AF2252"/>
    <w:rsid w:val="00AF5861"/>
    <w:rsid w:val="00B1129F"/>
    <w:rsid w:val="00B11D61"/>
    <w:rsid w:val="00B12F51"/>
    <w:rsid w:val="00B17845"/>
    <w:rsid w:val="00B24CB7"/>
    <w:rsid w:val="00B2751E"/>
    <w:rsid w:val="00B3650C"/>
    <w:rsid w:val="00B378DA"/>
    <w:rsid w:val="00B50A2B"/>
    <w:rsid w:val="00B64BFA"/>
    <w:rsid w:val="00B65C38"/>
    <w:rsid w:val="00B65EBB"/>
    <w:rsid w:val="00B8216F"/>
    <w:rsid w:val="00B853F1"/>
    <w:rsid w:val="00B85DE4"/>
    <w:rsid w:val="00B91A31"/>
    <w:rsid w:val="00BA3426"/>
    <w:rsid w:val="00BA6DB4"/>
    <w:rsid w:val="00BC3F3C"/>
    <w:rsid w:val="00BC5BB2"/>
    <w:rsid w:val="00BC6896"/>
    <w:rsid w:val="00BF3F54"/>
    <w:rsid w:val="00C00697"/>
    <w:rsid w:val="00C0376C"/>
    <w:rsid w:val="00C06D77"/>
    <w:rsid w:val="00C14BA6"/>
    <w:rsid w:val="00C347E7"/>
    <w:rsid w:val="00C3485C"/>
    <w:rsid w:val="00C420D4"/>
    <w:rsid w:val="00C426EA"/>
    <w:rsid w:val="00C57BF0"/>
    <w:rsid w:val="00C62592"/>
    <w:rsid w:val="00C84DC3"/>
    <w:rsid w:val="00CA2004"/>
    <w:rsid w:val="00CB334D"/>
    <w:rsid w:val="00CB56D5"/>
    <w:rsid w:val="00CC219B"/>
    <w:rsid w:val="00CD0771"/>
    <w:rsid w:val="00CD1EA8"/>
    <w:rsid w:val="00CD4AF9"/>
    <w:rsid w:val="00CF067D"/>
    <w:rsid w:val="00CF0CE8"/>
    <w:rsid w:val="00CF3CCD"/>
    <w:rsid w:val="00CF5ABD"/>
    <w:rsid w:val="00CF63CE"/>
    <w:rsid w:val="00D067C1"/>
    <w:rsid w:val="00D13B13"/>
    <w:rsid w:val="00D16E78"/>
    <w:rsid w:val="00D201D3"/>
    <w:rsid w:val="00D21DAB"/>
    <w:rsid w:val="00D229F9"/>
    <w:rsid w:val="00D25B79"/>
    <w:rsid w:val="00D26A64"/>
    <w:rsid w:val="00D328FA"/>
    <w:rsid w:val="00D3373C"/>
    <w:rsid w:val="00D4221A"/>
    <w:rsid w:val="00D52B9A"/>
    <w:rsid w:val="00D5367E"/>
    <w:rsid w:val="00D7285C"/>
    <w:rsid w:val="00D746A0"/>
    <w:rsid w:val="00D861ED"/>
    <w:rsid w:val="00D873E0"/>
    <w:rsid w:val="00D94F8B"/>
    <w:rsid w:val="00DA4EA9"/>
    <w:rsid w:val="00DA5988"/>
    <w:rsid w:val="00DB6D94"/>
    <w:rsid w:val="00DC317C"/>
    <w:rsid w:val="00DC4FF2"/>
    <w:rsid w:val="00DC664B"/>
    <w:rsid w:val="00DC79CC"/>
    <w:rsid w:val="00DF3F6A"/>
    <w:rsid w:val="00DF5037"/>
    <w:rsid w:val="00E134F4"/>
    <w:rsid w:val="00E147D2"/>
    <w:rsid w:val="00E23568"/>
    <w:rsid w:val="00E245B5"/>
    <w:rsid w:val="00E24C20"/>
    <w:rsid w:val="00E33E1B"/>
    <w:rsid w:val="00E34D3E"/>
    <w:rsid w:val="00E45ECA"/>
    <w:rsid w:val="00E5245E"/>
    <w:rsid w:val="00E57E45"/>
    <w:rsid w:val="00E81C5E"/>
    <w:rsid w:val="00E83B3C"/>
    <w:rsid w:val="00E8736B"/>
    <w:rsid w:val="00E90275"/>
    <w:rsid w:val="00E90E77"/>
    <w:rsid w:val="00E925D4"/>
    <w:rsid w:val="00E97226"/>
    <w:rsid w:val="00EB3FF7"/>
    <w:rsid w:val="00EB63B3"/>
    <w:rsid w:val="00EC1242"/>
    <w:rsid w:val="00EC50F0"/>
    <w:rsid w:val="00ED6878"/>
    <w:rsid w:val="00EF0EC8"/>
    <w:rsid w:val="00EF33CD"/>
    <w:rsid w:val="00F114FC"/>
    <w:rsid w:val="00F2267A"/>
    <w:rsid w:val="00F300CB"/>
    <w:rsid w:val="00F37C9D"/>
    <w:rsid w:val="00F42C3A"/>
    <w:rsid w:val="00F45F9C"/>
    <w:rsid w:val="00F52BCC"/>
    <w:rsid w:val="00F5313F"/>
    <w:rsid w:val="00F57581"/>
    <w:rsid w:val="00F725B5"/>
    <w:rsid w:val="00F73CE8"/>
    <w:rsid w:val="00F81A48"/>
    <w:rsid w:val="00F860A5"/>
    <w:rsid w:val="00FC5B1F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E3D"/>
  <w15:docId w15:val="{A1B3B6A0-3A73-4824-9EA4-A275F68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eu0@cdc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ygs1@cd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qa3@cdc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bakker@astho.org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gc8@cd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OSTLTSDOC-727-90</_dlc_DocId>
    <_dlc_DocIdUrl xmlns="b5c0ca00-073d-4463-9985-b654f14791fe">
      <Url>https://esp.cdc.gov/sites/ostlts/pip/osc/_layouts/15/DocIdRedir.aspx?ID=OSTLTSDOC-727-90</Url>
      <Description>OSTLTSDOC-727-90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6D475-B04F-409F-B356-E58628029DB2}">
  <ds:schemaRefs>
    <ds:schemaRef ds:uri="b5c0ca00-073d-4463-9985-b654f14791fe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d99c180-279b-44c3-9486-dd050336677e"/>
    <ds:schemaRef ds:uri="http://purl.org/dc/dcmitype/"/>
    <ds:schemaRef ds:uri="http://schemas.microsoft.com/office/2006/documentManagement/types"/>
    <ds:schemaRef ds:uri="15b1c282-9287-45cb-9b41-eae3a76919a0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782EEA-A989-42FC-A13F-4A769CA3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Graaf</dc:creator>
  <cp:lastModifiedBy>Graaf, Christine (CDC/OSTLTS/DPHPI)</cp:lastModifiedBy>
  <cp:revision>2</cp:revision>
  <cp:lastPrinted>2011-06-07T15:53:00Z</cp:lastPrinted>
  <dcterms:created xsi:type="dcterms:W3CDTF">2016-05-17T19:54:00Z</dcterms:created>
  <dcterms:modified xsi:type="dcterms:W3CDTF">2016-05-17T19:54:00Z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57e24ae8-93dc-4b5a-95de-c34750a3da7c</vt:lpwstr>
  </property>
</Properties>
</file>