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CAB20" w14:textId="77777777" w:rsidR="00716F94" w:rsidRDefault="00716F94" w:rsidP="007D6163"/>
    <w:p w14:paraId="7B2D8F30" w14:textId="77777777" w:rsidR="009B4A51" w:rsidRDefault="009B4A51" w:rsidP="007D6163"/>
    <w:p w14:paraId="1DDB16DB" w14:textId="77777777" w:rsidR="009B4A51" w:rsidRDefault="009B4A51" w:rsidP="007D6163"/>
    <w:p w14:paraId="79089CA8" w14:textId="77777777" w:rsidR="009B4A51" w:rsidRDefault="009B4A51" w:rsidP="007D6163"/>
    <w:p w14:paraId="5A6ED5B6" w14:textId="77777777" w:rsidR="009B4A51" w:rsidRDefault="009B4A51" w:rsidP="007D6163"/>
    <w:p w14:paraId="69098A8B" w14:textId="77777777" w:rsidR="00667C89" w:rsidRDefault="00667C89" w:rsidP="007D6163"/>
    <w:p w14:paraId="2E14F820" w14:textId="77777777" w:rsidR="009B4A51" w:rsidRDefault="009B4A51" w:rsidP="007D6163"/>
    <w:p w14:paraId="757FA03D" w14:textId="77777777" w:rsidR="009B4A51" w:rsidRDefault="009B4A51" w:rsidP="00CA5840">
      <w:pPr>
        <w:ind w:left="0"/>
      </w:pPr>
    </w:p>
    <w:p w14:paraId="3C334257" w14:textId="09AED598" w:rsidR="00716F94" w:rsidRPr="003576D5" w:rsidRDefault="00471FCD" w:rsidP="00143F98">
      <w:pPr>
        <w:pStyle w:val="Heading1"/>
        <w:ind w:left="0"/>
      </w:pPr>
      <w:r w:rsidRPr="003576D5">
        <w:t>Assessment</w:t>
      </w:r>
      <w:r w:rsidR="00143F98" w:rsidRPr="003576D5">
        <w:t xml:space="preserve"> of Waste Left </w:t>
      </w:r>
      <w:r w:rsidR="00F228DD" w:rsidRPr="003576D5">
        <w:t>in</w:t>
      </w:r>
      <w:r w:rsidR="00143F98" w:rsidRPr="003576D5">
        <w:t xml:space="preserve"> Place </w:t>
      </w:r>
      <w:r w:rsidR="00EF28F9" w:rsidRPr="003576D5">
        <w:t xml:space="preserve">(WLIP) </w:t>
      </w:r>
      <w:r w:rsidR="00143F98" w:rsidRPr="003576D5">
        <w:t>Ordinances</w:t>
      </w:r>
      <w:r w:rsidR="005C0DCA" w:rsidRPr="003576D5">
        <w:t xml:space="preserve"> </w:t>
      </w:r>
    </w:p>
    <w:p w14:paraId="1584D8F4" w14:textId="77777777" w:rsidR="00AA3192" w:rsidRDefault="00AA3192" w:rsidP="00CA5840">
      <w:pPr>
        <w:ind w:left="0"/>
      </w:pPr>
    </w:p>
    <w:p w14:paraId="2483B7D9"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6C30C3F1" w14:textId="77777777" w:rsidR="00484011" w:rsidRPr="00AA3192" w:rsidRDefault="00484011" w:rsidP="00CA5840">
      <w:pPr>
        <w:ind w:left="0"/>
        <w:jc w:val="center"/>
      </w:pPr>
      <w:r w:rsidRPr="00AA3192">
        <w:t>OMB No. 0920-0879</w:t>
      </w:r>
    </w:p>
    <w:p w14:paraId="25D9D2AA" w14:textId="77777777" w:rsidR="009B4A51" w:rsidRDefault="009B4A51" w:rsidP="00CA5840">
      <w:pPr>
        <w:ind w:left="0"/>
      </w:pPr>
    </w:p>
    <w:p w14:paraId="30737CA1" w14:textId="77777777" w:rsidR="009B4A51" w:rsidRDefault="009B4A51" w:rsidP="00CA5840">
      <w:pPr>
        <w:ind w:left="0"/>
      </w:pPr>
    </w:p>
    <w:p w14:paraId="59810128" w14:textId="77777777" w:rsidR="00AA3192" w:rsidRDefault="00AA3192" w:rsidP="00CA5840">
      <w:pPr>
        <w:ind w:left="0"/>
      </w:pPr>
    </w:p>
    <w:p w14:paraId="45163F1C" w14:textId="77777777" w:rsidR="00AA3192" w:rsidRDefault="00AA3192" w:rsidP="00CA5840">
      <w:pPr>
        <w:ind w:left="0"/>
      </w:pPr>
    </w:p>
    <w:p w14:paraId="017FFE60" w14:textId="77777777" w:rsidR="009B4A51" w:rsidRPr="007D6163" w:rsidRDefault="009B4A51" w:rsidP="00CA5840">
      <w:pPr>
        <w:pStyle w:val="Heading2"/>
        <w:ind w:left="0"/>
      </w:pPr>
      <w:r w:rsidRPr="007D6163">
        <w:t>Supporting Statement – Section A</w:t>
      </w:r>
    </w:p>
    <w:p w14:paraId="264E5D40" w14:textId="77777777" w:rsidR="009B4A51" w:rsidRDefault="009B4A51" w:rsidP="00CA5840">
      <w:pPr>
        <w:ind w:left="0"/>
      </w:pPr>
    </w:p>
    <w:p w14:paraId="275C38D1" w14:textId="77777777" w:rsidR="00484011" w:rsidRDefault="00484011" w:rsidP="00CA5840">
      <w:pPr>
        <w:ind w:left="0"/>
      </w:pPr>
    </w:p>
    <w:p w14:paraId="17FC83BB" w14:textId="77777777" w:rsidR="00AA3192" w:rsidRDefault="00AA3192" w:rsidP="00CA5840">
      <w:pPr>
        <w:ind w:left="0"/>
      </w:pPr>
    </w:p>
    <w:p w14:paraId="4D5657F0" w14:textId="77777777" w:rsidR="009B4A51" w:rsidRDefault="009B4A51" w:rsidP="00CA5840">
      <w:pPr>
        <w:ind w:left="0"/>
      </w:pPr>
    </w:p>
    <w:p w14:paraId="047880D3" w14:textId="77777777" w:rsidR="009B4A51" w:rsidRDefault="009B4A51" w:rsidP="00CA5840">
      <w:pPr>
        <w:ind w:left="0"/>
      </w:pPr>
    </w:p>
    <w:p w14:paraId="1DF2C65E" w14:textId="77777777" w:rsidR="00187D5A" w:rsidRDefault="00187D5A" w:rsidP="00CA5840">
      <w:pPr>
        <w:ind w:left="0"/>
      </w:pPr>
    </w:p>
    <w:p w14:paraId="05B0C1F8" w14:textId="119A0F84" w:rsidR="009B4A51" w:rsidRPr="009B4A51" w:rsidRDefault="009B4A51" w:rsidP="00CA5840">
      <w:pPr>
        <w:ind w:left="0"/>
        <w:jc w:val="center"/>
      </w:pPr>
      <w:r w:rsidRPr="00AA3192">
        <w:t>Submitted:</w:t>
      </w:r>
      <w:r w:rsidRPr="00713412">
        <w:rPr>
          <w:color w:val="0070C0"/>
        </w:rPr>
        <w:t xml:space="preserve"> </w:t>
      </w:r>
      <w:r w:rsidR="00B178C0">
        <w:t>10/3</w:t>
      </w:r>
      <w:r w:rsidR="000D2B41">
        <w:t>/2016</w:t>
      </w:r>
    </w:p>
    <w:p w14:paraId="690DF4F3" w14:textId="77777777" w:rsidR="009B4A51" w:rsidRDefault="009B4A51" w:rsidP="007D6163"/>
    <w:p w14:paraId="577AEE69" w14:textId="77777777" w:rsidR="009B4A51" w:rsidRDefault="009B4A51" w:rsidP="007D6163"/>
    <w:p w14:paraId="22190DB6" w14:textId="77777777" w:rsidR="009B4A51" w:rsidRDefault="009B4A51" w:rsidP="007D6163"/>
    <w:p w14:paraId="362FB13F" w14:textId="77777777" w:rsidR="00AA3192" w:rsidRDefault="00AA3192" w:rsidP="007D6163"/>
    <w:p w14:paraId="5EAF8538" w14:textId="77777777" w:rsidR="00AA3192" w:rsidRDefault="00AA3192" w:rsidP="007D6163"/>
    <w:p w14:paraId="0E968C30" w14:textId="77777777" w:rsidR="009B4A51" w:rsidRDefault="009B4A51" w:rsidP="007D6163"/>
    <w:p w14:paraId="408CD4EB"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75D12026" w14:textId="44CC0253" w:rsidR="00321B51" w:rsidRPr="003576D5" w:rsidRDefault="00321B51" w:rsidP="00CA5840">
      <w:pPr>
        <w:ind w:left="0"/>
      </w:pPr>
      <w:r w:rsidRPr="003576D5">
        <w:t>Name</w:t>
      </w:r>
      <w:r w:rsidR="00471FCD" w:rsidRPr="003576D5">
        <w:t>: Matt Sones</w:t>
      </w:r>
      <w:r w:rsidR="003B746E">
        <w:t>, MS, MPH</w:t>
      </w:r>
    </w:p>
    <w:p w14:paraId="72CB3768" w14:textId="742786C1" w:rsidR="00321B51" w:rsidRPr="003576D5" w:rsidRDefault="00321B51" w:rsidP="00CA5840">
      <w:pPr>
        <w:ind w:left="0"/>
      </w:pPr>
      <w:r w:rsidRPr="003576D5">
        <w:t>Title</w:t>
      </w:r>
      <w:r w:rsidR="00471FCD" w:rsidRPr="003576D5">
        <w:t>: Public Health Analyst</w:t>
      </w:r>
    </w:p>
    <w:p w14:paraId="7919764E" w14:textId="2B698197" w:rsidR="00321B51" w:rsidRPr="003576D5" w:rsidRDefault="00321B51" w:rsidP="00CA5840">
      <w:pPr>
        <w:ind w:left="0"/>
      </w:pPr>
      <w:r w:rsidRPr="003576D5">
        <w:t>Organization</w:t>
      </w:r>
      <w:r w:rsidR="00471FCD" w:rsidRPr="003576D5">
        <w:t>: ATSDR/DCHI</w:t>
      </w:r>
    </w:p>
    <w:p w14:paraId="60DC9355" w14:textId="099D51DB" w:rsidR="00321B51" w:rsidRPr="003576D5" w:rsidRDefault="00321B51" w:rsidP="00CA5840">
      <w:pPr>
        <w:ind w:left="0"/>
      </w:pPr>
      <w:r w:rsidRPr="003576D5">
        <w:t>Address</w:t>
      </w:r>
      <w:r w:rsidR="00471FCD" w:rsidRPr="003576D5">
        <w:t>: 4770 Buford Highway, Atlanta, Georgia, 30341, MS F-59</w:t>
      </w:r>
    </w:p>
    <w:p w14:paraId="090D0D9B" w14:textId="7359E36C" w:rsidR="00321B51" w:rsidRPr="003576D5" w:rsidRDefault="00321B51" w:rsidP="00CA5840">
      <w:pPr>
        <w:ind w:left="0"/>
      </w:pPr>
      <w:r w:rsidRPr="003576D5">
        <w:t>Phone number</w:t>
      </w:r>
      <w:r w:rsidR="00471FCD" w:rsidRPr="003576D5">
        <w:t>: 770-488-0731</w:t>
      </w:r>
    </w:p>
    <w:p w14:paraId="54CFB219" w14:textId="11389257" w:rsidR="00321B51" w:rsidRPr="003576D5" w:rsidRDefault="00321B51" w:rsidP="00CA5840">
      <w:pPr>
        <w:ind w:left="0"/>
      </w:pPr>
      <w:r w:rsidRPr="003576D5">
        <w:t>Fax Number</w:t>
      </w:r>
      <w:r w:rsidR="00471FCD" w:rsidRPr="003576D5">
        <w:t>: 770-488-1542</w:t>
      </w:r>
    </w:p>
    <w:p w14:paraId="3EF04B2A" w14:textId="7EA581C4" w:rsidR="00321B51" w:rsidRPr="003576D5" w:rsidRDefault="00321B51" w:rsidP="00CA5840">
      <w:pPr>
        <w:ind w:left="0"/>
      </w:pPr>
      <w:r w:rsidRPr="003576D5">
        <w:t>Email</w:t>
      </w:r>
      <w:r w:rsidR="00471FCD" w:rsidRPr="003576D5">
        <w:t xml:space="preserve">: </w:t>
      </w:r>
      <w:hyperlink r:id="rId13" w:history="1">
        <w:r w:rsidR="00471FCD" w:rsidRPr="003576D5">
          <w:rPr>
            <w:rStyle w:val="Hyperlink"/>
            <w:color w:val="auto"/>
          </w:rPr>
          <w:t>zgi2@cdc.gov</w:t>
        </w:r>
      </w:hyperlink>
      <w:r w:rsidR="00471FCD" w:rsidRPr="003576D5">
        <w:t xml:space="preserve"> </w:t>
      </w:r>
    </w:p>
    <w:p w14:paraId="23805B2F" w14:textId="77777777" w:rsidR="000B0962" w:rsidRDefault="000B0962" w:rsidP="007D6163"/>
    <w:p w14:paraId="68756083" w14:textId="15F6D572" w:rsidR="00CA5840" w:rsidRDefault="00CA5840">
      <w:pPr>
        <w:tabs>
          <w:tab w:val="clear" w:pos="9360"/>
        </w:tabs>
        <w:spacing w:after="200"/>
        <w:ind w:left="0"/>
        <w:rPr>
          <w:b/>
          <w:sz w:val="28"/>
        </w:rPr>
      </w:pPr>
    </w:p>
    <w:p w14:paraId="7A046FF5" w14:textId="77777777" w:rsidR="003860A5" w:rsidRDefault="003860A5" w:rsidP="003860A5">
      <w:pPr>
        <w:pStyle w:val="Heading3"/>
        <w:ind w:left="0"/>
      </w:pPr>
      <w:bookmarkStart w:id="0" w:name="_Toc427752811"/>
      <w:r>
        <w:lastRenderedPageBreak/>
        <w:t>Table of Contents</w:t>
      </w:r>
      <w:bookmarkEnd w:id="0"/>
    </w:p>
    <w:p w14:paraId="1747F933" w14:textId="77777777" w:rsidR="003860A5" w:rsidRPr="003860A5" w:rsidRDefault="003860A5" w:rsidP="003860A5"/>
    <w:p w14:paraId="3F2FE248" w14:textId="39673A3A"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DB7A1F">
          <w:rPr>
            <w:noProof/>
            <w:webHidden/>
          </w:rPr>
          <w:t>2</w:t>
        </w:r>
        <w:r w:rsidR="00CC4DAB">
          <w:rPr>
            <w:noProof/>
            <w:webHidden/>
          </w:rPr>
          <w:fldChar w:fldCharType="end"/>
        </w:r>
      </w:hyperlink>
    </w:p>
    <w:p w14:paraId="2B08CC4F" w14:textId="4831854F" w:rsidR="00CC4DAB" w:rsidRDefault="00B74B6D">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DB7A1F">
          <w:rPr>
            <w:noProof/>
            <w:webHidden/>
          </w:rPr>
          <w:t>3</w:t>
        </w:r>
        <w:r w:rsidR="00CC4DAB">
          <w:rPr>
            <w:noProof/>
            <w:webHidden/>
          </w:rPr>
          <w:fldChar w:fldCharType="end"/>
        </w:r>
      </w:hyperlink>
    </w:p>
    <w:p w14:paraId="0B92B89C" w14:textId="2ED3F10E" w:rsidR="00CC4DAB" w:rsidRDefault="00B74B6D">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DB7A1F">
          <w:rPr>
            <w:noProof/>
            <w:webHidden/>
          </w:rPr>
          <w:t>3</w:t>
        </w:r>
        <w:r w:rsidR="00CC4DAB">
          <w:rPr>
            <w:noProof/>
            <w:webHidden/>
          </w:rPr>
          <w:fldChar w:fldCharType="end"/>
        </w:r>
      </w:hyperlink>
    </w:p>
    <w:p w14:paraId="16C0FE35" w14:textId="13D37942" w:rsidR="00CC4DAB" w:rsidRDefault="00B74B6D">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DB7A1F">
          <w:rPr>
            <w:noProof/>
            <w:webHidden/>
          </w:rPr>
          <w:t>6</w:t>
        </w:r>
        <w:r w:rsidR="00CC4DAB">
          <w:rPr>
            <w:noProof/>
            <w:webHidden/>
          </w:rPr>
          <w:fldChar w:fldCharType="end"/>
        </w:r>
      </w:hyperlink>
    </w:p>
    <w:p w14:paraId="04E50050" w14:textId="32DFA448" w:rsidR="00CC4DAB" w:rsidRDefault="00B74B6D">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DB7A1F">
          <w:rPr>
            <w:noProof/>
            <w:webHidden/>
          </w:rPr>
          <w:t>6</w:t>
        </w:r>
        <w:r w:rsidR="00CC4DAB">
          <w:rPr>
            <w:noProof/>
            <w:webHidden/>
          </w:rPr>
          <w:fldChar w:fldCharType="end"/>
        </w:r>
      </w:hyperlink>
    </w:p>
    <w:p w14:paraId="6049B45C" w14:textId="48AE26B0" w:rsidR="00CC4DAB" w:rsidRDefault="00B74B6D">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DB7A1F">
          <w:rPr>
            <w:noProof/>
            <w:webHidden/>
          </w:rPr>
          <w:t>6</w:t>
        </w:r>
        <w:r w:rsidR="00CC4DAB">
          <w:rPr>
            <w:noProof/>
            <w:webHidden/>
          </w:rPr>
          <w:fldChar w:fldCharType="end"/>
        </w:r>
      </w:hyperlink>
    </w:p>
    <w:p w14:paraId="06990936" w14:textId="5C0F012E" w:rsidR="00CC4DAB" w:rsidRDefault="00B74B6D">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DB7A1F">
          <w:rPr>
            <w:noProof/>
            <w:webHidden/>
          </w:rPr>
          <w:t>6</w:t>
        </w:r>
        <w:r w:rsidR="00CC4DAB">
          <w:rPr>
            <w:noProof/>
            <w:webHidden/>
          </w:rPr>
          <w:fldChar w:fldCharType="end"/>
        </w:r>
      </w:hyperlink>
    </w:p>
    <w:p w14:paraId="380323A6" w14:textId="46AD3A58" w:rsidR="00CC4DAB" w:rsidRDefault="00B74B6D">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DB7A1F">
          <w:rPr>
            <w:noProof/>
            <w:webHidden/>
          </w:rPr>
          <w:t>6</w:t>
        </w:r>
        <w:r w:rsidR="00CC4DAB">
          <w:rPr>
            <w:noProof/>
            <w:webHidden/>
          </w:rPr>
          <w:fldChar w:fldCharType="end"/>
        </w:r>
      </w:hyperlink>
    </w:p>
    <w:p w14:paraId="6B7B78A2" w14:textId="3A89774C" w:rsidR="00CC4DAB" w:rsidRDefault="00B74B6D">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DB7A1F">
          <w:rPr>
            <w:noProof/>
            <w:webHidden/>
          </w:rPr>
          <w:t>7</w:t>
        </w:r>
        <w:r w:rsidR="00CC4DAB">
          <w:rPr>
            <w:noProof/>
            <w:webHidden/>
          </w:rPr>
          <w:fldChar w:fldCharType="end"/>
        </w:r>
      </w:hyperlink>
    </w:p>
    <w:p w14:paraId="7ACFDD2D" w14:textId="34C667D0" w:rsidR="00CC4DAB" w:rsidRDefault="00B74B6D">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DB7A1F">
          <w:rPr>
            <w:noProof/>
            <w:webHidden/>
          </w:rPr>
          <w:t>7</w:t>
        </w:r>
        <w:r w:rsidR="00CC4DAB">
          <w:rPr>
            <w:noProof/>
            <w:webHidden/>
          </w:rPr>
          <w:fldChar w:fldCharType="end"/>
        </w:r>
      </w:hyperlink>
    </w:p>
    <w:p w14:paraId="13651125" w14:textId="6CEBFFEF" w:rsidR="00CC4DAB" w:rsidRDefault="00B74B6D">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DB7A1F">
          <w:rPr>
            <w:noProof/>
            <w:webHidden/>
          </w:rPr>
          <w:t>7</w:t>
        </w:r>
        <w:r w:rsidR="00CC4DAB">
          <w:rPr>
            <w:noProof/>
            <w:webHidden/>
          </w:rPr>
          <w:fldChar w:fldCharType="end"/>
        </w:r>
      </w:hyperlink>
    </w:p>
    <w:p w14:paraId="274F6D6B" w14:textId="7EA42CBD" w:rsidR="00CC4DAB" w:rsidRDefault="00B74B6D">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DB7A1F">
          <w:rPr>
            <w:noProof/>
            <w:webHidden/>
          </w:rPr>
          <w:t>7</w:t>
        </w:r>
        <w:r w:rsidR="00CC4DAB">
          <w:rPr>
            <w:noProof/>
            <w:webHidden/>
          </w:rPr>
          <w:fldChar w:fldCharType="end"/>
        </w:r>
      </w:hyperlink>
    </w:p>
    <w:p w14:paraId="2D256575" w14:textId="7B5548A4" w:rsidR="00CC4DAB" w:rsidRDefault="00B74B6D">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DB7A1F">
          <w:rPr>
            <w:noProof/>
            <w:webHidden/>
          </w:rPr>
          <w:t>7</w:t>
        </w:r>
        <w:r w:rsidR="00CC4DAB">
          <w:rPr>
            <w:noProof/>
            <w:webHidden/>
          </w:rPr>
          <w:fldChar w:fldCharType="end"/>
        </w:r>
      </w:hyperlink>
    </w:p>
    <w:p w14:paraId="0EB20D34" w14:textId="11D0B0B2" w:rsidR="00CC4DAB" w:rsidRDefault="00B74B6D">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DB7A1F">
          <w:rPr>
            <w:noProof/>
            <w:webHidden/>
          </w:rPr>
          <w:t>7</w:t>
        </w:r>
        <w:r w:rsidR="00CC4DAB">
          <w:rPr>
            <w:noProof/>
            <w:webHidden/>
          </w:rPr>
          <w:fldChar w:fldCharType="end"/>
        </w:r>
      </w:hyperlink>
    </w:p>
    <w:p w14:paraId="5FB1333E" w14:textId="0E174C8C" w:rsidR="00CC4DAB" w:rsidRDefault="00B74B6D">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DB7A1F">
          <w:rPr>
            <w:noProof/>
            <w:webHidden/>
          </w:rPr>
          <w:t>8</w:t>
        </w:r>
        <w:r w:rsidR="00CC4DAB">
          <w:rPr>
            <w:noProof/>
            <w:webHidden/>
          </w:rPr>
          <w:fldChar w:fldCharType="end"/>
        </w:r>
      </w:hyperlink>
    </w:p>
    <w:p w14:paraId="2C07C9EF" w14:textId="2A933885" w:rsidR="00CC4DAB" w:rsidRDefault="00B74B6D">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DB7A1F">
          <w:rPr>
            <w:noProof/>
            <w:webHidden/>
          </w:rPr>
          <w:t>8</w:t>
        </w:r>
        <w:r w:rsidR="00CC4DAB">
          <w:rPr>
            <w:noProof/>
            <w:webHidden/>
          </w:rPr>
          <w:fldChar w:fldCharType="end"/>
        </w:r>
      </w:hyperlink>
    </w:p>
    <w:p w14:paraId="41DAABB1" w14:textId="64ABB6DD" w:rsidR="00CC4DAB" w:rsidRDefault="00B74B6D">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DB7A1F">
          <w:rPr>
            <w:noProof/>
            <w:webHidden/>
          </w:rPr>
          <w:t>9</w:t>
        </w:r>
        <w:r w:rsidR="00CC4DAB">
          <w:rPr>
            <w:noProof/>
            <w:webHidden/>
          </w:rPr>
          <w:fldChar w:fldCharType="end"/>
        </w:r>
      </w:hyperlink>
    </w:p>
    <w:p w14:paraId="7CF98548" w14:textId="532C46FA" w:rsidR="00CC4DAB" w:rsidRDefault="00B74B6D">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DB7A1F">
          <w:rPr>
            <w:noProof/>
            <w:webHidden/>
          </w:rPr>
          <w:t>9</w:t>
        </w:r>
        <w:r w:rsidR="00CC4DAB">
          <w:rPr>
            <w:noProof/>
            <w:webHidden/>
          </w:rPr>
          <w:fldChar w:fldCharType="end"/>
        </w:r>
      </w:hyperlink>
    </w:p>
    <w:p w14:paraId="0B7B0F26" w14:textId="4BDF5E2A" w:rsidR="00CC4DAB" w:rsidRDefault="00B74B6D">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DB7A1F">
          <w:rPr>
            <w:noProof/>
            <w:webHidden/>
          </w:rPr>
          <w:t>9</w:t>
        </w:r>
        <w:r w:rsidR="00CC4DAB">
          <w:rPr>
            <w:noProof/>
            <w:webHidden/>
          </w:rPr>
          <w:fldChar w:fldCharType="end"/>
        </w:r>
      </w:hyperlink>
    </w:p>
    <w:p w14:paraId="0B00DF2D" w14:textId="16801CD9" w:rsidR="00CC4DAB" w:rsidRDefault="00B74B6D">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DB7A1F">
          <w:rPr>
            <w:noProof/>
            <w:webHidden/>
          </w:rPr>
          <w:t>9</w:t>
        </w:r>
        <w:r w:rsidR="00CC4DAB">
          <w:rPr>
            <w:noProof/>
            <w:webHidden/>
          </w:rPr>
          <w:fldChar w:fldCharType="end"/>
        </w:r>
      </w:hyperlink>
    </w:p>
    <w:p w14:paraId="3B7E87EE" w14:textId="1274662A" w:rsidR="00CC4DAB" w:rsidRDefault="00B74B6D">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DB7A1F">
          <w:rPr>
            <w:noProof/>
            <w:webHidden/>
          </w:rPr>
          <w:t>10</w:t>
        </w:r>
        <w:r w:rsidR="00CC4DAB">
          <w:rPr>
            <w:noProof/>
            <w:webHidden/>
          </w:rPr>
          <w:fldChar w:fldCharType="end"/>
        </w:r>
      </w:hyperlink>
    </w:p>
    <w:p w14:paraId="0031935A" w14:textId="195BC775" w:rsidR="00CC4DAB" w:rsidRDefault="00B74B6D">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DB7A1F">
          <w:rPr>
            <w:noProof/>
            <w:webHidden/>
          </w:rPr>
          <w:t>10</w:t>
        </w:r>
        <w:r w:rsidR="00CC4DAB">
          <w:rPr>
            <w:noProof/>
            <w:webHidden/>
          </w:rPr>
          <w:fldChar w:fldCharType="end"/>
        </w:r>
      </w:hyperlink>
    </w:p>
    <w:p w14:paraId="08EE87AA" w14:textId="77777777" w:rsidR="003860A5" w:rsidRDefault="003860A5" w:rsidP="00CA5840">
      <w:pPr>
        <w:pStyle w:val="Heading3"/>
        <w:ind w:left="0"/>
      </w:pPr>
      <w:r>
        <w:fldChar w:fldCharType="end"/>
      </w:r>
    </w:p>
    <w:p w14:paraId="27CC50E0" w14:textId="77777777" w:rsidR="00C6694E" w:rsidRDefault="00C6694E" w:rsidP="007872A2"/>
    <w:p w14:paraId="64477B83" w14:textId="77777777" w:rsidR="00C6694E" w:rsidRPr="00C6694E" w:rsidRDefault="00C6694E" w:rsidP="007872A2"/>
    <w:bookmarkStart w:id="1" w:name="_Toc413847747"/>
    <w:bookmarkStart w:id="2" w:name="_Toc427752812"/>
    <w:p w14:paraId="41D73F6E"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7C70E42C" wp14:editId="6EB11463">
                <wp:extent cx="6162675" cy="47529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752975"/>
                        </a:xfrm>
                        <a:prstGeom prst="rect">
                          <a:avLst/>
                        </a:prstGeom>
                        <a:solidFill>
                          <a:srgbClr val="FFFFFF"/>
                        </a:solidFill>
                        <a:ln w="9525">
                          <a:solidFill>
                            <a:srgbClr val="000000"/>
                          </a:solidFill>
                          <a:miter lim="800000"/>
                          <a:headEnd/>
                          <a:tailEnd/>
                        </a:ln>
                      </wps:spPr>
                      <wps:txbx>
                        <w:txbxContent>
                          <w:p w14:paraId="51471103" w14:textId="0E18E875" w:rsidR="003D23BE" w:rsidRDefault="003D23BE" w:rsidP="00B115F9">
                            <w:pPr>
                              <w:pStyle w:val="ListParagraph"/>
                              <w:numPr>
                                <w:ilvl w:val="0"/>
                                <w:numId w:val="36"/>
                              </w:numPr>
                              <w:tabs>
                                <w:tab w:val="clear" w:pos="9360"/>
                              </w:tabs>
                              <w:spacing w:after="200"/>
                            </w:pPr>
                            <w:r>
                              <w:t xml:space="preserve">Goal of the study: The goal of this assessment is to determine how some municipalities in the </w:t>
                            </w:r>
                            <w:r w:rsidRPr="0029416F">
                              <w:t>United States utilize “waste left in place” ordinances to prevent the emergence of new brownfields</w:t>
                            </w:r>
                            <w:r>
                              <w:t xml:space="preserve"> and</w:t>
                            </w:r>
                            <w:r w:rsidRPr="009A434F">
                              <w:t xml:space="preserve"> to identify the specific factors that contribute to their success or lack thereof</w:t>
                            </w:r>
                            <w:r w:rsidRPr="0029416F">
                              <w:t>.</w:t>
                            </w:r>
                            <w:r>
                              <w:t xml:space="preserve">  A waste left in place (WLIP) ordinance is any ordinance developed by a municipality to prevent property owners from leaving behind harmful contaminants when they vacate a property.  The term itself was coined by ATSDR to refer to such ordinances</w:t>
                            </w:r>
                          </w:p>
                          <w:p w14:paraId="4AA75A67" w14:textId="77777777" w:rsidR="003D23BE" w:rsidRDefault="003D23BE" w:rsidP="00DA11DE">
                            <w:pPr>
                              <w:pStyle w:val="ListParagraph"/>
                              <w:tabs>
                                <w:tab w:val="clear" w:pos="9360"/>
                              </w:tabs>
                              <w:spacing w:after="200"/>
                              <w:ind w:left="360"/>
                            </w:pPr>
                          </w:p>
                          <w:p w14:paraId="3B662102" w14:textId="2A7704F9" w:rsidR="003D23BE" w:rsidRDefault="003D23BE" w:rsidP="00487937">
                            <w:pPr>
                              <w:pStyle w:val="ListParagraph"/>
                              <w:numPr>
                                <w:ilvl w:val="0"/>
                                <w:numId w:val="34"/>
                              </w:numPr>
                              <w:tabs>
                                <w:tab w:val="clear" w:pos="9360"/>
                              </w:tabs>
                              <w:spacing w:after="200"/>
                            </w:pPr>
                            <w:r>
                              <w:t xml:space="preserve">Intended use of the resulting data: Data will be used to help us better understand  how WLIP ordinances are used in these jurisdictions to prevent brownfields and to assist ATSDR in developing a best-practices document </w:t>
                            </w:r>
                            <w:r w:rsidRPr="007934FB">
                              <w:t>for development</w:t>
                            </w:r>
                            <w:r>
                              <w:t xml:space="preserve"> of similar ordinances for communities desiring to use such ordinances to prevent property owners from leaving behind contamination when vacating a property. </w:t>
                            </w:r>
                            <w:r w:rsidRPr="007934FB">
                              <w:t xml:space="preserve"> </w:t>
                            </w:r>
                          </w:p>
                          <w:p w14:paraId="580D1208" w14:textId="77777777" w:rsidR="003D23BE" w:rsidRDefault="003D23BE" w:rsidP="00487937">
                            <w:pPr>
                              <w:pStyle w:val="ListParagraph"/>
                              <w:ind w:left="360"/>
                            </w:pPr>
                          </w:p>
                          <w:p w14:paraId="0879A19D" w14:textId="0D82CE5E" w:rsidR="003D23BE" w:rsidRDefault="003D23BE" w:rsidP="00487937">
                            <w:pPr>
                              <w:pStyle w:val="ListParagraph"/>
                              <w:numPr>
                                <w:ilvl w:val="0"/>
                                <w:numId w:val="34"/>
                              </w:numPr>
                              <w:tabs>
                                <w:tab w:val="clear" w:pos="9360"/>
                              </w:tabs>
                              <w:spacing w:after="200"/>
                            </w:pPr>
                            <w:r>
                              <w:t>Methods to be used to collect data: an online data collection instrument will be used to gather the data for this assessment.</w:t>
                            </w:r>
                          </w:p>
                          <w:p w14:paraId="3D39BC4F" w14:textId="77777777" w:rsidR="003D23BE" w:rsidRDefault="003D23BE" w:rsidP="00487937">
                            <w:pPr>
                              <w:pStyle w:val="ListParagraph"/>
                              <w:ind w:left="360"/>
                            </w:pPr>
                          </w:p>
                          <w:p w14:paraId="78A1ADA2" w14:textId="5DA87713" w:rsidR="003D23BE" w:rsidRDefault="003D23BE" w:rsidP="0016606E">
                            <w:pPr>
                              <w:pStyle w:val="ListParagraph"/>
                              <w:numPr>
                                <w:ilvl w:val="0"/>
                                <w:numId w:val="34"/>
                              </w:numPr>
                              <w:tabs>
                                <w:tab w:val="clear" w:pos="9360"/>
                              </w:tabs>
                              <w:spacing w:after="200"/>
                            </w:pPr>
                            <w:r>
                              <w:t xml:space="preserve">The subpopulation to be studied:  The assessment will focus on five  jurisdictions where ATSDR has </w:t>
                            </w:r>
                            <w:r w:rsidRPr="0029416F">
                              <w:t>conducted brownfields activities Connecticut, Florida, Michigan , Texas , and Navajo Nation (Native American governed US territory)</w:t>
                            </w:r>
                            <w:r>
                              <w:t>.</w:t>
                            </w:r>
                            <w:r w:rsidRPr="0029416F">
                              <w:t xml:space="preserve"> </w:t>
                            </w:r>
                            <w:r w:rsidRPr="00711BFA">
                              <w:t>Data will be collected from</w:t>
                            </w:r>
                            <w:r>
                              <w:t xml:space="preserve"> maximum of 100 respondents (90 local health department and 10 tribal environmental health professionals) nationwide.  </w:t>
                            </w:r>
                          </w:p>
                          <w:p w14:paraId="010B319C" w14:textId="77777777" w:rsidR="003D23BE" w:rsidRDefault="003D23BE" w:rsidP="00553A9F">
                            <w:pPr>
                              <w:pStyle w:val="ListParagraph"/>
                            </w:pPr>
                          </w:p>
                          <w:p w14:paraId="57B93636" w14:textId="6C48BEAE" w:rsidR="003D23BE" w:rsidRDefault="003D23BE" w:rsidP="00487937">
                            <w:pPr>
                              <w:pStyle w:val="ListParagraph"/>
                              <w:numPr>
                                <w:ilvl w:val="0"/>
                                <w:numId w:val="34"/>
                              </w:numPr>
                              <w:tabs>
                                <w:tab w:val="clear" w:pos="9360"/>
                              </w:tabs>
                              <w:spacing w:after="200"/>
                            </w:pPr>
                            <w:r>
                              <w:t xml:space="preserve">How data will be analyzed: Tabulating results of quantitative responses.  Quantitative thematic analysis of open-ended questions. No statistical methods will be used. </w:t>
                            </w:r>
                          </w:p>
                          <w:p w14:paraId="77618D21" w14:textId="77777777" w:rsidR="003D23BE" w:rsidRDefault="003D23BE" w:rsidP="00487937"/>
                        </w:txbxContent>
                      </wps:txbx>
                      <wps:bodyPr rot="0" vert="horz" wrap="square" lIns="91440" tIns="45720" rIns="91440" bIns="45720" anchor="t" anchorCtr="0">
                        <a:noAutofit/>
                      </wps:bodyPr>
                    </wps:wsp>
                  </a:graphicData>
                </a:graphic>
              </wp:inline>
            </w:drawing>
          </mc:Choice>
          <mc:Fallback>
            <w:pict>
              <v:shapetype w14:anchorId="7C70E42C" id="_x0000_t202" coordsize="21600,21600" o:spt="202" path="m,l,21600r21600,l21600,xe">
                <v:stroke joinstyle="miter"/>
                <v:path gradientshapeok="t" o:connecttype="rect"/>
              </v:shapetype>
              <v:shape id="Text Box 2" o:spid="_x0000_s1026" type="#_x0000_t202" style="width:485.25pt;height:3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">
                <v:textbox>
                  <w:txbxContent>
                    <w:p w14:paraId="51471103" w14:textId="0E18E875" w:rsidR="003D23BE" w:rsidRDefault="003D23BE" w:rsidP="00B115F9">
                      <w:pPr>
                        <w:pStyle w:val="ListParagraph"/>
                        <w:numPr>
                          <w:ilvl w:val="0"/>
                          <w:numId w:val="36"/>
                        </w:numPr>
                        <w:tabs>
                          <w:tab w:val="clear" w:pos="9360"/>
                        </w:tabs>
                        <w:spacing w:after="200"/>
                      </w:pPr>
                      <w:r>
                        <w:t xml:space="preserve">Goal of the study: The goal of this assessment is to determine how some municipalities in the </w:t>
                      </w:r>
                      <w:r w:rsidRPr="0029416F">
                        <w:t>United States utilize “waste left in place” ordinances to prevent the emergence of new brownfields</w:t>
                      </w:r>
                      <w:r>
                        <w:t xml:space="preserve"> and</w:t>
                      </w:r>
                      <w:r w:rsidRPr="009A434F">
                        <w:t xml:space="preserve"> to identify the specific factors that contribute to their success or lack thereof</w:t>
                      </w:r>
                      <w:r w:rsidRPr="0029416F">
                        <w:t>.</w:t>
                      </w:r>
                      <w:r>
                        <w:t xml:space="preserve">  A waste left in place (WLIP) ordinance is any ordinance developed by a municipality to prevent property owners from leaving behind harmful contaminants when they vacate a property.  The term itself was coined by ATSDR to refer to such ordinances</w:t>
                      </w:r>
                    </w:p>
                    <w:p w14:paraId="4AA75A67" w14:textId="77777777" w:rsidR="003D23BE" w:rsidRDefault="003D23BE" w:rsidP="00DA11DE">
                      <w:pPr>
                        <w:pStyle w:val="ListParagraph"/>
                        <w:tabs>
                          <w:tab w:val="clear" w:pos="9360"/>
                        </w:tabs>
                        <w:spacing w:after="200"/>
                        <w:ind w:left="360"/>
                      </w:pPr>
                    </w:p>
                    <w:p w14:paraId="3B662102" w14:textId="2A7704F9" w:rsidR="003D23BE" w:rsidRDefault="003D23BE" w:rsidP="00487937">
                      <w:pPr>
                        <w:pStyle w:val="ListParagraph"/>
                        <w:numPr>
                          <w:ilvl w:val="0"/>
                          <w:numId w:val="34"/>
                        </w:numPr>
                        <w:tabs>
                          <w:tab w:val="clear" w:pos="9360"/>
                        </w:tabs>
                        <w:spacing w:after="200"/>
                      </w:pPr>
                      <w:r>
                        <w:t xml:space="preserve">Intended use of the resulting data: Data will be used to help us better understand  how WLIP ordinances are used in these jurisdictions to prevent brownfields and to assist ATSDR in developing a best-practices document </w:t>
                      </w:r>
                      <w:r w:rsidRPr="007934FB">
                        <w:t>for development</w:t>
                      </w:r>
                      <w:r>
                        <w:t xml:space="preserve"> of similar ordinances for communities desiring to use such ordinances to prevent property owners from leaving behind contamination when vacating a property. </w:t>
                      </w:r>
                      <w:r w:rsidRPr="007934FB">
                        <w:t xml:space="preserve"> </w:t>
                      </w:r>
                    </w:p>
                    <w:p w14:paraId="580D1208" w14:textId="77777777" w:rsidR="003D23BE" w:rsidRDefault="003D23BE" w:rsidP="00487937">
                      <w:pPr>
                        <w:pStyle w:val="ListParagraph"/>
                        <w:ind w:left="360"/>
                      </w:pPr>
                    </w:p>
                    <w:p w14:paraId="0879A19D" w14:textId="0D82CE5E" w:rsidR="003D23BE" w:rsidRDefault="003D23BE" w:rsidP="00487937">
                      <w:pPr>
                        <w:pStyle w:val="ListParagraph"/>
                        <w:numPr>
                          <w:ilvl w:val="0"/>
                          <w:numId w:val="34"/>
                        </w:numPr>
                        <w:tabs>
                          <w:tab w:val="clear" w:pos="9360"/>
                        </w:tabs>
                        <w:spacing w:after="200"/>
                      </w:pPr>
                      <w:r>
                        <w:t>Methods to be used to collect data: an online data collection instrument will be used to gather the data for this assessment.</w:t>
                      </w:r>
                    </w:p>
                    <w:p w14:paraId="3D39BC4F" w14:textId="77777777" w:rsidR="003D23BE" w:rsidRDefault="003D23BE" w:rsidP="00487937">
                      <w:pPr>
                        <w:pStyle w:val="ListParagraph"/>
                        <w:ind w:left="360"/>
                      </w:pPr>
                    </w:p>
                    <w:p w14:paraId="78A1ADA2" w14:textId="5DA87713" w:rsidR="003D23BE" w:rsidRDefault="003D23BE" w:rsidP="0016606E">
                      <w:pPr>
                        <w:pStyle w:val="ListParagraph"/>
                        <w:numPr>
                          <w:ilvl w:val="0"/>
                          <w:numId w:val="34"/>
                        </w:numPr>
                        <w:tabs>
                          <w:tab w:val="clear" w:pos="9360"/>
                        </w:tabs>
                        <w:spacing w:after="200"/>
                      </w:pPr>
                      <w:r>
                        <w:t xml:space="preserve">The subpopulation to be studied:  The assessment will focus on five  jurisdictions where ATSDR has </w:t>
                      </w:r>
                      <w:r w:rsidRPr="0029416F">
                        <w:t>conducted brownfields activities Connecticut, Florida, Michigan , Texas , and Navajo Nation (Native American governed US territory)</w:t>
                      </w:r>
                      <w:r>
                        <w:t>.</w:t>
                      </w:r>
                      <w:r w:rsidRPr="0029416F">
                        <w:t xml:space="preserve"> </w:t>
                      </w:r>
                      <w:r w:rsidRPr="00711BFA">
                        <w:t>Data will be collected from</w:t>
                      </w:r>
                      <w:r>
                        <w:t xml:space="preserve"> maximum of 100 respondents (90 local health department and 10 tribal environmental health professionals) nationwide.  </w:t>
                      </w:r>
                    </w:p>
                    <w:p w14:paraId="010B319C" w14:textId="77777777" w:rsidR="003D23BE" w:rsidRDefault="003D23BE" w:rsidP="00553A9F">
                      <w:pPr>
                        <w:pStyle w:val="ListParagraph"/>
                      </w:pPr>
                    </w:p>
                    <w:p w14:paraId="57B93636" w14:textId="6C48BEAE" w:rsidR="003D23BE" w:rsidRDefault="003D23BE" w:rsidP="00487937">
                      <w:pPr>
                        <w:pStyle w:val="ListParagraph"/>
                        <w:numPr>
                          <w:ilvl w:val="0"/>
                          <w:numId w:val="34"/>
                        </w:numPr>
                        <w:tabs>
                          <w:tab w:val="clear" w:pos="9360"/>
                        </w:tabs>
                        <w:spacing w:after="200"/>
                      </w:pPr>
                      <w:r>
                        <w:t xml:space="preserve">How data will be analyzed: Tabulating results of quantitative responses.  Quantitative thematic analysis of open-ended questions. No statistical methods will be used. </w:t>
                      </w:r>
                    </w:p>
                    <w:p w14:paraId="77618D21" w14:textId="77777777" w:rsidR="003D23BE" w:rsidRDefault="003D23BE" w:rsidP="00487937"/>
                  </w:txbxContent>
                </v:textbox>
                <w10:anchorlock/>
              </v:shape>
            </w:pict>
          </mc:Fallback>
        </mc:AlternateContent>
      </w:r>
      <w:bookmarkEnd w:id="1"/>
      <w:bookmarkEnd w:id="2"/>
    </w:p>
    <w:p w14:paraId="79A9296D" w14:textId="77777777" w:rsidR="00487937" w:rsidRDefault="00487937" w:rsidP="00CA5840">
      <w:pPr>
        <w:pStyle w:val="Heading3"/>
        <w:ind w:left="0"/>
      </w:pPr>
    </w:p>
    <w:p w14:paraId="69A740A4" w14:textId="77777777" w:rsidR="00CD1EA8" w:rsidRPr="007D6163" w:rsidRDefault="00CD1EA8" w:rsidP="00CA5840">
      <w:pPr>
        <w:pStyle w:val="Heading3"/>
        <w:ind w:left="0"/>
      </w:pPr>
      <w:bookmarkStart w:id="3" w:name="_Toc427752813"/>
      <w:r w:rsidRPr="007D6163">
        <w:t>Section A</w:t>
      </w:r>
      <w:r w:rsidR="00B12F51" w:rsidRPr="007D6163">
        <w:t xml:space="preserve"> – Justification</w:t>
      </w:r>
      <w:bookmarkEnd w:id="3"/>
    </w:p>
    <w:p w14:paraId="5067D222" w14:textId="77777777" w:rsidR="00B12F51" w:rsidRDefault="00B12F51" w:rsidP="007D6163"/>
    <w:p w14:paraId="39F5342D" w14:textId="77777777" w:rsidR="00CD1EA8" w:rsidRPr="007D6163" w:rsidRDefault="00B12F51" w:rsidP="00307D09">
      <w:pPr>
        <w:pStyle w:val="Heading4"/>
        <w:ind w:left="-72"/>
      </w:pPr>
      <w:bookmarkStart w:id="4" w:name="_Toc427752814"/>
      <w:r w:rsidRPr="00692DEB">
        <w:t>Circumstances</w:t>
      </w:r>
      <w:r w:rsidRPr="007D6163">
        <w:t xml:space="preserve"> Making the Collection of Information </w:t>
      </w:r>
      <w:r w:rsidRPr="00692DEB">
        <w:t>Necessary</w:t>
      </w:r>
      <w:bookmarkEnd w:id="4"/>
    </w:p>
    <w:p w14:paraId="0EDF6350" w14:textId="77777777" w:rsidR="00E33E1B" w:rsidRPr="007D6163" w:rsidRDefault="00E33E1B" w:rsidP="00692DEB">
      <w:pPr>
        <w:pStyle w:val="Heading5"/>
        <w:spacing w:after="120"/>
        <w:ind w:left="0"/>
      </w:pPr>
      <w:r w:rsidRPr="007D6163">
        <w:t>Background</w:t>
      </w:r>
    </w:p>
    <w:p w14:paraId="005D06E8" w14:textId="1FD9C37A" w:rsidR="00457F68" w:rsidRPr="00711BFA" w:rsidRDefault="00457F68" w:rsidP="00457F68">
      <w:pPr>
        <w:ind w:left="0"/>
      </w:pPr>
      <w:r>
        <w:t>This information collection is being conducted using the Generic Information Collection</w:t>
      </w:r>
      <w:r w:rsidR="00F94866">
        <w:t xml:space="preserve"> (Generic ICR)</w:t>
      </w:r>
      <w:r>
        <w:t xml:space="preserve"> mechanism of the</w:t>
      </w:r>
      <w:r w:rsidR="00EC0C09" w:rsidRPr="00EC0C09">
        <w:t xml:space="preserve"> </w:t>
      </w:r>
      <w:r w:rsidR="00EC0C09" w:rsidRPr="00350ECF">
        <w:t xml:space="preserve">Office for State, Tribal, Local and Territorial Support </w:t>
      </w:r>
      <w:r w:rsidR="00036E08" w:rsidRPr="00350ECF">
        <w:t>(</w:t>
      </w:r>
      <w:r w:rsidRPr="00350ECF">
        <w:t>OSTLTS</w:t>
      </w:r>
      <w:r w:rsidR="00036E08" w:rsidRPr="00350ECF">
        <w:t>)</w:t>
      </w:r>
      <w:r w:rsidRPr="00350ECF">
        <w:t xml:space="preserve"> OMB Clearance Center (O2C2) – OMB No. 0920-0879</w:t>
      </w:r>
      <w:r w:rsidR="00F94866" w:rsidRPr="00350ECF">
        <w:t xml:space="preserve">;expiration </w:t>
      </w:r>
      <w:r w:rsidR="005D5E74" w:rsidRPr="00350ECF">
        <w:t xml:space="preserve"> 03/31/2018</w:t>
      </w:r>
      <w:r w:rsidRPr="00350ECF">
        <w:t>. The respondent universe for this information collection</w:t>
      </w:r>
      <w:r w:rsidR="004F310F" w:rsidRPr="00350ECF">
        <w:t xml:space="preserve"> involves local, and tribal government entities and</w:t>
      </w:r>
      <w:r w:rsidRPr="00350ECF">
        <w:t xml:space="preserve"> aligns with that of the O2C2. Data will be collected from</w:t>
      </w:r>
      <w:r w:rsidR="009A0FFF" w:rsidRPr="00350ECF">
        <w:t xml:space="preserve"> up to </w:t>
      </w:r>
      <w:r w:rsidR="00CA28D5" w:rsidRPr="00350ECF">
        <w:t>100 respondents</w:t>
      </w:r>
      <w:r w:rsidR="009A0FFF" w:rsidRPr="00350ECF">
        <w:t>:</w:t>
      </w:r>
      <w:r w:rsidR="00CA28D5" w:rsidRPr="00350ECF">
        <w:t xml:space="preserve"> </w:t>
      </w:r>
      <w:r w:rsidR="007806FE" w:rsidRPr="00350ECF">
        <w:t>approximately</w:t>
      </w:r>
      <w:r w:rsidR="00DD49BA">
        <w:t xml:space="preserve"> 90 </w:t>
      </w:r>
      <w:r w:rsidR="0029416F">
        <w:t>local environmental health</w:t>
      </w:r>
      <w:r w:rsidR="00E5095E">
        <w:t xml:space="preserve"> o</w:t>
      </w:r>
      <w:r w:rsidR="00627438">
        <w:t xml:space="preserve">fficials located </w:t>
      </w:r>
      <w:r w:rsidR="00DD49BA">
        <w:t>in the United States</w:t>
      </w:r>
      <w:r w:rsidR="00BB4FA2">
        <w:t xml:space="preserve"> </w:t>
      </w:r>
      <w:r w:rsidR="00DD49BA">
        <w:t>and up to 10</w:t>
      </w:r>
      <w:r w:rsidR="003B746E">
        <w:t xml:space="preserve"> tribal environmental health professionals</w:t>
      </w:r>
      <w:r w:rsidR="00DD49BA">
        <w:t xml:space="preserve"> in US territories</w:t>
      </w:r>
      <w:r>
        <w:t xml:space="preserve">, </w:t>
      </w:r>
      <w:r w:rsidRPr="00711BFA">
        <w:t>acting in their official capacities</w:t>
      </w:r>
      <w:r w:rsidR="00BB4FA2">
        <w:t xml:space="preserve"> </w:t>
      </w:r>
      <w:r w:rsidR="00E5095E" w:rsidRPr="008B715F">
        <w:rPr>
          <w:b/>
        </w:rPr>
        <w:t>(</w:t>
      </w:r>
      <w:r w:rsidR="006D182F" w:rsidRPr="008B715F">
        <w:rPr>
          <w:b/>
        </w:rPr>
        <w:t xml:space="preserve">See </w:t>
      </w:r>
      <w:r w:rsidR="00BB4FA2" w:rsidRPr="008B715F">
        <w:rPr>
          <w:b/>
        </w:rPr>
        <w:t>A</w:t>
      </w:r>
      <w:r w:rsidR="006D182F" w:rsidRPr="008B715F">
        <w:rPr>
          <w:b/>
        </w:rPr>
        <w:t xml:space="preserve">ttachment </w:t>
      </w:r>
      <w:r w:rsidR="00BB4FA2" w:rsidRPr="008B715F">
        <w:rPr>
          <w:b/>
        </w:rPr>
        <w:t>A</w:t>
      </w:r>
      <w:r w:rsidR="006D182F" w:rsidRPr="008B715F">
        <w:rPr>
          <w:b/>
        </w:rPr>
        <w:t>)</w:t>
      </w:r>
      <w:r w:rsidR="00BB4FA2" w:rsidRPr="008B715F">
        <w:rPr>
          <w:b/>
        </w:rPr>
        <w:t>.</w:t>
      </w:r>
      <w:r w:rsidR="006D182F">
        <w:t xml:space="preserve"> </w:t>
      </w:r>
      <w:r w:rsidR="00E5095E">
        <w:t xml:space="preserve"> </w:t>
      </w:r>
    </w:p>
    <w:p w14:paraId="0BDEA6CF" w14:textId="77777777" w:rsidR="00457F68" w:rsidRDefault="00457F68" w:rsidP="00457F68"/>
    <w:p w14:paraId="77B21356" w14:textId="4D14E924" w:rsidR="00457F68" w:rsidRPr="00774689" w:rsidRDefault="00457F68" w:rsidP="00457F68">
      <w:pPr>
        <w:ind w:left="0"/>
        <w:rPr>
          <w:i/>
          <w:iCs/>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of</w:t>
      </w:r>
      <w:r w:rsidR="00542583">
        <w:rPr>
          <w:iCs/>
        </w:rPr>
        <w:t>:</w:t>
      </w:r>
    </w:p>
    <w:p w14:paraId="059CC50B" w14:textId="77777777" w:rsidR="00457F68" w:rsidRPr="00774689" w:rsidRDefault="00457F68" w:rsidP="00457F68">
      <w:pPr>
        <w:ind w:left="0"/>
      </w:pPr>
    </w:p>
    <w:p w14:paraId="6A3FF675" w14:textId="77777777" w:rsidR="00457F68" w:rsidRPr="00774689" w:rsidRDefault="00457F68" w:rsidP="00457F68">
      <w:pPr>
        <w:ind w:left="0"/>
      </w:pPr>
      <w:r w:rsidRPr="00774689">
        <w:rPr>
          <w:rFonts w:ascii="Shruti" w:eastAsia="Times New Roman" w:hAnsi="Shruti" w:cs="Shruti"/>
          <w:sz w:val="16"/>
          <w:szCs w:val="14"/>
        </w:rPr>
        <w:lastRenderedPageBreak/>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 Monitoring health status to identify community health problems</w:t>
      </w:r>
    </w:p>
    <w:p w14:paraId="32DEE0F0" w14:textId="77777777" w:rsidR="00457F68" w:rsidRPr="00774689"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2B682963" w14:textId="77777777" w:rsidR="00457F68" w:rsidRPr="00774689"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56087868" w14:textId="77777777" w:rsidR="00457F68" w:rsidRPr="00774689"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1E000586" w14:textId="1026E23A" w:rsidR="00457F68" w:rsidRPr="00774689" w:rsidRDefault="00542583" w:rsidP="00457F68">
      <w:pPr>
        <w:ind w:left="0"/>
      </w:pPr>
      <w:r>
        <w:rPr>
          <w:rFonts w:ascii="Shruti" w:eastAsia="Times New Roman" w:hAnsi="Shruti" w:cs="Shruti"/>
          <w:sz w:val="16"/>
          <w:szCs w:val="14"/>
        </w:rPr>
        <w:fldChar w:fldCharType="begin">
          <w:ffData>
            <w:name w:val="Check25"/>
            <w:enabled/>
            <w:calcOnExit w:val="0"/>
            <w:checkBox>
              <w:sizeAuto/>
              <w:default w:val="1"/>
            </w:checkBox>
          </w:ffData>
        </w:fldChar>
      </w:r>
      <w:r>
        <w:rPr>
          <w:rFonts w:ascii="Shruti" w:eastAsia="Times New Roman" w:hAnsi="Shruti" w:cs="Shruti"/>
          <w:sz w:val="16"/>
          <w:szCs w:val="14"/>
        </w:rPr>
        <w:instrText xml:space="preserve"> </w:instrText>
      </w:r>
      <w:bookmarkStart w:id="5" w:name="Check25"/>
      <w:r>
        <w:rPr>
          <w:rFonts w:ascii="Shruti" w:eastAsia="Times New Roman" w:hAnsi="Shruti" w:cs="Shruti"/>
          <w:sz w:val="16"/>
          <w:szCs w:val="14"/>
        </w:rPr>
        <w:instrText xml:space="preserve">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5"/>
      <w:r w:rsidR="00457F68" w:rsidRPr="00774689">
        <w:rPr>
          <w:rFonts w:ascii="Shruti" w:eastAsia="Times New Roman" w:hAnsi="Shruti" w:cs="Shruti"/>
          <w:sz w:val="16"/>
          <w:szCs w:val="14"/>
        </w:rPr>
        <w:t xml:space="preserve"> </w:t>
      </w:r>
      <w:r w:rsidR="00457F68" w:rsidRPr="00774689">
        <w:t>5. Development of policies and plans that support individual and community health efforts</w:t>
      </w:r>
    </w:p>
    <w:p w14:paraId="01E0B40F" w14:textId="20B7C4F9" w:rsidR="00457F68" w:rsidRPr="00774689" w:rsidRDefault="00542583" w:rsidP="00457F68">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00457F68" w:rsidRPr="00774689">
        <w:rPr>
          <w:rFonts w:ascii="Shruti" w:eastAsia="Times New Roman" w:hAnsi="Shruti" w:cs="Shruti"/>
          <w:sz w:val="16"/>
          <w:szCs w:val="14"/>
        </w:rPr>
        <w:t xml:space="preserve"> </w:t>
      </w:r>
      <w:r w:rsidR="00457F68" w:rsidRPr="00774689">
        <w:t>6. Enforcement of laws and regulations that protect health and ensure safety</w:t>
      </w:r>
    </w:p>
    <w:p w14:paraId="246856C7" w14:textId="77777777" w:rsidR="00457F68" w:rsidRPr="00774689"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51D5D408" w14:textId="77777777" w:rsidR="00457F68" w:rsidRPr="00774689" w:rsidRDefault="00457F68" w:rsidP="00457F68">
      <w:pPr>
        <w:ind w:left="0"/>
      </w:pPr>
      <w:r w:rsidRPr="00774689">
        <w:t xml:space="preserve">            when otherwise unavailable</w:t>
      </w:r>
    </w:p>
    <w:p w14:paraId="1334092E" w14:textId="77777777" w:rsidR="00457F68" w:rsidRPr="00774689"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4E50EE1F" w14:textId="77777777" w:rsidR="00457F68" w:rsidRPr="00774689"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9. Evaluating effectiveness, accessibility, and quality of personal and population-based health  </w:t>
      </w:r>
    </w:p>
    <w:p w14:paraId="11CBEEE3" w14:textId="77777777" w:rsidR="00457F68" w:rsidRPr="00774689" w:rsidRDefault="00457F68" w:rsidP="00457F68">
      <w:pPr>
        <w:ind w:left="0"/>
      </w:pPr>
      <w:r w:rsidRPr="00774689">
        <w:t xml:space="preserve">            services</w:t>
      </w:r>
    </w:p>
    <w:p w14:paraId="579822DA" w14:textId="77777777" w:rsidR="00457F68" w:rsidRDefault="00457F68" w:rsidP="00457F68">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74B6D">
        <w:rPr>
          <w:rFonts w:ascii="Shruti" w:eastAsia="Times New Roman" w:hAnsi="Shruti" w:cs="Shruti"/>
          <w:sz w:val="16"/>
          <w:szCs w:val="14"/>
        </w:rPr>
      </w:r>
      <w:r w:rsidR="00B74B6D">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10. Research for new insights and innovative solutions to health problems</w:t>
      </w:r>
      <w:r w:rsidRPr="00774689">
        <w:rPr>
          <w:iCs/>
          <w:vertAlign w:val="superscript"/>
        </w:rPr>
        <w:t xml:space="preserve"> 1</w:t>
      </w:r>
    </w:p>
    <w:p w14:paraId="027DDB5E" w14:textId="77777777" w:rsidR="00457F68" w:rsidRPr="001A28F6" w:rsidRDefault="00457F68" w:rsidP="00457F68">
      <w:pPr>
        <w:ind w:left="0"/>
      </w:pPr>
    </w:p>
    <w:p w14:paraId="3CEE2567" w14:textId="6CB09259" w:rsidR="009B3BBE" w:rsidRDefault="009B3BBE" w:rsidP="00692DEB">
      <w:pPr>
        <w:ind w:left="0"/>
      </w:pPr>
      <w:r w:rsidRPr="009B3BBE">
        <w:t xml:space="preserve">Brownfields are often vacant, underutilized commercial, industrial, or residential sites that are potentially contaminated. </w:t>
      </w:r>
      <w:r w:rsidR="00091616">
        <w:t>It is estimated that t</w:t>
      </w:r>
      <w:r w:rsidRPr="009B3BBE">
        <w:t xml:space="preserve">here are over 500,000 </w:t>
      </w:r>
      <w:r w:rsidR="00DD52C3">
        <w:rPr>
          <w:rFonts w:ascii="Times New Roman" w:eastAsia="Calibri" w:hAnsi="Times New Roman" w:cs="Times New Roman"/>
          <w:sz w:val="24"/>
          <w:szCs w:val="24"/>
        </w:rPr>
        <w:t>of t</w:t>
      </w:r>
      <w:r w:rsidR="00DD52C3" w:rsidRPr="00DD52C3">
        <w:rPr>
          <w:rFonts w:ascii="Times New Roman" w:eastAsia="Calibri" w:hAnsi="Times New Roman" w:cs="Times New Roman"/>
          <w:sz w:val="24"/>
          <w:szCs w:val="24"/>
        </w:rPr>
        <w:t>hese abando</w:t>
      </w:r>
      <w:r w:rsidR="00DD52C3">
        <w:rPr>
          <w:rFonts w:ascii="Times New Roman" w:eastAsia="Calibri" w:hAnsi="Times New Roman" w:cs="Times New Roman"/>
          <w:sz w:val="24"/>
          <w:szCs w:val="24"/>
        </w:rPr>
        <w:t>ned properties or facilities,</w:t>
      </w:r>
      <w:r w:rsidR="00DD52C3" w:rsidRPr="00DD52C3">
        <w:rPr>
          <w:rFonts w:ascii="Times New Roman" w:eastAsia="Calibri" w:hAnsi="Times New Roman" w:cs="Times New Roman"/>
          <w:sz w:val="24"/>
          <w:szCs w:val="24"/>
        </w:rPr>
        <w:t xml:space="preserve"> called “brownfields</w:t>
      </w:r>
      <w:r w:rsidR="00DD52C3">
        <w:rPr>
          <w:rFonts w:ascii="Times New Roman" w:eastAsia="Calibri" w:hAnsi="Times New Roman" w:cs="Times New Roman"/>
          <w:sz w:val="24"/>
          <w:szCs w:val="24"/>
        </w:rPr>
        <w:t>”</w:t>
      </w:r>
      <w:r w:rsidR="00DD52C3" w:rsidRPr="009B3BBE">
        <w:t xml:space="preserve"> </w:t>
      </w:r>
      <w:r>
        <w:t xml:space="preserve">sites in the United States with more emerging each day.   They can include old gas stations, dry cleaners, former industrial manufacturing plants, old houses or apartments.  </w:t>
      </w:r>
      <w:r w:rsidRPr="009B3BBE">
        <w:t>Brownfields are the greatest number of potentially contaminated sites that pose threats to public health</w:t>
      </w:r>
      <w:r>
        <w:t xml:space="preserve">.  Contaminants and brownfields can include </w:t>
      </w:r>
      <w:r w:rsidRPr="009B3BBE">
        <w:t xml:space="preserve">lead, other metals, mercury, solvents, petroleum products, volatile compounds, asbestos, polychlorinated aromatic hydrocarbons, sewage, polychlorinated </w:t>
      </w:r>
      <w:r w:rsidR="00667D6B" w:rsidRPr="009B3BBE">
        <w:t>biphenyls</w:t>
      </w:r>
      <w:r w:rsidR="00667D6B">
        <w:t xml:space="preserve"> and</w:t>
      </w:r>
      <w:r w:rsidR="005633AF">
        <w:t xml:space="preserve"> others. </w:t>
      </w:r>
      <w:r w:rsidR="00D26789">
        <w:t xml:space="preserve">Exposure to these contaminants have adverse health effects. </w:t>
      </w:r>
      <w:r>
        <w:t xml:space="preserve"> </w:t>
      </w:r>
      <w:r w:rsidR="00135614">
        <w:t xml:space="preserve"> According to ATSDR, living near brownfields is associated with environmental damage, poor housing quality, poor air quality, lack of options for physical activity, limited access to healthy foods, and higher risk for disease</w:t>
      </w:r>
      <w:r w:rsidR="009A0FFF">
        <w:t>.</w:t>
      </w:r>
      <w:r w:rsidR="00CF7FD9" w:rsidRPr="00D62A90">
        <w:rPr>
          <w:vertAlign w:val="superscript"/>
        </w:rPr>
        <w:t>2</w:t>
      </w:r>
      <w:r w:rsidR="00135614">
        <w:t xml:space="preserve"> </w:t>
      </w:r>
    </w:p>
    <w:p w14:paraId="6F40DA24" w14:textId="77777777" w:rsidR="00091616" w:rsidRDefault="00091616" w:rsidP="00692DEB">
      <w:pPr>
        <w:ind w:left="0"/>
      </w:pPr>
    </w:p>
    <w:p w14:paraId="25FD8201" w14:textId="70D7DF47" w:rsidR="00091616" w:rsidRDefault="005633AF" w:rsidP="00692DEB">
      <w:pPr>
        <w:ind w:left="0"/>
      </w:pPr>
      <w:r>
        <w:t xml:space="preserve">Some municipalities have developed ordinances and enforcement activities to prevent </w:t>
      </w:r>
      <w:r w:rsidR="00135614">
        <w:t xml:space="preserve">owners of properties such as gas stations, dry cleaners, manufacturing plants, and others that utilize harmful contaminants </w:t>
      </w:r>
      <w:r>
        <w:t xml:space="preserve">from causing harm to residents. </w:t>
      </w:r>
      <w:r w:rsidR="005C4D49">
        <w:t xml:space="preserve"> These are </w:t>
      </w:r>
      <w:r w:rsidR="006D182F">
        <w:t xml:space="preserve">sometimes </w:t>
      </w:r>
      <w:r w:rsidR="005C4D49">
        <w:t xml:space="preserve">referred </w:t>
      </w:r>
      <w:r w:rsidR="0097222C">
        <w:t xml:space="preserve">to as Waste Left in Place (WLIP) ordinances. </w:t>
      </w:r>
      <w:r>
        <w:t xml:space="preserve"> For example, </w:t>
      </w:r>
      <w:r w:rsidR="00967C2B">
        <w:t xml:space="preserve">Detroit </w:t>
      </w:r>
      <w:r>
        <w:t xml:space="preserve">has established a host community agreement with industry to retain bond money from facilities to clean up any hazardous substances if the facilities leave or vacate the premises.  Such measures are designed to prevent these sites from becoming brownfields and harming community members.  </w:t>
      </w:r>
    </w:p>
    <w:p w14:paraId="026D96B4" w14:textId="77777777" w:rsidR="0034419B" w:rsidRDefault="0034419B" w:rsidP="00692DEB">
      <w:pPr>
        <w:ind w:left="0"/>
      </w:pPr>
    </w:p>
    <w:p w14:paraId="348A7173" w14:textId="1147E2C2" w:rsidR="005633AF" w:rsidRDefault="005633AF" w:rsidP="00692DEB">
      <w:pPr>
        <w:ind w:left="0"/>
      </w:pPr>
      <w:r>
        <w:t>Apart from anecdotal evidence</w:t>
      </w:r>
      <w:r w:rsidR="00091616">
        <w:t xml:space="preserve">, little appears to be known about the extent to which these ordinances are </w:t>
      </w:r>
      <w:r w:rsidR="00667D6B">
        <w:t>being implemented</w:t>
      </w:r>
      <w:r w:rsidR="00091616">
        <w:t xml:space="preserve"> to </w:t>
      </w:r>
      <w:r>
        <w:t xml:space="preserve">protect community members from exposures to harmful contaminants and </w:t>
      </w:r>
      <w:r w:rsidR="00091616">
        <w:t xml:space="preserve">prevent the emergence of new brownfields. Likewise, once in place, little is known about how effective such ordinances are at actually preventing </w:t>
      </w:r>
      <w:r>
        <w:t>brownfields from emerging and protecting people.</w:t>
      </w:r>
    </w:p>
    <w:p w14:paraId="5B7998CD" w14:textId="77777777" w:rsidR="005633AF" w:rsidRDefault="005633AF" w:rsidP="00692DEB">
      <w:pPr>
        <w:ind w:left="0"/>
      </w:pPr>
      <w:r>
        <w:t xml:space="preserve"> </w:t>
      </w:r>
    </w:p>
    <w:p w14:paraId="6AA76190" w14:textId="291FA0A1" w:rsidR="00ED2F00" w:rsidRPr="00E81851" w:rsidRDefault="008A1003" w:rsidP="00ED2F00">
      <w:pPr>
        <w:ind w:left="0"/>
      </w:pPr>
      <w:r>
        <w:t xml:space="preserve">Recognizing the potential importance of such </w:t>
      </w:r>
      <w:r w:rsidR="00EF28F9">
        <w:t xml:space="preserve">ordinances </w:t>
      </w:r>
      <w:r>
        <w:t>and preventing the emergence of brownfields</w:t>
      </w:r>
      <w:r w:rsidR="005633AF">
        <w:t xml:space="preserve"> and preventing harmful exposures</w:t>
      </w:r>
      <w:r>
        <w:t xml:space="preserve">, </w:t>
      </w:r>
      <w:r w:rsidR="00DD52C3" w:rsidRPr="007872A2">
        <w:rPr>
          <w:rFonts w:eastAsia="Calibri" w:cs="Times New Roman"/>
        </w:rPr>
        <w:t>The Agency for Toxic Substances and Disease</w:t>
      </w:r>
      <w:r w:rsidR="00DD52C3" w:rsidRPr="00DD52C3">
        <w:rPr>
          <w:rFonts w:ascii="Times New Roman" w:eastAsia="Calibri" w:hAnsi="Times New Roman" w:cs="Times New Roman"/>
          <w:sz w:val="24"/>
          <w:szCs w:val="24"/>
        </w:rPr>
        <w:t xml:space="preserve"> </w:t>
      </w:r>
      <w:r w:rsidR="00DD52C3" w:rsidRPr="007872A2">
        <w:rPr>
          <w:rFonts w:eastAsia="Calibri" w:cs="Times New Roman"/>
        </w:rPr>
        <w:lastRenderedPageBreak/>
        <w:t>Registry (</w:t>
      </w:r>
      <w:r w:rsidRPr="00E81851">
        <w:t>ATSDR</w:t>
      </w:r>
      <w:r w:rsidR="00DD52C3" w:rsidRPr="00E81851">
        <w:t>)</w:t>
      </w:r>
      <w:r w:rsidRPr="00E81851">
        <w:t xml:space="preserve"> will be assessing the </w:t>
      </w:r>
      <w:r w:rsidR="005633AF" w:rsidRPr="00E81851">
        <w:t xml:space="preserve">use and </w:t>
      </w:r>
      <w:r w:rsidRPr="00E81851">
        <w:t>effectiveness of thes</w:t>
      </w:r>
      <w:r w:rsidR="005633AF" w:rsidRPr="00E81851">
        <w:t xml:space="preserve">e </w:t>
      </w:r>
      <w:r w:rsidR="00505002" w:rsidRPr="00DE2B73">
        <w:t>ordinances</w:t>
      </w:r>
      <w:r w:rsidR="005633AF" w:rsidRPr="00DE2B73">
        <w:t>.</w:t>
      </w:r>
      <w:r w:rsidRPr="00DE2B73">
        <w:t xml:space="preserve"> </w:t>
      </w:r>
      <w:r w:rsidR="00EF28F9" w:rsidRPr="00D84722">
        <w:t>ATSDR</w:t>
      </w:r>
      <w:r w:rsidR="00EF28F9" w:rsidRPr="00DE2B73">
        <w:t xml:space="preserve"> based in Atlanta, Georgia, is a federal public health agency of the U.S. Department of Health and Human Services. </w:t>
      </w:r>
      <w:r w:rsidR="006E205F" w:rsidRPr="00DE2B73">
        <w:t xml:space="preserve">ATSDR </w:t>
      </w:r>
      <w:r w:rsidR="006E205F" w:rsidRPr="00D84722">
        <w:t>serves</w:t>
      </w:r>
      <w:r w:rsidR="00EF28F9" w:rsidRPr="00D84722">
        <w:t xml:space="preserve"> the public by using the best science, taking responsive public health actions, and providing trusted health information to prevent harmful exposures and diseases related to toxic substances.</w:t>
      </w:r>
      <w:r w:rsidR="00DD52C3" w:rsidRPr="007872A2">
        <w:rPr>
          <w:rFonts w:eastAsia="Calibri" w:cs="Times New Roman"/>
        </w:rPr>
        <w:t xml:space="preserve">  </w:t>
      </w:r>
      <w:r w:rsidR="00DD52C3" w:rsidRPr="00E81851">
        <w:t>Exposure to hazardous chemicals can lead to adverse or negative health effects.  People ca</w:t>
      </w:r>
      <w:r w:rsidR="00DD52C3" w:rsidRPr="001C4D48">
        <w:t xml:space="preserve">n sometimes come into contact with hazardous chemicals left behind when industries go out of business and abandon a property/facility.  </w:t>
      </w:r>
      <w:r w:rsidR="00ED2F00" w:rsidRPr="00E81851">
        <w:t>The term “waste left in place” was coined by ATSDR to refer to such ordinances.</w:t>
      </w:r>
    </w:p>
    <w:p w14:paraId="021651B1" w14:textId="049A81E4" w:rsidR="00505002" w:rsidRPr="007872A2" w:rsidRDefault="00B75437" w:rsidP="00692DEB">
      <w:pPr>
        <w:ind w:left="0"/>
        <w:rPr>
          <w:rFonts w:eastAsia="Calibri" w:cs="Times New Roman"/>
        </w:rPr>
      </w:pPr>
      <w:r w:rsidRPr="007872A2">
        <w:rPr>
          <w:rFonts w:eastAsia="Calibri" w:cs="Times New Roman"/>
        </w:rPr>
        <w:t xml:space="preserve">   </w:t>
      </w:r>
    </w:p>
    <w:p w14:paraId="171DC247" w14:textId="50E5AA72" w:rsidR="009B3BBE" w:rsidRDefault="009A434F" w:rsidP="00692DEB">
      <w:pPr>
        <w:ind w:left="0"/>
      </w:pPr>
      <w:r>
        <w:t xml:space="preserve">The goal of this assessment is to determine how some municipalities in the </w:t>
      </w:r>
      <w:r w:rsidRPr="0029416F">
        <w:t xml:space="preserve">United States utilize </w:t>
      </w:r>
      <w:r w:rsidR="00426767">
        <w:t>WLIP</w:t>
      </w:r>
      <w:r w:rsidR="0049051D">
        <w:t xml:space="preserve"> </w:t>
      </w:r>
      <w:r w:rsidRPr="0029416F">
        <w:t>ordinances to prevent the emergence of new brownfields</w:t>
      </w:r>
      <w:r w:rsidR="0016606E">
        <w:t xml:space="preserve"> and</w:t>
      </w:r>
      <w:r>
        <w:t xml:space="preserve"> </w:t>
      </w:r>
      <w:r w:rsidR="008A1003">
        <w:t>to identify the specific factors that contribute to their success or lack thereof.  Our findings will</w:t>
      </w:r>
      <w:r w:rsidR="00165F24">
        <w:t xml:space="preserve"> </w:t>
      </w:r>
      <w:r w:rsidR="00165F24" w:rsidRPr="00165F24">
        <w:t xml:space="preserve">help us better understand  how WLIP ordinances are used in these jurisdictions to prevent brownfields and to assist ATSDR in developing a best-practices document for development of similar ordinances for communities desiring to use such ordinances to prevent property owners from leaving behind contamination when vacating a property.  </w:t>
      </w:r>
    </w:p>
    <w:p w14:paraId="1DF62F8B" w14:textId="77777777" w:rsidR="003B746E" w:rsidRDefault="003B746E" w:rsidP="00692DEB">
      <w:pPr>
        <w:ind w:left="0"/>
      </w:pPr>
    </w:p>
    <w:p w14:paraId="088AA8C3" w14:textId="091829E5" w:rsidR="003B746E" w:rsidRDefault="003B746E" w:rsidP="00692DEB">
      <w:pPr>
        <w:ind w:left="0"/>
      </w:pPr>
      <w:r>
        <w:t xml:space="preserve">To assist with this </w:t>
      </w:r>
      <w:r w:rsidR="00D445C4">
        <w:t>assessment</w:t>
      </w:r>
      <w:r>
        <w:t>, ATSDR will be utilizing members of ATSDR’s Brownfields Reuse and Opportunities Working Network (BROWN) to disseminate the assessment in these target areas</w:t>
      </w:r>
      <w:r w:rsidR="003F68D9">
        <w:t>. BROWN</w:t>
      </w:r>
      <w:r w:rsidRPr="00F2581C">
        <w:t xml:space="preserve"> is a coalition of stakeholders with a wide range of expertise in redevelopment. These ATSDR partners help our National Brownfields/Land Reuse Health Initiative reach out to more communities to integrate health in redevelopment.</w:t>
      </w:r>
      <w:r>
        <w:rPr>
          <w:vertAlign w:val="superscript"/>
        </w:rPr>
        <w:t>1</w:t>
      </w:r>
      <w:r>
        <w:t xml:space="preserve">  </w:t>
      </w:r>
    </w:p>
    <w:p w14:paraId="57E3A7D4" w14:textId="77777777" w:rsidR="0099566D" w:rsidRDefault="0099566D" w:rsidP="00692DEB">
      <w:pPr>
        <w:ind w:left="0"/>
      </w:pPr>
    </w:p>
    <w:p w14:paraId="25F91786" w14:textId="77777777"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3583ECD2" w14:textId="1069A53A" w:rsidR="00774689" w:rsidRDefault="007E00A8" w:rsidP="00D445C4">
      <w:pPr>
        <w:ind w:left="0"/>
      </w:pPr>
      <w:r w:rsidRPr="00711BFA">
        <w:t xml:space="preserve">Data will be collected via a web-based questionnaire allowing respondents to complete and submit their responses </w:t>
      </w:r>
      <w:r w:rsidRPr="00015C70">
        <w:t>electronically (</w:t>
      </w:r>
      <w:r w:rsidRPr="00015C70">
        <w:rPr>
          <w:b/>
        </w:rPr>
        <w:t>see</w:t>
      </w:r>
      <w:r>
        <w:rPr>
          <w:b/>
        </w:rPr>
        <w:t xml:space="preserve"> Attachment B—</w:t>
      </w:r>
      <w:r w:rsidRPr="00711BFA">
        <w:rPr>
          <w:b/>
        </w:rPr>
        <w:t xml:space="preserve">Instrument: Word version </w:t>
      </w:r>
      <w:r w:rsidRPr="0096435D">
        <w:t xml:space="preserve">and </w:t>
      </w:r>
      <w:r>
        <w:rPr>
          <w:b/>
        </w:rPr>
        <w:t>Attachment C—</w:t>
      </w:r>
      <w:r w:rsidRPr="00711BFA">
        <w:rPr>
          <w:b/>
        </w:rPr>
        <w:t>Instrument: Web version</w:t>
      </w:r>
      <w:r w:rsidRPr="0096435D">
        <w:t xml:space="preserve">). </w:t>
      </w:r>
      <w:r>
        <w:t>The online instrument will be used to</w:t>
      </w:r>
      <w:r w:rsidRPr="00711BFA">
        <w:t xml:space="preserve"> </w:t>
      </w:r>
      <w:r>
        <w:t xml:space="preserve">gather information from municipal environmental health professionals regarding the use and effectiveness of WLIP ordinances in their communities. </w:t>
      </w:r>
      <w:r w:rsidRPr="00711BFA">
        <w:t xml:space="preserve"> This method was chosen to reduce the overall burden on respondents. </w:t>
      </w:r>
      <w:r>
        <w:t xml:space="preserve">The </w:t>
      </w:r>
      <w:r w:rsidRPr="00711BFA">
        <w:t xml:space="preserve">information collection instrument was pilot tested by </w:t>
      </w:r>
      <w:r w:rsidRPr="00CC63D4">
        <w:t>6</w:t>
      </w:r>
      <w:r>
        <w:rPr>
          <w:color w:val="0070C0"/>
        </w:rPr>
        <w:t xml:space="preserve"> </w:t>
      </w:r>
      <w:r>
        <w:t>p</w:t>
      </w:r>
      <w:r w:rsidRPr="00711BFA">
        <w:t>ublic health professionals. Feedback from this group was used to refine questions as needed, ensure accurate programming and skip patterns and establish the estimated time required to complete the information collection instrument.</w:t>
      </w:r>
    </w:p>
    <w:p w14:paraId="3FF44A32" w14:textId="77777777" w:rsidR="00D445C4" w:rsidRDefault="00D445C4" w:rsidP="00D445C4">
      <w:pPr>
        <w:ind w:left="0"/>
      </w:pPr>
    </w:p>
    <w:p w14:paraId="212110FA" w14:textId="77777777" w:rsidR="00692DEB" w:rsidRPr="00692DEB" w:rsidRDefault="00692DEB" w:rsidP="00692DEB">
      <w:pPr>
        <w:pStyle w:val="Heading5"/>
        <w:spacing w:after="120"/>
        <w:ind w:left="0"/>
      </w:pPr>
      <w:r w:rsidRPr="00692DEB">
        <w:t>Items of Information to be Collected</w:t>
      </w:r>
    </w:p>
    <w:p w14:paraId="0C9514C0" w14:textId="4D06ADF3" w:rsidR="00692DEB" w:rsidRPr="00ED0C69" w:rsidRDefault="00692DEB" w:rsidP="00692DEB">
      <w:pPr>
        <w:ind w:left="0"/>
      </w:pPr>
      <w:r w:rsidRPr="00ED0C69">
        <w:t xml:space="preserve">The online data collection instrument consists of </w:t>
      </w:r>
      <w:r w:rsidR="00FD4785" w:rsidRPr="00ED0C69">
        <w:t>9</w:t>
      </w:r>
      <w:r w:rsidRPr="00ED0C69">
        <w:t xml:space="preserve"> main questions of various types, </w:t>
      </w:r>
      <w:r w:rsidR="00FD4785" w:rsidRPr="00ED0C69">
        <w:t>including multiple</w:t>
      </w:r>
      <w:r w:rsidR="008C59E7" w:rsidRPr="00ED0C69">
        <w:t xml:space="preserve"> response, interval (rating scales), an</w:t>
      </w:r>
      <w:r w:rsidR="00ED0779">
        <w:rPr>
          <w:rFonts w:eastAsiaTheme="majorEastAsia" w:cstheme="majorBidi"/>
        </w:rPr>
        <w:t>d open-ended</w:t>
      </w:r>
      <w:r w:rsidRPr="00ED0C69">
        <w:rPr>
          <w:rFonts w:eastAsiaTheme="majorEastAsia" w:cstheme="majorBidi"/>
        </w:rPr>
        <w:t>. An effort was made to limit questions requiring narrative respo</w:t>
      </w:r>
      <w:r w:rsidRPr="00ED0C69">
        <w:t xml:space="preserve">nses from respondents whenever possible. The instrument will collect information on the following: </w:t>
      </w:r>
    </w:p>
    <w:p w14:paraId="4E49B9A1" w14:textId="3F51D9E0" w:rsidR="008C59E7" w:rsidRPr="00ED0C69" w:rsidRDefault="00FD4785" w:rsidP="008C59E7">
      <w:pPr>
        <w:pStyle w:val="ListParagraph"/>
        <w:numPr>
          <w:ilvl w:val="0"/>
          <w:numId w:val="25"/>
        </w:numPr>
        <w:tabs>
          <w:tab w:val="clear" w:pos="9360"/>
        </w:tabs>
        <w:spacing w:line="240" w:lineRule="auto"/>
      </w:pPr>
      <w:r w:rsidRPr="00ED0C69">
        <w:t>Existence of</w:t>
      </w:r>
      <w:r w:rsidR="0097222C">
        <w:t xml:space="preserve"> </w:t>
      </w:r>
      <w:r w:rsidR="00EF28F9">
        <w:t xml:space="preserve">WLIP </w:t>
      </w:r>
      <w:r w:rsidRPr="00ED0C69">
        <w:t>ordinances in municipality</w:t>
      </w:r>
      <w:r w:rsidR="00BE0B9F">
        <w:t>;</w:t>
      </w:r>
      <w:r w:rsidR="006D182F">
        <w:t xml:space="preserve"> was chosen in order to establish the extent to which the jurisdictions in our sample actually have such ordinances in place.  Not all jurisdictions are thought to have these type of ordinances. </w:t>
      </w:r>
    </w:p>
    <w:p w14:paraId="7D6331F2" w14:textId="766ADB95" w:rsidR="008C59E7" w:rsidRPr="00ED0C69" w:rsidRDefault="00FD4785" w:rsidP="008C59E7">
      <w:pPr>
        <w:pStyle w:val="ListParagraph"/>
        <w:numPr>
          <w:ilvl w:val="0"/>
          <w:numId w:val="25"/>
        </w:numPr>
        <w:tabs>
          <w:tab w:val="clear" w:pos="9360"/>
        </w:tabs>
        <w:spacing w:line="240" w:lineRule="auto"/>
      </w:pPr>
      <w:r w:rsidRPr="00ED0C69">
        <w:lastRenderedPageBreak/>
        <w:t xml:space="preserve">Short description of </w:t>
      </w:r>
      <w:r w:rsidR="00CE19A1">
        <w:t>ordinances</w:t>
      </w:r>
      <w:r w:rsidR="00CE19A1" w:rsidRPr="00ED0C69">
        <w:t xml:space="preserve"> </w:t>
      </w:r>
      <w:r w:rsidRPr="00ED0C69">
        <w:t>(if applicable)</w:t>
      </w:r>
      <w:r w:rsidR="00BE0B9F">
        <w:t xml:space="preserve">; </w:t>
      </w:r>
      <w:r w:rsidR="006D182F">
        <w:t xml:space="preserve">chosen because it will give us insight into the nature </w:t>
      </w:r>
      <w:r w:rsidR="0097222C">
        <w:t>and scope of WLIP</w:t>
      </w:r>
      <w:r w:rsidR="006D182F">
        <w:t xml:space="preserve"> ordinances.  </w:t>
      </w:r>
    </w:p>
    <w:p w14:paraId="618016A9" w14:textId="6742E360" w:rsidR="008C59E7" w:rsidRPr="00ED0C69" w:rsidRDefault="00FD4785" w:rsidP="008C59E7">
      <w:pPr>
        <w:pStyle w:val="ListParagraph"/>
        <w:numPr>
          <w:ilvl w:val="0"/>
          <w:numId w:val="25"/>
        </w:numPr>
        <w:tabs>
          <w:tab w:val="clear" w:pos="9360"/>
        </w:tabs>
        <w:spacing w:line="240" w:lineRule="auto"/>
      </w:pPr>
      <w:r w:rsidRPr="00ED0C69">
        <w:t xml:space="preserve">Enforcement of </w:t>
      </w:r>
      <w:r w:rsidR="00CE19A1">
        <w:t>ordinances</w:t>
      </w:r>
      <w:r w:rsidR="00BE0B9F">
        <w:t>;</w:t>
      </w:r>
      <w:r w:rsidR="006D182F">
        <w:t xml:space="preserve"> chosen to help us better understand the extent to which these ordinances are actually enforced.  </w:t>
      </w:r>
    </w:p>
    <w:p w14:paraId="09F23414" w14:textId="61262788" w:rsidR="008C59E7" w:rsidRPr="00ED0C69" w:rsidRDefault="00FD4785" w:rsidP="008C59E7">
      <w:pPr>
        <w:pStyle w:val="ListParagraph"/>
        <w:numPr>
          <w:ilvl w:val="0"/>
          <w:numId w:val="25"/>
        </w:numPr>
        <w:tabs>
          <w:tab w:val="clear" w:pos="9360"/>
        </w:tabs>
        <w:spacing w:line="240" w:lineRule="auto"/>
      </w:pPr>
      <w:r w:rsidRPr="00ED0C69">
        <w:t xml:space="preserve">Effectiveness of </w:t>
      </w:r>
      <w:r w:rsidR="00CE19A1">
        <w:t>ordinances</w:t>
      </w:r>
      <w:r w:rsidR="00BE0B9F">
        <w:t>;</w:t>
      </w:r>
      <w:r w:rsidR="006D182F">
        <w:t xml:space="preserve"> chosen to help us better understand how effective the ordinances are at actually preventing </w:t>
      </w:r>
      <w:r w:rsidR="00CF7FD9">
        <w:t xml:space="preserve">the emergence of brownfields.  </w:t>
      </w:r>
    </w:p>
    <w:p w14:paraId="091B896C" w14:textId="77777777" w:rsidR="0007755D" w:rsidRDefault="0007755D" w:rsidP="00E347E0">
      <w:pPr>
        <w:ind w:left="0"/>
        <w:rPr>
          <w:lang w:eastAsia="zh-CN"/>
        </w:rPr>
      </w:pPr>
    </w:p>
    <w:p w14:paraId="311C9A15" w14:textId="77777777" w:rsidR="00B12F51" w:rsidRPr="00014361" w:rsidRDefault="00B12F51" w:rsidP="00307D09">
      <w:pPr>
        <w:pStyle w:val="Heading4"/>
        <w:ind w:left="-72"/>
      </w:pPr>
      <w:bookmarkStart w:id="6" w:name="_Toc427752815"/>
      <w:r w:rsidRPr="00014361">
        <w:t>Purpose and Use of the Information Collection</w:t>
      </w:r>
      <w:bookmarkEnd w:id="6"/>
    </w:p>
    <w:p w14:paraId="1390CA74" w14:textId="77777777" w:rsidR="007E00A8" w:rsidRDefault="007E00A8" w:rsidP="007E00A8">
      <w:pPr>
        <w:pStyle w:val="ListParagraph"/>
        <w:ind w:left="0"/>
      </w:pPr>
      <w:r>
        <w:t xml:space="preserve">The goal of this assessment is to determine how some municipalities in the United States utilize “waste left in place” ordinances to prevent the emergence of new brownfields to identify the specific factors that contribute to their success or lack thereof.  </w:t>
      </w:r>
    </w:p>
    <w:p w14:paraId="34B37392" w14:textId="77777777" w:rsidR="007E00A8" w:rsidRDefault="007E00A8" w:rsidP="007E00A8">
      <w:pPr>
        <w:pStyle w:val="ListParagraph"/>
        <w:ind w:left="0"/>
      </w:pPr>
    </w:p>
    <w:p w14:paraId="4814C7D5" w14:textId="77777777" w:rsidR="007E00A8" w:rsidRDefault="007E00A8" w:rsidP="007E00A8">
      <w:pPr>
        <w:pStyle w:val="ListParagraph"/>
        <w:ind w:left="0"/>
      </w:pPr>
      <w:r>
        <w:t xml:space="preserve">Our findings will help us better understand  how WLIP ordinances are used in these jurisdictions to prevent brownfields and to assist ATSDR in developing a best-practices document for development of similar ordinances for communities desiring to use such ordinances to prevent property owners from leaving behind contamination when vacating a property.  </w:t>
      </w:r>
    </w:p>
    <w:p w14:paraId="62120439" w14:textId="2766119E" w:rsidR="006102DA" w:rsidRDefault="006102DA" w:rsidP="002D18DB">
      <w:pPr>
        <w:pStyle w:val="ListParagraph"/>
        <w:ind w:left="0"/>
      </w:pPr>
    </w:p>
    <w:p w14:paraId="6838E282" w14:textId="77777777" w:rsidR="00B47055" w:rsidRPr="00B47055" w:rsidRDefault="00B47055" w:rsidP="00307D09">
      <w:pPr>
        <w:pStyle w:val="Heading4"/>
        <w:ind w:left="-72"/>
      </w:pPr>
      <w:bookmarkStart w:id="7" w:name="_Toc427752816"/>
      <w:r w:rsidRPr="00B47055">
        <w:t>Use of Improved Information Technology and Burden Reduction</w:t>
      </w:r>
      <w:bookmarkEnd w:id="7"/>
    </w:p>
    <w:p w14:paraId="69569354" w14:textId="208E8AF5" w:rsidR="00692DEB" w:rsidRPr="00711BFA" w:rsidRDefault="00692DEB" w:rsidP="007872A2">
      <w:pPr>
        <w:pStyle w:val="ListParagraph"/>
        <w:ind w:left="0"/>
      </w:pPr>
      <w:r w:rsidRPr="00711BFA">
        <w:t xml:space="preserve">Data will be collected </w:t>
      </w:r>
      <w:r w:rsidR="00143F8C">
        <w:t xml:space="preserve">entirely </w:t>
      </w:r>
      <w:r w:rsidRPr="00711BFA">
        <w:t>via a web-based questionnaire</w:t>
      </w:r>
      <w:r w:rsidR="00ED0C69">
        <w:t xml:space="preserve"> </w:t>
      </w:r>
      <w:r w:rsidR="009643E8">
        <w:t xml:space="preserve">using </w:t>
      </w:r>
      <w:r w:rsidR="00ED0C69">
        <w:t>Survey Monkey</w:t>
      </w:r>
      <w:r w:rsidR="009643E8">
        <w:t xml:space="preserve"> </w:t>
      </w:r>
      <w:r w:rsidRPr="00711BFA">
        <w:t>allowing respondents to complete and submit their responses electronically.</w:t>
      </w:r>
      <w:r w:rsidR="00143F8C">
        <w:t xml:space="preserve">  </w:t>
      </w:r>
      <w:r w:rsidRPr="00711BFA">
        <w:t xml:space="preserve"> This method was chosen to reduce the overall burden on respondents</w:t>
      </w:r>
      <w:r w:rsidR="00143F8C">
        <w:t xml:space="preserve"> and because we are targeting multiple states which we do not have the resources nor the time to travel to</w:t>
      </w:r>
      <w:r w:rsidR="00E100C8">
        <w:t xml:space="preserve"> and conduct face-to-face assessment</w:t>
      </w:r>
      <w:r w:rsidR="00143F8C">
        <w:t>s.  Likewise, we do not want to burden our partners with conducting fa</w:t>
      </w:r>
      <w:r w:rsidR="00E100C8">
        <w:t>ce to face assessment</w:t>
      </w:r>
      <w:r w:rsidR="000A0697">
        <w:t>s.  D</w:t>
      </w:r>
      <w:r w:rsidR="00143F8C">
        <w:t>ue to the very short timeline of the data collection p</w:t>
      </w:r>
      <w:r w:rsidR="00E100C8">
        <w:t>eriod, (two weeks) a mail assessment</w:t>
      </w:r>
      <w:r w:rsidR="00143F8C">
        <w:t xml:space="preserve"> would not be feasible.  Therefore, Survey</w:t>
      </w:r>
      <w:r w:rsidR="00EB2271">
        <w:t xml:space="preserve"> </w:t>
      </w:r>
      <w:r w:rsidR="00143F8C">
        <w:t xml:space="preserve">Monkey was selected as the most viable option for collecting this data. </w:t>
      </w:r>
      <w:r w:rsidRPr="00711BFA">
        <w:t xml:space="preserve"> </w:t>
      </w:r>
      <w:r w:rsidRPr="006F0460">
        <w:t xml:space="preserve">The information collection instrument </w:t>
      </w:r>
      <w:r w:rsidRPr="00711BFA">
        <w:t xml:space="preserve">was designed to collect the minimum information necessary for the purposes of this project (i.e., limited to </w:t>
      </w:r>
      <w:r w:rsidR="00ED0C69">
        <w:t xml:space="preserve">9 </w:t>
      </w:r>
      <w:r w:rsidRPr="00711BFA">
        <w:t>questions).</w:t>
      </w:r>
    </w:p>
    <w:p w14:paraId="395EF241" w14:textId="77777777" w:rsidR="00E8736B" w:rsidRDefault="00E8736B" w:rsidP="007D6163">
      <w:pPr>
        <w:pStyle w:val="ListParagraph"/>
      </w:pPr>
    </w:p>
    <w:p w14:paraId="0A80814E" w14:textId="77777777" w:rsidR="00B47055" w:rsidRPr="00B47055" w:rsidRDefault="00B47055" w:rsidP="00307D09">
      <w:pPr>
        <w:pStyle w:val="Heading4"/>
        <w:ind w:left="-72"/>
      </w:pPr>
      <w:bookmarkStart w:id="8" w:name="_Toc427752817"/>
      <w:r w:rsidRPr="00B47055">
        <w:t>Efforts to Identify Duplication and Use of Similar Information</w:t>
      </w:r>
      <w:bookmarkEnd w:id="8"/>
    </w:p>
    <w:p w14:paraId="7EED5111" w14:textId="6127FC32" w:rsidR="00B12F51" w:rsidRPr="00D26A64" w:rsidRDefault="00EB1AB2" w:rsidP="00692DEB">
      <w:pPr>
        <w:ind w:left="0"/>
      </w:pPr>
      <w:r>
        <w:t xml:space="preserve">ATSDR conferred with partners in </w:t>
      </w:r>
      <w:r w:rsidR="000A0697">
        <w:t>BROWN</w:t>
      </w:r>
      <w:r>
        <w:t xml:space="preserve"> who have indicated that t</w:t>
      </w:r>
      <w:r w:rsidR="001B000C">
        <w:t>his type of data collection has not been done in the past.</w:t>
      </w:r>
      <w:r w:rsidR="002D18DB">
        <w:t xml:space="preserve">  This data collection will be the first of its kind. </w:t>
      </w:r>
    </w:p>
    <w:p w14:paraId="714C012B" w14:textId="77777777" w:rsidR="00E33E1B" w:rsidRDefault="00E33E1B" w:rsidP="005D6F14"/>
    <w:p w14:paraId="0BD5C28A" w14:textId="77777777" w:rsidR="00B12F51" w:rsidRPr="00B47055" w:rsidRDefault="00B47055" w:rsidP="00307D09">
      <w:pPr>
        <w:pStyle w:val="Heading4"/>
        <w:ind w:left="-72"/>
      </w:pPr>
      <w:bookmarkStart w:id="9" w:name="_Toc427752818"/>
      <w:r w:rsidRPr="00B47055">
        <w:t>Impact on Small Businesses or Other Small Entities</w:t>
      </w:r>
      <w:bookmarkEnd w:id="9"/>
    </w:p>
    <w:p w14:paraId="1279D46E" w14:textId="1C4D1F2A" w:rsidR="00441CC3" w:rsidRDefault="00D26A64" w:rsidP="000A0697">
      <w:pPr>
        <w:ind w:left="0"/>
      </w:pPr>
      <w:r>
        <w:t>N</w:t>
      </w:r>
      <w:r w:rsidR="00AF2252">
        <w:t xml:space="preserve">o small businesses will be involved in this </w:t>
      </w:r>
      <w:r w:rsidR="00157413">
        <w:t>information collection</w:t>
      </w:r>
      <w:r>
        <w:t>.</w:t>
      </w:r>
    </w:p>
    <w:p w14:paraId="66D73A7A" w14:textId="77777777" w:rsidR="00441CC3" w:rsidRPr="00D95FBF" w:rsidRDefault="00441CC3" w:rsidP="005D6F14"/>
    <w:p w14:paraId="69EB5533" w14:textId="77777777" w:rsidR="00B12F51" w:rsidRPr="00B47055" w:rsidRDefault="00B47055" w:rsidP="00307D09">
      <w:pPr>
        <w:pStyle w:val="Heading4"/>
        <w:ind w:left="-72"/>
      </w:pPr>
      <w:bookmarkStart w:id="10" w:name="_Toc427752819"/>
      <w:r w:rsidRPr="00B47055">
        <w:t xml:space="preserve">Consequences of Collecting the Information Less Frequently </w:t>
      </w:r>
      <w:r w:rsidR="00D95FBF" w:rsidRPr="00B47055">
        <w:t xml:space="preserve">  </w:t>
      </w:r>
      <w:bookmarkEnd w:id="10"/>
      <w:r w:rsidR="00D95FBF" w:rsidRPr="00B47055">
        <w:t xml:space="preserve"> </w:t>
      </w:r>
    </w:p>
    <w:p w14:paraId="0430818A" w14:textId="77777777" w:rsidR="000058E0" w:rsidRDefault="000058E0" w:rsidP="000058E0">
      <w:pPr>
        <w:ind w:left="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53E62FD9" w14:textId="749C1C95" w:rsidR="008C59E7" w:rsidRPr="00ED0C69" w:rsidRDefault="000A0697" w:rsidP="00D65B6B">
      <w:pPr>
        <w:pStyle w:val="ListParagraph"/>
        <w:numPr>
          <w:ilvl w:val="0"/>
          <w:numId w:val="25"/>
        </w:numPr>
        <w:tabs>
          <w:tab w:val="clear" w:pos="9360"/>
        </w:tabs>
        <w:spacing w:line="240" w:lineRule="auto"/>
      </w:pPr>
      <w:r>
        <w:t>D</w:t>
      </w:r>
      <w:r w:rsidR="002D18DB">
        <w:t>evelop and provide</w:t>
      </w:r>
      <w:r w:rsidR="00D65B6B">
        <w:t xml:space="preserve"> the guidance document </w:t>
      </w:r>
      <w:r w:rsidR="003C3FC2" w:rsidRPr="00ED0C69">
        <w:t xml:space="preserve">to municipalities on how to </w:t>
      </w:r>
      <w:r w:rsidR="00667D6B" w:rsidRPr="00ED0C69">
        <w:t xml:space="preserve">develop </w:t>
      </w:r>
      <w:r w:rsidR="00667D6B">
        <w:t xml:space="preserve">WLIP </w:t>
      </w:r>
      <w:r w:rsidR="00667D6B" w:rsidRPr="00ED0C69">
        <w:t>ordinances</w:t>
      </w:r>
      <w:r w:rsidR="003C3FC2" w:rsidRPr="00ED0C69">
        <w:t>.</w:t>
      </w:r>
    </w:p>
    <w:p w14:paraId="40C671D2" w14:textId="69E3110C" w:rsidR="008C59E7" w:rsidRPr="00ED0C69" w:rsidRDefault="000A0697" w:rsidP="008C59E7">
      <w:pPr>
        <w:pStyle w:val="ListParagraph"/>
        <w:numPr>
          <w:ilvl w:val="0"/>
          <w:numId w:val="25"/>
        </w:numPr>
        <w:tabs>
          <w:tab w:val="clear" w:pos="9360"/>
        </w:tabs>
        <w:spacing w:line="240" w:lineRule="auto"/>
      </w:pPr>
      <w:r>
        <w:t>P</w:t>
      </w:r>
      <w:r w:rsidR="003C3FC2" w:rsidRPr="00ED0C69">
        <w:t>rovide the required deliverable for the CDC policy academy.</w:t>
      </w:r>
    </w:p>
    <w:p w14:paraId="6A38745D" w14:textId="40E4CD10" w:rsidR="000058E0" w:rsidRPr="002D18DB" w:rsidRDefault="000058E0" w:rsidP="002D18DB">
      <w:pPr>
        <w:tabs>
          <w:tab w:val="clear" w:pos="9360"/>
        </w:tabs>
        <w:spacing w:line="240" w:lineRule="auto"/>
        <w:ind w:left="0"/>
        <w:rPr>
          <w:color w:val="0070C0"/>
        </w:rPr>
      </w:pPr>
    </w:p>
    <w:p w14:paraId="12D4FEDC" w14:textId="77777777" w:rsidR="00B12F51" w:rsidRPr="00B47055" w:rsidRDefault="00B47055" w:rsidP="00307D09">
      <w:pPr>
        <w:pStyle w:val="Heading4"/>
        <w:ind w:left="-72"/>
      </w:pPr>
      <w:bookmarkStart w:id="11" w:name="_Toc427752820"/>
      <w:r w:rsidRPr="00B47055">
        <w:lastRenderedPageBreak/>
        <w:t>Special Circumstances Relating to the Guidelines of 5 CFR 1320.5</w:t>
      </w:r>
      <w:bookmarkEnd w:id="11"/>
    </w:p>
    <w:p w14:paraId="1042070E"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7893ECA4" w14:textId="2686C92B" w:rsidR="002D18DB" w:rsidRDefault="002D18DB" w:rsidP="00CA28D5">
      <w:pPr>
        <w:ind w:left="0"/>
      </w:pPr>
    </w:p>
    <w:p w14:paraId="5F6AEE5C" w14:textId="77777777" w:rsidR="00B12F51" w:rsidRPr="0088467A" w:rsidRDefault="0088467A" w:rsidP="00307D09">
      <w:pPr>
        <w:pStyle w:val="Heading4"/>
        <w:ind w:left="-72"/>
      </w:pPr>
      <w:bookmarkStart w:id="12" w:name="_Toc427752821"/>
      <w:r w:rsidRPr="0088467A">
        <w:t>Comments in Response to the Federal Register Notice and Efforts to Consult Outside the Agency</w:t>
      </w:r>
      <w:bookmarkEnd w:id="12"/>
    </w:p>
    <w:p w14:paraId="24472D32" w14:textId="1F4EF342"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 OMB No. 0920-0879</w:t>
      </w:r>
      <w:r w:rsidR="006C4E4C">
        <w:t xml:space="preserve"> expiration </w:t>
      </w:r>
      <w:r w:rsidR="006C4E4C" w:rsidRPr="005D5E74">
        <w:t xml:space="preserve"> 03/31/2018</w:t>
      </w:r>
      <w:r>
        <w:t xml:space="preserve">.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599D8E9C" w14:textId="77777777" w:rsidR="00A809AA" w:rsidRPr="00A809AA" w:rsidRDefault="00A809AA" w:rsidP="00692DEB">
      <w:pPr>
        <w:ind w:left="0"/>
      </w:pPr>
    </w:p>
    <w:p w14:paraId="0C74E066"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AD167D7" w14:textId="77777777" w:rsidR="00F52BCC" w:rsidRPr="00A809AA" w:rsidRDefault="00F52BCC" w:rsidP="005D6F14"/>
    <w:p w14:paraId="4E89AB8D" w14:textId="77777777" w:rsidR="00B12F51" w:rsidRPr="0088467A" w:rsidRDefault="0088467A" w:rsidP="00307D09">
      <w:pPr>
        <w:pStyle w:val="Heading4"/>
        <w:ind w:left="-72"/>
      </w:pPr>
      <w:bookmarkStart w:id="13" w:name="_Toc427752822"/>
      <w:r w:rsidRPr="0088467A">
        <w:t>Explanation of Any Payment or Gift to Respondents</w:t>
      </w:r>
      <w:bookmarkEnd w:id="13"/>
    </w:p>
    <w:p w14:paraId="12871139" w14:textId="77777777" w:rsidR="00F52BCC" w:rsidRDefault="00A809AA" w:rsidP="00692DEB">
      <w:pPr>
        <w:ind w:left="0"/>
      </w:pPr>
      <w:r>
        <w:t>CDC will not provide p</w:t>
      </w:r>
      <w:r w:rsidR="00D26A64">
        <w:t>ayments or gifts to respondents.</w:t>
      </w:r>
    </w:p>
    <w:p w14:paraId="62AC78BE" w14:textId="77777777" w:rsidR="00F52BCC" w:rsidRDefault="00F52BCC" w:rsidP="005D6F14"/>
    <w:p w14:paraId="0DA10457" w14:textId="77777777" w:rsidR="00B12F51" w:rsidRPr="00D16E78" w:rsidRDefault="0088467A" w:rsidP="00307D09">
      <w:pPr>
        <w:pStyle w:val="Heading4"/>
        <w:ind w:left="-72"/>
      </w:pPr>
      <w:r>
        <w:t xml:space="preserve"> </w:t>
      </w:r>
      <w:bookmarkStart w:id="14" w:name="_Toc427752823"/>
      <w:r w:rsidR="009D5927" w:rsidRPr="009D5927">
        <w:t>Protection of the Privacy and Confidentiality of Information Provided by Respondents</w:t>
      </w:r>
      <w:bookmarkEnd w:id="14"/>
    </w:p>
    <w:p w14:paraId="753045FC" w14:textId="6ED67C04"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00FB320E">
        <w:t xml:space="preserve"> No PII or IP addresses will be collected as a part of this </w:t>
      </w:r>
      <w:r w:rsidR="009850A8">
        <w:t xml:space="preserve">assessment </w:t>
      </w:r>
      <w:r w:rsidR="00FB320E">
        <w:t xml:space="preserve">and therefore responses will not be linked with the respondent.  All anonymous responses will be collected using </w:t>
      </w:r>
      <w:r w:rsidR="007B693E">
        <w:t>S</w:t>
      </w:r>
      <w:r w:rsidR="00FB320E">
        <w:t xml:space="preserve">urvey </w:t>
      </w:r>
      <w:r w:rsidR="007B693E">
        <w:t>M</w:t>
      </w:r>
      <w:r w:rsidR="00FB320E">
        <w:t xml:space="preserve">onkey and accessible only by the project leader using a password to access the </w:t>
      </w:r>
      <w:r w:rsidR="007B693E">
        <w:t>S</w:t>
      </w:r>
      <w:r w:rsidR="00FB320E">
        <w:t xml:space="preserve">urvey </w:t>
      </w:r>
      <w:r w:rsidR="007B693E">
        <w:t>M</w:t>
      </w:r>
      <w:r w:rsidR="00FB320E">
        <w:t>onkey account.</w:t>
      </w:r>
      <w:r w:rsidRPr="00040611">
        <w:t xml:space="preserve"> </w:t>
      </w:r>
    </w:p>
    <w:p w14:paraId="57F9C038" w14:textId="77777777" w:rsidR="003C31C9" w:rsidRPr="003C31C9" w:rsidRDefault="003C31C9" w:rsidP="00692DEB">
      <w:pPr>
        <w:ind w:left="0"/>
      </w:pPr>
    </w:p>
    <w:p w14:paraId="234FFEEF"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4EF3E174" w14:textId="77777777" w:rsidR="000058E0" w:rsidRDefault="000058E0" w:rsidP="009D5927">
      <w:pPr>
        <w:pStyle w:val="Heading4"/>
        <w:numPr>
          <w:ilvl w:val="0"/>
          <w:numId w:val="0"/>
        </w:numPr>
      </w:pPr>
    </w:p>
    <w:p w14:paraId="7D1CF5AE" w14:textId="77777777" w:rsidR="00B12F51" w:rsidRPr="0088467A" w:rsidRDefault="009D5927" w:rsidP="00307D09">
      <w:pPr>
        <w:pStyle w:val="Heading4"/>
        <w:ind w:left="-72"/>
      </w:pPr>
      <w:bookmarkStart w:id="15" w:name="_Toc427752824"/>
      <w:r w:rsidRPr="009D5927">
        <w:t>Institutional Review Board (IRB) and Justification for Sensitive Questions</w:t>
      </w:r>
      <w:bookmarkEnd w:id="15"/>
    </w:p>
    <w:p w14:paraId="71DBEEB7" w14:textId="28EC9E3B" w:rsidR="00755F5C" w:rsidRDefault="0068058B" w:rsidP="00D445C4">
      <w:pPr>
        <w:ind w:left="0"/>
      </w:pPr>
      <w:r>
        <w:t xml:space="preserve"> </w:t>
      </w:r>
      <w:r w:rsidR="003C31C9">
        <w:t>No information will be collected</w:t>
      </w:r>
      <w:r w:rsidR="00616090">
        <w:t xml:space="preserve"> that are of personal or sensitive nature</w:t>
      </w:r>
      <w:r w:rsidR="00D26A64">
        <w:t>.</w:t>
      </w:r>
      <w:r w:rsidR="00143F8C">
        <w:t xml:space="preserve">  </w:t>
      </w:r>
      <w:bookmarkStart w:id="16" w:name="_Toc427752825"/>
    </w:p>
    <w:p w14:paraId="4DA9F7AF" w14:textId="77777777" w:rsidR="00755F5C" w:rsidRDefault="00755F5C" w:rsidP="00D445C4">
      <w:pPr>
        <w:ind w:left="0"/>
      </w:pPr>
    </w:p>
    <w:p w14:paraId="540B2752" w14:textId="6D57D994" w:rsidR="00B64BFA" w:rsidRPr="00BE17FB" w:rsidRDefault="00EE4498" w:rsidP="00307D09">
      <w:pPr>
        <w:pStyle w:val="Heading4"/>
        <w:ind w:left="-72"/>
      </w:pPr>
      <w:r>
        <w:t xml:space="preserve"> </w:t>
      </w:r>
      <w:r w:rsidR="00755F5C" w:rsidRPr="007E1625">
        <w:t>Estimates</w:t>
      </w:r>
      <w:r w:rsidR="0088467A" w:rsidRPr="00755F5C">
        <w:t xml:space="preserve"> of Annualized Burden Hours and Costs</w:t>
      </w:r>
      <w:bookmarkEnd w:id="16"/>
    </w:p>
    <w:p w14:paraId="02A5E9E7" w14:textId="76AE4436" w:rsidR="000058E0" w:rsidRDefault="00307D09" w:rsidP="000058E0">
      <w:pPr>
        <w:ind w:left="0"/>
      </w:pPr>
      <w:r w:rsidRPr="00307D09">
        <w:t xml:space="preserve">The estimate for burden hours is based on a pilot test of the information collection instrument by 6 of public health professionals. In the pilot test, the average time to complete the instrument including time for reviewing instructions, gathering needed information and completing the instrument, was approximately </w:t>
      </w:r>
      <w:r w:rsidR="00111355">
        <w:t>3</w:t>
      </w:r>
      <w:r w:rsidRPr="00307D09">
        <w:t xml:space="preserve"> minutes </w:t>
      </w:r>
      <w:bookmarkStart w:id="17" w:name="_GoBack"/>
      <w:bookmarkEnd w:id="17"/>
      <w:r w:rsidRPr="00307D09">
        <w:t>(range: 2 to 4 minutes). For the purposes of estimating burden hours, the upper limit of this range (i.e., 4 minutes) is used.</w:t>
      </w:r>
    </w:p>
    <w:p w14:paraId="79E9F7F1" w14:textId="77777777" w:rsidR="00307D09" w:rsidRPr="00ED0C69" w:rsidRDefault="00307D09" w:rsidP="000058E0">
      <w:pPr>
        <w:ind w:left="0"/>
      </w:pPr>
    </w:p>
    <w:p w14:paraId="487C7634" w14:textId="1E6CD486" w:rsidR="00DA11DE" w:rsidRPr="00ED0C69" w:rsidRDefault="008C408E" w:rsidP="000058E0">
      <w:pPr>
        <w:ind w:left="0"/>
      </w:pPr>
      <w:r w:rsidRPr="00ED0C69">
        <w:t>Estimates for the average hourly wage for respondents are based on the Department of Labor (DOL) Bureau of Labor Statisti</w:t>
      </w:r>
      <w:r w:rsidR="00ED0C69">
        <w:t xml:space="preserve">cs for occupational employment </w:t>
      </w:r>
      <w:r w:rsidRPr="00ED0C69">
        <w:t>for</w:t>
      </w:r>
      <w:r w:rsidR="00ED0C69">
        <w:t xml:space="preserve"> environmental health scientist / </w:t>
      </w:r>
      <w:r w:rsidR="000D2B41">
        <w:lastRenderedPageBreak/>
        <w:t xml:space="preserve">specialist </w:t>
      </w:r>
      <w:hyperlink r:id="rId14" w:history="1">
        <w:r w:rsidRPr="00ED0C69">
          <w:rPr>
            <w:rStyle w:val="Hyperlink"/>
            <w:color w:val="auto"/>
          </w:rPr>
          <w:t>http://www.bls.gov/oes/current/oes_nat.htm</w:t>
        </w:r>
      </w:hyperlink>
      <w:r w:rsidRPr="00ED0C69">
        <w:t xml:space="preserve">.  </w:t>
      </w:r>
      <w:r w:rsidR="000058E0" w:rsidRPr="00ED0C69">
        <w:t xml:space="preserve">Based on DOL data, an average hourly wage of </w:t>
      </w:r>
      <w:r w:rsidR="00ED0C69">
        <w:t>$35.55</w:t>
      </w:r>
      <w:r w:rsidR="000058E0" w:rsidRPr="00ED0C69">
        <w:t xml:space="preserve"> is estimated for all </w:t>
      </w:r>
      <w:r w:rsidR="00ED0C69">
        <w:t>100</w:t>
      </w:r>
      <w:r w:rsidR="000058E0" w:rsidRPr="00ED0C69">
        <w:t xml:space="preserve"> respondents. Table A-12 shows estimated burden and cost information.</w:t>
      </w:r>
    </w:p>
    <w:p w14:paraId="22D915CF" w14:textId="39FA317A" w:rsidR="00CA28D5" w:rsidRPr="002A1948" w:rsidRDefault="00CA28D5" w:rsidP="00692DEB">
      <w:pPr>
        <w:ind w:left="0"/>
      </w:pPr>
    </w:p>
    <w:p w14:paraId="49CC3A7D"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Style w:val="TableGrid"/>
        <w:tblW w:w="10260" w:type="dxa"/>
        <w:jc w:val="center"/>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6F6856" w14:paraId="5AFCB0C9" w14:textId="77777777" w:rsidTr="00DB7F77">
        <w:trPr>
          <w:trHeight w:val="1493"/>
          <w:jc w:val="center"/>
        </w:trPr>
        <w:tc>
          <w:tcPr>
            <w:tcW w:w="1350" w:type="dxa"/>
          </w:tcPr>
          <w:p w14:paraId="3AEC9C76"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tcPr>
          <w:p w14:paraId="223B268C" w14:textId="77777777" w:rsidR="003B2200" w:rsidRPr="00E647FB" w:rsidRDefault="003B2200" w:rsidP="000058E0">
            <w:pPr>
              <w:ind w:left="-18"/>
              <w:rPr>
                <w:b/>
                <w:sz w:val="20"/>
                <w:szCs w:val="20"/>
              </w:rPr>
            </w:pPr>
            <w:r w:rsidRPr="00E647FB">
              <w:rPr>
                <w:b/>
                <w:sz w:val="20"/>
                <w:szCs w:val="20"/>
              </w:rPr>
              <w:t>Type of Respondent</w:t>
            </w:r>
          </w:p>
        </w:tc>
        <w:tc>
          <w:tcPr>
            <w:tcW w:w="1440" w:type="dxa"/>
          </w:tcPr>
          <w:p w14:paraId="52428DDE" w14:textId="77777777" w:rsidR="003B2200" w:rsidRPr="00E647FB" w:rsidRDefault="003B2200" w:rsidP="000058E0">
            <w:pPr>
              <w:ind w:left="-18"/>
              <w:rPr>
                <w:b/>
                <w:sz w:val="20"/>
                <w:szCs w:val="20"/>
              </w:rPr>
            </w:pPr>
            <w:r w:rsidRPr="00E647FB">
              <w:rPr>
                <w:b/>
                <w:sz w:val="20"/>
                <w:szCs w:val="20"/>
              </w:rPr>
              <w:t>No. of Respondents</w:t>
            </w:r>
          </w:p>
        </w:tc>
        <w:tc>
          <w:tcPr>
            <w:tcW w:w="1440" w:type="dxa"/>
          </w:tcPr>
          <w:p w14:paraId="5E4962A6"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tcPr>
          <w:p w14:paraId="405A74D0"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tcPr>
          <w:p w14:paraId="694028BA" w14:textId="77777777" w:rsidR="003B2200" w:rsidRPr="00E647FB" w:rsidRDefault="003B2200" w:rsidP="000058E0">
            <w:pPr>
              <w:ind w:left="-18"/>
              <w:rPr>
                <w:b/>
                <w:sz w:val="20"/>
                <w:szCs w:val="20"/>
              </w:rPr>
            </w:pPr>
            <w:r w:rsidRPr="00E647FB">
              <w:rPr>
                <w:b/>
                <w:sz w:val="20"/>
                <w:szCs w:val="20"/>
              </w:rPr>
              <w:t>Total Burden Hours</w:t>
            </w:r>
          </w:p>
        </w:tc>
        <w:tc>
          <w:tcPr>
            <w:tcW w:w="900" w:type="dxa"/>
          </w:tcPr>
          <w:p w14:paraId="5D674741" w14:textId="77777777" w:rsidR="003B2200" w:rsidRPr="00E647FB" w:rsidRDefault="003B2200" w:rsidP="000058E0">
            <w:pPr>
              <w:ind w:left="-18"/>
              <w:rPr>
                <w:b/>
                <w:sz w:val="20"/>
                <w:szCs w:val="20"/>
              </w:rPr>
            </w:pPr>
            <w:r w:rsidRPr="00E647FB">
              <w:rPr>
                <w:b/>
                <w:sz w:val="20"/>
                <w:szCs w:val="20"/>
              </w:rPr>
              <w:t>Hourly Wage Rate</w:t>
            </w:r>
          </w:p>
        </w:tc>
        <w:tc>
          <w:tcPr>
            <w:tcW w:w="1350" w:type="dxa"/>
          </w:tcPr>
          <w:p w14:paraId="5E2560BA"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51AFC946" w14:textId="77777777" w:rsidTr="00DB7F77">
        <w:trPr>
          <w:jc w:val="center"/>
        </w:trPr>
        <w:tc>
          <w:tcPr>
            <w:tcW w:w="1350" w:type="dxa"/>
          </w:tcPr>
          <w:p w14:paraId="2B16FA78" w14:textId="78575EB4" w:rsidR="003B2200" w:rsidRPr="00E647FB" w:rsidRDefault="0094088E" w:rsidP="009850A8">
            <w:pPr>
              <w:ind w:left="0"/>
              <w:rPr>
                <w:sz w:val="20"/>
                <w:szCs w:val="20"/>
              </w:rPr>
            </w:pPr>
            <w:r w:rsidRPr="0094088E">
              <w:rPr>
                <w:sz w:val="20"/>
                <w:szCs w:val="20"/>
              </w:rPr>
              <w:t>Assessment of the Effectiveness of Municipal Waste Left in Place Ordinances</w:t>
            </w:r>
            <w:r w:rsidR="005F7814">
              <w:rPr>
                <w:sz w:val="20"/>
                <w:szCs w:val="20"/>
              </w:rPr>
              <w:t>- web version</w:t>
            </w:r>
          </w:p>
        </w:tc>
        <w:tc>
          <w:tcPr>
            <w:tcW w:w="1350" w:type="dxa"/>
          </w:tcPr>
          <w:p w14:paraId="2B939334" w14:textId="6F5950B5" w:rsidR="003B2200" w:rsidRPr="00E647FB" w:rsidRDefault="00627438" w:rsidP="00CB23E4">
            <w:pPr>
              <w:ind w:left="0"/>
              <w:rPr>
                <w:sz w:val="20"/>
                <w:szCs w:val="20"/>
              </w:rPr>
            </w:pPr>
            <w:r>
              <w:rPr>
                <w:sz w:val="20"/>
                <w:szCs w:val="20"/>
              </w:rPr>
              <w:t xml:space="preserve">Local </w:t>
            </w:r>
            <w:r w:rsidR="007F4855">
              <w:rPr>
                <w:sz w:val="20"/>
                <w:szCs w:val="20"/>
              </w:rPr>
              <w:t xml:space="preserve">environmental health </w:t>
            </w:r>
            <w:r w:rsidR="009850A8">
              <w:rPr>
                <w:sz w:val="20"/>
                <w:szCs w:val="20"/>
              </w:rPr>
              <w:t>officials</w:t>
            </w:r>
          </w:p>
        </w:tc>
        <w:tc>
          <w:tcPr>
            <w:tcW w:w="1440" w:type="dxa"/>
          </w:tcPr>
          <w:p w14:paraId="578301EA" w14:textId="646F2EA2" w:rsidR="003B2200" w:rsidRPr="00E647FB" w:rsidRDefault="00FB320E" w:rsidP="000058E0">
            <w:pPr>
              <w:ind w:left="0"/>
              <w:rPr>
                <w:sz w:val="20"/>
                <w:szCs w:val="20"/>
              </w:rPr>
            </w:pPr>
            <w:r>
              <w:rPr>
                <w:sz w:val="20"/>
                <w:szCs w:val="20"/>
              </w:rPr>
              <w:t xml:space="preserve">90 </w:t>
            </w:r>
          </w:p>
        </w:tc>
        <w:tc>
          <w:tcPr>
            <w:tcW w:w="1440" w:type="dxa"/>
          </w:tcPr>
          <w:p w14:paraId="57ED478C" w14:textId="16FCD6B5" w:rsidR="003B2200" w:rsidRPr="00E647FB" w:rsidRDefault="007F4855" w:rsidP="000058E0">
            <w:pPr>
              <w:ind w:left="0"/>
              <w:rPr>
                <w:sz w:val="20"/>
                <w:szCs w:val="20"/>
              </w:rPr>
            </w:pPr>
            <w:r>
              <w:rPr>
                <w:sz w:val="20"/>
                <w:szCs w:val="20"/>
              </w:rPr>
              <w:t>1</w:t>
            </w:r>
          </w:p>
        </w:tc>
        <w:tc>
          <w:tcPr>
            <w:tcW w:w="1530" w:type="dxa"/>
          </w:tcPr>
          <w:p w14:paraId="44DEA205" w14:textId="79486DCB" w:rsidR="003B2200" w:rsidRPr="00E647FB" w:rsidRDefault="007F4855" w:rsidP="000058E0">
            <w:pPr>
              <w:ind w:left="0"/>
              <w:rPr>
                <w:sz w:val="20"/>
                <w:szCs w:val="20"/>
              </w:rPr>
            </w:pPr>
            <w:r w:rsidRPr="00ED0C69">
              <w:rPr>
                <w:sz w:val="20"/>
                <w:szCs w:val="20"/>
              </w:rPr>
              <w:t>4/60</w:t>
            </w:r>
          </w:p>
        </w:tc>
        <w:tc>
          <w:tcPr>
            <w:tcW w:w="900" w:type="dxa"/>
          </w:tcPr>
          <w:p w14:paraId="2BFA83B1" w14:textId="40E59333" w:rsidR="003B2200" w:rsidRPr="00E647FB" w:rsidRDefault="007F4855" w:rsidP="000058E0">
            <w:pPr>
              <w:ind w:left="0"/>
              <w:rPr>
                <w:sz w:val="20"/>
                <w:szCs w:val="20"/>
              </w:rPr>
            </w:pPr>
            <w:r>
              <w:rPr>
                <w:sz w:val="20"/>
                <w:szCs w:val="20"/>
              </w:rPr>
              <w:t>6</w:t>
            </w:r>
          </w:p>
        </w:tc>
        <w:tc>
          <w:tcPr>
            <w:tcW w:w="900" w:type="dxa"/>
          </w:tcPr>
          <w:p w14:paraId="449AEA07" w14:textId="5F5F3852" w:rsidR="003B2200" w:rsidRPr="00E647FB" w:rsidRDefault="002A75C9" w:rsidP="000058E0">
            <w:pPr>
              <w:ind w:left="0"/>
              <w:rPr>
                <w:sz w:val="20"/>
                <w:szCs w:val="20"/>
              </w:rPr>
            </w:pPr>
            <w:r>
              <w:rPr>
                <w:sz w:val="20"/>
                <w:szCs w:val="20"/>
              </w:rPr>
              <w:t>$</w:t>
            </w:r>
            <w:r w:rsidR="00D66F88">
              <w:rPr>
                <w:sz w:val="20"/>
                <w:szCs w:val="20"/>
              </w:rPr>
              <w:t>35.55</w:t>
            </w:r>
          </w:p>
        </w:tc>
        <w:tc>
          <w:tcPr>
            <w:tcW w:w="1350" w:type="dxa"/>
          </w:tcPr>
          <w:p w14:paraId="0610E863" w14:textId="4FE298CE" w:rsidR="003B2200" w:rsidRPr="00E647FB" w:rsidRDefault="002A75C9" w:rsidP="000058E0">
            <w:pPr>
              <w:ind w:left="0"/>
              <w:rPr>
                <w:sz w:val="20"/>
                <w:szCs w:val="20"/>
              </w:rPr>
            </w:pPr>
            <w:r>
              <w:rPr>
                <w:sz w:val="20"/>
                <w:szCs w:val="20"/>
              </w:rPr>
              <w:t>$</w:t>
            </w:r>
            <w:r w:rsidR="00FB320E">
              <w:rPr>
                <w:sz w:val="20"/>
                <w:szCs w:val="20"/>
              </w:rPr>
              <w:t>213</w:t>
            </w:r>
          </w:p>
        </w:tc>
      </w:tr>
      <w:tr w:rsidR="000058E0" w:rsidRPr="006F6856" w14:paraId="6E5A80E6" w14:textId="77777777" w:rsidTr="00DB7F77">
        <w:trPr>
          <w:jc w:val="center"/>
        </w:trPr>
        <w:tc>
          <w:tcPr>
            <w:tcW w:w="1350" w:type="dxa"/>
          </w:tcPr>
          <w:p w14:paraId="5FC95BD1" w14:textId="4AD923CA" w:rsidR="000058E0" w:rsidRPr="003D23BE" w:rsidRDefault="0094088E" w:rsidP="009850A8">
            <w:pPr>
              <w:ind w:left="0"/>
              <w:rPr>
                <w:sz w:val="20"/>
                <w:szCs w:val="20"/>
              </w:rPr>
            </w:pPr>
            <w:r w:rsidRPr="00B178C0">
              <w:rPr>
                <w:rFonts w:ascii="Cambria" w:hAnsi="Cambria" w:cs="Arial"/>
                <w:sz w:val="20"/>
                <w:szCs w:val="20"/>
              </w:rPr>
              <w:t>Assessment</w:t>
            </w:r>
            <w:r w:rsidRPr="00B178C0">
              <w:rPr>
                <w:rFonts w:ascii="Cambria" w:hAnsi="Cambria" w:cs="Arial"/>
                <w:spacing w:val="-9"/>
                <w:sz w:val="20"/>
                <w:szCs w:val="20"/>
              </w:rPr>
              <w:t xml:space="preserve"> </w:t>
            </w:r>
            <w:r w:rsidRPr="00B178C0">
              <w:rPr>
                <w:rFonts w:ascii="Cambria" w:hAnsi="Cambria" w:cs="Arial"/>
                <w:sz w:val="20"/>
                <w:szCs w:val="20"/>
              </w:rPr>
              <w:t>of</w:t>
            </w:r>
            <w:r w:rsidRPr="00B178C0">
              <w:rPr>
                <w:rFonts w:ascii="Cambria" w:hAnsi="Cambria" w:cs="Arial"/>
                <w:spacing w:val="-8"/>
                <w:sz w:val="20"/>
                <w:szCs w:val="20"/>
              </w:rPr>
              <w:t xml:space="preserve"> </w:t>
            </w:r>
            <w:r w:rsidRPr="00B178C0">
              <w:rPr>
                <w:rFonts w:ascii="Cambria" w:hAnsi="Cambria" w:cs="Arial"/>
                <w:sz w:val="20"/>
                <w:szCs w:val="20"/>
              </w:rPr>
              <w:t>the</w:t>
            </w:r>
            <w:r w:rsidRPr="00B178C0">
              <w:rPr>
                <w:rFonts w:ascii="Cambria" w:hAnsi="Cambria" w:cs="Arial"/>
                <w:spacing w:val="-7"/>
                <w:sz w:val="20"/>
                <w:szCs w:val="20"/>
              </w:rPr>
              <w:t xml:space="preserve"> </w:t>
            </w:r>
            <w:r w:rsidRPr="00B178C0">
              <w:rPr>
                <w:rFonts w:ascii="Cambria" w:hAnsi="Cambria" w:cs="Arial"/>
                <w:sz w:val="20"/>
                <w:szCs w:val="20"/>
              </w:rPr>
              <w:t>Effectiveness</w:t>
            </w:r>
            <w:r w:rsidRPr="00B178C0">
              <w:rPr>
                <w:rFonts w:ascii="Cambria" w:hAnsi="Cambria" w:cs="Arial"/>
                <w:spacing w:val="-8"/>
                <w:sz w:val="20"/>
                <w:szCs w:val="20"/>
              </w:rPr>
              <w:t xml:space="preserve"> </w:t>
            </w:r>
            <w:r w:rsidRPr="00B178C0">
              <w:rPr>
                <w:rFonts w:ascii="Cambria" w:hAnsi="Cambria" w:cs="Arial"/>
                <w:sz w:val="20"/>
                <w:szCs w:val="20"/>
              </w:rPr>
              <w:t>of Municipal</w:t>
            </w:r>
            <w:r w:rsidRPr="00B178C0">
              <w:rPr>
                <w:rFonts w:ascii="Cambria" w:hAnsi="Cambria" w:cs="Arial"/>
                <w:spacing w:val="-8"/>
                <w:sz w:val="20"/>
                <w:szCs w:val="20"/>
              </w:rPr>
              <w:t xml:space="preserve"> </w:t>
            </w:r>
            <w:r w:rsidRPr="00B178C0">
              <w:rPr>
                <w:rFonts w:ascii="Cambria" w:hAnsi="Cambria" w:cs="Arial"/>
                <w:spacing w:val="-3"/>
                <w:sz w:val="20"/>
                <w:szCs w:val="20"/>
              </w:rPr>
              <w:t>Waste</w:t>
            </w:r>
            <w:r w:rsidRPr="00B178C0">
              <w:rPr>
                <w:rFonts w:ascii="Cambria" w:hAnsi="Cambria" w:cs="Arial"/>
                <w:spacing w:val="-7"/>
                <w:sz w:val="20"/>
                <w:szCs w:val="20"/>
              </w:rPr>
              <w:t xml:space="preserve"> </w:t>
            </w:r>
            <w:r w:rsidRPr="00B178C0">
              <w:rPr>
                <w:rFonts w:ascii="Cambria" w:hAnsi="Cambria" w:cs="Arial"/>
                <w:sz w:val="20"/>
                <w:szCs w:val="20"/>
              </w:rPr>
              <w:t>Left</w:t>
            </w:r>
            <w:r w:rsidRPr="00B178C0">
              <w:rPr>
                <w:rFonts w:ascii="Cambria" w:hAnsi="Cambria" w:cs="Arial"/>
                <w:spacing w:val="-8"/>
                <w:sz w:val="20"/>
                <w:szCs w:val="20"/>
              </w:rPr>
              <w:t xml:space="preserve"> </w:t>
            </w:r>
            <w:r w:rsidRPr="00B178C0">
              <w:rPr>
                <w:rFonts w:ascii="Cambria" w:hAnsi="Cambria" w:cs="Arial"/>
                <w:sz w:val="20"/>
                <w:szCs w:val="20"/>
              </w:rPr>
              <w:t>in</w:t>
            </w:r>
            <w:r w:rsidRPr="00B178C0">
              <w:rPr>
                <w:rFonts w:ascii="Cambria" w:hAnsi="Cambria" w:cs="Arial"/>
                <w:spacing w:val="-7"/>
                <w:sz w:val="20"/>
                <w:szCs w:val="20"/>
              </w:rPr>
              <w:t xml:space="preserve"> </w:t>
            </w:r>
            <w:r w:rsidRPr="00B178C0">
              <w:rPr>
                <w:rFonts w:ascii="Cambria" w:hAnsi="Cambria" w:cs="Arial"/>
                <w:sz w:val="20"/>
                <w:szCs w:val="20"/>
              </w:rPr>
              <w:t>Place</w:t>
            </w:r>
            <w:r w:rsidRPr="00B178C0">
              <w:rPr>
                <w:rFonts w:ascii="Cambria" w:hAnsi="Cambria" w:cs="Arial"/>
                <w:spacing w:val="-7"/>
                <w:sz w:val="20"/>
                <w:szCs w:val="20"/>
              </w:rPr>
              <w:t xml:space="preserve"> </w:t>
            </w:r>
            <w:r w:rsidRPr="00B178C0">
              <w:rPr>
                <w:rFonts w:ascii="Cambria" w:hAnsi="Cambria" w:cs="Arial"/>
                <w:sz w:val="20"/>
                <w:szCs w:val="20"/>
              </w:rPr>
              <w:t>Ordinances</w:t>
            </w:r>
            <w:r w:rsidR="00FF64FC" w:rsidRPr="00B178C0">
              <w:rPr>
                <w:rFonts w:ascii="Cambria" w:hAnsi="Cambria" w:cs="Arial"/>
                <w:sz w:val="20"/>
                <w:szCs w:val="20"/>
              </w:rPr>
              <w:t xml:space="preserve">- </w:t>
            </w:r>
            <w:r w:rsidR="00FF64FC" w:rsidRPr="003D23BE">
              <w:rPr>
                <w:sz w:val="20"/>
                <w:szCs w:val="20"/>
              </w:rPr>
              <w:t>web version</w:t>
            </w:r>
          </w:p>
        </w:tc>
        <w:tc>
          <w:tcPr>
            <w:tcW w:w="1350" w:type="dxa"/>
          </w:tcPr>
          <w:p w14:paraId="4AD45584" w14:textId="165EA8F7" w:rsidR="000058E0" w:rsidRPr="003D23BE" w:rsidRDefault="00627438" w:rsidP="009850A8">
            <w:pPr>
              <w:ind w:left="0"/>
              <w:rPr>
                <w:sz w:val="20"/>
                <w:szCs w:val="20"/>
              </w:rPr>
            </w:pPr>
            <w:r w:rsidRPr="003D23BE">
              <w:rPr>
                <w:sz w:val="20"/>
                <w:szCs w:val="20"/>
              </w:rPr>
              <w:t xml:space="preserve">Territorial  </w:t>
            </w:r>
            <w:r w:rsidR="00FB320E" w:rsidRPr="003D23BE">
              <w:rPr>
                <w:sz w:val="20"/>
                <w:szCs w:val="20"/>
              </w:rPr>
              <w:t xml:space="preserve"> environmental health </w:t>
            </w:r>
            <w:r w:rsidR="009850A8" w:rsidRPr="003D23BE">
              <w:rPr>
                <w:sz w:val="20"/>
                <w:szCs w:val="20"/>
              </w:rPr>
              <w:t>officials</w:t>
            </w:r>
          </w:p>
        </w:tc>
        <w:tc>
          <w:tcPr>
            <w:tcW w:w="1440" w:type="dxa"/>
          </w:tcPr>
          <w:p w14:paraId="4EE174B4" w14:textId="2E097962" w:rsidR="000058E0" w:rsidRPr="003D23BE" w:rsidRDefault="00FB320E" w:rsidP="000058E0">
            <w:pPr>
              <w:ind w:left="0"/>
              <w:rPr>
                <w:sz w:val="20"/>
                <w:szCs w:val="20"/>
              </w:rPr>
            </w:pPr>
            <w:r w:rsidRPr="003D23BE">
              <w:rPr>
                <w:sz w:val="20"/>
                <w:szCs w:val="20"/>
              </w:rPr>
              <w:t>10</w:t>
            </w:r>
            <w:r w:rsidR="00C049F1" w:rsidRPr="003D23BE">
              <w:rPr>
                <w:sz w:val="20"/>
                <w:szCs w:val="20"/>
              </w:rPr>
              <w:t xml:space="preserve"> </w:t>
            </w:r>
          </w:p>
        </w:tc>
        <w:tc>
          <w:tcPr>
            <w:tcW w:w="1440" w:type="dxa"/>
          </w:tcPr>
          <w:p w14:paraId="3A470FBB" w14:textId="6B78FB75" w:rsidR="000058E0" w:rsidRPr="003D23BE" w:rsidRDefault="00FB320E" w:rsidP="000058E0">
            <w:pPr>
              <w:ind w:left="0"/>
              <w:rPr>
                <w:sz w:val="20"/>
                <w:szCs w:val="20"/>
              </w:rPr>
            </w:pPr>
            <w:r w:rsidRPr="003D23BE">
              <w:rPr>
                <w:sz w:val="20"/>
                <w:szCs w:val="20"/>
              </w:rPr>
              <w:t>1</w:t>
            </w:r>
          </w:p>
        </w:tc>
        <w:tc>
          <w:tcPr>
            <w:tcW w:w="1530" w:type="dxa"/>
          </w:tcPr>
          <w:p w14:paraId="533359D1" w14:textId="7BBF0848" w:rsidR="000058E0" w:rsidRPr="003D23BE" w:rsidRDefault="00FB320E" w:rsidP="000058E0">
            <w:pPr>
              <w:ind w:left="0"/>
              <w:rPr>
                <w:sz w:val="20"/>
                <w:szCs w:val="20"/>
              </w:rPr>
            </w:pPr>
            <w:r w:rsidRPr="003D23BE">
              <w:rPr>
                <w:sz w:val="20"/>
                <w:szCs w:val="20"/>
              </w:rPr>
              <w:t xml:space="preserve">4/60 </w:t>
            </w:r>
          </w:p>
        </w:tc>
        <w:tc>
          <w:tcPr>
            <w:tcW w:w="900" w:type="dxa"/>
          </w:tcPr>
          <w:p w14:paraId="74097B71" w14:textId="14F1F0EF" w:rsidR="000058E0" w:rsidRPr="003D23BE" w:rsidRDefault="00B115F9" w:rsidP="000058E0">
            <w:pPr>
              <w:ind w:left="0"/>
              <w:rPr>
                <w:sz w:val="20"/>
                <w:szCs w:val="20"/>
              </w:rPr>
            </w:pPr>
            <w:r w:rsidRPr="003D23BE">
              <w:rPr>
                <w:sz w:val="20"/>
                <w:szCs w:val="20"/>
              </w:rPr>
              <w:t>1</w:t>
            </w:r>
          </w:p>
        </w:tc>
        <w:tc>
          <w:tcPr>
            <w:tcW w:w="900" w:type="dxa"/>
          </w:tcPr>
          <w:p w14:paraId="2AD19A0F" w14:textId="4E1E06DB" w:rsidR="000058E0" w:rsidRPr="003D23BE" w:rsidRDefault="002A75C9" w:rsidP="000058E0">
            <w:pPr>
              <w:ind w:left="0"/>
              <w:rPr>
                <w:sz w:val="20"/>
                <w:szCs w:val="20"/>
              </w:rPr>
            </w:pPr>
            <w:r w:rsidRPr="003D23BE">
              <w:rPr>
                <w:sz w:val="20"/>
                <w:szCs w:val="20"/>
              </w:rPr>
              <w:t>$</w:t>
            </w:r>
            <w:r w:rsidR="00FB320E" w:rsidRPr="003D23BE">
              <w:rPr>
                <w:sz w:val="20"/>
                <w:szCs w:val="20"/>
              </w:rPr>
              <w:t>35.55</w:t>
            </w:r>
          </w:p>
        </w:tc>
        <w:tc>
          <w:tcPr>
            <w:tcW w:w="1350" w:type="dxa"/>
          </w:tcPr>
          <w:p w14:paraId="460FFC9A" w14:textId="6A91DA91" w:rsidR="000058E0" w:rsidRPr="003D23BE" w:rsidRDefault="002A75C9" w:rsidP="000058E0">
            <w:pPr>
              <w:ind w:left="0"/>
              <w:rPr>
                <w:sz w:val="20"/>
                <w:szCs w:val="20"/>
              </w:rPr>
            </w:pPr>
            <w:r w:rsidRPr="003D23BE">
              <w:rPr>
                <w:sz w:val="20"/>
                <w:szCs w:val="20"/>
              </w:rPr>
              <w:t>$</w:t>
            </w:r>
            <w:r w:rsidR="00B115F9" w:rsidRPr="003D23BE">
              <w:rPr>
                <w:sz w:val="20"/>
                <w:szCs w:val="20"/>
              </w:rPr>
              <w:t>35.55</w:t>
            </w:r>
          </w:p>
        </w:tc>
      </w:tr>
      <w:tr w:rsidR="0043229B" w:rsidRPr="006F6856" w14:paraId="612AFC7A" w14:textId="77777777" w:rsidTr="00DB7F77">
        <w:trPr>
          <w:trHeight w:hRule="exact" w:val="432"/>
          <w:jc w:val="center"/>
        </w:trPr>
        <w:tc>
          <w:tcPr>
            <w:tcW w:w="1350" w:type="dxa"/>
          </w:tcPr>
          <w:p w14:paraId="315DA566" w14:textId="77777777" w:rsidR="003B2200" w:rsidRPr="00E647FB" w:rsidRDefault="003B2200" w:rsidP="000058E0">
            <w:pPr>
              <w:ind w:left="0"/>
              <w:rPr>
                <w:b/>
                <w:sz w:val="20"/>
                <w:szCs w:val="20"/>
              </w:rPr>
            </w:pPr>
          </w:p>
        </w:tc>
        <w:tc>
          <w:tcPr>
            <w:tcW w:w="1350" w:type="dxa"/>
          </w:tcPr>
          <w:p w14:paraId="709F07D4" w14:textId="77777777" w:rsidR="003B2200" w:rsidRPr="00E647FB" w:rsidRDefault="003B2200" w:rsidP="000058E0">
            <w:pPr>
              <w:ind w:left="0"/>
              <w:rPr>
                <w:b/>
                <w:sz w:val="20"/>
                <w:szCs w:val="20"/>
              </w:rPr>
            </w:pPr>
            <w:r w:rsidRPr="00E647FB">
              <w:rPr>
                <w:b/>
                <w:sz w:val="20"/>
                <w:szCs w:val="20"/>
              </w:rPr>
              <w:t>TOTALS</w:t>
            </w:r>
          </w:p>
        </w:tc>
        <w:tc>
          <w:tcPr>
            <w:tcW w:w="1440" w:type="dxa"/>
          </w:tcPr>
          <w:p w14:paraId="1FFC3EB0" w14:textId="0B3BD318" w:rsidR="003B2200" w:rsidRPr="00E647FB" w:rsidRDefault="00D66F88" w:rsidP="000058E0">
            <w:pPr>
              <w:ind w:left="0"/>
              <w:rPr>
                <w:b/>
                <w:sz w:val="20"/>
                <w:szCs w:val="20"/>
              </w:rPr>
            </w:pPr>
            <w:r>
              <w:rPr>
                <w:b/>
                <w:sz w:val="20"/>
                <w:szCs w:val="20"/>
              </w:rPr>
              <w:t>100</w:t>
            </w:r>
          </w:p>
        </w:tc>
        <w:tc>
          <w:tcPr>
            <w:tcW w:w="1440" w:type="dxa"/>
          </w:tcPr>
          <w:p w14:paraId="2AFDA45B" w14:textId="111DF2C0" w:rsidR="003B2200" w:rsidRPr="00E647FB" w:rsidRDefault="00D66F88" w:rsidP="000058E0">
            <w:pPr>
              <w:ind w:left="0"/>
              <w:rPr>
                <w:b/>
                <w:sz w:val="20"/>
                <w:szCs w:val="20"/>
              </w:rPr>
            </w:pPr>
            <w:r>
              <w:rPr>
                <w:b/>
                <w:sz w:val="20"/>
                <w:szCs w:val="20"/>
              </w:rPr>
              <w:t>1</w:t>
            </w:r>
          </w:p>
        </w:tc>
        <w:tc>
          <w:tcPr>
            <w:tcW w:w="1530" w:type="dxa"/>
          </w:tcPr>
          <w:p w14:paraId="5F96F64C" w14:textId="6782B159" w:rsidR="003B2200" w:rsidRPr="00E647FB" w:rsidRDefault="003B2200" w:rsidP="000058E0">
            <w:pPr>
              <w:ind w:left="0"/>
              <w:rPr>
                <w:b/>
                <w:sz w:val="20"/>
                <w:szCs w:val="20"/>
              </w:rPr>
            </w:pPr>
          </w:p>
        </w:tc>
        <w:tc>
          <w:tcPr>
            <w:tcW w:w="900" w:type="dxa"/>
          </w:tcPr>
          <w:p w14:paraId="3D73A723" w14:textId="797338A1" w:rsidR="003B2200" w:rsidRPr="00E647FB" w:rsidRDefault="002E72E6" w:rsidP="000058E0">
            <w:pPr>
              <w:ind w:left="0"/>
              <w:rPr>
                <w:b/>
                <w:sz w:val="20"/>
                <w:szCs w:val="20"/>
              </w:rPr>
            </w:pPr>
            <w:r>
              <w:rPr>
                <w:b/>
                <w:sz w:val="20"/>
                <w:szCs w:val="20"/>
              </w:rPr>
              <w:t>7</w:t>
            </w:r>
          </w:p>
        </w:tc>
        <w:tc>
          <w:tcPr>
            <w:tcW w:w="900" w:type="dxa"/>
          </w:tcPr>
          <w:p w14:paraId="18DFC847" w14:textId="5D38CFA4" w:rsidR="003B2200" w:rsidRPr="00E647FB" w:rsidRDefault="003B2200" w:rsidP="000058E0">
            <w:pPr>
              <w:ind w:left="0"/>
              <w:rPr>
                <w:b/>
                <w:sz w:val="20"/>
                <w:szCs w:val="20"/>
              </w:rPr>
            </w:pPr>
          </w:p>
        </w:tc>
        <w:tc>
          <w:tcPr>
            <w:tcW w:w="1350" w:type="dxa"/>
          </w:tcPr>
          <w:p w14:paraId="5C13081C" w14:textId="54D05309" w:rsidR="003B2200" w:rsidRPr="00E647FB" w:rsidRDefault="002A75C9" w:rsidP="00B115F9">
            <w:pPr>
              <w:ind w:left="0"/>
              <w:rPr>
                <w:b/>
                <w:sz w:val="20"/>
                <w:szCs w:val="20"/>
              </w:rPr>
            </w:pPr>
            <w:r>
              <w:rPr>
                <w:b/>
                <w:sz w:val="20"/>
                <w:szCs w:val="20"/>
              </w:rPr>
              <w:t>$</w:t>
            </w:r>
            <w:r w:rsidR="00D66F88">
              <w:rPr>
                <w:b/>
                <w:sz w:val="20"/>
                <w:szCs w:val="20"/>
              </w:rPr>
              <w:t>2</w:t>
            </w:r>
            <w:r w:rsidR="00B115F9">
              <w:rPr>
                <w:b/>
                <w:sz w:val="20"/>
                <w:szCs w:val="20"/>
              </w:rPr>
              <w:t>49</w:t>
            </w:r>
          </w:p>
        </w:tc>
      </w:tr>
    </w:tbl>
    <w:p w14:paraId="4924BA26" w14:textId="77777777" w:rsidR="002F1502" w:rsidRDefault="002F1502" w:rsidP="00441CC3">
      <w:pPr>
        <w:ind w:left="0"/>
      </w:pPr>
    </w:p>
    <w:p w14:paraId="210617E0" w14:textId="22E067D0" w:rsidR="00B12F51" w:rsidRPr="0088467A" w:rsidRDefault="0088467A" w:rsidP="00307D09">
      <w:pPr>
        <w:pStyle w:val="Heading4"/>
        <w:ind w:left="-72"/>
      </w:pPr>
      <w:bookmarkStart w:id="18" w:name="_Toc427752826"/>
      <w:r w:rsidRPr="0088467A">
        <w:t>Estimates of Other Total Annual Cost Burden to Respondents or Record Keepers</w:t>
      </w:r>
      <w:bookmarkEnd w:id="18"/>
    </w:p>
    <w:p w14:paraId="01CEBE93"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7371CAD7" w14:textId="77777777" w:rsidR="00911486" w:rsidRDefault="00911486" w:rsidP="00692DEB">
      <w:pPr>
        <w:ind w:left="0"/>
      </w:pPr>
    </w:p>
    <w:p w14:paraId="6F7F9836" w14:textId="69A610D3" w:rsidR="00B12F51" w:rsidRPr="0088467A" w:rsidRDefault="0088467A" w:rsidP="00307D09">
      <w:pPr>
        <w:pStyle w:val="Heading4"/>
        <w:ind w:left="-72"/>
      </w:pPr>
      <w:bookmarkStart w:id="19" w:name="_Toc427752827"/>
      <w:r w:rsidRPr="0088467A">
        <w:t>Annualized Cost to the Government</w:t>
      </w:r>
      <w:bookmarkEnd w:id="19"/>
      <w:r w:rsidR="00D75750">
        <w:t xml:space="preserve"> </w:t>
      </w:r>
    </w:p>
    <w:p w14:paraId="0CFF3500" w14:textId="073ED4BA" w:rsidR="000058E0" w:rsidRDefault="000058E0" w:rsidP="000058E0">
      <w:pPr>
        <w:ind w:left="0"/>
        <w:rPr>
          <w:rFonts w:cs="Arial"/>
        </w:rPr>
      </w:pPr>
      <w:r w:rsidRPr="000E58F5">
        <w:rPr>
          <w:rFonts w:cs="Arial"/>
        </w:rPr>
        <w:t>There are no equipment or overhead costs.  The only cost to the federal government would</w:t>
      </w:r>
      <w:r w:rsidR="00D66F88">
        <w:rPr>
          <w:rFonts w:cs="Arial"/>
        </w:rPr>
        <w:t xml:space="preserve"> be the salary of CDC staff</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003D23BE">
        <w:rPr>
          <w:rFonts w:cs="Arial"/>
        </w:rPr>
        <w:t>$</w:t>
      </w:r>
      <w:r w:rsidR="00ED0C69">
        <w:rPr>
          <w:rFonts w:cs="Arial"/>
        </w:rPr>
        <w:t>2</w:t>
      </w:r>
      <w:r w:rsidR="00A401B1">
        <w:rPr>
          <w:rFonts w:cs="Arial"/>
        </w:rPr>
        <w:t>,</w:t>
      </w:r>
      <w:r w:rsidR="00DA11DE">
        <w:rPr>
          <w:rFonts w:cs="Arial"/>
        </w:rPr>
        <w:t>395</w:t>
      </w:r>
      <w:r w:rsidRPr="000E58F5">
        <w:rPr>
          <w:rFonts w:cs="Arial"/>
        </w:rPr>
        <w:t>. Table A-14 describes how this cost estimate was calculated.</w:t>
      </w:r>
    </w:p>
    <w:p w14:paraId="1A681F31" w14:textId="77777777" w:rsidR="00DB7F77" w:rsidRDefault="00DB7F77" w:rsidP="000058E0">
      <w:pPr>
        <w:ind w:left="0"/>
        <w:rPr>
          <w:rFonts w:cs="Arial"/>
        </w:rPr>
      </w:pPr>
    </w:p>
    <w:p w14:paraId="27814CC8" w14:textId="77777777" w:rsidR="00DB7F77" w:rsidRPr="00711BFA" w:rsidRDefault="00DB7F77" w:rsidP="000058E0">
      <w:pPr>
        <w:ind w:left="0"/>
      </w:pPr>
    </w:p>
    <w:p w14:paraId="76D7602C" w14:textId="77777777" w:rsidR="002E72E6" w:rsidRDefault="002E72E6" w:rsidP="00692DEB">
      <w:pPr>
        <w:ind w:left="0"/>
      </w:pPr>
    </w:p>
    <w:p w14:paraId="79710DC4"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60"/>
        <w:gridCol w:w="1936"/>
        <w:gridCol w:w="1205"/>
        <w:gridCol w:w="236"/>
        <w:gridCol w:w="236"/>
        <w:gridCol w:w="1677"/>
      </w:tblGrid>
      <w:tr w:rsidR="004841F1" w:rsidRPr="004841F1" w14:paraId="47B091BB" w14:textId="77777777" w:rsidTr="00CA5840">
        <w:trPr>
          <w:trHeight w:val="593"/>
        </w:trPr>
        <w:tc>
          <w:tcPr>
            <w:tcW w:w="4195" w:type="dxa"/>
            <w:tcBorders>
              <w:bottom w:val="single" w:sz="12" w:space="0" w:color="auto"/>
            </w:tcBorders>
            <w:shd w:val="clear" w:color="auto" w:fill="D9D9D9" w:themeFill="background1" w:themeFillShade="D9"/>
            <w:vAlign w:val="center"/>
          </w:tcPr>
          <w:p w14:paraId="012A1C02" w14:textId="77777777" w:rsidR="004841F1" w:rsidRPr="00E647FB" w:rsidRDefault="004841F1" w:rsidP="005D6F14">
            <w:pPr>
              <w:ind w:left="0"/>
              <w:jc w:val="center"/>
              <w:rPr>
                <w:b/>
                <w:sz w:val="20"/>
                <w:szCs w:val="20"/>
              </w:rPr>
            </w:pPr>
            <w:r w:rsidRPr="00E647FB">
              <w:rPr>
                <w:b/>
                <w:sz w:val="20"/>
                <w:szCs w:val="20"/>
              </w:rPr>
              <w:t>Staff (FTE)</w:t>
            </w:r>
          </w:p>
        </w:tc>
        <w:tc>
          <w:tcPr>
            <w:tcW w:w="1969" w:type="dxa"/>
            <w:tcBorders>
              <w:bottom w:val="single" w:sz="12" w:space="0" w:color="auto"/>
            </w:tcBorders>
            <w:shd w:val="clear" w:color="auto" w:fill="D9D9D9" w:themeFill="background1" w:themeFillShade="D9"/>
            <w:vAlign w:val="center"/>
          </w:tcPr>
          <w:p w14:paraId="47811952"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3EB53927" w14:textId="77777777" w:rsidR="004841F1" w:rsidRPr="00E647FB" w:rsidRDefault="004841F1" w:rsidP="005D6F14">
            <w:pPr>
              <w:ind w:left="0"/>
              <w:jc w:val="center"/>
              <w:rPr>
                <w:b/>
                <w:sz w:val="20"/>
                <w:szCs w:val="20"/>
              </w:rPr>
            </w:pPr>
            <w:r w:rsidRPr="00E647FB">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495E74B8"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219C13B5" w14:textId="77777777" w:rsidTr="00CA5840">
        <w:tc>
          <w:tcPr>
            <w:tcW w:w="4195" w:type="dxa"/>
            <w:tcBorders>
              <w:top w:val="single" w:sz="12" w:space="0" w:color="auto"/>
            </w:tcBorders>
          </w:tcPr>
          <w:p w14:paraId="5BD3996F" w14:textId="6C0D6DEB" w:rsidR="004841F1" w:rsidRPr="00E647FB" w:rsidRDefault="00FB320E" w:rsidP="00902CC6">
            <w:pPr>
              <w:ind w:left="0"/>
              <w:jc w:val="both"/>
              <w:rPr>
                <w:sz w:val="20"/>
                <w:szCs w:val="20"/>
              </w:rPr>
            </w:pPr>
            <w:r>
              <w:rPr>
                <w:sz w:val="20"/>
                <w:szCs w:val="20"/>
              </w:rPr>
              <w:t>G</w:t>
            </w:r>
            <w:r w:rsidR="00B41DA4">
              <w:rPr>
                <w:sz w:val="20"/>
                <w:szCs w:val="20"/>
              </w:rPr>
              <w:t xml:space="preserve">S-14 </w:t>
            </w:r>
            <w:r>
              <w:rPr>
                <w:sz w:val="20"/>
                <w:szCs w:val="20"/>
              </w:rPr>
              <w:t xml:space="preserve"> </w:t>
            </w:r>
          </w:p>
        </w:tc>
        <w:tc>
          <w:tcPr>
            <w:tcW w:w="1969" w:type="dxa"/>
            <w:tcBorders>
              <w:top w:val="single" w:sz="12" w:space="0" w:color="auto"/>
            </w:tcBorders>
          </w:tcPr>
          <w:p w14:paraId="5FB223BE" w14:textId="377BE7B3" w:rsidR="004841F1" w:rsidRPr="00E647FB" w:rsidRDefault="00FB320E" w:rsidP="005D6F14">
            <w:pPr>
              <w:ind w:left="0"/>
              <w:jc w:val="center"/>
              <w:rPr>
                <w:sz w:val="20"/>
                <w:szCs w:val="20"/>
              </w:rPr>
            </w:pPr>
            <w:r>
              <w:rPr>
                <w:sz w:val="20"/>
                <w:szCs w:val="20"/>
              </w:rPr>
              <w:t>20</w:t>
            </w:r>
          </w:p>
        </w:tc>
        <w:tc>
          <w:tcPr>
            <w:tcW w:w="1706" w:type="dxa"/>
            <w:gridSpan w:val="3"/>
            <w:tcBorders>
              <w:top w:val="single" w:sz="12" w:space="0" w:color="auto"/>
            </w:tcBorders>
          </w:tcPr>
          <w:p w14:paraId="501229DB" w14:textId="695C2842" w:rsidR="004841F1" w:rsidRPr="00E647FB" w:rsidRDefault="00DA11DE" w:rsidP="005D6F14">
            <w:pPr>
              <w:ind w:left="0"/>
              <w:jc w:val="center"/>
              <w:rPr>
                <w:sz w:val="20"/>
                <w:szCs w:val="20"/>
              </w:rPr>
            </w:pPr>
            <w:r>
              <w:rPr>
                <w:sz w:val="20"/>
                <w:szCs w:val="20"/>
              </w:rPr>
              <w:t>$</w:t>
            </w:r>
            <w:r w:rsidR="00FB320E">
              <w:rPr>
                <w:sz w:val="20"/>
                <w:szCs w:val="20"/>
              </w:rPr>
              <w:t>65</w:t>
            </w:r>
          </w:p>
        </w:tc>
        <w:tc>
          <w:tcPr>
            <w:tcW w:w="1706" w:type="dxa"/>
            <w:tcBorders>
              <w:top w:val="single" w:sz="12" w:space="0" w:color="auto"/>
            </w:tcBorders>
          </w:tcPr>
          <w:p w14:paraId="63DC9DBC" w14:textId="2C427A65" w:rsidR="004841F1" w:rsidRPr="00E647FB" w:rsidRDefault="00DA11DE" w:rsidP="005D6F14">
            <w:pPr>
              <w:ind w:left="0"/>
              <w:jc w:val="center"/>
              <w:rPr>
                <w:sz w:val="20"/>
                <w:szCs w:val="20"/>
              </w:rPr>
            </w:pPr>
            <w:r>
              <w:rPr>
                <w:sz w:val="20"/>
                <w:szCs w:val="20"/>
              </w:rPr>
              <w:t>$</w:t>
            </w:r>
            <w:r w:rsidR="00FB320E">
              <w:rPr>
                <w:sz w:val="20"/>
                <w:szCs w:val="20"/>
              </w:rPr>
              <w:t>1300</w:t>
            </w:r>
          </w:p>
        </w:tc>
      </w:tr>
      <w:tr w:rsidR="004841F1" w:rsidRPr="004841F1" w14:paraId="5FA8717B" w14:textId="77777777" w:rsidTr="00CA5840">
        <w:tc>
          <w:tcPr>
            <w:tcW w:w="4195" w:type="dxa"/>
          </w:tcPr>
          <w:p w14:paraId="7BACDB7F" w14:textId="2C420BD5" w:rsidR="004824FA" w:rsidRPr="00E647FB" w:rsidRDefault="00FB320E" w:rsidP="00902CC6">
            <w:pPr>
              <w:ind w:left="0"/>
              <w:jc w:val="both"/>
              <w:rPr>
                <w:sz w:val="20"/>
                <w:szCs w:val="20"/>
              </w:rPr>
            </w:pPr>
            <w:r>
              <w:rPr>
                <w:sz w:val="20"/>
                <w:szCs w:val="20"/>
              </w:rPr>
              <w:t>G</w:t>
            </w:r>
            <w:r w:rsidR="00B41DA4">
              <w:rPr>
                <w:sz w:val="20"/>
                <w:szCs w:val="20"/>
              </w:rPr>
              <w:t xml:space="preserve">S 13 </w:t>
            </w:r>
          </w:p>
        </w:tc>
        <w:tc>
          <w:tcPr>
            <w:tcW w:w="1969" w:type="dxa"/>
          </w:tcPr>
          <w:p w14:paraId="316D81B0" w14:textId="486199FC" w:rsidR="004841F1" w:rsidRPr="00E647FB" w:rsidRDefault="00FB320E" w:rsidP="005D6F14">
            <w:pPr>
              <w:ind w:left="0"/>
              <w:jc w:val="center"/>
              <w:rPr>
                <w:sz w:val="20"/>
                <w:szCs w:val="20"/>
              </w:rPr>
            </w:pPr>
            <w:r>
              <w:rPr>
                <w:sz w:val="20"/>
                <w:szCs w:val="20"/>
              </w:rPr>
              <w:t>20</w:t>
            </w:r>
          </w:p>
        </w:tc>
        <w:tc>
          <w:tcPr>
            <w:tcW w:w="1706" w:type="dxa"/>
            <w:gridSpan w:val="3"/>
          </w:tcPr>
          <w:p w14:paraId="5114FBCD" w14:textId="25CEA9B2" w:rsidR="004841F1" w:rsidRPr="00E647FB" w:rsidRDefault="00DA11DE" w:rsidP="005D6F14">
            <w:pPr>
              <w:ind w:left="0"/>
              <w:jc w:val="center"/>
              <w:rPr>
                <w:sz w:val="20"/>
                <w:szCs w:val="20"/>
              </w:rPr>
            </w:pPr>
            <w:r>
              <w:rPr>
                <w:sz w:val="20"/>
                <w:szCs w:val="20"/>
              </w:rPr>
              <w:t>$</w:t>
            </w:r>
            <w:r w:rsidR="00FB320E">
              <w:rPr>
                <w:sz w:val="20"/>
                <w:szCs w:val="20"/>
              </w:rPr>
              <w:t>54.74</w:t>
            </w:r>
          </w:p>
        </w:tc>
        <w:tc>
          <w:tcPr>
            <w:tcW w:w="1706" w:type="dxa"/>
          </w:tcPr>
          <w:p w14:paraId="2D0CD086" w14:textId="08E689DD" w:rsidR="004841F1" w:rsidRPr="00E647FB" w:rsidRDefault="00DA11DE" w:rsidP="005D6F14">
            <w:pPr>
              <w:ind w:left="0"/>
              <w:jc w:val="center"/>
              <w:rPr>
                <w:sz w:val="20"/>
                <w:szCs w:val="20"/>
              </w:rPr>
            </w:pPr>
            <w:r>
              <w:rPr>
                <w:sz w:val="20"/>
                <w:szCs w:val="20"/>
              </w:rPr>
              <w:t>$</w:t>
            </w:r>
            <w:r w:rsidR="00B41DA4">
              <w:rPr>
                <w:sz w:val="20"/>
                <w:szCs w:val="20"/>
              </w:rPr>
              <w:t>109</w:t>
            </w:r>
            <w:r w:rsidR="00D10935">
              <w:rPr>
                <w:sz w:val="20"/>
                <w:szCs w:val="20"/>
              </w:rPr>
              <w:t>5</w:t>
            </w:r>
          </w:p>
        </w:tc>
      </w:tr>
      <w:tr w:rsidR="004824FA" w:rsidRPr="007B305A" w14:paraId="3727486A" w14:textId="77777777" w:rsidTr="005D6F14">
        <w:tc>
          <w:tcPr>
            <w:tcW w:w="4195" w:type="dxa"/>
            <w:tcBorders>
              <w:bottom w:val="single" w:sz="4" w:space="0" w:color="auto"/>
            </w:tcBorders>
          </w:tcPr>
          <w:p w14:paraId="5C165C7D" w14:textId="77777777" w:rsidR="004824FA" w:rsidRPr="00E647FB" w:rsidRDefault="00321B51" w:rsidP="00CA5840">
            <w:pPr>
              <w:ind w:left="0"/>
              <w:jc w:val="both"/>
              <w:rPr>
                <w:sz w:val="20"/>
                <w:szCs w:val="20"/>
              </w:rPr>
            </w:pPr>
            <w:r w:rsidRPr="00E647FB">
              <w:rPr>
                <w:sz w:val="20"/>
                <w:szCs w:val="20"/>
              </w:rPr>
              <w:t xml:space="preserve"> </w:t>
            </w:r>
          </w:p>
        </w:tc>
        <w:tc>
          <w:tcPr>
            <w:tcW w:w="1969" w:type="dxa"/>
            <w:tcBorders>
              <w:bottom w:val="single" w:sz="4" w:space="0" w:color="auto"/>
            </w:tcBorders>
          </w:tcPr>
          <w:p w14:paraId="60E71B53" w14:textId="77777777" w:rsidR="004824FA" w:rsidRPr="00E647FB" w:rsidRDefault="004824FA" w:rsidP="005D6F14">
            <w:pPr>
              <w:ind w:left="0"/>
              <w:jc w:val="center"/>
              <w:rPr>
                <w:sz w:val="20"/>
                <w:szCs w:val="20"/>
              </w:rPr>
            </w:pPr>
          </w:p>
        </w:tc>
        <w:tc>
          <w:tcPr>
            <w:tcW w:w="1706" w:type="dxa"/>
            <w:gridSpan w:val="3"/>
            <w:tcBorders>
              <w:bottom w:val="single" w:sz="4" w:space="0" w:color="auto"/>
            </w:tcBorders>
          </w:tcPr>
          <w:p w14:paraId="1D1018EB" w14:textId="77777777" w:rsidR="004824FA" w:rsidRPr="00E647FB" w:rsidRDefault="004824FA" w:rsidP="005D6F14">
            <w:pPr>
              <w:ind w:left="0"/>
              <w:jc w:val="center"/>
              <w:rPr>
                <w:sz w:val="20"/>
                <w:szCs w:val="20"/>
              </w:rPr>
            </w:pPr>
          </w:p>
        </w:tc>
        <w:tc>
          <w:tcPr>
            <w:tcW w:w="1706" w:type="dxa"/>
          </w:tcPr>
          <w:p w14:paraId="0D98BA14" w14:textId="77777777" w:rsidR="004824FA" w:rsidRPr="00E647FB" w:rsidRDefault="004824FA" w:rsidP="005D6F14">
            <w:pPr>
              <w:ind w:left="0"/>
              <w:jc w:val="center"/>
              <w:rPr>
                <w:sz w:val="20"/>
                <w:szCs w:val="20"/>
              </w:rPr>
            </w:pPr>
          </w:p>
        </w:tc>
      </w:tr>
      <w:tr w:rsidR="005D6F14" w:rsidRPr="004841F1" w14:paraId="7275C319" w14:textId="77777777" w:rsidTr="005D6F14">
        <w:trPr>
          <w:trHeight w:val="332"/>
        </w:trPr>
        <w:tc>
          <w:tcPr>
            <w:tcW w:w="7398" w:type="dxa"/>
            <w:gridSpan w:val="3"/>
            <w:tcBorders>
              <w:right w:val="nil"/>
            </w:tcBorders>
            <w:vAlign w:val="center"/>
          </w:tcPr>
          <w:p w14:paraId="7911D85B" w14:textId="77777777" w:rsidR="005D6F14" w:rsidRPr="00E647FB" w:rsidRDefault="005D6F14" w:rsidP="005D6F14">
            <w:pPr>
              <w:ind w:left="0"/>
              <w:jc w:val="right"/>
              <w:rPr>
                <w:b/>
                <w:sz w:val="20"/>
                <w:szCs w:val="20"/>
              </w:rPr>
            </w:pPr>
            <w:r w:rsidRPr="00E647FB">
              <w:rPr>
                <w:b/>
                <w:sz w:val="20"/>
                <w:szCs w:val="20"/>
              </w:rPr>
              <w:lastRenderedPageBreak/>
              <w:t>Estimated Total Cost of Information Collection</w:t>
            </w:r>
          </w:p>
        </w:tc>
        <w:tc>
          <w:tcPr>
            <w:tcW w:w="236" w:type="dxa"/>
            <w:tcBorders>
              <w:left w:val="nil"/>
              <w:right w:val="nil"/>
            </w:tcBorders>
            <w:vAlign w:val="center"/>
          </w:tcPr>
          <w:p w14:paraId="3CA610B2" w14:textId="77777777" w:rsidR="005D6F14" w:rsidRPr="00E647FB" w:rsidRDefault="005D6F14" w:rsidP="00CA5840">
            <w:pPr>
              <w:ind w:left="0"/>
              <w:rPr>
                <w:b/>
                <w:sz w:val="20"/>
                <w:szCs w:val="20"/>
              </w:rPr>
            </w:pPr>
          </w:p>
        </w:tc>
        <w:tc>
          <w:tcPr>
            <w:tcW w:w="236" w:type="dxa"/>
            <w:tcBorders>
              <w:left w:val="nil"/>
            </w:tcBorders>
            <w:vAlign w:val="center"/>
          </w:tcPr>
          <w:p w14:paraId="49DB5D65" w14:textId="77777777" w:rsidR="005D6F14" w:rsidRPr="00E647FB" w:rsidRDefault="005D6F14" w:rsidP="00CA5840">
            <w:pPr>
              <w:ind w:left="0"/>
              <w:rPr>
                <w:b/>
                <w:sz w:val="20"/>
                <w:szCs w:val="20"/>
              </w:rPr>
            </w:pPr>
          </w:p>
        </w:tc>
        <w:tc>
          <w:tcPr>
            <w:tcW w:w="1706" w:type="dxa"/>
            <w:vAlign w:val="center"/>
          </w:tcPr>
          <w:p w14:paraId="7F9AD8A2" w14:textId="417F36BC" w:rsidR="005D6F14" w:rsidRPr="00E647FB" w:rsidRDefault="00DA11DE" w:rsidP="005D6F14">
            <w:pPr>
              <w:ind w:left="0"/>
              <w:jc w:val="center"/>
              <w:rPr>
                <w:b/>
                <w:sz w:val="20"/>
                <w:szCs w:val="20"/>
              </w:rPr>
            </w:pPr>
            <w:r>
              <w:rPr>
                <w:b/>
                <w:sz w:val="20"/>
                <w:szCs w:val="20"/>
              </w:rPr>
              <w:t>$</w:t>
            </w:r>
            <w:r w:rsidR="0055720A">
              <w:rPr>
                <w:b/>
                <w:sz w:val="20"/>
                <w:szCs w:val="20"/>
              </w:rPr>
              <w:t>239</w:t>
            </w:r>
            <w:r w:rsidR="00902CC6">
              <w:rPr>
                <w:b/>
                <w:sz w:val="20"/>
                <w:szCs w:val="20"/>
              </w:rPr>
              <w:t>5</w:t>
            </w:r>
          </w:p>
        </w:tc>
      </w:tr>
    </w:tbl>
    <w:p w14:paraId="2ACA86DA" w14:textId="77777777" w:rsidR="005D6F14" w:rsidRDefault="005D6F14" w:rsidP="00441CC3">
      <w:pPr>
        <w:ind w:left="0"/>
      </w:pPr>
    </w:p>
    <w:p w14:paraId="36A41AE9" w14:textId="794CEFFF" w:rsidR="00B12F51" w:rsidRPr="00D75750" w:rsidRDefault="00D90E75" w:rsidP="00307D09">
      <w:pPr>
        <w:pStyle w:val="Heading4"/>
        <w:ind w:left="-72"/>
      </w:pPr>
      <w:bookmarkStart w:id="20" w:name="_Toc427752828"/>
      <w:r>
        <w:t xml:space="preserve"> </w:t>
      </w:r>
      <w:r w:rsidR="00D75750" w:rsidRPr="00D75750">
        <w:t>Explanation for Program Changes or Adjustments</w:t>
      </w:r>
      <w:bookmarkEnd w:id="20"/>
    </w:p>
    <w:p w14:paraId="50A91B95" w14:textId="77777777" w:rsidR="00F52BCC" w:rsidRDefault="003C7C5D" w:rsidP="00692DEB">
      <w:pPr>
        <w:ind w:left="0"/>
      </w:pPr>
      <w:r>
        <w:t xml:space="preserve">This is a new </w:t>
      </w:r>
      <w:r w:rsidR="00157413">
        <w:t>information collection</w:t>
      </w:r>
      <w:r>
        <w:t>.</w:t>
      </w:r>
    </w:p>
    <w:p w14:paraId="7982F2DE" w14:textId="77777777" w:rsidR="00B115F9" w:rsidRDefault="00B115F9" w:rsidP="005D6F14"/>
    <w:p w14:paraId="05AF617D" w14:textId="1915E65F" w:rsidR="00B12F51" w:rsidRPr="00EF33CD" w:rsidRDefault="00D90E75" w:rsidP="00307D09">
      <w:pPr>
        <w:pStyle w:val="Heading4"/>
        <w:ind w:left="-72"/>
      </w:pPr>
      <w:bookmarkStart w:id="21" w:name="_Toc427752829"/>
      <w:r>
        <w:t xml:space="preserve"> </w:t>
      </w:r>
      <w:r w:rsidR="00616090">
        <w:t>Plan</w:t>
      </w:r>
      <w:r w:rsidR="00D75750">
        <w:t>s</w:t>
      </w:r>
      <w:r w:rsidR="00D75750" w:rsidRPr="00D75750">
        <w:t xml:space="preserve"> for Tabulation and Publication and Project Time Schedule</w:t>
      </w:r>
      <w:bookmarkEnd w:id="21"/>
    </w:p>
    <w:p w14:paraId="0E7F9FBF" w14:textId="27A74F05" w:rsidR="00836218" w:rsidRPr="00B115F9" w:rsidRDefault="00836218" w:rsidP="008C59E7">
      <w:pPr>
        <w:ind w:left="0"/>
        <w:rPr>
          <w:rFonts w:cs="Arial"/>
        </w:rPr>
      </w:pPr>
      <w:r w:rsidRPr="00ED0C69">
        <w:rPr>
          <w:rFonts w:cs="Arial"/>
        </w:rPr>
        <w:t>This data will</w:t>
      </w:r>
      <w:r w:rsidR="003D23BE">
        <w:rPr>
          <w:rFonts w:cs="Arial"/>
        </w:rPr>
        <w:t xml:space="preserve"> be</w:t>
      </w:r>
      <w:r w:rsidRPr="00ED0C69">
        <w:rPr>
          <w:rFonts w:cs="Arial"/>
        </w:rPr>
        <w:t xml:space="preserve"> included in a </w:t>
      </w:r>
      <w:r w:rsidR="00B41DA4">
        <w:rPr>
          <w:rFonts w:cs="Arial"/>
        </w:rPr>
        <w:t xml:space="preserve">guidance document </w:t>
      </w:r>
      <w:r w:rsidRPr="00ED0C69">
        <w:rPr>
          <w:rFonts w:cs="Arial"/>
        </w:rPr>
        <w:t>that will be written by</w:t>
      </w:r>
      <w:r w:rsidR="00B1246B">
        <w:rPr>
          <w:rFonts w:cs="Arial"/>
        </w:rPr>
        <w:t xml:space="preserve"> the DCHI policy academy team. </w:t>
      </w:r>
      <w:r w:rsidR="00B115F9" w:rsidRPr="00B115F9">
        <w:rPr>
          <w:rFonts w:cs="Arial"/>
        </w:rPr>
        <w:t>The CDC Policy Academy, launched in 2015, is intended to provide a premier, challenging and robust professional development opportunity for participants in order to enhance their understanding of and skill in ordinance ana</w:t>
      </w:r>
      <w:r w:rsidR="00B115F9">
        <w:rPr>
          <w:rFonts w:cs="Arial"/>
        </w:rPr>
        <w:t>lysis and related competencies.</w:t>
      </w:r>
      <w:r w:rsidRPr="00ED0C69">
        <w:rPr>
          <w:rFonts w:cs="Arial"/>
        </w:rPr>
        <w:t xml:space="preserve"> It will also be presented to the DCHI policy academy leadership at the conclusion of the course in November or December, 2016</w:t>
      </w:r>
      <w:r>
        <w:rPr>
          <w:rFonts w:cs="Arial"/>
          <w:color w:val="0070C0"/>
        </w:rPr>
        <w:t xml:space="preserve">.  </w:t>
      </w:r>
    </w:p>
    <w:p w14:paraId="7157BF74" w14:textId="77777777" w:rsidR="000058E0" w:rsidRDefault="000058E0" w:rsidP="000058E0">
      <w:pPr>
        <w:ind w:left="0"/>
        <w:rPr>
          <w:rFonts w:cs="Arial"/>
          <w:b/>
        </w:rPr>
      </w:pPr>
    </w:p>
    <w:p w14:paraId="4E58BEB6" w14:textId="4C655B41" w:rsidR="008C59E7" w:rsidRPr="00ED0C69" w:rsidRDefault="008C59E7" w:rsidP="008C59E7">
      <w:pPr>
        <w:ind w:left="0"/>
        <w:rPr>
          <w:rFonts w:cs="Arial"/>
        </w:rPr>
      </w:pPr>
      <w:r w:rsidRPr="00ED0C69">
        <w:rPr>
          <w:rFonts w:cs="Arial"/>
          <w:u w:val="single"/>
        </w:rPr>
        <w:t>Project Time Schedule</w:t>
      </w:r>
      <w:r w:rsidR="00BB090C" w:rsidRPr="00ED0C69">
        <w:rPr>
          <w:rFonts w:cs="Arial"/>
        </w:rPr>
        <w:t xml:space="preserve"> </w:t>
      </w:r>
    </w:p>
    <w:p w14:paraId="3D992E33" w14:textId="77777777" w:rsidR="008C59E7" w:rsidRPr="00ED0C69" w:rsidRDefault="008C59E7" w:rsidP="008C59E7">
      <w:pPr>
        <w:pStyle w:val="ListParagraph"/>
        <w:numPr>
          <w:ilvl w:val="0"/>
          <w:numId w:val="17"/>
        </w:numPr>
        <w:tabs>
          <w:tab w:val="right" w:leader="dot" w:pos="9360"/>
        </w:tabs>
      </w:pPr>
      <w:r w:rsidRPr="00ED0C69">
        <w:rPr>
          <w:rFonts w:eastAsiaTheme="majorEastAsia" w:cstheme="majorBidi"/>
        </w:rPr>
        <w:t xml:space="preserve">Design questionnaire </w:t>
      </w:r>
      <w:r w:rsidRPr="00ED0C69">
        <w:tab/>
      </w:r>
      <w:r w:rsidRPr="00ED0C69">
        <w:rPr>
          <w:rFonts w:eastAsiaTheme="majorEastAsia" w:cstheme="majorBidi"/>
        </w:rPr>
        <w:t>(COMPLETE)</w:t>
      </w:r>
    </w:p>
    <w:p w14:paraId="388E2B73" w14:textId="77777777" w:rsidR="008C59E7" w:rsidRPr="00ED0C69" w:rsidRDefault="008C59E7" w:rsidP="008C59E7">
      <w:pPr>
        <w:pStyle w:val="ListParagraph"/>
        <w:numPr>
          <w:ilvl w:val="0"/>
          <w:numId w:val="18"/>
        </w:numPr>
        <w:tabs>
          <w:tab w:val="right" w:leader="dot" w:pos="9360"/>
        </w:tabs>
      </w:pPr>
      <w:r w:rsidRPr="00ED0C69">
        <w:rPr>
          <w:rFonts w:eastAsiaTheme="majorEastAsia" w:cstheme="majorBidi"/>
        </w:rPr>
        <w:t xml:space="preserve">Develop protocol, instructions, and analysis plan </w:t>
      </w:r>
      <w:r w:rsidRPr="00ED0C69">
        <w:tab/>
      </w:r>
      <w:r w:rsidRPr="00ED0C69">
        <w:rPr>
          <w:rFonts w:eastAsiaTheme="majorEastAsia" w:cstheme="majorBidi"/>
        </w:rPr>
        <w:t>(COMPLETE)</w:t>
      </w:r>
    </w:p>
    <w:p w14:paraId="4125BB36" w14:textId="77777777" w:rsidR="008C59E7" w:rsidRPr="00ED0C69" w:rsidRDefault="008C59E7" w:rsidP="008C59E7">
      <w:pPr>
        <w:pStyle w:val="ListParagraph"/>
        <w:numPr>
          <w:ilvl w:val="0"/>
          <w:numId w:val="21"/>
        </w:numPr>
        <w:tabs>
          <w:tab w:val="right" w:leader="dot" w:pos="9360"/>
        </w:tabs>
        <w:ind w:left="720"/>
      </w:pPr>
      <w:r w:rsidRPr="00ED0C69">
        <w:rPr>
          <w:rFonts w:eastAsiaTheme="majorEastAsia" w:cstheme="majorBidi"/>
        </w:rPr>
        <w:t xml:space="preserve">Pilot test questionnaire </w:t>
      </w:r>
      <w:r w:rsidRPr="00ED0C69">
        <w:tab/>
      </w:r>
      <w:r w:rsidRPr="00ED0C69">
        <w:rPr>
          <w:rFonts w:eastAsiaTheme="majorEastAsia" w:cstheme="majorBidi"/>
        </w:rPr>
        <w:t>(COMPLETE)</w:t>
      </w:r>
    </w:p>
    <w:p w14:paraId="5F8BD7B0" w14:textId="77777777" w:rsidR="008C59E7" w:rsidRPr="00ED0C69" w:rsidRDefault="008C59E7" w:rsidP="008C59E7">
      <w:pPr>
        <w:pStyle w:val="ListParagraph"/>
        <w:numPr>
          <w:ilvl w:val="0"/>
          <w:numId w:val="21"/>
        </w:numPr>
        <w:tabs>
          <w:tab w:val="right" w:leader="dot" w:pos="9360"/>
        </w:tabs>
        <w:ind w:left="720"/>
      </w:pPr>
      <w:r w:rsidRPr="00ED0C69">
        <w:rPr>
          <w:rFonts w:eastAsiaTheme="majorEastAsia" w:cstheme="majorBidi"/>
        </w:rPr>
        <w:t xml:space="preserve">Prepare OMB package </w:t>
      </w:r>
      <w:r w:rsidRPr="00ED0C69">
        <w:tab/>
      </w:r>
      <w:r w:rsidRPr="00ED0C69">
        <w:rPr>
          <w:rFonts w:eastAsiaTheme="majorEastAsia" w:cstheme="majorBidi"/>
        </w:rPr>
        <w:t>(COMPLETE)</w:t>
      </w:r>
    </w:p>
    <w:p w14:paraId="12DE694F" w14:textId="77777777" w:rsidR="008C59E7" w:rsidRPr="00ED0C69" w:rsidRDefault="008C59E7" w:rsidP="008C59E7">
      <w:pPr>
        <w:pStyle w:val="ListParagraph"/>
        <w:numPr>
          <w:ilvl w:val="0"/>
          <w:numId w:val="21"/>
        </w:numPr>
        <w:tabs>
          <w:tab w:val="right" w:leader="dot" w:pos="9360"/>
        </w:tabs>
        <w:ind w:left="720"/>
      </w:pPr>
      <w:r w:rsidRPr="00ED0C69">
        <w:rPr>
          <w:rFonts w:eastAsiaTheme="majorEastAsia" w:cstheme="majorBidi"/>
        </w:rPr>
        <w:t xml:space="preserve">Submit OMB package </w:t>
      </w:r>
      <w:r w:rsidRPr="00ED0C69">
        <w:tab/>
      </w:r>
      <w:r w:rsidRPr="00ED0C69">
        <w:rPr>
          <w:rFonts w:eastAsiaTheme="majorEastAsia" w:cstheme="majorBidi"/>
        </w:rPr>
        <w:t>(COMPLETE)</w:t>
      </w:r>
    </w:p>
    <w:p w14:paraId="797AC487" w14:textId="77777777" w:rsidR="008C59E7" w:rsidRPr="00ED0C69" w:rsidRDefault="008C59E7" w:rsidP="008C59E7">
      <w:pPr>
        <w:pStyle w:val="ListParagraph"/>
        <w:numPr>
          <w:ilvl w:val="0"/>
          <w:numId w:val="16"/>
        </w:numPr>
        <w:tabs>
          <w:tab w:val="right" w:leader="dot" w:pos="9360"/>
        </w:tabs>
      </w:pPr>
      <w:r w:rsidRPr="00ED0C69">
        <w:rPr>
          <w:rFonts w:eastAsiaTheme="majorEastAsia" w:cstheme="majorBidi"/>
        </w:rPr>
        <w:t xml:space="preserve">OMB approval </w:t>
      </w:r>
      <w:r w:rsidRPr="00ED0C69">
        <w:tab/>
      </w:r>
      <w:r w:rsidRPr="00ED0C69">
        <w:rPr>
          <w:rFonts w:eastAsiaTheme="majorEastAsia" w:cstheme="majorBidi"/>
        </w:rPr>
        <w:t>(TBD)</w:t>
      </w:r>
    </w:p>
    <w:p w14:paraId="75D25E29" w14:textId="77777777" w:rsidR="008C59E7" w:rsidRPr="00ED0C69" w:rsidRDefault="008C59E7" w:rsidP="008C59E7">
      <w:pPr>
        <w:pStyle w:val="ListParagraph"/>
        <w:numPr>
          <w:ilvl w:val="0"/>
          <w:numId w:val="16"/>
        </w:numPr>
        <w:tabs>
          <w:tab w:val="right" w:leader="dot" w:pos="9360"/>
        </w:tabs>
      </w:pPr>
      <w:r w:rsidRPr="00ED0C69">
        <w:rPr>
          <w:rFonts w:eastAsiaTheme="majorEastAsia" w:cstheme="majorBidi"/>
        </w:rPr>
        <w:t xml:space="preserve">Conduct assessment </w:t>
      </w:r>
      <w:r w:rsidRPr="00ED0C69">
        <w:tab/>
      </w:r>
      <w:r w:rsidRPr="00ED0C69">
        <w:rPr>
          <w:rFonts w:eastAsiaTheme="majorEastAsia" w:cstheme="majorBidi"/>
        </w:rPr>
        <w:t>(Assessment open 3 weeks)</w:t>
      </w:r>
    </w:p>
    <w:p w14:paraId="2273331F" w14:textId="2C227711" w:rsidR="008C59E7" w:rsidRPr="00ED0C69" w:rsidRDefault="008C59E7" w:rsidP="008C59E7">
      <w:pPr>
        <w:pStyle w:val="ListParagraph"/>
        <w:numPr>
          <w:ilvl w:val="0"/>
          <w:numId w:val="16"/>
        </w:numPr>
        <w:tabs>
          <w:tab w:val="right" w:leader="dot" w:pos="9360"/>
        </w:tabs>
      </w:pPr>
      <w:r w:rsidRPr="00ED0C69">
        <w:rPr>
          <w:rFonts w:eastAsiaTheme="majorEastAsia" w:cstheme="majorBidi"/>
        </w:rPr>
        <w:t>Code, quality control, and analyze data</w:t>
      </w:r>
      <w:r w:rsidRPr="00ED0C69">
        <w:rPr>
          <w:rFonts w:cs="Arial"/>
        </w:rPr>
        <w:tab/>
      </w:r>
      <w:r w:rsidR="007926D2" w:rsidRPr="00ED0C69">
        <w:rPr>
          <w:rFonts w:eastAsiaTheme="majorEastAsia" w:cstheme="majorBidi"/>
        </w:rPr>
        <w:t>(1 week</w:t>
      </w:r>
      <w:r w:rsidRPr="00ED0C69">
        <w:rPr>
          <w:rFonts w:eastAsiaTheme="majorEastAsia" w:cstheme="majorBidi"/>
        </w:rPr>
        <w:t>)</w:t>
      </w:r>
    </w:p>
    <w:p w14:paraId="387CF937" w14:textId="1A9169AE" w:rsidR="008C59E7" w:rsidRPr="00ED0C69" w:rsidRDefault="008C59E7" w:rsidP="008C59E7">
      <w:pPr>
        <w:pStyle w:val="ListParagraph"/>
        <w:numPr>
          <w:ilvl w:val="0"/>
          <w:numId w:val="16"/>
        </w:numPr>
        <w:tabs>
          <w:tab w:val="right" w:leader="dot" w:pos="9360"/>
        </w:tabs>
      </w:pPr>
      <w:r w:rsidRPr="00ED0C69">
        <w:rPr>
          <w:rFonts w:eastAsiaTheme="majorEastAsia" w:cstheme="majorBidi"/>
        </w:rPr>
        <w:t xml:space="preserve">Prepare reports </w:t>
      </w:r>
      <w:r w:rsidRPr="00ED0C69">
        <w:tab/>
      </w:r>
      <w:r w:rsidR="007926D2" w:rsidRPr="00ED0C69">
        <w:rPr>
          <w:rFonts w:eastAsiaTheme="majorEastAsia" w:cstheme="majorBidi"/>
        </w:rPr>
        <w:t>(2</w:t>
      </w:r>
      <w:r w:rsidRPr="00ED0C69">
        <w:rPr>
          <w:rFonts w:eastAsiaTheme="majorEastAsia" w:cstheme="majorBidi"/>
        </w:rPr>
        <w:t xml:space="preserve"> weeks)</w:t>
      </w:r>
    </w:p>
    <w:p w14:paraId="2D717B5D" w14:textId="5282D2D4" w:rsidR="008C59E7" w:rsidRPr="00ED0C69" w:rsidRDefault="008C59E7" w:rsidP="008C59E7">
      <w:pPr>
        <w:pStyle w:val="ListParagraph"/>
        <w:numPr>
          <w:ilvl w:val="0"/>
          <w:numId w:val="16"/>
        </w:numPr>
        <w:tabs>
          <w:tab w:val="right" w:leader="dot" w:pos="9360"/>
        </w:tabs>
      </w:pPr>
      <w:r w:rsidRPr="00ED0C69">
        <w:rPr>
          <w:rFonts w:eastAsiaTheme="majorEastAsia" w:cstheme="majorBidi"/>
        </w:rPr>
        <w:t xml:space="preserve">Disseminate results/reports </w:t>
      </w:r>
      <w:r w:rsidRPr="00ED0C69">
        <w:tab/>
      </w:r>
      <w:r w:rsidR="007926D2" w:rsidRPr="00ED0C69">
        <w:rPr>
          <w:rFonts w:eastAsiaTheme="majorEastAsia" w:cstheme="majorBidi"/>
        </w:rPr>
        <w:t>(1 week</w:t>
      </w:r>
      <w:r w:rsidRPr="00ED0C69">
        <w:rPr>
          <w:rFonts w:eastAsiaTheme="majorEastAsia" w:cstheme="majorBidi"/>
        </w:rPr>
        <w:t>)</w:t>
      </w:r>
    </w:p>
    <w:p w14:paraId="75966417" w14:textId="77777777" w:rsidR="000A71DF" w:rsidRPr="00ED0C69" w:rsidRDefault="000A71DF" w:rsidP="005D6F14"/>
    <w:p w14:paraId="258AC73C" w14:textId="78339237" w:rsidR="00B12F51" w:rsidRPr="00D75750" w:rsidRDefault="00D90E75" w:rsidP="00307D09">
      <w:pPr>
        <w:pStyle w:val="Heading4"/>
        <w:ind w:left="-72"/>
      </w:pPr>
      <w:bookmarkStart w:id="22" w:name="_Toc427752830"/>
      <w:r>
        <w:t xml:space="preserve"> </w:t>
      </w:r>
      <w:r w:rsidR="00D75750" w:rsidRPr="00D75750">
        <w:t xml:space="preserve">Reason(s) Display of OMB Expiration </w:t>
      </w:r>
      <w:r w:rsidR="00D75750">
        <w:t xml:space="preserve">Date </w:t>
      </w:r>
      <w:r w:rsidR="00D75750" w:rsidRPr="00D75750">
        <w:t>is Inappropriate</w:t>
      </w:r>
      <w:bookmarkEnd w:id="22"/>
    </w:p>
    <w:p w14:paraId="580A0C75" w14:textId="77777777" w:rsidR="00F52BCC" w:rsidRDefault="00180D45" w:rsidP="00692DEB">
      <w:pPr>
        <w:ind w:left="0"/>
      </w:pPr>
      <w:r>
        <w:t>We are requesting no exemption.</w:t>
      </w:r>
    </w:p>
    <w:p w14:paraId="148CBF2C" w14:textId="77777777" w:rsidR="00F52BCC" w:rsidRDefault="00F52BCC" w:rsidP="005D6F14"/>
    <w:p w14:paraId="768EA637" w14:textId="6D7D41A9" w:rsidR="00B12F51" w:rsidRPr="00D26A64" w:rsidRDefault="00D90E75" w:rsidP="00307D09">
      <w:pPr>
        <w:pStyle w:val="Heading4"/>
        <w:ind w:left="-72"/>
      </w:pPr>
      <w:bookmarkStart w:id="23" w:name="_Toc427752831"/>
      <w:r>
        <w:t xml:space="preserve"> </w:t>
      </w:r>
      <w:r w:rsidR="00B12F51" w:rsidRPr="00D26A64">
        <w:t>Exceptions to Certification for Paperwork Reduction Act Submissions</w:t>
      </w:r>
      <w:bookmarkEnd w:id="23"/>
    </w:p>
    <w:p w14:paraId="598B84C3" w14:textId="77777777" w:rsidR="00F52BCC" w:rsidRDefault="0031279F" w:rsidP="00692DEB">
      <w:pPr>
        <w:ind w:left="0"/>
      </w:pPr>
      <w:r>
        <w:t>There are no exceptions to the certification.</w:t>
      </w:r>
      <w:r w:rsidR="00180D45">
        <w:t xml:space="preserve">  These activities comply with the requirements in 5 CFR 1320.9.</w:t>
      </w:r>
    </w:p>
    <w:p w14:paraId="5871258C" w14:textId="77777777" w:rsidR="00385BB5" w:rsidRDefault="00385BB5" w:rsidP="008C59E7">
      <w:pPr>
        <w:ind w:left="0"/>
      </w:pPr>
    </w:p>
    <w:p w14:paraId="647C4EF2" w14:textId="77777777" w:rsidR="00802C94" w:rsidRDefault="00802C94" w:rsidP="008C59E7">
      <w:pPr>
        <w:ind w:left="0"/>
      </w:pPr>
    </w:p>
    <w:p w14:paraId="694770C1" w14:textId="77777777" w:rsidR="00B143A4" w:rsidRDefault="00B143A4" w:rsidP="008C59E7">
      <w:pPr>
        <w:ind w:left="0"/>
      </w:pPr>
    </w:p>
    <w:p w14:paraId="4E826D68" w14:textId="77777777" w:rsidR="00307D09" w:rsidRDefault="00307D09" w:rsidP="008C59E7">
      <w:pPr>
        <w:ind w:left="0"/>
      </w:pPr>
    </w:p>
    <w:p w14:paraId="266B4E0E" w14:textId="77777777" w:rsidR="00DB7F77" w:rsidRDefault="00DB7F77" w:rsidP="008C59E7">
      <w:pPr>
        <w:ind w:left="0"/>
      </w:pPr>
    </w:p>
    <w:p w14:paraId="13A5AC72" w14:textId="77777777" w:rsidR="00A36419" w:rsidRDefault="00A36419" w:rsidP="008C59E7">
      <w:pPr>
        <w:pStyle w:val="Heading3"/>
        <w:ind w:left="0"/>
      </w:pPr>
      <w:bookmarkStart w:id="24" w:name="_Toc427752832"/>
      <w:r>
        <w:t>LIST OF ATTACHMENTS</w:t>
      </w:r>
      <w:r w:rsidR="00A33E90">
        <w:t xml:space="preserve"> – Section A</w:t>
      </w:r>
      <w:bookmarkEnd w:id="24"/>
    </w:p>
    <w:p w14:paraId="4212F647" w14:textId="69F8DB40" w:rsidR="0066493F" w:rsidRDefault="0066493F" w:rsidP="0066493F">
      <w:pPr>
        <w:tabs>
          <w:tab w:val="clear" w:pos="9360"/>
        </w:tabs>
        <w:spacing w:line="240" w:lineRule="auto"/>
        <w:ind w:left="0"/>
      </w:pPr>
      <w:r>
        <w:t>Attachment A Respondent Breakdown</w:t>
      </w:r>
    </w:p>
    <w:p w14:paraId="7BBE998A" w14:textId="4187BC14" w:rsidR="00E647FB" w:rsidRPr="00ED0C69" w:rsidRDefault="0066493F" w:rsidP="0066493F">
      <w:pPr>
        <w:tabs>
          <w:tab w:val="clear" w:pos="9360"/>
        </w:tabs>
        <w:spacing w:line="240" w:lineRule="auto"/>
        <w:ind w:left="0"/>
      </w:pPr>
      <w:r>
        <w:t>Attachment B Policy Academy Instrument</w:t>
      </w:r>
      <w:r w:rsidR="00E5497C">
        <w:t xml:space="preserve"> </w:t>
      </w:r>
      <w:r w:rsidR="00E647FB" w:rsidRPr="00ED0C69">
        <w:t>Word version</w:t>
      </w:r>
    </w:p>
    <w:p w14:paraId="5A154F06" w14:textId="7754CA21" w:rsidR="00E647FB" w:rsidRDefault="0066493F" w:rsidP="0066493F">
      <w:pPr>
        <w:tabs>
          <w:tab w:val="clear" w:pos="9360"/>
        </w:tabs>
        <w:spacing w:line="240" w:lineRule="auto"/>
        <w:ind w:left="0"/>
      </w:pPr>
      <w:r>
        <w:t xml:space="preserve">Attachment C Policy Academy </w:t>
      </w:r>
      <w:r w:rsidR="00E5497C">
        <w:t xml:space="preserve">Instrument </w:t>
      </w:r>
      <w:r w:rsidR="00E5497C" w:rsidRPr="00ED0C69">
        <w:t>Web</w:t>
      </w:r>
      <w:r w:rsidR="00E647FB" w:rsidRPr="00ED0C69">
        <w:t xml:space="preserve"> version</w:t>
      </w:r>
    </w:p>
    <w:p w14:paraId="47F9D7CE" w14:textId="77777777" w:rsidR="00307D09" w:rsidRDefault="00307D09" w:rsidP="003860A5">
      <w:pPr>
        <w:pStyle w:val="Heading3"/>
        <w:ind w:left="0"/>
        <w:rPr>
          <w:b w:val="0"/>
          <w:sz w:val="22"/>
        </w:rPr>
      </w:pPr>
      <w:bookmarkStart w:id="25" w:name="_Toc427752833"/>
    </w:p>
    <w:p w14:paraId="2DDC05F4" w14:textId="77777777" w:rsidR="00CC7188" w:rsidRDefault="00CC7188" w:rsidP="003860A5">
      <w:pPr>
        <w:pStyle w:val="Heading3"/>
        <w:ind w:left="0"/>
      </w:pPr>
      <w:r w:rsidRPr="00CC7188">
        <w:lastRenderedPageBreak/>
        <w:t xml:space="preserve">REFERENCE LIST </w:t>
      </w:r>
      <w:bookmarkEnd w:id="25"/>
    </w:p>
    <w:p w14:paraId="3551DF84" w14:textId="77777777" w:rsidR="00CF7FD9" w:rsidRDefault="000058E0" w:rsidP="00307D09">
      <w:pPr>
        <w:pStyle w:val="ListParagraph"/>
        <w:numPr>
          <w:ilvl w:val="2"/>
          <w:numId w:val="2"/>
        </w:numPr>
        <w:tabs>
          <w:tab w:val="clear" w:pos="9360"/>
        </w:tabs>
        <w:spacing w:line="240" w:lineRule="auto"/>
        <w:ind w:left="-72" w:hanging="360"/>
      </w:pPr>
      <w:r w:rsidRPr="008C59E7">
        <w:t xml:space="preserve">Centers for Disease Control and Prevention (CDC). "National Public Health Performance Standards Program (NPHPSP): 10 Essential Public Health Services." Available at </w:t>
      </w:r>
      <w:hyperlink r:id="rId15" w:history="1">
        <w:r w:rsidR="00CF7FD9" w:rsidRPr="005B4C30">
          <w:rPr>
            <w:rStyle w:val="Hyperlink"/>
          </w:rPr>
          <w:t>http://www.cdc.gov/nphpsp/essentialservices.html. Accessed on 8/14/14</w:t>
        </w:r>
      </w:hyperlink>
      <w:r w:rsidRPr="008C59E7">
        <w:t>.</w:t>
      </w:r>
    </w:p>
    <w:p w14:paraId="44F4F59C" w14:textId="7E9488E1" w:rsidR="00CF7FD9" w:rsidRDefault="00CF7FD9" w:rsidP="00307D09">
      <w:pPr>
        <w:pStyle w:val="ListParagraph"/>
        <w:numPr>
          <w:ilvl w:val="2"/>
          <w:numId w:val="2"/>
        </w:numPr>
        <w:tabs>
          <w:tab w:val="clear" w:pos="9360"/>
        </w:tabs>
        <w:spacing w:line="240" w:lineRule="auto"/>
        <w:ind w:left="-72" w:hanging="360"/>
      </w:pPr>
      <w:r>
        <w:t xml:space="preserve">Agency for Toxic Substances and Disease Registry (ATSDR), “Redeveloping Brownfield and Land Reuse Sites to Benefit Communities”  Available at: </w:t>
      </w:r>
      <w:hyperlink r:id="rId16" w:history="1">
        <w:r w:rsidRPr="005B4C30">
          <w:rPr>
            <w:rStyle w:val="Hyperlink"/>
          </w:rPr>
          <w:t>http://www.atsdr.cdc.gov/sites/brownfields/infographic.html</w:t>
        </w:r>
      </w:hyperlink>
      <w:r>
        <w:t>.  Accessed 8/31/16</w:t>
      </w:r>
    </w:p>
    <w:p w14:paraId="6C7D1C9A" w14:textId="77777777" w:rsidR="00CF7FD9" w:rsidRPr="008C59E7" w:rsidRDefault="00CF7FD9" w:rsidP="0066493F">
      <w:pPr>
        <w:pStyle w:val="ListParagraph"/>
        <w:tabs>
          <w:tab w:val="clear" w:pos="9360"/>
        </w:tabs>
        <w:spacing w:line="240" w:lineRule="auto"/>
      </w:pPr>
    </w:p>
    <w:sectPr w:rsidR="00CF7FD9" w:rsidRPr="008C59E7"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64D70" w14:textId="77777777" w:rsidR="00FF660E" w:rsidRDefault="00FF660E" w:rsidP="007D6163">
      <w:r>
        <w:separator/>
      </w:r>
    </w:p>
    <w:p w14:paraId="07958953" w14:textId="77777777" w:rsidR="00FF660E" w:rsidRDefault="00FF660E" w:rsidP="007D6163"/>
  </w:endnote>
  <w:endnote w:type="continuationSeparator" w:id="0">
    <w:p w14:paraId="3E00D170" w14:textId="77777777" w:rsidR="00FF660E" w:rsidRDefault="00FF660E" w:rsidP="007D6163">
      <w:r>
        <w:continuationSeparator/>
      </w:r>
    </w:p>
    <w:p w14:paraId="406F9BF7" w14:textId="77777777" w:rsidR="00FF660E" w:rsidRDefault="00FF660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254A552F" w14:textId="77777777" w:rsidR="003D23BE" w:rsidRDefault="003D23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4B6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4B6D">
              <w:rPr>
                <w:b/>
                <w:bCs/>
                <w:noProof/>
              </w:rPr>
              <w:t>10</w:t>
            </w:r>
            <w:r>
              <w:rPr>
                <w:b/>
                <w:bCs/>
                <w:sz w:val="24"/>
                <w:szCs w:val="24"/>
              </w:rPr>
              <w:fldChar w:fldCharType="end"/>
            </w:r>
          </w:p>
        </w:sdtContent>
      </w:sdt>
    </w:sdtContent>
  </w:sdt>
  <w:p w14:paraId="2FB2AC84" w14:textId="77777777" w:rsidR="003D23BE" w:rsidRDefault="003D23BE"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40E89" w14:textId="77777777" w:rsidR="00FF660E" w:rsidRDefault="00FF660E" w:rsidP="007D6163">
      <w:r>
        <w:separator/>
      </w:r>
    </w:p>
    <w:p w14:paraId="7F9E8FF5" w14:textId="77777777" w:rsidR="00FF660E" w:rsidRDefault="00FF660E" w:rsidP="007D6163"/>
  </w:footnote>
  <w:footnote w:type="continuationSeparator" w:id="0">
    <w:p w14:paraId="505710E6" w14:textId="77777777" w:rsidR="00FF660E" w:rsidRDefault="00FF660E" w:rsidP="007D6163">
      <w:r>
        <w:continuationSeparator/>
      </w:r>
    </w:p>
    <w:p w14:paraId="3730236B" w14:textId="77777777" w:rsidR="00FF660E" w:rsidRDefault="00FF660E"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2AC6" w14:textId="77777777" w:rsidR="003D23BE" w:rsidRPr="00716F94" w:rsidRDefault="003D23BE" w:rsidP="007D6163">
    <w:pPr>
      <w:pStyle w:val="Header"/>
      <w:rPr>
        <w:color w:val="0033CC"/>
      </w:rPr>
    </w:pPr>
    <w:r>
      <w:tab/>
    </w:r>
  </w:p>
  <w:p w14:paraId="5CCCD45B" w14:textId="77777777" w:rsidR="003D23BE" w:rsidRDefault="003D23BE"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596AC156"/>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3919A4"/>
    <w:multiLevelType w:val="hybridMultilevel"/>
    <w:tmpl w:val="BCFC8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52560356"/>
    <w:multiLevelType w:val="hybridMultilevel"/>
    <w:tmpl w:val="58042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6"/>
  </w:num>
  <w:num w:numId="4">
    <w:abstractNumId w:val="14"/>
  </w:num>
  <w:num w:numId="5">
    <w:abstractNumId w:val="24"/>
  </w:num>
  <w:num w:numId="6">
    <w:abstractNumId w:val="10"/>
  </w:num>
  <w:num w:numId="7">
    <w:abstractNumId w:val="0"/>
  </w:num>
  <w:num w:numId="8">
    <w:abstractNumId w:val="6"/>
  </w:num>
  <w:num w:numId="9">
    <w:abstractNumId w:val="11"/>
  </w:num>
  <w:num w:numId="10">
    <w:abstractNumId w:val="29"/>
  </w:num>
  <w:num w:numId="11">
    <w:abstractNumId w:val="2"/>
  </w:num>
  <w:num w:numId="12">
    <w:abstractNumId w:val="35"/>
  </w:num>
  <w:num w:numId="13">
    <w:abstractNumId w:val="9"/>
  </w:num>
  <w:num w:numId="14">
    <w:abstractNumId w:val="3"/>
  </w:num>
  <w:num w:numId="15">
    <w:abstractNumId w:val="31"/>
  </w:num>
  <w:num w:numId="16">
    <w:abstractNumId w:val="33"/>
  </w:num>
  <w:num w:numId="17">
    <w:abstractNumId w:val="34"/>
  </w:num>
  <w:num w:numId="18">
    <w:abstractNumId w:val="17"/>
  </w:num>
  <w:num w:numId="19">
    <w:abstractNumId w:val="38"/>
  </w:num>
  <w:num w:numId="20">
    <w:abstractNumId w:val="27"/>
  </w:num>
  <w:num w:numId="21">
    <w:abstractNumId w:val="30"/>
  </w:num>
  <w:num w:numId="22">
    <w:abstractNumId w:val="26"/>
  </w:num>
  <w:num w:numId="23">
    <w:abstractNumId w:val="8"/>
  </w:num>
  <w:num w:numId="24">
    <w:abstractNumId w:val="32"/>
  </w:num>
  <w:num w:numId="25">
    <w:abstractNumId w:val="4"/>
  </w:num>
  <w:num w:numId="26">
    <w:abstractNumId w:val="21"/>
  </w:num>
  <w:num w:numId="27">
    <w:abstractNumId w:val="7"/>
  </w:num>
  <w:num w:numId="28">
    <w:abstractNumId w:val="13"/>
  </w:num>
  <w:num w:numId="29">
    <w:abstractNumId w:val="28"/>
  </w:num>
  <w:num w:numId="30">
    <w:abstractNumId w:val="37"/>
  </w:num>
  <w:num w:numId="31">
    <w:abstractNumId w:val="20"/>
  </w:num>
  <w:num w:numId="32">
    <w:abstractNumId w:val="23"/>
  </w:num>
  <w:num w:numId="33">
    <w:abstractNumId w:val="12"/>
  </w:num>
  <w:num w:numId="34">
    <w:abstractNumId w:val="16"/>
  </w:num>
  <w:num w:numId="35">
    <w:abstractNumId w:val="25"/>
  </w:num>
  <w:num w:numId="36">
    <w:abstractNumId w:val="22"/>
  </w:num>
  <w:num w:numId="37">
    <w:abstractNumId w:val="15"/>
  </w:num>
  <w:num w:numId="38">
    <w:abstractNumId w:val="5"/>
  </w:num>
  <w:num w:numId="39">
    <w:abstractNumId w:val="18"/>
  </w:num>
  <w:num w:numId="40">
    <w:abstractNumId w:val="1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27"/>
    <w:rsid w:val="000058E0"/>
    <w:rsid w:val="000065C6"/>
    <w:rsid w:val="00011A98"/>
    <w:rsid w:val="00011F8D"/>
    <w:rsid w:val="000130B4"/>
    <w:rsid w:val="00014361"/>
    <w:rsid w:val="00014579"/>
    <w:rsid w:val="00015C70"/>
    <w:rsid w:val="000264ED"/>
    <w:rsid w:val="00030EF9"/>
    <w:rsid w:val="00036E08"/>
    <w:rsid w:val="00040611"/>
    <w:rsid w:val="0004181C"/>
    <w:rsid w:val="0004305C"/>
    <w:rsid w:val="000474FB"/>
    <w:rsid w:val="0005372A"/>
    <w:rsid w:val="00053A92"/>
    <w:rsid w:val="00054839"/>
    <w:rsid w:val="00055DAE"/>
    <w:rsid w:val="00057F36"/>
    <w:rsid w:val="0007755D"/>
    <w:rsid w:val="00091616"/>
    <w:rsid w:val="000A0697"/>
    <w:rsid w:val="000A1F30"/>
    <w:rsid w:val="000A2D0C"/>
    <w:rsid w:val="000A71DF"/>
    <w:rsid w:val="000B0962"/>
    <w:rsid w:val="000B2CBC"/>
    <w:rsid w:val="000B3F6E"/>
    <w:rsid w:val="000C2DEA"/>
    <w:rsid w:val="000D2B41"/>
    <w:rsid w:val="000E272E"/>
    <w:rsid w:val="000E6577"/>
    <w:rsid w:val="000E7A19"/>
    <w:rsid w:val="00104A1B"/>
    <w:rsid w:val="00111355"/>
    <w:rsid w:val="001177DD"/>
    <w:rsid w:val="0012146A"/>
    <w:rsid w:val="00130E93"/>
    <w:rsid w:val="00135334"/>
    <w:rsid w:val="00135614"/>
    <w:rsid w:val="001412D4"/>
    <w:rsid w:val="00143F8C"/>
    <w:rsid w:val="00143F98"/>
    <w:rsid w:val="00144F64"/>
    <w:rsid w:val="00145D62"/>
    <w:rsid w:val="00151567"/>
    <w:rsid w:val="00154530"/>
    <w:rsid w:val="00157413"/>
    <w:rsid w:val="00163E17"/>
    <w:rsid w:val="00165F24"/>
    <w:rsid w:val="0016606E"/>
    <w:rsid w:val="00166F9E"/>
    <w:rsid w:val="00167880"/>
    <w:rsid w:val="00171FBA"/>
    <w:rsid w:val="00180D45"/>
    <w:rsid w:val="00183053"/>
    <w:rsid w:val="00187870"/>
    <w:rsid w:val="00187D5A"/>
    <w:rsid w:val="0019164D"/>
    <w:rsid w:val="001972D7"/>
    <w:rsid w:val="001A1645"/>
    <w:rsid w:val="001A28F6"/>
    <w:rsid w:val="001B000C"/>
    <w:rsid w:val="001B2831"/>
    <w:rsid w:val="001B4065"/>
    <w:rsid w:val="001B5910"/>
    <w:rsid w:val="001B70B4"/>
    <w:rsid w:val="001C0493"/>
    <w:rsid w:val="001C28AD"/>
    <w:rsid w:val="001C4D48"/>
    <w:rsid w:val="001C55D0"/>
    <w:rsid w:val="001D36E9"/>
    <w:rsid w:val="001D58B8"/>
    <w:rsid w:val="001D7FCB"/>
    <w:rsid w:val="001E2B99"/>
    <w:rsid w:val="001E3C9B"/>
    <w:rsid w:val="001E69B6"/>
    <w:rsid w:val="001E7537"/>
    <w:rsid w:val="001F4DBB"/>
    <w:rsid w:val="00202D07"/>
    <w:rsid w:val="0020312D"/>
    <w:rsid w:val="00204C6B"/>
    <w:rsid w:val="00206E33"/>
    <w:rsid w:val="00210519"/>
    <w:rsid w:val="00227259"/>
    <w:rsid w:val="002354C6"/>
    <w:rsid w:val="00241B17"/>
    <w:rsid w:val="00241C81"/>
    <w:rsid w:val="00244464"/>
    <w:rsid w:val="00244557"/>
    <w:rsid w:val="00245739"/>
    <w:rsid w:val="00257A1C"/>
    <w:rsid w:val="00266456"/>
    <w:rsid w:val="0027234C"/>
    <w:rsid w:val="002735A8"/>
    <w:rsid w:val="002757A1"/>
    <w:rsid w:val="00275E5F"/>
    <w:rsid w:val="00281795"/>
    <w:rsid w:val="002850E3"/>
    <w:rsid w:val="00287E2F"/>
    <w:rsid w:val="0029416F"/>
    <w:rsid w:val="002A1948"/>
    <w:rsid w:val="002A366A"/>
    <w:rsid w:val="002A6ADF"/>
    <w:rsid w:val="002A75C9"/>
    <w:rsid w:val="002B65DB"/>
    <w:rsid w:val="002B76E4"/>
    <w:rsid w:val="002C0877"/>
    <w:rsid w:val="002C12BD"/>
    <w:rsid w:val="002C2AE2"/>
    <w:rsid w:val="002D0DCE"/>
    <w:rsid w:val="002D18DB"/>
    <w:rsid w:val="002D2C51"/>
    <w:rsid w:val="002E2B10"/>
    <w:rsid w:val="002E72E6"/>
    <w:rsid w:val="002E73B0"/>
    <w:rsid w:val="002F1502"/>
    <w:rsid w:val="002F2069"/>
    <w:rsid w:val="002F71A2"/>
    <w:rsid w:val="003041AD"/>
    <w:rsid w:val="00307D09"/>
    <w:rsid w:val="00311136"/>
    <w:rsid w:val="00311443"/>
    <w:rsid w:val="0031279F"/>
    <w:rsid w:val="0031418C"/>
    <w:rsid w:val="00316213"/>
    <w:rsid w:val="00316F00"/>
    <w:rsid w:val="00321B51"/>
    <w:rsid w:val="00336D96"/>
    <w:rsid w:val="0034419B"/>
    <w:rsid w:val="00344F07"/>
    <w:rsid w:val="003469C8"/>
    <w:rsid w:val="003500C7"/>
    <w:rsid w:val="00350C8C"/>
    <w:rsid w:val="00350ECF"/>
    <w:rsid w:val="00355EA4"/>
    <w:rsid w:val="00356BFF"/>
    <w:rsid w:val="003576D5"/>
    <w:rsid w:val="003635BE"/>
    <w:rsid w:val="00364847"/>
    <w:rsid w:val="00365045"/>
    <w:rsid w:val="00366B5E"/>
    <w:rsid w:val="00371BBC"/>
    <w:rsid w:val="00385BB5"/>
    <w:rsid w:val="003860A5"/>
    <w:rsid w:val="00386BC2"/>
    <w:rsid w:val="003B040D"/>
    <w:rsid w:val="003B125E"/>
    <w:rsid w:val="003B1BE3"/>
    <w:rsid w:val="003B2200"/>
    <w:rsid w:val="003B2AE6"/>
    <w:rsid w:val="003B746E"/>
    <w:rsid w:val="003C31C9"/>
    <w:rsid w:val="003C3FC2"/>
    <w:rsid w:val="003C4961"/>
    <w:rsid w:val="003C5FAD"/>
    <w:rsid w:val="003C7C5D"/>
    <w:rsid w:val="003D0AD2"/>
    <w:rsid w:val="003D23BE"/>
    <w:rsid w:val="003D4191"/>
    <w:rsid w:val="003F0D59"/>
    <w:rsid w:val="003F5913"/>
    <w:rsid w:val="003F68D9"/>
    <w:rsid w:val="004024F8"/>
    <w:rsid w:val="00405696"/>
    <w:rsid w:val="00407BDD"/>
    <w:rsid w:val="0041159A"/>
    <w:rsid w:val="00416136"/>
    <w:rsid w:val="004226DA"/>
    <w:rsid w:val="00426767"/>
    <w:rsid w:val="0042732E"/>
    <w:rsid w:val="004305A8"/>
    <w:rsid w:val="0043229B"/>
    <w:rsid w:val="004353D5"/>
    <w:rsid w:val="00441CC3"/>
    <w:rsid w:val="00443CA0"/>
    <w:rsid w:val="00450E14"/>
    <w:rsid w:val="0045273C"/>
    <w:rsid w:val="004535B1"/>
    <w:rsid w:val="00455274"/>
    <w:rsid w:val="00457F68"/>
    <w:rsid w:val="004613D2"/>
    <w:rsid w:val="00462C65"/>
    <w:rsid w:val="004674E7"/>
    <w:rsid w:val="00467B14"/>
    <w:rsid w:val="00467D07"/>
    <w:rsid w:val="00471FCD"/>
    <w:rsid w:val="00474EDA"/>
    <w:rsid w:val="00481D80"/>
    <w:rsid w:val="004824FA"/>
    <w:rsid w:val="00484011"/>
    <w:rsid w:val="004841F1"/>
    <w:rsid w:val="00487937"/>
    <w:rsid w:val="0049051D"/>
    <w:rsid w:val="00494023"/>
    <w:rsid w:val="004A18E0"/>
    <w:rsid w:val="004A1E3A"/>
    <w:rsid w:val="004B46D6"/>
    <w:rsid w:val="004B6DBE"/>
    <w:rsid w:val="004C0BF6"/>
    <w:rsid w:val="004C3C05"/>
    <w:rsid w:val="004C4464"/>
    <w:rsid w:val="004C4AEA"/>
    <w:rsid w:val="004D0430"/>
    <w:rsid w:val="004D1DAA"/>
    <w:rsid w:val="004D4EB1"/>
    <w:rsid w:val="004E003C"/>
    <w:rsid w:val="004E16EB"/>
    <w:rsid w:val="004E6665"/>
    <w:rsid w:val="004F310F"/>
    <w:rsid w:val="004F634E"/>
    <w:rsid w:val="004F67A8"/>
    <w:rsid w:val="00505002"/>
    <w:rsid w:val="005055C6"/>
    <w:rsid w:val="00505E37"/>
    <w:rsid w:val="005070F6"/>
    <w:rsid w:val="005115FA"/>
    <w:rsid w:val="00512527"/>
    <w:rsid w:val="0051582C"/>
    <w:rsid w:val="00515A5C"/>
    <w:rsid w:val="00522A50"/>
    <w:rsid w:val="00525E61"/>
    <w:rsid w:val="005271C3"/>
    <w:rsid w:val="0052721F"/>
    <w:rsid w:val="00527225"/>
    <w:rsid w:val="0052743E"/>
    <w:rsid w:val="0053557D"/>
    <w:rsid w:val="005410E3"/>
    <w:rsid w:val="00542583"/>
    <w:rsid w:val="005463DE"/>
    <w:rsid w:val="00546DC2"/>
    <w:rsid w:val="00553A9F"/>
    <w:rsid w:val="005542E8"/>
    <w:rsid w:val="00556630"/>
    <w:rsid w:val="0055686D"/>
    <w:rsid w:val="0055720A"/>
    <w:rsid w:val="005618C8"/>
    <w:rsid w:val="005633AF"/>
    <w:rsid w:val="005644EC"/>
    <w:rsid w:val="005748D7"/>
    <w:rsid w:val="005800EE"/>
    <w:rsid w:val="005836B8"/>
    <w:rsid w:val="005869D6"/>
    <w:rsid w:val="00587C72"/>
    <w:rsid w:val="00590A79"/>
    <w:rsid w:val="0059331E"/>
    <w:rsid w:val="00594619"/>
    <w:rsid w:val="005A33F6"/>
    <w:rsid w:val="005A4DCE"/>
    <w:rsid w:val="005A5990"/>
    <w:rsid w:val="005A59E5"/>
    <w:rsid w:val="005A60EF"/>
    <w:rsid w:val="005B7440"/>
    <w:rsid w:val="005C0DCA"/>
    <w:rsid w:val="005C4D49"/>
    <w:rsid w:val="005D5E74"/>
    <w:rsid w:val="005D6F14"/>
    <w:rsid w:val="005E2150"/>
    <w:rsid w:val="005E2988"/>
    <w:rsid w:val="005E2995"/>
    <w:rsid w:val="005E79C8"/>
    <w:rsid w:val="005F3FEF"/>
    <w:rsid w:val="005F7814"/>
    <w:rsid w:val="00600C4F"/>
    <w:rsid w:val="0060287B"/>
    <w:rsid w:val="00606303"/>
    <w:rsid w:val="00607084"/>
    <w:rsid w:val="00607F7C"/>
    <w:rsid w:val="006102DA"/>
    <w:rsid w:val="006120B8"/>
    <w:rsid w:val="00612578"/>
    <w:rsid w:val="00616090"/>
    <w:rsid w:val="0062012F"/>
    <w:rsid w:val="0062134D"/>
    <w:rsid w:val="00627438"/>
    <w:rsid w:val="006315A3"/>
    <w:rsid w:val="006449F9"/>
    <w:rsid w:val="00651F36"/>
    <w:rsid w:val="006579A2"/>
    <w:rsid w:val="00663252"/>
    <w:rsid w:val="0066493F"/>
    <w:rsid w:val="00666F62"/>
    <w:rsid w:val="00667C89"/>
    <w:rsid w:val="00667D6B"/>
    <w:rsid w:val="006711EE"/>
    <w:rsid w:val="0067289C"/>
    <w:rsid w:val="0068058B"/>
    <w:rsid w:val="006809BB"/>
    <w:rsid w:val="006809FD"/>
    <w:rsid w:val="006822A4"/>
    <w:rsid w:val="0069046D"/>
    <w:rsid w:val="00691D1F"/>
    <w:rsid w:val="00692DEB"/>
    <w:rsid w:val="0069375B"/>
    <w:rsid w:val="00697BAE"/>
    <w:rsid w:val="006A274C"/>
    <w:rsid w:val="006A3898"/>
    <w:rsid w:val="006B4DDC"/>
    <w:rsid w:val="006B51BD"/>
    <w:rsid w:val="006B5E55"/>
    <w:rsid w:val="006C4DA7"/>
    <w:rsid w:val="006C4E4C"/>
    <w:rsid w:val="006C6EE5"/>
    <w:rsid w:val="006D182F"/>
    <w:rsid w:val="006D25A1"/>
    <w:rsid w:val="006E14E9"/>
    <w:rsid w:val="006E205F"/>
    <w:rsid w:val="006E4913"/>
    <w:rsid w:val="006E5D43"/>
    <w:rsid w:val="006E5E0B"/>
    <w:rsid w:val="006F09A2"/>
    <w:rsid w:val="006F36C6"/>
    <w:rsid w:val="006F6856"/>
    <w:rsid w:val="0070546C"/>
    <w:rsid w:val="00707056"/>
    <w:rsid w:val="00713412"/>
    <w:rsid w:val="007145D0"/>
    <w:rsid w:val="00714745"/>
    <w:rsid w:val="00716F94"/>
    <w:rsid w:val="00721180"/>
    <w:rsid w:val="0072584E"/>
    <w:rsid w:val="00730479"/>
    <w:rsid w:val="00734415"/>
    <w:rsid w:val="00735C55"/>
    <w:rsid w:val="007421E4"/>
    <w:rsid w:val="007509A7"/>
    <w:rsid w:val="0075188E"/>
    <w:rsid w:val="0075309F"/>
    <w:rsid w:val="00755F5C"/>
    <w:rsid w:val="0076001C"/>
    <w:rsid w:val="00760E12"/>
    <w:rsid w:val="00763CF3"/>
    <w:rsid w:val="007673BB"/>
    <w:rsid w:val="00770ED7"/>
    <w:rsid w:val="00772293"/>
    <w:rsid w:val="00773311"/>
    <w:rsid w:val="00774689"/>
    <w:rsid w:val="00774873"/>
    <w:rsid w:val="00776981"/>
    <w:rsid w:val="007806FE"/>
    <w:rsid w:val="00781AE3"/>
    <w:rsid w:val="00783C75"/>
    <w:rsid w:val="00784619"/>
    <w:rsid w:val="00784735"/>
    <w:rsid w:val="0078627B"/>
    <w:rsid w:val="007872A2"/>
    <w:rsid w:val="0078765B"/>
    <w:rsid w:val="00790F5F"/>
    <w:rsid w:val="00791D16"/>
    <w:rsid w:val="007921F1"/>
    <w:rsid w:val="007926D2"/>
    <w:rsid w:val="007926F5"/>
    <w:rsid w:val="007934FB"/>
    <w:rsid w:val="00794E32"/>
    <w:rsid w:val="007A0CE9"/>
    <w:rsid w:val="007A0D73"/>
    <w:rsid w:val="007A73B6"/>
    <w:rsid w:val="007B206A"/>
    <w:rsid w:val="007B2840"/>
    <w:rsid w:val="007B305A"/>
    <w:rsid w:val="007B693E"/>
    <w:rsid w:val="007B7570"/>
    <w:rsid w:val="007D6163"/>
    <w:rsid w:val="007E00A8"/>
    <w:rsid w:val="007E1625"/>
    <w:rsid w:val="007E575D"/>
    <w:rsid w:val="007E57CD"/>
    <w:rsid w:val="007E57ED"/>
    <w:rsid w:val="007E6AEF"/>
    <w:rsid w:val="007F0468"/>
    <w:rsid w:val="007F4855"/>
    <w:rsid w:val="007F5776"/>
    <w:rsid w:val="007F7E7D"/>
    <w:rsid w:val="00802C94"/>
    <w:rsid w:val="00815C7D"/>
    <w:rsid w:val="00817941"/>
    <w:rsid w:val="008229E4"/>
    <w:rsid w:val="00823547"/>
    <w:rsid w:val="008261AB"/>
    <w:rsid w:val="008269AB"/>
    <w:rsid w:val="00833395"/>
    <w:rsid w:val="00834C91"/>
    <w:rsid w:val="00835CA7"/>
    <w:rsid w:val="00836218"/>
    <w:rsid w:val="008370D4"/>
    <w:rsid w:val="008414AD"/>
    <w:rsid w:val="008428D9"/>
    <w:rsid w:val="00851035"/>
    <w:rsid w:val="00867C3C"/>
    <w:rsid w:val="008705AC"/>
    <w:rsid w:val="008715E7"/>
    <w:rsid w:val="0088467A"/>
    <w:rsid w:val="00884DB9"/>
    <w:rsid w:val="00895DC0"/>
    <w:rsid w:val="008A1003"/>
    <w:rsid w:val="008A3F82"/>
    <w:rsid w:val="008B715F"/>
    <w:rsid w:val="008C408E"/>
    <w:rsid w:val="008C59E7"/>
    <w:rsid w:val="008C67D2"/>
    <w:rsid w:val="008C7CD2"/>
    <w:rsid w:val="008E03E0"/>
    <w:rsid w:val="008E0683"/>
    <w:rsid w:val="008E0C15"/>
    <w:rsid w:val="008E337E"/>
    <w:rsid w:val="008E3D8D"/>
    <w:rsid w:val="008F50C3"/>
    <w:rsid w:val="00902CC6"/>
    <w:rsid w:val="00902DD9"/>
    <w:rsid w:val="00911486"/>
    <w:rsid w:val="009129CA"/>
    <w:rsid w:val="009206B6"/>
    <w:rsid w:val="009252DC"/>
    <w:rsid w:val="009252F5"/>
    <w:rsid w:val="009258B1"/>
    <w:rsid w:val="009263C1"/>
    <w:rsid w:val="0094088E"/>
    <w:rsid w:val="00941B4F"/>
    <w:rsid w:val="00945954"/>
    <w:rsid w:val="009518C0"/>
    <w:rsid w:val="00963CE3"/>
    <w:rsid w:val="009643E8"/>
    <w:rsid w:val="0096442F"/>
    <w:rsid w:val="00964F18"/>
    <w:rsid w:val="00967C2B"/>
    <w:rsid w:val="0097222C"/>
    <w:rsid w:val="00974424"/>
    <w:rsid w:val="00975AF5"/>
    <w:rsid w:val="00981076"/>
    <w:rsid w:val="009838C6"/>
    <w:rsid w:val="009850A8"/>
    <w:rsid w:val="00987F76"/>
    <w:rsid w:val="00993088"/>
    <w:rsid w:val="0099566D"/>
    <w:rsid w:val="0099664F"/>
    <w:rsid w:val="00997D5D"/>
    <w:rsid w:val="009A0447"/>
    <w:rsid w:val="009A0FFF"/>
    <w:rsid w:val="009A2CE5"/>
    <w:rsid w:val="009A3153"/>
    <w:rsid w:val="009A434F"/>
    <w:rsid w:val="009A4B59"/>
    <w:rsid w:val="009B10BE"/>
    <w:rsid w:val="009B3BBE"/>
    <w:rsid w:val="009B4A51"/>
    <w:rsid w:val="009C28B1"/>
    <w:rsid w:val="009C61AD"/>
    <w:rsid w:val="009C6697"/>
    <w:rsid w:val="009D373D"/>
    <w:rsid w:val="009D436B"/>
    <w:rsid w:val="009D5927"/>
    <w:rsid w:val="009D7B2C"/>
    <w:rsid w:val="009E0801"/>
    <w:rsid w:val="009E1D05"/>
    <w:rsid w:val="009E5669"/>
    <w:rsid w:val="009F7DE0"/>
    <w:rsid w:val="00A05973"/>
    <w:rsid w:val="00A06BCB"/>
    <w:rsid w:val="00A11B0C"/>
    <w:rsid w:val="00A20B7A"/>
    <w:rsid w:val="00A27D58"/>
    <w:rsid w:val="00A33B35"/>
    <w:rsid w:val="00A33E90"/>
    <w:rsid w:val="00A36419"/>
    <w:rsid w:val="00A401B1"/>
    <w:rsid w:val="00A44921"/>
    <w:rsid w:val="00A44AD9"/>
    <w:rsid w:val="00A54D34"/>
    <w:rsid w:val="00A578C2"/>
    <w:rsid w:val="00A72652"/>
    <w:rsid w:val="00A75D1C"/>
    <w:rsid w:val="00A809AA"/>
    <w:rsid w:val="00A849B3"/>
    <w:rsid w:val="00A8510D"/>
    <w:rsid w:val="00A8686B"/>
    <w:rsid w:val="00A86AF3"/>
    <w:rsid w:val="00A90AFF"/>
    <w:rsid w:val="00A90BDC"/>
    <w:rsid w:val="00A95477"/>
    <w:rsid w:val="00A96C5F"/>
    <w:rsid w:val="00A975A9"/>
    <w:rsid w:val="00AA3192"/>
    <w:rsid w:val="00AA7411"/>
    <w:rsid w:val="00AB0486"/>
    <w:rsid w:val="00AB251E"/>
    <w:rsid w:val="00AB3608"/>
    <w:rsid w:val="00AC1272"/>
    <w:rsid w:val="00AC47F5"/>
    <w:rsid w:val="00AC5C48"/>
    <w:rsid w:val="00AC63E3"/>
    <w:rsid w:val="00AD04D6"/>
    <w:rsid w:val="00AD3F08"/>
    <w:rsid w:val="00AF0CF4"/>
    <w:rsid w:val="00AF2252"/>
    <w:rsid w:val="00AF73D9"/>
    <w:rsid w:val="00B0098C"/>
    <w:rsid w:val="00B00B12"/>
    <w:rsid w:val="00B1129F"/>
    <w:rsid w:val="00B115F9"/>
    <w:rsid w:val="00B11D61"/>
    <w:rsid w:val="00B1246B"/>
    <w:rsid w:val="00B128A5"/>
    <w:rsid w:val="00B12F51"/>
    <w:rsid w:val="00B143A4"/>
    <w:rsid w:val="00B170F6"/>
    <w:rsid w:val="00B178C0"/>
    <w:rsid w:val="00B23606"/>
    <w:rsid w:val="00B26C44"/>
    <w:rsid w:val="00B2751E"/>
    <w:rsid w:val="00B3650C"/>
    <w:rsid w:val="00B41D84"/>
    <w:rsid w:val="00B41DA4"/>
    <w:rsid w:val="00B427B3"/>
    <w:rsid w:val="00B431C4"/>
    <w:rsid w:val="00B43AFE"/>
    <w:rsid w:val="00B47055"/>
    <w:rsid w:val="00B475E4"/>
    <w:rsid w:val="00B63CF3"/>
    <w:rsid w:val="00B64BFA"/>
    <w:rsid w:val="00B6722A"/>
    <w:rsid w:val="00B71E63"/>
    <w:rsid w:val="00B74B6D"/>
    <w:rsid w:val="00B75437"/>
    <w:rsid w:val="00B83212"/>
    <w:rsid w:val="00B85DE4"/>
    <w:rsid w:val="00B87AAD"/>
    <w:rsid w:val="00B90B85"/>
    <w:rsid w:val="00B91A31"/>
    <w:rsid w:val="00BA50D9"/>
    <w:rsid w:val="00BA6C28"/>
    <w:rsid w:val="00BA6DB4"/>
    <w:rsid w:val="00BB090C"/>
    <w:rsid w:val="00BB4FA2"/>
    <w:rsid w:val="00BC3F3C"/>
    <w:rsid w:val="00BC48BD"/>
    <w:rsid w:val="00BC5BB2"/>
    <w:rsid w:val="00BD054E"/>
    <w:rsid w:val="00BD4BE3"/>
    <w:rsid w:val="00BD56AF"/>
    <w:rsid w:val="00BE0B9F"/>
    <w:rsid w:val="00BE17FB"/>
    <w:rsid w:val="00BE738E"/>
    <w:rsid w:val="00BF11A1"/>
    <w:rsid w:val="00BF3F54"/>
    <w:rsid w:val="00C00697"/>
    <w:rsid w:val="00C0376C"/>
    <w:rsid w:val="00C049F1"/>
    <w:rsid w:val="00C06D77"/>
    <w:rsid w:val="00C14BA6"/>
    <w:rsid w:val="00C3485C"/>
    <w:rsid w:val="00C44E00"/>
    <w:rsid w:val="00C504A9"/>
    <w:rsid w:val="00C544A4"/>
    <w:rsid w:val="00C5729B"/>
    <w:rsid w:val="00C65F51"/>
    <w:rsid w:val="00C6694E"/>
    <w:rsid w:val="00C768E5"/>
    <w:rsid w:val="00C82AB1"/>
    <w:rsid w:val="00C96054"/>
    <w:rsid w:val="00CA2004"/>
    <w:rsid w:val="00CA28D5"/>
    <w:rsid w:val="00CA5840"/>
    <w:rsid w:val="00CA5B99"/>
    <w:rsid w:val="00CB0933"/>
    <w:rsid w:val="00CB23E4"/>
    <w:rsid w:val="00CB334D"/>
    <w:rsid w:val="00CB56D5"/>
    <w:rsid w:val="00CC4DAB"/>
    <w:rsid w:val="00CC63D4"/>
    <w:rsid w:val="00CC7188"/>
    <w:rsid w:val="00CC76CD"/>
    <w:rsid w:val="00CD1EA8"/>
    <w:rsid w:val="00CE19A1"/>
    <w:rsid w:val="00CF5ABD"/>
    <w:rsid w:val="00CF63CE"/>
    <w:rsid w:val="00CF7FD9"/>
    <w:rsid w:val="00D067C1"/>
    <w:rsid w:val="00D06816"/>
    <w:rsid w:val="00D10935"/>
    <w:rsid w:val="00D1343B"/>
    <w:rsid w:val="00D13B13"/>
    <w:rsid w:val="00D151C4"/>
    <w:rsid w:val="00D16685"/>
    <w:rsid w:val="00D16E78"/>
    <w:rsid w:val="00D201D3"/>
    <w:rsid w:val="00D227DA"/>
    <w:rsid w:val="00D242DE"/>
    <w:rsid w:val="00D25F1E"/>
    <w:rsid w:val="00D26789"/>
    <w:rsid w:val="00D267D5"/>
    <w:rsid w:val="00D26A64"/>
    <w:rsid w:val="00D26C05"/>
    <w:rsid w:val="00D31720"/>
    <w:rsid w:val="00D43859"/>
    <w:rsid w:val="00D445C4"/>
    <w:rsid w:val="00D52B9A"/>
    <w:rsid w:val="00D5367E"/>
    <w:rsid w:val="00D53B1E"/>
    <w:rsid w:val="00D56E5C"/>
    <w:rsid w:val="00D6105F"/>
    <w:rsid w:val="00D61AD2"/>
    <w:rsid w:val="00D62A90"/>
    <w:rsid w:val="00D65B6B"/>
    <w:rsid w:val="00D66F88"/>
    <w:rsid w:val="00D71C1C"/>
    <w:rsid w:val="00D755C6"/>
    <w:rsid w:val="00D75750"/>
    <w:rsid w:val="00D84722"/>
    <w:rsid w:val="00D84EF0"/>
    <w:rsid w:val="00D861ED"/>
    <w:rsid w:val="00D86289"/>
    <w:rsid w:val="00D873E0"/>
    <w:rsid w:val="00D90E75"/>
    <w:rsid w:val="00D941E3"/>
    <w:rsid w:val="00D94F8B"/>
    <w:rsid w:val="00D95FBF"/>
    <w:rsid w:val="00D97D7A"/>
    <w:rsid w:val="00DA11DE"/>
    <w:rsid w:val="00DA32E7"/>
    <w:rsid w:val="00DA5988"/>
    <w:rsid w:val="00DB7A1F"/>
    <w:rsid w:val="00DB7F77"/>
    <w:rsid w:val="00DB7F78"/>
    <w:rsid w:val="00DC0184"/>
    <w:rsid w:val="00DC317C"/>
    <w:rsid w:val="00DC4FF2"/>
    <w:rsid w:val="00DC79CC"/>
    <w:rsid w:val="00DD49BA"/>
    <w:rsid w:val="00DD52C3"/>
    <w:rsid w:val="00DD7BF0"/>
    <w:rsid w:val="00DE2B73"/>
    <w:rsid w:val="00E021B6"/>
    <w:rsid w:val="00E100C8"/>
    <w:rsid w:val="00E10D39"/>
    <w:rsid w:val="00E134F4"/>
    <w:rsid w:val="00E13B20"/>
    <w:rsid w:val="00E162E0"/>
    <w:rsid w:val="00E204FD"/>
    <w:rsid w:val="00E20D75"/>
    <w:rsid w:val="00E23568"/>
    <w:rsid w:val="00E245B5"/>
    <w:rsid w:val="00E32572"/>
    <w:rsid w:val="00E33E1B"/>
    <w:rsid w:val="00E347E0"/>
    <w:rsid w:val="00E34D3E"/>
    <w:rsid w:val="00E354AD"/>
    <w:rsid w:val="00E40ADD"/>
    <w:rsid w:val="00E416DC"/>
    <w:rsid w:val="00E5095E"/>
    <w:rsid w:val="00E5497C"/>
    <w:rsid w:val="00E56460"/>
    <w:rsid w:val="00E62BD2"/>
    <w:rsid w:val="00E647FB"/>
    <w:rsid w:val="00E710C3"/>
    <w:rsid w:val="00E7146B"/>
    <w:rsid w:val="00E720E9"/>
    <w:rsid w:val="00E81851"/>
    <w:rsid w:val="00E81C5E"/>
    <w:rsid w:val="00E8254E"/>
    <w:rsid w:val="00E82883"/>
    <w:rsid w:val="00E83946"/>
    <w:rsid w:val="00E83B3C"/>
    <w:rsid w:val="00E86A55"/>
    <w:rsid w:val="00E8736B"/>
    <w:rsid w:val="00E90275"/>
    <w:rsid w:val="00E925D4"/>
    <w:rsid w:val="00E9465D"/>
    <w:rsid w:val="00E97226"/>
    <w:rsid w:val="00EA2B44"/>
    <w:rsid w:val="00EA2D81"/>
    <w:rsid w:val="00EA33EF"/>
    <w:rsid w:val="00EB1AB2"/>
    <w:rsid w:val="00EB2271"/>
    <w:rsid w:val="00EC0C09"/>
    <w:rsid w:val="00EC4FFD"/>
    <w:rsid w:val="00EC58F5"/>
    <w:rsid w:val="00EC5EFC"/>
    <w:rsid w:val="00EC7C8D"/>
    <w:rsid w:val="00ED0779"/>
    <w:rsid w:val="00ED0C69"/>
    <w:rsid w:val="00ED2F00"/>
    <w:rsid w:val="00ED57D1"/>
    <w:rsid w:val="00ED5F05"/>
    <w:rsid w:val="00ED6DF6"/>
    <w:rsid w:val="00EE0013"/>
    <w:rsid w:val="00EE4498"/>
    <w:rsid w:val="00EE7770"/>
    <w:rsid w:val="00EF06F7"/>
    <w:rsid w:val="00EF28F9"/>
    <w:rsid w:val="00EF33CD"/>
    <w:rsid w:val="00F12924"/>
    <w:rsid w:val="00F15E63"/>
    <w:rsid w:val="00F20C9B"/>
    <w:rsid w:val="00F20DCF"/>
    <w:rsid w:val="00F228DD"/>
    <w:rsid w:val="00F300CB"/>
    <w:rsid w:val="00F31310"/>
    <w:rsid w:val="00F42C3A"/>
    <w:rsid w:val="00F45451"/>
    <w:rsid w:val="00F52BCC"/>
    <w:rsid w:val="00F5313F"/>
    <w:rsid w:val="00F76DA0"/>
    <w:rsid w:val="00F81135"/>
    <w:rsid w:val="00F81A48"/>
    <w:rsid w:val="00F94866"/>
    <w:rsid w:val="00FB320E"/>
    <w:rsid w:val="00FB62BC"/>
    <w:rsid w:val="00FD1112"/>
    <w:rsid w:val="00FD17C9"/>
    <w:rsid w:val="00FD2A5B"/>
    <w:rsid w:val="00FD4785"/>
    <w:rsid w:val="00FD731A"/>
    <w:rsid w:val="00FE3601"/>
    <w:rsid w:val="00FE4369"/>
    <w:rsid w:val="00FE4817"/>
    <w:rsid w:val="00FE6A5C"/>
    <w:rsid w:val="00FF0439"/>
    <w:rsid w:val="00FF64FC"/>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B58B"/>
  <w15:docId w15:val="{E49094CA-78D0-46F0-A7CD-7FC68F2E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1882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gi2@cdc.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tsdr.cdc.gov/sites/brownfields/infographic.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nphpsp/essentialservices.html.%20Accessed%20on%208/14/14"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https://esp.cdc.gov/sites/ostlts/pip/osc/_layouts/15/DocIdRedir.aspx?ID=OSTLTSDOC-726-155</Url>
      <Description>OSTLTSDOC-726-155</Description>
    </_dlc_DocIdUrl>
    <_dlc_DocId xmlns="b5c0ca00-073d-4463-9985-b654f14791fe">OSTLTSDOC-726-155</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54D2B-84A7-4BBD-BDD3-EDDDEE96BACF}">
  <ds:schemaRefs>
    <ds:schemaRef ds:uri="http://schemas.microsoft.com/sharepoint/v3/contenttype/forms"/>
  </ds:schemaRefs>
</ds:datastoreItem>
</file>

<file path=customXml/itemProps2.xml><?xml version="1.0" encoding="utf-8"?>
<ds:datastoreItem xmlns:ds="http://schemas.openxmlformats.org/officeDocument/2006/customXml" ds:itemID="{BE3CEEC7-B1B0-47F4-998E-DE08BDAFA588}">
  <ds:schemaRefs>
    <ds:schemaRef ds:uri="http://schemas.microsoft.com/office/2006/metadata/customXsn"/>
  </ds:schemaRefs>
</ds:datastoreItem>
</file>

<file path=customXml/itemProps3.xml><?xml version="1.0" encoding="utf-8"?>
<ds:datastoreItem xmlns:ds="http://schemas.openxmlformats.org/officeDocument/2006/customXml" ds:itemID="{6143294B-986D-402B-AE59-A85197565E83}">
  <ds:schemaRefs>
    <ds:schemaRef ds:uri="15b1c282-9287-45cb-9b41-eae3a76919a0"/>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bd99c180-279b-44c3-9486-dd050336677e"/>
    <ds:schemaRef ds:uri="http://schemas.microsoft.com/office/infopath/2007/PartnerControls"/>
    <ds:schemaRef ds:uri="http://schemas.microsoft.com/office/2006/documentManagement/types"/>
    <ds:schemaRef ds:uri="ce849d94-b00b-4457-8fdf-7e9e81e05b5e"/>
    <ds:schemaRef ds:uri="b5c0ca00-073d-4463-9985-b654f14791fe"/>
    <ds:schemaRef ds:uri="http://purl.org/dc/dcmitype/"/>
  </ds:schemaRefs>
</ds:datastoreItem>
</file>

<file path=customXml/itemProps4.xml><?xml version="1.0" encoding="utf-8"?>
<ds:datastoreItem xmlns:ds="http://schemas.openxmlformats.org/officeDocument/2006/customXml" ds:itemID="{CDA6B01F-E275-4CAC-97B2-27F3C941FA08}">
  <ds:schemaRefs>
    <ds:schemaRef ds:uri="http://schemas.microsoft.com/sharepoint/events"/>
  </ds:schemaRefs>
</ds:datastoreItem>
</file>

<file path=customXml/itemProps5.xml><?xml version="1.0" encoding="utf-8"?>
<ds:datastoreItem xmlns:ds="http://schemas.openxmlformats.org/officeDocument/2006/customXml" ds:itemID="{B339C4E4-8352-4367-84EF-22513A0E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6E81E7-23EF-4AB9-A14E-584C75AB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10</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cp:lastPrinted>2011-06-07T15:53:00Z</cp:lastPrinted>
  <dcterms:created xsi:type="dcterms:W3CDTF">2016-10-04T12:53:00Z</dcterms:created>
  <dcterms:modified xsi:type="dcterms:W3CDTF">2016-10-04T12:55:00Z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d4a39622-aa65-4238-a422-06652fe3ccdf</vt:lpwstr>
  </property>
</Properties>
</file>