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533DB" w14:textId="77777777" w:rsidR="00716F94" w:rsidRDefault="00716F94" w:rsidP="007D6163">
      <w:bookmarkStart w:id="0" w:name="_GoBack"/>
      <w:bookmarkEnd w:id="0"/>
    </w:p>
    <w:p w14:paraId="39133ADE" w14:textId="77777777" w:rsidR="009B4A51" w:rsidRDefault="009B4A51" w:rsidP="007D6163"/>
    <w:p w14:paraId="31C6161D" w14:textId="77777777" w:rsidR="009B4A51" w:rsidRDefault="009B4A51" w:rsidP="007D6163"/>
    <w:p w14:paraId="174B2A9C" w14:textId="77777777" w:rsidR="009B4A51" w:rsidRDefault="009B4A51" w:rsidP="007D6163"/>
    <w:p w14:paraId="39AE4E81" w14:textId="77777777" w:rsidR="009B4A51" w:rsidRDefault="009B4A51" w:rsidP="007D6163"/>
    <w:p w14:paraId="6F068EAA" w14:textId="77777777" w:rsidR="00667C89" w:rsidRDefault="00667C89" w:rsidP="007D6163"/>
    <w:p w14:paraId="699C0DDC" w14:textId="77777777" w:rsidR="009B4A51" w:rsidRDefault="009B4A51" w:rsidP="007D6163"/>
    <w:p w14:paraId="22CCA5BD" w14:textId="77777777" w:rsidR="009B4A51" w:rsidRDefault="009B4A51" w:rsidP="00CA5840">
      <w:pPr>
        <w:ind w:left="0"/>
      </w:pPr>
    </w:p>
    <w:p w14:paraId="1FFEFDF5" w14:textId="16995CCF" w:rsidR="00716F94" w:rsidRPr="0088770B" w:rsidRDefault="00710594" w:rsidP="00CA5840">
      <w:pPr>
        <w:pStyle w:val="Heading1"/>
        <w:ind w:left="0"/>
      </w:pPr>
      <w:r>
        <w:t>HHS</w:t>
      </w:r>
      <w:r w:rsidR="0088770B" w:rsidRPr="00C83784">
        <w:t xml:space="preserve"> Temporary Reassignment Request Form</w:t>
      </w:r>
    </w:p>
    <w:p w14:paraId="14615F9F" w14:textId="77777777" w:rsidR="00AA3192" w:rsidRDefault="00AA3192" w:rsidP="00CA5840">
      <w:pPr>
        <w:ind w:left="0"/>
      </w:pPr>
    </w:p>
    <w:p w14:paraId="769E1267"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2934E9BD" w14:textId="77777777" w:rsidR="00484011" w:rsidRPr="00AA3192" w:rsidRDefault="00484011" w:rsidP="00CA5840">
      <w:pPr>
        <w:ind w:left="0"/>
        <w:jc w:val="center"/>
      </w:pPr>
      <w:r w:rsidRPr="00AA3192">
        <w:t>OMB No. 0920-0879</w:t>
      </w:r>
    </w:p>
    <w:p w14:paraId="6DF7B5EC" w14:textId="77777777" w:rsidR="009B4A51" w:rsidRDefault="009B4A51" w:rsidP="00CA5840">
      <w:pPr>
        <w:ind w:left="0"/>
      </w:pPr>
    </w:p>
    <w:p w14:paraId="530B1CC3" w14:textId="77777777" w:rsidR="009B4A51" w:rsidRDefault="009B4A51" w:rsidP="00CA5840">
      <w:pPr>
        <w:ind w:left="0"/>
      </w:pPr>
    </w:p>
    <w:p w14:paraId="6C5B52C2" w14:textId="77777777" w:rsidR="00AA3192" w:rsidRDefault="00AA3192" w:rsidP="00CA5840">
      <w:pPr>
        <w:ind w:left="0"/>
      </w:pPr>
    </w:p>
    <w:p w14:paraId="0682C83A" w14:textId="77777777" w:rsidR="00AA3192" w:rsidRDefault="00AA3192" w:rsidP="00CA5840">
      <w:pPr>
        <w:ind w:left="0"/>
      </w:pPr>
    </w:p>
    <w:p w14:paraId="62481456" w14:textId="642BBA12" w:rsidR="009B4A51" w:rsidRPr="007D6163" w:rsidRDefault="005C3A51" w:rsidP="00CA5840">
      <w:pPr>
        <w:pStyle w:val="Heading2"/>
        <w:ind w:left="0"/>
      </w:pPr>
      <w:r>
        <w:t xml:space="preserve">Supporting Statement – Section A </w:t>
      </w:r>
    </w:p>
    <w:p w14:paraId="02411B16" w14:textId="77777777" w:rsidR="009B4A51" w:rsidRDefault="009B4A51" w:rsidP="00CA5840">
      <w:pPr>
        <w:ind w:left="0"/>
      </w:pPr>
    </w:p>
    <w:p w14:paraId="16B8C76D" w14:textId="77777777" w:rsidR="00484011" w:rsidRDefault="00484011" w:rsidP="00CA5840">
      <w:pPr>
        <w:ind w:left="0"/>
      </w:pPr>
    </w:p>
    <w:p w14:paraId="49C76F6D" w14:textId="77777777" w:rsidR="00AA3192" w:rsidRDefault="00AA3192" w:rsidP="00CA5840">
      <w:pPr>
        <w:ind w:left="0"/>
      </w:pPr>
    </w:p>
    <w:p w14:paraId="030A7661" w14:textId="77777777" w:rsidR="009B4A51" w:rsidRDefault="009B4A51" w:rsidP="00CA5840">
      <w:pPr>
        <w:ind w:left="0"/>
      </w:pPr>
    </w:p>
    <w:p w14:paraId="436C092E" w14:textId="77777777" w:rsidR="009B4A51" w:rsidRDefault="009B4A51" w:rsidP="00CA5840">
      <w:pPr>
        <w:ind w:left="0"/>
      </w:pPr>
    </w:p>
    <w:p w14:paraId="7AF0CCCE" w14:textId="63E070C8" w:rsidR="00B34220" w:rsidRPr="00BC6896" w:rsidRDefault="00B34220" w:rsidP="00B34220">
      <w:pPr>
        <w:ind w:left="0"/>
        <w:jc w:val="center"/>
      </w:pPr>
      <w:r w:rsidRPr="004C64CC">
        <w:t xml:space="preserve">Submitted: </w:t>
      </w:r>
      <w:r w:rsidR="00DB308D">
        <w:t xml:space="preserve"> </w:t>
      </w:r>
      <w:r w:rsidR="00E1635A">
        <w:t>10/14/16</w:t>
      </w:r>
    </w:p>
    <w:p w14:paraId="3421DF31" w14:textId="77777777" w:rsidR="009B4A51" w:rsidRDefault="009B4A51" w:rsidP="007D6163"/>
    <w:p w14:paraId="127C1A91" w14:textId="77777777" w:rsidR="009B4A51" w:rsidRDefault="009B4A51" w:rsidP="007D6163"/>
    <w:p w14:paraId="3E13F641" w14:textId="77777777" w:rsidR="00AA3192" w:rsidRDefault="00AA3192" w:rsidP="007D6163"/>
    <w:p w14:paraId="1EDB03B1" w14:textId="77777777" w:rsidR="00AA3192" w:rsidRDefault="00AA3192" w:rsidP="007D6163"/>
    <w:p w14:paraId="53295C3D" w14:textId="77777777" w:rsidR="009B4A51" w:rsidRDefault="009B4A51" w:rsidP="007D6163"/>
    <w:p w14:paraId="74C4802D" w14:textId="77777777" w:rsidR="00441CC3" w:rsidRPr="00710594" w:rsidRDefault="00716F94" w:rsidP="00CA5840">
      <w:pPr>
        <w:ind w:left="0"/>
        <w:rPr>
          <w:b/>
          <w:u w:val="single"/>
        </w:rPr>
      </w:pPr>
      <w:r w:rsidRPr="00710594">
        <w:rPr>
          <w:b/>
          <w:u w:val="single"/>
        </w:rPr>
        <w:t>P</w:t>
      </w:r>
      <w:r w:rsidR="00667C89" w:rsidRPr="00710594">
        <w:rPr>
          <w:b/>
          <w:u w:val="single"/>
        </w:rPr>
        <w:t>rogram Official/Project Officer</w:t>
      </w:r>
    </w:p>
    <w:p w14:paraId="31762D65" w14:textId="30088AED" w:rsidR="00321B51" w:rsidRPr="00710594" w:rsidRDefault="00710594" w:rsidP="00CA5840">
      <w:pPr>
        <w:ind w:left="0"/>
      </w:pPr>
      <w:r w:rsidRPr="00710594">
        <w:t>Seta Hovagimian</w:t>
      </w:r>
    </w:p>
    <w:p w14:paraId="1DB836AA" w14:textId="68D30FFD" w:rsidR="00321B51" w:rsidRPr="00710594" w:rsidRDefault="00710594" w:rsidP="00CA5840">
      <w:pPr>
        <w:ind w:left="0"/>
      </w:pPr>
      <w:r w:rsidRPr="00710594">
        <w:t>Legislative Analyst</w:t>
      </w:r>
    </w:p>
    <w:p w14:paraId="3F15C95C" w14:textId="40ECC2A9" w:rsidR="00321B51" w:rsidRPr="00710594" w:rsidRDefault="00710594" w:rsidP="00CA5840">
      <w:pPr>
        <w:ind w:left="0"/>
      </w:pPr>
      <w:r w:rsidRPr="00710594">
        <w:t>Office of the Assistant Secretary for Preparedness and Response</w:t>
      </w:r>
    </w:p>
    <w:p w14:paraId="41DAB1B4" w14:textId="59EAD269" w:rsidR="00321B51" w:rsidRPr="00710594" w:rsidRDefault="00710594" w:rsidP="00CA5840">
      <w:pPr>
        <w:ind w:left="0"/>
      </w:pPr>
      <w:r w:rsidRPr="00710594">
        <w:t>200 C St SW Washington, DC 20024</w:t>
      </w:r>
    </w:p>
    <w:p w14:paraId="7DE013B7" w14:textId="69FC6BC0" w:rsidR="00321B51" w:rsidRPr="00710594" w:rsidRDefault="00710594" w:rsidP="00CA5840">
      <w:pPr>
        <w:ind w:left="0"/>
      </w:pPr>
      <w:r w:rsidRPr="00710594">
        <w:t>202-205-8189</w:t>
      </w:r>
    </w:p>
    <w:p w14:paraId="2935CA74" w14:textId="049A0AFA" w:rsidR="00CA5840" w:rsidRPr="00710594" w:rsidRDefault="00BE4F7D" w:rsidP="005C3A51">
      <w:pPr>
        <w:ind w:left="0"/>
      </w:pPr>
      <w:hyperlink r:id="rId8" w:history="1">
        <w:r w:rsidR="00710594" w:rsidRPr="00710594">
          <w:rPr>
            <w:rStyle w:val="Hyperlink"/>
            <w:color w:val="auto"/>
          </w:rPr>
          <w:t>seta.hovagimian@hhs.gov</w:t>
        </w:r>
      </w:hyperlink>
    </w:p>
    <w:p w14:paraId="2178B23D" w14:textId="77777777" w:rsidR="00710594" w:rsidRDefault="00710594" w:rsidP="005C3A51">
      <w:pPr>
        <w:ind w:left="0"/>
        <w:rPr>
          <w:b/>
          <w:sz w:val="28"/>
        </w:rPr>
      </w:pPr>
    </w:p>
    <w:p w14:paraId="1DC1D4AC" w14:textId="77777777" w:rsidR="00710594" w:rsidRDefault="00710594">
      <w:pPr>
        <w:tabs>
          <w:tab w:val="clear" w:pos="9360"/>
        </w:tabs>
        <w:spacing w:after="200"/>
        <w:ind w:left="0"/>
        <w:rPr>
          <w:b/>
          <w:sz w:val="28"/>
        </w:rPr>
      </w:pPr>
      <w:bookmarkStart w:id="1" w:name="_Toc427752811"/>
      <w:r>
        <w:br w:type="page"/>
      </w:r>
    </w:p>
    <w:p w14:paraId="0FA49B96" w14:textId="40447824" w:rsidR="003860A5" w:rsidRDefault="003860A5" w:rsidP="003860A5">
      <w:pPr>
        <w:pStyle w:val="Heading3"/>
        <w:ind w:left="0"/>
      </w:pPr>
      <w:r>
        <w:lastRenderedPageBreak/>
        <w:t>Table of Contents</w:t>
      </w:r>
      <w:bookmarkEnd w:id="1"/>
    </w:p>
    <w:p w14:paraId="38F17BFF" w14:textId="77777777" w:rsidR="003860A5" w:rsidRPr="003860A5" w:rsidRDefault="003860A5" w:rsidP="003860A5"/>
    <w:p w14:paraId="461D6187" w14:textId="77777777"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E1635A">
          <w:rPr>
            <w:noProof/>
            <w:webHidden/>
          </w:rPr>
          <w:t>2</w:t>
        </w:r>
        <w:r w:rsidR="00CC4DAB">
          <w:rPr>
            <w:noProof/>
            <w:webHidden/>
          </w:rPr>
          <w:fldChar w:fldCharType="end"/>
        </w:r>
      </w:hyperlink>
    </w:p>
    <w:p w14:paraId="7E76DEA3" w14:textId="77777777" w:rsidR="00CC4DAB" w:rsidRDefault="00BE4F7D">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E1635A">
          <w:rPr>
            <w:noProof/>
            <w:webHidden/>
          </w:rPr>
          <w:t>3</w:t>
        </w:r>
        <w:r w:rsidR="00CC4DAB">
          <w:rPr>
            <w:noProof/>
            <w:webHidden/>
          </w:rPr>
          <w:fldChar w:fldCharType="end"/>
        </w:r>
      </w:hyperlink>
    </w:p>
    <w:p w14:paraId="314811EB" w14:textId="77777777" w:rsidR="00CC4DAB" w:rsidRDefault="00BE4F7D">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E1635A">
          <w:rPr>
            <w:noProof/>
            <w:webHidden/>
          </w:rPr>
          <w:t>3</w:t>
        </w:r>
        <w:r w:rsidR="00CC4DAB">
          <w:rPr>
            <w:noProof/>
            <w:webHidden/>
          </w:rPr>
          <w:fldChar w:fldCharType="end"/>
        </w:r>
      </w:hyperlink>
    </w:p>
    <w:p w14:paraId="34E44435" w14:textId="77777777" w:rsidR="00CC4DAB" w:rsidRDefault="00BE4F7D">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E1635A">
          <w:rPr>
            <w:noProof/>
            <w:webHidden/>
          </w:rPr>
          <w:t>6</w:t>
        </w:r>
        <w:r w:rsidR="00CC4DAB">
          <w:rPr>
            <w:noProof/>
            <w:webHidden/>
          </w:rPr>
          <w:fldChar w:fldCharType="end"/>
        </w:r>
      </w:hyperlink>
    </w:p>
    <w:p w14:paraId="341964F2" w14:textId="6990B9DC" w:rsidR="00CC4DAB" w:rsidRDefault="00BE4F7D">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E1635A">
          <w:rPr>
            <w:noProof/>
            <w:webHidden/>
          </w:rPr>
          <w:t>6</w:t>
        </w:r>
        <w:r w:rsidR="00CC4DAB">
          <w:rPr>
            <w:noProof/>
            <w:webHidden/>
          </w:rPr>
          <w:fldChar w:fldCharType="end"/>
        </w:r>
      </w:hyperlink>
    </w:p>
    <w:p w14:paraId="4D425A86" w14:textId="7A5B1639" w:rsidR="00CC4DAB" w:rsidRDefault="00BE4F7D">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E1635A">
          <w:rPr>
            <w:noProof/>
            <w:webHidden/>
          </w:rPr>
          <w:t>6</w:t>
        </w:r>
        <w:r w:rsidR="00CC4DAB">
          <w:rPr>
            <w:noProof/>
            <w:webHidden/>
          </w:rPr>
          <w:fldChar w:fldCharType="end"/>
        </w:r>
      </w:hyperlink>
    </w:p>
    <w:p w14:paraId="0597B2E1" w14:textId="6AC750CE" w:rsidR="00CC4DAB" w:rsidRDefault="00BE4F7D">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E1635A">
          <w:rPr>
            <w:noProof/>
            <w:webHidden/>
          </w:rPr>
          <w:t>7</w:t>
        </w:r>
        <w:r w:rsidR="00CC4DAB">
          <w:rPr>
            <w:noProof/>
            <w:webHidden/>
          </w:rPr>
          <w:fldChar w:fldCharType="end"/>
        </w:r>
      </w:hyperlink>
    </w:p>
    <w:p w14:paraId="27B6204E" w14:textId="7B73D3D6" w:rsidR="00CC4DAB" w:rsidRDefault="00BE4F7D">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E1635A">
          <w:rPr>
            <w:noProof/>
            <w:webHidden/>
          </w:rPr>
          <w:t>7</w:t>
        </w:r>
        <w:r w:rsidR="00CC4DAB">
          <w:rPr>
            <w:noProof/>
            <w:webHidden/>
          </w:rPr>
          <w:fldChar w:fldCharType="end"/>
        </w:r>
      </w:hyperlink>
    </w:p>
    <w:p w14:paraId="11021D84" w14:textId="137088FD" w:rsidR="00CC4DAB" w:rsidRDefault="00BE4F7D">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E1635A">
          <w:rPr>
            <w:noProof/>
            <w:webHidden/>
          </w:rPr>
          <w:t>7</w:t>
        </w:r>
        <w:r w:rsidR="00CC4DAB">
          <w:rPr>
            <w:noProof/>
            <w:webHidden/>
          </w:rPr>
          <w:fldChar w:fldCharType="end"/>
        </w:r>
      </w:hyperlink>
    </w:p>
    <w:p w14:paraId="193307E1" w14:textId="5F44042F" w:rsidR="00CC4DAB" w:rsidRDefault="00BE4F7D">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E1635A">
          <w:rPr>
            <w:noProof/>
            <w:webHidden/>
          </w:rPr>
          <w:t>7</w:t>
        </w:r>
        <w:r w:rsidR="00CC4DAB">
          <w:rPr>
            <w:noProof/>
            <w:webHidden/>
          </w:rPr>
          <w:fldChar w:fldCharType="end"/>
        </w:r>
      </w:hyperlink>
    </w:p>
    <w:p w14:paraId="55C1FBAF" w14:textId="4F617AB5" w:rsidR="00CC4DAB" w:rsidRDefault="00BE4F7D">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E1635A">
          <w:rPr>
            <w:noProof/>
            <w:webHidden/>
          </w:rPr>
          <w:t>7</w:t>
        </w:r>
        <w:r w:rsidR="00CC4DAB">
          <w:rPr>
            <w:noProof/>
            <w:webHidden/>
          </w:rPr>
          <w:fldChar w:fldCharType="end"/>
        </w:r>
      </w:hyperlink>
    </w:p>
    <w:p w14:paraId="0DE14437" w14:textId="5912C823" w:rsidR="00CC4DAB" w:rsidRDefault="00BE4F7D">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E1635A">
          <w:rPr>
            <w:noProof/>
            <w:webHidden/>
          </w:rPr>
          <w:t>7</w:t>
        </w:r>
        <w:r w:rsidR="00CC4DAB">
          <w:rPr>
            <w:noProof/>
            <w:webHidden/>
          </w:rPr>
          <w:fldChar w:fldCharType="end"/>
        </w:r>
      </w:hyperlink>
    </w:p>
    <w:p w14:paraId="1602AB14" w14:textId="07F3777E" w:rsidR="00CC4DAB" w:rsidRDefault="00BE4F7D">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E1635A">
          <w:rPr>
            <w:noProof/>
            <w:webHidden/>
          </w:rPr>
          <w:t>8</w:t>
        </w:r>
        <w:r w:rsidR="00CC4DAB">
          <w:rPr>
            <w:noProof/>
            <w:webHidden/>
          </w:rPr>
          <w:fldChar w:fldCharType="end"/>
        </w:r>
      </w:hyperlink>
    </w:p>
    <w:p w14:paraId="7F69E179" w14:textId="223BDD10" w:rsidR="00CC4DAB" w:rsidRDefault="00BE4F7D">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E1635A">
          <w:rPr>
            <w:noProof/>
            <w:webHidden/>
          </w:rPr>
          <w:t>8</w:t>
        </w:r>
        <w:r w:rsidR="00CC4DAB">
          <w:rPr>
            <w:noProof/>
            <w:webHidden/>
          </w:rPr>
          <w:fldChar w:fldCharType="end"/>
        </w:r>
      </w:hyperlink>
    </w:p>
    <w:p w14:paraId="1BFBDC8A" w14:textId="69AD405A" w:rsidR="00CC4DAB" w:rsidRDefault="00BE4F7D">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E1635A">
          <w:rPr>
            <w:noProof/>
            <w:webHidden/>
          </w:rPr>
          <w:t>8</w:t>
        </w:r>
        <w:r w:rsidR="00CC4DAB">
          <w:rPr>
            <w:noProof/>
            <w:webHidden/>
          </w:rPr>
          <w:fldChar w:fldCharType="end"/>
        </w:r>
      </w:hyperlink>
    </w:p>
    <w:p w14:paraId="28485E18" w14:textId="6D9C82CE" w:rsidR="00CC4DAB" w:rsidRDefault="00BE4F7D">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E1635A">
          <w:rPr>
            <w:noProof/>
            <w:webHidden/>
          </w:rPr>
          <w:t>9</w:t>
        </w:r>
        <w:r w:rsidR="00CC4DAB">
          <w:rPr>
            <w:noProof/>
            <w:webHidden/>
          </w:rPr>
          <w:fldChar w:fldCharType="end"/>
        </w:r>
      </w:hyperlink>
    </w:p>
    <w:p w14:paraId="7B4E8EE4" w14:textId="28530A6E" w:rsidR="00CC4DAB" w:rsidRDefault="00BE4F7D">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E1635A">
          <w:rPr>
            <w:noProof/>
            <w:webHidden/>
          </w:rPr>
          <w:t>9</w:t>
        </w:r>
        <w:r w:rsidR="00CC4DAB">
          <w:rPr>
            <w:noProof/>
            <w:webHidden/>
          </w:rPr>
          <w:fldChar w:fldCharType="end"/>
        </w:r>
      </w:hyperlink>
    </w:p>
    <w:p w14:paraId="0FCCA84F" w14:textId="14C3DF87" w:rsidR="00CC4DAB" w:rsidRDefault="00BE4F7D">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E1635A">
          <w:rPr>
            <w:noProof/>
            <w:webHidden/>
          </w:rPr>
          <w:t>9</w:t>
        </w:r>
        <w:r w:rsidR="00CC4DAB">
          <w:rPr>
            <w:noProof/>
            <w:webHidden/>
          </w:rPr>
          <w:fldChar w:fldCharType="end"/>
        </w:r>
      </w:hyperlink>
    </w:p>
    <w:p w14:paraId="39618C55" w14:textId="368AAB4A" w:rsidR="00CC4DAB" w:rsidRDefault="00BE4F7D">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E1635A">
          <w:rPr>
            <w:noProof/>
            <w:webHidden/>
          </w:rPr>
          <w:t>9</w:t>
        </w:r>
        <w:r w:rsidR="00CC4DAB">
          <w:rPr>
            <w:noProof/>
            <w:webHidden/>
          </w:rPr>
          <w:fldChar w:fldCharType="end"/>
        </w:r>
      </w:hyperlink>
    </w:p>
    <w:p w14:paraId="6E51641B" w14:textId="00DA139F" w:rsidR="00CC4DAB" w:rsidRDefault="00BE4F7D">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E1635A">
          <w:rPr>
            <w:noProof/>
            <w:webHidden/>
          </w:rPr>
          <w:t>9</w:t>
        </w:r>
        <w:r w:rsidR="00CC4DAB">
          <w:rPr>
            <w:noProof/>
            <w:webHidden/>
          </w:rPr>
          <w:fldChar w:fldCharType="end"/>
        </w:r>
      </w:hyperlink>
    </w:p>
    <w:p w14:paraId="437A47BC" w14:textId="3962EF0C" w:rsidR="00CC4DAB" w:rsidRDefault="00BE4F7D">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E1635A">
          <w:rPr>
            <w:noProof/>
            <w:webHidden/>
          </w:rPr>
          <w:t>10</w:t>
        </w:r>
        <w:r w:rsidR="00CC4DAB">
          <w:rPr>
            <w:noProof/>
            <w:webHidden/>
          </w:rPr>
          <w:fldChar w:fldCharType="end"/>
        </w:r>
      </w:hyperlink>
    </w:p>
    <w:p w14:paraId="451ECEBD" w14:textId="23797142" w:rsidR="00CC4DAB" w:rsidRDefault="00BE4F7D">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E1635A">
          <w:rPr>
            <w:noProof/>
            <w:webHidden/>
          </w:rPr>
          <w:t>10</w:t>
        </w:r>
        <w:r w:rsidR="00CC4DAB">
          <w:rPr>
            <w:noProof/>
            <w:webHidden/>
          </w:rPr>
          <w:fldChar w:fldCharType="end"/>
        </w:r>
      </w:hyperlink>
    </w:p>
    <w:p w14:paraId="7E0F2413" w14:textId="77777777" w:rsidR="003860A5" w:rsidRDefault="003860A5" w:rsidP="00CA5840">
      <w:pPr>
        <w:pStyle w:val="Heading3"/>
        <w:ind w:left="0"/>
      </w:pPr>
      <w:r>
        <w:fldChar w:fldCharType="end"/>
      </w:r>
    </w:p>
    <w:bookmarkStart w:id="2" w:name="_Toc413847747"/>
    <w:bookmarkStart w:id="3" w:name="_Toc427752812"/>
    <w:p w14:paraId="25E7D594" w14:textId="77777777" w:rsidR="00487937" w:rsidRDefault="00487937" w:rsidP="00CA5840">
      <w:pPr>
        <w:pStyle w:val="Heading3"/>
        <w:ind w:left="0"/>
      </w:pPr>
      <w:r w:rsidRPr="00487937">
        <w:rPr>
          <w:rFonts w:ascii="Calibri" w:eastAsia="Calibri" w:hAnsi="Calibri" w:cs="Times New Roman"/>
          <w:b w:val="0"/>
          <w:noProof/>
          <w:sz w:val="22"/>
        </w:rPr>
        <w:lastRenderedPageBreak/>
        <mc:AlternateContent>
          <mc:Choice Requires="wps">
            <w:drawing>
              <wp:inline distT="0" distB="0" distL="0" distR="0" wp14:anchorId="2DCDB37C" wp14:editId="2DB6EAEC">
                <wp:extent cx="6019800" cy="3390900"/>
                <wp:effectExtent l="0" t="0" r="1905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solidFill>
                          <a:srgbClr val="FFFFFF"/>
                        </a:solidFill>
                        <a:ln w="9525">
                          <a:solidFill>
                            <a:srgbClr val="000000"/>
                          </a:solidFill>
                          <a:miter lim="800000"/>
                          <a:headEnd/>
                          <a:tailEnd/>
                        </a:ln>
                      </wps:spPr>
                      <wps:txbx>
                        <w:txbxContent>
                          <w:p w14:paraId="14064810" w14:textId="11A3FAEE" w:rsidR="00673BB7" w:rsidRDefault="00673BB7" w:rsidP="00114340">
                            <w:pPr>
                              <w:pStyle w:val="ListParagraph"/>
                              <w:numPr>
                                <w:ilvl w:val="0"/>
                                <w:numId w:val="34"/>
                              </w:numPr>
                              <w:tabs>
                                <w:tab w:val="clear" w:pos="9360"/>
                              </w:tabs>
                              <w:spacing w:after="200"/>
                            </w:pPr>
                            <w:r w:rsidRPr="00EF49EE">
                              <w:rPr>
                                <w:b/>
                              </w:rPr>
                              <w:t>Purpose:</w:t>
                            </w:r>
                            <w:r>
                              <w:t xml:space="preserve"> </w:t>
                            </w:r>
                            <w:r w:rsidRPr="00031435">
                              <w:t>The purpose of t</w:t>
                            </w:r>
                            <w:r>
                              <w:t>he information collection is for the Department of Health and Human Services (HHS)</w:t>
                            </w:r>
                            <w:r w:rsidR="00F528CC">
                              <w:t>/ASPR (spell out acronym)</w:t>
                            </w:r>
                            <w:r>
                              <w:t xml:space="preserve"> to obtain information </w:t>
                            </w:r>
                            <w:r w:rsidRPr="00031435">
                              <w:t>from states and tribes on the conditions in which</w:t>
                            </w:r>
                            <w:r>
                              <w:t xml:space="preserve"> reassigned</w:t>
                            </w:r>
                            <w:r w:rsidRPr="00031435">
                              <w:t xml:space="preserve"> personnel are needed to assist with responding to a public health emergency, the program(s) selected for reassignment, and any impacts the reassignment will have on the program.</w:t>
                            </w:r>
                          </w:p>
                          <w:p w14:paraId="67C576C2" w14:textId="5E06BB50" w:rsidR="00673BB7" w:rsidRPr="00C83784" w:rsidRDefault="00673BB7" w:rsidP="00673BB7">
                            <w:pPr>
                              <w:pStyle w:val="ListParagraph"/>
                              <w:tabs>
                                <w:tab w:val="clear" w:pos="9360"/>
                              </w:tabs>
                              <w:spacing w:after="200"/>
                              <w:ind w:left="360"/>
                            </w:pPr>
                          </w:p>
                          <w:p w14:paraId="0B67B0CD" w14:textId="55C86474" w:rsidR="00673BB7" w:rsidRDefault="00673BB7" w:rsidP="00673BB7">
                            <w:pPr>
                              <w:pStyle w:val="ListParagraph"/>
                              <w:numPr>
                                <w:ilvl w:val="0"/>
                                <w:numId w:val="34"/>
                              </w:numPr>
                              <w:rPr>
                                <w:rFonts w:cs="Arial"/>
                                <w:b/>
                              </w:rPr>
                            </w:pPr>
                            <w:r w:rsidRPr="00EF49EE">
                              <w:rPr>
                                <w:b/>
                              </w:rPr>
                              <w:t>Use:</w:t>
                            </w:r>
                            <w:r>
                              <w:t xml:space="preserve"> Collected data will be used by </w:t>
                            </w:r>
                            <w:r w:rsidRPr="00C83784">
                              <w:t>HHS Op</w:t>
                            </w:r>
                            <w:r>
                              <w:t xml:space="preserve">erating </w:t>
                            </w:r>
                            <w:r w:rsidRPr="00C83784">
                              <w:t>Div</w:t>
                            </w:r>
                            <w:r>
                              <w:t>isions (OpDiv) and</w:t>
                            </w:r>
                            <w:r w:rsidRPr="00C83784">
                              <w:t xml:space="preserve"> Staff Division</w:t>
                            </w:r>
                            <w:r>
                              <w:t xml:space="preserve">s (StaffDiv) to make an informed </w:t>
                            </w:r>
                            <w:r w:rsidRPr="00C83784">
                              <w:t>determination</w:t>
                            </w:r>
                            <w:r>
                              <w:t xml:space="preserve"> to approve or deny </w:t>
                            </w:r>
                            <w:r w:rsidR="005E251C">
                              <w:t>a</w:t>
                            </w:r>
                            <w:r w:rsidRPr="00C83784">
                              <w:t xml:space="preserve"> state or tribe’s </w:t>
                            </w:r>
                            <w:r>
                              <w:t xml:space="preserve">request to use </w:t>
                            </w:r>
                            <w:r w:rsidRPr="00C83784">
                              <w:t xml:space="preserve">the </w:t>
                            </w:r>
                            <w:r>
                              <w:t xml:space="preserve">temporary reassignment </w:t>
                            </w:r>
                            <w:r w:rsidRPr="00C83784">
                              <w:t>authority</w:t>
                            </w:r>
                            <w:r w:rsidR="005E251C">
                              <w:t>.</w:t>
                            </w:r>
                            <w:r>
                              <w:t xml:space="preserve">  </w:t>
                            </w:r>
                          </w:p>
                          <w:p w14:paraId="78978490" w14:textId="77777777" w:rsidR="00673BB7" w:rsidRPr="00673BB7" w:rsidRDefault="00673BB7" w:rsidP="00673BB7">
                            <w:pPr>
                              <w:pStyle w:val="ListParagraph"/>
                              <w:tabs>
                                <w:tab w:val="clear" w:pos="9360"/>
                              </w:tabs>
                              <w:spacing w:after="200"/>
                              <w:ind w:left="360"/>
                            </w:pPr>
                          </w:p>
                          <w:p w14:paraId="20641F28" w14:textId="6BC0C647" w:rsidR="00673BB7" w:rsidRDefault="00673BB7" w:rsidP="000315E3">
                            <w:pPr>
                              <w:pStyle w:val="ListParagraph"/>
                              <w:numPr>
                                <w:ilvl w:val="0"/>
                                <w:numId w:val="34"/>
                              </w:numPr>
                              <w:tabs>
                                <w:tab w:val="clear" w:pos="9360"/>
                              </w:tabs>
                              <w:spacing w:after="200"/>
                            </w:pPr>
                            <w:r w:rsidRPr="00EF49EE">
                              <w:rPr>
                                <w:b/>
                              </w:rPr>
                              <w:t>Instrument:</w:t>
                            </w:r>
                            <w:r>
                              <w:t xml:space="preserve"> </w:t>
                            </w:r>
                            <w:r w:rsidRPr="000315E3">
                              <w:t>Data will be collected by an online data collection instrument</w:t>
                            </w:r>
                            <w:r>
                              <w:t>.</w:t>
                            </w:r>
                          </w:p>
                          <w:p w14:paraId="341624A1" w14:textId="77777777" w:rsidR="00673BB7" w:rsidRDefault="00673BB7" w:rsidP="00954EF5">
                            <w:pPr>
                              <w:pStyle w:val="ListParagraph"/>
                            </w:pPr>
                          </w:p>
                          <w:p w14:paraId="1E74CE14" w14:textId="5D3E8B07" w:rsidR="00673BB7" w:rsidRPr="00C83784" w:rsidRDefault="00673BB7" w:rsidP="00D42E28">
                            <w:pPr>
                              <w:pStyle w:val="ListParagraph"/>
                              <w:numPr>
                                <w:ilvl w:val="0"/>
                                <w:numId w:val="34"/>
                              </w:numPr>
                              <w:tabs>
                                <w:tab w:val="clear" w:pos="9360"/>
                              </w:tabs>
                              <w:spacing w:after="200"/>
                            </w:pPr>
                            <w:r w:rsidRPr="00EF49EE">
                              <w:rPr>
                                <w:b/>
                              </w:rPr>
                              <w:t>Respondents</w:t>
                            </w:r>
                            <w:r>
                              <w:t xml:space="preserve">: Data will be collected from </w:t>
                            </w:r>
                            <w:r w:rsidRPr="00C83784">
                              <w:rPr>
                                <w:rFonts w:cs="Arial"/>
                              </w:rPr>
                              <w:t>state</w:t>
                            </w:r>
                            <w:r w:rsidR="00F528CC">
                              <w:rPr>
                                <w:rFonts w:cs="Arial"/>
                              </w:rPr>
                              <w:t xml:space="preserve"> and</w:t>
                            </w:r>
                            <w:r w:rsidRPr="00C83784">
                              <w:rPr>
                                <w:rFonts w:cs="Arial"/>
                              </w:rPr>
                              <w:t xml:space="preserve"> tribal, personnel who are funded in whole or in part by PHS Act </w:t>
                            </w:r>
                            <w:r>
                              <w:rPr>
                                <w:rFonts w:cs="Arial"/>
                              </w:rPr>
                              <w:t>p</w:t>
                            </w:r>
                            <w:r w:rsidRPr="00C83784">
                              <w:rPr>
                                <w:rFonts w:cs="Arial"/>
                              </w:rPr>
                              <w:t>rograms.</w:t>
                            </w:r>
                          </w:p>
                          <w:p w14:paraId="6AE605BF" w14:textId="77777777" w:rsidR="00673BB7" w:rsidRPr="00C83784" w:rsidRDefault="00673BB7" w:rsidP="003E60DC">
                            <w:pPr>
                              <w:pStyle w:val="ListParagraph"/>
                              <w:tabs>
                                <w:tab w:val="clear" w:pos="9360"/>
                              </w:tabs>
                              <w:spacing w:after="200"/>
                              <w:ind w:left="360"/>
                            </w:pPr>
                          </w:p>
                          <w:p w14:paraId="4C6887D2" w14:textId="3850BA6F" w:rsidR="00673BB7" w:rsidRPr="00C83784" w:rsidRDefault="00673BB7" w:rsidP="00D42E28">
                            <w:pPr>
                              <w:pStyle w:val="ListParagraph"/>
                              <w:numPr>
                                <w:ilvl w:val="0"/>
                                <w:numId w:val="34"/>
                              </w:numPr>
                              <w:tabs>
                                <w:tab w:val="clear" w:pos="9360"/>
                              </w:tabs>
                              <w:spacing w:after="200"/>
                            </w:pPr>
                            <w:r>
                              <w:rPr>
                                <w:b/>
                              </w:rPr>
                              <w:t>Compilation of data</w:t>
                            </w:r>
                            <w:r w:rsidRPr="00EF49EE">
                              <w:rPr>
                                <w:b/>
                              </w:rPr>
                              <w:t>:</w:t>
                            </w:r>
                            <w:r>
                              <w:t xml:space="preserve"> </w:t>
                            </w:r>
                            <w:r w:rsidRPr="00C83784">
                              <w:t>Th</w:t>
                            </w:r>
                            <w:r>
                              <w:t xml:space="preserve">is collection does not include data analysis.  All data will be used for reassignment during a public health emergency. </w:t>
                            </w:r>
                          </w:p>
                        </w:txbxContent>
                      </wps:txbx>
                      <wps:bodyPr rot="0" vert="horz" wrap="square" lIns="91440" tIns="45720" rIns="91440" bIns="45720" anchor="t" anchorCtr="0">
                        <a:noAutofit/>
                      </wps:bodyPr>
                    </wps:wsp>
                  </a:graphicData>
                </a:graphic>
              </wp:inline>
            </w:drawing>
          </mc:Choice>
          <mc:Fallback>
            <w:pict>
              <v:shapetype w14:anchorId="2DCDB37C" id="_x0000_t202" coordsize="21600,21600" o:spt="202" path="m,l,21600r21600,l21600,xe">
                <v:stroke joinstyle="miter"/>
                <v:path gradientshapeok="t" o:connecttype="rect"/>
              </v:shapetype>
              <v:shape id="Text Box 2" o:spid="_x0000_s1026" type="#_x0000_t202" style="width:474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">
                <v:textbox>
                  <w:txbxContent>
                    <w:p w14:paraId="14064810" w14:textId="11A3FAEE" w:rsidR="00673BB7" w:rsidRDefault="00673BB7" w:rsidP="00114340">
                      <w:pPr>
                        <w:pStyle w:val="ListParagraph"/>
                        <w:numPr>
                          <w:ilvl w:val="0"/>
                          <w:numId w:val="34"/>
                        </w:numPr>
                        <w:tabs>
                          <w:tab w:val="clear" w:pos="9360"/>
                        </w:tabs>
                        <w:spacing w:after="200"/>
                      </w:pPr>
                      <w:r w:rsidRPr="00EF49EE">
                        <w:rPr>
                          <w:b/>
                        </w:rPr>
                        <w:t>Purpose:</w:t>
                      </w:r>
                      <w:r>
                        <w:t xml:space="preserve"> </w:t>
                      </w:r>
                      <w:r w:rsidRPr="00031435">
                        <w:t>The purpose of t</w:t>
                      </w:r>
                      <w:r>
                        <w:t>he information collection is for the Department of Health and Human Services (HHS)</w:t>
                      </w:r>
                      <w:r w:rsidR="00F528CC">
                        <w:t>/ASPR (spell out acronym)</w:t>
                      </w:r>
                      <w:r>
                        <w:t xml:space="preserve"> to obtain information </w:t>
                      </w:r>
                      <w:r w:rsidRPr="00031435">
                        <w:t>from states and tribes on the conditions in which</w:t>
                      </w:r>
                      <w:r>
                        <w:t xml:space="preserve"> reassigned</w:t>
                      </w:r>
                      <w:r w:rsidRPr="00031435">
                        <w:t xml:space="preserve"> personnel are needed to assist with responding to a public health emergency, the program(s) selected for reassignment, and any impacts the reassignment will have on the program.</w:t>
                      </w:r>
                    </w:p>
                    <w:p w14:paraId="67C576C2" w14:textId="5E06BB50" w:rsidR="00673BB7" w:rsidRPr="00C83784" w:rsidRDefault="00673BB7" w:rsidP="00673BB7">
                      <w:pPr>
                        <w:pStyle w:val="ListParagraph"/>
                        <w:tabs>
                          <w:tab w:val="clear" w:pos="9360"/>
                        </w:tabs>
                        <w:spacing w:after="200"/>
                        <w:ind w:left="360"/>
                      </w:pPr>
                    </w:p>
                    <w:p w14:paraId="0B67B0CD" w14:textId="55C86474" w:rsidR="00673BB7" w:rsidRDefault="00673BB7" w:rsidP="00673BB7">
                      <w:pPr>
                        <w:pStyle w:val="ListParagraph"/>
                        <w:numPr>
                          <w:ilvl w:val="0"/>
                          <w:numId w:val="34"/>
                        </w:numPr>
                        <w:rPr>
                          <w:rFonts w:cs="Arial"/>
                          <w:b/>
                        </w:rPr>
                      </w:pPr>
                      <w:r w:rsidRPr="00EF49EE">
                        <w:rPr>
                          <w:b/>
                        </w:rPr>
                        <w:t>Use:</w:t>
                      </w:r>
                      <w:r>
                        <w:t xml:space="preserve"> Collected data will be used by </w:t>
                      </w:r>
                      <w:r w:rsidRPr="00C83784">
                        <w:t>HHS Op</w:t>
                      </w:r>
                      <w:r>
                        <w:t xml:space="preserve">erating </w:t>
                      </w:r>
                      <w:r w:rsidRPr="00C83784">
                        <w:t>Div</w:t>
                      </w:r>
                      <w:r>
                        <w:t>isions (OpDiv) and</w:t>
                      </w:r>
                      <w:r w:rsidRPr="00C83784">
                        <w:t xml:space="preserve"> Staff Division</w:t>
                      </w:r>
                      <w:r>
                        <w:t xml:space="preserve">s (StaffDiv) to make an informed </w:t>
                      </w:r>
                      <w:r w:rsidRPr="00C83784">
                        <w:t>determination</w:t>
                      </w:r>
                      <w:r>
                        <w:t xml:space="preserve"> to approve or deny </w:t>
                      </w:r>
                      <w:r w:rsidR="005E251C">
                        <w:t>a</w:t>
                      </w:r>
                      <w:r w:rsidRPr="00C83784">
                        <w:t xml:space="preserve"> state or tribe’s </w:t>
                      </w:r>
                      <w:r>
                        <w:t xml:space="preserve">request to use </w:t>
                      </w:r>
                      <w:r w:rsidRPr="00C83784">
                        <w:t xml:space="preserve">the </w:t>
                      </w:r>
                      <w:r>
                        <w:t xml:space="preserve">temporary reassignment </w:t>
                      </w:r>
                      <w:r w:rsidRPr="00C83784">
                        <w:t>authority</w:t>
                      </w:r>
                      <w:r w:rsidR="005E251C">
                        <w:t>.</w:t>
                      </w:r>
                      <w:r>
                        <w:t xml:space="preserve">  </w:t>
                      </w:r>
                    </w:p>
                    <w:p w14:paraId="78978490" w14:textId="77777777" w:rsidR="00673BB7" w:rsidRPr="00673BB7" w:rsidRDefault="00673BB7" w:rsidP="00673BB7">
                      <w:pPr>
                        <w:pStyle w:val="ListParagraph"/>
                        <w:tabs>
                          <w:tab w:val="clear" w:pos="9360"/>
                        </w:tabs>
                        <w:spacing w:after="200"/>
                        <w:ind w:left="360"/>
                      </w:pPr>
                    </w:p>
                    <w:p w14:paraId="20641F28" w14:textId="6BC0C647" w:rsidR="00673BB7" w:rsidRDefault="00673BB7" w:rsidP="000315E3">
                      <w:pPr>
                        <w:pStyle w:val="ListParagraph"/>
                        <w:numPr>
                          <w:ilvl w:val="0"/>
                          <w:numId w:val="34"/>
                        </w:numPr>
                        <w:tabs>
                          <w:tab w:val="clear" w:pos="9360"/>
                        </w:tabs>
                        <w:spacing w:after="200"/>
                      </w:pPr>
                      <w:r w:rsidRPr="00EF49EE">
                        <w:rPr>
                          <w:b/>
                        </w:rPr>
                        <w:t>Instrument:</w:t>
                      </w:r>
                      <w:r>
                        <w:t xml:space="preserve"> </w:t>
                      </w:r>
                      <w:r w:rsidRPr="000315E3">
                        <w:t>Data will be collected by an online data collection instrument</w:t>
                      </w:r>
                      <w:r>
                        <w:t>.</w:t>
                      </w:r>
                    </w:p>
                    <w:p w14:paraId="341624A1" w14:textId="77777777" w:rsidR="00673BB7" w:rsidRDefault="00673BB7" w:rsidP="00954EF5">
                      <w:pPr>
                        <w:pStyle w:val="ListParagraph"/>
                      </w:pPr>
                    </w:p>
                    <w:p w14:paraId="1E74CE14" w14:textId="5D3E8B07" w:rsidR="00673BB7" w:rsidRPr="00C83784" w:rsidRDefault="00673BB7" w:rsidP="00D42E28">
                      <w:pPr>
                        <w:pStyle w:val="ListParagraph"/>
                        <w:numPr>
                          <w:ilvl w:val="0"/>
                          <w:numId w:val="34"/>
                        </w:numPr>
                        <w:tabs>
                          <w:tab w:val="clear" w:pos="9360"/>
                        </w:tabs>
                        <w:spacing w:after="200"/>
                      </w:pPr>
                      <w:r w:rsidRPr="00EF49EE">
                        <w:rPr>
                          <w:b/>
                        </w:rPr>
                        <w:t>Respondents</w:t>
                      </w:r>
                      <w:r>
                        <w:t xml:space="preserve">: Data will be collected from </w:t>
                      </w:r>
                      <w:r w:rsidRPr="00C83784">
                        <w:rPr>
                          <w:rFonts w:cs="Arial"/>
                        </w:rPr>
                        <w:t>state</w:t>
                      </w:r>
                      <w:r w:rsidR="00F528CC">
                        <w:rPr>
                          <w:rFonts w:cs="Arial"/>
                        </w:rPr>
                        <w:t xml:space="preserve"> and</w:t>
                      </w:r>
                      <w:r w:rsidRPr="00C83784">
                        <w:rPr>
                          <w:rFonts w:cs="Arial"/>
                        </w:rPr>
                        <w:t xml:space="preserve"> tribal, personnel who are funded in whole or in part by PHS Act </w:t>
                      </w:r>
                      <w:r>
                        <w:rPr>
                          <w:rFonts w:cs="Arial"/>
                        </w:rPr>
                        <w:t>p</w:t>
                      </w:r>
                      <w:r w:rsidRPr="00C83784">
                        <w:rPr>
                          <w:rFonts w:cs="Arial"/>
                        </w:rPr>
                        <w:t>rograms.</w:t>
                      </w:r>
                    </w:p>
                    <w:p w14:paraId="6AE605BF" w14:textId="77777777" w:rsidR="00673BB7" w:rsidRPr="00C83784" w:rsidRDefault="00673BB7" w:rsidP="003E60DC">
                      <w:pPr>
                        <w:pStyle w:val="ListParagraph"/>
                        <w:tabs>
                          <w:tab w:val="clear" w:pos="9360"/>
                        </w:tabs>
                        <w:spacing w:after="200"/>
                        <w:ind w:left="360"/>
                      </w:pPr>
                    </w:p>
                    <w:p w14:paraId="4C6887D2" w14:textId="3850BA6F" w:rsidR="00673BB7" w:rsidRPr="00C83784" w:rsidRDefault="00673BB7" w:rsidP="00D42E28">
                      <w:pPr>
                        <w:pStyle w:val="ListParagraph"/>
                        <w:numPr>
                          <w:ilvl w:val="0"/>
                          <w:numId w:val="34"/>
                        </w:numPr>
                        <w:tabs>
                          <w:tab w:val="clear" w:pos="9360"/>
                        </w:tabs>
                        <w:spacing w:after="200"/>
                      </w:pPr>
                      <w:r>
                        <w:rPr>
                          <w:b/>
                        </w:rPr>
                        <w:t>Compilation of data</w:t>
                      </w:r>
                      <w:r w:rsidRPr="00EF49EE">
                        <w:rPr>
                          <w:b/>
                        </w:rPr>
                        <w:t>:</w:t>
                      </w:r>
                      <w:r>
                        <w:t xml:space="preserve"> </w:t>
                      </w:r>
                      <w:r w:rsidRPr="00C83784">
                        <w:t>Th</w:t>
                      </w:r>
                      <w:r>
                        <w:t xml:space="preserve">is collection does not include data analysis.  All data will be used for reassignment during a public health emergency. </w:t>
                      </w:r>
                    </w:p>
                  </w:txbxContent>
                </v:textbox>
                <w10:anchorlock/>
              </v:shape>
            </w:pict>
          </mc:Fallback>
        </mc:AlternateContent>
      </w:r>
      <w:bookmarkEnd w:id="2"/>
      <w:bookmarkEnd w:id="3"/>
    </w:p>
    <w:p w14:paraId="49F95F2A" w14:textId="77777777" w:rsidR="00487937" w:rsidRDefault="00487937" w:rsidP="00CA5840">
      <w:pPr>
        <w:pStyle w:val="Heading3"/>
        <w:ind w:left="0"/>
      </w:pPr>
    </w:p>
    <w:p w14:paraId="7EC4A446"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58DEFF59" w14:textId="77777777" w:rsidR="00B12F51" w:rsidRDefault="00B12F51" w:rsidP="007D6163"/>
    <w:p w14:paraId="7DF6E526"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03C1F19F" w14:textId="77777777" w:rsidR="00E33E1B" w:rsidRPr="007D6163" w:rsidRDefault="00E33E1B" w:rsidP="00692DEB">
      <w:pPr>
        <w:pStyle w:val="Heading5"/>
        <w:spacing w:after="120"/>
        <w:ind w:left="0"/>
      </w:pPr>
      <w:r w:rsidRPr="007D6163">
        <w:t>Background</w:t>
      </w:r>
    </w:p>
    <w:p w14:paraId="425F1C54" w14:textId="1C36D055" w:rsidR="0019164D" w:rsidRPr="00954EF5" w:rsidRDefault="004F67A8" w:rsidP="00692DEB">
      <w:pPr>
        <w:ind w:left="0"/>
      </w:pPr>
      <w:r w:rsidRPr="00954EF5">
        <w:t xml:space="preserve">This </w:t>
      </w:r>
      <w:r w:rsidR="00157413" w:rsidRPr="00954EF5">
        <w:t>information collection</w:t>
      </w:r>
      <w:r w:rsidR="00484011" w:rsidRPr="00954EF5">
        <w:t xml:space="preserve"> is being conducted </w:t>
      </w:r>
      <w:r w:rsidR="009252DC" w:rsidRPr="00954EF5">
        <w:t>using</w:t>
      </w:r>
      <w:r w:rsidR="00484011" w:rsidRPr="00954EF5">
        <w:t xml:space="preserve"> the Generic Information Collection mechanism </w:t>
      </w:r>
      <w:r w:rsidR="00157413" w:rsidRPr="00954EF5">
        <w:t>of the OSTLTS OMB Clearance Center</w:t>
      </w:r>
      <w:r w:rsidR="009252DC" w:rsidRPr="00954EF5">
        <w:t xml:space="preserve"> (O</w:t>
      </w:r>
      <w:r w:rsidR="00157413" w:rsidRPr="00954EF5">
        <w:t>2</w:t>
      </w:r>
      <w:r w:rsidR="009252DC" w:rsidRPr="00954EF5">
        <w:t>C</w:t>
      </w:r>
      <w:r w:rsidR="00157413" w:rsidRPr="00954EF5">
        <w:t>2</w:t>
      </w:r>
      <w:r w:rsidR="009252DC" w:rsidRPr="00954EF5">
        <w:t xml:space="preserve">) </w:t>
      </w:r>
      <w:r w:rsidR="00484011" w:rsidRPr="00954EF5">
        <w:t>– OMB No. 0920-0879</w:t>
      </w:r>
      <w:r w:rsidRPr="00954EF5">
        <w:t>.</w:t>
      </w:r>
      <w:r w:rsidR="009252DC" w:rsidRPr="00954EF5">
        <w:t xml:space="preserve"> The respondent universe for this </w:t>
      </w:r>
      <w:r w:rsidR="00157413" w:rsidRPr="00954EF5">
        <w:t>information collection aligns with that of the O2C2.</w:t>
      </w:r>
      <w:r w:rsidR="009252DC" w:rsidRPr="00954EF5">
        <w:t xml:space="preserve"> </w:t>
      </w:r>
      <w:r w:rsidR="00954EF5">
        <w:t xml:space="preserve"> </w:t>
      </w:r>
      <w:r w:rsidR="0019164D" w:rsidRPr="00954EF5">
        <w:t xml:space="preserve">Data will be collected from </w:t>
      </w:r>
      <w:r w:rsidR="003B1AFA">
        <w:t xml:space="preserve">5 </w:t>
      </w:r>
      <w:r w:rsidR="00E079B6" w:rsidRPr="00954EF5">
        <w:t>state governors,</w:t>
      </w:r>
      <w:r w:rsidR="003B1AFA">
        <w:t xml:space="preserve"> 55</w:t>
      </w:r>
      <w:r w:rsidR="000315E3">
        <w:t xml:space="preserve"> </w:t>
      </w:r>
      <w:r w:rsidR="00E079B6" w:rsidRPr="00954EF5">
        <w:t>tribal leaders, or</w:t>
      </w:r>
      <w:r w:rsidR="005C3760">
        <w:t xml:space="preserve"> authorized</w:t>
      </w:r>
      <w:r w:rsidR="00E079B6" w:rsidRPr="00954EF5">
        <w:t xml:space="preserve"> designees</w:t>
      </w:r>
      <w:r w:rsidR="000315E3">
        <w:t xml:space="preserve"> (i.e.</w:t>
      </w:r>
      <w:r w:rsidR="00A3081E">
        <w:t xml:space="preserve">, lieutenant governors, </w:t>
      </w:r>
      <w:r w:rsidR="00CA6516">
        <w:t xml:space="preserve">chiefs of staff, </w:t>
      </w:r>
      <w:r w:rsidR="00A3081E">
        <w:t>etc.</w:t>
      </w:r>
      <w:r w:rsidR="000315E3">
        <w:t>)</w:t>
      </w:r>
      <w:r w:rsidR="00E079B6" w:rsidRPr="00954EF5">
        <w:t xml:space="preserve"> </w:t>
      </w:r>
      <w:r w:rsidR="00FC7CF9">
        <w:t>across public health governmental entities</w:t>
      </w:r>
      <w:r w:rsidR="00FC7CF9" w:rsidRPr="00954EF5">
        <w:t xml:space="preserve"> </w:t>
      </w:r>
      <w:r w:rsidR="00FC7CF9">
        <w:t>within</w:t>
      </w:r>
      <w:r w:rsidR="001E7537" w:rsidRPr="00954EF5">
        <w:t xml:space="preserve"> </w:t>
      </w:r>
      <w:r w:rsidR="00E079B6" w:rsidRPr="00954EF5">
        <w:t>states and tribal</w:t>
      </w:r>
      <w:r w:rsidR="00954EF5">
        <w:t xml:space="preserve"> organizations</w:t>
      </w:r>
      <w:r w:rsidR="00E079B6" w:rsidRPr="00954EF5">
        <w:t xml:space="preserve"> </w:t>
      </w:r>
      <w:r w:rsidR="0019164D" w:rsidRPr="00954EF5">
        <w:t>acting in their official capacities.</w:t>
      </w:r>
      <w:r w:rsidR="005E251C">
        <w:t xml:space="preserve">  </w:t>
      </w:r>
    </w:p>
    <w:p w14:paraId="55CEABDD" w14:textId="77777777" w:rsidR="009252DC" w:rsidRPr="00954EF5" w:rsidRDefault="009252DC" w:rsidP="0019164D"/>
    <w:p w14:paraId="74A425F5" w14:textId="541FF039" w:rsidR="001E7537" w:rsidRPr="00954EF5" w:rsidRDefault="00350C8C" w:rsidP="001E7537">
      <w:pPr>
        <w:ind w:left="0"/>
        <w:rPr>
          <w:i/>
          <w:iCs/>
        </w:rPr>
      </w:pPr>
      <w:r w:rsidRPr="00954EF5">
        <w:t xml:space="preserve">This </w:t>
      </w:r>
      <w:r w:rsidR="00157413" w:rsidRPr="00954EF5">
        <w:t>information collection</w:t>
      </w:r>
      <w:r w:rsidRPr="00954EF5">
        <w:t xml:space="preserve"> is authorized by Section 301 of the Public Health Service Act (42 U.S.C. 241).</w:t>
      </w:r>
      <w:r w:rsidR="001E7537" w:rsidRPr="00954EF5">
        <w:t xml:space="preserve"> </w:t>
      </w:r>
      <w:r w:rsidR="001E7537" w:rsidRPr="00954EF5">
        <w:rPr>
          <w:iCs/>
        </w:rPr>
        <w:t xml:space="preserve">This information collection falls under the essential public health service(s) of </w:t>
      </w:r>
    </w:p>
    <w:p w14:paraId="58511EB0" w14:textId="77777777" w:rsidR="00350C8C" w:rsidRPr="00954EF5" w:rsidRDefault="00350C8C" w:rsidP="00692DEB">
      <w:pPr>
        <w:ind w:left="0"/>
      </w:pPr>
    </w:p>
    <w:p w14:paraId="3B133B5A" w14:textId="77777777" w:rsidR="00587C72" w:rsidRPr="00954EF5" w:rsidRDefault="00B63CF3" w:rsidP="00587C72">
      <w:pPr>
        <w:ind w:left="0"/>
      </w:pPr>
      <w:r w:rsidRPr="00954EF5">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954EF5">
        <w:rPr>
          <w:rFonts w:ascii="Shruti" w:eastAsia="Times New Roman" w:hAnsi="Shruti" w:cs="Shruti"/>
          <w:sz w:val="16"/>
          <w:szCs w:val="14"/>
        </w:rPr>
        <w:instrText xml:space="preserve"> FORMCHECKBOX </w:instrText>
      </w:r>
      <w:r w:rsidR="00BE4F7D">
        <w:rPr>
          <w:rFonts w:ascii="Shruti" w:eastAsia="Times New Roman" w:hAnsi="Shruti" w:cs="Shruti"/>
          <w:sz w:val="16"/>
          <w:szCs w:val="14"/>
        </w:rPr>
      </w:r>
      <w:r w:rsidR="00BE4F7D">
        <w:rPr>
          <w:rFonts w:ascii="Shruti" w:eastAsia="Times New Roman" w:hAnsi="Shruti" w:cs="Shruti"/>
          <w:sz w:val="16"/>
          <w:szCs w:val="14"/>
        </w:rPr>
        <w:fldChar w:fldCharType="separate"/>
      </w:r>
      <w:r w:rsidRPr="00954EF5">
        <w:rPr>
          <w:rFonts w:ascii="Shruti" w:eastAsia="Times New Roman" w:hAnsi="Shruti" w:cs="Shruti"/>
          <w:sz w:val="16"/>
          <w:szCs w:val="14"/>
        </w:rPr>
        <w:fldChar w:fldCharType="end"/>
      </w:r>
      <w:bookmarkEnd w:id="6"/>
      <w:r w:rsidRPr="00954EF5">
        <w:rPr>
          <w:rFonts w:ascii="Shruti" w:eastAsia="Times New Roman" w:hAnsi="Shruti" w:cs="Shruti"/>
          <w:sz w:val="16"/>
          <w:szCs w:val="14"/>
        </w:rPr>
        <w:t xml:space="preserve"> </w:t>
      </w:r>
      <w:r w:rsidR="00F45451" w:rsidRPr="00954EF5">
        <w:t>1. M</w:t>
      </w:r>
      <w:r w:rsidR="00587C72" w:rsidRPr="00954EF5">
        <w:t>onitoring health status to identify community health problems</w:t>
      </w:r>
    </w:p>
    <w:p w14:paraId="6BD8B75F" w14:textId="469BD0A0" w:rsidR="00587C72" w:rsidRPr="00954EF5" w:rsidRDefault="00642AE5" w:rsidP="00587C72">
      <w:pPr>
        <w:ind w:left="0"/>
      </w:pPr>
      <w:r w:rsidRPr="00954EF5">
        <w:rPr>
          <w:rFonts w:ascii="Shruti" w:eastAsia="Times New Roman" w:hAnsi="Shruti" w:cs="Shruti"/>
          <w:sz w:val="16"/>
          <w:szCs w:val="14"/>
        </w:rPr>
        <w:fldChar w:fldCharType="begin">
          <w:ffData>
            <w:name w:val="Check25"/>
            <w:enabled/>
            <w:calcOnExit w:val="0"/>
            <w:checkBox>
              <w:sizeAuto/>
              <w:default w:val="0"/>
            </w:checkBox>
          </w:ffData>
        </w:fldChar>
      </w:r>
      <w:r w:rsidRPr="00954EF5">
        <w:rPr>
          <w:rFonts w:ascii="Shruti" w:eastAsia="Times New Roman" w:hAnsi="Shruti" w:cs="Shruti"/>
          <w:sz w:val="16"/>
          <w:szCs w:val="14"/>
        </w:rPr>
        <w:instrText xml:space="preserve"> FORMCHECKBOX </w:instrText>
      </w:r>
      <w:r w:rsidR="00BE4F7D">
        <w:rPr>
          <w:rFonts w:ascii="Shruti" w:eastAsia="Times New Roman" w:hAnsi="Shruti" w:cs="Shruti"/>
          <w:sz w:val="16"/>
          <w:szCs w:val="14"/>
        </w:rPr>
      </w:r>
      <w:r w:rsidR="00BE4F7D">
        <w:rPr>
          <w:rFonts w:ascii="Shruti" w:eastAsia="Times New Roman" w:hAnsi="Shruti" w:cs="Shruti"/>
          <w:sz w:val="16"/>
          <w:szCs w:val="14"/>
        </w:rPr>
        <w:fldChar w:fldCharType="separate"/>
      </w:r>
      <w:r w:rsidRPr="00954EF5">
        <w:rPr>
          <w:rFonts w:ascii="Shruti" w:eastAsia="Times New Roman" w:hAnsi="Shruti" w:cs="Shruti"/>
          <w:sz w:val="16"/>
          <w:szCs w:val="14"/>
        </w:rPr>
        <w:fldChar w:fldCharType="end"/>
      </w:r>
      <w:r w:rsidR="00837EE1" w:rsidRPr="00954EF5">
        <w:rPr>
          <w:rFonts w:ascii="Shruti" w:eastAsia="Times New Roman" w:hAnsi="Shruti" w:cs="Shruti"/>
          <w:sz w:val="16"/>
          <w:szCs w:val="14"/>
        </w:rPr>
        <w:t xml:space="preserve"> </w:t>
      </w:r>
      <w:r w:rsidR="00F45451" w:rsidRPr="00954EF5">
        <w:t>2. D</w:t>
      </w:r>
      <w:r w:rsidR="00587C72" w:rsidRPr="00954EF5">
        <w:t>iagnosing and investigating health problems and health hazards in the community</w:t>
      </w:r>
    </w:p>
    <w:p w14:paraId="73FFA2E2" w14:textId="77777777" w:rsidR="00587C72" w:rsidRPr="00954EF5" w:rsidRDefault="00B63CF3" w:rsidP="00587C72">
      <w:pPr>
        <w:ind w:left="0"/>
      </w:pPr>
      <w:r w:rsidRPr="00954EF5">
        <w:rPr>
          <w:rFonts w:ascii="Shruti" w:eastAsia="Times New Roman" w:hAnsi="Shruti" w:cs="Shruti"/>
          <w:sz w:val="16"/>
          <w:szCs w:val="14"/>
        </w:rPr>
        <w:fldChar w:fldCharType="begin">
          <w:ffData>
            <w:name w:val="Check25"/>
            <w:enabled/>
            <w:calcOnExit w:val="0"/>
            <w:checkBox>
              <w:sizeAuto/>
              <w:default w:val="0"/>
            </w:checkBox>
          </w:ffData>
        </w:fldChar>
      </w:r>
      <w:r w:rsidRPr="00954EF5">
        <w:rPr>
          <w:rFonts w:ascii="Shruti" w:eastAsia="Times New Roman" w:hAnsi="Shruti" w:cs="Shruti"/>
          <w:sz w:val="16"/>
          <w:szCs w:val="14"/>
        </w:rPr>
        <w:instrText xml:space="preserve"> FORMCHECKBOX </w:instrText>
      </w:r>
      <w:r w:rsidR="00BE4F7D">
        <w:rPr>
          <w:rFonts w:ascii="Shruti" w:eastAsia="Times New Roman" w:hAnsi="Shruti" w:cs="Shruti"/>
          <w:sz w:val="16"/>
          <w:szCs w:val="14"/>
        </w:rPr>
      </w:r>
      <w:r w:rsidR="00BE4F7D">
        <w:rPr>
          <w:rFonts w:ascii="Shruti" w:eastAsia="Times New Roman" w:hAnsi="Shruti" w:cs="Shruti"/>
          <w:sz w:val="16"/>
          <w:szCs w:val="14"/>
        </w:rPr>
        <w:fldChar w:fldCharType="separate"/>
      </w:r>
      <w:r w:rsidRPr="00954EF5">
        <w:rPr>
          <w:rFonts w:ascii="Shruti" w:eastAsia="Times New Roman" w:hAnsi="Shruti" w:cs="Shruti"/>
          <w:sz w:val="16"/>
          <w:szCs w:val="14"/>
        </w:rPr>
        <w:fldChar w:fldCharType="end"/>
      </w:r>
      <w:r w:rsidRPr="00954EF5">
        <w:rPr>
          <w:rFonts w:ascii="Shruti" w:eastAsia="Times New Roman" w:hAnsi="Shruti" w:cs="Shruti"/>
          <w:sz w:val="16"/>
          <w:szCs w:val="14"/>
        </w:rPr>
        <w:t xml:space="preserve"> </w:t>
      </w:r>
      <w:r w:rsidR="00F45451" w:rsidRPr="00954EF5">
        <w:t>3. I</w:t>
      </w:r>
      <w:r w:rsidR="00587C72" w:rsidRPr="00954EF5">
        <w:t>nforming, educating, and empowering people about health issues</w:t>
      </w:r>
    </w:p>
    <w:p w14:paraId="31189D2E" w14:textId="669F1E86" w:rsidR="00587C72" w:rsidRPr="00954EF5" w:rsidRDefault="00B63CF3" w:rsidP="00587C72">
      <w:pPr>
        <w:ind w:left="0"/>
      </w:pPr>
      <w:r w:rsidRPr="00954EF5">
        <w:rPr>
          <w:rFonts w:ascii="Shruti" w:eastAsia="Times New Roman" w:hAnsi="Shruti" w:cs="Shruti"/>
          <w:sz w:val="16"/>
          <w:szCs w:val="14"/>
        </w:rPr>
        <w:fldChar w:fldCharType="begin">
          <w:ffData>
            <w:name w:val=""/>
            <w:enabled/>
            <w:calcOnExit w:val="0"/>
            <w:checkBox>
              <w:sizeAuto/>
              <w:default w:val="0"/>
            </w:checkBox>
          </w:ffData>
        </w:fldChar>
      </w:r>
      <w:r w:rsidRPr="00954EF5">
        <w:rPr>
          <w:rFonts w:ascii="Shruti" w:eastAsia="Times New Roman" w:hAnsi="Shruti" w:cs="Shruti"/>
          <w:sz w:val="16"/>
          <w:szCs w:val="14"/>
        </w:rPr>
        <w:instrText xml:space="preserve"> FORMCHECKBOX </w:instrText>
      </w:r>
      <w:r w:rsidR="00BE4F7D">
        <w:rPr>
          <w:rFonts w:ascii="Shruti" w:eastAsia="Times New Roman" w:hAnsi="Shruti" w:cs="Shruti"/>
          <w:sz w:val="16"/>
          <w:szCs w:val="14"/>
        </w:rPr>
      </w:r>
      <w:r w:rsidR="00BE4F7D">
        <w:rPr>
          <w:rFonts w:ascii="Shruti" w:eastAsia="Times New Roman" w:hAnsi="Shruti" w:cs="Shruti"/>
          <w:sz w:val="16"/>
          <w:szCs w:val="14"/>
        </w:rPr>
        <w:fldChar w:fldCharType="separate"/>
      </w:r>
      <w:r w:rsidRPr="00954EF5">
        <w:rPr>
          <w:rFonts w:ascii="Shruti" w:eastAsia="Times New Roman" w:hAnsi="Shruti" w:cs="Shruti"/>
          <w:sz w:val="16"/>
          <w:szCs w:val="14"/>
        </w:rPr>
        <w:fldChar w:fldCharType="end"/>
      </w:r>
      <w:r w:rsidRPr="00954EF5">
        <w:rPr>
          <w:rFonts w:ascii="Shruti" w:eastAsia="Times New Roman" w:hAnsi="Shruti" w:cs="Shruti"/>
          <w:sz w:val="16"/>
          <w:szCs w:val="14"/>
        </w:rPr>
        <w:t xml:space="preserve"> </w:t>
      </w:r>
      <w:r w:rsidR="00481D80" w:rsidRPr="00954EF5">
        <w:t>4. M</w:t>
      </w:r>
      <w:r w:rsidR="00587C72" w:rsidRPr="00954EF5">
        <w:t>obilizing community partnerships to identify and solve health problems</w:t>
      </w:r>
    </w:p>
    <w:p w14:paraId="1852C8E7" w14:textId="37401441" w:rsidR="00587C72" w:rsidRPr="00954EF5" w:rsidRDefault="00642AE5" w:rsidP="00587C72">
      <w:pPr>
        <w:ind w:left="0"/>
      </w:pPr>
      <w:r w:rsidRPr="00954EF5">
        <w:rPr>
          <w:rFonts w:ascii="Shruti" w:eastAsia="Times New Roman" w:hAnsi="Shruti" w:cs="Shruti"/>
          <w:sz w:val="16"/>
          <w:szCs w:val="14"/>
        </w:rPr>
        <w:fldChar w:fldCharType="begin">
          <w:ffData>
            <w:name w:val="Check25"/>
            <w:enabled/>
            <w:calcOnExit w:val="0"/>
            <w:checkBox>
              <w:sizeAuto/>
              <w:default w:val="0"/>
            </w:checkBox>
          </w:ffData>
        </w:fldChar>
      </w:r>
      <w:r w:rsidRPr="00954EF5">
        <w:rPr>
          <w:rFonts w:ascii="Shruti" w:eastAsia="Times New Roman" w:hAnsi="Shruti" w:cs="Shruti"/>
          <w:sz w:val="16"/>
          <w:szCs w:val="14"/>
        </w:rPr>
        <w:instrText xml:space="preserve"> FORMCHECKBOX </w:instrText>
      </w:r>
      <w:r w:rsidR="00BE4F7D">
        <w:rPr>
          <w:rFonts w:ascii="Shruti" w:eastAsia="Times New Roman" w:hAnsi="Shruti" w:cs="Shruti"/>
          <w:sz w:val="16"/>
          <w:szCs w:val="14"/>
        </w:rPr>
      </w:r>
      <w:r w:rsidR="00BE4F7D">
        <w:rPr>
          <w:rFonts w:ascii="Shruti" w:eastAsia="Times New Roman" w:hAnsi="Shruti" w:cs="Shruti"/>
          <w:sz w:val="16"/>
          <w:szCs w:val="14"/>
        </w:rPr>
        <w:fldChar w:fldCharType="separate"/>
      </w:r>
      <w:r w:rsidRPr="00954EF5">
        <w:rPr>
          <w:rFonts w:ascii="Shruti" w:eastAsia="Times New Roman" w:hAnsi="Shruti" w:cs="Shruti"/>
          <w:sz w:val="16"/>
          <w:szCs w:val="14"/>
        </w:rPr>
        <w:fldChar w:fldCharType="end"/>
      </w:r>
      <w:r w:rsidRPr="00954EF5">
        <w:rPr>
          <w:rFonts w:ascii="Shruti" w:eastAsia="Times New Roman" w:hAnsi="Shruti" w:cs="Shruti"/>
          <w:sz w:val="16"/>
          <w:szCs w:val="14"/>
        </w:rPr>
        <w:t xml:space="preserve"> </w:t>
      </w:r>
      <w:r w:rsidR="00481D80" w:rsidRPr="00954EF5">
        <w:t>5. D</w:t>
      </w:r>
      <w:r w:rsidR="00587C72" w:rsidRPr="00954EF5">
        <w:t>evelopment of policies and plans that support individual and community health efforts</w:t>
      </w:r>
    </w:p>
    <w:p w14:paraId="3AF1FB91" w14:textId="16FBD5B7" w:rsidR="00587C72" w:rsidRPr="00954EF5" w:rsidRDefault="00837EE1" w:rsidP="00587C72">
      <w:pPr>
        <w:ind w:left="0"/>
      </w:pPr>
      <w:r w:rsidRPr="00954EF5">
        <w:rPr>
          <w:rFonts w:ascii="Shruti" w:eastAsia="Times New Roman" w:hAnsi="Shruti" w:cs="Shruti"/>
          <w:sz w:val="16"/>
          <w:szCs w:val="14"/>
        </w:rPr>
        <w:fldChar w:fldCharType="begin">
          <w:ffData>
            <w:name w:val=""/>
            <w:enabled/>
            <w:calcOnExit w:val="0"/>
            <w:checkBox>
              <w:sizeAuto/>
              <w:default w:val="1"/>
            </w:checkBox>
          </w:ffData>
        </w:fldChar>
      </w:r>
      <w:r w:rsidRPr="00954EF5">
        <w:rPr>
          <w:rFonts w:ascii="Shruti" w:eastAsia="Times New Roman" w:hAnsi="Shruti" w:cs="Shruti"/>
          <w:sz w:val="16"/>
          <w:szCs w:val="14"/>
        </w:rPr>
        <w:instrText xml:space="preserve"> FORMCHECKBOX </w:instrText>
      </w:r>
      <w:r w:rsidR="00BE4F7D">
        <w:rPr>
          <w:rFonts w:ascii="Shruti" w:eastAsia="Times New Roman" w:hAnsi="Shruti" w:cs="Shruti"/>
          <w:sz w:val="16"/>
          <w:szCs w:val="14"/>
        </w:rPr>
      </w:r>
      <w:r w:rsidR="00BE4F7D">
        <w:rPr>
          <w:rFonts w:ascii="Shruti" w:eastAsia="Times New Roman" w:hAnsi="Shruti" w:cs="Shruti"/>
          <w:sz w:val="16"/>
          <w:szCs w:val="14"/>
        </w:rPr>
        <w:fldChar w:fldCharType="separate"/>
      </w:r>
      <w:r w:rsidRPr="00954EF5">
        <w:rPr>
          <w:rFonts w:ascii="Shruti" w:eastAsia="Times New Roman" w:hAnsi="Shruti" w:cs="Shruti"/>
          <w:sz w:val="16"/>
          <w:szCs w:val="14"/>
        </w:rPr>
        <w:fldChar w:fldCharType="end"/>
      </w:r>
      <w:r w:rsidR="00B63CF3" w:rsidRPr="00954EF5">
        <w:rPr>
          <w:rFonts w:ascii="Shruti" w:eastAsia="Times New Roman" w:hAnsi="Shruti" w:cs="Shruti"/>
          <w:sz w:val="16"/>
          <w:szCs w:val="14"/>
        </w:rPr>
        <w:t xml:space="preserve"> </w:t>
      </w:r>
      <w:r w:rsidR="00481D80" w:rsidRPr="00954EF5">
        <w:t>6. E</w:t>
      </w:r>
      <w:r w:rsidR="00587C72" w:rsidRPr="00954EF5">
        <w:t>nforcement of laws and regulations that pr</w:t>
      </w:r>
      <w:r w:rsidR="008E3D8D" w:rsidRPr="00954EF5">
        <w:t>otect health and ensure safety</w:t>
      </w:r>
    </w:p>
    <w:p w14:paraId="704CC59C" w14:textId="77777777" w:rsidR="00481D80" w:rsidRPr="00954EF5" w:rsidRDefault="00B63CF3" w:rsidP="00587C72">
      <w:pPr>
        <w:ind w:left="0"/>
      </w:pPr>
      <w:r w:rsidRPr="00954EF5">
        <w:rPr>
          <w:rFonts w:ascii="Shruti" w:eastAsia="Times New Roman" w:hAnsi="Shruti" w:cs="Shruti"/>
          <w:sz w:val="16"/>
          <w:szCs w:val="14"/>
        </w:rPr>
        <w:fldChar w:fldCharType="begin">
          <w:ffData>
            <w:name w:val="Check25"/>
            <w:enabled/>
            <w:calcOnExit w:val="0"/>
            <w:checkBox>
              <w:sizeAuto/>
              <w:default w:val="0"/>
            </w:checkBox>
          </w:ffData>
        </w:fldChar>
      </w:r>
      <w:r w:rsidRPr="00954EF5">
        <w:rPr>
          <w:rFonts w:ascii="Shruti" w:eastAsia="Times New Roman" w:hAnsi="Shruti" w:cs="Shruti"/>
          <w:sz w:val="16"/>
          <w:szCs w:val="14"/>
        </w:rPr>
        <w:instrText xml:space="preserve"> FORMCHECKBOX </w:instrText>
      </w:r>
      <w:r w:rsidR="00BE4F7D">
        <w:rPr>
          <w:rFonts w:ascii="Shruti" w:eastAsia="Times New Roman" w:hAnsi="Shruti" w:cs="Shruti"/>
          <w:sz w:val="16"/>
          <w:szCs w:val="14"/>
        </w:rPr>
      </w:r>
      <w:r w:rsidR="00BE4F7D">
        <w:rPr>
          <w:rFonts w:ascii="Shruti" w:eastAsia="Times New Roman" w:hAnsi="Shruti" w:cs="Shruti"/>
          <w:sz w:val="16"/>
          <w:szCs w:val="14"/>
        </w:rPr>
        <w:fldChar w:fldCharType="separate"/>
      </w:r>
      <w:r w:rsidRPr="00954EF5">
        <w:rPr>
          <w:rFonts w:ascii="Shruti" w:eastAsia="Times New Roman" w:hAnsi="Shruti" w:cs="Shruti"/>
          <w:sz w:val="16"/>
          <w:szCs w:val="14"/>
        </w:rPr>
        <w:fldChar w:fldCharType="end"/>
      </w:r>
      <w:r w:rsidRPr="00954EF5">
        <w:rPr>
          <w:rFonts w:ascii="Shruti" w:eastAsia="Times New Roman" w:hAnsi="Shruti" w:cs="Shruti"/>
          <w:sz w:val="16"/>
          <w:szCs w:val="14"/>
        </w:rPr>
        <w:t xml:space="preserve"> </w:t>
      </w:r>
      <w:r w:rsidR="00481D80" w:rsidRPr="00954EF5">
        <w:t>7. L</w:t>
      </w:r>
      <w:r w:rsidR="00587C72" w:rsidRPr="00954EF5">
        <w:t xml:space="preserve">inking people to needed personal health services and assure the provision of health care </w:t>
      </w:r>
    </w:p>
    <w:p w14:paraId="4C45ED01" w14:textId="77777777" w:rsidR="00587C72" w:rsidRPr="00954EF5" w:rsidRDefault="00481D80" w:rsidP="00587C72">
      <w:pPr>
        <w:ind w:left="0"/>
      </w:pPr>
      <w:r w:rsidRPr="00954EF5">
        <w:lastRenderedPageBreak/>
        <w:t xml:space="preserve">            </w:t>
      </w:r>
      <w:r w:rsidR="00587C72" w:rsidRPr="00954EF5">
        <w:t>when otherwise unavailable</w:t>
      </w:r>
    </w:p>
    <w:p w14:paraId="31A2189B" w14:textId="5F6DF0DC" w:rsidR="00587C72" w:rsidRPr="00954EF5" w:rsidRDefault="00642AE5" w:rsidP="00587C72">
      <w:pPr>
        <w:ind w:left="0"/>
      </w:pPr>
      <w:r w:rsidRPr="00954EF5">
        <w:rPr>
          <w:rFonts w:ascii="Shruti" w:eastAsia="Times New Roman" w:hAnsi="Shruti" w:cs="Shruti"/>
          <w:sz w:val="16"/>
          <w:szCs w:val="14"/>
        </w:rPr>
        <w:fldChar w:fldCharType="begin">
          <w:ffData>
            <w:name w:val=""/>
            <w:enabled/>
            <w:calcOnExit w:val="0"/>
            <w:checkBox>
              <w:sizeAuto/>
              <w:default w:val="1"/>
            </w:checkBox>
          </w:ffData>
        </w:fldChar>
      </w:r>
      <w:r w:rsidRPr="00954EF5">
        <w:rPr>
          <w:rFonts w:ascii="Shruti" w:eastAsia="Times New Roman" w:hAnsi="Shruti" w:cs="Shruti"/>
          <w:sz w:val="16"/>
          <w:szCs w:val="14"/>
        </w:rPr>
        <w:instrText xml:space="preserve"> FORMCHECKBOX </w:instrText>
      </w:r>
      <w:r w:rsidR="00BE4F7D">
        <w:rPr>
          <w:rFonts w:ascii="Shruti" w:eastAsia="Times New Roman" w:hAnsi="Shruti" w:cs="Shruti"/>
          <w:sz w:val="16"/>
          <w:szCs w:val="14"/>
        </w:rPr>
      </w:r>
      <w:r w:rsidR="00BE4F7D">
        <w:rPr>
          <w:rFonts w:ascii="Shruti" w:eastAsia="Times New Roman" w:hAnsi="Shruti" w:cs="Shruti"/>
          <w:sz w:val="16"/>
          <w:szCs w:val="14"/>
        </w:rPr>
        <w:fldChar w:fldCharType="separate"/>
      </w:r>
      <w:r w:rsidRPr="00954EF5">
        <w:rPr>
          <w:rFonts w:ascii="Shruti" w:eastAsia="Times New Roman" w:hAnsi="Shruti" w:cs="Shruti"/>
          <w:sz w:val="16"/>
          <w:szCs w:val="14"/>
        </w:rPr>
        <w:fldChar w:fldCharType="end"/>
      </w:r>
      <w:r w:rsidR="00B63CF3" w:rsidRPr="00954EF5">
        <w:rPr>
          <w:rFonts w:ascii="Shruti" w:eastAsia="Times New Roman" w:hAnsi="Shruti" w:cs="Shruti"/>
          <w:sz w:val="16"/>
          <w:szCs w:val="14"/>
        </w:rPr>
        <w:t xml:space="preserve"> </w:t>
      </w:r>
      <w:r w:rsidR="00481D80" w:rsidRPr="00954EF5">
        <w:t>8. A</w:t>
      </w:r>
      <w:r w:rsidR="00587C72" w:rsidRPr="00954EF5">
        <w:t>ssuring a competent public health and personal health care workforce</w:t>
      </w:r>
    </w:p>
    <w:p w14:paraId="3296B299" w14:textId="77777777" w:rsidR="008715E7" w:rsidRPr="00954EF5" w:rsidRDefault="00B63CF3" w:rsidP="008715E7">
      <w:pPr>
        <w:ind w:left="0"/>
      </w:pPr>
      <w:r w:rsidRPr="00954EF5">
        <w:rPr>
          <w:rFonts w:ascii="Shruti" w:eastAsia="Times New Roman" w:hAnsi="Shruti" w:cs="Shruti"/>
          <w:sz w:val="16"/>
          <w:szCs w:val="14"/>
        </w:rPr>
        <w:fldChar w:fldCharType="begin">
          <w:ffData>
            <w:name w:val="Check25"/>
            <w:enabled/>
            <w:calcOnExit w:val="0"/>
            <w:checkBox>
              <w:sizeAuto/>
              <w:default w:val="0"/>
            </w:checkBox>
          </w:ffData>
        </w:fldChar>
      </w:r>
      <w:r w:rsidRPr="00954EF5">
        <w:rPr>
          <w:rFonts w:ascii="Shruti" w:eastAsia="Times New Roman" w:hAnsi="Shruti" w:cs="Shruti"/>
          <w:sz w:val="16"/>
          <w:szCs w:val="14"/>
        </w:rPr>
        <w:instrText xml:space="preserve"> FORMCHECKBOX </w:instrText>
      </w:r>
      <w:r w:rsidR="00BE4F7D">
        <w:rPr>
          <w:rFonts w:ascii="Shruti" w:eastAsia="Times New Roman" w:hAnsi="Shruti" w:cs="Shruti"/>
          <w:sz w:val="16"/>
          <w:szCs w:val="14"/>
        </w:rPr>
      </w:r>
      <w:r w:rsidR="00BE4F7D">
        <w:rPr>
          <w:rFonts w:ascii="Shruti" w:eastAsia="Times New Roman" w:hAnsi="Shruti" w:cs="Shruti"/>
          <w:sz w:val="16"/>
          <w:szCs w:val="14"/>
        </w:rPr>
        <w:fldChar w:fldCharType="separate"/>
      </w:r>
      <w:r w:rsidRPr="00954EF5">
        <w:rPr>
          <w:rFonts w:ascii="Shruti" w:eastAsia="Times New Roman" w:hAnsi="Shruti" w:cs="Shruti"/>
          <w:sz w:val="16"/>
          <w:szCs w:val="14"/>
        </w:rPr>
        <w:fldChar w:fldCharType="end"/>
      </w:r>
      <w:r w:rsidRPr="00954EF5">
        <w:rPr>
          <w:rFonts w:ascii="Shruti" w:eastAsia="Times New Roman" w:hAnsi="Shruti" w:cs="Shruti"/>
          <w:sz w:val="16"/>
          <w:szCs w:val="14"/>
        </w:rPr>
        <w:t xml:space="preserve"> </w:t>
      </w:r>
      <w:r w:rsidR="00481D80" w:rsidRPr="00954EF5">
        <w:t>9. E</w:t>
      </w:r>
      <w:r w:rsidR="00587C72" w:rsidRPr="00954EF5">
        <w:t xml:space="preserve">valuating effectiveness, accessibility, and quality of personal and population-based health </w:t>
      </w:r>
      <w:r w:rsidR="008715E7" w:rsidRPr="00954EF5">
        <w:t xml:space="preserve"> </w:t>
      </w:r>
    </w:p>
    <w:p w14:paraId="5A4E6B93" w14:textId="77777777" w:rsidR="00587C72" w:rsidRPr="00954EF5" w:rsidRDefault="008715E7" w:rsidP="008715E7">
      <w:pPr>
        <w:ind w:left="0"/>
      </w:pPr>
      <w:r w:rsidRPr="00954EF5">
        <w:t xml:space="preserve">        </w:t>
      </w:r>
      <w:r w:rsidR="00481D80" w:rsidRPr="00954EF5">
        <w:t xml:space="preserve">    </w:t>
      </w:r>
      <w:r w:rsidR="00587C72" w:rsidRPr="00954EF5">
        <w:t>services</w:t>
      </w:r>
    </w:p>
    <w:p w14:paraId="0D81D7FF" w14:textId="77777777" w:rsidR="00481D80" w:rsidRDefault="00B63CF3" w:rsidP="00692DEB">
      <w:pPr>
        <w:ind w:left="0"/>
      </w:pPr>
      <w:r w:rsidRPr="00954EF5">
        <w:rPr>
          <w:rFonts w:ascii="Shruti" w:eastAsia="Times New Roman" w:hAnsi="Shruti" w:cs="Shruti"/>
          <w:sz w:val="16"/>
          <w:szCs w:val="14"/>
        </w:rPr>
        <w:fldChar w:fldCharType="begin">
          <w:ffData>
            <w:name w:val="Check25"/>
            <w:enabled/>
            <w:calcOnExit w:val="0"/>
            <w:checkBox>
              <w:sizeAuto/>
              <w:default w:val="0"/>
            </w:checkBox>
          </w:ffData>
        </w:fldChar>
      </w:r>
      <w:r w:rsidRPr="00954EF5">
        <w:rPr>
          <w:rFonts w:ascii="Shruti" w:eastAsia="Times New Roman" w:hAnsi="Shruti" w:cs="Shruti"/>
          <w:sz w:val="16"/>
          <w:szCs w:val="14"/>
        </w:rPr>
        <w:instrText xml:space="preserve"> FORMCHECKBOX </w:instrText>
      </w:r>
      <w:r w:rsidR="00BE4F7D">
        <w:rPr>
          <w:rFonts w:ascii="Shruti" w:eastAsia="Times New Roman" w:hAnsi="Shruti" w:cs="Shruti"/>
          <w:sz w:val="16"/>
          <w:szCs w:val="14"/>
        </w:rPr>
      </w:r>
      <w:r w:rsidR="00BE4F7D">
        <w:rPr>
          <w:rFonts w:ascii="Shruti" w:eastAsia="Times New Roman" w:hAnsi="Shruti" w:cs="Shruti"/>
          <w:sz w:val="16"/>
          <w:szCs w:val="14"/>
        </w:rPr>
        <w:fldChar w:fldCharType="separate"/>
      </w:r>
      <w:r w:rsidRPr="00954EF5">
        <w:rPr>
          <w:rFonts w:ascii="Shruti" w:eastAsia="Times New Roman" w:hAnsi="Shruti" w:cs="Shruti"/>
          <w:sz w:val="16"/>
          <w:szCs w:val="14"/>
        </w:rPr>
        <w:fldChar w:fldCharType="end"/>
      </w:r>
      <w:r w:rsidRPr="00954EF5">
        <w:rPr>
          <w:rFonts w:ascii="Shruti" w:eastAsia="Times New Roman" w:hAnsi="Shruti" w:cs="Shruti"/>
          <w:sz w:val="16"/>
          <w:szCs w:val="14"/>
        </w:rPr>
        <w:t xml:space="preserve"> </w:t>
      </w:r>
      <w:r w:rsidR="00481D80" w:rsidRPr="00954EF5">
        <w:t>10. R</w:t>
      </w:r>
      <w:r w:rsidR="00587C72" w:rsidRPr="00954EF5">
        <w:t>esearch for new insights and innovative solutions to health problems</w:t>
      </w:r>
      <w:r w:rsidR="00587C72" w:rsidRPr="00954EF5">
        <w:rPr>
          <w:iCs/>
          <w:vertAlign w:val="superscript"/>
        </w:rPr>
        <w:t xml:space="preserve"> 1</w:t>
      </w:r>
    </w:p>
    <w:p w14:paraId="2292602C" w14:textId="77777777" w:rsidR="006319B0" w:rsidRPr="00173CC1" w:rsidRDefault="006319B0" w:rsidP="003E60DC">
      <w:pPr>
        <w:ind w:left="0"/>
        <w:rPr>
          <w:highlight w:val="yellow"/>
        </w:rPr>
      </w:pPr>
    </w:p>
    <w:p w14:paraId="445768D4" w14:textId="713D6A62" w:rsidR="003E60DC" w:rsidRPr="00173CC1" w:rsidRDefault="006319B0" w:rsidP="003E60DC">
      <w:pPr>
        <w:ind w:left="0"/>
      </w:pPr>
      <w:r w:rsidRPr="00173CC1">
        <w:t xml:space="preserve">The ability to temporarily reassign personnel during public health emergencies is an important flexibility for state, tribal, and local governments.  </w:t>
      </w:r>
      <w:r w:rsidR="006A38E9" w:rsidRPr="00173CC1">
        <w:t xml:space="preserve">Historically, state, tribal, and local public health personnel who </w:t>
      </w:r>
      <w:r w:rsidR="00AE3153" w:rsidRPr="00173CC1">
        <w:t>we</w:t>
      </w:r>
      <w:r w:rsidR="006A38E9" w:rsidRPr="00173CC1">
        <w:t>re funded by the P</w:t>
      </w:r>
      <w:r w:rsidR="000C3D87" w:rsidRPr="00173CC1">
        <w:t>HS</w:t>
      </w:r>
      <w:r w:rsidR="006A38E9" w:rsidRPr="00173CC1">
        <w:t xml:space="preserve"> Act were not authorized to work outside of the scope of the funded program. </w:t>
      </w:r>
      <w:r w:rsidR="000C3D87" w:rsidRPr="00173CC1">
        <w:t xml:space="preserve"> </w:t>
      </w:r>
      <w:r w:rsidR="003E60DC" w:rsidRPr="00173CC1">
        <w:rPr>
          <w:rFonts w:cs="Arial"/>
        </w:rPr>
        <w:t>Section 201 of the Pandemic and All Hazards Preparedness Reauthorization Act of 2013, Public Law 1135, amend</w:t>
      </w:r>
      <w:r w:rsidR="005C3760">
        <w:rPr>
          <w:rFonts w:cs="Arial"/>
        </w:rPr>
        <w:t>s</w:t>
      </w:r>
      <w:r w:rsidR="003E60DC" w:rsidRPr="00173CC1">
        <w:rPr>
          <w:rFonts w:cs="Arial"/>
        </w:rPr>
        <w:t xml:space="preserve"> section 319 of the PHS Act to provide the HHS Secretary with discretion to authorize the temporary reassignment of state, tribal, and local personnel during the time period when she has declared a federal public health emergency upon request by a state or tribal organization.</w:t>
      </w:r>
      <w:r w:rsidR="0044577D">
        <w:rPr>
          <w:rFonts w:cs="Arial"/>
          <w:vertAlign w:val="superscript"/>
        </w:rPr>
        <w:t>1</w:t>
      </w:r>
      <w:r w:rsidRPr="00173CC1">
        <w:rPr>
          <w:rFonts w:cs="Arial"/>
        </w:rPr>
        <w:t xml:space="preserve"> </w:t>
      </w:r>
    </w:p>
    <w:p w14:paraId="613A697A" w14:textId="77777777" w:rsidR="00954EF5" w:rsidRPr="00173CC1" w:rsidRDefault="00954EF5" w:rsidP="00AE3153">
      <w:pPr>
        <w:ind w:left="0"/>
        <w:rPr>
          <w:highlight w:val="yellow"/>
        </w:rPr>
      </w:pPr>
    </w:p>
    <w:p w14:paraId="0A04EB7F" w14:textId="1E40EE04" w:rsidR="00173CC1" w:rsidRPr="00173CC1" w:rsidRDefault="00954EF5" w:rsidP="00173CC1">
      <w:pPr>
        <w:ind w:left="0"/>
      </w:pPr>
      <w:r w:rsidRPr="00173CC1">
        <w:t>The HHS Secretary delegated the authority to authorize requests for the temporary reassignment of personnel to all heads of HHS agencies with programs funded under the PHS Act, with the Office of the Assistant Secretary for Preparedness and Response (ASPR) serving a coordinating role.</w:t>
      </w:r>
      <w:r w:rsidR="0044577D">
        <w:rPr>
          <w:rFonts w:cs="Arial"/>
          <w:vertAlign w:val="superscript"/>
        </w:rPr>
        <w:t>1</w:t>
      </w:r>
      <w:r w:rsidRPr="00173CC1">
        <w:t xml:space="preserve">  </w:t>
      </w:r>
      <w:r w:rsidR="009763CE" w:rsidRPr="00173CC1">
        <w:t>To implement the authority, ASPR has developed imple</w:t>
      </w:r>
      <w:r w:rsidR="005C3760">
        <w:t xml:space="preserve">mentation guidance outlining </w:t>
      </w:r>
      <w:r w:rsidR="009763CE" w:rsidRPr="00173CC1">
        <w:t>roles and responsibilities and conditions of temporary reassignment.</w:t>
      </w:r>
      <w:r w:rsidR="00AA5AFF" w:rsidRPr="00173CC1">
        <w:t xml:space="preserve"> </w:t>
      </w:r>
      <w:r w:rsidR="005C3760">
        <w:t xml:space="preserve"> </w:t>
      </w:r>
      <w:r w:rsidR="00017AE4" w:rsidRPr="00173CC1">
        <w:t>ASPR has also developed the information collection instrument that respondents</w:t>
      </w:r>
      <w:r w:rsidR="00AA5AFF" w:rsidRPr="00173CC1">
        <w:t xml:space="preserve"> (i.e., state governors, tribal leaders, or authorized designees)</w:t>
      </w:r>
      <w:r w:rsidR="005C3760">
        <w:t xml:space="preserve"> will submit to HHS</w:t>
      </w:r>
      <w:r w:rsidR="00017AE4" w:rsidRPr="00173CC1">
        <w:t xml:space="preserve"> </w:t>
      </w:r>
      <w:r w:rsidR="005C3760">
        <w:t xml:space="preserve">in order </w:t>
      </w:r>
      <w:r w:rsidR="00017AE4" w:rsidRPr="00173CC1">
        <w:t xml:space="preserve">to request use of the </w:t>
      </w:r>
      <w:r w:rsidR="005C3760">
        <w:t>auth</w:t>
      </w:r>
      <w:r w:rsidR="00017AE4" w:rsidRPr="00173CC1">
        <w:t>ority.</w:t>
      </w:r>
      <w:r w:rsidR="00173CC1" w:rsidRPr="00173CC1">
        <w:t xml:space="preserve">  </w:t>
      </w:r>
    </w:p>
    <w:p w14:paraId="250D4B0D" w14:textId="77777777" w:rsidR="00173CC1" w:rsidRPr="00173CC1" w:rsidRDefault="00173CC1" w:rsidP="00AA5AFF">
      <w:pPr>
        <w:ind w:left="0"/>
      </w:pPr>
    </w:p>
    <w:p w14:paraId="478455A2" w14:textId="5C27188D" w:rsidR="000C3C14" w:rsidRPr="00173CC1" w:rsidRDefault="006A38E9" w:rsidP="00173CC1">
      <w:pPr>
        <w:rPr>
          <w:rFonts w:eastAsia="Times New Roman"/>
          <w:highlight w:val="yellow"/>
        </w:rPr>
      </w:pPr>
      <w:r w:rsidRPr="00173CC1">
        <w:t>Following the</w:t>
      </w:r>
      <w:r w:rsidR="005C3760">
        <w:t xml:space="preserve"> HHS Secretary’s</w:t>
      </w:r>
      <w:r w:rsidRPr="00173CC1">
        <w:t xml:space="preserve"> declaration of a public healt</w:t>
      </w:r>
      <w:r w:rsidR="005C3760">
        <w:t>h emergency, state</w:t>
      </w:r>
      <w:r w:rsidRPr="00173CC1">
        <w:t xml:space="preserve"> governor</w:t>
      </w:r>
      <w:r w:rsidR="005C3760">
        <w:t>s</w:t>
      </w:r>
      <w:r w:rsidR="0074168E" w:rsidRPr="00173CC1">
        <w:t xml:space="preserve">, </w:t>
      </w:r>
      <w:r w:rsidR="005C3760">
        <w:t>tribal</w:t>
      </w:r>
      <w:r w:rsidR="0074168E" w:rsidRPr="00173CC1">
        <w:t xml:space="preserve"> leader</w:t>
      </w:r>
      <w:r w:rsidR="005C3760">
        <w:t>s</w:t>
      </w:r>
      <w:r w:rsidRPr="00173CC1">
        <w:t>, or autho</w:t>
      </w:r>
      <w:r w:rsidR="009763CE" w:rsidRPr="00173CC1">
        <w:t>rized designees, may</w:t>
      </w:r>
      <w:r w:rsidR="005C3760">
        <w:t xml:space="preserve"> submit a</w:t>
      </w:r>
      <w:r w:rsidR="009763CE" w:rsidRPr="00173CC1">
        <w:t xml:space="preserve"> request </w:t>
      </w:r>
      <w:r w:rsidR="005C3760">
        <w:t>to</w:t>
      </w:r>
      <w:r w:rsidR="009763CE" w:rsidRPr="00173CC1">
        <w:t xml:space="preserve"> use the temporary reassignment authority</w:t>
      </w:r>
      <w:r w:rsidR="005C3760">
        <w:t xml:space="preserve"> if there is need</w:t>
      </w:r>
      <w:r w:rsidR="00AA5AFF" w:rsidRPr="00173CC1">
        <w:t xml:space="preserve"> for more personnel to assist with responding to the emergency.  S</w:t>
      </w:r>
      <w:r w:rsidR="009763CE" w:rsidRPr="00173CC1">
        <w:t>tate, tribal, and local public health department or agency personnel whose positions are funded, in full</w:t>
      </w:r>
      <w:r w:rsidR="00AA5AFF" w:rsidRPr="00173CC1">
        <w:t xml:space="preserve"> or in part, under PHS programs, are eligible</w:t>
      </w:r>
      <w:r w:rsidR="005C3760">
        <w:t xml:space="preserve"> for </w:t>
      </w:r>
      <w:r w:rsidR="00AA5AFF" w:rsidRPr="00173CC1">
        <w:t>reassignment.</w:t>
      </w:r>
      <w:r w:rsidR="0044577D">
        <w:rPr>
          <w:rFonts w:cs="Arial"/>
          <w:vertAlign w:val="superscript"/>
        </w:rPr>
        <w:t>1</w:t>
      </w:r>
      <w:r w:rsidR="00173CC1" w:rsidRPr="00173CC1">
        <w:t xml:space="preserve">  </w:t>
      </w:r>
    </w:p>
    <w:p w14:paraId="0DE2CC08" w14:textId="45931DD7" w:rsidR="00173CC1" w:rsidRPr="00173CC1" w:rsidRDefault="00173CC1" w:rsidP="00173CC1">
      <w:pPr>
        <w:ind w:left="0"/>
      </w:pPr>
      <w:r w:rsidRPr="00173CC1">
        <w:t>The HHS Secretary’s Operations Center will coordinate requests received from states or tribal organizations, and h</w:t>
      </w:r>
      <w:r w:rsidRPr="00173CC1">
        <w:rPr>
          <w:rFonts w:cs="Arial"/>
        </w:rPr>
        <w:t xml:space="preserve">eads of relevant HHS OpDivs and StaffDivs will make temporary reassignment decisions for their respective program(s).  </w:t>
      </w:r>
      <w:r w:rsidRPr="00173CC1">
        <w:t xml:space="preserve">ASPR will provide written notification to the governor of the state or </w:t>
      </w:r>
      <w:r w:rsidR="003B6F2B">
        <w:t>tribal organization</w:t>
      </w:r>
      <w:r w:rsidRPr="00173CC1">
        <w:t xml:space="preserve"> regarding the outcome of the request. </w:t>
      </w:r>
      <w:r w:rsidR="005C3760">
        <w:t xml:space="preserve"> </w:t>
      </w:r>
      <w:r w:rsidRPr="00173CC1">
        <w:t xml:space="preserve">States or </w:t>
      </w:r>
      <w:r w:rsidR="003B6F2B">
        <w:t>tribal organizations</w:t>
      </w:r>
      <w:r w:rsidRPr="00173CC1">
        <w:t xml:space="preserve"> may immediately reassign personnel upon notification of approval.</w:t>
      </w:r>
      <w:r w:rsidR="0044577D">
        <w:rPr>
          <w:rFonts w:cs="Arial"/>
          <w:vertAlign w:val="superscript"/>
        </w:rPr>
        <w:t>1</w:t>
      </w:r>
      <w:r w:rsidRPr="00173CC1">
        <w:t xml:space="preserve"> </w:t>
      </w:r>
      <w:r w:rsidR="005C3760">
        <w:t xml:space="preserve"> </w:t>
      </w:r>
    </w:p>
    <w:p w14:paraId="45A60A37" w14:textId="77777777" w:rsidR="00173CC1" w:rsidRPr="00173CC1" w:rsidRDefault="00173CC1" w:rsidP="009763CE">
      <w:pPr>
        <w:ind w:left="0"/>
        <w:rPr>
          <w:highlight w:val="yellow"/>
        </w:rPr>
      </w:pPr>
    </w:p>
    <w:p w14:paraId="3A69D873" w14:textId="17AA04ED" w:rsidR="00FF4289" w:rsidRPr="00173CC1" w:rsidRDefault="00031435" w:rsidP="00FF4289">
      <w:pPr>
        <w:ind w:left="0"/>
        <w:rPr>
          <w:rFonts w:eastAsia="Times New Roman"/>
        </w:rPr>
      </w:pPr>
      <w:r w:rsidRPr="005C3760">
        <w:rPr>
          <w:rFonts w:cs="Times New Roman"/>
        </w:rPr>
        <w:t xml:space="preserve">The </w:t>
      </w:r>
      <w:r w:rsidR="000C3D87" w:rsidRPr="005C3760">
        <w:rPr>
          <w:rFonts w:cs="Times New Roman"/>
        </w:rPr>
        <w:t>authority will allow personnel to be reassigned to supplement the public health staff responding to the emergency in the affected jurisdiction</w:t>
      </w:r>
      <w:r w:rsidR="009763CE" w:rsidRPr="005C3760">
        <w:rPr>
          <w:rFonts w:cs="Times New Roman"/>
        </w:rPr>
        <w:t xml:space="preserve">.  </w:t>
      </w:r>
      <w:r w:rsidR="009A5024" w:rsidRPr="005C3760">
        <w:rPr>
          <w:rFonts w:cs="Times New Roman"/>
        </w:rPr>
        <w:t xml:space="preserve">Staff reassigned from these programs might assist with distribution of medical countermeasures, health care facility surge, individuals in shelters, or support other activities to the emergency response. </w:t>
      </w:r>
      <w:r w:rsidRPr="005C3760">
        <w:rPr>
          <w:rFonts w:cs="Times New Roman"/>
        </w:rPr>
        <w:t xml:space="preserve"> </w:t>
      </w:r>
      <w:r w:rsidR="00FF4289" w:rsidRPr="005C3760">
        <w:rPr>
          <w:rFonts w:eastAsia="Times New Roman"/>
        </w:rPr>
        <w:t>Conditions</w:t>
      </w:r>
      <w:r w:rsidR="005C3760">
        <w:rPr>
          <w:rFonts w:eastAsia="Times New Roman"/>
        </w:rPr>
        <w:t xml:space="preserve"> for</w:t>
      </w:r>
      <w:r w:rsidR="00FF4289" w:rsidRPr="005C3760">
        <w:rPr>
          <w:rFonts w:eastAsia="Times New Roman"/>
        </w:rPr>
        <w:t xml:space="preserve"> reassignment</w:t>
      </w:r>
      <w:r w:rsidR="00173CC1" w:rsidRPr="005C3760">
        <w:rPr>
          <w:rFonts w:eastAsia="Times New Roman"/>
        </w:rPr>
        <w:t xml:space="preserve"> include the following:</w:t>
      </w:r>
    </w:p>
    <w:p w14:paraId="3A3D06CC" w14:textId="39DA5138" w:rsidR="00173CC1" w:rsidRPr="00173CC1" w:rsidRDefault="00FF4289" w:rsidP="00173CC1">
      <w:pPr>
        <w:pStyle w:val="ListParagraph"/>
        <w:numPr>
          <w:ilvl w:val="0"/>
          <w:numId w:val="41"/>
        </w:numPr>
        <w:rPr>
          <w:rFonts w:eastAsia="Times New Roman"/>
        </w:rPr>
      </w:pPr>
      <w:r w:rsidRPr="00173CC1">
        <w:rPr>
          <w:rFonts w:cs="Times New Roman"/>
          <w:color w:val="000000"/>
        </w:rPr>
        <w:t xml:space="preserve">Reassignment must be voluntary. </w:t>
      </w:r>
      <w:r w:rsidR="005C3760">
        <w:rPr>
          <w:rFonts w:cs="Times New Roman"/>
          <w:color w:val="000000"/>
        </w:rPr>
        <w:t xml:space="preserve"> </w:t>
      </w:r>
    </w:p>
    <w:p w14:paraId="432D39D7" w14:textId="77777777" w:rsidR="00173CC1" w:rsidRPr="00173CC1" w:rsidRDefault="00FF4289" w:rsidP="00173CC1">
      <w:pPr>
        <w:pStyle w:val="ListParagraph"/>
        <w:numPr>
          <w:ilvl w:val="0"/>
          <w:numId w:val="41"/>
        </w:numPr>
        <w:rPr>
          <w:rFonts w:eastAsia="Times New Roman"/>
        </w:rPr>
      </w:pPr>
      <w:r w:rsidRPr="00173CC1">
        <w:rPr>
          <w:rFonts w:cs="Times New Roman"/>
          <w:color w:val="000000"/>
        </w:rPr>
        <w:t xml:space="preserve">Staff may be reassigned only to those locations covered under the public health emergency. Staff from an unaffected area of the state or tribal boundaries may be reassigned to the affected area of the state or tribal lands. </w:t>
      </w:r>
    </w:p>
    <w:p w14:paraId="6D6D4FAE" w14:textId="77777777" w:rsidR="00173CC1" w:rsidRPr="00173CC1" w:rsidRDefault="00FF4289" w:rsidP="00173CC1">
      <w:pPr>
        <w:pStyle w:val="ListParagraph"/>
        <w:numPr>
          <w:ilvl w:val="0"/>
          <w:numId w:val="41"/>
        </w:numPr>
        <w:rPr>
          <w:rFonts w:eastAsia="Times New Roman"/>
        </w:rPr>
      </w:pPr>
      <w:r w:rsidRPr="00173CC1">
        <w:rPr>
          <w:rFonts w:cs="Times New Roman"/>
          <w:color w:val="000000"/>
        </w:rPr>
        <w:lastRenderedPageBreak/>
        <w:t xml:space="preserve">Staff should, when possible, be reassigned into activities within their identified scope of practice, skill set, credentialing, and in accordance with the jurisdiction’s established preparedness plans. </w:t>
      </w:r>
    </w:p>
    <w:p w14:paraId="6937B767" w14:textId="77777777" w:rsidR="000C3C14" w:rsidRPr="000C3C14" w:rsidRDefault="00FF4289" w:rsidP="000C3C14">
      <w:pPr>
        <w:pStyle w:val="ListParagraph"/>
        <w:numPr>
          <w:ilvl w:val="0"/>
          <w:numId w:val="41"/>
        </w:numPr>
        <w:rPr>
          <w:rFonts w:eastAsia="Times New Roman"/>
        </w:rPr>
      </w:pPr>
      <w:r w:rsidRPr="00173CC1">
        <w:rPr>
          <w:rFonts w:cs="Times New Roman"/>
          <w:color w:val="000000"/>
        </w:rPr>
        <w:t xml:space="preserve">Staff should receive, at a minimum, just-in-time training, where applicable, upon reassignment. </w:t>
      </w:r>
    </w:p>
    <w:p w14:paraId="18CA325D" w14:textId="3D2C34EF" w:rsidR="00FF4289" w:rsidRPr="000C3C14" w:rsidRDefault="00FF4289" w:rsidP="000C3C14">
      <w:pPr>
        <w:pStyle w:val="ListParagraph"/>
        <w:numPr>
          <w:ilvl w:val="0"/>
          <w:numId w:val="41"/>
        </w:numPr>
        <w:rPr>
          <w:rFonts w:eastAsia="Times New Roman"/>
        </w:rPr>
      </w:pPr>
      <w:r w:rsidRPr="000C3C14">
        <w:rPr>
          <w:rFonts w:cs="Times New Roman"/>
          <w:color w:val="000000"/>
        </w:rPr>
        <w:t>States and</w:t>
      </w:r>
      <w:r w:rsidR="00031435" w:rsidRPr="000C3C14">
        <w:rPr>
          <w:rFonts w:cs="Times New Roman"/>
          <w:color w:val="000000"/>
        </w:rPr>
        <w:t xml:space="preserve"> tribal organizations</w:t>
      </w:r>
      <w:r w:rsidRPr="000C3C14">
        <w:rPr>
          <w:rFonts w:cs="Times New Roman"/>
          <w:color w:val="000000"/>
        </w:rPr>
        <w:t xml:space="preserve"> are encouraged to develop, in advance, written plans to initiate these guidelines in the event of an HHS declared public health emergency and include the implementation of this provision in any response exercises conducted throughout the year.</w:t>
      </w:r>
      <w:r w:rsidR="0044577D">
        <w:rPr>
          <w:rFonts w:cs="Arial"/>
          <w:vertAlign w:val="superscript"/>
        </w:rPr>
        <w:t>1</w:t>
      </w:r>
      <w:r w:rsidRPr="000C3C14">
        <w:rPr>
          <w:rFonts w:cs="Times New Roman"/>
          <w:color w:val="000000"/>
        </w:rPr>
        <w:t xml:space="preserve"> </w:t>
      </w:r>
    </w:p>
    <w:p w14:paraId="5BF35104" w14:textId="77777777" w:rsidR="000C3D87" w:rsidRPr="00173CC1" w:rsidRDefault="000C3D87" w:rsidP="00692DEB">
      <w:pPr>
        <w:ind w:left="0"/>
      </w:pPr>
    </w:p>
    <w:p w14:paraId="3607026B" w14:textId="33779C49" w:rsidR="009763CE" w:rsidRPr="00031435" w:rsidRDefault="000C3D87" w:rsidP="009763CE">
      <w:pPr>
        <w:ind w:left="0"/>
      </w:pPr>
      <w:r w:rsidRPr="00031435">
        <w:t>The purpose of t</w:t>
      </w:r>
      <w:r w:rsidR="000C3C14">
        <w:t>h</w:t>
      </w:r>
      <w:r w:rsidR="005C3760">
        <w:t>e</w:t>
      </w:r>
      <w:r w:rsidR="000C3C14">
        <w:t xml:space="preserve"> information collection is for HHS</w:t>
      </w:r>
      <w:r w:rsidR="00170608">
        <w:t>/ASPR</w:t>
      </w:r>
      <w:r w:rsidR="000C3C14">
        <w:t xml:space="preserve"> to obtain information </w:t>
      </w:r>
      <w:r w:rsidR="00AE3153" w:rsidRPr="00031435">
        <w:t>from states and tr</w:t>
      </w:r>
      <w:r w:rsidR="00173CC1" w:rsidRPr="00031435">
        <w:t xml:space="preserve">ibes on the </w:t>
      </w:r>
      <w:r w:rsidR="00031435" w:rsidRPr="00031435">
        <w:t xml:space="preserve">conditions </w:t>
      </w:r>
      <w:r w:rsidR="00173CC1" w:rsidRPr="00031435">
        <w:t>in which</w:t>
      </w:r>
      <w:r w:rsidR="005C3760">
        <w:t xml:space="preserve"> reassigned</w:t>
      </w:r>
      <w:r w:rsidR="00173CC1" w:rsidRPr="00031435">
        <w:t xml:space="preserve"> personnel are needed to assist with </w:t>
      </w:r>
      <w:r w:rsidR="00031435" w:rsidRPr="00031435">
        <w:t xml:space="preserve">responding to a public health emergency, the program(s) selected for reassignment, and any impacts the reassignment will have on the program.  </w:t>
      </w:r>
      <w:r w:rsidR="009A5024" w:rsidRPr="00031435">
        <w:t>This</w:t>
      </w:r>
      <w:r w:rsidR="00031435" w:rsidRPr="00031435">
        <w:t xml:space="preserve"> information collection instrument</w:t>
      </w:r>
      <w:r w:rsidR="005C3760">
        <w:t xml:space="preserve"> is designed to</w:t>
      </w:r>
      <w:r w:rsidR="009A5024" w:rsidRPr="00031435">
        <w:t xml:space="preserve"> help ASPR i</w:t>
      </w:r>
      <w:r w:rsidR="009A5024" w:rsidRPr="00031435">
        <w:rPr>
          <w:rFonts w:cs="Times New Roman"/>
        </w:rPr>
        <w:t>ncrease</w:t>
      </w:r>
      <w:r w:rsidR="005C3760">
        <w:rPr>
          <w:rFonts w:cs="Times New Roman"/>
        </w:rPr>
        <w:t xml:space="preserve"> its</w:t>
      </w:r>
      <w:r w:rsidR="009A5024" w:rsidRPr="00031435">
        <w:rPr>
          <w:rFonts w:cs="Times New Roman"/>
        </w:rPr>
        <w:t xml:space="preserve"> efficiency and effectiveness in</w:t>
      </w:r>
      <w:r w:rsidR="009763CE" w:rsidRPr="00031435">
        <w:rPr>
          <w:rFonts w:cs="Times New Roman"/>
        </w:rPr>
        <w:t xml:space="preserve"> responding to</w:t>
      </w:r>
      <w:r w:rsidR="005C3760">
        <w:rPr>
          <w:rFonts w:cs="Times New Roman"/>
        </w:rPr>
        <w:t xml:space="preserve"> requests for reassignment during</w:t>
      </w:r>
      <w:r w:rsidR="009763CE" w:rsidRPr="00031435">
        <w:rPr>
          <w:rFonts w:cs="Times New Roman"/>
        </w:rPr>
        <w:t xml:space="preserve"> public health emergencies.  During the time of a public health emergency, it is imperative to operate quickly in order to ensure the affected jurisdictions have the resources they need to immediately respond.  By allowing the opportunity to reassign staff, s</w:t>
      </w:r>
      <w:r w:rsidR="009763CE" w:rsidRPr="00031435">
        <w:t xml:space="preserve">tate and local health departments and tribal organizations will be able to increase </w:t>
      </w:r>
      <w:r w:rsidR="005C3760">
        <w:t>its</w:t>
      </w:r>
      <w:r w:rsidR="009763CE" w:rsidRPr="00031435">
        <w:t xml:space="preserve"> workforce</w:t>
      </w:r>
      <w:r w:rsidR="005C3760">
        <w:t xml:space="preserve"> when</w:t>
      </w:r>
      <w:r w:rsidR="009763CE" w:rsidRPr="00031435">
        <w:t xml:space="preserve"> respond</w:t>
      </w:r>
      <w:r w:rsidR="005C3760">
        <w:t>ing</w:t>
      </w:r>
      <w:r w:rsidR="009763CE" w:rsidRPr="00031435">
        <w:t xml:space="preserve"> to public heal</w:t>
      </w:r>
      <w:r w:rsidR="005C3760">
        <w:t>th emergencies.</w:t>
      </w:r>
      <w:r w:rsidR="009763CE" w:rsidRPr="00031435">
        <w:t xml:space="preserve">  </w:t>
      </w:r>
    </w:p>
    <w:p w14:paraId="0332CE85" w14:textId="77777777" w:rsidR="00B901A9" w:rsidRPr="00173CC1" w:rsidRDefault="00B901A9" w:rsidP="009763CE">
      <w:pPr>
        <w:ind w:left="0"/>
      </w:pPr>
    </w:p>
    <w:p w14:paraId="6D1562E4" w14:textId="77777777" w:rsidR="00692DEB" w:rsidRDefault="006102DA" w:rsidP="00692DEB">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0785E35E" w14:textId="209345FC" w:rsidR="00774689" w:rsidRDefault="00692DEB" w:rsidP="00E26A14">
      <w:pPr>
        <w:ind w:left="0"/>
      </w:pPr>
      <w:r w:rsidRPr="006B6479">
        <w:t>Data will be collected via a</w:t>
      </w:r>
      <w:r w:rsidR="005E0936" w:rsidRPr="006B6479">
        <w:t>n</w:t>
      </w:r>
      <w:r w:rsidRPr="006B6479">
        <w:t xml:space="preserve"> </w:t>
      </w:r>
      <w:r w:rsidR="000C2013" w:rsidRPr="006B6479">
        <w:t xml:space="preserve">online </w:t>
      </w:r>
      <w:r w:rsidR="00854019" w:rsidRPr="006B6479">
        <w:t xml:space="preserve">information collection instrument that respondents will complete and submit electronically to </w:t>
      </w:r>
      <w:r w:rsidR="009763CE" w:rsidRPr="006B6479">
        <w:t>an</w:t>
      </w:r>
      <w:r w:rsidR="00240FAC" w:rsidRPr="006B6479">
        <w:t xml:space="preserve"> </w:t>
      </w:r>
      <w:r w:rsidR="00854019" w:rsidRPr="006B6479">
        <w:t>electronic mailbox</w:t>
      </w:r>
      <w:r w:rsidR="00240FAC" w:rsidRPr="006B6479">
        <w:t xml:space="preserve"> (</w:t>
      </w:r>
      <w:hyperlink r:id="rId9" w:history="1">
        <w:r w:rsidR="00240FAC" w:rsidRPr="006B6479">
          <w:rPr>
            <w:rStyle w:val="Hyperlink"/>
          </w:rPr>
          <w:t>temporaryreassignment@hhs.gov</w:t>
        </w:r>
      </w:hyperlink>
      <w:r w:rsidR="00240FAC" w:rsidRPr="00B34220">
        <w:t xml:space="preserve">) </w:t>
      </w:r>
      <w:r w:rsidR="00BA5724" w:rsidRPr="00BA5724">
        <w:rPr>
          <w:b/>
        </w:rPr>
        <w:t>[</w:t>
      </w:r>
      <w:r w:rsidR="00E647FB" w:rsidRPr="006B6479">
        <w:rPr>
          <w:b/>
        </w:rPr>
        <w:t xml:space="preserve">see Attachment </w:t>
      </w:r>
      <w:r w:rsidR="00B901A9">
        <w:rPr>
          <w:b/>
        </w:rPr>
        <w:t>A</w:t>
      </w:r>
      <w:r w:rsidR="00E647FB" w:rsidRPr="006B6479">
        <w:rPr>
          <w:b/>
        </w:rPr>
        <w:t>—</w:t>
      </w:r>
      <w:r w:rsidR="00907046" w:rsidRPr="006B6479">
        <w:rPr>
          <w:b/>
        </w:rPr>
        <w:t>Temporary Reassignment Request Form</w:t>
      </w:r>
      <w:r w:rsidRPr="006B6479">
        <w:rPr>
          <w:b/>
        </w:rPr>
        <w:t xml:space="preserve"> </w:t>
      </w:r>
      <w:r w:rsidRPr="006B6479">
        <w:t xml:space="preserve">and </w:t>
      </w:r>
      <w:r w:rsidR="00E647FB" w:rsidRPr="006B6479">
        <w:rPr>
          <w:b/>
        </w:rPr>
        <w:t xml:space="preserve">Attachment </w:t>
      </w:r>
      <w:r w:rsidR="00F42FA2">
        <w:rPr>
          <w:b/>
        </w:rPr>
        <w:t>B</w:t>
      </w:r>
      <w:r w:rsidR="00E647FB" w:rsidRPr="006B6479">
        <w:rPr>
          <w:b/>
        </w:rPr>
        <w:t>—</w:t>
      </w:r>
      <w:r w:rsidR="00907046" w:rsidRPr="006B6479">
        <w:rPr>
          <w:b/>
        </w:rPr>
        <w:t xml:space="preserve"> Temporary Reassignment web site screenshot (where final request form will be posted)</w:t>
      </w:r>
      <w:r w:rsidR="00BA5724" w:rsidRPr="00BA5724">
        <w:rPr>
          <w:b/>
        </w:rPr>
        <w:t>]</w:t>
      </w:r>
      <w:r w:rsidR="00907046" w:rsidRPr="006B6479">
        <w:t xml:space="preserve">. </w:t>
      </w:r>
      <w:r w:rsidRPr="006B6479">
        <w:t xml:space="preserve"> The </w:t>
      </w:r>
      <w:r w:rsidR="00A93A8A" w:rsidRPr="006B6479">
        <w:t>information</w:t>
      </w:r>
      <w:r w:rsidR="00837EE1" w:rsidRPr="006B6479">
        <w:t xml:space="preserve"> collection </w:t>
      </w:r>
      <w:r w:rsidRPr="006B6479">
        <w:t xml:space="preserve">instrument will be used to gather information from </w:t>
      </w:r>
      <w:r w:rsidR="00E079B6" w:rsidRPr="006B6479">
        <w:t xml:space="preserve">state governors, tribal leaders, or </w:t>
      </w:r>
      <w:r w:rsidR="00BA5724">
        <w:t xml:space="preserve">authorized </w:t>
      </w:r>
      <w:r w:rsidR="00E079B6" w:rsidRPr="006B6479">
        <w:t>designees</w:t>
      </w:r>
      <w:r w:rsidR="00E079B6" w:rsidRPr="006B6479">
        <w:rPr>
          <w:color w:val="0070C0"/>
        </w:rPr>
        <w:t xml:space="preserve"> </w:t>
      </w:r>
      <w:r w:rsidRPr="006B6479">
        <w:t>regarding</w:t>
      </w:r>
      <w:r w:rsidR="00837EE1" w:rsidRPr="006B6479">
        <w:t xml:space="preserve"> </w:t>
      </w:r>
      <w:r w:rsidR="005E0936" w:rsidRPr="006B6479">
        <w:t>the</w:t>
      </w:r>
      <w:r w:rsidR="00BA5724">
        <w:t xml:space="preserve"> PHS Act</w:t>
      </w:r>
      <w:r w:rsidR="005E0936" w:rsidRPr="006B6479">
        <w:t xml:space="preserve"> programs applicable to the request, the number of personnel eligible</w:t>
      </w:r>
      <w:r w:rsidR="00BA5724">
        <w:t xml:space="preserve"> for reassignment</w:t>
      </w:r>
      <w:r w:rsidR="005E0936" w:rsidRPr="006B6479">
        <w:t xml:space="preserve">, activities personnel will support, and </w:t>
      </w:r>
      <w:r w:rsidR="009763CE" w:rsidRPr="006B6479">
        <w:t>any</w:t>
      </w:r>
      <w:r w:rsidR="005E0936" w:rsidRPr="006B6479">
        <w:t xml:space="preserve"> </w:t>
      </w:r>
      <w:r w:rsidR="009763CE" w:rsidRPr="006B6479">
        <w:t xml:space="preserve">programmatic </w:t>
      </w:r>
      <w:r w:rsidR="005E0936" w:rsidRPr="006B6479">
        <w:t>impact</w:t>
      </w:r>
      <w:r w:rsidR="009763CE" w:rsidRPr="006B6479">
        <w:t>(s)</w:t>
      </w:r>
      <w:r w:rsidR="00837EE1" w:rsidRPr="006B6479">
        <w:t>.</w:t>
      </w:r>
      <w:r w:rsidRPr="006B6479">
        <w:t xml:space="preserve"> </w:t>
      </w:r>
      <w:r w:rsidR="00BA5724">
        <w:t xml:space="preserve"> </w:t>
      </w:r>
      <w:r w:rsidRPr="006B6479">
        <w:t xml:space="preserve">This method was chosen to reduce the overall burden on respondents. The information collection instrument was </w:t>
      </w:r>
      <w:r w:rsidR="00417463">
        <w:t xml:space="preserve">reviewed by </w:t>
      </w:r>
      <w:r w:rsidR="00DF53E6">
        <w:t xml:space="preserve"> the</w:t>
      </w:r>
      <w:r w:rsidR="00417463">
        <w:t xml:space="preserve"> eight</w:t>
      </w:r>
      <w:r w:rsidR="00E26A14" w:rsidRPr="006B6479">
        <w:t xml:space="preserve"> HHS O</w:t>
      </w:r>
      <w:r w:rsidR="006B6479">
        <w:t>pDiv and Staff</w:t>
      </w:r>
      <w:r w:rsidR="00E26A14" w:rsidRPr="006B6479">
        <w:t>Div</w:t>
      </w:r>
      <w:r w:rsidR="006B6479">
        <w:t>s</w:t>
      </w:r>
      <w:r w:rsidR="00E26A14" w:rsidRPr="006B6479">
        <w:t xml:space="preserve"> </w:t>
      </w:r>
      <w:r w:rsidR="00DF53E6">
        <w:t>that</w:t>
      </w:r>
      <w:r w:rsidR="00E26A14" w:rsidRPr="006B6479">
        <w:t xml:space="preserve"> have programs authorized under the PHS Act</w:t>
      </w:r>
      <w:r w:rsidR="006B6479">
        <w:t xml:space="preserve"> (</w:t>
      </w:r>
      <w:r w:rsidR="00E26A14" w:rsidRPr="006B6479">
        <w:t xml:space="preserve">and therefore </w:t>
      </w:r>
      <w:r w:rsidR="006B6479">
        <w:t xml:space="preserve">are </w:t>
      </w:r>
      <w:r w:rsidR="00E26A14" w:rsidRPr="006B6479">
        <w:t>eligible for temporary reassignment</w:t>
      </w:r>
      <w:r w:rsidR="006B6479">
        <w:t>)</w:t>
      </w:r>
      <w:r w:rsidR="00E26A14" w:rsidRPr="006B6479">
        <w:t xml:space="preserve">. </w:t>
      </w:r>
      <w:r w:rsidR="00BA5724">
        <w:t xml:space="preserve"> </w:t>
      </w:r>
      <w:r w:rsidR="00417463">
        <w:t>T</w:t>
      </w:r>
      <w:r w:rsidR="005E251C">
        <w:t xml:space="preserve">wo </w:t>
      </w:r>
      <w:r w:rsidR="00417463">
        <w:t>ASPR program officials</w:t>
      </w:r>
      <w:r w:rsidR="005E251C">
        <w:t xml:space="preserve"> participated in a pilot test of the instrument</w:t>
      </w:r>
      <w:r w:rsidR="00417463">
        <w:t>.</w:t>
      </w:r>
      <w:r w:rsidR="00417463" w:rsidRPr="006B6479">
        <w:t xml:space="preserve"> </w:t>
      </w:r>
      <w:r w:rsidR="00417463">
        <w:t xml:space="preserve"> </w:t>
      </w:r>
      <w:r w:rsidR="00E26A14" w:rsidRPr="006B6479">
        <w:t>Feedback</w:t>
      </w:r>
      <w:r w:rsidR="006B6479">
        <w:t xml:space="preserve"> provided by </w:t>
      </w:r>
      <w:r w:rsidR="00E26A14" w:rsidRPr="006B6479">
        <w:t>the</w:t>
      </w:r>
      <w:r w:rsidR="006B6479">
        <w:t>se</w:t>
      </w:r>
      <w:r w:rsidR="00E26A14" w:rsidRPr="006B6479">
        <w:t xml:space="preserve"> </w:t>
      </w:r>
      <w:r w:rsidR="00417463">
        <w:t>groups</w:t>
      </w:r>
      <w:r w:rsidR="00E26A14" w:rsidRPr="006B6479">
        <w:t xml:space="preserve"> was used to refine the questions in the information collection instrument as needed.</w:t>
      </w:r>
      <w:r w:rsidR="00E26A14">
        <w:t xml:space="preserve"> </w:t>
      </w:r>
    </w:p>
    <w:p w14:paraId="57DA5064" w14:textId="77777777" w:rsidR="00E26A14" w:rsidRDefault="00E26A14" w:rsidP="00E26A14">
      <w:pPr>
        <w:ind w:left="0"/>
      </w:pPr>
    </w:p>
    <w:p w14:paraId="36702F9E" w14:textId="77777777" w:rsidR="00692DEB" w:rsidRPr="00692DEB" w:rsidRDefault="00692DEB" w:rsidP="00692DEB">
      <w:pPr>
        <w:pStyle w:val="Heading5"/>
        <w:spacing w:after="120"/>
        <w:ind w:left="0"/>
      </w:pPr>
      <w:r w:rsidRPr="00692DEB">
        <w:t>Items of Information to be Collected</w:t>
      </w:r>
    </w:p>
    <w:p w14:paraId="11CBB547" w14:textId="64BA606B" w:rsidR="000C3C14" w:rsidRPr="00173CC1" w:rsidRDefault="00692DEB" w:rsidP="000C3C14">
      <w:pPr>
        <w:ind w:left="0"/>
        <w:rPr>
          <w:rFonts w:cs="Times New Roman"/>
          <w:color w:val="000000"/>
        </w:rPr>
      </w:pPr>
      <w:r w:rsidRPr="0073793E">
        <w:t>The</w:t>
      </w:r>
      <w:r w:rsidR="00BA5724">
        <w:t xml:space="preserve"> information</w:t>
      </w:r>
      <w:r w:rsidRPr="0073793E">
        <w:t xml:space="preserve"> collection instrument consists of </w:t>
      </w:r>
      <w:r w:rsidR="00F26036" w:rsidRPr="0073793E">
        <w:t>5</w:t>
      </w:r>
      <w:r w:rsidRPr="0073793E">
        <w:t xml:space="preserve"> main questions, including</w:t>
      </w:r>
      <w:r w:rsidR="00F26036" w:rsidRPr="0073793E">
        <w:t xml:space="preserve"> open-ended questions</w:t>
      </w:r>
      <w:r w:rsidRPr="0073793E">
        <w:rPr>
          <w:rFonts w:eastAsiaTheme="majorEastAsia" w:cstheme="majorBidi"/>
        </w:rPr>
        <w:t xml:space="preserve">. </w:t>
      </w:r>
      <w:r w:rsidR="00A93A8A" w:rsidRPr="0073793E">
        <w:rPr>
          <w:rFonts w:eastAsiaTheme="majorEastAsia" w:cstheme="majorBidi"/>
        </w:rPr>
        <w:t xml:space="preserve"> </w:t>
      </w:r>
      <w:r w:rsidRPr="0073793E">
        <w:rPr>
          <w:rFonts w:eastAsiaTheme="majorEastAsia" w:cstheme="majorBidi"/>
        </w:rPr>
        <w:t>An effort was made to limit questions requiring narrative respo</w:t>
      </w:r>
      <w:r w:rsidRPr="0073793E">
        <w:t xml:space="preserve">nses from respondents whenever possible. </w:t>
      </w:r>
      <w:r w:rsidR="00BA5724">
        <w:t xml:space="preserve"> </w:t>
      </w:r>
      <w:r w:rsidR="000C3C14" w:rsidRPr="00173CC1">
        <w:t xml:space="preserve">The </w:t>
      </w:r>
      <w:r w:rsidR="000C3C14">
        <w:t>instrument will collect information including the:</w:t>
      </w:r>
    </w:p>
    <w:p w14:paraId="2F572485" w14:textId="77777777" w:rsidR="00BA5724" w:rsidRPr="0073793E" w:rsidRDefault="00BA5724" w:rsidP="00BA5724">
      <w:pPr>
        <w:pStyle w:val="ListParagraph"/>
        <w:numPr>
          <w:ilvl w:val="0"/>
          <w:numId w:val="38"/>
        </w:numPr>
        <w:tabs>
          <w:tab w:val="clear" w:pos="9360"/>
        </w:tabs>
        <w:spacing w:line="240" w:lineRule="auto"/>
        <w:rPr>
          <w:rFonts w:cs="Arial"/>
          <w:b/>
        </w:rPr>
      </w:pPr>
      <w:r w:rsidRPr="0073793E">
        <w:rPr>
          <w:rFonts w:cs="Arial"/>
        </w:rPr>
        <w:t xml:space="preserve">state or tribal locality requesting reassignment and the type of request (new or extension); </w:t>
      </w:r>
    </w:p>
    <w:p w14:paraId="3D20DA0F" w14:textId="77777777" w:rsidR="00BA5724" w:rsidRPr="0073793E" w:rsidRDefault="00BA5724" w:rsidP="00BA5724">
      <w:pPr>
        <w:pStyle w:val="Heading5"/>
        <w:numPr>
          <w:ilvl w:val="0"/>
          <w:numId w:val="38"/>
        </w:numPr>
        <w:rPr>
          <w:rFonts w:cs="Arial"/>
          <w:b w:val="0"/>
        </w:rPr>
      </w:pPr>
      <w:r w:rsidRPr="0073793E">
        <w:rPr>
          <w:rFonts w:cs="Arial"/>
          <w:b w:val="0"/>
        </w:rPr>
        <w:t>public health emergency that the requested personnel will support;</w:t>
      </w:r>
    </w:p>
    <w:p w14:paraId="305A3FD3" w14:textId="77777777" w:rsidR="00BA5724" w:rsidRPr="0073793E" w:rsidRDefault="00BA5724" w:rsidP="00BA5724">
      <w:pPr>
        <w:pStyle w:val="Heading5"/>
        <w:numPr>
          <w:ilvl w:val="0"/>
          <w:numId w:val="38"/>
        </w:numPr>
        <w:rPr>
          <w:rFonts w:cs="Arial"/>
          <w:b w:val="0"/>
        </w:rPr>
      </w:pPr>
      <w:r w:rsidRPr="0073793E">
        <w:rPr>
          <w:rFonts w:cs="Arial"/>
          <w:b w:val="0"/>
        </w:rPr>
        <w:t>all program(s) applicable to the request, the program’s authorizing HHS Op</w:t>
      </w:r>
      <w:r>
        <w:rPr>
          <w:rFonts w:cs="Arial"/>
          <w:b w:val="0"/>
        </w:rPr>
        <w:t>Div</w:t>
      </w:r>
      <w:r w:rsidRPr="0073793E">
        <w:rPr>
          <w:rFonts w:cs="Arial"/>
          <w:b w:val="0"/>
        </w:rPr>
        <w:t xml:space="preserve"> or Staff</w:t>
      </w:r>
      <w:r>
        <w:rPr>
          <w:rFonts w:cs="Arial"/>
          <w:b w:val="0"/>
        </w:rPr>
        <w:t>Div</w:t>
      </w:r>
      <w:r w:rsidRPr="0073793E">
        <w:rPr>
          <w:rFonts w:cs="Arial"/>
          <w:b w:val="0"/>
        </w:rPr>
        <w:t>, and the approximate number of personnel eligible to volunteer for reassignment;</w:t>
      </w:r>
    </w:p>
    <w:p w14:paraId="114F5B58" w14:textId="77777777" w:rsidR="00BA5724" w:rsidRPr="0073793E" w:rsidRDefault="00BA5724" w:rsidP="00BA5724">
      <w:pPr>
        <w:pStyle w:val="Heading5"/>
        <w:numPr>
          <w:ilvl w:val="0"/>
          <w:numId w:val="38"/>
        </w:numPr>
        <w:rPr>
          <w:rFonts w:cs="Arial"/>
          <w:b w:val="0"/>
        </w:rPr>
      </w:pPr>
      <w:r w:rsidRPr="0073793E">
        <w:rPr>
          <w:rFonts w:cs="Arial"/>
          <w:b w:val="0"/>
        </w:rPr>
        <w:lastRenderedPageBreak/>
        <w:t>activities that reassigned personnel will specifically support, and</w:t>
      </w:r>
      <w:r>
        <w:rPr>
          <w:rFonts w:cs="Arial"/>
          <w:b w:val="0"/>
        </w:rPr>
        <w:t xml:space="preserve"> any</w:t>
      </w:r>
      <w:r w:rsidRPr="0073793E">
        <w:rPr>
          <w:rFonts w:cs="Arial"/>
          <w:b w:val="0"/>
        </w:rPr>
        <w:t xml:space="preserve"> impact that the reassignment will have on the base program; and</w:t>
      </w:r>
    </w:p>
    <w:p w14:paraId="2C7002B5" w14:textId="77777777" w:rsidR="00BA5724" w:rsidRDefault="00BA5724" w:rsidP="00BA5724">
      <w:pPr>
        <w:pStyle w:val="Heading5"/>
        <w:numPr>
          <w:ilvl w:val="0"/>
          <w:numId w:val="38"/>
        </w:numPr>
        <w:rPr>
          <w:rFonts w:cs="Arial"/>
          <w:b w:val="0"/>
        </w:rPr>
      </w:pPr>
      <w:r w:rsidRPr="0073793E">
        <w:rPr>
          <w:rFonts w:cs="Arial"/>
          <w:b w:val="0"/>
        </w:rPr>
        <w:t>the requesting official’s assurance</w:t>
      </w:r>
      <w:r>
        <w:rPr>
          <w:rFonts w:cs="Arial"/>
          <w:b w:val="0"/>
        </w:rPr>
        <w:t xml:space="preserve"> that</w:t>
      </w:r>
      <w:r w:rsidRPr="0073793E">
        <w:rPr>
          <w:rFonts w:cs="Arial"/>
          <w:b w:val="0"/>
        </w:rPr>
        <w:t xml:space="preserve"> reassignment will last no longer than 30 days, or until the HHS Secretary determines that the public health emergency no longer exists;</w:t>
      </w:r>
      <w:r>
        <w:rPr>
          <w:rFonts w:cs="Arial"/>
          <w:b w:val="0"/>
        </w:rPr>
        <w:t xml:space="preserve"> and</w:t>
      </w:r>
    </w:p>
    <w:p w14:paraId="60249505" w14:textId="77777777" w:rsidR="00BA5724" w:rsidRPr="0073793E" w:rsidRDefault="00BA5724" w:rsidP="00BA5724">
      <w:pPr>
        <w:pStyle w:val="Heading5"/>
        <w:numPr>
          <w:ilvl w:val="0"/>
          <w:numId w:val="38"/>
        </w:numPr>
        <w:rPr>
          <w:rFonts w:cs="Arial"/>
          <w:b w:val="0"/>
        </w:rPr>
      </w:pPr>
      <w:r>
        <w:rPr>
          <w:rFonts w:cs="Arial"/>
          <w:b w:val="0"/>
        </w:rPr>
        <w:t>the requesting official’s assurance that</w:t>
      </w:r>
      <w:r w:rsidRPr="0073793E">
        <w:rPr>
          <w:rFonts w:cs="Arial"/>
          <w:b w:val="0"/>
        </w:rPr>
        <w:t xml:space="preserve"> the public health emergency is in the geographic area of the state or tribal locality</w:t>
      </w:r>
      <w:r>
        <w:rPr>
          <w:rFonts w:cs="Arial"/>
          <w:b w:val="0"/>
        </w:rPr>
        <w:t xml:space="preserve">, </w:t>
      </w:r>
      <w:r w:rsidRPr="0073793E">
        <w:rPr>
          <w:rFonts w:cs="Arial"/>
          <w:b w:val="0"/>
        </w:rPr>
        <w:t>etc.</w:t>
      </w:r>
    </w:p>
    <w:p w14:paraId="247A4CFA" w14:textId="3C0B1FB2" w:rsidR="00692DEB" w:rsidRDefault="00692DEB" w:rsidP="000C3C14">
      <w:pPr>
        <w:ind w:left="0"/>
        <w:rPr>
          <w:lang w:eastAsia="zh-CN"/>
        </w:rPr>
      </w:pPr>
    </w:p>
    <w:p w14:paraId="02E7EB51" w14:textId="77777777" w:rsidR="00B12F51" w:rsidRPr="00BA5724" w:rsidRDefault="00B12F51" w:rsidP="00692DEB">
      <w:pPr>
        <w:pStyle w:val="Heading4"/>
      </w:pPr>
      <w:bookmarkStart w:id="7" w:name="_Toc427752815"/>
      <w:r w:rsidRPr="00BA5724">
        <w:t>Purpose and Use of the Information Collection</w:t>
      </w:r>
      <w:bookmarkEnd w:id="7"/>
    </w:p>
    <w:p w14:paraId="27DD5910" w14:textId="4E948D87" w:rsidR="000C3C14" w:rsidRDefault="00F42FA2" w:rsidP="00692DEB">
      <w:pPr>
        <w:pStyle w:val="ListParagraph"/>
        <w:ind w:left="0"/>
      </w:pPr>
      <w:r w:rsidRPr="00F42FA2">
        <w:t>The purpose of the information collection is for HHS</w:t>
      </w:r>
      <w:r w:rsidR="00170608">
        <w:t>/ASPR</w:t>
      </w:r>
      <w:r w:rsidRPr="00F42FA2">
        <w:t xml:space="preserve"> to obtain information from states and tribes on the conditions in which reassigned personnel are needed to assist with responding to a public health emergency, the program(s) selected for reassignment, and any impacts the reassignment will have on the program.   This information collection instrument is designed to help ASPR increase its efficiency and effectiveness in responding to requests for reassignment during public health emergencies.  During the time of a public health emergency, it is imperative to operate quickly in order to ensure the affected jurisdictions have the resources they need to immediately respond.  By allowing the opportunity to reassign staff, state and local health departments and tribal organizations will be able to increase its workforce when responding to public health emergencies.  </w:t>
      </w:r>
    </w:p>
    <w:p w14:paraId="763F93E0" w14:textId="77777777" w:rsidR="00CA6516" w:rsidRDefault="00CA6516" w:rsidP="00692DEB">
      <w:pPr>
        <w:pStyle w:val="ListParagraph"/>
        <w:ind w:left="0"/>
        <w:rPr>
          <w:highlight w:val="yellow"/>
        </w:rPr>
      </w:pPr>
    </w:p>
    <w:p w14:paraId="2BEF4396" w14:textId="39B86AD8" w:rsidR="00BA5724" w:rsidRDefault="00BA5724" w:rsidP="003746D8">
      <w:pPr>
        <w:pStyle w:val="ListParagraph"/>
        <w:ind w:left="0"/>
        <w:rPr>
          <w:rFonts w:cs="Arial"/>
          <w:b/>
        </w:rPr>
      </w:pPr>
      <w:r>
        <w:t xml:space="preserve">Data collected from the instrument will be reviewed by the </w:t>
      </w:r>
      <w:r w:rsidRPr="00C83784">
        <w:t>HHS OpDiv or StaffDiv overseeing the specific program</w:t>
      </w:r>
      <w:r w:rsidR="003746D8">
        <w:t>,</w:t>
      </w:r>
      <w:r w:rsidRPr="00C83784">
        <w:t xml:space="preserve"> </w:t>
      </w:r>
      <w:r>
        <w:t xml:space="preserve">in order to make an informed </w:t>
      </w:r>
      <w:r w:rsidRPr="00C83784">
        <w:t xml:space="preserve">determination on the state or tribe’s use of the </w:t>
      </w:r>
      <w:r>
        <w:t xml:space="preserve">temporary reassignment </w:t>
      </w:r>
      <w:r w:rsidRPr="00C83784">
        <w:t>authority.</w:t>
      </w:r>
      <w:r>
        <w:t xml:space="preserve">  The HHS OpDiv or StaffDiv will take into account the conditions </w:t>
      </w:r>
      <w:r w:rsidR="003746D8">
        <w:t xml:space="preserve">under </w:t>
      </w:r>
      <w:r>
        <w:t>which the state or tribal organization requires additional personnel to respond to a public health emergency</w:t>
      </w:r>
      <w:r w:rsidR="003746D8">
        <w:t xml:space="preserve">, as well as its </w:t>
      </w:r>
      <w:r>
        <w:t xml:space="preserve">programmatic impacts, in order to approve </w:t>
      </w:r>
      <w:r w:rsidR="003746D8">
        <w:t xml:space="preserve">reassignment </w:t>
      </w:r>
      <w:r>
        <w:t xml:space="preserve">requests.  </w:t>
      </w:r>
    </w:p>
    <w:p w14:paraId="4D428873" w14:textId="77777777" w:rsidR="00BA5724" w:rsidRDefault="00BA5724" w:rsidP="00692DEB">
      <w:pPr>
        <w:ind w:left="0"/>
      </w:pPr>
    </w:p>
    <w:p w14:paraId="55865641" w14:textId="77777777" w:rsidR="00B47055" w:rsidRPr="00B47055" w:rsidRDefault="00B47055" w:rsidP="00692DEB">
      <w:pPr>
        <w:pStyle w:val="Heading4"/>
      </w:pPr>
      <w:bookmarkStart w:id="8" w:name="_Toc427752816"/>
      <w:r w:rsidRPr="00B47055">
        <w:t>Use of Improved Information Technology and Burden Reduction</w:t>
      </w:r>
      <w:bookmarkEnd w:id="8"/>
    </w:p>
    <w:p w14:paraId="1DA7D767" w14:textId="079A77E5" w:rsidR="00692DEB" w:rsidRPr="00711BFA" w:rsidRDefault="00692DEB" w:rsidP="00692DEB">
      <w:pPr>
        <w:ind w:left="0"/>
      </w:pPr>
      <w:r w:rsidRPr="006B6479">
        <w:t>Data will be collected via a</w:t>
      </w:r>
      <w:r w:rsidR="00B33ECD" w:rsidRPr="006B6479">
        <w:t>n online information collection instrument that res</w:t>
      </w:r>
      <w:r w:rsidR="003746D8">
        <w:t>pondents will</w:t>
      </w:r>
      <w:r w:rsidR="00B33ECD" w:rsidRPr="006B6479">
        <w:t xml:space="preserve"> complete and submit electronically</w:t>
      </w:r>
      <w:r w:rsidRPr="006B6479">
        <w:t xml:space="preserve">. </w:t>
      </w:r>
      <w:r w:rsidR="006B6479">
        <w:t xml:space="preserve"> </w:t>
      </w:r>
      <w:r w:rsidRPr="006B6479">
        <w:t xml:space="preserve">This method was chosen to reduce the overall burden on respondents. </w:t>
      </w:r>
      <w:r w:rsidR="006B6479">
        <w:t xml:space="preserve"> </w:t>
      </w:r>
      <w:r w:rsidRPr="006B6479">
        <w:t xml:space="preserve">The information collection instrument was designed to collect the minimum information necessary for the purposes of this project (i.e., limited to </w:t>
      </w:r>
      <w:r w:rsidR="00B33ECD" w:rsidRPr="006B6479">
        <w:t>5</w:t>
      </w:r>
      <w:r w:rsidRPr="006B6479">
        <w:rPr>
          <w:color w:val="0070C0"/>
        </w:rPr>
        <w:t xml:space="preserve"> </w:t>
      </w:r>
      <w:r w:rsidRPr="006B6479">
        <w:t>questions).</w:t>
      </w:r>
    </w:p>
    <w:p w14:paraId="4AFF5173" w14:textId="77777777" w:rsidR="00E8736B" w:rsidRDefault="00E8736B" w:rsidP="007D6163">
      <w:pPr>
        <w:pStyle w:val="ListParagraph"/>
      </w:pPr>
    </w:p>
    <w:p w14:paraId="3FE48A1C" w14:textId="77777777" w:rsidR="00B47055" w:rsidRPr="00B47055" w:rsidRDefault="00B47055" w:rsidP="00692DEB">
      <w:pPr>
        <w:pStyle w:val="Heading4"/>
      </w:pPr>
      <w:bookmarkStart w:id="9" w:name="_Toc427752817"/>
      <w:r w:rsidRPr="00B47055">
        <w:t>Efforts to Identify Duplication and Use of Similar Information</w:t>
      </w:r>
      <w:bookmarkEnd w:id="9"/>
    </w:p>
    <w:p w14:paraId="3D932C23" w14:textId="5053AC54" w:rsidR="00B12F51" w:rsidRPr="006B6479" w:rsidRDefault="006B6479" w:rsidP="00692DEB">
      <w:pPr>
        <w:ind w:left="0"/>
      </w:pPr>
      <w:r w:rsidRPr="006B6479">
        <w:t>N</w:t>
      </w:r>
      <w:r w:rsidR="00555362" w:rsidRPr="006B6479">
        <w:t>o other efforts</w:t>
      </w:r>
      <w:r w:rsidRPr="006B6479">
        <w:t xml:space="preserve"> exist</w:t>
      </w:r>
      <w:r w:rsidR="00555362" w:rsidRPr="006B6479">
        <w:t xml:space="preserve"> to collect information </w:t>
      </w:r>
      <w:r w:rsidR="00C27888" w:rsidRPr="006B6479">
        <w:t>from states and tribal</w:t>
      </w:r>
      <w:r w:rsidRPr="006B6479">
        <w:t xml:space="preserve"> organizations</w:t>
      </w:r>
      <w:r w:rsidR="00C27888" w:rsidRPr="006B6479">
        <w:t xml:space="preserve"> </w:t>
      </w:r>
      <w:r w:rsidR="00555362" w:rsidRPr="006B6479">
        <w:t xml:space="preserve">regarding requesting </w:t>
      </w:r>
      <w:r w:rsidR="00C27888" w:rsidRPr="006B6479">
        <w:t>the</w:t>
      </w:r>
      <w:r w:rsidRPr="006B6479">
        <w:t xml:space="preserve"> use of the</w:t>
      </w:r>
      <w:r w:rsidR="00C27888" w:rsidRPr="006B6479">
        <w:t xml:space="preserve"> temporary reassignment authority.</w:t>
      </w:r>
    </w:p>
    <w:p w14:paraId="21C123D5" w14:textId="77777777" w:rsidR="00C27888" w:rsidRPr="006B6479" w:rsidRDefault="00C27888" w:rsidP="00692DEB">
      <w:pPr>
        <w:ind w:left="0"/>
      </w:pPr>
    </w:p>
    <w:p w14:paraId="306D0F2E" w14:textId="1C7D0C79" w:rsidR="00D54C57" w:rsidRDefault="00C27888" w:rsidP="00C27888">
      <w:pPr>
        <w:ind w:left="0"/>
      </w:pPr>
      <w:r w:rsidRPr="006B6479">
        <w:t>Submitting a request to use</w:t>
      </w:r>
      <w:r w:rsidR="00B14E9E" w:rsidRPr="006B6479">
        <w:t xml:space="preserve"> the temporary reassignment authority is contingent on the declaration of a public health emergency by the HHS Secretary.  </w:t>
      </w:r>
      <w:r w:rsidR="006B6479" w:rsidRPr="006B6479">
        <w:t>T</w:t>
      </w:r>
      <w:r w:rsidR="00D54C57" w:rsidRPr="006B6479">
        <w:t xml:space="preserve">o date, </w:t>
      </w:r>
      <w:r w:rsidRPr="006B6479">
        <w:rPr>
          <w:rFonts w:eastAsia="Times New Roman"/>
        </w:rPr>
        <w:t xml:space="preserve">there have been no official requests to use temporary reassignment authority from a state government or tribal organization.  </w:t>
      </w:r>
      <w:r w:rsidR="00D54C57" w:rsidRPr="006B6479">
        <w:t xml:space="preserve">The first public health </w:t>
      </w:r>
      <w:r w:rsidRPr="006B6479">
        <w:t xml:space="preserve">emergency declaration since authorization of the authority </w:t>
      </w:r>
      <w:r w:rsidR="00D54C57" w:rsidRPr="006B6479">
        <w:t xml:space="preserve">was </w:t>
      </w:r>
      <w:r w:rsidR="0044577D">
        <w:t>o</w:t>
      </w:r>
      <w:r w:rsidR="00D54C57" w:rsidRPr="006B6479">
        <w:t xml:space="preserve">n August </w:t>
      </w:r>
      <w:r w:rsidR="0044577D">
        <w:t xml:space="preserve">12, </w:t>
      </w:r>
      <w:r w:rsidR="00D54C57" w:rsidRPr="006B6479">
        <w:t xml:space="preserve">2016, when the </w:t>
      </w:r>
      <w:r w:rsidR="00C647F6" w:rsidRPr="006B6479">
        <w:t xml:space="preserve">HHS </w:t>
      </w:r>
      <w:r w:rsidR="00D54C57" w:rsidRPr="006B6479">
        <w:t>Secretary declared a public health emergency in Puerto Rico for the Zika virus.</w:t>
      </w:r>
      <w:r w:rsidR="0044577D">
        <w:rPr>
          <w:rFonts w:cs="Arial"/>
          <w:vertAlign w:val="superscript"/>
        </w:rPr>
        <w:t>2</w:t>
      </w:r>
      <w:r w:rsidRPr="006B6479">
        <w:t xml:space="preserve"> </w:t>
      </w:r>
      <w:r w:rsidR="0044577D">
        <w:t xml:space="preserve"> </w:t>
      </w:r>
      <w:r w:rsidRPr="006B6479">
        <w:t xml:space="preserve"> </w:t>
      </w:r>
      <w:r w:rsidR="00C647F6" w:rsidRPr="006B6479">
        <w:t>Previously, t</w:t>
      </w:r>
      <w:r w:rsidR="00D54C57" w:rsidRPr="006B6479">
        <w:t>he HHS Secretary ha</w:t>
      </w:r>
      <w:r w:rsidR="00C647F6" w:rsidRPr="006B6479">
        <w:t>d</w:t>
      </w:r>
      <w:r w:rsidR="00D54C57" w:rsidRPr="006B6479">
        <w:t xml:space="preserve"> not declared a public health emergency since January 25, 2013</w:t>
      </w:r>
      <w:r w:rsidR="006B6479" w:rsidRPr="006B6479">
        <w:t xml:space="preserve">, </w:t>
      </w:r>
      <w:r w:rsidR="00E278DF">
        <w:t xml:space="preserve">as a renewal declaration </w:t>
      </w:r>
      <w:r w:rsidR="003746D8">
        <w:t xml:space="preserve">in response to </w:t>
      </w:r>
      <w:r w:rsidR="00C647F6" w:rsidRPr="006B6479">
        <w:t>Hurricane Sandy.</w:t>
      </w:r>
      <w:r w:rsidR="0044577D">
        <w:rPr>
          <w:rFonts w:cs="Arial"/>
          <w:vertAlign w:val="superscript"/>
        </w:rPr>
        <w:t>3</w:t>
      </w:r>
    </w:p>
    <w:p w14:paraId="317F244E" w14:textId="77777777" w:rsidR="00EF49EE" w:rsidRDefault="00EF49EE" w:rsidP="005D6F14"/>
    <w:p w14:paraId="75B88CF6" w14:textId="77777777" w:rsidR="00B12F51" w:rsidRPr="006B6479" w:rsidRDefault="00B47055" w:rsidP="00692DEB">
      <w:pPr>
        <w:pStyle w:val="Heading4"/>
      </w:pPr>
      <w:bookmarkStart w:id="10" w:name="_Toc427752818"/>
      <w:r w:rsidRPr="006B6479">
        <w:t>Impact on Small Businesses or Other Small Entities</w:t>
      </w:r>
      <w:bookmarkEnd w:id="10"/>
    </w:p>
    <w:p w14:paraId="4404A497" w14:textId="77777777" w:rsidR="0053557D" w:rsidRDefault="00D26A64" w:rsidP="00995C06">
      <w:pPr>
        <w:ind w:left="0"/>
      </w:pPr>
      <w:r w:rsidRPr="006B6479">
        <w:t>N</w:t>
      </w:r>
      <w:r w:rsidR="00AF2252" w:rsidRPr="006B6479">
        <w:t xml:space="preserve">o small businesses will be involved in this </w:t>
      </w:r>
      <w:r w:rsidR="00157413" w:rsidRPr="006B6479">
        <w:t>information collection</w:t>
      </w:r>
      <w:r w:rsidRPr="006B6479">
        <w:t>.</w:t>
      </w:r>
    </w:p>
    <w:p w14:paraId="012B0C00" w14:textId="77777777" w:rsidR="00441CC3" w:rsidRDefault="00441CC3" w:rsidP="005D6F14"/>
    <w:p w14:paraId="5E04EB42" w14:textId="77777777"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7DC21F0F" w14:textId="182E64C7" w:rsidR="000058E0" w:rsidRPr="006B6479" w:rsidRDefault="000058E0" w:rsidP="000058E0">
      <w:pPr>
        <w:ind w:left="0"/>
      </w:pPr>
      <w:r w:rsidRPr="006B6479">
        <w:t xml:space="preserve">This request is for a one time information collection. </w:t>
      </w:r>
      <w:r w:rsidR="00737357" w:rsidRPr="006B6479">
        <w:t xml:space="preserve"> </w:t>
      </w:r>
      <w:r w:rsidRPr="006B6479">
        <w:t>There are no legal obstacles to reduce the burden. If no data are collected</w:t>
      </w:r>
      <w:r w:rsidR="00737357" w:rsidRPr="006B6479">
        <w:t>:</w:t>
      </w:r>
    </w:p>
    <w:p w14:paraId="1B2E8BB8" w14:textId="2B95DEA8" w:rsidR="008C59E7" w:rsidRPr="006B6479" w:rsidRDefault="003746D8" w:rsidP="008C59E7">
      <w:pPr>
        <w:pStyle w:val="ListParagraph"/>
        <w:numPr>
          <w:ilvl w:val="0"/>
          <w:numId w:val="25"/>
        </w:numPr>
        <w:tabs>
          <w:tab w:val="clear" w:pos="9360"/>
        </w:tabs>
        <w:spacing w:line="240" w:lineRule="auto"/>
      </w:pPr>
      <w:r>
        <w:t xml:space="preserve">States or tribes will not have a formal mechanism in which to </w:t>
      </w:r>
      <w:r w:rsidR="00A32F89" w:rsidRPr="006B6479">
        <w:t>request</w:t>
      </w:r>
      <w:r w:rsidR="00744911" w:rsidRPr="006B6479">
        <w:t xml:space="preserve"> temporary reassignment of personnel during a public health emergency.</w:t>
      </w:r>
    </w:p>
    <w:p w14:paraId="0380E0A3" w14:textId="1DCF60CE" w:rsidR="0073793E" w:rsidRDefault="00744911" w:rsidP="0073793E">
      <w:pPr>
        <w:pStyle w:val="ListParagraph"/>
        <w:numPr>
          <w:ilvl w:val="0"/>
          <w:numId w:val="25"/>
        </w:numPr>
        <w:tabs>
          <w:tab w:val="clear" w:pos="9360"/>
        </w:tabs>
        <w:spacing w:line="240" w:lineRule="auto"/>
      </w:pPr>
      <w:r w:rsidRPr="006B6479">
        <w:t>HHS OpDiv</w:t>
      </w:r>
      <w:r w:rsidR="003746D8">
        <w:t>s</w:t>
      </w:r>
      <w:r w:rsidRPr="006B6479">
        <w:t xml:space="preserve"> or StaffDiv</w:t>
      </w:r>
      <w:r w:rsidR="003746D8">
        <w:t>s</w:t>
      </w:r>
      <w:r w:rsidR="00AE3153" w:rsidRPr="006B6479">
        <w:t xml:space="preserve"> will not have information on the specific program requesting reassignment and </w:t>
      </w:r>
      <w:r w:rsidR="003746D8">
        <w:t xml:space="preserve">the conditions in </w:t>
      </w:r>
      <w:r w:rsidR="005E52DF">
        <w:t>reassignment is requested</w:t>
      </w:r>
      <w:r w:rsidR="003746D8">
        <w:t xml:space="preserve">, such as the </w:t>
      </w:r>
      <w:r w:rsidR="00AE3153" w:rsidRPr="006B6479">
        <w:t xml:space="preserve">number of personnel </w:t>
      </w:r>
      <w:r w:rsidR="003746D8">
        <w:t xml:space="preserve">eligible, response </w:t>
      </w:r>
      <w:r w:rsidR="00AE3153" w:rsidRPr="006B6479">
        <w:t xml:space="preserve">activities that will be </w:t>
      </w:r>
      <w:r w:rsidR="003746D8">
        <w:t xml:space="preserve">conducted, and any programmatic impacts from reassignment. </w:t>
      </w:r>
    </w:p>
    <w:p w14:paraId="37D4D03A" w14:textId="4D377958" w:rsidR="00AE3153" w:rsidRPr="006B6479" w:rsidRDefault="00AE3153" w:rsidP="0073793E">
      <w:pPr>
        <w:pStyle w:val="ListParagraph"/>
        <w:numPr>
          <w:ilvl w:val="0"/>
          <w:numId w:val="25"/>
        </w:numPr>
        <w:tabs>
          <w:tab w:val="clear" w:pos="9360"/>
        </w:tabs>
        <w:spacing w:line="240" w:lineRule="auto"/>
      </w:pPr>
      <w:r w:rsidRPr="006B6479">
        <w:t>HHS OpDiv</w:t>
      </w:r>
      <w:r w:rsidR="003746D8">
        <w:t>s</w:t>
      </w:r>
      <w:r w:rsidRPr="006B6479">
        <w:t xml:space="preserve"> or StaffDiv</w:t>
      </w:r>
      <w:r w:rsidR="003746D8">
        <w:t>s</w:t>
      </w:r>
      <w:r w:rsidRPr="006B6479">
        <w:t xml:space="preserve"> will not have written assurances from the requesting state or tribal organization that, upon approval</w:t>
      </w:r>
      <w:r w:rsidR="005E52DF">
        <w:t xml:space="preserve">, </w:t>
      </w:r>
      <w:r w:rsidRPr="006B6479">
        <w:t xml:space="preserve">they will meet the specific conditions of participation. </w:t>
      </w:r>
    </w:p>
    <w:p w14:paraId="3B8977B4" w14:textId="77777777" w:rsidR="00AE6492" w:rsidRPr="006B6479" w:rsidRDefault="00AE6492" w:rsidP="00AE6492">
      <w:pPr>
        <w:pStyle w:val="ListParagraph"/>
        <w:tabs>
          <w:tab w:val="clear" w:pos="9360"/>
        </w:tabs>
        <w:spacing w:line="240" w:lineRule="auto"/>
        <w:ind w:left="0"/>
      </w:pPr>
    </w:p>
    <w:p w14:paraId="63B2E2B1" w14:textId="6AFC7AE0" w:rsidR="008C59E7" w:rsidRPr="00AE3153" w:rsidRDefault="00AE6492" w:rsidP="00AE3153">
      <w:pPr>
        <w:tabs>
          <w:tab w:val="clear" w:pos="9360"/>
        </w:tabs>
        <w:spacing w:line="240" w:lineRule="auto"/>
        <w:ind w:left="0"/>
        <w:rPr>
          <w:color w:val="0070C0"/>
        </w:rPr>
      </w:pPr>
      <w:r w:rsidRPr="006B6479">
        <w:t>I</w:t>
      </w:r>
      <w:r w:rsidR="00AE3153" w:rsidRPr="006B6479">
        <w:t>nformation collection</w:t>
      </w:r>
      <w:r w:rsidRPr="006B6479">
        <w:t xml:space="preserve"> is anticipated to be </w:t>
      </w:r>
      <w:r w:rsidR="00AE3153" w:rsidRPr="006B6479">
        <w:t xml:space="preserve">infrequent, as the request for use of the </w:t>
      </w:r>
      <w:r w:rsidR="006B6479">
        <w:t xml:space="preserve">temporary </w:t>
      </w:r>
      <w:r w:rsidR="006B6479" w:rsidRPr="00B34220">
        <w:t xml:space="preserve">reassignment </w:t>
      </w:r>
      <w:r w:rsidR="00AE3153" w:rsidRPr="00B34220">
        <w:t>authority is contingent</w:t>
      </w:r>
      <w:r w:rsidR="006B6479" w:rsidRPr="00B34220">
        <w:t xml:space="preserve"> up</w:t>
      </w:r>
      <w:r w:rsidR="00AE3153" w:rsidRPr="00B34220">
        <w:t>on</w:t>
      </w:r>
      <w:r w:rsidR="005E52DF">
        <w:t xml:space="preserve"> the following conditions:</w:t>
      </w:r>
      <w:r w:rsidR="00AE3153" w:rsidRPr="00B34220">
        <w:t xml:space="preserve"> 1) </w:t>
      </w:r>
      <w:r w:rsidRPr="00B34220">
        <w:t xml:space="preserve">the </w:t>
      </w:r>
      <w:r w:rsidR="00AE3153" w:rsidRPr="00B34220">
        <w:t xml:space="preserve">declaration of a public health emergency by the HHS </w:t>
      </w:r>
      <w:r w:rsidR="005E52DF">
        <w:t>S</w:t>
      </w:r>
      <w:r w:rsidR="00AE3153" w:rsidRPr="00B34220">
        <w:t>ecretary</w:t>
      </w:r>
      <w:r w:rsidRPr="00B34220">
        <w:t xml:space="preserve">; </w:t>
      </w:r>
      <w:r w:rsidR="00B34220" w:rsidRPr="00B34220">
        <w:t xml:space="preserve">2) the scope of the public health emergency declared (i.e., if it affects a large geographic area); </w:t>
      </w:r>
      <w:r w:rsidR="00AE3153" w:rsidRPr="00B34220">
        <w:t xml:space="preserve">and </w:t>
      </w:r>
      <w:r w:rsidR="00B34220" w:rsidRPr="00B34220">
        <w:t>3</w:t>
      </w:r>
      <w:r w:rsidR="00AE3153" w:rsidRPr="00B34220">
        <w:t>) the specific need for a state and trib</w:t>
      </w:r>
      <w:r w:rsidR="005E52DF">
        <w:t>al organization</w:t>
      </w:r>
      <w:r w:rsidR="00AE3153" w:rsidRPr="00B34220">
        <w:t xml:space="preserve"> to reassign personnel to assist with response activities during the emergency.  </w:t>
      </w:r>
      <w:r w:rsidR="006B6479" w:rsidRPr="00B34220">
        <w:t xml:space="preserve"> </w:t>
      </w:r>
      <w:r w:rsidR="00AE3153" w:rsidRPr="00B34220">
        <w:t xml:space="preserve">To date, </w:t>
      </w:r>
      <w:r w:rsidR="00AE3153" w:rsidRPr="00B34220">
        <w:rPr>
          <w:rFonts w:eastAsia="Times New Roman"/>
        </w:rPr>
        <w:t>there have been no official requests to</w:t>
      </w:r>
      <w:r w:rsidR="00AE3153" w:rsidRPr="006B6479">
        <w:rPr>
          <w:rFonts w:eastAsia="Times New Roman"/>
        </w:rPr>
        <w:t xml:space="preserve"> use temporary reassignment authority from a state government or tribal organization.</w:t>
      </w:r>
    </w:p>
    <w:p w14:paraId="7A43F5AF" w14:textId="77777777" w:rsidR="000058E0" w:rsidRDefault="000058E0" w:rsidP="000058E0">
      <w:pPr>
        <w:pStyle w:val="ListParagraph"/>
        <w:rPr>
          <w:lang w:eastAsia="zh-CN"/>
        </w:rPr>
      </w:pPr>
    </w:p>
    <w:p w14:paraId="1C352D4B" w14:textId="77777777" w:rsidR="00B12F51" w:rsidRPr="006B6479" w:rsidRDefault="00B47055" w:rsidP="00692DEB">
      <w:pPr>
        <w:pStyle w:val="Heading4"/>
      </w:pPr>
      <w:bookmarkStart w:id="12" w:name="_Toc427752820"/>
      <w:r w:rsidRPr="006B6479">
        <w:t>Special Circumstances Relating to the Guidelines of 5 CFR 1320.5</w:t>
      </w:r>
      <w:bookmarkEnd w:id="12"/>
    </w:p>
    <w:p w14:paraId="3F174D52" w14:textId="7302C95A" w:rsidR="00F52BCC" w:rsidRPr="006B6479" w:rsidRDefault="00A809AA" w:rsidP="00692DEB">
      <w:pPr>
        <w:ind w:left="0"/>
      </w:pPr>
      <w:r w:rsidRPr="006B6479">
        <w:t xml:space="preserve">There are no special circumstances with this information collection package. </w:t>
      </w:r>
      <w:r w:rsidR="005E52DF">
        <w:t xml:space="preserve"> </w:t>
      </w:r>
      <w:r w:rsidR="00835CA7" w:rsidRPr="006B6479">
        <w:t>This request fully complies with the regulation 5 CFR 1320.5</w:t>
      </w:r>
      <w:r w:rsidR="00D95FBF" w:rsidRPr="006B6479">
        <w:t xml:space="preserve"> and will be voluntary</w:t>
      </w:r>
      <w:r w:rsidR="00835CA7" w:rsidRPr="006B6479">
        <w:t>.</w:t>
      </w:r>
    </w:p>
    <w:p w14:paraId="7BFE09AB" w14:textId="77777777" w:rsidR="00F52BCC" w:rsidRPr="006B6479" w:rsidRDefault="00F52BCC" w:rsidP="005D6F14"/>
    <w:p w14:paraId="5BC5DEE1" w14:textId="77777777" w:rsidR="00B12F51" w:rsidRPr="006B6479" w:rsidRDefault="0088467A" w:rsidP="00692DEB">
      <w:pPr>
        <w:pStyle w:val="Heading4"/>
      </w:pPr>
      <w:bookmarkStart w:id="13" w:name="_Toc427752821"/>
      <w:r w:rsidRPr="006B6479">
        <w:t>Comments in Response to the Federal Register Notice and Efforts to Consult Outside the Agency</w:t>
      </w:r>
      <w:bookmarkEnd w:id="13"/>
    </w:p>
    <w:p w14:paraId="51043E05" w14:textId="77777777" w:rsidR="00A809AA" w:rsidRPr="006B6479" w:rsidRDefault="00C768E5" w:rsidP="00692DEB">
      <w:pPr>
        <w:ind w:left="0"/>
      </w:pPr>
      <w:r w:rsidRPr="006B6479">
        <w:t xml:space="preserve">This </w:t>
      </w:r>
      <w:r w:rsidR="00157413" w:rsidRPr="006B6479">
        <w:t>information collection</w:t>
      </w:r>
      <w:r w:rsidRPr="006B6479">
        <w:t xml:space="preserve"> is being conducted using the Generic Information Collection mecha</w:t>
      </w:r>
      <w:r w:rsidR="00157413" w:rsidRPr="006B6479">
        <w:t>nism of the OSTLTS OMB Clearance Center</w:t>
      </w:r>
      <w:r w:rsidRPr="006B6479">
        <w:t xml:space="preserve"> (O</w:t>
      </w:r>
      <w:r w:rsidR="00157413" w:rsidRPr="006B6479">
        <w:t>2</w:t>
      </w:r>
      <w:r w:rsidRPr="006B6479">
        <w:t>C</w:t>
      </w:r>
      <w:r w:rsidR="00157413" w:rsidRPr="006B6479">
        <w:t>2</w:t>
      </w:r>
      <w:r w:rsidRPr="006B6479">
        <w:t xml:space="preserve">) – OMB No. 0920-0879. </w:t>
      </w:r>
      <w:r w:rsidR="00A809AA" w:rsidRPr="006B6479">
        <w:t xml:space="preserve">A 60-day Federal Register Notice was published in the Federal Register on </w:t>
      </w:r>
      <w:r w:rsidR="005115FA" w:rsidRPr="006B6479">
        <w:t>October 31, 2013, Vol. 78, No. 211; pp. 653 25-26</w:t>
      </w:r>
      <w:r w:rsidR="00A809AA" w:rsidRPr="006B6479">
        <w:t xml:space="preserve">.  </w:t>
      </w:r>
      <w:r w:rsidR="005115FA" w:rsidRPr="006B6479">
        <w:t xml:space="preserve">No </w:t>
      </w:r>
      <w:r w:rsidR="00A809AA" w:rsidRPr="006B6479">
        <w:t>comments were received</w:t>
      </w:r>
      <w:r w:rsidR="00783C75" w:rsidRPr="006B6479">
        <w:t>.</w:t>
      </w:r>
    </w:p>
    <w:p w14:paraId="2ACC2F51" w14:textId="77777777" w:rsidR="00A809AA" w:rsidRDefault="00A809AA" w:rsidP="00692DEB">
      <w:pPr>
        <w:ind w:left="0"/>
      </w:pPr>
    </w:p>
    <w:p w14:paraId="36B11E96" w14:textId="4BFE682D" w:rsidR="000C0DF5" w:rsidRDefault="00765595" w:rsidP="00E357D6">
      <w:pPr>
        <w:ind w:left="0"/>
      </w:pPr>
      <w:r>
        <w:t>ASPR has ensure</w:t>
      </w:r>
      <w:r w:rsidR="00DF53E6">
        <w:t>d</w:t>
      </w:r>
      <w:r>
        <w:t xml:space="preserve"> the collection requests are not duplicative in effort by consulting with </w:t>
      </w:r>
      <w:r w:rsidR="00DF53E6">
        <w:t xml:space="preserve">the eight </w:t>
      </w:r>
      <w:r>
        <w:t>HHS OpDivs and StaffDivs</w:t>
      </w:r>
      <w:r w:rsidR="00DF53E6">
        <w:t xml:space="preserve"> that</w:t>
      </w:r>
      <w:r w:rsidR="00DF53E6" w:rsidRPr="006B6479">
        <w:t xml:space="preserve"> have programs authorized under the PHS Act</w:t>
      </w:r>
      <w:r w:rsidR="00DF53E6">
        <w:t xml:space="preserve"> (</w:t>
      </w:r>
      <w:r w:rsidR="00DF53E6" w:rsidRPr="006B6479">
        <w:t xml:space="preserve">and therefore </w:t>
      </w:r>
      <w:r w:rsidR="00DF53E6">
        <w:t xml:space="preserve">are </w:t>
      </w:r>
      <w:r w:rsidR="00DF53E6" w:rsidRPr="006B6479">
        <w:t>eligible for temporary reassignment</w:t>
      </w:r>
      <w:r w:rsidR="00DF53E6">
        <w:t>)</w:t>
      </w:r>
      <w:r>
        <w:t>,  in development of the form.</w:t>
      </w:r>
    </w:p>
    <w:p w14:paraId="2F114587" w14:textId="77777777" w:rsidR="00E357D6" w:rsidRPr="006B6479" w:rsidRDefault="00E357D6" w:rsidP="00E357D6">
      <w:pPr>
        <w:ind w:left="0"/>
      </w:pPr>
    </w:p>
    <w:p w14:paraId="4DAA9469" w14:textId="77777777" w:rsidR="00B12F51" w:rsidRPr="006B6479" w:rsidRDefault="0088467A" w:rsidP="00692DEB">
      <w:pPr>
        <w:pStyle w:val="Heading4"/>
      </w:pPr>
      <w:bookmarkStart w:id="14" w:name="_Toc427752822"/>
      <w:r w:rsidRPr="006B6479">
        <w:t>Explanation of Any Payment or Gift to Respondents</w:t>
      </w:r>
      <w:bookmarkEnd w:id="14"/>
    </w:p>
    <w:p w14:paraId="240C52B8" w14:textId="14C9BF48" w:rsidR="00F52BCC" w:rsidRDefault="00074156" w:rsidP="00692DEB">
      <w:pPr>
        <w:ind w:left="0"/>
      </w:pPr>
      <w:r>
        <w:t xml:space="preserve">No payments or </w:t>
      </w:r>
      <w:r w:rsidR="00D26A64" w:rsidRPr="006B6479">
        <w:t>gifts to respondents</w:t>
      </w:r>
      <w:r>
        <w:t xml:space="preserve"> will be provided</w:t>
      </w:r>
      <w:r w:rsidR="00D26A64" w:rsidRPr="006B6479">
        <w:t>.</w:t>
      </w:r>
    </w:p>
    <w:p w14:paraId="07CE16C4" w14:textId="77777777" w:rsidR="00F52BCC" w:rsidRDefault="00F52BCC" w:rsidP="005D6F14"/>
    <w:p w14:paraId="4AAF27B3" w14:textId="77777777" w:rsidR="004F18B3" w:rsidRDefault="004F18B3" w:rsidP="005D6F14"/>
    <w:p w14:paraId="084C2058" w14:textId="77777777" w:rsidR="00B12F51" w:rsidRPr="006B6479" w:rsidRDefault="0088467A" w:rsidP="00692DEB">
      <w:pPr>
        <w:pStyle w:val="Heading4"/>
      </w:pPr>
      <w:r>
        <w:lastRenderedPageBreak/>
        <w:t xml:space="preserve"> </w:t>
      </w:r>
      <w:bookmarkStart w:id="15" w:name="_Toc427752823"/>
      <w:r w:rsidR="009D5927" w:rsidRPr="006B6479">
        <w:t>Protection of the Privacy and Confidentiality of Information Provided by Respondents</w:t>
      </w:r>
      <w:bookmarkEnd w:id="15"/>
    </w:p>
    <w:p w14:paraId="6B8179DA" w14:textId="4AC5478C" w:rsidR="003C31C9" w:rsidRPr="006B6479" w:rsidRDefault="003C31C9" w:rsidP="00692DEB">
      <w:pPr>
        <w:ind w:left="0"/>
      </w:pPr>
      <w:r w:rsidRPr="006B6479">
        <w:t xml:space="preserve">The Privacy Act does not apply to this </w:t>
      </w:r>
      <w:r w:rsidR="00157413" w:rsidRPr="006B6479">
        <w:t>information collection</w:t>
      </w:r>
      <w:r w:rsidRPr="006B6479">
        <w:t xml:space="preserve">.  </w:t>
      </w:r>
      <w:r w:rsidR="00FC7CF9" w:rsidRPr="00FC7CF9">
        <w:rPr>
          <w:rFonts w:cs="Arial"/>
        </w:rPr>
        <w:t xml:space="preserve"> </w:t>
      </w:r>
      <w:r w:rsidR="00FC7CF9" w:rsidRPr="00306D99">
        <w:rPr>
          <w:rFonts w:cs="Arial"/>
        </w:rPr>
        <w:t>T</w:t>
      </w:r>
      <w:r w:rsidR="00FC7CF9" w:rsidRPr="00E5652C">
        <w:t>he</w:t>
      </w:r>
      <w:r w:rsidR="00FC7CF9">
        <w:t xml:space="preserve"> information</w:t>
      </w:r>
      <w:r w:rsidR="00FC7CF9" w:rsidRPr="00E5652C">
        <w:t xml:space="preserve"> collection instruments will be archived in an appropriate information technology system managed</w:t>
      </w:r>
      <w:r w:rsidR="0057218E">
        <w:t xml:space="preserve"> and secured</w:t>
      </w:r>
      <w:r w:rsidR="00FC7CF9" w:rsidRPr="00E5652C">
        <w:t xml:space="preserve"> by ASPR</w:t>
      </w:r>
      <w:r w:rsidR="00FC7CF9">
        <w:t>.</w:t>
      </w:r>
      <w:r w:rsidR="00DF53E6">
        <w:t xml:space="preserve">  ASPR will ensure a</w:t>
      </w:r>
      <w:r w:rsidR="0057218E">
        <w:t>ll</w:t>
      </w:r>
      <w:r w:rsidR="00DF53E6">
        <w:t xml:space="preserve"> </w:t>
      </w:r>
      <w:r w:rsidR="0057218E">
        <w:t xml:space="preserve">identifiable </w:t>
      </w:r>
      <w:r w:rsidR="00DF53E6">
        <w:t xml:space="preserve"> information reported in the instruments </w:t>
      </w:r>
      <w:r w:rsidR="00E278DF">
        <w:t xml:space="preserve">is secured </w:t>
      </w:r>
      <w:r w:rsidR="00DF53E6">
        <w:t>appropriately.</w:t>
      </w:r>
    </w:p>
    <w:p w14:paraId="612C8EA3" w14:textId="77777777" w:rsidR="003C31C9" w:rsidRPr="006B6479" w:rsidRDefault="003C31C9" w:rsidP="00692DEB">
      <w:pPr>
        <w:ind w:left="0"/>
      </w:pPr>
    </w:p>
    <w:p w14:paraId="0568F988" w14:textId="77777777" w:rsidR="003C31C9" w:rsidRPr="006B6479" w:rsidRDefault="003C31C9" w:rsidP="00692DEB">
      <w:pPr>
        <w:ind w:left="0"/>
      </w:pPr>
      <w:r w:rsidRPr="006B6479">
        <w:t xml:space="preserve">This </w:t>
      </w:r>
      <w:r w:rsidR="00157413" w:rsidRPr="006B6479">
        <w:t>information collection</w:t>
      </w:r>
      <w:r w:rsidRPr="006B6479">
        <w:t xml:space="preserve"> is not research involving human subjects.</w:t>
      </w:r>
    </w:p>
    <w:p w14:paraId="2739829E" w14:textId="77777777" w:rsidR="000058E0" w:rsidRPr="006B6479" w:rsidRDefault="000058E0" w:rsidP="009D5927">
      <w:pPr>
        <w:pStyle w:val="Heading4"/>
        <w:numPr>
          <w:ilvl w:val="0"/>
          <w:numId w:val="0"/>
        </w:numPr>
      </w:pPr>
    </w:p>
    <w:p w14:paraId="6454A151" w14:textId="77777777" w:rsidR="00B12F51" w:rsidRPr="006B6479" w:rsidRDefault="009D5927" w:rsidP="00692DEB">
      <w:pPr>
        <w:pStyle w:val="Heading4"/>
      </w:pPr>
      <w:bookmarkStart w:id="16" w:name="_Toc427752824"/>
      <w:r w:rsidRPr="006B6479">
        <w:t>Institutional Review Board (IRB) and Justification for Sensitive Questions</w:t>
      </w:r>
      <w:bookmarkEnd w:id="16"/>
    </w:p>
    <w:p w14:paraId="1DBD89ED" w14:textId="3D0B27FA" w:rsidR="00F52BCC" w:rsidRDefault="003C31C9" w:rsidP="00692DEB">
      <w:pPr>
        <w:ind w:left="0"/>
      </w:pPr>
      <w:r w:rsidRPr="006B6479">
        <w:t>No information will be collected</w:t>
      </w:r>
      <w:r w:rsidR="00616090" w:rsidRPr="006B6479">
        <w:t xml:space="preserve"> that are of sensitive nature</w:t>
      </w:r>
      <w:r w:rsidR="00D26A64" w:rsidRPr="006B6479">
        <w:t>.</w:t>
      </w:r>
    </w:p>
    <w:p w14:paraId="0B611959" w14:textId="77777777" w:rsidR="00616090" w:rsidRPr="0088467A" w:rsidRDefault="00616090" w:rsidP="005D6F14"/>
    <w:p w14:paraId="2716336A" w14:textId="77777777" w:rsidR="00B64BFA" w:rsidRPr="0088467A" w:rsidRDefault="0088467A" w:rsidP="00692DEB">
      <w:pPr>
        <w:pStyle w:val="Heading4"/>
      </w:pPr>
      <w:bookmarkStart w:id="17" w:name="_Toc427752825"/>
      <w:r w:rsidRPr="0088467A">
        <w:t>Estimates of Annualized Burden Hours and Costs</w:t>
      </w:r>
      <w:bookmarkEnd w:id="17"/>
    </w:p>
    <w:p w14:paraId="19BF394F" w14:textId="4FFAFBB8" w:rsidR="000058E0" w:rsidRPr="006B6479" w:rsidRDefault="009F34FE" w:rsidP="000058E0">
      <w:pPr>
        <w:ind w:left="0"/>
      </w:pPr>
      <w:r>
        <w:t xml:space="preserve">The information collection instrument was pilot tested </w:t>
      </w:r>
      <w:r w:rsidR="00FC7CF9">
        <w:t>by</w:t>
      </w:r>
      <w:r>
        <w:t xml:space="preserve"> two ASPR program officials.</w:t>
      </w:r>
      <w:r w:rsidRPr="006B6479">
        <w:t xml:space="preserve"> </w:t>
      </w:r>
      <w:r>
        <w:t xml:space="preserve"> </w:t>
      </w:r>
      <w:r w:rsidR="006B6479" w:rsidRPr="006B6479">
        <w:t xml:space="preserve">The </w:t>
      </w:r>
      <w:r w:rsidR="000058E0" w:rsidRPr="006B6479">
        <w:t xml:space="preserve">average time to complete the instrument including time for reviewing instructions, gathering needed information and completing the instrument, was approximately </w:t>
      </w:r>
      <w:r w:rsidR="006B6479" w:rsidRPr="006B6479">
        <w:t>20</w:t>
      </w:r>
      <w:r w:rsidR="000058E0" w:rsidRPr="006B6479">
        <w:t xml:space="preserve"> minutes</w:t>
      </w:r>
      <w:r w:rsidR="00074156">
        <w:t xml:space="preserve"> (range: </w:t>
      </w:r>
      <w:r w:rsidR="006B6479" w:rsidRPr="006B6479">
        <w:t>10</w:t>
      </w:r>
      <w:r w:rsidR="008C59E7" w:rsidRPr="006B6479">
        <w:t xml:space="preserve"> </w:t>
      </w:r>
      <w:r w:rsidR="006B6479" w:rsidRPr="006B6479">
        <w:t>to 30</w:t>
      </w:r>
      <w:r w:rsidR="000058E0" w:rsidRPr="006B6479">
        <w:t xml:space="preserve"> minutes</w:t>
      </w:r>
      <w:r w:rsidR="00074156">
        <w:t>)</w:t>
      </w:r>
      <w:r w:rsidR="000058E0" w:rsidRPr="006B6479">
        <w:t xml:space="preserve">. </w:t>
      </w:r>
      <w:r w:rsidR="006B6479">
        <w:t xml:space="preserve"> </w:t>
      </w:r>
      <w:r w:rsidR="000058E0" w:rsidRPr="006B6479">
        <w:t xml:space="preserve">For the purposes of estimating burden hours, the upper limit of this range (i.e., </w:t>
      </w:r>
      <w:r w:rsidR="006B6479" w:rsidRPr="006B6479">
        <w:t>30</w:t>
      </w:r>
      <w:r w:rsidR="008C59E7" w:rsidRPr="006B6479">
        <w:t xml:space="preserve"> </w:t>
      </w:r>
      <w:r w:rsidR="000058E0" w:rsidRPr="006B6479">
        <w:t>minutes) is used.</w:t>
      </w:r>
    </w:p>
    <w:p w14:paraId="37F0192B" w14:textId="77777777" w:rsidR="005A59E5" w:rsidRDefault="005A59E5" w:rsidP="00692DEB">
      <w:pPr>
        <w:ind w:left="0"/>
      </w:pPr>
    </w:p>
    <w:p w14:paraId="6871FC8B" w14:textId="2B788323" w:rsidR="00010363" w:rsidRPr="00441CC3" w:rsidRDefault="00E95ADB" w:rsidP="00010363">
      <w:pPr>
        <w:ind w:left="0"/>
      </w:pPr>
      <w:r>
        <w:t xml:space="preserve">Estimates for the average hourly wage for respondents are based on the Council on State Government’s estimates of the average annual salary for </w:t>
      </w:r>
      <w:r w:rsidR="00096CAA">
        <w:t xml:space="preserve">state </w:t>
      </w:r>
      <w:r>
        <w:t xml:space="preserve">governors in 2016 </w:t>
      </w:r>
      <w:hyperlink r:id="rId10" w:history="1">
        <w:r w:rsidRPr="0096010F">
          <w:rPr>
            <w:rStyle w:val="Hyperlink"/>
          </w:rPr>
          <w:t>http://knowledgecenter.csg.org/kc/content/governors-salaries-2016</w:t>
        </w:r>
      </w:hyperlink>
      <w:r w:rsidRPr="00010363">
        <w:rPr>
          <w:rStyle w:val="Strong"/>
          <w:rFonts w:cs="Arial"/>
          <w:b w:val="0"/>
        </w:rPr>
        <w:t xml:space="preserve">. </w:t>
      </w:r>
      <w:r w:rsidR="005E52DF">
        <w:rPr>
          <w:rStyle w:val="Strong"/>
          <w:rFonts w:cs="Arial"/>
          <w:b w:val="0"/>
        </w:rPr>
        <w:t xml:space="preserve"> Salary information on tribal leaders was unavailable, so state governor’s salaries are used as the primary annual salary estimate.  </w:t>
      </w:r>
      <w:r w:rsidR="00010363" w:rsidRPr="00010363">
        <w:t xml:space="preserve">Based on this </w:t>
      </w:r>
      <w:r w:rsidR="005E52DF">
        <w:t>calculation</w:t>
      </w:r>
      <w:r w:rsidR="00010363" w:rsidRPr="00010363">
        <w:t>, an average hourly wage of $66.06 is estimated</w:t>
      </w:r>
      <w:r w:rsidR="005E52DF">
        <w:t xml:space="preserve"> for the respondents</w:t>
      </w:r>
      <w:r w:rsidR="00010363" w:rsidRPr="00010363">
        <w:t>. Table A-12 shows estimated burden and cost information.</w:t>
      </w:r>
    </w:p>
    <w:p w14:paraId="79FB59FD" w14:textId="77777777" w:rsidR="00E95ADB" w:rsidRPr="002A1948" w:rsidRDefault="00E95ADB" w:rsidP="00692DEB">
      <w:pPr>
        <w:ind w:left="0"/>
      </w:pPr>
    </w:p>
    <w:p w14:paraId="11025DEA" w14:textId="77777777" w:rsidR="005A59E5" w:rsidRDefault="005A59E5" w:rsidP="00692DEB">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1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440"/>
        <w:gridCol w:w="1350"/>
        <w:gridCol w:w="1379"/>
        <w:gridCol w:w="892"/>
        <w:gridCol w:w="892"/>
        <w:gridCol w:w="1338"/>
      </w:tblGrid>
      <w:tr w:rsidR="00AE6492" w:rsidRPr="006F6856" w14:paraId="65EE5621" w14:textId="77777777" w:rsidTr="006B6479">
        <w:trPr>
          <w:trHeight w:val="1517"/>
        </w:trPr>
        <w:tc>
          <w:tcPr>
            <w:tcW w:w="1440" w:type="dxa"/>
            <w:shd w:val="clear" w:color="auto" w:fill="D9D9D9" w:themeFill="background1" w:themeFillShade="D9"/>
          </w:tcPr>
          <w:p w14:paraId="22D9A4F0" w14:textId="77777777" w:rsidR="003B2200" w:rsidRPr="00E647FB" w:rsidRDefault="00157413" w:rsidP="000058E0">
            <w:pPr>
              <w:ind w:left="-18"/>
              <w:rPr>
                <w:b/>
                <w:sz w:val="20"/>
                <w:szCs w:val="20"/>
              </w:rPr>
            </w:pPr>
            <w:r w:rsidRPr="00E647FB">
              <w:rPr>
                <w:b/>
                <w:sz w:val="20"/>
                <w:szCs w:val="20"/>
              </w:rPr>
              <w:t>Information collection</w:t>
            </w:r>
            <w:r w:rsidR="003B2200" w:rsidRPr="00E647FB">
              <w:rPr>
                <w:b/>
                <w:sz w:val="20"/>
                <w:szCs w:val="20"/>
              </w:rPr>
              <w:t xml:space="preserve"> Instrument: Form Name</w:t>
            </w:r>
          </w:p>
        </w:tc>
        <w:tc>
          <w:tcPr>
            <w:tcW w:w="1440" w:type="dxa"/>
            <w:shd w:val="clear" w:color="auto" w:fill="D9D9D9" w:themeFill="background1" w:themeFillShade="D9"/>
            <w:vAlign w:val="center"/>
          </w:tcPr>
          <w:p w14:paraId="1299573E" w14:textId="77777777" w:rsidR="003B2200" w:rsidRPr="00E647FB" w:rsidRDefault="003B2200" w:rsidP="000058E0">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1FB4A703" w14:textId="77777777" w:rsidR="003B2200" w:rsidRPr="00F4603E" w:rsidRDefault="003B2200" w:rsidP="000058E0">
            <w:pPr>
              <w:ind w:left="-18"/>
              <w:rPr>
                <w:b/>
                <w:sz w:val="20"/>
                <w:szCs w:val="20"/>
              </w:rPr>
            </w:pPr>
            <w:r w:rsidRPr="00F4603E">
              <w:rPr>
                <w:b/>
                <w:sz w:val="20"/>
                <w:szCs w:val="20"/>
              </w:rPr>
              <w:t>No. of Respondents</w:t>
            </w:r>
          </w:p>
        </w:tc>
        <w:tc>
          <w:tcPr>
            <w:tcW w:w="1350" w:type="dxa"/>
            <w:shd w:val="clear" w:color="auto" w:fill="D9D9D9" w:themeFill="background1" w:themeFillShade="D9"/>
            <w:vAlign w:val="center"/>
          </w:tcPr>
          <w:p w14:paraId="7077EE7C" w14:textId="77777777" w:rsidR="003B2200" w:rsidRPr="00E647FB" w:rsidRDefault="003B2200" w:rsidP="000058E0">
            <w:pPr>
              <w:ind w:left="-18"/>
              <w:rPr>
                <w:b/>
                <w:sz w:val="20"/>
                <w:szCs w:val="20"/>
              </w:rPr>
            </w:pPr>
            <w:r w:rsidRPr="00E647FB">
              <w:rPr>
                <w:b/>
                <w:sz w:val="20"/>
                <w:szCs w:val="20"/>
              </w:rPr>
              <w:t>No. of Responses per Respondent</w:t>
            </w:r>
          </w:p>
        </w:tc>
        <w:tc>
          <w:tcPr>
            <w:tcW w:w="1379" w:type="dxa"/>
            <w:shd w:val="clear" w:color="auto" w:fill="D9D9D9" w:themeFill="background1" w:themeFillShade="D9"/>
            <w:vAlign w:val="center"/>
          </w:tcPr>
          <w:p w14:paraId="4405076E" w14:textId="77777777" w:rsidR="003B2200" w:rsidRPr="00F4603E" w:rsidRDefault="003B2200" w:rsidP="000058E0">
            <w:pPr>
              <w:ind w:left="-18"/>
              <w:rPr>
                <w:b/>
                <w:sz w:val="20"/>
                <w:szCs w:val="20"/>
              </w:rPr>
            </w:pPr>
            <w:r w:rsidRPr="00F4603E">
              <w:rPr>
                <w:b/>
                <w:sz w:val="20"/>
                <w:szCs w:val="20"/>
              </w:rPr>
              <w:t>Average Burden per Response (in hours)</w:t>
            </w:r>
          </w:p>
        </w:tc>
        <w:tc>
          <w:tcPr>
            <w:tcW w:w="892" w:type="dxa"/>
            <w:shd w:val="clear" w:color="auto" w:fill="D9D9D9" w:themeFill="background1" w:themeFillShade="D9"/>
            <w:vAlign w:val="center"/>
          </w:tcPr>
          <w:p w14:paraId="0FFACE85" w14:textId="77777777" w:rsidR="003B2200" w:rsidRPr="00F4603E" w:rsidRDefault="003B2200" w:rsidP="000058E0">
            <w:pPr>
              <w:ind w:left="-18"/>
              <w:rPr>
                <w:b/>
                <w:sz w:val="20"/>
                <w:szCs w:val="20"/>
              </w:rPr>
            </w:pPr>
            <w:r w:rsidRPr="00F4603E">
              <w:rPr>
                <w:b/>
                <w:sz w:val="20"/>
                <w:szCs w:val="20"/>
              </w:rPr>
              <w:t>Total Burden Hours</w:t>
            </w:r>
          </w:p>
        </w:tc>
        <w:tc>
          <w:tcPr>
            <w:tcW w:w="892" w:type="dxa"/>
            <w:shd w:val="clear" w:color="auto" w:fill="D9D9D9" w:themeFill="background1" w:themeFillShade="D9"/>
            <w:vAlign w:val="center"/>
          </w:tcPr>
          <w:p w14:paraId="23D189B4" w14:textId="77777777" w:rsidR="003B2200" w:rsidRPr="00F4603E" w:rsidRDefault="003B2200" w:rsidP="000058E0">
            <w:pPr>
              <w:ind w:left="-18"/>
              <w:rPr>
                <w:b/>
                <w:sz w:val="20"/>
                <w:szCs w:val="20"/>
              </w:rPr>
            </w:pPr>
            <w:r w:rsidRPr="00F4603E">
              <w:rPr>
                <w:b/>
                <w:sz w:val="20"/>
                <w:szCs w:val="20"/>
              </w:rPr>
              <w:t>Hourly Wage Rate</w:t>
            </w:r>
          </w:p>
        </w:tc>
        <w:tc>
          <w:tcPr>
            <w:tcW w:w="1338" w:type="dxa"/>
            <w:shd w:val="clear" w:color="auto" w:fill="D9D9D9" w:themeFill="background1" w:themeFillShade="D9"/>
            <w:vAlign w:val="center"/>
          </w:tcPr>
          <w:p w14:paraId="389C7983" w14:textId="77777777" w:rsidR="003B2200" w:rsidRPr="00F4603E" w:rsidRDefault="003B2200" w:rsidP="000058E0">
            <w:pPr>
              <w:ind w:left="-18"/>
              <w:rPr>
                <w:b/>
                <w:sz w:val="20"/>
                <w:szCs w:val="20"/>
              </w:rPr>
            </w:pPr>
            <w:r w:rsidRPr="00F4603E">
              <w:rPr>
                <w:b/>
                <w:sz w:val="20"/>
                <w:szCs w:val="20"/>
              </w:rPr>
              <w:t>Total Respondent Costs</w:t>
            </w:r>
          </w:p>
        </w:tc>
      </w:tr>
      <w:tr w:rsidR="00014D8C" w:rsidRPr="006F6856" w14:paraId="01292F86" w14:textId="77777777" w:rsidTr="006B6479">
        <w:trPr>
          <w:trHeight w:val="274"/>
        </w:trPr>
        <w:tc>
          <w:tcPr>
            <w:tcW w:w="1440" w:type="dxa"/>
            <w:vMerge w:val="restart"/>
          </w:tcPr>
          <w:p w14:paraId="036B0B08" w14:textId="6993CB0B" w:rsidR="00014D8C" w:rsidRPr="00E647FB" w:rsidRDefault="00014D8C" w:rsidP="00F4603E">
            <w:pPr>
              <w:ind w:left="0"/>
              <w:jc w:val="center"/>
              <w:rPr>
                <w:sz w:val="20"/>
                <w:szCs w:val="20"/>
              </w:rPr>
            </w:pPr>
            <w:r>
              <w:rPr>
                <w:sz w:val="20"/>
                <w:szCs w:val="20"/>
              </w:rPr>
              <w:t>HHS Temporary Reassignment Request Form</w:t>
            </w:r>
          </w:p>
        </w:tc>
        <w:tc>
          <w:tcPr>
            <w:tcW w:w="1440" w:type="dxa"/>
            <w:vAlign w:val="center"/>
          </w:tcPr>
          <w:p w14:paraId="3C92D99E" w14:textId="1158A3F5" w:rsidR="00014D8C" w:rsidRPr="00E647FB" w:rsidRDefault="00014D8C" w:rsidP="00014D8C">
            <w:pPr>
              <w:ind w:left="0"/>
              <w:jc w:val="center"/>
              <w:rPr>
                <w:sz w:val="20"/>
                <w:szCs w:val="20"/>
              </w:rPr>
            </w:pPr>
            <w:r>
              <w:rPr>
                <w:sz w:val="20"/>
                <w:szCs w:val="20"/>
              </w:rPr>
              <w:t>State governors or designees</w:t>
            </w:r>
          </w:p>
        </w:tc>
        <w:tc>
          <w:tcPr>
            <w:tcW w:w="1440" w:type="dxa"/>
            <w:vAlign w:val="center"/>
          </w:tcPr>
          <w:p w14:paraId="68B36693" w14:textId="7C12D37F" w:rsidR="00014D8C" w:rsidRPr="00F4603E" w:rsidRDefault="00014D8C" w:rsidP="00014D8C">
            <w:pPr>
              <w:ind w:left="0"/>
              <w:jc w:val="center"/>
              <w:rPr>
                <w:sz w:val="20"/>
                <w:szCs w:val="20"/>
              </w:rPr>
            </w:pPr>
            <w:r>
              <w:rPr>
                <w:sz w:val="20"/>
                <w:szCs w:val="20"/>
              </w:rPr>
              <w:t>5</w:t>
            </w:r>
          </w:p>
        </w:tc>
        <w:tc>
          <w:tcPr>
            <w:tcW w:w="1350" w:type="dxa"/>
            <w:vAlign w:val="center"/>
          </w:tcPr>
          <w:p w14:paraId="45730FFC" w14:textId="0EFCC524" w:rsidR="00014D8C" w:rsidRPr="00E647FB" w:rsidRDefault="00014D8C" w:rsidP="00F4603E">
            <w:pPr>
              <w:ind w:left="0"/>
              <w:jc w:val="center"/>
              <w:rPr>
                <w:sz w:val="20"/>
                <w:szCs w:val="20"/>
              </w:rPr>
            </w:pPr>
            <w:r>
              <w:rPr>
                <w:sz w:val="20"/>
                <w:szCs w:val="20"/>
              </w:rPr>
              <w:t>1</w:t>
            </w:r>
          </w:p>
        </w:tc>
        <w:tc>
          <w:tcPr>
            <w:tcW w:w="1379" w:type="dxa"/>
            <w:vAlign w:val="center"/>
          </w:tcPr>
          <w:p w14:paraId="6A3916AD" w14:textId="0AC02E12" w:rsidR="00014D8C" w:rsidRPr="00F4603E" w:rsidRDefault="00014D8C" w:rsidP="00F4603E">
            <w:pPr>
              <w:ind w:left="0"/>
              <w:jc w:val="center"/>
              <w:rPr>
                <w:sz w:val="20"/>
                <w:szCs w:val="20"/>
              </w:rPr>
            </w:pPr>
            <w:r w:rsidRPr="00F4603E">
              <w:rPr>
                <w:sz w:val="20"/>
                <w:szCs w:val="20"/>
              </w:rPr>
              <w:t>30/60</w:t>
            </w:r>
          </w:p>
        </w:tc>
        <w:tc>
          <w:tcPr>
            <w:tcW w:w="892" w:type="dxa"/>
            <w:vAlign w:val="center"/>
          </w:tcPr>
          <w:p w14:paraId="2B27ECC6" w14:textId="0CA45CE0" w:rsidR="00014D8C" w:rsidRPr="00F4603E" w:rsidRDefault="00014D8C" w:rsidP="00014D8C">
            <w:pPr>
              <w:ind w:left="0"/>
              <w:rPr>
                <w:sz w:val="20"/>
                <w:szCs w:val="20"/>
              </w:rPr>
            </w:pPr>
            <w:r>
              <w:rPr>
                <w:sz w:val="20"/>
                <w:szCs w:val="20"/>
              </w:rPr>
              <w:t>2.5</w:t>
            </w:r>
          </w:p>
        </w:tc>
        <w:tc>
          <w:tcPr>
            <w:tcW w:w="892" w:type="dxa"/>
            <w:vAlign w:val="center"/>
          </w:tcPr>
          <w:p w14:paraId="35B3406C" w14:textId="3D23D66A" w:rsidR="00014D8C" w:rsidRPr="00F4603E" w:rsidRDefault="00014D8C" w:rsidP="00F4603E">
            <w:pPr>
              <w:ind w:left="0"/>
              <w:jc w:val="center"/>
              <w:rPr>
                <w:sz w:val="20"/>
                <w:szCs w:val="20"/>
              </w:rPr>
            </w:pPr>
            <w:r w:rsidRPr="00F4603E">
              <w:rPr>
                <w:sz w:val="20"/>
                <w:szCs w:val="20"/>
              </w:rPr>
              <w:t>$66.06</w:t>
            </w:r>
          </w:p>
        </w:tc>
        <w:tc>
          <w:tcPr>
            <w:tcW w:w="1338" w:type="dxa"/>
            <w:vAlign w:val="center"/>
          </w:tcPr>
          <w:p w14:paraId="38BB3691" w14:textId="346CF000" w:rsidR="00014D8C" w:rsidRPr="00F4603E" w:rsidRDefault="00014D8C" w:rsidP="00014D8C">
            <w:pPr>
              <w:ind w:left="0"/>
              <w:jc w:val="center"/>
              <w:rPr>
                <w:sz w:val="20"/>
                <w:szCs w:val="20"/>
              </w:rPr>
            </w:pPr>
            <w:r>
              <w:rPr>
                <w:sz w:val="20"/>
                <w:szCs w:val="20"/>
              </w:rPr>
              <w:t>$165</w:t>
            </w:r>
          </w:p>
        </w:tc>
      </w:tr>
      <w:tr w:rsidR="00014D8C" w:rsidRPr="006F6856" w14:paraId="2DB26CB8" w14:textId="77777777" w:rsidTr="006B6479">
        <w:trPr>
          <w:trHeight w:val="274"/>
        </w:trPr>
        <w:tc>
          <w:tcPr>
            <w:tcW w:w="1440" w:type="dxa"/>
            <w:vMerge/>
          </w:tcPr>
          <w:p w14:paraId="2AB86022" w14:textId="77777777" w:rsidR="00014D8C" w:rsidRDefault="00014D8C" w:rsidP="00F4603E">
            <w:pPr>
              <w:ind w:left="0"/>
              <w:jc w:val="center"/>
              <w:rPr>
                <w:sz w:val="20"/>
                <w:szCs w:val="20"/>
              </w:rPr>
            </w:pPr>
          </w:p>
        </w:tc>
        <w:tc>
          <w:tcPr>
            <w:tcW w:w="1440" w:type="dxa"/>
            <w:vAlign w:val="center"/>
          </w:tcPr>
          <w:p w14:paraId="7E4CD1D0" w14:textId="02B95CF7" w:rsidR="00014D8C" w:rsidRDefault="00014D8C" w:rsidP="00014D8C">
            <w:pPr>
              <w:ind w:left="0"/>
              <w:jc w:val="center"/>
              <w:rPr>
                <w:sz w:val="20"/>
                <w:szCs w:val="20"/>
              </w:rPr>
            </w:pPr>
            <w:r>
              <w:rPr>
                <w:sz w:val="20"/>
                <w:szCs w:val="20"/>
              </w:rPr>
              <w:t>Tribal leaders or designees</w:t>
            </w:r>
          </w:p>
        </w:tc>
        <w:tc>
          <w:tcPr>
            <w:tcW w:w="1440" w:type="dxa"/>
            <w:vAlign w:val="center"/>
          </w:tcPr>
          <w:p w14:paraId="641A141E" w14:textId="7EB2FD07" w:rsidR="00014D8C" w:rsidRPr="00F4603E" w:rsidRDefault="00014D8C" w:rsidP="00014D8C">
            <w:pPr>
              <w:ind w:left="0"/>
              <w:jc w:val="center"/>
              <w:rPr>
                <w:sz w:val="20"/>
                <w:szCs w:val="20"/>
              </w:rPr>
            </w:pPr>
            <w:r>
              <w:rPr>
                <w:sz w:val="20"/>
                <w:szCs w:val="20"/>
              </w:rPr>
              <w:t xml:space="preserve">55 </w:t>
            </w:r>
          </w:p>
        </w:tc>
        <w:tc>
          <w:tcPr>
            <w:tcW w:w="1350" w:type="dxa"/>
            <w:vAlign w:val="center"/>
          </w:tcPr>
          <w:p w14:paraId="5782B0F8" w14:textId="36A4C367" w:rsidR="00014D8C" w:rsidRDefault="00014D8C" w:rsidP="00F4603E">
            <w:pPr>
              <w:ind w:left="0"/>
              <w:jc w:val="center"/>
              <w:rPr>
                <w:sz w:val="20"/>
                <w:szCs w:val="20"/>
              </w:rPr>
            </w:pPr>
            <w:r>
              <w:rPr>
                <w:sz w:val="20"/>
                <w:szCs w:val="20"/>
              </w:rPr>
              <w:t>1</w:t>
            </w:r>
          </w:p>
        </w:tc>
        <w:tc>
          <w:tcPr>
            <w:tcW w:w="1379" w:type="dxa"/>
            <w:vAlign w:val="center"/>
          </w:tcPr>
          <w:p w14:paraId="4BCBED6A" w14:textId="69E92A38" w:rsidR="00014D8C" w:rsidRPr="00F4603E" w:rsidRDefault="00014D8C" w:rsidP="00F4603E">
            <w:pPr>
              <w:ind w:left="0"/>
              <w:jc w:val="center"/>
              <w:rPr>
                <w:sz w:val="20"/>
                <w:szCs w:val="20"/>
              </w:rPr>
            </w:pPr>
            <w:r>
              <w:rPr>
                <w:sz w:val="20"/>
                <w:szCs w:val="20"/>
              </w:rPr>
              <w:t>30/60</w:t>
            </w:r>
          </w:p>
        </w:tc>
        <w:tc>
          <w:tcPr>
            <w:tcW w:w="892" w:type="dxa"/>
            <w:vAlign w:val="center"/>
          </w:tcPr>
          <w:p w14:paraId="695FD4BF" w14:textId="188BC695" w:rsidR="00014D8C" w:rsidRDefault="00014D8C" w:rsidP="00397BF5">
            <w:pPr>
              <w:ind w:left="0"/>
              <w:rPr>
                <w:sz w:val="20"/>
                <w:szCs w:val="20"/>
              </w:rPr>
            </w:pPr>
            <w:r>
              <w:rPr>
                <w:sz w:val="20"/>
                <w:szCs w:val="20"/>
              </w:rPr>
              <w:t>27.5</w:t>
            </w:r>
          </w:p>
        </w:tc>
        <w:tc>
          <w:tcPr>
            <w:tcW w:w="892" w:type="dxa"/>
            <w:vAlign w:val="center"/>
          </w:tcPr>
          <w:p w14:paraId="1C718A0A" w14:textId="40829E27" w:rsidR="00014D8C" w:rsidRPr="00F4603E" w:rsidRDefault="00014D8C" w:rsidP="00F4603E">
            <w:pPr>
              <w:ind w:left="0"/>
              <w:jc w:val="center"/>
              <w:rPr>
                <w:sz w:val="20"/>
                <w:szCs w:val="20"/>
              </w:rPr>
            </w:pPr>
            <w:r>
              <w:rPr>
                <w:sz w:val="20"/>
                <w:szCs w:val="20"/>
              </w:rPr>
              <w:t>$66.06</w:t>
            </w:r>
          </w:p>
        </w:tc>
        <w:tc>
          <w:tcPr>
            <w:tcW w:w="1338" w:type="dxa"/>
            <w:vAlign w:val="center"/>
          </w:tcPr>
          <w:p w14:paraId="4AC975A1" w14:textId="70096B79" w:rsidR="00014D8C" w:rsidRDefault="00014D8C" w:rsidP="00F4603E">
            <w:pPr>
              <w:ind w:left="0"/>
              <w:jc w:val="center"/>
              <w:rPr>
                <w:sz w:val="20"/>
                <w:szCs w:val="20"/>
              </w:rPr>
            </w:pPr>
            <w:r>
              <w:rPr>
                <w:sz w:val="20"/>
                <w:szCs w:val="20"/>
              </w:rPr>
              <w:t>$181</w:t>
            </w:r>
            <w:r w:rsidR="00CF5DAD">
              <w:rPr>
                <w:sz w:val="20"/>
                <w:szCs w:val="20"/>
              </w:rPr>
              <w:t>7</w:t>
            </w:r>
          </w:p>
        </w:tc>
      </w:tr>
      <w:tr w:rsidR="00AE6492" w:rsidRPr="006F6856" w14:paraId="59B5BF79" w14:textId="77777777" w:rsidTr="006B6479">
        <w:trPr>
          <w:trHeight w:hRule="exact" w:val="439"/>
        </w:trPr>
        <w:tc>
          <w:tcPr>
            <w:tcW w:w="1440" w:type="dxa"/>
          </w:tcPr>
          <w:p w14:paraId="38FD8AD1" w14:textId="77777777" w:rsidR="003B2200" w:rsidRPr="00E647FB" w:rsidRDefault="003B2200" w:rsidP="000058E0">
            <w:pPr>
              <w:ind w:left="0"/>
              <w:rPr>
                <w:b/>
                <w:sz w:val="20"/>
                <w:szCs w:val="20"/>
              </w:rPr>
            </w:pPr>
          </w:p>
        </w:tc>
        <w:tc>
          <w:tcPr>
            <w:tcW w:w="1440" w:type="dxa"/>
            <w:vAlign w:val="center"/>
          </w:tcPr>
          <w:p w14:paraId="71C3376F" w14:textId="77777777" w:rsidR="003B2200" w:rsidRPr="00E647FB" w:rsidRDefault="003B2200" w:rsidP="000058E0">
            <w:pPr>
              <w:ind w:left="0"/>
              <w:rPr>
                <w:b/>
                <w:sz w:val="20"/>
                <w:szCs w:val="20"/>
              </w:rPr>
            </w:pPr>
            <w:r w:rsidRPr="00E647FB">
              <w:rPr>
                <w:b/>
                <w:sz w:val="20"/>
                <w:szCs w:val="20"/>
              </w:rPr>
              <w:t>TOTALS</w:t>
            </w:r>
          </w:p>
        </w:tc>
        <w:tc>
          <w:tcPr>
            <w:tcW w:w="1440" w:type="dxa"/>
            <w:vAlign w:val="center"/>
          </w:tcPr>
          <w:p w14:paraId="69329069" w14:textId="65E14773" w:rsidR="003B2200" w:rsidRPr="00E647FB" w:rsidRDefault="00F4603E" w:rsidP="00F4603E">
            <w:pPr>
              <w:ind w:left="0"/>
              <w:jc w:val="center"/>
              <w:rPr>
                <w:b/>
                <w:sz w:val="20"/>
                <w:szCs w:val="20"/>
              </w:rPr>
            </w:pPr>
            <w:r>
              <w:rPr>
                <w:b/>
                <w:sz w:val="20"/>
                <w:szCs w:val="20"/>
              </w:rPr>
              <w:t>60</w:t>
            </w:r>
          </w:p>
        </w:tc>
        <w:tc>
          <w:tcPr>
            <w:tcW w:w="1350" w:type="dxa"/>
            <w:shd w:val="clear" w:color="auto" w:fill="auto"/>
            <w:vAlign w:val="center"/>
          </w:tcPr>
          <w:p w14:paraId="53DB0C59" w14:textId="77777777" w:rsidR="003B2200" w:rsidRPr="00E647FB" w:rsidRDefault="003B2200" w:rsidP="00F4603E">
            <w:pPr>
              <w:ind w:left="0"/>
              <w:jc w:val="center"/>
              <w:rPr>
                <w:b/>
                <w:sz w:val="20"/>
                <w:szCs w:val="20"/>
              </w:rPr>
            </w:pPr>
          </w:p>
        </w:tc>
        <w:tc>
          <w:tcPr>
            <w:tcW w:w="1379" w:type="dxa"/>
            <w:shd w:val="clear" w:color="auto" w:fill="D9D9D9" w:themeFill="background1" w:themeFillShade="D9"/>
            <w:vAlign w:val="center"/>
          </w:tcPr>
          <w:p w14:paraId="15758402" w14:textId="77777777" w:rsidR="003B2200" w:rsidRPr="00E647FB" w:rsidRDefault="003B2200" w:rsidP="00F4603E">
            <w:pPr>
              <w:ind w:left="0"/>
              <w:jc w:val="center"/>
              <w:rPr>
                <w:b/>
                <w:sz w:val="20"/>
                <w:szCs w:val="20"/>
              </w:rPr>
            </w:pPr>
          </w:p>
        </w:tc>
        <w:tc>
          <w:tcPr>
            <w:tcW w:w="892" w:type="dxa"/>
            <w:vAlign w:val="center"/>
          </w:tcPr>
          <w:p w14:paraId="5855F3C0" w14:textId="78F82161" w:rsidR="003B2200" w:rsidRPr="004322A7" w:rsidRDefault="004322A7" w:rsidP="00F4603E">
            <w:pPr>
              <w:ind w:left="0"/>
              <w:jc w:val="center"/>
              <w:rPr>
                <w:b/>
                <w:sz w:val="20"/>
                <w:szCs w:val="20"/>
                <w:highlight w:val="yellow"/>
              </w:rPr>
            </w:pPr>
            <w:r w:rsidRPr="004322A7">
              <w:rPr>
                <w:b/>
                <w:sz w:val="20"/>
                <w:szCs w:val="20"/>
              </w:rPr>
              <w:t>30</w:t>
            </w:r>
          </w:p>
        </w:tc>
        <w:tc>
          <w:tcPr>
            <w:tcW w:w="892" w:type="dxa"/>
            <w:shd w:val="clear" w:color="auto" w:fill="D9D9D9" w:themeFill="background1" w:themeFillShade="D9"/>
            <w:vAlign w:val="center"/>
          </w:tcPr>
          <w:p w14:paraId="74750156" w14:textId="77777777" w:rsidR="003B2200" w:rsidRPr="004322A7" w:rsidRDefault="003B2200" w:rsidP="00F4603E">
            <w:pPr>
              <w:ind w:left="0"/>
              <w:jc w:val="center"/>
              <w:rPr>
                <w:b/>
                <w:sz w:val="20"/>
                <w:szCs w:val="20"/>
                <w:highlight w:val="yellow"/>
              </w:rPr>
            </w:pPr>
          </w:p>
        </w:tc>
        <w:tc>
          <w:tcPr>
            <w:tcW w:w="1338" w:type="dxa"/>
            <w:vAlign w:val="center"/>
          </w:tcPr>
          <w:p w14:paraId="47C1325C" w14:textId="52401155" w:rsidR="003B2200" w:rsidRPr="004322A7" w:rsidRDefault="004322A7" w:rsidP="00EF49EE">
            <w:pPr>
              <w:ind w:left="0"/>
              <w:jc w:val="center"/>
              <w:rPr>
                <w:b/>
                <w:sz w:val="20"/>
                <w:szCs w:val="20"/>
                <w:highlight w:val="yellow"/>
              </w:rPr>
            </w:pPr>
            <w:r w:rsidRPr="004322A7">
              <w:rPr>
                <w:b/>
                <w:sz w:val="20"/>
                <w:szCs w:val="20"/>
              </w:rPr>
              <w:t>$198</w:t>
            </w:r>
            <w:r w:rsidR="00CF5DAD">
              <w:rPr>
                <w:b/>
                <w:sz w:val="20"/>
                <w:szCs w:val="20"/>
              </w:rPr>
              <w:t>2</w:t>
            </w:r>
          </w:p>
        </w:tc>
      </w:tr>
    </w:tbl>
    <w:p w14:paraId="2C7F6CCF" w14:textId="77777777" w:rsidR="002F1502" w:rsidRDefault="002F1502" w:rsidP="00441CC3">
      <w:pPr>
        <w:ind w:left="0"/>
      </w:pPr>
    </w:p>
    <w:p w14:paraId="7CE469E6" w14:textId="77777777" w:rsidR="00185430" w:rsidRDefault="00185430" w:rsidP="00441CC3">
      <w:pPr>
        <w:ind w:left="0"/>
      </w:pPr>
    </w:p>
    <w:p w14:paraId="3C92EB0C" w14:textId="77777777" w:rsidR="004F18B3" w:rsidRDefault="004F18B3" w:rsidP="00441CC3">
      <w:pPr>
        <w:ind w:left="0"/>
      </w:pPr>
    </w:p>
    <w:p w14:paraId="6B501036" w14:textId="77777777" w:rsidR="004F18B3" w:rsidRDefault="004F18B3" w:rsidP="00441CC3">
      <w:pPr>
        <w:ind w:left="0"/>
      </w:pPr>
    </w:p>
    <w:p w14:paraId="798AD42F" w14:textId="77777777" w:rsidR="004F18B3" w:rsidRDefault="004F18B3" w:rsidP="00441CC3">
      <w:pPr>
        <w:ind w:left="0"/>
      </w:pPr>
    </w:p>
    <w:p w14:paraId="2F7E1199" w14:textId="77777777" w:rsidR="00B12F51" w:rsidRPr="006B6479" w:rsidRDefault="0088467A" w:rsidP="00692DEB">
      <w:pPr>
        <w:pStyle w:val="Heading4"/>
      </w:pPr>
      <w:bookmarkStart w:id="18" w:name="_Toc427752826"/>
      <w:r w:rsidRPr="006B6479">
        <w:lastRenderedPageBreak/>
        <w:t>Estimates of Other Total Annual Cost Burden to Respondents or Record Keepers</w:t>
      </w:r>
      <w:bookmarkEnd w:id="18"/>
    </w:p>
    <w:p w14:paraId="1275F09A" w14:textId="77777777" w:rsidR="003C31C9" w:rsidRPr="00040611" w:rsidRDefault="003C31C9" w:rsidP="00692DEB">
      <w:pPr>
        <w:ind w:left="0"/>
      </w:pPr>
      <w:r w:rsidRPr="006B6479">
        <w:t xml:space="preserve">There will be no direct costs to the respondents other than their time to participate in each </w:t>
      </w:r>
      <w:r w:rsidR="00157413" w:rsidRPr="006B6479">
        <w:t>information collection</w:t>
      </w:r>
      <w:r w:rsidRPr="006B6479">
        <w:t>.</w:t>
      </w:r>
    </w:p>
    <w:p w14:paraId="519C0B80" w14:textId="77777777" w:rsidR="00911486" w:rsidRDefault="00911486" w:rsidP="00692DEB">
      <w:pPr>
        <w:ind w:left="0"/>
      </w:pPr>
    </w:p>
    <w:p w14:paraId="6A72193F"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363F675F" w14:textId="000CAC47" w:rsidR="000058E0" w:rsidRDefault="00033EF4" w:rsidP="000058E0">
      <w:pPr>
        <w:ind w:left="0"/>
        <w:rPr>
          <w:rFonts w:cs="Arial"/>
        </w:rPr>
      </w:pPr>
      <w:r w:rsidRPr="006B6479">
        <w:t xml:space="preserve">There will be no direct costs to the respondents other than the time taken to complete and submit the instrument.  </w:t>
      </w:r>
      <w:r w:rsidR="000058E0" w:rsidRPr="006B6479">
        <w:rPr>
          <w:rFonts w:cs="Arial"/>
        </w:rPr>
        <w:t>The total estimated cost to the federal government is</w:t>
      </w:r>
      <w:r w:rsidR="008C59E7">
        <w:rPr>
          <w:rFonts w:cs="Arial"/>
        </w:rPr>
        <w:t xml:space="preserve"> </w:t>
      </w:r>
      <w:r w:rsidR="00F4603E" w:rsidRPr="004322A7">
        <w:rPr>
          <w:rFonts w:cs="Arial"/>
          <w:b/>
        </w:rPr>
        <w:t>$</w:t>
      </w:r>
      <w:r w:rsidR="00B93B6F" w:rsidRPr="00B93B6F">
        <w:rPr>
          <w:b/>
        </w:rPr>
        <w:t>2274.02</w:t>
      </w:r>
      <w:r w:rsidR="00F4603E">
        <w:rPr>
          <w:rFonts w:cs="Arial"/>
        </w:rPr>
        <w:t>.</w:t>
      </w:r>
      <w:r w:rsidR="000058E0" w:rsidRPr="000E58F5">
        <w:rPr>
          <w:rFonts w:cs="Arial"/>
        </w:rPr>
        <w:t xml:space="preserve"> </w:t>
      </w:r>
      <w:r w:rsidR="005E52DF">
        <w:rPr>
          <w:rFonts w:cs="Arial"/>
        </w:rPr>
        <w:t xml:space="preserve"> </w:t>
      </w:r>
      <w:r w:rsidR="000058E0" w:rsidRPr="000E58F5">
        <w:rPr>
          <w:rFonts w:cs="Arial"/>
        </w:rPr>
        <w:t>Table A-14 describes how this cost estimate was calculated.</w:t>
      </w:r>
    </w:p>
    <w:p w14:paraId="396D670D" w14:textId="77777777" w:rsidR="00692DEB" w:rsidRDefault="00692DEB" w:rsidP="00692DEB">
      <w:pPr>
        <w:ind w:left="0"/>
      </w:pPr>
    </w:p>
    <w:p w14:paraId="351738C3" w14:textId="77777777" w:rsidR="003C31C9" w:rsidRPr="00D75750" w:rsidRDefault="00321B51" w:rsidP="00692DEB">
      <w:pPr>
        <w:ind w:left="0"/>
      </w:pPr>
      <w:r w:rsidRPr="00692DEB">
        <w:rPr>
          <w:color w:val="000000"/>
        </w:rPr>
        <w:t xml:space="preserve"> </w:t>
      </w:r>
      <w:r w:rsidR="008E0683" w:rsidRPr="00692DEB">
        <w:rPr>
          <w:b/>
          <w:u w:val="single"/>
        </w:rPr>
        <w:t>Table A-14</w:t>
      </w:r>
      <w:r w:rsidR="008E0683" w:rsidRPr="00692DEB">
        <w:rPr>
          <w:b/>
        </w:rPr>
        <w:t>:</w:t>
      </w:r>
      <w:r w:rsidR="008E0683" w:rsidRPr="008E0683">
        <w:t xml:space="preserve"> Estimated Annualized Cost to the Federal Government</w:t>
      </w:r>
    </w:p>
    <w:tbl>
      <w:tblPr>
        <w:tblStyle w:val="TableGrid"/>
        <w:tblW w:w="0" w:type="auto"/>
        <w:tblLook w:val="04A0" w:firstRow="1" w:lastRow="0" w:firstColumn="1" w:lastColumn="0" w:noHBand="0" w:noVBand="1"/>
      </w:tblPr>
      <w:tblGrid>
        <w:gridCol w:w="4064"/>
        <w:gridCol w:w="1934"/>
        <w:gridCol w:w="625"/>
        <w:gridCol w:w="236"/>
        <w:gridCol w:w="814"/>
        <w:gridCol w:w="1677"/>
      </w:tblGrid>
      <w:tr w:rsidR="004841F1" w:rsidRPr="0044577D" w14:paraId="6AEC53D1" w14:textId="77777777" w:rsidTr="00E1635A">
        <w:trPr>
          <w:trHeight w:val="593"/>
        </w:trPr>
        <w:tc>
          <w:tcPr>
            <w:tcW w:w="4195" w:type="dxa"/>
            <w:tcBorders>
              <w:bottom w:val="single" w:sz="12" w:space="0" w:color="auto"/>
            </w:tcBorders>
            <w:shd w:val="clear" w:color="auto" w:fill="D9D9D9" w:themeFill="background1" w:themeFillShade="D9"/>
            <w:vAlign w:val="center"/>
          </w:tcPr>
          <w:p w14:paraId="56E95EEA" w14:textId="77777777" w:rsidR="004841F1" w:rsidRPr="0044577D" w:rsidRDefault="004841F1" w:rsidP="005D6F14">
            <w:pPr>
              <w:ind w:left="0"/>
              <w:jc w:val="center"/>
              <w:rPr>
                <w:b/>
                <w:sz w:val="20"/>
                <w:szCs w:val="20"/>
              </w:rPr>
            </w:pPr>
            <w:r w:rsidRPr="0044577D">
              <w:rPr>
                <w:b/>
                <w:sz w:val="20"/>
                <w:szCs w:val="20"/>
              </w:rPr>
              <w:t>Staff (FTE)</w:t>
            </w:r>
          </w:p>
        </w:tc>
        <w:tc>
          <w:tcPr>
            <w:tcW w:w="1969" w:type="dxa"/>
            <w:tcBorders>
              <w:bottom w:val="single" w:sz="12" w:space="0" w:color="auto"/>
            </w:tcBorders>
            <w:shd w:val="clear" w:color="auto" w:fill="D9D9D9" w:themeFill="background1" w:themeFillShade="D9"/>
            <w:vAlign w:val="center"/>
          </w:tcPr>
          <w:p w14:paraId="51EB1B30" w14:textId="77777777" w:rsidR="004841F1" w:rsidRPr="0044577D" w:rsidRDefault="004841F1" w:rsidP="005D6F14">
            <w:pPr>
              <w:ind w:left="0"/>
              <w:jc w:val="center"/>
              <w:rPr>
                <w:b/>
                <w:sz w:val="20"/>
                <w:szCs w:val="20"/>
              </w:rPr>
            </w:pPr>
            <w:r w:rsidRPr="0044577D">
              <w:rPr>
                <w:b/>
                <w:sz w:val="20"/>
                <w:szCs w:val="20"/>
              </w:rPr>
              <w:t>Average Hours per Collection</w:t>
            </w:r>
          </w:p>
        </w:tc>
        <w:tc>
          <w:tcPr>
            <w:tcW w:w="1706" w:type="dxa"/>
            <w:gridSpan w:val="3"/>
            <w:tcBorders>
              <w:bottom w:val="single" w:sz="12" w:space="0" w:color="auto"/>
            </w:tcBorders>
            <w:shd w:val="clear" w:color="auto" w:fill="D9D9D9" w:themeFill="background1" w:themeFillShade="D9"/>
            <w:vAlign w:val="center"/>
          </w:tcPr>
          <w:p w14:paraId="437ED4A8" w14:textId="77777777" w:rsidR="004841F1" w:rsidRPr="0044577D" w:rsidRDefault="004841F1" w:rsidP="005D6F14">
            <w:pPr>
              <w:ind w:left="0"/>
              <w:jc w:val="center"/>
              <w:rPr>
                <w:b/>
                <w:sz w:val="20"/>
                <w:szCs w:val="20"/>
              </w:rPr>
            </w:pPr>
            <w:r w:rsidRPr="0044577D">
              <w:rPr>
                <w:b/>
                <w:sz w:val="20"/>
                <w:szCs w:val="20"/>
              </w:rPr>
              <w:t>Average Hourly Rate</w:t>
            </w:r>
          </w:p>
        </w:tc>
        <w:tc>
          <w:tcPr>
            <w:tcW w:w="1706" w:type="dxa"/>
            <w:tcBorders>
              <w:bottom w:val="single" w:sz="12" w:space="0" w:color="auto"/>
            </w:tcBorders>
            <w:shd w:val="clear" w:color="auto" w:fill="D9D9D9" w:themeFill="background1" w:themeFillShade="D9"/>
            <w:vAlign w:val="center"/>
          </w:tcPr>
          <w:p w14:paraId="73B11129" w14:textId="77777777" w:rsidR="004841F1" w:rsidRPr="0044577D" w:rsidRDefault="004841F1" w:rsidP="005D6F14">
            <w:pPr>
              <w:ind w:left="0"/>
              <w:jc w:val="center"/>
              <w:rPr>
                <w:b/>
                <w:sz w:val="20"/>
                <w:szCs w:val="20"/>
              </w:rPr>
            </w:pPr>
            <w:r w:rsidRPr="0044577D">
              <w:rPr>
                <w:b/>
                <w:sz w:val="20"/>
                <w:szCs w:val="20"/>
              </w:rPr>
              <w:t>Average Cost</w:t>
            </w:r>
          </w:p>
        </w:tc>
      </w:tr>
      <w:tr w:rsidR="00350479" w:rsidRPr="0044577D" w14:paraId="5F2212EC" w14:textId="77777777" w:rsidTr="00CA5840">
        <w:tc>
          <w:tcPr>
            <w:tcW w:w="4195" w:type="dxa"/>
            <w:tcBorders>
              <w:top w:val="single" w:sz="12" w:space="0" w:color="auto"/>
            </w:tcBorders>
          </w:tcPr>
          <w:p w14:paraId="073A0483" w14:textId="0451A1D6" w:rsidR="00350479" w:rsidRDefault="007E1CF7" w:rsidP="007E1CF7">
            <w:pPr>
              <w:ind w:left="0"/>
              <w:jc w:val="both"/>
              <w:rPr>
                <w:sz w:val="20"/>
                <w:szCs w:val="20"/>
              </w:rPr>
            </w:pPr>
            <w:r>
              <w:rPr>
                <w:sz w:val="20"/>
                <w:szCs w:val="20"/>
              </w:rPr>
              <w:t>Legislative Analyst</w:t>
            </w:r>
            <w:r w:rsidR="00350479">
              <w:rPr>
                <w:sz w:val="20"/>
                <w:szCs w:val="20"/>
              </w:rPr>
              <w:t xml:space="preserve"> (GS-13)</w:t>
            </w:r>
          </w:p>
        </w:tc>
        <w:tc>
          <w:tcPr>
            <w:tcW w:w="1969" w:type="dxa"/>
            <w:tcBorders>
              <w:top w:val="single" w:sz="12" w:space="0" w:color="auto"/>
            </w:tcBorders>
          </w:tcPr>
          <w:p w14:paraId="57CBBDFA" w14:textId="4ABA4464" w:rsidR="00350479" w:rsidRPr="001674DD" w:rsidRDefault="007E1CF7" w:rsidP="00B93B6F">
            <w:pPr>
              <w:ind w:left="0"/>
              <w:jc w:val="center"/>
              <w:rPr>
                <w:sz w:val="20"/>
                <w:szCs w:val="20"/>
              </w:rPr>
            </w:pPr>
            <w:r>
              <w:rPr>
                <w:sz w:val="20"/>
                <w:szCs w:val="20"/>
              </w:rPr>
              <w:t>3</w:t>
            </w:r>
            <w:r w:rsidR="00B93B6F">
              <w:rPr>
                <w:sz w:val="20"/>
                <w:szCs w:val="20"/>
              </w:rPr>
              <w:t>4</w:t>
            </w:r>
          </w:p>
        </w:tc>
        <w:tc>
          <w:tcPr>
            <w:tcW w:w="1706" w:type="dxa"/>
            <w:gridSpan w:val="3"/>
            <w:tcBorders>
              <w:top w:val="single" w:sz="12" w:space="0" w:color="auto"/>
            </w:tcBorders>
          </w:tcPr>
          <w:p w14:paraId="3E43F5FD" w14:textId="095054B9" w:rsidR="00350479" w:rsidRPr="001674DD" w:rsidRDefault="00350479" w:rsidP="00350479">
            <w:pPr>
              <w:ind w:left="0"/>
              <w:jc w:val="center"/>
              <w:rPr>
                <w:sz w:val="20"/>
                <w:szCs w:val="20"/>
              </w:rPr>
            </w:pPr>
            <w:r w:rsidRPr="009E329A">
              <w:rPr>
                <w:sz w:val="20"/>
                <w:szCs w:val="20"/>
              </w:rPr>
              <w:t>$44.15</w:t>
            </w:r>
          </w:p>
        </w:tc>
        <w:tc>
          <w:tcPr>
            <w:tcW w:w="1706" w:type="dxa"/>
            <w:tcBorders>
              <w:top w:val="single" w:sz="12" w:space="0" w:color="auto"/>
            </w:tcBorders>
          </w:tcPr>
          <w:p w14:paraId="5040C067" w14:textId="66DE8C43" w:rsidR="00350479" w:rsidRPr="001674DD" w:rsidRDefault="00B93B6F" w:rsidP="00B93B6F">
            <w:pPr>
              <w:ind w:left="0"/>
              <w:jc w:val="center"/>
              <w:rPr>
                <w:sz w:val="20"/>
                <w:szCs w:val="20"/>
              </w:rPr>
            </w:pPr>
            <w:r w:rsidRPr="009E329A">
              <w:rPr>
                <w:sz w:val="20"/>
                <w:szCs w:val="20"/>
              </w:rPr>
              <w:t>$</w:t>
            </w:r>
            <w:r>
              <w:rPr>
                <w:sz w:val="20"/>
                <w:szCs w:val="20"/>
              </w:rPr>
              <w:t>1501.10</w:t>
            </w:r>
          </w:p>
        </w:tc>
      </w:tr>
      <w:tr w:rsidR="00350479" w:rsidRPr="0044577D" w14:paraId="29039FE6" w14:textId="77777777" w:rsidTr="00E1635A">
        <w:tc>
          <w:tcPr>
            <w:tcW w:w="4195" w:type="dxa"/>
            <w:tcBorders>
              <w:top w:val="single" w:sz="12" w:space="0" w:color="auto"/>
            </w:tcBorders>
          </w:tcPr>
          <w:p w14:paraId="771195E8" w14:textId="02B7E1AD" w:rsidR="00350479" w:rsidRDefault="007E1CF7" w:rsidP="007E1CF7">
            <w:pPr>
              <w:ind w:left="0"/>
              <w:jc w:val="both"/>
              <w:rPr>
                <w:sz w:val="20"/>
                <w:szCs w:val="20"/>
              </w:rPr>
            </w:pPr>
            <w:r>
              <w:rPr>
                <w:sz w:val="20"/>
                <w:szCs w:val="20"/>
              </w:rPr>
              <w:t>Executive Officer</w:t>
            </w:r>
            <w:r w:rsidR="00350479">
              <w:rPr>
                <w:sz w:val="20"/>
                <w:szCs w:val="20"/>
              </w:rPr>
              <w:t xml:space="preserve"> (GS-13)</w:t>
            </w:r>
          </w:p>
        </w:tc>
        <w:tc>
          <w:tcPr>
            <w:tcW w:w="1969" w:type="dxa"/>
            <w:tcBorders>
              <w:top w:val="single" w:sz="12" w:space="0" w:color="auto"/>
            </w:tcBorders>
          </w:tcPr>
          <w:p w14:paraId="78B0CD81" w14:textId="63595C93" w:rsidR="00350479" w:rsidRPr="001674DD" w:rsidRDefault="007E1CF7" w:rsidP="007E1CF7">
            <w:pPr>
              <w:ind w:left="0"/>
              <w:jc w:val="center"/>
              <w:rPr>
                <w:sz w:val="20"/>
                <w:szCs w:val="20"/>
              </w:rPr>
            </w:pPr>
            <w:r>
              <w:rPr>
                <w:sz w:val="20"/>
                <w:szCs w:val="20"/>
              </w:rPr>
              <w:t>6</w:t>
            </w:r>
          </w:p>
        </w:tc>
        <w:tc>
          <w:tcPr>
            <w:tcW w:w="1706" w:type="dxa"/>
            <w:gridSpan w:val="3"/>
            <w:tcBorders>
              <w:top w:val="single" w:sz="12" w:space="0" w:color="auto"/>
            </w:tcBorders>
          </w:tcPr>
          <w:p w14:paraId="31C8C12E" w14:textId="69CEE90A" w:rsidR="00350479" w:rsidRPr="001674DD" w:rsidRDefault="00350479" w:rsidP="00350479">
            <w:pPr>
              <w:ind w:left="0"/>
              <w:jc w:val="center"/>
              <w:rPr>
                <w:sz w:val="20"/>
                <w:szCs w:val="20"/>
              </w:rPr>
            </w:pPr>
            <w:r w:rsidRPr="009E329A">
              <w:rPr>
                <w:sz w:val="20"/>
                <w:szCs w:val="20"/>
              </w:rPr>
              <w:t>$44.15</w:t>
            </w:r>
          </w:p>
        </w:tc>
        <w:tc>
          <w:tcPr>
            <w:tcW w:w="1706" w:type="dxa"/>
            <w:tcBorders>
              <w:top w:val="single" w:sz="12" w:space="0" w:color="auto"/>
            </w:tcBorders>
          </w:tcPr>
          <w:p w14:paraId="7DA7CA2A" w14:textId="76414C1E" w:rsidR="00350479" w:rsidRPr="001674DD" w:rsidRDefault="00B93B6F" w:rsidP="00350479">
            <w:pPr>
              <w:ind w:left="0"/>
              <w:jc w:val="center"/>
              <w:rPr>
                <w:sz w:val="20"/>
                <w:szCs w:val="20"/>
              </w:rPr>
            </w:pPr>
            <w:r w:rsidRPr="009E329A">
              <w:rPr>
                <w:sz w:val="20"/>
                <w:szCs w:val="20"/>
              </w:rPr>
              <w:t>$</w:t>
            </w:r>
            <w:r>
              <w:rPr>
                <w:sz w:val="20"/>
                <w:szCs w:val="20"/>
              </w:rPr>
              <w:t>264.90</w:t>
            </w:r>
          </w:p>
        </w:tc>
      </w:tr>
      <w:tr w:rsidR="00350479" w:rsidRPr="0044577D" w14:paraId="2D9DDE20" w14:textId="77777777" w:rsidTr="00E1635A">
        <w:tc>
          <w:tcPr>
            <w:tcW w:w="4195" w:type="dxa"/>
            <w:tcBorders>
              <w:top w:val="single" w:sz="12" w:space="0" w:color="auto"/>
            </w:tcBorders>
          </w:tcPr>
          <w:p w14:paraId="424EAAEA" w14:textId="42120E23" w:rsidR="00350479" w:rsidRDefault="00350479" w:rsidP="007E1CF7">
            <w:pPr>
              <w:ind w:left="0"/>
              <w:jc w:val="both"/>
              <w:rPr>
                <w:sz w:val="20"/>
                <w:szCs w:val="20"/>
              </w:rPr>
            </w:pPr>
            <w:r>
              <w:rPr>
                <w:sz w:val="20"/>
                <w:szCs w:val="20"/>
              </w:rPr>
              <w:t xml:space="preserve">Program </w:t>
            </w:r>
            <w:r w:rsidR="007E1CF7">
              <w:rPr>
                <w:sz w:val="20"/>
                <w:szCs w:val="20"/>
              </w:rPr>
              <w:t>Analyst</w:t>
            </w:r>
            <w:r>
              <w:rPr>
                <w:sz w:val="20"/>
                <w:szCs w:val="20"/>
              </w:rPr>
              <w:t xml:space="preserve"> (GS-13)</w:t>
            </w:r>
          </w:p>
        </w:tc>
        <w:tc>
          <w:tcPr>
            <w:tcW w:w="1969" w:type="dxa"/>
            <w:tcBorders>
              <w:top w:val="single" w:sz="12" w:space="0" w:color="auto"/>
            </w:tcBorders>
          </w:tcPr>
          <w:p w14:paraId="5EFF9EE9" w14:textId="49B53CA4" w:rsidR="00350479" w:rsidRPr="001674DD" w:rsidRDefault="007E1CF7" w:rsidP="007E1CF7">
            <w:pPr>
              <w:ind w:left="0"/>
              <w:jc w:val="center"/>
              <w:rPr>
                <w:sz w:val="20"/>
                <w:szCs w:val="20"/>
              </w:rPr>
            </w:pPr>
            <w:r>
              <w:rPr>
                <w:sz w:val="20"/>
                <w:szCs w:val="20"/>
              </w:rPr>
              <w:t>4</w:t>
            </w:r>
          </w:p>
        </w:tc>
        <w:tc>
          <w:tcPr>
            <w:tcW w:w="1706" w:type="dxa"/>
            <w:gridSpan w:val="3"/>
            <w:tcBorders>
              <w:top w:val="single" w:sz="12" w:space="0" w:color="auto"/>
            </w:tcBorders>
          </w:tcPr>
          <w:p w14:paraId="0F802A90" w14:textId="41CF0870" w:rsidR="00350479" w:rsidRPr="001674DD" w:rsidRDefault="00350479" w:rsidP="00350479">
            <w:pPr>
              <w:ind w:left="0"/>
              <w:jc w:val="center"/>
              <w:rPr>
                <w:sz w:val="20"/>
                <w:szCs w:val="20"/>
              </w:rPr>
            </w:pPr>
            <w:r w:rsidRPr="009E329A">
              <w:rPr>
                <w:sz w:val="20"/>
                <w:szCs w:val="20"/>
              </w:rPr>
              <w:t>$44.15</w:t>
            </w:r>
          </w:p>
        </w:tc>
        <w:tc>
          <w:tcPr>
            <w:tcW w:w="1706" w:type="dxa"/>
            <w:tcBorders>
              <w:top w:val="single" w:sz="12" w:space="0" w:color="auto"/>
            </w:tcBorders>
          </w:tcPr>
          <w:p w14:paraId="42ED8897" w14:textId="48E436F2" w:rsidR="00350479" w:rsidRPr="001674DD" w:rsidRDefault="00B93B6F" w:rsidP="00B93B6F">
            <w:pPr>
              <w:ind w:left="0"/>
              <w:jc w:val="center"/>
              <w:rPr>
                <w:sz w:val="20"/>
                <w:szCs w:val="20"/>
              </w:rPr>
            </w:pPr>
            <w:r w:rsidRPr="009E329A">
              <w:rPr>
                <w:sz w:val="20"/>
                <w:szCs w:val="20"/>
              </w:rPr>
              <w:t>$</w:t>
            </w:r>
            <w:r>
              <w:rPr>
                <w:sz w:val="20"/>
                <w:szCs w:val="20"/>
              </w:rPr>
              <w:t>176.60</w:t>
            </w:r>
          </w:p>
        </w:tc>
      </w:tr>
      <w:tr w:rsidR="00350479" w:rsidRPr="0044577D" w14:paraId="19D7AB55" w14:textId="77777777" w:rsidTr="00E1635A">
        <w:tc>
          <w:tcPr>
            <w:tcW w:w="4195" w:type="dxa"/>
            <w:tcBorders>
              <w:top w:val="single" w:sz="12" w:space="0" w:color="auto"/>
            </w:tcBorders>
          </w:tcPr>
          <w:p w14:paraId="119F9AA7" w14:textId="462AFA7E" w:rsidR="00350479" w:rsidRDefault="00A11B4C" w:rsidP="00A11B4C">
            <w:pPr>
              <w:ind w:left="0"/>
              <w:jc w:val="both"/>
              <w:rPr>
                <w:sz w:val="20"/>
                <w:szCs w:val="20"/>
              </w:rPr>
            </w:pPr>
            <w:r>
              <w:rPr>
                <w:sz w:val="20"/>
                <w:szCs w:val="20"/>
              </w:rPr>
              <w:t>Director</w:t>
            </w:r>
            <w:r w:rsidR="00350479">
              <w:rPr>
                <w:sz w:val="20"/>
                <w:szCs w:val="20"/>
              </w:rPr>
              <w:t xml:space="preserve"> (GS-1</w:t>
            </w:r>
            <w:r>
              <w:rPr>
                <w:sz w:val="20"/>
                <w:szCs w:val="20"/>
              </w:rPr>
              <w:t>4</w:t>
            </w:r>
            <w:r w:rsidR="00350479">
              <w:rPr>
                <w:sz w:val="20"/>
                <w:szCs w:val="20"/>
              </w:rPr>
              <w:t>)</w:t>
            </w:r>
          </w:p>
        </w:tc>
        <w:tc>
          <w:tcPr>
            <w:tcW w:w="1969" w:type="dxa"/>
            <w:tcBorders>
              <w:top w:val="single" w:sz="12" w:space="0" w:color="auto"/>
            </w:tcBorders>
          </w:tcPr>
          <w:p w14:paraId="32FCC1F3" w14:textId="79D89BFF" w:rsidR="00350479" w:rsidRPr="001674DD" w:rsidRDefault="007E1CF7" w:rsidP="007E1CF7">
            <w:pPr>
              <w:ind w:left="0"/>
              <w:jc w:val="center"/>
              <w:rPr>
                <w:sz w:val="20"/>
                <w:szCs w:val="20"/>
              </w:rPr>
            </w:pPr>
            <w:r>
              <w:rPr>
                <w:sz w:val="20"/>
                <w:szCs w:val="20"/>
              </w:rPr>
              <w:t>4</w:t>
            </w:r>
          </w:p>
        </w:tc>
        <w:tc>
          <w:tcPr>
            <w:tcW w:w="1706" w:type="dxa"/>
            <w:gridSpan w:val="3"/>
            <w:tcBorders>
              <w:top w:val="single" w:sz="12" w:space="0" w:color="auto"/>
            </w:tcBorders>
          </w:tcPr>
          <w:p w14:paraId="25A9537B" w14:textId="05E578E1" w:rsidR="00350479" w:rsidRPr="001674DD" w:rsidRDefault="00350479" w:rsidP="007E1CF7">
            <w:pPr>
              <w:ind w:left="0"/>
              <w:jc w:val="center"/>
              <w:rPr>
                <w:sz w:val="20"/>
                <w:szCs w:val="20"/>
              </w:rPr>
            </w:pPr>
            <w:r w:rsidRPr="009E329A">
              <w:rPr>
                <w:sz w:val="20"/>
                <w:szCs w:val="20"/>
              </w:rPr>
              <w:t>$</w:t>
            </w:r>
            <w:r w:rsidR="007E1CF7">
              <w:rPr>
                <w:sz w:val="20"/>
                <w:szCs w:val="20"/>
              </w:rPr>
              <w:t>52.17</w:t>
            </w:r>
          </w:p>
        </w:tc>
        <w:tc>
          <w:tcPr>
            <w:tcW w:w="1706" w:type="dxa"/>
            <w:tcBorders>
              <w:top w:val="single" w:sz="12" w:space="0" w:color="auto"/>
            </w:tcBorders>
          </w:tcPr>
          <w:p w14:paraId="6BF4651B" w14:textId="4F5B114D" w:rsidR="00350479" w:rsidRPr="001674DD" w:rsidRDefault="00B93B6F" w:rsidP="00350479">
            <w:pPr>
              <w:ind w:left="0"/>
              <w:jc w:val="center"/>
              <w:rPr>
                <w:sz w:val="20"/>
                <w:szCs w:val="20"/>
              </w:rPr>
            </w:pPr>
            <w:r w:rsidRPr="009E329A">
              <w:rPr>
                <w:sz w:val="20"/>
                <w:szCs w:val="20"/>
              </w:rPr>
              <w:t>$</w:t>
            </w:r>
            <w:r>
              <w:rPr>
                <w:sz w:val="20"/>
                <w:szCs w:val="20"/>
              </w:rPr>
              <w:t>208.68</w:t>
            </w:r>
          </w:p>
        </w:tc>
      </w:tr>
      <w:tr w:rsidR="00350479" w:rsidRPr="0044577D" w14:paraId="4D6F0905" w14:textId="77777777" w:rsidTr="00E1635A">
        <w:tc>
          <w:tcPr>
            <w:tcW w:w="4195" w:type="dxa"/>
            <w:tcBorders>
              <w:top w:val="single" w:sz="12" w:space="0" w:color="auto"/>
            </w:tcBorders>
          </w:tcPr>
          <w:p w14:paraId="3FBBC687" w14:textId="4A687180" w:rsidR="00350479" w:rsidRDefault="00A11B4C" w:rsidP="00B93B6F">
            <w:pPr>
              <w:ind w:left="0"/>
              <w:jc w:val="both"/>
              <w:rPr>
                <w:sz w:val="20"/>
                <w:szCs w:val="20"/>
              </w:rPr>
            </w:pPr>
            <w:r>
              <w:rPr>
                <w:sz w:val="20"/>
                <w:szCs w:val="20"/>
              </w:rPr>
              <w:t xml:space="preserve">Director </w:t>
            </w:r>
            <w:r w:rsidR="00350479">
              <w:rPr>
                <w:sz w:val="20"/>
                <w:szCs w:val="20"/>
              </w:rPr>
              <w:t>(GS-1</w:t>
            </w:r>
            <w:r w:rsidR="00E357D6">
              <w:rPr>
                <w:sz w:val="20"/>
                <w:szCs w:val="20"/>
              </w:rPr>
              <w:t>5</w:t>
            </w:r>
            <w:r w:rsidR="00350479">
              <w:rPr>
                <w:sz w:val="20"/>
                <w:szCs w:val="20"/>
              </w:rPr>
              <w:t>)</w:t>
            </w:r>
          </w:p>
        </w:tc>
        <w:tc>
          <w:tcPr>
            <w:tcW w:w="1969" w:type="dxa"/>
            <w:tcBorders>
              <w:top w:val="single" w:sz="12" w:space="0" w:color="auto"/>
            </w:tcBorders>
          </w:tcPr>
          <w:p w14:paraId="21BC086E" w14:textId="23D729DF" w:rsidR="00350479" w:rsidRPr="001674DD" w:rsidRDefault="007E1CF7" w:rsidP="007E1CF7">
            <w:pPr>
              <w:ind w:left="0"/>
              <w:jc w:val="center"/>
              <w:rPr>
                <w:sz w:val="20"/>
                <w:szCs w:val="20"/>
              </w:rPr>
            </w:pPr>
            <w:r>
              <w:rPr>
                <w:sz w:val="20"/>
                <w:szCs w:val="20"/>
              </w:rPr>
              <w:t>2</w:t>
            </w:r>
          </w:p>
        </w:tc>
        <w:tc>
          <w:tcPr>
            <w:tcW w:w="1706" w:type="dxa"/>
            <w:gridSpan w:val="3"/>
            <w:tcBorders>
              <w:top w:val="single" w:sz="12" w:space="0" w:color="auto"/>
            </w:tcBorders>
          </w:tcPr>
          <w:p w14:paraId="459C2034" w14:textId="6ABBDF39" w:rsidR="00350479" w:rsidRPr="001674DD" w:rsidRDefault="007E1CF7" w:rsidP="00350479">
            <w:pPr>
              <w:ind w:left="0"/>
              <w:jc w:val="center"/>
              <w:rPr>
                <w:sz w:val="20"/>
                <w:szCs w:val="20"/>
              </w:rPr>
            </w:pPr>
            <w:r>
              <w:rPr>
                <w:sz w:val="20"/>
                <w:szCs w:val="20"/>
              </w:rPr>
              <w:t>61.37</w:t>
            </w:r>
          </w:p>
        </w:tc>
        <w:tc>
          <w:tcPr>
            <w:tcW w:w="1706" w:type="dxa"/>
            <w:tcBorders>
              <w:top w:val="single" w:sz="12" w:space="0" w:color="auto"/>
            </w:tcBorders>
          </w:tcPr>
          <w:p w14:paraId="118C463B" w14:textId="446F75DB" w:rsidR="00350479" w:rsidRPr="001674DD" w:rsidRDefault="00B93B6F" w:rsidP="00B93B6F">
            <w:pPr>
              <w:ind w:left="0"/>
              <w:jc w:val="center"/>
              <w:rPr>
                <w:sz w:val="20"/>
                <w:szCs w:val="20"/>
              </w:rPr>
            </w:pPr>
            <w:r w:rsidRPr="009E329A">
              <w:rPr>
                <w:sz w:val="20"/>
                <w:szCs w:val="20"/>
              </w:rPr>
              <w:t>$</w:t>
            </w:r>
            <w:r>
              <w:rPr>
                <w:sz w:val="20"/>
                <w:szCs w:val="20"/>
              </w:rPr>
              <w:t>122.74</w:t>
            </w:r>
          </w:p>
        </w:tc>
      </w:tr>
      <w:tr w:rsidR="00350479" w:rsidRPr="0044577D" w14:paraId="0F72D3F9" w14:textId="77777777" w:rsidTr="00E1635A">
        <w:tc>
          <w:tcPr>
            <w:tcW w:w="4195" w:type="dxa"/>
            <w:tcBorders>
              <w:top w:val="single" w:sz="12" w:space="0" w:color="auto"/>
            </w:tcBorders>
          </w:tcPr>
          <w:p w14:paraId="31269178" w14:textId="0BBC2E01" w:rsidR="00350479" w:rsidRPr="00C36125" w:rsidRDefault="00C36125" w:rsidP="00350479">
            <w:pPr>
              <w:ind w:left="0"/>
              <w:jc w:val="both"/>
              <w:rPr>
                <w:b/>
                <w:sz w:val="20"/>
                <w:szCs w:val="20"/>
              </w:rPr>
            </w:pPr>
            <w:r w:rsidRPr="00C36125">
              <w:rPr>
                <w:b/>
                <w:sz w:val="20"/>
                <w:szCs w:val="20"/>
              </w:rPr>
              <w:t>Total</w:t>
            </w:r>
          </w:p>
        </w:tc>
        <w:tc>
          <w:tcPr>
            <w:tcW w:w="1969" w:type="dxa"/>
            <w:tcBorders>
              <w:top w:val="single" w:sz="12" w:space="0" w:color="auto"/>
            </w:tcBorders>
          </w:tcPr>
          <w:p w14:paraId="2FA77240" w14:textId="4D3D995B" w:rsidR="00350479" w:rsidRPr="00C36125" w:rsidRDefault="00C36125" w:rsidP="00765595">
            <w:pPr>
              <w:ind w:left="0"/>
              <w:jc w:val="center"/>
              <w:rPr>
                <w:b/>
                <w:sz w:val="20"/>
                <w:szCs w:val="20"/>
              </w:rPr>
            </w:pPr>
            <w:r w:rsidRPr="00C36125">
              <w:rPr>
                <w:b/>
                <w:sz w:val="20"/>
                <w:szCs w:val="20"/>
              </w:rPr>
              <w:t>50</w:t>
            </w:r>
          </w:p>
        </w:tc>
        <w:tc>
          <w:tcPr>
            <w:tcW w:w="1706" w:type="dxa"/>
            <w:gridSpan w:val="3"/>
            <w:tcBorders>
              <w:top w:val="single" w:sz="12" w:space="0" w:color="auto"/>
            </w:tcBorders>
          </w:tcPr>
          <w:p w14:paraId="45D6C9EE" w14:textId="77777777" w:rsidR="00350479" w:rsidRPr="001674DD" w:rsidRDefault="00350479" w:rsidP="00765595">
            <w:pPr>
              <w:ind w:left="0"/>
              <w:jc w:val="center"/>
              <w:rPr>
                <w:sz w:val="20"/>
                <w:szCs w:val="20"/>
              </w:rPr>
            </w:pPr>
          </w:p>
        </w:tc>
        <w:tc>
          <w:tcPr>
            <w:tcW w:w="1706" w:type="dxa"/>
            <w:tcBorders>
              <w:top w:val="single" w:sz="12" w:space="0" w:color="auto"/>
            </w:tcBorders>
          </w:tcPr>
          <w:p w14:paraId="5C0D90A4" w14:textId="77777777" w:rsidR="00350479" w:rsidRPr="001674DD" w:rsidRDefault="00350479" w:rsidP="0044577D">
            <w:pPr>
              <w:ind w:left="0"/>
              <w:jc w:val="center"/>
              <w:rPr>
                <w:sz w:val="20"/>
                <w:szCs w:val="20"/>
              </w:rPr>
            </w:pPr>
          </w:p>
        </w:tc>
      </w:tr>
      <w:tr w:rsidR="005D6F14" w:rsidRPr="0044577D" w14:paraId="0FF5F86F" w14:textId="77777777" w:rsidTr="00E1635A">
        <w:trPr>
          <w:trHeight w:val="332"/>
        </w:trPr>
        <w:tc>
          <w:tcPr>
            <w:tcW w:w="6805" w:type="dxa"/>
            <w:gridSpan w:val="3"/>
            <w:tcBorders>
              <w:right w:val="nil"/>
            </w:tcBorders>
            <w:vAlign w:val="center"/>
          </w:tcPr>
          <w:p w14:paraId="0EC59306" w14:textId="77777777" w:rsidR="005D6F14" w:rsidRPr="001674DD" w:rsidRDefault="005D6F14" w:rsidP="005D6F14">
            <w:pPr>
              <w:ind w:left="0"/>
              <w:jc w:val="right"/>
              <w:rPr>
                <w:b/>
                <w:sz w:val="20"/>
                <w:szCs w:val="20"/>
              </w:rPr>
            </w:pPr>
            <w:r w:rsidRPr="001674DD">
              <w:rPr>
                <w:b/>
                <w:sz w:val="20"/>
                <w:szCs w:val="20"/>
              </w:rPr>
              <w:t>Estimated Total Cost of Information Collection</w:t>
            </w:r>
          </w:p>
        </w:tc>
        <w:tc>
          <w:tcPr>
            <w:tcW w:w="236" w:type="dxa"/>
            <w:tcBorders>
              <w:left w:val="nil"/>
              <w:right w:val="nil"/>
            </w:tcBorders>
            <w:vAlign w:val="center"/>
          </w:tcPr>
          <w:p w14:paraId="4CA60A19" w14:textId="77777777" w:rsidR="005D6F14" w:rsidRPr="001674DD" w:rsidRDefault="005D6F14" w:rsidP="00CA5840">
            <w:pPr>
              <w:ind w:left="0"/>
              <w:rPr>
                <w:b/>
                <w:sz w:val="20"/>
                <w:szCs w:val="20"/>
              </w:rPr>
            </w:pPr>
          </w:p>
        </w:tc>
        <w:tc>
          <w:tcPr>
            <w:tcW w:w="829" w:type="dxa"/>
            <w:tcBorders>
              <w:left w:val="nil"/>
            </w:tcBorders>
            <w:vAlign w:val="center"/>
          </w:tcPr>
          <w:p w14:paraId="18DE2E69" w14:textId="77777777" w:rsidR="005D6F14" w:rsidRPr="009F54C2" w:rsidRDefault="005D6F14" w:rsidP="00CA5840">
            <w:pPr>
              <w:ind w:left="0"/>
              <w:rPr>
                <w:b/>
                <w:sz w:val="20"/>
                <w:szCs w:val="20"/>
              </w:rPr>
            </w:pPr>
          </w:p>
        </w:tc>
        <w:tc>
          <w:tcPr>
            <w:tcW w:w="1706" w:type="dxa"/>
            <w:vAlign w:val="center"/>
          </w:tcPr>
          <w:p w14:paraId="1EA73702" w14:textId="14BC36EA" w:rsidR="005D6F14" w:rsidRPr="001674DD" w:rsidRDefault="00B93B6F" w:rsidP="007E1CF7">
            <w:pPr>
              <w:ind w:left="0"/>
              <w:jc w:val="center"/>
              <w:rPr>
                <w:b/>
                <w:sz w:val="20"/>
                <w:szCs w:val="20"/>
              </w:rPr>
            </w:pPr>
            <w:r w:rsidRPr="009E329A">
              <w:rPr>
                <w:sz w:val="20"/>
                <w:szCs w:val="20"/>
              </w:rPr>
              <w:t>$</w:t>
            </w:r>
            <w:r>
              <w:rPr>
                <w:sz w:val="20"/>
                <w:szCs w:val="20"/>
              </w:rPr>
              <w:t>2274.02</w:t>
            </w:r>
          </w:p>
        </w:tc>
      </w:tr>
    </w:tbl>
    <w:p w14:paraId="6A487058" w14:textId="77777777" w:rsidR="005D6F14" w:rsidRDefault="005D6F14" w:rsidP="00441CC3">
      <w:pPr>
        <w:ind w:left="0"/>
      </w:pPr>
    </w:p>
    <w:p w14:paraId="780ADEBF" w14:textId="77777777" w:rsidR="00B12F51" w:rsidRPr="006B6479" w:rsidRDefault="00D75750" w:rsidP="00692DEB">
      <w:pPr>
        <w:pStyle w:val="Heading4"/>
      </w:pPr>
      <w:bookmarkStart w:id="20" w:name="_Toc427752828"/>
      <w:r w:rsidRPr="006B6479">
        <w:t>Explanation for Program Changes or Adjustments</w:t>
      </w:r>
      <w:bookmarkEnd w:id="20"/>
    </w:p>
    <w:p w14:paraId="54102C1D" w14:textId="77777777" w:rsidR="00F52BCC" w:rsidRDefault="003C7C5D" w:rsidP="00692DEB">
      <w:pPr>
        <w:ind w:left="0"/>
      </w:pPr>
      <w:r w:rsidRPr="006B6479">
        <w:t xml:space="preserve">This is a new </w:t>
      </w:r>
      <w:r w:rsidR="00157413" w:rsidRPr="006B6479">
        <w:t>information collection</w:t>
      </w:r>
      <w:r w:rsidRPr="006B6479">
        <w:t>.</w:t>
      </w:r>
    </w:p>
    <w:p w14:paraId="0B792F94" w14:textId="77777777" w:rsidR="00F52BCC" w:rsidRDefault="00F52BCC" w:rsidP="005D6F14"/>
    <w:p w14:paraId="4322E87A" w14:textId="77777777" w:rsidR="00B12F51" w:rsidRPr="00EF33CD" w:rsidRDefault="00616090" w:rsidP="00692DEB">
      <w:pPr>
        <w:pStyle w:val="Heading4"/>
      </w:pPr>
      <w:bookmarkStart w:id="21" w:name="_Toc427752829"/>
      <w:r>
        <w:t>Plan</w:t>
      </w:r>
      <w:r w:rsidR="00D75750">
        <w:t>s</w:t>
      </w:r>
      <w:r w:rsidR="00D75750" w:rsidRPr="00D75750">
        <w:t xml:space="preserve"> for Tabulation and Publication and Project Time Schedule</w:t>
      </w:r>
      <w:bookmarkEnd w:id="21"/>
    </w:p>
    <w:p w14:paraId="24EB153C" w14:textId="7EE5C1D7" w:rsidR="0073793E" w:rsidRPr="0073793E" w:rsidRDefault="006B6479" w:rsidP="000058E0">
      <w:pPr>
        <w:ind w:left="0"/>
        <w:rPr>
          <w:rFonts w:cs="Arial"/>
        </w:rPr>
      </w:pPr>
      <w:r w:rsidRPr="0073793E">
        <w:rPr>
          <w:rFonts w:cs="Arial"/>
        </w:rPr>
        <w:t xml:space="preserve">The information collection instrument will be posted on the ASPR Temporary Reassignment web site at </w:t>
      </w:r>
      <w:hyperlink r:id="rId11" w:history="1">
        <w:r w:rsidRPr="0073793E">
          <w:rPr>
            <w:rStyle w:val="Hyperlink"/>
            <w:rFonts w:cs="Arial"/>
          </w:rPr>
          <w:t>http://www.phe.gov/temporaryreassignment</w:t>
        </w:r>
      </w:hyperlink>
      <w:r w:rsidRPr="0073793E">
        <w:rPr>
          <w:rFonts w:cs="Arial"/>
        </w:rPr>
        <w:t>.  Information on the use of the temporary reassignment authority will also be published in funding opportunity announcements for programs funded under the PHS Act.</w:t>
      </w:r>
      <w:r w:rsidR="0073793E" w:rsidRPr="0073793E">
        <w:rPr>
          <w:rFonts w:cs="Arial"/>
        </w:rPr>
        <w:t xml:space="preserve">  </w:t>
      </w:r>
      <w:r w:rsidR="005E52DF">
        <w:rPr>
          <w:rFonts w:cs="Arial"/>
        </w:rPr>
        <w:t>I</w:t>
      </w:r>
      <w:r w:rsidR="0073793E" w:rsidRPr="0073793E">
        <w:rPr>
          <w:rFonts w:cs="Arial"/>
        </w:rPr>
        <w:t>nformation collection instruments will be archived in an appropriate information technology system managed by ASPR.</w:t>
      </w:r>
      <w:r w:rsidR="008E514F">
        <w:rPr>
          <w:rFonts w:cs="Arial"/>
        </w:rPr>
        <w:t xml:space="preserve">  Data will not be formally analyzed; rather, it will be used to inform HHS OpDiv and StaffDiv decisions to approve or deny state or tribe’s requests to use the temporary reassignment authority.</w:t>
      </w:r>
    </w:p>
    <w:p w14:paraId="22DB6695" w14:textId="77777777" w:rsidR="006B6479" w:rsidRDefault="006B6479" w:rsidP="000058E0">
      <w:pPr>
        <w:ind w:left="0"/>
        <w:rPr>
          <w:rFonts w:cs="Arial"/>
          <w:b/>
        </w:rPr>
      </w:pPr>
    </w:p>
    <w:p w14:paraId="25F940FB" w14:textId="1F4102A6" w:rsidR="008C59E7" w:rsidRPr="006B6479" w:rsidRDefault="008C59E7" w:rsidP="008C59E7">
      <w:pPr>
        <w:ind w:left="0"/>
        <w:rPr>
          <w:rFonts w:cs="Arial"/>
          <w:color w:val="0070C0"/>
        </w:rPr>
      </w:pPr>
      <w:r w:rsidRPr="006B6479">
        <w:rPr>
          <w:rFonts w:cs="Arial"/>
          <w:u w:val="single"/>
        </w:rPr>
        <w:t>Project Time Schedule</w:t>
      </w:r>
      <w:r w:rsidR="00BB090C" w:rsidRPr="006B6479">
        <w:rPr>
          <w:rFonts w:cs="Arial"/>
        </w:rPr>
        <w:t xml:space="preserve">  </w:t>
      </w:r>
    </w:p>
    <w:p w14:paraId="663E9261" w14:textId="3C6A214A" w:rsidR="008C59E7" w:rsidRPr="006B6479" w:rsidRDefault="008C59E7" w:rsidP="008C59E7">
      <w:pPr>
        <w:pStyle w:val="ListParagraph"/>
        <w:numPr>
          <w:ilvl w:val="0"/>
          <w:numId w:val="17"/>
        </w:numPr>
        <w:tabs>
          <w:tab w:val="right" w:leader="dot" w:pos="9360"/>
        </w:tabs>
      </w:pPr>
      <w:r w:rsidRPr="006B6479">
        <w:rPr>
          <w:rFonts w:eastAsiaTheme="majorEastAsia" w:cstheme="majorBidi"/>
        </w:rPr>
        <w:t>Design</w:t>
      </w:r>
      <w:r w:rsidR="006319B0" w:rsidRPr="006B6479">
        <w:rPr>
          <w:rFonts w:eastAsiaTheme="majorEastAsia" w:cstheme="majorBidi"/>
        </w:rPr>
        <w:t xml:space="preserve"> information collection instrument</w:t>
      </w:r>
      <w:r w:rsidRPr="006B6479">
        <w:tab/>
      </w:r>
      <w:r w:rsidR="00F4603E">
        <w:t>Complete</w:t>
      </w:r>
    </w:p>
    <w:p w14:paraId="09829218" w14:textId="6AFD4EED" w:rsidR="008C59E7" w:rsidRPr="006B6479" w:rsidRDefault="0074168E" w:rsidP="008C59E7">
      <w:pPr>
        <w:pStyle w:val="ListParagraph"/>
        <w:numPr>
          <w:ilvl w:val="0"/>
          <w:numId w:val="18"/>
        </w:numPr>
        <w:tabs>
          <w:tab w:val="right" w:leader="dot" w:pos="9360"/>
        </w:tabs>
      </w:pPr>
      <w:r>
        <w:rPr>
          <w:rFonts w:eastAsiaTheme="majorEastAsia" w:cstheme="majorBidi"/>
        </w:rPr>
        <w:t xml:space="preserve">Finalize instrument </w:t>
      </w:r>
      <w:r w:rsidR="008C59E7" w:rsidRPr="006B6479">
        <w:rPr>
          <w:rFonts w:eastAsiaTheme="majorEastAsia" w:cstheme="majorBidi"/>
        </w:rPr>
        <w:t>and</w:t>
      </w:r>
      <w:r>
        <w:rPr>
          <w:rFonts w:eastAsiaTheme="majorEastAsia" w:cstheme="majorBidi"/>
        </w:rPr>
        <w:t xml:space="preserve"> develop</w:t>
      </w:r>
      <w:r w:rsidR="008C59E7" w:rsidRPr="006B6479">
        <w:rPr>
          <w:rFonts w:eastAsiaTheme="majorEastAsia" w:cstheme="majorBidi"/>
        </w:rPr>
        <w:t xml:space="preserve"> </w:t>
      </w:r>
      <w:r>
        <w:rPr>
          <w:rFonts w:eastAsiaTheme="majorEastAsia" w:cstheme="majorBidi"/>
        </w:rPr>
        <w:t>standard operating procedure</w:t>
      </w:r>
      <w:r w:rsidR="008C59E7" w:rsidRPr="006B6479">
        <w:tab/>
      </w:r>
      <w:r w:rsidR="00F4603E">
        <w:t>Complete</w:t>
      </w:r>
    </w:p>
    <w:p w14:paraId="29904B91" w14:textId="62672922" w:rsidR="008C59E7" w:rsidRPr="006B6479" w:rsidRDefault="008C59E7" w:rsidP="008C59E7">
      <w:pPr>
        <w:pStyle w:val="ListParagraph"/>
        <w:numPr>
          <w:ilvl w:val="0"/>
          <w:numId w:val="21"/>
        </w:numPr>
        <w:tabs>
          <w:tab w:val="right" w:leader="dot" w:pos="9360"/>
        </w:tabs>
        <w:ind w:left="720"/>
      </w:pPr>
      <w:r w:rsidRPr="006B6479">
        <w:rPr>
          <w:rFonts w:eastAsiaTheme="majorEastAsia" w:cstheme="majorBidi"/>
        </w:rPr>
        <w:t xml:space="preserve">Prepare OMB package </w:t>
      </w:r>
      <w:r w:rsidRPr="006B6479">
        <w:tab/>
      </w:r>
      <w:r w:rsidR="00F4603E">
        <w:t>Complete</w:t>
      </w:r>
    </w:p>
    <w:p w14:paraId="1FAFC13C" w14:textId="2335A603" w:rsidR="008C59E7" w:rsidRPr="006B6479" w:rsidRDefault="008C59E7" w:rsidP="008C59E7">
      <w:pPr>
        <w:pStyle w:val="ListParagraph"/>
        <w:numPr>
          <w:ilvl w:val="0"/>
          <w:numId w:val="21"/>
        </w:numPr>
        <w:tabs>
          <w:tab w:val="right" w:leader="dot" w:pos="9360"/>
        </w:tabs>
        <w:ind w:left="720"/>
      </w:pPr>
      <w:r w:rsidRPr="006B6479">
        <w:rPr>
          <w:rFonts w:eastAsiaTheme="majorEastAsia" w:cstheme="majorBidi"/>
        </w:rPr>
        <w:t xml:space="preserve">Submit OMB package </w:t>
      </w:r>
      <w:r w:rsidRPr="006B6479">
        <w:tab/>
      </w:r>
      <w:r w:rsidR="00F4603E">
        <w:t>Complete</w:t>
      </w:r>
      <w:r w:rsidR="00033EF4" w:rsidRPr="006B6479">
        <w:t xml:space="preserve"> </w:t>
      </w:r>
    </w:p>
    <w:p w14:paraId="3494E02E" w14:textId="7DD3097D" w:rsidR="008C59E7" w:rsidRPr="006B6479" w:rsidRDefault="008C59E7" w:rsidP="008C59E7">
      <w:pPr>
        <w:pStyle w:val="ListParagraph"/>
        <w:numPr>
          <w:ilvl w:val="0"/>
          <w:numId w:val="16"/>
        </w:numPr>
        <w:tabs>
          <w:tab w:val="right" w:leader="dot" w:pos="9360"/>
        </w:tabs>
      </w:pPr>
      <w:r w:rsidRPr="006B6479">
        <w:rPr>
          <w:rFonts w:eastAsiaTheme="majorEastAsia" w:cstheme="majorBidi"/>
        </w:rPr>
        <w:t xml:space="preserve">OMB approval </w:t>
      </w:r>
      <w:r w:rsidRPr="006B6479">
        <w:tab/>
      </w:r>
      <w:r w:rsidR="00F4603E">
        <w:t>pending</w:t>
      </w:r>
    </w:p>
    <w:p w14:paraId="4E692631" w14:textId="373F0937" w:rsidR="008C59E7" w:rsidRPr="006B6479" w:rsidRDefault="006319B0" w:rsidP="008C59E7">
      <w:pPr>
        <w:pStyle w:val="ListParagraph"/>
        <w:numPr>
          <w:ilvl w:val="0"/>
          <w:numId w:val="16"/>
        </w:numPr>
        <w:tabs>
          <w:tab w:val="right" w:leader="dot" w:pos="9360"/>
        </w:tabs>
      </w:pPr>
      <w:r w:rsidRPr="006B6479">
        <w:rPr>
          <w:rFonts w:eastAsiaTheme="majorEastAsia" w:cstheme="majorBidi"/>
        </w:rPr>
        <w:t>Disseminate information collection instrument</w:t>
      </w:r>
      <w:r w:rsidR="008C59E7" w:rsidRPr="006B6479">
        <w:tab/>
      </w:r>
      <w:r w:rsidRPr="006B6479">
        <w:t xml:space="preserve">week of October </w:t>
      </w:r>
      <w:r w:rsidR="00F4603E">
        <w:t>20</w:t>
      </w:r>
      <w:r w:rsidRPr="006B6479">
        <w:t>, 2016</w:t>
      </w:r>
    </w:p>
    <w:p w14:paraId="63A6CA99" w14:textId="77777777" w:rsidR="000A71DF" w:rsidRDefault="000A71DF" w:rsidP="005D6F14"/>
    <w:p w14:paraId="10B731BE" w14:textId="77777777" w:rsidR="00B12F51" w:rsidRPr="0074168E" w:rsidRDefault="00D75750" w:rsidP="00692DEB">
      <w:pPr>
        <w:pStyle w:val="Heading4"/>
      </w:pPr>
      <w:bookmarkStart w:id="22" w:name="_Toc427752830"/>
      <w:r w:rsidRPr="0074168E">
        <w:t>Reason(s) Display of OMB Expiration Date is Inappropriate</w:t>
      </w:r>
      <w:bookmarkEnd w:id="22"/>
    </w:p>
    <w:p w14:paraId="5EFBF78D" w14:textId="77777777" w:rsidR="00F52BCC" w:rsidRPr="0074168E" w:rsidRDefault="00180D45" w:rsidP="00692DEB">
      <w:pPr>
        <w:ind w:left="0"/>
      </w:pPr>
      <w:r w:rsidRPr="0074168E">
        <w:t>We are requesting no exemption.</w:t>
      </w:r>
    </w:p>
    <w:p w14:paraId="0354B88A" w14:textId="77777777" w:rsidR="00F52BCC" w:rsidRPr="0074168E" w:rsidRDefault="00F52BCC" w:rsidP="005D6F14"/>
    <w:p w14:paraId="64383137" w14:textId="77777777" w:rsidR="00B12F51" w:rsidRPr="0074168E" w:rsidRDefault="00B12F51" w:rsidP="00692DEB">
      <w:pPr>
        <w:pStyle w:val="Heading4"/>
      </w:pPr>
      <w:bookmarkStart w:id="23" w:name="_Toc427752831"/>
      <w:r w:rsidRPr="0074168E">
        <w:t>Exceptions to Certification for Paperwork Reduction Act Submissions</w:t>
      </w:r>
      <w:bookmarkEnd w:id="23"/>
    </w:p>
    <w:p w14:paraId="5AC4F5D4" w14:textId="77777777" w:rsidR="00F52BCC" w:rsidRDefault="0031279F" w:rsidP="00692DEB">
      <w:pPr>
        <w:ind w:left="0"/>
      </w:pPr>
      <w:r w:rsidRPr="0074168E">
        <w:t>There are no exceptions to the certification.</w:t>
      </w:r>
      <w:r w:rsidR="00180D45" w:rsidRPr="0074168E">
        <w:t xml:space="preserve">  These activities comply with the requirements in 5 CFR 1320.9.</w:t>
      </w:r>
    </w:p>
    <w:p w14:paraId="135BA4B4" w14:textId="77777777" w:rsidR="00EF49EE" w:rsidRDefault="00EF49EE" w:rsidP="008C59E7">
      <w:pPr>
        <w:ind w:left="0"/>
      </w:pPr>
    </w:p>
    <w:p w14:paraId="0AFBDE2B" w14:textId="77777777" w:rsidR="00A36419" w:rsidRDefault="00A36419" w:rsidP="008C59E7">
      <w:pPr>
        <w:pStyle w:val="Heading3"/>
        <w:ind w:left="0"/>
      </w:pPr>
      <w:bookmarkStart w:id="24" w:name="_Toc427752832"/>
      <w:r>
        <w:t>LIST OF ATTACHMENTS</w:t>
      </w:r>
      <w:r w:rsidR="00A33E90">
        <w:t xml:space="preserve"> – Section A</w:t>
      </w:r>
      <w:bookmarkEnd w:id="24"/>
    </w:p>
    <w:p w14:paraId="7BF99D76" w14:textId="4E2002FA" w:rsidR="00E647FB" w:rsidRPr="0074168E" w:rsidRDefault="00907046" w:rsidP="00E647FB">
      <w:pPr>
        <w:pStyle w:val="ListParagraph"/>
        <w:numPr>
          <w:ilvl w:val="0"/>
          <w:numId w:val="26"/>
        </w:numPr>
        <w:tabs>
          <w:tab w:val="clear" w:pos="9360"/>
        </w:tabs>
        <w:spacing w:line="240" w:lineRule="auto"/>
        <w:ind w:left="720"/>
        <w:rPr>
          <w:b/>
        </w:rPr>
      </w:pPr>
      <w:r w:rsidRPr="0074168E">
        <w:rPr>
          <w:b/>
        </w:rPr>
        <w:t>Temporary</w:t>
      </w:r>
      <w:r w:rsidR="00240FAC" w:rsidRPr="0074168E">
        <w:rPr>
          <w:b/>
        </w:rPr>
        <w:t xml:space="preserve"> Reassignment </w:t>
      </w:r>
      <w:r w:rsidR="0074168E" w:rsidRPr="0074168E">
        <w:rPr>
          <w:b/>
        </w:rPr>
        <w:t>R</w:t>
      </w:r>
      <w:r w:rsidR="00240FAC" w:rsidRPr="0074168E">
        <w:rPr>
          <w:b/>
        </w:rPr>
        <w:t xml:space="preserve">equest Form </w:t>
      </w:r>
    </w:p>
    <w:p w14:paraId="321AA018" w14:textId="5BC74E90" w:rsidR="00E647FB" w:rsidRPr="0074168E" w:rsidRDefault="0074168E" w:rsidP="00E647FB">
      <w:pPr>
        <w:pStyle w:val="ListParagraph"/>
        <w:numPr>
          <w:ilvl w:val="0"/>
          <w:numId w:val="26"/>
        </w:numPr>
        <w:tabs>
          <w:tab w:val="clear" w:pos="9360"/>
        </w:tabs>
        <w:spacing w:line="240" w:lineRule="auto"/>
        <w:ind w:left="720"/>
        <w:rPr>
          <w:b/>
        </w:rPr>
      </w:pPr>
      <w:r w:rsidRPr="0074168E">
        <w:rPr>
          <w:b/>
        </w:rPr>
        <w:t>Temporary Reassignment W</w:t>
      </w:r>
      <w:r w:rsidR="00907046" w:rsidRPr="0074168E">
        <w:rPr>
          <w:b/>
        </w:rPr>
        <w:t xml:space="preserve">eb </w:t>
      </w:r>
      <w:r w:rsidRPr="0074168E">
        <w:rPr>
          <w:b/>
        </w:rPr>
        <w:t>S</w:t>
      </w:r>
      <w:r w:rsidR="00907046" w:rsidRPr="0074168E">
        <w:rPr>
          <w:b/>
        </w:rPr>
        <w:t xml:space="preserve">ite </w:t>
      </w:r>
      <w:r w:rsidRPr="0074168E">
        <w:rPr>
          <w:b/>
        </w:rPr>
        <w:t>S</w:t>
      </w:r>
      <w:r w:rsidR="00907046" w:rsidRPr="0074168E">
        <w:rPr>
          <w:b/>
        </w:rPr>
        <w:t>creenshot</w:t>
      </w:r>
    </w:p>
    <w:p w14:paraId="0E390CF6" w14:textId="77777777" w:rsidR="00CC7188" w:rsidRPr="0074168E" w:rsidRDefault="00CC7188" w:rsidP="005D6F14"/>
    <w:p w14:paraId="3DB2ED85" w14:textId="77777777" w:rsidR="00CC7188" w:rsidRPr="0074168E" w:rsidRDefault="00CC7188" w:rsidP="003860A5">
      <w:pPr>
        <w:pStyle w:val="Heading3"/>
        <w:ind w:left="0"/>
      </w:pPr>
      <w:bookmarkStart w:id="25" w:name="_Toc427752833"/>
      <w:r w:rsidRPr="0074168E">
        <w:t xml:space="preserve">REFERENCE LIST </w:t>
      </w:r>
      <w:bookmarkEnd w:id="25"/>
    </w:p>
    <w:p w14:paraId="72720677" w14:textId="5A46FCE1" w:rsidR="00555362" w:rsidRDefault="00555362" w:rsidP="00555362">
      <w:pPr>
        <w:pStyle w:val="ListParagraph"/>
        <w:numPr>
          <w:ilvl w:val="2"/>
          <w:numId w:val="2"/>
        </w:numPr>
        <w:tabs>
          <w:tab w:val="clear" w:pos="9360"/>
        </w:tabs>
        <w:spacing w:line="240" w:lineRule="auto"/>
        <w:ind w:hanging="360"/>
      </w:pPr>
      <w:r w:rsidRPr="0074168E">
        <w:t xml:space="preserve">Office of the Assistant Secretary for Preparedness and Response (ASPR). “Guidance for Temporary Reassignment of State, Tribal, and Local Personnel During a Public Health Emergency Declared by the HHS Secretary.” Available at </w:t>
      </w:r>
      <w:hyperlink r:id="rId12" w:history="1">
        <w:r w:rsidR="00F92D54" w:rsidRPr="0074168E">
          <w:rPr>
            <w:rStyle w:val="Hyperlink"/>
          </w:rPr>
          <w:t>http://www.phe.gov/Preparedness/legal/pahpa/section201/Documents/section319e-guidance.pdf. Accessed on 10/3/16</w:t>
        </w:r>
      </w:hyperlink>
      <w:r w:rsidRPr="0074168E">
        <w:t>.</w:t>
      </w:r>
    </w:p>
    <w:p w14:paraId="5665D4CA" w14:textId="13C205FD" w:rsidR="00397BF5" w:rsidRDefault="0044577D" w:rsidP="00397BF5">
      <w:pPr>
        <w:pStyle w:val="ListParagraph"/>
        <w:numPr>
          <w:ilvl w:val="2"/>
          <w:numId w:val="2"/>
        </w:numPr>
        <w:tabs>
          <w:tab w:val="clear" w:pos="9360"/>
        </w:tabs>
        <w:spacing w:line="240" w:lineRule="auto"/>
        <w:ind w:hanging="360"/>
      </w:pPr>
      <w:r w:rsidRPr="0074168E">
        <w:t>Office of the Assistant Secretary for Preparedness and Response (ASPR).</w:t>
      </w:r>
      <w:r>
        <w:t xml:space="preserve"> “HHS declares a public health emergency in Puerto Rico in response to Zika outbreak.” Available at: </w:t>
      </w:r>
      <w:hyperlink r:id="rId13" w:history="1">
        <w:r w:rsidRPr="00CE0273">
          <w:rPr>
            <w:rStyle w:val="Hyperlink"/>
          </w:rPr>
          <w:t>http://www.hhs.gov/about/news/2016/08/12/HHS-declares-public-health-emergency-in-Puerto-Rico-in-response-to-Zika-outbreak.html</w:t>
        </w:r>
      </w:hyperlink>
      <w:r w:rsidR="00397BF5">
        <w:t>.</w:t>
      </w:r>
    </w:p>
    <w:p w14:paraId="088EAAC3" w14:textId="1BA13D86" w:rsidR="0044577D" w:rsidRPr="0074168E" w:rsidRDefault="0044577D" w:rsidP="00397BF5">
      <w:pPr>
        <w:pStyle w:val="ListParagraph"/>
        <w:numPr>
          <w:ilvl w:val="2"/>
          <w:numId w:val="2"/>
        </w:numPr>
        <w:tabs>
          <w:tab w:val="clear" w:pos="9360"/>
        </w:tabs>
        <w:spacing w:line="240" w:lineRule="auto"/>
        <w:ind w:hanging="360"/>
      </w:pPr>
      <w:r w:rsidRPr="0074168E">
        <w:t>Office of the Assistant Secretary for Preparedness and Response (ASPR).</w:t>
      </w:r>
      <w:r>
        <w:t xml:space="preserve"> “Hurricane Sandy: Determination That a Public Health Emergency Exists.”  Available at: </w:t>
      </w:r>
      <w:hyperlink r:id="rId14" w:history="1">
        <w:r w:rsidR="00397BF5" w:rsidRPr="00CE0273">
          <w:rPr>
            <w:rStyle w:val="Hyperlink"/>
          </w:rPr>
          <w:t>http://www.phe.gov/emergency/news/healthactions/phe/Pages/hurricane-sandy.aspx</w:t>
        </w:r>
      </w:hyperlink>
      <w:r>
        <w:t>.</w:t>
      </w:r>
    </w:p>
    <w:p w14:paraId="48EFB29F" w14:textId="77777777" w:rsidR="00555362" w:rsidRPr="008C59E7" w:rsidRDefault="00555362" w:rsidP="0074168E">
      <w:pPr>
        <w:tabs>
          <w:tab w:val="clear" w:pos="9360"/>
        </w:tabs>
        <w:spacing w:line="240" w:lineRule="auto"/>
        <w:ind w:left="0"/>
      </w:pPr>
    </w:p>
    <w:sectPr w:rsidR="00555362" w:rsidRPr="008C59E7" w:rsidSect="00385BB5">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B2531" w14:textId="77777777" w:rsidR="00673BB7" w:rsidRDefault="00673BB7" w:rsidP="007D6163">
      <w:r>
        <w:separator/>
      </w:r>
    </w:p>
    <w:p w14:paraId="772EB5F8" w14:textId="77777777" w:rsidR="00673BB7" w:rsidRDefault="00673BB7" w:rsidP="007D6163"/>
  </w:endnote>
  <w:endnote w:type="continuationSeparator" w:id="0">
    <w:p w14:paraId="06D80B6F" w14:textId="77777777" w:rsidR="00673BB7" w:rsidRDefault="00673BB7" w:rsidP="007D6163">
      <w:r>
        <w:continuationSeparator/>
      </w:r>
    </w:p>
    <w:p w14:paraId="293B5D1E" w14:textId="77777777" w:rsidR="00673BB7" w:rsidRDefault="00673BB7"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77777777" w:rsidR="00673BB7" w:rsidRDefault="00673BB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E4F7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4F7D">
              <w:rPr>
                <w:b/>
                <w:bCs/>
                <w:noProof/>
              </w:rPr>
              <w:t>10</w:t>
            </w:r>
            <w:r>
              <w:rPr>
                <w:b/>
                <w:bCs/>
                <w:sz w:val="24"/>
                <w:szCs w:val="24"/>
              </w:rPr>
              <w:fldChar w:fldCharType="end"/>
            </w:r>
          </w:p>
        </w:sdtContent>
      </w:sdt>
    </w:sdtContent>
  </w:sdt>
  <w:p w14:paraId="3B208153" w14:textId="77777777" w:rsidR="00673BB7" w:rsidRDefault="00673BB7"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516D2" w14:textId="77777777" w:rsidR="00673BB7" w:rsidRDefault="00673BB7" w:rsidP="007D6163">
      <w:r>
        <w:separator/>
      </w:r>
    </w:p>
    <w:p w14:paraId="0639553A" w14:textId="77777777" w:rsidR="00673BB7" w:rsidRDefault="00673BB7" w:rsidP="007D6163"/>
  </w:footnote>
  <w:footnote w:type="continuationSeparator" w:id="0">
    <w:p w14:paraId="414FF459" w14:textId="77777777" w:rsidR="00673BB7" w:rsidRDefault="00673BB7" w:rsidP="007D6163">
      <w:r>
        <w:continuationSeparator/>
      </w:r>
    </w:p>
    <w:p w14:paraId="335DE209" w14:textId="77777777" w:rsidR="00673BB7" w:rsidRDefault="00673BB7"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B77" w14:textId="77777777" w:rsidR="00673BB7" w:rsidRPr="00716F94" w:rsidRDefault="00673BB7" w:rsidP="007D6163">
    <w:pPr>
      <w:pStyle w:val="Header"/>
      <w:rPr>
        <w:color w:val="0033CC"/>
      </w:rPr>
    </w:pPr>
    <w:r>
      <w:tab/>
    </w:r>
  </w:p>
  <w:p w14:paraId="195027EE" w14:textId="77777777" w:rsidR="00673BB7" w:rsidRDefault="00673BB7"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20E98D6"/>
    <w:lvl w:ilvl="0">
      <w:start w:val="1"/>
      <w:numFmt w:val="bullet"/>
      <w:pStyle w:val="ListBullet2"/>
      <w:lvlText w:val=""/>
      <w:lvlJc w:val="left"/>
      <w:pPr>
        <w:ind w:left="1080" w:hanging="360"/>
      </w:pPr>
      <w:rPr>
        <w:rFonts w:ascii="Wingdings" w:hAnsi="Wingdings" w:hint="default"/>
      </w:rPr>
    </w:lvl>
  </w:abstractNum>
  <w:abstractNum w:abstractNumId="1"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C4027B"/>
    <w:multiLevelType w:val="hybridMultilevel"/>
    <w:tmpl w:val="9DA2D5F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BA7E91"/>
    <w:multiLevelType w:val="hybridMultilevel"/>
    <w:tmpl w:val="AE9AD9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C22082"/>
    <w:multiLevelType w:val="hybridMultilevel"/>
    <w:tmpl w:val="B51C5F9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0C1252A6"/>
    <w:multiLevelType w:val="hybridMultilevel"/>
    <w:tmpl w:val="033EC4D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585188"/>
    <w:multiLevelType w:val="hybridMultilevel"/>
    <w:tmpl w:val="457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32CB3"/>
    <w:multiLevelType w:val="hybridMultilevel"/>
    <w:tmpl w:val="1A102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D2210B"/>
    <w:multiLevelType w:val="hybridMultilevel"/>
    <w:tmpl w:val="B6C681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AF3879"/>
    <w:multiLevelType w:val="hybridMultilevel"/>
    <w:tmpl w:val="9112DC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3C654E"/>
    <w:multiLevelType w:val="hybridMultilevel"/>
    <w:tmpl w:val="652E0AE6"/>
    <w:lvl w:ilvl="0" w:tplc="480ED39A">
      <w:start w:val="1"/>
      <w:numFmt w:val="upperLetter"/>
      <w:lvlText w:val="%1."/>
      <w:lvlJc w:val="left"/>
      <w:pPr>
        <w:ind w:left="36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EE54A5"/>
    <w:multiLevelType w:val="hybridMultilevel"/>
    <w:tmpl w:val="EE969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38"/>
  </w:num>
  <w:num w:numId="4">
    <w:abstractNumId w:val="20"/>
  </w:num>
  <w:num w:numId="5">
    <w:abstractNumId w:val="27"/>
  </w:num>
  <w:num w:numId="6">
    <w:abstractNumId w:val="13"/>
  </w:num>
  <w:num w:numId="7">
    <w:abstractNumId w:val="1"/>
  </w:num>
  <w:num w:numId="8">
    <w:abstractNumId w:val="9"/>
  </w:num>
  <w:num w:numId="9">
    <w:abstractNumId w:val="17"/>
  </w:num>
  <w:num w:numId="10">
    <w:abstractNumId w:val="31"/>
  </w:num>
  <w:num w:numId="11">
    <w:abstractNumId w:val="4"/>
  </w:num>
  <w:num w:numId="12">
    <w:abstractNumId w:val="37"/>
  </w:num>
  <w:num w:numId="13">
    <w:abstractNumId w:val="12"/>
  </w:num>
  <w:num w:numId="14">
    <w:abstractNumId w:val="6"/>
  </w:num>
  <w:num w:numId="15">
    <w:abstractNumId w:val="33"/>
  </w:num>
  <w:num w:numId="16">
    <w:abstractNumId w:val="35"/>
  </w:num>
  <w:num w:numId="17">
    <w:abstractNumId w:val="36"/>
  </w:num>
  <w:num w:numId="18">
    <w:abstractNumId w:val="22"/>
  </w:num>
  <w:num w:numId="19">
    <w:abstractNumId w:val="41"/>
  </w:num>
  <w:num w:numId="20">
    <w:abstractNumId w:val="29"/>
  </w:num>
  <w:num w:numId="21">
    <w:abstractNumId w:val="32"/>
  </w:num>
  <w:num w:numId="22">
    <w:abstractNumId w:val="28"/>
  </w:num>
  <w:num w:numId="23">
    <w:abstractNumId w:val="11"/>
  </w:num>
  <w:num w:numId="24">
    <w:abstractNumId w:val="34"/>
  </w:num>
  <w:num w:numId="25">
    <w:abstractNumId w:val="7"/>
  </w:num>
  <w:num w:numId="26">
    <w:abstractNumId w:val="25"/>
  </w:num>
  <w:num w:numId="27">
    <w:abstractNumId w:val="10"/>
  </w:num>
  <w:num w:numId="28">
    <w:abstractNumId w:val="19"/>
  </w:num>
  <w:num w:numId="29">
    <w:abstractNumId w:val="30"/>
  </w:num>
  <w:num w:numId="30">
    <w:abstractNumId w:val="39"/>
  </w:num>
  <w:num w:numId="31">
    <w:abstractNumId w:val="24"/>
  </w:num>
  <w:num w:numId="32">
    <w:abstractNumId w:val="26"/>
  </w:num>
  <w:num w:numId="33">
    <w:abstractNumId w:val="18"/>
  </w:num>
  <w:num w:numId="34">
    <w:abstractNumId w:val="21"/>
  </w:num>
  <w:num w:numId="35">
    <w:abstractNumId w:val="15"/>
  </w:num>
  <w:num w:numId="36">
    <w:abstractNumId w:val="40"/>
  </w:num>
  <w:num w:numId="37">
    <w:abstractNumId w:val="14"/>
  </w:num>
  <w:num w:numId="38">
    <w:abstractNumId w:val="8"/>
  </w:num>
  <w:num w:numId="39">
    <w:abstractNumId w:val="0"/>
  </w:num>
  <w:num w:numId="40">
    <w:abstractNumId w:val="2"/>
  </w:num>
  <w:num w:numId="41">
    <w:abstractNumId w:val="1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29B7"/>
    <w:rsid w:val="000058E0"/>
    <w:rsid w:val="00010363"/>
    <w:rsid w:val="00011A98"/>
    <w:rsid w:val="00011F8D"/>
    <w:rsid w:val="000130B4"/>
    <w:rsid w:val="00014361"/>
    <w:rsid w:val="00014579"/>
    <w:rsid w:val="00014D8C"/>
    <w:rsid w:val="00017AE4"/>
    <w:rsid w:val="00031435"/>
    <w:rsid w:val="000315E3"/>
    <w:rsid w:val="00033EF4"/>
    <w:rsid w:val="00040611"/>
    <w:rsid w:val="0004305C"/>
    <w:rsid w:val="000474FB"/>
    <w:rsid w:val="00053A92"/>
    <w:rsid w:val="00054839"/>
    <w:rsid w:val="00055DAE"/>
    <w:rsid w:val="00057F36"/>
    <w:rsid w:val="00074156"/>
    <w:rsid w:val="00096CAA"/>
    <w:rsid w:val="000A1F30"/>
    <w:rsid w:val="000A2D0C"/>
    <w:rsid w:val="000A71DF"/>
    <w:rsid w:val="000B0962"/>
    <w:rsid w:val="000B2CBC"/>
    <w:rsid w:val="000C0DF5"/>
    <w:rsid w:val="000C2013"/>
    <w:rsid w:val="000C3C14"/>
    <w:rsid w:val="000C3D87"/>
    <w:rsid w:val="000E6577"/>
    <w:rsid w:val="000E7A19"/>
    <w:rsid w:val="000F4FD2"/>
    <w:rsid w:val="00100BAB"/>
    <w:rsid w:val="00104A1B"/>
    <w:rsid w:val="00114340"/>
    <w:rsid w:val="001177DD"/>
    <w:rsid w:val="00135334"/>
    <w:rsid w:val="001412D4"/>
    <w:rsid w:val="00144F64"/>
    <w:rsid w:val="00145D62"/>
    <w:rsid w:val="00151567"/>
    <w:rsid w:val="00157413"/>
    <w:rsid w:val="00163E17"/>
    <w:rsid w:val="00166F9E"/>
    <w:rsid w:val="001674DD"/>
    <w:rsid w:val="00167880"/>
    <w:rsid w:val="00170608"/>
    <w:rsid w:val="00173CC1"/>
    <w:rsid w:val="00180D45"/>
    <w:rsid w:val="00185430"/>
    <w:rsid w:val="00187870"/>
    <w:rsid w:val="00187D5A"/>
    <w:rsid w:val="0019164D"/>
    <w:rsid w:val="001972D7"/>
    <w:rsid w:val="001A28F6"/>
    <w:rsid w:val="001B2831"/>
    <w:rsid w:val="001B4065"/>
    <w:rsid w:val="001B5910"/>
    <w:rsid w:val="001B70B4"/>
    <w:rsid w:val="001C0493"/>
    <w:rsid w:val="001C28AD"/>
    <w:rsid w:val="001D7FCB"/>
    <w:rsid w:val="001E2B99"/>
    <w:rsid w:val="001E69B6"/>
    <w:rsid w:val="001E7537"/>
    <w:rsid w:val="001F4DBB"/>
    <w:rsid w:val="00202D07"/>
    <w:rsid w:val="0020312D"/>
    <w:rsid w:val="00206E33"/>
    <w:rsid w:val="00210519"/>
    <w:rsid w:val="00227259"/>
    <w:rsid w:val="00240FAC"/>
    <w:rsid w:val="00241B17"/>
    <w:rsid w:val="00241C81"/>
    <w:rsid w:val="00244557"/>
    <w:rsid w:val="00257A1C"/>
    <w:rsid w:val="0027234C"/>
    <w:rsid w:val="00281795"/>
    <w:rsid w:val="0028309B"/>
    <w:rsid w:val="00283B4F"/>
    <w:rsid w:val="002850E3"/>
    <w:rsid w:val="00287E2F"/>
    <w:rsid w:val="002A1948"/>
    <w:rsid w:val="002B24C8"/>
    <w:rsid w:val="002C0877"/>
    <w:rsid w:val="002C2AE2"/>
    <w:rsid w:val="002D0DCE"/>
    <w:rsid w:val="002E2B10"/>
    <w:rsid w:val="002E73B0"/>
    <w:rsid w:val="002F1502"/>
    <w:rsid w:val="002F2069"/>
    <w:rsid w:val="002F6FB3"/>
    <w:rsid w:val="002F71A2"/>
    <w:rsid w:val="003041AD"/>
    <w:rsid w:val="0031279F"/>
    <w:rsid w:val="00316F00"/>
    <w:rsid w:val="00321B51"/>
    <w:rsid w:val="00336D96"/>
    <w:rsid w:val="00344F07"/>
    <w:rsid w:val="003469C8"/>
    <w:rsid w:val="00350479"/>
    <w:rsid w:val="00350C8C"/>
    <w:rsid w:val="00355EA4"/>
    <w:rsid w:val="003635BE"/>
    <w:rsid w:val="00365045"/>
    <w:rsid w:val="00366B5E"/>
    <w:rsid w:val="003746D8"/>
    <w:rsid w:val="00385BB5"/>
    <w:rsid w:val="003860A5"/>
    <w:rsid w:val="00386BC2"/>
    <w:rsid w:val="00397BF5"/>
    <w:rsid w:val="003B125E"/>
    <w:rsid w:val="003B1AFA"/>
    <w:rsid w:val="003B1BE3"/>
    <w:rsid w:val="003B2200"/>
    <w:rsid w:val="003B2AE6"/>
    <w:rsid w:val="003B6F2B"/>
    <w:rsid w:val="003C31C9"/>
    <w:rsid w:val="003C4961"/>
    <w:rsid w:val="003C7C5D"/>
    <w:rsid w:val="003D0AD2"/>
    <w:rsid w:val="003D78FC"/>
    <w:rsid w:val="003E60DC"/>
    <w:rsid w:val="003F5913"/>
    <w:rsid w:val="004024F8"/>
    <w:rsid w:val="00405696"/>
    <w:rsid w:val="0041159A"/>
    <w:rsid w:val="00417463"/>
    <w:rsid w:val="004226DA"/>
    <w:rsid w:val="004305A8"/>
    <w:rsid w:val="0043229B"/>
    <w:rsid w:val="004322A7"/>
    <w:rsid w:val="00432B00"/>
    <w:rsid w:val="004353D5"/>
    <w:rsid w:val="00441CC3"/>
    <w:rsid w:val="00443CA0"/>
    <w:rsid w:val="0044577D"/>
    <w:rsid w:val="00450E14"/>
    <w:rsid w:val="00462C65"/>
    <w:rsid w:val="004674E7"/>
    <w:rsid w:val="00467B14"/>
    <w:rsid w:val="00467D07"/>
    <w:rsid w:val="00474EDA"/>
    <w:rsid w:val="00481D80"/>
    <w:rsid w:val="004824FA"/>
    <w:rsid w:val="00484011"/>
    <w:rsid w:val="004841F1"/>
    <w:rsid w:val="00487937"/>
    <w:rsid w:val="004A1E3A"/>
    <w:rsid w:val="004B46D6"/>
    <w:rsid w:val="004C0BF6"/>
    <w:rsid w:val="004C4464"/>
    <w:rsid w:val="004C4AEA"/>
    <w:rsid w:val="004C64CC"/>
    <w:rsid w:val="004D0430"/>
    <w:rsid w:val="004D1DAA"/>
    <w:rsid w:val="004D4EB1"/>
    <w:rsid w:val="004E003C"/>
    <w:rsid w:val="004E16EB"/>
    <w:rsid w:val="004E6665"/>
    <w:rsid w:val="004F18B3"/>
    <w:rsid w:val="004F634E"/>
    <w:rsid w:val="004F67A8"/>
    <w:rsid w:val="005070F6"/>
    <w:rsid w:val="005115FA"/>
    <w:rsid w:val="0051582C"/>
    <w:rsid w:val="00522A50"/>
    <w:rsid w:val="00525E61"/>
    <w:rsid w:val="00527225"/>
    <w:rsid w:val="0053557D"/>
    <w:rsid w:val="005410E3"/>
    <w:rsid w:val="005463DE"/>
    <w:rsid w:val="00546DC2"/>
    <w:rsid w:val="005542E8"/>
    <w:rsid w:val="00555362"/>
    <w:rsid w:val="00556630"/>
    <w:rsid w:val="0055686D"/>
    <w:rsid w:val="0057218E"/>
    <w:rsid w:val="005800EE"/>
    <w:rsid w:val="005869D6"/>
    <w:rsid w:val="00587C72"/>
    <w:rsid w:val="0059331E"/>
    <w:rsid w:val="00594619"/>
    <w:rsid w:val="005A33F6"/>
    <w:rsid w:val="005A59E5"/>
    <w:rsid w:val="005B7440"/>
    <w:rsid w:val="005C3760"/>
    <w:rsid w:val="005C3A51"/>
    <w:rsid w:val="005D6F14"/>
    <w:rsid w:val="005E0936"/>
    <w:rsid w:val="005E2150"/>
    <w:rsid w:val="005E251C"/>
    <w:rsid w:val="005E2995"/>
    <w:rsid w:val="005E52DF"/>
    <w:rsid w:val="005F3FEF"/>
    <w:rsid w:val="00600C4F"/>
    <w:rsid w:val="0060287B"/>
    <w:rsid w:val="00607F7C"/>
    <w:rsid w:val="006102DA"/>
    <w:rsid w:val="00616090"/>
    <w:rsid w:val="006315A3"/>
    <w:rsid w:val="006319B0"/>
    <w:rsid w:val="00642AE5"/>
    <w:rsid w:val="006579A2"/>
    <w:rsid w:val="00667C89"/>
    <w:rsid w:val="006711EE"/>
    <w:rsid w:val="00672D7A"/>
    <w:rsid w:val="00673BB7"/>
    <w:rsid w:val="006809BB"/>
    <w:rsid w:val="006809FD"/>
    <w:rsid w:val="00691D1F"/>
    <w:rsid w:val="00692DEB"/>
    <w:rsid w:val="00697BAE"/>
    <w:rsid w:val="006A38E9"/>
    <w:rsid w:val="006B4DDC"/>
    <w:rsid w:val="006B51BD"/>
    <w:rsid w:val="006B5E55"/>
    <w:rsid w:val="006B6479"/>
    <w:rsid w:val="006C4DA7"/>
    <w:rsid w:val="006D25A1"/>
    <w:rsid w:val="006E14E9"/>
    <w:rsid w:val="006F09A2"/>
    <w:rsid w:val="006F36C6"/>
    <w:rsid w:val="006F6856"/>
    <w:rsid w:val="00710594"/>
    <w:rsid w:val="00713412"/>
    <w:rsid w:val="007145D0"/>
    <w:rsid w:val="00716F94"/>
    <w:rsid w:val="00721180"/>
    <w:rsid w:val="0072245C"/>
    <w:rsid w:val="00737357"/>
    <w:rsid w:val="0073793E"/>
    <w:rsid w:val="0074168E"/>
    <w:rsid w:val="00744911"/>
    <w:rsid w:val="0075188E"/>
    <w:rsid w:val="0076001C"/>
    <w:rsid w:val="00760E12"/>
    <w:rsid w:val="00763CF3"/>
    <w:rsid w:val="00765595"/>
    <w:rsid w:val="0076751B"/>
    <w:rsid w:val="00772293"/>
    <w:rsid w:val="00774689"/>
    <w:rsid w:val="00776981"/>
    <w:rsid w:val="00781AE3"/>
    <w:rsid w:val="00783C75"/>
    <w:rsid w:val="00784619"/>
    <w:rsid w:val="00784735"/>
    <w:rsid w:val="0078627B"/>
    <w:rsid w:val="0078765B"/>
    <w:rsid w:val="007921F1"/>
    <w:rsid w:val="00794E32"/>
    <w:rsid w:val="007956C4"/>
    <w:rsid w:val="007A0D73"/>
    <w:rsid w:val="007B305A"/>
    <w:rsid w:val="007D6163"/>
    <w:rsid w:val="007E1CF7"/>
    <w:rsid w:val="007E575D"/>
    <w:rsid w:val="007E57CD"/>
    <w:rsid w:val="007E6AEF"/>
    <w:rsid w:val="007F5776"/>
    <w:rsid w:val="00815C7D"/>
    <w:rsid w:val="00817941"/>
    <w:rsid w:val="008229E4"/>
    <w:rsid w:val="00823547"/>
    <w:rsid w:val="008261AB"/>
    <w:rsid w:val="008269AB"/>
    <w:rsid w:val="00827FC2"/>
    <w:rsid w:val="00834527"/>
    <w:rsid w:val="00834C91"/>
    <w:rsid w:val="00835CA7"/>
    <w:rsid w:val="008370D4"/>
    <w:rsid w:val="00837EE1"/>
    <w:rsid w:val="008414AD"/>
    <w:rsid w:val="008428D9"/>
    <w:rsid w:val="00854019"/>
    <w:rsid w:val="008705AC"/>
    <w:rsid w:val="008715E7"/>
    <w:rsid w:val="0088467A"/>
    <w:rsid w:val="00884DB9"/>
    <w:rsid w:val="0088770B"/>
    <w:rsid w:val="008C408E"/>
    <w:rsid w:val="008C59E7"/>
    <w:rsid w:val="008C67D2"/>
    <w:rsid w:val="008E0683"/>
    <w:rsid w:val="008E3D8D"/>
    <w:rsid w:val="008E514F"/>
    <w:rsid w:val="00902DD9"/>
    <w:rsid w:val="00907046"/>
    <w:rsid w:val="00911486"/>
    <w:rsid w:val="009129CA"/>
    <w:rsid w:val="009206B6"/>
    <w:rsid w:val="009252DC"/>
    <w:rsid w:val="009252F5"/>
    <w:rsid w:val="009263C1"/>
    <w:rsid w:val="00941B4F"/>
    <w:rsid w:val="009518C0"/>
    <w:rsid w:val="00954EF5"/>
    <w:rsid w:val="00963CE3"/>
    <w:rsid w:val="00964F18"/>
    <w:rsid w:val="00974424"/>
    <w:rsid w:val="00975840"/>
    <w:rsid w:val="009763CE"/>
    <w:rsid w:val="00987F76"/>
    <w:rsid w:val="00993088"/>
    <w:rsid w:val="00995C06"/>
    <w:rsid w:val="0099664F"/>
    <w:rsid w:val="00997D5D"/>
    <w:rsid w:val="009A0447"/>
    <w:rsid w:val="009A2CE5"/>
    <w:rsid w:val="009A4B59"/>
    <w:rsid w:val="009A5024"/>
    <w:rsid w:val="009B4A51"/>
    <w:rsid w:val="009C28B1"/>
    <w:rsid w:val="009C61AD"/>
    <w:rsid w:val="009C6697"/>
    <w:rsid w:val="009D373D"/>
    <w:rsid w:val="009D436B"/>
    <w:rsid w:val="009D5927"/>
    <w:rsid w:val="009D7B2C"/>
    <w:rsid w:val="009E0801"/>
    <w:rsid w:val="009E1D05"/>
    <w:rsid w:val="009F34FE"/>
    <w:rsid w:val="009F54C2"/>
    <w:rsid w:val="009F7DE0"/>
    <w:rsid w:val="00A05973"/>
    <w:rsid w:val="00A06BCB"/>
    <w:rsid w:val="00A11B0C"/>
    <w:rsid w:val="00A11B4C"/>
    <w:rsid w:val="00A3081E"/>
    <w:rsid w:val="00A32F89"/>
    <w:rsid w:val="00A33B35"/>
    <w:rsid w:val="00A33E90"/>
    <w:rsid w:val="00A36419"/>
    <w:rsid w:val="00A44921"/>
    <w:rsid w:val="00A44AD9"/>
    <w:rsid w:val="00A578C2"/>
    <w:rsid w:val="00A72652"/>
    <w:rsid w:val="00A7453E"/>
    <w:rsid w:val="00A75D1C"/>
    <w:rsid w:val="00A809AA"/>
    <w:rsid w:val="00A849B3"/>
    <w:rsid w:val="00A8510D"/>
    <w:rsid w:val="00A86AF3"/>
    <w:rsid w:val="00A90AFF"/>
    <w:rsid w:val="00A90BDC"/>
    <w:rsid w:val="00A93A8A"/>
    <w:rsid w:val="00A95477"/>
    <w:rsid w:val="00A975A9"/>
    <w:rsid w:val="00AA3192"/>
    <w:rsid w:val="00AA5AFF"/>
    <w:rsid w:val="00AB0486"/>
    <w:rsid w:val="00AB251E"/>
    <w:rsid w:val="00AB3608"/>
    <w:rsid w:val="00AC1272"/>
    <w:rsid w:val="00AC5C48"/>
    <w:rsid w:val="00AC63E3"/>
    <w:rsid w:val="00AD3F08"/>
    <w:rsid w:val="00AD5332"/>
    <w:rsid w:val="00AE3153"/>
    <w:rsid w:val="00AE6492"/>
    <w:rsid w:val="00AE6D36"/>
    <w:rsid w:val="00AF0CF4"/>
    <w:rsid w:val="00AF2252"/>
    <w:rsid w:val="00B0098C"/>
    <w:rsid w:val="00B00B12"/>
    <w:rsid w:val="00B1129F"/>
    <w:rsid w:val="00B11D61"/>
    <w:rsid w:val="00B12F51"/>
    <w:rsid w:val="00B14E9E"/>
    <w:rsid w:val="00B2751E"/>
    <w:rsid w:val="00B33ECD"/>
    <w:rsid w:val="00B34220"/>
    <w:rsid w:val="00B3650C"/>
    <w:rsid w:val="00B43AFE"/>
    <w:rsid w:val="00B44E35"/>
    <w:rsid w:val="00B47055"/>
    <w:rsid w:val="00B63CF3"/>
    <w:rsid w:val="00B64BFA"/>
    <w:rsid w:val="00B700BB"/>
    <w:rsid w:val="00B71E63"/>
    <w:rsid w:val="00B83212"/>
    <w:rsid w:val="00B85DE4"/>
    <w:rsid w:val="00B87AAD"/>
    <w:rsid w:val="00B901A9"/>
    <w:rsid w:val="00B91A31"/>
    <w:rsid w:val="00B92037"/>
    <w:rsid w:val="00B93B6F"/>
    <w:rsid w:val="00BA50D9"/>
    <w:rsid w:val="00BA5724"/>
    <w:rsid w:val="00BA6C28"/>
    <w:rsid w:val="00BA6DB4"/>
    <w:rsid w:val="00BB08F5"/>
    <w:rsid w:val="00BB090C"/>
    <w:rsid w:val="00BC3F3C"/>
    <w:rsid w:val="00BC5BB2"/>
    <w:rsid w:val="00BC6D10"/>
    <w:rsid w:val="00BD56AF"/>
    <w:rsid w:val="00BE0BF2"/>
    <w:rsid w:val="00BE4F7D"/>
    <w:rsid w:val="00BE738E"/>
    <w:rsid w:val="00BF11A1"/>
    <w:rsid w:val="00BF3F54"/>
    <w:rsid w:val="00C00697"/>
    <w:rsid w:val="00C0376C"/>
    <w:rsid w:val="00C06D77"/>
    <w:rsid w:val="00C14BA6"/>
    <w:rsid w:val="00C27888"/>
    <w:rsid w:val="00C332E0"/>
    <w:rsid w:val="00C3485C"/>
    <w:rsid w:val="00C36125"/>
    <w:rsid w:val="00C544A4"/>
    <w:rsid w:val="00C647F6"/>
    <w:rsid w:val="00C768E5"/>
    <w:rsid w:val="00C83784"/>
    <w:rsid w:val="00C84CE3"/>
    <w:rsid w:val="00C873CA"/>
    <w:rsid w:val="00CA2004"/>
    <w:rsid w:val="00CA5840"/>
    <w:rsid w:val="00CA5B99"/>
    <w:rsid w:val="00CA6516"/>
    <w:rsid w:val="00CB0933"/>
    <w:rsid w:val="00CB334D"/>
    <w:rsid w:val="00CB56D5"/>
    <w:rsid w:val="00CC4DAB"/>
    <w:rsid w:val="00CC7188"/>
    <w:rsid w:val="00CC76CD"/>
    <w:rsid w:val="00CD1EA8"/>
    <w:rsid w:val="00CF5ABD"/>
    <w:rsid w:val="00CF5DAD"/>
    <w:rsid w:val="00CF63CE"/>
    <w:rsid w:val="00D067C1"/>
    <w:rsid w:val="00D06816"/>
    <w:rsid w:val="00D1343B"/>
    <w:rsid w:val="00D13B13"/>
    <w:rsid w:val="00D16E78"/>
    <w:rsid w:val="00D201D3"/>
    <w:rsid w:val="00D267D5"/>
    <w:rsid w:val="00D26A64"/>
    <w:rsid w:val="00D26E81"/>
    <w:rsid w:val="00D31720"/>
    <w:rsid w:val="00D409CF"/>
    <w:rsid w:val="00D42E28"/>
    <w:rsid w:val="00D52B9A"/>
    <w:rsid w:val="00D5367E"/>
    <w:rsid w:val="00D53B1E"/>
    <w:rsid w:val="00D54C57"/>
    <w:rsid w:val="00D6105F"/>
    <w:rsid w:val="00D61AD2"/>
    <w:rsid w:val="00D71C1C"/>
    <w:rsid w:val="00D75750"/>
    <w:rsid w:val="00D84EF0"/>
    <w:rsid w:val="00D85768"/>
    <w:rsid w:val="00D861ED"/>
    <w:rsid w:val="00D873E0"/>
    <w:rsid w:val="00D941E3"/>
    <w:rsid w:val="00D94F8B"/>
    <w:rsid w:val="00D95FBF"/>
    <w:rsid w:val="00DA5988"/>
    <w:rsid w:val="00DB308D"/>
    <w:rsid w:val="00DB7F78"/>
    <w:rsid w:val="00DC0184"/>
    <w:rsid w:val="00DC317C"/>
    <w:rsid w:val="00DC4FF2"/>
    <w:rsid w:val="00DC79CC"/>
    <w:rsid w:val="00DD7BF0"/>
    <w:rsid w:val="00DF53E6"/>
    <w:rsid w:val="00E079B6"/>
    <w:rsid w:val="00E10D39"/>
    <w:rsid w:val="00E134F4"/>
    <w:rsid w:val="00E162E0"/>
    <w:rsid w:val="00E1635A"/>
    <w:rsid w:val="00E20D75"/>
    <w:rsid w:val="00E23568"/>
    <w:rsid w:val="00E245B5"/>
    <w:rsid w:val="00E26A14"/>
    <w:rsid w:val="00E278DF"/>
    <w:rsid w:val="00E327D8"/>
    <w:rsid w:val="00E33E1B"/>
    <w:rsid w:val="00E34D3E"/>
    <w:rsid w:val="00E357D6"/>
    <w:rsid w:val="00E62BD2"/>
    <w:rsid w:val="00E647FB"/>
    <w:rsid w:val="00E720E9"/>
    <w:rsid w:val="00E81C5E"/>
    <w:rsid w:val="00E83B3C"/>
    <w:rsid w:val="00E8736B"/>
    <w:rsid w:val="00E90275"/>
    <w:rsid w:val="00E925D4"/>
    <w:rsid w:val="00E9465D"/>
    <w:rsid w:val="00E95ADB"/>
    <w:rsid w:val="00E97226"/>
    <w:rsid w:val="00EA2B44"/>
    <w:rsid w:val="00EA33EF"/>
    <w:rsid w:val="00EC4FFD"/>
    <w:rsid w:val="00EC58F5"/>
    <w:rsid w:val="00EC5EFC"/>
    <w:rsid w:val="00ED57D1"/>
    <w:rsid w:val="00ED6DF6"/>
    <w:rsid w:val="00EF33CD"/>
    <w:rsid w:val="00EF49EE"/>
    <w:rsid w:val="00F12924"/>
    <w:rsid w:val="00F20C9B"/>
    <w:rsid w:val="00F26036"/>
    <w:rsid w:val="00F300CB"/>
    <w:rsid w:val="00F31310"/>
    <w:rsid w:val="00F42C3A"/>
    <w:rsid w:val="00F42FA2"/>
    <w:rsid w:val="00F4329E"/>
    <w:rsid w:val="00F45451"/>
    <w:rsid w:val="00F4603E"/>
    <w:rsid w:val="00F528CC"/>
    <w:rsid w:val="00F52BCC"/>
    <w:rsid w:val="00F5313F"/>
    <w:rsid w:val="00F8007B"/>
    <w:rsid w:val="00F81135"/>
    <w:rsid w:val="00F81A48"/>
    <w:rsid w:val="00F92920"/>
    <w:rsid w:val="00F92D54"/>
    <w:rsid w:val="00FA2068"/>
    <w:rsid w:val="00FB62BC"/>
    <w:rsid w:val="00FC7CF9"/>
    <w:rsid w:val="00FD17C9"/>
    <w:rsid w:val="00FD2A5B"/>
    <w:rsid w:val="00FD731A"/>
    <w:rsid w:val="00FE6A5C"/>
    <w:rsid w:val="00FE7D7C"/>
    <w:rsid w:val="00FF4289"/>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32C"/>
  <w15:docId w15:val="{9D90DC5A-7AFA-4611-BD6A-D548F49A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TOC4">
    <w:name w:val="toc 4"/>
    <w:basedOn w:val="Normal"/>
    <w:next w:val="Normal"/>
    <w:autoRedefine/>
    <w:uiPriority w:val="39"/>
    <w:semiHidden/>
    <w:unhideWhenUsed/>
    <w:rsid w:val="007956C4"/>
    <w:pPr>
      <w:tabs>
        <w:tab w:val="clear" w:pos="9360"/>
      </w:tabs>
      <w:spacing w:after="100"/>
      <w:ind w:left="660"/>
    </w:pPr>
  </w:style>
  <w:style w:type="paragraph" w:styleId="ListBullet2">
    <w:name w:val="List Bullet 2"/>
    <w:basedOn w:val="Normal"/>
    <w:uiPriority w:val="99"/>
    <w:rsid w:val="006319B0"/>
    <w:pPr>
      <w:numPr>
        <w:numId w:val="39"/>
      </w:numPr>
      <w:tabs>
        <w:tab w:val="clear" w:pos="9360"/>
      </w:tabs>
      <w:spacing w:before="120" w:after="240" w:line="240" w:lineRule="auto"/>
      <w:ind w:left="1440"/>
    </w:pPr>
    <w:rPr>
      <w:rFonts w:ascii="Arial" w:eastAsia="Times New Roman" w:hAnsi="Arial" w:cs="Times New Roman"/>
      <w:szCs w:val="24"/>
    </w:rPr>
  </w:style>
  <w:style w:type="paragraph" w:styleId="EndnoteText">
    <w:name w:val="endnote text"/>
    <w:basedOn w:val="Normal"/>
    <w:link w:val="EndnoteTextChar"/>
    <w:uiPriority w:val="99"/>
    <w:semiHidden/>
    <w:unhideWhenUsed/>
    <w:rsid w:val="008E514F"/>
    <w:pPr>
      <w:spacing w:line="240" w:lineRule="auto"/>
    </w:pPr>
    <w:rPr>
      <w:sz w:val="20"/>
      <w:szCs w:val="20"/>
    </w:rPr>
  </w:style>
  <w:style w:type="character" w:customStyle="1" w:styleId="EndnoteTextChar">
    <w:name w:val="Endnote Text Char"/>
    <w:basedOn w:val="DefaultParagraphFont"/>
    <w:link w:val="EndnoteText"/>
    <w:uiPriority w:val="99"/>
    <w:semiHidden/>
    <w:rsid w:val="008E514F"/>
    <w:rPr>
      <w:rFonts w:asciiTheme="majorHAnsi" w:hAnsiTheme="majorHAnsi"/>
      <w:sz w:val="20"/>
      <w:szCs w:val="20"/>
    </w:rPr>
  </w:style>
  <w:style w:type="character" w:styleId="EndnoteReference">
    <w:name w:val="endnote reference"/>
    <w:basedOn w:val="DefaultParagraphFont"/>
    <w:uiPriority w:val="99"/>
    <w:semiHidden/>
    <w:unhideWhenUsed/>
    <w:rsid w:val="008E5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1658838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18647308">
      <w:bodyDiv w:val="1"/>
      <w:marLeft w:val="0"/>
      <w:marRight w:val="0"/>
      <w:marTop w:val="0"/>
      <w:marBottom w:val="0"/>
      <w:divBdr>
        <w:top w:val="none" w:sz="0" w:space="0" w:color="auto"/>
        <w:left w:val="none" w:sz="0" w:space="0" w:color="auto"/>
        <w:bottom w:val="none" w:sz="0" w:space="0" w:color="auto"/>
        <w:right w:val="none" w:sz="0" w:space="0" w:color="auto"/>
      </w:divBdr>
    </w:div>
    <w:div w:id="2009550964">
      <w:bodyDiv w:val="1"/>
      <w:marLeft w:val="0"/>
      <w:marRight w:val="0"/>
      <w:marTop w:val="0"/>
      <w:marBottom w:val="0"/>
      <w:divBdr>
        <w:top w:val="none" w:sz="0" w:space="0" w:color="auto"/>
        <w:left w:val="none" w:sz="0" w:space="0" w:color="auto"/>
        <w:bottom w:val="none" w:sz="0" w:space="0" w:color="auto"/>
        <w:right w:val="none" w:sz="0" w:space="0" w:color="auto"/>
      </w:divBdr>
      <w:divsChild>
        <w:div w:id="1906648416">
          <w:marLeft w:val="0"/>
          <w:marRight w:val="0"/>
          <w:marTop w:val="0"/>
          <w:marBottom w:val="0"/>
          <w:divBdr>
            <w:top w:val="none" w:sz="0" w:space="0" w:color="auto"/>
            <w:left w:val="none" w:sz="0" w:space="0" w:color="auto"/>
            <w:bottom w:val="none" w:sz="0" w:space="0" w:color="auto"/>
            <w:right w:val="none" w:sz="0" w:space="0" w:color="auto"/>
          </w:divBdr>
          <w:divsChild>
            <w:div w:id="271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a.hovagimian@hhs.gov" TargetMode="External"/><Relationship Id="rId13" Type="http://schemas.openxmlformats.org/officeDocument/2006/relationships/hyperlink" Target="http://www.hhs.gov/about/news/2016/08/12/HHS-declares-public-health-emergency-in-Puerto-Rico-in-response-to-Zika-outbreak.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he.gov/Preparedness/legal/pahpa/section201/Documents/section319e-guidance.pdf.%20Accessed%20on%2010/3/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e.gov/temporaryreassign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knowledgecenter.csg.org/kc/content/governors-salaries-2016" TargetMode="External"/><Relationship Id="rId4" Type="http://schemas.openxmlformats.org/officeDocument/2006/relationships/settings" Target="settings.xml"/><Relationship Id="rId9" Type="http://schemas.openxmlformats.org/officeDocument/2006/relationships/hyperlink" Target="mailto:temporaryreassignment@hhs.gov" TargetMode="External"/><Relationship Id="rId14" Type="http://schemas.openxmlformats.org/officeDocument/2006/relationships/hyperlink" Target="http://www.phe.gov/emergency/news/healthactions/phe/Pages/hurricane-sand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FAB61-BAB8-4C80-9719-3267DCD0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3394</Words>
  <Characters>19349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CDC User</cp:lastModifiedBy>
  <cp:revision>5</cp:revision>
  <cp:lastPrinted>2016-10-12T12:50:00Z</cp:lastPrinted>
  <dcterms:created xsi:type="dcterms:W3CDTF">2016-10-14T19:18:00Z</dcterms:created>
  <dcterms:modified xsi:type="dcterms:W3CDTF">2016-10-14T20:15:00Z</dcterms:modified>
</cp:coreProperties>
</file>