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33ADE" w14:textId="77777777" w:rsidR="009B4A51" w:rsidRDefault="009B4A51" w:rsidP="007D6163"/>
    <w:p w14:paraId="4B79C460" w14:textId="77777777" w:rsidR="00372B48" w:rsidRDefault="00372B48" w:rsidP="007D6163"/>
    <w:p w14:paraId="31C6161D" w14:textId="77777777" w:rsidR="009B4A51" w:rsidRDefault="009B4A51" w:rsidP="007D6163"/>
    <w:p w14:paraId="39AE4E81" w14:textId="77777777" w:rsidR="009B4A51" w:rsidRDefault="009B4A51" w:rsidP="00905F8E">
      <w:pPr>
        <w:ind w:left="0"/>
      </w:pPr>
    </w:p>
    <w:p w14:paraId="6F068EAA" w14:textId="77777777" w:rsidR="00667C89" w:rsidRDefault="00667C89" w:rsidP="007D6163"/>
    <w:p w14:paraId="699C0DDC" w14:textId="77777777" w:rsidR="009B4A51" w:rsidRDefault="009B4A51" w:rsidP="004135D5">
      <w:pPr>
        <w:pStyle w:val="Heading6"/>
      </w:pPr>
    </w:p>
    <w:p w14:paraId="22CCA5BD" w14:textId="77777777" w:rsidR="009B4A51" w:rsidRDefault="009B4A51" w:rsidP="00CA5840">
      <w:pPr>
        <w:ind w:left="0"/>
      </w:pPr>
    </w:p>
    <w:p w14:paraId="14615F9F" w14:textId="47DAF58D" w:rsidR="00AA3192" w:rsidRDefault="00FD7599" w:rsidP="00FD7599">
      <w:pPr>
        <w:ind w:left="0"/>
        <w:jc w:val="center"/>
      </w:pPr>
      <w:r w:rsidRPr="00FD7599">
        <w:rPr>
          <w:b/>
          <w:color w:val="0070C0"/>
          <w:sz w:val="40"/>
        </w:rPr>
        <w:t>Community Health Worker</w:t>
      </w:r>
      <w:r w:rsidR="00593208">
        <w:rPr>
          <w:b/>
          <w:color w:val="0070C0"/>
          <w:sz w:val="40"/>
        </w:rPr>
        <w:t xml:space="preserve"> Certification</w:t>
      </w:r>
      <w:r w:rsidRPr="00FD7599">
        <w:rPr>
          <w:b/>
          <w:color w:val="0070C0"/>
          <w:sz w:val="40"/>
        </w:rPr>
        <w:t xml:space="preserve">: </w:t>
      </w:r>
      <w:r w:rsidR="00593208">
        <w:rPr>
          <w:b/>
          <w:color w:val="0070C0"/>
          <w:sz w:val="40"/>
        </w:rPr>
        <w:t xml:space="preserve">Effective Strategies and Potential </w:t>
      </w:r>
      <w:r w:rsidR="00F74006">
        <w:rPr>
          <w:b/>
          <w:color w:val="0070C0"/>
          <w:sz w:val="40"/>
        </w:rPr>
        <w:t>Challenges</w:t>
      </w:r>
    </w:p>
    <w:p w14:paraId="769E126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6DF7B5EC" w14:textId="77777777" w:rsidR="009B4A51" w:rsidRDefault="009B4A51" w:rsidP="00CA5840">
      <w:pPr>
        <w:ind w:left="0"/>
      </w:pPr>
    </w:p>
    <w:p w14:paraId="530B1CC3" w14:textId="77777777" w:rsidR="009B4A51" w:rsidRDefault="009B4A51" w:rsidP="00CA5840">
      <w:pPr>
        <w:ind w:left="0"/>
      </w:pPr>
    </w:p>
    <w:p w14:paraId="6C5B52C2" w14:textId="77777777" w:rsidR="00AA3192" w:rsidRDefault="00AA3192" w:rsidP="00CA5840">
      <w:pPr>
        <w:ind w:left="0"/>
      </w:pPr>
    </w:p>
    <w:p w14:paraId="0682C83A" w14:textId="77777777" w:rsidR="00AA3192" w:rsidRDefault="00AA3192" w:rsidP="00CA5840">
      <w:pPr>
        <w:ind w:left="0"/>
      </w:pPr>
    </w:p>
    <w:p w14:paraId="62481456" w14:textId="77777777" w:rsidR="009B4A51" w:rsidRPr="007D6163" w:rsidRDefault="009B4A51" w:rsidP="00CA5840">
      <w:pPr>
        <w:pStyle w:val="Heading2"/>
        <w:ind w:left="0"/>
      </w:pPr>
      <w:r w:rsidRPr="007D6163">
        <w:t>Supporting Statement – Section A</w:t>
      </w:r>
    </w:p>
    <w:p w14:paraId="02411B16" w14:textId="77777777" w:rsidR="009B4A51" w:rsidRDefault="009B4A51" w:rsidP="00CA5840">
      <w:pPr>
        <w:ind w:left="0"/>
      </w:pPr>
    </w:p>
    <w:p w14:paraId="16B8C76D" w14:textId="77777777" w:rsidR="00484011" w:rsidRDefault="00484011" w:rsidP="00CA5840">
      <w:pPr>
        <w:ind w:left="0"/>
      </w:pPr>
    </w:p>
    <w:p w14:paraId="49C76F6D" w14:textId="77777777" w:rsidR="00AA3192" w:rsidRDefault="00AA3192" w:rsidP="00CA5840">
      <w:pPr>
        <w:ind w:left="0"/>
      </w:pPr>
    </w:p>
    <w:p w14:paraId="030A7661" w14:textId="77777777" w:rsidR="009B4A51" w:rsidRDefault="009B4A51" w:rsidP="00CA5840">
      <w:pPr>
        <w:ind w:left="0"/>
      </w:pPr>
    </w:p>
    <w:p w14:paraId="436C092E" w14:textId="77777777" w:rsidR="009B4A51" w:rsidRDefault="009B4A51" w:rsidP="00CA5840">
      <w:pPr>
        <w:ind w:left="0"/>
      </w:pPr>
    </w:p>
    <w:p w14:paraId="22A90E6B" w14:textId="77777777" w:rsidR="00187D5A" w:rsidRDefault="00187D5A" w:rsidP="00CA5840">
      <w:pPr>
        <w:ind w:left="0"/>
      </w:pPr>
    </w:p>
    <w:p w14:paraId="4A9AEE25" w14:textId="41E2D9D3" w:rsidR="009B4A51" w:rsidRPr="000D0008" w:rsidRDefault="009B4A51" w:rsidP="00CA5840">
      <w:pPr>
        <w:ind w:left="0"/>
        <w:jc w:val="center"/>
        <w:rPr>
          <w:color w:val="0070C0"/>
        </w:rPr>
      </w:pPr>
      <w:r w:rsidRPr="00AA3192">
        <w:t>Submitted:</w:t>
      </w:r>
      <w:r w:rsidR="00470562">
        <w:t xml:space="preserve"> </w:t>
      </w:r>
      <w:r w:rsidR="000D0008" w:rsidRPr="000D0008">
        <w:rPr>
          <w:color w:val="0070C0"/>
        </w:rPr>
        <w:t xml:space="preserve">February </w:t>
      </w:r>
      <w:r w:rsidR="007C6341">
        <w:rPr>
          <w:color w:val="0070C0"/>
        </w:rPr>
        <w:t>16</w:t>
      </w:r>
      <w:bookmarkStart w:id="0" w:name="_GoBack"/>
      <w:bookmarkEnd w:id="0"/>
      <w:r w:rsidR="003E1CD1">
        <w:rPr>
          <w:color w:val="0070C0"/>
        </w:rPr>
        <w:t>th</w:t>
      </w:r>
      <w:r w:rsidR="00827969" w:rsidRPr="000D0008">
        <w:rPr>
          <w:color w:val="0070C0"/>
        </w:rPr>
        <w:t>, 2017</w:t>
      </w:r>
    </w:p>
    <w:p w14:paraId="34AEE206" w14:textId="77777777" w:rsidR="009B4A51" w:rsidRDefault="009B4A51" w:rsidP="007D6163"/>
    <w:p w14:paraId="3421DF31" w14:textId="77777777" w:rsidR="009B4A51" w:rsidRDefault="009B4A51" w:rsidP="007D6163"/>
    <w:p w14:paraId="127C1A91" w14:textId="77777777" w:rsidR="009B4A51" w:rsidRDefault="009B4A51" w:rsidP="007D6163"/>
    <w:p w14:paraId="3E13F641" w14:textId="77777777" w:rsidR="00AA3192" w:rsidRDefault="00AA3192" w:rsidP="007D6163"/>
    <w:p w14:paraId="1EDB03B1" w14:textId="77777777" w:rsidR="00AA3192" w:rsidRDefault="00AA3192" w:rsidP="007D6163"/>
    <w:p w14:paraId="53295C3D" w14:textId="77777777" w:rsidR="009B4A51" w:rsidRDefault="009B4A51" w:rsidP="007D6163"/>
    <w:p w14:paraId="74C4802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31762D65" w14:textId="3CC4F2FC" w:rsidR="00321B51" w:rsidRPr="00FF4566" w:rsidRDefault="00FF4566" w:rsidP="00CA5840">
      <w:pPr>
        <w:ind w:left="0"/>
        <w:rPr>
          <w:color w:val="000000" w:themeColor="text1"/>
        </w:rPr>
      </w:pPr>
      <w:r w:rsidRPr="00FF4566">
        <w:rPr>
          <w:color w:val="000000" w:themeColor="text1"/>
        </w:rPr>
        <w:t xml:space="preserve">Name: </w:t>
      </w:r>
      <w:r w:rsidR="00FD7599" w:rsidRPr="00FF4566">
        <w:rPr>
          <w:color w:val="000000" w:themeColor="text1"/>
        </w:rPr>
        <w:t>Erika Fulmer</w:t>
      </w:r>
      <w:r w:rsidR="00FD7599" w:rsidRPr="00FF4566">
        <w:rPr>
          <w:color w:val="000000" w:themeColor="text1"/>
        </w:rPr>
        <w:tab/>
      </w:r>
    </w:p>
    <w:p w14:paraId="1DB836AA" w14:textId="6AAA8B48" w:rsidR="00321B51" w:rsidRPr="00FF4566" w:rsidRDefault="00FF4566" w:rsidP="00CA5840">
      <w:pPr>
        <w:ind w:left="0"/>
        <w:rPr>
          <w:color w:val="000000" w:themeColor="text1"/>
        </w:rPr>
      </w:pPr>
      <w:r w:rsidRPr="00FF4566">
        <w:rPr>
          <w:color w:val="000000" w:themeColor="text1"/>
        </w:rPr>
        <w:t xml:space="preserve">Title: </w:t>
      </w:r>
      <w:r w:rsidR="00FD7599" w:rsidRPr="00FF4566">
        <w:rPr>
          <w:color w:val="000000" w:themeColor="text1"/>
        </w:rPr>
        <w:t>Policy Analyst</w:t>
      </w:r>
    </w:p>
    <w:p w14:paraId="3F15C95C" w14:textId="7F62D703" w:rsidR="00321B51" w:rsidRPr="00FF4566" w:rsidRDefault="00FF4566" w:rsidP="00CA5840">
      <w:pPr>
        <w:ind w:left="0"/>
        <w:rPr>
          <w:color w:val="000000" w:themeColor="text1"/>
        </w:rPr>
      </w:pPr>
      <w:r w:rsidRPr="00FF4566">
        <w:rPr>
          <w:color w:val="000000" w:themeColor="text1"/>
        </w:rPr>
        <w:t xml:space="preserve">Organization: </w:t>
      </w:r>
      <w:r w:rsidR="00FD7599" w:rsidRPr="00FF4566">
        <w:rPr>
          <w:color w:val="000000" w:themeColor="text1"/>
        </w:rPr>
        <w:t xml:space="preserve">Division for Heart Disease and Stroke Prevention, </w:t>
      </w:r>
      <w:r>
        <w:rPr>
          <w:color w:val="000000" w:themeColor="text1"/>
        </w:rPr>
        <w:t xml:space="preserve">Centers for Disease Control </w:t>
      </w:r>
      <w:r w:rsidR="00D7253A">
        <w:rPr>
          <w:color w:val="000000" w:themeColor="text1"/>
        </w:rPr>
        <w:t>a</w:t>
      </w:r>
      <w:r>
        <w:rPr>
          <w:color w:val="000000" w:themeColor="text1"/>
        </w:rPr>
        <w:t>nd Prevention</w:t>
      </w:r>
    </w:p>
    <w:p w14:paraId="3C4BC772" w14:textId="724997A1" w:rsidR="00FD7599" w:rsidRPr="00FF4566" w:rsidRDefault="00FF4566" w:rsidP="00CA5840">
      <w:pPr>
        <w:ind w:left="0"/>
        <w:rPr>
          <w:color w:val="000000" w:themeColor="text1"/>
        </w:rPr>
      </w:pPr>
      <w:r>
        <w:rPr>
          <w:color w:val="000000" w:themeColor="text1"/>
        </w:rPr>
        <w:t xml:space="preserve">Address: </w:t>
      </w:r>
      <w:r w:rsidR="00FD7599" w:rsidRPr="00FF4566">
        <w:rPr>
          <w:color w:val="000000" w:themeColor="text1"/>
        </w:rPr>
        <w:t xml:space="preserve">4770 Buford Highway, NE; Mailstop F-75; Atlanta, GA 30341 </w:t>
      </w:r>
    </w:p>
    <w:p w14:paraId="478FBD4F" w14:textId="53D772EB" w:rsidR="00FD7599" w:rsidRPr="00FF4566" w:rsidRDefault="00FF4566" w:rsidP="00CA5840">
      <w:pPr>
        <w:ind w:left="0"/>
        <w:rPr>
          <w:color w:val="000000" w:themeColor="text1"/>
        </w:rPr>
      </w:pPr>
      <w:r w:rsidRPr="00FF4566">
        <w:rPr>
          <w:color w:val="000000" w:themeColor="text1"/>
        </w:rPr>
        <w:t xml:space="preserve">Phone: </w:t>
      </w:r>
      <w:r w:rsidR="00FD7599" w:rsidRPr="00FF4566">
        <w:rPr>
          <w:color w:val="000000" w:themeColor="text1"/>
        </w:rPr>
        <w:t xml:space="preserve">770-488-5334 </w:t>
      </w:r>
    </w:p>
    <w:p w14:paraId="4A41970F" w14:textId="0B608315" w:rsidR="00FD7599" w:rsidRPr="00FF4566" w:rsidRDefault="00FF4566" w:rsidP="00CA5840">
      <w:pPr>
        <w:ind w:left="0"/>
        <w:rPr>
          <w:color w:val="000000" w:themeColor="text1"/>
        </w:rPr>
      </w:pPr>
      <w:r w:rsidRPr="00FF4566">
        <w:rPr>
          <w:color w:val="000000" w:themeColor="text1"/>
        </w:rPr>
        <w:t xml:space="preserve">Fax: </w:t>
      </w:r>
      <w:r w:rsidR="00FD7599" w:rsidRPr="00FF4566">
        <w:rPr>
          <w:color w:val="000000" w:themeColor="text1"/>
        </w:rPr>
        <w:t xml:space="preserve">770-488-5848 </w:t>
      </w:r>
    </w:p>
    <w:p w14:paraId="2935CA74" w14:textId="36AAE9ED" w:rsidR="00CA5840" w:rsidRPr="00905F8E" w:rsidRDefault="00FF4566" w:rsidP="00470562">
      <w:pPr>
        <w:ind w:left="0"/>
        <w:rPr>
          <w:color w:val="0070C0"/>
        </w:rPr>
      </w:pPr>
      <w:r w:rsidRPr="00FF4566">
        <w:rPr>
          <w:color w:val="000000" w:themeColor="text1"/>
        </w:rPr>
        <w:t xml:space="preserve">Email: </w:t>
      </w:r>
      <w:hyperlink r:id="rId13" w:history="1">
        <w:r w:rsidRPr="00C67384">
          <w:rPr>
            <w:rStyle w:val="Hyperlink"/>
          </w:rPr>
          <w:t>Duj2@cdc.gov</w:t>
        </w:r>
      </w:hyperlink>
    </w:p>
    <w:p w14:paraId="10400F57" w14:textId="593B4D7E" w:rsidR="00FB797F" w:rsidRDefault="00FB797F">
      <w:pPr>
        <w:tabs>
          <w:tab w:val="clear" w:pos="9360"/>
        </w:tabs>
        <w:spacing w:after="200"/>
        <w:ind w:left="0"/>
      </w:pPr>
      <w:r>
        <w:br w:type="page"/>
      </w:r>
    </w:p>
    <w:p w14:paraId="5318C3BF" w14:textId="77777777" w:rsidR="00470562" w:rsidRPr="00470562" w:rsidRDefault="00470562" w:rsidP="00470562">
      <w:pPr>
        <w:ind w:left="0"/>
      </w:pPr>
    </w:p>
    <w:p w14:paraId="0FA49B96" w14:textId="77777777" w:rsidR="003860A5" w:rsidRDefault="003860A5" w:rsidP="003860A5">
      <w:pPr>
        <w:pStyle w:val="Heading3"/>
        <w:ind w:left="0"/>
      </w:pPr>
      <w:bookmarkStart w:id="1" w:name="_Toc427752811"/>
      <w:r>
        <w:t>Table of Contents</w:t>
      </w:r>
      <w:bookmarkEnd w:id="1"/>
    </w:p>
    <w:p w14:paraId="38F17BFF" w14:textId="77777777" w:rsidR="003860A5" w:rsidRPr="003860A5" w:rsidRDefault="003860A5" w:rsidP="003860A5"/>
    <w:p w14:paraId="461D6187" w14:textId="1F2CD102"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B232BD">
          <w:rPr>
            <w:noProof/>
            <w:webHidden/>
          </w:rPr>
          <w:t>2</w:t>
        </w:r>
        <w:r w:rsidR="00CC4DAB">
          <w:rPr>
            <w:noProof/>
            <w:webHidden/>
          </w:rPr>
          <w:fldChar w:fldCharType="end"/>
        </w:r>
      </w:hyperlink>
    </w:p>
    <w:p w14:paraId="7E76DEA3" w14:textId="155AFDD7" w:rsidR="00CC4DAB" w:rsidRDefault="00B761A8">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B232BD">
          <w:rPr>
            <w:noProof/>
            <w:webHidden/>
          </w:rPr>
          <w:t>3</w:t>
        </w:r>
        <w:r w:rsidR="00CC4DAB">
          <w:rPr>
            <w:noProof/>
            <w:webHidden/>
          </w:rPr>
          <w:fldChar w:fldCharType="end"/>
        </w:r>
      </w:hyperlink>
    </w:p>
    <w:p w14:paraId="314811EB" w14:textId="5EC8D8DA" w:rsidR="00CC4DAB" w:rsidRDefault="00B761A8">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B232BD">
          <w:rPr>
            <w:noProof/>
            <w:webHidden/>
          </w:rPr>
          <w:t>3</w:t>
        </w:r>
        <w:r w:rsidR="00CC4DAB">
          <w:rPr>
            <w:noProof/>
            <w:webHidden/>
          </w:rPr>
          <w:fldChar w:fldCharType="end"/>
        </w:r>
      </w:hyperlink>
    </w:p>
    <w:p w14:paraId="34E44435" w14:textId="77777777" w:rsidR="00CC4DAB" w:rsidRDefault="00B761A8">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B232BD">
          <w:rPr>
            <w:noProof/>
            <w:webHidden/>
          </w:rPr>
          <w:t>6</w:t>
        </w:r>
        <w:r w:rsidR="00CC4DAB">
          <w:rPr>
            <w:noProof/>
            <w:webHidden/>
          </w:rPr>
          <w:fldChar w:fldCharType="end"/>
        </w:r>
      </w:hyperlink>
    </w:p>
    <w:p w14:paraId="341964F2" w14:textId="77777777" w:rsidR="00CC4DAB" w:rsidRDefault="00B761A8">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B232BD">
          <w:rPr>
            <w:noProof/>
            <w:webHidden/>
          </w:rPr>
          <w:t>7</w:t>
        </w:r>
        <w:r w:rsidR="00CC4DAB">
          <w:rPr>
            <w:noProof/>
            <w:webHidden/>
          </w:rPr>
          <w:fldChar w:fldCharType="end"/>
        </w:r>
      </w:hyperlink>
    </w:p>
    <w:p w14:paraId="4D425A86" w14:textId="5A34026E" w:rsidR="00CC4DAB" w:rsidRDefault="00B761A8">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B232BD">
          <w:rPr>
            <w:noProof/>
            <w:webHidden/>
          </w:rPr>
          <w:t>7</w:t>
        </w:r>
        <w:r w:rsidR="00CC4DAB">
          <w:rPr>
            <w:noProof/>
            <w:webHidden/>
          </w:rPr>
          <w:fldChar w:fldCharType="end"/>
        </w:r>
      </w:hyperlink>
    </w:p>
    <w:p w14:paraId="0597B2E1" w14:textId="77777777" w:rsidR="00CC4DAB" w:rsidRDefault="00B761A8">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B232BD">
          <w:rPr>
            <w:noProof/>
            <w:webHidden/>
          </w:rPr>
          <w:t>7</w:t>
        </w:r>
        <w:r w:rsidR="00CC4DAB">
          <w:rPr>
            <w:noProof/>
            <w:webHidden/>
          </w:rPr>
          <w:fldChar w:fldCharType="end"/>
        </w:r>
      </w:hyperlink>
    </w:p>
    <w:p w14:paraId="27B6204E" w14:textId="77777777" w:rsidR="00CC4DAB" w:rsidRDefault="00B761A8">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B232BD">
          <w:rPr>
            <w:noProof/>
            <w:webHidden/>
          </w:rPr>
          <w:t>7</w:t>
        </w:r>
        <w:r w:rsidR="00CC4DAB">
          <w:rPr>
            <w:noProof/>
            <w:webHidden/>
          </w:rPr>
          <w:fldChar w:fldCharType="end"/>
        </w:r>
      </w:hyperlink>
    </w:p>
    <w:p w14:paraId="11021D84" w14:textId="77777777" w:rsidR="00CC4DAB" w:rsidRDefault="00B761A8">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B232BD">
          <w:rPr>
            <w:noProof/>
            <w:webHidden/>
          </w:rPr>
          <w:t>8</w:t>
        </w:r>
        <w:r w:rsidR="00CC4DAB">
          <w:rPr>
            <w:noProof/>
            <w:webHidden/>
          </w:rPr>
          <w:fldChar w:fldCharType="end"/>
        </w:r>
      </w:hyperlink>
    </w:p>
    <w:p w14:paraId="193307E1" w14:textId="77777777" w:rsidR="00CC4DAB" w:rsidRDefault="00B761A8">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B232BD">
          <w:rPr>
            <w:noProof/>
            <w:webHidden/>
          </w:rPr>
          <w:t>8</w:t>
        </w:r>
        <w:r w:rsidR="00CC4DAB">
          <w:rPr>
            <w:noProof/>
            <w:webHidden/>
          </w:rPr>
          <w:fldChar w:fldCharType="end"/>
        </w:r>
      </w:hyperlink>
    </w:p>
    <w:p w14:paraId="55C1FBAF" w14:textId="184E0AA2" w:rsidR="00CC4DAB" w:rsidRDefault="00B761A8">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B232BD">
          <w:rPr>
            <w:noProof/>
            <w:webHidden/>
          </w:rPr>
          <w:t>8</w:t>
        </w:r>
        <w:r w:rsidR="00CC4DAB">
          <w:rPr>
            <w:noProof/>
            <w:webHidden/>
          </w:rPr>
          <w:fldChar w:fldCharType="end"/>
        </w:r>
      </w:hyperlink>
    </w:p>
    <w:p w14:paraId="0DE14437" w14:textId="04FAA612" w:rsidR="00CC4DAB" w:rsidRDefault="00B761A8">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B232BD">
          <w:rPr>
            <w:noProof/>
            <w:webHidden/>
          </w:rPr>
          <w:t>8</w:t>
        </w:r>
        <w:r w:rsidR="00CC4DAB">
          <w:rPr>
            <w:noProof/>
            <w:webHidden/>
          </w:rPr>
          <w:fldChar w:fldCharType="end"/>
        </w:r>
      </w:hyperlink>
    </w:p>
    <w:p w14:paraId="1602AB14" w14:textId="77777777" w:rsidR="00CC4DAB" w:rsidRDefault="00B761A8">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B232BD">
          <w:rPr>
            <w:noProof/>
            <w:webHidden/>
          </w:rPr>
          <w:t>8</w:t>
        </w:r>
        <w:r w:rsidR="00CC4DAB">
          <w:rPr>
            <w:noProof/>
            <w:webHidden/>
          </w:rPr>
          <w:fldChar w:fldCharType="end"/>
        </w:r>
      </w:hyperlink>
    </w:p>
    <w:p w14:paraId="7F69E179" w14:textId="77777777" w:rsidR="00CC4DAB" w:rsidRDefault="00B761A8">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B232BD">
          <w:rPr>
            <w:noProof/>
            <w:webHidden/>
          </w:rPr>
          <w:t>8</w:t>
        </w:r>
        <w:r w:rsidR="00CC4DAB">
          <w:rPr>
            <w:noProof/>
            <w:webHidden/>
          </w:rPr>
          <w:fldChar w:fldCharType="end"/>
        </w:r>
      </w:hyperlink>
    </w:p>
    <w:p w14:paraId="1BFBDC8A" w14:textId="1EC1C361" w:rsidR="00CC4DAB" w:rsidRDefault="00B761A8">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B232BD">
          <w:rPr>
            <w:noProof/>
            <w:webHidden/>
          </w:rPr>
          <w:t>9</w:t>
        </w:r>
        <w:r w:rsidR="00CC4DAB">
          <w:rPr>
            <w:noProof/>
            <w:webHidden/>
          </w:rPr>
          <w:fldChar w:fldCharType="end"/>
        </w:r>
      </w:hyperlink>
    </w:p>
    <w:p w14:paraId="28485E18" w14:textId="77777777" w:rsidR="00CC4DAB" w:rsidRDefault="00B761A8">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B232BD">
          <w:rPr>
            <w:noProof/>
            <w:webHidden/>
          </w:rPr>
          <w:t>9</w:t>
        </w:r>
        <w:r w:rsidR="00CC4DAB">
          <w:rPr>
            <w:noProof/>
            <w:webHidden/>
          </w:rPr>
          <w:fldChar w:fldCharType="end"/>
        </w:r>
      </w:hyperlink>
    </w:p>
    <w:p w14:paraId="7B4E8EE4" w14:textId="77777777" w:rsidR="00CC4DAB" w:rsidRDefault="00B761A8">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B232BD">
          <w:rPr>
            <w:noProof/>
            <w:webHidden/>
          </w:rPr>
          <w:t>10</w:t>
        </w:r>
        <w:r w:rsidR="00CC4DAB">
          <w:rPr>
            <w:noProof/>
            <w:webHidden/>
          </w:rPr>
          <w:fldChar w:fldCharType="end"/>
        </w:r>
      </w:hyperlink>
    </w:p>
    <w:p w14:paraId="0FCCA84F" w14:textId="0A71149E" w:rsidR="00CC4DAB" w:rsidRDefault="00B761A8">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B232BD">
          <w:rPr>
            <w:noProof/>
            <w:webHidden/>
          </w:rPr>
          <w:t>10</w:t>
        </w:r>
        <w:r w:rsidR="00CC4DAB">
          <w:rPr>
            <w:noProof/>
            <w:webHidden/>
          </w:rPr>
          <w:fldChar w:fldCharType="end"/>
        </w:r>
      </w:hyperlink>
    </w:p>
    <w:p w14:paraId="39618C55" w14:textId="77777777" w:rsidR="00CC4DAB" w:rsidRDefault="00B761A8">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B232BD">
          <w:rPr>
            <w:noProof/>
            <w:webHidden/>
          </w:rPr>
          <w:t>11</w:t>
        </w:r>
        <w:r w:rsidR="00CC4DAB">
          <w:rPr>
            <w:noProof/>
            <w:webHidden/>
          </w:rPr>
          <w:fldChar w:fldCharType="end"/>
        </w:r>
      </w:hyperlink>
    </w:p>
    <w:p w14:paraId="6E51641B" w14:textId="77777777" w:rsidR="00CC4DAB" w:rsidRDefault="00B761A8">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B232BD">
          <w:rPr>
            <w:noProof/>
            <w:webHidden/>
          </w:rPr>
          <w:t>11</w:t>
        </w:r>
        <w:r w:rsidR="00CC4DAB">
          <w:rPr>
            <w:noProof/>
            <w:webHidden/>
          </w:rPr>
          <w:fldChar w:fldCharType="end"/>
        </w:r>
      </w:hyperlink>
    </w:p>
    <w:p w14:paraId="437A47BC" w14:textId="77777777" w:rsidR="00CC4DAB" w:rsidRDefault="00B761A8">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B232BD">
          <w:rPr>
            <w:noProof/>
            <w:webHidden/>
          </w:rPr>
          <w:t>11</w:t>
        </w:r>
        <w:r w:rsidR="00CC4DAB">
          <w:rPr>
            <w:noProof/>
            <w:webHidden/>
          </w:rPr>
          <w:fldChar w:fldCharType="end"/>
        </w:r>
      </w:hyperlink>
    </w:p>
    <w:p w14:paraId="451ECEBD" w14:textId="2F30A39A" w:rsidR="00CC4DAB" w:rsidRDefault="00B761A8">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B232BD">
          <w:rPr>
            <w:noProof/>
            <w:webHidden/>
          </w:rPr>
          <w:t>11</w:t>
        </w:r>
        <w:r w:rsidR="00CC4DAB">
          <w:rPr>
            <w:noProof/>
            <w:webHidden/>
          </w:rPr>
          <w:fldChar w:fldCharType="end"/>
        </w:r>
      </w:hyperlink>
    </w:p>
    <w:p w14:paraId="7E0F2413" w14:textId="77777777" w:rsidR="003860A5" w:rsidRDefault="003860A5" w:rsidP="00CA5840">
      <w:pPr>
        <w:pStyle w:val="Heading3"/>
        <w:ind w:left="0"/>
      </w:pPr>
      <w:r>
        <w:fldChar w:fldCharType="end"/>
      </w:r>
    </w:p>
    <w:bookmarkStart w:id="2" w:name="_Toc413847747"/>
    <w:bookmarkStart w:id="3" w:name="_Toc427752812"/>
    <w:p w14:paraId="25E7D594"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2DCDB37C" wp14:editId="431A35E6">
                <wp:extent cx="6162675" cy="44577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457700"/>
                        </a:xfrm>
                        <a:prstGeom prst="rect">
                          <a:avLst/>
                        </a:prstGeom>
                        <a:solidFill>
                          <a:srgbClr val="FFFFFF"/>
                        </a:solidFill>
                        <a:ln w="9525">
                          <a:solidFill>
                            <a:srgbClr val="000000"/>
                          </a:solidFill>
                          <a:miter lim="800000"/>
                          <a:headEnd/>
                          <a:tailEnd/>
                        </a:ln>
                      </wps:spPr>
                      <wps:txbx>
                        <w:txbxContent>
                          <w:p w14:paraId="7A35E41C" w14:textId="7CB4547C" w:rsidR="0007225B" w:rsidRDefault="0007225B" w:rsidP="00B00289">
                            <w:pPr>
                              <w:pStyle w:val="ListParagraph"/>
                              <w:numPr>
                                <w:ilvl w:val="0"/>
                                <w:numId w:val="34"/>
                              </w:numPr>
                              <w:tabs>
                                <w:tab w:val="clear" w:pos="9360"/>
                              </w:tabs>
                              <w:spacing w:after="200"/>
                            </w:pPr>
                            <w:r w:rsidRPr="00F03FD3">
                              <w:rPr>
                                <w:b/>
                              </w:rPr>
                              <w:t>Goal</w:t>
                            </w:r>
                            <w:r w:rsidRPr="008473C2">
                              <w:rPr>
                                <w:b/>
                              </w:rPr>
                              <w:t xml:space="preserve"> of the </w:t>
                            </w:r>
                            <w:r>
                              <w:rPr>
                                <w:b/>
                              </w:rPr>
                              <w:t>information collection</w:t>
                            </w:r>
                            <w:r w:rsidRPr="008473C2">
                              <w:rPr>
                                <w:b/>
                              </w:rPr>
                              <w:t xml:space="preserve">: </w:t>
                            </w:r>
                            <w:r>
                              <w:t>I</w:t>
                            </w:r>
                            <w:r w:rsidRPr="002F19B2">
                              <w:t>nform</w:t>
                            </w:r>
                            <w:r>
                              <w:t xml:space="preserve"> CDC and state health department staff, </w:t>
                            </w:r>
                            <w:r w:rsidRPr="00B00289">
                              <w:t xml:space="preserve">health insurers, </w:t>
                            </w:r>
                            <w:r>
                              <w:t xml:space="preserve">and professional </w:t>
                            </w:r>
                            <w:r w:rsidRPr="00B00289">
                              <w:t xml:space="preserve">associations </w:t>
                            </w:r>
                            <w:r w:rsidRPr="002F19B2">
                              <w:t xml:space="preserve">about effective strategies and potential </w:t>
                            </w:r>
                            <w:r w:rsidRPr="00B00289">
                              <w:t xml:space="preserve">challenges associated with state level actions </w:t>
                            </w:r>
                            <w:r w:rsidRPr="002F19B2">
                              <w:t>and organizing structures relevant to C</w:t>
                            </w:r>
                            <w:r>
                              <w:t>ommunity Health Worker</w:t>
                            </w:r>
                            <w:r w:rsidRPr="002F19B2">
                              <w:t xml:space="preserve"> </w:t>
                            </w:r>
                            <w:r>
                              <w:t xml:space="preserve">(CHW) </w:t>
                            </w:r>
                            <w:r w:rsidRPr="002F19B2">
                              <w:t>certification.</w:t>
                            </w:r>
                          </w:p>
                          <w:p w14:paraId="5ED49D30" w14:textId="77777777" w:rsidR="00C6148D" w:rsidRDefault="00C6148D" w:rsidP="009A3AC7">
                            <w:pPr>
                              <w:pStyle w:val="ListParagraph"/>
                              <w:tabs>
                                <w:tab w:val="clear" w:pos="9360"/>
                              </w:tabs>
                              <w:spacing w:after="200" w:line="240" w:lineRule="auto"/>
                              <w:ind w:left="360"/>
                            </w:pPr>
                          </w:p>
                          <w:p w14:paraId="5E703B89" w14:textId="47DBF7A3" w:rsidR="0007225B" w:rsidRDefault="0007225B" w:rsidP="00F03FD3">
                            <w:pPr>
                              <w:pStyle w:val="ListParagraph"/>
                              <w:numPr>
                                <w:ilvl w:val="0"/>
                                <w:numId w:val="34"/>
                              </w:numPr>
                              <w:tabs>
                                <w:tab w:val="clear" w:pos="9360"/>
                              </w:tabs>
                              <w:spacing w:after="200"/>
                            </w:pPr>
                            <w:r w:rsidRPr="00FA759B">
                              <w:rPr>
                                <w:b/>
                              </w:rPr>
                              <w:t>Intended use of the resulting data:</w:t>
                            </w:r>
                            <w:r>
                              <w:t xml:space="preserve">  </w:t>
                            </w:r>
                            <w:r w:rsidRPr="002F19B2">
                              <w:t xml:space="preserve">The </w:t>
                            </w:r>
                            <w:r>
                              <w:t>information collected</w:t>
                            </w:r>
                            <w:r w:rsidRPr="002F19B2">
                              <w:t xml:space="preserve"> will be used</w:t>
                            </w:r>
                            <w:r>
                              <w:t xml:space="preserve"> by CDC’s Division for Heart Disease and Stroke Prevention (DHDSP) and Division of Diabetes Translation (DDT) </w:t>
                            </w:r>
                            <w:r w:rsidRPr="002F19B2">
                              <w:t xml:space="preserve">to </w:t>
                            </w:r>
                            <w:r w:rsidR="0055198F">
                              <w:t xml:space="preserve">identify and examine issues related to implementation of CHW certification and to </w:t>
                            </w:r>
                            <w:r w:rsidRPr="002F19B2">
                              <w:t xml:space="preserve">develop technical assistance material for state grantees </w:t>
                            </w:r>
                            <w:r w:rsidRPr="00FA759B">
                              <w:t>and other decision makers</w:t>
                            </w:r>
                            <w:r w:rsidRPr="002F19B2">
                              <w:t xml:space="preserve"> that will be disseminated via conference presentations, webinars, fact sheets and implementation guides.</w:t>
                            </w:r>
                            <w:r>
                              <w:t xml:space="preserve"> </w:t>
                            </w:r>
                          </w:p>
                          <w:p w14:paraId="6218AAD9" w14:textId="77777777" w:rsidR="0007225B" w:rsidRPr="00F03FD3" w:rsidRDefault="0007225B" w:rsidP="009A3AC7">
                            <w:pPr>
                              <w:pStyle w:val="ListParagraph"/>
                              <w:tabs>
                                <w:tab w:val="clear" w:pos="9360"/>
                              </w:tabs>
                              <w:spacing w:after="200" w:line="240" w:lineRule="auto"/>
                              <w:ind w:left="360"/>
                            </w:pPr>
                          </w:p>
                          <w:p w14:paraId="047EC3B8" w14:textId="5A070B24" w:rsidR="0007225B" w:rsidRDefault="0007225B" w:rsidP="00487937">
                            <w:pPr>
                              <w:pStyle w:val="ListParagraph"/>
                              <w:numPr>
                                <w:ilvl w:val="0"/>
                                <w:numId w:val="34"/>
                              </w:numPr>
                              <w:tabs>
                                <w:tab w:val="clear" w:pos="9360"/>
                              </w:tabs>
                              <w:spacing w:after="200"/>
                            </w:pPr>
                            <w:r w:rsidRPr="008473C2">
                              <w:rPr>
                                <w:b/>
                              </w:rPr>
                              <w:t>Methods to be used to collect:</w:t>
                            </w:r>
                            <w:r>
                              <w:t xml:space="preserve"> Information will be collect</w:t>
                            </w:r>
                            <w:r w:rsidRPr="00AB21AA">
                              <w:t>ed via telephone</w:t>
                            </w:r>
                            <w:r w:rsidR="007A4824">
                              <w:t xml:space="preserve"> informant</w:t>
                            </w:r>
                            <w:r w:rsidRPr="00AB21AA">
                              <w:t xml:space="preserve"> interviews.</w:t>
                            </w:r>
                          </w:p>
                          <w:p w14:paraId="0E2725F1" w14:textId="77777777" w:rsidR="0007225B" w:rsidRDefault="0007225B" w:rsidP="009A3AC7">
                            <w:pPr>
                              <w:pStyle w:val="ListParagraph"/>
                              <w:spacing w:line="240" w:lineRule="auto"/>
                              <w:ind w:left="360"/>
                            </w:pPr>
                          </w:p>
                          <w:p w14:paraId="0EE73597" w14:textId="14FDBE99" w:rsidR="0007225B" w:rsidRDefault="0007225B" w:rsidP="000C115F">
                            <w:pPr>
                              <w:pStyle w:val="ListParagraph"/>
                              <w:numPr>
                                <w:ilvl w:val="0"/>
                                <w:numId w:val="34"/>
                              </w:numPr>
                              <w:tabs>
                                <w:tab w:val="clear" w:pos="9360"/>
                              </w:tabs>
                              <w:spacing w:after="200"/>
                            </w:pPr>
                            <w:r w:rsidRPr="00CD796A">
                              <w:rPr>
                                <w:b/>
                              </w:rPr>
                              <w:t>The subpopulation to be studied:</w:t>
                            </w:r>
                            <w:r w:rsidRPr="00CD796A">
                              <w:t xml:space="preserve"> 4</w:t>
                            </w:r>
                            <w:r>
                              <w:t>9</w:t>
                            </w:r>
                            <w:r w:rsidRPr="004A176F">
                              <w:t xml:space="preserve"> CHW-related state health department staff and their delegates involved in </w:t>
                            </w:r>
                            <w:r>
                              <w:t>CHW</w:t>
                            </w:r>
                            <w:r w:rsidRPr="004A176F">
                              <w:t xml:space="preserve"> certification </w:t>
                            </w:r>
                            <w:r w:rsidR="00873A27">
                              <w:t>in</w:t>
                            </w:r>
                            <w:r w:rsidR="00873A27" w:rsidRPr="004A176F">
                              <w:t xml:space="preserve"> </w:t>
                            </w:r>
                            <w:r>
                              <w:t>7</w:t>
                            </w:r>
                            <w:r w:rsidRPr="004A176F">
                              <w:t xml:space="preserve"> </w:t>
                            </w:r>
                            <w:r w:rsidR="00873A27">
                              <w:t xml:space="preserve">selected </w:t>
                            </w:r>
                            <w:r w:rsidRPr="004A176F">
                              <w:t>states</w:t>
                            </w:r>
                            <w:r>
                              <w:t xml:space="preserve"> </w:t>
                            </w:r>
                            <w:r w:rsidRPr="00FA759B">
                              <w:t>(Arizona, Minnesota, Oregon, Pennsylvania, Rhode Island, Texas, and Washington)</w:t>
                            </w:r>
                            <w:r>
                              <w:t xml:space="preserve">. </w:t>
                            </w:r>
                            <w:r w:rsidR="000C115F" w:rsidRPr="000C115F">
                              <w:t>Respondents</w:t>
                            </w:r>
                            <w:r w:rsidR="000C115F">
                              <w:t xml:space="preserve">, acting in their official capacities, </w:t>
                            </w:r>
                            <w:r w:rsidR="000C115F" w:rsidRPr="000C115F">
                              <w:t xml:space="preserve">will include </w:t>
                            </w:r>
                            <w:r w:rsidR="000C115F">
                              <w:t xml:space="preserve">14 </w:t>
                            </w:r>
                            <w:r w:rsidR="000C115F" w:rsidRPr="000C115F">
                              <w:t>State Health Department staff that are leading efforts on CHW certification</w:t>
                            </w:r>
                            <w:r w:rsidR="000C115F">
                              <w:t xml:space="preserve"> within their state</w:t>
                            </w:r>
                            <w:r w:rsidR="000C115F" w:rsidRPr="000C115F">
                              <w:t xml:space="preserve">, </w:t>
                            </w:r>
                            <w:r w:rsidR="000C115F">
                              <w:t xml:space="preserve">7 </w:t>
                            </w:r>
                            <w:r w:rsidR="000C115F" w:rsidRPr="000C115F">
                              <w:t xml:space="preserve">State Medicaid office staff involved in CHW certification-related issues, and </w:t>
                            </w:r>
                            <w:r w:rsidR="000C115F">
                              <w:t>28 delegates</w:t>
                            </w:r>
                            <w:r w:rsidR="000C115F" w:rsidRPr="000C115F">
                              <w:t xml:space="preserve"> from state authorized CHW certification task forces</w:t>
                            </w:r>
                            <w:r w:rsidR="004D0177">
                              <w:t xml:space="preserve">, </w:t>
                            </w:r>
                            <w:r w:rsidR="000C115F" w:rsidRPr="000C115F">
                              <w:t>workgroups</w:t>
                            </w:r>
                            <w:r w:rsidR="004D0177">
                              <w:t>, and organizations</w:t>
                            </w:r>
                            <w:r w:rsidR="000C115F" w:rsidRPr="000C115F">
                              <w:t xml:space="preserve"> which may include practicing CHWs, CHW employers, payers, and </w:t>
                            </w:r>
                            <w:r w:rsidR="00B25D8B">
                              <w:t>educator</w:t>
                            </w:r>
                            <w:r w:rsidR="0065251A">
                              <w:t>s.</w:t>
                            </w:r>
                            <w:r w:rsidR="000C115F" w:rsidRPr="000C115F">
                              <w:t xml:space="preserve">  </w:t>
                            </w:r>
                          </w:p>
                          <w:p w14:paraId="56FFADAF" w14:textId="77777777" w:rsidR="0007225B" w:rsidRDefault="0007225B" w:rsidP="009A3AC7">
                            <w:pPr>
                              <w:pStyle w:val="ListParagraph"/>
                              <w:spacing w:line="240" w:lineRule="auto"/>
                              <w:ind w:left="360"/>
                            </w:pPr>
                          </w:p>
                          <w:p w14:paraId="29B6E586" w14:textId="1654B6F0" w:rsidR="0007225B" w:rsidRDefault="0007225B" w:rsidP="00487937">
                            <w:pPr>
                              <w:pStyle w:val="ListParagraph"/>
                              <w:numPr>
                                <w:ilvl w:val="0"/>
                                <w:numId w:val="34"/>
                              </w:numPr>
                              <w:tabs>
                                <w:tab w:val="clear" w:pos="9360"/>
                              </w:tabs>
                              <w:spacing w:after="200"/>
                            </w:pPr>
                            <w:r w:rsidRPr="008473C2">
                              <w:rPr>
                                <w:b/>
                              </w:rPr>
                              <w:t>How data will be analyzed:</w:t>
                            </w:r>
                            <w:r>
                              <w:t xml:space="preserve"> Qualitative </w:t>
                            </w:r>
                            <w:r w:rsidR="008C21A0">
                              <w:t xml:space="preserve">thematic </w:t>
                            </w:r>
                            <w:r>
                              <w:t>analysis will be conducted.</w:t>
                            </w:r>
                          </w:p>
                          <w:p w14:paraId="688FFC13" w14:textId="77777777" w:rsidR="0007225B" w:rsidRDefault="0007225B" w:rsidP="00487937"/>
                        </w:txbxContent>
                      </wps:txbx>
                      <wps:bodyPr rot="0" vert="horz" wrap="square" lIns="91440" tIns="45720" rIns="91440" bIns="45720" anchor="t" anchorCtr="0">
                        <a:noAutofit/>
                      </wps:bodyPr>
                    </wps:wsp>
                  </a:graphicData>
                </a:graphic>
              </wp:inline>
            </w:drawing>
          </mc:Choice>
          <mc:Fallback>
            <w:pict>
              <v:shapetype w14:anchorId="2DCDB37C" id="_x0000_t202" coordsize="21600,21600" o:spt="202" path="m,l,21600r21600,l21600,xe">
                <v:stroke joinstyle="miter"/>
                <v:path gradientshapeok="t" o:connecttype="rect"/>
              </v:shapetype>
              <v:shape id="Text Box 2" o:spid="_x0000_s1026" type="#_x0000_t202" style="width:485.25pt;height: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xc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">
                <v:textbox>
                  <w:txbxContent>
                    <w:p w14:paraId="7A35E41C" w14:textId="7CB4547C" w:rsidR="0007225B" w:rsidRDefault="0007225B" w:rsidP="00B00289">
                      <w:pPr>
                        <w:pStyle w:val="ListParagraph"/>
                        <w:numPr>
                          <w:ilvl w:val="0"/>
                          <w:numId w:val="34"/>
                        </w:numPr>
                        <w:tabs>
                          <w:tab w:val="clear" w:pos="9360"/>
                        </w:tabs>
                        <w:spacing w:after="200"/>
                      </w:pPr>
                      <w:r w:rsidRPr="00F03FD3">
                        <w:rPr>
                          <w:b/>
                        </w:rPr>
                        <w:t>Goal</w:t>
                      </w:r>
                      <w:r w:rsidRPr="008473C2">
                        <w:rPr>
                          <w:b/>
                        </w:rPr>
                        <w:t xml:space="preserve"> of the </w:t>
                      </w:r>
                      <w:r>
                        <w:rPr>
                          <w:b/>
                        </w:rPr>
                        <w:t>information collection</w:t>
                      </w:r>
                      <w:r w:rsidRPr="008473C2">
                        <w:rPr>
                          <w:b/>
                        </w:rPr>
                        <w:t xml:space="preserve">: </w:t>
                      </w:r>
                      <w:r>
                        <w:t>I</w:t>
                      </w:r>
                      <w:r w:rsidRPr="002F19B2">
                        <w:t>nform</w:t>
                      </w:r>
                      <w:r>
                        <w:t xml:space="preserve"> CDC and state health department staff, </w:t>
                      </w:r>
                      <w:r w:rsidRPr="00B00289">
                        <w:t xml:space="preserve">health insurers, </w:t>
                      </w:r>
                      <w:r>
                        <w:t xml:space="preserve">and professional </w:t>
                      </w:r>
                      <w:r w:rsidRPr="00B00289">
                        <w:t xml:space="preserve">associations </w:t>
                      </w:r>
                      <w:r w:rsidRPr="002F19B2">
                        <w:t xml:space="preserve">about effective strategies and potential </w:t>
                      </w:r>
                      <w:r w:rsidRPr="00B00289">
                        <w:t xml:space="preserve">challenges associated with state level actions </w:t>
                      </w:r>
                      <w:r w:rsidRPr="002F19B2">
                        <w:t>and organizing structures relevant to C</w:t>
                      </w:r>
                      <w:r>
                        <w:t>ommunity Health Worker</w:t>
                      </w:r>
                      <w:r w:rsidRPr="002F19B2">
                        <w:t xml:space="preserve"> </w:t>
                      </w:r>
                      <w:r>
                        <w:t xml:space="preserve">(CHW) </w:t>
                      </w:r>
                      <w:r w:rsidRPr="002F19B2">
                        <w:t>certification.</w:t>
                      </w:r>
                    </w:p>
                    <w:p w14:paraId="5ED49D30" w14:textId="77777777" w:rsidR="00C6148D" w:rsidRDefault="00C6148D" w:rsidP="009A3AC7">
                      <w:pPr>
                        <w:pStyle w:val="ListParagraph"/>
                        <w:tabs>
                          <w:tab w:val="clear" w:pos="9360"/>
                        </w:tabs>
                        <w:spacing w:after="200" w:line="240" w:lineRule="auto"/>
                        <w:ind w:left="360"/>
                      </w:pPr>
                    </w:p>
                    <w:p w14:paraId="5E703B89" w14:textId="47DBF7A3" w:rsidR="0007225B" w:rsidRDefault="0007225B" w:rsidP="00F03FD3">
                      <w:pPr>
                        <w:pStyle w:val="ListParagraph"/>
                        <w:numPr>
                          <w:ilvl w:val="0"/>
                          <w:numId w:val="34"/>
                        </w:numPr>
                        <w:tabs>
                          <w:tab w:val="clear" w:pos="9360"/>
                        </w:tabs>
                        <w:spacing w:after="200"/>
                      </w:pPr>
                      <w:r w:rsidRPr="00FA759B">
                        <w:rPr>
                          <w:b/>
                        </w:rPr>
                        <w:t>Intended use of the resulting data:</w:t>
                      </w:r>
                      <w:r>
                        <w:t xml:space="preserve">  </w:t>
                      </w:r>
                      <w:r w:rsidRPr="002F19B2">
                        <w:t xml:space="preserve">The </w:t>
                      </w:r>
                      <w:r>
                        <w:t>information collected</w:t>
                      </w:r>
                      <w:r w:rsidRPr="002F19B2">
                        <w:t xml:space="preserve"> will be used</w:t>
                      </w:r>
                      <w:r>
                        <w:t xml:space="preserve"> by CDC’s Division for Heart Disease and Stroke Prevention (DHDSP) and Division of Diabetes Translation (DDT) </w:t>
                      </w:r>
                      <w:r w:rsidRPr="002F19B2">
                        <w:t xml:space="preserve">to </w:t>
                      </w:r>
                      <w:r w:rsidR="0055198F">
                        <w:t xml:space="preserve">identify and examine issues related to implementation of CHW certification and to </w:t>
                      </w:r>
                      <w:r w:rsidRPr="002F19B2">
                        <w:t xml:space="preserve">develop technical assistance material for state grantees </w:t>
                      </w:r>
                      <w:r w:rsidRPr="00FA759B">
                        <w:t>and other decision makers</w:t>
                      </w:r>
                      <w:r w:rsidRPr="002F19B2">
                        <w:t xml:space="preserve"> that will be disseminated via conference presentations, webinars, fact sheets and implementation guides.</w:t>
                      </w:r>
                      <w:r>
                        <w:t xml:space="preserve"> </w:t>
                      </w:r>
                    </w:p>
                    <w:p w14:paraId="6218AAD9" w14:textId="77777777" w:rsidR="0007225B" w:rsidRPr="00F03FD3" w:rsidRDefault="0007225B" w:rsidP="009A3AC7">
                      <w:pPr>
                        <w:pStyle w:val="ListParagraph"/>
                        <w:tabs>
                          <w:tab w:val="clear" w:pos="9360"/>
                        </w:tabs>
                        <w:spacing w:after="200" w:line="240" w:lineRule="auto"/>
                        <w:ind w:left="360"/>
                      </w:pPr>
                    </w:p>
                    <w:p w14:paraId="047EC3B8" w14:textId="5A070B24" w:rsidR="0007225B" w:rsidRDefault="0007225B" w:rsidP="00487937">
                      <w:pPr>
                        <w:pStyle w:val="ListParagraph"/>
                        <w:numPr>
                          <w:ilvl w:val="0"/>
                          <w:numId w:val="34"/>
                        </w:numPr>
                        <w:tabs>
                          <w:tab w:val="clear" w:pos="9360"/>
                        </w:tabs>
                        <w:spacing w:after="200"/>
                      </w:pPr>
                      <w:r w:rsidRPr="008473C2">
                        <w:rPr>
                          <w:b/>
                        </w:rPr>
                        <w:t>Methods to be used to collect:</w:t>
                      </w:r>
                      <w:r>
                        <w:t xml:space="preserve"> Information will be collect</w:t>
                      </w:r>
                      <w:r w:rsidRPr="00AB21AA">
                        <w:t>ed via telephone</w:t>
                      </w:r>
                      <w:r w:rsidR="007A4824">
                        <w:t xml:space="preserve"> informant</w:t>
                      </w:r>
                      <w:r w:rsidRPr="00AB21AA">
                        <w:t xml:space="preserve"> interviews.</w:t>
                      </w:r>
                    </w:p>
                    <w:p w14:paraId="0E2725F1" w14:textId="77777777" w:rsidR="0007225B" w:rsidRDefault="0007225B" w:rsidP="009A3AC7">
                      <w:pPr>
                        <w:pStyle w:val="ListParagraph"/>
                        <w:spacing w:line="240" w:lineRule="auto"/>
                        <w:ind w:left="360"/>
                      </w:pPr>
                    </w:p>
                    <w:p w14:paraId="0EE73597" w14:textId="14FDBE99" w:rsidR="0007225B" w:rsidRDefault="0007225B" w:rsidP="000C115F">
                      <w:pPr>
                        <w:pStyle w:val="ListParagraph"/>
                        <w:numPr>
                          <w:ilvl w:val="0"/>
                          <w:numId w:val="34"/>
                        </w:numPr>
                        <w:tabs>
                          <w:tab w:val="clear" w:pos="9360"/>
                        </w:tabs>
                        <w:spacing w:after="200"/>
                      </w:pPr>
                      <w:r w:rsidRPr="00CD796A">
                        <w:rPr>
                          <w:b/>
                        </w:rPr>
                        <w:t>The subpopulation to be studied:</w:t>
                      </w:r>
                      <w:r w:rsidRPr="00CD796A">
                        <w:t xml:space="preserve"> 4</w:t>
                      </w:r>
                      <w:r>
                        <w:t>9</w:t>
                      </w:r>
                      <w:r w:rsidRPr="004A176F">
                        <w:t xml:space="preserve"> CHW-related state health department staff and their delegates involved in </w:t>
                      </w:r>
                      <w:r>
                        <w:t>CHW</w:t>
                      </w:r>
                      <w:r w:rsidRPr="004A176F">
                        <w:t xml:space="preserve"> certification </w:t>
                      </w:r>
                      <w:r w:rsidR="00873A27">
                        <w:t>in</w:t>
                      </w:r>
                      <w:r w:rsidR="00873A27" w:rsidRPr="004A176F">
                        <w:t xml:space="preserve"> </w:t>
                      </w:r>
                      <w:r>
                        <w:t>7</w:t>
                      </w:r>
                      <w:r w:rsidRPr="004A176F">
                        <w:t xml:space="preserve"> </w:t>
                      </w:r>
                      <w:r w:rsidR="00873A27">
                        <w:t xml:space="preserve">selected </w:t>
                      </w:r>
                      <w:r w:rsidRPr="004A176F">
                        <w:t>states</w:t>
                      </w:r>
                      <w:r>
                        <w:t xml:space="preserve"> </w:t>
                      </w:r>
                      <w:r w:rsidRPr="00FA759B">
                        <w:t>(Arizona, Minnesota, Oregon, Pennsylvania, Rhode Island, Texas, and Washington)</w:t>
                      </w:r>
                      <w:r>
                        <w:t xml:space="preserve">. </w:t>
                      </w:r>
                      <w:r w:rsidR="000C115F" w:rsidRPr="000C115F">
                        <w:t>Respondents</w:t>
                      </w:r>
                      <w:r w:rsidR="000C115F">
                        <w:t xml:space="preserve">, acting in their official capacities, </w:t>
                      </w:r>
                      <w:r w:rsidR="000C115F" w:rsidRPr="000C115F">
                        <w:t xml:space="preserve">will include </w:t>
                      </w:r>
                      <w:bookmarkStart w:id="4" w:name="_GoBack"/>
                      <w:r w:rsidR="000C115F">
                        <w:t xml:space="preserve">14 </w:t>
                      </w:r>
                      <w:r w:rsidR="000C115F" w:rsidRPr="000C115F">
                        <w:t>State Health Department staff that are leading efforts on CHW certification</w:t>
                      </w:r>
                      <w:r w:rsidR="000C115F">
                        <w:t xml:space="preserve"> within their state</w:t>
                      </w:r>
                      <w:r w:rsidR="000C115F" w:rsidRPr="000C115F">
                        <w:t xml:space="preserve">, </w:t>
                      </w:r>
                      <w:r w:rsidR="000C115F">
                        <w:t xml:space="preserve">7 </w:t>
                      </w:r>
                      <w:r w:rsidR="000C115F" w:rsidRPr="000C115F">
                        <w:t xml:space="preserve">State Medicaid office staff involved in CHW certification-related issues, and </w:t>
                      </w:r>
                      <w:r w:rsidR="000C115F">
                        <w:t>28 delegates</w:t>
                      </w:r>
                      <w:r w:rsidR="000C115F" w:rsidRPr="000C115F">
                        <w:t xml:space="preserve"> from state authorized CHW certification task forces</w:t>
                      </w:r>
                      <w:r w:rsidR="004D0177">
                        <w:t xml:space="preserve">, </w:t>
                      </w:r>
                      <w:r w:rsidR="000C115F" w:rsidRPr="000C115F">
                        <w:t>workgroups</w:t>
                      </w:r>
                      <w:r w:rsidR="004D0177">
                        <w:t>, and organizations</w:t>
                      </w:r>
                      <w:r w:rsidR="000C115F" w:rsidRPr="000C115F">
                        <w:t xml:space="preserve"> which may include practicing CHWs, CHW employers, payers, and </w:t>
                      </w:r>
                      <w:r w:rsidR="00B25D8B">
                        <w:t>educator</w:t>
                      </w:r>
                      <w:r w:rsidR="0065251A">
                        <w:t>s.</w:t>
                      </w:r>
                      <w:r w:rsidR="000C115F" w:rsidRPr="000C115F">
                        <w:t xml:space="preserve">  </w:t>
                      </w:r>
                      <w:bookmarkEnd w:id="4"/>
                    </w:p>
                    <w:p w14:paraId="56FFADAF" w14:textId="77777777" w:rsidR="0007225B" w:rsidRDefault="0007225B" w:rsidP="009A3AC7">
                      <w:pPr>
                        <w:pStyle w:val="ListParagraph"/>
                        <w:spacing w:line="240" w:lineRule="auto"/>
                        <w:ind w:left="360"/>
                      </w:pPr>
                    </w:p>
                    <w:p w14:paraId="29B6E586" w14:textId="1654B6F0" w:rsidR="0007225B" w:rsidRDefault="0007225B" w:rsidP="00487937">
                      <w:pPr>
                        <w:pStyle w:val="ListParagraph"/>
                        <w:numPr>
                          <w:ilvl w:val="0"/>
                          <w:numId w:val="34"/>
                        </w:numPr>
                        <w:tabs>
                          <w:tab w:val="clear" w:pos="9360"/>
                        </w:tabs>
                        <w:spacing w:after="200"/>
                      </w:pPr>
                      <w:r w:rsidRPr="008473C2">
                        <w:rPr>
                          <w:b/>
                        </w:rPr>
                        <w:t>How data will be analyzed:</w:t>
                      </w:r>
                      <w:r>
                        <w:t xml:space="preserve"> Qualitative </w:t>
                      </w:r>
                      <w:r w:rsidR="008C21A0">
                        <w:t xml:space="preserve">thematic </w:t>
                      </w:r>
                      <w:r>
                        <w:t>analysis will be conducted.</w:t>
                      </w:r>
                    </w:p>
                    <w:p w14:paraId="688FFC13" w14:textId="77777777" w:rsidR="0007225B" w:rsidRDefault="0007225B" w:rsidP="00487937"/>
                  </w:txbxContent>
                </v:textbox>
                <w10:anchorlock/>
              </v:shape>
            </w:pict>
          </mc:Fallback>
        </mc:AlternateContent>
      </w:r>
      <w:bookmarkEnd w:id="2"/>
      <w:bookmarkEnd w:id="3"/>
    </w:p>
    <w:p w14:paraId="49F95F2A" w14:textId="77777777" w:rsidR="00487937" w:rsidRDefault="00487937" w:rsidP="00CA5840">
      <w:pPr>
        <w:pStyle w:val="Heading3"/>
        <w:ind w:left="0"/>
      </w:pPr>
    </w:p>
    <w:p w14:paraId="7EC4A446"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58DEFF59" w14:textId="77777777" w:rsidR="00B12F51" w:rsidRDefault="00B12F51" w:rsidP="007D6163"/>
    <w:p w14:paraId="7DF6E526"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3C1F19F" w14:textId="77777777" w:rsidR="00E33E1B" w:rsidRPr="007D6163" w:rsidRDefault="00E33E1B" w:rsidP="00692DEB">
      <w:pPr>
        <w:pStyle w:val="Heading5"/>
        <w:spacing w:after="120"/>
        <w:ind w:left="0"/>
      </w:pPr>
      <w:r w:rsidRPr="007D6163">
        <w:t>Background</w:t>
      </w:r>
    </w:p>
    <w:p w14:paraId="425F1C54" w14:textId="588410EA" w:rsidR="0019164D" w:rsidRPr="00711BFA" w:rsidRDefault="004F67A8" w:rsidP="009A3AC7">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2E2B75">
        <w:t xml:space="preserve"> </w:t>
      </w:r>
      <w:r w:rsidR="00C6148D">
        <w:t xml:space="preserve">a total of </w:t>
      </w:r>
      <w:r w:rsidR="00150F40">
        <w:t>49 State Health Department staff and their delegates</w:t>
      </w:r>
      <w:r w:rsidR="00150F40" w:rsidRPr="00150F40">
        <w:t xml:space="preserve"> </w:t>
      </w:r>
      <w:r w:rsidR="00873A27">
        <w:t>in</w:t>
      </w:r>
      <w:r w:rsidR="00873A27" w:rsidRPr="00150F40">
        <w:t xml:space="preserve"> </w:t>
      </w:r>
      <w:r w:rsidR="00150F40" w:rsidRPr="00150F40">
        <w:t xml:space="preserve">7 </w:t>
      </w:r>
      <w:r w:rsidR="00873A27">
        <w:t xml:space="preserve">selected </w:t>
      </w:r>
      <w:r w:rsidR="00150F40" w:rsidRPr="00150F40">
        <w:t>states</w:t>
      </w:r>
      <w:r w:rsidR="00C6148D">
        <w:t xml:space="preserve"> </w:t>
      </w:r>
      <w:r w:rsidR="00C6148D" w:rsidRPr="00FA759B">
        <w:t>(Arizona, Minnesota, Oregon, Pennsylvania, Rhode Island, Texas, and Washington)</w:t>
      </w:r>
      <w:r w:rsidR="00EE156C">
        <w:t xml:space="preserve">.  </w:t>
      </w:r>
      <w:r w:rsidR="00C6148D" w:rsidRPr="00FA759B">
        <w:t>Respondents</w:t>
      </w:r>
      <w:r w:rsidR="00C6148D">
        <w:t>,</w:t>
      </w:r>
      <w:r w:rsidR="00C6148D" w:rsidRPr="001E7537">
        <w:t xml:space="preserve"> </w:t>
      </w:r>
      <w:r w:rsidR="00C6148D" w:rsidRPr="00711BFA">
        <w:t>acting in their official capacities</w:t>
      </w:r>
      <w:r w:rsidR="00C6148D">
        <w:t>,</w:t>
      </w:r>
      <w:r w:rsidR="00C6148D" w:rsidRPr="00FA759B">
        <w:t xml:space="preserve"> include 14 State Health Department staff (two in each selected state), 7 state Medicaid office staff (one in each selected state), and 28 delegate</w:t>
      </w:r>
      <w:r w:rsidR="00EF079E">
        <w:t xml:space="preserve">s </w:t>
      </w:r>
      <w:r w:rsidR="00C6148D" w:rsidRPr="00FA759B">
        <w:t>in CHW networks and organizations implementing state CHW certification (four in each selected state)</w:t>
      </w:r>
      <w:r w:rsidR="00C6148D">
        <w:t>.</w:t>
      </w:r>
      <w:r w:rsidR="00EE156C">
        <w:t xml:space="preserve">  </w:t>
      </w:r>
    </w:p>
    <w:p w14:paraId="55CEABDD" w14:textId="77777777" w:rsidR="009252DC" w:rsidRDefault="009252DC" w:rsidP="009A3AC7"/>
    <w:p w14:paraId="74A425F5" w14:textId="536BB503" w:rsidR="001E7537" w:rsidRPr="00774689" w:rsidRDefault="00350C8C" w:rsidP="009A3AC7">
      <w:pPr>
        <w:ind w:left="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of</w:t>
      </w:r>
      <w:r w:rsidR="00470562">
        <w:rPr>
          <w:iCs/>
        </w:rPr>
        <w:t>:</w:t>
      </w:r>
      <w:r w:rsidR="001E7537" w:rsidRPr="00B43AFE">
        <w:rPr>
          <w:iCs/>
        </w:rPr>
        <w:t xml:space="preserve"> </w:t>
      </w:r>
    </w:p>
    <w:p w14:paraId="58511EB0" w14:textId="77777777" w:rsidR="00350C8C" w:rsidRPr="00774689" w:rsidRDefault="00350C8C" w:rsidP="00692DEB">
      <w:pPr>
        <w:ind w:left="0"/>
      </w:pPr>
    </w:p>
    <w:p w14:paraId="3B133B5A"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6BD8B75F" w14:textId="77777777" w:rsidR="00587C72" w:rsidRPr="00774689" w:rsidRDefault="00B63CF3" w:rsidP="00587C72">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73FFA2E2"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1189D2E" w14:textId="454E3B84" w:rsidR="00587C72" w:rsidRPr="00774689" w:rsidRDefault="002E2B75"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1852C8E7"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AF1FB91" w14:textId="77777777" w:rsidR="00587C72"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704CC59C" w14:textId="77777777" w:rsidR="00481D80" w:rsidRPr="00774689" w:rsidRDefault="00B63CF3" w:rsidP="00587C72">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C45ED01" w14:textId="77777777" w:rsidR="00587C72" w:rsidRPr="00774689" w:rsidRDefault="00481D80" w:rsidP="00587C72">
      <w:pPr>
        <w:ind w:left="0"/>
      </w:pPr>
      <w:r w:rsidRPr="00774689">
        <w:t xml:space="preserve">            </w:t>
      </w:r>
      <w:r w:rsidR="00587C72" w:rsidRPr="00774689">
        <w:t>when otherwise unavailable</w:t>
      </w:r>
    </w:p>
    <w:p w14:paraId="31A2189B" w14:textId="64CF921A" w:rsidR="00587C72" w:rsidRPr="00774689" w:rsidRDefault="002E2B75" w:rsidP="00587C7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3296B299" w14:textId="77777777" w:rsidR="008715E7" w:rsidRPr="00774689" w:rsidRDefault="00B63CF3" w:rsidP="008715E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 xml:space="preserve">valuating effectiveness, accessibility, and quality of personal and population-based health </w:t>
      </w:r>
      <w:r w:rsidR="008715E7" w:rsidRPr="00774689">
        <w:t xml:space="preserve"> </w:t>
      </w:r>
    </w:p>
    <w:p w14:paraId="5A4E6B93" w14:textId="77777777" w:rsidR="00587C72" w:rsidRPr="00774689" w:rsidRDefault="008715E7" w:rsidP="008715E7">
      <w:pPr>
        <w:ind w:left="0"/>
      </w:pPr>
      <w:r w:rsidRPr="00774689">
        <w:t xml:space="preserve">        </w:t>
      </w:r>
      <w:r w:rsidR="00481D80" w:rsidRPr="00774689">
        <w:t xml:space="preserve">    </w:t>
      </w:r>
      <w:r w:rsidR="00587C72" w:rsidRPr="00774689">
        <w:t>services</w:t>
      </w:r>
    </w:p>
    <w:p w14:paraId="0D81D7FF" w14:textId="77777777" w:rsidR="00481D80" w:rsidRDefault="00B63CF3" w:rsidP="00692DEB">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61A8">
        <w:rPr>
          <w:rFonts w:ascii="Shruti" w:eastAsia="Times New Roman" w:hAnsi="Shruti" w:cs="Shruti"/>
          <w:sz w:val="16"/>
          <w:szCs w:val="14"/>
        </w:rPr>
      </w:r>
      <w:r w:rsidR="00B761A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0354D6F0" w14:textId="77777777" w:rsidR="002F19B2" w:rsidRDefault="002F19B2" w:rsidP="00692DEB">
      <w:pPr>
        <w:ind w:left="0"/>
      </w:pPr>
    </w:p>
    <w:p w14:paraId="462523AA" w14:textId="51F9C727" w:rsidR="00630D27" w:rsidRDefault="00EA432D" w:rsidP="009A3AC7">
      <w:pPr>
        <w:ind w:left="0"/>
        <w:rPr>
          <w:vertAlign w:val="superscript"/>
        </w:rPr>
      </w:pPr>
      <w:r w:rsidRPr="00EA432D">
        <w:t>The U.S. Community Guide to Preventive Services recommends interventions that engage Community health workers (CHW</w:t>
      </w:r>
      <w:r>
        <w:t>s</w:t>
      </w:r>
      <w:r w:rsidRPr="00EA432D">
        <w:t>) to prevent cardiovascular disease and diabetes.</w:t>
      </w:r>
      <w:r>
        <w:t xml:space="preserve"> </w:t>
      </w:r>
      <w:r w:rsidR="00630D27" w:rsidRPr="00630D27">
        <w:rPr>
          <w:vertAlign w:val="superscript"/>
        </w:rPr>
        <w:t>2</w:t>
      </w:r>
    </w:p>
    <w:p w14:paraId="654E00FB" w14:textId="29EC5D65" w:rsidR="002E2B75" w:rsidRDefault="00EA432D" w:rsidP="009A3AC7">
      <w:pPr>
        <w:ind w:left="0"/>
      </w:pPr>
      <w:r>
        <w:t>CHWs</w:t>
      </w:r>
      <w:r w:rsidRPr="00EA432D">
        <w:t xml:space="preserve"> serve as connectors between “health care consumers and providers to promote health among groups that have traditionally lacked access to adequate health care.”</w:t>
      </w:r>
      <w:r w:rsidR="00821F9B">
        <w:rPr>
          <w:rStyle w:val="EndnoteReference"/>
        </w:rPr>
        <w:t>3</w:t>
      </w:r>
      <w:r>
        <w:t xml:space="preserve"> Robust</w:t>
      </w:r>
      <w:r w:rsidRPr="00EA432D">
        <w:t xml:space="preserve"> evidence demonstrates the value of CHW services to improve cardiovascular disease and diabetes outcomes and reduce costs.</w:t>
      </w:r>
      <w:r>
        <w:t xml:space="preserve"> </w:t>
      </w:r>
      <w:r w:rsidRPr="00EA432D">
        <w:t>Despite this evidence, there are still challenges to integrating CHWs into the health care system. A 2002 Institute of Medicine (IOM) report identified several barriers to the effective use of CHWs in multidisciplinary health care teams, including inconsistent CHW scopes of practice, training, and qualifications; sustainable funding mechanisms; and recognition by other health professionals.</w:t>
      </w:r>
      <w:r w:rsidR="00821F9B">
        <w:rPr>
          <w:rStyle w:val="EndnoteReference"/>
        </w:rPr>
        <w:t>4</w:t>
      </w:r>
      <w:r>
        <w:t xml:space="preserve"> </w:t>
      </w:r>
      <w:r w:rsidRPr="00EA432D">
        <w:t>States have implemented a variety of policies to overcome the barriers identified by the IOM and integrate CHWs into the health care system</w:t>
      </w:r>
      <w:r w:rsidR="00A05E90">
        <w:t>.  One approach being considered is CHW certification.  As of J</w:t>
      </w:r>
      <w:r w:rsidR="00A05E90" w:rsidRPr="00A05E90">
        <w:t>une 2016, 23 states and D.C. had laws pertaining to CHWs</w:t>
      </w:r>
      <w:r w:rsidR="000674C4">
        <w:t>.</w:t>
      </w:r>
      <w:r w:rsidR="00821F9B">
        <w:rPr>
          <w:rStyle w:val="EndnoteReference"/>
        </w:rPr>
        <w:t>5</w:t>
      </w:r>
    </w:p>
    <w:p w14:paraId="142EC5C8" w14:textId="77777777" w:rsidR="00064E1A" w:rsidRDefault="00064E1A" w:rsidP="009A3AC7">
      <w:pPr>
        <w:ind w:left="0"/>
      </w:pPr>
    </w:p>
    <w:p w14:paraId="729F796B" w14:textId="1E308A0F" w:rsidR="00150F40" w:rsidRDefault="00A47797" w:rsidP="009A3AC7">
      <w:pPr>
        <w:ind w:left="0"/>
      </w:pPr>
      <w:r>
        <w:t xml:space="preserve">Building </w:t>
      </w:r>
      <w:r w:rsidRPr="00A47797">
        <w:t xml:space="preserve">capacity for an integrated and sustainable CHW workforce </w:t>
      </w:r>
      <w:r w:rsidR="00AD2760">
        <w:t>aligns with</w:t>
      </w:r>
      <w:r>
        <w:t xml:space="preserve"> the mission of </w:t>
      </w:r>
      <w:r w:rsidR="00D7253A">
        <w:t xml:space="preserve"> </w:t>
      </w:r>
      <w:r w:rsidR="00D7253A" w:rsidRPr="00D7253A">
        <w:t xml:space="preserve">CDC's Division for Heart Disease and Stroke Prevention </w:t>
      </w:r>
      <w:r>
        <w:t xml:space="preserve">(DHDSP) which </w:t>
      </w:r>
      <w:r w:rsidR="00D7253A" w:rsidRPr="00D7253A">
        <w:t xml:space="preserve">works to improve cardiovascular health through public health strategies and policies that promote </w:t>
      </w:r>
      <w:r w:rsidR="00D7253A">
        <w:t>a</w:t>
      </w:r>
      <w:r w:rsidR="00D7253A" w:rsidRPr="00D7253A">
        <w:t>ccess to early and affordable detection and treatment</w:t>
      </w:r>
      <w:r>
        <w:t xml:space="preserve"> as well as CDC’s Division of Diabetes Translation (DDT) which seeks to</w:t>
      </w:r>
      <w:r w:rsidRPr="00A47797">
        <w:t xml:space="preserve"> reduce the preventable burden of diabetes through public health leadership, partnership, research, programs, and policies that translate science into practice</w:t>
      </w:r>
      <w:r>
        <w:t xml:space="preserve">.  Both DHDSP and DDT </w:t>
      </w:r>
      <w:r w:rsidR="00AD2760">
        <w:t>currently provide</w:t>
      </w:r>
      <w:r w:rsidRPr="00A47797">
        <w:t xml:space="preserve"> funding and support to state health departments</w:t>
      </w:r>
      <w:r>
        <w:t xml:space="preserve"> to</w:t>
      </w:r>
      <w:r w:rsidR="00AD2760">
        <w:t xml:space="preserve"> increase engagement of CHWs to promote linkages between health systems and community resources for adults with high blood pressure and adults with prediabetes or at high risk for type 2 diabetes.  </w:t>
      </w:r>
    </w:p>
    <w:p w14:paraId="4154F09C" w14:textId="77777777" w:rsidR="00150F40" w:rsidRDefault="00150F40" w:rsidP="009A3AC7">
      <w:pPr>
        <w:ind w:left="0"/>
      </w:pPr>
    </w:p>
    <w:p w14:paraId="74AE186D" w14:textId="1B6C4A32" w:rsidR="00064E1A" w:rsidRDefault="00064E1A" w:rsidP="009A3AC7">
      <w:pPr>
        <w:ind w:left="0"/>
      </w:pPr>
      <w:r w:rsidRPr="00064E1A">
        <w:t>The purpose of this</w:t>
      </w:r>
      <w:r w:rsidR="00EC5CE5">
        <w:t xml:space="preserve"> information collection</w:t>
      </w:r>
      <w:r w:rsidRPr="00064E1A">
        <w:t xml:space="preserve"> is to inform </w:t>
      </w:r>
      <w:r w:rsidR="00AD2760">
        <w:t xml:space="preserve">both CDC as well as state funded grantees and other </w:t>
      </w:r>
      <w:r w:rsidRPr="00064E1A">
        <w:t xml:space="preserve">decision makers </w:t>
      </w:r>
      <w:r w:rsidR="006D1F43" w:rsidRPr="006D1F43">
        <w:t xml:space="preserve">including health plans, insurers, and professional associations </w:t>
      </w:r>
      <w:r w:rsidRPr="00064E1A">
        <w:t xml:space="preserve">about effective strategies and </w:t>
      </w:r>
      <w:r w:rsidR="00AD2760" w:rsidRPr="00AD2760">
        <w:t xml:space="preserve">challenges associated with state level actions </w:t>
      </w:r>
      <w:r w:rsidRPr="00064E1A">
        <w:t xml:space="preserve">and organizing structures relevant to CHW certification. To do this, </w:t>
      </w:r>
      <w:r w:rsidR="007F66E8">
        <w:t xml:space="preserve"> </w:t>
      </w:r>
      <w:r w:rsidR="00AD2760">
        <w:t>DHDSP and DDT, working in collaboration with ChangeLab Solutions through a cooperative agreement,</w:t>
      </w:r>
      <w:r w:rsidR="007F66E8">
        <w:t xml:space="preserve"> </w:t>
      </w:r>
      <w:r w:rsidRPr="00064E1A">
        <w:t>seek to capture information</w:t>
      </w:r>
      <w:r w:rsidR="007F66E8">
        <w:t xml:space="preserve"> </w:t>
      </w:r>
      <w:r w:rsidRPr="00064E1A">
        <w:t xml:space="preserve">related </w:t>
      </w:r>
      <w:r w:rsidRPr="00A57AFD">
        <w:t xml:space="preserve">to (1) the strategies, activities and partnerships states are using to implement multiple types of CHW </w:t>
      </w:r>
      <w:r w:rsidRPr="00A57AFD">
        <w:lastRenderedPageBreak/>
        <w:t>certification structures; (2) barriers, facilitators and unintended consequences associated with implementation of various structures guiding CHW certification; (3) resource estimates related to the development, implementation, and support of pertinent CHW certification activities; and (4) contextual factors thought to influence implementation as well as mediating processes believed to influence outcomes.</w:t>
      </w:r>
      <w:r w:rsidR="00353595" w:rsidRPr="00A57AFD">
        <w:t xml:space="preserve"> The information collected will be used by </w:t>
      </w:r>
      <w:r w:rsidR="00AD2760" w:rsidRPr="00A57AFD">
        <w:t>DHDSP and DDT</w:t>
      </w:r>
      <w:r w:rsidR="00353595" w:rsidRPr="00A57AFD">
        <w:t xml:space="preserve"> to</w:t>
      </w:r>
      <w:r w:rsidR="0055198F" w:rsidRPr="00A57AFD">
        <w:t xml:space="preserve"> identify and examine issues related to implementation of CHW certification with the intent of supporting engagement of CHWs to promote linkages between health systems and community resources for adults with high blood pressure and adults with prediabetes or at high risk for type 2 diabetes.  Information collected will also be used to </w:t>
      </w:r>
      <w:r w:rsidR="00353595" w:rsidRPr="00A57AFD">
        <w:t>develop technical assistance material for state grantees that will be disseminated via conference presentations, webinars, fact sheets and implementation guides.</w:t>
      </w:r>
    </w:p>
    <w:p w14:paraId="7C8888B4" w14:textId="77777777" w:rsidR="002E2B75" w:rsidRPr="001A28F6" w:rsidRDefault="002E2B75" w:rsidP="00692DEB">
      <w:pPr>
        <w:ind w:left="0"/>
      </w:pPr>
    </w:p>
    <w:p w14:paraId="6D1562E4"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58D3EF1B" w14:textId="3B3F0EDD" w:rsidR="00CC6116" w:rsidRDefault="00CC6116" w:rsidP="009A3AC7">
      <w:pPr>
        <w:ind w:left="0"/>
      </w:pPr>
      <w:r w:rsidRPr="00711BFA">
        <w:t>Data will be collected from</w:t>
      </w:r>
      <w:r>
        <w:t xml:space="preserve"> a total of 49 State Health Department staff and their delegates</w:t>
      </w:r>
      <w:r w:rsidRPr="00150F40">
        <w:t xml:space="preserve"> </w:t>
      </w:r>
      <w:r w:rsidR="00EF079E">
        <w:t>in</w:t>
      </w:r>
      <w:r w:rsidR="00EF079E" w:rsidRPr="00150F40">
        <w:t xml:space="preserve"> </w:t>
      </w:r>
      <w:r w:rsidRPr="00150F40">
        <w:t xml:space="preserve">7 </w:t>
      </w:r>
      <w:r w:rsidR="00EF079E">
        <w:t xml:space="preserve">selected </w:t>
      </w:r>
      <w:r w:rsidRPr="00150F40">
        <w:t>states</w:t>
      </w:r>
      <w:r>
        <w:t xml:space="preserve"> </w:t>
      </w:r>
      <w:r w:rsidRPr="00FA759B">
        <w:t>(Arizona, Minnesota, Oregon, Pennsylvania, Rhode Island, Texas, and Washington)</w:t>
      </w:r>
      <w:r>
        <w:t xml:space="preserve">.  </w:t>
      </w:r>
      <w:r w:rsidRPr="00FA759B">
        <w:t>Respondents</w:t>
      </w:r>
      <w:r>
        <w:t>,</w:t>
      </w:r>
      <w:r w:rsidRPr="001E7537">
        <w:t xml:space="preserve"> </w:t>
      </w:r>
      <w:r w:rsidRPr="00711BFA">
        <w:t>acting in their official capacities</w:t>
      </w:r>
      <w:r w:rsidRPr="00FA759B">
        <w:t xml:space="preserve"> include 14 State Health Department staff (two in each selected state), 7 state Medicaid office staff (one in each selected state), and 28 delegate leaders in CHW networks and organizations implementing state CHW certification (four in each selected state)</w:t>
      </w:r>
      <w:r w:rsidR="00FE0B6B">
        <w:t>. Data will be collected</w:t>
      </w:r>
      <w:r>
        <w:t xml:space="preserve"> </w:t>
      </w:r>
      <w:r w:rsidR="00D23396">
        <w:t>via</w:t>
      </w:r>
      <w:r w:rsidR="007A4824">
        <w:t xml:space="preserve"> telephone informant interviews</w:t>
      </w:r>
      <w:r w:rsidR="00E136D1">
        <w:t>.</w:t>
      </w:r>
      <w:r w:rsidR="00EC5CE5">
        <w:t xml:space="preserve"> </w:t>
      </w:r>
    </w:p>
    <w:p w14:paraId="7D705850" w14:textId="77777777" w:rsidR="00CC6116" w:rsidRDefault="00CC6116" w:rsidP="009A3AC7">
      <w:pPr>
        <w:ind w:left="0"/>
      </w:pPr>
    </w:p>
    <w:p w14:paraId="17078878" w14:textId="0E36CFC4" w:rsidR="006B0637" w:rsidRDefault="00986DB6" w:rsidP="009A3AC7">
      <w:pPr>
        <w:ind w:left="0"/>
      </w:pPr>
      <w:r>
        <w:t xml:space="preserve">Using a standard interview guide </w:t>
      </w:r>
      <w:r w:rsidRPr="000444D7">
        <w:t>(</w:t>
      </w:r>
      <w:r w:rsidR="00975638" w:rsidRPr="000444D7">
        <w:t xml:space="preserve">see </w:t>
      </w:r>
      <w:r w:rsidRPr="00A468A3">
        <w:rPr>
          <w:b/>
        </w:rPr>
        <w:t xml:space="preserve">Attachment </w:t>
      </w:r>
      <w:r w:rsidR="00975638">
        <w:rPr>
          <w:b/>
        </w:rPr>
        <w:t>A</w:t>
      </w:r>
      <w:r w:rsidR="00975638">
        <w:t xml:space="preserve"> – </w:t>
      </w:r>
      <w:r w:rsidR="00975638" w:rsidRPr="00975638">
        <w:rPr>
          <w:b/>
        </w:rPr>
        <w:t xml:space="preserve">Telephone </w:t>
      </w:r>
      <w:r w:rsidRPr="00A468A3">
        <w:rPr>
          <w:b/>
        </w:rPr>
        <w:t>Interview Guide</w:t>
      </w:r>
      <w:r w:rsidRPr="000444D7">
        <w:t>)</w:t>
      </w:r>
      <w:r>
        <w:t xml:space="preserve">, information </w:t>
      </w:r>
      <w:r w:rsidR="00D23396">
        <w:t>will be collected</w:t>
      </w:r>
      <w:r w:rsidR="003B7119">
        <w:t>,</w:t>
      </w:r>
      <w:r w:rsidR="00D23396">
        <w:t xml:space="preserve"> </w:t>
      </w:r>
      <w:r w:rsidR="003B7119">
        <w:t xml:space="preserve">via telephone informant interviews, </w:t>
      </w:r>
      <w:r w:rsidR="00D23396">
        <w:t xml:space="preserve">on the </w:t>
      </w:r>
      <w:r w:rsidR="00D23396" w:rsidRPr="00D23396">
        <w:t xml:space="preserve">process of </w:t>
      </w:r>
      <w:r w:rsidR="00D23396">
        <w:t>d</w:t>
      </w:r>
      <w:r w:rsidR="00D23396" w:rsidRPr="00D23396">
        <w:t>eveloping CHW certification</w:t>
      </w:r>
      <w:r w:rsidR="00D23396">
        <w:t xml:space="preserve"> within the state; </w:t>
      </w:r>
      <w:r>
        <w:t>state roles</w:t>
      </w:r>
      <w:r w:rsidR="00D23396" w:rsidRPr="00D23396">
        <w:t xml:space="preserve"> </w:t>
      </w:r>
      <w:r w:rsidR="00D23396">
        <w:t xml:space="preserve">in </w:t>
      </w:r>
      <w:r w:rsidR="00D23396" w:rsidRPr="00D23396">
        <w:t xml:space="preserve">implementing CHW </w:t>
      </w:r>
      <w:r w:rsidR="00D23396">
        <w:t>c</w:t>
      </w:r>
      <w:r w:rsidR="00D23396" w:rsidRPr="00D23396">
        <w:t>ertification</w:t>
      </w:r>
      <w:r w:rsidR="00D23396">
        <w:t xml:space="preserve">; description of </w:t>
      </w:r>
      <w:r w:rsidR="00D23396" w:rsidRPr="00D23396">
        <w:t>CHW role</w:t>
      </w:r>
      <w:r>
        <w:t>s</w:t>
      </w:r>
      <w:r w:rsidR="00D23396" w:rsidRPr="00D23396">
        <w:t>, scope of practice, and training</w:t>
      </w:r>
      <w:r>
        <w:t xml:space="preserve"> within the state</w:t>
      </w:r>
      <w:r w:rsidR="00D23396">
        <w:t xml:space="preserve">; and </w:t>
      </w:r>
      <w:r w:rsidR="00EA3C35">
        <w:t>sustainability and outcomes of CHW certification</w:t>
      </w:r>
      <w:r w:rsidR="00D23396">
        <w:t>. Interviews will be recorded</w:t>
      </w:r>
      <w:r w:rsidR="00D23396" w:rsidRPr="00074CE8">
        <w:t xml:space="preserve"> in order to capture </w:t>
      </w:r>
      <w:r w:rsidR="00D23396">
        <w:t>the</w:t>
      </w:r>
      <w:r w:rsidR="00D23396" w:rsidRPr="00074CE8">
        <w:t xml:space="preserve"> conversation accurately</w:t>
      </w:r>
      <w:r w:rsidR="00D23396">
        <w:t xml:space="preserve"> and subsequently transcribed</w:t>
      </w:r>
      <w:r w:rsidR="00D23396" w:rsidRPr="00074CE8">
        <w:t xml:space="preserve">.  Verbal permission </w:t>
      </w:r>
      <w:r w:rsidR="00D23396">
        <w:t xml:space="preserve">to be recorded </w:t>
      </w:r>
      <w:r w:rsidR="00D23396" w:rsidRPr="00074CE8">
        <w:t xml:space="preserve">will be obtained </w:t>
      </w:r>
      <w:r w:rsidR="00D23396">
        <w:t xml:space="preserve">from the participant </w:t>
      </w:r>
      <w:r w:rsidR="00D23396" w:rsidRPr="00074CE8">
        <w:t>prior to the beginning of the interview.</w:t>
      </w:r>
      <w:r w:rsidR="00D23396">
        <w:t xml:space="preserve">  </w:t>
      </w:r>
      <w:r w:rsidR="00D23396" w:rsidRPr="00074CE8">
        <w:t xml:space="preserve"> </w:t>
      </w:r>
    </w:p>
    <w:p w14:paraId="20895351" w14:textId="77777777" w:rsidR="006B0637" w:rsidRDefault="006B0637" w:rsidP="009A3AC7">
      <w:pPr>
        <w:ind w:left="0"/>
      </w:pPr>
    </w:p>
    <w:p w14:paraId="6A8E10E2" w14:textId="134258D4" w:rsidR="00D23396" w:rsidDel="00162D8E" w:rsidRDefault="00DA1A11" w:rsidP="009A3AC7">
      <w:pPr>
        <w:ind w:left="0"/>
      </w:pPr>
      <w:r>
        <w:t xml:space="preserve">CDC is partnering with ChangeLab Solutions, an independent, non-profit policy research organization, to conduct this information collection.  </w:t>
      </w:r>
      <w:r w:rsidR="002360B1">
        <w:t>ChangeLab Solutions</w:t>
      </w:r>
      <w:r w:rsidR="003F574A">
        <w:t>’</w:t>
      </w:r>
      <w:r w:rsidR="002360B1">
        <w:t xml:space="preserve"> contracted partners</w:t>
      </w:r>
      <w:r w:rsidR="006B0637">
        <w:t xml:space="preserve">, Carl Rush with </w:t>
      </w:r>
      <w:r w:rsidR="006B0637" w:rsidRPr="006B0637">
        <w:t xml:space="preserve">Community Resources, LLC </w:t>
      </w:r>
      <w:r w:rsidR="006B0637">
        <w:t xml:space="preserve"> and Dr. Ashley Wennerstrom with Tulane University are </w:t>
      </w:r>
      <w:r w:rsidR="002360B1">
        <w:t xml:space="preserve">subject matter experts with extensive </w:t>
      </w:r>
      <w:r w:rsidR="002360B1" w:rsidRPr="0069798B">
        <w:t>experience working with the CHW workforce</w:t>
      </w:r>
      <w:r w:rsidR="002360B1">
        <w:t xml:space="preserve"> and have </w:t>
      </w:r>
      <w:r w:rsidR="002360B1" w:rsidRPr="0069798B">
        <w:t xml:space="preserve">served in </w:t>
      </w:r>
      <w:r w:rsidR="003F574A">
        <w:t>multiple</w:t>
      </w:r>
      <w:r w:rsidR="00874243">
        <w:t xml:space="preserve"> </w:t>
      </w:r>
      <w:r w:rsidR="002360B1" w:rsidRPr="0069798B">
        <w:t>leadership roles within the American Public Health Association’s CHW Section</w:t>
      </w:r>
      <w:r w:rsidR="002360B1">
        <w:t xml:space="preserve">. </w:t>
      </w:r>
      <w:r>
        <w:t xml:space="preserve">ChangeLab Solutions </w:t>
      </w:r>
      <w:r w:rsidR="003F574A">
        <w:t>along</w:t>
      </w:r>
      <w:r w:rsidR="006B0637">
        <w:t xml:space="preserve"> with Mr. Rush and Dr. Wennerstrom</w:t>
      </w:r>
      <w:r>
        <w:t xml:space="preserve"> are responsible for developing the information collection instrument, </w:t>
      </w:r>
      <w:r w:rsidR="001E599C">
        <w:t xml:space="preserve">leading </w:t>
      </w:r>
      <w:r>
        <w:t xml:space="preserve">data collection, </w:t>
      </w:r>
      <w:r w:rsidR="001E599C">
        <w:t>analyzing qualitative data and preparing a data summary for</w:t>
      </w:r>
      <w:r w:rsidR="002360B1">
        <w:t xml:space="preserve"> CDC.  CDC is responsible for providing consultation on the </w:t>
      </w:r>
      <w:r w:rsidR="002360B1" w:rsidRPr="002360B1">
        <w:t>development of the in</w:t>
      </w:r>
      <w:r w:rsidR="00F77F93">
        <w:t>formation collection instrument</w:t>
      </w:r>
      <w:r w:rsidR="002360B1">
        <w:t>, assisting with data collection</w:t>
      </w:r>
      <w:r w:rsidR="00F77F93">
        <w:t xml:space="preserve"> and analysis</w:t>
      </w:r>
      <w:r w:rsidR="002360B1">
        <w:t>, and interpreting the collected data.</w:t>
      </w:r>
    </w:p>
    <w:p w14:paraId="672A920E" w14:textId="77777777" w:rsidR="00D23396" w:rsidRDefault="00D23396" w:rsidP="009A3AC7">
      <w:pPr>
        <w:ind w:left="360"/>
      </w:pPr>
    </w:p>
    <w:p w14:paraId="673208C3" w14:textId="5DC865BE" w:rsidR="00D23396" w:rsidRDefault="00D23396" w:rsidP="009A3AC7">
      <w:pPr>
        <w:ind w:left="0"/>
      </w:pPr>
      <w:r w:rsidRPr="00190E5D">
        <w:t xml:space="preserve">The </w:t>
      </w:r>
      <w:r w:rsidR="00874243">
        <w:t>information collection instrument</w:t>
      </w:r>
      <w:r w:rsidR="00874243" w:rsidDel="00874243">
        <w:t xml:space="preserve"> </w:t>
      </w:r>
      <w:r w:rsidRPr="00190E5D">
        <w:t xml:space="preserve">was pilot tested by </w:t>
      </w:r>
      <w:r>
        <w:t>3</w:t>
      </w:r>
      <w:r w:rsidRPr="00190E5D">
        <w:t xml:space="preserve"> public health professionals. </w:t>
      </w:r>
      <w:r w:rsidRPr="00190E5D">
        <w:rPr>
          <w:rFonts w:cs="Arial"/>
        </w:rPr>
        <w:t>Feedback</w:t>
      </w:r>
      <w:r w:rsidRPr="009C48C9">
        <w:rPr>
          <w:rFonts w:cs="Arial"/>
        </w:rPr>
        <w:t xml:space="preserve"> from </w:t>
      </w:r>
      <w:r>
        <w:rPr>
          <w:rFonts w:cs="Arial"/>
        </w:rPr>
        <w:t>these individuals</w:t>
      </w:r>
      <w:r w:rsidRPr="009C48C9">
        <w:rPr>
          <w:rFonts w:cs="Arial"/>
        </w:rPr>
        <w:t xml:space="preserve"> was used to refine questions as needed</w:t>
      </w:r>
      <w:r>
        <w:rPr>
          <w:rFonts w:cs="Arial"/>
        </w:rPr>
        <w:t xml:space="preserve"> </w:t>
      </w:r>
      <w:r w:rsidRPr="009C48C9">
        <w:rPr>
          <w:rFonts w:cs="Arial"/>
        </w:rPr>
        <w:t xml:space="preserve">and establish the estimated time required to complete the </w:t>
      </w:r>
      <w:r>
        <w:rPr>
          <w:rFonts w:cs="Arial"/>
        </w:rPr>
        <w:t>interview guide</w:t>
      </w:r>
      <w:r w:rsidRPr="009C48C9">
        <w:rPr>
          <w:rFonts w:cs="Arial"/>
        </w:rPr>
        <w:t>.</w:t>
      </w:r>
      <w:r w:rsidR="002369E0" w:rsidRPr="002369E0">
        <w:t xml:space="preserve"> </w:t>
      </w:r>
      <w:r w:rsidR="002369E0">
        <w:t xml:space="preserve">In order to </w:t>
      </w:r>
      <w:r w:rsidR="00FE0B6B">
        <w:t xml:space="preserve">minimize </w:t>
      </w:r>
      <w:r w:rsidR="002369E0">
        <w:t xml:space="preserve">response burden, all </w:t>
      </w:r>
      <w:r w:rsidR="003F574A">
        <w:t>interviews</w:t>
      </w:r>
      <w:r w:rsidR="002369E0">
        <w:t xml:space="preserve"> will be limited to no more than 90 minutes.</w:t>
      </w:r>
    </w:p>
    <w:p w14:paraId="0D2D244F" w14:textId="60479D8B" w:rsidR="00CC6116" w:rsidRPr="00CC6116" w:rsidRDefault="00692DEB" w:rsidP="00CC6116">
      <w:pPr>
        <w:spacing w:after="240" w:line="240" w:lineRule="auto"/>
        <w:ind w:left="0"/>
        <w:rPr>
          <w:b/>
        </w:rPr>
      </w:pPr>
      <w:r w:rsidRPr="00CD796A">
        <w:rPr>
          <w:b/>
        </w:rPr>
        <w:lastRenderedPageBreak/>
        <w:t>Items of Information to be Collected</w:t>
      </w:r>
    </w:p>
    <w:p w14:paraId="23D3DA83" w14:textId="25EB8B8E" w:rsidR="00CC6CED" w:rsidRDefault="00692DEB" w:rsidP="009A3AC7">
      <w:pPr>
        <w:ind w:left="0"/>
      </w:pPr>
      <w:r w:rsidRPr="04524006">
        <w:t xml:space="preserve">The </w:t>
      </w:r>
      <w:r w:rsidR="00986DB6">
        <w:t xml:space="preserve">data collection instrument </w:t>
      </w:r>
      <w:r w:rsidR="000444D7" w:rsidRPr="000444D7">
        <w:t xml:space="preserve">(see </w:t>
      </w:r>
      <w:r w:rsidR="000444D7" w:rsidRPr="00A468A3">
        <w:rPr>
          <w:b/>
        </w:rPr>
        <w:t xml:space="preserve">Attachment </w:t>
      </w:r>
      <w:r w:rsidR="000444D7">
        <w:rPr>
          <w:b/>
        </w:rPr>
        <w:t>A</w:t>
      </w:r>
      <w:r w:rsidR="000444D7">
        <w:t xml:space="preserve"> – </w:t>
      </w:r>
      <w:r w:rsidR="000444D7" w:rsidRPr="00975638">
        <w:rPr>
          <w:b/>
        </w:rPr>
        <w:t xml:space="preserve">Telephone </w:t>
      </w:r>
      <w:r w:rsidR="000444D7" w:rsidRPr="00A468A3">
        <w:rPr>
          <w:b/>
        </w:rPr>
        <w:t>Interview Guide</w:t>
      </w:r>
      <w:r w:rsidR="000444D7" w:rsidRPr="000444D7">
        <w:t>)</w:t>
      </w:r>
      <w:r w:rsidR="000444D7">
        <w:t xml:space="preserve"> </w:t>
      </w:r>
      <w:r w:rsidR="00986DB6">
        <w:t xml:space="preserve">consists of </w:t>
      </w:r>
      <w:r w:rsidR="000444D7">
        <w:t xml:space="preserve">a total of </w:t>
      </w:r>
      <w:r w:rsidR="000444D7" w:rsidRPr="002D40DF">
        <w:t>2</w:t>
      </w:r>
      <w:r w:rsidR="002D40DF" w:rsidRPr="00CD796A">
        <w:t>3</w:t>
      </w:r>
      <w:r w:rsidR="000444D7">
        <w:t xml:space="preserve"> open- ended questions</w:t>
      </w:r>
      <w:r w:rsidR="00CC6CED">
        <w:t xml:space="preserve">. </w:t>
      </w:r>
      <w:r w:rsidR="00CD0D57">
        <w:t xml:space="preserve"> </w:t>
      </w:r>
      <w:r w:rsidR="00CC6CED">
        <w:t xml:space="preserve">The instrument will </w:t>
      </w:r>
      <w:r w:rsidR="00986DB6">
        <w:t>capture information on the</w:t>
      </w:r>
      <w:r w:rsidR="00CC6CED">
        <w:t xml:space="preserve"> following:</w:t>
      </w:r>
    </w:p>
    <w:p w14:paraId="5A27B3F0" w14:textId="0A31ADCE" w:rsidR="00CC6CED" w:rsidRDefault="00CC6CED" w:rsidP="009A3AC7">
      <w:pPr>
        <w:pStyle w:val="ListParagraph"/>
        <w:numPr>
          <w:ilvl w:val="0"/>
          <w:numId w:val="37"/>
        </w:numPr>
      </w:pPr>
      <w:r>
        <w:t xml:space="preserve">Respondent demographic information- </w:t>
      </w:r>
      <w:r w:rsidR="00E02BD4">
        <w:t>regarding</w:t>
      </w:r>
      <w:r>
        <w:t xml:space="preserve"> their role in working with CHW certification and the current status of CHW certification in their respective state (2 questions)</w:t>
      </w:r>
    </w:p>
    <w:p w14:paraId="27213C04" w14:textId="6266876A" w:rsidR="00CC6CED" w:rsidRDefault="00CC6CED" w:rsidP="009A3AC7">
      <w:pPr>
        <w:pStyle w:val="ListParagraph"/>
        <w:numPr>
          <w:ilvl w:val="0"/>
          <w:numId w:val="37"/>
        </w:numPr>
      </w:pPr>
      <w:r>
        <w:t>P</w:t>
      </w:r>
      <w:r w:rsidR="00986DB6" w:rsidRPr="00D23396">
        <w:t xml:space="preserve">rocess of </w:t>
      </w:r>
      <w:r w:rsidR="00986DB6">
        <w:t>d</w:t>
      </w:r>
      <w:r w:rsidR="00986DB6" w:rsidRPr="00D23396">
        <w:t>eveloping CHW certification</w:t>
      </w:r>
      <w:r w:rsidR="00986DB6">
        <w:t xml:space="preserve"> within the state</w:t>
      </w:r>
      <w:r w:rsidR="004002AC">
        <w:t xml:space="preserve"> (</w:t>
      </w:r>
      <w:r w:rsidR="002D40DF">
        <w:t xml:space="preserve">6 </w:t>
      </w:r>
      <w:r w:rsidR="004002AC">
        <w:t>questions)</w:t>
      </w:r>
      <w:r w:rsidR="00986DB6">
        <w:t xml:space="preserve"> </w:t>
      </w:r>
    </w:p>
    <w:p w14:paraId="086340E4" w14:textId="4E98FB1C" w:rsidR="00CC6CED" w:rsidRDefault="00CC6CED" w:rsidP="009A3AC7">
      <w:pPr>
        <w:pStyle w:val="ListParagraph"/>
        <w:numPr>
          <w:ilvl w:val="0"/>
          <w:numId w:val="37"/>
        </w:numPr>
      </w:pPr>
      <w:r>
        <w:t>S</w:t>
      </w:r>
      <w:r w:rsidR="00986DB6">
        <w:t>tate</w:t>
      </w:r>
      <w:r>
        <w:t xml:space="preserve"> government</w:t>
      </w:r>
      <w:r w:rsidR="00986DB6">
        <w:t xml:space="preserve"> roles</w:t>
      </w:r>
      <w:r w:rsidR="00986DB6" w:rsidRPr="00D23396">
        <w:t xml:space="preserve"> </w:t>
      </w:r>
      <w:r w:rsidR="00986DB6">
        <w:t xml:space="preserve">in </w:t>
      </w:r>
      <w:r w:rsidR="00986DB6" w:rsidRPr="00D23396">
        <w:t xml:space="preserve">implementing CHW </w:t>
      </w:r>
      <w:r w:rsidR="00986DB6">
        <w:t>c</w:t>
      </w:r>
      <w:r w:rsidR="00986DB6" w:rsidRPr="00D23396">
        <w:t>ertification</w:t>
      </w:r>
      <w:r w:rsidR="004002AC">
        <w:t xml:space="preserve"> (</w:t>
      </w:r>
      <w:r w:rsidR="00D308A4">
        <w:t>4</w:t>
      </w:r>
      <w:r w:rsidR="004002AC">
        <w:t xml:space="preserve"> questions)</w:t>
      </w:r>
    </w:p>
    <w:p w14:paraId="57C37569" w14:textId="672A2128" w:rsidR="00CC6CED" w:rsidRDefault="00CC6CED" w:rsidP="009A3AC7">
      <w:pPr>
        <w:pStyle w:val="ListParagraph"/>
        <w:numPr>
          <w:ilvl w:val="0"/>
          <w:numId w:val="37"/>
        </w:numPr>
      </w:pPr>
      <w:r>
        <w:t>D</w:t>
      </w:r>
      <w:r w:rsidR="00986DB6">
        <w:t xml:space="preserve">escription of </w:t>
      </w:r>
      <w:r w:rsidR="00986DB6" w:rsidRPr="00D23396">
        <w:t xml:space="preserve">CHW </w:t>
      </w:r>
      <w:r w:rsidR="008C21A0">
        <w:t>qualifications</w:t>
      </w:r>
      <w:r w:rsidR="00986DB6" w:rsidRPr="00D23396">
        <w:t>, scope of practice, training</w:t>
      </w:r>
      <w:r w:rsidR="00986DB6">
        <w:t xml:space="preserve"> within the state</w:t>
      </w:r>
      <w:r w:rsidR="004002AC">
        <w:t xml:space="preserve"> (6 questions)</w:t>
      </w:r>
    </w:p>
    <w:p w14:paraId="59DFA68B" w14:textId="1AF4F648" w:rsidR="00986DB6" w:rsidRDefault="00001FEB" w:rsidP="00001FEB">
      <w:pPr>
        <w:pStyle w:val="ListParagraph"/>
        <w:numPr>
          <w:ilvl w:val="0"/>
          <w:numId w:val="37"/>
        </w:numPr>
      </w:pPr>
      <w:r w:rsidRPr="00001FEB">
        <w:t xml:space="preserve">Sustainability and outcomes of CHW certification </w:t>
      </w:r>
      <w:r w:rsidR="00CC6CED">
        <w:t xml:space="preserve">within the state </w:t>
      </w:r>
      <w:r w:rsidR="004002AC">
        <w:t>(</w:t>
      </w:r>
      <w:r w:rsidR="00D308A4">
        <w:t>5</w:t>
      </w:r>
      <w:r w:rsidR="004002AC">
        <w:t xml:space="preserve"> questions)</w:t>
      </w:r>
    </w:p>
    <w:p w14:paraId="32B3F153" w14:textId="77777777" w:rsidR="00B576F7" w:rsidRDefault="00B576F7" w:rsidP="00B576F7"/>
    <w:p w14:paraId="02A54B0C" w14:textId="7F3E90BC" w:rsidR="00FA2569" w:rsidRDefault="00001FEB" w:rsidP="00692DEB">
      <w:pPr>
        <w:ind w:left="0"/>
      </w:pPr>
      <w:r>
        <w:t xml:space="preserve">The </w:t>
      </w:r>
      <w:r w:rsidR="004D0177">
        <w:t>information collected</w:t>
      </w:r>
      <w:r>
        <w:t xml:space="preserve"> will be used to identify and examine </w:t>
      </w:r>
      <w:r w:rsidRPr="00001FEB">
        <w:t>issues related to implementation of CHW certification</w:t>
      </w:r>
      <w:r>
        <w:t xml:space="preserve"> </w:t>
      </w:r>
      <w:r w:rsidR="007950FA" w:rsidRPr="00001FEB">
        <w:t>and to develop technical assistance material for state grantees and other decision makers</w:t>
      </w:r>
      <w:r w:rsidR="007950FA">
        <w:t xml:space="preserve">.  Demographic information will be used to provide context about the respondents’ experience and roles in CHW certification.  Questions addressing the process of developing CHW certification and state government roles in implementing CHW certification will provide a description of the selected states’ practices for CDC planning and technical assistance purposes and will not be generalized.  Similarly, </w:t>
      </w:r>
      <w:r w:rsidR="004D0177">
        <w:t xml:space="preserve">information collected about </w:t>
      </w:r>
      <w:r w:rsidR="004D0177" w:rsidRPr="004D0177">
        <w:t>CHW roles, scope of practice</w:t>
      </w:r>
      <w:r w:rsidR="004D0177">
        <w:t xml:space="preserve"> and </w:t>
      </w:r>
      <w:r w:rsidR="004D0177" w:rsidRPr="004D0177">
        <w:t xml:space="preserve">training within </w:t>
      </w:r>
      <w:r w:rsidR="00333285">
        <w:t>each</w:t>
      </w:r>
      <w:r w:rsidR="004D0177" w:rsidRPr="004D0177">
        <w:t xml:space="preserve"> state</w:t>
      </w:r>
      <w:r w:rsidR="004D0177">
        <w:t xml:space="preserve"> as well as s</w:t>
      </w:r>
      <w:r w:rsidR="004D0177" w:rsidRPr="004D0177">
        <w:t xml:space="preserve">ustainability and outcomes </w:t>
      </w:r>
      <w:r w:rsidR="004D0177">
        <w:t xml:space="preserve">related to </w:t>
      </w:r>
      <w:r w:rsidR="004D0177" w:rsidRPr="004D0177">
        <w:t>CHW certification</w:t>
      </w:r>
      <w:r w:rsidR="004D0177">
        <w:t xml:space="preserve"> will inform CDC planning related to key audience needs and will inform the scope and content of technical assistance materials and will not be generalized. </w:t>
      </w:r>
      <w:r w:rsidR="004002AC">
        <w:t>The data collection instrument</w:t>
      </w:r>
      <w:r w:rsidR="00CD0D57">
        <w:t xml:space="preserve"> (see </w:t>
      </w:r>
      <w:r w:rsidR="00CD0D57" w:rsidRPr="00975638">
        <w:rPr>
          <w:b/>
        </w:rPr>
        <w:t>Attachment A – Telephone Interview Guide</w:t>
      </w:r>
      <w:r w:rsidR="00CD0D57">
        <w:t>)</w:t>
      </w:r>
      <w:r w:rsidR="004002AC">
        <w:t xml:space="preserve"> </w:t>
      </w:r>
      <w:r w:rsidR="002369E0">
        <w:t xml:space="preserve">will be </w:t>
      </w:r>
      <w:r w:rsidR="004002AC">
        <w:t xml:space="preserve">administered by </w:t>
      </w:r>
      <w:r w:rsidR="00FA2569">
        <w:t>tele</w:t>
      </w:r>
      <w:r w:rsidR="004002AC">
        <w:t>phone</w:t>
      </w:r>
      <w:r w:rsidR="00CD0D57">
        <w:t xml:space="preserve"> </w:t>
      </w:r>
      <w:r w:rsidR="004002AC">
        <w:t xml:space="preserve">by a </w:t>
      </w:r>
      <w:r w:rsidR="004002AC" w:rsidRPr="00630D27">
        <w:t>two-member team: one interviewer and one note taker.</w:t>
      </w:r>
      <w:r w:rsidR="004002AC">
        <w:t xml:space="preserve"> Data collection teams will consist of </w:t>
      </w:r>
      <w:r w:rsidR="00F77F93">
        <w:t xml:space="preserve">Mr. Rush, Dr. Wennerstrom </w:t>
      </w:r>
      <w:r w:rsidR="00A15346">
        <w:t xml:space="preserve">and CDC </w:t>
      </w:r>
      <w:r w:rsidR="004002AC">
        <w:t xml:space="preserve">CHW assessment team </w:t>
      </w:r>
      <w:r w:rsidR="00862972">
        <w:t xml:space="preserve">members. </w:t>
      </w:r>
    </w:p>
    <w:p w14:paraId="73179D31" w14:textId="77777777" w:rsidR="00CA5062" w:rsidRDefault="00CA5062" w:rsidP="00692DEB">
      <w:pPr>
        <w:pStyle w:val="ListParagraph"/>
        <w:rPr>
          <w:lang w:eastAsia="zh-CN"/>
        </w:rPr>
      </w:pPr>
    </w:p>
    <w:p w14:paraId="02E7EB51" w14:textId="0400D12D" w:rsidR="00B12F51" w:rsidRPr="00014361" w:rsidRDefault="00B12F51" w:rsidP="00692DEB">
      <w:pPr>
        <w:pStyle w:val="Heading4"/>
      </w:pPr>
      <w:bookmarkStart w:id="7" w:name="_Toc427752815"/>
      <w:r w:rsidRPr="00014361">
        <w:t>Purpose and Use of the Information Collection</w:t>
      </w:r>
      <w:bookmarkEnd w:id="7"/>
    </w:p>
    <w:p w14:paraId="57CA752B" w14:textId="79AC0411" w:rsidR="00630D27" w:rsidRDefault="00630D27" w:rsidP="00630D27">
      <w:pPr>
        <w:pStyle w:val="ListParagraph"/>
        <w:ind w:left="0"/>
      </w:pPr>
      <w:r>
        <w:t xml:space="preserve">The purpose of this </w:t>
      </w:r>
      <w:r w:rsidR="006C2007">
        <w:t>information collection</w:t>
      </w:r>
      <w:r>
        <w:t xml:space="preserve"> is to i</w:t>
      </w:r>
      <w:r w:rsidR="007A4824" w:rsidRPr="002F19B2">
        <w:t>nform</w:t>
      </w:r>
      <w:r w:rsidR="007A4824">
        <w:t xml:space="preserve"> CDC and state-level decision makers including health department staff, </w:t>
      </w:r>
      <w:r w:rsidR="007A4824" w:rsidRPr="00B00289">
        <w:t xml:space="preserve">health plans, insurers, </w:t>
      </w:r>
      <w:r w:rsidR="007A4824">
        <w:t xml:space="preserve">and professional </w:t>
      </w:r>
      <w:r w:rsidR="007A4824" w:rsidRPr="00B00289">
        <w:t>associations</w:t>
      </w:r>
      <w:r>
        <w:t xml:space="preserve"> about effective strategies and potential </w:t>
      </w:r>
      <w:r w:rsidR="00A15346" w:rsidRPr="00A15346">
        <w:t>challenges associated with state level actions</w:t>
      </w:r>
      <w:r w:rsidR="00A15346" w:rsidRPr="00A15346" w:rsidDel="00A15346">
        <w:t xml:space="preserve"> </w:t>
      </w:r>
      <w:r>
        <w:t xml:space="preserve">and organizing structures relevant to CHW certification. To do this, </w:t>
      </w:r>
      <w:r w:rsidR="006C2007">
        <w:t>CDC</w:t>
      </w:r>
      <w:r w:rsidR="00A15346">
        <w:t xml:space="preserve">, working with </w:t>
      </w:r>
      <w:r w:rsidR="00A15346" w:rsidRPr="00A15346">
        <w:t xml:space="preserve">ChangeLab Solutions and their contracted partners </w:t>
      </w:r>
      <w:r>
        <w:t xml:space="preserve">seek to capture information via telephone informant interviews related to </w:t>
      </w:r>
      <w:r w:rsidRPr="00A57AFD">
        <w:t xml:space="preserve">(1) the strategies, activities and partnerships states are using to implement multiple types of CHW certification structures; (2) barriers, facilitators and unintended consequences associated with implementation of various structures guiding CHW certification; (3) </w:t>
      </w:r>
      <w:r w:rsidR="00A57AFD" w:rsidRPr="00A57AFD">
        <w:t xml:space="preserve">resource estimates </w:t>
      </w:r>
      <w:r w:rsidRPr="00A57AFD">
        <w:t>related to the development, implementation, and support of pertinent CHW certification activities; and (4) contextual factors thought to influence implementation as well as mediating processes believed to influence outcomes.</w:t>
      </w:r>
      <w:r>
        <w:t xml:space="preserve">  </w:t>
      </w:r>
    </w:p>
    <w:p w14:paraId="0CFDDB39" w14:textId="77777777" w:rsidR="00630D27" w:rsidRDefault="00630D27" w:rsidP="00630D27">
      <w:pPr>
        <w:pStyle w:val="ListParagraph"/>
        <w:ind w:left="0"/>
      </w:pPr>
    </w:p>
    <w:p w14:paraId="5213902A" w14:textId="1922A59B" w:rsidR="00001F81" w:rsidRDefault="00630D27" w:rsidP="00874243">
      <w:pPr>
        <w:pStyle w:val="ListParagraph"/>
        <w:ind w:left="0"/>
      </w:pPr>
      <w:r>
        <w:t>The information gleaned from the qualitative analysis will be used to</w:t>
      </w:r>
      <w:r w:rsidR="00A15346">
        <w:t xml:space="preserve"> identify </w:t>
      </w:r>
      <w:r w:rsidR="00874243">
        <w:t xml:space="preserve">and examine issues related to </w:t>
      </w:r>
      <w:r w:rsidR="00A15346">
        <w:t xml:space="preserve">implementation </w:t>
      </w:r>
      <w:r w:rsidR="00874243">
        <w:t>of CHW certification with the intent of supporting</w:t>
      </w:r>
      <w:r w:rsidR="00A15346" w:rsidRPr="00A15346">
        <w:t xml:space="preserve"> engagement of CHWs to promote linkages between health systems and community resources for adults with high blood pressure and adults with prediabetes or at high risk for type 2 diabetes. </w:t>
      </w:r>
      <w:r w:rsidR="00874243">
        <w:t xml:space="preserve"> The information will </w:t>
      </w:r>
      <w:r w:rsidR="007A4824">
        <w:t xml:space="preserve">also </w:t>
      </w:r>
      <w:r w:rsidR="00874243">
        <w:lastRenderedPageBreak/>
        <w:t xml:space="preserve">be used to </w:t>
      </w:r>
      <w:r>
        <w:t>develop technical assistance material for state grantees</w:t>
      </w:r>
      <w:r w:rsidR="006D1F43">
        <w:t xml:space="preserve"> and other decision makers </w:t>
      </w:r>
      <w:r>
        <w:t>that will be disseminated via conference presentations, webinars, fact sheets and implementation guides.</w:t>
      </w:r>
      <w:r w:rsidR="007A4824" w:rsidRPr="007A4824">
        <w:t xml:space="preserve"> </w:t>
      </w:r>
    </w:p>
    <w:p w14:paraId="3B89DD5E" w14:textId="77777777" w:rsidR="009A3AC7" w:rsidRDefault="009A3AC7" w:rsidP="00692DEB">
      <w:pPr>
        <w:ind w:left="0"/>
      </w:pPr>
    </w:p>
    <w:p w14:paraId="55865641" w14:textId="77777777" w:rsidR="00B47055" w:rsidRPr="00B47055" w:rsidRDefault="00B47055" w:rsidP="00692DEB">
      <w:pPr>
        <w:pStyle w:val="Heading4"/>
      </w:pPr>
      <w:bookmarkStart w:id="8" w:name="_Toc427752816"/>
      <w:r w:rsidRPr="00B47055">
        <w:t>Use of Improved Information Technology and Burden Reduction</w:t>
      </w:r>
      <w:bookmarkEnd w:id="8"/>
    </w:p>
    <w:p w14:paraId="59816023" w14:textId="4298EF90" w:rsidR="004B25A9" w:rsidRPr="00711BFA" w:rsidRDefault="004B25A9" w:rsidP="00692DEB">
      <w:pPr>
        <w:ind w:left="0"/>
      </w:pPr>
      <w:r w:rsidRPr="004B25A9">
        <w:t xml:space="preserve">All information will be </w:t>
      </w:r>
      <w:r w:rsidR="00A50D35">
        <w:t>collected</w:t>
      </w:r>
      <w:r w:rsidR="00A50D35" w:rsidRPr="004B25A9">
        <w:t xml:space="preserve"> </w:t>
      </w:r>
      <w:r w:rsidR="00A50D35">
        <w:t xml:space="preserve">via </w:t>
      </w:r>
      <w:r w:rsidRPr="004B25A9">
        <w:t>telephone</w:t>
      </w:r>
      <w:r w:rsidR="007A4824">
        <w:t xml:space="preserve"> informant</w:t>
      </w:r>
      <w:r w:rsidRPr="004B25A9">
        <w:t xml:space="preserve"> interviews. The one-on-one data collection format </w:t>
      </w:r>
      <w:r w:rsidR="00A50D35">
        <w:t xml:space="preserve">will </w:t>
      </w:r>
      <w:r w:rsidRPr="004B25A9">
        <w:t xml:space="preserve">help to reduce the burden on respondents by focusing </w:t>
      </w:r>
      <w:r w:rsidR="00A50D35">
        <w:t xml:space="preserve">the </w:t>
      </w:r>
      <w:r w:rsidRPr="004B25A9">
        <w:t>discussion on the most pertinent issues</w:t>
      </w:r>
      <w:r w:rsidR="00A50D35">
        <w:t xml:space="preserve"> specific to each respondent</w:t>
      </w:r>
      <w:r w:rsidRPr="004B25A9">
        <w:t xml:space="preserve">. Telephone interviews </w:t>
      </w:r>
      <w:r w:rsidR="00F94F58">
        <w:t>will</w:t>
      </w:r>
      <w:r w:rsidR="00F94F58" w:rsidRPr="004B25A9">
        <w:t xml:space="preserve"> </w:t>
      </w:r>
      <w:r w:rsidRPr="004B25A9">
        <w:t xml:space="preserve">also help to minimize the burden on </w:t>
      </w:r>
      <w:r w:rsidR="00F94F58">
        <w:t xml:space="preserve">respondents and </w:t>
      </w:r>
      <w:r>
        <w:t>project</w:t>
      </w:r>
      <w:r w:rsidRPr="004B25A9">
        <w:t xml:space="preserve"> staff by reducing the time required for follow-up—teams can verify responses and request clarification as needed during the information collection process.  </w:t>
      </w:r>
      <w:r w:rsidRPr="006F0460">
        <w:t xml:space="preserve">The information collection instrument </w:t>
      </w:r>
      <w:r w:rsidRPr="00711BFA">
        <w:t xml:space="preserve">was designed </w:t>
      </w:r>
      <w:r w:rsidR="0032507A" w:rsidRPr="00323C42">
        <w:rPr>
          <w:rFonts w:cs="Times New Roman"/>
        </w:rPr>
        <w:t>with particular focus on streamlining questions to allow for skipping based on responses to previous questions</w:t>
      </w:r>
      <w:r w:rsidR="00EA5600">
        <w:rPr>
          <w:rFonts w:cs="Times New Roman"/>
        </w:rPr>
        <w:t xml:space="preserve"> and</w:t>
      </w:r>
      <w:r w:rsidR="0032507A">
        <w:rPr>
          <w:rFonts w:cs="Times New Roman"/>
        </w:rPr>
        <w:t xml:space="preserve"> </w:t>
      </w:r>
      <w:r w:rsidRPr="00711BFA">
        <w:t xml:space="preserve">to collect the minimum information necessary for the purposes of this </w:t>
      </w:r>
      <w:r w:rsidRPr="007E7DBD">
        <w:t>project</w:t>
      </w:r>
      <w:r w:rsidRPr="00C9578F">
        <w:t xml:space="preserve"> </w:t>
      </w:r>
      <w:r w:rsidR="00A61029" w:rsidRPr="00C9578F">
        <w:t>(i.e.,</w:t>
      </w:r>
      <w:r w:rsidR="00AB38EC" w:rsidRPr="007E7DBD">
        <w:t xml:space="preserve"> </w:t>
      </w:r>
      <w:r w:rsidRPr="007E7DBD">
        <w:t>limited to 2</w:t>
      </w:r>
      <w:r w:rsidR="002D40DF">
        <w:t>3</w:t>
      </w:r>
      <w:r w:rsidRPr="007E7DBD">
        <w:t xml:space="preserve"> questions</w:t>
      </w:r>
      <w:r w:rsidR="00A61029" w:rsidRPr="007E7DBD">
        <w:t>)</w:t>
      </w:r>
      <w:r w:rsidRPr="007E7DBD">
        <w:t>.</w:t>
      </w:r>
    </w:p>
    <w:p w14:paraId="4AFF5173" w14:textId="77777777" w:rsidR="00E8736B" w:rsidRDefault="00E8736B" w:rsidP="007D6163">
      <w:pPr>
        <w:pStyle w:val="ListParagraph"/>
      </w:pPr>
    </w:p>
    <w:p w14:paraId="3FE48A1C" w14:textId="77777777" w:rsidR="00B47055" w:rsidRPr="00B47055" w:rsidRDefault="00B47055" w:rsidP="00692DEB">
      <w:pPr>
        <w:pStyle w:val="Heading4"/>
      </w:pPr>
      <w:bookmarkStart w:id="9" w:name="_Toc427752817"/>
      <w:r w:rsidRPr="00B47055">
        <w:t>Efforts to Identify Duplication and Use of Similar Information</w:t>
      </w:r>
      <w:bookmarkEnd w:id="9"/>
    </w:p>
    <w:p w14:paraId="6076E774" w14:textId="74EF161A" w:rsidR="003906C7" w:rsidRDefault="003906C7" w:rsidP="00692DEB">
      <w:pPr>
        <w:ind w:left="0"/>
      </w:pPr>
      <w:r w:rsidRPr="003906C7">
        <w:t xml:space="preserve">The information </w:t>
      </w:r>
      <w:r w:rsidR="00FE0B6B">
        <w:t xml:space="preserve">that will be </w:t>
      </w:r>
      <w:r w:rsidR="00A61029">
        <w:t>collected</w:t>
      </w:r>
      <w:r w:rsidR="00A61029" w:rsidRPr="003906C7">
        <w:t xml:space="preserve"> </w:t>
      </w:r>
      <w:r w:rsidR="00FE0B6B">
        <w:t>through</w:t>
      </w:r>
      <w:r>
        <w:t xml:space="preserve"> this project</w:t>
      </w:r>
      <w:r w:rsidRPr="003906C7">
        <w:t xml:space="preserve"> is not available from other data sources or through other means. </w:t>
      </w:r>
      <w:r>
        <w:t>During concept development, the project team reached out several times to the CDC CHW Workgroup and spoke with several national partners engaged in CHW-related issues to ensure that there are</w:t>
      </w:r>
      <w:r w:rsidRPr="003906C7">
        <w:t xml:space="preserve"> no similar information </w:t>
      </w:r>
      <w:r>
        <w:t xml:space="preserve">sources </w:t>
      </w:r>
      <w:r w:rsidRPr="003906C7">
        <w:t>available that meet the needs of th</w:t>
      </w:r>
      <w:r>
        <w:t>e</w:t>
      </w:r>
      <w:r w:rsidRPr="003906C7">
        <w:t xml:space="preserve"> proposed </w:t>
      </w:r>
      <w:r w:rsidR="0055198F">
        <w:t>information collection</w:t>
      </w:r>
      <w:r w:rsidRPr="003906C7">
        <w:t xml:space="preserve">.  </w:t>
      </w:r>
      <w:r>
        <w:t>Additionally, a detailed evidence review of the CHW certification literature was completed in August 2016 demonstrating that no one has collected this information</w:t>
      </w:r>
      <w:r w:rsidR="00A25450">
        <w:t xml:space="preserve"> in the past.</w:t>
      </w:r>
    </w:p>
    <w:p w14:paraId="52111DFE" w14:textId="77777777" w:rsidR="00E33E1B" w:rsidRDefault="00E33E1B" w:rsidP="005D6F14"/>
    <w:p w14:paraId="75B88CF6" w14:textId="77777777" w:rsidR="00B12F51" w:rsidRPr="00B47055" w:rsidRDefault="00B47055" w:rsidP="00692DEB">
      <w:pPr>
        <w:pStyle w:val="Heading4"/>
      </w:pPr>
      <w:bookmarkStart w:id="10" w:name="_Toc427752818"/>
      <w:r w:rsidRPr="00B47055">
        <w:t>Impact on Small Businesses or Other Small Entities</w:t>
      </w:r>
      <w:bookmarkEnd w:id="10"/>
    </w:p>
    <w:p w14:paraId="4404A497" w14:textId="77777777" w:rsidR="0053557D" w:rsidRDefault="00D26A64" w:rsidP="00A61029">
      <w:pPr>
        <w:ind w:left="0"/>
      </w:pPr>
      <w:r>
        <w:t>N</w:t>
      </w:r>
      <w:r w:rsidR="00AF2252">
        <w:t xml:space="preserve">o small businesses will be involved in this </w:t>
      </w:r>
      <w:r w:rsidR="00157413">
        <w:t>information collection</w:t>
      </w:r>
      <w:r>
        <w:t>.</w:t>
      </w:r>
    </w:p>
    <w:p w14:paraId="012B0C00" w14:textId="77777777" w:rsidR="00441CC3" w:rsidRDefault="00441CC3" w:rsidP="005D6F14"/>
    <w:p w14:paraId="5E04EB42"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7DC21F0F" w14:textId="77777777" w:rsidR="000058E0" w:rsidRDefault="000058E0" w:rsidP="00AB38EC">
      <w:pPr>
        <w:ind w:left="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0A35A3D1" w14:textId="3B91C43C" w:rsidR="0097291A" w:rsidRPr="00586BC5" w:rsidRDefault="0097291A" w:rsidP="00AB38EC">
      <w:pPr>
        <w:pStyle w:val="ListParagraph"/>
        <w:numPr>
          <w:ilvl w:val="0"/>
          <w:numId w:val="25"/>
        </w:numPr>
        <w:tabs>
          <w:tab w:val="clear" w:pos="9360"/>
        </w:tabs>
        <w:rPr>
          <w:rFonts w:cs="Arial"/>
          <w:color w:val="000000" w:themeColor="text1"/>
        </w:rPr>
      </w:pPr>
      <w:r w:rsidRPr="00586BC5">
        <w:rPr>
          <w:rFonts w:cs="Arial"/>
          <w:color w:val="000000" w:themeColor="text1"/>
        </w:rPr>
        <w:t>Capture in-depth information about best practices in CHW certification and supporting structures</w:t>
      </w:r>
    </w:p>
    <w:p w14:paraId="04EE238A" w14:textId="77777777" w:rsidR="0097291A" w:rsidRPr="00586BC5" w:rsidRDefault="0097291A" w:rsidP="00AB38EC">
      <w:pPr>
        <w:pStyle w:val="ListParagraph"/>
        <w:numPr>
          <w:ilvl w:val="0"/>
          <w:numId w:val="25"/>
        </w:numPr>
        <w:tabs>
          <w:tab w:val="clear" w:pos="9360"/>
        </w:tabs>
        <w:rPr>
          <w:color w:val="000000" w:themeColor="text1"/>
        </w:rPr>
      </w:pPr>
      <w:r w:rsidRPr="00586BC5">
        <w:rPr>
          <w:rFonts w:cs="Arial"/>
          <w:color w:val="000000" w:themeColor="text1"/>
        </w:rPr>
        <w:t>Assess the linkages between state CHW certification infrastructure, implementation, and outcomes</w:t>
      </w:r>
    </w:p>
    <w:p w14:paraId="6221F442" w14:textId="61CB8503" w:rsidR="0097291A" w:rsidRPr="00586BC5" w:rsidRDefault="0097291A" w:rsidP="00AB38EC">
      <w:pPr>
        <w:pStyle w:val="ListParagraph"/>
        <w:numPr>
          <w:ilvl w:val="0"/>
          <w:numId w:val="25"/>
        </w:numPr>
        <w:tabs>
          <w:tab w:val="clear" w:pos="9360"/>
        </w:tabs>
        <w:rPr>
          <w:color w:val="000000" w:themeColor="text1"/>
        </w:rPr>
      </w:pPr>
      <w:r w:rsidRPr="00586BC5">
        <w:rPr>
          <w:rFonts w:cs="Arial"/>
          <w:color w:val="000000" w:themeColor="text1"/>
        </w:rPr>
        <w:t>Provide information to state decision makers about the facilitators and challenges of CHW certification and supporting structures</w:t>
      </w:r>
      <w:r w:rsidR="009438C9" w:rsidRPr="00586BC5">
        <w:rPr>
          <w:rFonts w:cs="Arial"/>
          <w:color w:val="000000" w:themeColor="text1"/>
        </w:rPr>
        <w:t>, including contextual factors that may impede uptake</w:t>
      </w:r>
    </w:p>
    <w:p w14:paraId="7CB333AE" w14:textId="22C397FC" w:rsidR="0097291A" w:rsidRPr="00586BC5" w:rsidRDefault="0097291A" w:rsidP="00AB38EC">
      <w:pPr>
        <w:pStyle w:val="ListParagraph"/>
        <w:numPr>
          <w:ilvl w:val="0"/>
          <w:numId w:val="25"/>
        </w:numPr>
        <w:tabs>
          <w:tab w:val="clear" w:pos="9360"/>
        </w:tabs>
        <w:rPr>
          <w:color w:val="000000" w:themeColor="text1"/>
        </w:rPr>
      </w:pPr>
      <w:r w:rsidRPr="00586BC5">
        <w:rPr>
          <w:rFonts w:cs="Arial"/>
          <w:color w:val="000000" w:themeColor="text1"/>
        </w:rPr>
        <w:t>Develop resource estimates related to the development, implementation, and support of pertinent CHW certification activities</w:t>
      </w:r>
    </w:p>
    <w:p w14:paraId="45090A13" w14:textId="57BAA858" w:rsidR="0097291A" w:rsidRPr="00586BC5" w:rsidRDefault="0097291A" w:rsidP="00AB38EC">
      <w:pPr>
        <w:pStyle w:val="ListParagraph"/>
        <w:numPr>
          <w:ilvl w:val="0"/>
          <w:numId w:val="25"/>
        </w:numPr>
        <w:tabs>
          <w:tab w:val="clear" w:pos="9360"/>
        </w:tabs>
        <w:rPr>
          <w:color w:val="000000" w:themeColor="text1"/>
        </w:rPr>
      </w:pPr>
      <w:r w:rsidRPr="00586BC5">
        <w:rPr>
          <w:rFonts w:cs="Arial"/>
          <w:color w:val="000000" w:themeColor="text1"/>
        </w:rPr>
        <w:t xml:space="preserve">Aid state-level decision-makers </w:t>
      </w:r>
      <w:r w:rsidR="009438C9" w:rsidRPr="00586BC5">
        <w:rPr>
          <w:rFonts w:cs="Arial"/>
          <w:color w:val="000000" w:themeColor="text1"/>
        </w:rPr>
        <w:t>in CHW-related program implementation</w:t>
      </w:r>
    </w:p>
    <w:p w14:paraId="24D881B4" w14:textId="77777777" w:rsidR="0097291A" w:rsidRDefault="0097291A" w:rsidP="000058E0">
      <w:pPr>
        <w:pStyle w:val="ListParagraph"/>
        <w:rPr>
          <w:lang w:eastAsia="zh-CN"/>
        </w:rPr>
      </w:pPr>
    </w:p>
    <w:p w14:paraId="0D2AED87" w14:textId="77777777" w:rsidR="00CD796A" w:rsidRDefault="00CD796A" w:rsidP="000058E0">
      <w:pPr>
        <w:pStyle w:val="ListParagraph"/>
        <w:rPr>
          <w:lang w:eastAsia="zh-CN"/>
        </w:rPr>
      </w:pPr>
    </w:p>
    <w:p w14:paraId="42E717DA" w14:textId="77777777" w:rsidR="00CD796A" w:rsidRDefault="00CD796A" w:rsidP="000058E0">
      <w:pPr>
        <w:pStyle w:val="ListParagraph"/>
        <w:rPr>
          <w:lang w:eastAsia="zh-CN"/>
        </w:rPr>
      </w:pPr>
    </w:p>
    <w:p w14:paraId="3D70831B" w14:textId="77777777" w:rsidR="00E03220" w:rsidRDefault="00E03220" w:rsidP="000058E0">
      <w:pPr>
        <w:pStyle w:val="ListParagraph"/>
        <w:rPr>
          <w:lang w:eastAsia="zh-CN"/>
        </w:rPr>
      </w:pPr>
    </w:p>
    <w:p w14:paraId="1C352D4B" w14:textId="77777777" w:rsidR="00B12F51" w:rsidRPr="00B47055" w:rsidRDefault="00B47055" w:rsidP="00692DEB">
      <w:pPr>
        <w:pStyle w:val="Heading4"/>
      </w:pPr>
      <w:bookmarkStart w:id="12" w:name="_Toc427752820"/>
      <w:r w:rsidRPr="00B47055">
        <w:lastRenderedPageBreak/>
        <w:t>Special Circumstances Relating to the Guidelines of 5 CFR 1320.5</w:t>
      </w:r>
      <w:bookmarkEnd w:id="12"/>
    </w:p>
    <w:p w14:paraId="3F174D52"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7BFE09AB" w14:textId="77777777" w:rsidR="00F52BCC" w:rsidRDefault="00F52BCC" w:rsidP="005D6F14"/>
    <w:p w14:paraId="5BC5DEE1"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51043E05" w14:textId="0FE93AB8" w:rsidR="00A809AA" w:rsidRPr="00A809AA" w:rsidRDefault="00C768E5" w:rsidP="009A3AC7">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014944">
        <w:t>May 16, 2014, Vol. 79</w:t>
      </w:r>
      <w:r w:rsidR="005115FA" w:rsidRPr="005115FA">
        <w:t xml:space="preserve">, No. </w:t>
      </w:r>
      <w:r w:rsidR="00014944">
        <w:t>95</w:t>
      </w:r>
      <w:r w:rsidR="005115FA" w:rsidRPr="005115FA">
        <w:t xml:space="preserve">; pp. </w:t>
      </w:r>
      <w:r w:rsidR="00014944">
        <w:t>28513</w:t>
      </w:r>
      <w:r w:rsidR="00A809AA" w:rsidRPr="00A809AA">
        <w:t xml:space="preserve">.  </w:t>
      </w:r>
      <w:r w:rsidR="005115FA">
        <w:t xml:space="preserve">No </w:t>
      </w:r>
      <w:r w:rsidR="00A809AA" w:rsidRPr="00A809AA">
        <w:t>comments were received</w:t>
      </w:r>
      <w:r w:rsidR="00783C75">
        <w:t>.</w:t>
      </w:r>
    </w:p>
    <w:p w14:paraId="2ACC2F51" w14:textId="77777777" w:rsidR="00A809AA" w:rsidRPr="00A809AA" w:rsidRDefault="00A809AA" w:rsidP="00692DEB">
      <w:pPr>
        <w:ind w:left="0"/>
      </w:pPr>
    </w:p>
    <w:p w14:paraId="764006AC"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14CE2EF" w14:textId="77777777" w:rsidR="00F52BCC" w:rsidRPr="00A809AA" w:rsidRDefault="00F52BCC" w:rsidP="005D6F14"/>
    <w:p w14:paraId="4DAA9469" w14:textId="77777777" w:rsidR="00B12F51" w:rsidRPr="0088467A" w:rsidRDefault="0088467A" w:rsidP="00692DEB">
      <w:pPr>
        <w:pStyle w:val="Heading4"/>
      </w:pPr>
      <w:bookmarkStart w:id="14" w:name="_Toc427752822"/>
      <w:r w:rsidRPr="0088467A">
        <w:t>Explanation of Any Payment or Gift to Respondents</w:t>
      </w:r>
      <w:bookmarkEnd w:id="14"/>
    </w:p>
    <w:p w14:paraId="240C52B8" w14:textId="77777777" w:rsidR="00F52BCC" w:rsidRDefault="00A809AA" w:rsidP="00692DEB">
      <w:pPr>
        <w:ind w:left="0"/>
      </w:pPr>
      <w:r>
        <w:t>CDC will not provide p</w:t>
      </w:r>
      <w:r w:rsidR="00D26A64">
        <w:t>ayments or gifts to respondents.</w:t>
      </w:r>
    </w:p>
    <w:p w14:paraId="07CE16C4" w14:textId="77777777" w:rsidR="00F52BCC" w:rsidRDefault="00F52BCC" w:rsidP="005D6F14"/>
    <w:p w14:paraId="084C2058"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6B8179DA" w14:textId="1F431085"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008A5EC5">
        <w:t>Although CDC will collect some individually identifiable information (</w:t>
      </w:r>
      <w:r w:rsidR="008A5EC5" w:rsidRPr="000C4C89">
        <w:t>IIF</w:t>
      </w:r>
      <w:r w:rsidR="008A5EC5">
        <w:t xml:space="preserve">), including respondent </w:t>
      </w:r>
      <w:r w:rsidR="00BD11C6">
        <w:t>names, titles and years in their current role</w:t>
      </w:r>
      <w:r w:rsidR="008A5EC5">
        <w:t>, all information</w:t>
      </w:r>
      <w:r w:rsidR="00BD11C6">
        <w:t xml:space="preserve"> will be kept on secure, password protected servers accessible only to project team members.  </w:t>
      </w:r>
      <w:r w:rsidR="00BC7A38">
        <w:t>Information collected during the assessment will be shared</w:t>
      </w:r>
      <w:r w:rsidR="008A5EC5">
        <w:t xml:space="preserve"> only</w:t>
      </w:r>
      <w:r w:rsidR="00BC7A38">
        <w:t xml:space="preserve"> in aggregate form.  </w:t>
      </w:r>
      <w:r w:rsidR="008A5EC5">
        <w:t>No IIF</w:t>
      </w:r>
      <w:r w:rsidR="00874243">
        <w:t xml:space="preserve"> will</w:t>
      </w:r>
      <w:r w:rsidR="008A5EC5">
        <w:t xml:space="preserve"> be distributed</w:t>
      </w:r>
      <w:r w:rsidR="008A5EC5" w:rsidRPr="000C4C89">
        <w:t>.</w:t>
      </w:r>
    </w:p>
    <w:p w14:paraId="612C8EA3" w14:textId="77777777" w:rsidR="003C31C9" w:rsidRPr="003C31C9" w:rsidRDefault="003C31C9" w:rsidP="00692DEB">
      <w:pPr>
        <w:ind w:left="0"/>
      </w:pPr>
    </w:p>
    <w:p w14:paraId="0568F988" w14:textId="77777777" w:rsidR="003C31C9" w:rsidRDefault="003C31C9" w:rsidP="00692DEB">
      <w:pPr>
        <w:ind w:left="0"/>
      </w:pPr>
      <w:r w:rsidRPr="003C31C9">
        <w:t xml:space="preserve">This </w:t>
      </w:r>
      <w:r w:rsidR="00157413">
        <w:t>information collection</w:t>
      </w:r>
      <w:r w:rsidRPr="003C31C9">
        <w:t xml:space="preserve"> is not research involving human subjects.</w:t>
      </w:r>
    </w:p>
    <w:p w14:paraId="2739829E" w14:textId="2840B173" w:rsidR="000058E0" w:rsidRDefault="000058E0" w:rsidP="008A5EC5">
      <w:pPr>
        <w:ind w:left="0"/>
      </w:pPr>
    </w:p>
    <w:p w14:paraId="6454A151"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1DBD89ED" w14:textId="77777777" w:rsidR="00F52BCC" w:rsidRDefault="003C31C9" w:rsidP="00692DEB">
      <w:pPr>
        <w:ind w:left="0"/>
      </w:pPr>
      <w:r>
        <w:t>No information will be collected</w:t>
      </w:r>
      <w:r w:rsidR="00616090">
        <w:t xml:space="preserve"> that are of personal or sensitive nature</w:t>
      </w:r>
      <w:r w:rsidR="00D26A64">
        <w:t>.</w:t>
      </w:r>
    </w:p>
    <w:p w14:paraId="0B611959" w14:textId="77777777" w:rsidR="00616090" w:rsidRPr="0088467A" w:rsidRDefault="00616090" w:rsidP="005D6F14"/>
    <w:p w14:paraId="2716336A" w14:textId="77777777" w:rsidR="00B64BFA" w:rsidRPr="0088467A" w:rsidRDefault="0088467A" w:rsidP="00692DEB">
      <w:pPr>
        <w:pStyle w:val="Heading4"/>
      </w:pPr>
      <w:bookmarkStart w:id="17" w:name="_Toc427752825"/>
      <w:r w:rsidRPr="0088467A">
        <w:t>Estimates of Annualized Burden Hours and Costs</w:t>
      </w:r>
      <w:bookmarkEnd w:id="17"/>
    </w:p>
    <w:p w14:paraId="58065055" w14:textId="607F3B79" w:rsidR="000058E0" w:rsidRDefault="000058E0" w:rsidP="000058E0">
      <w:pPr>
        <w:ind w:left="0"/>
        <w:rPr>
          <w:color w:val="000000"/>
        </w:rPr>
      </w:pPr>
      <w:r w:rsidRPr="00711BFA">
        <w:rPr>
          <w:color w:val="000000"/>
        </w:rPr>
        <w:t xml:space="preserve">The estimate for burden hours is based on a pilot test of </w:t>
      </w:r>
      <w:r w:rsidRPr="0061015C">
        <w:t xml:space="preserve">the information collection instrument </w:t>
      </w:r>
      <w:r w:rsidRPr="00711BFA">
        <w:rPr>
          <w:color w:val="000000"/>
        </w:rPr>
        <w:t xml:space="preserve">by </w:t>
      </w:r>
      <w:r w:rsidR="006B593D">
        <w:t>3</w:t>
      </w:r>
      <w:r w:rsidRPr="0096722D">
        <w:t xml:space="preserve"> </w:t>
      </w:r>
      <w:r w:rsidRPr="00711BFA">
        <w:t xml:space="preserve">public health professionals. In the pilot test, the average time to complete the </w:t>
      </w:r>
      <w:r w:rsidRPr="0061015C">
        <w:t>instrument including time for reviewing instructions, gathering needed information and completing the instrument</w:t>
      </w:r>
      <w:r w:rsidRPr="00711BFA">
        <w:t xml:space="preserve">, was </w:t>
      </w:r>
      <w:r w:rsidRPr="00394483">
        <w:t>approximately</w:t>
      </w:r>
      <w:r w:rsidRPr="00394483">
        <w:rPr>
          <w:color w:val="000000" w:themeColor="text1"/>
        </w:rPr>
        <w:t xml:space="preserve"> </w:t>
      </w:r>
      <w:r w:rsidR="0096722D" w:rsidRPr="00394483">
        <w:rPr>
          <w:color w:val="000000" w:themeColor="text1"/>
        </w:rPr>
        <w:t>60</w:t>
      </w:r>
      <w:r w:rsidRPr="00394483">
        <w:rPr>
          <w:color w:val="0070C0"/>
        </w:rPr>
        <w:t xml:space="preserve"> </w:t>
      </w:r>
      <w:r w:rsidRPr="00394483">
        <w:t>minutes</w:t>
      </w:r>
      <w:r w:rsidR="00D410E1">
        <w:t xml:space="preserve"> (range:</w:t>
      </w:r>
      <w:r w:rsidR="0096722D" w:rsidRPr="00394483">
        <w:t xml:space="preserve"> 45 to 90</w:t>
      </w:r>
      <w:r w:rsidRPr="00394483">
        <w:t xml:space="preserve"> minutes</w:t>
      </w:r>
      <w:r w:rsidR="00D410E1">
        <w:t>)</w:t>
      </w:r>
      <w:r w:rsidRPr="00394483">
        <w:t xml:space="preserve">. For the purposes of estimating burden hours, the upper limit of this range (i.e., </w:t>
      </w:r>
      <w:r w:rsidR="0096722D" w:rsidRPr="00394483">
        <w:rPr>
          <w:color w:val="000000" w:themeColor="text1"/>
        </w:rPr>
        <w:t>90</w:t>
      </w:r>
      <w:r w:rsidR="0096722D" w:rsidRPr="00394483">
        <w:rPr>
          <w:color w:val="0070C0"/>
        </w:rPr>
        <w:t xml:space="preserve"> </w:t>
      </w:r>
      <w:r w:rsidRPr="00394483">
        <w:t>minutes) is used.</w:t>
      </w:r>
    </w:p>
    <w:p w14:paraId="0C1975BD" w14:textId="77777777" w:rsidR="00AA6DBE" w:rsidRPr="00AA6DBE" w:rsidRDefault="00AA6DBE" w:rsidP="000058E0">
      <w:pPr>
        <w:ind w:left="0"/>
        <w:rPr>
          <w:color w:val="000000"/>
        </w:rPr>
      </w:pPr>
    </w:p>
    <w:p w14:paraId="1964A9A8" w14:textId="368AEECC" w:rsidR="0055198F" w:rsidRDefault="00630D27" w:rsidP="00692DEB">
      <w:pPr>
        <w:ind w:left="0"/>
      </w:pPr>
      <w:r>
        <w:lastRenderedPageBreak/>
        <w:t>Because informants will include mostly leadership and senior staff in public and some private organizations, e</w:t>
      </w:r>
      <w:r w:rsidRPr="003E7701">
        <w:t xml:space="preserve">stimates for the average hourly wage for respondents are based on the Department of Labor (DOL) </w:t>
      </w:r>
      <w:r>
        <w:t>Bureau of Labor Statistics for occupational employment for</w:t>
      </w:r>
      <w:r w:rsidRPr="008C408E">
        <w:rPr>
          <w:color w:val="0070C0"/>
        </w:rPr>
        <w:t xml:space="preserve"> </w:t>
      </w:r>
      <w:r w:rsidRPr="00630D27">
        <w:rPr>
          <w:color w:val="000000" w:themeColor="text1"/>
        </w:rPr>
        <w:t xml:space="preserve">Top Executives  </w:t>
      </w:r>
      <w:hyperlink r:id="rId14" w:history="1">
        <w:r w:rsidRPr="009C70BD">
          <w:rPr>
            <w:rStyle w:val="Hyperlink"/>
          </w:rPr>
          <w:t>http://www.bls.gov/oes/current/oes_nat.htm</w:t>
        </w:r>
      </w:hyperlink>
      <w:r>
        <w:t xml:space="preserve">.  </w:t>
      </w:r>
      <w:r w:rsidRPr="00711BFA">
        <w:t xml:space="preserve">Based on DOL data, an average hourly wage of </w:t>
      </w:r>
      <w:r w:rsidRPr="00630D27">
        <w:rPr>
          <w:color w:val="000000" w:themeColor="text1"/>
        </w:rPr>
        <w:t xml:space="preserve">$59.71 is estimated for all </w:t>
      </w:r>
      <w:r w:rsidR="003F574A" w:rsidRPr="00630D27">
        <w:rPr>
          <w:color w:val="000000" w:themeColor="text1"/>
        </w:rPr>
        <w:t>4</w:t>
      </w:r>
      <w:r w:rsidR="003F574A">
        <w:rPr>
          <w:color w:val="000000" w:themeColor="text1"/>
        </w:rPr>
        <w:t>9</w:t>
      </w:r>
      <w:r w:rsidR="003F574A" w:rsidRPr="00630D27">
        <w:rPr>
          <w:color w:val="000000" w:themeColor="text1"/>
        </w:rPr>
        <w:t xml:space="preserve"> </w:t>
      </w:r>
      <w:r w:rsidRPr="00711BFA">
        <w:t>respondents. Table A-12 shows estimated burden and cost information.</w:t>
      </w:r>
    </w:p>
    <w:p w14:paraId="042CBBF5" w14:textId="77777777" w:rsidR="00814823" w:rsidRPr="002A1948" w:rsidRDefault="00814823" w:rsidP="00692DEB">
      <w:pPr>
        <w:ind w:left="0"/>
      </w:pPr>
    </w:p>
    <w:p w14:paraId="11025DEA"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957"/>
        <w:gridCol w:w="833"/>
        <w:gridCol w:w="1440"/>
        <w:gridCol w:w="1530"/>
        <w:gridCol w:w="900"/>
        <w:gridCol w:w="900"/>
        <w:gridCol w:w="1350"/>
      </w:tblGrid>
      <w:tr w:rsidR="00630D27" w:rsidRPr="0096722D" w14:paraId="5CC0AFFA" w14:textId="77777777" w:rsidTr="00CD77A9">
        <w:trPr>
          <w:trHeight w:val="1493"/>
        </w:trPr>
        <w:tc>
          <w:tcPr>
            <w:tcW w:w="1350" w:type="dxa"/>
            <w:shd w:val="clear" w:color="auto" w:fill="D9D9D9" w:themeFill="background1" w:themeFillShade="D9"/>
          </w:tcPr>
          <w:p w14:paraId="653B1FF2" w14:textId="77777777" w:rsidR="00630D27" w:rsidRPr="0096722D" w:rsidRDefault="00630D27" w:rsidP="00CD77A9">
            <w:pPr>
              <w:ind w:left="-18"/>
              <w:rPr>
                <w:b/>
                <w:sz w:val="20"/>
                <w:szCs w:val="20"/>
              </w:rPr>
            </w:pPr>
            <w:r w:rsidRPr="0096722D">
              <w:rPr>
                <w:b/>
                <w:sz w:val="20"/>
                <w:szCs w:val="20"/>
              </w:rPr>
              <w:t>Information collection Instrument: Form Name</w:t>
            </w:r>
          </w:p>
        </w:tc>
        <w:tc>
          <w:tcPr>
            <w:tcW w:w="1957" w:type="dxa"/>
            <w:shd w:val="clear" w:color="auto" w:fill="D9D9D9" w:themeFill="background1" w:themeFillShade="D9"/>
            <w:vAlign w:val="center"/>
          </w:tcPr>
          <w:p w14:paraId="284568B2" w14:textId="77777777" w:rsidR="00630D27" w:rsidRPr="0096722D" w:rsidRDefault="00630D27" w:rsidP="00CD77A9">
            <w:pPr>
              <w:ind w:left="-18"/>
              <w:rPr>
                <w:b/>
                <w:sz w:val="20"/>
                <w:szCs w:val="20"/>
              </w:rPr>
            </w:pPr>
            <w:r w:rsidRPr="0096722D">
              <w:rPr>
                <w:b/>
                <w:sz w:val="20"/>
                <w:szCs w:val="20"/>
              </w:rPr>
              <w:t>Type of Respondent</w:t>
            </w:r>
          </w:p>
        </w:tc>
        <w:tc>
          <w:tcPr>
            <w:tcW w:w="833" w:type="dxa"/>
            <w:shd w:val="clear" w:color="auto" w:fill="D9D9D9" w:themeFill="background1" w:themeFillShade="D9"/>
            <w:vAlign w:val="center"/>
          </w:tcPr>
          <w:p w14:paraId="09CE5015" w14:textId="77777777" w:rsidR="00630D27" w:rsidRPr="0096722D" w:rsidRDefault="00630D27" w:rsidP="00CD77A9">
            <w:pPr>
              <w:ind w:left="-18"/>
              <w:rPr>
                <w:b/>
                <w:sz w:val="20"/>
                <w:szCs w:val="20"/>
              </w:rPr>
            </w:pPr>
            <w:r w:rsidRPr="0096722D">
              <w:rPr>
                <w:b/>
                <w:sz w:val="20"/>
                <w:szCs w:val="20"/>
              </w:rPr>
              <w:t>No. of Respondents</w:t>
            </w:r>
          </w:p>
        </w:tc>
        <w:tc>
          <w:tcPr>
            <w:tcW w:w="1440" w:type="dxa"/>
            <w:shd w:val="clear" w:color="auto" w:fill="D9D9D9" w:themeFill="background1" w:themeFillShade="D9"/>
            <w:vAlign w:val="center"/>
          </w:tcPr>
          <w:p w14:paraId="4AE2D9D2" w14:textId="77777777" w:rsidR="00630D27" w:rsidRPr="0096722D" w:rsidRDefault="00630D27" w:rsidP="00CD77A9">
            <w:pPr>
              <w:ind w:left="-18"/>
              <w:rPr>
                <w:b/>
                <w:sz w:val="20"/>
                <w:szCs w:val="20"/>
              </w:rPr>
            </w:pPr>
            <w:r w:rsidRPr="0096722D">
              <w:rPr>
                <w:b/>
                <w:sz w:val="20"/>
                <w:szCs w:val="20"/>
              </w:rPr>
              <w:t>No. of Responses per Respondent</w:t>
            </w:r>
          </w:p>
        </w:tc>
        <w:tc>
          <w:tcPr>
            <w:tcW w:w="1530" w:type="dxa"/>
            <w:shd w:val="clear" w:color="auto" w:fill="D9D9D9" w:themeFill="background1" w:themeFillShade="D9"/>
            <w:vAlign w:val="center"/>
          </w:tcPr>
          <w:p w14:paraId="7BCB1CDC" w14:textId="77777777" w:rsidR="00630D27" w:rsidRPr="0096722D" w:rsidRDefault="00630D27" w:rsidP="00CD77A9">
            <w:pPr>
              <w:ind w:left="-18"/>
              <w:rPr>
                <w:b/>
                <w:sz w:val="20"/>
                <w:szCs w:val="20"/>
              </w:rPr>
            </w:pPr>
            <w:r w:rsidRPr="0096722D">
              <w:rPr>
                <w:b/>
                <w:sz w:val="20"/>
                <w:szCs w:val="20"/>
              </w:rPr>
              <w:t>Average Burden per Response (in hours)</w:t>
            </w:r>
          </w:p>
        </w:tc>
        <w:tc>
          <w:tcPr>
            <w:tcW w:w="900" w:type="dxa"/>
            <w:shd w:val="clear" w:color="auto" w:fill="D9D9D9" w:themeFill="background1" w:themeFillShade="D9"/>
            <w:vAlign w:val="center"/>
          </w:tcPr>
          <w:p w14:paraId="3A1F2061" w14:textId="77777777" w:rsidR="00630D27" w:rsidRPr="0096722D" w:rsidRDefault="00630D27" w:rsidP="00CD77A9">
            <w:pPr>
              <w:ind w:left="-18"/>
              <w:rPr>
                <w:b/>
                <w:sz w:val="20"/>
                <w:szCs w:val="20"/>
              </w:rPr>
            </w:pPr>
            <w:r w:rsidRPr="0096722D">
              <w:rPr>
                <w:b/>
                <w:sz w:val="20"/>
                <w:szCs w:val="20"/>
              </w:rPr>
              <w:t>Total Burden Hours</w:t>
            </w:r>
          </w:p>
        </w:tc>
        <w:tc>
          <w:tcPr>
            <w:tcW w:w="900" w:type="dxa"/>
            <w:shd w:val="clear" w:color="auto" w:fill="D9D9D9" w:themeFill="background1" w:themeFillShade="D9"/>
            <w:vAlign w:val="center"/>
          </w:tcPr>
          <w:p w14:paraId="5729F7D6" w14:textId="77777777" w:rsidR="00630D27" w:rsidRPr="0096722D" w:rsidRDefault="00630D27" w:rsidP="00CD77A9">
            <w:pPr>
              <w:ind w:left="-18"/>
              <w:rPr>
                <w:b/>
                <w:sz w:val="20"/>
                <w:szCs w:val="20"/>
              </w:rPr>
            </w:pPr>
            <w:r w:rsidRPr="0096722D">
              <w:rPr>
                <w:b/>
                <w:sz w:val="20"/>
                <w:szCs w:val="20"/>
              </w:rPr>
              <w:t>Hourly Wage Rate</w:t>
            </w:r>
          </w:p>
        </w:tc>
        <w:tc>
          <w:tcPr>
            <w:tcW w:w="1350" w:type="dxa"/>
            <w:shd w:val="clear" w:color="auto" w:fill="D9D9D9" w:themeFill="background1" w:themeFillShade="D9"/>
            <w:vAlign w:val="center"/>
          </w:tcPr>
          <w:p w14:paraId="0015BB57" w14:textId="77777777" w:rsidR="00630D27" w:rsidRPr="0096722D" w:rsidRDefault="00630D27" w:rsidP="00CD77A9">
            <w:pPr>
              <w:ind w:left="-18"/>
              <w:rPr>
                <w:b/>
                <w:sz w:val="20"/>
                <w:szCs w:val="20"/>
              </w:rPr>
            </w:pPr>
            <w:r w:rsidRPr="0096722D">
              <w:rPr>
                <w:b/>
                <w:sz w:val="20"/>
                <w:szCs w:val="20"/>
              </w:rPr>
              <w:t>Total Respondent Costs</w:t>
            </w:r>
          </w:p>
        </w:tc>
      </w:tr>
      <w:tr w:rsidR="00AB38EC" w:rsidRPr="0096722D" w14:paraId="25D04BA8" w14:textId="77777777" w:rsidTr="00CD77A9">
        <w:tc>
          <w:tcPr>
            <w:tcW w:w="1350" w:type="dxa"/>
            <w:vMerge w:val="restart"/>
          </w:tcPr>
          <w:p w14:paraId="68B8E6C5" w14:textId="77777777" w:rsidR="00AB38EC" w:rsidRDefault="00AB38EC" w:rsidP="00AB38EC">
            <w:pPr>
              <w:ind w:left="0"/>
              <w:rPr>
                <w:sz w:val="20"/>
                <w:szCs w:val="20"/>
              </w:rPr>
            </w:pPr>
          </w:p>
          <w:p w14:paraId="60FD517B" w14:textId="187A072F" w:rsidR="00AB38EC" w:rsidRPr="0096722D" w:rsidRDefault="00AB38EC" w:rsidP="00AB38EC">
            <w:pPr>
              <w:ind w:left="0"/>
              <w:rPr>
                <w:sz w:val="20"/>
                <w:szCs w:val="20"/>
              </w:rPr>
            </w:pPr>
            <w:r>
              <w:rPr>
                <w:sz w:val="20"/>
                <w:szCs w:val="20"/>
              </w:rPr>
              <w:t>Telephone Interview Guide</w:t>
            </w:r>
          </w:p>
          <w:p w14:paraId="672BEC93" w14:textId="5DB44D41" w:rsidR="00AB38EC" w:rsidRPr="0096722D" w:rsidRDefault="00AB38EC" w:rsidP="00CD77A9">
            <w:pPr>
              <w:ind w:left="0"/>
              <w:rPr>
                <w:sz w:val="20"/>
                <w:szCs w:val="20"/>
              </w:rPr>
            </w:pPr>
          </w:p>
        </w:tc>
        <w:tc>
          <w:tcPr>
            <w:tcW w:w="1957" w:type="dxa"/>
            <w:vAlign w:val="center"/>
          </w:tcPr>
          <w:p w14:paraId="1B1FBA51" w14:textId="6D29F329" w:rsidR="00AB38EC" w:rsidRPr="0096722D" w:rsidRDefault="00AB38EC" w:rsidP="00304A88">
            <w:pPr>
              <w:ind w:left="0"/>
              <w:rPr>
                <w:sz w:val="20"/>
                <w:szCs w:val="20"/>
              </w:rPr>
            </w:pPr>
            <w:r w:rsidRPr="0096722D">
              <w:rPr>
                <w:sz w:val="20"/>
                <w:szCs w:val="20"/>
              </w:rPr>
              <w:t>Senior state health department</w:t>
            </w:r>
            <w:r w:rsidR="00304A88">
              <w:rPr>
                <w:sz w:val="20"/>
                <w:szCs w:val="20"/>
              </w:rPr>
              <w:t xml:space="preserve"> and Medicaid</w:t>
            </w:r>
            <w:r w:rsidRPr="0096722D">
              <w:rPr>
                <w:sz w:val="20"/>
                <w:szCs w:val="20"/>
              </w:rPr>
              <w:t xml:space="preserve"> staff</w:t>
            </w:r>
            <w:r>
              <w:rPr>
                <w:sz w:val="20"/>
                <w:szCs w:val="20"/>
              </w:rPr>
              <w:t xml:space="preserve"> </w:t>
            </w:r>
          </w:p>
        </w:tc>
        <w:tc>
          <w:tcPr>
            <w:tcW w:w="833" w:type="dxa"/>
            <w:vAlign w:val="center"/>
          </w:tcPr>
          <w:p w14:paraId="2B3B7305" w14:textId="49CC55D9" w:rsidR="00AB38EC" w:rsidRPr="0096722D" w:rsidRDefault="00304A88" w:rsidP="00304A88">
            <w:pPr>
              <w:ind w:left="0"/>
              <w:rPr>
                <w:sz w:val="20"/>
                <w:szCs w:val="20"/>
              </w:rPr>
            </w:pPr>
            <w:r>
              <w:rPr>
                <w:sz w:val="20"/>
                <w:szCs w:val="20"/>
              </w:rPr>
              <w:t>21</w:t>
            </w:r>
          </w:p>
        </w:tc>
        <w:tc>
          <w:tcPr>
            <w:tcW w:w="1440" w:type="dxa"/>
            <w:vAlign w:val="center"/>
          </w:tcPr>
          <w:p w14:paraId="22B84622" w14:textId="77777777" w:rsidR="00AB38EC" w:rsidRPr="0096722D" w:rsidRDefault="00AB38EC" w:rsidP="00CD77A9">
            <w:pPr>
              <w:ind w:left="0"/>
              <w:rPr>
                <w:sz w:val="20"/>
                <w:szCs w:val="20"/>
              </w:rPr>
            </w:pPr>
            <w:r w:rsidRPr="0096722D">
              <w:rPr>
                <w:sz w:val="20"/>
                <w:szCs w:val="20"/>
              </w:rPr>
              <w:t>1</w:t>
            </w:r>
          </w:p>
        </w:tc>
        <w:tc>
          <w:tcPr>
            <w:tcW w:w="1530" w:type="dxa"/>
            <w:vAlign w:val="center"/>
          </w:tcPr>
          <w:p w14:paraId="12674C7D" w14:textId="77777777" w:rsidR="00AB38EC" w:rsidRPr="0096722D" w:rsidRDefault="00AB38EC" w:rsidP="00CD77A9">
            <w:pPr>
              <w:ind w:left="0"/>
              <w:rPr>
                <w:sz w:val="20"/>
                <w:szCs w:val="20"/>
              </w:rPr>
            </w:pPr>
            <w:r w:rsidRPr="00984C51">
              <w:rPr>
                <w:sz w:val="20"/>
                <w:szCs w:val="20"/>
              </w:rPr>
              <w:t>90/60</w:t>
            </w:r>
          </w:p>
        </w:tc>
        <w:tc>
          <w:tcPr>
            <w:tcW w:w="900" w:type="dxa"/>
            <w:vAlign w:val="center"/>
          </w:tcPr>
          <w:p w14:paraId="1FEE0B7D" w14:textId="24ABFC83" w:rsidR="00AB38EC" w:rsidRPr="0096722D" w:rsidRDefault="007C6F2F" w:rsidP="00304A88">
            <w:pPr>
              <w:ind w:left="0"/>
              <w:rPr>
                <w:sz w:val="20"/>
                <w:szCs w:val="20"/>
              </w:rPr>
            </w:pPr>
            <w:r>
              <w:rPr>
                <w:sz w:val="20"/>
                <w:szCs w:val="20"/>
              </w:rPr>
              <w:t>32</w:t>
            </w:r>
          </w:p>
        </w:tc>
        <w:tc>
          <w:tcPr>
            <w:tcW w:w="900" w:type="dxa"/>
            <w:vAlign w:val="center"/>
          </w:tcPr>
          <w:p w14:paraId="0A3B771B" w14:textId="77777777" w:rsidR="00AB38EC" w:rsidRPr="0096722D" w:rsidRDefault="00AB38EC" w:rsidP="00CD77A9">
            <w:pPr>
              <w:ind w:left="0"/>
              <w:rPr>
                <w:sz w:val="20"/>
                <w:szCs w:val="20"/>
              </w:rPr>
            </w:pPr>
            <w:r>
              <w:rPr>
                <w:sz w:val="20"/>
                <w:szCs w:val="20"/>
              </w:rPr>
              <w:t>$59.71</w:t>
            </w:r>
          </w:p>
        </w:tc>
        <w:tc>
          <w:tcPr>
            <w:tcW w:w="1350" w:type="dxa"/>
            <w:vAlign w:val="center"/>
          </w:tcPr>
          <w:p w14:paraId="2654FF3B" w14:textId="68154837" w:rsidR="00AB38EC" w:rsidRPr="0096722D" w:rsidRDefault="007C6F2F" w:rsidP="00304A88">
            <w:pPr>
              <w:ind w:left="0"/>
              <w:rPr>
                <w:sz w:val="20"/>
                <w:szCs w:val="20"/>
              </w:rPr>
            </w:pPr>
            <w:r>
              <w:rPr>
                <w:sz w:val="20"/>
                <w:szCs w:val="20"/>
              </w:rPr>
              <w:t>$1910.72</w:t>
            </w:r>
          </w:p>
        </w:tc>
      </w:tr>
      <w:tr w:rsidR="00304A88" w:rsidRPr="0096722D" w14:paraId="64D1CDF3" w14:textId="77777777" w:rsidTr="00CD77A9">
        <w:tc>
          <w:tcPr>
            <w:tcW w:w="1350" w:type="dxa"/>
            <w:vMerge/>
          </w:tcPr>
          <w:p w14:paraId="169351D8" w14:textId="1DF4B920" w:rsidR="00304A88" w:rsidRPr="0096722D" w:rsidRDefault="00304A88" w:rsidP="00304A88">
            <w:pPr>
              <w:ind w:left="0"/>
              <w:rPr>
                <w:sz w:val="20"/>
                <w:szCs w:val="20"/>
              </w:rPr>
            </w:pPr>
          </w:p>
        </w:tc>
        <w:tc>
          <w:tcPr>
            <w:tcW w:w="1957" w:type="dxa"/>
            <w:vAlign w:val="center"/>
          </w:tcPr>
          <w:p w14:paraId="2CB78BFC" w14:textId="4D9168A9" w:rsidR="00304A88" w:rsidRPr="0096722D" w:rsidRDefault="00304A88" w:rsidP="006F125A">
            <w:pPr>
              <w:ind w:left="0"/>
              <w:rPr>
                <w:sz w:val="20"/>
                <w:szCs w:val="20"/>
              </w:rPr>
            </w:pPr>
            <w:r>
              <w:rPr>
                <w:sz w:val="20"/>
                <w:szCs w:val="20"/>
              </w:rPr>
              <w:t>State delegates implementing CHW certification</w:t>
            </w:r>
          </w:p>
        </w:tc>
        <w:tc>
          <w:tcPr>
            <w:tcW w:w="833" w:type="dxa"/>
            <w:vAlign w:val="center"/>
          </w:tcPr>
          <w:p w14:paraId="38E4EE80" w14:textId="0B7FB7B3" w:rsidR="00304A88" w:rsidRDefault="00304A88" w:rsidP="00304A88">
            <w:pPr>
              <w:ind w:left="0"/>
              <w:rPr>
                <w:sz w:val="20"/>
                <w:szCs w:val="20"/>
              </w:rPr>
            </w:pPr>
            <w:r>
              <w:rPr>
                <w:sz w:val="20"/>
                <w:szCs w:val="20"/>
              </w:rPr>
              <w:t>28</w:t>
            </w:r>
          </w:p>
          <w:p w14:paraId="18820516" w14:textId="20B0C792" w:rsidR="00304A88" w:rsidRPr="0096722D" w:rsidRDefault="00304A88" w:rsidP="00304A88">
            <w:pPr>
              <w:ind w:left="0"/>
              <w:rPr>
                <w:sz w:val="20"/>
                <w:szCs w:val="20"/>
              </w:rPr>
            </w:pPr>
          </w:p>
        </w:tc>
        <w:tc>
          <w:tcPr>
            <w:tcW w:w="1440" w:type="dxa"/>
            <w:vAlign w:val="center"/>
          </w:tcPr>
          <w:p w14:paraId="4F09DBDB" w14:textId="77777777" w:rsidR="00304A88" w:rsidRPr="0096722D" w:rsidRDefault="00304A88" w:rsidP="00304A88">
            <w:pPr>
              <w:ind w:left="0"/>
              <w:rPr>
                <w:sz w:val="20"/>
                <w:szCs w:val="20"/>
              </w:rPr>
            </w:pPr>
            <w:r w:rsidRPr="0096722D">
              <w:rPr>
                <w:sz w:val="20"/>
                <w:szCs w:val="20"/>
              </w:rPr>
              <w:t>1</w:t>
            </w:r>
          </w:p>
        </w:tc>
        <w:tc>
          <w:tcPr>
            <w:tcW w:w="1530" w:type="dxa"/>
            <w:vAlign w:val="center"/>
          </w:tcPr>
          <w:p w14:paraId="4844499C" w14:textId="77777777" w:rsidR="00304A88" w:rsidRPr="0096722D" w:rsidRDefault="00304A88" w:rsidP="00304A88">
            <w:pPr>
              <w:ind w:left="0"/>
              <w:rPr>
                <w:sz w:val="20"/>
                <w:szCs w:val="20"/>
              </w:rPr>
            </w:pPr>
            <w:r w:rsidRPr="0096722D">
              <w:rPr>
                <w:sz w:val="20"/>
                <w:szCs w:val="20"/>
              </w:rPr>
              <w:t>90/60</w:t>
            </w:r>
          </w:p>
        </w:tc>
        <w:tc>
          <w:tcPr>
            <w:tcW w:w="900" w:type="dxa"/>
            <w:vAlign w:val="center"/>
          </w:tcPr>
          <w:p w14:paraId="7EC8B278" w14:textId="3DB6F3DE" w:rsidR="00304A88" w:rsidRPr="0096722D" w:rsidRDefault="00304A88" w:rsidP="00304A88">
            <w:pPr>
              <w:ind w:left="0"/>
              <w:rPr>
                <w:sz w:val="20"/>
                <w:szCs w:val="20"/>
              </w:rPr>
            </w:pPr>
            <w:r>
              <w:rPr>
                <w:sz w:val="20"/>
                <w:szCs w:val="20"/>
              </w:rPr>
              <w:t>42</w:t>
            </w:r>
          </w:p>
        </w:tc>
        <w:tc>
          <w:tcPr>
            <w:tcW w:w="900" w:type="dxa"/>
            <w:vAlign w:val="center"/>
          </w:tcPr>
          <w:p w14:paraId="7473ACC3" w14:textId="77777777" w:rsidR="00304A88" w:rsidRPr="0096722D" w:rsidRDefault="00304A88" w:rsidP="00304A88">
            <w:pPr>
              <w:ind w:left="0"/>
              <w:rPr>
                <w:sz w:val="20"/>
                <w:szCs w:val="20"/>
              </w:rPr>
            </w:pPr>
            <w:r>
              <w:rPr>
                <w:sz w:val="20"/>
                <w:szCs w:val="20"/>
              </w:rPr>
              <w:t>$59.71</w:t>
            </w:r>
          </w:p>
        </w:tc>
        <w:tc>
          <w:tcPr>
            <w:tcW w:w="1350" w:type="dxa"/>
            <w:vAlign w:val="center"/>
          </w:tcPr>
          <w:p w14:paraId="14B7A8C2" w14:textId="6394A3C9" w:rsidR="00304A88" w:rsidRPr="0096722D" w:rsidRDefault="00304A88" w:rsidP="00304A88">
            <w:pPr>
              <w:ind w:left="0"/>
              <w:rPr>
                <w:sz w:val="20"/>
                <w:szCs w:val="20"/>
              </w:rPr>
            </w:pPr>
            <w:r>
              <w:rPr>
                <w:sz w:val="20"/>
                <w:szCs w:val="20"/>
              </w:rPr>
              <w:t>$2,507.82</w:t>
            </w:r>
          </w:p>
        </w:tc>
      </w:tr>
      <w:tr w:rsidR="00304A88" w:rsidRPr="0096722D" w14:paraId="703E5D9E" w14:textId="77777777" w:rsidTr="007C6F2F">
        <w:trPr>
          <w:trHeight w:hRule="exact" w:val="505"/>
        </w:trPr>
        <w:tc>
          <w:tcPr>
            <w:tcW w:w="1350" w:type="dxa"/>
          </w:tcPr>
          <w:p w14:paraId="7BE0C24D" w14:textId="77777777" w:rsidR="00304A88" w:rsidRPr="0096722D" w:rsidRDefault="00304A88" w:rsidP="00304A88">
            <w:pPr>
              <w:ind w:left="0"/>
              <w:rPr>
                <w:b/>
                <w:sz w:val="20"/>
                <w:szCs w:val="20"/>
              </w:rPr>
            </w:pPr>
          </w:p>
        </w:tc>
        <w:tc>
          <w:tcPr>
            <w:tcW w:w="1957" w:type="dxa"/>
            <w:vAlign w:val="center"/>
          </w:tcPr>
          <w:p w14:paraId="788B03B9" w14:textId="77777777" w:rsidR="00304A88" w:rsidRPr="0096722D" w:rsidRDefault="00304A88" w:rsidP="00304A88">
            <w:pPr>
              <w:ind w:left="0"/>
              <w:rPr>
                <w:b/>
                <w:sz w:val="20"/>
                <w:szCs w:val="20"/>
              </w:rPr>
            </w:pPr>
            <w:r w:rsidRPr="0096722D">
              <w:rPr>
                <w:b/>
                <w:sz w:val="20"/>
                <w:szCs w:val="20"/>
              </w:rPr>
              <w:t>TOTALS</w:t>
            </w:r>
          </w:p>
        </w:tc>
        <w:tc>
          <w:tcPr>
            <w:tcW w:w="833" w:type="dxa"/>
            <w:vAlign w:val="center"/>
          </w:tcPr>
          <w:p w14:paraId="081AC4E0" w14:textId="2EB65B13" w:rsidR="00304A88" w:rsidRPr="0096722D" w:rsidRDefault="00304A88" w:rsidP="00304A88">
            <w:pPr>
              <w:ind w:left="0"/>
              <w:rPr>
                <w:b/>
                <w:sz w:val="20"/>
                <w:szCs w:val="20"/>
              </w:rPr>
            </w:pPr>
            <w:r w:rsidRPr="0096722D">
              <w:rPr>
                <w:b/>
                <w:sz w:val="20"/>
                <w:szCs w:val="20"/>
              </w:rPr>
              <w:t>4</w:t>
            </w:r>
            <w:r>
              <w:rPr>
                <w:b/>
                <w:sz w:val="20"/>
                <w:szCs w:val="20"/>
              </w:rPr>
              <w:t>9</w:t>
            </w:r>
          </w:p>
        </w:tc>
        <w:tc>
          <w:tcPr>
            <w:tcW w:w="1440" w:type="dxa"/>
            <w:shd w:val="clear" w:color="auto" w:fill="auto"/>
            <w:vAlign w:val="center"/>
          </w:tcPr>
          <w:p w14:paraId="05FF71D0" w14:textId="111FF2DA" w:rsidR="00304A88" w:rsidRPr="0096722D" w:rsidRDefault="00304A88" w:rsidP="00304A88">
            <w:pPr>
              <w:ind w:left="0"/>
              <w:rPr>
                <w:b/>
                <w:sz w:val="20"/>
                <w:szCs w:val="20"/>
              </w:rPr>
            </w:pPr>
            <w:r>
              <w:rPr>
                <w:b/>
                <w:sz w:val="20"/>
                <w:szCs w:val="20"/>
              </w:rPr>
              <w:t>1</w:t>
            </w:r>
          </w:p>
        </w:tc>
        <w:tc>
          <w:tcPr>
            <w:tcW w:w="1530" w:type="dxa"/>
            <w:shd w:val="clear" w:color="auto" w:fill="D9D9D9" w:themeFill="background1" w:themeFillShade="D9"/>
            <w:vAlign w:val="center"/>
          </w:tcPr>
          <w:p w14:paraId="33BDE106" w14:textId="77777777" w:rsidR="00304A88" w:rsidRPr="0096722D" w:rsidRDefault="00304A88" w:rsidP="00304A88">
            <w:pPr>
              <w:ind w:left="0"/>
              <w:rPr>
                <w:b/>
                <w:sz w:val="20"/>
                <w:szCs w:val="20"/>
              </w:rPr>
            </w:pPr>
          </w:p>
        </w:tc>
        <w:tc>
          <w:tcPr>
            <w:tcW w:w="900" w:type="dxa"/>
            <w:vAlign w:val="center"/>
          </w:tcPr>
          <w:p w14:paraId="166E8052" w14:textId="6BAFF1EC" w:rsidR="00304A88" w:rsidRPr="0096722D" w:rsidRDefault="005F07C1" w:rsidP="00304A88">
            <w:pPr>
              <w:ind w:left="0"/>
              <w:rPr>
                <w:b/>
                <w:sz w:val="20"/>
                <w:szCs w:val="20"/>
              </w:rPr>
            </w:pPr>
            <w:r>
              <w:rPr>
                <w:b/>
                <w:sz w:val="20"/>
                <w:szCs w:val="20"/>
              </w:rPr>
              <w:t>74</w:t>
            </w:r>
          </w:p>
        </w:tc>
        <w:tc>
          <w:tcPr>
            <w:tcW w:w="900" w:type="dxa"/>
            <w:shd w:val="clear" w:color="auto" w:fill="D9D9D9" w:themeFill="background1" w:themeFillShade="D9"/>
            <w:vAlign w:val="center"/>
          </w:tcPr>
          <w:p w14:paraId="283D74CD" w14:textId="77777777" w:rsidR="00304A88" w:rsidRPr="0096722D" w:rsidRDefault="00304A88" w:rsidP="00304A88">
            <w:pPr>
              <w:ind w:left="0"/>
              <w:rPr>
                <w:b/>
                <w:sz w:val="20"/>
                <w:szCs w:val="20"/>
              </w:rPr>
            </w:pPr>
          </w:p>
        </w:tc>
        <w:tc>
          <w:tcPr>
            <w:tcW w:w="1350" w:type="dxa"/>
            <w:vAlign w:val="center"/>
          </w:tcPr>
          <w:p w14:paraId="58B699FD" w14:textId="1BC94142" w:rsidR="00304A88" w:rsidRPr="0096722D" w:rsidRDefault="00304A88" w:rsidP="007C6F2F">
            <w:pPr>
              <w:ind w:left="0"/>
              <w:rPr>
                <w:b/>
                <w:sz w:val="20"/>
                <w:szCs w:val="20"/>
              </w:rPr>
            </w:pPr>
            <w:r>
              <w:rPr>
                <w:b/>
                <w:sz w:val="20"/>
                <w:szCs w:val="20"/>
              </w:rPr>
              <w:t>$4,</w:t>
            </w:r>
            <w:r w:rsidR="007C6F2F">
              <w:rPr>
                <w:b/>
                <w:sz w:val="20"/>
                <w:szCs w:val="20"/>
              </w:rPr>
              <w:t>418.54</w:t>
            </w:r>
          </w:p>
        </w:tc>
      </w:tr>
    </w:tbl>
    <w:p w14:paraId="357F22F0" w14:textId="77777777" w:rsidR="0096722D" w:rsidRPr="0096722D" w:rsidRDefault="0096722D" w:rsidP="00692DEB">
      <w:pPr>
        <w:pStyle w:val="ListParagraph"/>
        <w:ind w:left="0"/>
        <w:rPr>
          <w:b/>
        </w:rPr>
      </w:pPr>
    </w:p>
    <w:p w14:paraId="2C7F6CCF" w14:textId="77777777" w:rsidR="002F1502" w:rsidRDefault="002F1502" w:rsidP="00441CC3">
      <w:pPr>
        <w:ind w:left="0"/>
      </w:pPr>
    </w:p>
    <w:p w14:paraId="2F7E1199" w14:textId="77777777" w:rsidR="00B12F51" w:rsidRPr="0088467A" w:rsidRDefault="0088467A" w:rsidP="00692DEB">
      <w:pPr>
        <w:pStyle w:val="Heading4"/>
      </w:pPr>
      <w:bookmarkStart w:id="18" w:name="_Toc427752826"/>
      <w:r w:rsidRPr="0088467A">
        <w:t>Estimates of Other Total Annual Cost Burden to Respondents or Record Keepers</w:t>
      </w:r>
      <w:bookmarkEnd w:id="18"/>
    </w:p>
    <w:p w14:paraId="1275F09A"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519C0B80" w14:textId="77777777" w:rsidR="00911486" w:rsidRDefault="00911486" w:rsidP="00692DEB">
      <w:pPr>
        <w:ind w:left="0"/>
      </w:pPr>
    </w:p>
    <w:p w14:paraId="6A72193F"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363F675F" w14:textId="223104C9" w:rsidR="000058E0" w:rsidRPr="00711BFA" w:rsidRDefault="000058E0" w:rsidP="000058E0">
      <w:pPr>
        <w:ind w:left="0"/>
      </w:pPr>
      <w:r w:rsidRPr="000E58F5">
        <w:rPr>
          <w:rFonts w:cs="Arial"/>
        </w:rPr>
        <w:t xml:space="preserve">There are no equipment or overhead costs.  </w:t>
      </w:r>
      <w:r w:rsidR="003F574A">
        <w:rPr>
          <w:rFonts w:cs="Arial"/>
        </w:rPr>
        <w:t>Cooperative agreement partners</w:t>
      </w:r>
      <w:r w:rsidRPr="000E58F5">
        <w:rPr>
          <w:rFonts w:cs="Arial"/>
        </w:rPr>
        <w:t xml:space="preserve">, however, are being used to support development of the assessment tool, data collection, and data analysis. The only cost to the federal government would be the salary of CDC staff and </w:t>
      </w:r>
      <w:r w:rsidR="003F574A">
        <w:rPr>
          <w:rFonts w:cs="Arial"/>
        </w:rPr>
        <w:t>cooperative agreement partners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630D27" w:rsidRPr="00630D27">
        <w:rPr>
          <w:rFonts w:cs="Arial"/>
        </w:rPr>
        <w:t>$20,</w:t>
      </w:r>
      <w:r w:rsidR="006F125A">
        <w:rPr>
          <w:rFonts w:cs="Arial"/>
        </w:rPr>
        <w:t>612.40</w:t>
      </w:r>
      <w:r w:rsidR="00630D27" w:rsidRPr="00630D27">
        <w:rPr>
          <w:rFonts w:cs="Arial"/>
        </w:rPr>
        <w:t>.</w:t>
      </w:r>
      <w:r w:rsidR="00630D27">
        <w:rPr>
          <w:b/>
          <w:sz w:val="20"/>
          <w:szCs w:val="20"/>
        </w:rPr>
        <w:t xml:space="preserve"> </w:t>
      </w:r>
      <w:r w:rsidRPr="000E58F5">
        <w:rPr>
          <w:rFonts w:cs="Arial"/>
        </w:rPr>
        <w:t>Table A-14 describes how this cost estimate was calculated.</w:t>
      </w:r>
    </w:p>
    <w:p w14:paraId="396D670D" w14:textId="77777777" w:rsidR="00692DEB" w:rsidRDefault="00692DEB" w:rsidP="00692DEB">
      <w:pPr>
        <w:ind w:left="0"/>
      </w:pPr>
    </w:p>
    <w:p w14:paraId="351738C3"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1"/>
        <w:tblW w:w="0" w:type="auto"/>
        <w:tblLook w:val="04A0" w:firstRow="1" w:lastRow="0" w:firstColumn="1" w:lastColumn="0" w:noHBand="0" w:noVBand="1"/>
      </w:tblPr>
      <w:tblGrid>
        <w:gridCol w:w="4054"/>
        <w:gridCol w:w="1927"/>
        <w:gridCol w:w="780"/>
        <w:gridCol w:w="236"/>
        <w:gridCol w:w="670"/>
        <w:gridCol w:w="1683"/>
      </w:tblGrid>
      <w:tr w:rsidR="00630D27" w:rsidRPr="00A932FF" w14:paraId="17F737D8" w14:textId="77777777" w:rsidTr="00CD77A9">
        <w:trPr>
          <w:trHeight w:val="593"/>
        </w:trPr>
        <w:tc>
          <w:tcPr>
            <w:tcW w:w="4033" w:type="dxa"/>
            <w:tcBorders>
              <w:bottom w:val="single" w:sz="4" w:space="0" w:color="auto"/>
            </w:tcBorders>
            <w:shd w:val="clear" w:color="auto" w:fill="D9D9D9" w:themeFill="background1" w:themeFillShade="D9"/>
            <w:vAlign w:val="center"/>
          </w:tcPr>
          <w:p w14:paraId="1BBA2E70" w14:textId="77777777" w:rsidR="00630D27" w:rsidRPr="00A932FF" w:rsidRDefault="00630D27" w:rsidP="00CD77A9">
            <w:pPr>
              <w:ind w:left="0"/>
              <w:jc w:val="center"/>
              <w:rPr>
                <w:b/>
                <w:sz w:val="20"/>
                <w:szCs w:val="20"/>
              </w:rPr>
            </w:pPr>
            <w:r w:rsidRPr="00A932FF">
              <w:rPr>
                <w:b/>
                <w:sz w:val="20"/>
                <w:szCs w:val="20"/>
              </w:rPr>
              <w:t>Staff (FTE)</w:t>
            </w:r>
          </w:p>
        </w:tc>
        <w:tc>
          <w:tcPr>
            <w:tcW w:w="1934" w:type="dxa"/>
            <w:tcBorders>
              <w:bottom w:val="single" w:sz="4" w:space="0" w:color="auto"/>
            </w:tcBorders>
            <w:shd w:val="clear" w:color="auto" w:fill="D9D9D9" w:themeFill="background1" w:themeFillShade="D9"/>
            <w:vAlign w:val="center"/>
          </w:tcPr>
          <w:p w14:paraId="509432B0" w14:textId="77777777" w:rsidR="00630D27" w:rsidRPr="00A932FF" w:rsidRDefault="00630D27" w:rsidP="00CD77A9">
            <w:pPr>
              <w:ind w:left="0"/>
              <w:jc w:val="center"/>
              <w:rPr>
                <w:b/>
                <w:sz w:val="20"/>
                <w:szCs w:val="20"/>
              </w:rPr>
            </w:pPr>
            <w:r w:rsidRPr="00A932FF">
              <w:rPr>
                <w:b/>
                <w:sz w:val="20"/>
                <w:szCs w:val="20"/>
              </w:rPr>
              <w:t>Average Hours per Collection</w:t>
            </w:r>
          </w:p>
        </w:tc>
        <w:tc>
          <w:tcPr>
            <w:tcW w:w="1682" w:type="dxa"/>
            <w:gridSpan w:val="3"/>
            <w:tcBorders>
              <w:bottom w:val="single" w:sz="4" w:space="0" w:color="auto"/>
            </w:tcBorders>
            <w:shd w:val="clear" w:color="auto" w:fill="D9D9D9" w:themeFill="background1" w:themeFillShade="D9"/>
            <w:vAlign w:val="center"/>
          </w:tcPr>
          <w:p w14:paraId="60696606" w14:textId="77777777" w:rsidR="00630D27" w:rsidRPr="00A932FF" w:rsidRDefault="00630D27" w:rsidP="00CD77A9">
            <w:pPr>
              <w:ind w:left="0"/>
              <w:jc w:val="center"/>
              <w:rPr>
                <w:b/>
                <w:sz w:val="20"/>
                <w:szCs w:val="20"/>
              </w:rPr>
            </w:pPr>
            <w:r w:rsidRPr="00A932FF">
              <w:rPr>
                <w:b/>
                <w:sz w:val="20"/>
                <w:szCs w:val="20"/>
              </w:rPr>
              <w:t>Average Hourly Rate</w:t>
            </w:r>
          </w:p>
        </w:tc>
        <w:tc>
          <w:tcPr>
            <w:tcW w:w="1701" w:type="dxa"/>
            <w:tcBorders>
              <w:bottom w:val="single" w:sz="4" w:space="0" w:color="auto"/>
            </w:tcBorders>
            <w:shd w:val="clear" w:color="auto" w:fill="D9D9D9" w:themeFill="background1" w:themeFillShade="D9"/>
            <w:vAlign w:val="center"/>
          </w:tcPr>
          <w:p w14:paraId="467BD716" w14:textId="77777777" w:rsidR="00630D27" w:rsidRPr="00A932FF" w:rsidRDefault="00630D27" w:rsidP="00CD77A9">
            <w:pPr>
              <w:ind w:left="0"/>
              <w:jc w:val="center"/>
              <w:rPr>
                <w:b/>
                <w:sz w:val="20"/>
                <w:szCs w:val="20"/>
              </w:rPr>
            </w:pPr>
            <w:r w:rsidRPr="00A932FF">
              <w:rPr>
                <w:b/>
                <w:sz w:val="20"/>
                <w:szCs w:val="20"/>
              </w:rPr>
              <w:t>Average Cost</w:t>
            </w:r>
          </w:p>
        </w:tc>
      </w:tr>
      <w:tr w:rsidR="00630D27" w:rsidRPr="00A932FF" w14:paraId="5A2825B5" w14:textId="77777777" w:rsidTr="00CD77A9">
        <w:tc>
          <w:tcPr>
            <w:tcW w:w="4033" w:type="dxa"/>
            <w:tcBorders>
              <w:top w:val="single" w:sz="4" w:space="0" w:color="auto"/>
            </w:tcBorders>
          </w:tcPr>
          <w:p w14:paraId="02260C93" w14:textId="0A05AB27" w:rsidR="00630D27" w:rsidRPr="00A932FF" w:rsidRDefault="00630D27" w:rsidP="00CD77A9">
            <w:pPr>
              <w:ind w:left="0"/>
              <w:jc w:val="both"/>
              <w:rPr>
                <w:sz w:val="20"/>
                <w:szCs w:val="20"/>
              </w:rPr>
            </w:pPr>
            <w:r w:rsidRPr="00A932FF">
              <w:rPr>
                <w:sz w:val="20"/>
                <w:szCs w:val="20"/>
              </w:rPr>
              <w:t>Health Scientist</w:t>
            </w:r>
            <w:r w:rsidR="001E54CA">
              <w:rPr>
                <w:sz w:val="20"/>
                <w:szCs w:val="20"/>
              </w:rPr>
              <w:t>,</w:t>
            </w:r>
            <w:r w:rsidRPr="00A932FF">
              <w:rPr>
                <w:sz w:val="20"/>
                <w:szCs w:val="20"/>
              </w:rPr>
              <w:t xml:space="preserve"> GS 13 –Tool Development </w:t>
            </w:r>
          </w:p>
        </w:tc>
        <w:tc>
          <w:tcPr>
            <w:tcW w:w="1934" w:type="dxa"/>
            <w:tcBorders>
              <w:top w:val="single" w:sz="4" w:space="0" w:color="auto"/>
            </w:tcBorders>
          </w:tcPr>
          <w:p w14:paraId="08BD123C" w14:textId="77777777" w:rsidR="00630D27" w:rsidRPr="00A932FF" w:rsidRDefault="00630D27" w:rsidP="00CD77A9">
            <w:pPr>
              <w:ind w:left="0"/>
              <w:jc w:val="center"/>
              <w:rPr>
                <w:sz w:val="20"/>
                <w:szCs w:val="20"/>
              </w:rPr>
            </w:pPr>
            <w:r>
              <w:rPr>
                <w:sz w:val="20"/>
                <w:szCs w:val="20"/>
              </w:rPr>
              <w:t>10</w:t>
            </w:r>
          </w:p>
        </w:tc>
        <w:tc>
          <w:tcPr>
            <w:tcW w:w="1682" w:type="dxa"/>
            <w:gridSpan w:val="3"/>
            <w:tcBorders>
              <w:top w:val="single" w:sz="4" w:space="0" w:color="auto"/>
            </w:tcBorders>
          </w:tcPr>
          <w:p w14:paraId="58714F6E" w14:textId="77777777" w:rsidR="00630D27" w:rsidRPr="00A932FF" w:rsidRDefault="00630D27" w:rsidP="00CD77A9">
            <w:pPr>
              <w:ind w:left="0"/>
              <w:jc w:val="center"/>
              <w:rPr>
                <w:sz w:val="20"/>
                <w:szCs w:val="20"/>
              </w:rPr>
            </w:pPr>
            <w:r w:rsidRPr="00A932FF">
              <w:rPr>
                <w:sz w:val="20"/>
                <w:szCs w:val="20"/>
              </w:rPr>
              <w:t>$42.45/hour</w:t>
            </w:r>
          </w:p>
        </w:tc>
        <w:tc>
          <w:tcPr>
            <w:tcW w:w="1701" w:type="dxa"/>
            <w:tcBorders>
              <w:top w:val="single" w:sz="4" w:space="0" w:color="auto"/>
            </w:tcBorders>
          </w:tcPr>
          <w:p w14:paraId="0E01124F" w14:textId="77777777" w:rsidR="00630D27" w:rsidRPr="00A932FF" w:rsidRDefault="00630D27" w:rsidP="00CD77A9">
            <w:pPr>
              <w:ind w:left="0"/>
              <w:jc w:val="center"/>
              <w:rPr>
                <w:sz w:val="20"/>
                <w:szCs w:val="20"/>
              </w:rPr>
            </w:pPr>
            <w:r w:rsidRPr="00A932FF">
              <w:rPr>
                <w:sz w:val="20"/>
                <w:szCs w:val="20"/>
              </w:rPr>
              <w:t>$</w:t>
            </w:r>
            <w:r>
              <w:rPr>
                <w:sz w:val="20"/>
                <w:szCs w:val="20"/>
              </w:rPr>
              <w:t>424.50</w:t>
            </w:r>
          </w:p>
        </w:tc>
      </w:tr>
      <w:tr w:rsidR="00630D27" w:rsidRPr="00A932FF" w14:paraId="145C9684" w14:textId="77777777" w:rsidTr="00CD77A9">
        <w:tc>
          <w:tcPr>
            <w:tcW w:w="4195" w:type="dxa"/>
            <w:tcBorders>
              <w:top w:val="single" w:sz="4" w:space="0" w:color="auto"/>
            </w:tcBorders>
          </w:tcPr>
          <w:p w14:paraId="513B75C2" w14:textId="16E045A2" w:rsidR="00630D27" w:rsidRPr="00A932FF" w:rsidRDefault="00630D27" w:rsidP="00CD77A9">
            <w:pPr>
              <w:ind w:left="0"/>
              <w:jc w:val="both"/>
              <w:rPr>
                <w:sz w:val="20"/>
                <w:szCs w:val="20"/>
              </w:rPr>
            </w:pPr>
            <w:r>
              <w:rPr>
                <w:sz w:val="20"/>
                <w:szCs w:val="20"/>
              </w:rPr>
              <w:t>Health Scientist</w:t>
            </w:r>
            <w:r w:rsidR="001E54CA">
              <w:rPr>
                <w:sz w:val="20"/>
                <w:szCs w:val="20"/>
              </w:rPr>
              <w:t>,</w:t>
            </w:r>
            <w:r>
              <w:rPr>
                <w:sz w:val="20"/>
                <w:szCs w:val="20"/>
              </w:rPr>
              <w:t xml:space="preserve"> GS 13 – Data Collection </w:t>
            </w:r>
          </w:p>
        </w:tc>
        <w:tc>
          <w:tcPr>
            <w:tcW w:w="1969" w:type="dxa"/>
            <w:tcBorders>
              <w:top w:val="single" w:sz="4" w:space="0" w:color="auto"/>
            </w:tcBorders>
          </w:tcPr>
          <w:p w14:paraId="7121679E" w14:textId="77777777" w:rsidR="00630D27" w:rsidRDefault="00630D27" w:rsidP="00CD77A9">
            <w:pPr>
              <w:ind w:left="0"/>
              <w:jc w:val="center"/>
              <w:rPr>
                <w:sz w:val="20"/>
                <w:szCs w:val="20"/>
              </w:rPr>
            </w:pPr>
            <w:r>
              <w:rPr>
                <w:sz w:val="20"/>
                <w:szCs w:val="20"/>
              </w:rPr>
              <w:t>72</w:t>
            </w:r>
          </w:p>
        </w:tc>
        <w:tc>
          <w:tcPr>
            <w:tcW w:w="1706" w:type="dxa"/>
            <w:gridSpan w:val="3"/>
            <w:tcBorders>
              <w:top w:val="single" w:sz="4" w:space="0" w:color="auto"/>
            </w:tcBorders>
          </w:tcPr>
          <w:p w14:paraId="299117EE" w14:textId="77777777" w:rsidR="00630D27" w:rsidRPr="00A932FF" w:rsidRDefault="00630D27" w:rsidP="00CD77A9">
            <w:pPr>
              <w:ind w:left="0"/>
              <w:jc w:val="center"/>
              <w:rPr>
                <w:sz w:val="20"/>
                <w:szCs w:val="20"/>
              </w:rPr>
            </w:pPr>
            <w:r w:rsidRPr="00A932FF">
              <w:rPr>
                <w:sz w:val="20"/>
                <w:szCs w:val="20"/>
              </w:rPr>
              <w:t>$42.45/hour</w:t>
            </w:r>
          </w:p>
        </w:tc>
        <w:tc>
          <w:tcPr>
            <w:tcW w:w="1706" w:type="dxa"/>
            <w:tcBorders>
              <w:top w:val="single" w:sz="4" w:space="0" w:color="auto"/>
            </w:tcBorders>
          </w:tcPr>
          <w:p w14:paraId="3E4FBEEE" w14:textId="59846529" w:rsidR="00630D27" w:rsidRPr="00A932FF" w:rsidRDefault="00630D27" w:rsidP="00D40BE1">
            <w:pPr>
              <w:ind w:left="0"/>
              <w:jc w:val="center"/>
              <w:rPr>
                <w:sz w:val="20"/>
                <w:szCs w:val="20"/>
              </w:rPr>
            </w:pPr>
            <w:r>
              <w:rPr>
                <w:sz w:val="20"/>
                <w:szCs w:val="20"/>
              </w:rPr>
              <w:t>$</w:t>
            </w:r>
            <w:r w:rsidR="00D40BE1">
              <w:rPr>
                <w:sz w:val="20"/>
                <w:szCs w:val="20"/>
              </w:rPr>
              <w:t xml:space="preserve"> 3056.40</w:t>
            </w:r>
          </w:p>
        </w:tc>
      </w:tr>
      <w:tr w:rsidR="00630D27" w:rsidRPr="00A932FF" w14:paraId="530B240A" w14:textId="77777777" w:rsidTr="00CD77A9">
        <w:tc>
          <w:tcPr>
            <w:tcW w:w="4033" w:type="dxa"/>
          </w:tcPr>
          <w:p w14:paraId="3F070891" w14:textId="44E3F5CD" w:rsidR="00630D27" w:rsidRPr="00A932FF" w:rsidRDefault="00630D27" w:rsidP="00CD77A9">
            <w:pPr>
              <w:ind w:left="0"/>
              <w:jc w:val="both"/>
              <w:rPr>
                <w:sz w:val="20"/>
                <w:szCs w:val="20"/>
              </w:rPr>
            </w:pPr>
            <w:r>
              <w:rPr>
                <w:sz w:val="20"/>
                <w:szCs w:val="20"/>
              </w:rPr>
              <w:t>Health Scientist</w:t>
            </w:r>
            <w:r w:rsidR="001E54CA">
              <w:rPr>
                <w:sz w:val="20"/>
                <w:szCs w:val="20"/>
              </w:rPr>
              <w:t>,</w:t>
            </w:r>
            <w:r>
              <w:rPr>
                <w:sz w:val="20"/>
                <w:szCs w:val="20"/>
              </w:rPr>
              <w:t xml:space="preserve"> GS 13 – Data Analysis</w:t>
            </w:r>
          </w:p>
        </w:tc>
        <w:tc>
          <w:tcPr>
            <w:tcW w:w="1934" w:type="dxa"/>
          </w:tcPr>
          <w:p w14:paraId="0BE06883" w14:textId="77777777" w:rsidR="00630D27" w:rsidRPr="00A932FF" w:rsidRDefault="00630D27" w:rsidP="00CD77A9">
            <w:pPr>
              <w:ind w:left="0"/>
              <w:jc w:val="center"/>
              <w:rPr>
                <w:sz w:val="20"/>
                <w:szCs w:val="20"/>
              </w:rPr>
            </w:pPr>
            <w:r>
              <w:rPr>
                <w:sz w:val="20"/>
                <w:szCs w:val="20"/>
              </w:rPr>
              <w:t>10</w:t>
            </w:r>
          </w:p>
        </w:tc>
        <w:tc>
          <w:tcPr>
            <w:tcW w:w="1682" w:type="dxa"/>
            <w:gridSpan w:val="3"/>
          </w:tcPr>
          <w:p w14:paraId="3B162828" w14:textId="77777777" w:rsidR="00630D27" w:rsidRPr="00A932FF" w:rsidRDefault="00630D27" w:rsidP="00CD77A9">
            <w:pPr>
              <w:ind w:left="0"/>
              <w:jc w:val="center"/>
              <w:rPr>
                <w:sz w:val="20"/>
                <w:szCs w:val="20"/>
              </w:rPr>
            </w:pPr>
            <w:r w:rsidRPr="00A932FF">
              <w:rPr>
                <w:sz w:val="20"/>
                <w:szCs w:val="20"/>
              </w:rPr>
              <w:t>$42.45/hour</w:t>
            </w:r>
          </w:p>
        </w:tc>
        <w:tc>
          <w:tcPr>
            <w:tcW w:w="1701" w:type="dxa"/>
          </w:tcPr>
          <w:p w14:paraId="5C0F53B5" w14:textId="77777777" w:rsidR="00630D27" w:rsidRPr="00A932FF" w:rsidRDefault="00630D27" w:rsidP="00CD77A9">
            <w:pPr>
              <w:ind w:left="0"/>
              <w:jc w:val="center"/>
              <w:rPr>
                <w:sz w:val="20"/>
                <w:szCs w:val="20"/>
              </w:rPr>
            </w:pPr>
            <w:r>
              <w:rPr>
                <w:sz w:val="20"/>
                <w:szCs w:val="20"/>
              </w:rPr>
              <w:t>$424.50</w:t>
            </w:r>
          </w:p>
        </w:tc>
      </w:tr>
      <w:tr w:rsidR="00630D27" w:rsidRPr="00A932FF" w14:paraId="1A8F3150" w14:textId="77777777" w:rsidTr="00CD77A9">
        <w:tc>
          <w:tcPr>
            <w:tcW w:w="4033" w:type="dxa"/>
          </w:tcPr>
          <w:p w14:paraId="6D7272F0" w14:textId="32DD8489" w:rsidR="00630D27" w:rsidRPr="00D40BE1" w:rsidRDefault="006B0637" w:rsidP="00D40BE1">
            <w:pPr>
              <w:ind w:left="0"/>
              <w:rPr>
                <w:sz w:val="20"/>
                <w:szCs w:val="20"/>
              </w:rPr>
            </w:pPr>
            <w:r w:rsidRPr="00D40BE1">
              <w:rPr>
                <w:sz w:val="20"/>
                <w:szCs w:val="20"/>
              </w:rPr>
              <w:t>ChangeLab Solution Contracted Partner</w:t>
            </w:r>
            <w:r w:rsidR="0080491B" w:rsidRPr="00D40BE1">
              <w:rPr>
                <w:sz w:val="20"/>
                <w:szCs w:val="20"/>
              </w:rPr>
              <w:t>; Community Resources LLC and Tulane University</w:t>
            </w:r>
            <w:r w:rsidR="00630D27" w:rsidRPr="00D40BE1">
              <w:rPr>
                <w:sz w:val="20"/>
                <w:szCs w:val="20"/>
              </w:rPr>
              <w:t xml:space="preserve">–Tool Development </w:t>
            </w:r>
          </w:p>
        </w:tc>
        <w:tc>
          <w:tcPr>
            <w:tcW w:w="1934" w:type="dxa"/>
          </w:tcPr>
          <w:p w14:paraId="5AB06330" w14:textId="77777777" w:rsidR="00630D27" w:rsidRPr="00A932FF" w:rsidRDefault="00630D27" w:rsidP="00CD77A9">
            <w:pPr>
              <w:ind w:left="0"/>
              <w:jc w:val="center"/>
              <w:rPr>
                <w:sz w:val="20"/>
                <w:szCs w:val="20"/>
              </w:rPr>
            </w:pPr>
            <w:r w:rsidRPr="00A932FF">
              <w:rPr>
                <w:sz w:val="20"/>
                <w:szCs w:val="20"/>
              </w:rPr>
              <w:t>1</w:t>
            </w:r>
            <w:r>
              <w:rPr>
                <w:sz w:val="20"/>
                <w:szCs w:val="20"/>
              </w:rPr>
              <w:t>5</w:t>
            </w:r>
          </w:p>
        </w:tc>
        <w:tc>
          <w:tcPr>
            <w:tcW w:w="1682" w:type="dxa"/>
            <w:gridSpan w:val="3"/>
          </w:tcPr>
          <w:p w14:paraId="3BDA07F9" w14:textId="77777777" w:rsidR="00630D27" w:rsidRPr="00A932FF" w:rsidRDefault="00630D27" w:rsidP="00CD77A9">
            <w:pPr>
              <w:ind w:left="0"/>
              <w:jc w:val="center"/>
              <w:rPr>
                <w:sz w:val="20"/>
                <w:szCs w:val="20"/>
              </w:rPr>
            </w:pPr>
            <w:r w:rsidRPr="00A932FF">
              <w:rPr>
                <w:sz w:val="20"/>
                <w:szCs w:val="20"/>
              </w:rPr>
              <w:t>$125/hour</w:t>
            </w:r>
          </w:p>
        </w:tc>
        <w:tc>
          <w:tcPr>
            <w:tcW w:w="1701" w:type="dxa"/>
          </w:tcPr>
          <w:p w14:paraId="3670A5A3" w14:textId="77777777" w:rsidR="00630D27" w:rsidRPr="00A932FF" w:rsidRDefault="00630D27" w:rsidP="00CD77A9">
            <w:pPr>
              <w:ind w:left="0"/>
              <w:jc w:val="center"/>
              <w:rPr>
                <w:sz w:val="20"/>
                <w:szCs w:val="20"/>
              </w:rPr>
            </w:pPr>
            <w:r w:rsidRPr="00A932FF">
              <w:rPr>
                <w:sz w:val="20"/>
                <w:szCs w:val="20"/>
              </w:rPr>
              <w:t>$</w:t>
            </w:r>
            <w:r>
              <w:rPr>
                <w:sz w:val="20"/>
                <w:szCs w:val="20"/>
              </w:rPr>
              <w:t>1,875.00</w:t>
            </w:r>
          </w:p>
        </w:tc>
      </w:tr>
      <w:tr w:rsidR="00630D27" w:rsidRPr="00A932FF" w14:paraId="582014AF" w14:textId="77777777" w:rsidTr="00CD77A9">
        <w:tc>
          <w:tcPr>
            <w:tcW w:w="4033" w:type="dxa"/>
          </w:tcPr>
          <w:p w14:paraId="02638E67" w14:textId="773241AD" w:rsidR="00630D27" w:rsidRPr="00D40BE1" w:rsidRDefault="00F77F93" w:rsidP="00D40BE1">
            <w:pPr>
              <w:ind w:left="0"/>
              <w:rPr>
                <w:sz w:val="20"/>
                <w:szCs w:val="20"/>
              </w:rPr>
            </w:pPr>
            <w:r w:rsidRPr="00D40BE1">
              <w:rPr>
                <w:sz w:val="20"/>
                <w:szCs w:val="20"/>
              </w:rPr>
              <w:lastRenderedPageBreak/>
              <w:t>ChangeLab Solution Contracted Partners</w:t>
            </w:r>
            <w:r w:rsidR="0080491B" w:rsidRPr="00D40BE1">
              <w:rPr>
                <w:sz w:val="20"/>
                <w:szCs w:val="20"/>
              </w:rPr>
              <w:t>;</w:t>
            </w:r>
            <w:r w:rsidR="00630D27" w:rsidRPr="00D40BE1">
              <w:rPr>
                <w:sz w:val="20"/>
                <w:szCs w:val="20"/>
              </w:rPr>
              <w:t xml:space="preserve"> </w:t>
            </w:r>
            <w:r w:rsidR="0080491B" w:rsidRPr="00D40BE1">
              <w:rPr>
                <w:sz w:val="20"/>
                <w:szCs w:val="20"/>
              </w:rPr>
              <w:t xml:space="preserve">Community Resources LLC and Tulane University </w:t>
            </w:r>
            <w:r w:rsidR="00630D27" w:rsidRPr="00D40BE1">
              <w:rPr>
                <w:sz w:val="20"/>
                <w:szCs w:val="20"/>
              </w:rPr>
              <w:t xml:space="preserve">– Data Collection </w:t>
            </w:r>
          </w:p>
        </w:tc>
        <w:tc>
          <w:tcPr>
            <w:tcW w:w="1934" w:type="dxa"/>
          </w:tcPr>
          <w:p w14:paraId="405AABB5" w14:textId="77777777" w:rsidR="00630D27" w:rsidRPr="00A932FF" w:rsidRDefault="00630D27" w:rsidP="00CD77A9">
            <w:pPr>
              <w:ind w:left="0"/>
              <w:jc w:val="center"/>
              <w:rPr>
                <w:sz w:val="20"/>
                <w:szCs w:val="20"/>
              </w:rPr>
            </w:pPr>
            <w:r>
              <w:rPr>
                <w:sz w:val="20"/>
                <w:szCs w:val="20"/>
              </w:rPr>
              <w:t>72</w:t>
            </w:r>
          </w:p>
        </w:tc>
        <w:tc>
          <w:tcPr>
            <w:tcW w:w="1682" w:type="dxa"/>
            <w:gridSpan w:val="3"/>
          </w:tcPr>
          <w:p w14:paraId="717A11A0" w14:textId="77777777" w:rsidR="00630D27" w:rsidRPr="00A932FF" w:rsidRDefault="00630D27" w:rsidP="00CD77A9">
            <w:pPr>
              <w:ind w:left="0"/>
              <w:jc w:val="center"/>
              <w:rPr>
                <w:sz w:val="20"/>
                <w:szCs w:val="20"/>
              </w:rPr>
            </w:pPr>
            <w:r w:rsidRPr="00A932FF">
              <w:rPr>
                <w:sz w:val="20"/>
                <w:szCs w:val="20"/>
              </w:rPr>
              <w:t>$125/hour</w:t>
            </w:r>
          </w:p>
        </w:tc>
        <w:tc>
          <w:tcPr>
            <w:tcW w:w="1701" w:type="dxa"/>
          </w:tcPr>
          <w:p w14:paraId="730313EB" w14:textId="77777777" w:rsidR="00630D27" w:rsidRPr="00A932FF" w:rsidRDefault="00630D27" w:rsidP="00CD77A9">
            <w:pPr>
              <w:ind w:left="0"/>
              <w:jc w:val="center"/>
              <w:rPr>
                <w:sz w:val="20"/>
                <w:szCs w:val="20"/>
              </w:rPr>
            </w:pPr>
            <w:r w:rsidRPr="00A932FF">
              <w:rPr>
                <w:sz w:val="20"/>
                <w:szCs w:val="20"/>
              </w:rPr>
              <w:t>$</w:t>
            </w:r>
            <w:r>
              <w:rPr>
                <w:sz w:val="20"/>
                <w:szCs w:val="20"/>
              </w:rPr>
              <w:t>9,000.00</w:t>
            </w:r>
          </w:p>
        </w:tc>
      </w:tr>
      <w:tr w:rsidR="00630D27" w:rsidRPr="00A932FF" w14:paraId="565C8ED0" w14:textId="77777777" w:rsidTr="00CD77A9">
        <w:tc>
          <w:tcPr>
            <w:tcW w:w="4033" w:type="dxa"/>
            <w:tcBorders>
              <w:bottom w:val="single" w:sz="4" w:space="0" w:color="auto"/>
            </w:tcBorders>
          </w:tcPr>
          <w:p w14:paraId="61C65038" w14:textId="5E0E75BE" w:rsidR="00630D27" w:rsidRPr="00D40BE1" w:rsidRDefault="00F77F93" w:rsidP="00D40BE1">
            <w:pPr>
              <w:ind w:left="0"/>
              <w:rPr>
                <w:sz w:val="20"/>
                <w:szCs w:val="20"/>
              </w:rPr>
            </w:pPr>
            <w:r w:rsidRPr="00D40BE1">
              <w:rPr>
                <w:sz w:val="20"/>
                <w:szCs w:val="20"/>
              </w:rPr>
              <w:t>ChangeLab Solution Contracted Partner</w:t>
            </w:r>
            <w:r w:rsidR="0080491B" w:rsidRPr="00D40BE1">
              <w:rPr>
                <w:sz w:val="20"/>
                <w:szCs w:val="20"/>
              </w:rPr>
              <w:t>; Tulane University</w:t>
            </w:r>
            <w:r w:rsidR="00630D27" w:rsidRPr="00D40BE1">
              <w:rPr>
                <w:sz w:val="20"/>
                <w:szCs w:val="20"/>
              </w:rPr>
              <w:t xml:space="preserve"> – Data Analysis</w:t>
            </w:r>
          </w:p>
        </w:tc>
        <w:tc>
          <w:tcPr>
            <w:tcW w:w="1934" w:type="dxa"/>
            <w:tcBorders>
              <w:bottom w:val="single" w:sz="4" w:space="0" w:color="auto"/>
            </w:tcBorders>
          </w:tcPr>
          <w:p w14:paraId="10005B99" w14:textId="77777777" w:rsidR="00630D27" w:rsidRPr="00A932FF" w:rsidRDefault="00630D27" w:rsidP="00CD77A9">
            <w:pPr>
              <w:ind w:left="0"/>
              <w:jc w:val="center"/>
              <w:rPr>
                <w:sz w:val="20"/>
                <w:szCs w:val="20"/>
              </w:rPr>
            </w:pPr>
            <w:r w:rsidRPr="00A932FF">
              <w:rPr>
                <w:sz w:val="20"/>
                <w:szCs w:val="20"/>
              </w:rPr>
              <w:t>144</w:t>
            </w:r>
          </w:p>
        </w:tc>
        <w:tc>
          <w:tcPr>
            <w:tcW w:w="1682" w:type="dxa"/>
            <w:gridSpan w:val="3"/>
            <w:tcBorders>
              <w:bottom w:val="single" w:sz="4" w:space="0" w:color="auto"/>
            </w:tcBorders>
          </w:tcPr>
          <w:p w14:paraId="78C6BB98" w14:textId="77777777" w:rsidR="00630D27" w:rsidRPr="00A932FF" w:rsidRDefault="00630D27" w:rsidP="00CD77A9">
            <w:pPr>
              <w:ind w:left="0"/>
              <w:jc w:val="center"/>
              <w:rPr>
                <w:sz w:val="20"/>
                <w:szCs w:val="20"/>
              </w:rPr>
            </w:pPr>
            <w:r w:rsidRPr="00A932FF">
              <w:rPr>
                <w:sz w:val="20"/>
                <w:szCs w:val="20"/>
              </w:rPr>
              <w:t>$40.50/hour</w:t>
            </w:r>
          </w:p>
        </w:tc>
        <w:tc>
          <w:tcPr>
            <w:tcW w:w="1701" w:type="dxa"/>
          </w:tcPr>
          <w:p w14:paraId="7B17AD34" w14:textId="77777777" w:rsidR="00630D27" w:rsidRPr="00A932FF" w:rsidRDefault="00630D27" w:rsidP="00CD77A9">
            <w:pPr>
              <w:ind w:left="0"/>
              <w:jc w:val="center"/>
              <w:rPr>
                <w:sz w:val="20"/>
                <w:szCs w:val="20"/>
              </w:rPr>
            </w:pPr>
            <w:r w:rsidRPr="00A932FF">
              <w:rPr>
                <w:sz w:val="20"/>
                <w:szCs w:val="20"/>
              </w:rPr>
              <w:t>$5</w:t>
            </w:r>
            <w:r>
              <w:rPr>
                <w:sz w:val="20"/>
                <w:szCs w:val="20"/>
              </w:rPr>
              <w:t>,</w:t>
            </w:r>
            <w:r w:rsidRPr="00A932FF">
              <w:rPr>
                <w:sz w:val="20"/>
                <w:szCs w:val="20"/>
              </w:rPr>
              <w:t>832.00</w:t>
            </w:r>
          </w:p>
        </w:tc>
      </w:tr>
      <w:tr w:rsidR="00630D27" w:rsidRPr="00A932FF" w14:paraId="2F201D2A" w14:textId="77777777" w:rsidTr="00CD77A9">
        <w:trPr>
          <w:trHeight w:val="332"/>
        </w:trPr>
        <w:tc>
          <w:tcPr>
            <w:tcW w:w="6958" w:type="dxa"/>
            <w:gridSpan w:val="3"/>
            <w:tcBorders>
              <w:right w:val="nil"/>
            </w:tcBorders>
            <w:vAlign w:val="center"/>
          </w:tcPr>
          <w:p w14:paraId="37DFA332" w14:textId="77777777" w:rsidR="00630D27" w:rsidRPr="00A932FF" w:rsidRDefault="00630D27" w:rsidP="00CD77A9">
            <w:pPr>
              <w:ind w:left="0"/>
              <w:jc w:val="right"/>
              <w:rPr>
                <w:b/>
                <w:sz w:val="20"/>
                <w:szCs w:val="20"/>
              </w:rPr>
            </w:pPr>
            <w:r w:rsidRPr="00A932FF">
              <w:rPr>
                <w:b/>
                <w:sz w:val="20"/>
                <w:szCs w:val="20"/>
              </w:rPr>
              <w:t>Estimated Total Cost of Information Collection</w:t>
            </w:r>
          </w:p>
        </w:tc>
        <w:tc>
          <w:tcPr>
            <w:tcW w:w="236" w:type="dxa"/>
            <w:tcBorders>
              <w:left w:val="nil"/>
              <w:right w:val="nil"/>
            </w:tcBorders>
            <w:vAlign w:val="center"/>
          </w:tcPr>
          <w:p w14:paraId="198482A5" w14:textId="77777777" w:rsidR="00630D27" w:rsidRPr="00A932FF" w:rsidRDefault="00630D27" w:rsidP="00CD77A9">
            <w:pPr>
              <w:ind w:left="0"/>
              <w:rPr>
                <w:b/>
                <w:sz w:val="20"/>
                <w:szCs w:val="20"/>
              </w:rPr>
            </w:pPr>
          </w:p>
        </w:tc>
        <w:tc>
          <w:tcPr>
            <w:tcW w:w="455" w:type="dxa"/>
            <w:tcBorders>
              <w:left w:val="nil"/>
            </w:tcBorders>
            <w:vAlign w:val="center"/>
          </w:tcPr>
          <w:p w14:paraId="0B94A061" w14:textId="77777777" w:rsidR="00630D27" w:rsidRPr="00A932FF" w:rsidRDefault="00630D27" w:rsidP="00CD77A9">
            <w:pPr>
              <w:ind w:left="0"/>
              <w:rPr>
                <w:b/>
                <w:sz w:val="20"/>
                <w:szCs w:val="20"/>
              </w:rPr>
            </w:pPr>
          </w:p>
        </w:tc>
        <w:tc>
          <w:tcPr>
            <w:tcW w:w="1701" w:type="dxa"/>
            <w:vAlign w:val="center"/>
          </w:tcPr>
          <w:p w14:paraId="5FD951B3" w14:textId="2572AF08" w:rsidR="00630D27" w:rsidRPr="00A932FF" w:rsidRDefault="00630D27" w:rsidP="00D40BE1">
            <w:pPr>
              <w:ind w:left="0"/>
              <w:jc w:val="center"/>
              <w:rPr>
                <w:b/>
                <w:sz w:val="20"/>
                <w:szCs w:val="20"/>
              </w:rPr>
            </w:pPr>
            <w:r w:rsidRPr="00A932FF">
              <w:rPr>
                <w:b/>
                <w:sz w:val="20"/>
                <w:szCs w:val="20"/>
              </w:rPr>
              <w:t>$</w:t>
            </w:r>
            <w:r>
              <w:rPr>
                <w:b/>
                <w:sz w:val="20"/>
                <w:szCs w:val="20"/>
              </w:rPr>
              <w:t>20,</w:t>
            </w:r>
            <w:r w:rsidR="00D40BE1">
              <w:rPr>
                <w:b/>
                <w:sz w:val="20"/>
                <w:szCs w:val="20"/>
              </w:rPr>
              <w:t>612</w:t>
            </w:r>
            <w:r w:rsidRPr="00A932FF">
              <w:rPr>
                <w:b/>
                <w:sz w:val="20"/>
                <w:szCs w:val="20"/>
              </w:rPr>
              <w:t>.</w:t>
            </w:r>
            <w:r w:rsidR="00D40BE1">
              <w:rPr>
                <w:b/>
                <w:sz w:val="20"/>
                <w:szCs w:val="20"/>
              </w:rPr>
              <w:t>4</w:t>
            </w:r>
            <w:r w:rsidRPr="00A932FF">
              <w:rPr>
                <w:b/>
                <w:sz w:val="20"/>
                <w:szCs w:val="20"/>
              </w:rPr>
              <w:t>0</w:t>
            </w:r>
          </w:p>
        </w:tc>
      </w:tr>
    </w:tbl>
    <w:p w14:paraId="6A487058" w14:textId="77777777" w:rsidR="005D6F14" w:rsidRDefault="005D6F14" w:rsidP="00441CC3">
      <w:pPr>
        <w:ind w:left="0"/>
      </w:pPr>
    </w:p>
    <w:p w14:paraId="780ADEBF" w14:textId="77777777" w:rsidR="00B12F51" w:rsidRPr="00D75750" w:rsidRDefault="00D75750" w:rsidP="00692DEB">
      <w:pPr>
        <w:pStyle w:val="Heading4"/>
      </w:pPr>
      <w:bookmarkStart w:id="20" w:name="_Toc427752828"/>
      <w:r w:rsidRPr="00D75750">
        <w:t>Explanation for Program Changes or Adjustments</w:t>
      </w:r>
      <w:bookmarkEnd w:id="20"/>
    </w:p>
    <w:p w14:paraId="0B792F94" w14:textId="7C18A9EA" w:rsidR="00F52BCC" w:rsidRDefault="003C7C5D" w:rsidP="006F125A">
      <w:pPr>
        <w:ind w:left="0"/>
      </w:pPr>
      <w:r>
        <w:t xml:space="preserve">This is a new </w:t>
      </w:r>
      <w:r w:rsidR="00157413">
        <w:t>information collection</w:t>
      </w:r>
      <w:r>
        <w:t>.</w:t>
      </w:r>
    </w:p>
    <w:p w14:paraId="0AF7D178" w14:textId="77777777" w:rsidR="00CD796A" w:rsidRDefault="00CD796A" w:rsidP="006F125A">
      <w:pPr>
        <w:ind w:left="0"/>
      </w:pPr>
    </w:p>
    <w:p w14:paraId="4322E87A" w14:textId="77777777" w:rsidR="00B12F51" w:rsidRPr="00AA6DBE" w:rsidRDefault="00616090" w:rsidP="00692DEB">
      <w:pPr>
        <w:pStyle w:val="Heading4"/>
      </w:pPr>
      <w:bookmarkStart w:id="21" w:name="_Toc427752829"/>
      <w:r w:rsidRPr="00AA6DBE">
        <w:t>Plan</w:t>
      </w:r>
      <w:r w:rsidR="00D75750" w:rsidRPr="00AA6DBE">
        <w:t>s for Tabulation and Publication and Project Time Schedule</w:t>
      </w:r>
      <w:bookmarkEnd w:id="21"/>
    </w:p>
    <w:p w14:paraId="3489DEA0" w14:textId="3D1C9E65" w:rsidR="00175335" w:rsidRDefault="001E54CA" w:rsidP="00C857D3">
      <w:pPr>
        <w:ind w:left="0"/>
        <w:rPr>
          <w:rFonts w:cs="Arial"/>
        </w:rPr>
      </w:pPr>
      <w:r>
        <w:rPr>
          <w:rFonts w:cs="Arial"/>
        </w:rPr>
        <w:t>Once the information collection period has closed</w:t>
      </w:r>
      <w:r w:rsidR="00A932FF">
        <w:rPr>
          <w:rFonts w:cs="Arial"/>
        </w:rPr>
        <w:t xml:space="preserve">, </w:t>
      </w:r>
      <w:r w:rsidR="00C857D3">
        <w:rPr>
          <w:rFonts w:cs="Arial"/>
        </w:rPr>
        <w:t>interview audio files and supporting documents shared by respondents will be ass</w:t>
      </w:r>
      <w:r w:rsidR="00066D65">
        <w:rPr>
          <w:rFonts w:cs="Arial"/>
        </w:rPr>
        <w:t xml:space="preserve">igned an ID number.  Interview files </w:t>
      </w:r>
      <w:r w:rsidR="007D2CD7">
        <w:rPr>
          <w:rFonts w:cs="Arial"/>
        </w:rPr>
        <w:t>will</w:t>
      </w:r>
      <w:r w:rsidR="00066D65">
        <w:rPr>
          <w:rFonts w:cs="Arial"/>
        </w:rPr>
        <w:t xml:space="preserve"> then</w:t>
      </w:r>
      <w:r w:rsidR="007D2CD7">
        <w:rPr>
          <w:rFonts w:cs="Arial"/>
        </w:rPr>
        <w:t xml:space="preserve"> be transcribed, cleaned and analyzed using </w:t>
      </w:r>
      <w:r w:rsidR="00BA5338" w:rsidRPr="00BA5338">
        <w:rPr>
          <w:rFonts w:cs="Arial"/>
        </w:rPr>
        <w:t>Atlas.ti software</w:t>
      </w:r>
      <w:r w:rsidR="007D2CD7">
        <w:rPr>
          <w:rFonts w:cs="Arial"/>
        </w:rPr>
        <w:t>.</w:t>
      </w:r>
      <w:r w:rsidR="00BA5338">
        <w:rPr>
          <w:rFonts w:cs="Arial"/>
        </w:rPr>
        <w:t xml:space="preserve"> </w:t>
      </w:r>
      <w:r w:rsidR="00C857D3">
        <w:rPr>
          <w:rFonts w:cs="Arial"/>
        </w:rPr>
        <w:t xml:space="preserve">A qualitative analysis approach will be used to conduct a thematic analysis of responses to open-ended questions.  The process will include independently coding each interview based </w:t>
      </w:r>
      <w:r w:rsidR="00C857D3" w:rsidRPr="00BA5338">
        <w:rPr>
          <w:rFonts w:cs="Arial"/>
        </w:rPr>
        <w:t xml:space="preserve">on the list of variables and constructs to be </w:t>
      </w:r>
      <w:r w:rsidR="00F83BEF">
        <w:rPr>
          <w:rFonts w:cs="Arial"/>
        </w:rPr>
        <w:t>analyzed</w:t>
      </w:r>
      <w:r w:rsidR="00C857D3">
        <w:rPr>
          <w:rFonts w:cs="Arial"/>
        </w:rPr>
        <w:t xml:space="preserve">.  </w:t>
      </w:r>
      <w:r w:rsidR="00BA5338">
        <w:rPr>
          <w:rFonts w:cs="Arial"/>
        </w:rPr>
        <w:t xml:space="preserve">At several predefined points in the coding process, </w:t>
      </w:r>
      <w:r w:rsidR="00BA5338" w:rsidRPr="00BA5338">
        <w:rPr>
          <w:rFonts w:cs="Arial"/>
        </w:rPr>
        <w:t>codes will be refined, collapsed, and/or eliminated, as appropriate</w:t>
      </w:r>
      <w:r w:rsidR="00C857D3">
        <w:rPr>
          <w:rFonts w:cs="Arial"/>
        </w:rPr>
        <w:t xml:space="preserve"> based on data collected</w:t>
      </w:r>
      <w:r w:rsidR="00BA5338" w:rsidRPr="00BA5338">
        <w:rPr>
          <w:rFonts w:cs="Arial"/>
        </w:rPr>
        <w:t>.</w:t>
      </w:r>
      <w:r w:rsidR="00BA5338">
        <w:rPr>
          <w:rFonts w:cs="Arial"/>
        </w:rPr>
        <w:t xml:space="preserve"> </w:t>
      </w:r>
    </w:p>
    <w:p w14:paraId="16E7CE7D" w14:textId="77777777" w:rsidR="00175335" w:rsidRDefault="00175335" w:rsidP="00C857D3">
      <w:pPr>
        <w:ind w:left="0"/>
        <w:rPr>
          <w:rFonts w:cs="Arial"/>
        </w:rPr>
      </w:pPr>
    </w:p>
    <w:p w14:paraId="73FDFF27" w14:textId="2F65440D" w:rsidR="00F83BEF" w:rsidRDefault="00C857D3" w:rsidP="00C857D3">
      <w:pPr>
        <w:ind w:left="0"/>
        <w:rPr>
          <w:rFonts w:cs="Arial"/>
        </w:rPr>
      </w:pPr>
      <w:r w:rsidRPr="00C857D3">
        <w:rPr>
          <w:rFonts w:cs="Arial"/>
        </w:rPr>
        <w:t xml:space="preserve">Once coding is completed, </w:t>
      </w:r>
      <w:r>
        <w:rPr>
          <w:rFonts w:cs="Arial"/>
        </w:rPr>
        <w:t xml:space="preserve">information </w:t>
      </w:r>
      <w:r w:rsidRPr="00C857D3">
        <w:rPr>
          <w:rFonts w:cs="Arial"/>
        </w:rPr>
        <w:t>will be grouped into larger themes</w:t>
      </w:r>
      <w:r>
        <w:rPr>
          <w:rFonts w:cs="Arial"/>
        </w:rPr>
        <w:t xml:space="preserve"> and examined in relationship to other themes, interviewees</w:t>
      </w:r>
      <w:r w:rsidRPr="00C857D3">
        <w:rPr>
          <w:rFonts w:cs="Arial"/>
        </w:rPr>
        <w:t>,</w:t>
      </w:r>
      <w:r>
        <w:rPr>
          <w:rFonts w:cs="Arial"/>
        </w:rPr>
        <w:t xml:space="preserve"> and states</w:t>
      </w:r>
      <w:r w:rsidRPr="00C857D3">
        <w:rPr>
          <w:rFonts w:cs="Arial"/>
        </w:rPr>
        <w:t>.</w:t>
      </w:r>
      <w:r>
        <w:rPr>
          <w:rFonts w:cs="Arial"/>
        </w:rPr>
        <w:t xml:space="preserve"> </w:t>
      </w:r>
      <w:r w:rsidR="00F83BEF">
        <w:t xml:space="preserve">The constructs to be explored through qualitative analysis of interview transcripts will address process variables including the </w:t>
      </w:r>
      <w:r w:rsidR="008C21A0">
        <w:t xml:space="preserve">reasons </w:t>
      </w:r>
      <w:r w:rsidR="00F83BEF">
        <w:t>for developing certification, facilitators and barriers to CHW involvement in certification, perceptions of certificatio</w:t>
      </w:r>
      <w:r w:rsidR="00F83BEF" w:rsidRPr="00CD796A">
        <w:t xml:space="preserve">n, and the use of </w:t>
      </w:r>
      <w:r w:rsidR="003E1CD1" w:rsidRPr="00CD796A">
        <w:t>various</w:t>
      </w:r>
      <w:r w:rsidR="00F83BEF" w:rsidRPr="00CD796A">
        <w:t xml:space="preserve"> approaches to drive or support certification efforts.</w:t>
      </w:r>
      <w:r w:rsidR="00F83BEF">
        <w:t xml:space="preserve"> Other constructs to be explored will address: the role of state government in CHW certification, including its participation and collaboration with other entities in administering certification; strategies to define community membership and CHW </w:t>
      </w:r>
      <w:r w:rsidR="008C21A0">
        <w:t xml:space="preserve">scope of practice </w:t>
      </w:r>
      <w:r w:rsidR="00F83BEF">
        <w:t>in relation to certification; certification r</w:t>
      </w:r>
      <w:r w:rsidR="00AA6DBE">
        <w:t>equirements, and curriculum content</w:t>
      </w:r>
      <w:r w:rsidR="00F83BEF">
        <w:t xml:space="preserve">; </w:t>
      </w:r>
      <w:r w:rsidR="00AA6DBE">
        <w:t>stakeholder</w:t>
      </w:r>
      <w:r w:rsidR="00F83BEF">
        <w:t xml:space="preserve"> views about </w:t>
      </w:r>
      <w:r w:rsidR="00333285">
        <w:t>CHW certification</w:t>
      </w:r>
      <w:r w:rsidR="00F83BEF">
        <w:t>; and outcomes of certification, including the proportion of certified CHWs, changes in CHW scope of practice and employment, and perceptions of CHWs by providers, payers, and patients/clients.</w:t>
      </w:r>
    </w:p>
    <w:p w14:paraId="41E26B27" w14:textId="77777777" w:rsidR="00C857D3" w:rsidRDefault="00C857D3" w:rsidP="00C857D3">
      <w:pPr>
        <w:ind w:left="0"/>
        <w:rPr>
          <w:rFonts w:cs="Arial"/>
        </w:rPr>
      </w:pPr>
    </w:p>
    <w:p w14:paraId="5F1BCF1D" w14:textId="459224E9" w:rsidR="00066D65" w:rsidRDefault="00066D65" w:rsidP="00066D65">
      <w:pPr>
        <w:ind w:left="0"/>
        <w:rPr>
          <w:rFonts w:cs="Arial"/>
        </w:rPr>
      </w:pPr>
      <w:r>
        <w:rPr>
          <w:rFonts w:cs="Arial"/>
        </w:rPr>
        <w:t>Using the thematic analysis, CDC</w:t>
      </w:r>
      <w:r w:rsidR="00F77F93">
        <w:rPr>
          <w:rFonts w:cs="Arial"/>
        </w:rPr>
        <w:t xml:space="preserve">, ChangeLab Solutions, </w:t>
      </w:r>
      <w:r w:rsidR="00F77F93" w:rsidRPr="006B0637">
        <w:t>Community Resources, LLC</w:t>
      </w:r>
      <w:r w:rsidR="007C184D">
        <w:t>,</w:t>
      </w:r>
      <w:r w:rsidR="00F77F93">
        <w:t xml:space="preserve"> and Tulane University</w:t>
      </w:r>
      <w:r w:rsidR="00F77F93">
        <w:rPr>
          <w:rFonts w:cs="Arial"/>
        </w:rPr>
        <w:t xml:space="preserve"> </w:t>
      </w:r>
      <w:r>
        <w:rPr>
          <w:rFonts w:cs="Arial"/>
        </w:rPr>
        <w:t>will create an aggregate summary report</w:t>
      </w:r>
      <w:r w:rsidRPr="00066D65">
        <w:rPr>
          <w:rFonts w:cs="Arial"/>
        </w:rPr>
        <w:t xml:space="preserve">.  The report will conclude with an overview of lessons learned regarding major elements of </w:t>
      </w:r>
      <w:r>
        <w:rPr>
          <w:rFonts w:cs="Arial"/>
        </w:rPr>
        <w:t xml:space="preserve">CHW </w:t>
      </w:r>
      <w:r w:rsidRPr="00066D65">
        <w:rPr>
          <w:rFonts w:cs="Arial"/>
        </w:rPr>
        <w:t>certification and</w:t>
      </w:r>
      <w:r>
        <w:rPr>
          <w:rFonts w:cs="Arial"/>
        </w:rPr>
        <w:t xml:space="preserve"> </w:t>
      </w:r>
      <w:r w:rsidRPr="00066D65">
        <w:rPr>
          <w:rFonts w:cs="Arial"/>
        </w:rPr>
        <w:t>resources for certification.</w:t>
      </w:r>
      <w:r>
        <w:rPr>
          <w:rFonts w:cs="Arial"/>
        </w:rPr>
        <w:t xml:space="preserve"> CDC will also explore the development of complimentary, </w:t>
      </w:r>
      <w:r w:rsidR="00532BCC" w:rsidRPr="002F19B2">
        <w:t xml:space="preserve">technical assistance material for state grantees </w:t>
      </w:r>
      <w:r w:rsidR="00532BCC" w:rsidRPr="00FA759B">
        <w:t>and other decision makers</w:t>
      </w:r>
      <w:r w:rsidR="00532BCC" w:rsidRPr="002F19B2">
        <w:t xml:space="preserve"> that will be disseminated via conference presentations, webinars, fact sheets and implementation guides.</w:t>
      </w:r>
      <w:r>
        <w:rPr>
          <w:rFonts w:cs="Arial"/>
        </w:rPr>
        <w:t xml:space="preserve"> </w:t>
      </w:r>
    </w:p>
    <w:p w14:paraId="29AB26B9" w14:textId="7FC5D882" w:rsidR="000058E0" w:rsidRPr="00A932FF" w:rsidRDefault="00BA5338" w:rsidP="000058E0">
      <w:pPr>
        <w:ind w:left="0"/>
        <w:rPr>
          <w:rFonts w:cs="Arial"/>
        </w:rPr>
      </w:pPr>
      <w:r>
        <w:rPr>
          <w:rFonts w:cs="Arial"/>
        </w:rPr>
        <w:t xml:space="preserve"> </w:t>
      </w:r>
      <w:r w:rsidR="007D2CD7">
        <w:rPr>
          <w:rFonts w:cs="Arial"/>
        </w:rPr>
        <w:t xml:space="preserve"> </w:t>
      </w:r>
    </w:p>
    <w:p w14:paraId="25F940FB" w14:textId="1006131A" w:rsidR="008C59E7" w:rsidRPr="00BB090C" w:rsidRDefault="008C59E7" w:rsidP="008C59E7">
      <w:pPr>
        <w:ind w:left="0"/>
        <w:rPr>
          <w:rFonts w:cs="Arial"/>
          <w:color w:val="0070C0"/>
        </w:rPr>
      </w:pPr>
      <w:r w:rsidRPr="00BB090C">
        <w:rPr>
          <w:rFonts w:cs="Arial"/>
          <w:u w:val="single"/>
        </w:rPr>
        <w:t>Project Time Schedule</w:t>
      </w:r>
      <w:r w:rsidR="00BB090C">
        <w:rPr>
          <w:rFonts w:cs="Arial"/>
        </w:rPr>
        <w:t xml:space="preserve">  </w:t>
      </w:r>
    </w:p>
    <w:p w14:paraId="663E9261" w14:textId="77777777" w:rsidR="008C59E7" w:rsidRPr="00A61029" w:rsidRDefault="008C59E7" w:rsidP="008C59E7">
      <w:pPr>
        <w:pStyle w:val="ListParagraph"/>
        <w:numPr>
          <w:ilvl w:val="0"/>
          <w:numId w:val="17"/>
        </w:numPr>
        <w:tabs>
          <w:tab w:val="right" w:leader="dot" w:pos="9360"/>
        </w:tabs>
      </w:pPr>
      <w:r w:rsidRPr="00A61029">
        <w:rPr>
          <w:rFonts w:eastAsiaTheme="majorEastAsia" w:cstheme="majorBidi"/>
        </w:rPr>
        <w:t xml:space="preserve">Design questionnaire </w:t>
      </w:r>
      <w:r w:rsidRPr="00A61029">
        <w:tab/>
      </w:r>
      <w:r w:rsidRPr="00A61029">
        <w:rPr>
          <w:rFonts w:eastAsiaTheme="majorEastAsia" w:cstheme="majorBidi"/>
        </w:rPr>
        <w:t>(COMPLETE)</w:t>
      </w:r>
    </w:p>
    <w:p w14:paraId="09829218" w14:textId="77777777" w:rsidR="008C59E7" w:rsidRPr="00A61029" w:rsidRDefault="008C59E7" w:rsidP="008C59E7">
      <w:pPr>
        <w:pStyle w:val="ListParagraph"/>
        <w:numPr>
          <w:ilvl w:val="0"/>
          <w:numId w:val="18"/>
        </w:numPr>
        <w:tabs>
          <w:tab w:val="right" w:leader="dot" w:pos="9360"/>
        </w:tabs>
      </w:pPr>
      <w:r w:rsidRPr="00A61029">
        <w:rPr>
          <w:rFonts w:eastAsiaTheme="majorEastAsia" w:cstheme="majorBidi"/>
        </w:rPr>
        <w:t xml:space="preserve">Develop protocol, instructions, and analysis plan </w:t>
      </w:r>
      <w:r w:rsidRPr="00A61029">
        <w:tab/>
      </w:r>
      <w:r w:rsidRPr="00A61029">
        <w:rPr>
          <w:rFonts w:eastAsiaTheme="majorEastAsia" w:cstheme="majorBidi"/>
        </w:rPr>
        <w:t>(COMPLETE)</w:t>
      </w:r>
    </w:p>
    <w:p w14:paraId="712B6A0C" w14:textId="77777777" w:rsidR="008C59E7" w:rsidRPr="00A61029" w:rsidRDefault="008C59E7" w:rsidP="008C59E7">
      <w:pPr>
        <w:pStyle w:val="ListParagraph"/>
        <w:numPr>
          <w:ilvl w:val="0"/>
          <w:numId w:val="21"/>
        </w:numPr>
        <w:tabs>
          <w:tab w:val="right" w:leader="dot" w:pos="9360"/>
        </w:tabs>
        <w:ind w:left="720"/>
      </w:pPr>
      <w:r w:rsidRPr="00A61029">
        <w:rPr>
          <w:rFonts w:eastAsiaTheme="majorEastAsia" w:cstheme="majorBidi"/>
        </w:rPr>
        <w:t xml:space="preserve">Pilot test questionnaire </w:t>
      </w:r>
      <w:r w:rsidRPr="00A61029">
        <w:tab/>
      </w:r>
      <w:r w:rsidRPr="00A61029">
        <w:rPr>
          <w:rFonts w:eastAsiaTheme="majorEastAsia" w:cstheme="majorBidi"/>
        </w:rPr>
        <w:t>(COMPLETE)</w:t>
      </w:r>
    </w:p>
    <w:p w14:paraId="29904B91" w14:textId="77777777" w:rsidR="008C59E7" w:rsidRPr="00A61029" w:rsidRDefault="008C59E7" w:rsidP="008C59E7">
      <w:pPr>
        <w:pStyle w:val="ListParagraph"/>
        <w:numPr>
          <w:ilvl w:val="0"/>
          <w:numId w:val="21"/>
        </w:numPr>
        <w:tabs>
          <w:tab w:val="right" w:leader="dot" w:pos="9360"/>
        </w:tabs>
        <w:ind w:left="720"/>
      </w:pPr>
      <w:r w:rsidRPr="00A61029">
        <w:rPr>
          <w:rFonts w:eastAsiaTheme="majorEastAsia" w:cstheme="majorBidi"/>
        </w:rPr>
        <w:t xml:space="preserve">Prepare OMB package </w:t>
      </w:r>
      <w:r w:rsidRPr="00A61029">
        <w:tab/>
      </w:r>
      <w:r w:rsidRPr="00A61029">
        <w:rPr>
          <w:rFonts w:eastAsiaTheme="majorEastAsia" w:cstheme="majorBidi"/>
        </w:rPr>
        <w:t>(COMPLETE)</w:t>
      </w:r>
    </w:p>
    <w:p w14:paraId="1FAFC13C" w14:textId="06DDB02F" w:rsidR="008C59E7" w:rsidRPr="00A61029" w:rsidRDefault="008C59E7" w:rsidP="008C59E7">
      <w:pPr>
        <w:pStyle w:val="ListParagraph"/>
        <w:numPr>
          <w:ilvl w:val="0"/>
          <w:numId w:val="21"/>
        </w:numPr>
        <w:tabs>
          <w:tab w:val="right" w:leader="dot" w:pos="9360"/>
        </w:tabs>
        <w:ind w:left="720"/>
      </w:pPr>
      <w:r w:rsidRPr="00A61029">
        <w:rPr>
          <w:rFonts w:eastAsiaTheme="majorEastAsia" w:cstheme="majorBidi"/>
        </w:rPr>
        <w:lastRenderedPageBreak/>
        <w:t xml:space="preserve">Submit OMB package </w:t>
      </w:r>
      <w:r w:rsidRPr="00A61029">
        <w:tab/>
      </w:r>
      <w:r w:rsidR="00BE5E58" w:rsidRPr="00A61029">
        <w:rPr>
          <w:rFonts w:eastAsiaTheme="majorEastAsia" w:cstheme="majorBidi"/>
        </w:rPr>
        <w:t>(TBD)</w:t>
      </w:r>
    </w:p>
    <w:p w14:paraId="3494E02E" w14:textId="77777777" w:rsidR="008C59E7" w:rsidRPr="00A61029" w:rsidRDefault="008C59E7" w:rsidP="008C59E7">
      <w:pPr>
        <w:pStyle w:val="ListParagraph"/>
        <w:numPr>
          <w:ilvl w:val="0"/>
          <w:numId w:val="16"/>
        </w:numPr>
        <w:tabs>
          <w:tab w:val="right" w:leader="dot" w:pos="9360"/>
        </w:tabs>
      </w:pPr>
      <w:r w:rsidRPr="00A61029">
        <w:rPr>
          <w:rFonts w:eastAsiaTheme="majorEastAsia" w:cstheme="majorBidi"/>
        </w:rPr>
        <w:t xml:space="preserve">OMB approval </w:t>
      </w:r>
      <w:r w:rsidRPr="00A61029">
        <w:tab/>
      </w:r>
      <w:r w:rsidRPr="00A61029">
        <w:rPr>
          <w:rFonts w:eastAsiaTheme="majorEastAsia" w:cstheme="majorBidi"/>
        </w:rPr>
        <w:t>(TBD)</w:t>
      </w:r>
    </w:p>
    <w:p w14:paraId="4E692631" w14:textId="129EE8AC" w:rsidR="008C59E7" w:rsidRPr="00A61029" w:rsidRDefault="008C59E7" w:rsidP="008C59E7">
      <w:pPr>
        <w:pStyle w:val="ListParagraph"/>
        <w:numPr>
          <w:ilvl w:val="0"/>
          <w:numId w:val="16"/>
        </w:numPr>
        <w:tabs>
          <w:tab w:val="right" w:leader="dot" w:pos="9360"/>
        </w:tabs>
      </w:pPr>
      <w:r w:rsidRPr="00A61029">
        <w:rPr>
          <w:rFonts w:eastAsiaTheme="majorEastAsia" w:cstheme="majorBidi"/>
        </w:rPr>
        <w:t xml:space="preserve">Conduct assessment </w:t>
      </w:r>
      <w:r w:rsidRPr="00A61029">
        <w:tab/>
      </w:r>
      <w:r w:rsidRPr="00A61029">
        <w:rPr>
          <w:rFonts w:eastAsiaTheme="majorEastAsia" w:cstheme="majorBidi"/>
        </w:rPr>
        <w:t xml:space="preserve">(Assessment open </w:t>
      </w:r>
      <w:r w:rsidR="005447C4">
        <w:rPr>
          <w:rFonts w:eastAsiaTheme="majorEastAsia" w:cstheme="majorBidi"/>
        </w:rPr>
        <w:t>8</w:t>
      </w:r>
      <w:r w:rsidR="005447C4" w:rsidRPr="00A61029">
        <w:rPr>
          <w:rFonts w:eastAsiaTheme="majorEastAsia" w:cstheme="majorBidi"/>
        </w:rPr>
        <w:t xml:space="preserve"> </w:t>
      </w:r>
      <w:r w:rsidRPr="00A61029">
        <w:rPr>
          <w:rFonts w:eastAsiaTheme="majorEastAsia" w:cstheme="majorBidi"/>
        </w:rPr>
        <w:t>weeks)</w:t>
      </w:r>
    </w:p>
    <w:p w14:paraId="32EB0BB4" w14:textId="364D6A9E" w:rsidR="008C59E7" w:rsidRPr="00A61029" w:rsidRDefault="008C59E7" w:rsidP="008C59E7">
      <w:pPr>
        <w:pStyle w:val="ListParagraph"/>
        <w:numPr>
          <w:ilvl w:val="0"/>
          <w:numId w:val="16"/>
        </w:numPr>
        <w:tabs>
          <w:tab w:val="right" w:leader="dot" w:pos="9360"/>
        </w:tabs>
      </w:pPr>
      <w:r w:rsidRPr="00A61029">
        <w:rPr>
          <w:rFonts w:eastAsiaTheme="majorEastAsia" w:cstheme="majorBidi"/>
        </w:rPr>
        <w:t>Code, quality control, and analyze data</w:t>
      </w:r>
      <w:r w:rsidRPr="00A61029">
        <w:rPr>
          <w:rFonts w:cs="Arial"/>
        </w:rPr>
        <w:tab/>
      </w:r>
      <w:r w:rsidRPr="00A61029">
        <w:rPr>
          <w:rFonts w:eastAsiaTheme="majorEastAsia" w:cstheme="majorBidi"/>
        </w:rPr>
        <w:t>(</w:t>
      </w:r>
      <w:r w:rsidR="00F6790A">
        <w:rPr>
          <w:rFonts w:eastAsiaTheme="majorEastAsia" w:cstheme="majorBidi"/>
        </w:rPr>
        <w:t>8</w:t>
      </w:r>
      <w:r w:rsidRPr="00A61029">
        <w:rPr>
          <w:rFonts w:eastAsiaTheme="majorEastAsia" w:cstheme="majorBidi"/>
        </w:rPr>
        <w:t xml:space="preserve"> weeks)</w:t>
      </w:r>
    </w:p>
    <w:p w14:paraId="7E2CD36D" w14:textId="77777777" w:rsidR="008C59E7" w:rsidRPr="00A61029" w:rsidRDefault="008C59E7" w:rsidP="008C59E7">
      <w:pPr>
        <w:pStyle w:val="ListParagraph"/>
        <w:numPr>
          <w:ilvl w:val="0"/>
          <w:numId w:val="16"/>
        </w:numPr>
        <w:tabs>
          <w:tab w:val="right" w:leader="dot" w:pos="9360"/>
        </w:tabs>
      </w:pPr>
      <w:r w:rsidRPr="00A61029">
        <w:rPr>
          <w:rFonts w:eastAsiaTheme="majorEastAsia" w:cstheme="majorBidi"/>
        </w:rPr>
        <w:t xml:space="preserve">Prepare reports </w:t>
      </w:r>
      <w:r w:rsidRPr="00A61029">
        <w:tab/>
      </w:r>
      <w:r w:rsidRPr="00A61029">
        <w:rPr>
          <w:rFonts w:eastAsiaTheme="majorEastAsia" w:cstheme="majorBidi"/>
        </w:rPr>
        <w:t>(4 weeks)</w:t>
      </w:r>
    </w:p>
    <w:p w14:paraId="18B7F10A" w14:textId="77777777" w:rsidR="008C59E7" w:rsidRPr="00A61029" w:rsidRDefault="008C59E7" w:rsidP="008C59E7">
      <w:pPr>
        <w:pStyle w:val="ListParagraph"/>
        <w:numPr>
          <w:ilvl w:val="0"/>
          <w:numId w:val="16"/>
        </w:numPr>
        <w:tabs>
          <w:tab w:val="right" w:leader="dot" w:pos="9360"/>
        </w:tabs>
      </w:pPr>
      <w:r w:rsidRPr="00A61029">
        <w:rPr>
          <w:rFonts w:eastAsiaTheme="majorEastAsia" w:cstheme="majorBidi"/>
        </w:rPr>
        <w:t xml:space="preserve">Disseminate results/reports </w:t>
      </w:r>
      <w:r w:rsidRPr="00A61029">
        <w:tab/>
      </w:r>
      <w:r w:rsidRPr="00A61029">
        <w:rPr>
          <w:rFonts w:eastAsiaTheme="majorEastAsia" w:cstheme="majorBidi"/>
        </w:rPr>
        <w:t>(4 weeks)</w:t>
      </w:r>
    </w:p>
    <w:p w14:paraId="63A6CA99" w14:textId="77777777" w:rsidR="000A71DF" w:rsidRDefault="000A71DF" w:rsidP="005D6F14"/>
    <w:p w14:paraId="10B731BE"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0354B88A" w14:textId="0E4E9CEF" w:rsidR="00F52BCC" w:rsidRDefault="00180D45" w:rsidP="006F125A">
      <w:pPr>
        <w:ind w:left="0"/>
      </w:pPr>
      <w:r>
        <w:t>We are requesting no exemption.</w:t>
      </w:r>
    </w:p>
    <w:p w14:paraId="602B9566" w14:textId="77777777" w:rsidR="00CD796A" w:rsidRDefault="00CD796A" w:rsidP="006F125A">
      <w:pPr>
        <w:ind w:left="0"/>
      </w:pPr>
    </w:p>
    <w:p w14:paraId="64383137"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5AC4F5D4" w14:textId="77777777" w:rsidR="00F52BCC" w:rsidRDefault="0031279F" w:rsidP="00692DEB">
      <w:pPr>
        <w:ind w:left="0"/>
      </w:pPr>
      <w:r>
        <w:t>There are no exceptions to the certification.</w:t>
      </w:r>
      <w:r w:rsidR="00180D45">
        <w:t xml:space="preserve">  These activities comply with the requirements in 5 CFR 1320.9.</w:t>
      </w:r>
    </w:p>
    <w:p w14:paraId="15EB9D3D" w14:textId="77777777" w:rsidR="00D1343B" w:rsidRDefault="00D1343B" w:rsidP="008C59E7">
      <w:pPr>
        <w:ind w:left="0"/>
      </w:pPr>
    </w:p>
    <w:p w14:paraId="0AFBDE2B" w14:textId="77777777" w:rsidR="00A36419" w:rsidRDefault="00A36419" w:rsidP="008C59E7">
      <w:pPr>
        <w:pStyle w:val="Heading3"/>
        <w:ind w:left="0"/>
      </w:pPr>
      <w:bookmarkStart w:id="24" w:name="_Toc427752832"/>
      <w:r>
        <w:t>LIST OF ATTACHMENTS</w:t>
      </w:r>
      <w:r w:rsidR="00A33E90">
        <w:t xml:space="preserve"> – Section A</w:t>
      </w:r>
      <w:bookmarkEnd w:id="24"/>
    </w:p>
    <w:p w14:paraId="7B86C327" w14:textId="77777777" w:rsidR="000058E0" w:rsidRDefault="000058E0" w:rsidP="008C59E7">
      <w:pPr>
        <w:ind w:left="0"/>
      </w:pPr>
      <w:r w:rsidRPr="00711BFA">
        <w:t>Note: Attachments are included as separate files as instructed.</w:t>
      </w:r>
    </w:p>
    <w:p w14:paraId="57009FDD" w14:textId="2163A59B" w:rsidR="008876DB" w:rsidRPr="00A61029" w:rsidRDefault="00975638" w:rsidP="008876DB">
      <w:pPr>
        <w:pStyle w:val="ListParagraph"/>
        <w:numPr>
          <w:ilvl w:val="0"/>
          <w:numId w:val="26"/>
        </w:numPr>
        <w:tabs>
          <w:tab w:val="clear" w:pos="9360"/>
        </w:tabs>
        <w:spacing w:line="240" w:lineRule="auto"/>
        <w:ind w:left="720"/>
        <w:rPr>
          <w:b/>
        </w:rPr>
      </w:pPr>
      <w:r w:rsidRPr="00947241">
        <w:rPr>
          <w:b/>
        </w:rPr>
        <w:t xml:space="preserve">Attachment A- </w:t>
      </w:r>
      <w:r w:rsidR="00A61029">
        <w:rPr>
          <w:b/>
        </w:rPr>
        <w:t xml:space="preserve">Telephone </w:t>
      </w:r>
      <w:r w:rsidR="00806F8C" w:rsidRPr="00A61029">
        <w:rPr>
          <w:b/>
        </w:rPr>
        <w:t>Interview Guide</w:t>
      </w:r>
    </w:p>
    <w:p w14:paraId="0E390CF6" w14:textId="77777777" w:rsidR="00CC7188" w:rsidRDefault="00CC7188" w:rsidP="00A61029">
      <w:pPr>
        <w:ind w:left="0"/>
      </w:pPr>
    </w:p>
    <w:p w14:paraId="3DB2ED85" w14:textId="77777777" w:rsidR="00CC7188" w:rsidRDefault="00CC7188" w:rsidP="003860A5">
      <w:pPr>
        <w:pStyle w:val="Heading3"/>
        <w:ind w:left="0"/>
      </w:pPr>
      <w:bookmarkStart w:id="25" w:name="_Toc427752833"/>
      <w:r w:rsidRPr="00CC7188">
        <w:t xml:space="preserve">REFERENCE LIST </w:t>
      </w:r>
      <w:bookmarkEnd w:id="25"/>
    </w:p>
    <w:p w14:paraId="144ECAFB" w14:textId="6FB71049" w:rsidR="000058E0" w:rsidRDefault="000058E0" w:rsidP="008C59E7">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5" w:history="1">
        <w:r w:rsidR="00630D27" w:rsidRPr="007D4C21">
          <w:rPr>
            <w:rStyle w:val="Hyperlink"/>
          </w:rPr>
          <w:t>http://www.cdc.gov/nphpsp/essentialservices.html. Accessed on 8/14/14</w:t>
        </w:r>
      </w:hyperlink>
      <w:r w:rsidRPr="008C59E7">
        <w:t>.</w:t>
      </w:r>
    </w:p>
    <w:p w14:paraId="560CAB25" w14:textId="19E53D60" w:rsidR="00630D27" w:rsidRPr="00630D27" w:rsidRDefault="00630D27" w:rsidP="008C59E7">
      <w:pPr>
        <w:pStyle w:val="ListParagraph"/>
        <w:numPr>
          <w:ilvl w:val="2"/>
          <w:numId w:val="2"/>
        </w:numPr>
        <w:tabs>
          <w:tab w:val="clear" w:pos="9360"/>
        </w:tabs>
        <w:spacing w:line="240" w:lineRule="auto"/>
        <w:ind w:hanging="360"/>
        <w:rPr>
          <w:rStyle w:val="Hyperlink"/>
          <w:color w:val="auto"/>
          <w:u w:val="none"/>
        </w:rPr>
      </w:pPr>
      <w:r w:rsidRPr="00EA432D">
        <w:t>The Community Guide to Preventive Services Task Force. Cardiovascular Disease Prevention and Control: Interventions Engaging Community Health Workers;</w:t>
      </w:r>
      <w:r>
        <w:t xml:space="preserve"> </w:t>
      </w:r>
      <w:r w:rsidRPr="00EA432D">
        <w:t xml:space="preserve">2015. https://www.thecommunityguide.org/cvd/CHW.html. &amp;The Community Guide to Preventive Services Task Force. Diabetes: Interventions Engaging Community Health Workers. </w:t>
      </w:r>
      <w:hyperlink r:id="rId16" w:history="1">
        <w:r w:rsidRPr="00C67384">
          <w:rPr>
            <w:rStyle w:val="Hyperlink"/>
          </w:rPr>
          <w:t>https://www.thecommunityguide.org/findings/diabetes-interventions-engaging-community-health-workers</w:t>
        </w:r>
      </w:hyperlink>
    </w:p>
    <w:p w14:paraId="7EDA5B15" w14:textId="22573B02" w:rsidR="00630D27" w:rsidRDefault="00630D27" w:rsidP="008C59E7">
      <w:pPr>
        <w:pStyle w:val="ListParagraph"/>
        <w:numPr>
          <w:ilvl w:val="2"/>
          <w:numId w:val="2"/>
        </w:numPr>
        <w:tabs>
          <w:tab w:val="clear" w:pos="9360"/>
        </w:tabs>
        <w:spacing w:line="240" w:lineRule="auto"/>
        <w:ind w:hanging="360"/>
      </w:pPr>
      <w:r w:rsidRPr="00EA432D">
        <w:t>Witmer A. Community health workers: integral members of the health care work force. Am J Public Health. 1995;85:1055.</w:t>
      </w:r>
    </w:p>
    <w:p w14:paraId="077F7F64" w14:textId="2D49F032" w:rsidR="00630D27" w:rsidRDefault="00630D27" w:rsidP="008C59E7">
      <w:pPr>
        <w:pStyle w:val="ListParagraph"/>
        <w:numPr>
          <w:ilvl w:val="2"/>
          <w:numId w:val="2"/>
        </w:numPr>
        <w:tabs>
          <w:tab w:val="clear" w:pos="9360"/>
        </w:tabs>
        <w:spacing w:line="240" w:lineRule="auto"/>
        <w:ind w:hanging="360"/>
      </w:pPr>
      <w:r w:rsidRPr="00EA432D">
        <w:t>Institute of Medicine. Unequal Treatment: Confronting Racial and Ethnic Disparities in Health Care. Washington, DC: National Academies Press; 2002.</w:t>
      </w:r>
    </w:p>
    <w:p w14:paraId="08908862" w14:textId="5102C837" w:rsidR="00630D27" w:rsidRPr="008C59E7" w:rsidRDefault="00630D27" w:rsidP="008C59E7">
      <w:pPr>
        <w:pStyle w:val="ListParagraph"/>
        <w:numPr>
          <w:ilvl w:val="2"/>
          <w:numId w:val="2"/>
        </w:numPr>
        <w:tabs>
          <w:tab w:val="clear" w:pos="9360"/>
        </w:tabs>
        <w:spacing w:line="240" w:lineRule="auto"/>
        <w:ind w:hanging="360"/>
      </w:pPr>
      <w:r w:rsidRPr="00A05E90">
        <w:t>Centers for Disease Control and Prevention. A Summary of State Community Health Worker Laws;2017 [in development].</w:t>
      </w:r>
    </w:p>
    <w:sectPr w:rsidR="00630D27" w:rsidRPr="008C59E7"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3053A" w14:textId="77777777" w:rsidR="00B761A8" w:rsidRDefault="00B761A8" w:rsidP="007D6163">
      <w:r>
        <w:separator/>
      </w:r>
    </w:p>
    <w:p w14:paraId="14CC826D" w14:textId="77777777" w:rsidR="00B761A8" w:rsidRDefault="00B761A8" w:rsidP="007D6163"/>
  </w:endnote>
  <w:endnote w:type="continuationSeparator" w:id="0">
    <w:p w14:paraId="135E377D" w14:textId="77777777" w:rsidR="00B761A8" w:rsidRDefault="00B761A8" w:rsidP="007D6163">
      <w:r>
        <w:continuationSeparator/>
      </w:r>
    </w:p>
    <w:p w14:paraId="20838144" w14:textId="77777777" w:rsidR="00B761A8" w:rsidRDefault="00B761A8" w:rsidP="007D6163"/>
  </w:endnote>
  <w:endnote w:type="continuationNotice" w:id="1">
    <w:p w14:paraId="375D54FE" w14:textId="77777777" w:rsidR="00B761A8" w:rsidRDefault="00B761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777777" w:rsidR="0007225B" w:rsidRDefault="000722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634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341">
              <w:rPr>
                <w:b/>
                <w:bCs/>
                <w:noProof/>
              </w:rPr>
              <w:t>11</w:t>
            </w:r>
            <w:r>
              <w:rPr>
                <w:b/>
                <w:bCs/>
                <w:sz w:val="24"/>
                <w:szCs w:val="24"/>
              </w:rPr>
              <w:fldChar w:fldCharType="end"/>
            </w:r>
          </w:p>
        </w:sdtContent>
      </w:sdt>
    </w:sdtContent>
  </w:sdt>
  <w:p w14:paraId="3B208153" w14:textId="77777777" w:rsidR="0007225B" w:rsidRDefault="0007225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FCA63" w14:textId="77777777" w:rsidR="00B761A8" w:rsidRDefault="00B761A8" w:rsidP="007D6163">
      <w:r>
        <w:separator/>
      </w:r>
    </w:p>
    <w:p w14:paraId="78340B5B" w14:textId="77777777" w:rsidR="00B761A8" w:rsidRDefault="00B761A8" w:rsidP="007D6163"/>
  </w:footnote>
  <w:footnote w:type="continuationSeparator" w:id="0">
    <w:p w14:paraId="6AE60B04" w14:textId="77777777" w:rsidR="00B761A8" w:rsidRDefault="00B761A8" w:rsidP="007D6163">
      <w:r>
        <w:continuationSeparator/>
      </w:r>
    </w:p>
    <w:p w14:paraId="16419343" w14:textId="77777777" w:rsidR="00B761A8" w:rsidRDefault="00B761A8" w:rsidP="007D6163"/>
  </w:footnote>
  <w:footnote w:type="continuationNotice" w:id="1">
    <w:p w14:paraId="66968885" w14:textId="77777777" w:rsidR="00B761A8" w:rsidRDefault="00B761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B77" w14:textId="77777777" w:rsidR="0007225B" w:rsidRPr="00716F94" w:rsidRDefault="0007225B" w:rsidP="007D6163">
    <w:pPr>
      <w:pStyle w:val="Header"/>
      <w:rPr>
        <w:color w:val="0033CC"/>
      </w:rPr>
    </w:pPr>
    <w:r>
      <w:tab/>
    </w:r>
  </w:p>
  <w:p w14:paraId="195027EE" w14:textId="77777777" w:rsidR="0007225B" w:rsidRDefault="0007225B"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C23BB"/>
    <w:multiLevelType w:val="hybridMultilevel"/>
    <w:tmpl w:val="0B6E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EF7112"/>
    <w:multiLevelType w:val="hybridMultilevel"/>
    <w:tmpl w:val="2604B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A57AF"/>
    <w:multiLevelType w:val="hybridMultilevel"/>
    <w:tmpl w:val="37E4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4"/>
  </w:num>
  <w:num w:numId="4">
    <w:abstractNumId w:val="14"/>
  </w:num>
  <w:num w:numId="5">
    <w:abstractNumId w:val="22"/>
  </w:num>
  <w:num w:numId="6">
    <w:abstractNumId w:val="10"/>
  </w:num>
  <w:num w:numId="7">
    <w:abstractNumId w:val="0"/>
  </w:num>
  <w:num w:numId="8">
    <w:abstractNumId w:val="5"/>
  </w:num>
  <w:num w:numId="9">
    <w:abstractNumId w:val="11"/>
  </w:num>
  <w:num w:numId="10">
    <w:abstractNumId w:val="26"/>
  </w:num>
  <w:num w:numId="11">
    <w:abstractNumId w:val="2"/>
  </w:num>
  <w:num w:numId="12">
    <w:abstractNumId w:val="33"/>
  </w:num>
  <w:num w:numId="13">
    <w:abstractNumId w:val="8"/>
  </w:num>
  <w:num w:numId="14">
    <w:abstractNumId w:val="3"/>
  </w:num>
  <w:num w:numId="15">
    <w:abstractNumId w:val="28"/>
  </w:num>
  <w:num w:numId="16">
    <w:abstractNumId w:val="30"/>
  </w:num>
  <w:num w:numId="17">
    <w:abstractNumId w:val="31"/>
  </w:num>
  <w:num w:numId="18">
    <w:abstractNumId w:val="16"/>
  </w:num>
  <w:num w:numId="19">
    <w:abstractNumId w:val="36"/>
  </w:num>
  <w:num w:numId="20">
    <w:abstractNumId w:val="24"/>
  </w:num>
  <w:num w:numId="21">
    <w:abstractNumId w:val="27"/>
  </w:num>
  <w:num w:numId="22">
    <w:abstractNumId w:val="23"/>
  </w:num>
  <w:num w:numId="23">
    <w:abstractNumId w:val="7"/>
  </w:num>
  <w:num w:numId="24">
    <w:abstractNumId w:val="29"/>
  </w:num>
  <w:num w:numId="25">
    <w:abstractNumId w:val="4"/>
  </w:num>
  <w:num w:numId="26">
    <w:abstractNumId w:val="19"/>
  </w:num>
  <w:num w:numId="27">
    <w:abstractNumId w:val="6"/>
  </w:num>
  <w:num w:numId="28">
    <w:abstractNumId w:val="13"/>
  </w:num>
  <w:num w:numId="29">
    <w:abstractNumId w:val="25"/>
  </w:num>
  <w:num w:numId="30">
    <w:abstractNumId w:val="35"/>
  </w:num>
  <w:num w:numId="31">
    <w:abstractNumId w:val="18"/>
  </w:num>
  <w:num w:numId="32">
    <w:abstractNumId w:val="21"/>
  </w:num>
  <w:num w:numId="33">
    <w:abstractNumId w:val="12"/>
  </w:num>
  <w:num w:numId="34">
    <w:abstractNumId w:val="15"/>
  </w:num>
  <w:num w:numId="35">
    <w:abstractNumId w:val="20"/>
  </w:num>
  <w:num w:numId="36">
    <w:abstractNumId w:val="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1F81"/>
    <w:rsid w:val="00001FEB"/>
    <w:rsid w:val="000058E0"/>
    <w:rsid w:val="00011A98"/>
    <w:rsid w:val="00011F8D"/>
    <w:rsid w:val="000130B4"/>
    <w:rsid w:val="00014361"/>
    <w:rsid w:val="00014579"/>
    <w:rsid w:val="00014944"/>
    <w:rsid w:val="00040611"/>
    <w:rsid w:val="0004305C"/>
    <w:rsid w:val="000444D7"/>
    <w:rsid w:val="000474FB"/>
    <w:rsid w:val="00053A92"/>
    <w:rsid w:val="00054839"/>
    <w:rsid w:val="00055DAE"/>
    <w:rsid w:val="00057F36"/>
    <w:rsid w:val="00064E1A"/>
    <w:rsid w:val="00066D65"/>
    <w:rsid w:val="000674C4"/>
    <w:rsid w:val="0007225B"/>
    <w:rsid w:val="00082456"/>
    <w:rsid w:val="000A1F30"/>
    <w:rsid w:val="000A2D0C"/>
    <w:rsid w:val="000A71DF"/>
    <w:rsid w:val="000B0962"/>
    <w:rsid w:val="000B2CBC"/>
    <w:rsid w:val="000C115F"/>
    <w:rsid w:val="000D0008"/>
    <w:rsid w:val="000E6577"/>
    <w:rsid w:val="000E7A19"/>
    <w:rsid w:val="000F767D"/>
    <w:rsid w:val="0010369F"/>
    <w:rsid w:val="00104A1B"/>
    <w:rsid w:val="001177DD"/>
    <w:rsid w:val="00126802"/>
    <w:rsid w:val="00135334"/>
    <w:rsid w:val="001412D4"/>
    <w:rsid w:val="00144F64"/>
    <w:rsid w:val="00145D62"/>
    <w:rsid w:val="00150F40"/>
    <w:rsid w:val="00151567"/>
    <w:rsid w:val="00152DF7"/>
    <w:rsid w:val="00156835"/>
    <w:rsid w:val="00157413"/>
    <w:rsid w:val="00163E17"/>
    <w:rsid w:val="00166F9E"/>
    <w:rsid w:val="00167880"/>
    <w:rsid w:val="00174F9F"/>
    <w:rsid w:val="00175335"/>
    <w:rsid w:val="00180D45"/>
    <w:rsid w:val="001863FC"/>
    <w:rsid w:val="00187870"/>
    <w:rsid w:val="00187D5A"/>
    <w:rsid w:val="0019164D"/>
    <w:rsid w:val="001972D7"/>
    <w:rsid w:val="001A28F6"/>
    <w:rsid w:val="001B2831"/>
    <w:rsid w:val="001B4065"/>
    <w:rsid w:val="001B5325"/>
    <w:rsid w:val="001B5910"/>
    <w:rsid w:val="001B70B4"/>
    <w:rsid w:val="001C0493"/>
    <w:rsid w:val="001C28AD"/>
    <w:rsid w:val="001D7FCB"/>
    <w:rsid w:val="001E2B99"/>
    <w:rsid w:val="001E54CA"/>
    <w:rsid w:val="001E599C"/>
    <w:rsid w:val="001E5A49"/>
    <w:rsid w:val="001E69B6"/>
    <w:rsid w:val="001E7537"/>
    <w:rsid w:val="001F4DBB"/>
    <w:rsid w:val="00202D07"/>
    <w:rsid w:val="0020312D"/>
    <w:rsid w:val="00206E33"/>
    <w:rsid w:val="00210519"/>
    <w:rsid w:val="00227259"/>
    <w:rsid w:val="002360B1"/>
    <w:rsid w:val="002369E0"/>
    <w:rsid w:val="00241B17"/>
    <w:rsid w:val="00241C81"/>
    <w:rsid w:val="00244557"/>
    <w:rsid w:val="00257A1C"/>
    <w:rsid w:val="0027234C"/>
    <w:rsid w:val="002808A6"/>
    <w:rsid w:val="00281795"/>
    <w:rsid w:val="002850E3"/>
    <w:rsid w:val="00285AA1"/>
    <w:rsid w:val="00287B05"/>
    <w:rsid w:val="00287E2F"/>
    <w:rsid w:val="0029494D"/>
    <w:rsid w:val="002A1948"/>
    <w:rsid w:val="002B1A46"/>
    <w:rsid w:val="002B4AE8"/>
    <w:rsid w:val="002B5D66"/>
    <w:rsid w:val="002C0877"/>
    <w:rsid w:val="002C2AE2"/>
    <w:rsid w:val="002D0DCE"/>
    <w:rsid w:val="002D40DF"/>
    <w:rsid w:val="002E2B10"/>
    <w:rsid w:val="002E2B75"/>
    <w:rsid w:val="002E610A"/>
    <w:rsid w:val="002E73B0"/>
    <w:rsid w:val="002F1502"/>
    <w:rsid w:val="002F19B2"/>
    <w:rsid w:val="002F2069"/>
    <w:rsid w:val="002F71A2"/>
    <w:rsid w:val="003041AD"/>
    <w:rsid w:val="00304A88"/>
    <w:rsid w:val="0031279F"/>
    <w:rsid w:val="00316F00"/>
    <w:rsid w:val="00321B51"/>
    <w:rsid w:val="0032507A"/>
    <w:rsid w:val="00333285"/>
    <w:rsid w:val="00336D96"/>
    <w:rsid w:val="00344F07"/>
    <w:rsid w:val="003469C8"/>
    <w:rsid w:val="00347FC7"/>
    <w:rsid w:val="00350C8C"/>
    <w:rsid w:val="00353595"/>
    <w:rsid w:val="00354C86"/>
    <w:rsid w:val="00355EA4"/>
    <w:rsid w:val="003618DC"/>
    <w:rsid w:val="003635BE"/>
    <w:rsid w:val="00364C13"/>
    <w:rsid w:val="00365045"/>
    <w:rsid w:val="00366B5E"/>
    <w:rsid w:val="00372B48"/>
    <w:rsid w:val="00385BB5"/>
    <w:rsid w:val="003860A5"/>
    <w:rsid w:val="00386BC2"/>
    <w:rsid w:val="003906C7"/>
    <w:rsid w:val="00394483"/>
    <w:rsid w:val="003B10C3"/>
    <w:rsid w:val="003B125E"/>
    <w:rsid w:val="003B1BE3"/>
    <w:rsid w:val="003B2200"/>
    <w:rsid w:val="003B2AE6"/>
    <w:rsid w:val="003B7119"/>
    <w:rsid w:val="003C31C9"/>
    <w:rsid w:val="003C4961"/>
    <w:rsid w:val="003C7C5D"/>
    <w:rsid w:val="003D0AD2"/>
    <w:rsid w:val="003D3E5B"/>
    <w:rsid w:val="003E1CD1"/>
    <w:rsid w:val="003E5A3E"/>
    <w:rsid w:val="003F574A"/>
    <w:rsid w:val="003F5913"/>
    <w:rsid w:val="004002AC"/>
    <w:rsid w:val="004024F8"/>
    <w:rsid w:val="00405696"/>
    <w:rsid w:val="0041159A"/>
    <w:rsid w:val="004135D5"/>
    <w:rsid w:val="004226DA"/>
    <w:rsid w:val="004305A8"/>
    <w:rsid w:val="0043229B"/>
    <w:rsid w:val="004353D5"/>
    <w:rsid w:val="00441CC3"/>
    <w:rsid w:val="00443CA0"/>
    <w:rsid w:val="00450E14"/>
    <w:rsid w:val="00462C39"/>
    <w:rsid w:val="00462C65"/>
    <w:rsid w:val="004674E7"/>
    <w:rsid w:val="00467B14"/>
    <w:rsid w:val="00467D07"/>
    <w:rsid w:val="00470562"/>
    <w:rsid w:val="00474EDA"/>
    <w:rsid w:val="00481D80"/>
    <w:rsid w:val="004824FA"/>
    <w:rsid w:val="00484011"/>
    <w:rsid w:val="004841F1"/>
    <w:rsid w:val="00487937"/>
    <w:rsid w:val="004A176F"/>
    <w:rsid w:val="004A1E3A"/>
    <w:rsid w:val="004B25A9"/>
    <w:rsid w:val="004B46D6"/>
    <w:rsid w:val="004C0BF6"/>
    <w:rsid w:val="004C4464"/>
    <w:rsid w:val="004C4AEA"/>
    <w:rsid w:val="004D0177"/>
    <w:rsid w:val="004D0430"/>
    <w:rsid w:val="004D1DAA"/>
    <w:rsid w:val="004D4EB1"/>
    <w:rsid w:val="004D6EB6"/>
    <w:rsid w:val="004E003C"/>
    <w:rsid w:val="004E16EB"/>
    <w:rsid w:val="004E46B6"/>
    <w:rsid w:val="004E6665"/>
    <w:rsid w:val="004F634E"/>
    <w:rsid w:val="004F67A8"/>
    <w:rsid w:val="005070F6"/>
    <w:rsid w:val="005115FA"/>
    <w:rsid w:val="0051582C"/>
    <w:rsid w:val="00522A50"/>
    <w:rsid w:val="00525E61"/>
    <w:rsid w:val="00527225"/>
    <w:rsid w:val="00532BCC"/>
    <w:rsid w:val="0053557D"/>
    <w:rsid w:val="005410E3"/>
    <w:rsid w:val="005447C4"/>
    <w:rsid w:val="005463DE"/>
    <w:rsid w:val="00546DC2"/>
    <w:rsid w:val="0055198F"/>
    <w:rsid w:val="005542E8"/>
    <w:rsid w:val="00556630"/>
    <w:rsid w:val="0055686D"/>
    <w:rsid w:val="00576DBC"/>
    <w:rsid w:val="005800EE"/>
    <w:rsid w:val="005869D6"/>
    <w:rsid w:val="00586BC5"/>
    <w:rsid w:val="00587C72"/>
    <w:rsid w:val="00591C25"/>
    <w:rsid w:val="00593208"/>
    <w:rsid w:val="0059331E"/>
    <w:rsid w:val="00594619"/>
    <w:rsid w:val="005A33F6"/>
    <w:rsid w:val="005A59E5"/>
    <w:rsid w:val="005B7440"/>
    <w:rsid w:val="005C3750"/>
    <w:rsid w:val="005D6F14"/>
    <w:rsid w:val="005E2150"/>
    <w:rsid w:val="005E2995"/>
    <w:rsid w:val="005F07C1"/>
    <w:rsid w:val="005F3FEF"/>
    <w:rsid w:val="00600C4F"/>
    <w:rsid w:val="0060287B"/>
    <w:rsid w:val="0060607C"/>
    <w:rsid w:val="00607F7C"/>
    <w:rsid w:val="006102DA"/>
    <w:rsid w:val="00616090"/>
    <w:rsid w:val="00630D27"/>
    <w:rsid w:val="006315A3"/>
    <w:rsid w:val="0065251A"/>
    <w:rsid w:val="006579A2"/>
    <w:rsid w:val="00667C89"/>
    <w:rsid w:val="006711EE"/>
    <w:rsid w:val="006809BB"/>
    <w:rsid w:val="006809FD"/>
    <w:rsid w:val="00691D1F"/>
    <w:rsid w:val="00692DEB"/>
    <w:rsid w:val="0069798B"/>
    <w:rsid w:val="00697BAE"/>
    <w:rsid w:val="006A21EF"/>
    <w:rsid w:val="006A472D"/>
    <w:rsid w:val="006B0637"/>
    <w:rsid w:val="006B4DDC"/>
    <w:rsid w:val="006B51BD"/>
    <w:rsid w:val="006B5729"/>
    <w:rsid w:val="006B593D"/>
    <w:rsid w:val="006B5E55"/>
    <w:rsid w:val="006B7928"/>
    <w:rsid w:val="006C2007"/>
    <w:rsid w:val="006C4DA7"/>
    <w:rsid w:val="006D1F43"/>
    <w:rsid w:val="006D25A1"/>
    <w:rsid w:val="006E14E9"/>
    <w:rsid w:val="006F09A2"/>
    <w:rsid w:val="006F125A"/>
    <w:rsid w:val="006F36C6"/>
    <w:rsid w:val="006F6856"/>
    <w:rsid w:val="00713412"/>
    <w:rsid w:val="007145D0"/>
    <w:rsid w:val="00716F94"/>
    <w:rsid w:val="00721180"/>
    <w:rsid w:val="0075188E"/>
    <w:rsid w:val="0076001C"/>
    <w:rsid w:val="00760E12"/>
    <w:rsid w:val="00763CF3"/>
    <w:rsid w:val="007711DD"/>
    <w:rsid w:val="00772293"/>
    <w:rsid w:val="00774689"/>
    <w:rsid w:val="00776981"/>
    <w:rsid w:val="00781AE3"/>
    <w:rsid w:val="00783C75"/>
    <w:rsid w:val="00784619"/>
    <w:rsid w:val="00784735"/>
    <w:rsid w:val="0078627B"/>
    <w:rsid w:val="0078765B"/>
    <w:rsid w:val="007921F1"/>
    <w:rsid w:val="00794E32"/>
    <w:rsid w:val="007950FA"/>
    <w:rsid w:val="007A0D73"/>
    <w:rsid w:val="007A4824"/>
    <w:rsid w:val="007B305A"/>
    <w:rsid w:val="007B71F9"/>
    <w:rsid w:val="007C184D"/>
    <w:rsid w:val="007C55D7"/>
    <w:rsid w:val="007C6341"/>
    <w:rsid w:val="007C6F2F"/>
    <w:rsid w:val="007D2CD7"/>
    <w:rsid w:val="007D6163"/>
    <w:rsid w:val="007E15C2"/>
    <w:rsid w:val="007E575D"/>
    <w:rsid w:val="007E57CD"/>
    <w:rsid w:val="007E6AEF"/>
    <w:rsid w:val="007E7DBD"/>
    <w:rsid w:val="007F5776"/>
    <w:rsid w:val="007F66E8"/>
    <w:rsid w:val="007F7914"/>
    <w:rsid w:val="0080491B"/>
    <w:rsid w:val="00806F8C"/>
    <w:rsid w:val="00814823"/>
    <w:rsid w:val="00815C7D"/>
    <w:rsid w:val="00817941"/>
    <w:rsid w:val="00821F9B"/>
    <w:rsid w:val="008229E4"/>
    <w:rsid w:val="00823547"/>
    <w:rsid w:val="008261AB"/>
    <w:rsid w:val="008269AB"/>
    <w:rsid w:val="00827969"/>
    <w:rsid w:val="00834C91"/>
    <w:rsid w:val="00835CA7"/>
    <w:rsid w:val="008370D4"/>
    <w:rsid w:val="008414AD"/>
    <w:rsid w:val="008428D9"/>
    <w:rsid w:val="008473C2"/>
    <w:rsid w:val="00862972"/>
    <w:rsid w:val="008705AC"/>
    <w:rsid w:val="008715E7"/>
    <w:rsid w:val="00873A27"/>
    <w:rsid w:val="00874243"/>
    <w:rsid w:val="00883EAA"/>
    <w:rsid w:val="0088467A"/>
    <w:rsid w:val="00884DB9"/>
    <w:rsid w:val="008876DB"/>
    <w:rsid w:val="008A5EC5"/>
    <w:rsid w:val="008B029F"/>
    <w:rsid w:val="008C21A0"/>
    <w:rsid w:val="008C408E"/>
    <w:rsid w:val="008C59E7"/>
    <w:rsid w:val="008C67D2"/>
    <w:rsid w:val="008E0683"/>
    <w:rsid w:val="008E3D8D"/>
    <w:rsid w:val="00902DD9"/>
    <w:rsid w:val="00905F8E"/>
    <w:rsid w:val="00911486"/>
    <w:rsid w:val="009129CA"/>
    <w:rsid w:val="009206B6"/>
    <w:rsid w:val="009252DC"/>
    <w:rsid w:val="009252F5"/>
    <w:rsid w:val="009263C1"/>
    <w:rsid w:val="00941B4F"/>
    <w:rsid w:val="009438C9"/>
    <w:rsid w:val="00947241"/>
    <w:rsid w:val="009518C0"/>
    <w:rsid w:val="00963CE3"/>
    <w:rsid w:val="00964F18"/>
    <w:rsid w:val="0096722D"/>
    <w:rsid w:val="0097291A"/>
    <w:rsid w:val="00974424"/>
    <w:rsid w:val="00975638"/>
    <w:rsid w:val="00983B42"/>
    <w:rsid w:val="00986DB6"/>
    <w:rsid w:val="00987F76"/>
    <w:rsid w:val="00993088"/>
    <w:rsid w:val="0099664F"/>
    <w:rsid w:val="00997D5D"/>
    <w:rsid w:val="009A0447"/>
    <w:rsid w:val="009A2CE5"/>
    <w:rsid w:val="009A3AC7"/>
    <w:rsid w:val="009A4B59"/>
    <w:rsid w:val="009B4A51"/>
    <w:rsid w:val="009C17C5"/>
    <w:rsid w:val="009C28B1"/>
    <w:rsid w:val="009C61AD"/>
    <w:rsid w:val="009C6697"/>
    <w:rsid w:val="009D373D"/>
    <w:rsid w:val="009D436B"/>
    <w:rsid w:val="009D5927"/>
    <w:rsid w:val="009D7B2C"/>
    <w:rsid w:val="009E0749"/>
    <w:rsid w:val="009E0801"/>
    <w:rsid w:val="009E1D05"/>
    <w:rsid w:val="009F7DE0"/>
    <w:rsid w:val="00A05973"/>
    <w:rsid w:val="00A05E90"/>
    <w:rsid w:val="00A06BCB"/>
    <w:rsid w:val="00A11B0C"/>
    <w:rsid w:val="00A15346"/>
    <w:rsid w:val="00A25450"/>
    <w:rsid w:val="00A33B35"/>
    <w:rsid w:val="00A33E90"/>
    <w:rsid w:val="00A34ACC"/>
    <w:rsid w:val="00A36419"/>
    <w:rsid w:val="00A44921"/>
    <w:rsid w:val="00A44AD9"/>
    <w:rsid w:val="00A47797"/>
    <w:rsid w:val="00A50D35"/>
    <w:rsid w:val="00A578C2"/>
    <w:rsid w:val="00A57AFD"/>
    <w:rsid w:val="00A61029"/>
    <w:rsid w:val="00A61970"/>
    <w:rsid w:val="00A72652"/>
    <w:rsid w:val="00A75D1C"/>
    <w:rsid w:val="00A809AA"/>
    <w:rsid w:val="00A8195C"/>
    <w:rsid w:val="00A849B3"/>
    <w:rsid w:val="00A8510D"/>
    <w:rsid w:val="00A86AF3"/>
    <w:rsid w:val="00A90AFF"/>
    <w:rsid w:val="00A90BDC"/>
    <w:rsid w:val="00A932FF"/>
    <w:rsid w:val="00A95477"/>
    <w:rsid w:val="00A975A9"/>
    <w:rsid w:val="00AA3192"/>
    <w:rsid w:val="00AA6DBE"/>
    <w:rsid w:val="00AB0486"/>
    <w:rsid w:val="00AB21AA"/>
    <w:rsid w:val="00AB251E"/>
    <w:rsid w:val="00AB3608"/>
    <w:rsid w:val="00AB38EC"/>
    <w:rsid w:val="00AB644B"/>
    <w:rsid w:val="00AC1272"/>
    <w:rsid w:val="00AC5C48"/>
    <w:rsid w:val="00AC63E3"/>
    <w:rsid w:val="00AD2760"/>
    <w:rsid w:val="00AD3F08"/>
    <w:rsid w:val="00AF0CF4"/>
    <w:rsid w:val="00AF2252"/>
    <w:rsid w:val="00AF5984"/>
    <w:rsid w:val="00B00289"/>
    <w:rsid w:val="00B0098C"/>
    <w:rsid w:val="00B00B12"/>
    <w:rsid w:val="00B1129F"/>
    <w:rsid w:val="00B11D61"/>
    <w:rsid w:val="00B12F51"/>
    <w:rsid w:val="00B232BD"/>
    <w:rsid w:val="00B2392E"/>
    <w:rsid w:val="00B25D8B"/>
    <w:rsid w:val="00B2751E"/>
    <w:rsid w:val="00B3650C"/>
    <w:rsid w:val="00B43AFE"/>
    <w:rsid w:val="00B47055"/>
    <w:rsid w:val="00B576F7"/>
    <w:rsid w:val="00B63CF3"/>
    <w:rsid w:val="00B64BFA"/>
    <w:rsid w:val="00B71E63"/>
    <w:rsid w:val="00B761A8"/>
    <w:rsid w:val="00B83212"/>
    <w:rsid w:val="00B8556F"/>
    <w:rsid w:val="00B85DE4"/>
    <w:rsid w:val="00B87AAD"/>
    <w:rsid w:val="00B9184E"/>
    <w:rsid w:val="00B91A31"/>
    <w:rsid w:val="00B96532"/>
    <w:rsid w:val="00BA50D9"/>
    <w:rsid w:val="00BA5338"/>
    <w:rsid w:val="00BA6C28"/>
    <w:rsid w:val="00BA6DB4"/>
    <w:rsid w:val="00BB090C"/>
    <w:rsid w:val="00BC3F3C"/>
    <w:rsid w:val="00BC5BB2"/>
    <w:rsid w:val="00BC7A38"/>
    <w:rsid w:val="00BD11C6"/>
    <w:rsid w:val="00BD3754"/>
    <w:rsid w:val="00BD56AF"/>
    <w:rsid w:val="00BE5E58"/>
    <w:rsid w:val="00BE738E"/>
    <w:rsid w:val="00BF11A1"/>
    <w:rsid w:val="00BF3F54"/>
    <w:rsid w:val="00C00697"/>
    <w:rsid w:val="00C0376C"/>
    <w:rsid w:val="00C06D77"/>
    <w:rsid w:val="00C14BA6"/>
    <w:rsid w:val="00C3485C"/>
    <w:rsid w:val="00C349D5"/>
    <w:rsid w:val="00C544A4"/>
    <w:rsid w:val="00C6148D"/>
    <w:rsid w:val="00C768E5"/>
    <w:rsid w:val="00C857D3"/>
    <w:rsid w:val="00C9578F"/>
    <w:rsid w:val="00CA0584"/>
    <w:rsid w:val="00CA2004"/>
    <w:rsid w:val="00CA5062"/>
    <w:rsid w:val="00CA5840"/>
    <w:rsid w:val="00CA5B99"/>
    <w:rsid w:val="00CB0933"/>
    <w:rsid w:val="00CB334D"/>
    <w:rsid w:val="00CB56D5"/>
    <w:rsid w:val="00CC4DAB"/>
    <w:rsid w:val="00CC6116"/>
    <w:rsid w:val="00CC6CED"/>
    <w:rsid w:val="00CC7188"/>
    <w:rsid w:val="00CC76CD"/>
    <w:rsid w:val="00CD0D57"/>
    <w:rsid w:val="00CD1EA8"/>
    <w:rsid w:val="00CD77A9"/>
    <w:rsid w:val="00CD796A"/>
    <w:rsid w:val="00CF5ABD"/>
    <w:rsid w:val="00CF63CE"/>
    <w:rsid w:val="00D067C1"/>
    <w:rsid w:val="00D06816"/>
    <w:rsid w:val="00D1343B"/>
    <w:rsid w:val="00D13B13"/>
    <w:rsid w:val="00D162A7"/>
    <w:rsid w:val="00D16E78"/>
    <w:rsid w:val="00D201D3"/>
    <w:rsid w:val="00D23396"/>
    <w:rsid w:val="00D267D5"/>
    <w:rsid w:val="00D26A64"/>
    <w:rsid w:val="00D308A4"/>
    <w:rsid w:val="00D31720"/>
    <w:rsid w:val="00D31B6A"/>
    <w:rsid w:val="00D36E56"/>
    <w:rsid w:val="00D40BE1"/>
    <w:rsid w:val="00D410E1"/>
    <w:rsid w:val="00D52B9A"/>
    <w:rsid w:val="00D5367E"/>
    <w:rsid w:val="00D53B1E"/>
    <w:rsid w:val="00D55B98"/>
    <w:rsid w:val="00D6105F"/>
    <w:rsid w:val="00D61AD2"/>
    <w:rsid w:val="00D61EA5"/>
    <w:rsid w:val="00D71C1C"/>
    <w:rsid w:val="00D7253A"/>
    <w:rsid w:val="00D75750"/>
    <w:rsid w:val="00D84EF0"/>
    <w:rsid w:val="00D861ED"/>
    <w:rsid w:val="00D873E0"/>
    <w:rsid w:val="00D941E3"/>
    <w:rsid w:val="00D94F8B"/>
    <w:rsid w:val="00D95FBF"/>
    <w:rsid w:val="00D9625D"/>
    <w:rsid w:val="00DA1A11"/>
    <w:rsid w:val="00DA3DE4"/>
    <w:rsid w:val="00DA5988"/>
    <w:rsid w:val="00DB7F78"/>
    <w:rsid w:val="00DC0184"/>
    <w:rsid w:val="00DC317C"/>
    <w:rsid w:val="00DC4FF2"/>
    <w:rsid w:val="00DC79CC"/>
    <w:rsid w:val="00DD05FB"/>
    <w:rsid w:val="00DD7BF0"/>
    <w:rsid w:val="00E02BD4"/>
    <w:rsid w:val="00E03220"/>
    <w:rsid w:val="00E05E64"/>
    <w:rsid w:val="00E10D39"/>
    <w:rsid w:val="00E134F4"/>
    <w:rsid w:val="00E136D1"/>
    <w:rsid w:val="00E14677"/>
    <w:rsid w:val="00E162E0"/>
    <w:rsid w:val="00E20D75"/>
    <w:rsid w:val="00E23568"/>
    <w:rsid w:val="00E245B5"/>
    <w:rsid w:val="00E33E1B"/>
    <w:rsid w:val="00E34D3E"/>
    <w:rsid w:val="00E5351D"/>
    <w:rsid w:val="00E62BD2"/>
    <w:rsid w:val="00E647FB"/>
    <w:rsid w:val="00E720E9"/>
    <w:rsid w:val="00E81C5E"/>
    <w:rsid w:val="00E83B3C"/>
    <w:rsid w:val="00E8736B"/>
    <w:rsid w:val="00E90275"/>
    <w:rsid w:val="00E925D4"/>
    <w:rsid w:val="00E9465D"/>
    <w:rsid w:val="00E954E0"/>
    <w:rsid w:val="00E97226"/>
    <w:rsid w:val="00EA2B44"/>
    <w:rsid w:val="00EA33EF"/>
    <w:rsid w:val="00EA3C35"/>
    <w:rsid w:val="00EA432D"/>
    <w:rsid w:val="00EA5600"/>
    <w:rsid w:val="00EC3E39"/>
    <w:rsid w:val="00EC4FFD"/>
    <w:rsid w:val="00EC58F5"/>
    <w:rsid w:val="00EC5CE5"/>
    <w:rsid w:val="00EC5EFC"/>
    <w:rsid w:val="00ED57D1"/>
    <w:rsid w:val="00ED6DF6"/>
    <w:rsid w:val="00EE0667"/>
    <w:rsid w:val="00EE156C"/>
    <w:rsid w:val="00EE7358"/>
    <w:rsid w:val="00EF079E"/>
    <w:rsid w:val="00EF33CD"/>
    <w:rsid w:val="00F03FD3"/>
    <w:rsid w:val="00F12924"/>
    <w:rsid w:val="00F20C9B"/>
    <w:rsid w:val="00F2785B"/>
    <w:rsid w:val="00F300CB"/>
    <w:rsid w:val="00F31310"/>
    <w:rsid w:val="00F42C3A"/>
    <w:rsid w:val="00F45451"/>
    <w:rsid w:val="00F52BCC"/>
    <w:rsid w:val="00F5313F"/>
    <w:rsid w:val="00F6790A"/>
    <w:rsid w:val="00F74006"/>
    <w:rsid w:val="00F77F93"/>
    <w:rsid w:val="00F81135"/>
    <w:rsid w:val="00F81A48"/>
    <w:rsid w:val="00F8344C"/>
    <w:rsid w:val="00F83BEF"/>
    <w:rsid w:val="00F94F58"/>
    <w:rsid w:val="00FA2569"/>
    <w:rsid w:val="00FA759B"/>
    <w:rsid w:val="00FB62BC"/>
    <w:rsid w:val="00FB797F"/>
    <w:rsid w:val="00FC638F"/>
    <w:rsid w:val="00FC7E65"/>
    <w:rsid w:val="00FD17C9"/>
    <w:rsid w:val="00FD2A5B"/>
    <w:rsid w:val="00FD731A"/>
    <w:rsid w:val="00FD7599"/>
    <w:rsid w:val="00FE0B6B"/>
    <w:rsid w:val="00FE6A5C"/>
    <w:rsid w:val="00FF4566"/>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EndnoteText">
    <w:name w:val="endnote text"/>
    <w:basedOn w:val="Normal"/>
    <w:link w:val="EndnoteTextChar"/>
    <w:uiPriority w:val="99"/>
    <w:semiHidden/>
    <w:unhideWhenUsed/>
    <w:rsid w:val="00EA432D"/>
    <w:pPr>
      <w:spacing w:line="240" w:lineRule="auto"/>
    </w:pPr>
    <w:rPr>
      <w:sz w:val="20"/>
      <w:szCs w:val="20"/>
    </w:rPr>
  </w:style>
  <w:style w:type="character" w:customStyle="1" w:styleId="EndnoteTextChar">
    <w:name w:val="Endnote Text Char"/>
    <w:basedOn w:val="DefaultParagraphFont"/>
    <w:link w:val="EndnoteText"/>
    <w:uiPriority w:val="99"/>
    <w:semiHidden/>
    <w:rsid w:val="00EA432D"/>
    <w:rPr>
      <w:rFonts w:asciiTheme="majorHAnsi" w:hAnsiTheme="majorHAnsi"/>
      <w:sz w:val="20"/>
      <w:szCs w:val="20"/>
    </w:rPr>
  </w:style>
  <w:style w:type="character" w:styleId="EndnoteReference">
    <w:name w:val="endnote reference"/>
    <w:basedOn w:val="DefaultParagraphFont"/>
    <w:uiPriority w:val="99"/>
    <w:semiHidden/>
    <w:unhideWhenUsed/>
    <w:rsid w:val="00EA432D"/>
    <w:rPr>
      <w:vertAlign w:val="superscript"/>
    </w:rPr>
  </w:style>
  <w:style w:type="table" w:customStyle="1" w:styleId="TableGrid1">
    <w:name w:val="Table Grid1"/>
    <w:basedOn w:val="TableNormal"/>
    <w:next w:val="TableGrid"/>
    <w:uiPriority w:val="59"/>
    <w:rsid w:val="00A9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2">
    <w:name w:val="tx2"/>
    <w:basedOn w:val="DefaultParagraphFont"/>
    <w:rsid w:val="0015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uj2@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hecommunityguide.org/findings/diabetes-interventions-engaging-community-health-work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0</OSC_StateA_14_8Average_Hours_Per_Collection>
    <GenICPIBranchOROfficeTitle xmlns="bd99c180-279b-44c3-9486-dd050336677e">=&gt;Enter branch or office title&lt;=</GenICPIBranchOROfficeTitl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2_1Hourly_Wage_Rate xmlns="bd99c180-279b-44c3-9486-dd050336677e">0</OSC_StateA_12_1Hourly_Wage_Ra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 xsi:nil="true"/>
    <GenICTitle xmlns="15b1c282-9287-45cb-9b41-eae3a76919a0">=&gt;Enter short but descriptive title reflecting the purpose of the data collection. &lt;=</GenICTitle>
    <OSC_StateA_14_1Average_Cost xmlns="bd99c180-279b-44c3-9486-dd050336677e">0</OSC_StateA_14_1Average_Cost>
    <OSC_StateA_12_2Number_of_Respondents xmlns="bd99c180-279b-44c3-9486-dd050336677e">0</OSC_StateA_12_2Number_of_Respondents>
    <OSC_StateA_Websites_Directed_at_Children xmlns="bd99c180-279b-44c3-9486-dd050336677e" xsi:nil="true"/>
    <_dlc_DocId xmlns="b5c0ca00-073d-4463-9985-b654f14791fe">OSTLTSDOC-726-164</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2016-12-22T05:00:00+00:00</OSC_StateA_Date_Submitted>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6Number_of_Responses_per_Respondent xmlns="bd99c180-279b-44c3-9486-dd050336677e">1</OSC_StateA_12_6Number_of_Responses_per_Respondent>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Impact_on_Small_Businesses_or_Other_Small_Entities xmlns="bd99c180-279b-44c3-9486-dd050336677e" xsi:nil="tru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10Number_of_Respondents xmlns="bd99c180-279b-44c3-9486-dd050336677e" xsi:nil="true"/>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GenICPIFax xmlns="bd99c180-279b-44c3-9486-dd050336677e">=&gt;###-###-####&lt;=</GenICPIFax>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 xsi:nil="tru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 xsi:nil="true"/>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 xsi:nil="true"/>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https://esp.cdc.gov/sites/ostlts/pip/osc/_layouts/15/DocIdRedir.aspx?ID=OSTLTSDOC-726-164</Url>
      <Description>OSTLTSDOC-726-164</Description>
    </_dlc_DocIdUrl>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 xsi:nil="true"/>
    <OSC_StateA_14_5Average_Hours_Per_Collection xmlns="bd99c180-279b-44c3-9486-dd050336677e">0</OSC_StateA_14_5Average_Hours_Per_Collection>
    <OSC_StateA_12_10Total_Burden_Hours xmlns="bd99c180-279b-44c3-9486-dd050336677e" xsi:nil="true"/>
    <OSC_StateA_12_9Total_Burden_Hours xmlns="bd99c180-279b-44c3-9486-dd050336677e">0</OSC_StateA_12_9Total_Burden_Hours>
    <OSC_StateA_14_6Average_Cost xmlns="bd99c180-279b-44c3-9486-dd050336677e">0</OSC_StateA_14_6Average_Cos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63AE-4A67-4065-ADE9-C89F270B90C5}">
  <ds:schemaRefs>
    <ds:schemaRef ds:uri="http://schemas.microsoft.com/sharepoint/v3/contenttype/forms"/>
  </ds:schemaRefs>
</ds:datastoreItem>
</file>

<file path=customXml/itemProps2.xml><?xml version="1.0" encoding="utf-8"?>
<ds:datastoreItem xmlns:ds="http://schemas.openxmlformats.org/officeDocument/2006/customXml" ds:itemID="{264EAF3C-4DF3-4545-987A-009D9058003F}">
  <ds:schemaRefs>
    <ds:schemaRef ds:uri="http://schemas.microsoft.com/office/2006/metadata/customXsn"/>
  </ds:schemaRefs>
</ds:datastoreItem>
</file>

<file path=customXml/itemProps3.xml><?xml version="1.0" encoding="utf-8"?>
<ds:datastoreItem xmlns:ds="http://schemas.openxmlformats.org/officeDocument/2006/customXml" ds:itemID="{03CF8994-19E4-4188-9020-761AB6A4D387}">
  <ds:schemaRefs>
    <ds:schemaRef ds:uri="http://schemas.microsoft.com/sharepoint/events"/>
  </ds:schemaRefs>
</ds:datastoreItem>
</file>

<file path=customXml/itemProps4.xml><?xml version="1.0" encoding="utf-8"?>
<ds:datastoreItem xmlns:ds="http://schemas.openxmlformats.org/officeDocument/2006/customXml" ds:itemID="{07D7CC86-29C4-4839-B6A2-31FCE64BAA95}">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 ds:uri="ce849d94-b00b-4457-8fdf-7e9e81e05b5e"/>
  </ds:schemaRefs>
</ds:datastoreItem>
</file>

<file path=customXml/itemProps5.xml><?xml version="1.0" encoding="utf-8"?>
<ds:datastoreItem xmlns:ds="http://schemas.openxmlformats.org/officeDocument/2006/customXml" ds:itemID="{BFD2C847-03D4-4E85-9170-3BC908FDC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1DFC25-9B55-41D3-980C-1282043F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Community Health Worker Case Study: Public Health Law Research Collaboration</vt:lpstr>
    </vt:vector>
  </TitlesOfParts>
  <Company>CDC</Company>
  <LinksUpToDate>false</LinksUpToDate>
  <CharactersWithSpaces>26663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Worker Case Study: Public Health Law Research Collaboration</dc:title>
  <dc:creator>gel2</dc:creator>
  <cp:lastModifiedBy>Graaf, Christine (CDC/OSTLTS/DPHPI)</cp:lastModifiedBy>
  <cp:revision>17</cp:revision>
  <cp:lastPrinted>2016-12-19T15:54:00Z</cp:lastPrinted>
  <dcterms:created xsi:type="dcterms:W3CDTF">2017-02-15T19:08:00Z</dcterms:created>
  <dcterms:modified xsi:type="dcterms:W3CDTF">2017-02-16T03:05:00Z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dc88880d-f34b-43a2-96b0-94fddf2113e6</vt:lpwstr>
  </property>
</Properties>
</file>