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FE4D15" w:rsidRDefault="001B1E51" w:rsidP="009B633D">
      <w:pPr>
        <w:jc w:val="center"/>
        <w:rPr>
          <w:sz w:val="28"/>
          <w:szCs w:val="28"/>
        </w:rPr>
      </w:pPr>
      <w:r>
        <w:rPr>
          <w:sz w:val="28"/>
          <w:szCs w:val="28"/>
        </w:rPr>
        <w:t xml:space="preserve">Medical Expenditure Panel Survey (MEPS) </w:t>
      </w:r>
      <w:r w:rsidR="00D5775A">
        <w:rPr>
          <w:sz w:val="28"/>
          <w:szCs w:val="28"/>
        </w:rPr>
        <w:t xml:space="preserve">Household Component </w:t>
      </w:r>
      <w:r>
        <w:rPr>
          <w:sz w:val="28"/>
          <w:szCs w:val="28"/>
        </w:rPr>
        <w:t xml:space="preserve">and the </w:t>
      </w:r>
    </w:p>
    <w:p w:rsidR="009B633D" w:rsidRPr="001B1E51" w:rsidRDefault="001B1E51" w:rsidP="009B633D">
      <w:pPr>
        <w:jc w:val="center"/>
        <w:rPr>
          <w:sz w:val="28"/>
          <w:szCs w:val="28"/>
        </w:rPr>
      </w:pPr>
      <w:r>
        <w:rPr>
          <w:sz w:val="28"/>
          <w:szCs w:val="28"/>
        </w:rPr>
        <w:t>MEPS Medical Provider Component</w:t>
      </w: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BB1C2F" w:rsidP="009B633D">
      <w:pPr>
        <w:jc w:val="center"/>
        <w:rPr>
          <w:sz w:val="28"/>
          <w:szCs w:val="28"/>
        </w:rPr>
      </w:pPr>
      <w:r>
        <w:rPr>
          <w:b/>
          <w:sz w:val="28"/>
          <w:szCs w:val="28"/>
        </w:rPr>
        <w:t>Version</w:t>
      </w:r>
      <w:r w:rsidR="001B1E51">
        <w:rPr>
          <w:b/>
          <w:sz w:val="28"/>
          <w:szCs w:val="28"/>
        </w:rPr>
        <w:t>:</w:t>
      </w:r>
      <w:r w:rsidR="00EA25F1">
        <w:rPr>
          <w:sz w:val="28"/>
          <w:szCs w:val="28"/>
        </w:rPr>
        <w:t xml:space="preserve"> </w:t>
      </w:r>
      <w:r w:rsidR="00054AEF">
        <w:rPr>
          <w:sz w:val="28"/>
          <w:szCs w:val="28"/>
        </w:rPr>
        <w:t>January 29</w:t>
      </w:r>
      <w:r w:rsidR="009B5DC8" w:rsidRPr="009B5DC8">
        <w:rPr>
          <w:sz w:val="28"/>
          <w:szCs w:val="28"/>
          <w:vertAlign w:val="superscript"/>
        </w:rPr>
        <w:t>th</w:t>
      </w:r>
      <w:r w:rsidR="00E121B5">
        <w:rPr>
          <w:sz w:val="28"/>
          <w:szCs w:val="28"/>
        </w:rPr>
        <w:t xml:space="preserve">, </w:t>
      </w:r>
      <w:r w:rsidR="001B1E51">
        <w:rPr>
          <w:sz w:val="28"/>
          <w:szCs w:val="28"/>
        </w:rPr>
        <w:t>20</w:t>
      </w:r>
      <w:r w:rsidR="00E121B5">
        <w:rPr>
          <w:sz w:val="28"/>
          <w:szCs w:val="28"/>
        </w:rPr>
        <w:t>1</w:t>
      </w:r>
      <w:r w:rsidR="00054AEF">
        <w:rPr>
          <w:sz w:val="28"/>
          <w:szCs w:val="28"/>
        </w:rPr>
        <w:t>5</w:t>
      </w:r>
    </w:p>
    <w:p w:rsidR="00FE4D15" w:rsidRPr="001B1E51" w:rsidRDefault="00FE4D15" w:rsidP="009B633D">
      <w:pPr>
        <w:jc w:val="center"/>
        <w:rPr>
          <w:i/>
          <w:sz w:val="28"/>
          <w:szCs w:val="28"/>
        </w:rPr>
      </w:pPr>
    </w:p>
    <w:p w:rsidR="00FE4D15" w:rsidRDefault="00FE4D15" w:rsidP="00FE4D15">
      <w:pPr>
        <w:jc w:val="center"/>
        <w:rPr>
          <w:b/>
        </w:rPr>
      </w:pPr>
      <w:r w:rsidRPr="00C309A6">
        <w:t xml:space="preserve">Revision of Previously Approved </w:t>
      </w:r>
      <w:r w:rsidRPr="00FE4D15">
        <w:t>OMB #0935-0118</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r w:rsidRPr="00677A0B">
        <w:rPr>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Purpose and use of i</w:t>
      </w:r>
      <w:r w:rsidRPr="007B3A8E">
        <w:t>nformation</w:t>
      </w:r>
      <w:r>
        <w:tab/>
      </w:r>
      <w:r w:rsidR="00050C38">
        <w:t>7</w:t>
      </w:r>
    </w:p>
    <w:p w:rsidR="007B3A8E" w:rsidRDefault="007B3A8E" w:rsidP="007B3A8E">
      <w:pPr>
        <w:tabs>
          <w:tab w:val="left" w:pos="360"/>
          <w:tab w:val="left" w:leader="dot" w:pos="8280"/>
        </w:tabs>
      </w:pPr>
      <w:r>
        <w:tab/>
        <w:t xml:space="preserve">3. </w:t>
      </w:r>
      <w:r w:rsidRPr="007B3A8E">
        <w:t>Use of Improved Information Technology</w:t>
      </w:r>
      <w:r>
        <w:tab/>
      </w:r>
      <w:r w:rsidR="0015450F">
        <w:t>9</w:t>
      </w:r>
    </w:p>
    <w:p w:rsidR="007B3A8E" w:rsidRDefault="007B3A8E" w:rsidP="007B3A8E">
      <w:pPr>
        <w:tabs>
          <w:tab w:val="left" w:pos="360"/>
          <w:tab w:val="left" w:leader="dot" w:pos="8280"/>
        </w:tabs>
      </w:pPr>
      <w:r>
        <w:tab/>
        <w:t xml:space="preserve">4. </w:t>
      </w:r>
      <w:r w:rsidRPr="007B3A8E">
        <w:t>Efforts to Identify Duplication</w:t>
      </w:r>
      <w:r>
        <w:tab/>
      </w:r>
      <w:r w:rsidR="00A01D3E">
        <w:t>9</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A01D3E">
        <w:t>9</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050C38">
        <w:t>9</w:t>
      </w:r>
    </w:p>
    <w:p w:rsidR="00556066" w:rsidRDefault="00556066" w:rsidP="007B3A8E">
      <w:pPr>
        <w:tabs>
          <w:tab w:val="left" w:pos="360"/>
          <w:tab w:val="left" w:leader="dot" w:pos="8280"/>
        </w:tabs>
      </w:pPr>
      <w:r>
        <w:tab/>
        <w:t xml:space="preserve">7. </w:t>
      </w:r>
      <w:r w:rsidRPr="00556066">
        <w:t>Special Circumstances</w:t>
      </w:r>
      <w:r>
        <w:tab/>
      </w:r>
      <w:r w:rsidR="00A01D3E">
        <w:t>10</w:t>
      </w:r>
    </w:p>
    <w:p w:rsidR="00556066" w:rsidRDefault="00556066" w:rsidP="007B3A8E">
      <w:pPr>
        <w:tabs>
          <w:tab w:val="left" w:pos="360"/>
          <w:tab w:val="left" w:leader="dot" w:pos="8280"/>
        </w:tabs>
      </w:pPr>
      <w:r>
        <w:tab/>
        <w:t xml:space="preserve">8. </w:t>
      </w:r>
      <w:r w:rsidR="006E11AA">
        <w:t>Federal Reg</w:t>
      </w:r>
      <w:r w:rsidR="00D5775A">
        <w:t xml:space="preserve">ister and Outside </w:t>
      </w:r>
      <w:r w:rsidRPr="00556066">
        <w:t>Consultation</w:t>
      </w:r>
      <w:r w:rsidR="00D5775A">
        <w:t>s</w:t>
      </w:r>
      <w:r>
        <w:tab/>
      </w:r>
      <w:r w:rsidR="00A01D3E">
        <w:t>10</w:t>
      </w:r>
    </w:p>
    <w:p w:rsidR="00556066" w:rsidRDefault="00556066" w:rsidP="007B3A8E">
      <w:pPr>
        <w:tabs>
          <w:tab w:val="left" w:pos="360"/>
          <w:tab w:val="left" w:leader="dot" w:pos="8280"/>
        </w:tabs>
      </w:pPr>
      <w:r>
        <w:tab/>
        <w:t xml:space="preserve">9. </w:t>
      </w:r>
      <w:r w:rsidRPr="00556066">
        <w:t>Payments/Gifts to Respondents</w:t>
      </w:r>
      <w:r>
        <w:tab/>
      </w:r>
      <w:r w:rsidR="00042815">
        <w:t>10</w:t>
      </w:r>
    </w:p>
    <w:p w:rsidR="00556066" w:rsidRDefault="00556066" w:rsidP="007B3A8E">
      <w:pPr>
        <w:tabs>
          <w:tab w:val="left" w:pos="360"/>
          <w:tab w:val="left" w:leader="dot" w:pos="8280"/>
        </w:tabs>
      </w:pPr>
      <w:r>
        <w:tab/>
        <w:t xml:space="preserve">10. </w:t>
      </w:r>
      <w:r w:rsidRPr="00556066">
        <w:t>Assurance of Confidentiality</w:t>
      </w:r>
      <w:r>
        <w:tab/>
      </w:r>
      <w:r w:rsidR="00E87560">
        <w:t>11</w:t>
      </w:r>
    </w:p>
    <w:p w:rsidR="00556066" w:rsidRDefault="00556066" w:rsidP="007B3A8E">
      <w:pPr>
        <w:tabs>
          <w:tab w:val="left" w:pos="360"/>
          <w:tab w:val="left" w:leader="dot" w:pos="8280"/>
        </w:tabs>
      </w:pPr>
      <w:r>
        <w:tab/>
        <w:t xml:space="preserve">11. </w:t>
      </w:r>
      <w:r w:rsidRPr="00556066">
        <w:t>Questions of a Sensitive Nature</w:t>
      </w:r>
      <w:r>
        <w:tab/>
      </w:r>
      <w:r w:rsidR="00E33EDB">
        <w:t>11</w:t>
      </w:r>
    </w:p>
    <w:p w:rsidR="00556066" w:rsidRDefault="00556066" w:rsidP="007B3A8E">
      <w:pPr>
        <w:tabs>
          <w:tab w:val="left" w:pos="360"/>
          <w:tab w:val="left" w:leader="dot" w:pos="8280"/>
        </w:tabs>
      </w:pPr>
      <w:r>
        <w:tab/>
        <w:t xml:space="preserve">12. </w:t>
      </w:r>
      <w:r w:rsidRPr="00556066">
        <w:t>Estimates of Annualized Burden Hours and Costs</w:t>
      </w:r>
      <w:r>
        <w:tab/>
      </w:r>
      <w:r w:rsidR="00E33EDB">
        <w:t>11</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6E11AA">
        <w:t>1</w:t>
      </w:r>
      <w:r w:rsidR="00050C38">
        <w:t>3</w:t>
      </w:r>
    </w:p>
    <w:p w:rsidR="00556066" w:rsidRDefault="00556066" w:rsidP="007B3A8E">
      <w:pPr>
        <w:tabs>
          <w:tab w:val="left" w:pos="360"/>
          <w:tab w:val="left" w:leader="dot" w:pos="8280"/>
        </w:tabs>
      </w:pPr>
      <w:r>
        <w:tab/>
        <w:t xml:space="preserve">14. </w:t>
      </w:r>
      <w:r w:rsidRPr="00556066">
        <w:t>Estimates of Annualized Cost to the Government</w:t>
      </w:r>
      <w:r>
        <w:tab/>
      </w:r>
      <w:r w:rsidR="006E11AA">
        <w:t>1</w:t>
      </w:r>
      <w:r w:rsidR="00050C38">
        <w:t>3</w:t>
      </w:r>
    </w:p>
    <w:p w:rsidR="00556066" w:rsidRDefault="00556066" w:rsidP="007B3A8E">
      <w:pPr>
        <w:tabs>
          <w:tab w:val="left" w:pos="360"/>
          <w:tab w:val="left" w:leader="dot" w:pos="8280"/>
        </w:tabs>
      </w:pPr>
      <w:r>
        <w:tab/>
        <w:t xml:space="preserve">15. </w:t>
      </w:r>
      <w:r w:rsidRPr="00556066">
        <w:t>Changes in Hour Burden</w:t>
      </w:r>
      <w:r>
        <w:tab/>
      </w:r>
      <w:r w:rsidR="00E33EDB">
        <w:t>14</w:t>
      </w:r>
    </w:p>
    <w:p w:rsidR="006014DB" w:rsidRDefault="006014DB" w:rsidP="007B3A8E">
      <w:pPr>
        <w:tabs>
          <w:tab w:val="left" w:pos="360"/>
          <w:tab w:val="left" w:leader="dot" w:pos="8280"/>
        </w:tabs>
      </w:pPr>
      <w:r>
        <w:tab/>
        <w:t xml:space="preserve">16. </w:t>
      </w:r>
      <w:r w:rsidRPr="006014DB">
        <w:t>Time Schedule, Publication and Analysis Plans</w:t>
      </w:r>
      <w:r>
        <w:tab/>
      </w:r>
      <w:r w:rsidR="00E33EDB">
        <w:t>14</w:t>
      </w:r>
    </w:p>
    <w:p w:rsidR="006014DB" w:rsidRDefault="006014DB" w:rsidP="007B3A8E">
      <w:pPr>
        <w:tabs>
          <w:tab w:val="left" w:pos="360"/>
          <w:tab w:val="left" w:leader="dot" w:pos="8280"/>
        </w:tabs>
      </w:pPr>
      <w:r>
        <w:tab/>
        <w:t xml:space="preserve">17. </w:t>
      </w:r>
      <w:r w:rsidRPr="006014DB">
        <w:t>Exemption for Display of Expiration Date</w:t>
      </w:r>
      <w:r>
        <w:tab/>
      </w:r>
      <w:r w:rsidR="00E33EDB">
        <w:t>1</w:t>
      </w:r>
      <w:r w:rsidR="00050C38">
        <w:t>5</w:t>
      </w:r>
    </w:p>
    <w:p w:rsidR="006E11AA" w:rsidRDefault="006E11AA" w:rsidP="007B3A8E">
      <w:pPr>
        <w:tabs>
          <w:tab w:val="left" w:pos="360"/>
          <w:tab w:val="left" w:leader="dot" w:pos="8280"/>
        </w:tabs>
      </w:pPr>
      <w:r>
        <w:tab/>
        <w:t>List of Attachments</w:t>
      </w:r>
      <w:r>
        <w:tab/>
        <w:t>15</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CE5D3D">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CE5D3D" w:rsidP="009B633D">
      <w:pPr>
        <w:jc w:val="center"/>
        <w:rPr>
          <w:b/>
        </w:rPr>
      </w:pPr>
      <w:r>
        <w:rPr>
          <w:b/>
        </w:rPr>
        <w:fldChar w:fldCharType="end"/>
      </w:r>
    </w:p>
    <w:p w:rsidR="009B633D"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rsidR="0087571B" w:rsidRPr="0087571B" w:rsidRDefault="0087571B" w:rsidP="0087571B">
      <w:r w:rsidRPr="0087571B">
        <w:t xml:space="preserve">This request is for </w:t>
      </w:r>
      <w:r w:rsidR="00FE4D15">
        <w:t xml:space="preserve">approval of substantive changes to the </w:t>
      </w:r>
      <w:r w:rsidRPr="0087571B">
        <w:t xml:space="preserve">data collection </w:t>
      </w:r>
      <w:r w:rsidR="004B5A1A">
        <w:t>of</w:t>
      </w:r>
      <w:r w:rsidRPr="0087571B">
        <w:t xml:space="preserve"> the Household Component of the Medical Expenditure Panel Survey (MEPS).  </w:t>
      </w:r>
      <w:r w:rsidR="00101B1C" w:rsidRPr="00101B1C">
        <w:rPr>
          <w:highlight w:val="yellow"/>
        </w:rPr>
        <w:t>There are currently no proposed changes to the Medical Provider Component.</w:t>
      </w:r>
      <w:r w:rsidR="00101B1C">
        <w:t xml:space="preserve">  </w:t>
      </w:r>
      <w:r w:rsidRPr="0087571B">
        <w:t>MEPS Household Component (MEPS-HC) and Medical Provider Component (MEPS-MPC) are two of three components of the MEPS.</w:t>
      </w:r>
    </w:p>
    <w:p w:rsidR="0087571B" w:rsidRPr="0087571B" w:rsidRDefault="0087571B" w:rsidP="0087571B"/>
    <w:p w:rsidR="0087571B" w:rsidRPr="0087571B" w:rsidRDefault="0087571B" w:rsidP="0069524A">
      <w:pPr>
        <w:numPr>
          <w:ilvl w:val="0"/>
          <w:numId w:val="18"/>
        </w:numPr>
        <w:ind w:left="450" w:hanging="450"/>
      </w:pPr>
      <w:r w:rsidRPr="0087571B">
        <w:t xml:space="preserve">Household Component (MEPS-HC): A sample of households participating in the National Health Interview Survey (NHIS) in the prior calendar year are interviewed 5 times over a 2 and </w:t>
      </w:r>
      <w:r w:rsidR="00D11931">
        <w:t>one half (2.5)</w:t>
      </w:r>
      <w:r w:rsidRPr="0087571B">
        <w:t xml:space="preserve"> year period.  These 5 interviews yield two years of information on use of and expenditures for health care, sources of payment for that health care, insurance status, employment, health status and health care quality.</w:t>
      </w:r>
    </w:p>
    <w:p w:rsidR="0087571B" w:rsidRPr="0087571B" w:rsidRDefault="0087571B" w:rsidP="0087571B"/>
    <w:p w:rsidR="0087571B" w:rsidRPr="0087571B" w:rsidRDefault="0087571B" w:rsidP="0069524A">
      <w:pPr>
        <w:numPr>
          <w:ilvl w:val="0"/>
          <w:numId w:val="18"/>
        </w:numPr>
        <w:ind w:left="450" w:hanging="450"/>
      </w:pPr>
      <w:r w:rsidRPr="0087571B">
        <w:t>Medical Provider Component (MEPS-MPC): The MEPS-MPC collects information from medical and financial records maintained by hospitals, physicians, pharmacies and home health agencies named as sources of care by household respondents.</w:t>
      </w:r>
    </w:p>
    <w:p w:rsidR="0087571B" w:rsidRPr="0087571B" w:rsidRDefault="0087571B" w:rsidP="0087571B"/>
    <w:p w:rsidR="0087571B" w:rsidRPr="0087571B" w:rsidRDefault="0087571B" w:rsidP="0069524A">
      <w:pPr>
        <w:numPr>
          <w:ilvl w:val="0"/>
          <w:numId w:val="18"/>
        </w:numPr>
        <w:ind w:left="450" w:hanging="450"/>
      </w:pPr>
      <w:r w:rsidRPr="0087571B">
        <w:t>Insurance Component (MEPS-IC): The MEPS-IC collects information on establishment characteristics, insurance offerings and premiums from employers.  The MEPS-IC is conducted by the Census Bureau for AHRQ and is cleared separately.</w:t>
      </w:r>
    </w:p>
    <w:p w:rsidR="0087571B" w:rsidRDefault="0087571B" w:rsidP="0087571B"/>
    <w:p w:rsidR="0087571B" w:rsidRPr="00825B3C" w:rsidRDefault="0087571B" w:rsidP="0087571B">
      <w:r w:rsidRPr="00825B3C">
        <w:t xml:space="preserve">This request is for the </w:t>
      </w:r>
      <w:r w:rsidR="006C014A">
        <w:t>MEPS-HC</w:t>
      </w:r>
      <w:r w:rsidR="006C014A" w:rsidRPr="00825B3C">
        <w:t xml:space="preserve"> </w:t>
      </w:r>
      <w:r w:rsidRPr="00825B3C">
        <w:t xml:space="preserve">and </w:t>
      </w:r>
      <w:r w:rsidR="006C014A">
        <w:t>MEPS-MPC</w:t>
      </w:r>
      <w:r w:rsidRPr="00825B3C">
        <w:t xml:space="preserve"> only. </w:t>
      </w:r>
      <w:r w:rsidR="004B5A1A">
        <w:t xml:space="preserve"> The OMB Control Number for the MEPS-HC and MPC is 0935-0118, which was last approved by OMB on </w:t>
      </w:r>
      <w:r w:rsidR="00EC0536">
        <w:t>December 20</w:t>
      </w:r>
      <w:r w:rsidR="004B5A1A" w:rsidRPr="004B5A1A">
        <w:rPr>
          <w:vertAlign w:val="superscript"/>
        </w:rPr>
        <w:t>th</w:t>
      </w:r>
      <w:r w:rsidR="004B5A1A">
        <w:t>, 201</w:t>
      </w:r>
      <w:r w:rsidR="00EC0536">
        <w:t>2</w:t>
      </w:r>
      <w:r w:rsidR="004B5A1A">
        <w:t>, and will expire</w:t>
      </w:r>
      <w:r w:rsidR="00597371">
        <w:t xml:space="preserve"> on</w:t>
      </w:r>
      <w:r w:rsidR="004B5A1A">
        <w:t xml:space="preserve"> </w:t>
      </w:r>
      <w:r w:rsidR="007032AF">
        <w:t>December</w:t>
      </w:r>
      <w:r w:rsidR="0017353A">
        <w:t xml:space="preserve"> 31</w:t>
      </w:r>
      <w:r w:rsidR="0017353A" w:rsidRPr="0017353A">
        <w:rPr>
          <w:vertAlign w:val="superscript"/>
        </w:rPr>
        <w:t>st</w:t>
      </w:r>
      <w:r w:rsidR="0017353A">
        <w:t>, 201</w:t>
      </w:r>
      <w:r w:rsidR="007032AF">
        <w:t>5</w:t>
      </w:r>
      <w:r w:rsidR="0017353A">
        <w:t>.</w:t>
      </w:r>
    </w:p>
    <w:p w:rsidR="0087571B" w:rsidRPr="0087571B" w:rsidRDefault="0087571B" w:rsidP="0087571B"/>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0A140E" w:rsidRDefault="000A140E" w:rsidP="000A140E">
      <w:r>
        <w:t>The mission of the Agency for Healthcare Research and Quality (AHRQ)</w:t>
      </w:r>
      <w:r w:rsidR="006C014A">
        <w:t xml:space="preserve"> set out in its authorizing legislation, The Healthcare Research and Quality Act of 1999 (</w:t>
      </w:r>
      <w:r w:rsidR="00286E6B">
        <w:t xml:space="preserve">see </w:t>
      </w:r>
      <w:r w:rsidR="00286E6B" w:rsidRPr="008573ED">
        <w:t>http://www.ahrq.gov/hrqa99.pdf</w:t>
      </w:r>
      <w:r w:rsidR="006C014A">
        <w:t>),</w:t>
      </w:r>
      <w:r>
        <w:t xml:space="preserve"> is to </w:t>
      </w:r>
      <w:r w:rsidR="00561D99">
        <w:t>improve the quality, safety, efficiency, and effectiveness of health care for all Americans</w:t>
      </w:r>
      <w:r>
        <w:t>, through the establishment of a broad base of scientific research and through the promotion of improvements in clinical and health systems practices, including the prevention of diseases and other health conditions.  AHRQ shall promote health care quality improvement by:</w:t>
      </w:r>
    </w:p>
    <w:p w:rsidR="006014DB" w:rsidRDefault="006014DB" w:rsidP="006014DB"/>
    <w:p w:rsidR="00606400" w:rsidRDefault="00606400" w:rsidP="00606400">
      <w:pPr>
        <w:tabs>
          <w:tab w:val="left" w:pos="360"/>
        </w:tabs>
      </w:pPr>
      <w:r>
        <w:tab/>
      </w:r>
    </w:p>
    <w:p w:rsidR="00606400" w:rsidRDefault="00606400" w:rsidP="00FD06B3">
      <w:pPr>
        <w:tabs>
          <w:tab w:val="left" w:pos="360"/>
        </w:tabs>
        <w:ind w:left="720" w:hanging="360"/>
      </w:pPr>
      <w:r>
        <w:t>1.</w:t>
      </w:r>
      <w:r>
        <w:tab/>
      </w:r>
      <w:r w:rsidR="00561D99">
        <w:t>collecting data on and producing measures of the quality, safety, effectiveness, and efficiency of American health care and health care systems</w:t>
      </w:r>
      <w:r w:rsidR="00325B9C">
        <w:t>;</w:t>
      </w:r>
      <w:r w:rsidR="00B645ED">
        <w:t xml:space="preserve"> and</w:t>
      </w:r>
    </w:p>
    <w:p w:rsidR="00325B9C" w:rsidRDefault="00325B9C" w:rsidP="00606400">
      <w:pPr>
        <w:tabs>
          <w:tab w:val="left" w:pos="360"/>
        </w:tabs>
        <w:ind w:left="360"/>
      </w:pPr>
    </w:p>
    <w:p w:rsidR="00325B9C" w:rsidRDefault="00325B9C" w:rsidP="00FD06B3">
      <w:pPr>
        <w:tabs>
          <w:tab w:val="left" w:pos="360"/>
        </w:tabs>
        <w:ind w:left="720" w:hanging="360"/>
      </w:pPr>
      <w:r>
        <w:t>2.</w:t>
      </w:r>
      <w:r>
        <w:tab/>
      </w:r>
      <w:proofErr w:type="gramStart"/>
      <w:r w:rsidR="00561D99">
        <w:t>fostering</w:t>
      </w:r>
      <w:proofErr w:type="gramEnd"/>
      <w:r w:rsidR="00561D99">
        <w:t xml:space="preserve"> the development of knowledge about improving health care, health care systems, and capacity</w:t>
      </w:r>
      <w:r w:rsidR="00B645ED">
        <w:t>; and</w:t>
      </w:r>
    </w:p>
    <w:p w:rsidR="00B645ED" w:rsidRDefault="00B645ED" w:rsidP="00606400">
      <w:pPr>
        <w:tabs>
          <w:tab w:val="left" w:pos="360"/>
        </w:tabs>
        <w:ind w:left="360"/>
      </w:pPr>
    </w:p>
    <w:p w:rsidR="00B645ED" w:rsidRDefault="00B645ED" w:rsidP="00606400">
      <w:pPr>
        <w:tabs>
          <w:tab w:val="left" w:pos="360"/>
        </w:tabs>
        <w:ind w:left="360"/>
      </w:pPr>
      <w:r>
        <w:t>3.</w:t>
      </w:r>
      <w:r>
        <w:tab/>
      </w:r>
      <w:proofErr w:type="gramStart"/>
      <w:r w:rsidR="00A4371F">
        <w:t>partnering</w:t>
      </w:r>
      <w:proofErr w:type="gramEnd"/>
      <w:r w:rsidR="00A4371F">
        <w:t xml:space="preserve"> with stakeholders to implement proven strategies for health care improvement</w:t>
      </w:r>
      <w:r>
        <w:t>.</w:t>
      </w:r>
    </w:p>
    <w:p w:rsidR="00B645ED" w:rsidRDefault="00B645ED" w:rsidP="00B645ED">
      <w:pPr>
        <w:tabs>
          <w:tab w:val="left" w:pos="360"/>
        </w:tabs>
      </w:pPr>
    </w:p>
    <w:p w:rsidR="008450C0" w:rsidRDefault="008450C0" w:rsidP="00B645ED">
      <w:pPr>
        <w:tabs>
          <w:tab w:val="left" w:pos="360"/>
        </w:tabs>
      </w:pPr>
      <w:r>
        <w:t xml:space="preserve">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w:t>
      </w:r>
      <w:r>
        <w:lastRenderedPageBreak/>
        <w:t>minority groups, (3) women, (4) children, (5) the elderly, and (6) individuals with special health care needs, including individuals with disabilities and individuals who need chronic care or end-of-life health care.</w:t>
      </w:r>
    </w:p>
    <w:p w:rsidR="00597371" w:rsidRDefault="00597371" w:rsidP="00B645ED">
      <w:pPr>
        <w:tabs>
          <w:tab w:val="left" w:pos="360"/>
        </w:tabs>
      </w:pPr>
    </w:p>
    <w:p w:rsidR="009E16CB" w:rsidRDefault="00D47F07" w:rsidP="009E16CB">
      <w:bookmarkStart w:id="4" w:name="_Toc151782177"/>
      <w:bookmarkStart w:id="5" w:name="_Toc158526217"/>
      <w:r w:rsidRPr="00825B3C">
        <w:t xml:space="preserve">For </w:t>
      </w:r>
      <w:r w:rsidR="009B21A6">
        <w:t>over</w:t>
      </w:r>
      <w:r w:rsidRPr="00825B3C">
        <w:t xml:space="preserve"> thirty years, results </w:t>
      </w:r>
      <w:r w:rsidR="00597371">
        <w:t>from</w:t>
      </w:r>
      <w:r w:rsidRPr="00825B3C">
        <w:t xml:space="preserve"> </w:t>
      </w:r>
      <w:r w:rsidR="00597371">
        <w:t xml:space="preserve">the </w:t>
      </w:r>
      <w:r w:rsidRPr="00825B3C">
        <w:t>MEPS and its predecessor surveys (the 1977 National Medical Care Expenditure Survey, the 1980 National Medical Care Utilization and Expenditure Survey and the 1987 National Medical Expenditure Survey) have been used by OMB, DHHS, Congress and a wide number of health services researchers to analyze health care use, expenses and health policy.</w:t>
      </w:r>
    </w:p>
    <w:p w:rsidR="00B16832" w:rsidRDefault="00B16832" w:rsidP="009E16CB"/>
    <w:p w:rsidR="00B16832" w:rsidRDefault="00B16832" w:rsidP="00B16832">
      <w:r w:rsidRPr="00825B3C">
        <w:t xml:space="preserve">Major changes continue to take place in the health care delivery system.  The MEPS is needed to provide information about the current state of the health care system as well as to track changes over time.  The MEPS permits annual estimates of use of health care and expenditures and sources of payment for that health care.  It also permits tracking individual change in employment, income, health insurance and health status over two years.  The use of the National Health Interview Survey (NHIS) as a sampling frame expands the </w:t>
      </w:r>
      <w:r>
        <w:t>MEPS</w:t>
      </w:r>
      <w:r w:rsidRPr="00825B3C">
        <w:t xml:space="preserve"> analytic capacity by providing another</w:t>
      </w:r>
      <w:r>
        <w:t xml:space="preserve"> data</w:t>
      </w:r>
      <w:r w:rsidRPr="00825B3C">
        <w:t xml:space="preserve"> point for comparisons over time.</w:t>
      </w:r>
    </w:p>
    <w:p w:rsidR="00B16832" w:rsidRDefault="00B16832" w:rsidP="009E16CB"/>
    <w:p w:rsidR="00A67BD1" w:rsidRDefault="00A67BD1" w:rsidP="00A67BD1">
      <w:r w:rsidRPr="00825B3C">
        <w:t>Households selected for participation in the MEPS</w:t>
      </w:r>
      <w:r w:rsidR="00286E6B">
        <w:t>-HC</w:t>
      </w:r>
      <w:r w:rsidRPr="00825B3C">
        <w:t xml:space="preserve"> are interviewed five times in person.  These rounds of interviewing are spaced about 5 months apart.  The interview will take place with a family respondent who will report for him/herself and for other family members.  </w:t>
      </w:r>
    </w:p>
    <w:p w:rsidR="004D15FF" w:rsidRDefault="004D15FF" w:rsidP="009E16CB"/>
    <w:p w:rsidR="004969C3" w:rsidRDefault="004969C3" w:rsidP="004D15FF">
      <w:r>
        <w:t xml:space="preserve">The </w:t>
      </w:r>
      <w:r w:rsidR="004D15FF" w:rsidRPr="00825B3C">
        <w:t>MEPS</w:t>
      </w:r>
      <w:r w:rsidR="00E13223">
        <w:t>-HC</w:t>
      </w:r>
      <w:r>
        <w:t xml:space="preserve"> has the following goal:</w:t>
      </w:r>
    </w:p>
    <w:p w:rsidR="004969C3" w:rsidRDefault="004969C3" w:rsidP="004D15FF"/>
    <w:p w:rsidR="00A67BD1" w:rsidRDefault="004969C3" w:rsidP="004969C3">
      <w:pPr>
        <w:numPr>
          <w:ilvl w:val="0"/>
          <w:numId w:val="12"/>
        </w:numPr>
        <w:ind w:left="720" w:hanging="307"/>
      </w:pPr>
      <w:r>
        <w:t>T</w:t>
      </w:r>
      <w:r w:rsidR="004D15FF" w:rsidRPr="00825B3C">
        <w:t xml:space="preserve">o </w:t>
      </w:r>
      <w:r w:rsidR="00A67BD1">
        <w:t>provide</w:t>
      </w:r>
      <w:r w:rsidR="00A67BD1" w:rsidRPr="00A67BD1">
        <w:t xml:space="preserve"> nationally representative estimates for the U.S. civilian </w:t>
      </w:r>
      <w:proofErr w:type="spellStart"/>
      <w:r w:rsidR="00A67BD1" w:rsidRPr="00A67BD1">
        <w:t>noninstitutionalized</w:t>
      </w:r>
      <w:proofErr w:type="spellEnd"/>
      <w:r w:rsidR="00A67BD1" w:rsidRPr="00A67BD1">
        <w:t xml:space="preserve"> population</w:t>
      </w:r>
      <w:r w:rsidR="00286E6B">
        <w:t xml:space="preserve"> for</w:t>
      </w:r>
      <w:r w:rsidR="00A67BD1">
        <w:t>:</w:t>
      </w:r>
    </w:p>
    <w:p w:rsidR="00D50DEE" w:rsidRDefault="00D50DEE" w:rsidP="00D50DEE">
      <w:pPr>
        <w:ind w:left="720"/>
      </w:pPr>
    </w:p>
    <w:p w:rsidR="00A67BD1" w:rsidRDefault="00A67BD1" w:rsidP="00A67BD1">
      <w:pPr>
        <w:numPr>
          <w:ilvl w:val="1"/>
          <w:numId w:val="12"/>
        </w:numPr>
      </w:pPr>
      <w:r w:rsidRPr="00A67BD1">
        <w:t xml:space="preserve"> health care use, expenditures, sources of payment </w:t>
      </w:r>
    </w:p>
    <w:p w:rsidR="004969C3" w:rsidRDefault="00A67BD1" w:rsidP="00A67BD1">
      <w:pPr>
        <w:numPr>
          <w:ilvl w:val="1"/>
          <w:numId w:val="12"/>
        </w:numPr>
      </w:pPr>
      <w:r w:rsidRPr="00A67BD1">
        <w:t xml:space="preserve"> health insuranc</w:t>
      </w:r>
      <w:r>
        <w:t>e coverage</w:t>
      </w:r>
    </w:p>
    <w:p w:rsidR="004D15FF" w:rsidRPr="00825B3C" w:rsidRDefault="00A67BD1" w:rsidP="004D15FF">
      <w:r>
        <w:t xml:space="preserve"> </w:t>
      </w:r>
    </w:p>
    <w:p w:rsidR="00A67BD1" w:rsidRDefault="00A67BD1" w:rsidP="004D15FF">
      <w:r w:rsidRPr="008D10CE">
        <w:t>To achieve the goals of the MEPS</w:t>
      </w:r>
      <w:r w:rsidR="00E13223" w:rsidRPr="008D10CE">
        <w:t>-HC</w:t>
      </w:r>
      <w:r w:rsidRPr="008D10CE">
        <w:t xml:space="preserve"> the following data collections are implemented:</w:t>
      </w:r>
    </w:p>
    <w:p w:rsidR="004D15FF" w:rsidRPr="00825B3C" w:rsidRDefault="00A67BD1" w:rsidP="004D15FF">
      <w:r w:rsidRPr="00825B3C">
        <w:t xml:space="preserve"> </w:t>
      </w:r>
    </w:p>
    <w:p w:rsidR="004D15FF" w:rsidRDefault="004D15FF" w:rsidP="004D15FF">
      <w:pPr>
        <w:numPr>
          <w:ilvl w:val="0"/>
          <w:numId w:val="13"/>
        </w:numPr>
        <w:ind w:left="360"/>
      </w:pPr>
      <w:r w:rsidRPr="00914FE2">
        <w:rPr>
          <w:b/>
          <w:bCs/>
        </w:rPr>
        <w:t>Household Component Core Instrument</w:t>
      </w:r>
      <w:r w:rsidR="00914FE2">
        <w:rPr>
          <w:b/>
          <w:bCs/>
        </w:rPr>
        <w:t>.</w:t>
      </w:r>
      <w:r w:rsidR="00914FE2" w:rsidRPr="00914FE2">
        <w:rPr>
          <w:b/>
          <w:bCs/>
        </w:rPr>
        <w:t xml:space="preserve"> </w:t>
      </w:r>
      <w:r w:rsidRPr="00825B3C">
        <w:t>The core instrument collects data about persons in sample households. Topical areas</w:t>
      </w:r>
      <w:r>
        <w:t xml:space="preserve"> asked in each round of interviewing</w:t>
      </w:r>
      <w:r w:rsidRPr="00825B3C">
        <w:t xml:space="preserve"> include condition enumeration, health status, </w:t>
      </w:r>
      <w:r>
        <w:t xml:space="preserve">health care </w:t>
      </w:r>
      <w:r w:rsidRPr="00825B3C">
        <w:t>utilization</w:t>
      </w:r>
      <w:r>
        <w:t xml:space="preserve"> including prescribed medicines</w:t>
      </w:r>
      <w:r w:rsidRPr="00825B3C">
        <w:t>, expense and payment, employment, and health insurance.</w:t>
      </w:r>
      <w:r>
        <w:t xml:space="preserve">  Other topical areas that are asked only once a year include </w:t>
      </w:r>
      <w:r w:rsidRPr="00825B3C">
        <w:t xml:space="preserve">access to care, income, assets, satisfaction with health plans and providers, children's health, </w:t>
      </w:r>
      <w:r w:rsidR="00780ABA">
        <w:t xml:space="preserve">and </w:t>
      </w:r>
      <w:r w:rsidRPr="00825B3C">
        <w:t>adult preventive care.</w:t>
      </w:r>
      <w:r>
        <w:t xml:space="preserve">  While many of the questions are asked about the entire reporting unit (RU), which is typically a family, only one person normally provides this information.</w:t>
      </w:r>
      <w:r w:rsidR="00BA0042">
        <w:t xml:space="preserve">  </w:t>
      </w:r>
      <w:r w:rsidR="00801001" w:rsidRPr="00D31B86">
        <w:rPr>
          <w:highlight w:val="yellow"/>
        </w:rPr>
        <w:t xml:space="preserve">See </w:t>
      </w:r>
      <w:r w:rsidR="00D31B86">
        <w:rPr>
          <w:highlight w:val="yellow"/>
        </w:rPr>
        <w:t xml:space="preserve">the </w:t>
      </w:r>
      <w:r w:rsidR="00D31B86" w:rsidRPr="00D31B86">
        <w:rPr>
          <w:highlight w:val="yellow"/>
        </w:rPr>
        <w:t xml:space="preserve">attachment </w:t>
      </w:r>
      <w:r w:rsidR="00FA0D87" w:rsidRPr="00D31B86">
        <w:rPr>
          <w:highlight w:val="yellow"/>
        </w:rPr>
        <w:t>MEPS</w:t>
      </w:r>
      <w:r w:rsidR="00D31B86">
        <w:rPr>
          <w:highlight w:val="yellow"/>
        </w:rPr>
        <w:t>-</w:t>
      </w:r>
      <w:r w:rsidR="00FA0D87" w:rsidRPr="00FA0D87">
        <w:rPr>
          <w:highlight w:val="yellow"/>
        </w:rPr>
        <w:t>HC section by section review</w:t>
      </w:r>
      <w:r w:rsidR="00801001" w:rsidRPr="00101B1C">
        <w:t xml:space="preserve"> for a brief description of the 42 sections included in the core instrument, including detailed descriptions of all changes since the last OMB approved instrument.  </w:t>
      </w:r>
      <w:r w:rsidR="00286E6B" w:rsidRPr="00101B1C">
        <w:t>All 42 sections of the</w:t>
      </w:r>
      <w:r w:rsidR="00801001" w:rsidRPr="00101B1C">
        <w:t xml:space="preserve"> current</w:t>
      </w:r>
      <w:r w:rsidR="00286E6B" w:rsidRPr="00101B1C">
        <w:t xml:space="preserve"> </w:t>
      </w:r>
      <w:r w:rsidR="00801001" w:rsidRPr="00101B1C">
        <w:t>core instrument are available on the AHRQ website at http://meps.ahrq.gov/mepsweb/survey_comp/survey_questionnaires.jsp</w:t>
      </w:r>
      <w:r w:rsidR="00BA0042" w:rsidRPr="00101B1C">
        <w:t>.</w:t>
      </w:r>
      <w:r w:rsidR="00801001">
        <w:t xml:space="preserve">  </w:t>
      </w:r>
      <w:r w:rsidR="009B3867">
        <w:t xml:space="preserve">  </w:t>
      </w:r>
    </w:p>
    <w:p w:rsidR="00914FE2" w:rsidRDefault="00914FE2" w:rsidP="00914FE2">
      <w:pPr>
        <w:ind w:left="360"/>
      </w:pPr>
    </w:p>
    <w:p w:rsidR="00914FE2" w:rsidRDefault="00914FE2" w:rsidP="004D15FF">
      <w:pPr>
        <w:numPr>
          <w:ilvl w:val="0"/>
          <w:numId w:val="13"/>
        </w:numPr>
        <w:ind w:left="360"/>
      </w:pPr>
      <w:r>
        <w:rPr>
          <w:b/>
          <w:bCs/>
        </w:rPr>
        <w:t xml:space="preserve">Adult </w:t>
      </w:r>
      <w:proofErr w:type="spellStart"/>
      <w:r w:rsidRPr="00825B3C">
        <w:rPr>
          <w:b/>
          <w:bCs/>
        </w:rPr>
        <w:t>Self Administered</w:t>
      </w:r>
      <w:proofErr w:type="spellEnd"/>
      <w:r w:rsidRPr="00825B3C">
        <w:rPr>
          <w:b/>
          <w:bCs/>
        </w:rPr>
        <w:t xml:space="preserve"> Questionnaire</w:t>
      </w:r>
      <w:r w:rsidRPr="00825B3C">
        <w:t>.  A brief self-administered questionnaire</w:t>
      </w:r>
      <w:r>
        <w:t xml:space="preserve"> (SAQ)</w:t>
      </w:r>
      <w:r w:rsidRPr="00825B3C">
        <w:t xml:space="preserve"> will be used to collect self-reported (rather than through household proxy) information on health status, health opinions and satisfaction with health care</w:t>
      </w:r>
      <w:r>
        <w:t xml:space="preserve"> for adults 18 and older</w:t>
      </w:r>
      <w:r w:rsidR="00F070AC">
        <w:t xml:space="preserve">.  </w:t>
      </w:r>
      <w:r w:rsidR="00F070AC" w:rsidRPr="00825B3C">
        <w:t xml:space="preserve">The </w:t>
      </w:r>
      <w:proofErr w:type="gramStart"/>
      <w:r w:rsidR="00F070AC" w:rsidRPr="00825B3C">
        <w:t>satisfaction with health care items are</w:t>
      </w:r>
      <w:proofErr w:type="gramEnd"/>
      <w:r w:rsidR="00F070AC" w:rsidRPr="00825B3C">
        <w:t xml:space="preserve"> a subset of items from the Consumer Assessment of Healthcare Providers and </w:t>
      </w:r>
      <w:r w:rsidR="00F070AC" w:rsidRPr="00825B3C">
        <w:lastRenderedPageBreak/>
        <w:t>Systems (CAHPS</w:t>
      </w:r>
      <w:r w:rsidR="00A33327" w:rsidRPr="00023FC8">
        <w:rPr>
          <w:vertAlign w:val="superscript"/>
        </w:rPr>
        <w:t>®</w:t>
      </w:r>
      <w:r w:rsidR="00F070AC" w:rsidRPr="00825B3C">
        <w:t xml:space="preserve">).  The health status items are </w:t>
      </w:r>
      <w:r w:rsidR="00780ABA">
        <w:t xml:space="preserve">from </w:t>
      </w:r>
      <w:r w:rsidR="00F070AC" w:rsidRPr="00825B3C">
        <w:t xml:space="preserve">the </w:t>
      </w:r>
      <w:r w:rsidR="00F070AC">
        <w:t>Short Form 12 Version 2 (</w:t>
      </w:r>
      <w:r w:rsidR="00F070AC" w:rsidRPr="00825B3C">
        <w:t>SF-12 version 2</w:t>
      </w:r>
      <w:r w:rsidR="00F070AC">
        <w:t>)</w:t>
      </w:r>
      <w:r w:rsidR="00F070AC" w:rsidRPr="00825B3C">
        <w:t>, which has been widely used as a measure of self-reported health status in the United States</w:t>
      </w:r>
      <w:r w:rsidR="00F070AC">
        <w:t>, the Kessler Index (K6) of non-specific psychological distress, and the Patient Health Questionnaire (PHQ-2)</w:t>
      </w:r>
      <w:r w:rsidRPr="005744A7">
        <w:t>.</w:t>
      </w:r>
      <w:r w:rsidR="00C70A7E" w:rsidRPr="005744A7">
        <w:t xml:space="preserve">  </w:t>
      </w:r>
      <w:r w:rsidR="008D10CE">
        <w:t xml:space="preserve">This questionnaire is unchanged from the previous OMB clearance.  </w:t>
      </w:r>
    </w:p>
    <w:p w:rsidR="00914FE2" w:rsidRDefault="00914FE2" w:rsidP="00914FE2">
      <w:pPr>
        <w:ind w:left="360"/>
      </w:pPr>
    </w:p>
    <w:p w:rsidR="00914FE2" w:rsidRDefault="00914FE2" w:rsidP="00914FE2">
      <w:pPr>
        <w:numPr>
          <w:ilvl w:val="0"/>
          <w:numId w:val="13"/>
        </w:numPr>
        <w:ind w:left="360"/>
      </w:pPr>
      <w:r w:rsidRPr="00825B3C">
        <w:rPr>
          <w:b/>
        </w:rPr>
        <w:t xml:space="preserve">Diabetes Care </w:t>
      </w:r>
      <w:r>
        <w:rPr>
          <w:b/>
        </w:rPr>
        <w:t>SAQ</w:t>
      </w:r>
      <w:r w:rsidRPr="00825B3C">
        <w:t xml:space="preserve">.  A brief </w:t>
      </w:r>
      <w:proofErr w:type="spellStart"/>
      <w:r w:rsidRPr="00825B3C">
        <w:t>self administered</w:t>
      </w:r>
      <w:proofErr w:type="spellEnd"/>
      <w:r w:rsidRPr="00825B3C">
        <w:t xml:space="preserve"> </w:t>
      </w:r>
      <w:r w:rsidR="00312E06" w:rsidRPr="00312E06">
        <w:t xml:space="preserve">paper-and-pencil </w:t>
      </w:r>
      <w:r w:rsidRPr="00825B3C">
        <w:t>questionnaire on the quality of diabetes care is administered</w:t>
      </w:r>
      <w:r>
        <w:t xml:space="preserve"> once a year (</w:t>
      </w:r>
      <w:r w:rsidRPr="00825B3C">
        <w:t>during round 3 and 5</w:t>
      </w:r>
      <w:r>
        <w:t>)</w:t>
      </w:r>
      <w:r w:rsidRPr="00825B3C">
        <w:t xml:space="preserve"> to persons identified as having diabetes.</w:t>
      </w:r>
      <w:r w:rsidR="00312E06">
        <w:t xml:space="preserve"> </w:t>
      </w:r>
      <w:r w:rsidR="009A7661">
        <w:t>Included are questions about</w:t>
      </w:r>
      <w:r w:rsidR="00312E06" w:rsidRPr="00312E06">
        <w:t xml:space="preserve"> the number of times the respondent reported having a h</w:t>
      </w:r>
      <w:r w:rsidR="009A7661">
        <w:t xml:space="preserve">emoglobin A1c blood test, </w:t>
      </w:r>
      <w:r w:rsidR="00312E06" w:rsidRPr="00312E06">
        <w:t>whether the respondent reported having his or her feet checked for sores or irritations</w:t>
      </w:r>
      <w:r w:rsidR="009A7661">
        <w:t>,</w:t>
      </w:r>
      <w:r w:rsidR="00312E06" w:rsidRPr="00312E06">
        <w:t xml:space="preserve"> whether the respondent reported having an eye exam in which the pupils were dilated</w:t>
      </w:r>
      <w:r w:rsidR="001A48D1">
        <w:t xml:space="preserve">, </w:t>
      </w:r>
      <w:r w:rsidR="00312E06" w:rsidRPr="00312E06">
        <w:t>the last tim</w:t>
      </w:r>
      <w:r w:rsidR="009A7661">
        <w:t>e the respondent had</w:t>
      </w:r>
      <w:r w:rsidR="00312E06" w:rsidRPr="00312E06">
        <w:t xml:space="preserve"> his or her blood cholesterol checked</w:t>
      </w:r>
      <w:r w:rsidR="009A7661">
        <w:t xml:space="preserve"> and</w:t>
      </w:r>
      <w:r w:rsidR="00312E06" w:rsidRPr="00312E06">
        <w:t xml:space="preserve"> whether the diabetes has caused kidn</w:t>
      </w:r>
      <w:r w:rsidR="009A7661">
        <w:t>ey or eye problems</w:t>
      </w:r>
      <w:r w:rsidR="00312E06" w:rsidRPr="00312E06">
        <w:t xml:space="preserve">. </w:t>
      </w:r>
      <w:r w:rsidR="009A7661">
        <w:t xml:space="preserve"> Respondents are also asked if their </w:t>
      </w:r>
      <w:r w:rsidR="00312E06" w:rsidRPr="00312E06">
        <w:t>diabetes</w:t>
      </w:r>
      <w:r w:rsidR="009A7661">
        <w:t xml:space="preserve"> is being treated with</w:t>
      </w:r>
      <w:r w:rsidR="00312E06" w:rsidRPr="00312E06">
        <w:t xml:space="preserve"> diet, oral medi</w:t>
      </w:r>
      <w:r w:rsidR="009A7661">
        <w:t>cations or insulin</w:t>
      </w:r>
      <w:r w:rsidR="00312E06" w:rsidRPr="00312E06">
        <w:t>.</w:t>
      </w:r>
      <w:r w:rsidR="0000196A">
        <w:t xml:space="preserve"> </w:t>
      </w:r>
      <w:r w:rsidR="000F7355">
        <w:t xml:space="preserve">This questionnaire is unchanged from the previous OMB clearance.  </w:t>
      </w:r>
    </w:p>
    <w:p w:rsidR="00914FE2" w:rsidRPr="00825B3C" w:rsidRDefault="00914FE2" w:rsidP="00914FE2">
      <w:pPr>
        <w:ind w:left="360"/>
      </w:pPr>
    </w:p>
    <w:p w:rsidR="001B75C8" w:rsidRDefault="00D3390F" w:rsidP="001B75C8">
      <w:pPr>
        <w:numPr>
          <w:ilvl w:val="0"/>
          <w:numId w:val="13"/>
        </w:numPr>
        <w:ind w:left="360"/>
      </w:pPr>
      <w:r w:rsidRPr="00D3390F">
        <w:rPr>
          <w:b/>
          <w:bCs/>
        </w:rPr>
        <w:t>Authorization</w:t>
      </w:r>
      <w:r w:rsidR="00914FE2" w:rsidRPr="00825B3C">
        <w:rPr>
          <w:b/>
          <w:bCs/>
        </w:rPr>
        <w:t xml:space="preserve"> forms for the M</w:t>
      </w:r>
      <w:r w:rsidR="0090576D">
        <w:rPr>
          <w:b/>
          <w:bCs/>
        </w:rPr>
        <w:t>EPS-MPC Provider and Pharmacy Survey</w:t>
      </w:r>
      <w:r w:rsidR="00914FE2" w:rsidRPr="005720D3">
        <w:rPr>
          <w:bCs/>
        </w:rPr>
        <w:t>.</w:t>
      </w:r>
      <w:r w:rsidR="00914FE2" w:rsidRPr="00825B3C">
        <w:t xml:space="preserve">  As in previous panels of the MEPS, we will ask respondents for </w:t>
      </w:r>
      <w:r>
        <w:rPr>
          <w:bCs/>
        </w:rPr>
        <w:t>a</w:t>
      </w:r>
      <w:r w:rsidRPr="00D3390F">
        <w:rPr>
          <w:bCs/>
        </w:rPr>
        <w:t>uthorization</w:t>
      </w:r>
      <w:r w:rsidR="00914FE2" w:rsidRPr="00825B3C">
        <w:t xml:space="preserve"> to obtain supplemental information from their medical providers (hospitals, physi</w:t>
      </w:r>
      <w:r w:rsidR="0090576D">
        <w:t>cians, home health agencies</w:t>
      </w:r>
      <w:r w:rsidR="00B54CC4">
        <w:t xml:space="preserve"> and institutions</w:t>
      </w:r>
      <w:r w:rsidR="0090576D">
        <w:t>) and pharmacies</w:t>
      </w:r>
      <w:r w:rsidR="00914FE2" w:rsidRPr="00825B3C">
        <w:t>.</w:t>
      </w:r>
      <w:r w:rsidR="00AE17A2">
        <w:t xml:space="preserve">  </w:t>
      </w:r>
    </w:p>
    <w:p w:rsidR="001B75C8" w:rsidRDefault="001B75C8" w:rsidP="001B75C8">
      <w:pPr>
        <w:ind w:left="360"/>
      </w:pPr>
    </w:p>
    <w:p w:rsidR="001B75C8" w:rsidRDefault="001B75C8" w:rsidP="001B75C8">
      <w:pPr>
        <w:numPr>
          <w:ilvl w:val="0"/>
          <w:numId w:val="13"/>
        </w:numPr>
        <w:ind w:left="360"/>
      </w:pPr>
      <w:r>
        <w:rPr>
          <w:b/>
          <w:bCs/>
        </w:rPr>
        <w:t>MEPS Validation Interview</w:t>
      </w:r>
      <w:r>
        <w:rPr>
          <w:bCs/>
        </w:rPr>
        <w:t xml:space="preserve">.  </w:t>
      </w:r>
      <w:r w:rsidR="005D1A17" w:rsidRPr="005D1A17">
        <w:rPr>
          <w:bCs/>
        </w:rPr>
        <w:t>Each interviewer is required to have at least 15 percent of his/her caseload validated to insure that CAPI questionnaire content was asked appropriately and procedures followed, for example the use of show</w:t>
      </w:r>
      <w:r w:rsidR="005D1A17">
        <w:rPr>
          <w:bCs/>
        </w:rPr>
        <w:t xml:space="preserve"> cards.  </w:t>
      </w:r>
      <w:r w:rsidR="005D1A17" w:rsidRPr="005D1A17">
        <w:rPr>
          <w:bCs/>
        </w:rPr>
        <w:t>Validation flags are set programmatically for cases pre-selected by data processing staff before each round of interviewing.  Home office and field management may also request that other cases be validated throughout the field period.  When an interviewer fails a validation all their work is subject to 100 percent validation. Additionally, any</w:t>
      </w:r>
      <w:r w:rsidR="00A81BE7" w:rsidRPr="005D1A17">
        <w:rPr>
          <w:bCs/>
        </w:rPr>
        <w:t> case</w:t>
      </w:r>
      <w:r w:rsidR="005D1A17" w:rsidRPr="005D1A17">
        <w:rPr>
          <w:bCs/>
        </w:rPr>
        <w:t xml:space="preserve"> completed in less than 30 minutes is validated. A validation abstract form containing selected data collected in the CAPI interview is generated and used by the validator to guide the validation interview.</w:t>
      </w:r>
      <w:r w:rsidR="00D279E0">
        <w:rPr>
          <w:bCs/>
        </w:rPr>
        <w:t xml:space="preserve">  </w:t>
      </w:r>
    </w:p>
    <w:p w:rsidR="001B75C8" w:rsidRDefault="001B75C8" w:rsidP="001B75C8"/>
    <w:p w:rsidR="00380F46" w:rsidRDefault="00380F46" w:rsidP="00380F46">
      <w:pPr>
        <w:ind w:left="360"/>
      </w:pPr>
    </w:p>
    <w:p w:rsidR="00E13223" w:rsidRDefault="00E13223" w:rsidP="00E13223">
      <w:r w:rsidRPr="00825B3C">
        <w:t xml:space="preserve">The </w:t>
      </w:r>
      <w:r>
        <w:t>MEPS-</w:t>
      </w:r>
      <w:r w:rsidRPr="00825B3C">
        <w:t>MPC will contact</w:t>
      </w:r>
      <w:r w:rsidR="00C83E15">
        <w:t xml:space="preserve"> medical providers (</w:t>
      </w:r>
      <w:r w:rsidRPr="00825B3C">
        <w:t>hospitals, physicians</w:t>
      </w:r>
      <w:r>
        <w:t>, home health agencies</w:t>
      </w:r>
      <w:r w:rsidR="00C5625E">
        <w:t xml:space="preserve"> and institutions</w:t>
      </w:r>
      <w:r w:rsidR="00C83E15">
        <w:t>)</w:t>
      </w:r>
      <w:r w:rsidRPr="00825B3C">
        <w:t xml:space="preserve"> identified by household respondents in the MEPS</w:t>
      </w:r>
      <w:r w:rsidRPr="00825B3C">
        <w:noBreakHyphen/>
        <w:t>HC as sources of medical care for the time period covered by the interview</w:t>
      </w:r>
      <w:r w:rsidR="00D26872">
        <w:t xml:space="preserve">, </w:t>
      </w:r>
      <w:r w:rsidR="005F6CB9">
        <w:t>and all pharmacies providing prescription drugs to household members</w:t>
      </w:r>
      <w:r w:rsidR="00D26872">
        <w:t xml:space="preserve"> during the covered time period</w:t>
      </w:r>
      <w:r w:rsidRPr="00825B3C">
        <w:t xml:space="preserve">.  </w:t>
      </w:r>
      <w:r w:rsidR="00A131A5" w:rsidRPr="00631FDE">
        <w:t xml:space="preserve">The </w:t>
      </w:r>
      <w:r w:rsidR="00A131A5">
        <w:t>MEPS-</w:t>
      </w:r>
      <w:r w:rsidR="00A131A5" w:rsidRPr="00631FDE">
        <w:t>MPC is not desig</w:t>
      </w:r>
      <w:r w:rsidR="00A131A5">
        <w:t>ned to yield national estimates</w:t>
      </w:r>
      <w:r w:rsidR="00AB5F09">
        <w:t xml:space="preserve"> as a stand-alone survey</w:t>
      </w:r>
      <w:r w:rsidR="00A131A5">
        <w:t xml:space="preserve">.  </w:t>
      </w:r>
      <w:r w:rsidRPr="00825B3C">
        <w:t xml:space="preserve">The </w:t>
      </w:r>
      <w:r w:rsidR="00D5263E">
        <w:t>sample is</w:t>
      </w:r>
      <w:r w:rsidRPr="00825B3C">
        <w:t xml:space="preserve"> designed to target </w:t>
      </w:r>
      <w:r w:rsidR="00D5263E">
        <w:t xml:space="preserve">the </w:t>
      </w:r>
      <w:r w:rsidRPr="00825B3C">
        <w:t xml:space="preserve">types of individuals and providers for whom household reported expenditure data was expected to be insufficient.  </w:t>
      </w:r>
      <w:r w:rsidR="00BE34A5">
        <w:t>For example, h</w:t>
      </w:r>
      <w:r w:rsidRPr="00825B3C">
        <w:t>ouseholds with one or more Medicaid enrollee</w:t>
      </w:r>
      <w:r w:rsidR="001671A5">
        <w:t>s</w:t>
      </w:r>
      <w:r w:rsidRPr="00825B3C">
        <w:t xml:space="preserve"> are targeted for inclusion in the </w:t>
      </w:r>
      <w:r>
        <w:t>MEPS-</w:t>
      </w:r>
      <w:r w:rsidRPr="00825B3C">
        <w:t xml:space="preserve">MPC because this group is expected to have limited information about payments for their medical care.  </w:t>
      </w:r>
      <w:r w:rsidR="00C74CB4">
        <w:t xml:space="preserve">No changes to the </w:t>
      </w:r>
      <w:r w:rsidR="00BC6E2E">
        <w:t>MEPS-MPC are being implemented at this time</w:t>
      </w:r>
      <w:r w:rsidR="00E06925">
        <w:t>.</w:t>
      </w:r>
    </w:p>
    <w:p w:rsidR="003A2BE5" w:rsidRDefault="003A2BE5" w:rsidP="00E13223"/>
    <w:p w:rsidR="003A2BE5" w:rsidRPr="00825B3C" w:rsidRDefault="003A2BE5" w:rsidP="003A2BE5">
      <w:pPr>
        <w:tabs>
          <w:tab w:val="left" w:pos="0"/>
        </w:tabs>
      </w:pPr>
      <w:r w:rsidRPr="00825B3C">
        <w:t xml:space="preserve">The </w:t>
      </w:r>
      <w:r>
        <w:t>MEPS-</w:t>
      </w:r>
      <w:r w:rsidRPr="00825B3C">
        <w:t>MPC collects event level data about medical care received by sampled persons during the relevant time period.  The data collected from medical providers include:</w:t>
      </w:r>
    </w:p>
    <w:p w:rsidR="003A2BE5" w:rsidRPr="00825B3C" w:rsidRDefault="003A2BE5" w:rsidP="003A2BE5"/>
    <w:p w:rsidR="003A2BE5" w:rsidRPr="00825B3C" w:rsidRDefault="003A2BE5" w:rsidP="003A2BE5">
      <w:pPr>
        <w:numPr>
          <w:ilvl w:val="0"/>
          <w:numId w:val="14"/>
        </w:numPr>
        <w:ind w:left="1080"/>
      </w:pPr>
      <w:r w:rsidRPr="00825B3C">
        <w:t>Dates on which medical encounters during the reference period occurred</w:t>
      </w:r>
    </w:p>
    <w:p w:rsidR="003A2BE5" w:rsidRPr="00825B3C" w:rsidRDefault="003A2BE5" w:rsidP="003A2BE5">
      <w:pPr>
        <w:numPr>
          <w:ilvl w:val="0"/>
          <w:numId w:val="14"/>
        </w:numPr>
        <w:ind w:left="1080"/>
      </w:pPr>
      <w:r w:rsidRPr="00825B3C">
        <w:t>Data on the medical content of each encounter, including ICD</w:t>
      </w:r>
      <w:r w:rsidRPr="00825B3C">
        <w:noBreakHyphen/>
        <w:t>9 and CPT</w:t>
      </w:r>
      <w:r w:rsidRPr="00825B3C">
        <w:noBreakHyphen/>
        <w:t>4 codes</w:t>
      </w:r>
    </w:p>
    <w:p w:rsidR="003A2BE5" w:rsidRPr="00825B3C" w:rsidRDefault="003A2BE5" w:rsidP="003A2BE5">
      <w:pPr>
        <w:numPr>
          <w:ilvl w:val="0"/>
          <w:numId w:val="14"/>
        </w:numPr>
        <w:ind w:left="1080"/>
      </w:pPr>
      <w:r w:rsidRPr="00825B3C">
        <w:lastRenderedPageBreak/>
        <w:t>Data on the charges associated with each encounter, the sources paying for the medical care</w:t>
      </w:r>
      <w:r w:rsidRPr="00825B3C">
        <w:noBreakHyphen/>
        <w:t>including the patient/family, public sources, and private insurance, and amounts paid by each source</w:t>
      </w:r>
    </w:p>
    <w:p w:rsidR="003A2BE5" w:rsidRPr="00825B3C" w:rsidRDefault="003A2BE5" w:rsidP="003A2BE5"/>
    <w:p w:rsidR="003A2BE5" w:rsidRPr="00825B3C" w:rsidRDefault="003A2BE5" w:rsidP="003A2BE5">
      <w:pPr>
        <w:tabs>
          <w:tab w:val="left" w:pos="360"/>
        </w:tabs>
      </w:pPr>
      <w:r>
        <w:tab/>
      </w:r>
      <w:r w:rsidRPr="00825B3C">
        <w:t>Data collected from pharmacies include:</w:t>
      </w:r>
    </w:p>
    <w:p w:rsidR="003A2BE5" w:rsidRPr="00825B3C" w:rsidRDefault="003A2BE5" w:rsidP="003A2BE5"/>
    <w:p w:rsidR="003A2BE5" w:rsidRPr="00825B3C" w:rsidRDefault="003A2BE5" w:rsidP="003A2BE5">
      <w:pPr>
        <w:numPr>
          <w:ilvl w:val="0"/>
          <w:numId w:val="15"/>
        </w:numPr>
        <w:ind w:left="1080"/>
      </w:pPr>
      <w:r w:rsidRPr="00825B3C">
        <w:t>Date of prescription fill</w:t>
      </w:r>
    </w:p>
    <w:p w:rsidR="003A2BE5" w:rsidRPr="00825B3C" w:rsidRDefault="00766588" w:rsidP="003A2BE5">
      <w:pPr>
        <w:numPr>
          <w:ilvl w:val="0"/>
          <w:numId w:val="15"/>
        </w:numPr>
        <w:ind w:left="1080"/>
      </w:pPr>
      <w:r w:rsidRPr="00766588">
        <w:t>National drug code (NDC) or Prescription name, strength and form</w:t>
      </w:r>
    </w:p>
    <w:p w:rsidR="003A2BE5" w:rsidRPr="00825B3C" w:rsidRDefault="001156FA" w:rsidP="003A2BE5">
      <w:pPr>
        <w:numPr>
          <w:ilvl w:val="0"/>
          <w:numId w:val="15"/>
        </w:numPr>
        <w:ind w:left="1080"/>
      </w:pPr>
      <w:r>
        <w:t>Quantity</w:t>
      </w:r>
    </w:p>
    <w:p w:rsidR="003A2BE5" w:rsidRDefault="003A2BE5" w:rsidP="003A2BE5">
      <w:pPr>
        <w:numPr>
          <w:ilvl w:val="0"/>
          <w:numId w:val="15"/>
        </w:numPr>
        <w:ind w:left="1080"/>
      </w:pPr>
      <w:r w:rsidRPr="00825B3C">
        <w:t>Payments, by source</w:t>
      </w:r>
    </w:p>
    <w:p w:rsidR="00C83E15" w:rsidRDefault="00C83E15" w:rsidP="00E13223"/>
    <w:p w:rsidR="00C83E15" w:rsidRDefault="00C83E15" w:rsidP="00E13223">
      <w:r>
        <w:t>The MEPS-MPC has the following goal:</w:t>
      </w:r>
    </w:p>
    <w:p w:rsidR="00C83E15" w:rsidRDefault="00C83E15" w:rsidP="00E13223"/>
    <w:p w:rsidR="00C83E15" w:rsidRPr="00825B3C" w:rsidRDefault="00D5263E" w:rsidP="00D5263E">
      <w:pPr>
        <w:numPr>
          <w:ilvl w:val="0"/>
          <w:numId w:val="16"/>
        </w:numPr>
      </w:pPr>
      <w:r>
        <w:t xml:space="preserve">To </w:t>
      </w:r>
      <w:r w:rsidR="002A2894">
        <w:t>serve as</w:t>
      </w:r>
      <w:r w:rsidR="002A2894" w:rsidRPr="00631FDE">
        <w:t xml:space="preserve"> </w:t>
      </w:r>
      <w:r w:rsidR="00631FDE" w:rsidRPr="00631FDE">
        <w:t xml:space="preserve">an imputation source </w:t>
      </w:r>
      <w:r w:rsidR="002A2894">
        <w:t xml:space="preserve">for and </w:t>
      </w:r>
      <w:r w:rsidR="00631FDE" w:rsidRPr="00631FDE">
        <w:t>to supplement/replace household reported expenditure</w:t>
      </w:r>
      <w:r w:rsidR="00954B31">
        <w:t xml:space="preserve"> and source of payment</w:t>
      </w:r>
      <w:r w:rsidR="00631FDE" w:rsidRPr="00631FDE">
        <w:t xml:space="preserve"> information</w:t>
      </w:r>
      <w:r w:rsidR="00954B31">
        <w:t xml:space="preserve">.  </w:t>
      </w:r>
      <w:r w:rsidR="00954B31" w:rsidRPr="00825B3C">
        <w:t>This data will supplement, replace and verify information provided by household respondents about the charges, payments, and sources of payment associated with specific health care encounters.</w:t>
      </w:r>
    </w:p>
    <w:p w:rsidR="00E13223" w:rsidRDefault="00E13223" w:rsidP="00E13223"/>
    <w:p w:rsidR="00D5263E" w:rsidRDefault="009F04FE" w:rsidP="00E13223">
      <w:r>
        <w:t>To achieve the goal</w:t>
      </w:r>
      <w:r w:rsidR="0026017A">
        <w:t xml:space="preserve"> of the MEPS-MPC the following data collections are implemented:</w:t>
      </w:r>
    </w:p>
    <w:p w:rsidR="00D5263E" w:rsidRDefault="00D5263E" w:rsidP="00E13223"/>
    <w:p w:rsidR="00380F46" w:rsidRDefault="00380F46" w:rsidP="00954B31">
      <w:pPr>
        <w:numPr>
          <w:ilvl w:val="0"/>
          <w:numId w:val="17"/>
        </w:numPr>
        <w:ind w:left="360"/>
      </w:pPr>
      <w:r>
        <w:rPr>
          <w:b/>
          <w:bCs/>
        </w:rPr>
        <w:t xml:space="preserve">MPC </w:t>
      </w:r>
      <w:r w:rsidR="0072312A">
        <w:rPr>
          <w:b/>
          <w:bCs/>
        </w:rPr>
        <w:t>Contact Guide/</w:t>
      </w:r>
      <w:r>
        <w:rPr>
          <w:b/>
          <w:bCs/>
        </w:rPr>
        <w:t xml:space="preserve">Screening Call.  </w:t>
      </w:r>
      <w:r w:rsidRPr="00825B3C">
        <w:t>An initial screening call is placed to determine t</w:t>
      </w:r>
      <w:r>
        <w:t>he</w:t>
      </w:r>
      <w:r w:rsidRPr="00825B3C">
        <w:t xml:space="preserve"> type of facility</w:t>
      </w:r>
      <w:r>
        <w:t>, w</w:t>
      </w:r>
      <w:r w:rsidRPr="00825B3C">
        <w:t xml:space="preserve">hether the </w:t>
      </w:r>
      <w:r w:rsidR="00CA3761">
        <w:t>practice or facility</w:t>
      </w:r>
      <w:r w:rsidRPr="00825B3C">
        <w:t xml:space="preserve"> is in scope for the </w:t>
      </w:r>
      <w:r>
        <w:t>MEPS-</w:t>
      </w:r>
      <w:r w:rsidRPr="00825B3C">
        <w:t>MPC</w:t>
      </w:r>
      <w:r>
        <w:t>, t</w:t>
      </w:r>
      <w:r w:rsidRPr="00825B3C">
        <w:t xml:space="preserve">he appropriate </w:t>
      </w:r>
      <w:r>
        <w:t>MEPS-</w:t>
      </w:r>
      <w:r w:rsidRPr="00825B3C">
        <w:t>MPC respondent</w:t>
      </w:r>
      <w:r>
        <w:t xml:space="preserve"> and s</w:t>
      </w:r>
      <w:r w:rsidRPr="00825B3C">
        <w:t>ome details about the organization and availability of medical records and billing at the practice/facility</w:t>
      </w:r>
      <w:r>
        <w:t xml:space="preserve">.  </w:t>
      </w:r>
      <w:r w:rsidRPr="00825B3C">
        <w:t>All hospitals, physician offices</w:t>
      </w:r>
      <w:r w:rsidR="00690258">
        <w:t>, home health agencies, institutions</w:t>
      </w:r>
      <w:r w:rsidRPr="00825B3C">
        <w:t xml:space="preserve"> and pharmacies are screened by telephone.</w:t>
      </w:r>
      <w:r w:rsidR="0019152C">
        <w:t xml:space="preserve">  </w:t>
      </w:r>
      <w:r w:rsidR="0034354B">
        <w:t>A unique screening inst</w:t>
      </w:r>
      <w:r w:rsidR="001A48D1">
        <w:t>rument is used for each of the seven</w:t>
      </w:r>
      <w:r w:rsidR="0034354B">
        <w:t xml:space="preserve"> provider types in the MEPS-MPC</w:t>
      </w:r>
      <w:r w:rsidR="009127E0">
        <w:t>, except for the two home care provider types which use the same screening form</w:t>
      </w:r>
      <w:r w:rsidR="0019152C">
        <w:t>.</w:t>
      </w:r>
    </w:p>
    <w:p w:rsidR="00954B31" w:rsidRPr="00825B3C" w:rsidRDefault="00954B31" w:rsidP="00954B31"/>
    <w:p w:rsidR="00954B31" w:rsidRDefault="00954B31" w:rsidP="00954B31">
      <w:pPr>
        <w:numPr>
          <w:ilvl w:val="0"/>
          <w:numId w:val="17"/>
        </w:numPr>
        <w:ind w:left="360"/>
      </w:pPr>
      <w:r w:rsidRPr="00825B3C">
        <w:rPr>
          <w:b/>
          <w:bCs/>
        </w:rPr>
        <w:t xml:space="preserve">Home Care Provider </w:t>
      </w:r>
      <w:r>
        <w:rPr>
          <w:b/>
          <w:bCs/>
        </w:rPr>
        <w:t>Questionnaire</w:t>
      </w:r>
      <w:r w:rsidR="009F04FE">
        <w:rPr>
          <w:b/>
          <w:bCs/>
        </w:rPr>
        <w:t xml:space="preserve"> for Health Care Providers</w:t>
      </w:r>
      <w:r w:rsidRPr="00825B3C">
        <w:rPr>
          <w:b/>
          <w:bCs/>
        </w:rPr>
        <w:t>.</w:t>
      </w:r>
      <w:r w:rsidRPr="00825B3C">
        <w:t xml:space="preserve">  This questionnaire is used to collect data from home health care agencies</w:t>
      </w:r>
      <w:r w:rsidR="00465CEE">
        <w:t xml:space="preserve"> </w:t>
      </w:r>
      <w:r w:rsidRPr="00825B3C">
        <w:t>which provide medical care services to household respondents.  Information collected includes type of personnel providing care, hours or visits provided per month, and the charges and payments for services received.</w:t>
      </w:r>
      <w:r>
        <w:t xml:space="preserve">  </w:t>
      </w:r>
    </w:p>
    <w:p w:rsidR="00465CEE" w:rsidRDefault="00465CEE" w:rsidP="00465CEE">
      <w:pPr>
        <w:ind w:left="360"/>
      </w:pPr>
    </w:p>
    <w:p w:rsidR="00465CEE" w:rsidRDefault="00465CEE" w:rsidP="00954B31">
      <w:pPr>
        <w:numPr>
          <w:ilvl w:val="0"/>
          <w:numId w:val="17"/>
        </w:numPr>
        <w:ind w:left="360"/>
      </w:pPr>
      <w:r w:rsidRPr="00825B3C">
        <w:rPr>
          <w:b/>
          <w:bCs/>
        </w:rPr>
        <w:t xml:space="preserve">Home Care Provider </w:t>
      </w:r>
      <w:r>
        <w:rPr>
          <w:b/>
          <w:bCs/>
        </w:rPr>
        <w:t>Questionnaire</w:t>
      </w:r>
      <w:r w:rsidRPr="00825B3C">
        <w:rPr>
          <w:b/>
          <w:bCs/>
        </w:rPr>
        <w:t xml:space="preserve"> for Non</w:t>
      </w:r>
      <w:r w:rsidRPr="00825B3C">
        <w:rPr>
          <w:b/>
          <w:bCs/>
        </w:rPr>
        <w:noBreakHyphen/>
      </w:r>
      <w:r>
        <w:rPr>
          <w:b/>
          <w:bCs/>
        </w:rPr>
        <w:t>H</w:t>
      </w:r>
      <w:r w:rsidRPr="00825B3C">
        <w:rPr>
          <w:b/>
          <w:bCs/>
        </w:rPr>
        <w:t xml:space="preserve">ealth Care Providers.  </w:t>
      </w:r>
      <w:r w:rsidRPr="00825B3C">
        <w:t>This</w:t>
      </w:r>
      <w:r w:rsidR="009F04FE">
        <w:t xml:space="preserve"> questionnaire</w:t>
      </w:r>
      <w:r w:rsidRPr="00825B3C">
        <w:t xml:space="preserve"> is used to collect information about services provided in the home by non</w:t>
      </w:r>
      <w:r w:rsidRPr="00825B3C">
        <w:noBreakHyphen/>
        <w:t>health care workers to household respondents because of a medical condition; for example, cleaning or yard work, transportation, shopping, or child care.</w:t>
      </w:r>
      <w:r>
        <w:t xml:space="preserve">  </w:t>
      </w:r>
    </w:p>
    <w:p w:rsidR="009F04FE" w:rsidRDefault="009F04FE" w:rsidP="009F04FE">
      <w:pPr>
        <w:ind w:left="360"/>
      </w:pPr>
    </w:p>
    <w:p w:rsidR="009F04FE" w:rsidRDefault="009F04FE" w:rsidP="00954B31">
      <w:pPr>
        <w:numPr>
          <w:ilvl w:val="0"/>
          <w:numId w:val="17"/>
        </w:numPr>
        <w:ind w:left="360"/>
      </w:pPr>
      <w:r w:rsidRPr="00825B3C">
        <w:rPr>
          <w:b/>
          <w:bCs/>
        </w:rPr>
        <w:t xml:space="preserve">Medical Event </w:t>
      </w:r>
      <w:r>
        <w:rPr>
          <w:b/>
          <w:bCs/>
        </w:rPr>
        <w:t>Questionnaire</w:t>
      </w:r>
      <w:r w:rsidRPr="00825B3C">
        <w:rPr>
          <w:b/>
          <w:bCs/>
        </w:rPr>
        <w:t xml:space="preserve"> for Office</w:t>
      </w:r>
      <w:r w:rsidRPr="00825B3C">
        <w:rPr>
          <w:b/>
          <w:bCs/>
        </w:rPr>
        <w:noBreakHyphen/>
      </w:r>
      <w:r>
        <w:rPr>
          <w:b/>
          <w:bCs/>
        </w:rPr>
        <w:t>B</w:t>
      </w:r>
      <w:r w:rsidRPr="00825B3C">
        <w:rPr>
          <w:b/>
          <w:bCs/>
        </w:rPr>
        <w:t>ased Providers.</w:t>
      </w:r>
      <w:r w:rsidRPr="00825B3C">
        <w:t xml:space="preserve">  This questionnaire is for office</w:t>
      </w:r>
      <w:r w:rsidRPr="00825B3C">
        <w:noBreakHyphen/>
        <w:t>based physician</w:t>
      </w:r>
      <w:r w:rsidR="00555549">
        <w:t>s</w:t>
      </w:r>
      <w:r w:rsidRPr="00825B3C">
        <w:t>, including doctors of medicine (MDs) and osteopathy (DOs), as well as providers practicing under the d</w:t>
      </w:r>
      <w:r w:rsidR="001A48D1">
        <w:t>irection or supervision of an MD</w:t>
      </w:r>
      <w:r w:rsidRPr="00825B3C">
        <w:t xml:space="preserve"> or DO (e.g., physician assistants and nurse practitioners working in clinics).  Providers of care in private offices as well as staff model HMOs are included.</w:t>
      </w:r>
      <w:r>
        <w:t xml:space="preserve">  </w:t>
      </w:r>
    </w:p>
    <w:p w:rsidR="003A2BE5" w:rsidRDefault="003A2BE5" w:rsidP="003A2BE5">
      <w:pPr>
        <w:ind w:left="360"/>
      </w:pPr>
    </w:p>
    <w:p w:rsidR="00914FE2" w:rsidRDefault="003A2BE5" w:rsidP="0019152C">
      <w:pPr>
        <w:numPr>
          <w:ilvl w:val="0"/>
          <w:numId w:val="17"/>
        </w:numPr>
        <w:ind w:left="360"/>
      </w:pPr>
      <w:r w:rsidRPr="006D11E8">
        <w:rPr>
          <w:b/>
          <w:bCs/>
        </w:rPr>
        <w:t>Medical Event Questionnaire for Separately Billing Doctors.</w:t>
      </w:r>
      <w:r w:rsidRPr="00825B3C">
        <w:t xml:space="preserve">  </w:t>
      </w:r>
      <w:r>
        <w:t xml:space="preserve">This questionnaire collects </w:t>
      </w:r>
      <w:r w:rsidR="006D11E8">
        <w:t>i</w:t>
      </w:r>
      <w:r w:rsidRPr="00825B3C">
        <w:t>nformation from physicians identified by hospitals</w:t>
      </w:r>
      <w:r w:rsidR="00766588">
        <w:t xml:space="preserve"> (during the Hospital Event data collection)</w:t>
      </w:r>
      <w:r w:rsidRPr="00825B3C">
        <w:t xml:space="preserve"> as </w:t>
      </w:r>
      <w:r w:rsidRPr="00825B3C">
        <w:lastRenderedPageBreak/>
        <w:t xml:space="preserve">providing care to sampled persons during the course of inpatient, outpatient department or emergency room care, but who bill separately from </w:t>
      </w:r>
      <w:r>
        <w:t>the hospital</w:t>
      </w:r>
      <w:r w:rsidR="00766588">
        <w:t>.</w:t>
      </w:r>
      <w:r>
        <w:t xml:space="preserve">  </w:t>
      </w:r>
    </w:p>
    <w:p w:rsidR="006D11E8" w:rsidRDefault="006D11E8" w:rsidP="006D11E8">
      <w:pPr>
        <w:ind w:left="360"/>
      </w:pPr>
    </w:p>
    <w:p w:rsidR="006D11E8" w:rsidRDefault="006D11E8" w:rsidP="0019152C">
      <w:pPr>
        <w:numPr>
          <w:ilvl w:val="0"/>
          <w:numId w:val="17"/>
        </w:numPr>
        <w:ind w:left="360"/>
      </w:pPr>
      <w:r w:rsidRPr="00825B3C">
        <w:rPr>
          <w:b/>
          <w:bCs/>
        </w:rPr>
        <w:t xml:space="preserve">Hospital Event </w:t>
      </w:r>
      <w:r>
        <w:rPr>
          <w:b/>
          <w:bCs/>
        </w:rPr>
        <w:t>Questionnaire</w:t>
      </w:r>
      <w:r w:rsidRPr="00825B3C">
        <w:rPr>
          <w:b/>
          <w:bCs/>
        </w:rPr>
        <w:t>.</w:t>
      </w:r>
      <w:r w:rsidRPr="00825B3C">
        <w:t xml:space="preserve">  This questionnaire is used to collect information about hospital events, including inpatient stays, outpatient department, and emergency room visits.  Hospital data are collected not only from the billing department, but from medical records and administrative records departments as well.  Medical records departments are contacted to determine the names of all the doctors who treated the patient during a stay or visit.  In many cases, the hospital administrative office also has to be contacted to determine whether the doctors identified by medical records billed separately from the hospital itself</w:t>
      </w:r>
      <w:r w:rsidR="009D18EB">
        <w:t xml:space="preserve">; </w:t>
      </w:r>
      <w:r w:rsidR="00F84C47" w:rsidRPr="00F84C47">
        <w:t xml:space="preserve">the doctors </w:t>
      </w:r>
      <w:r w:rsidR="00F84C47" w:rsidRPr="001D5ADA">
        <w:t>that do bill separately from the hospital</w:t>
      </w:r>
      <w:r w:rsidR="00F84C47" w:rsidRPr="00F84C47">
        <w:rPr>
          <w:color w:val="1F497D"/>
        </w:rPr>
        <w:t xml:space="preserve"> </w:t>
      </w:r>
      <w:r w:rsidR="00F84C47" w:rsidRPr="00F84C47">
        <w:t>will be contacted as part of the Medical Event Questionnaire for Separately Billing Doctors</w:t>
      </w:r>
      <w:r w:rsidRPr="00825B3C">
        <w:t>.</w:t>
      </w:r>
      <w:r>
        <w:t xml:space="preserve">  </w:t>
      </w:r>
      <w:r w:rsidRPr="006D11E8">
        <w:t>HMOs are included in this provider type</w:t>
      </w:r>
      <w:r w:rsidRPr="00766588">
        <w:t>.</w:t>
      </w:r>
      <w:r>
        <w:t xml:space="preserve">  </w:t>
      </w:r>
    </w:p>
    <w:p w:rsidR="00533A75" w:rsidRDefault="00533A75" w:rsidP="00533A75">
      <w:pPr>
        <w:ind w:left="360"/>
      </w:pPr>
    </w:p>
    <w:p w:rsidR="00533A75" w:rsidRDefault="00533A75" w:rsidP="0019152C">
      <w:pPr>
        <w:numPr>
          <w:ilvl w:val="0"/>
          <w:numId w:val="17"/>
        </w:numPr>
        <w:ind w:left="360"/>
      </w:pPr>
      <w:r>
        <w:rPr>
          <w:b/>
          <w:bCs/>
        </w:rPr>
        <w:t>Institutions</w:t>
      </w:r>
      <w:r w:rsidRPr="00825B3C">
        <w:rPr>
          <w:b/>
          <w:bCs/>
        </w:rPr>
        <w:t xml:space="preserve"> Event </w:t>
      </w:r>
      <w:r>
        <w:rPr>
          <w:b/>
          <w:bCs/>
        </w:rPr>
        <w:t>Questionnaire</w:t>
      </w:r>
      <w:r w:rsidRPr="00825B3C">
        <w:rPr>
          <w:b/>
          <w:bCs/>
        </w:rPr>
        <w:t>.</w:t>
      </w:r>
      <w:r w:rsidRPr="00825B3C">
        <w:t xml:space="preserve">  This questionnaire is used to collect information about </w:t>
      </w:r>
      <w:r>
        <w:t xml:space="preserve">institution </w:t>
      </w:r>
      <w:r w:rsidRPr="00825B3C">
        <w:t xml:space="preserve">events, including </w:t>
      </w:r>
      <w:r>
        <w:t>nursing homes, rehabilitation facilities and skilled nursing facilities</w:t>
      </w:r>
      <w:r w:rsidRPr="00825B3C">
        <w:t xml:space="preserve">.  </w:t>
      </w:r>
      <w:r>
        <w:t xml:space="preserve">Institution </w:t>
      </w:r>
      <w:r w:rsidRPr="00825B3C">
        <w:t xml:space="preserve">data are collected not only from the billing department, but from medical records and administrative records departments as well.  Medical records departments are contacted to determine the names of all the doctors who treated the patient during a stay.  In many cases, the </w:t>
      </w:r>
      <w:r>
        <w:t xml:space="preserve">institution </w:t>
      </w:r>
      <w:r w:rsidRPr="00825B3C">
        <w:t xml:space="preserve">administrative office also has to be contacted to determine whether the doctors identified by medical records billed separately from the </w:t>
      </w:r>
      <w:r>
        <w:t xml:space="preserve">institution </w:t>
      </w:r>
      <w:r w:rsidRPr="00825B3C">
        <w:t>itself.</w:t>
      </w:r>
      <w:r>
        <w:t xml:space="preserve">  </w:t>
      </w:r>
    </w:p>
    <w:p w:rsidR="00DF2905" w:rsidRDefault="00DF2905" w:rsidP="00DF2905">
      <w:pPr>
        <w:ind w:left="360"/>
      </w:pPr>
    </w:p>
    <w:p w:rsidR="00DF2905" w:rsidRDefault="00DF2905" w:rsidP="0019152C">
      <w:pPr>
        <w:numPr>
          <w:ilvl w:val="0"/>
          <w:numId w:val="17"/>
        </w:numPr>
        <w:ind w:left="360"/>
      </w:pPr>
      <w:r w:rsidRPr="00FD4A56">
        <w:rPr>
          <w:b/>
          <w:bCs/>
        </w:rPr>
        <w:t>Pharmacy Data Collection Questionnaire.</w:t>
      </w:r>
      <w:r w:rsidRPr="00FD4A56">
        <w:t xml:space="preserve">  </w:t>
      </w:r>
      <w:r w:rsidRPr="00DF2905">
        <w:t xml:space="preserve">This questionnaire requests the national drug code (NDC) and when that is not available the prescription name, date prescription was filled, payments by source, prescription strength and form (when </w:t>
      </w:r>
      <w:r w:rsidR="001A48D1">
        <w:t xml:space="preserve">the </w:t>
      </w:r>
      <w:r w:rsidRPr="00DF2905">
        <w:t xml:space="preserve">NDC is not available), quantity, and person for whom the prescription was filled.  When </w:t>
      </w:r>
      <w:r w:rsidR="001A48D1">
        <w:t xml:space="preserve">the </w:t>
      </w:r>
      <w:r w:rsidRPr="00DF2905">
        <w:t>NDC is available, we do not ask for prescription name, strength or form because that information is embedded in the NDC; this reduces burden on the respondent</w:t>
      </w:r>
      <w:r w:rsidR="00690258">
        <w:t>.</w:t>
      </w:r>
      <w:r>
        <w:t xml:space="preserve"> </w:t>
      </w:r>
      <w:r w:rsidRPr="00FD4A56">
        <w:t>Most pharmacies have the requested information available in electronic format and respond by providing a computer generated printout of the patient’s prescription information.  If the computerized form is unavailable, the pharmacy can report their data to a telephone interviewer.</w:t>
      </w:r>
      <w:r>
        <w:t xml:space="preserve">  </w:t>
      </w:r>
      <w:r w:rsidRPr="00DF2905">
        <w:t xml:space="preserve">Pharmacies are also able to provide a CD-ROM with the requested information if that is preferred.  HMOs are included in this provider type. </w:t>
      </w:r>
      <w:r w:rsidR="00717738">
        <w:t xml:space="preserve"> </w:t>
      </w:r>
    </w:p>
    <w:p w:rsidR="00954B31" w:rsidRDefault="00954B31" w:rsidP="0019152C"/>
    <w:p w:rsidR="00BA0042" w:rsidRPr="00825B3C" w:rsidRDefault="00BA0042" w:rsidP="003E2146">
      <w:r w:rsidRPr="00825B3C">
        <w:t xml:space="preserve">Dentists, optometrists, psychologists, podiatrists, chiropractors, and others not providing care under the supervision of a MD or DO are considered out of scope for the </w:t>
      </w:r>
      <w:r w:rsidR="00555549">
        <w:t>MEPS-</w:t>
      </w:r>
      <w:r w:rsidRPr="00825B3C">
        <w:t>MPC.</w:t>
      </w:r>
    </w:p>
    <w:p w:rsidR="004F1C6B" w:rsidRDefault="004F1C6B" w:rsidP="00D47F07"/>
    <w:p w:rsidR="004F1C6B" w:rsidRPr="00825B3C" w:rsidRDefault="00A33327" w:rsidP="00D47F07">
      <w:r w:rsidRPr="00543725">
        <w:rPr>
          <w:bCs/>
        </w:rPr>
        <w:t xml:space="preserve">This study is being conducted by AHRQ through its contractors, </w:t>
      </w:r>
      <w:proofErr w:type="spellStart"/>
      <w:r w:rsidRPr="00543725">
        <w:rPr>
          <w:bCs/>
        </w:rPr>
        <w:t>Westat</w:t>
      </w:r>
      <w:proofErr w:type="spellEnd"/>
      <w:r w:rsidRPr="00543725">
        <w:rPr>
          <w:bCs/>
        </w:rPr>
        <w:t xml:space="preserve"> and RTI International, pursuant to AHRQ’s statutory authority to conduct and support research on healthcare and on systems for the delivery of such care, including activities with respect to the </w:t>
      </w:r>
      <w:r>
        <w:rPr>
          <w:bCs/>
        </w:rPr>
        <w:t>cost and use of health care services and with respect to health statistics and surveys</w:t>
      </w:r>
      <w:r w:rsidRPr="00543725">
        <w:rPr>
          <w:bCs/>
        </w:rPr>
        <w:t xml:space="preserve">.  42 U.S.C. </w:t>
      </w:r>
      <w:proofErr w:type="gramStart"/>
      <w:r w:rsidRPr="00543725">
        <w:rPr>
          <w:bCs/>
        </w:rPr>
        <w:t>299a(</w:t>
      </w:r>
      <w:proofErr w:type="gramEnd"/>
      <w:r w:rsidRPr="00543725">
        <w:rPr>
          <w:bCs/>
        </w:rPr>
        <w:t>a)(</w:t>
      </w:r>
      <w:r>
        <w:rPr>
          <w:bCs/>
        </w:rPr>
        <w:t>3</w:t>
      </w:r>
      <w:r w:rsidRPr="00543725">
        <w:rPr>
          <w:bCs/>
        </w:rPr>
        <w:t>) and (</w:t>
      </w:r>
      <w:r>
        <w:rPr>
          <w:bCs/>
        </w:rPr>
        <w:t>8</w:t>
      </w:r>
      <w:r w:rsidRPr="00543725">
        <w:rPr>
          <w:bCs/>
        </w:rPr>
        <w:t>)</w:t>
      </w:r>
      <w:r>
        <w:rPr>
          <w:bCs/>
        </w:rPr>
        <w:t>; 42 U.S.C. 299b-2.</w:t>
      </w:r>
    </w:p>
    <w:p w:rsidR="009B633D" w:rsidRPr="00983636" w:rsidRDefault="009B633D" w:rsidP="009B633D">
      <w:pPr>
        <w:pStyle w:val="Heading2"/>
        <w:rPr>
          <w:sz w:val="24"/>
        </w:rPr>
      </w:pPr>
      <w:r w:rsidRPr="00983636">
        <w:rPr>
          <w:sz w:val="24"/>
        </w:rPr>
        <w:t>2. Purpose and Use of Information</w:t>
      </w:r>
      <w:bookmarkEnd w:id="4"/>
      <w:bookmarkEnd w:id="5"/>
    </w:p>
    <w:p w:rsidR="00D47F07" w:rsidRPr="00825B3C" w:rsidRDefault="00C13CBB" w:rsidP="00D47F07">
      <w:bookmarkStart w:id="6" w:name="_Toc151782178"/>
      <w:bookmarkStart w:id="7" w:name="_Toc158526218"/>
      <w:r>
        <w:t xml:space="preserve">The </w:t>
      </w:r>
      <w:r w:rsidR="00D47F07" w:rsidRPr="00825B3C">
        <w:t>MEPS is a multi-purpose survey.  In addition to collecting data to yield annual estimates for a variety of measures related to health care use and expenditures, MEPS also provides estimates of measures related to health status</w:t>
      </w:r>
      <w:r w:rsidR="00FD06B3">
        <w:t>,</w:t>
      </w:r>
      <w:r w:rsidR="00D47F07" w:rsidRPr="00825B3C">
        <w:t xml:space="preserve"> consumer assessment of health care</w:t>
      </w:r>
      <w:r w:rsidR="00FD06B3">
        <w:t>,</w:t>
      </w:r>
      <w:r w:rsidR="00D47F07" w:rsidRPr="00825B3C">
        <w:t xml:space="preserve"> health insurance coverage, demographic characteristics, employment and access to health care indicators.   Estimates can be provided for individuals, families and population subgroups of interest.  Data obtained in this study are used to provide, among others, the following national estimates</w:t>
      </w:r>
      <w:r w:rsidR="00D47F07">
        <w:t>:</w:t>
      </w:r>
    </w:p>
    <w:p w:rsidR="00D47F07" w:rsidRPr="00825B3C" w:rsidRDefault="00D47F07" w:rsidP="00D47F07"/>
    <w:p w:rsidR="00D47F07" w:rsidRPr="00825B3C" w:rsidRDefault="00D47F07" w:rsidP="00D47F07">
      <w:pPr>
        <w:pStyle w:val="Level1"/>
        <w:numPr>
          <w:ilvl w:val="0"/>
          <w:numId w:val="7"/>
        </w:numPr>
        <w:tabs>
          <w:tab w:val="left" w:pos="-1440"/>
        </w:tabs>
      </w:pPr>
      <w:r w:rsidRPr="00825B3C">
        <w:t>annual estimates of health care use and expenditures for persons and families</w:t>
      </w:r>
    </w:p>
    <w:p w:rsidR="00D47F07" w:rsidRPr="00825B3C" w:rsidRDefault="00D47F07" w:rsidP="00D47F07">
      <w:pPr>
        <w:pStyle w:val="Level1"/>
        <w:numPr>
          <w:ilvl w:val="0"/>
          <w:numId w:val="7"/>
        </w:numPr>
        <w:tabs>
          <w:tab w:val="left" w:pos="-1440"/>
        </w:tabs>
      </w:pPr>
      <w:r w:rsidRPr="00825B3C">
        <w:t>annual estimates of sources of payment for health care utilizations, including public programs such as Medicare and Medicaid, private insurance, and out of pocket payments</w:t>
      </w:r>
    </w:p>
    <w:p w:rsidR="00D47F07" w:rsidRPr="00825B3C" w:rsidRDefault="00D47F07" w:rsidP="00D47F07">
      <w:pPr>
        <w:pStyle w:val="Level1"/>
        <w:numPr>
          <w:ilvl w:val="0"/>
          <w:numId w:val="7"/>
        </w:numPr>
        <w:tabs>
          <w:tab w:val="left" w:pos="-1440"/>
        </w:tabs>
      </w:pPr>
      <w:r w:rsidRPr="00825B3C">
        <w:t>annual estimates of health care use, expenditures and sources of payment of persons and families by type of utilization including inpatient stay, ambulatory care, home health, dental care and prescribed medication</w:t>
      </w:r>
      <w:r w:rsidR="00D5775A">
        <w:t>s</w:t>
      </w:r>
    </w:p>
    <w:p w:rsidR="00D47F07" w:rsidRPr="00825B3C" w:rsidRDefault="00D47F07" w:rsidP="00D47F07">
      <w:pPr>
        <w:pStyle w:val="Level1"/>
        <w:numPr>
          <w:ilvl w:val="0"/>
          <w:numId w:val="7"/>
        </w:numPr>
        <w:tabs>
          <w:tab w:val="left" w:pos="-1440"/>
        </w:tabs>
      </w:pPr>
      <w:r w:rsidRPr="00825B3C">
        <w:t>the number and characteristics of the population eligible for public programs including the use of services and expenditures of the population(s) eligible for benefits under Medicare and Medicaid</w:t>
      </w:r>
    </w:p>
    <w:p w:rsidR="00D47F07" w:rsidRPr="00825B3C" w:rsidRDefault="00D47F07" w:rsidP="00D47F07">
      <w:pPr>
        <w:pStyle w:val="Level1"/>
        <w:numPr>
          <w:ilvl w:val="0"/>
          <w:numId w:val="7"/>
        </w:numPr>
        <w:tabs>
          <w:tab w:val="left" w:pos="-1440"/>
        </w:tabs>
      </w:pPr>
      <w:r w:rsidRPr="00825B3C">
        <w:t xml:space="preserve">the number, characteristics, </w:t>
      </w:r>
      <w:r w:rsidR="00D5775A">
        <w:t xml:space="preserve">and </w:t>
      </w:r>
      <w:r w:rsidRPr="00825B3C">
        <w:t xml:space="preserve">use of services and expenditures of persons and families </w:t>
      </w:r>
      <w:r>
        <w:t>with</w:t>
      </w:r>
      <w:r w:rsidRPr="00825B3C">
        <w:t xml:space="preserve"> various forms of insurance</w:t>
      </w:r>
    </w:p>
    <w:p w:rsidR="00D47F07" w:rsidRDefault="00D47F07" w:rsidP="00C13CBB">
      <w:pPr>
        <w:pStyle w:val="Level1"/>
        <w:numPr>
          <w:ilvl w:val="0"/>
          <w:numId w:val="7"/>
        </w:numPr>
        <w:tabs>
          <w:tab w:val="left" w:pos="-1440"/>
        </w:tabs>
      </w:pPr>
      <w:r w:rsidRPr="00825B3C">
        <w:t>annual estimates of consumer satisfaction with health care, and indicators of health care quality for key conditions</w:t>
      </w:r>
    </w:p>
    <w:p w:rsidR="00D47F07" w:rsidRPr="00825B3C" w:rsidRDefault="00D47F07" w:rsidP="000A6C54">
      <w:pPr>
        <w:pStyle w:val="Level1"/>
        <w:numPr>
          <w:ilvl w:val="0"/>
          <w:numId w:val="7"/>
        </w:numPr>
        <w:tabs>
          <w:tab w:val="left" w:pos="-1440"/>
        </w:tabs>
      </w:pPr>
      <w:r>
        <w:t>annual estimates to track disparities in health care use and access</w:t>
      </w:r>
    </w:p>
    <w:p w:rsidR="00D47F07" w:rsidRPr="00825B3C" w:rsidRDefault="00D47F07" w:rsidP="00D47F07"/>
    <w:p w:rsidR="00D47F07" w:rsidRPr="00825B3C" w:rsidRDefault="00D47F07" w:rsidP="00D47F07">
      <w:r w:rsidRPr="00825B3C">
        <w:t>In addition to national estimates, data collected in this ongoing longitudinal study are used to study the determinants of the use of services and expenditures, and changes in the access to and the provision of health care in relation to:</w:t>
      </w:r>
    </w:p>
    <w:p w:rsidR="00D47F07" w:rsidRPr="00825B3C" w:rsidRDefault="00D47F07" w:rsidP="00D47F07"/>
    <w:p w:rsidR="00D47F07" w:rsidRPr="00825B3C" w:rsidRDefault="00D47F07" w:rsidP="000A6C54">
      <w:pPr>
        <w:pStyle w:val="Level1"/>
        <w:numPr>
          <w:ilvl w:val="0"/>
          <w:numId w:val="8"/>
        </w:numPr>
        <w:tabs>
          <w:tab w:val="left" w:pos="-1440"/>
        </w:tabs>
      </w:pPr>
      <w:r w:rsidRPr="00825B3C">
        <w:t>soci</w:t>
      </w:r>
      <w:r>
        <w:t>o-economic</w:t>
      </w:r>
      <w:r w:rsidRPr="00825B3C">
        <w:t xml:space="preserve"> and demographic factors such as employment or income</w:t>
      </w:r>
    </w:p>
    <w:p w:rsidR="00D47F07" w:rsidRPr="00825B3C" w:rsidRDefault="00D47F07" w:rsidP="000A6C54">
      <w:pPr>
        <w:pStyle w:val="Level1"/>
        <w:numPr>
          <w:ilvl w:val="0"/>
          <w:numId w:val="8"/>
        </w:numPr>
        <w:tabs>
          <w:tab w:val="left" w:pos="-1440"/>
        </w:tabs>
      </w:pPr>
      <w:r w:rsidRPr="00825B3C">
        <w:t>the health status and satisfaction with health care of individuals and families</w:t>
      </w:r>
    </w:p>
    <w:p w:rsidR="00D47F07" w:rsidRPr="00825B3C" w:rsidRDefault="00D47F07" w:rsidP="000A6C54">
      <w:pPr>
        <w:pStyle w:val="Level1"/>
        <w:numPr>
          <w:ilvl w:val="0"/>
          <w:numId w:val="8"/>
        </w:numPr>
        <w:tabs>
          <w:tab w:val="left" w:pos="-1440"/>
        </w:tabs>
      </w:pPr>
      <w:r w:rsidRPr="00825B3C">
        <w:t>the health needs and circumstances of specific subpopulation groups such as the elderly and children</w:t>
      </w:r>
    </w:p>
    <w:p w:rsidR="00D47F07" w:rsidRPr="00825B3C" w:rsidRDefault="00D47F07" w:rsidP="00D47F07"/>
    <w:p w:rsidR="00D47F07" w:rsidRPr="00825B3C" w:rsidRDefault="00D47F07" w:rsidP="00D47F07">
      <w:r w:rsidRPr="00825B3C">
        <w:t>To meet the need for national data on healthcare use, access, cost and quality, MEPS</w:t>
      </w:r>
      <w:r w:rsidR="007030F4">
        <w:t>-HC</w:t>
      </w:r>
      <w:r w:rsidRPr="00825B3C">
        <w:t xml:space="preserve"> collects information on:</w:t>
      </w:r>
    </w:p>
    <w:p w:rsidR="00D47F07" w:rsidRPr="00825B3C" w:rsidRDefault="00D47F07" w:rsidP="00D47F07"/>
    <w:p w:rsidR="00D47F07" w:rsidRPr="00825B3C" w:rsidRDefault="00D47F07" w:rsidP="000A6C54">
      <w:pPr>
        <w:pStyle w:val="Level1"/>
        <w:numPr>
          <w:ilvl w:val="0"/>
          <w:numId w:val="9"/>
        </w:numPr>
        <w:tabs>
          <w:tab w:val="left" w:pos="-1440"/>
        </w:tabs>
      </w:pPr>
      <w:r w:rsidRPr="00825B3C">
        <w:t>access to care and barriers to receiving needed care</w:t>
      </w:r>
    </w:p>
    <w:p w:rsidR="00D47F07" w:rsidRPr="00825B3C" w:rsidRDefault="00D47F07" w:rsidP="000A6C54">
      <w:pPr>
        <w:pStyle w:val="Level1"/>
        <w:numPr>
          <w:ilvl w:val="0"/>
          <w:numId w:val="9"/>
        </w:numPr>
        <w:tabs>
          <w:tab w:val="left" w:pos="-1440"/>
        </w:tabs>
      </w:pPr>
      <w:r w:rsidRPr="00825B3C">
        <w:t>satisfaction with usual providers</w:t>
      </w:r>
    </w:p>
    <w:p w:rsidR="00D47F07" w:rsidRPr="00825B3C" w:rsidRDefault="00D47F07" w:rsidP="000A6C54">
      <w:pPr>
        <w:pStyle w:val="Level1"/>
        <w:numPr>
          <w:ilvl w:val="0"/>
          <w:numId w:val="9"/>
        </w:numPr>
        <w:tabs>
          <w:tab w:val="left" w:pos="-1440"/>
        </w:tabs>
      </w:pPr>
      <w:r w:rsidRPr="00825B3C">
        <w:t>health status and limitations in activities</w:t>
      </w:r>
    </w:p>
    <w:p w:rsidR="00D47F07" w:rsidRPr="00825B3C" w:rsidRDefault="00D47F07" w:rsidP="000A6C54">
      <w:pPr>
        <w:pStyle w:val="Level1"/>
        <w:numPr>
          <w:ilvl w:val="0"/>
          <w:numId w:val="9"/>
        </w:numPr>
        <w:tabs>
          <w:tab w:val="left" w:pos="-1440"/>
        </w:tabs>
      </w:pPr>
      <w:r w:rsidRPr="00825B3C">
        <w:t>medical conditions for which health care was used</w:t>
      </w:r>
    </w:p>
    <w:p w:rsidR="00D47F07" w:rsidRPr="00825B3C" w:rsidRDefault="00D47F07" w:rsidP="000A6C54">
      <w:pPr>
        <w:pStyle w:val="Level1"/>
        <w:numPr>
          <w:ilvl w:val="0"/>
          <w:numId w:val="9"/>
        </w:numPr>
        <w:tabs>
          <w:tab w:val="left" w:pos="-1440"/>
        </w:tabs>
      </w:pPr>
      <w:r w:rsidRPr="00825B3C">
        <w:t>use, expense and payment (</w:t>
      </w:r>
      <w:r w:rsidR="00D5775A">
        <w:t xml:space="preserve">as well as </w:t>
      </w:r>
      <w:r w:rsidRPr="00825B3C">
        <w:t>insurance status</w:t>
      </w:r>
      <w:r w:rsidR="00D5775A">
        <w:t xml:space="preserve"> of person receiving care</w:t>
      </w:r>
      <w:r w:rsidRPr="00825B3C">
        <w:t>) for health services</w:t>
      </w:r>
    </w:p>
    <w:p w:rsidR="00D47F07" w:rsidRPr="00825B3C" w:rsidRDefault="00D47F07" w:rsidP="00D47F07"/>
    <w:p w:rsidR="00D47F07" w:rsidRDefault="00D47F07" w:rsidP="00D47F07">
      <w:r w:rsidRPr="00825B3C">
        <w:t>Given the twin problems of nonresponse and</w:t>
      </w:r>
      <w:r>
        <w:t xml:space="preserve"> response error</w:t>
      </w:r>
      <w:r w:rsidRPr="00825B3C">
        <w:t xml:space="preserve"> of some household reported data, information is collected directly from medical providers in the </w:t>
      </w:r>
      <w:r w:rsidR="005A704C">
        <w:t>MEPS-</w:t>
      </w:r>
      <w:r w:rsidRPr="00825B3C">
        <w:t xml:space="preserve">MPC to improve the accuracy of expenditure estimates derived from the </w:t>
      </w:r>
      <w:r w:rsidR="005A704C">
        <w:t>MEPS-HC</w:t>
      </w:r>
      <w:r w:rsidRPr="00825B3C">
        <w:t xml:space="preserve">.  Because of their greater level of precision and detail, we also use </w:t>
      </w:r>
      <w:r w:rsidR="005A704C">
        <w:t>MEPS-</w:t>
      </w:r>
      <w:r w:rsidRPr="00825B3C">
        <w:t xml:space="preserve">MPC data as the main source of imputations of missing expenditure data. Thus, the </w:t>
      </w:r>
      <w:r w:rsidR="005A704C">
        <w:t>MEPS-</w:t>
      </w:r>
      <w:r w:rsidRPr="00825B3C">
        <w:t>MPC is designed to satisfy the following analytical objectives:</w:t>
      </w:r>
    </w:p>
    <w:p w:rsidR="00166AA9" w:rsidRPr="00825B3C" w:rsidRDefault="00166AA9" w:rsidP="00D47F07"/>
    <w:p w:rsidR="00D47F07" w:rsidRPr="00825B3C" w:rsidRDefault="00D47F07" w:rsidP="004D7B91">
      <w:pPr>
        <w:widowControl w:val="0"/>
        <w:numPr>
          <w:ilvl w:val="0"/>
          <w:numId w:val="6"/>
        </w:numPr>
        <w:autoSpaceDE w:val="0"/>
        <w:autoSpaceDN w:val="0"/>
        <w:adjustRightInd w:val="0"/>
      </w:pPr>
      <w:r w:rsidRPr="00825B3C">
        <w:t xml:space="preserve">Serve as </w:t>
      </w:r>
      <w:r>
        <w:t>source</w:t>
      </w:r>
      <w:r w:rsidRPr="00825B3C">
        <w:t xml:space="preserve"> data for household reported events with missing expenditure information</w:t>
      </w:r>
    </w:p>
    <w:p w:rsidR="00D47F07" w:rsidRPr="00825B3C" w:rsidRDefault="00D47F07" w:rsidP="004D7B91">
      <w:pPr>
        <w:widowControl w:val="0"/>
        <w:numPr>
          <w:ilvl w:val="0"/>
          <w:numId w:val="6"/>
        </w:numPr>
        <w:autoSpaceDE w:val="0"/>
        <w:autoSpaceDN w:val="0"/>
        <w:adjustRightInd w:val="0"/>
      </w:pPr>
      <w:r w:rsidRPr="00825B3C">
        <w:t xml:space="preserve">Serve as an imputation source to reduce the level of bias in survey estimates of medical expenditures due to item nonresponse and </w:t>
      </w:r>
      <w:r>
        <w:t xml:space="preserve">less complete and less accurate </w:t>
      </w:r>
      <w:r w:rsidRPr="00825B3C">
        <w:t>household data</w:t>
      </w:r>
    </w:p>
    <w:p w:rsidR="00E004B7" w:rsidRPr="00825B3C" w:rsidRDefault="00D47F07" w:rsidP="004D7B91">
      <w:pPr>
        <w:widowControl w:val="0"/>
        <w:numPr>
          <w:ilvl w:val="0"/>
          <w:numId w:val="6"/>
        </w:numPr>
        <w:autoSpaceDE w:val="0"/>
        <w:autoSpaceDN w:val="0"/>
        <w:adjustRightInd w:val="0"/>
      </w:pPr>
      <w:r w:rsidRPr="00825B3C">
        <w:t xml:space="preserve">Serve as the primary data source for expenditure estimates of medical care provided by separately billing doctors in hospitals, emergency rooms, and outpatient departments, </w:t>
      </w:r>
      <w:r w:rsidR="00544211">
        <w:t xml:space="preserve">Medicaid recipients </w:t>
      </w:r>
      <w:r w:rsidRPr="00825B3C">
        <w:t>and expenditure estimates for pharmacies</w:t>
      </w:r>
    </w:p>
    <w:p w:rsidR="00D47F07" w:rsidRPr="00825B3C" w:rsidRDefault="00D47F07" w:rsidP="00961879">
      <w:pPr>
        <w:widowControl w:val="0"/>
        <w:numPr>
          <w:ilvl w:val="0"/>
          <w:numId w:val="6"/>
        </w:numPr>
        <w:autoSpaceDE w:val="0"/>
        <w:autoSpaceDN w:val="0"/>
        <w:adjustRightInd w:val="0"/>
      </w:pPr>
      <w:r w:rsidRPr="00825B3C">
        <w:lastRenderedPageBreak/>
        <w:t>Allow for an examination of the level of agreement in reported expenditures from household respondents and medical providers</w:t>
      </w:r>
    </w:p>
    <w:p w:rsidR="00D47F07" w:rsidRPr="00825B3C" w:rsidRDefault="00D47F07" w:rsidP="00D47F07"/>
    <w:p w:rsidR="00A47876" w:rsidRDefault="00A47876" w:rsidP="00D47F07">
      <w:r w:rsidRPr="00825B3C">
        <w:t>Data from the MEPS</w:t>
      </w:r>
      <w:r>
        <w:t>, both the HC and MPC components,</w:t>
      </w:r>
      <w:r w:rsidRPr="00825B3C">
        <w:t xml:space="preserve"> </w:t>
      </w:r>
      <w:r>
        <w:t>are</w:t>
      </w:r>
      <w:r w:rsidRPr="00825B3C">
        <w:t xml:space="preserve"> intended for a number of annual reports required to be produced by </w:t>
      </w:r>
      <w:r w:rsidR="006825EE">
        <w:t>AHRQ</w:t>
      </w:r>
      <w:r w:rsidRPr="00825B3C">
        <w:t>, including the National Health Care Quality Report and the National Health Care Disparities Report.</w:t>
      </w:r>
    </w:p>
    <w:p w:rsidR="00D47F07" w:rsidRPr="00FD4A56" w:rsidRDefault="00D47F07" w:rsidP="00FD4A56">
      <w:pPr>
        <w:rPr>
          <w:i/>
        </w:rPr>
      </w:pPr>
    </w:p>
    <w:p w:rsidR="009B633D" w:rsidRPr="00983636" w:rsidRDefault="009B633D" w:rsidP="009B633D">
      <w:pPr>
        <w:pStyle w:val="Heading2"/>
        <w:rPr>
          <w:sz w:val="24"/>
        </w:rPr>
      </w:pPr>
      <w:r w:rsidRPr="00983636">
        <w:rPr>
          <w:sz w:val="24"/>
        </w:rPr>
        <w:t>3. Use of Improved Information Technology</w:t>
      </w:r>
      <w:bookmarkEnd w:id="6"/>
      <w:bookmarkEnd w:id="7"/>
    </w:p>
    <w:p w:rsidR="009B633D" w:rsidRPr="007E4359" w:rsidRDefault="0000058B" w:rsidP="007366C4">
      <w:pPr>
        <w:rPr>
          <w:i/>
        </w:rPr>
      </w:pPr>
      <w:r w:rsidRPr="00825B3C">
        <w:t>As in previous panels of the MEPS</w:t>
      </w:r>
      <w:r w:rsidR="00070791">
        <w:t>-HC</w:t>
      </w:r>
      <w:r w:rsidRPr="00825B3C">
        <w:t>, a CAPI</w:t>
      </w:r>
      <w:r w:rsidR="00070791">
        <w:t xml:space="preserve"> instrument</w:t>
      </w:r>
      <w:r w:rsidRPr="00825B3C">
        <w:t xml:space="preserve"> will be used (except the </w:t>
      </w:r>
      <w:r w:rsidR="00070791">
        <w:t>SAQs</w:t>
      </w:r>
      <w:r w:rsidRPr="00825B3C">
        <w:t xml:space="preserve">). The mode of administration for the </w:t>
      </w:r>
      <w:r w:rsidR="00070791">
        <w:t>MEPS-MPC</w:t>
      </w:r>
      <w:r w:rsidRPr="00825B3C">
        <w:t xml:space="preserve"> (including the pharmacy component) varies based on the preferences of the provider </w:t>
      </w:r>
      <w:r>
        <w:t>and</w:t>
      </w:r>
      <w:r w:rsidRPr="00825B3C">
        <w:t xml:space="preserve"> includes phone interviews, mail and electronic submission of information.</w:t>
      </w:r>
      <w:r w:rsidR="006364D2">
        <w:t xml:space="preserve">  </w:t>
      </w:r>
      <w:r w:rsidR="00E97963" w:rsidRPr="00E97963">
        <w:rPr>
          <w:color w:val="FF0000"/>
        </w:rPr>
        <w:t xml:space="preserve"> </w:t>
      </w:r>
      <w:r w:rsidR="00E97963">
        <w:t>Starting with</w:t>
      </w:r>
      <w:r w:rsidR="00E97963" w:rsidRPr="00E97963">
        <w:t xml:space="preserve"> the 2009 </w:t>
      </w:r>
      <w:r w:rsidR="00E97963">
        <w:t xml:space="preserve">MEPS-MPC data collection, a </w:t>
      </w:r>
      <w:r w:rsidR="00E97963" w:rsidRPr="00E97963">
        <w:t>computer-assisted system was developed for both interviewing and record abstraction. This Integrated Data Collection System (IDCS) supported the effort to recruit providers by telephone and to interview medical records and billing staffs of medical faciliti</w:t>
      </w:r>
      <w:r w:rsidR="00E97963">
        <w:t>es. For providers that prefer to</w:t>
      </w:r>
      <w:r w:rsidR="00E97963" w:rsidRPr="00E97963">
        <w:t xml:space="preserve"> send hard copy </w:t>
      </w:r>
      <w:r w:rsidR="00E97963">
        <w:t>records, the IDCS i</w:t>
      </w:r>
      <w:r w:rsidR="00E97963" w:rsidRPr="00E97963">
        <w:t xml:space="preserve">s used to abstract information from medical records and patient accounts.  The IDCS consists of two main systems: </w:t>
      </w:r>
      <w:r w:rsidR="0027498A">
        <w:t xml:space="preserve">1) </w:t>
      </w:r>
      <w:r w:rsidR="00E97963" w:rsidRPr="00E97963">
        <w:t>a Web component in ASP.Net in which the MEPS-MPC forms (Contact Guides and</w:t>
      </w:r>
      <w:r w:rsidR="0027498A">
        <w:t xml:space="preserve"> Event Forms) are</w:t>
      </w:r>
      <w:r w:rsidR="00E97963" w:rsidRPr="00E97963">
        <w:t xml:space="preserve"> programmed for either data entry either during telephone calls or record abstraction</w:t>
      </w:r>
      <w:r w:rsidR="0027498A">
        <w:t xml:space="preserve"> and 2)</w:t>
      </w:r>
      <w:r w:rsidR="00E97963" w:rsidRPr="00E97963">
        <w:t xml:space="preserve"> a Case Mana</w:t>
      </w:r>
      <w:r w:rsidR="0027498A">
        <w:t>gement System (CMS) that manages</w:t>
      </w:r>
      <w:r w:rsidR="00E97963" w:rsidRPr="00E97963">
        <w:t xml:space="preserve"> the medical providers and associated forms for call scheduling, contact information, appointment times, and event/status information.</w:t>
      </w:r>
      <w:r w:rsidR="006364D2">
        <w:t xml:space="preserve">   </w:t>
      </w:r>
    </w:p>
    <w:p w:rsidR="009B633D" w:rsidRDefault="009B633D" w:rsidP="009B633D">
      <w:pPr>
        <w:pStyle w:val="Heading2"/>
        <w:rPr>
          <w:sz w:val="24"/>
        </w:rPr>
      </w:pPr>
      <w:bookmarkStart w:id="8" w:name="_Toc151782179"/>
      <w:bookmarkStart w:id="9" w:name="_Toc158526219"/>
      <w:r w:rsidRPr="00983636">
        <w:rPr>
          <w:sz w:val="24"/>
        </w:rPr>
        <w:t>4. Efforts to Identify Duplication</w:t>
      </w:r>
      <w:bookmarkEnd w:id="8"/>
      <w:bookmarkEnd w:id="9"/>
    </w:p>
    <w:p w:rsidR="007E4359" w:rsidRDefault="0000058B" w:rsidP="0000058B">
      <w:pPr>
        <w:spacing w:before="100" w:beforeAutospacing="1" w:after="100" w:afterAutospacing="1"/>
      </w:pPr>
      <w:r w:rsidRPr="00825B3C">
        <w:t>There is no</w:t>
      </w:r>
      <w:r w:rsidR="007366C4">
        <w:t xml:space="preserve"> other</w:t>
      </w:r>
      <w:r w:rsidRPr="00825B3C">
        <w:t xml:space="preserve"> survey that is now or has been recently conducted that will meet all of the objectives of the MEPS.  Some federal surveys do collect health insurance information from households (SIPP, NHIS); however these surveys do not collect the depth of information on health care use and expense</w:t>
      </w:r>
      <w:r>
        <w:t>s</w:t>
      </w:r>
      <w:r w:rsidRPr="00825B3C">
        <w:t xml:space="preserve"> available in the MEPS.  Moreover, MEPS is the only survey which links information collected from households with information collected from medical providers to inform the estimation of expenditures.</w:t>
      </w:r>
    </w:p>
    <w:p w:rsidR="009B633D" w:rsidRPr="00983636" w:rsidRDefault="009B633D" w:rsidP="009B633D">
      <w:pPr>
        <w:pStyle w:val="Heading2"/>
        <w:rPr>
          <w:sz w:val="24"/>
        </w:rPr>
      </w:pPr>
      <w:bookmarkStart w:id="10" w:name="_Toc151782180"/>
      <w:bookmarkStart w:id="11" w:name="_Toc158526220"/>
      <w:r w:rsidRPr="00983636">
        <w:rPr>
          <w:sz w:val="24"/>
        </w:rPr>
        <w:t>5. Involvement of Small Entities</w:t>
      </w:r>
      <w:bookmarkEnd w:id="10"/>
      <w:bookmarkEnd w:id="11"/>
    </w:p>
    <w:p w:rsidR="00F60488" w:rsidRPr="00F60488" w:rsidRDefault="0000058B" w:rsidP="0000058B">
      <w:pPr>
        <w:spacing w:before="100" w:beforeAutospacing="1" w:after="100" w:afterAutospacing="1"/>
        <w:rPr>
          <w:i/>
        </w:rPr>
      </w:pPr>
      <w:r w:rsidRPr="00825B3C">
        <w:t xml:space="preserve">The MEPS-HC collects information only from households. The MEPS-MPC will survey medical facilities, physicians, and pharmacies. Some of the MPC respondents may be small businesses. The </w:t>
      </w:r>
      <w:r w:rsidR="007366C4">
        <w:t>MEPS-</w:t>
      </w:r>
      <w:r w:rsidRPr="00825B3C">
        <w:t>MPC instrument and procedures used to collect data are designed to minimize the burden on all respondents.</w:t>
      </w:r>
    </w:p>
    <w:p w:rsidR="009B633D" w:rsidRPr="00983636" w:rsidRDefault="009B633D" w:rsidP="009B633D">
      <w:pPr>
        <w:pStyle w:val="Heading2"/>
        <w:rPr>
          <w:sz w:val="24"/>
        </w:rPr>
      </w:pPr>
      <w:bookmarkStart w:id="12" w:name="_Toc151782181"/>
      <w:bookmarkStart w:id="13" w:name="_Toc158526221"/>
      <w:r w:rsidRPr="00983636">
        <w:rPr>
          <w:sz w:val="24"/>
        </w:rPr>
        <w:t>6. Consequences if Information Collected Less Frequently</w:t>
      </w:r>
      <w:bookmarkEnd w:id="12"/>
      <w:bookmarkEnd w:id="13"/>
    </w:p>
    <w:p w:rsidR="0000058B" w:rsidRPr="00825B3C" w:rsidRDefault="0000058B" w:rsidP="0000058B">
      <w:bookmarkStart w:id="14" w:name="_Toc151782182"/>
      <w:bookmarkStart w:id="15" w:name="_Toc158526222"/>
      <w:r w:rsidRPr="00825B3C">
        <w:t>The design of the MEPS</w:t>
      </w:r>
      <w:r w:rsidR="007366C4">
        <w:t>-HC</w:t>
      </w:r>
      <w:r w:rsidRPr="00825B3C">
        <w:t xml:space="preserve"> in which households are contacted 5 times over the course of 2 years enables the gathering of medical use data at the event level and permits the estimation of expenditures and payments for persons by event type.  Reducing the number of rounds in which the data are collected would hamper the availability and quality of information due to long recall periods.</w:t>
      </w:r>
    </w:p>
    <w:p w:rsidR="0000058B" w:rsidRPr="00825B3C" w:rsidRDefault="007366C4" w:rsidP="0000058B">
      <w:r w:rsidRPr="00D133AE">
        <w:t>MEPS-</w:t>
      </w:r>
      <w:r w:rsidR="0000058B" w:rsidRPr="00D133AE">
        <w:t xml:space="preserve">MPC respondents </w:t>
      </w:r>
      <w:r w:rsidR="0000058B" w:rsidRPr="00A47876">
        <w:t xml:space="preserve">are contacted </w:t>
      </w:r>
      <w:r w:rsidR="00E7392F" w:rsidRPr="00A47876">
        <w:t xml:space="preserve">at least </w:t>
      </w:r>
      <w:r w:rsidR="0000058B" w:rsidRPr="00A47876">
        <w:t xml:space="preserve">once during the calendar year for the preceding data collection year. </w:t>
      </w:r>
      <w:r w:rsidR="007D15FE" w:rsidRPr="00A47876">
        <w:t xml:space="preserve"> </w:t>
      </w:r>
      <w:r w:rsidR="00E7392F" w:rsidRPr="00A47876">
        <w:t>Sometimes a follow up contact is necessary to clarify ambiguous or collect missing information.</w:t>
      </w:r>
      <w:r w:rsidR="00E7392F">
        <w:t xml:space="preserve">  </w:t>
      </w:r>
      <w:proofErr w:type="gramStart"/>
      <w:r w:rsidR="0000058B" w:rsidRPr="00825B3C">
        <w:t>Contacts on a less frequent basis than the envisioned timetable jeopardizes the access of the study to information from records that could otherwise be destroyed or archived.</w:t>
      </w:r>
      <w:proofErr w:type="gramEnd"/>
      <w:r w:rsidR="0000058B" w:rsidRPr="00825B3C">
        <w:t xml:space="preserve"> </w:t>
      </w:r>
    </w:p>
    <w:p w:rsidR="009B633D" w:rsidRDefault="009B633D" w:rsidP="009B633D">
      <w:pPr>
        <w:pStyle w:val="Heading2"/>
        <w:rPr>
          <w:sz w:val="24"/>
        </w:rPr>
      </w:pPr>
      <w:r w:rsidRPr="00412C6F">
        <w:rPr>
          <w:sz w:val="24"/>
        </w:rPr>
        <w:lastRenderedPageBreak/>
        <w:t>7. Special Circumstances</w:t>
      </w:r>
      <w:bookmarkEnd w:id="14"/>
      <w:bookmarkEnd w:id="15"/>
    </w:p>
    <w:p w:rsidR="0000058B" w:rsidRPr="00825B3C" w:rsidRDefault="0000058B" w:rsidP="0000058B">
      <w:r w:rsidRPr="00825B3C">
        <w:t>Aside from offering compensation to respondents, the MEPS</w:t>
      </w:r>
      <w:r w:rsidR="007366C4">
        <w:t>-</w:t>
      </w:r>
      <w:r w:rsidRPr="00825B3C">
        <w:t xml:space="preserve">HC and MPC will fully comply with 5 CFR 1320.6.  </w:t>
      </w:r>
    </w:p>
    <w:p w:rsidR="0000058B" w:rsidRPr="00825B3C" w:rsidRDefault="0000058B" w:rsidP="0000058B"/>
    <w:p w:rsidR="004E3A1B" w:rsidRDefault="009B633D" w:rsidP="004E3A1B">
      <w:pPr>
        <w:pStyle w:val="Heading2"/>
        <w:rPr>
          <w:sz w:val="24"/>
          <w:szCs w:val="24"/>
        </w:rPr>
      </w:pPr>
      <w:bookmarkStart w:id="16" w:name="_Toc151782183"/>
      <w:bookmarkStart w:id="17" w:name="_Toc158526223"/>
      <w:r w:rsidRPr="00412C6F">
        <w:rPr>
          <w:sz w:val="24"/>
        </w:rPr>
        <w:t>8.</w:t>
      </w:r>
      <w:r w:rsidRPr="004E3A1B">
        <w:rPr>
          <w:sz w:val="24"/>
          <w:szCs w:val="24"/>
        </w:rPr>
        <w:t xml:space="preserve"> </w:t>
      </w:r>
      <w:bookmarkEnd w:id="16"/>
      <w:bookmarkEnd w:id="17"/>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7C1ECB" w:rsidRPr="007C1ECB" w:rsidRDefault="007C1ECB" w:rsidP="004E3A1B"/>
    <w:p w:rsidR="004E3A1B" w:rsidRPr="004E3A1B" w:rsidRDefault="00A30D9A" w:rsidP="004E3A1B">
      <w:r>
        <w:t xml:space="preserve">As required by </w:t>
      </w:r>
      <w:r w:rsidR="0037771B">
        <w:t xml:space="preserve">5 CFR 1320.8(d), </w:t>
      </w:r>
      <w:r w:rsidR="00B064A1">
        <w:t>n</w:t>
      </w:r>
      <w:r w:rsidR="00B064A1" w:rsidRPr="007B4120">
        <w:t>otices w</w:t>
      </w:r>
      <w:r w:rsidR="00B064A1">
        <w:t>ere</w:t>
      </w:r>
      <w:r w:rsidR="00B064A1" w:rsidRPr="007B4120">
        <w:t xml:space="preserve"> published in the Federal Register on August 29th, 2014, for 60 days and again on November 25th, 2014 for 30 days (see</w:t>
      </w:r>
      <w:r w:rsidR="00EE4455">
        <w:t xml:space="preserve"> </w:t>
      </w:r>
      <w:r w:rsidR="001C6AE4">
        <w:t>A</w:t>
      </w:r>
      <w:r w:rsidR="00EE4455">
        <w:t xml:space="preserve">ttachment </w:t>
      </w:r>
      <w:r w:rsidR="00874E07">
        <w:t>52</w:t>
      </w:r>
      <w:r w:rsidR="00016560">
        <w:t>)</w:t>
      </w:r>
      <w:r w:rsidR="009374DF">
        <w:t xml:space="preserve">. </w:t>
      </w:r>
      <w:r w:rsidR="001C6AE4">
        <w:t xml:space="preserve"> No </w:t>
      </w:r>
      <w:r w:rsidR="00721B18">
        <w:t xml:space="preserve">substantive </w:t>
      </w:r>
      <w:r w:rsidR="001C6AE4">
        <w:t>comments were received.</w:t>
      </w:r>
    </w:p>
    <w:p w:rsidR="009B633D" w:rsidRPr="00EA1141" w:rsidRDefault="004E3A1B" w:rsidP="009B633D">
      <w:pPr>
        <w:pStyle w:val="Heading2"/>
        <w:rPr>
          <w:sz w:val="24"/>
        </w:rPr>
      </w:pPr>
      <w:proofErr w:type="gramStart"/>
      <w:r w:rsidRPr="00EA1141">
        <w:rPr>
          <w:sz w:val="24"/>
        </w:rPr>
        <w:t>8.b</w:t>
      </w:r>
      <w:proofErr w:type="gramEnd"/>
      <w:r w:rsidRPr="00EA1141">
        <w:rPr>
          <w:sz w:val="24"/>
        </w:rPr>
        <w:t xml:space="preserve">.  </w:t>
      </w:r>
      <w:r w:rsidRPr="00EA1141">
        <w:rPr>
          <w:sz w:val="24"/>
          <w:szCs w:val="24"/>
        </w:rPr>
        <w:t>Outside Consultations</w:t>
      </w:r>
    </w:p>
    <w:p w:rsidR="00471F01" w:rsidRDefault="00471F01" w:rsidP="00471F01">
      <w:bookmarkStart w:id="18" w:name="_Toc457285506"/>
      <w:bookmarkStart w:id="19" w:name="_Toc58725294"/>
      <w:bookmarkStart w:id="20" w:name="_Toc151782184"/>
      <w:bookmarkStart w:id="21" w:name="_Toc158526224"/>
      <w:r w:rsidRPr="00EA1141">
        <w:t>Individuals or groups outside the Agency consulted about the MEPS project over the last several years are listed below</w:t>
      </w:r>
      <w:r w:rsidR="00823D4A" w:rsidRPr="00EA1141">
        <w:t>:</w:t>
      </w:r>
    </w:p>
    <w:p w:rsidR="001921D4" w:rsidRDefault="001921D4" w:rsidP="00471F01"/>
    <w:p w:rsidR="00755754" w:rsidRPr="00755754" w:rsidRDefault="00755754" w:rsidP="00471F01">
      <w:pPr>
        <w:rPr>
          <w:b/>
        </w:rPr>
      </w:pPr>
      <w:proofErr w:type="gramStart"/>
      <w:r w:rsidRPr="00755754">
        <w:rPr>
          <w:b/>
        </w:rPr>
        <w:t>Table 1.</w:t>
      </w:r>
      <w:proofErr w:type="gramEnd"/>
      <w:r w:rsidRPr="00755754">
        <w:rPr>
          <w:b/>
        </w:rPr>
        <w:t xml:space="preserve">  MEPS 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480"/>
      </w:tblGrid>
      <w:tr w:rsidR="001921D4" w:rsidTr="003E3355">
        <w:tc>
          <w:tcPr>
            <w:tcW w:w="3330" w:type="dxa"/>
          </w:tcPr>
          <w:p w:rsidR="001921D4" w:rsidRPr="003E3355" w:rsidRDefault="001921D4" w:rsidP="00471F01">
            <w:pPr>
              <w:rPr>
                <w:b/>
              </w:rPr>
            </w:pPr>
            <w:r w:rsidRPr="003E3355">
              <w:rPr>
                <w:b/>
              </w:rPr>
              <w:t>Name</w:t>
            </w:r>
          </w:p>
        </w:tc>
        <w:tc>
          <w:tcPr>
            <w:tcW w:w="6480" w:type="dxa"/>
          </w:tcPr>
          <w:p w:rsidR="001921D4" w:rsidRPr="003E3355" w:rsidRDefault="001921D4" w:rsidP="00471F01">
            <w:pPr>
              <w:rPr>
                <w:b/>
              </w:rPr>
            </w:pPr>
            <w:r w:rsidRPr="003E3355">
              <w:rPr>
                <w:b/>
              </w:rPr>
              <w:t>Affiliation</w:t>
            </w:r>
          </w:p>
        </w:tc>
      </w:tr>
      <w:tr w:rsidR="00755754" w:rsidTr="003E3355">
        <w:tc>
          <w:tcPr>
            <w:tcW w:w="3330" w:type="dxa"/>
          </w:tcPr>
          <w:p w:rsidR="00755754" w:rsidRPr="001921D4" w:rsidRDefault="00755754" w:rsidP="00471F01">
            <w:r w:rsidRPr="009808FE">
              <w:t>Jill Jacobsen Ashman, Ph.D.</w:t>
            </w:r>
          </w:p>
        </w:tc>
        <w:tc>
          <w:tcPr>
            <w:tcW w:w="6480" w:type="dxa"/>
          </w:tcPr>
          <w:p w:rsidR="00755754" w:rsidRPr="001921D4" w:rsidRDefault="00755754" w:rsidP="00755754">
            <w:pPr>
              <w:pStyle w:val="PlainText"/>
            </w:pPr>
            <w:r w:rsidRPr="001921D4">
              <w:t xml:space="preserve">Centers for Disease Control and Prevention </w:t>
            </w:r>
          </w:p>
          <w:p w:rsidR="00755754" w:rsidRPr="001921D4" w:rsidRDefault="00755754" w:rsidP="00755754">
            <w:pPr>
              <w:pStyle w:val="PlainText"/>
            </w:pPr>
            <w:r w:rsidRPr="001921D4">
              <w:t>National Center for Health Statistics</w:t>
            </w:r>
          </w:p>
        </w:tc>
      </w:tr>
      <w:tr w:rsidR="001921D4" w:rsidTr="003E3355">
        <w:tc>
          <w:tcPr>
            <w:tcW w:w="3330" w:type="dxa"/>
          </w:tcPr>
          <w:p w:rsidR="001921D4" w:rsidRDefault="001921D4" w:rsidP="00471F01">
            <w:r w:rsidRPr="001921D4">
              <w:t>Brenda G. Cox</w:t>
            </w:r>
            <w:r w:rsidR="002A2894">
              <w:t>, Ph.D</w:t>
            </w:r>
          </w:p>
        </w:tc>
        <w:tc>
          <w:tcPr>
            <w:tcW w:w="6480" w:type="dxa"/>
          </w:tcPr>
          <w:p w:rsidR="001921D4" w:rsidRDefault="002A2894" w:rsidP="001921D4">
            <w:pPr>
              <w:pStyle w:val="PlainText"/>
            </w:pPr>
            <w:r>
              <w:t>Independent Consultant</w:t>
            </w:r>
          </w:p>
        </w:tc>
      </w:tr>
      <w:tr w:rsidR="001921D4" w:rsidTr="003E3355">
        <w:tc>
          <w:tcPr>
            <w:tcW w:w="3330" w:type="dxa"/>
          </w:tcPr>
          <w:p w:rsidR="001921D4" w:rsidRDefault="001921D4" w:rsidP="008D39AD">
            <w:pPr>
              <w:pStyle w:val="PlainText"/>
            </w:pPr>
            <w:r w:rsidRPr="001921D4">
              <w:t xml:space="preserve">Judith H. </w:t>
            </w:r>
            <w:proofErr w:type="spellStart"/>
            <w:r w:rsidRPr="001921D4">
              <w:t>Mopsik</w:t>
            </w:r>
            <w:proofErr w:type="spellEnd"/>
            <w:r w:rsidRPr="001921D4">
              <w:t>, M.H.S.</w:t>
            </w:r>
          </w:p>
        </w:tc>
        <w:tc>
          <w:tcPr>
            <w:tcW w:w="6480" w:type="dxa"/>
          </w:tcPr>
          <w:p w:rsidR="001921D4" w:rsidRDefault="001921D4" w:rsidP="008D39AD">
            <w:pPr>
              <w:pStyle w:val="PlainText"/>
            </w:pPr>
            <w:r w:rsidRPr="001921D4">
              <w:t>Vice President for Business Development</w:t>
            </w:r>
            <w:r>
              <w:t xml:space="preserve">, </w:t>
            </w:r>
            <w:proofErr w:type="spellStart"/>
            <w:r w:rsidRPr="001921D4">
              <w:t>Abt</w:t>
            </w:r>
            <w:proofErr w:type="spellEnd"/>
            <w:r w:rsidRPr="001921D4">
              <w:t xml:space="preserve"> Associates Inc.</w:t>
            </w:r>
          </w:p>
        </w:tc>
      </w:tr>
      <w:tr w:rsidR="001921D4" w:rsidTr="003E3355">
        <w:tc>
          <w:tcPr>
            <w:tcW w:w="3330" w:type="dxa"/>
          </w:tcPr>
          <w:p w:rsidR="001921D4" w:rsidRPr="001921D4" w:rsidRDefault="001921D4" w:rsidP="001921D4">
            <w:pPr>
              <w:pStyle w:val="PlainText"/>
            </w:pPr>
            <w:r w:rsidRPr="001921D4">
              <w:t xml:space="preserve">Constance F. </w:t>
            </w:r>
            <w:proofErr w:type="spellStart"/>
            <w:r w:rsidRPr="001921D4">
              <w:t>Citro</w:t>
            </w:r>
            <w:proofErr w:type="spellEnd"/>
            <w:r w:rsidRPr="001921D4">
              <w:t>, Ph.D.</w:t>
            </w:r>
          </w:p>
          <w:p w:rsidR="001921D4" w:rsidRDefault="001921D4" w:rsidP="00471F01"/>
        </w:tc>
        <w:tc>
          <w:tcPr>
            <w:tcW w:w="6480" w:type="dxa"/>
          </w:tcPr>
          <w:p w:rsidR="001921D4" w:rsidRPr="001921D4" w:rsidRDefault="001921D4" w:rsidP="001921D4">
            <w:pPr>
              <w:pStyle w:val="PlainText"/>
            </w:pPr>
            <w:r w:rsidRPr="001921D4">
              <w:t>Committee on National Statistics</w:t>
            </w:r>
          </w:p>
          <w:p w:rsidR="001921D4" w:rsidRDefault="001921D4" w:rsidP="008D39AD">
            <w:pPr>
              <w:pStyle w:val="PlainText"/>
            </w:pPr>
            <w:r w:rsidRPr="001921D4">
              <w:t>Division of Behavioral and Social Sciences and Education</w:t>
            </w:r>
          </w:p>
        </w:tc>
      </w:tr>
      <w:tr w:rsidR="001921D4" w:rsidTr="003E3355">
        <w:tc>
          <w:tcPr>
            <w:tcW w:w="3330" w:type="dxa"/>
          </w:tcPr>
          <w:p w:rsidR="001921D4" w:rsidRPr="00755754" w:rsidRDefault="00392327" w:rsidP="00471F01">
            <w:hyperlink r:id="rId9" w:tooltip="mailto:duffys@nida.nih.gov" w:history="1">
              <w:r w:rsidR="001921D4" w:rsidRPr="003E3355">
                <w:rPr>
                  <w:rStyle w:val="Hyperlink"/>
                  <w:color w:val="000000"/>
                  <w:u w:val="none"/>
                </w:rPr>
                <w:t>Sarah Q. Duffy, Ph.D.</w:t>
              </w:r>
            </w:hyperlink>
          </w:p>
        </w:tc>
        <w:tc>
          <w:tcPr>
            <w:tcW w:w="6480" w:type="dxa"/>
          </w:tcPr>
          <w:p w:rsidR="001921D4" w:rsidRDefault="001921D4" w:rsidP="00471F01">
            <w:r w:rsidRPr="003E3355">
              <w:rPr>
                <w:color w:val="000000"/>
              </w:rPr>
              <w:t>National Institute on Drug Abuse, National Institutes of Healt</w:t>
            </w:r>
            <w:r w:rsidR="008D39AD" w:rsidRPr="003E3355">
              <w:rPr>
                <w:color w:val="000000"/>
              </w:rPr>
              <w:t>h</w:t>
            </w:r>
          </w:p>
        </w:tc>
      </w:tr>
      <w:tr w:rsidR="001921D4" w:rsidTr="003E3355">
        <w:tc>
          <w:tcPr>
            <w:tcW w:w="3330" w:type="dxa"/>
          </w:tcPr>
          <w:p w:rsidR="001921D4" w:rsidRDefault="001921D4" w:rsidP="00471F01">
            <w:r w:rsidRPr="003E3355">
              <w:rPr>
                <w:rStyle w:val="header31"/>
                <w:rFonts w:ascii="Times New Roman" w:hAnsi="Times New Roman"/>
                <w:b w:val="0"/>
                <w:bCs w:val="0"/>
              </w:rPr>
              <w:t xml:space="preserve">Llewellyn Cornelius, </w:t>
            </w:r>
            <w:r w:rsidRPr="003E3355">
              <w:rPr>
                <w:color w:val="000000"/>
              </w:rPr>
              <w:t>Ph.D.</w:t>
            </w:r>
          </w:p>
        </w:tc>
        <w:tc>
          <w:tcPr>
            <w:tcW w:w="6480" w:type="dxa"/>
          </w:tcPr>
          <w:p w:rsidR="001921D4" w:rsidRDefault="001921D4" w:rsidP="001921D4">
            <w:r w:rsidRPr="003E3355">
              <w:rPr>
                <w:color w:val="000000"/>
              </w:rPr>
              <w:t>University of Maryland</w:t>
            </w:r>
          </w:p>
        </w:tc>
      </w:tr>
      <w:tr w:rsidR="001921D4" w:rsidTr="003E3355">
        <w:tc>
          <w:tcPr>
            <w:tcW w:w="3330" w:type="dxa"/>
          </w:tcPr>
          <w:p w:rsidR="001921D4" w:rsidRDefault="008D39AD" w:rsidP="00471F01">
            <w:r w:rsidRPr="003E3355">
              <w:rPr>
                <w:color w:val="000000"/>
              </w:rPr>
              <w:t>Michael L. Cohen, Ph.D.</w:t>
            </w:r>
          </w:p>
        </w:tc>
        <w:tc>
          <w:tcPr>
            <w:tcW w:w="6480" w:type="dxa"/>
          </w:tcPr>
          <w:p w:rsidR="001921D4" w:rsidRDefault="008D39AD" w:rsidP="008D39AD">
            <w:r w:rsidRPr="003E3355">
              <w:rPr>
                <w:color w:val="000000"/>
              </w:rPr>
              <w:t>Committee on National Statistics</w:t>
            </w:r>
          </w:p>
        </w:tc>
      </w:tr>
      <w:tr w:rsidR="001921D4" w:rsidTr="003E3355">
        <w:tc>
          <w:tcPr>
            <w:tcW w:w="3330" w:type="dxa"/>
          </w:tcPr>
          <w:p w:rsidR="001921D4" w:rsidRDefault="008D39AD" w:rsidP="00471F01">
            <w:r w:rsidRPr="003E3355">
              <w:rPr>
                <w:color w:val="000000"/>
              </w:rPr>
              <w:t xml:space="preserve">Joan S </w:t>
            </w:r>
            <w:proofErr w:type="spellStart"/>
            <w:r w:rsidRPr="003E3355">
              <w:rPr>
                <w:color w:val="000000"/>
              </w:rPr>
              <w:t>Cwi</w:t>
            </w:r>
            <w:proofErr w:type="spellEnd"/>
            <w:r w:rsidRPr="003E3355">
              <w:rPr>
                <w:color w:val="000000"/>
              </w:rPr>
              <w:t>, Ph.D.</w:t>
            </w:r>
          </w:p>
        </w:tc>
        <w:tc>
          <w:tcPr>
            <w:tcW w:w="6480" w:type="dxa"/>
          </w:tcPr>
          <w:p w:rsidR="001921D4" w:rsidRDefault="008D39AD" w:rsidP="008D39AD">
            <w:r w:rsidRPr="003E3355">
              <w:rPr>
                <w:color w:val="000000"/>
              </w:rPr>
              <w:t>Independent Consultant</w:t>
            </w:r>
          </w:p>
        </w:tc>
      </w:tr>
    </w:tbl>
    <w:p w:rsidR="001921D4" w:rsidRPr="00EA1141" w:rsidRDefault="001921D4" w:rsidP="00471F01"/>
    <w:p w:rsidR="00471F01" w:rsidRDefault="00471F01" w:rsidP="00471F01">
      <w:pPr>
        <w:rPr>
          <w:highlight w:val="yellow"/>
        </w:rPr>
      </w:pPr>
    </w:p>
    <w:p w:rsidR="0038217D" w:rsidRPr="0038217D" w:rsidRDefault="009B633D" w:rsidP="0038217D">
      <w:pPr>
        <w:pStyle w:val="Heading2"/>
        <w:rPr>
          <w:sz w:val="24"/>
        </w:rPr>
      </w:pPr>
      <w:r w:rsidRPr="00412C6F">
        <w:t>9. Gifts</w:t>
      </w:r>
      <w:r w:rsidR="00CD6CB9">
        <w:t>/Payments</w:t>
      </w:r>
      <w:r w:rsidRPr="00412C6F">
        <w:t xml:space="preserve"> to Respondents</w:t>
      </w:r>
      <w:bookmarkEnd w:id="18"/>
      <w:bookmarkEnd w:id="19"/>
      <w:bookmarkEnd w:id="20"/>
      <w:bookmarkEnd w:id="21"/>
    </w:p>
    <w:p w:rsidR="00BF6FE1" w:rsidRPr="00825B3C" w:rsidRDefault="00BF6FE1" w:rsidP="000A5444">
      <w:pPr>
        <w:pStyle w:val="PlainText"/>
      </w:pPr>
      <w:r w:rsidRPr="000A5444">
        <w:rPr>
          <w:highlight w:val="yellow"/>
        </w:rPr>
        <w:t xml:space="preserve">MEPS-HC respondents will be offered </w:t>
      </w:r>
      <w:r w:rsidR="009931BD" w:rsidRPr="000A5444">
        <w:rPr>
          <w:highlight w:val="yellow"/>
        </w:rPr>
        <w:t xml:space="preserve">a monetary gift as a token of appreciation </w:t>
      </w:r>
      <w:r w:rsidRPr="000A5444">
        <w:rPr>
          <w:highlight w:val="yellow"/>
        </w:rPr>
        <w:t xml:space="preserve">for </w:t>
      </w:r>
      <w:r w:rsidR="009931BD" w:rsidRPr="000A5444">
        <w:rPr>
          <w:highlight w:val="yellow"/>
        </w:rPr>
        <w:t xml:space="preserve">their </w:t>
      </w:r>
      <w:r w:rsidRPr="000A5444">
        <w:rPr>
          <w:highlight w:val="yellow"/>
        </w:rPr>
        <w:t xml:space="preserve">participation in the MEPS. </w:t>
      </w:r>
      <w:r w:rsidR="000A5444" w:rsidRPr="000A5444">
        <w:rPr>
          <w:highlight w:val="yellow"/>
        </w:rPr>
        <w:t xml:space="preserve">A gift has been offered to respondents </w:t>
      </w:r>
      <w:r w:rsidR="002A4AFC">
        <w:rPr>
          <w:highlight w:val="yellow"/>
        </w:rPr>
        <w:t xml:space="preserve">at the end of each round </w:t>
      </w:r>
      <w:r w:rsidR="000A5444" w:rsidRPr="000A5444">
        <w:rPr>
          <w:highlight w:val="yellow"/>
        </w:rPr>
        <w:t>since the inception of MEPS in 1996</w:t>
      </w:r>
      <w:r w:rsidR="000A5444">
        <w:rPr>
          <w:highlight w:val="yellow"/>
        </w:rPr>
        <w:t>; t</w:t>
      </w:r>
      <w:r w:rsidR="000A5444" w:rsidRPr="000A5444">
        <w:rPr>
          <w:highlight w:val="yellow"/>
        </w:rPr>
        <w:t xml:space="preserve">he current amount of $50 per round has been in place since 2011 (OMB </w:t>
      </w:r>
      <w:r w:rsidR="002A4AFC" w:rsidRPr="000A5444">
        <w:rPr>
          <w:highlight w:val="yellow"/>
        </w:rPr>
        <w:t>approval obtained</w:t>
      </w:r>
      <w:r w:rsidR="000A5444" w:rsidRPr="000A5444">
        <w:rPr>
          <w:highlight w:val="yellow"/>
        </w:rPr>
        <w:t xml:space="preserve"> January 26</w:t>
      </w:r>
      <w:r w:rsidR="002A4AFC">
        <w:rPr>
          <w:highlight w:val="yellow"/>
        </w:rPr>
        <w:t>, 2010</w:t>
      </w:r>
      <w:r w:rsidR="00392327">
        <w:rPr>
          <w:highlight w:val="yellow"/>
        </w:rPr>
        <w:t xml:space="preserve"> </w:t>
      </w:r>
      <w:bookmarkStart w:id="22" w:name="_GoBack"/>
      <w:bookmarkEnd w:id="22"/>
      <w:r w:rsidR="00C13F4A">
        <w:rPr>
          <w:highlight w:val="yellow"/>
        </w:rPr>
        <w:t>version 1</w:t>
      </w:r>
      <w:r w:rsidR="000A5444" w:rsidRPr="000A5444">
        <w:rPr>
          <w:highlight w:val="yellow"/>
        </w:rPr>
        <w:t xml:space="preserve">).  </w:t>
      </w:r>
      <w:r w:rsidRPr="000A5444">
        <w:rPr>
          <w:highlight w:val="yellow"/>
        </w:rPr>
        <w:t xml:space="preserve">For household respondents, </w:t>
      </w:r>
      <w:r w:rsidR="009931BD" w:rsidRPr="000A5444">
        <w:rPr>
          <w:highlight w:val="yellow"/>
        </w:rPr>
        <w:t>participation</w:t>
      </w:r>
      <w:r w:rsidRPr="000A5444">
        <w:rPr>
          <w:highlight w:val="yellow"/>
        </w:rPr>
        <w:t xml:space="preserve"> includes not only time being interviewed, but also keeping track of their medical events and expenditures between interviews. </w:t>
      </w:r>
      <w:r w:rsidR="000A5444" w:rsidRPr="000A5444">
        <w:rPr>
          <w:highlight w:val="yellow"/>
        </w:rPr>
        <w:t xml:space="preserve">  </w:t>
      </w:r>
      <w:r w:rsidRPr="00825B3C">
        <w:t xml:space="preserve">Household respondents will also be </w:t>
      </w:r>
      <w:r w:rsidR="00AA46A9">
        <w:t xml:space="preserve">given a gift of </w:t>
      </w:r>
      <w:r w:rsidRPr="00825B3C">
        <w:t xml:space="preserve">$5 for completing the </w:t>
      </w:r>
      <w:r w:rsidR="00652914">
        <w:t xml:space="preserve">Adult </w:t>
      </w:r>
      <w:r w:rsidR="00ED299B">
        <w:t>SAQ</w:t>
      </w:r>
      <w:r w:rsidRPr="00825B3C">
        <w:t xml:space="preserve">.  Household respondents </w:t>
      </w:r>
      <w:r>
        <w:t>will be</w:t>
      </w:r>
      <w:r w:rsidRPr="00825B3C">
        <w:t xml:space="preserve"> informed of the </w:t>
      </w:r>
      <w:r w:rsidR="00AA46A9">
        <w:t>gift</w:t>
      </w:r>
      <w:r w:rsidRPr="00825B3C">
        <w:t xml:space="preserve"> </w:t>
      </w:r>
      <w:r>
        <w:t>at</w:t>
      </w:r>
      <w:r w:rsidRPr="00825B3C">
        <w:t xml:space="preserve"> the first in-person contact and all eligible respondents </w:t>
      </w:r>
      <w:r w:rsidR="003E1ABA">
        <w:t xml:space="preserve">will be </w:t>
      </w:r>
      <w:r w:rsidR="00AA46A9">
        <w:t>given</w:t>
      </w:r>
      <w:r w:rsidR="003E1ABA">
        <w:t xml:space="preserve"> the same amount.  </w:t>
      </w:r>
      <w:r w:rsidR="00652914">
        <w:t xml:space="preserve">No </w:t>
      </w:r>
      <w:r w:rsidR="00AA46A9">
        <w:t>gift</w:t>
      </w:r>
      <w:r w:rsidR="00652914">
        <w:t xml:space="preserve"> will be offered to respondents of the Diabetes Care </w:t>
      </w:r>
      <w:r w:rsidR="00ED299B">
        <w:t>SAQ</w:t>
      </w:r>
      <w:r w:rsidR="00652914">
        <w:t>.</w:t>
      </w:r>
    </w:p>
    <w:p w:rsidR="00BF6FE1" w:rsidRPr="00825B3C" w:rsidRDefault="00BF6FE1" w:rsidP="00BF6FE1"/>
    <w:p w:rsidR="00E06925" w:rsidRDefault="00BF6FE1" w:rsidP="001B4068">
      <w:r w:rsidRPr="00825B3C">
        <w:t xml:space="preserve">The </w:t>
      </w:r>
      <w:r w:rsidR="008D166A">
        <w:t>MEPS-</w:t>
      </w:r>
      <w:r w:rsidRPr="00825B3C">
        <w:t>MPC interviewer will be authorized to offer remuneration to providers who present cost as a salient objection to responding</w:t>
      </w:r>
      <w:r w:rsidR="00DF37A2">
        <w:t xml:space="preserve"> or if a flat fee is applied to any request for medical or billing records</w:t>
      </w:r>
      <w:r w:rsidRPr="00825B3C">
        <w:t xml:space="preserve">. </w:t>
      </w:r>
      <w:r w:rsidR="001B4068">
        <w:t xml:space="preserve"> Based on the </w:t>
      </w:r>
      <w:r w:rsidR="001B4068" w:rsidRPr="009530E6">
        <w:t>pas</w:t>
      </w:r>
      <w:r w:rsidR="001B4068">
        <w:t>t two cycles of data collection</w:t>
      </w:r>
      <w:r w:rsidR="001B4068" w:rsidRPr="009530E6">
        <w:t xml:space="preserve"> fewer than 16</w:t>
      </w:r>
      <w:r w:rsidR="001B4068" w:rsidRPr="00825B3C">
        <w:t xml:space="preserve"> </w:t>
      </w:r>
      <w:r w:rsidR="001B4068">
        <w:t xml:space="preserve">percent of providers will </w:t>
      </w:r>
      <w:r w:rsidR="001B4068" w:rsidRPr="00825B3C">
        <w:t>request remuneration.</w:t>
      </w:r>
      <w:r w:rsidR="001B4068">
        <w:t xml:space="preserve">  </w:t>
      </w:r>
      <w:r w:rsidR="00E06925">
        <w:t>Table 2 shows the total and average per record remuneration by provider type</w:t>
      </w:r>
      <w:r w:rsidR="005675B9">
        <w:t xml:space="preserve">, based on </w:t>
      </w:r>
      <w:proofErr w:type="gramStart"/>
      <w:r w:rsidR="00BC6E2E">
        <w:lastRenderedPageBreak/>
        <w:t>the</w:t>
      </w:r>
      <w:proofErr w:type="gramEnd"/>
      <w:r w:rsidR="00BC6E2E">
        <w:t xml:space="preserve"> 2010 data collection</w:t>
      </w:r>
      <w:r w:rsidR="005675B9">
        <w:t>.</w:t>
      </w:r>
      <w:r w:rsidR="007713A7">
        <w:t xml:space="preserve">  For those providers that required remuneration the average payment per medical record was $32.98.</w:t>
      </w:r>
    </w:p>
    <w:p w:rsidR="00E06925" w:rsidRDefault="00E06925" w:rsidP="001B4068"/>
    <w:p w:rsidR="005675B9" w:rsidRPr="00DE39F5" w:rsidRDefault="00E06925" w:rsidP="001B4068">
      <w:pPr>
        <w:rPr>
          <w:b/>
        </w:rPr>
      </w:pPr>
      <w:proofErr w:type="gramStart"/>
      <w:r w:rsidRPr="00DE39F5">
        <w:rPr>
          <w:b/>
        </w:rPr>
        <w:t>Table 2.</w:t>
      </w:r>
      <w:proofErr w:type="gramEnd"/>
      <w:r w:rsidRPr="00DE39F5">
        <w:rPr>
          <w:b/>
        </w:rPr>
        <w:t xml:space="preserve">  </w:t>
      </w:r>
      <w:r w:rsidR="005675B9" w:rsidRPr="00DE39F5">
        <w:rPr>
          <w:b/>
        </w:rPr>
        <w:t>Total and Average Remuneration by Provider Type</w:t>
      </w:r>
      <w:r w:rsidR="007713A7" w:rsidRPr="00DE39F5">
        <w:rPr>
          <w:b/>
        </w:rPr>
        <w:t xml:space="preserve"> for the MEPS-MPC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1530"/>
        <w:gridCol w:w="1080"/>
        <w:gridCol w:w="1620"/>
      </w:tblGrid>
      <w:tr w:rsidR="00B71A0B" w:rsidRPr="00A56737" w:rsidTr="0074742D">
        <w:tc>
          <w:tcPr>
            <w:tcW w:w="4680" w:type="dxa"/>
            <w:vAlign w:val="center"/>
          </w:tcPr>
          <w:p w:rsidR="005675B9" w:rsidRPr="005675B9" w:rsidRDefault="005675B9" w:rsidP="000C4DF6">
            <w:r w:rsidRPr="005675B9">
              <w:t>Provider Type</w:t>
            </w:r>
          </w:p>
        </w:tc>
        <w:tc>
          <w:tcPr>
            <w:tcW w:w="1530" w:type="dxa"/>
          </w:tcPr>
          <w:p w:rsidR="005675B9" w:rsidRPr="005675B9" w:rsidRDefault="005675B9" w:rsidP="00A56737">
            <w:pPr>
              <w:jc w:val="center"/>
            </w:pPr>
            <w:r>
              <w:t>Number of Records</w:t>
            </w:r>
            <w:r w:rsidR="00B71A0B">
              <w:t xml:space="preserve"> with Payment</w:t>
            </w:r>
          </w:p>
        </w:tc>
        <w:tc>
          <w:tcPr>
            <w:tcW w:w="1080" w:type="dxa"/>
          </w:tcPr>
          <w:p w:rsidR="005675B9" w:rsidRPr="005675B9" w:rsidRDefault="005675B9" w:rsidP="00A56737">
            <w:pPr>
              <w:jc w:val="center"/>
            </w:pPr>
            <w:r>
              <w:t>Average Payment</w:t>
            </w:r>
          </w:p>
        </w:tc>
        <w:tc>
          <w:tcPr>
            <w:tcW w:w="1620" w:type="dxa"/>
          </w:tcPr>
          <w:p w:rsidR="005675B9" w:rsidRPr="005675B9" w:rsidRDefault="005675B9" w:rsidP="00A56737">
            <w:pPr>
              <w:jc w:val="center"/>
            </w:pPr>
            <w:r>
              <w:t>Total Remuneration</w:t>
            </w:r>
          </w:p>
        </w:tc>
      </w:tr>
      <w:tr w:rsidR="00B71A0B" w:rsidRPr="00A56737" w:rsidTr="0074742D">
        <w:tc>
          <w:tcPr>
            <w:tcW w:w="4680" w:type="dxa"/>
            <w:vAlign w:val="center"/>
          </w:tcPr>
          <w:p w:rsidR="005675B9" w:rsidRPr="005675B9" w:rsidRDefault="005675B9" w:rsidP="000C4DF6">
            <w:r>
              <w:t>Hospital</w:t>
            </w:r>
          </w:p>
        </w:tc>
        <w:tc>
          <w:tcPr>
            <w:tcW w:w="1530" w:type="dxa"/>
          </w:tcPr>
          <w:p w:rsidR="005675B9" w:rsidRPr="005675B9" w:rsidRDefault="005675B9" w:rsidP="00A56737">
            <w:pPr>
              <w:jc w:val="right"/>
            </w:pPr>
            <w:r>
              <w:t>1,240</w:t>
            </w:r>
          </w:p>
        </w:tc>
        <w:tc>
          <w:tcPr>
            <w:tcW w:w="1080" w:type="dxa"/>
          </w:tcPr>
          <w:p w:rsidR="005675B9" w:rsidRPr="005675B9" w:rsidRDefault="00B71A0B" w:rsidP="00A56737">
            <w:pPr>
              <w:jc w:val="right"/>
            </w:pPr>
            <w:r>
              <w:t>$27.85</w:t>
            </w:r>
          </w:p>
        </w:tc>
        <w:tc>
          <w:tcPr>
            <w:tcW w:w="1620" w:type="dxa"/>
          </w:tcPr>
          <w:p w:rsidR="005675B9" w:rsidRPr="005675B9" w:rsidRDefault="00B71A0B" w:rsidP="00A56737">
            <w:pPr>
              <w:jc w:val="right"/>
            </w:pPr>
            <w:r>
              <w:t>$34,53</w:t>
            </w:r>
            <w:r w:rsidR="003566C0">
              <w:t>4</w:t>
            </w:r>
          </w:p>
        </w:tc>
      </w:tr>
      <w:tr w:rsidR="00B71A0B" w:rsidRPr="00A56737" w:rsidTr="0074742D">
        <w:tc>
          <w:tcPr>
            <w:tcW w:w="4680" w:type="dxa"/>
          </w:tcPr>
          <w:p w:rsidR="005675B9" w:rsidRPr="005675B9" w:rsidRDefault="005675B9" w:rsidP="001B4068">
            <w:r>
              <w:t>Office Based Providers</w:t>
            </w:r>
          </w:p>
        </w:tc>
        <w:tc>
          <w:tcPr>
            <w:tcW w:w="1530" w:type="dxa"/>
          </w:tcPr>
          <w:p w:rsidR="005675B9" w:rsidRPr="005675B9" w:rsidRDefault="005675B9" w:rsidP="00A56737">
            <w:pPr>
              <w:jc w:val="right"/>
            </w:pPr>
            <w:r>
              <w:t>422</w:t>
            </w:r>
          </w:p>
        </w:tc>
        <w:tc>
          <w:tcPr>
            <w:tcW w:w="1080" w:type="dxa"/>
          </w:tcPr>
          <w:p w:rsidR="005675B9" w:rsidRPr="005675B9" w:rsidRDefault="00B71A0B" w:rsidP="00A56737">
            <w:pPr>
              <w:jc w:val="right"/>
            </w:pPr>
            <w:r>
              <w:t>$25.28</w:t>
            </w:r>
          </w:p>
        </w:tc>
        <w:tc>
          <w:tcPr>
            <w:tcW w:w="1620" w:type="dxa"/>
          </w:tcPr>
          <w:p w:rsidR="005675B9" w:rsidRPr="005675B9" w:rsidRDefault="00B71A0B" w:rsidP="00A56737">
            <w:pPr>
              <w:jc w:val="right"/>
            </w:pPr>
            <w:r>
              <w:t>$10,6</w:t>
            </w:r>
            <w:r w:rsidR="003566C0">
              <w:t>68</w:t>
            </w:r>
          </w:p>
        </w:tc>
      </w:tr>
      <w:tr w:rsidR="00B71A0B" w:rsidRPr="00A56737" w:rsidTr="0074742D">
        <w:tc>
          <w:tcPr>
            <w:tcW w:w="4680" w:type="dxa"/>
          </w:tcPr>
          <w:p w:rsidR="005675B9" w:rsidRPr="005675B9" w:rsidRDefault="005675B9" w:rsidP="001B4068">
            <w:r>
              <w:t>Institutions</w:t>
            </w:r>
          </w:p>
        </w:tc>
        <w:tc>
          <w:tcPr>
            <w:tcW w:w="1530" w:type="dxa"/>
          </w:tcPr>
          <w:p w:rsidR="005675B9" w:rsidRPr="005675B9" w:rsidRDefault="005675B9" w:rsidP="00A56737">
            <w:pPr>
              <w:jc w:val="right"/>
            </w:pPr>
            <w:r>
              <w:t>0</w:t>
            </w:r>
          </w:p>
        </w:tc>
        <w:tc>
          <w:tcPr>
            <w:tcW w:w="1080" w:type="dxa"/>
          </w:tcPr>
          <w:p w:rsidR="005675B9" w:rsidRPr="005675B9" w:rsidRDefault="00B71A0B" w:rsidP="00A56737">
            <w:pPr>
              <w:jc w:val="right"/>
            </w:pPr>
            <w:r>
              <w:t>0</w:t>
            </w:r>
          </w:p>
        </w:tc>
        <w:tc>
          <w:tcPr>
            <w:tcW w:w="1620" w:type="dxa"/>
          </w:tcPr>
          <w:p w:rsidR="005675B9" w:rsidRPr="005675B9" w:rsidRDefault="00B71A0B" w:rsidP="00A56737">
            <w:pPr>
              <w:jc w:val="right"/>
            </w:pPr>
            <w:r>
              <w:t>0</w:t>
            </w:r>
          </w:p>
        </w:tc>
      </w:tr>
      <w:tr w:rsidR="00B71A0B" w:rsidRPr="00A56737" w:rsidTr="0074742D">
        <w:tc>
          <w:tcPr>
            <w:tcW w:w="4680" w:type="dxa"/>
          </w:tcPr>
          <w:p w:rsidR="005675B9" w:rsidRPr="005675B9" w:rsidRDefault="005675B9" w:rsidP="001B4068">
            <w:r w:rsidRPr="00A56737">
              <w:rPr>
                <w:bCs/>
              </w:rPr>
              <w:t>Home Care Provider (Health Care Providers</w:t>
            </w:r>
            <w:r w:rsidR="00CB6C65" w:rsidRPr="00A56737">
              <w:rPr>
                <w:bCs/>
              </w:rPr>
              <w:t>)</w:t>
            </w:r>
          </w:p>
        </w:tc>
        <w:tc>
          <w:tcPr>
            <w:tcW w:w="1530" w:type="dxa"/>
            <w:vAlign w:val="center"/>
          </w:tcPr>
          <w:p w:rsidR="005675B9" w:rsidRPr="005675B9" w:rsidRDefault="005675B9" w:rsidP="00A56737">
            <w:pPr>
              <w:jc w:val="right"/>
            </w:pPr>
            <w:r>
              <w:t>0</w:t>
            </w:r>
          </w:p>
        </w:tc>
        <w:tc>
          <w:tcPr>
            <w:tcW w:w="1080" w:type="dxa"/>
            <w:vAlign w:val="center"/>
          </w:tcPr>
          <w:p w:rsidR="005675B9" w:rsidRPr="005675B9" w:rsidRDefault="00B71A0B" w:rsidP="00A56737">
            <w:pPr>
              <w:jc w:val="right"/>
            </w:pPr>
            <w:r>
              <w:t>0</w:t>
            </w:r>
          </w:p>
        </w:tc>
        <w:tc>
          <w:tcPr>
            <w:tcW w:w="1620" w:type="dxa"/>
            <w:vAlign w:val="center"/>
          </w:tcPr>
          <w:p w:rsidR="005675B9" w:rsidRPr="005675B9" w:rsidRDefault="00B71A0B" w:rsidP="00A56737">
            <w:pPr>
              <w:jc w:val="right"/>
            </w:pPr>
            <w:r>
              <w:t>0</w:t>
            </w:r>
          </w:p>
        </w:tc>
      </w:tr>
      <w:tr w:rsidR="00B71A0B" w:rsidRPr="00A56737" w:rsidTr="0074742D">
        <w:tc>
          <w:tcPr>
            <w:tcW w:w="4680" w:type="dxa"/>
          </w:tcPr>
          <w:p w:rsidR="005675B9" w:rsidRPr="005675B9" w:rsidRDefault="00CB6C65" w:rsidP="001B4068">
            <w:r w:rsidRPr="00A56737">
              <w:rPr>
                <w:bCs/>
              </w:rPr>
              <w:t>Home Care Provider (Non-Health Care Providers)</w:t>
            </w:r>
          </w:p>
        </w:tc>
        <w:tc>
          <w:tcPr>
            <w:tcW w:w="1530" w:type="dxa"/>
            <w:vAlign w:val="center"/>
          </w:tcPr>
          <w:p w:rsidR="005675B9" w:rsidRPr="005675B9" w:rsidRDefault="005675B9" w:rsidP="00A56737">
            <w:pPr>
              <w:jc w:val="right"/>
            </w:pPr>
            <w:r>
              <w:t>0</w:t>
            </w:r>
          </w:p>
        </w:tc>
        <w:tc>
          <w:tcPr>
            <w:tcW w:w="1080" w:type="dxa"/>
            <w:vAlign w:val="center"/>
          </w:tcPr>
          <w:p w:rsidR="005675B9" w:rsidRPr="005675B9" w:rsidRDefault="00B71A0B" w:rsidP="00A56737">
            <w:pPr>
              <w:jc w:val="right"/>
            </w:pPr>
            <w:r>
              <w:t>0</w:t>
            </w:r>
          </w:p>
        </w:tc>
        <w:tc>
          <w:tcPr>
            <w:tcW w:w="1620" w:type="dxa"/>
            <w:vAlign w:val="center"/>
          </w:tcPr>
          <w:p w:rsidR="005675B9" w:rsidRPr="005675B9" w:rsidRDefault="00B71A0B" w:rsidP="00A56737">
            <w:pPr>
              <w:jc w:val="right"/>
            </w:pPr>
            <w:r>
              <w:t>0</w:t>
            </w:r>
          </w:p>
        </w:tc>
      </w:tr>
      <w:tr w:rsidR="00B71A0B" w:rsidRPr="00A56737" w:rsidTr="0074742D">
        <w:tc>
          <w:tcPr>
            <w:tcW w:w="4680" w:type="dxa"/>
          </w:tcPr>
          <w:p w:rsidR="005675B9" w:rsidRPr="005675B9" w:rsidRDefault="00CB6C65" w:rsidP="001B4068">
            <w:r>
              <w:t>Pharmacy</w:t>
            </w:r>
          </w:p>
        </w:tc>
        <w:tc>
          <w:tcPr>
            <w:tcW w:w="1530" w:type="dxa"/>
          </w:tcPr>
          <w:p w:rsidR="005675B9" w:rsidRPr="005675B9" w:rsidRDefault="005675B9" w:rsidP="00A56737">
            <w:pPr>
              <w:jc w:val="right"/>
            </w:pPr>
            <w:r>
              <w:t>6,050</w:t>
            </w:r>
          </w:p>
        </w:tc>
        <w:tc>
          <w:tcPr>
            <w:tcW w:w="1080" w:type="dxa"/>
          </w:tcPr>
          <w:p w:rsidR="005675B9" w:rsidRPr="005675B9" w:rsidRDefault="00B71A0B" w:rsidP="00A56737">
            <w:pPr>
              <w:jc w:val="right"/>
            </w:pPr>
            <w:r>
              <w:t>$35.70</w:t>
            </w:r>
          </w:p>
        </w:tc>
        <w:tc>
          <w:tcPr>
            <w:tcW w:w="1620" w:type="dxa"/>
          </w:tcPr>
          <w:p w:rsidR="005675B9" w:rsidRPr="005675B9" w:rsidRDefault="007713A7" w:rsidP="00A56737">
            <w:pPr>
              <w:jc w:val="right"/>
            </w:pPr>
            <w:r>
              <w:t>$215,9</w:t>
            </w:r>
            <w:r w:rsidR="003566C0">
              <w:t>85</w:t>
            </w:r>
          </w:p>
        </w:tc>
      </w:tr>
      <w:tr w:rsidR="00B71A0B" w:rsidRPr="00A56737" w:rsidTr="0074742D">
        <w:tc>
          <w:tcPr>
            <w:tcW w:w="4680" w:type="dxa"/>
          </w:tcPr>
          <w:p w:rsidR="005675B9" w:rsidRPr="00CB6C65" w:rsidRDefault="00CB6C65" w:rsidP="001B4068">
            <w:r w:rsidRPr="00A56737">
              <w:rPr>
                <w:bCs/>
              </w:rPr>
              <w:t>Separately Billing Doctors</w:t>
            </w:r>
          </w:p>
        </w:tc>
        <w:tc>
          <w:tcPr>
            <w:tcW w:w="1530" w:type="dxa"/>
          </w:tcPr>
          <w:p w:rsidR="005675B9" w:rsidRPr="005675B9" w:rsidRDefault="005675B9" w:rsidP="00A56737">
            <w:pPr>
              <w:jc w:val="right"/>
            </w:pPr>
            <w:r>
              <w:t>502</w:t>
            </w:r>
          </w:p>
        </w:tc>
        <w:tc>
          <w:tcPr>
            <w:tcW w:w="1080" w:type="dxa"/>
          </w:tcPr>
          <w:p w:rsidR="005675B9" w:rsidRPr="005675B9" w:rsidRDefault="00B71A0B" w:rsidP="00A56737">
            <w:pPr>
              <w:jc w:val="right"/>
            </w:pPr>
            <w:r>
              <w:t>$19.42</w:t>
            </w:r>
          </w:p>
        </w:tc>
        <w:tc>
          <w:tcPr>
            <w:tcW w:w="1620" w:type="dxa"/>
          </w:tcPr>
          <w:p w:rsidR="005675B9" w:rsidRPr="005675B9" w:rsidRDefault="007713A7" w:rsidP="00A56737">
            <w:pPr>
              <w:jc w:val="right"/>
            </w:pPr>
            <w:r>
              <w:t>$9,74</w:t>
            </w:r>
            <w:r w:rsidR="003566C0">
              <w:t>9</w:t>
            </w:r>
          </w:p>
        </w:tc>
      </w:tr>
      <w:tr w:rsidR="00B71A0B" w:rsidRPr="00A56737" w:rsidTr="0074742D">
        <w:tc>
          <w:tcPr>
            <w:tcW w:w="4680" w:type="dxa"/>
          </w:tcPr>
          <w:p w:rsidR="005675B9" w:rsidRPr="005675B9" w:rsidRDefault="007713A7" w:rsidP="001B4068">
            <w:r>
              <w:t>Total</w:t>
            </w:r>
          </w:p>
        </w:tc>
        <w:tc>
          <w:tcPr>
            <w:tcW w:w="1530" w:type="dxa"/>
          </w:tcPr>
          <w:p w:rsidR="005675B9" w:rsidRPr="005675B9" w:rsidRDefault="00B71A0B" w:rsidP="00A56737">
            <w:pPr>
              <w:jc w:val="right"/>
            </w:pPr>
            <w:r>
              <w:t>8,214</w:t>
            </w:r>
          </w:p>
        </w:tc>
        <w:tc>
          <w:tcPr>
            <w:tcW w:w="1080" w:type="dxa"/>
          </w:tcPr>
          <w:p w:rsidR="005675B9" w:rsidRPr="005675B9" w:rsidRDefault="00B71A0B" w:rsidP="00A56737">
            <w:pPr>
              <w:jc w:val="right"/>
            </w:pPr>
            <w:r>
              <w:t>$32.98</w:t>
            </w:r>
          </w:p>
        </w:tc>
        <w:tc>
          <w:tcPr>
            <w:tcW w:w="1620" w:type="dxa"/>
          </w:tcPr>
          <w:p w:rsidR="005675B9" w:rsidRPr="005675B9" w:rsidRDefault="007713A7" w:rsidP="00A56737">
            <w:pPr>
              <w:jc w:val="right"/>
            </w:pPr>
            <w:r>
              <w:t>$270,9</w:t>
            </w:r>
            <w:r w:rsidR="003566C0">
              <w:t>36</w:t>
            </w:r>
          </w:p>
        </w:tc>
      </w:tr>
    </w:tbl>
    <w:p w:rsidR="00B915F1" w:rsidRPr="00825DA9" w:rsidRDefault="00B915F1" w:rsidP="009B633D">
      <w:pPr>
        <w:jc w:val="both"/>
        <w:rPr>
          <w:i/>
        </w:rPr>
      </w:pPr>
    </w:p>
    <w:p w:rsidR="001C31D2" w:rsidRPr="00E33EDB" w:rsidRDefault="009B633D" w:rsidP="00E33EDB">
      <w:pPr>
        <w:pStyle w:val="Heading2"/>
        <w:rPr>
          <w:sz w:val="24"/>
        </w:rPr>
      </w:pPr>
      <w:bookmarkStart w:id="23" w:name="_Toc151782185"/>
      <w:bookmarkStart w:id="24" w:name="_Toc158526225"/>
      <w:r w:rsidRPr="00412C6F">
        <w:rPr>
          <w:sz w:val="24"/>
        </w:rPr>
        <w:t>10. Assurance of Confidentiality</w:t>
      </w:r>
      <w:bookmarkEnd w:id="23"/>
      <w:bookmarkEnd w:id="24"/>
    </w:p>
    <w:p w:rsidR="001B1673" w:rsidRDefault="001B1673" w:rsidP="00E33EDB">
      <w:pPr>
        <w:autoSpaceDE w:val="0"/>
        <w:autoSpaceDN w:val="0"/>
      </w:pPr>
      <w:r>
        <w:t xml:space="preserve">Confidentiality is protected by </w:t>
      </w:r>
      <w:r w:rsidR="001C31D2">
        <w:t xml:space="preserve">Sections 944(c) and 308(d) of the Public Health Service Act (42 U.S.C. 299c-3(c) and 42 U.S.C. </w:t>
      </w:r>
      <w:proofErr w:type="gramStart"/>
      <w:r w:rsidR="001C31D2">
        <w:t>242m(</w:t>
      </w:r>
      <w:proofErr w:type="gramEnd"/>
      <w:r w:rsidR="001C31D2">
        <w:t xml:space="preserve">d)).  </w:t>
      </w:r>
      <w:r>
        <w:t xml:space="preserve"> This research project will be carried out in compliance with th</w:t>
      </w:r>
      <w:r w:rsidR="001C31D2">
        <w:t>ese confidentiality</w:t>
      </w:r>
      <w:r>
        <w:t xml:space="preserve"> statute</w:t>
      </w:r>
      <w:r w:rsidR="001C31D2">
        <w:t>s</w:t>
      </w:r>
      <w:r>
        <w:t>.</w:t>
      </w:r>
      <w:r w:rsidR="001C31D2">
        <w:t xml:space="preserve">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rsidR="009B633D" w:rsidRPr="00412C6F" w:rsidRDefault="009B633D" w:rsidP="009B633D">
      <w:pPr>
        <w:pStyle w:val="Heading2"/>
        <w:rPr>
          <w:sz w:val="24"/>
        </w:rPr>
      </w:pPr>
      <w:bookmarkStart w:id="25" w:name="_Toc151782186"/>
      <w:bookmarkStart w:id="26" w:name="_Toc158526226"/>
      <w:r w:rsidRPr="00412C6F">
        <w:rPr>
          <w:sz w:val="24"/>
        </w:rPr>
        <w:t>11. Questions of a Sensitive Nature</w:t>
      </w:r>
      <w:bookmarkEnd w:id="25"/>
      <w:bookmarkEnd w:id="26"/>
    </w:p>
    <w:p w:rsidR="00BB7136" w:rsidRDefault="003B2C9B" w:rsidP="00ED0EBB">
      <w:pPr>
        <w:rPr>
          <w:i/>
        </w:rPr>
      </w:pPr>
      <w:r w:rsidRPr="00825B3C">
        <w:t>The MEPS questionnaires for the Household Component include questions on income and medical conditions that some respondents may perceive as sensitive.</w:t>
      </w:r>
    </w:p>
    <w:p w:rsidR="009B633D" w:rsidRPr="003B2C9B" w:rsidRDefault="009B633D" w:rsidP="003B2C9B">
      <w:pPr>
        <w:pStyle w:val="Heading2"/>
        <w:rPr>
          <w:rStyle w:val="Strong"/>
          <w:b/>
          <w:bCs/>
          <w:sz w:val="24"/>
          <w:szCs w:val="24"/>
        </w:rPr>
      </w:pPr>
      <w:bookmarkStart w:id="27" w:name="_Toc151782187"/>
      <w:bookmarkStart w:id="28" w:name="_Toc158526227"/>
      <w:r w:rsidRPr="003B2C9B">
        <w:rPr>
          <w:sz w:val="24"/>
          <w:szCs w:val="24"/>
        </w:rPr>
        <w:t>12. Estimates of Annualized Burden Hours and Costs</w:t>
      </w:r>
      <w:bookmarkEnd w:id="27"/>
      <w:bookmarkEnd w:id="28"/>
    </w:p>
    <w:p w:rsidR="00AA788A" w:rsidRDefault="003B2C9B" w:rsidP="007D4F9F">
      <w:pPr>
        <w:rPr>
          <w:rStyle w:val="Strong"/>
          <w:b w:val="0"/>
        </w:rPr>
      </w:pPr>
      <w:proofErr w:type="gramStart"/>
      <w:r>
        <w:rPr>
          <w:rStyle w:val="Strong"/>
          <w:b w:val="0"/>
        </w:rPr>
        <w:t xml:space="preserve">Exhibit 1 shows the estimated annualized burden hours for the respondents' time to participate in </w:t>
      </w:r>
      <w:r w:rsidR="00AE32B5">
        <w:rPr>
          <w:rStyle w:val="Strong"/>
          <w:b w:val="0"/>
        </w:rPr>
        <w:t xml:space="preserve">the MEPS-HC and </w:t>
      </w:r>
      <w:r w:rsidR="00D87991">
        <w:rPr>
          <w:rStyle w:val="Strong"/>
          <w:b w:val="0"/>
        </w:rPr>
        <w:t xml:space="preserve">the </w:t>
      </w:r>
      <w:r w:rsidR="00AE32B5">
        <w:rPr>
          <w:rStyle w:val="Strong"/>
          <w:b w:val="0"/>
        </w:rPr>
        <w:t>MEPS-MPC.</w:t>
      </w:r>
      <w:proofErr w:type="gramEnd"/>
      <w:r w:rsidR="00652914">
        <w:rPr>
          <w:rStyle w:val="Strong"/>
          <w:b w:val="0"/>
        </w:rPr>
        <w:t xml:space="preserve">  The MEPS-HC Core Interview will be completed by </w:t>
      </w:r>
      <w:r w:rsidR="003C00C7">
        <w:t>15,093</w:t>
      </w:r>
      <w:r w:rsidR="003C00C7">
        <w:rPr>
          <w:vertAlign w:val="superscript"/>
        </w:rPr>
        <w:t>*</w:t>
      </w:r>
      <w:r w:rsidR="003C00C7">
        <w:t xml:space="preserve"> (see note below Exhibit 1)</w:t>
      </w:r>
      <w:r w:rsidR="000C3530">
        <w:rPr>
          <w:rStyle w:val="Strong"/>
          <w:b w:val="0"/>
        </w:rPr>
        <w:t xml:space="preserve"> "family level" respondents, also referred to as RU respondents.  Since the MEPS-HC consists of 5 rounds of interviewing covering a full two years of data, the annual average number of responses per respondent is 2.5 responses per year.  The MEPS-HC core requires an average response time of </w:t>
      </w:r>
      <w:r w:rsidR="00E75BDA">
        <w:rPr>
          <w:rStyle w:val="Strong"/>
          <w:b w:val="0"/>
        </w:rPr>
        <w:t>86 minutes</w:t>
      </w:r>
      <w:r w:rsidR="000C3530">
        <w:rPr>
          <w:rStyle w:val="Strong"/>
          <w:b w:val="0"/>
        </w:rPr>
        <w:t xml:space="preserve"> to administer.</w:t>
      </w:r>
      <w:r w:rsidR="00ED299B">
        <w:rPr>
          <w:rStyle w:val="Strong"/>
          <w:b w:val="0"/>
        </w:rPr>
        <w:t xml:space="preserve">  The Adult SAQ</w:t>
      </w:r>
      <w:r w:rsidR="00064594">
        <w:rPr>
          <w:rStyle w:val="Strong"/>
          <w:b w:val="0"/>
        </w:rPr>
        <w:t xml:space="preserve"> will be completed once a year by each person in the RU that is 18 years old and older, an estimated </w:t>
      </w:r>
      <w:r w:rsidR="00E75BDA" w:rsidRPr="009E1087">
        <w:t>28,254</w:t>
      </w:r>
      <w:r w:rsidR="00064594">
        <w:rPr>
          <w:rStyle w:val="Strong"/>
          <w:b w:val="0"/>
        </w:rPr>
        <w:t xml:space="preserve"> persons.  The Adult SAQ requires an average of </w:t>
      </w:r>
      <w:r w:rsidR="000B20DF">
        <w:rPr>
          <w:rStyle w:val="Strong"/>
          <w:b w:val="0"/>
        </w:rPr>
        <w:t xml:space="preserve">7 </w:t>
      </w:r>
      <w:r w:rsidR="00064594">
        <w:rPr>
          <w:rStyle w:val="Strong"/>
          <w:b w:val="0"/>
        </w:rPr>
        <w:t>minutes to complete.  The Diabetes care SAQ will be completed on</w:t>
      </w:r>
      <w:r w:rsidR="0054391F">
        <w:rPr>
          <w:rStyle w:val="Strong"/>
          <w:b w:val="0"/>
        </w:rPr>
        <w:t>c</w:t>
      </w:r>
      <w:r w:rsidR="00064594">
        <w:rPr>
          <w:rStyle w:val="Strong"/>
          <w:b w:val="0"/>
        </w:rPr>
        <w:t xml:space="preserve">e a year by each person in the RU identified as having diabetes, an estimated </w:t>
      </w:r>
      <w:r w:rsidR="00D472BE">
        <w:t>2,345</w:t>
      </w:r>
      <w:r w:rsidR="00064594">
        <w:rPr>
          <w:rStyle w:val="Strong"/>
          <w:b w:val="0"/>
        </w:rPr>
        <w:t xml:space="preserve"> persons</w:t>
      </w:r>
      <w:r w:rsidR="0054391F">
        <w:rPr>
          <w:rStyle w:val="Strong"/>
          <w:b w:val="0"/>
        </w:rPr>
        <w:t>,</w:t>
      </w:r>
      <w:r w:rsidR="00064594">
        <w:rPr>
          <w:rStyle w:val="Strong"/>
          <w:b w:val="0"/>
        </w:rPr>
        <w:t xml:space="preserve"> and takes about </w:t>
      </w:r>
      <w:r w:rsidR="000B20DF">
        <w:rPr>
          <w:rStyle w:val="Strong"/>
          <w:b w:val="0"/>
        </w:rPr>
        <w:t xml:space="preserve">3 </w:t>
      </w:r>
      <w:r w:rsidR="00064594">
        <w:rPr>
          <w:rStyle w:val="Strong"/>
          <w:b w:val="0"/>
        </w:rPr>
        <w:t xml:space="preserve">minutes to complete.  </w:t>
      </w:r>
      <w:r w:rsidR="00CB3939">
        <w:rPr>
          <w:rStyle w:val="Strong"/>
          <w:b w:val="0"/>
        </w:rPr>
        <w:t xml:space="preserve">The </w:t>
      </w:r>
      <w:r w:rsidR="00D3390F">
        <w:rPr>
          <w:bCs/>
        </w:rPr>
        <w:t>authorization</w:t>
      </w:r>
      <w:r w:rsidR="00064594">
        <w:rPr>
          <w:rStyle w:val="Strong"/>
          <w:b w:val="0"/>
        </w:rPr>
        <w:t xml:space="preserve"> form for the MEPS-MPC</w:t>
      </w:r>
      <w:r w:rsidR="00C60613">
        <w:rPr>
          <w:rStyle w:val="Strong"/>
          <w:b w:val="0"/>
        </w:rPr>
        <w:t xml:space="preserve"> </w:t>
      </w:r>
      <w:r w:rsidR="00CB3939">
        <w:rPr>
          <w:rStyle w:val="Strong"/>
          <w:b w:val="0"/>
        </w:rPr>
        <w:t xml:space="preserve">Provider Survey </w:t>
      </w:r>
      <w:r w:rsidR="00C60613">
        <w:rPr>
          <w:rStyle w:val="Strong"/>
          <w:b w:val="0"/>
        </w:rPr>
        <w:t>will be completed once for each medical provider seen by any RU member</w:t>
      </w:r>
      <w:r w:rsidR="00400732">
        <w:rPr>
          <w:rStyle w:val="Strong"/>
          <w:b w:val="0"/>
        </w:rPr>
        <w:t xml:space="preserve">.  </w:t>
      </w:r>
      <w:r w:rsidR="006B6EDE">
        <w:rPr>
          <w:rStyle w:val="Strong"/>
          <w:b w:val="0"/>
        </w:rPr>
        <w:t>T</w:t>
      </w:r>
      <w:r w:rsidR="00400732">
        <w:rPr>
          <w:rStyle w:val="Strong"/>
          <w:b w:val="0"/>
        </w:rPr>
        <w:t xml:space="preserve">he </w:t>
      </w:r>
      <w:r w:rsidR="00D472BE">
        <w:t>14,489</w:t>
      </w:r>
      <w:r w:rsidR="000D5D69">
        <w:rPr>
          <w:vertAlign w:val="superscript"/>
        </w:rPr>
        <w:t>*</w:t>
      </w:r>
      <w:r w:rsidR="00400732">
        <w:rPr>
          <w:rStyle w:val="Strong"/>
          <w:b w:val="0"/>
        </w:rPr>
        <w:t xml:space="preserve"> RUs in the MEPS-HC will complete an average of </w:t>
      </w:r>
      <w:r w:rsidR="000B20DF">
        <w:rPr>
          <w:rStyle w:val="Strong"/>
          <w:b w:val="0"/>
        </w:rPr>
        <w:t xml:space="preserve">5.2 </w:t>
      </w:r>
      <w:r w:rsidR="00400732">
        <w:rPr>
          <w:rStyle w:val="Strong"/>
          <w:b w:val="0"/>
        </w:rPr>
        <w:t xml:space="preserve">forms, which require about </w:t>
      </w:r>
      <w:r w:rsidR="000B20DF">
        <w:rPr>
          <w:rStyle w:val="Strong"/>
          <w:b w:val="0"/>
        </w:rPr>
        <w:t xml:space="preserve">3 </w:t>
      </w:r>
      <w:r w:rsidR="00400732">
        <w:rPr>
          <w:rStyle w:val="Strong"/>
          <w:b w:val="0"/>
        </w:rPr>
        <w:t>minutes</w:t>
      </w:r>
      <w:r w:rsidR="000B20DF">
        <w:rPr>
          <w:rStyle w:val="Strong"/>
          <w:b w:val="0"/>
        </w:rPr>
        <w:t xml:space="preserve"> each</w:t>
      </w:r>
      <w:r w:rsidR="00400732">
        <w:rPr>
          <w:rStyle w:val="Strong"/>
          <w:b w:val="0"/>
        </w:rPr>
        <w:t xml:space="preserve"> to complete.</w:t>
      </w:r>
      <w:r w:rsidR="00CB3939">
        <w:rPr>
          <w:rStyle w:val="Strong"/>
          <w:b w:val="0"/>
        </w:rPr>
        <w:t xml:space="preserve">  The </w:t>
      </w:r>
      <w:r w:rsidR="00D3390F">
        <w:rPr>
          <w:bCs/>
        </w:rPr>
        <w:t>authorization</w:t>
      </w:r>
      <w:r w:rsidR="00CB3939">
        <w:rPr>
          <w:rStyle w:val="Strong"/>
          <w:b w:val="0"/>
        </w:rPr>
        <w:t xml:space="preserve"> form for the MEPS-MPC Pharmacy Survey will be completed once for each pharmacy </w:t>
      </w:r>
      <w:r w:rsidR="001A48D1">
        <w:rPr>
          <w:rStyle w:val="Strong"/>
          <w:b w:val="0"/>
        </w:rPr>
        <w:t xml:space="preserve">for </w:t>
      </w:r>
      <w:r w:rsidR="00CB3939">
        <w:rPr>
          <w:rStyle w:val="Strong"/>
          <w:b w:val="0"/>
        </w:rPr>
        <w:t xml:space="preserve">any RU member </w:t>
      </w:r>
      <w:r w:rsidR="001A48D1">
        <w:rPr>
          <w:rStyle w:val="Strong"/>
          <w:b w:val="0"/>
        </w:rPr>
        <w:t xml:space="preserve">who </w:t>
      </w:r>
      <w:r w:rsidR="00CB3939">
        <w:rPr>
          <w:rStyle w:val="Strong"/>
          <w:b w:val="0"/>
        </w:rPr>
        <w:t>has obtaine</w:t>
      </w:r>
      <w:r w:rsidR="001A48D1">
        <w:rPr>
          <w:rStyle w:val="Strong"/>
          <w:b w:val="0"/>
        </w:rPr>
        <w:t>d a prescription medication</w:t>
      </w:r>
      <w:r w:rsidR="00CB3939">
        <w:rPr>
          <w:rStyle w:val="Strong"/>
          <w:b w:val="0"/>
        </w:rPr>
        <w:t>.  RU</w:t>
      </w:r>
      <w:r w:rsidR="006B6EDE">
        <w:rPr>
          <w:rStyle w:val="Strong"/>
          <w:b w:val="0"/>
        </w:rPr>
        <w:t>s</w:t>
      </w:r>
      <w:r w:rsidR="00CB3939">
        <w:rPr>
          <w:rStyle w:val="Strong"/>
          <w:b w:val="0"/>
        </w:rPr>
        <w:t xml:space="preserve"> will complete an average of 3.1 forms, which take about 3 minutes to complete.</w:t>
      </w:r>
      <w:r w:rsidR="00D472BE">
        <w:rPr>
          <w:rStyle w:val="Strong"/>
          <w:b w:val="0"/>
        </w:rPr>
        <w:t xml:space="preserve">  About one third of all interviewed RUs will complete a validation interview as part of the </w:t>
      </w:r>
      <w:r w:rsidR="00D472BE">
        <w:rPr>
          <w:rStyle w:val="Strong"/>
          <w:b w:val="0"/>
        </w:rPr>
        <w:lastRenderedPageBreak/>
        <w:t>MEPS-HC quality control, which takes an average of 5 minutes to complete.</w:t>
      </w:r>
      <w:r w:rsidR="000D583F">
        <w:rPr>
          <w:rStyle w:val="Strong"/>
          <w:b w:val="0"/>
        </w:rPr>
        <w:t xml:space="preserve">  The total annual burden hours for the MEPS-HC </w:t>
      </w:r>
      <w:r w:rsidR="006F1490">
        <w:rPr>
          <w:rStyle w:val="Strong"/>
          <w:b w:val="0"/>
        </w:rPr>
        <w:t>are</w:t>
      </w:r>
      <w:r w:rsidR="000D583F">
        <w:rPr>
          <w:rStyle w:val="Strong"/>
          <w:b w:val="0"/>
        </w:rPr>
        <w:t xml:space="preserve"> estimated to be </w:t>
      </w:r>
      <w:r w:rsidR="004827DE">
        <w:t xml:space="preserve">63,907 </w:t>
      </w:r>
      <w:r w:rsidR="000D583F">
        <w:rPr>
          <w:rStyle w:val="Strong"/>
          <w:b w:val="0"/>
        </w:rPr>
        <w:t>hours.</w:t>
      </w:r>
    </w:p>
    <w:p w:rsidR="000D583F" w:rsidRDefault="000D583F" w:rsidP="007D4F9F">
      <w:pPr>
        <w:rPr>
          <w:rStyle w:val="Strong"/>
          <w:b w:val="0"/>
        </w:rPr>
      </w:pPr>
    </w:p>
    <w:p w:rsidR="000D583F" w:rsidRDefault="00702EB0" w:rsidP="000D583F">
      <w:pPr>
        <w:rPr>
          <w:rStyle w:val="Strong"/>
          <w:b w:val="0"/>
        </w:rPr>
      </w:pPr>
      <w:r>
        <w:rPr>
          <w:rStyle w:val="Strong"/>
          <w:b w:val="0"/>
        </w:rPr>
        <w:t xml:space="preserve">All </w:t>
      </w:r>
      <w:r w:rsidR="009E0F67">
        <w:rPr>
          <w:rStyle w:val="Strong"/>
          <w:b w:val="0"/>
        </w:rPr>
        <w:t>34,000</w:t>
      </w:r>
      <w:r>
        <w:rPr>
          <w:rStyle w:val="Strong"/>
          <w:b w:val="0"/>
        </w:rPr>
        <w:t xml:space="preserve"> medical providers and pharmacies included in the MEPS-MPC will receive a </w:t>
      </w:r>
      <w:r w:rsidR="00545745">
        <w:rPr>
          <w:rStyle w:val="Strong"/>
          <w:b w:val="0"/>
        </w:rPr>
        <w:t>screening call which will take 3</w:t>
      </w:r>
      <w:r>
        <w:rPr>
          <w:rStyle w:val="Strong"/>
          <w:b w:val="0"/>
        </w:rPr>
        <w:t xml:space="preserve"> minutes on average.  </w:t>
      </w:r>
      <w:r w:rsidR="000D583F">
        <w:rPr>
          <w:rStyle w:val="Strong"/>
          <w:b w:val="0"/>
        </w:rPr>
        <w:t>The MEPS-MPC</w:t>
      </w:r>
      <w:r w:rsidR="000149E5">
        <w:rPr>
          <w:rStyle w:val="Strong"/>
          <w:b w:val="0"/>
        </w:rPr>
        <w:t xml:space="preserve"> </w:t>
      </w:r>
      <w:r w:rsidR="000D583F">
        <w:rPr>
          <w:rStyle w:val="Strong"/>
          <w:b w:val="0"/>
        </w:rPr>
        <w:t xml:space="preserve">uses 7 different questionnaires; 6 for medical providers and 1 for pharmacies.  Each questionnaire is relatively short and requires </w:t>
      </w:r>
      <w:r w:rsidR="000D583F" w:rsidRPr="00FB206E">
        <w:rPr>
          <w:rStyle w:val="Strong"/>
          <w:b w:val="0"/>
        </w:rPr>
        <w:t>3 to 5</w:t>
      </w:r>
      <w:r w:rsidR="000D583F">
        <w:rPr>
          <w:rStyle w:val="Strong"/>
          <w:b w:val="0"/>
        </w:rPr>
        <w:t xml:space="preserve"> minutes to complete.  The total annual burden hours for the MEPS-MPC </w:t>
      </w:r>
      <w:r w:rsidR="00AE7B56">
        <w:rPr>
          <w:rStyle w:val="Strong"/>
          <w:b w:val="0"/>
        </w:rPr>
        <w:t>are</w:t>
      </w:r>
      <w:r w:rsidR="000D583F">
        <w:rPr>
          <w:rStyle w:val="Strong"/>
          <w:b w:val="0"/>
        </w:rPr>
        <w:t xml:space="preserve"> estimated to be </w:t>
      </w:r>
      <w:r w:rsidR="009E0F67">
        <w:t>18,</w:t>
      </w:r>
      <w:r w:rsidR="00310EEC">
        <w:t>914</w:t>
      </w:r>
      <w:r w:rsidR="000D583F">
        <w:rPr>
          <w:rStyle w:val="Strong"/>
          <w:b w:val="0"/>
        </w:rPr>
        <w:t xml:space="preserve"> hours.  The total annual burden for the MEPS-HC and MPC is estimated to be </w:t>
      </w:r>
      <w:r w:rsidR="004827DE">
        <w:t>82,</w:t>
      </w:r>
      <w:r w:rsidR="00310EEC">
        <w:t>821</w:t>
      </w:r>
      <w:r w:rsidR="00EA002D">
        <w:t xml:space="preserve"> </w:t>
      </w:r>
      <w:r w:rsidR="000D583F">
        <w:rPr>
          <w:rStyle w:val="Strong"/>
          <w:b w:val="0"/>
        </w:rPr>
        <w:t>hours.</w:t>
      </w:r>
    </w:p>
    <w:p w:rsidR="000D583F" w:rsidRDefault="000D583F" w:rsidP="000D583F">
      <w:pPr>
        <w:rPr>
          <w:rStyle w:val="Strong"/>
          <w:b w:val="0"/>
        </w:rPr>
      </w:pPr>
    </w:p>
    <w:p w:rsidR="00C213AE" w:rsidRDefault="000D583F" w:rsidP="007D4F9F">
      <w:pPr>
        <w:rPr>
          <w:rStyle w:val="Strong"/>
          <w:b w:val="0"/>
        </w:rPr>
      </w:pPr>
      <w:r>
        <w:rPr>
          <w:rStyle w:val="Strong"/>
          <w:b w:val="0"/>
        </w:rPr>
        <w:t>Exhibit 2 shows the estimated annual cost burden associated with the respondents' time to participate in this information</w:t>
      </w:r>
      <w:r w:rsidR="009E0F67">
        <w:rPr>
          <w:rStyle w:val="Strong"/>
          <w:b w:val="0"/>
        </w:rPr>
        <w:t xml:space="preserve"> collection</w:t>
      </w:r>
      <w:r>
        <w:rPr>
          <w:rStyle w:val="Strong"/>
          <w:b w:val="0"/>
        </w:rPr>
        <w:t xml:space="preserve">.  The annual cost burden for the MEPS-HC is estimated to be </w:t>
      </w:r>
      <w:r w:rsidR="003F21E1">
        <w:t>$</w:t>
      </w:r>
      <w:r w:rsidR="00B103AC" w:rsidRPr="00637DDE">
        <w:t>1</w:t>
      </w:r>
      <w:r w:rsidR="00B103AC">
        <w:t>,</w:t>
      </w:r>
      <w:r w:rsidR="00B103AC" w:rsidRPr="00637DDE">
        <w:t>3</w:t>
      </w:r>
      <w:r w:rsidR="00B103AC">
        <w:t>89,339</w:t>
      </w:r>
      <w:r w:rsidR="00B802DF">
        <w:t xml:space="preserve">; </w:t>
      </w:r>
      <w:r w:rsidR="00B802DF">
        <w:rPr>
          <w:rStyle w:val="Strong"/>
          <w:b w:val="0"/>
        </w:rPr>
        <w:t xml:space="preserve">the annual cost burden for the MEPS-MPC is estimated to be </w:t>
      </w:r>
      <w:r w:rsidR="003F21E1">
        <w:t>$</w:t>
      </w:r>
      <w:r w:rsidR="003C13EE">
        <w:t>285,680</w:t>
      </w:r>
      <w:r w:rsidR="00B802DF">
        <w:t>.</w:t>
      </w:r>
      <w:r w:rsidR="006F1490">
        <w:t xml:space="preserve">  The total annual cost burden for the MEPS-HC and MPC is estimated to be $</w:t>
      </w:r>
      <w:r w:rsidR="003C13EE" w:rsidRPr="00B52F7D">
        <w:t>1</w:t>
      </w:r>
      <w:r w:rsidR="003C13EE">
        <w:t>,</w:t>
      </w:r>
      <w:r w:rsidR="003C13EE" w:rsidRPr="00B52F7D">
        <w:t>6</w:t>
      </w:r>
      <w:r w:rsidR="003C13EE">
        <w:t>75,019</w:t>
      </w:r>
      <w:r w:rsidR="006F1490">
        <w:t>.</w:t>
      </w:r>
    </w:p>
    <w:p w:rsidR="00C213AE" w:rsidRDefault="00C213AE" w:rsidP="007D4F9F">
      <w:pPr>
        <w:rPr>
          <w:rStyle w:val="Strong"/>
          <w:b w:val="0"/>
        </w:rPr>
      </w:pPr>
    </w:p>
    <w:p w:rsidR="00652914" w:rsidRDefault="00652914" w:rsidP="00652914">
      <w:proofErr w:type="gramStart"/>
      <w:r>
        <w:rPr>
          <w:b/>
          <w:bCs/>
          <w:color w:val="000000"/>
        </w:rPr>
        <w:t>Exhibit 1.</w:t>
      </w:r>
      <w:proofErr w:type="gramEnd"/>
      <w:r>
        <w:rPr>
          <w:b/>
          <w:bCs/>
          <w:color w:val="000000"/>
        </w:rPr>
        <w:t>  Estimated annualized burden hours</w:t>
      </w:r>
    </w:p>
    <w:tbl>
      <w:tblPr>
        <w:tblW w:w="0" w:type="auto"/>
        <w:tblLayout w:type="fixed"/>
        <w:tblCellMar>
          <w:left w:w="0" w:type="dxa"/>
          <w:right w:w="0" w:type="dxa"/>
        </w:tblCellMar>
        <w:tblLook w:val="0000" w:firstRow="0" w:lastRow="0" w:firstColumn="0" w:lastColumn="0" w:noHBand="0" w:noVBand="0"/>
      </w:tblPr>
      <w:tblGrid>
        <w:gridCol w:w="4068"/>
        <w:gridCol w:w="1260"/>
        <w:gridCol w:w="1440"/>
        <w:gridCol w:w="900"/>
        <w:gridCol w:w="990"/>
      </w:tblGrid>
      <w:tr w:rsidR="00652914" w:rsidTr="00FB68B0">
        <w:tc>
          <w:tcPr>
            <w:tcW w:w="40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rPr>
                <w:color w:val="000000"/>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E97584" w:rsidRDefault="00652914" w:rsidP="00C52A4E">
            <w:pPr>
              <w:jc w:val="center"/>
              <w:rPr>
                <w:sz w:val="20"/>
                <w:szCs w:val="20"/>
              </w:rPr>
            </w:pPr>
            <w:r w:rsidRPr="008D166A">
              <w:rPr>
                <w:sz w:val="20"/>
                <w:szCs w:val="20"/>
              </w:rPr>
              <w:t>Number of responses per respondent</w:t>
            </w:r>
          </w:p>
        </w:tc>
        <w:tc>
          <w:tcPr>
            <w:tcW w:w="900" w:type="dxa"/>
            <w:tcBorders>
              <w:top w:val="single" w:sz="8" w:space="0" w:color="auto"/>
              <w:left w:val="nil"/>
              <w:bottom w:val="single" w:sz="8" w:space="0" w:color="auto"/>
              <w:right w:val="single" w:sz="8" w:space="0" w:color="auto"/>
            </w:tcBorders>
            <w:vAlign w:val="center"/>
          </w:tcPr>
          <w:p w:rsidR="00652914" w:rsidRDefault="008D166A" w:rsidP="00C52A4E">
            <w:pPr>
              <w:jc w:val="center"/>
            </w:pPr>
            <w:r>
              <w:rPr>
                <w:color w:val="000000"/>
                <w:sz w:val="20"/>
                <w:szCs w:val="20"/>
              </w:rPr>
              <w:t xml:space="preserve">Hours </w:t>
            </w:r>
            <w:r w:rsidR="00652914">
              <w:rPr>
                <w:color w:val="000000"/>
                <w:sz w:val="20"/>
                <w:szCs w:val="20"/>
              </w:rPr>
              <w:t>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rPr>
                <w:color w:val="000000"/>
                <w:sz w:val="20"/>
                <w:szCs w:val="20"/>
              </w:rPr>
              <w:t>Total Burden hours</w:t>
            </w:r>
          </w:p>
        </w:tc>
      </w:tr>
      <w:tr w:rsidR="00A6137F" w:rsidTr="00FB68B0">
        <w:tc>
          <w:tcPr>
            <w:tcW w:w="865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A6137F" w:rsidRDefault="00A6137F" w:rsidP="00C52A4E">
            <w:pPr>
              <w:jc w:val="center"/>
            </w:pPr>
            <w:r w:rsidRPr="00940B20">
              <w:rPr>
                <w:b/>
              </w:rPr>
              <w:t>MEPS-HC</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r>
              <w:t>MEPS-HC Core Interview</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BD1D13" w:rsidRDefault="00FB68B0" w:rsidP="00EB000D">
            <w:pPr>
              <w:jc w:val="right"/>
              <w:rPr>
                <w:rFonts w:ascii="Times New (W1)" w:hAnsi="Times New (W1)"/>
                <w:vertAlign w:val="superscript"/>
              </w:rPr>
            </w:pPr>
            <w:r>
              <w:t>15,093</w:t>
            </w:r>
            <w:r w:rsidR="00A10F52">
              <w:rPr>
                <w:vertAlign w:val="superscript"/>
              </w:rPr>
              <w: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t>2.5</w:t>
            </w:r>
          </w:p>
        </w:tc>
        <w:tc>
          <w:tcPr>
            <w:tcW w:w="900" w:type="dxa"/>
            <w:tcBorders>
              <w:top w:val="nil"/>
              <w:left w:val="nil"/>
              <w:bottom w:val="single" w:sz="8" w:space="0" w:color="auto"/>
              <w:right w:val="single" w:sz="8" w:space="0" w:color="auto"/>
            </w:tcBorders>
            <w:vAlign w:val="center"/>
          </w:tcPr>
          <w:p w:rsidR="00652914" w:rsidRDefault="00FB68B0" w:rsidP="00C52A4E">
            <w:pPr>
              <w:jc w:val="center"/>
            </w:pPr>
            <w:r>
              <w:t>86/60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FB68B0" w:rsidRDefault="00FB68B0" w:rsidP="0078181D">
            <w:pPr>
              <w:jc w:val="right"/>
              <w:rPr>
                <w:vertAlign w:val="superscript"/>
              </w:rPr>
            </w:pPr>
            <w:r>
              <w:t>54,083</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5B6DE4" w:rsidRDefault="00266F67" w:rsidP="00C52A4E">
            <w:r>
              <w:t xml:space="preserve">Adult </w:t>
            </w:r>
            <w:r w:rsidR="00ED299B">
              <w:rPr>
                <w:bCs/>
              </w:rPr>
              <w:t>SAQ</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BD1D13" w:rsidRDefault="009E1087" w:rsidP="00EB000D">
            <w:pPr>
              <w:jc w:val="right"/>
            </w:pPr>
            <w:r w:rsidRPr="009E1087">
              <w:t>28,254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t>1</w:t>
            </w:r>
          </w:p>
        </w:tc>
        <w:tc>
          <w:tcPr>
            <w:tcW w:w="900" w:type="dxa"/>
            <w:tcBorders>
              <w:top w:val="nil"/>
              <w:left w:val="nil"/>
              <w:bottom w:val="single" w:sz="8" w:space="0" w:color="auto"/>
              <w:right w:val="single" w:sz="8" w:space="0" w:color="auto"/>
            </w:tcBorders>
            <w:vAlign w:val="center"/>
          </w:tcPr>
          <w:p w:rsidR="00652914" w:rsidRDefault="00260E5F" w:rsidP="00C52A4E">
            <w:pPr>
              <w:jc w:val="center"/>
            </w:pPr>
            <w:r>
              <w:t>7</w:t>
            </w:r>
            <w:r w:rsidR="008D166A">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F23819" w:rsidP="0078181D">
            <w:pPr>
              <w:jc w:val="right"/>
            </w:pPr>
            <w:r>
              <w:t>3,296</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5B6DE4" w:rsidRDefault="00652914" w:rsidP="00C52A4E">
            <w:r>
              <w:t xml:space="preserve">Diabetes care </w:t>
            </w:r>
            <w:r w:rsidR="00ED299B">
              <w:t>SAQ</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BD1D13" w:rsidRDefault="009E1087" w:rsidP="00EB000D">
            <w:pPr>
              <w:jc w:val="right"/>
            </w:pPr>
            <w:r>
              <w:t>2,345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t>1</w:t>
            </w:r>
          </w:p>
        </w:tc>
        <w:tc>
          <w:tcPr>
            <w:tcW w:w="900" w:type="dxa"/>
            <w:tcBorders>
              <w:top w:val="nil"/>
              <w:left w:val="nil"/>
              <w:bottom w:val="single" w:sz="8" w:space="0" w:color="auto"/>
              <w:right w:val="single" w:sz="8" w:space="0" w:color="auto"/>
            </w:tcBorders>
            <w:vAlign w:val="center"/>
          </w:tcPr>
          <w:p w:rsidR="00652914" w:rsidRDefault="00260E5F" w:rsidP="00C52A4E">
            <w:pPr>
              <w:jc w:val="center"/>
            </w:pPr>
            <w:r>
              <w:t>3</w:t>
            </w:r>
            <w:r w:rsidR="008D166A">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F23819" w:rsidP="0078181D">
            <w:pPr>
              <w:jc w:val="right"/>
            </w:pPr>
            <w:r>
              <w:t>117</w:t>
            </w:r>
          </w:p>
        </w:tc>
      </w:tr>
      <w:tr w:rsidR="00266F67"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6F67" w:rsidRDefault="00D3390F" w:rsidP="00C52A4E">
            <w:r>
              <w:rPr>
                <w:bCs/>
              </w:rPr>
              <w:t>Authorization</w:t>
            </w:r>
            <w:r w:rsidR="00266F67" w:rsidRPr="00940B20">
              <w:rPr>
                <w:bCs/>
              </w:rPr>
              <w:t xml:space="preserve"> form for the </w:t>
            </w:r>
            <w:r w:rsidR="00064594">
              <w:rPr>
                <w:bCs/>
              </w:rPr>
              <w:t>MEPS-</w:t>
            </w:r>
            <w:r w:rsidR="00266F67" w:rsidRPr="00940B20">
              <w:rPr>
                <w:bCs/>
              </w:rPr>
              <w:t>MPC</w:t>
            </w:r>
            <w:r w:rsidR="00B026BA">
              <w:rPr>
                <w:bCs/>
              </w:rPr>
              <w:t xml:space="preserve"> Provider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6F67" w:rsidRDefault="009841E0" w:rsidP="0078181D">
            <w:pPr>
              <w:jc w:val="right"/>
            </w:pPr>
            <w:r>
              <w:t>14,489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6F67" w:rsidRDefault="000B20DF" w:rsidP="00C52A4E">
            <w:pPr>
              <w:jc w:val="center"/>
            </w:pPr>
            <w:r>
              <w:t>5.2</w:t>
            </w:r>
          </w:p>
        </w:tc>
        <w:tc>
          <w:tcPr>
            <w:tcW w:w="900" w:type="dxa"/>
            <w:tcBorders>
              <w:top w:val="nil"/>
              <w:left w:val="nil"/>
              <w:bottom w:val="single" w:sz="8" w:space="0" w:color="auto"/>
              <w:right w:val="single" w:sz="8" w:space="0" w:color="auto"/>
            </w:tcBorders>
            <w:vAlign w:val="center"/>
          </w:tcPr>
          <w:p w:rsidR="00266F67" w:rsidRDefault="00260E5F" w:rsidP="00C52A4E">
            <w:pPr>
              <w:jc w:val="center"/>
            </w:pPr>
            <w:r>
              <w:t>3</w:t>
            </w:r>
            <w:r w:rsidR="008D166A">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6F67" w:rsidRDefault="001751F1" w:rsidP="0078181D">
            <w:pPr>
              <w:jc w:val="right"/>
            </w:pPr>
            <w:r>
              <w:t>3,767</w:t>
            </w:r>
          </w:p>
        </w:tc>
      </w:tr>
      <w:tr w:rsidR="00C53ADC"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3ADC" w:rsidRDefault="00D3390F" w:rsidP="00C52A4E">
            <w:pPr>
              <w:rPr>
                <w:bCs/>
              </w:rPr>
            </w:pPr>
            <w:r>
              <w:rPr>
                <w:bCs/>
              </w:rPr>
              <w:t xml:space="preserve">Authorization </w:t>
            </w:r>
            <w:r w:rsidR="00C53ADC">
              <w:rPr>
                <w:bCs/>
              </w:rPr>
              <w:t xml:space="preserve">form for the MEPS-MPC Pharmacy </w:t>
            </w:r>
            <w:r w:rsidR="00B026BA">
              <w:rPr>
                <w:bCs/>
              </w:rPr>
              <w:t>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3ADC" w:rsidRDefault="009841E0" w:rsidP="0078181D">
            <w:pPr>
              <w:jc w:val="right"/>
            </w:pPr>
            <w:r>
              <w:t>14,489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3ADC" w:rsidRDefault="00C53ADC" w:rsidP="00C52A4E">
            <w:pPr>
              <w:jc w:val="center"/>
            </w:pPr>
            <w:r>
              <w:t>3.1</w:t>
            </w:r>
          </w:p>
        </w:tc>
        <w:tc>
          <w:tcPr>
            <w:tcW w:w="900" w:type="dxa"/>
            <w:tcBorders>
              <w:top w:val="nil"/>
              <w:left w:val="nil"/>
              <w:bottom w:val="single" w:sz="8" w:space="0" w:color="auto"/>
              <w:right w:val="single" w:sz="8" w:space="0" w:color="auto"/>
            </w:tcBorders>
            <w:vAlign w:val="center"/>
          </w:tcPr>
          <w:p w:rsidR="00C53ADC" w:rsidRDefault="00C53ADC" w:rsidP="00C52A4E">
            <w:pPr>
              <w:jc w:val="center"/>
            </w:pPr>
            <w: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3ADC" w:rsidRDefault="001751F1" w:rsidP="0078181D">
            <w:pPr>
              <w:jc w:val="right"/>
            </w:pPr>
            <w:r>
              <w:t>2,246</w:t>
            </w:r>
          </w:p>
        </w:tc>
      </w:tr>
      <w:tr w:rsidR="009841E0"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841E0" w:rsidRDefault="00DA6E70" w:rsidP="00C52A4E">
            <w:pPr>
              <w:rPr>
                <w:bCs/>
              </w:rPr>
            </w:pPr>
            <w:r>
              <w:t>MEPS-HC Validation Interview</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841E0" w:rsidRDefault="00DA6E70" w:rsidP="0078181D">
            <w:pPr>
              <w:jc w:val="right"/>
            </w:pPr>
            <w:r>
              <w:t>4,781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841E0" w:rsidRDefault="00DA6E70" w:rsidP="00C52A4E">
            <w:pPr>
              <w:jc w:val="center"/>
            </w:pPr>
            <w:r>
              <w:t>1</w:t>
            </w:r>
          </w:p>
        </w:tc>
        <w:tc>
          <w:tcPr>
            <w:tcW w:w="900" w:type="dxa"/>
            <w:tcBorders>
              <w:top w:val="nil"/>
              <w:left w:val="nil"/>
              <w:bottom w:val="single" w:sz="8" w:space="0" w:color="auto"/>
              <w:right w:val="single" w:sz="8" w:space="0" w:color="auto"/>
            </w:tcBorders>
            <w:vAlign w:val="center"/>
          </w:tcPr>
          <w:p w:rsidR="009841E0" w:rsidRDefault="00DA6E70" w:rsidP="00C52A4E">
            <w:pPr>
              <w:jc w:val="center"/>
            </w:pPr>
            <w:r>
              <w:t>5/60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841E0" w:rsidRDefault="001751F1" w:rsidP="0078181D">
            <w:pPr>
              <w:jc w:val="right"/>
            </w:pPr>
            <w:r>
              <w:t>398</w:t>
            </w:r>
          </w:p>
        </w:tc>
      </w:tr>
      <w:tr w:rsidR="00400732"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00732" w:rsidRPr="00940B20" w:rsidRDefault="00400732" w:rsidP="00C52A4E">
            <w:pPr>
              <w:rPr>
                <w:bCs/>
              </w:rPr>
            </w:pPr>
            <w:r>
              <w:rPr>
                <w:bCs/>
              </w:rPr>
              <w:t>Subtotal for the MEPS-HC</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00732" w:rsidRDefault="00780B6F" w:rsidP="0078181D">
            <w:pPr>
              <w:jc w:val="right"/>
            </w:pPr>
            <w:r>
              <w:t>79,451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00732" w:rsidRDefault="00400732" w:rsidP="00C52A4E">
            <w:pPr>
              <w:jc w:val="center"/>
            </w:pPr>
            <w:proofErr w:type="spellStart"/>
            <w:r>
              <w:t>na</w:t>
            </w:r>
            <w:proofErr w:type="spellEnd"/>
          </w:p>
        </w:tc>
        <w:tc>
          <w:tcPr>
            <w:tcW w:w="900" w:type="dxa"/>
            <w:tcBorders>
              <w:top w:val="nil"/>
              <w:left w:val="nil"/>
              <w:bottom w:val="single" w:sz="8" w:space="0" w:color="auto"/>
              <w:right w:val="single" w:sz="8" w:space="0" w:color="auto"/>
            </w:tcBorders>
            <w:vAlign w:val="center"/>
          </w:tcPr>
          <w:p w:rsidR="00400732" w:rsidRDefault="00400732" w:rsidP="00C52A4E">
            <w:pPr>
              <w:jc w:val="center"/>
            </w:pPr>
            <w:proofErr w:type="spellStart"/>
            <w:r>
              <w:t>na</w:t>
            </w:r>
            <w:proofErr w:type="spellEnd"/>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00732" w:rsidRDefault="00F23819" w:rsidP="0078181D">
            <w:pPr>
              <w:jc w:val="right"/>
            </w:pPr>
            <w:r>
              <w:t>6</w:t>
            </w:r>
            <w:r w:rsidR="004827DE">
              <w:t>3,907</w:t>
            </w:r>
          </w:p>
        </w:tc>
      </w:tr>
      <w:tr w:rsidR="00F96BEB" w:rsidTr="00FB68B0">
        <w:tc>
          <w:tcPr>
            <w:tcW w:w="865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F96BEB" w:rsidRDefault="00F96BEB" w:rsidP="00C52A4E">
            <w:pPr>
              <w:jc w:val="center"/>
            </w:pPr>
            <w:r w:rsidRPr="00940B20">
              <w:rPr>
                <w:b/>
              </w:rPr>
              <w:t>MEPS-MPC</w:t>
            </w:r>
          </w:p>
        </w:tc>
      </w:tr>
      <w:tr w:rsidR="00C1630A"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1630A" w:rsidRPr="00CA67E1" w:rsidRDefault="00C1630A" w:rsidP="00C52A4E">
            <w:pPr>
              <w:rPr>
                <w:bCs/>
                <w:vertAlign w:val="superscript"/>
              </w:rPr>
            </w:pPr>
            <w:r>
              <w:rPr>
                <w:bCs/>
              </w:rPr>
              <w:t xml:space="preserve">MPC </w:t>
            </w:r>
            <w:r w:rsidR="0072312A">
              <w:rPr>
                <w:bCs/>
              </w:rPr>
              <w:t>Contact Guide/</w:t>
            </w:r>
            <w:r>
              <w:rPr>
                <w:bCs/>
              </w:rPr>
              <w:t>Screening Call</w:t>
            </w:r>
            <w:r w:rsidR="00B26A9A">
              <w:rPr>
                <w:bCs/>
                <w:vertAlign w:val="superscript"/>
              </w:rPr>
              <w:t>*</w:t>
            </w:r>
            <w:r w:rsidR="00CA67E1">
              <w:rPr>
                <w:bCs/>
                <w:vertAlign w:val="superscript"/>
              </w:rPr>
              <w: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1630A" w:rsidRPr="007867A2" w:rsidDel="007867A2" w:rsidRDefault="002F4FDD" w:rsidP="00251B2F">
            <w:pPr>
              <w:jc w:val="right"/>
            </w:pPr>
            <w:r>
              <w:t>34,000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1630A" w:rsidRDefault="00C1630A" w:rsidP="00C52A4E">
            <w:pPr>
              <w:jc w:val="center"/>
            </w:pPr>
            <w:r>
              <w:t>1</w:t>
            </w:r>
          </w:p>
        </w:tc>
        <w:tc>
          <w:tcPr>
            <w:tcW w:w="900" w:type="dxa"/>
            <w:tcBorders>
              <w:top w:val="nil"/>
              <w:left w:val="nil"/>
              <w:bottom w:val="single" w:sz="8" w:space="0" w:color="auto"/>
              <w:right w:val="single" w:sz="8" w:space="0" w:color="auto"/>
            </w:tcBorders>
            <w:vAlign w:val="center"/>
          </w:tcPr>
          <w:p w:rsidR="00C1630A" w:rsidRDefault="00310EEC" w:rsidP="00C52A4E">
            <w:pPr>
              <w:jc w:val="center"/>
            </w:pPr>
            <w:r>
              <w:t>3</w:t>
            </w:r>
            <w:r w:rsidR="00A96827">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1630A" w:rsidRDefault="00310EEC" w:rsidP="0078181D">
            <w:pPr>
              <w:jc w:val="right"/>
            </w:pPr>
            <w:r>
              <w:t>1,700</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134942" w:rsidRDefault="00652914" w:rsidP="00C52A4E">
            <w:r>
              <w:rPr>
                <w:bCs/>
              </w:rPr>
              <w:t>Home c</w:t>
            </w:r>
            <w:r w:rsidRPr="00134942">
              <w:rPr>
                <w:bCs/>
              </w:rPr>
              <w:t xml:space="preserve">are </w:t>
            </w:r>
            <w:r w:rsidR="0069608F">
              <w:rPr>
                <w:bCs/>
              </w:rPr>
              <w:t xml:space="preserve">for health care </w:t>
            </w:r>
            <w:r>
              <w:rPr>
                <w:bCs/>
              </w:rPr>
              <w:t>provider</w:t>
            </w:r>
            <w:r w:rsidR="0069608F">
              <w:rPr>
                <w:bCs/>
              </w:rPr>
              <w:t>s</w:t>
            </w:r>
            <w:r>
              <w:rPr>
                <w:bCs/>
              </w:rPr>
              <w:t xml:space="preserve"> </w:t>
            </w:r>
            <w:r w:rsidR="0069608F">
              <w:rPr>
                <w:bCs/>
              </w:rPr>
              <w:t>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7867A2" w:rsidRDefault="007867A2" w:rsidP="00251B2F">
            <w:pPr>
              <w:jc w:val="right"/>
            </w:pPr>
            <w:r>
              <w:t>465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D30A06" w:rsidP="00C52A4E">
            <w:pPr>
              <w:jc w:val="center"/>
            </w:pPr>
            <w:r>
              <w:t>6.5</w:t>
            </w:r>
          </w:p>
        </w:tc>
        <w:tc>
          <w:tcPr>
            <w:tcW w:w="900" w:type="dxa"/>
            <w:tcBorders>
              <w:top w:val="nil"/>
              <w:left w:val="nil"/>
              <w:bottom w:val="single" w:sz="8" w:space="0" w:color="auto"/>
              <w:right w:val="single" w:sz="8" w:space="0" w:color="auto"/>
            </w:tcBorders>
            <w:vAlign w:val="center"/>
          </w:tcPr>
          <w:p w:rsidR="00652914" w:rsidRDefault="00210104" w:rsidP="00C52A4E">
            <w:pPr>
              <w:jc w:val="center"/>
            </w:pPr>
            <w:r>
              <w:t>5</w:t>
            </w:r>
            <w:r w:rsidR="00C80D93">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BD4F19" w:rsidP="0078181D">
            <w:pPr>
              <w:jc w:val="right"/>
            </w:pPr>
            <w:r>
              <w:t>252</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134942" w:rsidRDefault="00652914" w:rsidP="00C52A4E">
            <w:r>
              <w:rPr>
                <w:bCs/>
              </w:rPr>
              <w:t>Home care for non</w:t>
            </w:r>
            <w:r>
              <w:rPr>
                <w:bCs/>
              </w:rPr>
              <w:noBreakHyphen/>
              <w:t>health care p</w:t>
            </w:r>
            <w:r w:rsidRPr="00134942">
              <w:rPr>
                <w:bCs/>
              </w:rPr>
              <w:t>roviders</w:t>
            </w:r>
            <w:r w:rsidR="0069608F">
              <w:rPr>
                <w:bCs/>
              </w:rP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7867A2" w:rsidRDefault="00564327" w:rsidP="0078181D">
            <w:pPr>
              <w:jc w:val="right"/>
            </w:pPr>
            <w:r>
              <w:t>35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D30A06" w:rsidP="00C52A4E">
            <w:pPr>
              <w:jc w:val="center"/>
            </w:pPr>
            <w:r>
              <w:t>6.6</w:t>
            </w:r>
          </w:p>
        </w:tc>
        <w:tc>
          <w:tcPr>
            <w:tcW w:w="900" w:type="dxa"/>
            <w:tcBorders>
              <w:top w:val="nil"/>
              <w:left w:val="nil"/>
              <w:bottom w:val="single" w:sz="8" w:space="0" w:color="auto"/>
              <w:right w:val="single" w:sz="8" w:space="0" w:color="auto"/>
            </w:tcBorders>
            <w:vAlign w:val="center"/>
          </w:tcPr>
          <w:p w:rsidR="00652914" w:rsidRDefault="00210104" w:rsidP="00C52A4E">
            <w:pPr>
              <w:jc w:val="center"/>
            </w:pPr>
            <w:r>
              <w:t>5</w:t>
            </w:r>
            <w:r w:rsidR="00C80D93">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BD4F19" w:rsidP="0078181D">
            <w:pPr>
              <w:jc w:val="right"/>
            </w:pPr>
            <w:r>
              <w:t>19</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134942" w:rsidRDefault="0069608F" w:rsidP="00C52A4E">
            <w:r>
              <w:rPr>
                <w:bCs/>
              </w:rPr>
              <w:t>O</w:t>
            </w:r>
            <w:r w:rsidR="00652914">
              <w:rPr>
                <w:bCs/>
              </w:rPr>
              <w:t>ffice</w:t>
            </w:r>
            <w:r w:rsidR="00652914">
              <w:rPr>
                <w:bCs/>
              </w:rPr>
              <w:noBreakHyphen/>
              <w:t>based p</w:t>
            </w:r>
            <w:r w:rsidR="00652914" w:rsidRPr="00134942">
              <w:rPr>
                <w:bCs/>
              </w:rPr>
              <w:t>roviders</w:t>
            </w:r>
            <w:r>
              <w:rPr>
                <w:bCs/>
              </w:rP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7867A2" w:rsidRDefault="003C7C9B" w:rsidP="00251B2F">
            <w:pPr>
              <w:jc w:val="right"/>
            </w:pPr>
            <w:r>
              <w:t>10,800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D30A06" w:rsidP="00C52A4E">
            <w:pPr>
              <w:jc w:val="center"/>
            </w:pPr>
            <w:r>
              <w:t>5.8</w:t>
            </w:r>
          </w:p>
        </w:tc>
        <w:tc>
          <w:tcPr>
            <w:tcW w:w="900" w:type="dxa"/>
            <w:tcBorders>
              <w:top w:val="nil"/>
              <w:left w:val="nil"/>
              <w:bottom w:val="single" w:sz="8" w:space="0" w:color="auto"/>
              <w:right w:val="single" w:sz="8" w:space="0" w:color="auto"/>
            </w:tcBorders>
            <w:vAlign w:val="center"/>
          </w:tcPr>
          <w:p w:rsidR="00652914" w:rsidRDefault="00210104" w:rsidP="00C52A4E">
            <w:pPr>
              <w:jc w:val="center"/>
            </w:pPr>
            <w:r>
              <w:t>5</w:t>
            </w:r>
            <w:r w:rsidR="00C80D93">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3C7C9B" w:rsidP="0078181D">
            <w:pPr>
              <w:jc w:val="right"/>
            </w:pPr>
            <w:r>
              <w:t>5,220</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134942" w:rsidRDefault="0069608F" w:rsidP="00C52A4E">
            <w:r>
              <w:rPr>
                <w:bCs/>
              </w:rPr>
              <w:t>S</w:t>
            </w:r>
            <w:r w:rsidR="00652914">
              <w:rPr>
                <w:bCs/>
              </w:rPr>
              <w:t>eparately billing d</w:t>
            </w:r>
            <w:r w:rsidR="00652914" w:rsidRPr="00134942">
              <w:rPr>
                <w:bCs/>
              </w:rPr>
              <w:t>octors</w:t>
            </w:r>
            <w:r>
              <w:rPr>
                <w:bCs/>
              </w:rP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7867A2" w:rsidRDefault="003C7C9B" w:rsidP="00251B2F">
            <w:pPr>
              <w:jc w:val="right"/>
            </w:pPr>
            <w:r>
              <w:t>10,800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D30A06" w:rsidP="00C52A4E">
            <w:pPr>
              <w:jc w:val="center"/>
            </w:pPr>
            <w:r>
              <w:t>2</w:t>
            </w:r>
          </w:p>
        </w:tc>
        <w:tc>
          <w:tcPr>
            <w:tcW w:w="900" w:type="dxa"/>
            <w:tcBorders>
              <w:top w:val="nil"/>
              <w:left w:val="nil"/>
              <w:bottom w:val="single" w:sz="8" w:space="0" w:color="auto"/>
              <w:right w:val="single" w:sz="8" w:space="0" w:color="auto"/>
            </w:tcBorders>
            <w:vAlign w:val="center"/>
          </w:tcPr>
          <w:p w:rsidR="00652914" w:rsidRDefault="00210104" w:rsidP="00C52A4E">
            <w:pPr>
              <w:jc w:val="center"/>
            </w:pPr>
            <w:r>
              <w:t>3</w:t>
            </w:r>
            <w:r w:rsidR="00C80D93">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3C7C9B" w:rsidP="0078181D">
            <w:pPr>
              <w:jc w:val="right"/>
            </w:pPr>
            <w:r>
              <w:t>1,080</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134942" w:rsidRDefault="00652914" w:rsidP="00C52A4E">
            <w:r>
              <w:rPr>
                <w:bCs/>
              </w:rPr>
              <w:t>Hospital</w:t>
            </w:r>
            <w:r w:rsidR="0069608F">
              <w:rPr>
                <w:bCs/>
              </w:rPr>
              <w:t>s</w:t>
            </w:r>
            <w:r>
              <w:rPr>
                <w:bCs/>
              </w:rPr>
              <w:t xml:space="preserve"> </w:t>
            </w:r>
            <w:r w:rsidR="0069608F">
              <w:rPr>
                <w:bCs/>
              </w:rPr>
              <w:t xml:space="preserve">questionnaire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7867A2" w:rsidRDefault="008F0C76" w:rsidP="00251B2F">
            <w:pPr>
              <w:jc w:val="right"/>
            </w:pPr>
            <w:r w:rsidRPr="007867A2">
              <w:t>5,</w:t>
            </w:r>
            <w:r w:rsidR="00251B2F" w:rsidRPr="007867A2">
              <w:t>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D30A06" w:rsidP="00C52A4E">
            <w:pPr>
              <w:jc w:val="center"/>
            </w:pPr>
            <w:r>
              <w:t>6.5</w:t>
            </w:r>
          </w:p>
        </w:tc>
        <w:tc>
          <w:tcPr>
            <w:tcW w:w="900" w:type="dxa"/>
            <w:tcBorders>
              <w:top w:val="nil"/>
              <w:left w:val="nil"/>
              <w:bottom w:val="single" w:sz="8" w:space="0" w:color="auto"/>
              <w:right w:val="single" w:sz="8" w:space="0" w:color="auto"/>
            </w:tcBorders>
            <w:vAlign w:val="center"/>
          </w:tcPr>
          <w:p w:rsidR="00652914" w:rsidRDefault="00210104" w:rsidP="00C52A4E">
            <w:pPr>
              <w:jc w:val="center"/>
            </w:pPr>
            <w:r>
              <w:t>5</w:t>
            </w:r>
            <w:r w:rsidR="00C80D93">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BD4F19" w:rsidP="0078181D">
            <w:pPr>
              <w:jc w:val="right"/>
            </w:pPr>
            <w:r>
              <w:t>2,708</w:t>
            </w:r>
          </w:p>
        </w:tc>
      </w:tr>
      <w:tr w:rsidR="0069608F"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9608F" w:rsidRDefault="0069608F" w:rsidP="00C52A4E">
            <w:pPr>
              <w:rPr>
                <w:bCs/>
              </w:rPr>
            </w:pPr>
            <w:r>
              <w:rPr>
                <w:bCs/>
              </w:rPr>
              <w:t xml:space="preserve">Institutions (non-hospital) questionnaire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9608F" w:rsidRPr="007867A2" w:rsidRDefault="00564327" w:rsidP="00251B2F">
            <w:pPr>
              <w:jc w:val="right"/>
            </w:pPr>
            <w:r>
              <w:t>100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9608F" w:rsidRDefault="005840BF" w:rsidP="00C52A4E">
            <w:pPr>
              <w:jc w:val="center"/>
            </w:pPr>
            <w:r>
              <w:t>1.5</w:t>
            </w:r>
          </w:p>
        </w:tc>
        <w:tc>
          <w:tcPr>
            <w:tcW w:w="900" w:type="dxa"/>
            <w:tcBorders>
              <w:top w:val="nil"/>
              <w:left w:val="nil"/>
              <w:bottom w:val="single" w:sz="8" w:space="0" w:color="auto"/>
              <w:right w:val="single" w:sz="8" w:space="0" w:color="auto"/>
            </w:tcBorders>
            <w:vAlign w:val="center"/>
          </w:tcPr>
          <w:p w:rsidR="0069608F" w:rsidRDefault="00210104" w:rsidP="00C52A4E">
            <w:pPr>
              <w:jc w:val="center"/>
            </w:pPr>
            <w:r>
              <w:t>5</w:t>
            </w:r>
            <w:r w:rsidR="00C80D93">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9608F" w:rsidRDefault="006672FE" w:rsidP="0078181D">
            <w:pPr>
              <w:jc w:val="right"/>
            </w:pPr>
            <w:r>
              <w:t>13</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640F08" w:rsidRDefault="00652914" w:rsidP="00C52A4E">
            <w:r>
              <w:rPr>
                <w:bCs/>
              </w:rPr>
              <w:t>Pharmac</w:t>
            </w:r>
            <w:r w:rsidR="0069608F">
              <w:rPr>
                <w:bCs/>
              </w:rPr>
              <w:t>ies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7867A2" w:rsidRDefault="003C7C9B" w:rsidP="00251B2F">
            <w:pPr>
              <w:jc w:val="right"/>
            </w:pPr>
            <w:r>
              <w:t>6,800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5840BF" w:rsidP="00C52A4E">
            <w:pPr>
              <w:jc w:val="center"/>
            </w:pPr>
            <w:r>
              <w:t>23.3</w:t>
            </w:r>
          </w:p>
        </w:tc>
        <w:tc>
          <w:tcPr>
            <w:tcW w:w="900" w:type="dxa"/>
            <w:tcBorders>
              <w:top w:val="nil"/>
              <w:left w:val="nil"/>
              <w:bottom w:val="single" w:sz="8" w:space="0" w:color="auto"/>
              <w:right w:val="single" w:sz="8" w:space="0" w:color="auto"/>
            </w:tcBorders>
            <w:vAlign w:val="center"/>
          </w:tcPr>
          <w:p w:rsidR="00652914" w:rsidRDefault="00210104" w:rsidP="00C52A4E">
            <w:pPr>
              <w:jc w:val="center"/>
            </w:pPr>
            <w:r>
              <w:t>3</w:t>
            </w:r>
            <w:r w:rsidR="00C80D93">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3C7C9B" w:rsidP="0078181D">
            <w:pPr>
              <w:jc w:val="right"/>
            </w:pPr>
            <w:r>
              <w:t>7,922</w:t>
            </w:r>
          </w:p>
        </w:tc>
      </w:tr>
      <w:tr w:rsidR="00400732"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00732" w:rsidRDefault="00400732" w:rsidP="00C52A4E">
            <w:pPr>
              <w:rPr>
                <w:bCs/>
              </w:rPr>
            </w:pPr>
            <w:bookmarkStart w:id="29" w:name="_Hlk227654978"/>
            <w:r>
              <w:rPr>
                <w:bCs/>
              </w:rPr>
              <w:t>Subtotal for the MEPS-MPC</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00732" w:rsidRDefault="002F4FDD" w:rsidP="0078181D">
            <w:pPr>
              <w:jc w:val="right"/>
            </w:pPr>
            <w:r>
              <w:t>68,000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00732" w:rsidRDefault="0078181D" w:rsidP="00C52A4E">
            <w:pPr>
              <w:jc w:val="center"/>
            </w:pPr>
            <w:proofErr w:type="spellStart"/>
            <w:r>
              <w:t>na</w:t>
            </w:r>
            <w:proofErr w:type="spellEnd"/>
          </w:p>
        </w:tc>
        <w:tc>
          <w:tcPr>
            <w:tcW w:w="900" w:type="dxa"/>
            <w:tcBorders>
              <w:top w:val="nil"/>
              <w:left w:val="nil"/>
              <w:bottom w:val="single" w:sz="8" w:space="0" w:color="auto"/>
              <w:right w:val="single" w:sz="8" w:space="0" w:color="auto"/>
            </w:tcBorders>
            <w:vAlign w:val="center"/>
          </w:tcPr>
          <w:p w:rsidR="00400732" w:rsidRDefault="0078181D" w:rsidP="00C52A4E">
            <w:pPr>
              <w:jc w:val="center"/>
            </w:pPr>
            <w:proofErr w:type="spellStart"/>
            <w:r>
              <w:t>na</w:t>
            </w:r>
            <w:proofErr w:type="spellEnd"/>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00732" w:rsidRDefault="002F4FDD" w:rsidP="0078181D">
            <w:pPr>
              <w:jc w:val="right"/>
            </w:pPr>
            <w:r>
              <w:t>18,</w:t>
            </w:r>
            <w:r w:rsidR="00310EEC">
              <w:t>914</w:t>
            </w:r>
          </w:p>
        </w:tc>
      </w:tr>
      <w:tr w:rsidR="00652914" w:rsidTr="00FB68B0">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Pr="00640F08" w:rsidRDefault="00400732" w:rsidP="00C52A4E">
            <w:r>
              <w:rPr>
                <w:b/>
                <w:bCs/>
                <w:color w:val="000000"/>
              </w:rPr>
              <w:t xml:space="preserve">Grand </w:t>
            </w:r>
            <w:r w:rsidR="00652914" w:rsidRPr="00640F08">
              <w:rPr>
                <w:b/>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780B6F" w:rsidP="0078181D">
            <w:pPr>
              <w:jc w:val="right"/>
            </w:pPr>
            <w:r>
              <w:t>147,451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proofErr w:type="spellStart"/>
            <w:r>
              <w:t>na</w:t>
            </w:r>
            <w:proofErr w:type="spellEnd"/>
          </w:p>
        </w:tc>
        <w:tc>
          <w:tcPr>
            <w:tcW w:w="900" w:type="dxa"/>
            <w:tcBorders>
              <w:top w:val="nil"/>
              <w:left w:val="nil"/>
              <w:bottom w:val="single" w:sz="8" w:space="0" w:color="auto"/>
              <w:right w:val="single" w:sz="8" w:space="0" w:color="auto"/>
            </w:tcBorders>
          </w:tcPr>
          <w:p w:rsidR="00652914" w:rsidRPr="0078181D" w:rsidRDefault="00652914" w:rsidP="00C52A4E">
            <w:pPr>
              <w:jc w:val="center"/>
              <w:rPr>
                <w:bCs/>
                <w:color w:val="000000"/>
              </w:rPr>
            </w:pPr>
            <w:proofErr w:type="spellStart"/>
            <w:r w:rsidRPr="0078181D">
              <w:rPr>
                <w:bCs/>
                <w:color w:val="000000"/>
              </w:rPr>
              <w:t>na</w:t>
            </w:r>
            <w:proofErr w:type="spellEnd"/>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4827DE" w:rsidP="0078181D">
            <w:pPr>
              <w:jc w:val="right"/>
            </w:pPr>
            <w:r>
              <w:t>82,</w:t>
            </w:r>
            <w:r w:rsidR="00310EEC">
              <w:t>821</w:t>
            </w:r>
          </w:p>
        </w:tc>
      </w:tr>
    </w:tbl>
    <w:bookmarkEnd w:id="29"/>
    <w:p w:rsidR="00CA67E1" w:rsidRDefault="00CA67E1" w:rsidP="00185CED">
      <w:pPr>
        <w:ind w:left="180" w:hanging="180"/>
        <w:rPr>
          <w:b/>
          <w:vertAlign w:val="superscript"/>
        </w:rPr>
      </w:pPr>
      <w:r>
        <w:rPr>
          <w:bCs/>
          <w:vertAlign w:val="superscript"/>
        </w:rPr>
        <w:t xml:space="preserve">* </w:t>
      </w:r>
      <w:r>
        <w:rPr>
          <w:bCs/>
        </w:rPr>
        <w:t>W</w:t>
      </w:r>
      <w:r>
        <w:t xml:space="preserve">hile the expected number of responding units for the annual estimates is 14,489, it is necessary to adjust for survey attrition of initial respondents by a factor of </w:t>
      </w:r>
      <w:r w:rsidR="00780B6F">
        <w:t>0</w:t>
      </w:r>
      <w:r>
        <w:t>.96 (15,093=14,489/</w:t>
      </w:r>
      <w:r w:rsidR="00780B6F">
        <w:t>0</w:t>
      </w:r>
      <w:r>
        <w:t>.96)</w:t>
      </w:r>
      <w:r w:rsidR="000D5D69">
        <w:t>.</w:t>
      </w:r>
    </w:p>
    <w:p w:rsidR="005E7B3F" w:rsidRPr="00B26A9A" w:rsidRDefault="00B26A9A" w:rsidP="00CA67E1">
      <w:pPr>
        <w:ind w:left="180" w:hanging="180"/>
      </w:pPr>
      <w:r>
        <w:rPr>
          <w:b/>
          <w:vertAlign w:val="superscript"/>
        </w:rPr>
        <w:t>*</w:t>
      </w:r>
      <w:r w:rsidR="00CA67E1">
        <w:rPr>
          <w:bCs/>
          <w:vertAlign w:val="superscript"/>
        </w:rPr>
        <w:t>*</w:t>
      </w:r>
      <w:r>
        <w:rPr>
          <w:b/>
          <w:vertAlign w:val="superscript"/>
        </w:rPr>
        <w:t xml:space="preserve"> </w:t>
      </w:r>
      <w:r>
        <w:t xml:space="preserve">There are </w:t>
      </w:r>
      <w:r w:rsidR="008A1113">
        <w:t>6</w:t>
      </w:r>
      <w:r>
        <w:t xml:space="preserve"> different </w:t>
      </w:r>
      <w:r w:rsidR="0072312A">
        <w:t>contact guides</w:t>
      </w:r>
      <w:r>
        <w:t xml:space="preserve">; one for each </w:t>
      </w:r>
      <w:r w:rsidR="00DA54F3">
        <w:t>provider</w:t>
      </w:r>
      <w:r>
        <w:t xml:space="preserve"> type</w:t>
      </w:r>
      <w:r w:rsidR="008A1113">
        <w:t>,</w:t>
      </w:r>
      <w:r w:rsidR="008A1113" w:rsidRPr="008A1113">
        <w:t xml:space="preserve"> </w:t>
      </w:r>
      <w:r w:rsidR="008A1113">
        <w:t xml:space="preserve">except for the two home care provider types which use the same </w:t>
      </w:r>
      <w:r w:rsidR="0072312A">
        <w:t>contact guide</w:t>
      </w:r>
      <w:r w:rsidR="00836AAF">
        <w:t>.</w:t>
      </w:r>
    </w:p>
    <w:p w:rsidR="0015450F" w:rsidRDefault="0015450F" w:rsidP="00652914">
      <w:pPr>
        <w:rPr>
          <w:b/>
        </w:rPr>
      </w:pPr>
    </w:p>
    <w:p w:rsidR="00652914" w:rsidRDefault="00652914" w:rsidP="00652914">
      <w:pPr>
        <w:rPr>
          <w:b/>
        </w:rPr>
      </w:pPr>
      <w:proofErr w:type="gramStart"/>
      <w:r w:rsidRPr="00037998">
        <w:rPr>
          <w:b/>
        </w:rPr>
        <w:t>Exhibit 2.</w:t>
      </w:r>
      <w:proofErr w:type="gramEnd"/>
      <w:r w:rsidRPr="00037998">
        <w:rPr>
          <w:b/>
        </w:rPr>
        <w:t xml:space="preserve">  Estimated annualized cost burden</w:t>
      </w:r>
    </w:p>
    <w:tbl>
      <w:tblPr>
        <w:tblW w:w="0" w:type="auto"/>
        <w:tblCellMar>
          <w:left w:w="0" w:type="dxa"/>
          <w:right w:w="0" w:type="dxa"/>
        </w:tblCellMar>
        <w:tblLook w:val="0000" w:firstRow="0" w:lastRow="0" w:firstColumn="0" w:lastColumn="0" w:noHBand="0" w:noVBand="0"/>
      </w:tblPr>
      <w:tblGrid>
        <w:gridCol w:w="3888"/>
        <w:gridCol w:w="1536"/>
        <w:gridCol w:w="900"/>
        <w:gridCol w:w="1460"/>
        <w:gridCol w:w="1296"/>
      </w:tblGrid>
      <w:tr w:rsidR="00652914" w:rsidTr="00B026BA">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rPr>
                <w:color w:val="000000"/>
                <w:sz w:val="20"/>
                <w:szCs w:val="20"/>
              </w:rPr>
              <w:t>Form Name</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rPr>
                <w:color w:val="000000"/>
                <w:sz w:val="20"/>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rPr>
                <w:color w:val="000000"/>
                <w:sz w:val="20"/>
                <w:szCs w:val="20"/>
              </w:rPr>
              <w:t>Average Hourly Wage Rate</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2914" w:rsidRDefault="00652914" w:rsidP="00C52A4E">
            <w:pPr>
              <w:jc w:val="center"/>
            </w:pPr>
            <w:r>
              <w:rPr>
                <w:color w:val="000000"/>
                <w:sz w:val="20"/>
                <w:szCs w:val="20"/>
              </w:rPr>
              <w:t>Total  Cost Burden</w:t>
            </w:r>
          </w:p>
        </w:tc>
      </w:tr>
      <w:tr w:rsidR="00F96BEB" w:rsidTr="00B026BA">
        <w:tc>
          <w:tcPr>
            <w:tcW w:w="9080"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F96BEB" w:rsidRDefault="00F96BEB" w:rsidP="00C52A4E">
            <w:pPr>
              <w:jc w:val="center"/>
            </w:pPr>
            <w:r w:rsidRPr="00940B20">
              <w:rPr>
                <w:b/>
              </w:rPr>
              <w:t>MEPS-HC</w:t>
            </w:r>
          </w:p>
        </w:tc>
      </w:tr>
      <w:tr w:rsidR="00727AE8"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r>
              <w:t>MEPS-HC Core Interview</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Pr="00EB000D" w:rsidRDefault="0064625D" w:rsidP="00EB000D">
            <w:pPr>
              <w:jc w:val="right"/>
              <w:rPr>
                <w:highlight w:val="yellow"/>
              </w:rPr>
            </w:pPr>
            <w:r>
              <w:t>15,093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64625D" w:rsidP="00C80D93">
            <w:pPr>
              <w:jc w:val="right"/>
            </w:pPr>
            <w:r>
              <w:t>54,083</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Pr="008A08ED" w:rsidRDefault="00727AE8" w:rsidP="00C52A4E">
            <w:pPr>
              <w:jc w:val="center"/>
              <w:rPr>
                <w:vertAlign w:val="superscript"/>
              </w:rPr>
            </w:pPr>
            <w:r>
              <w:t>$21.74</w:t>
            </w:r>
            <w:r>
              <w:rPr>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w:t>
            </w:r>
            <w:r w:rsidRPr="00727AE8">
              <w:t>1</w:t>
            </w:r>
            <w:r>
              <w:t>,</w:t>
            </w:r>
            <w:r w:rsidRPr="00727AE8">
              <w:t>1</w:t>
            </w:r>
            <w:r w:rsidR="006C0FBC">
              <w:t>75,764</w:t>
            </w:r>
          </w:p>
        </w:tc>
      </w:tr>
      <w:tr w:rsidR="00727AE8" w:rsidTr="00B026BA">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7AE8" w:rsidRDefault="00727AE8" w:rsidP="00C52A4E">
            <w:r>
              <w:rPr>
                <w:bCs/>
              </w:rPr>
              <w:t>Adult SAQ</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Pr="00EB000D" w:rsidRDefault="00727AE8" w:rsidP="00EB000D">
            <w:pPr>
              <w:jc w:val="right"/>
              <w:rPr>
                <w:highlight w:val="yellow"/>
              </w:rPr>
            </w:pPr>
            <w:r w:rsidRPr="009E1087">
              <w:t>28,254</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3,296</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pPr>
              <w:jc w:val="center"/>
            </w:pPr>
            <w:r>
              <w:t>$21.74</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w:t>
            </w:r>
            <w:r w:rsidRPr="00727AE8">
              <w:t>71</w:t>
            </w:r>
            <w:r>
              <w:t>,</w:t>
            </w:r>
            <w:r w:rsidRPr="00727AE8">
              <w:t>655</w:t>
            </w:r>
          </w:p>
        </w:tc>
      </w:tr>
      <w:tr w:rsidR="00727AE8"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7AE8" w:rsidRPr="005B6DE4" w:rsidRDefault="00727AE8" w:rsidP="00C52A4E">
            <w:r>
              <w:t>Diabetes care SAQ</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Pr="00EB000D" w:rsidRDefault="00727AE8" w:rsidP="00EB000D">
            <w:pPr>
              <w:jc w:val="right"/>
              <w:rPr>
                <w:highlight w:val="yellow"/>
              </w:rPr>
            </w:pPr>
            <w:r>
              <w:t>2,345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117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pPr>
              <w:jc w:val="center"/>
            </w:pPr>
            <w:r>
              <w:t>$21.74</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w:t>
            </w:r>
            <w:r w:rsidRPr="00727AE8">
              <w:t>2</w:t>
            </w:r>
            <w:r>
              <w:t>,</w:t>
            </w:r>
            <w:r w:rsidRPr="00727AE8">
              <w:t>54</w:t>
            </w:r>
            <w:r>
              <w:t>4</w:t>
            </w:r>
          </w:p>
        </w:tc>
      </w:tr>
      <w:tr w:rsidR="00727AE8"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7AE8" w:rsidRPr="005B6DE4" w:rsidRDefault="00727AE8" w:rsidP="00C52A4E">
            <w:r>
              <w:rPr>
                <w:bCs/>
              </w:rPr>
              <w:t>Authorization</w:t>
            </w:r>
            <w:r w:rsidRPr="00940B20">
              <w:rPr>
                <w:bCs/>
              </w:rPr>
              <w:t xml:space="preserve"> forms for the </w:t>
            </w:r>
            <w:r>
              <w:rPr>
                <w:bCs/>
              </w:rPr>
              <w:t>MEPS-</w:t>
            </w:r>
            <w:r w:rsidRPr="00940B20">
              <w:rPr>
                <w:bCs/>
              </w:rPr>
              <w:t>MPC</w:t>
            </w:r>
            <w:r>
              <w:rPr>
                <w:bCs/>
              </w:rPr>
              <w:t xml:space="preserve"> Provider Survey</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14,489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3,767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pPr>
              <w:jc w:val="center"/>
            </w:pPr>
            <w:r>
              <w:t>$21.74</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w:t>
            </w:r>
            <w:r w:rsidRPr="008D4B28">
              <w:t>81</w:t>
            </w:r>
            <w:r>
              <w:t>,</w:t>
            </w:r>
            <w:r w:rsidRPr="008D4B28">
              <w:t>89</w:t>
            </w:r>
            <w:r>
              <w:t>5</w:t>
            </w:r>
          </w:p>
        </w:tc>
      </w:tr>
      <w:tr w:rsidR="00727AE8"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pPr>
              <w:rPr>
                <w:bCs/>
              </w:rPr>
            </w:pPr>
            <w:r>
              <w:rPr>
                <w:bCs/>
              </w:rPr>
              <w:t>Authorization form for the MEPS-MPC Pharmacy Survey</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14,489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2,246</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pPr>
              <w:jc w:val="center"/>
            </w:pPr>
            <w:r>
              <w:t>$21.74</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w:t>
            </w:r>
            <w:r w:rsidRPr="008D4B28">
              <w:t>48</w:t>
            </w:r>
            <w:r>
              <w:t>,</w:t>
            </w:r>
            <w:r w:rsidRPr="008D4B28">
              <w:t>828</w:t>
            </w:r>
          </w:p>
        </w:tc>
      </w:tr>
      <w:tr w:rsidR="00727AE8"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pPr>
              <w:rPr>
                <w:bCs/>
              </w:rPr>
            </w:pPr>
            <w:r>
              <w:t>MEPS-HC Validation Interview</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4,781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398</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pPr>
              <w:jc w:val="center"/>
            </w:pPr>
            <w:r>
              <w:t>$21.74</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w:t>
            </w:r>
            <w:r w:rsidRPr="008D4B28">
              <w:t>8</w:t>
            </w:r>
            <w:r>
              <w:t>,</w:t>
            </w:r>
            <w:r w:rsidRPr="008D4B28">
              <w:t>65</w:t>
            </w:r>
            <w:r>
              <w:t>3</w:t>
            </w:r>
          </w:p>
        </w:tc>
      </w:tr>
      <w:tr w:rsidR="00727AE8"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7AE8" w:rsidRPr="00940B20" w:rsidRDefault="00727AE8" w:rsidP="00C52A4E">
            <w:pPr>
              <w:rPr>
                <w:bCs/>
              </w:rPr>
            </w:pPr>
            <w:r>
              <w:rPr>
                <w:bCs/>
              </w:rPr>
              <w:t>Subtotal for the MEPS-HC</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80B6F" w:rsidP="00C80D93">
            <w:pPr>
              <w:jc w:val="right"/>
            </w:pPr>
            <w:r>
              <w:t>79,451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80B6F" w:rsidP="00C80D93">
            <w:pPr>
              <w:jc w:val="right"/>
            </w:pPr>
            <w:r>
              <w:t>63,907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52A4E">
            <w:pPr>
              <w:jc w:val="center"/>
            </w:pPr>
            <w:proofErr w:type="spellStart"/>
            <w:r>
              <w:t>na</w:t>
            </w:r>
            <w:proofErr w:type="spellEnd"/>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7AE8" w:rsidRDefault="00727AE8" w:rsidP="00C80D93">
            <w:pPr>
              <w:jc w:val="right"/>
            </w:pPr>
            <w:r>
              <w:t>$</w:t>
            </w:r>
            <w:r w:rsidR="00637DDE" w:rsidRPr="00637DDE">
              <w:t>1</w:t>
            </w:r>
            <w:r w:rsidR="00637DDE">
              <w:t>,</w:t>
            </w:r>
            <w:r w:rsidR="00637DDE" w:rsidRPr="00637DDE">
              <w:t>3</w:t>
            </w:r>
            <w:r w:rsidR="006C0FBC">
              <w:t>89,339</w:t>
            </w:r>
          </w:p>
        </w:tc>
      </w:tr>
      <w:tr w:rsidR="00491BD1" w:rsidTr="00B026BA">
        <w:tc>
          <w:tcPr>
            <w:tcW w:w="9080"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491BD1" w:rsidRDefault="00491BD1" w:rsidP="00C52A4E">
            <w:pPr>
              <w:jc w:val="center"/>
            </w:pPr>
            <w:r w:rsidRPr="00940B20">
              <w:rPr>
                <w:b/>
              </w:rPr>
              <w:t>MEPS-MPC</w:t>
            </w:r>
          </w:p>
        </w:tc>
      </w:tr>
      <w:tr w:rsidR="00D25F55"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D25F55" w:rsidP="00C52A4E">
            <w:pPr>
              <w:rPr>
                <w:bCs/>
              </w:rPr>
            </w:pPr>
            <w:r>
              <w:rPr>
                <w:bCs/>
              </w:rPr>
              <w:t xml:space="preserve">MPC </w:t>
            </w:r>
            <w:r w:rsidR="0072312A">
              <w:rPr>
                <w:bCs/>
              </w:rPr>
              <w:t>Contact Guide/</w:t>
            </w:r>
            <w:r>
              <w:rPr>
                <w:bCs/>
              </w:rPr>
              <w:t>Screening Call</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2F4FDD" w:rsidP="00C80D93">
            <w:pPr>
              <w:jc w:val="right"/>
            </w:pPr>
            <w:r>
              <w:t>34,000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310EEC" w:rsidP="00F50B36">
            <w:pPr>
              <w:jc w:val="right"/>
            </w:pPr>
            <w:r>
              <w:t>1,700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475CC9" w:rsidRDefault="00475CC9" w:rsidP="00C52A4E">
            <w:pPr>
              <w:jc w:val="center"/>
              <w:rPr>
                <w:vertAlign w:val="superscript"/>
              </w:rPr>
            </w:pPr>
            <w:r>
              <w:t>$15.59</w:t>
            </w:r>
            <w:r>
              <w:rPr>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CF5495" w:rsidP="00310EEC">
            <w:pPr>
              <w:jc w:val="right"/>
            </w:pPr>
            <w:r>
              <w:t>$</w:t>
            </w:r>
            <w:r w:rsidR="00310EEC">
              <w:t>26,503</w:t>
            </w:r>
          </w:p>
        </w:tc>
      </w:tr>
      <w:tr w:rsidR="00D25F55"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134942" w:rsidRDefault="00D25F55" w:rsidP="00C52A4E">
            <w:r>
              <w:rPr>
                <w:bCs/>
              </w:rPr>
              <w:t>Home c</w:t>
            </w:r>
            <w:r w:rsidRPr="00134942">
              <w:rPr>
                <w:bCs/>
              </w:rPr>
              <w:t xml:space="preserve">are </w:t>
            </w:r>
            <w:r>
              <w:rPr>
                <w:bCs/>
              </w:rPr>
              <w:t>for health care providers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D25F55" w:rsidP="00C80D93">
            <w:pPr>
              <w:jc w:val="right"/>
            </w:pPr>
            <w:r>
              <w:t>465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D25F55" w:rsidP="00C80D93">
            <w:pPr>
              <w:jc w:val="right"/>
            </w:pPr>
            <w:r>
              <w:t>252</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475CC9" w:rsidP="00C52A4E">
            <w:pPr>
              <w:jc w:val="center"/>
            </w:pPr>
            <w:r>
              <w:t>$15.59</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CF5495" w:rsidP="00C80D93">
            <w:pPr>
              <w:jc w:val="right"/>
            </w:pPr>
            <w:r>
              <w:t>$3,929</w:t>
            </w:r>
          </w:p>
        </w:tc>
      </w:tr>
      <w:tr w:rsidR="00D25F55"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134942" w:rsidRDefault="00D25F55" w:rsidP="00C52A4E">
            <w:r>
              <w:rPr>
                <w:bCs/>
              </w:rPr>
              <w:t>Home care for non</w:t>
            </w:r>
            <w:r>
              <w:rPr>
                <w:bCs/>
              </w:rPr>
              <w:noBreakHyphen/>
              <w:t>health care p</w:t>
            </w:r>
            <w:r w:rsidRPr="00134942">
              <w:rPr>
                <w:bCs/>
              </w:rPr>
              <w:t>roviders</w:t>
            </w:r>
            <w:r>
              <w:rPr>
                <w:bCs/>
              </w:rPr>
              <w:t xml:space="preserve">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D25F55" w:rsidP="00C80D93">
            <w:pPr>
              <w:jc w:val="right"/>
            </w:pPr>
            <w:r>
              <w:t>35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D25F55" w:rsidP="00C80D93">
            <w:pPr>
              <w:jc w:val="right"/>
            </w:pPr>
            <w:r>
              <w:t>19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475CC9" w:rsidP="00C52A4E">
            <w:pPr>
              <w:jc w:val="center"/>
            </w:pPr>
            <w:r>
              <w:t>$15.59</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CF5495" w:rsidP="00C80D93">
            <w:pPr>
              <w:jc w:val="right"/>
            </w:pPr>
            <w:r>
              <w:t>$296</w:t>
            </w:r>
          </w:p>
        </w:tc>
      </w:tr>
      <w:tr w:rsidR="00D25F55"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134942" w:rsidRDefault="00D25F55" w:rsidP="00C52A4E">
            <w:r>
              <w:rPr>
                <w:bCs/>
              </w:rPr>
              <w:t>Office</w:t>
            </w:r>
            <w:r>
              <w:rPr>
                <w:bCs/>
              </w:rPr>
              <w:noBreakHyphen/>
              <w:t>based p</w:t>
            </w:r>
            <w:r w:rsidRPr="00134942">
              <w:rPr>
                <w:bCs/>
              </w:rPr>
              <w:t>roviders</w:t>
            </w:r>
            <w:r>
              <w:rPr>
                <w:bCs/>
              </w:rPr>
              <w:t xml:space="preserve">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2F4FDD" w:rsidP="00C80D93">
            <w:pPr>
              <w:jc w:val="right"/>
            </w:pPr>
            <w:r>
              <w:t>10,800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2F4FDD" w:rsidP="00C80D93">
            <w:pPr>
              <w:jc w:val="right"/>
            </w:pPr>
            <w:r>
              <w:t>5,220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475CC9" w:rsidP="00C52A4E">
            <w:pPr>
              <w:jc w:val="center"/>
            </w:pPr>
            <w:r>
              <w:t>$15.59</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CF5495" w:rsidP="000F797F">
            <w:pPr>
              <w:jc w:val="right"/>
            </w:pPr>
            <w:r>
              <w:t>$</w:t>
            </w:r>
            <w:r w:rsidR="000F797F">
              <w:t>81,380</w:t>
            </w:r>
          </w:p>
        </w:tc>
      </w:tr>
      <w:tr w:rsidR="00D25F55"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134942" w:rsidRDefault="00D25F55" w:rsidP="00C52A4E">
            <w:r>
              <w:rPr>
                <w:bCs/>
              </w:rPr>
              <w:t>Separately billing d</w:t>
            </w:r>
            <w:r w:rsidRPr="00134942">
              <w:rPr>
                <w:bCs/>
              </w:rPr>
              <w:t>octors</w:t>
            </w:r>
            <w:r>
              <w:rPr>
                <w:bCs/>
              </w:rPr>
              <w:t xml:space="preserve">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2F4FDD" w:rsidP="00137E95">
            <w:pPr>
              <w:jc w:val="right"/>
            </w:pPr>
            <w:r>
              <w:t>10,800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2F4FDD" w:rsidP="00137E95">
            <w:pPr>
              <w:jc w:val="right"/>
            </w:pPr>
            <w:r>
              <w:t>1,080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475CC9" w:rsidP="00C52A4E">
            <w:pPr>
              <w:jc w:val="center"/>
            </w:pPr>
            <w:r>
              <w:t>$15.59</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CF5495" w:rsidP="000F797F">
            <w:pPr>
              <w:jc w:val="right"/>
            </w:pPr>
            <w:r>
              <w:t>$</w:t>
            </w:r>
            <w:r w:rsidR="000F797F">
              <w:t>16,837</w:t>
            </w:r>
          </w:p>
        </w:tc>
      </w:tr>
      <w:tr w:rsidR="00D25F55"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134942" w:rsidRDefault="00D25F55" w:rsidP="00C52A4E">
            <w:r>
              <w:rPr>
                <w:bCs/>
              </w:rPr>
              <w:t xml:space="preserve">Hospitals questionnaire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D25F55" w:rsidP="00137E95">
            <w:pPr>
              <w:jc w:val="right"/>
            </w:pPr>
            <w:r w:rsidRPr="007867A2">
              <w:t>5,000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D25F55" w:rsidP="00137E95">
            <w:pPr>
              <w:jc w:val="right"/>
            </w:pPr>
            <w:r>
              <w:t>2,708</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475CC9" w:rsidP="00C52A4E">
            <w:pPr>
              <w:jc w:val="center"/>
            </w:pPr>
            <w:r>
              <w:t>$15.59</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CF5495" w:rsidP="00137E95">
            <w:pPr>
              <w:jc w:val="right"/>
            </w:pPr>
            <w:r>
              <w:t>$42,218</w:t>
            </w:r>
          </w:p>
        </w:tc>
      </w:tr>
      <w:tr w:rsidR="00D25F55"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640F08" w:rsidRDefault="00D25F55" w:rsidP="00C52A4E">
            <w:r>
              <w:rPr>
                <w:bCs/>
              </w:rPr>
              <w:t xml:space="preserve">Institutions (non-hospital) questionnaire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D25F55" w:rsidP="00137E95">
            <w:pPr>
              <w:jc w:val="right"/>
            </w:pPr>
            <w:r>
              <w:t>100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097243" w:rsidP="00137E95">
            <w:pPr>
              <w:jc w:val="right"/>
            </w:pPr>
            <w:r>
              <w:t>13</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475CC9" w:rsidP="00C52A4E">
            <w:pPr>
              <w:jc w:val="center"/>
            </w:pPr>
            <w:r>
              <w:t>$15.59</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Default="00CF5495" w:rsidP="00097243">
            <w:pPr>
              <w:jc w:val="right"/>
            </w:pPr>
            <w:r>
              <w:t>$</w:t>
            </w:r>
            <w:r w:rsidR="00097243">
              <w:t>203</w:t>
            </w:r>
          </w:p>
        </w:tc>
      </w:tr>
      <w:tr w:rsidR="00D25F55"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400732" w:rsidRDefault="00D25F55" w:rsidP="00C52A4E">
            <w:pPr>
              <w:rPr>
                <w:bCs/>
                <w:color w:val="000000"/>
              </w:rPr>
            </w:pPr>
            <w:r>
              <w:rPr>
                <w:bCs/>
              </w:rPr>
              <w:t>Pharmacies questionnaire</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400732" w:rsidRDefault="000F797F" w:rsidP="00137E95">
            <w:pPr>
              <w:jc w:val="right"/>
            </w:pPr>
            <w:r>
              <w:t>6,800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400732" w:rsidRDefault="000F797F" w:rsidP="00137E95">
            <w:pPr>
              <w:jc w:val="right"/>
            </w:pPr>
            <w:r>
              <w:t>7,922</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475CC9" w:rsidRDefault="00475CC9" w:rsidP="00C52A4E">
            <w:pPr>
              <w:jc w:val="center"/>
              <w:rPr>
                <w:vertAlign w:val="superscript"/>
              </w:rPr>
            </w:pPr>
            <w:r>
              <w:t>$14.43</w:t>
            </w:r>
            <w:r>
              <w:rPr>
                <w:vertAlign w:val="superscript"/>
              </w:rPr>
              <w:t>***</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25F55" w:rsidRPr="00400732" w:rsidRDefault="00CF5495" w:rsidP="000F797F">
            <w:pPr>
              <w:jc w:val="right"/>
            </w:pPr>
            <w:r>
              <w:t>$</w:t>
            </w:r>
            <w:r w:rsidR="000F797F">
              <w:t>114,314</w:t>
            </w:r>
          </w:p>
        </w:tc>
      </w:tr>
      <w:tr w:rsidR="00CB3939"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B3939" w:rsidRDefault="00CB3939" w:rsidP="00C52A4E">
            <w:pPr>
              <w:rPr>
                <w:bCs/>
              </w:rPr>
            </w:pPr>
            <w:r>
              <w:rPr>
                <w:bCs/>
              </w:rPr>
              <w:t>Subtotal for the MEPS-MPC</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3939" w:rsidRPr="00400732" w:rsidRDefault="000F797F" w:rsidP="00137E95">
            <w:pPr>
              <w:jc w:val="right"/>
            </w:pPr>
            <w:r>
              <w:t>68,000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3939" w:rsidRPr="00400732" w:rsidRDefault="000F797F" w:rsidP="00137E95">
            <w:pPr>
              <w:jc w:val="right"/>
            </w:pPr>
            <w:r>
              <w:t>18,347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3939" w:rsidRPr="00400732" w:rsidRDefault="00CB3939" w:rsidP="00C52A4E">
            <w:pPr>
              <w:jc w:val="center"/>
            </w:pPr>
            <w:proofErr w:type="spellStart"/>
            <w:r>
              <w:t>na</w:t>
            </w:r>
            <w:proofErr w:type="spellEnd"/>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3939" w:rsidRPr="00400732" w:rsidRDefault="00CF5495" w:rsidP="00310EEC">
            <w:pPr>
              <w:jc w:val="right"/>
            </w:pPr>
            <w:r>
              <w:t>$</w:t>
            </w:r>
            <w:r w:rsidR="00310EEC">
              <w:t>285,680</w:t>
            </w:r>
          </w:p>
        </w:tc>
      </w:tr>
      <w:tr w:rsidR="00274E52" w:rsidTr="00B026BA">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74E52" w:rsidRPr="00400732" w:rsidRDefault="00274E52" w:rsidP="00C52A4E">
            <w:r w:rsidRPr="00400732">
              <w:rPr>
                <w:b/>
                <w:bCs/>
                <w:color w:val="000000"/>
              </w:rPr>
              <w:t>Grand Total</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74E52" w:rsidRPr="00400732" w:rsidRDefault="00780B6F" w:rsidP="00137E95">
            <w:pPr>
              <w:jc w:val="right"/>
            </w:pPr>
            <w:r>
              <w:t>147,451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74E52" w:rsidRPr="00400732" w:rsidRDefault="00780B6F" w:rsidP="00137E95">
            <w:pPr>
              <w:jc w:val="right"/>
            </w:pPr>
            <w:r>
              <w:t>82,254</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74E52" w:rsidRPr="00400732" w:rsidRDefault="00274E52" w:rsidP="00C52A4E">
            <w:pPr>
              <w:jc w:val="center"/>
            </w:pPr>
            <w:proofErr w:type="spellStart"/>
            <w:r>
              <w:t>n</w:t>
            </w:r>
            <w:r w:rsidRPr="00400732">
              <w:t>a</w:t>
            </w:r>
            <w:proofErr w:type="spellEnd"/>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74E52" w:rsidRPr="00400732" w:rsidRDefault="00397CD5" w:rsidP="000F797F">
            <w:pPr>
              <w:jc w:val="right"/>
            </w:pPr>
            <w:r>
              <w:t>$</w:t>
            </w:r>
            <w:r w:rsidR="00B52F7D" w:rsidRPr="00B52F7D">
              <w:t>1</w:t>
            </w:r>
            <w:r w:rsidR="00B52F7D">
              <w:t>,</w:t>
            </w:r>
            <w:r w:rsidR="00B52F7D" w:rsidRPr="00B52F7D">
              <w:t>6</w:t>
            </w:r>
            <w:r w:rsidR="00310EEC">
              <w:t>75,019</w:t>
            </w:r>
          </w:p>
        </w:tc>
      </w:tr>
    </w:tbl>
    <w:p w:rsidR="002462DA" w:rsidRDefault="00682F4B" w:rsidP="003625DB">
      <w:pPr>
        <w:outlineLvl w:val="1"/>
        <w:rPr>
          <w:color w:val="000000"/>
          <w:sz w:val="20"/>
          <w:szCs w:val="20"/>
        </w:rPr>
      </w:pPr>
      <w:r>
        <w:rPr>
          <w:color w:val="000000"/>
          <w:sz w:val="20"/>
          <w:szCs w:val="20"/>
          <w:vertAlign w:val="superscript"/>
        </w:rPr>
        <w:t>*</w:t>
      </w:r>
      <w:r>
        <w:rPr>
          <w:color w:val="000000"/>
          <w:sz w:val="20"/>
          <w:szCs w:val="20"/>
        </w:rPr>
        <w:t xml:space="preserve"> </w:t>
      </w:r>
      <w:r w:rsidR="00310DC3">
        <w:rPr>
          <w:color w:val="000000"/>
          <w:sz w:val="20"/>
          <w:szCs w:val="20"/>
        </w:rPr>
        <w:t>M</w:t>
      </w:r>
      <w:r w:rsidR="003B2C9B" w:rsidRPr="008A08ED">
        <w:rPr>
          <w:color w:val="000000"/>
          <w:sz w:val="20"/>
          <w:szCs w:val="20"/>
        </w:rPr>
        <w:t>ean</w:t>
      </w:r>
      <w:r w:rsidR="00310DC3">
        <w:rPr>
          <w:color w:val="000000"/>
          <w:sz w:val="20"/>
          <w:szCs w:val="20"/>
        </w:rPr>
        <w:t xml:space="preserve"> hourly </w:t>
      </w:r>
      <w:r w:rsidR="003B2C9B" w:rsidRPr="008A08ED">
        <w:rPr>
          <w:color w:val="000000"/>
          <w:sz w:val="20"/>
          <w:szCs w:val="20"/>
        </w:rPr>
        <w:t>wage</w:t>
      </w:r>
      <w:r w:rsidR="00137E95" w:rsidRPr="008A08ED">
        <w:rPr>
          <w:color w:val="000000"/>
          <w:sz w:val="20"/>
          <w:szCs w:val="20"/>
        </w:rPr>
        <w:t xml:space="preserve"> for </w:t>
      </w:r>
      <w:r w:rsidR="00137E95" w:rsidRPr="008A08ED">
        <w:rPr>
          <w:bCs/>
          <w:color w:val="000000"/>
          <w:sz w:val="20"/>
          <w:szCs w:val="20"/>
        </w:rPr>
        <w:t>All Occupations (00-0000)</w:t>
      </w:r>
    </w:p>
    <w:p w:rsidR="00682491" w:rsidRDefault="00475CC9" w:rsidP="00475CC9">
      <w:pPr>
        <w:outlineLvl w:val="1"/>
        <w:rPr>
          <w:color w:val="000000"/>
          <w:sz w:val="20"/>
          <w:szCs w:val="20"/>
        </w:rPr>
      </w:pPr>
      <w:r>
        <w:rPr>
          <w:color w:val="000000"/>
          <w:sz w:val="20"/>
          <w:szCs w:val="20"/>
          <w:vertAlign w:val="superscript"/>
        </w:rPr>
        <w:t>**</w:t>
      </w:r>
      <w:r>
        <w:rPr>
          <w:color w:val="000000"/>
          <w:sz w:val="20"/>
          <w:szCs w:val="20"/>
        </w:rPr>
        <w:t xml:space="preserve"> </w:t>
      </w:r>
      <w:r w:rsidR="00310DC3">
        <w:rPr>
          <w:color w:val="000000"/>
          <w:sz w:val="20"/>
          <w:szCs w:val="20"/>
        </w:rPr>
        <w:t>M</w:t>
      </w:r>
      <w:r w:rsidRPr="008A08ED">
        <w:rPr>
          <w:color w:val="000000"/>
          <w:sz w:val="20"/>
          <w:szCs w:val="20"/>
        </w:rPr>
        <w:t xml:space="preserve">ean </w:t>
      </w:r>
      <w:r w:rsidR="00310DC3">
        <w:rPr>
          <w:color w:val="000000"/>
          <w:sz w:val="20"/>
          <w:szCs w:val="20"/>
        </w:rPr>
        <w:t>hourly</w:t>
      </w:r>
      <w:r w:rsidRPr="008A08ED">
        <w:rPr>
          <w:color w:val="000000"/>
          <w:sz w:val="20"/>
          <w:szCs w:val="20"/>
        </w:rPr>
        <w:t xml:space="preserve"> wage for </w:t>
      </w:r>
      <w:r w:rsidRPr="00475CC9">
        <w:rPr>
          <w:color w:val="000000"/>
          <w:sz w:val="20"/>
          <w:szCs w:val="20"/>
        </w:rPr>
        <w:t xml:space="preserve">Medical Secretaries </w:t>
      </w:r>
      <w:r>
        <w:rPr>
          <w:color w:val="000000"/>
          <w:sz w:val="20"/>
          <w:szCs w:val="20"/>
        </w:rPr>
        <w:t>(</w:t>
      </w:r>
      <w:r w:rsidRPr="00475CC9">
        <w:rPr>
          <w:color w:val="000000"/>
          <w:sz w:val="20"/>
          <w:szCs w:val="20"/>
        </w:rPr>
        <w:t>43-6013</w:t>
      </w:r>
      <w:r w:rsidR="00682491">
        <w:rPr>
          <w:color w:val="000000"/>
          <w:sz w:val="20"/>
          <w:szCs w:val="20"/>
        </w:rPr>
        <w:t>)</w:t>
      </w:r>
    </w:p>
    <w:p w:rsidR="00475CC9" w:rsidRPr="00475CC9" w:rsidRDefault="00682491" w:rsidP="00475CC9">
      <w:pPr>
        <w:outlineLvl w:val="1"/>
        <w:rPr>
          <w:color w:val="000000"/>
          <w:sz w:val="20"/>
          <w:szCs w:val="20"/>
        </w:rPr>
      </w:pPr>
      <w:r>
        <w:rPr>
          <w:color w:val="000000"/>
          <w:sz w:val="20"/>
          <w:szCs w:val="20"/>
          <w:vertAlign w:val="superscript"/>
        </w:rPr>
        <w:t xml:space="preserve">*** </w:t>
      </w:r>
      <w:r w:rsidR="00310DC3">
        <w:rPr>
          <w:color w:val="000000"/>
          <w:sz w:val="20"/>
          <w:szCs w:val="20"/>
        </w:rPr>
        <w:t>M</w:t>
      </w:r>
      <w:r w:rsidRPr="008A08ED">
        <w:rPr>
          <w:color w:val="000000"/>
          <w:sz w:val="20"/>
          <w:szCs w:val="20"/>
        </w:rPr>
        <w:t xml:space="preserve">ean </w:t>
      </w:r>
      <w:r w:rsidR="00310DC3">
        <w:rPr>
          <w:color w:val="000000"/>
          <w:sz w:val="20"/>
          <w:szCs w:val="20"/>
        </w:rPr>
        <w:t>hourly</w:t>
      </w:r>
      <w:r w:rsidRPr="008A08ED">
        <w:rPr>
          <w:color w:val="000000"/>
          <w:sz w:val="20"/>
          <w:szCs w:val="20"/>
        </w:rPr>
        <w:t xml:space="preserve"> wage for</w:t>
      </w:r>
      <w:r w:rsidRPr="00682F4B">
        <w:rPr>
          <w:sz w:val="20"/>
          <w:szCs w:val="20"/>
        </w:rPr>
        <w:t xml:space="preserve"> Pharmacy Technicians (29-2052)</w:t>
      </w:r>
    </w:p>
    <w:p w:rsidR="00AA788A" w:rsidRDefault="003625DB" w:rsidP="003625DB">
      <w:pPr>
        <w:outlineLvl w:val="1"/>
        <w:rPr>
          <w:rStyle w:val="Strong"/>
          <w:b w:val="0"/>
          <w:i/>
        </w:rPr>
      </w:pPr>
      <w:r w:rsidRPr="008A08ED">
        <w:rPr>
          <w:kern w:val="36"/>
          <w:sz w:val="20"/>
          <w:szCs w:val="44"/>
        </w:rPr>
        <w:t xml:space="preserve">Occupational Employment Statistics, </w:t>
      </w:r>
      <w:r w:rsidRPr="008A08ED">
        <w:rPr>
          <w:kern w:val="36"/>
          <w:sz w:val="20"/>
          <w:szCs w:val="36"/>
        </w:rPr>
        <w:t>May 20</w:t>
      </w:r>
      <w:r w:rsidR="002462DA">
        <w:rPr>
          <w:kern w:val="36"/>
          <w:sz w:val="20"/>
          <w:szCs w:val="36"/>
        </w:rPr>
        <w:t>11</w:t>
      </w:r>
      <w:r w:rsidRPr="008A08ED">
        <w:rPr>
          <w:kern w:val="36"/>
          <w:sz w:val="20"/>
          <w:szCs w:val="36"/>
        </w:rPr>
        <w:t xml:space="preserve"> National Occupational Employment and Wage Estimates United States</w:t>
      </w:r>
      <w:r w:rsidR="003B2C9B" w:rsidRPr="008A08ED">
        <w:rPr>
          <w:color w:val="000000"/>
          <w:sz w:val="20"/>
          <w:szCs w:val="20"/>
        </w:rPr>
        <w:t>, U.S. Department of Labor, Bureau of Labor Statistics.</w:t>
      </w:r>
      <w:r w:rsidRPr="008A08ED">
        <w:rPr>
          <w:color w:val="000000"/>
          <w:sz w:val="20"/>
          <w:szCs w:val="20"/>
        </w:rPr>
        <w:t xml:space="preserve"> </w:t>
      </w:r>
      <w:hyperlink r:id="rId10" w:anchor="b29-0000" w:history="1">
        <w:r w:rsidRPr="008A08ED">
          <w:rPr>
            <w:rFonts w:ascii="Arial" w:hAnsi="Arial" w:cs="Arial"/>
            <w:color w:val="0000FF"/>
            <w:sz w:val="20"/>
            <w:szCs w:val="20"/>
            <w:u w:val="single"/>
          </w:rPr>
          <w:t>http://www.bls.gov/oes/current/oes_nat.htm#b29-0000</w:t>
        </w:r>
      </w:hyperlink>
    </w:p>
    <w:p w:rsidR="009B633D" w:rsidRPr="00412C6F" w:rsidRDefault="009B633D" w:rsidP="009B633D">
      <w:pPr>
        <w:pStyle w:val="Heading2"/>
        <w:rPr>
          <w:sz w:val="24"/>
        </w:rPr>
      </w:pPr>
      <w:bookmarkStart w:id="30" w:name="_Toc151782188"/>
      <w:bookmarkStart w:id="31" w:name="_Toc158526228"/>
      <w:r w:rsidRPr="00412C6F">
        <w:rPr>
          <w:sz w:val="24"/>
        </w:rPr>
        <w:t>13. Estimates of Annualized Respondent Capital and Maintenance Costs</w:t>
      </w:r>
      <w:bookmarkEnd w:id="30"/>
      <w:bookmarkEnd w:id="31"/>
    </w:p>
    <w:p w:rsidR="00E14FC3" w:rsidRDefault="00B762E0" w:rsidP="00C205C8">
      <w:pPr>
        <w:spacing w:before="120"/>
      </w:pPr>
      <w:r>
        <w:t xml:space="preserve">Capital and maintenance costs include the purchase of </w:t>
      </w:r>
      <w:r w:rsidR="00C205C8">
        <w:t xml:space="preserve">equipment, </w:t>
      </w:r>
      <w:r>
        <w:t>computer</w:t>
      </w:r>
      <w:r w:rsidR="00C205C8">
        <w:t>s or computer software or services, or storage facilities for records, as a result of complying with this data collection.  T</w:t>
      </w:r>
      <w:r w:rsidR="0080612B">
        <w:t>here are no direct costs to respondents other than</w:t>
      </w:r>
      <w:r w:rsidR="00260E5F">
        <w:t xml:space="preserve"> </w:t>
      </w:r>
      <w:r w:rsidR="0080612B">
        <w:t>their time to participate in the study.</w:t>
      </w:r>
    </w:p>
    <w:p w:rsidR="009B633D" w:rsidRPr="00412C6F" w:rsidRDefault="009B633D" w:rsidP="009B633D">
      <w:pPr>
        <w:pStyle w:val="Heading2"/>
        <w:rPr>
          <w:sz w:val="24"/>
        </w:rPr>
      </w:pPr>
      <w:bookmarkStart w:id="32" w:name="_Toc58725299"/>
      <w:bookmarkStart w:id="33" w:name="_Toc151782189"/>
      <w:bookmarkStart w:id="34" w:name="_Toc158526229"/>
      <w:r w:rsidRPr="0058103C">
        <w:rPr>
          <w:sz w:val="24"/>
        </w:rPr>
        <w:t>14. Estimates of Annualized Cost to the Government</w:t>
      </w:r>
      <w:bookmarkEnd w:id="32"/>
      <w:bookmarkEnd w:id="33"/>
      <w:bookmarkEnd w:id="34"/>
    </w:p>
    <w:p w:rsidR="00EF050E" w:rsidRDefault="00D01463" w:rsidP="00EF050E">
      <w:bookmarkStart w:id="35" w:name="_Toc151782190"/>
      <w:bookmarkStart w:id="36" w:name="_Toc158526230"/>
      <w:r>
        <w:t xml:space="preserve">Exhibit 3 shows the total and annualized cost of this information collection.  </w:t>
      </w:r>
      <w:r w:rsidR="00EF050E" w:rsidRPr="00825B3C">
        <w:t xml:space="preserve">The cost associated with the design and data collection of the </w:t>
      </w:r>
      <w:r w:rsidR="00691DCB">
        <w:t xml:space="preserve">MEPS-HC and MEPS-MPC </w:t>
      </w:r>
      <w:r w:rsidR="00EF050E" w:rsidRPr="00825B3C">
        <w:t>is</w:t>
      </w:r>
      <w:r w:rsidR="00691DCB">
        <w:t xml:space="preserve"> estimated to be</w:t>
      </w:r>
      <w:r w:rsidR="00EF050E" w:rsidRPr="00825B3C">
        <w:t xml:space="preserve"> </w:t>
      </w:r>
      <w:r w:rsidR="00D0299A">
        <w:t>$</w:t>
      </w:r>
      <w:r w:rsidR="00C74AB2">
        <w:t xml:space="preserve">51,401,596 </w:t>
      </w:r>
      <w:r w:rsidR="00EF050E" w:rsidRPr="00825B3C">
        <w:t>in each of the three years</w:t>
      </w:r>
      <w:r w:rsidR="00B44D7B">
        <w:t xml:space="preserve"> covered by this information collection request</w:t>
      </w:r>
      <w:r w:rsidR="00691DCB">
        <w:t>.</w:t>
      </w:r>
    </w:p>
    <w:p w:rsidR="008D10CE" w:rsidRDefault="008D10CE" w:rsidP="00012FB9">
      <w:pPr>
        <w:rPr>
          <w:b/>
          <w:bCs/>
          <w:color w:val="000000"/>
        </w:rPr>
      </w:pPr>
    </w:p>
    <w:p w:rsidR="00012FB9" w:rsidRDefault="00012FB9" w:rsidP="00012FB9">
      <w:pPr>
        <w:rPr>
          <w:b/>
          <w:bCs/>
          <w:color w:val="000000"/>
        </w:rPr>
      </w:pPr>
      <w:proofErr w:type="gramStart"/>
      <w:r>
        <w:rPr>
          <w:b/>
          <w:bCs/>
          <w:color w:val="000000"/>
        </w:rPr>
        <w:t>Exhibit 3.</w:t>
      </w:r>
      <w:proofErr w:type="gramEnd"/>
      <w:r>
        <w:rPr>
          <w:b/>
          <w:bCs/>
          <w:color w:val="000000"/>
        </w:rPr>
        <w:t>  Estimated</w:t>
      </w:r>
      <w:r w:rsidR="00691DCB">
        <w:rPr>
          <w:b/>
          <w:bCs/>
          <w:color w:val="000000"/>
        </w:rPr>
        <w:t xml:space="preserve"> Total and Annualized</w:t>
      </w:r>
      <w:r>
        <w:rPr>
          <w:b/>
          <w:bCs/>
          <w:color w:val="000000"/>
        </w:rPr>
        <w:t xml:space="preserve"> Cost</w:t>
      </w:r>
    </w:p>
    <w:p w:rsidR="008D10CE" w:rsidRDefault="008D10CE" w:rsidP="00012FB9"/>
    <w:tbl>
      <w:tblPr>
        <w:tblW w:w="0" w:type="auto"/>
        <w:tblInd w:w="720" w:type="dxa"/>
        <w:tblCellMar>
          <w:left w:w="0" w:type="dxa"/>
          <w:right w:w="0" w:type="dxa"/>
        </w:tblCellMar>
        <w:tblLook w:val="0000" w:firstRow="0" w:lastRow="0" w:firstColumn="0" w:lastColumn="0" w:noHBand="0" w:noVBand="0"/>
      </w:tblPr>
      <w:tblGrid>
        <w:gridCol w:w="3960"/>
        <w:gridCol w:w="1536"/>
        <w:gridCol w:w="1980"/>
      </w:tblGrid>
      <w:tr w:rsidR="00012FB9" w:rsidTr="008D10CE">
        <w:tc>
          <w:tcPr>
            <w:tcW w:w="3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12FB9" w:rsidRPr="00012FB9" w:rsidRDefault="00012FB9" w:rsidP="00012FB9">
            <w:pPr>
              <w:rPr>
                <w:b/>
              </w:rPr>
            </w:pPr>
            <w:r w:rsidRPr="00012FB9">
              <w:rPr>
                <w:b/>
                <w:color w:val="000000"/>
              </w:rPr>
              <w:t xml:space="preserve">Cost Component </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RDefault="00012FB9" w:rsidP="001A28C0">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RDefault="00012FB9" w:rsidP="001A28C0">
            <w:pPr>
              <w:jc w:val="center"/>
              <w:rPr>
                <w:b/>
              </w:rPr>
            </w:pPr>
            <w:r w:rsidRPr="00012FB9">
              <w:rPr>
                <w:b/>
              </w:rPr>
              <w:t>Annualized Cost</w:t>
            </w:r>
          </w:p>
        </w:tc>
      </w:tr>
      <w:tr w:rsidR="00C74AB2"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1A28C0">
            <w:r>
              <w:t>Sampling Activities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767F24">
            <w:pPr>
              <w:jc w:val="right"/>
            </w:pPr>
            <w:r>
              <w:t>$3,002,731</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8E065F">
            <w:pPr>
              <w:jc w:val="right"/>
            </w:pPr>
            <w:r>
              <w:t>$1,000,910</w:t>
            </w:r>
          </w:p>
        </w:tc>
      </w:tr>
      <w:tr w:rsidR="00C74AB2"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1A28C0">
            <w:r>
              <w:t>Interviewer Recruitment and Training</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767F24">
            <w:pPr>
              <w:jc w:val="right"/>
            </w:pPr>
            <w:r>
              <w:t>$9,190,168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8E065F">
            <w:pPr>
              <w:jc w:val="right"/>
            </w:pPr>
            <w:r>
              <w:t>$3,063,389</w:t>
            </w:r>
          </w:p>
        </w:tc>
      </w:tr>
      <w:tr w:rsidR="00C74AB2"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1A28C0">
            <w:r>
              <w:t>Data Collection Activities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767F24">
            <w:pPr>
              <w:jc w:val="right"/>
            </w:pPr>
            <w:r>
              <w:t>$93,611,428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E02307">
            <w:pPr>
              <w:jc w:val="right"/>
            </w:pPr>
            <w:r>
              <w:t>$31,203,809</w:t>
            </w:r>
          </w:p>
        </w:tc>
      </w:tr>
      <w:tr w:rsidR="00C74AB2"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1A28C0">
            <w:r>
              <w:t>Data Processing</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767F24">
            <w:pPr>
              <w:jc w:val="right"/>
            </w:pPr>
            <w:r>
              <w:t>$23,087,605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E02307">
            <w:pPr>
              <w:jc w:val="right"/>
            </w:pPr>
            <w:r>
              <w:t>$7,695,868</w:t>
            </w:r>
          </w:p>
        </w:tc>
      </w:tr>
      <w:tr w:rsidR="00C74AB2"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1A28C0">
            <w:r>
              <w:t>Production of Public Use Data Files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767F24">
            <w:pPr>
              <w:jc w:val="right"/>
            </w:pPr>
            <w:r>
              <w:t>$21,079,118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E02307">
            <w:pPr>
              <w:jc w:val="right"/>
            </w:pPr>
            <w:r>
              <w:t>$7,026,373</w:t>
            </w:r>
          </w:p>
        </w:tc>
      </w:tr>
      <w:tr w:rsidR="00C74AB2"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1A28C0">
            <w:r>
              <w:t>Project Management</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767F24">
            <w:pPr>
              <w:jc w:val="right"/>
            </w:pPr>
            <w:r>
              <w:t>$4,233,739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F65452">
            <w:pPr>
              <w:jc w:val="right"/>
            </w:pPr>
            <w:r>
              <w:t>$1,411,246</w:t>
            </w:r>
          </w:p>
        </w:tc>
      </w:tr>
      <w:tr w:rsidR="00C74AB2" w:rsidTr="008D10CE">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74AB2" w:rsidRPr="006D1C5E" w:rsidRDefault="00C74AB2" w:rsidP="001A28C0">
            <w:r w:rsidRPr="006D1C5E">
              <w:rPr>
                <w:b/>
                <w:bCs/>
                <w:color w:val="000000"/>
              </w:rPr>
              <w:t>Total</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767F24">
            <w:pPr>
              <w:jc w:val="right"/>
            </w:pPr>
            <w:r>
              <w:t>$154,204,789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4AB2" w:rsidRDefault="00C74AB2" w:rsidP="00F65452">
            <w:pPr>
              <w:jc w:val="right"/>
            </w:pPr>
            <w:r>
              <w:t>$51,401,596</w:t>
            </w:r>
          </w:p>
        </w:tc>
      </w:tr>
    </w:tbl>
    <w:p w:rsidR="008D10CE" w:rsidRDefault="008D10CE" w:rsidP="008D10CE">
      <w:pPr>
        <w:rPr>
          <w:sz w:val="20"/>
          <w:szCs w:val="20"/>
        </w:rPr>
      </w:pPr>
    </w:p>
    <w:p w:rsidR="008D10CE" w:rsidRPr="008D10CE" w:rsidRDefault="008D10CE" w:rsidP="008D10CE">
      <w:pPr>
        <w:rPr>
          <w:b/>
        </w:rPr>
      </w:pPr>
      <w:r w:rsidRPr="008D10CE">
        <w:rPr>
          <w:b/>
        </w:rPr>
        <w:t>Exhibit 4: Annual Cost to AHRQ for MEPS-HC Oversight</w:t>
      </w:r>
    </w:p>
    <w:p w:rsidR="008D10CE" w:rsidRPr="008D10CE" w:rsidRDefault="008D10CE" w:rsidP="008D10CE"/>
    <w:tbl>
      <w:tblPr>
        <w:tblW w:w="7488" w:type="dxa"/>
        <w:tblInd w:w="720" w:type="dxa"/>
        <w:tblLayout w:type="fixed"/>
        <w:tblCellMar>
          <w:left w:w="0" w:type="dxa"/>
          <w:right w:w="0" w:type="dxa"/>
        </w:tblCellMar>
        <w:tblLook w:val="04A0" w:firstRow="1" w:lastRow="0" w:firstColumn="1" w:lastColumn="0" w:noHBand="0" w:noVBand="1"/>
      </w:tblPr>
      <w:tblGrid>
        <w:gridCol w:w="2536"/>
        <w:gridCol w:w="651"/>
        <w:gridCol w:w="791"/>
        <w:gridCol w:w="1170"/>
        <w:gridCol w:w="900"/>
        <w:gridCol w:w="1440"/>
      </w:tblGrid>
      <w:tr w:rsidR="008D10CE" w:rsidRPr="008D10CE" w:rsidTr="0058103C">
        <w:tc>
          <w:tcPr>
            <w:tcW w:w="2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10CE" w:rsidRPr="008D10CE" w:rsidRDefault="008D10CE">
            <w:pPr>
              <w:rPr>
                <w:rFonts w:ascii="Calibri" w:eastAsia="Calibri" w:hAnsi="Calibri"/>
                <w:b/>
                <w:bCs/>
              </w:rPr>
            </w:pPr>
            <w:r w:rsidRPr="008D10CE">
              <w:rPr>
                <w:b/>
                <w:bCs/>
                <w:color w:val="000000"/>
              </w:rPr>
              <w:t>Tasks/Personnel</w:t>
            </w:r>
          </w:p>
        </w:tc>
        <w:tc>
          <w:tcPr>
            <w:tcW w:w="651" w:type="dxa"/>
            <w:tcBorders>
              <w:top w:val="single" w:sz="8" w:space="0" w:color="auto"/>
              <w:left w:val="nil"/>
              <w:bottom w:val="single" w:sz="8" w:space="0" w:color="auto"/>
              <w:right w:val="nil"/>
            </w:tcBorders>
            <w:hideMark/>
          </w:tcPr>
          <w:p w:rsidR="008D10CE" w:rsidRPr="008D10CE" w:rsidRDefault="008D10CE">
            <w:pPr>
              <w:jc w:val="center"/>
              <w:rPr>
                <w:rFonts w:ascii="Calibri" w:eastAsia="Calibri" w:hAnsi="Calibri"/>
                <w:b/>
                <w:bCs/>
              </w:rPr>
            </w:pPr>
            <w:r w:rsidRPr="008D10CE">
              <w:rPr>
                <w:b/>
                <w:bCs/>
              </w:rPr>
              <w:t>Staff</w:t>
            </w:r>
          </w:p>
          <w:p w:rsidR="008D10CE" w:rsidRPr="008D10CE" w:rsidRDefault="008D10CE">
            <w:pPr>
              <w:jc w:val="center"/>
              <w:rPr>
                <w:rFonts w:ascii="Calibri" w:eastAsia="Calibri" w:hAnsi="Calibri"/>
                <w:b/>
                <w:bCs/>
              </w:rPr>
            </w:pPr>
            <w:r w:rsidRPr="008D10CE">
              <w:rPr>
                <w:b/>
                <w:bCs/>
              </w:rPr>
              <w:t>Count</w:t>
            </w:r>
          </w:p>
        </w:tc>
        <w:tc>
          <w:tcPr>
            <w:tcW w:w="791" w:type="dxa"/>
            <w:tcBorders>
              <w:top w:val="single" w:sz="8" w:space="0" w:color="auto"/>
              <w:left w:val="nil"/>
              <w:bottom w:val="single" w:sz="8" w:space="0" w:color="auto"/>
              <w:right w:val="single" w:sz="8" w:space="0" w:color="auto"/>
            </w:tcBorders>
          </w:tcPr>
          <w:p w:rsidR="008D10CE" w:rsidRPr="008D10CE" w:rsidRDefault="008D10CE">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10CE" w:rsidRPr="008D10CE" w:rsidRDefault="008D10CE">
            <w:pPr>
              <w:jc w:val="center"/>
              <w:rPr>
                <w:rFonts w:ascii="Calibri" w:eastAsia="Calibri" w:hAnsi="Calibri"/>
                <w:b/>
                <w:bCs/>
              </w:rPr>
            </w:pPr>
            <w:r w:rsidRPr="008D10CE">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10CE" w:rsidRPr="008D10CE" w:rsidRDefault="008D10CE">
            <w:pPr>
              <w:jc w:val="center"/>
              <w:rPr>
                <w:rFonts w:ascii="Calibri" w:eastAsia="Calibri" w:hAnsi="Calibri"/>
                <w:b/>
                <w:bCs/>
              </w:rPr>
            </w:pPr>
            <w:r w:rsidRPr="008D10CE">
              <w:rPr>
                <w:b/>
                <w:bCs/>
              </w:rPr>
              <w:t>% of Time</w:t>
            </w:r>
          </w:p>
        </w:tc>
        <w:tc>
          <w:tcPr>
            <w:tcW w:w="1440" w:type="dxa"/>
            <w:tcBorders>
              <w:top w:val="single" w:sz="8" w:space="0" w:color="auto"/>
              <w:left w:val="nil"/>
              <w:bottom w:val="single" w:sz="8" w:space="0" w:color="auto"/>
              <w:right w:val="single" w:sz="8" w:space="0" w:color="auto"/>
            </w:tcBorders>
          </w:tcPr>
          <w:p w:rsidR="008D10CE" w:rsidRPr="008D10CE" w:rsidRDefault="008D10CE">
            <w:pPr>
              <w:jc w:val="center"/>
              <w:rPr>
                <w:rFonts w:ascii="Calibri" w:eastAsia="Calibri" w:hAnsi="Calibri"/>
                <w:b/>
                <w:bCs/>
              </w:rPr>
            </w:pPr>
          </w:p>
          <w:p w:rsidR="008D10CE" w:rsidRPr="008D10CE" w:rsidRDefault="008D10CE">
            <w:pPr>
              <w:jc w:val="center"/>
              <w:rPr>
                <w:rFonts w:ascii="Calibri" w:eastAsia="Calibri" w:hAnsi="Calibri"/>
                <w:b/>
                <w:bCs/>
              </w:rPr>
            </w:pPr>
            <w:r w:rsidRPr="008D10CE">
              <w:rPr>
                <w:b/>
                <w:bCs/>
              </w:rPr>
              <w:t>Cost</w:t>
            </w:r>
          </w:p>
        </w:tc>
      </w:tr>
      <w:tr w:rsidR="008D10CE" w:rsidRPr="008D10CE" w:rsidTr="0058103C">
        <w:trPr>
          <w:trHeight w:val="250"/>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10CE" w:rsidRPr="00E475A6" w:rsidRDefault="008D10CE">
            <w:pPr>
              <w:rPr>
                <w:rFonts w:eastAsia="Calibri"/>
              </w:rPr>
            </w:pPr>
            <w:r w:rsidRPr="00E475A6">
              <w:t>Management Support: GS-15, Step 5 average</w:t>
            </w:r>
          </w:p>
        </w:tc>
        <w:tc>
          <w:tcPr>
            <w:tcW w:w="651" w:type="dxa"/>
            <w:tcBorders>
              <w:top w:val="nil"/>
              <w:left w:val="nil"/>
              <w:bottom w:val="single" w:sz="8" w:space="0" w:color="auto"/>
              <w:right w:val="nil"/>
            </w:tcBorders>
          </w:tcPr>
          <w:p w:rsidR="008D10CE" w:rsidRPr="00E475A6" w:rsidRDefault="008D10CE">
            <w:pPr>
              <w:jc w:val="right"/>
              <w:rPr>
                <w:rFonts w:eastAsia="Calibri"/>
              </w:rPr>
            </w:pPr>
          </w:p>
          <w:p w:rsidR="008D10CE" w:rsidRPr="00E475A6" w:rsidRDefault="008D10CE">
            <w:pPr>
              <w:jc w:val="right"/>
              <w:rPr>
                <w:rFonts w:eastAsia="Calibri"/>
              </w:rPr>
            </w:pPr>
            <w:r w:rsidRPr="00E475A6">
              <w:t>2</w:t>
            </w:r>
          </w:p>
        </w:tc>
        <w:tc>
          <w:tcPr>
            <w:tcW w:w="791" w:type="dxa"/>
            <w:tcBorders>
              <w:top w:val="nil"/>
              <w:left w:val="nil"/>
              <w:bottom w:val="single" w:sz="8" w:space="0" w:color="auto"/>
              <w:right w:val="single" w:sz="8" w:space="0" w:color="auto"/>
            </w:tcBorders>
          </w:tcPr>
          <w:p w:rsidR="008D10CE" w:rsidRPr="00E475A6" w:rsidRDefault="008D10CE">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8D10CE" w:rsidRPr="00E475A6" w:rsidRDefault="008D10CE">
            <w:pPr>
              <w:jc w:val="right"/>
              <w:rPr>
                <w:rFonts w:eastAsia="Calibri"/>
              </w:rPr>
            </w:pPr>
          </w:p>
          <w:p w:rsidR="008D10CE" w:rsidRPr="00E475A6" w:rsidRDefault="008D10CE">
            <w:pPr>
              <w:jc w:val="right"/>
              <w:rPr>
                <w:rFonts w:eastAsia="Calibri"/>
              </w:rPr>
            </w:pPr>
            <w:r w:rsidRPr="00E475A6">
              <w:t>$141,660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8D10CE" w:rsidRPr="00E475A6" w:rsidRDefault="008D10CE">
            <w:pPr>
              <w:jc w:val="right"/>
              <w:rPr>
                <w:rFonts w:eastAsia="Calibri"/>
              </w:rPr>
            </w:pPr>
          </w:p>
          <w:p w:rsidR="008D10CE" w:rsidRPr="00E475A6" w:rsidRDefault="00BC6E2E" w:rsidP="00BC6E2E">
            <w:pPr>
              <w:jc w:val="right"/>
              <w:rPr>
                <w:rFonts w:eastAsia="Calibri"/>
              </w:rPr>
            </w:pPr>
            <w:r w:rsidRPr="00E475A6">
              <w:t>50</w:t>
            </w:r>
            <w:r w:rsidR="008D10CE" w:rsidRPr="00E475A6">
              <w:t>.</w:t>
            </w:r>
            <w:r w:rsidRPr="00E475A6">
              <w:t>0</w:t>
            </w:r>
            <w:r w:rsidR="008D10CE" w:rsidRPr="00E475A6">
              <w:t>%</w:t>
            </w:r>
          </w:p>
        </w:tc>
        <w:tc>
          <w:tcPr>
            <w:tcW w:w="1440" w:type="dxa"/>
            <w:tcBorders>
              <w:top w:val="nil"/>
              <w:left w:val="nil"/>
              <w:bottom w:val="single" w:sz="8" w:space="0" w:color="auto"/>
              <w:right w:val="single" w:sz="8" w:space="0" w:color="auto"/>
            </w:tcBorders>
          </w:tcPr>
          <w:p w:rsidR="008D10CE" w:rsidRPr="00E475A6" w:rsidRDefault="008D10CE">
            <w:pPr>
              <w:jc w:val="right"/>
              <w:rPr>
                <w:rFonts w:eastAsia="Calibri"/>
              </w:rPr>
            </w:pPr>
          </w:p>
          <w:p w:rsidR="008D10CE" w:rsidRPr="00E475A6" w:rsidRDefault="008D10CE" w:rsidP="00BC6E2E">
            <w:pPr>
              <w:jc w:val="right"/>
              <w:rPr>
                <w:rFonts w:eastAsia="Calibri"/>
              </w:rPr>
            </w:pPr>
            <w:r w:rsidRPr="00E475A6">
              <w:t>$</w:t>
            </w:r>
            <w:r w:rsidR="00BC6E2E" w:rsidRPr="00E475A6">
              <w:t>141</w:t>
            </w:r>
            <w:r w:rsidRPr="00E475A6">
              <w:t>,</w:t>
            </w:r>
            <w:r w:rsidR="00BC6E2E" w:rsidRPr="00E475A6">
              <w:t>660</w:t>
            </w:r>
            <w:r w:rsidR="00223592">
              <w:t xml:space="preserve">  </w:t>
            </w:r>
          </w:p>
        </w:tc>
      </w:tr>
      <w:tr w:rsidR="00BC6E2E" w:rsidRPr="008D10CE" w:rsidTr="0058103C">
        <w:trPr>
          <w:trHeight w:val="376"/>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6E2E" w:rsidRPr="00E475A6" w:rsidRDefault="00BC6E2E" w:rsidP="00101B1C">
            <w:pPr>
              <w:rPr>
                <w:rFonts w:eastAsia="Calibri"/>
              </w:rPr>
            </w:pPr>
            <w:r w:rsidRPr="00E475A6">
              <w:t>Survey/Statistical Support: GS-14, Step 5 average</w:t>
            </w:r>
          </w:p>
        </w:tc>
        <w:tc>
          <w:tcPr>
            <w:tcW w:w="651" w:type="dxa"/>
            <w:tcBorders>
              <w:top w:val="nil"/>
              <w:left w:val="nil"/>
              <w:bottom w:val="single" w:sz="8" w:space="0" w:color="auto"/>
              <w:right w:val="nil"/>
            </w:tcBorders>
          </w:tcPr>
          <w:p w:rsidR="00BC6E2E" w:rsidRPr="00E475A6" w:rsidRDefault="00BC6E2E" w:rsidP="00101B1C">
            <w:pPr>
              <w:jc w:val="right"/>
              <w:rPr>
                <w:rFonts w:eastAsia="Calibri"/>
              </w:rPr>
            </w:pPr>
          </w:p>
          <w:p w:rsidR="00BC6E2E" w:rsidRPr="00E475A6" w:rsidRDefault="00BC6E2E" w:rsidP="00101B1C">
            <w:pPr>
              <w:jc w:val="right"/>
              <w:rPr>
                <w:rFonts w:eastAsia="Calibri"/>
              </w:rPr>
            </w:pPr>
            <w:r w:rsidRPr="00E475A6">
              <w:t>3</w:t>
            </w:r>
          </w:p>
        </w:tc>
        <w:tc>
          <w:tcPr>
            <w:tcW w:w="791" w:type="dxa"/>
            <w:tcBorders>
              <w:top w:val="nil"/>
              <w:left w:val="nil"/>
              <w:bottom w:val="single" w:sz="8" w:space="0" w:color="auto"/>
              <w:right w:val="single" w:sz="8" w:space="0" w:color="auto"/>
            </w:tcBorders>
          </w:tcPr>
          <w:p w:rsidR="00BC6E2E" w:rsidRPr="00E475A6" w:rsidRDefault="00BC6E2E" w:rsidP="00101B1C">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6E2E" w:rsidRPr="00E475A6" w:rsidRDefault="00BC6E2E" w:rsidP="00101B1C">
            <w:pPr>
              <w:jc w:val="right"/>
              <w:rPr>
                <w:rFonts w:eastAsia="Calibri"/>
              </w:rPr>
            </w:pPr>
            <w:r w:rsidRPr="00E475A6">
              <w:t>$120,429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BC6E2E" w:rsidRPr="00E475A6" w:rsidRDefault="009A09C2" w:rsidP="009A09C2">
            <w:pPr>
              <w:jc w:val="right"/>
              <w:rPr>
                <w:rFonts w:eastAsia="Calibri"/>
              </w:rPr>
            </w:pPr>
            <w:r>
              <w:t>33.3</w:t>
            </w:r>
            <w:r w:rsidR="00BC6E2E" w:rsidRPr="00E475A6">
              <w:t>%</w:t>
            </w:r>
          </w:p>
        </w:tc>
        <w:tc>
          <w:tcPr>
            <w:tcW w:w="1440" w:type="dxa"/>
            <w:tcBorders>
              <w:top w:val="nil"/>
              <w:left w:val="nil"/>
              <w:bottom w:val="single" w:sz="8" w:space="0" w:color="auto"/>
              <w:right w:val="single" w:sz="8" w:space="0" w:color="auto"/>
            </w:tcBorders>
          </w:tcPr>
          <w:p w:rsidR="00BC6E2E" w:rsidRPr="00E475A6" w:rsidRDefault="00BC6E2E" w:rsidP="00101B1C">
            <w:pPr>
              <w:jc w:val="right"/>
              <w:rPr>
                <w:rFonts w:eastAsia="Calibri"/>
              </w:rPr>
            </w:pPr>
          </w:p>
          <w:p w:rsidR="00BC6E2E" w:rsidRPr="00E475A6" w:rsidRDefault="00BC6E2E" w:rsidP="009A09C2">
            <w:pPr>
              <w:jc w:val="right"/>
              <w:rPr>
                <w:rFonts w:eastAsia="Calibri"/>
              </w:rPr>
            </w:pPr>
            <w:r w:rsidRPr="00E475A6">
              <w:t>$1</w:t>
            </w:r>
            <w:r w:rsidR="009A09C2">
              <w:t>20</w:t>
            </w:r>
            <w:r w:rsidRPr="00E475A6">
              <w:t>,</w:t>
            </w:r>
            <w:r w:rsidR="009A09C2">
              <w:t>429</w:t>
            </w:r>
          </w:p>
        </w:tc>
      </w:tr>
      <w:tr w:rsidR="00BC6E2E" w:rsidRPr="008D10CE" w:rsidTr="0058103C">
        <w:trPr>
          <w:trHeight w:val="376"/>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6E2E" w:rsidRPr="00E475A6" w:rsidRDefault="00BC6E2E" w:rsidP="00BC6E2E">
            <w:pPr>
              <w:rPr>
                <w:rFonts w:eastAsia="Calibri"/>
              </w:rPr>
            </w:pPr>
            <w:r w:rsidRPr="00E475A6">
              <w:t>Research Support: GS-13, Step 5 average</w:t>
            </w:r>
          </w:p>
        </w:tc>
        <w:tc>
          <w:tcPr>
            <w:tcW w:w="651" w:type="dxa"/>
            <w:tcBorders>
              <w:top w:val="nil"/>
              <w:left w:val="nil"/>
              <w:bottom w:val="single" w:sz="8" w:space="0" w:color="auto"/>
              <w:right w:val="nil"/>
            </w:tcBorders>
          </w:tcPr>
          <w:p w:rsidR="00BC6E2E" w:rsidRPr="00E475A6" w:rsidRDefault="009A09C2">
            <w:pPr>
              <w:jc w:val="right"/>
              <w:rPr>
                <w:rFonts w:eastAsia="Calibri"/>
              </w:rPr>
            </w:pPr>
            <w:r>
              <w:rPr>
                <w:rFonts w:eastAsia="Calibri"/>
              </w:rPr>
              <w:t>4</w:t>
            </w:r>
          </w:p>
        </w:tc>
        <w:tc>
          <w:tcPr>
            <w:tcW w:w="791" w:type="dxa"/>
            <w:tcBorders>
              <w:top w:val="nil"/>
              <w:left w:val="nil"/>
              <w:bottom w:val="single" w:sz="8" w:space="0" w:color="auto"/>
              <w:right w:val="single" w:sz="8" w:space="0" w:color="auto"/>
            </w:tcBorders>
          </w:tcPr>
          <w:p w:rsidR="00BC6E2E" w:rsidRPr="00E475A6" w:rsidRDefault="00BC6E2E">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6E2E" w:rsidRPr="00E475A6" w:rsidRDefault="00BC6E2E">
            <w:pPr>
              <w:jc w:val="right"/>
              <w:rPr>
                <w:rFonts w:eastAsia="Calibri"/>
              </w:rPr>
            </w:pPr>
          </w:p>
          <w:p w:rsidR="00BC6E2E" w:rsidRPr="00E475A6" w:rsidRDefault="00BC6E2E" w:rsidP="00BC6E2E">
            <w:pPr>
              <w:jc w:val="right"/>
              <w:rPr>
                <w:rFonts w:eastAsia="Calibri"/>
              </w:rPr>
            </w:pPr>
            <w:r w:rsidRPr="00E475A6">
              <w:t>$101,914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BC6E2E" w:rsidRPr="00E475A6" w:rsidRDefault="00BC6E2E">
            <w:pPr>
              <w:jc w:val="right"/>
              <w:rPr>
                <w:rFonts w:eastAsia="Calibri"/>
              </w:rPr>
            </w:pPr>
          </w:p>
          <w:p w:rsidR="00BC6E2E" w:rsidRPr="00E475A6" w:rsidRDefault="00E475A6" w:rsidP="00E475A6">
            <w:pPr>
              <w:jc w:val="right"/>
              <w:rPr>
                <w:rFonts w:eastAsia="Calibri"/>
              </w:rPr>
            </w:pPr>
            <w:r w:rsidRPr="00E475A6">
              <w:t>5</w:t>
            </w:r>
            <w:r w:rsidR="009A09C2">
              <w:t>0</w:t>
            </w:r>
            <w:r w:rsidR="00BC6E2E" w:rsidRPr="00E475A6">
              <w:t>.0%</w:t>
            </w:r>
          </w:p>
        </w:tc>
        <w:tc>
          <w:tcPr>
            <w:tcW w:w="1440" w:type="dxa"/>
            <w:tcBorders>
              <w:top w:val="nil"/>
              <w:left w:val="nil"/>
              <w:bottom w:val="single" w:sz="8" w:space="0" w:color="auto"/>
              <w:right w:val="single" w:sz="8" w:space="0" w:color="auto"/>
            </w:tcBorders>
          </w:tcPr>
          <w:p w:rsidR="00BC6E2E" w:rsidRPr="00E475A6" w:rsidRDefault="00BC6E2E">
            <w:pPr>
              <w:jc w:val="right"/>
              <w:rPr>
                <w:rFonts w:eastAsia="Calibri"/>
              </w:rPr>
            </w:pPr>
          </w:p>
          <w:p w:rsidR="00BC6E2E" w:rsidRPr="00E475A6" w:rsidRDefault="00BC6E2E" w:rsidP="009A09C2">
            <w:pPr>
              <w:jc w:val="right"/>
              <w:rPr>
                <w:rFonts w:eastAsia="Calibri"/>
              </w:rPr>
            </w:pPr>
            <w:r w:rsidRPr="00E475A6">
              <w:t>$</w:t>
            </w:r>
            <w:r w:rsidR="00E475A6" w:rsidRPr="00E475A6">
              <w:t>2</w:t>
            </w:r>
            <w:r w:rsidR="009A09C2">
              <w:t>03</w:t>
            </w:r>
            <w:r w:rsidRPr="00E475A6">
              <w:t>,</w:t>
            </w:r>
            <w:r w:rsidR="009A09C2">
              <w:t>828</w:t>
            </w:r>
          </w:p>
        </w:tc>
      </w:tr>
      <w:tr w:rsidR="00BC6E2E" w:rsidRPr="008D10CE" w:rsidTr="0058103C">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6E2E" w:rsidRPr="00E475A6" w:rsidRDefault="00BC6E2E" w:rsidP="00BC6E2E">
            <w:pPr>
              <w:rPr>
                <w:b/>
                <w:bCs/>
                <w:color w:val="000000"/>
              </w:rPr>
            </w:pPr>
            <w:r w:rsidRPr="00E475A6">
              <w:t>Research Support: GS-12, Step 5 average</w:t>
            </w:r>
          </w:p>
        </w:tc>
        <w:tc>
          <w:tcPr>
            <w:tcW w:w="651" w:type="dxa"/>
            <w:tcBorders>
              <w:top w:val="nil"/>
              <w:left w:val="nil"/>
              <w:bottom w:val="single" w:sz="8" w:space="0" w:color="auto"/>
              <w:right w:val="nil"/>
            </w:tcBorders>
          </w:tcPr>
          <w:p w:rsidR="00BC6E2E" w:rsidRPr="00E475A6" w:rsidRDefault="00BC6E2E" w:rsidP="00BC6E2E">
            <w:pPr>
              <w:tabs>
                <w:tab w:val="left" w:pos="504"/>
              </w:tabs>
              <w:rPr>
                <w:rFonts w:eastAsia="Calibri"/>
              </w:rPr>
            </w:pPr>
            <w:r w:rsidRPr="00E475A6">
              <w:rPr>
                <w:rFonts w:eastAsia="Calibri"/>
              </w:rPr>
              <w:tab/>
              <w:t>2</w:t>
            </w:r>
          </w:p>
        </w:tc>
        <w:tc>
          <w:tcPr>
            <w:tcW w:w="791" w:type="dxa"/>
            <w:tcBorders>
              <w:top w:val="nil"/>
              <w:left w:val="nil"/>
              <w:bottom w:val="single" w:sz="8" w:space="0" w:color="auto"/>
              <w:right w:val="single" w:sz="8" w:space="0" w:color="auto"/>
            </w:tcBorders>
          </w:tcPr>
          <w:p w:rsidR="00BC6E2E" w:rsidRPr="00E475A6" w:rsidRDefault="00BC6E2E">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6E2E" w:rsidRPr="00E475A6" w:rsidRDefault="00BC6E2E" w:rsidP="00BC6E2E">
            <w:pPr>
              <w:jc w:val="right"/>
              <w:rPr>
                <w:rFonts w:eastAsia="Calibri"/>
              </w:rPr>
            </w:pPr>
            <w:r w:rsidRPr="00E475A6">
              <w:rPr>
                <w:rFonts w:eastAsia="Calibri"/>
              </w:rPr>
              <w:t>$85,703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BC6E2E" w:rsidRPr="00E475A6" w:rsidRDefault="00E475A6" w:rsidP="00E475A6">
            <w:pPr>
              <w:rPr>
                <w:rFonts w:eastAsia="Calibri"/>
              </w:rPr>
            </w:pPr>
            <w:r w:rsidRPr="00E475A6">
              <w:rPr>
                <w:rFonts w:eastAsia="Calibri"/>
              </w:rPr>
              <w:t>75.0%</w:t>
            </w:r>
          </w:p>
        </w:tc>
        <w:tc>
          <w:tcPr>
            <w:tcW w:w="1440" w:type="dxa"/>
            <w:tcBorders>
              <w:top w:val="nil"/>
              <w:left w:val="nil"/>
              <w:bottom w:val="single" w:sz="8" w:space="0" w:color="auto"/>
              <w:right w:val="single" w:sz="8" w:space="0" w:color="auto"/>
            </w:tcBorders>
          </w:tcPr>
          <w:p w:rsidR="00E475A6" w:rsidRPr="00E475A6" w:rsidRDefault="00E475A6" w:rsidP="00E475A6"/>
          <w:p w:rsidR="00BC6E2E" w:rsidRPr="00E475A6" w:rsidRDefault="00E475A6" w:rsidP="00E475A6">
            <w:pPr>
              <w:jc w:val="right"/>
            </w:pPr>
            <w:r w:rsidRPr="00E475A6">
              <w:t>$192,813</w:t>
            </w:r>
          </w:p>
        </w:tc>
      </w:tr>
      <w:tr w:rsidR="00BC6E2E" w:rsidRPr="008D10CE" w:rsidTr="0058103C">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6E2E" w:rsidRPr="00E475A6" w:rsidRDefault="00BC6E2E">
            <w:pPr>
              <w:rPr>
                <w:rFonts w:eastAsia="Calibri"/>
              </w:rPr>
            </w:pPr>
            <w:r w:rsidRPr="00E475A6">
              <w:rPr>
                <w:b/>
                <w:bCs/>
                <w:color w:val="000000"/>
              </w:rPr>
              <w:t>Total</w:t>
            </w:r>
          </w:p>
        </w:tc>
        <w:tc>
          <w:tcPr>
            <w:tcW w:w="651" w:type="dxa"/>
            <w:tcBorders>
              <w:top w:val="nil"/>
              <w:left w:val="nil"/>
              <w:bottom w:val="single" w:sz="8" w:space="0" w:color="auto"/>
              <w:right w:val="nil"/>
            </w:tcBorders>
          </w:tcPr>
          <w:p w:rsidR="00BC6E2E" w:rsidRPr="00E475A6" w:rsidRDefault="00BC6E2E">
            <w:pPr>
              <w:jc w:val="right"/>
              <w:rPr>
                <w:rFonts w:eastAsia="Calibri"/>
              </w:rPr>
            </w:pPr>
          </w:p>
        </w:tc>
        <w:tc>
          <w:tcPr>
            <w:tcW w:w="791" w:type="dxa"/>
            <w:tcBorders>
              <w:top w:val="nil"/>
              <w:left w:val="nil"/>
              <w:bottom w:val="single" w:sz="8" w:space="0" w:color="auto"/>
              <w:right w:val="single" w:sz="8" w:space="0" w:color="auto"/>
            </w:tcBorders>
          </w:tcPr>
          <w:p w:rsidR="00BC6E2E" w:rsidRPr="00E475A6" w:rsidRDefault="00BC6E2E">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C6E2E" w:rsidRPr="00E475A6" w:rsidRDefault="00BC6E2E">
            <w:pPr>
              <w:jc w:val="right"/>
              <w:rPr>
                <w:rFonts w:eastAsia="Calibr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BC6E2E" w:rsidRPr="00E475A6" w:rsidRDefault="00BC6E2E">
            <w:pPr>
              <w:jc w:val="right"/>
              <w:rPr>
                <w:rFonts w:eastAsia="Calibri"/>
              </w:rPr>
            </w:pPr>
          </w:p>
        </w:tc>
        <w:tc>
          <w:tcPr>
            <w:tcW w:w="1440" w:type="dxa"/>
            <w:tcBorders>
              <w:top w:val="nil"/>
              <w:left w:val="nil"/>
              <w:bottom w:val="single" w:sz="8" w:space="0" w:color="auto"/>
              <w:right w:val="single" w:sz="8" w:space="0" w:color="auto"/>
            </w:tcBorders>
            <w:hideMark/>
          </w:tcPr>
          <w:p w:rsidR="00BC6E2E" w:rsidRPr="00E475A6" w:rsidRDefault="00BC6E2E" w:rsidP="009A09C2">
            <w:pPr>
              <w:jc w:val="right"/>
              <w:rPr>
                <w:rFonts w:eastAsia="Calibri"/>
              </w:rPr>
            </w:pPr>
            <w:r w:rsidRPr="00E475A6">
              <w:t>$</w:t>
            </w:r>
            <w:r w:rsidR="009A09C2">
              <w:t>658</w:t>
            </w:r>
            <w:r w:rsidR="00E475A6" w:rsidRPr="00E475A6">
              <w:t>,</w:t>
            </w:r>
            <w:r w:rsidR="009A09C2">
              <w:t>730</w:t>
            </w:r>
          </w:p>
        </w:tc>
      </w:tr>
    </w:tbl>
    <w:p w:rsidR="008D10CE" w:rsidRPr="008D10CE" w:rsidRDefault="008D10CE" w:rsidP="008D10CE">
      <w:pPr>
        <w:rPr>
          <w:rFonts w:ascii="Calibri" w:eastAsia="Calibri" w:hAnsi="Calibri"/>
          <w:sz w:val="22"/>
          <w:szCs w:val="22"/>
        </w:rPr>
      </w:pPr>
    </w:p>
    <w:p w:rsidR="008D10CE" w:rsidRPr="008D10CE" w:rsidRDefault="008D10CE" w:rsidP="008D10CE">
      <w:r w:rsidRPr="008D10CE">
        <w:rPr>
          <w:color w:val="000000"/>
        </w:rPr>
        <w:t>Annual salaries based on 2014 OPM Pay Schedule for Washington/DC area:</w:t>
      </w:r>
      <w:r w:rsidRPr="008D10CE">
        <w:t xml:space="preserve"> </w:t>
      </w:r>
      <w:hyperlink r:id="rId11" w:history="1">
        <w:r w:rsidRPr="008D10CE">
          <w:rPr>
            <w:rStyle w:val="Hyperlink"/>
          </w:rPr>
          <w:t>http://www.opm.gov/policy-data-oversight/pay-leave/salaries-wages/salary-tables/pdf/2014/DCB.pdf</w:t>
        </w:r>
      </w:hyperlink>
    </w:p>
    <w:p w:rsidR="008D10CE" w:rsidRDefault="008D10CE" w:rsidP="008D10CE">
      <w:pPr>
        <w:rPr>
          <w:rFonts w:ascii="Calibri" w:hAnsi="Calibri"/>
          <w:sz w:val="20"/>
          <w:szCs w:val="20"/>
        </w:rPr>
      </w:pPr>
    </w:p>
    <w:p w:rsidR="008D10CE" w:rsidRPr="008D10CE" w:rsidRDefault="008D10CE" w:rsidP="008D10CE">
      <w:r w:rsidRPr="008D10CE">
        <w:t>Note that these oversight costs are included in “Overhead” in Exhibit 3.</w:t>
      </w:r>
    </w:p>
    <w:p w:rsidR="009B633D" w:rsidRPr="008D10CE" w:rsidRDefault="009B633D" w:rsidP="009B633D">
      <w:pPr>
        <w:pStyle w:val="Heading2"/>
        <w:rPr>
          <w:rFonts w:ascii="Times New Roman" w:hAnsi="Times New Roman" w:cs="Times New Roman"/>
          <w:sz w:val="24"/>
          <w:szCs w:val="24"/>
        </w:rPr>
      </w:pPr>
      <w:r w:rsidRPr="008D10CE">
        <w:rPr>
          <w:rFonts w:ascii="Times New Roman" w:hAnsi="Times New Roman" w:cs="Times New Roman"/>
          <w:sz w:val="24"/>
          <w:szCs w:val="24"/>
        </w:rPr>
        <w:t>15. Changes in Hour Burden</w:t>
      </w:r>
      <w:bookmarkEnd w:id="35"/>
      <w:bookmarkEnd w:id="36"/>
    </w:p>
    <w:p w:rsidR="00B52533" w:rsidRPr="00B52533" w:rsidRDefault="00546442" w:rsidP="00D3776C">
      <w:pPr>
        <w:spacing w:before="100" w:beforeAutospacing="1" w:after="100" w:afterAutospacing="1"/>
        <w:rPr>
          <w:i/>
        </w:rPr>
      </w:pPr>
      <w:bookmarkStart w:id="37" w:name="_Toc151782191"/>
      <w:bookmarkStart w:id="38" w:name="_Toc158526231"/>
      <w:r w:rsidRPr="008D10CE">
        <w:t xml:space="preserve">The total estimated </w:t>
      </w:r>
      <w:r w:rsidR="00B94931" w:rsidRPr="008D10CE">
        <w:t xml:space="preserve">annual </w:t>
      </w:r>
      <w:r w:rsidRPr="008D10CE">
        <w:t xml:space="preserve">burden hours for the MEPS have been </w:t>
      </w:r>
      <w:r w:rsidR="003C13EE" w:rsidRPr="008D10CE">
        <w:t xml:space="preserve">increased </w:t>
      </w:r>
      <w:r w:rsidRPr="008D10CE">
        <w:t xml:space="preserve">from 82,767 hours in the previous clearance to </w:t>
      </w:r>
      <w:r w:rsidR="003C13EE" w:rsidRPr="008D10CE">
        <w:t>82,821</w:t>
      </w:r>
      <w:r w:rsidRPr="008D10CE">
        <w:t>hours in</w:t>
      </w:r>
      <w:r>
        <w:t xml:space="preserve"> this clearance request, a</w:t>
      </w:r>
      <w:r w:rsidR="003C13EE">
        <w:t>n</w:t>
      </w:r>
      <w:r>
        <w:t xml:space="preserve"> </w:t>
      </w:r>
      <w:r w:rsidR="003C13EE">
        <w:t xml:space="preserve">increase </w:t>
      </w:r>
      <w:r>
        <w:t xml:space="preserve">of </w:t>
      </w:r>
      <w:r w:rsidR="00384C35">
        <w:t xml:space="preserve">54 </w:t>
      </w:r>
      <w:r>
        <w:t xml:space="preserve">hours.  </w:t>
      </w:r>
    </w:p>
    <w:p w:rsidR="009B633D" w:rsidRPr="00412C6F" w:rsidRDefault="009B633D" w:rsidP="009B633D">
      <w:pPr>
        <w:pStyle w:val="Heading2"/>
        <w:rPr>
          <w:sz w:val="24"/>
        </w:rPr>
      </w:pPr>
      <w:r w:rsidRPr="00412C6F">
        <w:rPr>
          <w:sz w:val="24"/>
        </w:rPr>
        <w:t>16</w:t>
      </w:r>
      <w:r w:rsidR="000B5A79">
        <w:rPr>
          <w:sz w:val="24"/>
        </w:rPr>
        <w:t>a</w:t>
      </w:r>
      <w:r w:rsidRPr="00412C6F">
        <w:rPr>
          <w:sz w:val="24"/>
        </w:rPr>
        <w:t>. Time Schedule, Publication and Analysis Plans</w:t>
      </w:r>
      <w:bookmarkEnd w:id="37"/>
      <w:bookmarkEnd w:id="38"/>
    </w:p>
    <w:p w:rsidR="009A6F5A" w:rsidRPr="00825B3C" w:rsidRDefault="009A6F5A" w:rsidP="009A6F5A">
      <w:bookmarkStart w:id="39" w:name="_Toc151782192"/>
      <w:r w:rsidRPr="00825B3C">
        <w:t xml:space="preserve">Data collected from the MEPS will be used in a variety of descriptive analysis.  Our website </w:t>
      </w:r>
      <w:hyperlink r:id="rId12" w:history="1">
        <w:r w:rsidRPr="00825B3C">
          <w:rPr>
            <w:rStyle w:val="Hyperlink"/>
          </w:rPr>
          <w:t>www.meps.ahrq.gov</w:t>
        </w:r>
      </w:hyperlink>
      <w:r w:rsidRPr="00825B3C">
        <w:t xml:space="preserve"> contains examples of publications.  Those publications include statistical briefs, research findings, </w:t>
      </w:r>
      <w:proofErr w:type="spellStart"/>
      <w:r w:rsidRPr="00825B3C">
        <w:t>chartbooks</w:t>
      </w:r>
      <w:proofErr w:type="spellEnd"/>
      <w:r w:rsidRPr="00825B3C">
        <w:t xml:space="preserve">, and journal articles.   In addition, tabular data is presented on the website as static tables, as interactive tables, and through an interactive tool – </w:t>
      </w:r>
      <w:proofErr w:type="spellStart"/>
      <w:r w:rsidRPr="00825B3C">
        <w:t>MEPS</w:t>
      </w:r>
      <w:r w:rsidR="00BB12A6">
        <w:t>net</w:t>
      </w:r>
      <w:proofErr w:type="spellEnd"/>
      <w:r w:rsidRPr="00825B3C">
        <w:t>. Special analytic reports will be issued on an ad-hoc basis, and other analyses will be presented at annual meetings of professional associations and in professional journals.</w:t>
      </w:r>
    </w:p>
    <w:p w:rsidR="009A6F5A" w:rsidRPr="00825B3C" w:rsidRDefault="009A6F5A" w:rsidP="009A6F5A"/>
    <w:p w:rsidR="009A6F5A" w:rsidRDefault="009A6F5A" w:rsidP="009A6F5A">
      <w:r w:rsidRPr="00825B3C">
        <w:t xml:space="preserve">To the extent possible, given our commitment to respondent confidentiality, we have endeavored to release public use files from this project as soon as possible.    </w:t>
      </w:r>
    </w:p>
    <w:p w:rsidR="00042815" w:rsidRDefault="00042815" w:rsidP="009A6F5A"/>
    <w:p w:rsidR="009A6F5A" w:rsidRPr="00BC1268" w:rsidRDefault="009A6F5A" w:rsidP="009A6F5A">
      <w:pPr>
        <w:rPr>
          <w:b/>
        </w:rPr>
      </w:pPr>
      <w:r w:rsidRPr="000B5A79">
        <w:rPr>
          <w:b/>
        </w:rPr>
        <w:lastRenderedPageBreak/>
        <w:t>1</w:t>
      </w:r>
      <w:r w:rsidR="000B5A79" w:rsidRPr="000B5A79">
        <w:rPr>
          <w:b/>
        </w:rPr>
        <w:t>6</w:t>
      </w:r>
      <w:r w:rsidRPr="000B5A79">
        <w:rPr>
          <w:b/>
        </w:rPr>
        <w:t>b. Schedule for Data Collection</w:t>
      </w:r>
    </w:p>
    <w:p w:rsidR="009B633D" w:rsidRPr="00450538" w:rsidRDefault="009A6F5A" w:rsidP="009A6F5A">
      <w:pPr>
        <w:spacing w:before="120"/>
        <w:rPr>
          <w:b/>
          <w:i/>
        </w:rPr>
      </w:pPr>
      <w:r w:rsidRPr="00825B3C">
        <w:t>Data collection for the MEPS under this request begins in late January 20</w:t>
      </w:r>
      <w:r w:rsidR="00A6627C">
        <w:t>1</w:t>
      </w:r>
      <w:r w:rsidR="000A0FA9">
        <w:t>3</w:t>
      </w:r>
      <w:r w:rsidRPr="00825B3C">
        <w:t>.  Rounds 1, 3, and 5</w:t>
      </w:r>
      <w:r w:rsidR="00DD31B2">
        <w:t xml:space="preserve"> of the MEPS-HC</w:t>
      </w:r>
      <w:r w:rsidRPr="00825B3C">
        <w:t xml:space="preserve"> start in January and continue through </w:t>
      </w:r>
      <w:proofErr w:type="spellStart"/>
      <w:r w:rsidRPr="00825B3C">
        <w:t>mid Ju</w:t>
      </w:r>
      <w:r w:rsidR="000A0FA9">
        <w:t>ly</w:t>
      </w:r>
      <w:proofErr w:type="spellEnd"/>
      <w:r w:rsidRPr="00825B3C">
        <w:t xml:space="preserve">.  Rounds 2 and 4 begin in July of each year and continue through early December.  The dates for each round of data collection are included in the response rate tables in </w:t>
      </w:r>
      <w:r w:rsidR="00397CD5">
        <w:t>The Supporting Statement Part</w:t>
      </w:r>
      <w:r w:rsidRPr="00825B3C">
        <w:t xml:space="preserve"> B.</w:t>
      </w:r>
      <w:r w:rsidR="00DD31B2">
        <w:t xml:space="preserve">  Data collection for the MEPS-MPC will begin in February 2013.</w:t>
      </w:r>
    </w:p>
    <w:p w:rsidR="009B633D" w:rsidRPr="00424E6E" w:rsidRDefault="009B633D" w:rsidP="009B633D">
      <w:pPr>
        <w:pStyle w:val="Heading2"/>
        <w:rPr>
          <w:sz w:val="24"/>
        </w:rPr>
      </w:pPr>
      <w:bookmarkStart w:id="40" w:name="_Toc151782196"/>
      <w:bookmarkStart w:id="41" w:name="_Toc158526232"/>
      <w:bookmarkEnd w:id="39"/>
      <w:r w:rsidRPr="00424E6E">
        <w:rPr>
          <w:sz w:val="24"/>
        </w:rPr>
        <w:t>17. Exemption for Display of Expiration Date</w:t>
      </w:r>
      <w:bookmarkEnd w:id="40"/>
      <w:bookmarkEnd w:id="41"/>
    </w:p>
    <w:p w:rsidR="009B633D" w:rsidRDefault="009B633D" w:rsidP="009B633D">
      <w:r w:rsidRPr="004F03D2">
        <w:t>AHRQ does not seek this exemption</w:t>
      </w:r>
      <w:r>
        <w:t>.</w:t>
      </w:r>
    </w:p>
    <w:p w:rsidR="00016560" w:rsidRPr="00016560" w:rsidRDefault="0077339D" w:rsidP="00450538">
      <w:pPr>
        <w:pStyle w:val="NormalWeb"/>
        <w:rPr>
          <w:rFonts w:ascii="Arial" w:hAnsi="Arial" w:cs="Arial"/>
          <w:b/>
        </w:rPr>
      </w:pPr>
      <w:r w:rsidRPr="00BC6E2E">
        <w:rPr>
          <w:rFonts w:ascii="Arial" w:hAnsi="Arial" w:cs="Arial"/>
          <w:b/>
        </w:rPr>
        <w:t xml:space="preserve">List of </w:t>
      </w:r>
      <w:r w:rsidR="00016560" w:rsidRPr="00BC6E2E">
        <w:rPr>
          <w:rFonts w:ascii="Arial" w:hAnsi="Arial" w:cs="Arial"/>
          <w:b/>
        </w:rPr>
        <w:t>Attachments:</w:t>
      </w:r>
    </w:p>
    <w:p w:rsidR="00591CD9" w:rsidRPr="00C20EB6" w:rsidRDefault="00591CD9" w:rsidP="00591CD9">
      <w:proofErr w:type="gramStart"/>
      <w:r>
        <w:t>Attachment  --</w:t>
      </w:r>
      <w:proofErr w:type="gramEnd"/>
      <w:r>
        <w:t xml:space="preserve"> </w:t>
      </w:r>
      <w:r w:rsidRPr="00FA0D87">
        <w:rPr>
          <w:highlight w:val="yellow"/>
        </w:rPr>
        <w:t xml:space="preserve">MEPS-HC Section </w:t>
      </w:r>
      <w:r w:rsidR="00FA0D87" w:rsidRPr="00FA0D87">
        <w:rPr>
          <w:highlight w:val="yellow"/>
        </w:rPr>
        <w:t>by Section Review</w:t>
      </w:r>
    </w:p>
    <w:p w:rsidR="00591CD9" w:rsidRPr="00C20EB6" w:rsidRDefault="00591CD9" w:rsidP="00591CD9">
      <w:r w:rsidRPr="00C20EB6">
        <w:t xml:space="preserve">Attachment </w:t>
      </w:r>
      <w:r>
        <w:t>52</w:t>
      </w:r>
      <w:r w:rsidRPr="00C20EB6">
        <w:t xml:space="preserve"> </w:t>
      </w:r>
      <w:r>
        <w:t xml:space="preserve">-- </w:t>
      </w:r>
      <w:r w:rsidRPr="00C20EB6">
        <w:t>Federal Register Notice</w:t>
      </w:r>
    </w:p>
    <w:p w:rsidR="000B133E" w:rsidRPr="000B133E" w:rsidRDefault="000B133E" w:rsidP="004F06B8"/>
    <w:sectPr w:rsidR="000B133E" w:rsidRPr="000B133E" w:rsidSect="00D77CB6">
      <w:footerReference w:type="even" r:id="rId13"/>
      <w:footerReference w:type="default" r:id="rId14"/>
      <w:endnotePr>
        <w:numFmt w:val="decimal"/>
      </w:endnotePr>
      <w:pgSz w:w="12240" w:h="15840"/>
      <w:pgMar w:top="1440" w:right="720" w:bottom="1267"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44" w:rsidRDefault="000A5444">
      <w:r>
        <w:separator/>
      </w:r>
    </w:p>
  </w:endnote>
  <w:endnote w:type="continuationSeparator" w:id="0">
    <w:p w:rsidR="000A5444" w:rsidRDefault="000A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Ocean Sans MM">
    <w:altName w:val="Times New Roman"/>
    <w:panose1 w:val="00000000000000000000"/>
    <w:charset w:val="4D"/>
    <w:family w:val="auto"/>
    <w:notTrueType/>
    <w:pitch w:val="default"/>
    <w:sig w:usb0="03000000"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44" w:rsidRDefault="000A544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5444" w:rsidRDefault="000A5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44" w:rsidRDefault="000A544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2327">
      <w:rPr>
        <w:rStyle w:val="PageNumber"/>
        <w:noProof/>
      </w:rPr>
      <w:t>- 10 -</w:t>
    </w:r>
    <w:r>
      <w:rPr>
        <w:rStyle w:val="PageNumber"/>
      </w:rPr>
      <w:fldChar w:fldCharType="end"/>
    </w:r>
  </w:p>
  <w:p w:rsidR="000A5444" w:rsidRDefault="000A5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44" w:rsidRDefault="000A5444">
      <w:r>
        <w:separator/>
      </w:r>
    </w:p>
  </w:footnote>
  <w:footnote w:type="continuationSeparator" w:id="0">
    <w:p w:rsidR="000A5444" w:rsidRDefault="000A5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A60DFA"/>
    <w:lvl w:ilvl="0">
      <w:numFmt w:val="bullet"/>
      <w:lvlText w:val="*"/>
      <w:lvlJc w:val="left"/>
    </w:lvl>
  </w:abstractNum>
  <w:abstractNum w:abstractNumId="1">
    <w:nsid w:val="01D85F0C"/>
    <w:multiLevelType w:val="hybridMultilevel"/>
    <w:tmpl w:val="568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95609"/>
    <w:multiLevelType w:val="hybridMultilevel"/>
    <w:tmpl w:val="CDCA6768"/>
    <w:lvl w:ilvl="0" w:tplc="06CE54A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41958F1"/>
    <w:multiLevelType w:val="hybridMultilevel"/>
    <w:tmpl w:val="1A743B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C30816"/>
    <w:multiLevelType w:val="hybridMultilevel"/>
    <w:tmpl w:val="23B4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B01B4"/>
    <w:multiLevelType w:val="hybridMultilevel"/>
    <w:tmpl w:val="37B6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2219A"/>
    <w:multiLevelType w:val="hybridMultilevel"/>
    <w:tmpl w:val="06F2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F791C"/>
    <w:multiLevelType w:val="hybridMultilevel"/>
    <w:tmpl w:val="9EE8C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7214C1"/>
    <w:multiLevelType w:val="hybridMultilevel"/>
    <w:tmpl w:val="6726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D55482"/>
    <w:multiLevelType w:val="hybridMultilevel"/>
    <w:tmpl w:val="D298C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76761C7"/>
    <w:multiLevelType w:val="hybridMultilevel"/>
    <w:tmpl w:val="CD249BEE"/>
    <w:lvl w:ilvl="0" w:tplc="06CE54AA">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2">
    <w:nsid w:val="5DC171E7"/>
    <w:multiLevelType w:val="hybridMultilevel"/>
    <w:tmpl w:val="5CF0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5E10A2"/>
    <w:multiLevelType w:val="hybridMultilevel"/>
    <w:tmpl w:val="991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05EA6"/>
    <w:multiLevelType w:val="hybridMultilevel"/>
    <w:tmpl w:val="31D2D6D8"/>
    <w:lvl w:ilvl="0" w:tplc="A26C744C">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B3A578A"/>
    <w:multiLevelType w:val="hybridMultilevel"/>
    <w:tmpl w:val="2892D17A"/>
    <w:lvl w:ilvl="0" w:tplc="04090005">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nsid w:val="74401BF8"/>
    <w:multiLevelType w:val="hybridMultilevel"/>
    <w:tmpl w:val="59E0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7"/>
  </w:num>
  <w:num w:numId="2">
    <w:abstractNumId w:val="11"/>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9"/>
  </w:num>
  <w:num w:numId="5">
    <w:abstractNumId w:val="2"/>
  </w:num>
  <w:num w:numId="6">
    <w:abstractNumId w:val="14"/>
  </w:num>
  <w:num w:numId="7">
    <w:abstractNumId w:val="12"/>
  </w:num>
  <w:num w:numId="8">
    <w:abstractNumId w:val="5"/>
  </w:num>
  <w:num w:numId="9">
    <w:abstractNumId w:val="6"/>
  </w:num>
  <w:num w:numId="10">
    <w:abstractNumId w:val="8"/>
  </w:num>
  <w:num w:numId="11">
    <w:abstractNumId w:val="3"/>
  </w:num>
  <w:num w:numId="12">
    <w:abstractNumId w:val="15"/>
  </w:num>
  <w:num w:numId="13">
    <w:abstractNumId w:val="16"/>
  </w:num>
  <w:num w:numId="14">
    <w:abstractNumId w:val="4"/>
  </w:num>
  <w:num w:numId="15">
    <w:abstractNumId w:val="7"/>
  </w:num>
  <w:num w:numId="16">
    <w:abstractNumId w:val="1"/>
  </w:num>
  <w:num w:numId="17">
    <w:abstractNumId w:val="13"/>
  </w:num>
  <w:num w:numId="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58B"/>
    <w:rsid w:val="0000196A"/>
    <w:rsid w:val="00005690"/>
    <w:rsid w:val="00011E85"/>
    <w:rsid w:val="00012FB9"/>
    <w:rsid w:val="000149E5"/>
    <w:rsid w:val="00016560"/>
    <w:rsid w:val="00024FEE"/>
    <w:rsid w:val="00027947"/>
    <w:rsid w:val="0003026D"/>
    <w:rsid w:val="00035EC9"/>
    <w:rsid w:val="00036B3B"/>
    <w:rsid w:val="00037998"/>
    <w:rsid w:val="00042815"/>
    <w:rsid w:val="00042EF4"/>
    <w:rsid w:val="00043473"/>
    <w:rsid w:val="00043C9D"/>
    <w:rsid w:val="00045959"/>
    <w:rsid w:val="00045EA6"/>
    <w:rsid w:val="00046359"/>
    <w:rsid w:val="00050C38"/>
    <w:rsid w:val="00054AEF"/>
    <w:rsid w:val="00054DE8"/>
    <w:rsid w:val="00057112"/>
    <w:rsid w:val="0006093B"/>
    <w:rsid w:val="0006207D"/>
    <w:rsid w:val="00064594"/>
    <w:rsid w:val="00070791"/>
    <w:rsid w:val="00073970"/>
    <w:rsid w:val="000779A9"/>
    <w:rsid w:val="00082047"/>
    <w:rsid w:val="00085088"/>
    <w:rsid w:val="00094648"/>
    <w:rsid w:val="00097243"/>
    <w:rsid w:val="000A0FA9"/>
    <w:rsid w:val="000A140E"/>
    <w:rsid w:val="000A1F74"/>
    <w:rsid w:val="000A3475"/>
    <w:rsid w:val="000A5444"/>
    <w:rsid w:val="000A55C6"/>
    <w:rsid w:val="000A6C54"/>
    <w:rsid w:val="000A7044"/>
    <w:rsid w:val="000B133E"/>
    <w:rsid w:val="000B20DF"/>
    <w:rsid w:val="000B2EF5"/>
    <w:rsid w:val="000B5A79"/>
    <w:rsid w:val="000B78CB"/>
    <w:rsid w:val="000C2FF9"/>
    <w:rsid w:val="000C3530"/>
    <w:rsid w:val="000C4DF6"/>
    <w:rsid w:val="000D09CD"/>
    <w:rsid w:val="000D429E"/>
    <w:rsid w:val="000D583F"/>
    <w:rsid w:val="000D5D69"/>
    <w:rsid w:val="000D6604"/>
    <w:rsid w:val="000E01D1"/>
    <w:rsid w:val="000E56E3"/>
    <w:rsid w:val="000F1328"/>
    <w:rsid w:val="000F2B59"/>
    <w:rsid w:val="000F4F6D"/>
    <w:rsid w:val="000F59ED"/>
    <w:rsid w:val="000F7355"/>
    <w:rsid w:val="000F797F"/>
    <w:rsid w:val="00101B1C"/>
    <w:rsid w:val="0010385D"/>
    <w:rsid w:val="00112DF2"/>
    <w:rsid w:val="001156FA"/>
    <w:rsid w:val="00117E12"/>
    <w:rsid w:val="00120FE7"/>
    <w:rsid w:val="00124917"/>
    <w:rsid w:val="001265A0"/>
    <w:rsid w:val="00130140"/>
    <w:rsid w:val="00131443"/>
    <w:rsid w:val="00134942"/>
    <w:rsid w:val="00137E2F"/>
    <w:rsid w:val="00137E95"/>
    <w:rsid w:val="00145172"/>
    <w:rsid w:val="00153EF9"/>
    <w:rsid w:val="00154399"/>
    <w:rsid w:val="0015450F"/>
    <w:rsid w:val="0015495B"/>
    <w:rsid w:val="00161054"/>
    <w:rsid w:val="00166A69"/>
    <w:rsid w:val="00166AA9"/>
    <w:rsid w:val="001671A5"/>
    <w:rsid w:val="001717AB"/>
    <w:rsid w:val="0017276F"/>
    <w:rsid w:val="0017353A"/>
    <w:rsid w:val="0017460F"/>
    <w:rsid w:val="00174D98"/>
    <w:rsid w:val="001751F1"/>
    <w:rsid w:val="001752FA"/>
    <w:rsid w:val="001802F5"/>
    <w:rsid w:val="001827FB"/>
    <w:rsid w:val="0018300B"/>
    <w:rsid w:val="00185CED"/>
    <w:rsid w:val="00187A50"/>
    <w:rsid w:val="0019152C"/>
    <w:rsid w:val="001921D4"/>
    <w:rsid w:val="001A28C0"/>
    <w:rsid w:val="001A48D1"/>
    <w:rsid w:val="001A4C65"/>
    <w:rsid w:val="001A510E"/>
    <w:rsid w:val="001A7102"/>
    <w:rsid w:val="001B1673"/>
    <w:rsid w:val="001B1C61"/>
    <w:rsid w:val="001B1E51"/>
    <w:rsid w:val="001B4068"/>
    <w:rsid w:val="001B75C8"/>
    <w:rsid w:val="001C31D2"/>
    <w:rsid w:val="001C59E4"/>
    <w:rsid w:val="001C6AE4"/>
    <w:rsid w:val="001C7A44"/>
    <w:rsid w:val="001D0CC7"/>
    <w:rsid w:val="001D12A8"/>
    <w:rsid w:val="001D155C"/>
    <w:rsid w:val="001D5ADA"/>
    <w:rsid w:val="001E5D5C"/>
    <w:rsid w:val="001E6DDA"/>
    <w:rsid w:val="001F2923"/>
    <w:rsid w:val="001F5DD3"/>
    <w:rsid w:val="00210104"/>
    <w:rsid w:val="00212B32"/>
    <w:rsid w:val="00223592"/>
    <w:rsid w:val="0022366A"/>
    <w:rsid w:val="00223EA4"/>
    <w:rsid w:val="0023659F"/>
    <w:rsid w:val="002365CB"/>
    <w:rsid w:val="0024284B"/>
    <w:rsid w:val="002462DA"/>
    <w:rsid w:val="00247553"/>
    <w:rsid w:val="00251B2F"/>
    <w:rsid w:val="00254E10"/>
    <w:rsid w:val="0026017A"/>
    <w:rsid w:val="00260E5F"/>
    <w:rsid w:val="0026424E"/>
    <w:rsid w:val="00266F67"/>
    <w:rsid w:val="00272E29"/>
    <w:rsid w:val="0027498A"/>
    <w:rsid w:val="00274E52"/>
    <w:rsid w:val="00276EF0"/>
    <w:rsid w:val="00286E6B"/>
    <w:rsid w:val="00287558"/>
    <w:rsid w:val="00291B73"/>
    <w:rsid w:val="0029734C"/>
    <w:rsid w:val="002A2319"/>
    <w:rsid w:val="002A2894"/>
    <w:rsid w:val="002A2DFF"/>
    <w:rsid w:val="002A4AFC"/>
    <w:rsid w:val="002B3551"/>
    <w:rsid w:val="002B382B"/>
    <w:rsid w:val="002C2AC2"/>
    <w:rsid w:val="002C39A2"/>
    <w:rsid w:val="002C5DBD"/>
    <w:rsid w:val="002C712B"/>
    <w:rsid w:val="002D01F2"/>
    <w:rsid w:val="002D3C32"/>
    <w:rsid w:val="002E54EF"/>
    <w:rsid w:val="002F4DE8"/>
    <w:rsid w:val="002F4FDD"/>
    <w:rsid w:val="002F63A8"/>
    <w:rsid w:val="002F6718"/>
    <w:rsid w:val="002F798B"/>
    <w:rsid w:val="00305E6C"/>
    <w:rsid w:val="00310DC3"/>
    <w:rsid w:val="00310EEC"/>
    <w:rsid w:val="00312E06"/>
    <w:rsid w:val="00325B9C"/>
    <w:rsid w:val="00326CF6"/>
    <w:rsid w:val="00333655"/>
    <w:rsid w:val="00333D32"/>
    <w:rsid w:val="00340D97"/>
    <w:rsid w:val="00341B26"/>
    <w:rsid w:val="0034354B"/>
    <w:rsid w:val="00344EA6"/>
    <w:rsid w:val="00345857"/>
    <w:rsid w:val="00346430"/>
    <w:rsid w:val="003507CC"/>
    <w:rsid w:val="00351934"/>
    <w:rsid w:val="00353F00"/>
    <w:rsid w:val="0035447E"/>
    <w:rsid w:val="003566C0"/>
    <w:rsid w:val="00361F52"/>
    <w:rsid w:val="003625DB"/>
    <w:rsid w:val="003740AA"/>
    <w:rsid w:val="0037427A"/>
    <w:rsid w:val="003753B0"/>
    <w:rsid w:val="00377301"/>
    <w:rsid w:val="0037771B"/>
    <w:rsid w:val="00380F46"/>
    <w:rsid w:val="0038217D"/>
    <w:rsid w:val="00382699"/>
    <w:rsid w:val="00382D11"/>
    <w:rsid w:val="00384C35"/>
    <w:rsid w:val="00384FF2"/>
    <w:rsid w:val="00392327"/>
    <w:rsid w:val="00394FC2"/>
    <w:rsid w:val="00397CD5"/>
    <w:rsid w:val="003A2BE5"/>
    <w:rsid w:val="003B2C9B"/>
    <w:rsid w:val="003B4C7A"/>
    <w:rsid w:val="003B510D"/>
    <w:rsid w:val="003B5859"/>
    <w:rsid w:val="003B6B36"/>
    <w:rsid w:val="003B6B41"/>
    <w:rsid w:val="003B7D93"/>
    <w:rsid w:val="003C00C7"/>
    <w:rsid w:val="003C13EE"/>
    <w:rsid w:val="003C60BD"/>
    <w:rsid w:val="003C6B2E"/>
    <w:rsid w:val="003C7C9B"/>
    <w:rsid w:val="003D21A7"/>
    <w:rsid w:val="003D5660"/>
    <w:rsid w:val="003D73D8"/>
    <w:rsid w:val="003E1ABA"/>
    <w:rsid w:val="003E2146"/>
    <w:rsid w:val="003E3355"/>
    <w:rsid w:val="003E3B0C"/>
    <w:rsid w:val="003E50D3"/>
    <w:rsid w:val="003E5FAA"/>
    <w:rsid w:val="003E644A"/>
    <w:rsid w:val="003E71D8"/>
    <w:rsid w:val="003F21E1"/>
    <w:rsid w:val="003F5921"/>
    <w:rsid w:val="003F71D7"/>
    <w:rsid w:val="00400732"/>
    <w:rsid w:val="00400753"/>
    <w:rsid w:val="00414C80"/>
    <w:rsid w:val="004155E1"/>
    <w:rsid w:val="004159DF"/>
    <w:rsid w:val="00415F9D"/>
    <w:rsid w:val="00425974"/>
    <w:rsid w:val="0043596B"/>
    <w:rsid w:val="0044152B"/>
    <w:rsid w:val="00445530"/>
    <w:rsid w:val="0044653F"/>
    <w:rsid w:val="0044769A"/>
    <w:rsid w:val="00450538"/>
    <w:rsid w:val="00452268"/>
    <w:rsid w:val="00456179"/>
    <w:rsid w:val="00456406"/>
    <w:rsid w:val="00456BA7"/>
    <w:rsid w:val="00457E4E"/>
    <w:rsid w:val="004654BE"/>
    <w:rsid w:val="00465CEE"/>
    <w:rsid w:val="00467163"/>
    <w:rsid w:val="0046733D"/>
    <w:rsid w:val="00471F01"/>
    <w:rsid w:val="0047504D"/>
    <w:rsid w:val="00475054"/>
    <w:rsid w:val="00475CC9"/>
    <w:rsid w:val="00476CFE"/>
    <w:rsid w:val="0048007B"/>
    <w:rsid w:val="004811AD"/>
    <w:rsid w:val="004827DE"/>
    <w:rsid w:val="00482CD2"/>
    <w:rsid w:val="00482EEE"/>
    <w:rsid w:val="0048314F"/>
    <w:rsid w:val="0048574A"/>
    <w:rsid w:val="0049063B"/>
    <w:rsid w:val="00491BD1"/>
    <w:rsid w:val="00493709"/>
    <w:rsid w:val="004969C3"/>
    <w:rsid w:val="00497DFA"/>
    <w:rsid w:val="004A0369"/>
    <w:rsid w:val="004A4234"/>
    <w:rsid w:val="004A5446"/>
    <w:rsid w:val="004A624D"/>
    <w:rsid w:val="004B3D91"/>
    <w:rsid w:val="004B5488"/>
    <w:rsid w:val="004B5A1A"/>
    <w:rsid w:val="004B737F"/>
    <w:rsid w:val="004C394A"/>
    <w:rsid w:val="004C3BA7"/>
    <w:rsid w:val="004C4A74"/>
    <w:rsid w:val="004C4FD5"/>
    <w:rsid w:val="004C713B"/>
    <w:rsid w:val="004D0027"/>
    <w:rsid w:val="004D0905"/>
    <w:rsid w:val="004D15FF"/>
    <w:rsid w:val="004D6007"/>
    <w:rsid w:val="004D6253"/>
    <w:rsid w:val="004D7780"/>
    <w:rsid w:val="004D7B91"/>
    <w:rsid w:val="004D7C88"/>
    <w:rsid w:val="004E3A1B"/>
    <w:rsid w:val="004E5B31"/>
    <w:rsid w:val="004E5FE8"/>
    <w:rsid w:val="004F06B8"/>
    <w:rsid w:val="004F1C6B"/>
    <w:rsid w:val="004F27D9"/>
    <w:rsid w:val="004F51E1"/>
    <w:rsid w:val="004F6F32"/>
    <w:rsid w:val="00510909"/>
    <w:rsid w:val="00514003"/>
    <w:rsid w:val="00520CE0"/>
    <w:rsid w:val="00526D91"/>
    <w:rsid w:val="00531857"/>
    <w:rsid w:val="005335F8"/>
    <w:rsid w:val="00533A75"/>
    <w:rsid w:val="00535B56"/>
    <w:rsid w:val="0054391F"/>
    <w:rsid w:val="00544211"/>
    <w:rsid w:val="00545745"/>
    <w:rsid w:val="00546442"/>
    <w:rsid w:val="005541D8"/>
    <w:rsid w:val="00554339"/>
    <w:rsid w:val="00555549"/>
    <w:rsid w:val="00556066"/>
    <w:rsid w:val="00561D99"/>
    <w:rsid w:val="00564327"/>
    <w:rsid w:val="005675B9"/>
    <w:rsid w:val="005714ED"/>
    <w:rsid w:val="005720D3"/>
    <w:rsid w:val="005726C6"/>
    <w:rsid w:val="005744A7"/>
    <w:rsid w:val="0058103C"/>
    <w:rsid w:val="005817DF"/>
    <w:rsid w:val="00581FD2"/>
    <w:rsid w:val="00583F0D"/>
    <w:rsid w:val="005840BF"/>
    <w:rsid w:val="00584AF9"/>
    <w:rsid w:val="00587BB9"/>
    <w:rsid w:val="00587D36"/>
    <w:rsid w:val="00591CD9"/>
    <w:rsid w:val="00597371"/>
    <w:rsid w:val="00597D49"/>
    <w:rsid w:val="005A704C"/>
    <w:rsid w:val="005B1DF7"/>
    <w:rsid w:val="005B2955"/>
    <w:rsid w:val="005B3C01"/>
    <w:rsid w:val="005B3C28"/>
    <w:rsid w:val="005B62CF"/>
    <w:rsid w:val="005B6DE4"/>
    <w:rsid w:val="005B6FAA"/>
    <w:rsid w:val="005D1A17"/>
    <w:rsid w:val="005D1AC2"/>
    <w:rsid w:val="005D6A0D"/>
    <w:rsid w:val="005E0450"/>
    <w:rsid w:val="005E49B8"/>
    <w:rsid w:val="005E7B3F"/>
    <w:rsid w:val="005F3408"/>
    <w:rsid w:val="005F4B12"/>
    <w:rsid w:val="005F6CB9"/>
    <w:rsid w:val="0060047D"/>
    <w:rsid w:val="00601227"/>
    <w:rsid w:val="006014DB"/>
    <w:rsid w:val="00606400"/>
    <w:rsid w:val="006074A5"/>
    <w:rsid w:val="00611BD4"/>
    <w:rsid w:val="00613C05"/>
    <w:rsid w:val="00613DE5"/>
    <w:rsid w:val="00625C1B"/>
    <w:rsid w:val="00631C81"/>
    <w:rsid w:val="00631FDE"/>
    <w:rsid w:val="006333F4"/>
    <w:rsid w:val="00635119"/>
    <w:rsid w:val="006364D2"/>
    <w:rsid w:val="00636A0C"/>
    <w:rsid w:val="00636AAC"/>
    <w:rsid w:val="00637DDE"/>
    <w:rsid w:val="00640F08"/>
    <w:rsid w:val="0064106B"/>
    <w:rsid w:val="0064625D"/>
    <w:rsid w:val="00652908"/>
    <w:rsid w:val="00652914"/>
    <w:rsid w:val="00655A17"/>
    <w:rsid w:val="006672FE"/>
    <w:rsid w:val="00673146"/>
    <w:rsid w:val="00676254"/>
    <w:rsid w:val="00677A2F"/>
    <w:rsid w:val="00682491"/>
    <w:rsid w:val="006825EE"/>
    <w:rsid w:val="006827DD"/>
    <w:rsid w:val="00682F4B"/>
    <w:rsid w:val="0068413F"/>
    <w:rsid w:val="00687DF9"/>
    <w:rsid w:val="00690258"/>
    <w:rsid w:val="00691DCB"/>
    <w:rsid w:val="0069524A"/>
    <w:rsid w:val="0069608F"/>
    <w:rsid w:val="006A127E"/>
    <w:rsid w:val="006A1DAA"/>
    <w:rsid w:val="006A28E1"/>
    <w:rsid w:val="006A38D6"/>
    <w:rsid w:val="006A4028"/>
    <w:rsid w:val="006A4250"/>
    <w:rsid w:val="006A4D4E"/>
    <w:rsid w:val="006B35EC"/>
    <w:rsid w:val="006B6EDE"/>
    <w:rsid w:val="006C014A"/>
    <w:rsid w:val="006C0FBC"/>
    <w:rsid w:val="006C10FD"/>
    <w:rsid w:val="006C29D2"/>
    <w:rsid w:val="006D11E8"/>
    <w:rsid w:val="006D1C5E"/>
    <w:rsid w:val="006D7B68"/>
    <w:rsid w:val="006E11AA"/>
    <w:rsid w:val="006E1694"/>
    <w:rsid w:val="006E3CFC"/>
    <w:rsid w:val="006F0ED0"/>
    <w:rsid w:val="006F1490"/>
    <w:rsid w:val="0070072D"/>
    <w:rsid w:val="00702EB0"/>
    <w:rsid w:val="007030F4"/>
    <w:rsid w:val="007032AF"/>
    <w:rsid w:val="00703573"/>
    <w:rsid w:val="00703633"/>
    <w:rsid w:val="007109B1"/>
    <w:rsid w:val="0071666D"/>
    <w:rsid w:val="00717738"/>
    <w:rsid w:val="00721B18"/>
    <w:rsid w:val="00722E9F"/>
    <w:rsid w:val="00723075"/>
    <w:rsid w:val="0072312A"/>
    <w:rsid w:val="007251D0"/>
    <w:rsid w:val="007265AF"/>
    <w:rsid w:val="00727AE8"/>
    <w:rsid w:val="0073056A"/>
    <w:rsid w:val="0073357B"/>
    <w:rsid w:val="00733AED"/>
    <w:rsid w:val="007366C4"/>
    <w:rsid w:val="00744D19"/>
    <w:rsid w:val="0074742D"/>
    <w:rsid w:val="00747A7E"/>
    <w:rsid w:val="00747D2F"/>
    <w:rsid w:val="00755754"/>
    <w:rsid w:val="00765D1A"/>
    <w:rsid w:val="00766588"/>
    <w:rsid w:val="007668B6"/>
    <w:rsid w:val="00767F24"/>
    <w:rsid w:val="007700A7"/>
    <w:rsid w:val="007713A7"/>
    <w:rsid w:val="007721F3"/>
    <w:rsid w:val="0077339D"/>
    <w:rsid w:val="00780ABA"/>
    <w:rsid w:val="00780B6F"/>
    <w:rsid w:val="00780E09"/>
    <w:rsid w:val="007816FB"/>
    <w:rsid w:val="0078181D"/>
    <w:rsid w:val="007867A2"/>
    <w:rsid w:val="007A05F6"/>
    <w:rsid w:val="007A0EBF"/>
    <w:rsid w:val="007A352C"/>
    <w:rsid w:val="007A47E1"/>
    <w:rsid w:val="007B0CF3"/>
    <w:rsid w:val="007B3A8E"/>
    <w:rsid w:val="007B5624"/>
    <w:rsid w:val="007C1ECB"/>
    <w:rsid w:val="007D15FE"/>
    <w:rsid w:val="007D4F9F"/>
    <w:rsid w:val="007E1D76"/>
    <w:rsid w:val="007E4359"/>
    <w:rsid w:val="007F58DB"/>
    <w:rsid w:val="007F7348"/>
    <w:rsid w:val="00801001"/>
    <w:rsid w:val="0080612B"/>
    <w:rsid w:val="00812606"/>
    <w:rsid w:val="00812F14"/>
    <w:rsid w:val="00815011"/>
    <w:rsid w:val="00817DA0"/>
    <w:rsid w:val="00823B73"/>
    <w:rsid w:val="00823D4A"/>
    <w:rsid w:val="00825DA9"/>
    <w:rsid w:val="008277EE"/>
    <w:rsid w:val="00832817"/>
    <w:rsid w:val="0083535E"/>
    <w:rsid w:val="00835644"/>
    <w:rsid w:val="00836AAF"/>
    <w:rsid w:val="00837C38"/>
    <w:rsid w:val="00841E8B"/>
    <w:rsid w:val="008422B8"/>
    <w:rsid w:val="00844234"/>
    <w:rsid w:val="008450C0"/>
    <w:rsid w:val="00854572"/>
    <w:rsid w:val="00857088"/>
    <w:rsid w:val="00861E61"/>
    <w:rsid w:val="00862353"/>
    <w:rsid w:val="008677BB"/>
    <w:rsid w:val="008700D6"/>
    <w:rsid w:val="008726B2"/>
    <w:rsid w:val="00873F74"/>
    <w:rsid w:val="00874E07"/>
    <w:rsid w:val="0087571B"/>
    <w:rsid w:val="00876AE4"/>
    <w:rsid w:val="00880DFE"/>
    <w:rsid w:val="00887F65"/>
    <w:rsid w:val="00892655"/>
    <w:rsid w:val="00894C9E"/>
    <w:rsid w:val="008A08ED"/>
    <w:rsid w:val="008A1113"/>
    <w:rsid w:val="008A2C79"/>
    <w:rsid w:val="008A30B9"/>
    <w:rsid w:val="008A6873"/>
    <w:rsid w:val="008B0EEE"/>
    <w:rsid w:val="008B593F"/>
    <w:rsid w:val="008B7728"/>
    <w:rsid w:val="008C580E"/>
    <w:rsid w:val="008C65E9"/>
    <w:rsid w:val="008C6E7E"/>
    <w:rsid w:val="008D10CE"/>
    <w:rsid w:val="008D166A"/>
    <w:rsid w:val="008D39AD"/>
    <w:rsid w:val="008D4B28"/>
    <w:rsid w:val="008E065F"/>
    <w:rsid w:val="008E567E"/>
    <w:rsid w:val="008F09DB"/>
    <w:rsid w:val="008F0B8B"/>
    <w:rsid w:val="008F0C76"/>
    <w:rsid w:val="008F2310"/>
    <w:rsid w:val="008F4AA3"/>
    <w:rsid w:val="008F5FC7"/>
    <w:rsid w:val="0090576D"/>
    <w:rsid w:val="00905C21"/>
    <w:rsid w:val="009127E0"/>
    <w:rsid w:val="0091337A"/>
    <w:rsid w:val="00914FE2"/>
    <w:rsid w:val="00917579"/>
    <w:rsid w:val="00930FF1"/>
    <w:rsid w:val="00934160"/>
    <w:rsid w:val="009351A7"/>
    <w:rsid w:val="009374DF"/>
    <w:rsid w:val="00940B20"/>
    <w:rsid w:val="009435CE"/>
    <w:rsid w:val="009530E6"/>
    <w:rsid w:val="00954B31"/>
    <w:rsid w:val="00961879"/>
    <w:rsid w:val="009725DC"/>
    <w:rsid w:val="00972851"/>
    <w:rsid w:val="009746A1"/>
    <w:rsid w:val="00976C88"/>
    <w:rsid w:val="009808FE"/>
    <w:rsid w:val="00980B82"/>
    <w:rsid w:val="009841E0"/>
    <w:rsid w:val="00985500"/>
    <w:rsid w:val="00992050"/>
    <w:rsid w:val="009931BD"/>
    <w:rsid w:val="0099433E"/>
    <w:rsid w:val="009943E2"/>
    <w:rsid w:val="009943E4"/>
    <w:rsid w:val="00994C16"/>
    <w:rsid w:val="009A06FE"/>
    <w:rsid w:val="009A09C2"/>
    <w:rsid w:val="009A1F47"/>
    <w:rsid w:val="009A216C"/>
    <w:rsid w:val="009A237A"/>
    <w:rsid w:val="009A49A7"/>
    <w:rsid w:val="009A6655"/>
    <w:rsid w:val="009A6F5A"/>
    <w:rsid w:val="009A7661"/>
    <w:rsid w:val="009B0633"/>
    <w:rsid w:val="009B08A2"/>
    <w:rsid w:val="009B21A6"/>
    <w:rsid w:val="009B3867"/>
    <w:rsid w:val="009B4794"/>
    <w:rsid w:val="009B5DC8"/>
    <w:rsid w:val="009B633D"/>
    <w:rsid w:val="009B706D"/>
    <w:rsid w:val="009C14F3"/>
    <w:rsid w:val="009C2DEC"/>
    <w:rsid w:val="009C4455"/>
    <w:rsid w:val="009C4881"/>
    <w:rsid w:val="009C62DA"/>
    <w:rsid w:val="009D18EB"/>
    <w:rsid w:val="009D3DBB"/>
    <w:rsid w:val="009E0F67"/>
    <w:rsid w:val="009E1087"/>
    <w:rsid w:val="009E16CB"/>
    <w:rsid w:val="009E6687"/>
    <w:rsid w:val="009F04FE"/>
    <w:rsid w:val="009F597D"/>
    <w:rsid w:val="009F650A"/>
    <w:rsid w:val="009F66F2"/>
    <w:rsid w:val="00A01D3E"/>
    <w:rsid w:val="00A01F3D"/>
    <w:rsid w:val="00A02118"/>
    <w:rsid w:val="00A10F52"/>
    <w:rsid w:val="00A131A5"/>
    <w:rsid w:val="00A134F5"/>
    <w:rsid w:val="00A13D8D"/>
    <w:rsid w:val="00A1409B"/>
    <w:rsid w:val="00A14D7E"/>
    <w:rsid w:val="00A15D49"/>
    <w:rsid w:val="00A30D9A"/>
    <w:rsid w:val="00A33327"/>
    <w:rsid w:val="00A3359A"/>
    <w:rsid w:val="00A35659"/>
    <w:rsid w:val="00A4371F"/>
    <w:rsid w:val="00A4694A"/>
    <w:rsid w:val="00A47876"/>
    <w:rsid w:val="00A536AE"/>
    <w:rsid w:val="00A537E4"/>
    <w:rsid w:val="00A56737"/>
    <w:rsid w:val="00A6137F"/>
    <w:rsid w:val="00A637DC"/>
    <w:rsid w:val="00A6627C"/>
    <w:rsid w:val="00A67BD1"/>
    <w:rsid w:val="00A75D84"/>
    <w:rsid w:val="00A81BE7"/>
    <w:rsid w:val="00A835E4"/>
    <w:rsid w:val="00A905D8"/>
    <w:rsid w:val="00A90994"/>
    <w:rsid w:val="00A94219"/>
    <w:rsid w:val="00A96827"/>
    <w:rsid w:val="00AA0E3C"/>
    <w:rsid w:val="00AA1DDC"/>
    <w:rsid w:val="00AA3F0B"/>
    <w:rsid w:val="00AA46A9"/>
    <w:rsid w:val="00AA5350"/>
    <w:rsid w:val="00AA788A"/>
    <w:rsid w:val="00AB0263"/>
    <w:rsid w:val="00AB5F09"/>
    <w:rsid w:val="00AD1E69"/>
    <w:rsid w:val="00AD2656"/>
    <w:rsid w:val="00AD6516"/>
    <w:rsid w:val="00AE17A2"/>
    <w:rsid w:val="00AE2B30"/>
    <w:rsid w:val="00AE32B5"/>
    <w:rsid w:val="00AE4702"/>
    <w:rsid w:val="00AE6083"/>
    <w:rsid w:val="00AE7B56"/>
    <w:rsid w:val="00AF77AF"/>
    <w:rsid w:val="00B000CA"/>
    <w:rsid w:val="00B026BA"/>
    <w:rsid w:val="00B034F1"/>
    <w:rsid w:val="00B03E75"/>
    <w:rsid w:val="00B064A1"/>
    <w:rsid w:val="00B06625"/>
    <w:rsid w:val="00B103AC"/>
    <w:rsid w:val="00B14E0D"/>
    <w:rsid w:val="00B16832"/>
    <w:rsid w:val="00B238AD"/>
    <w:rsid w:val="00B238EC"/>
    <w:rsid w:val="00B257FE"/>
    <w:rsid w:val="00B26A9A"/>
    <w:rsid w:val="00B276FF"/>
    <w:rsid w:val="00B31EB5"/>
    <w:rsid w:val="00B44B6C"/>
    <w:rsid w:val="00B44D7B"/>
    <w:rsid w:val="00B46C43"/>
    <w:rsid w:val="00B50BB2"/>
    <w:rsid w:val="00B52533"/>
    <w:rsid w:val="00B52F7D"/>
    <w:rsid w:val="00B53772"/>
    <w:rsid w:val="00B54CC4"/>
    <w:rsid w:val="00B6113C"/>
    <w:rsid w:val="00B623A3"/>
    <w:rsid w:val="00B634A2"/>
    <w:rsid w:val="00B639AC"/>
    <w:rsid w:val="00B645ED"/>
    <w:rsid w:val="00B64BC1"/>
    <w:rsid w:val="00B71A0B"/>
    <w:rsid w:val="00B720EC"/>
    <w:rsid w:val="00B762E0"/>
    <w:rsid w:val="00B77E64"/>
    <w:rsid w:val="00B802DF"/>
    <w:rsid w:val="00B825D0"/>
    <w:rsid w:val="00B83929"/>
    <w:rsid w:val="00B915F1"/>
    <w:rsid w:val="00B933D4"/>
    <w:rsid w:val="00B94023"/>
    <w:rsid w:val="00B94931"/>
    <w:rsid w:val="00B94FFD"/>
    <w:rsid w:val="00B95B10"/>
    <w:rsid w:val="00B96DE3"/>
    <w:rsid w:val="00BA0042"/>
    <w:rsid w:val="00BA1792"/>
    <w:rsid w:val="00BA2DE8"/>
    <w:rsid w:val="00BA795C"/>
    <w:rsid w:val="00BB12A6"/>
    <w:rsid w:val="00BB1C2F"/>
    <w:rsid w:val="00BB2003"/>
    <w:rsid w:val="00BB2479"/>
    <w:rsid w:val="00BB488D"/>
    <w:rsid w:val="00BB7136"/>
    <w:rsid w:val="00BC1268"/>
    <w:rsid w:val="00BC3CA2"/>
    <w:rsid w:val="00BC4207"/>
    <w:rsid w:val="00BC5C11"/>
    <w:rsid w:val="00BC6E2E"/>
    <w:rsid w:val="00BD1D13"/>
    <w:rsid w:val="00BD357C"/>
    <w:rsid w:val="00BD4F19"/>
    <w:rsid w:val="00BD5209"/>
    <w:rsid w:val="00BE0430"/>
    <w:rsid w:val="00BE1A7B"/>
    <w:rsid w:val="00BE34A5"/>
    <w:rsid w:val="00BE5789"/>
    <w:rsid w:val="00BF06E7"/>
    <w:rsid w:val="00BF6FE1"/>
    <w:rsid w:val="00BF72F1"/>
    <w:rsid w:val="00BF735E"/>
    <w:rsid w:val="00C0644C"/>
    <w:rsid w:val="00C113D7"/>
    <w:rsid w:val="00C132F6"/>
    <w:rsid w:val="00C13CBB"/>
    <w:rsid w:val="00C13F4A"/>
    <w:rsid w:val="00C1630A"/>
    <w:rsid w:val="00C17F26"/>
    <w:rsid w:val="00C205C8"/>
    <w:rsid w:val="00C20EB6"/>
    <w:rsid w:val="00C213AE"/>
    <w:rsid w:val="00C37C2B"/>
    <w:rsid w:val="00C4006D"/>
    <w:rsid w:val="00C4326E"/>
    <w:rsid w:val="00C51A72"/>
    <w:rsid w:val="00C52A4E"/>
    <w:rsid w:val="00C53ADC"/>
    <w:rsid w:val="00C5625E"/>
    <w:rsid w:val="00C563BB"/>
    <w:rsid w:val="00C60613"/>
    <w:rsid w:val="00C6075F"/>
    <w:rsid w:val="00C60B3F"/>
    <w:rsid w:val="00C70A7E"/>
    <w:rsid w:val="00C72B0F"/>
    <w:rsid w:val="00C73F08"/>
    <w:rsid w:val="00C74AB2"/>
    <w:rsid w:val="00C74CB4"/>
    <w:rsid w:val="00C77433"/>
    <w:rsid w:val="00C80D93"/>
    <w:rsid w:val="00C83E15"/>
    <w:rsid w:val="00C84911"/>
    <w:rsid w:val="00C929D4"/>
    <w:rsid w:val="00C932EB"/>
    <w:rsid w:val="00C933ED"/>
    <w:rsid w:val="00CA136B"/>
    <w:rsid w:val="00CA22A3"/>
    <w:rsid w:val="00CA3761"/>
    <w:rsid w:val="00CA3856"/>
    <w:rsid w:val="00CA67E1"/>
    <w:rsid w:val="00CA7470"/>
    <w:rsid w:val="00CB3939"/>
    <w:rsid w:val="00CB6C65"/>
    <w:rsid w:val="00CB72A8"/>
    <w:rsid w:val="00CC070C"/>
    <w:rsid w:val="00CD4768"/>
    <w:rsid w:val="00CD6CB9"/>
    <w:rsid w:val="00CE5D3D"/>
    <w:rsid w:val="00CF059D"/>
    <w:rsid w:val="00CF3861"/>
    <w:rsid w:val="00CF44EB"/>
    <w:rsid w:val="00CF5495"/>
    <w:rsid w:val="00D01463"/>
    <w:rsid w:val="00D0299A"/>
    <w:rsid w:val="00D0304C"/>
    <w:rsid w:val="00D0310B"/>
    <w:rsid w:val="00D0660C"/>
    <w:rsid w:val="00D11642"/>
    <w:rsid w:val="00D11931"/>
    <w:rsid w:val="00D133AE"/>
    <w:rsid w:val="00D150A9"/>
    <w:rsid w:val="00D231DB"/>
    <w:rsid w:val="00D2521F"/>
    <w:rsid w:val="00D25DEF"/>
    <w:rsid w:val="00D25F55"/>
    <w:rsid w:val="00D26872"/>
    <w:rsid w:val="00D279E0"/>
    <w:rsid w:val="00D27D52"/>
    <w:rsid w:val="00D30A06"/>
    <w:rsid w:val="00D31B86"/>
    <w:rsid w:val="00D3390F"/>
    <w:rsid w:val="00D3776C"/>
    <w:rsid w:val="00D424A4"/>
    <w:rsid w:val="00D472BE"/>
    <w:rsid w:val="00D47F07"/>
    <w:rsid w:val="00D50DEE"/>
    <w:rsid w:val="00D514D2"/>
    <w:rsid w:val="00D5263E"/>
    <w:rsid w:val="00D543D5"/>
    <w:rsid w:val="00D5775A"/>
    <w:rsid w:val="00D5796D"/>
    <w:rsid w:val="00D57EDB"/>
    <w:rsid w:val="00D6238D"/>
    <w:rsid w:val="00D62428"/>
    <w:rsid w:val="00D6329B"/>
    <w:rsid w:val="00D66E74"/>
    <w:rsid w:val="00D77CB6"/>
    <w:rsid w:val="00D81D83"/>
    <w:rsid w:val="00D83692"/>
    <w:rsid w:val="00D87991"/>
    <w:rsid w:val="00D946AD"/>
    <w:rsid w:val="00DA097F"/>
    <w:rsid w:val="00DA3197"/>
    <w:rsid w:val="00DA3ECA"/>
    <w:rsid w:val="00DA54F3"/>
    <w:rsid w:val="00DA5BF4"/>
    <w:rsid w:val="00DA6E70"/>
    <w:rsid w:val="00DA73A3"/>
    <w:rsid w:val="00DB2563"/>
    <w:rsid w:val="00DB3948"/>
    <w:rsid w:val="00DB49A0"/>
    <w:rsid w:val="00DC07A8"/>
    <w:rsid w:val="00DC36D5"/>
    <w:rsid w:val="00DC5C28"/>
    <w:rsid w:val="00DC65BA"/>
    <w:rsid w:val="00DC7DBC"/>
    <w:rsid w:val="00DD05F3"/>
    <w:rsid w:val="00DD2BA4"/>
    <w:rsid w:val="00DD2F8D"/>
    <w:rsid w:val="00DD31B2"/>
    <w:rsid w:val="00DD653A"/>
    <w:rsid w:val="00DD7048"/>
    <w:rsid w:val="00DE2BD5"/>
    <w:rsid w:val="00DE39F5"/>
    <w:rsid w:val="00DF2905"/>
    <w:rsid w:val="00DF37A2"/>
    <w:rsid w:val="00DF4241"/>
    <w:rsid w:val="00DF4F3C"/>
    <w:rsid w:val="00DF51D7"/>
    <w:rsid w:val="00DF7F81"/>
    <w:rsid w:val="00E004B7"/>
    <w:rsid w:val="00E02307"/>
    <w:rsid w:val="00E06925"/>
    <w:rsid w:val="00E116FF"/>
    <w:rsid w:val="00E121B5"/>
    <w:rsid w:val="00E13223"/>
    <w:rsid w:val="00E14FC3"/>
    <w:rsid w:val="00E2592B"/>
    <w:rsid w:val="00E25F53"/>
    <w:rsid w:val="00E329EE"/>
    <w:rsid w:val="00E33EDB"/>
    <w:rsid w:val="00E3612E"/>
    <w:rsid w:val="00E41EAB"/>
    <w:rsid w:val="00E45EA3"/>
    <w:rsid w:val="00E475A6"/>
    <w:rsid w:val="00E47851"/>
    <w:rsid w:val="00E52235"/>
    <w:rsid w:val="00E60036"/>
    <w:rsid w:val="00E60926"/>
    <w:rsid w:val="00E64385"/>
    <w:rsid w:val="00E706B3"/>
    <w:rsid w:val="00E70D1E"/>
    <w:rsid w:val="00E71C0F"/>
    <w:rsid w:val="00E7392F"/>
    <w:rsid w:val="00E7422B"/>
    <w:rsid w:val="00E75BDA"/>
    <w:rsid w:val="00E87101"/>
    <w:rsid w:val="00E87560"/>
    <w:rsid w:val="00E90992"/>
    <w:rsid w:val="00E965C6"/>
    <w:rsid w:val="00E97584"/>
    <w:rsid w:val="00E97963"/>
    <w:rsid w:val="00EA002D"/>
    <w:rsid w:val="00EA1141"/>
    <w:rsid w:val="00EA157C"/>
    <w:rsid w:val="00EA25F1"/>
    <w:rsid w:val="00EA4484"/>
    <w:rsid w:val="00EA50FE"/>
    <w:rsid w:val="00EA548F"/>
    <w:rsid w:val="00EA7ED3"/>
    <w:rsid w:val="00EB000D"/>
    <w:rsid w:val="00EB58F3"/>
    <w:rsid w:val="00EC0536"/>
    <w:rsid w:val="00EC30EC"/>
    <w:rsid w:val="00EC3597"/>
    <w:rsid w:val="00EC3E67"/>
    <w:rsid w:val="00ED0EBB"/>
    <w:rsid w:val="00ED299B"/>
    <w:rsid w:val="00ED4F4D"/>
    <w:rsid w:val="00EE0522"/>
    <w:rsid w:val="00EE1C66"/>
    <w:rsid w:val="00EE3E87"/>
    <w:rsid w:val="00EE4455"/>
    <w:rsid w:val="00EF050E"/>
    <w:rsid w:val="00EF2A4C"/>
    <w:rsid w:val="00EF5079"/>
    <w:rsid w:val="00F028BA"/>
    <w:rsid w:val="00F04055"/>
    <w:rsid w:val="00F05BFC"/>
    <w:rsid w:val="00F070AC"/>
    <w:rsid w:val="00F122B9"/>
    <w:rsid w:val="00F21CD9"/>
    <w:rsid w:val="00F226BA"/>
    <w:rsid w:val="00F23819"/>
    <w:rsid w:val="00F23F05"/>
    <w:rsid w:val="00F25F41"/>
    <w:rsid w:val="00F3207F"/>
    <w:rsid w:val="00F34B5A"/>
    <w:rsid w:val="00F3541A"/>
    <w:rsid w:val="00F36672"/>
    <w:rsid w:val="00F376B5"/>
    <w:rsid w:val="00F41242"/>
    <w:rsid w:val="00F4590B"/>
    <w:rsid w:val="00F46275"/>
    <w:rsid w:val="00F46576"/>
    <w:rsid w:val="00F50B36"/>
    <w:rsid w:val="00F53052"/>
    <w:rsid w:val="00F5665F"/>
    <w:rsid w:val="00F60488"/>
    <w:rsid w:val="00F62249"/>
    <w:rsid w:val="00F631B6"/>
    <w:rsid w:val="00F63BC0"/>
    <w:rsid w:val="00F640FB"/>
    <w:rsid w:val="00F65452"/>
    <w:rsid w:val="00F719B8"/>
    <w:rsid w:val="00F81C6D"/>
    <w:rsid w:val="00F837B0"/>
    <w:rsid w:val="00F84C47"/>
    <w:rsid w:val="00F859B0"/>
    <w:rsid w:val="00F87F64"/>
    <w:rsid w:val="00F94B00"/>
    <w:rsid w:val="00F96BEB"/>
    <w:rsid w:val="00FA03AD"/>
    <w:rsid w:val="00FA0D87"/>
    <w:rsid w:val="00FA2E89"/>
    <w:rsid w:val="00FA5894"/>
    <w:rsid w:val="00FB206E"/>
    <w:rsid w:val="00FB51AE"/>
    <w:rsid w:val="00FB6500"/>
    <w:rsid w:val="00FB68B0"/>
    <w:rsid w:val="00FB7646"/>
    <w:rsid w:val="00FC430C"/>
    <w:rsid w:val="00FC51C9"/>
    <w:rsid w:val="00FC5F18"/>
    <w:rsid w:val="00FC7332"/>
    <w:rsid w:val="00FC76FB"/>
    <w:rsid w:val="00FD06B3"/>
    <w:rsid w:val="00FD4A56"/>
    <w:rsid w:val="00FE28CD"/>
    <w:rsid w:val="00FE4D15"/>
    <w:rsid w:val="00FE6E53"/>
    <w:rsid w:val="00FE6F70"/>
    <w:rsid w:val="00FF6087"/>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D47F07"/>
    <w:pPr>
      <w:widowControl w:val="0"/>
      <w:autoSpaceDE w:val="0"/>
      <w:autoSpaceDN w:val="0"/>
      <w:adjustRightInd w:val="0"/>
      <w:ind w:left="1710" w:hanging="1710"/>
    </w:pPr>
  </w:style>
  <w:style w:type="paragraph" w:styleId="HTMLPreformatted">
    <w:name w:val="HTML Preformatted"/>
    <w:basedOn w:val="Normal"/>
    <w:rsid w:val="003C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iPriority w:val="99"/>
    <w:rsid w:val="006A1DAA"/>
  </w:style>
  <w:style w:type="character" w:customStyle="1" w:styleId="header31">
    <w:name w:val="header31"/>
    <w:rsid w:val="006A1DAA"/>
    <w:rPr>
      <w:rFonts w:ascii="Arial" w:hAnsi="Arial" w:cs="Arial" w:hint="default"/>
      <w:b/>
      <w:bCs/>
      <w:color w:val="000000"/>
    </w:rPr>
  </w:style>
  <w:style w:type="paragraph" w:customStyle="1" w:styleId="BodyText1">
    <w:name w:val="Body Text1"/>
    <w:basedOn w:val="Normal"/>
    <w:rsid w:val="0003026D"/>
    <w:pPr>
      <w:widowControl w:val="0"/>
      <w:autoSpaceDE w:val="0"/>
      <w:autoSpaceDN w:val="0"/>
      <w:adjustRightInd w:val="0"/>
      <w:spacing w:after="72" w:line="264" w:lineRule="atLeast"/>
      <w:textAlignment w:val="center"/>
    </w:pPr>
    <w:rPr>
      <w:rFonts w:ascii="Ocean Sans MM" w:hAnsi="Ocean Sans MM"/>
      <w:color w:val="000000"/>
      <w:spacing w:val="-4"/>
      <w:sz w:val="19"/>
      <w:szCs w:val="20"/>
    </w:rPr>
  </w:style>
  <w:style w:type="character" w:customStyle="1" w:styleId="CommentTextChar">
    <w:name w:val="Comment Text Char"/>
    <w:basedOn w:val="DefaultParagraphFont"/>
    <w:link w:val="CommentText"/>
    <w:uiPriority w:val="99"/>
    <w:semiHidden/>
    <w:locked/>
    <w:rsid w:val="004F1C6B"/>
  </w:style>
  <w:style w:type="character" w:customStyle="1" w:styleId="PlainTextChar">
    <w:name w:val="Plain Text Char"/>
    <w:basedOn w:val="DefaultParagraphFont"/>
    <w:link w:val="PlainText"/>
    <w:uiPriority w:val="99"/>
    <w:rsid w:val="000850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D47F07"/>
    <w:pPr>
      <w:widowControl w:val="0"/>
      <w:autoSpaceDE w:val="0"/>
      <w:autoSpaceDN w:val="0"/>
      <w:adjustRightInd w:val="0"/>
      <w:ind w:left="1710" w:hanging="1710"/>
    </w:pPr>
  </w:style>
  <w:style w:type="paragraph" w:styleId="HTMLPreformatted">
    <w:name w:val="HTML Preformatted"/>
    <w:basedOn w:val="Normal"/>
    <w:rsid w:val="003C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iPriority w:val="99"/>
    <w:rsid w:val="006A1DAA"/>
  </w:style>
  <w:style w:type="character" w:customStyle="1" w:styleId="header31">
    <w:name w:val="header31"/>
    <w:rsid w:val="006A1DAA"/>
    <w:rPr>
      <w:rFonts w:ascii="Arial" w:hAnsi="Arial" w:cs="Arial" w:hint="default"/>
      <w:b/>
      <w:bCs/>
      <w:color w:val="000000"/>
    </w:rPr>
  </w:style>
  <w:style w:type="paragraph" w:customStyle="1" w:styleId="BodyText1">
    <w:name w:val="Body Text1"/>
    <w:basedOn w:val="Normal"/>
    <w:rsid w:val="0003026D"/>
    <w:pPr>
      <w:widowControl w:val="0"/>
      <w:autoSpaceDE w:val="0"/>
      <w:autoSpaceDN w:val="0"/>
      <w:adjustRightInd w:val="0"/>
      <w:spacing w:after="72" w:line="264" w:lineRule="atLeast"/>
      <w:textAlignment w:val="center"/>
    </w:pPr>
    <w:rPr>
      <w:rFonts w:ascii="Ocean Sans MM" w:hAnsi="Ocean Sans MM"/>
      <w:color w:val="000000"/>
      <w:spacing w:val="-4"/>
      <w:sz w:val="19"/>
      <w:szCs w:val="20"/>
    </w:rPr>
  </w:style>
  <w:style w:type="character" w:customStyle="1" w:styleId="CommentTextChar">
    <w:name w:val="Comment Text Char"/>
    <w:basedOn w:val="DefaultParagraphFont"/>
    <w:link w:val="CommentText"/>
    <w:uiPriority w:val="99"/>
    <w:semiHidden/>
    <w:locked/>
    <w:rsid w:val="004F1C6B"/>
  </w:style>
  <w:style w:type="character" w:customStyle="1" w:styleId="PlainTextChar">
    <w:name w:val="Plain Text Char"/>
    <w:basedOn w:val="DefaultParagraphFont"/>
    <w:link w:val="PlainText"/>
    <w:uiPriority w:val="99"/>
    <w:rsid w:val="000850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016">
      <w:bodyDiv w:val="1"/>
      <w:marLeft w:val="0"/>
      <w:marRight w:val="0"/>
      <w:marTop w:val="0"/>
      <w:marBottom w:val="0"/>
      <w:divBdr>
        <w:top w:val="none" w:sz="0" w:space="0" w:color="auto"/>
        <w:left w:val="none" w:sz="0" w:space="0" w:color="auto"/>
        <w:bottom w:val="none" w:sz="0" w:space="0" w:color="auto"/>
        <w:right w:val="none" w:sz="0" w:space="0" w:color="auto"/>
      </w:divBdr>
      <w:divsChild>
        <w:div w:id="268315431">
          <w:marLeft w:val="0"/>
          <w:marRight w:val="0"/>
          <w:marTop w:val="0"/>
          <w:marBottom w:val="0"/>
          <w:divBdr>
            <w:top w:val="none" w:sz="0" w:space="0" w:color="auto"/>
            <w:left w:val="none" w:sz="0" w:space="0" w:color="auto"/>
            <w:bottom w:val="none" w:sz="0" w:space="0" w:color="auto"/>
            <w:right w:val="none" w:sz="0" w:space="0" w:color="auto"/>
          </w:divBdr>
          <w:divsChild>
            <w:div w:id="963194836">
              <w:marLeft w:val="0"/>
              <w:marRight w:val="0"/>
              <w:marTop w:val="0"/>
              <w:marBottom w:val="0"/>
              <w:divBdr>
                <w:top w:val="none" w:sz="0" w:space="0" w:color="auto"/>
                <w:left w:val="none" w:sz="0" w:space="0" w:color="auto"/>
                <w:bottom w:val="none" w:sz="0" w:space="0" w:color="auto"/>
                <w:right w:val="none" w:sz="0" w:space="0" w:color="auto"/>
              </w:divBdr>
            </w:div>
            <w:div w:id="15597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7495">
      <w:bodyDiv w:val="1"/>
      <w:marLeft w:val="0"/>
      <w:marRight w:val="0"/>
      <w:marTop w:val="0"/>
      <w:marBottom w:val="0"/>
      <w:divBdr>
        <w:top w:val="none" w:sz="0" w:space="0" w:color="auto"/>
        <w:left w:val="none" w:sz="0" w:space="0" w:color="auto"/>
        <w:bottom w:val="none" w:sz="0" w:space="0" w:color="auto"/>
        <w:right w:val="none" w:sz="0" w:space="0" w:color="auto"/>
      </w:divBdr>
      <w:divsChild>
        <w:div w:id="519012111">
          <w:marLeft w:val="0"/>
          <w:marRight w:val="0"/>
          <w:marTop w:val="0"/>
          <w:marBottom w:val="0"/>
          <w:divBdr>
            <w:top w:val="none" w:sz="0" w:space="0" w:color="auto"/>
            <w:left w:val="none" w:sz="0" w:space="0" w:color="auto"/>
            <w:bottom w:val="none" w:sz="0" w:space="0" w:color="auto"/>
            <w:right w:val="none" w:sz="0" w:space="0" w:color="auto"/>
          </w:divBdr>
          <w:divsChild>
            <w:div w:id="1294870305">
              <w:marLeft w:val="0"/>
              <w:marRight w:val="0"/>
              <w:marTop w:val="0"/>
              <w:marBottom w:val="0"/>
              <w:divBdr>
                <w:top w:val="none" w:sz="0" w:space="0" w:color="auto"/>
                <w:left w:val="single" w:sz="4" w:space="0" w:color="E2E2E2"/>
                <w:bottom w:val="none" w:sz="0" w:space="0" w:color="auto"/>
                <w:right w:val="single" w:sz="4" w:space="0" w:color="E2E2E2"/>
              </w:divBdr>
              <w:divsChild>
                <w:div w:id="1972858469">
                  <w:marLeft w:val="0"/>
                  <w:marRight w:val="0"/>
                  <w:marTop w:val="0"/>
                  <w:marBottom w:val="0"/>
                  <w:divBdr>
                    <w:top w:val="none" w:sz="0" w:space="0" w:color="auto"/>
                    <w:left w:val="none" w:sz="0" w:space="0" w:color="auto"/>
                    <w:bottom w:val="none" w:sz="0" w:space="0" w:color="auto"/>
                    <w:right w:val="none" w:sz="0" w:space="0" w:color="auto"/>
                  </w:divBdr>
                  <w:divsChild>
                    <w:div w:id="13430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33006247">
      <w:bodyDiv w:val="1"/>
      <w:marLeft w:val="0"/>
      <w:marRight w:val="0"/>
      <w:marTop w:val="0"/>
      <w:marBottom w:val="0"/>
      <w:divBdr>
        <w:top w:val="none" w:sz="0" w:space="0" w:color="auto"/>
        <w:left w:val="none" w:sz="0" w:space="0" w:color="auto"/>
        <w:bottom w:val="none" w:sz="0" w:space="0" w:color="auto"/>
        <w:right w:val="none" w:sz="0" w:space="0" w:color="auto"/>
      </w:divBdr>
    </w:div>
    <w:div w:id="306711254">
      <w:bodyDiv w:val="1"/>
      <w:marLeft w:val="0"/>
      <w:marRight w:val="0"/>
      <w:marTop w:val="0"/>
      <w:marBottom w:val="0"/>
      <w:divBdr>
        <w:top w:val="none" w:sz="0" w:space="0" w:color="auto"/>
        <w:left w:val="none" w:sz="0" w:space="0" w:color="auto"/>
        <w:bottom w:val="none" w:sz="0" w:space="0" w:color="auto"/>
        <w:right w:val="none" w:sz="0" w:space="0" w:color="auto"/>
      </w:divBdr>
    </w:div>
    <w:div w:id="395668368">
      <w:bodyDiv w:val="1"/>
      <w:marLeft w:val="0"/>
      <w:marRight w:val="0"/>
      <w:marTop w:val="0"/>
      <w:marBottom w:val="0"/>
      <w:divBdr>
        <w:top w:val="none" w:sz="0" w:space="0" w:color="auto"/>
        <w:left w:val="none" w:sz="0" w:space="0" w:color="auto"/>
        <w:bottom w:val="none" w:sz="0" w:space="0" w:color="auto"/>
        <w:right w:val="none" w:sz="0" w:space="0" w:color="auto"/>
      </w:divBdr>
      <w:divsChild>
        <w:div w:id="1192765346">
          <w:marLeft w:val="0"/>
          <w:marRight w:val="0"/>
          <w:marTop w:val="0"/>
          <w:marBottom w:val="0"/>
          <w:divBdr>
            <w:top w:val="none" w:sz="0" w:space="0" w:color="auto"/>
            <w:left w:val="none" w:sz="0" w:space="0" w:color="auto"/>
            <w:bottom w:val="none" w:sz="0" w:space="0" w:color="auto"/>
            <w:right w:val="none" w:sz="0" w:space="0" w:color="auto"/>
          </w:divBdr>
          <w:divsChild>
            <w:div w:id="36591060">
              <w:marLeft w:val="0"/>
              <w:marRight w:val="0"/>
              <w:marTop w:val="0"/>
              <w:marBottom w:val="0"/>
              <w:divBdr>
                <w:top w:val="none" w:sz="0" w:space="0" w:color="auto"/>
                <w:left w:val="single" w:sz="4" w:space="0" w:color="E2E2E2"/>
                <w:bottom w:val="none" w:sz="0" w:space="0" w:color="auto"/>
                <w:right w:val="single" w:sz="4" w:space="0" w:color="E2E2E2"/>
              </w:divBdr>
              <w:divsChild>
                <w:div w:id="853692819">
                  <w:marLeft w:val="0"/>
                  <w:marRight w:val="0"/>
                  <w:marTop w:val="0"/>
                  <w:marBottom w:val="0"/>
                  <w:divBdr>
                    <w:top w:val="none" w:sz="0" w:space="0" w:color="auto"/>
                    <w:left w:val="none" w:sz="0" w:space="0" w:color="auto"/>
                    <w:bottom w:val="none" w:sz="0" w:space="0" w:color="auto"/>
                    <w:right w:val="none" w:sz="0" w:space="0" w:color="auto"/>
                  </w:divBdr>
                  <w:divsChild>
                    <w:div w:id="9297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630586">
      <w:bodyDiv w:val="1"/>
      <w:marLeft w:val="0"/>
      <w:marRight w:val="0"/>
      <w:marTop w:val="0"/>
      <w:marBottom w:val="0"/>
      <w:divBdr>
        <w:top w:val="none" w:sz="0" w:space="0" w:color="auto"/>
        <w:left w:val="none" w:sz="0" w:space="0" w:color="auto"/>
        <w:bottom w:val="none" w:sz="0" w:space="0" w:color="auto"/>
        <w:right w:val="none" w:sz="0" w:space="0" w:color="auto"/>
      </w:divBdr>
    </w:div>
    <w:div w:id="489640396">
      <w:bodyDiv w:val="1"/>
      <w:marLeft w:val="0"/>
      <w:marRight w:val="0"/>
      <w:marTop w:val="0"/>
      <w:marBottom w:val="0"/>
      <w:divBdr>
        <w:top w:val="none" w:sz="0" w:space="0" w:color="auto"/>
        <w:left w:val="none" w:sz="0" w:space="0" w:color="auto"/>
        <w:bottom w:val="none" w:sz="0" w:space="0" w:color="auto"/>
        <w:right w:val="none" w:sz="0" w:space="0" w:color="auto"/>
      </w:divBdr>
    </w:div>
    <w:div w:id="569390038">
      <w:bodyDiv w:val="1"/>
      <w:marLeft w:val="0"/>
      <w:marRight w:val="0"/>
      <w:marTop w:val="0"/>
      <w:marBottom w:val="0"/>
      <w:divBdr>
        <w:top w:val="none" w:sz="0" w:space="0" w:color="auto"/>
        <w:left w:val="none" w:sz="0" w:space="0" w:color="auto"/>
        <w:bottom w:val="none" w:sz="0" w:space="0" w:color="auto"/>
        <w:right w:val="none" w:sz="0" w:space="0" w:color="auto"/>
      </w:divBdr>
      <w:divsChild>
        <w:div w:id="1350792461">
          <w:marLeft w:val="0"/>
          <w:marRight w:val="0"/>
          <w:marTop w:val="0"/>
          <w:marBottom w:val="0"/>
          <w:divBdr>
            <w:top w:val="none" w:sz="0" w:space="0" w:color="auto"/>
            <w:left w:val="none" w:sz="0" w:space="0" w:color="auto"/>
            <w:bottom w:val="none" w:sz="0" w:space="0" w:color="auto"/>
            <w:right w:val="none" w:sz="0" w:space="0" w:color="auto"/>
          </w:divBdr>
          <w:divsChild>
            <w:div w:id="2124375619">
              <w:marLeft w:val="0"/>
              <w:marRight w:val="0"/>
              <w:marTop w:val="0"/>
              <w:marBottom w:val="0"/>
              <w:divBdr>
                <w:top w:val="none" w:sz="0" w:space="0" w:color="auto"/>
                <w:left w:val="single" w:sz="4" w:space="0" w:color="E2E2E2"/>
                <w:bottom w:val="none" w:sz="0" w:space="0" w:color="auto"/>
                <w:right w:val="single" w:sz="4" w:space="0" w:color="E2E2E2"/>
              </w:divBdr>
              <w:divsChild>
                <w:div w:id="1040277267">
                  <w:marLeft w:val="0"/>
                  <w:marRight w:val="0"/>
                  <w:marTop w:val="0"/>
                  <w:marBottom w:val="0"/>
                  <w:divBdr>
                    <w:top w:val="none" w:sz="0" w:space="0" w:color="auto"/>
                    <w:left w:val="none" w:sz="0" w:space="0" w:color="auto"/>
                    <w:bottom w:val="none" w:sz="0" w:space="0" w:color="auto"/>
                    <w:right w:val="none" w:sz="0" w:space="0" w:color="auto"/>
                  </w:divBdr>
                  <w:divsChild>
                    <w:div w:id="20691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697238763">
      <w:bodyDiv w:val="1"/>
      <w:marLeft w:val="0"/>
      <w:marRight w:val="0"/>
      <w:marTop w:val="0"/>
      <w:marBottom w:val="0"/>
      <w:divBdr>
        <w:top w:val="none" w:sz="0" w:space="0" w:color="auto"/>
        <w:left w:val="none" w:sz="0" w:space="0" w:color="auto"/>
        <w:bottom w:val="none" w:sz="0" w:space="0" w:color="auto"/>
        <w:right w:val="none" w:sz="0" w:space="0" w:color="auto"/>
      </w:divBdr>
      <w:divsChild>
        <w:div w:id="1450659383">
          <w:marLeft w:val="0"/>
          <w:marRight w:val="0"/>
          <w:marTop w:val="0"/>
          <w:marBottom w:val="0"/>
          <w:divBdr>
            <w:top w:val="none" w:sz="0" w:space="0" w:color="auto"/>
            <w:left w:val="none" w:sz="0" w:space="0" w:color="auto"/>
            <w:bottom w:val="none" w:sz="0" w:space="0" w:color="auto"/>
            <w:right w:val="none" w:sz="0" w:space="0" w:color="auto"/>
          </w:divBdr>
          <w:divsChild>
            <w:div w:id="176770766">
              <w:marLeft w:val="0"/>
              <w:marRight w:val="0"/>
              <w:marTop w:val="0"/>
              <w:marBottom w:val="0"/>
              <w:divBdr>
                <w:top w:val="none" w:sz="0" w:space="0" w:color="auto"/>
                <w:left w:val="none" w:sz="0" w:space="0" w:color="auto"/>
                <w:bottom w:val="none" w:sz="0" w:space="0" w:color="auto"/>
                <w:right w:val="none" w:sz="0" w:space="0" w:color="auto"/>
              </w:divBdr>
            </w:div>
            <w:div w:id="242760278">
              <w:marLeft w:val="0"/>
              <w:marRight w:val="0"/>
              <w:marTop w:val="0"/>
              <w:marBottom w:val="0"/>
              <w:divBdr>
                <w:top w:val="none" w:sz="0" w:space="0" w:color="auto"/>
                <w:left w:val="none" w:sz="0" w:space="0" w:color="auto"/>
                <w:bottom w:val="none" w:sz="0" w:space="0" w:color="auto"/>
                <w:right w:val="none" w:sz="0" w:space="0" w:color="auto"/>
              </w:divBdr>
            </w:div>
            <w:div w:id="250554276">
              <w:marLeft w:val="0"/>
              <w:marRight w:val="0"/>
              <w:marTop w:val="0"/>
              <w:marBottom w:val="0"/>
              <w:divBdr>
                <w:top w:val="none" w:sz="0" w:space="0" w:color="auto"/>
                <w:left w:val="none" w:sz="0" w:space="0" w:color="auto"/>
                <w:bottom w:val="none" w:sz="0" w:space="0" w:color="auto"/>
                <w:right w:val="none" w:sz="0" w:space="0" w:color="auto"/>
              </w:divBdr>
            </w:div>
            <w:div w:id="358238165">
              <w:marLeft w:val="0"/>
              <w:marRight w:val="0"/>
              <w:marTop w:val="0"/>
              <w:marBottom w:val="0"/>
              <w:divBdr>
                <w:top w:val="none" w:sz="0" w:space="0" w:color="auto"/>
                <w:left w:val="none" w:sz="0" w:space="0" w:color="auto"/>
                <w:bottom w:val="none" w:sz="0" w:space="0" w:color="auto"/>
                <w:right w:val="none" w:sz="0" w:space="0" w:color="auto"/>
              </w:divBdr>
            </w:div>
            <w:div w:id="533351370">
              <w:marLeft w:val="0"/>
              <w:marRight w:val="0"/>
              <w:marTop w:val="0"/>
              <w:marBottom w:val="0"/>
              <w:divBdr>
                <w:top w:val="none" w:sz="0" w:space="0" w:color="auto"/>
                <w:left w:val="none" w:sz="0" w:space="0" w:color="auto"/>
                <w:bottom w:val="none" w:sz="0" w:space="0" w:color="auto"/>
                <w:right w:val="none" w:sz="0" w:space="0" w:color="auto"/>
              </w:divBdr>
            </w:div>
            <w:div w:id="936211301">
              <w:marLeft w:val="0"/>
              <w:marRight w:val="0"/>
              <w:marTop w:val="0"/>
              <w:marBottom w:val="0"/>
              <w:divBdr>
                <w:top w:val="none" w:sz="0" w:space="0" w:color="auto"/>
                <w:left w:val="none" w:sz="0" w:space="0" w:color="auto"/>
                <w:bottom w:val="none" w:sz="0" w:space="0" w:color="auto"/>
                <w:right w:val="none" w:sz="0" w:space="0" w:color="auto"/>
              </w:divBdr>
            </w:div>
            <w:div w:id="1156797593">
              <w:marLeft w:val="0"/>
              <w:marRight w:val="0"/>
              <w:marTop w:val="0"/>
              <w:marBottom w:val="0"/>
              <w:divBdr>
                <w:top w:val="none" w:sz="0" w:space="0" w:color="auto"/>
                <w:left w:val="none" w:sz="0" w:space="0" w:color="auto"/>
                <w:bottom w:val="none" w:sz="0" w:space="0" w:color="auto"/>
                <w:right w:val="none" w:sz="0" w:space="0" w:color="auto"/>
              </w:divBdr>
            </w:div>
            <w:div w:id="14049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93753887">
      <w:bodyDiv w:val="1"/>
      <w:marLeft w:val="0"/>
      <w:marRight w:val="0"/>
      <w:marTop w:val="0"/>
      <w:marBottom w:val="0"/>
      <w:divBdr>
        <w:top w:val="none" w:sz="0" w:space="0" w:color="auto"/>
        <w:left w:val="none" w:sz="0" w:space="0" w:color="auto"/>
        <w:bottom w:val="none" w:sz="0" w:space="0" w:color="auto"/>
        <w:right w:val="none" w:sz="0" w:space="0" w:color="auto"/>
      </w:divBdr>
    </w:div>
    <w:div w:id="103549742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68402613">
      <w:bodyDiv w:val="1"/>
      <w:marLeft w:val="0"/>
      <w:marRight w:val="0"/>
      <w:marTop w:val="0"/>
      <w:marBottom w:val="0"/>
      <w:divBdr>
        <w:top w:val="none" w:sz="0" w:space="0" w:color="auto"/>
        <w:left w:val="none" w:sz="0" w:space="0" w:color="auto"/>
        <w:bottom w:val="none" w:sz="0" w:space="0" w:color="auto"/>
        <w:right w:val="none" w:sz="0" w:space="0" w:color="auto"/>
      </w:divBdr>
    </w:div>
    <w:div w:id="1238788807">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90439632">
      <w:bodyDiv w:val="1"/>
      <w:marLeft w:val="0"/>
      <w:marRight w:val="0"/>
      <w:marTop w:val="0"/>
      <w:marBottom w:val="0"/>
      <w:divBdr>
        <w:top w:val="none" w:sz="0" w:space="0" w:color="auto"/>
        <w:left w:val="none" w:sz="0" w:space="0" w:color="auto"/>
        <w:bottom w:val="none" w:sz="0" w:space="0" w:color="auto"/>
        <w:right w:val="none" w:sz="0" w:space="0" w:color="auto"/>
      </w:divBdr>
    </w:div>
    <w:div w:id="1498115312">
      <w:bodyDiv w:val="1"/>
      <w:marLeft w:val="0"/>
      <w:marRight w:val="0"/>
      <w:marTop w:val="0"/>
      <w:marBottom w:val="0"/>
      <w:divBdr>
        <w:top w:val="none" w:sz="0" w:space="0" w:color="auto"/>
        <w:left w:val="none" w:sz="0" w:space="0" w:color="auto"/>
        <w:bottom w:val="none" w:sz="0" w:space="0" w:color="auto"/>
        <w:right w:val="none" w:sz="0" w:space="0" w:color="auto"/>
      </w:divBdr>
    </w:div>
    <w:div w:id="1500929845">
      <w:bodyDiv w:val="1"/>
      <w:marLeft w:val="0"/>
      <w:marRight w:val="0"/>
      <w:marTop w:val="0"/>
      <w:marBottom w:val="0"/>
      <w:divBdr>
        <w:top w:val="none" w:sz="0" w:space="0" w:color="auto"/>
        <w:left w:val="none" w:sz="0" w:space="0" w:color="auto"/>
        <w:bottom w:val="none" w:sz="0" w:space="0" w:color="auto"/>
        <w:right w:val="none" w:sz="0" w:space="0" w:color="auto"/>
      </w:divBdr>
    </w:div>
    <w:div w:id="1525434877">
      <w:bodyDiv w:val="1"/>
      <w:marLeft w:val="0"/>
      <w:marRight w:val="0"/>
      <w:marTop w:val="0"/>
      <w:marBottom w:val="0"/>
      <w:divBdr>
        <w:top w:val="none" w:sz="0" w:space="0" w:color="auto"/>
        <w:left w:val="none" w:sz="0" w:space="0" w:color="auto"/>
        <w:bottom w:val="none" w:sz="0" w:space="0" w:color="auto"/>
        <w:right w:val="none" w:sz="0" w:space="0" w:color="auto"/>
      </w:divBdr>
      <w:divsChild>
        <w:div w:id="837774496">
          <w:marLeft w:val="0"/>
          <w:marRight w:val="0"/>
          <w:marTop w:val="0"/>
          <w:marBottom w:val="0"/>
          <w:divBdr>
            <w:top w:val="none" w:sz="0" w:space="0" w:color="auto"/>
            <w:left w:val="none" w:sz="0" w:space="0" w:color="auto"/>
            <w:bottom w:val="none" w:sz="0" w:space="0" w:color="auto"/>
            <w:right w:val="none" w:sz="0" w:space="0" w:color="auto"/>
          </w:divBdr>
          <w:divsChild>
            <w:div w:id="666247422">
              <w:marLeft w:val="0"/>
              <w:marRight w:val="0"/>
              <w:marTop w:val="0"/>
              <w:marBottom w:val="0"/>
              <w:divBdr>
                <w:top w:val="single" w:sz="6" w:space="1" w:color="3162C5"/>
                <w:left w:val="single" w:sz="6" w:space="1" w:color="3162C5"/>
                <w:bottom w:val="single" w:sz="6" w:space="1" w:color="3162C5"/>
                <w:right w:val="single" w:sz="6" w:space="1" w:color="3162C5"/>
              </w:divBdr>
              <w:divsChild>
                <w:div w:id="683631577">
                  <w:marLeft w:val="0"/>
                  <w:marRight w:val="0"/>
                  <w:marTop w:val="0"/>
                  <w:marBottom w:val="0"/>
                  <w:divBdr>
                    <w:top w:val="single" w:sz="6" w:space="1" w:color="2D5AB3"/>
                    <w:left w:val="single" w:sz="6" w:space="1" w:color="2D5AB3"/>
                    <w:bottom w:val="single" w:sz="6" w:space="1" w:color="2D5AB3"/>
                    <w:right w:val="single" w:sz="6" w:space="1" w:color="2D5AB3"/>
                  </w:divBdr>
                  <w:divsChild>
                    <w:div w:id="2103915681">
                      <w:marLeft w:val="0"/>
                      <w:marRight w:val="0"/>
                      <w:marTop w:val="0"/>
                      <w:marBottom w:val="0"/>
                      <w:divBdr>
                        <w:top w:val="single" w:sz="6" w:space="1" w:color="264C98"/>
                        <w:left w:val="single" w:sz="6" w:space="1" w:color="264C98"/>
                        <w:bottom w:val="single" w:sz="6" w:space="1" w:color="264C98"/>
                        <w:right w:val="single" w:sz="6" w:space="1" w:color="264C98"/>
                      </w:divBdr>
                      <w:divsChild>
                        <w:div w:id="1731033910">
                          <w:marLeft w:val="0"/>
                          <w:marRight w:val="0"/>
                          <w:marTop w:val="0"/>
                          <w:marBottom w:val="0"/>
                          <w:divBdr>
                            <w:top w:val="single" w:sz="6" w:space="1" w:color="1E3C77"/>
                            <w:left w:val="single" w:sz="6" w:space="1" w:color="1E3C77"/>
                            <w:bottom w:val="single" w:sz="6" w:space="1" w:color="1E3C77"/>
                            <w:right w:val="single" w:sz="6" w:space="1" w:color="1E3C77"/>
                          </w:divBdr>
                          <w:divsChild>
                            <w:div w:id="898058561">
                              <w:marLeft w:val="0"/>
                              <w:marRight w:val="0"/>
                              <w:marTop w:val="0"/>
                              <w:marBottom w:val="0"/>
                              <w:divBdr>
                                <w:top w:val="single" w:sz="6" w:space="6" w:color="183061"/>
                                <w:left w:val="single" w:sz="6" w:space="0" w:color="183061"/>
                                <w:bottom w:val="single" w:sz="6" w:space="0" w:color="183061"/>
                                <w:right w:val="single" w:sz="6" w:space="0" w:color="183061"/>
                              </w:divBdr>
                              <w:divsChild>
                                <w:div w:id="113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84829392">
      <w:bodyDiv w:val="1"/>
      <w:marLeft w:val="0"/>
      <w:marRight w:val="0"/>
      <w:marTop w:val="0"/>
      <w:marBottom w:val="0"/>
      <w:divBdr>
        <w:top w:val="none" w:sz="0" w:space="0" w:color="auto"/>
        <w:left w:val="none" w:sz="0" w:space="0" w:color="auto"/>
        <w:bottom w:val="none" w:sz="0" w:space="0" w:color="auto"/>
        <w:right w:val="none" w:sz="0" w:space="0" w:color="auto"/>
      </w:divBdr>
    </w:div>
    <w:div w:id="1934628450">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347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ps.ahrq.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4/DC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duffys@nida.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EF22-4E5E-42EA-AF6D-46A026A4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5322</Words>
  <Characters>30759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36009</CharactersWithSpaces>
  <SharedDoc>false</SharedDoc>
  <HLinks>
    <vt:vector size="18" baseType="variant">
      <vt:variant>
        <vt:i4>1048596</vt:i4>
      </vt:variant>
      <vt:variant>
        <vt:i4>9</vt:i4>
      </vt:variant>
      <vt:variant>
        <vt:i4>0</vt:i4>
      </vt:variant>
      <vt:variant>
        <vt:i4>5</vt:i4>
      </vt:variant>
      <vt:variant>
        <vt:lpwstr>http://www.meps.ahrq.gov/</vt:lpwstr>
      </vt:variant>
      <vt:variant>
        <vt:lpwstr/>
      </vt:variant>
      <vt:variant>
        <vt:i4>2818052</vt:i4>
      </vt:variant>
      <vt:variant>
        <vt:i4>6</vt:i4>
      </vt:variant>
      <vt:variant>
        <vt:i4>0</vt:i4>
      </vt:variant>
      <vt:variant>
        <vt:i4>5</vt:i4>
      </vt:variant>
      <vt:variant>
        <vt:lpwstr>http://www.bls.gov/oes/current/oes_nat.htm</vt:lpwstr>
      </vt:variant>
      <vt:variant>
        <vt:lpwstr>b29-0000</vt:lpwstr>
      </vt:variant>
      <vt:variant>
        <vt:i4>4587558</vt:i4>
      </vt:variant>
      <vt:variant>
        <vt:i4>3</vt:i4>
      </vt:variant>
      <vt:variant>
        <vt:i4>0</vt:i4>
      </vt:variant>
      <vt:variant>
        <vt:i4>5</vt:i4>
      </vt:variant>
      <vt:variant>
        <vt:lpwstr>mailto:duffys@nida.nih.gov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2</cp:revision>
  <cp:lastPrinted>2012-05-11T19:27:00Z</cp:lastPrinted>
  <dcterms:created xsi:type="dcterms:W3CDTF">2015-01-29T20:31:00Z</dcterms:created>
  <dcterms:modified xsi:type="dcterms:W3CDTF">2015-01-29T20:31:00Z</dcterms:modified>
</cp:coreProperties>
</file>