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0D8" w:rsidRDefault="00900DD1">
      <w:bookmarkStart w:id="0" w:name="OLE_LINK1"/>
      <w:bookmarkStart w:id="1" w:name="_GoBack"/>
      <w:bookmarkEnd w:id="1"/>
      <w:r>
        <w:rPr>
          <w:noProof/>
        </w:rPr>
        <w:drawing>
          <wp:inline distT="0" distB="0" distL="0" distR="0">
            <wp:extent cx="1057275" cy="10572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057275" cy="1057275"/>
                    </a:xfrm>
                    <a:prstGeom prst="rect">
                      <a:avLst/>
                    </a:prstGeom>
                    <a:noFill/>
                    <a:ln w="9525">
                      <a:noFill/>
                      <a:miter lim="800000"/>
                      <a:headEnd/>
                      <a:tailEnd/>
                    </a:ln>
                  </pic:spPr>
                </pic:pic>
              </a:graphicData>
            </a:graphic>
          </wp:inline>
        </w:drawing>
      </w:r>
      <w:bookmarkEnd w:id="0"/>
      <w:r w:rsidR="007900D8" w:rsidRPr="006B1E69">
        <w:rPr>
          <w:b/>
        </w:rPr>
        <w:tab/>
      </w:r>
      <w:r w:rsidR="007900D8" w:rsidRPr="006B1E69">
        <w:rPr>
          <w:b/>
        </w:rPr>
        <w:tab/>
      </w:r>
      <w:r w:rsidR="007900D8" w:rsidRPr="006B1E69">
        <w:rPr>
          <w:b/>
        </w:rPr>
        <w:tab/>
      </w:r>
      <w:r w:rsidR="007900D8" w:rsidRPr="006B1E69">
        <w:rPr>
          <w:b/>
        </w:rPr>
        <w:tab/>
      </w:r>
    </w:p>
    <w:p w:rsidR="007900D8" w:rsidRDefault="007900D8" w:rsidP="006B1E69">
      <w:pPr>
        <w:rPr>
          <w:b/>
        </w:rPr>
      </w:pPr>
    </w:p>
    <w:p w:rsidR="007900D8" w:rsidRPr="00A5004E" w:rsidRDefault="007900D8" w:rsidP="006B1E69">
      <w:pPr>
        <w:rPr>
          <w:b/>
          <w:sz w:val="16"/>
          <w:szCs w:val="16"/>
        </w:rPr>
      </w:pPr>
    </w:p>
    <w:p w:rsidR="007900D8" w:rsidRPr="006B1E69" w:rsidRDefault="007900D8" w:rsidP="006B1E69">
      <w:pPr>
        <w:rPr>
          <w:b/>
        </w:rPr>
      </w:pPr>
      <w:r w:rsidRPr="006B1E69">
        <w:rPr>
          <w:b/>
        </w:rPr>
        <w:t>U.S. Department of Justice</w:t>
      </w:r>
    </w:p>
    <w:p w:rsidR="007900D8" w:rsidRDefault="007900D8" w:rsidP="006B1E69"/>
    <w:p w:rsidR="007900D8" w:rsidRDefault="007900D8" w:rsidP="006B1E69">
      <w:r>
        <w:t>Office of Justice Programs</w:t>
      </w:r>
    </w:p>
    <w:p w:rsidR="007900D8" w:rsidRDefault="007900D8"/>
    <w:p w:rsidR="007900D8" w:rsidRPr="00527AB7" w:rsidRDefault="007900D8">
      <w:pPr>
        <w:rPr>
          <w:i/>
        </w:rPr>
      </w:pPr>
      <w:r w:rsidRPr="00527AB7">
        <w:rPr>
          <w:i/>
        </w:rPr>
        <w:t>Bureau of Justice Statistics</w:t>
      </w:r>
    </w:p>
    <w:p w:rsidR="007900D8" w:rsidRDefault="007900D8">
      <w:pPr>
        <w:sectPr w:rsidR="007900D8" w:rsidSect="00A5004E">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720" w:footer="720" w:gutter="0"/>
          <w:cols w:num="2" w:space="720"/>
          <w:docGrid w:linePitch="360"/>
        </w:sectPr>
      </w:pPr>
    </w:p>
    <w:p w:rsidR="007900D8" w:rsidRDefault="007900D8" w:rsidP="000C6475">
      <w:pPr>
        <w:pBdr>
          <w:top w:val="single" w:sz="18" w:space="1" w:color="auto"/>
        </w:pBdr>
        <w:rPr>
          <w:i/>
          <w:sz w:val="16"/>
          <w:szCs w:val="16"/>
        </w:rPr>
      </w:pPr>
      <w:r>
        <w:lastRenderedPageBreak/>
        <w:tab/>
      </w:r>
      <w:r>
        <w:tab/>
      </w:r>
      <w:r>
        <w:tab/>
      </w:r>
      <w:r>
        <w:tab/>
      </w:r>
      <w:r>
        <w:tab/>
      </w:r>
      <w:r>
        <w:tab/>
      </w:r>
      <w:r>
        <w:tab/>
      </w:r>
      <w:r w:rsidRPr="000C6475">
        <w:rPr>
          <w:i/>
          <w:sz w:val="16"/>
          <w:szCs w:val="16"/>
        </w:rPr>
        <w:t>Washington, D.C. 20531</w:t>
      </w:r>
    </w:p>
    <w:p w:rsidR="007900D8" w:rsidRPr="007230E6" w:rsidRDefault="007900D8" w:rsidP="000C6475">
      <w:pPr>
        <w:pBdr>
          <w:top w:val="single" w:sz="18" w:space="1" w:color="auto"/>
        </w:pBdr>
        <w:rPr>
          <w:b/>
          <w:sz w:val="22"/>
          <w:szCs w:val="22"/>
        </w:rPr>
      </w:pPr>
      <w:r w:rsidRPr="007230E6">
        <w:rPr>
          <w:b/>
          <w:sz w:val="22"/>
          <w:szCs w:val="22"/>
        </w:rPr>
        <w:t>MEMORANDUM</w:t>
      </w:r>
    </w:p>
    <w:p w:rsidR="007900D8" w:rsidRPr="007230E6" w:rsidRDefault="007900D8" w:rsidP="000C6475">
      <w:pPr>
        <w:pBdr>
          <w:top w:val="single" w:sz="18" w:space="1" w:color="auto"/>
        </w:pBdr>
        <w:rPr>
          <w:sz w:val="22"/>
          <w:szCs w:val="22"/>
        </w:rPr>
      </w:pPr>
    </w:p>
    <w:p w:rsidR="007900D8" w:rsidRDefault="007900D8" w:rsidP="000C6475">
      <w:pPr>
        <w:pBdr>
          <w:top w:val="single" w:sz="18" w:space="1" w:color="auto"/>
        </w:pBdr>
        <w:rPr>
          <w:sz w:val="22"/>
          <w:szCs w:val="22"/>
        </w:rPr>
      </w:pPr>
      <w:r w:rsidRPr="007230E6">
        <w:rPr>
          <w:b/>
          <w:sz w:val="22"/>
          <w:szCs w:val="22"/>
        </w:rPr>
        <w:t>TO:</w:t>
      </w:r>
      <w:r w:rsidRPr="007230E6">
        <w:rPr>
          <w:sz w:val="22"/>
          <w:szCs w:val="22"/>
        </w:rPr>
        <w:tab/>
      </w:r>
      <w:r w:rsidRPr="007230E6">
        <w:rPr>
          <w:sz w:val="22"/>
          <w:szCs w:val="22"/>
        </w:rPr>
        <w:tab/>
      </w:r>
      <w:r w:rsidR="000E5C0D">
        <w:rPr>
          <w:sz w:val="22"/>
          <w:szCs w:val="22"/>
        </w:rPr>
        <w:tab/>
      </w:r>
      <w:r w:rsidR="004F62C2">
        <w:rPr>
          <w:sz w:val="22"/>
          <w:szCs w:val="22"/>
        </w:rPr>
        <w:t>Shelly Martinez</w:t>
      </w:r>
    </w:p>
    <w:p w:rsidR="0061770F" w:rsidRDefault="0061770F" w:rsidP="000C6475">
      <w:pPr>
        <w:pBdr>
          <w:top w:val="single" w:sz="18" w:space="1" w:color="auto"/>
        </w:pBdr>
        <w:rPr>
          <w:sz w:val="22"/>
          <w:szCs w:val="22"/>
        </w:rPr>
      </w:pPr>
      <w:r>
        <w:rPr>
          <w:sz w:val="22"/>
          <w:szCs w:val="22"/>
        </w:rPr>
        <w:tab/>
      </w:r>
      <w:r>
        <w:rPr>
          <w:sz w:val="22"/>
          <w:szCs w:val="22"/>
        </w:rPr>
        <w:tab/>
      </w:r>
      <w:r>
        <w:rPr>
          <w:sz w:val="22"/>
          <w:szCs w:val="22"/>
        </w:rPr>
        <w:tab/>
      </w:r>
      <w:r w:rsidR="004F62C2">
        <w:rPr>
          <w:sz w:val="22"/>
          <w:szCs w:val="22"/>
        </w:rPr>
        <w:t xml:space="preserve">Desk </w:t>
      </w:r>
      <w:r>
        <w:rPr>
          <w:sz w:val="22"/>
          <w:szCs w:val="22"/>
        </w:rPr>
        <w:t>Officer</w:t>
      </w:r>
    </w:p>
    <w:p w:rsidR="004F62C2" w:rsidRDefault="004F62C2" w:rsidP="000C6475">
      <w:pPr>
        <w:pBdr>
          <w:top w:val="single" w:sz="18" w:space="1" w:color="auto"/>
        </w:pBdr>
        <w:rPr>
          <w:sz w:val="22"/>
          <w:szCs w:val="22"/>
        </w:rPr>
      </w:pPr>
      <w:r>
        <w:rPr>
          <w:sz w:val="22"/>
          <w:szCs w:val="22"/>
        </w:rPr>
        <w:t xml:space="preserve">                                       Office of Statistical Science and Policy</w:t>
      </w:r>
    </w:p>
    <w:p w:rsidR="0061770F" w:rsidRPr="007230E6" w:rsidRDefault="0061770F" w:rsidP="000C6475">
      <w:pPr>
        <w:pBdr>
          <w:top w:val="single" w:sz="18" w:space="1" w:color="auto"/>
        </w:pBdr>
        <w:rPr>
          <w:sz w:val="22"/>
          <w:szCs w:val="22"/>
        </w:rPr>
      </w:pPr>
      <w:r>
        <w:rPr>
          <w:sz w:val="22"/>
          <w:szCs w:val="22"/>
        </w:rPr>
        <w:tab/>
      </w:r>
      <w:r>
        <w:rPr>
          <w:sz w:val="22"/>
          <w:szCs w:val="22"/>
        </w:rPr>
        <w:tab/>
      </w:r>
      <w:r>
        <w:rPr>
          <w:sz w:val="22"/>
          <w:szCs w:val="22"/>
        </w:rPr>
        <w:tab/>
      </w:r>
      <w:r w:rsidR="004F62C2">
        <w:rPr>
          <w:sz w:val="22"/>
          <w:szCs w:val="22"/>
        </w:rPr>
        <w:t>Office of Management and Budget</w:t>
      </w:r>
    </w:p>
    <w:p w:rsidR="007900D8" w:rsidRPr="007230E6" w:rsidRDefault="007900D8" w:rsidP="000C6475">
      <w:pPr>
        <w:pBdr>
          <w:top w:val="single" w:sz="18" w:space="1" w:color="auto"/>
        </w:pBdr>
        <w:rPr>
          <w:sz w:val="22"/>
          <w:szCs w:val="22"/>
        </w:rPr>
      </w:pPr>
      <w:r w:rsidRPr="007230E6">
        <w:rPr>
          <w:sz w:val="22"/>
          <w:szCs w:val="22"/>
        </w:rPr>
        <w:tab/>
      </w:r>
    </w:p>
    <w:p w:rsidR="004F62C2" w:rsidRPr="004F62C2" w:rsidRDefault="004072D7" w:rsidP="000C6475">
      <w:pPr>
        <w:pBdr>
          <w:top w:val="single" w:sz="18" w:space="1" w:color="auto"/>
        </w:pBdr>
        <w:rPr>
          <w:sz w:val="22"/>
          <w:szCs w:val="22"/>
        </w:rPr>
      </w:pPr>
      <w:r>
        <w:rPr>
          <w:b/>
          <w:sz w:val="22"/>
          <w:szCs w:val="22"/>
        </w:rPr>
        <w:t>THROUGH:</w:t>
      </w:r>
      <w:r w:rsidR="000E5C0D">
        <w:rPr>
          <w:b/>
          <w:sz w:val="22"/>
          <w:szCs w:val="22"/>
        </w:rPr>
        <w:tab/>
      </w:r>
      <w:r w:rsidR="000E5C0D">
        <w:rPr>
          <w:b/>
          <w:sz w:val="22"/>
          <w:szCs w:val="22"/>
        </w:rPr>
        <w:tab/>
      </w:r>
      <w:r w:rsidR="004F62C2" w:rsidRPr="004F62C2">
        <w:rPr>
          <w:sz w:val="22"/>
          <w:szCs w:val="22"/>
        </w:rPr>
        <w:t>Lynn Murray</w:t>
      </w:r>
    </w:p>
    <w:p w:rsidR="004F62C2" w:rsidRPr="004F62C2" w:rsidRDefault="004F62C2" w:rsidP="000C6475">
      <w:pPr>
        <w:pBdr>
          <w:top w:val="single" w:sz="18" w:space="1" w:color="auto"/>
        </w:pBdr>
        <w:rPr>
          <w:sz w:val="22"/>
          <w:szCs w:val="22"/>
        </w:rPr>
      </w:pPr>
      <w:r w:rsidRPr="004F62C2">
        <w:rPr>
          <w:sz w:val="22"/>
          <w:szCs w:val="22"/>
        </w:rPr>
        <w:tab/>
      </w:r>
      <w:r w:rsidRPr="004F62C2">
        <w:rPr>
          <w:sz w:val="22"/>
          <w:szCs w:val="22"/>
        </w:rPr>
        <w:tab/>
      </w:r>
      <w:r w:rsidRPr="004F62C2">
        <w:rPr>
          <w:sz w:val="22"/>
          <w:szCs w:val="22"/>
        </w:rPr>
        <w:tab/>
        <w:t xml:space="preserve">Clearance Officer </w:t>
      </w:r>
    </w:p>
    <w:p w:rsidR="004F62C2" w:rsidRPr="004F62C2" w:rsidRDefault="004F62C2" w:rsidP="000C6475">
      <w:pPr>
        <w:pBdr>
          <w:top w:val="single" w:sz="18" w:space="1" w:color="auto"/>
        </w:pBdr>
        <w:rPr>
          <w:sz w:val="22"/>
          <w:szCs w:val="22"/>
        </w:rPr>
      </w:pPr>
      <w:r w:rsidRPr="004F62C2">
        <w:rPr>
          <w:sz w:val="22"/>
          <w:szCs w:val="22"/>
        </w:rPr>
        <w:t xml:space="preserve">                                       Justice Management Division</w:t>
      </w:r>
    </w:p>
    <w:p w:rsidR="004F62C2" w:rsidRDefault="004F62C2" w:rsidP="000C6475">
      <w:pPr>
        <w:pBdr>
          <w:top w:val="single" w:sz="18" w:space="1" w:color="auto"/>
        </w:pBdr>
        <w:rPr>
          <w:b/>
          <w:sz w:val="22"/>
          <w:szCs w:val="22"/>
        </w:rPr>
      </w:pPr>
      <w:r>
        <w:rPr>
          <w:b/>
          <w:sz w:val="22"/>
          <w:szCs w:val="22"/>
        </w:rPr>
        <w:t xml:space="preserve">                                     </w:t>
      </w:r>
    </w:p>
    <w:p w:rsidR="004072D7" w:rsidRDefault="004F62C2" w:rsidP="000C6475">
      <w:pPr>
        <w:pBdr>
          <w:top w:val="single" w:sz="18" w:space="1" w:color="auto"/>
        </w:pBdr>
        <w:rPr>
          <w:sz w:val="22"/>
          <w:szCs w:val="22"/>
        </w:rPr>
      </w:pPr>
      <w:r>
        <w:rPr>
          <w:sz w:val="22"/>
          <w:szCs w:val="22"/>
        </w:rPr>
        <w:t xml:space="preserve">                                       </w:t>
      </w:r>
      <w:r w:rsidR="007B5E3F">
        <w:rPr>
          <w:sz w:val="22"/>
          <w:szCs w:val="22"/>
        </w:rPr>
        <w:t>William J. Sabol</w:t>
      </w:r>
    </w:p>
    <w:p w:rsidR="0061770F" w:rsidRDefault="0061770F" w:rsidP="000C6475">
      <w:pPr>
        <w:pBdr>
          <w:top w:val="single" w:sz="18" w:space="1" w:color="auto"/>
        </w:pBdr>
        <w:rPr>
          <w:sz w:val="22"/>
          <w:szCs w:val="22"/>
        </w:rPr>
      </w:pPr>
      <w:r>
        <w:rPr>
          <w:sz w:val="22"/>
          <w:szCs w:val="22"/>
        </w:rPr>
        <w:tab/>
      </w:r>
      <w:r>
        <w:rPr>
          <w:sz w:val="22"/>
          <w:szCs w:val="22"/>
        </w:rPr>
        <w:tab/>
      </w:r>
      <w:r>
        <w:rPr>
          <w:sz w:val="22"/>
          <w:szCs w:val="22"/>
        </w:rPr>
        <w:tab/>
      </w:r>
      <w:r w:rsidR="007B5E3F">
        <w:rPr>
          <w:sz w:val="22"/>
          <w:szCs w:val="22"/>
        </w:rPr>
        <w:t xml:space="preserve">Acting </w:t>
      </w:r>
      <w:r>
        <w:rPr>
          <w:sz w:val="22"/>
          <w:szCs w:val="22"/>
        </w:rPr>
        <w:t>Director</w:t>
      </w:r>
    </w:p>
    <w:p w:rsidR="007F5B01" w:rsidRDefault="0061770F" w:rsidP="000C6475">
      <w:pPr>
        <w:pBdr>
          <w:top w:val="single" w:sz="18" w:space="1" w:color="auto"/>
        </w:pBdr>
        <w:rPr>
          <w:sz w:val="22"/>
          <w:szCs w:val="22"/>
        </w:rPr>
      </w:pPr>
      <w:r>
        <w:rPr>
          <w:sz w:val="22"/>
          <w:szCs w:val="22"/>
        </w:rPr>
        <w:tab/>
      </w:r>
      <w:r>
        <w:rPr>
          <w:sz w:val="22"/>
          <w:szCs w:val="22"/>
        </w:rPr>
        <w:tab/>
      </w:r>
      <w:r>
        <w:rPr>
          <w:sz w:val="22"/>
          <w:szCs w:val="22"/>
        </w:rPr>
        <w:tab/>
      </w:r>
    </w:p>
    <w:p w:rsidR="007F5B01" w:rsidRDefault="007F5B01" w:rsidP="000C6475">
      <w:pPr>
        <w:pBdr>
          <w:top w:val="single" w:sz="18" w:space="1" w:color="auto"/>
        </w:pBdr>
        <w:rPr>
          <w:sz w:val="22"/>
          <w:szCs w:val="22"/>
        </w:rPr>
      </w:pPr>
      <w:r>
        <w:rPr>
          <w:sz w:val="22"/>
          <w:szCs w:val="22"/>
        </w:rPr>
        <w:tab/>
      </w:r>
      <w:r>
        <w:rPr>
          <w:sz w:val="22"/>
          <w:szCs w:val="22"/>
        </w:rPr>
        <w:tab/>
      </w:r>
      <w:r>
        <w:rPr>
          <w:sz w:val="22"/>
          <w:szCs w:val="22"/>
        </w:rPr>
        <w:tab/>
      </w:r>
      <w:r w:rsidR="007B5E3F">
        <w:rPr>
          <w:sz w:val="22"/>
          <w:szCs w:val="22"/>
        </w:rPr>
        <w:t>Howard Snyder</w:t>
      </w:r>
    </w:p>
    <w:p w:rsidR="007F5B01" w:rsidRPr="000E5C0D" w:rsidRDefault="007F5B01" w:rsidP="000C6475">
      <w:pPr>
        <w:pBdr>
          <w:top w:val="single" w:sz="18" w:space="1" w:color="auto"/>
        </w:pBdr>
        <w:rPr>
          <w:sz w:val="22"/>
          <w:szCs w:val="22"/>
        </w:rPr>
      </w:pPr>
      <w:r>
        <w:rPr>
          <w:sz w:val="22"/>
          <w:szCs w:val="22"/>
        </w:rPr>
        <w:tab/>
      </w:r>
      <w:r>
        <w:rPr>
          <w:sz w:val="22"/>
          <w:szCs w:val="22"/>
        </w:rPr>
        <w:tab/>
      </w:r>
      <w:r>
        <w:rPr>
          <w:sz w:val="22"/>
          <w:szCs w:val="22"/>
        </w:rPr>
        <w:tab/>
      </w:r>
      <w:r w:rsidR="007B5E3F">
        <w:rPr>
          <w:sz w:val="22"/>
          <w:szCs w:val="22"/>
        </w:rPr>
        <w:t>Deputy Director</w:t>
      </w:r>
    </w:p>
    <w:p w:rsidR="004072D7" w:rsidRDefault="004072D7" w:rsidP="000C6475">
      <w:pPr>
        <w:pBdr>
          <w:top w:val="single" w:sz="18" w:space="1" w:color="auto"/>
        </w:pBdr>
        <w:rPr>
          <w:b/>
          <w:sz w:val="22"/>
          <w:szCs w:val="22"/>
        </w:rPr>
      </w:pPr>
    </w:p>
    <w:p w:rsidR="0061770F" w:rsidRDefault="007900D8" w:rsidP="000C6475">
      <w:pPr>
        <w:pBdr>
          <w:top w:val="single" w:sz="18" w:space="1" w:color="auto"/>
        </w:pBdr>
        <w:rPr>
          <w:sz w:val="22"/>
          <w:szCs w:val="22"/>
        </w:rPr>
      </w:pPr>
      <w:r w:rsidRPr="007230E6">
        <w:rPr>
          <w:b/>
          <w:sz w:val="22"/>
          <w:szCs w:val="22"/>
        </w:rPr>
        <w:t>FROM:</w:t>
      </w:r>
      <w:r w:rsidRPr="007230E6">
        <w:rPr>
          <w:sz w:val="22"/>
          <w:szCs w:val="22"/>
        </w:rPr>
        <w:tab/>
      </w:r>
      <w:r w:rsidR="000E5C0D">
        <w:rPr>
          <w:sz w:val="22"/>
          <w:szCs w:val="22"/>
        </w:rPr>
        <w:tab/>
      </w:r>
      <w:r w:rsidR="007B5E3F">
        <w:rPr>
          <w:sz w:val="22"/>
          <w:szCs w:val="22"/>
        </w:rPr>
        <w:t>Tracey Kyckelhahn</w:t>
      </w:r>
      <w:r w:rsidR="00E54FB7">
        <w:rPr>
          <w:sz w:val="22"/>
          <w:szCs w:val="22"/>
        </w:rPr>
        <w:t xml:space="preserve"> </w:t>
      </w:r>
    </w:p>
    <w:p w:rsidR="0061770F" w:rsidRDefault="0061770F" w:rsidP="000C0C42">
      <w:pPr>
        <w:pBdr>
          <w:top w:val="single" w:sz="18" w:space="1" w:color="auto"/>
        </w:pBdr>
        <w:ind w:firstLine="720"/>
        <w:rPr>
          <w:sz w:val="22"/>
          <w:szCs w:val="22"/>
        </w:rPr>
      </w:pPr>
      <w:r>
        <w:rPr>
          <w:sz w:val="22"/>
          <w:szCs w:val="22"/>
        </w:rPr>
        <w:t xml:space="preserve">                          </w:t>
      </w:r>
      <w:r w:rsidR="007B5E3F">
        <w:rPr>
          <w:sz w:val="22"/>
          <w:szCs w:val="22"/>
        </w:rPr>
        <w:t>Statistician</w:t>
      </w:r>
      <w:r w:rsidR="007900D8" w:rsidRPr="007230E6">
        <w:rPr>
          <w:sz w:val="22"/>
          <w:szCs w:val="22"/>
        </w:rPr>
        <w:t xml:space="preserve"> </w:t>
      </w:r>
    </w:p>
    <w:p w:rsidR="007900D8" w:rsidRPr="007230E6" w:rsidRDefault="0061770F" w:rsidP="007F5B01">
      <w:pPr>
        <w:pBdr>
          <w:top w:val="single" w:sz="18" w:space="1" w:color="auto"/>
        </w:pBdr>
        <w:ind w:firstLine="720"/>
        <w:rPr>
          <w:sz w:val="22"/>
          <w:szCs w:val="22"/>
        </w:rPr>
      </w:pPr>
      <w:r>
        <w:rPr>
          <w:sz w:val="22"/>
          <w:szCs w:val="22"/>
        </w:rPr>
        <w:t xml:space="preserve">                          </w:t>
      </w:r>
    </w:p>
    <w:p w:rsidR="007900D8" w:rsidRDefault="007900D8" w:rsidP="000C0C42">
      <w:pPr>
        <w:pBdr>
          <w:top w:val="single" w:sz="18" w:space="1" w:color="auto"/>
        </w:pBdr>
        <w:ind w:left="2160" w:hanging="2160"/>
        <w:rPr>
          <w:sz w:val="22"/>
          <w:szCs w:val="22"/>
        </w:rPr>
      </w:pPr>
      <w:r w:rsidRPr="007230E6">
        <w:rPr>
          <w:b/>
          <w:sz w:val="22"/>
          <w:szCs w:val="22"/>
        </w:rPr>
        <w:t>SUBJECT:</w:t>
      </w:r>
      <w:r w:rsidRPr="007230E6">
        <w:rPr>
          <w:sz w:val="22"/>
          <w:szCs w:val="22"/>
        </w:rPr>
        <w:tab/>
      </w:r>
      <w:r w:rsidR="0061770F">
        <w:rPr>
          <w:sz w:val="22"/>
          <w:szCs w:val="22"/>
        </w:rPr>
        <w:t>Non-substantive Change to OMB# 1121-03</w:t>
      </w:r>
      <w:r w:rsidR="007B5E3F">
        <w:rPr>
          <w:sz w:val="22"/>
          <w:szCs w:val="22"/>
        </w:rPr>
        <w:t>49</w:t>
      </w:r>
      <w:r w:rsidR="0061770F">
        <w:rPr>
          <w:sz w:val="22"/>
          <w:szCs w:val="22"/>
        </w:rPr>
        <w:t xml:space="preserve"> </w:t>
      </w:r>
      <w:r w:rsidR="007B5E3F">
        <w:rPr>
          <w:sz w:val="22"/>
          <w:szCs w:val="22"/>
        </w:rPr>
        <w:t>Survey of Juveniles Charged in Adult Criminal Court (SJCACC)</w:t>
      </w:r>
      <w:r w:rsidR="0061770F">
        <w:rPr>
          <w:sz w:val="22"/>
          <w:szCs w:val="22"/>
        </w:rPr>
        <w:t xml:space="preserve">     </w:t>
      </w:r>
    </w:p>
    <w:p w:rsidR="004072D7" w:rsidRPr="007230E6" w:rsidRDefault="004072D7" w:rsidP="00001A01">
      <w:pPr>
        <w:pBdr>
          <w:top w:val="single" w:sz="18" w:space="1" w:color="auto"/>
        </w:pBdr>
        <w:ind w:left="1440" w:hanging="1440"/>
        <w:rPr>
          <w:sz w:val="22"/>
          <w:szCs w:val="22"/>
        </w:rPr>
      </w:pPr>
    </w:p>
    <w:p w:rsidR="007900D8" w:rsidRPr="007230E6" w:rsidRDefault="007900D8" w:rsidP="000C6475">
      <w:pPr>
        <w:pBdr>
          <w:top w:val="single" w:sz="18" w:space="1" w:color="auto"/>
        </w:pBdr>
        <w:rPr>
          <w:sz w:val="22"/>
          <w:szCs w:val="22"/>
        </w:rPr>
      </w:pPr>
      <w:r w:rsidRPr="007230E6">
        <w:rPr>
          <w:b/>
          <w:sz w:val="22"/>
          <w:szCs w:val="22"/>
        </w:rPr>
        <w:t>DATE:</w:t>
      </w:r>
      <w:r w:rsidRPr="007230E6">
        <w:rPr>
          <w:sz w:val="22"/>
          <w:szCs w:val="22"/>
        </w:rPr>
        <w:tab/>
      </w:r>
      <w:r>
        <w:rPr>
          <w:sz w:val="22"/>
          <w:szCs w:val="22"/>
        </w:rPr>
        <w:tab/>
      </w:r>
      <w:r w:rsidRPr="007230E6">
        <w:rPr>
          <w:sz w:val="22"/>
          <w:szCs w:val="22"/>
        </w:rPr>
        <w:t xml:space="preserve"> </w:t>
      </w:r>
      <w:r w:rsidR="00582CD6">
        <w:rPr>
          <w:sz w:val="22"/>
          <w:szCs w:val="22"/>
        </w:rPr>
        <w:tab/>
      </w:r>
      <w:r w:rsidR="00066375">
        <w:rPr>
          <w:sz w:val="22"/>
          <w:szCs w:val="22"/>
        </w:rPr>
        <w:t>December 15</w:t>
      </w:r>
      <w:r w:rsidR="0061770F">
        <w:rPr>
          <w:sz w:val="22"/>
          <w:szCs w:val="22"/>
        </w:rPr>
        <w:t>, 201</w:t>
      </w:r>
      <w:r w:rsidR="007B5E3F">
        <w:rPr>
          <w:sz w:val="22"/>
          <w:szCs w:val="22"/>
        </w:rPr>
        <w:t>4</w:t>
      </w:r>
    </w:p>
    <w:p w:rsidR="007900D8" w:rsidRPr="007230E6" w:rsidRDefault="007900D8" w:rsidP="000C6475">
      <w:pPr>
        <w:pBdr>
          <w:top w:val="single" w:sz="18" w:space="1" w:color="auto"/>
        </w:pBdr>
        <w:rPr>
          <w:sz w:val="22"/>
          <w:szCs w:val="22"/>
        </w:rPr>
      </w:pPr>
    </w:p>
    <w:p w:rsidR="004072D7" w:rsidRDefault="004072D7" w:rsidP="004072D7">
      <w:r w:rsidRPr="00AC6F67">
        <w:t xml:space="preserve">The purpose of this memorandum is to advise OMB of changes to the </w:t>
      </w:r>
      <w:r w:rsidR="007B5E3F">
        <w:t>Survey of Juveniles Charged in Adult Criminal Court (SJCACC)</w:t>
      </w:r>
      <w:r w:rsidRPr="00AC6F67">
        <w:t xml:space="preserve"> data collection </w:t>
      </w:r>
      <w:r w:rsidR="007B5E3F">
        <w:t>reference year from 2014 to 2013</w:t>
      </w:r>
      <w:r w:rsidRPr="00AC6F67">
        <w:t xml:space="preserve">. BJS </w:t>
      </w:r>
      <w:r w:rsidR="007B5E3F">
        <w:t>has attached the survey form, instruction guides, and participant invitation letter that reflects the change in year</w:t>
      </w:r>
      <w:r w:rsidR="005A335A">
        <w:t>.</w:t>
      </w:r>
      <w:r w:rsidR="007B07DE">
        <w:t xml:space="preserve">  </w:t>
      </w:r>
    </w:p>
    <w:p w:rsidR="006E7BE2" w:rsidRDefault="006E7BE2" w:rsidP="004072D7"/>
    <w:p w:rsidR="004072D7" w:rsidRPr="00AC6F67" w:rsidRDefault="006E7BE2" w:rsidP="004072D7">
      <w:r>
        <w:t xml:space="preserve">The SJCACC will collect data on juveniles charged in adult criminal court.  </w:t>
      </w:r>
      <w:r w:rsidR="002D1983">
        <w:t>It is the first nationally representative collection of its kind</w:t>
      </w:r>
      <w:r w:rsidR="006F447B">
        <w:t xml:space="preserve"> and will provide researchers and policymakers with tools to evaluate the outcomes of this unique population.</w:t>
      </w:r>
      <w:r w:rsidR="00FC3026">
        <w:t xml:space="preserve">  This collection will also provide information on the availability of court information in each state, which will </w:t>
      </w:r>
      <w:r w:rsidR="005B4441">
        <w:t>provide a foundation for the upcoming National Judicial Reporting Program.</w:t>
      </w:r>
      <w:r w:rsidR="00200A3C">
        <w:t xml:space="preserve">  Obtaining this information quickly will therefore benefit other court projects.</w:t>
      </w:r>
    </w:p>
    <w:p w:rsidR="002C60A5" w:rsidRPr="00AC6F67" w:rsidRDefault="002C60A5" w:rsidP="004072D7"/>
    <w:p w:rsidR="004072D7" w:rsidRPr="00AC6F67" w:rsidRDefault="004072D7" w:rsidP="004072D7">
      <w:r w:rsidRPr="00AC6F67">
        <w:t xml:space="preserve">OMB clearance for the </w:t>
      </w:r>
      <w:r w:rsidR="0015739B">
        <w:t>SJCACC</w:t>
      </w:r>
      <w:r w:rsidRPr="00AC6F67">
        <w:t xml:space="preserve"> data collection, ICR </w:t>
      </w:r>
      <w:r w:rsidR="0015739B">
        <w:t>reference number 201408-1121-00349</w:t>
      </w:r>
      <w:r w:rsidRPr="00AC6F67">
        <w:t xml:space="preserve"> was </w:t>
      </w:r>
      <w:r w:rsidR="00307CB6">
        <w:t>approved</w:t>
      </w:r>
      <w:r w:rsidRPr="00AC6F67">
        <w:t xml:space="preserve"> on </w:t>
      </w:r>
      <w:r w:rsidR="007B5E3F">
        <w:t>November 4, 2014</w:t>
      </w:r>
      <w:r w:rsidR="00566C20">
        <w:t xml:space="preserve"> (Attachment 1</w:t>
      </w:r>
      <w:r w:rsidRPr="00AC6F67">
        <w:t>).</w:t>
      </w:r>
      <w:r w:rsidR="00515EEE">
        <w:t xml:space="preserve">  </w:t>
      </w:r>
    </w:p>
    <w:p w:rsidR="004E3E76" w:rsidRDefault="004E3E76" w:rsidP="004072D7">
      <w:pPr>
        <w:rPr>
          <w:b/>
        </w:rPr>
      </w:pPr>
    </w:p>
    <w:p w:rsidR="004072D7" w:rsidRPr="00AC6F67" w:rsidRDefault="004072D7" w:rsidP="004072D7">
      <w:pPr>
        <w:rPr>
          <w:b/>
        </w:rPr>
      </w:pPr>
      <w:r w:rsidRPr="00AC6F67">
        <w:rPr>
          <w:b/>
        </w:rPr>
        <w:t>Data Collection Schedule</w:t>
      </w:r>
    </w:p>
    <w:p w:rsidR="000F5FFD" w:rsidRDefault="00566C20" w:rsidP="000F5FFD">
      <w:r>
        <w:t xml:space="preserve">The OMB clearance granted BJS approval to collect 2014 data on cases disposed in state criminal courts, with collection beginning early January of 2015.  </w:t>
      </w:r>
      <w:r w:rsidR="00A84953">
        <w:t xml:space="preserve">However, </w:t>
      </w:r>
      <w:r w:rsidR="006E5E1F">
        <w:t>new information indicates that</w:t>
      </w:r>
      <w:r w:rsidR="00A84953">
        <w:t xml:space="preserve"> some states may be unable to provide 2014 data for up to six months after the end of the year.  </w:t>
      </w:r>
      <w:r w:rsidR="006E5E1F">
        <w:t xml:space="preserve">There </w:t>
      </w:r>
      <w:r w:rsidR="006E5E1F">
        <w:lastRenderedPageBreak/>
        <w:t xml:space="preserve">are primarily two reasons for this delay.  First, some states require </w:t>
      </w:r>
      <w:r w:rsidR="00AE3B46">
        <w:t>lengthier data veri</w:t>
      </w:r>
      <w:r w:rsidR="00DC0F89">
        <w:t xml:space="preserve">fication processing than others and data collection for these states may be delayed up to half a year.  Second, some states produce their own reports and may not wish to release the data </w:t>
      </w:r>
      <w:r w:rsidR="002E32E8">
        <w:t xml:space="preserve">prior to those reports.  </w:t>
      </w:r>
      <w:r w:rsidR="003F671B">
        <w:t xml:space="preserve">These reports are based on the states’ fiscal years.  As BJS </w:t>
      </w:r>
      <w:r w:rsidR="00724C94">
        <w:t xml:space="preserve">is requesting calendar </w:t>
      </w:r>
      <w:r w:rsidR="0084133B">
        <w:t xml:space="preserve">year data, </w:t>
      </w:r>
      <w:r w:rsidR="001C351E">
        <w:t>BJS would be required to wait</w:t>
      </w:r>
      <w:r w:rsidR="00395BEC">
        <w:t xml:space="preserve"> until 2016 f</w:t>
      </w:r>
      <w:r w:rsidR="00670F41">
        <w:t>or 2014 data for these states</w:t>
      </w:r>
      <w:r w:rsidR="00D510C0">
        <w:t xml:space="preserve"> as the time period would overlap with two of their fiscal years</w:t>
      </w:r>
      <w:r w:rsidR="00670F41">
        <w:t>, further delaying the project.</w:t>
      </w:r>
    </w:p>
    <w:p w:rsidR="0046735B" w:rsidRDefault="0046735B" w:rsidP="000F5FFD"/>
    <w:p w:rsidR="0046735B" w:rsidRDefault="00C94FD1" w:rsidP="000F5FFD">
      <w:r>
        <w:t xml:space="preserve">The </w:t>
      </w:r>
      <w:r w:rsidR="0046735B">
        <w:t xml:space="preserve">collection experienced unexpected </w:t>
      </w:r>
      <w:r w:rsidR="004F200B">
        <w:t xml:space="preserve">delays early in its design </w:t>
      </w:r>
      <w:r>
        <w:t xml:space="preserve">phase.  As </w:t>
      </w:r>
      <w:proofErr w:type="spellStart"/>
      <w:r>
        <w:t>hese</w:t>
      </w:r>
      <w:proofErr w:type="spellEnd"/>
      <w:r>
        <w:t xml:space="preserve"> data are highly sought by multiple agencies in the federal government, juvenile court judges, researchers, and policy makers</w:t>
      </w:r>
      <w:r w:rsidR="00AE147C">
        <w:t xml:space="preserve"> </w:t>
      </w:r>
      <w:r>
        <w:t>it is important to insure there are not further obstacles.</w:t>
      </w:r>
    </w:p>
    <w:p w:rsidR="004072D7" w:rsidRPr="00AC6F67" w:rsidRDefault="004072D7" w:rsidP="004072D7"/>
    <w:p w:rsidR="004072D7" w:rsidRPr="00AC6F67" w:rsidRDefault="004072D7" w:rsidP="004072D7">
      <w:pPr>
        <w:rPr>
          <w:i/>
        </w:rPr>
      </w:pPr>
      <w:r w:rsidRPr="00AC6F67">
        <w:rPr>
          <w:i/>
        </w:rPr>
        <w:t xml:space="preserve">Burden </w:t>
      </w:r>
    </w:p>
    <w:p w:rsidR="006B218D" w:rsidRDefault="00E57D29" w:rsidP="004072D7">
      <w:r>
        <w:t>It is estimated that t</w:t>
      </w:r>
      <w:r w:rsidR="00AF371C">
        <w:t xml:space="preserve">he burden will stay the same or decrease by changing the reference year from 2014 to 2013.  The states will have already done their own processing for 2013 data by the beginning of 2015, which </w:t>
      </w:r>
      <w:r w:rsidR="00200A3C">
        <w:t>in some states will</w:t>
      </w:r>
      <w:r w:rsidR="004720FF">
        <w:t xml:space="preserve"> not be the case for 2014 data.  </w:t>
      </w:r>
    </w:p>
    <w:p w:rsidR="004072D7" w:rsidRPr="00AC6F67" w:rsidRDefault="004072D7" w:rsidP="004072D7"/>
    <w:p w:rsidR="004072D7" w:rsidRDefault="0046735B" w:rsidP="004072D7">
      <w:pPr>
        <w:rPr>
          <w:b/>
        </w:rPr>
      </w:pPr>
      <w:r>
        <w:rPr>
          <w:b/>
        </w:rPr>
        <w:t>Electronic and hardcopy instruction</w:t>
      </w:r>
      <w:r w:rsidR="00370DFA">
        <w:rPr>
          <w:b/>
        </w:rPr>
        <w:t xml:space="preserve"> guides</w:t>
      </w:r>
    </w:p>
    <w:p w:rsidR="00370DFA" w:rsidRPr="00370DFA" w:rsidRDefault="0046735B" w:rsidP="004072D7">
      <w:r>
        <w:t>The</w:t>
      </w:r>
      <w:r w:rsidR="00370DFA">
        <w:t xml:space="preserve"> survey instruction guide</w:t>
      </w:r>
      <w:r w:rsidR="00A15A99">
        <w:t xml:space="preserve"> (A</w:t>
      </w:r>
      <w:r w:rsidR="008746E0">
        <w:t>ttachment 2</w:t>
      </w:r>
      <w:r w:rsidR="00A15A99">
        <w:t>)</w:t>
      </w:r>
      <w:r w:rsidR="00370DFA">
        <w:t xml:space="preserve"> and</w:t>
      </w:r>
      <w:r>
        <w:t xml:space="preserve"> the </w:t>
      </w:r>
      <w:r w:rsidR="00370DFA">
        <w:t>electronic data extract guide</w:t>
      </w:r>
      <w:r w:rsidR="008746E0">
        <w:t xml:space="preserve"> (Attachment 3</w:t>
      </w:r>
      <w:r w:rsidR="00A15A99">
        <w:t>)</w:t>
      </w:r>
      <w:r w:rsidR="00370DFA">
        <w:t xml:space="preserve"> were updated to change the reference year from 2014 to 2013.  </w:t>
      </w:r>
    </w:p>
    <w:p w:rsidR="004072D7" w:rsidRPr="00AC6F67" w:rsidRDefault="004072D7" w:rsidP="004072D7"/>
    <w:p w:rsidR="004072D7" w:rsidRPr="00AC6F67" w:rsidRDefault="0046735B" w:rsidP="004072D7">
      <w:pPr>
        <w:rPr>
          <w:b/>
        </w:rPr>
      </w:pPr>
      <w:r>
        <w:rPr>
          <w:b/>
        </w:rPr>
        <w:t>Revised correspondence</w:t>
      </w:r>
    </w:p>
    <w:p w:rsidR="004072D7" w:rsidRPr="00AC6F67" w:rsidRDefault="004072D7" w:rsidP="004072D7">
      <w:r w:rsidRPr="00AC6F67">
        <w:t>BJS updated the</w:t>
      </w:r>
      <w:r w:rsidR="0046735B">
        <w:t xml:space="preserve"> approved correspondence letter from Westat/National Center for Juvenile Justice</w:t>
      </w:r>
      <w:r w:rsidR="008746E0">
        <w:t xml:space="preserve"> (Attachment 4</w:t>
      </w:r>
      <w:r w:rsidR="0046735B">
        <w:t xml:space="preserve">).  </w:t>
      </w:r>
      <w:r w:rsidR="00570B41">
        <w:t xml:space="preserve">The only change was to the reference </w:t>
      </w:r>
      <w:r w:rsidR="00D86A4E">
        <w:t xml:space="preserve">year.  </w:t>
      </w:r>
    </w:p>
    <w:p w:rsidR="004072D7" w:rsidRPr="00AC6F67" w:rsidRDefault="004072D7" w:rsidP="004072D7"/>
    <w:p w:rsidR="004072D7" w:rsidRPr="00AC6F67" w:rsidRDefault="004072D7" w:rsidP="004072D7">
      <w:pPr>
        <w:rPr>
          <w:b/>
        </w:rPr>
      </w:pPr>
      <w:r w:rsidRPr="00AC6F67">
        <w:rPr>
          <w:b/>
        </w:rPr>
        <w:t>Summary</w:t>
      </w:r>
    </w:p>
    <w:p w:rsidR="004072D7" w:rsidRPr="00FD7A43" w:rsidRDefault="004072D7" w:rsidP="004072D7">
      <w:r w:rsidRPr="00AC6F67">
        <w:t xml:space="preserve">BJS </w:t>
      </w:r>
      <w:r w:rsidR="004E3E76">
        <w:t>seek</w:t>
      </w:r>
      <w:r w:rsidR="004E3E76" w:rsidRPr="00AC6F67">
        <w:t xml:space="preserve">s </w:t>
      </w:r>
      <w:r w:rsidRPr="00AC6F67">
        <w:t xml:space="preserve">OMB approval of the above noted change to the </w:t>
      </w:r>
      <w:r w:rsidR="00D86A4E">
        <w:t>reference year of the SJCACC</w:t>
      </w:r>
      <w:r w:rsidRPr="00AC6F67">
        <w:t xml:space="preserve"> </w:t>
      </w:r>
      <w:r w:rsidR="00D86A4E">
        <w:t xml:space="preserve">collection.  </w:t>
      </w:r>
      <w:r w:rsidRPr="00AC6F67">
        <w:rPr>
          <w:rFonts w:cstheme="minorHAnsi"/>
        </w:rPr>
        <w:t xml:space="preserve">BJS will work to expeditiously respond to any </w:t>
      </w:r>
      <w:r w:rsidR="00E80606">
        <w:rPr>
          <w:rFonts w:cstheme="minorHAnsi"/>
        </w:rPr>
        <w:t>inquiries and/or requests for additional information.</w:t>
      </w:r>
    </w:p>
    <w:p w:rsidR="004072D7" w:rsidRPr="00AC6F67" w:rsidRDefault="004072D7" w:rsidP="004072D7">
      <w:pPr>
        <w:rPr>
          <w:rFonts w:cstheme="minorHAnsi"/>
        </w:rPr>
      </w:pPr>
    </w:p>
    <w:p w:rsidR="004072D7" w:rsidRDefault="004072D7" w:rsidP="004072D7">
      <w:pPr>
        <w:rPr>
          <w:rFonts w:cstheme="minorHAnsi"/>
        </w:rPr>
      </w:pPr>
      <w:r w:rsidRPr="00AC6F67">
        <w:rPr>
          <w:rFonts w:cstheme="minorHAnsi"/>
        </w:rPr>
        <w:t>Thank you in advance for your time and consideration.</w:t>
      </w:r>
      <w:r w:rsidR="006B218D">
        <w:rPr>
          <w:rFonts w:cstheme="minorHAnsi"/>
        </w:rPr>
        <w:t xml:space="preserve">  </w:t>
      </w:r>
    </w:p>
    <w:p w:rsidR="004072D7" w:rsidRDefault="004072D7" w:rsidP="004072D7">
      <w:pPr>
        <w:rPr>
          <w:rFonts w:cstheme="minorHAnsi"/>
        </w:rPr>
      </w:pPr>
    </w:p>
    <w:p w:rsidR="004072D7" w:rsidRPr="00DD338F" w:rsidRDefault="004072D7" w:rsidP="004072D7">
      <w:pPr>
        <w:rPr>
          <w:rFonts w:cstheme="minorHAnsi"/>
          <w:b/>
          <w:u w:val="single"/>
        </w:rPr>
      </w:pPr>
      <w:r w:rsidRPr="00DD338F">
        <w:rPr>
          <w:rFonts w:cstheme="minorHAnsi"/>
          <w:b/>
          <w:u w:val="single"/>
        </w:rPr>
        <w:t>Attachments:</w:t>
      </w:r>
    </w:p>
    <w:p w:rsidR="004072D7" w:rsidRDefault="00B8521E" w:rsidP="004072D7">
      <w:r>
        <w:rPr>
          <w:rFonts w:cstheme="minorHAnsi"/>
        </w:rPr>
        <w:t>Attachment 1</w:t>
      </w:r>
      <w:r w:rsidR="004072D7">
        <w:rPr>
          <w:rFonts w:cstheme="minorHAnsi"/>
        </w:rPr>
        <w:t xml:space="preserve">: </w:t>
      </w:r>
      <w:r w:rsidR="00280772">
        <w:t>OMB clearance for the SJCACC</w:t>
      </w:r>
      <w:r w:rsidR="004072D7">
        <w:t xml:space="preserve"> data collection, ICR reference number </w:t>
      </w:r>
      <w:r w:rsidR="00280772">
        <w:t>201408-1121-00349</w:t>
      </w:r>
    </w:p>
    <w:p w:rsidR="00307FBE" w:rsidRDefault="00B8521E" w:rsidP="004072D7">
      <w:pPr>
        <w:rPr>
          <w:rFonts w:cstheme="minorHAnsi"/>
        </w:rPr>
      </w:pPr>
      <w:r>
        <w:t>Attachment 2</w:t>
      </w:r>
      <w:r w:rsidR="00830AA1">
        <w:t xml:space="preserve">: </w:t>
      </w:r>
      <w:r w:rsidR="00280772">
        <w:t>SJCACC Hardcopy Survey Guide</w:t>
      </w:r>
    </w:p>
    <w:p w:rsidR="004072D7" w:rsidRDefault="00B8521E" w:rsidP="004072D7">
      <w:pPr>
        <w:rPr>
          <w:rFonts w:cstheme="minorHAnsi"/>
        </w:rPr>
      </w:pPr>
      <w:r>
        <w:rPr>
          <w:rFonts w:cstheme="minorHAnsi"/>
        </w:rPr>
        <w:t>Attachment 3</w:t>
      </w:r>
      <w:r w:rsidR="00821379">
        <w:rPr>
          <w:rFonts w:cstheme="minorHAnsi"/>
        </w:rPr>
        <w:t xml:space="preserve">: </w:t>
      </w:r>
      <w:r w:rsidR="00280772">
        <w:rPr>
          <w:rFonts w:cstheme="minorHAnsi"/>
        </w:rPr>
        <w:t>SJCACC Electronic Data Extraction Guide</w:t>
      </w:r>
    </w:p>
    <w:p w:rsidR="00280772" w:rsidRDefault="00280772" w:rsidP="004072D7">
      <w:pPr>
        <w:rPr>
          <w:rFonts w:cstheme="minorHAnsi"/>
        </w:rPr>
      </w:pPr>
      <w:r>
        <w:rPr>
          <w:rFonts w:cstheme="minorHAnsi"/>
        </w:rPr>
        <w:t xml:space="preserve">Attachment 4: </w:t>
      </w:r>
      <w:r w:rsidR="00205A3D">
        <w:rPr>
          <w:rFonts w:cstheme="minorHAnsi"/>
        </w:rPr>
        <w:t>Westat/NCJJ SJCACC participant letter</w:t>
      </w:r>
    </w:p>
    <w:p w:rsidR="007900D8" w:rsidRPr="007230E6" w:rsidRDefault="007900D8" w:rsidP="00284D60">
      <w:pPr>
        <w:rPr>
          <w:sz w:val="22"/>
          <w:szCs w:val="22"/>
        </w:rPr>
      </w:pPr>
    </w:p>
    <w:sectPr w:rsidR="007900D8" w:rsidRPr="007230E6" w:rsidSect="000E7C43">
      <w:type w:val="continuous"/>
      <w:pgSz w:w="12240" w:h="15840"/>
      <w:pgMar w:top="1152" w:right="1152" w:bottom="27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026" w:rsidRDefault="00902026" w:rsidP="00E80F4F">
      <w:r>
        <w:separator/>
      </w:r>
    </w:p>
  </w:endnote>
  <w:endnote w:type="continuationSeparator" w:id="0">
    <w:p w:rsidR="00902026" w:rsidRDefault="00902026" w:rsidP="00E8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P TypographicSymbols">
    <w:altName w:val="Courier"/>
    <w:panose1 w:val="000004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B01" w:rsidRDefault="007F5B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B01" w:rsidRDefault="007F5B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B01" w:rsidRDefault="007F5B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026" w:rsidRDefault="00902026" w:rsidP="00E80F4F">
      <w:r>
        <w:separator/>
      </w:r>
    </w:p>
  </w:footnote>
  <w:footnote w:type="continuationSeparator" w:id="0">
    <w:p w:rsidR="00902026" w:rsidRDefault="00902026" w:rsidP="00E80F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B01" w:rsidRDefault="007F5B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B01" w:rsidRDefault="007F5B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B01" w:rsidRDefault="007F5B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F7CED"/>
    <w:multiLevelType w:val="hybridMultilevel"/>
    <w:tmpl w:val="F0C8B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E62856"/>
    <w:multiLevelType w:val="hybridMultilevel"/>
    <w:tmpl w:val="E7DECA94"/>
    <w:lvl w:ilvl="0" w:tplc="69D45954">
      <w:numFmt w:val="bullet"/>
      <w:lvlText w:val="$"/>
      <w:legacy w:legacy="1" w:legacySpace="0" w:legacyIndent="720"/>
      <w:lvlJc w:val="left"/>
      <w:pPr>
        <w:ind w:left="720" w:hanging="72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1A90608"/>
    <w:multiLevelType w:val="hybridMultilevel"/>
    <w:tmpl w:val="36C22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732C7F"/>
    <w:multiLevelType w:val="hybridMultilevel"/>
    <w:tmpl w:val="8F66D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DC4"/>
    <w:rsid w:val="00001A01"/>
    <w:rsid w:val="000057B5"/>
    <w:rsid w:val="00011486"/>
    <w:rsid w:val="00044C7D"/>
    <w:rsid w:val="000604B2"/>
    <w:rsid w:val="0006381B"/>
    <w:rsid w:val="00066375"/>
    <w:rsid w:val="000818FE"/>
    <w:rsid w:val="00083D53"/>
    <w:rsid w:val="000A243B"/>
    <w:rsid w:val="000A6538"/>
    <w:rsid w:val="000C0C42"/>
    <w:rsid w:val="000C6475"/>
    <w:rsid w:val="000C7BC8"/>
    <w:rsid w:val="000D6A25"/>
    <w:rsid w:val="000E105A"/>
    <w:rsid w:val="000E5C0D"/>
    <w:rsid w:val="000E7C43"/>
    <w:rsid w:val="000F5FFD"/>
    <w:rsid w:val="00104BDB"/>
    <w:rsid w:val="001146DE"/>
    <w:rsid w:val="00127642"/>
    <w:rsid w:val="0015739B"/>
    <w:rsid w:val="00173ABE"/>
    <w:rsid w:val="00176035"/>
    <w:rsid w:val="0017692C"/>
    <w:rsid w:val="00177332"/>
    <w:rsid w:val="0018421F"/>
    <w:rsid w:val="001867FB"/>
    <w:rsid w:val="00191C99"/>
    <w:rsid w:val="001B09EC"/>
    <w:rsid w:val="001C351E"/>
    <w:rsid w:val="001C42A5"/>
    <w:rsid w:val="001F7418"/>
    <w:rsid w:val="00200A3C"/>
    <w:rsid w:val="00200CB7"/>
    <w:rsid w:val="00205A3D"/>
    <w:rsid w:val="00212033"/>
    <w:rsid w:val="00253009"/>
    <w:rsid w:val="00271FCE"/>
    <w:rsid w:val="00272B70"/>
    <w:rsid w:val="00277B7D"/>
    <w:rsid w:val="00280772"/>
    <w:rsid w:val="00284D60"/>
    <w:rsid w:val="002910F4"/>
    <w:rsid w:val="002A0D42"/>
    <w:rsid w:val="002A6388"/>
    <w:rsid w:val="002C60A5"/>
    <w:rsid w:val="002D1983"/>
    <w:rsid w:val="002E32E8"/>
    <w:rsid w:val="002E48BA"/>
    <w:rsid w:val="00307CB6"/>
    <w:rsid w:val="00307FBE"/>
    <w:rsid w:val="00321422"/>
    <w:rsid w:val="00365429"/>
    <w:rsid w:val="00370DFA"/>
    <w:rsid w:val="00374B3C"/>
    <w:rsid w:val="00386A21"/>
    <w:rsid w:val="00395BEC"/>
    <w:rsid w:val="00395F3B"/>
    <w:rsid w:val="003C078A"/>
    <w:rsid w:val="003C7DBE"/>
    <w:rsid w:val="003F671B"/>
    <w:rsid w:val="003F6DCE"/>
    <w:rsid w:val="004072D7"/>
    <w:rsid w:val="004201D0"/>
    <w:rsid w:val="004207AF"/>
    <w:rsid w:val="00434004"/>
    <w:rsid w:val="00435490"/>
    <w:rsid w:val="004354FB"/>
    <w:rsid w:val="00437197"/>
    <w:rsid w:val="004524D7"/>
    <w:rsid w:val="00455045"/>
    <w:rsid w:val="004644F5"/>
    <w:rsid w:val="0046735B"/>
    <w:rsid w:val="004720FF"/>
    <w:rsid w:val="00477705"/>
    <w:rsid w:val="00482B27"/>
    <w:rsid w:val="00492B20"/>
    <w:rsid w:val="004B3EFA"/>
    <w:rsid w:val="004C02CB"/>
    <w:rsid w:val="004D1CBB"/>
    <w:rsid w:val="004E302F"/>
    <w:rsid w:val="004E3E76"/>
    <w:rsid w:val="004E5566"/>
    <w:rsid w:val="004F0F93"/>
    <w:rsid w:val="004F200B"/>
    <w:rsid w:val="004F2CAC"/>
    <w:rsid w:val="004F62C2"/>
    <w:rsid w:val="00507E29"/>
    <w:rsid w:val="00512A50"/>
    <w:rsid w:val="00512A5F"/>
    <w:rsid w:val="00515EEE"/>
    <w:rsid w:val="0052688C"/>
    <w:rsid w:val="00527AB7"/>
    <w:rsid w:val="0053775A"/>
    <w:rsid w:val="0055185A"/>
    <w:rsid w:val="00566C20"/>
    <w:rsid w:val="00570263"/>
    <w:rsid w:val="00570B41"/>
    <w:rsid w:val="00581DC4"/>
    <w:rsid w:val="00582CD6"/>
    <w:rsid w:val="00584AFE"/>
    <w:rsid w:val="005A0554"/>
    <w:rsid w:val="005A335A"/>
    <w:rsid w:val="005A3A21"/>
    <w:rsid w:val="005A48DA"/>
    <w:rsid w:val="005B4441"/>
    <w:rsid w:val="005F0C2E"/>
    <w:rsid w:val="005F11B9"/>
    <w:rsid w:val="005F1ED5"/>
    <w:rsid w:val="005F29F8"/>
    <w:rsid w:val="005F44F2"/>
    <w:rsid w:val="006070E1"/>
    <w:rsid w:val="0061770F"/>
    <w:rsid w:val="00621722"/>
    <w:rsid w:val="006340BD"/>
    <w:rsid w:val="00637B52"/>
    <w:rsid w:val="006566F5"/>
    <w:rsid w:val="00670F41"/>
    <w:rsid w:val="00681F99"/>
    <w:rsid w:val="006914FB"/>
    <w:rsid w:val="006928F1"/>
    <w:rsid w:val="006A3AA3"/>
    <w:rsid w:val="006A5859"/>
    <w:rsid w:val="006B1E69"/>
    <w:rsid w:val="006B218D"/>
    <w:rsid w:val="006B4FEC"/>
    <w:rsid w:val="006B7EC1"/>
    <w:rsid w:val="006B7F17"/>
    <w:rsid w:val="006D03AA"/>
    <w:rsid w:val="006E5E1F"/>
    <w:rsid w:val="006E7BE2"/>
    <w:rsid w:val="006F447B"/>
    <w:rsid w:val="006F6B11"/>
    <w:rsid w:val="007027A2"/>
    <w:rsid w:val="00707F6A"/>
    <w:rsid w:val="007230E6"/>
    <w:rsid w:val="00724C94"/>
    <w:rsid w:val="00735DFC"/>
    <w:rsid w:val="0074086A"/>
    <w:rsid w:val="00745667"/>
    <w:rsid w:val="00762216"/>
    <w:rsid w:val="00762BEE"/>
    <w:rsid w:val="00773CC1"/>
    <w:rsid w:val="007756AC"/>
    <w:rsid w:val="00775D09"/>
    <w:rsid w:val="007900D8"/>
    <w:rsid w:val="007923E7"/>
    <w:rsid w:val="0079770F"/>
    <w:rsid w:val="007B07DE"/>
    <w:rsid w:val="007B3E60"/>
    <w:rsid w:val="007B5E3F"/>
    <w:rsid w:val="007D7924"/>
    <w:rsid w:val="007F5B01"/>
    <w:rsid w:val="00821379"/>
    <w:rsid w:val="008259EC"/>
    <w:rsid w:val="00830AA1"/>
    <w:rsid w:val="00835670"/>
    <w:rsid w:val="0084133B"/>
    <w:rsid w:val="00852716"/>
    <w:rsid w:val="00866A81"/>
    <w:rsid w:val="008746E0"/>
    <w:rsid w:val="008755FF"/>
    <w:rsid w:val="00882F75"/>
    <w:rsid w:val="00886148"/>
    <w:rsid w:val="008A6BD5"/>
    <w:rsid w:val="008C11A3"/>
    <w:rsid w:val="008C30B5"/>
    <w:rsid w:val="008C69A9"/>
    <w:rsid w:val="008D6E5A"/>
    <w:rsid w:val="008F4E44"/>
    <w:rsid w:val="00900DD1"/>
    <w:rsid w:val="00902026"/>
    <w:rsid w:val="00903371"/>
    <w:rsid w:val="00906222"/>
    <w:rsid w:val="0095000F"/>
    <w:rsid w:val="009509C6"/>
    <w:rsid w:val="00950F83"/>
    <w:rsid w:val="0095377D"/>
    <w:rsid w:val="00965A2E"/>
    <w:rsid w:val="00967B69"/>
    <w:rsid w:val="00980BBC"/>
    <w:rsid w:val="009827E5"/>
    <w:rsid w:val="00986279"/>
    <w:rsid w:val="00990C0B"/>
    <w:rsid w:val="00994230"/>
    <w:rsid w:val="009952B6"/>
    <w:rsid w:val="009A1889"/>
    <w:rsid w:val="009A2645"/>
    <w:rsid w:val="009A6BBA"/>
    <w:rsid w:val="009B7CE9"/>
    <w:rsid w:val="009C3C50"/>
    <w:rsid w:val="009D261D"/>
    <w:rsid w:val="009D2F3C"/>
    <w:rsid w:val="009E5FBE"/>
    <w:rsid w:val="009F2F99"/>
    <w:rsid w:val="00A1047C"/>
    <w:rsid w:val="00A15A99"/>
    <w:rsid w:val="00A33033"/>
    <w:rsid w:val="00A47AD1"/>
    <w:rsid w:val="00A5004E"/>
    <w:rsid w:val="00A84953"/>
    <w:rsid w:val="00A86FDA"/>
    <w:rsid w:val="00A91AD2"/>
    <w:rsid w:val="00A92808"/>
    <w:rsid w:val="00AC6F67"/>
    <w:rsid w:val="00AE147C"/>
    <w:rsid w:val="00AE3B46"/>
    <w:rsid w:val="00AE5585"/>
    <w:rsid w:val="00AF371C"/>
    <w:rsid w:val="00AF3A9C"/>
    <w:rsid w:val="00B253AE"/>
    <w:rsid w:val="00B34BF8"/>
    <w:rsid w:val="00B60E86"/>
    <w:rsid w:val="00B70245"/>
    <w:rsid w:val="00B71017"/>
    <w:rsid w:val="00B74D79"/>
    <w:rsid w:val="00B77890"/>
    <w:rsid w:val="00B8521E"/>
    <w:rsid w:val="00B97292"/>
    <w:rsid w:val="00BA0435"/>
    <w:rsid w:val="00BA46AE"/>
    <w:rsid w:val="00BA5608"/>
    <w:rsid w:val="00BD329F"/>
    <w:rsid w:val="00BD7A6F"/>
    <w:rsid w:val="00BF2254"/>
    <w:rsid w:val="00BF4776"/>
    <w:rsid w:val="00BF5C07"/>
    <w:rsid w:val="00C41450"/>
    <w:rsid w:val="00C6276F"/>
    <w:rsid w:val="00C7124B"/>
    <w:rsid w:val="00C90AC5"/>
    <w:rsid w:val="00C92EE5"/>
    <w:rsid w:val="00C94FD1"/>
    <w:rsid w:val="00CC2EE2"/>
    <w:rsid w:val="00CE321B"/>
    <w:rsid w:val="00CE3EB9"/>
    <w:rsid w:val="00D0174A"/>
    <w:rsid w:val="00D37BC1"/>
    <w:rsid w:val="00D473CF"/>
    <w:rsid w:val="00D510C0"/>
    <w:rsid w:val="00D5564A"/>
    <w:rsid w:val="00D600F1"/>
    <w:rsid w:val="00D61219"/>
    <w:rsid w:val="00D84B3B"/>
    <w:rsid w:val="00D86037"/>
    <w:rsid w:val="00D86A4E"/>
    <w:rsid w:val="00D90CDF"/>
    <w:rsid w:val="00D93C02"/>
    <w:rsid w:val="00D9694E"/>
    <w:rsid w:val="00DB07FF"/>
    <w:rsid w:val="00DC0C05"/>
    <w:rsid w:val="00DC0F89"/>
    <w:rsid w:val="00DD0C60"/>
    <w:rsid w:val="00DD338F"/>
    <w:rsid w:val="00E0116D"/>
    <w:rsid w:val="00E050F1"/>
    <w:rsid w:val="00E203EB"/>
    <w:rsid w:val="00E27ECF"/>
    <w:rsid w:val="00E35EAF"/>
    <w:rsid w:val="00E45519"/>
    <w:rsid w:val="00E4659C"/>
    <w:rsid w:val="00E46918"/>
    <w:rsid w:val="00E52919"/>
    <w:rsid w:val="00E54FB7"/>
    <w:rsid w:val="00E57D29"/>
    <w:rsid w:val="00E6112D"/>
    <w:rsid w:val="00E709CC"/>
    <w:rsid w:val="00E7133D"/>
    <w:rsid w:val="00E80606"/>
    <w:rsid w:val="00E80F4F"/>
    <w:rsid w:val="00E83407"/>
    <w:rsid w:val="00ED6125"/>
    <w:rsid w:val="00EE7393"/>
    <w:rsid w:val="00F34F79"/>
    <w:rsid w:val="00F35054"/>
    <w:rsid w:val="00F45A24"/>
    <w:rsid w:val="00F47AFF"/>
    <w:rsid w:val="00F51030"/>
    <w:rsid w:val="00F6554E"/>
    <w:rsid w:val="00F82C16"/>
    <w:rsid w:val="00F84E6A"/>
    <w:rsid w:val="00F90F4D"/>
    <w:rsid w:val="00FB1F73"/>
    <w:rsid w:val="00FC3026"/>
    <w:rsid w:val="00FC4A76"/>
    <w:rsid w:val="00FD1510"/>
    <w:rsid w:val="00FD7A43"/>
    <w:rsid w:val="00FE0305"/>
    <w:rsid w:val="00FF4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5:docId w15:val="{44B45838-3482-43E4-8B33-70FBF0A6F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21B"/>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27ECF"/>
    <w:rPr>
      <w:rFonts w:cs="Times New Roman"/>
      <w:color w:val="0000FF"/>
      <w:u w:val="single"/>
    </w:rPr>
  </w:style>
  <w:style w:type="paragraph" w:styleId="BalloonText">
    <w:name w:val="Balloon Text"/>
    <w:basedOn w:val="Normal"/>
    <w:link w:val="BalloonTextChar"/>
    <w:uiPriority w:val="99"/>
    <w:semiHidden/>
    <w:rsid w:val="00BA5608"/>
    <w:rPr>
      <w:rFonts w:ascii="Tahoma" w:hAnsi="Tahoma" w:cs="Tahoma"/>
      <w:sz w:val="16"/>
      <w:szCs w:val="16"/>
    </w:rPr>
  </w:style>
  <w:style w:type="character" w:customStyle="1" w:styleId="BalloonTextChar">
    <w:name w:val="Balloon Text Char"/>
    <w:basedOn w:val="DefaultParagraphFont"/>
    <w:link w:val="BalloonText"/>
    <w:uiPriority w:val="99"/>
    <w:semiHidden/>
    <w:rsid w:val="00445D3D"/>
    <w:rPr>
      <w:rFonts w:cs="Arial"/>
      <w:sz w:val="0"/>
      <w:szCs w:val="0"/>
    </w:rPr>
  </w:style>
  <w:style w:type="paragraph" w:customStyle="1" w:styleId="Default">
    <w:name w:val="Default"/>
    <w:rsid w:val="005F44F2"/>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F44F2"/>
    <w:pPr>
      <w:ind w:left="720"/>
      <w:contextualSpacing/>
    </w:pPr>
  </w:style>
  <w:style w:type="paragraph" w:styleId="Header">
    <w:name w:val="header"/>
    <w:basedOn w:val="Normal"/>
    <w:link w:val="HeaderChar"/>
    <w:rsid w:val="00E80F4F"/>
    <w:pPr>
      <w:tabs>
        <w:tab w:val="center" w:pos="4680"/>
        <w:tab w:val="right" w:pos="9360"/>
      </w:tabs>
    </w:pPr>
  </w:style>
  <w:style w:type="character" w:customStyle="1" w:styleId="HeaderChar">
    <w:name w:val="Header Char"/>
    <w:basedOn w:val="DefaultParagraphFont"/>
    <w:link w:val="Header"/>
    <w:rsid w:val="00E80F4F"/>
    <w:rPr>
      <w:rFonts w:cs="Arial"/>
      <w:sz w:val="24"/>
      <w:szCs w:val="24"/>
    </w:rPr>
  </w:style>
  <w:style w:type="paragraph" w:styleId="Footer">
    <w:name w:val="footer"/>
    <w:basedOn w:val="Normal"/>
    <w:link w:val="FooterChar"/>
    <w:rsid w:val="00E80F4F"/>
    <w:pPr>
      <w:tabs>
        <w:tab w:val="center" w:pos="4680"/>
        <w:tab w:val="right" w:pos="9360"/>
      </w:tabs>
    </w:pPr>
  </w:style>
  <w:style w:type="character" w:customStyle="1" w:styleId="FooterChar">
    <w:name w:val="Footer Char"/>
    <w:basedOn w:val="DefaultParagraphFont"/>
    <w:link w:val="Footer"/>
    <w:rsid w:val="00E80F4F"/>
    <w:rPr>
      <w:rFonts w:cs="Arial"/>
      <w:sz w:val="24"/>
      <w:szCs w:val="24"/>
    </w:rPr>
  </w:style>
  <w:style w:type="paragraph" w:styleId="EndnoteText">
    <w:name w:val="endnote text"/>
    <w:basedOn w:val="Normal"/>
    <w:link w:val="EndnoteTextChar"/>
    <w:rsid w:val="00E46918"/>
    <w:rPr>
      <w:sz w:val="20"/>
      <w:szCs w:val="20"/>
    </w:rPr>
  </w:style>
  <w:style w:type="character" w:customStyle="1" w:styleId="EndnoteTextChar">
    <w:name w:val="Endnote Text Char"/>
    <w:basedOn w:val="DefaultParagraphFont"/>
    <w:link w:val="EndnoteText"/>
    <w:rsid w:val="00E46918"/>
    <w:rPr>
      <w:rFonts w:cs="Arial"/>
    </w:rPr>
  </w:style>
  <w:style w:type="character" w:styleId="EndnoteReference">
    <w:name w:val="endnote reference"/>
    <w:basedOn w:val="DefaultParagraphFont"/>
    <w:rsid w:val="00E469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673AA-B3AC-40C9-828F-1F735D2A6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3512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September 15, 2005</vt:lpstr>
    </vt:vector>
  </TitlesOfParts>
  <Company>OJP</Company>
  <LinksUpToDate>false</LinksUpToDate>
  <CharactersWithSpaces>4086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15, 2005</dc:title>
  <dc:creator>schmitte</dc:creator>
  <cp:lastModifiedBy>Adams, Devon</cp:lastModifiedBy>
  <cp:revision>2</cp:revision>
  <cp:lastPrinted>2014-12-15T15:01:00Z</cp:lastPrinted>
  <dcterms:created xsi:type="dcterms:W3CDTF">2014-12-15T18:44:00Z</dcterms:created>
  <dcterms:modified xsi:type="dcterms:W3CDTF">2014-12-15T18:44:00Z</dcterms:modified>
</cp:coreProperties>
</file>