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71" w:rsidRDefault="00F86BC4" w:rsidP="00913D71">
      <w:pPr>
        <w:pStyle w:val="Heading1Blue"/>
        <w:rPr>
          <w:rFonts w:ascii="Times New Roman" w:hAnsi="Times New Roman"/>
        </w:rPr>
      </w:pPr>
      <w:r>
        <w:t>Part B</w:t>
      </w:r>
      <w:r w:rsidR="00913D71">
        <w:t>: collection of information involving statistical methods</w:t>
      </w:r>
    </w:p>
    <w:p w:rsidR="00F26136" w:rsidRPr="00C8199D" w:rsidRDefault="00F26136" w:rsidP="00F26136">
      <w:pPr>
        <w:pStyle w:val="NormalSS"/>
      </w:pPr>
      <w:r>
        <w:t>The U.S. Department of Labor (DOL), Employment and Training Administration (ETA) contracted with Mathematica Policy Research and the W.E. Upjohn Institute for Employment Research to conduct an evaluation of the Jobs and Innovation Accelerator Challenge (JIAC) grants. In partnership with other federal agencies, ETA awarded two rounds of grants to 30 self-identified regional industry clusters that have high</w:t>
      </w:r>
      <w:r w:rsidR="004F0B96">
        <w:t xml:space="preserve"> </w:t>
      </w:r>
      <w:r>
        <w:t xml:space="preserve">growth potential. The main objective of the evaluation is </w:t>
      </w:r>
      <w:r w:rsidRPr="00C8199D">
        <w:t xml:space="preserve">to build a better understanding of </w:t>
      </w:r>
      <w:r>
        <w:t xml:space="preserve">how multiple federal and regional agencies worked together on these grant initiatives, </w:t>
      </w:r>
      <w:r w:rsidRPr="00C8199D">
        <w:t xml:space="preserve">how the </w:t>
      </w:r>
      <w:r>
        <w:t xml:space="preserve">ETA </w:t>
      </w:r>
      <w:r w:rsidRPr="00C8199D">
        <w:t>grants are being used</w:t>
      </w:r>
      <w:r>
        <w:t>, the training and employment-related outcomes that the clusters are able to achieve, lessons learned through implementation, and plans for sustainability.</w:t>
      </w:r>
      <w:r w:rsidRPr="00C8199D">
        <w:t xml:space="preserve"> </w:t>
      </w:r>
      <w:r w:rsidR="004660F6">
        <w:t xml:space="preserve">Part </w:t>
      </w:r>
      <w:r>
        <w:t>A</w:t>
      </w:r>
      <w:r w:rsidR="004660F6">
        <w:t xml:space="preserve"> of this submission includes a</w:t>
      </w:r>
      <w:r>
        <w:t>dditional information about the logic model for the initiative and the research questions for the evaluation.</w:t>
      </w:r>
    </w:p>
    <w:p w:rsidR="00F26136" w:rsidRDefault="00F26136" w:rsidP="00F26136">
      <w:pPr>
        <w:pStyle w:val="NormalSS"/>
      </w:pPr>
      <w:r>
        <w:t>This package requests clearance for two data collection efforts to be conducted as part of the JIAC Evaluation:</w:t>
      </w:r>
    </w:p>
    <w:p w:rsidR="00857EEE" w:rsidRDefault="00F26136" w:rsidP="00857EEE">
      <w:pPr>
        <w:pStyle w:val="BulletBlack"/>
        <w:numPr>
          <w:ilvl w:val="0"/>
          <w:numId w:val="27"/>
        </w:numPr>
        <w:ind w:left="810"/>
        <w:rPr>
          <w:b/>
        </w:rPr>
      </w:pPr>
      <w:r w:rsidRPr="00813D0A">
        <w:rPr>
          <w:b/>
        </w:rPr>
        <w:t xml:space="preserve">Site </w:t>
      </w:r>
      <w:r w:rsidR="004F0B96">
        <w:rPr>
          <w:b/>
        </w:rPr>
        <w:t>v</w:t>
      </w:r>
      <w:r w:rsidRPr="00813D0A">
        <w:rPr>
          <w:b/>
        </w:rPr>
        <w:t>isit</w:t>
      </w:r>
      <w:r>
        <w:rPr>
          <w:b/>
        </w:rPr>
        <w:t xml:space="preserve"> </w:t>
      </w:r>
      <w:r w:rsidR="004F0B96">
        <w:rPr>
          <w:b/>
        </w:rPr>
        <w:t>i</w:t>
      </w:r>
      <w:r>
        <w:rPr>
          <w:b/>
        </w:rPr>
        <w:t>nterview</w:t>
      </w:r>
      <w:r w:rsidRPr="00813D0A">
        <w:rPr>
          <w:b/>
        </w:rPr>
        <w:t>s.</w:t>
      </w:r>
      <w:r w:rsidRPr="00B32637">
        <w:t xml:space="preserve"> T</w:t>
      </w:r>
      <w:r>
        <w:t xml:space="preserve">wo rounds of in-person visits to a subset of clusters will provide information on implementation of the JIAC initiative. The first round will involve nine clusters. The second round will involve a return visit to three of the nine clusters that participated in round </w:t>
      </w:r>
      <w:r w:rsidR="004F0B96">
        <w:t xml:space="preserve">1 </w:t>
      </w:r>
      <w:proofErr w:type="gramStart"/>
      <w:r>
        <w:t>visits</w:t>
      </w:r>
      <w:proofErr w:type="gramEnd"/>
      <w:r>
        <w:t xml:space="preserve">. </w:t>
      </w:r>
      <w:r w:rsidR="004660F6">
        <w:t>The evaluation team will conduct i</w:t>
      </w:r>
      <w:r>
        <w:t xml:space="preserve">nterviews with cluster management staff, activity leaders, frontline staff, participants, the local workforce investment board, employer groups, and local economic development agencies. </w:t>
      </w:r>
      <w:r w:rsidR="004660F6">
        <w:t>Attachments A through E include p</w:t>
      </w:r>
      <w:r>
        <w:t>rotocols for these interviews</w:t>
      </w:r>
      <w:r w:rsidR="00E27502">
        <w:t>.</w:t>
      </w:r>
    </w:p>
    <w:p w:rsidR="005B58D2" w:rsidRDefault="00F26136" w:rsidP="005B58D2">
      <w:pPr>
        <w:pStyle w:val="BulletBlack"/>
        <w:numPr>
          <w:ilvl w:val="0"/>
          <w:numId w:val="0"/>
        </w:numPr>
        <w:spacing w:after="240"/>
        <w:ind w:left="810"/>
      </w:pPr>
      <w:proofErr w:type="gramStart"/>
      <w:r w:rsidRPr="00F26136">
        <w:rPr>
          <w:b/>
        </w:rPr>
        <w:t xml:space="preserve">Survey of </w:t>
      </w:r>
      <w:r w:rsidR="004F0B96">
        <w:rPr>
          <w:b/>
        </w:rPr>
        <w:t>g</w:t>
      </w:r>
      <w:r w:rsidRPr="00F26136">
        <w:rPr>
          <w:b/>
        </w:rPr>
        <w:t xml:space="preserve">rantees and </w:t>
      </w:r>
      <w:r w:rsidR="004F0B96">
        <w:rPr>
          <w:b/>
        </w:rPr>
        <w:t>p</w:t>
      </w:r>
      <w:r w:rsidRPr="00F26136">
        <w:rPr>
          <w:b/>
        </w:rPr>
        <w:t>artners.</w:t>
      </w:r>
      <w:proofErr w:type="gramEnd"/>
      <w:r w:rsidRPr="00F26136">
        <w:rPr>
          <w:b/>
        </w:rPr>
        <w:t xml:space="preserve"> </w:t>
      </w:r>
      <w:r w:rsidR="004660F6">
        <w:t>The evaluation team will administer a</w:t>
      </w:r>
      <w:r w:rsidRPr="00B159B0">
        <w:t xml:space="preserve"> survey to up to 330 individuals from partner organizations</w:t>
      </w:r>
      <w:r>
        <w:t xml:space="preserve"> (one cluster manager and representatives from up to 10 partner agencies in each of the 30 clusters). The survey will focus on cluster organization, communication, funding sufficiency, the types and usefulness of federal support, and program management and sustainability. The survey instruments are included in Attachments </w:t>
      </w:r>
      <w:r w:rsidR="00E27502">
        <w:t>F, G</w:t>
      </w:r>
      <w:r w:rsidR="004F0B96">
        <w:t>,</w:t>
      </w:r>
      <w:r w:rsidR="00E27502">
        <w:t xml:space="preserve"> H</w:t>
      </w:r>
      <w:r w:rsidR="0048784E">
        <w:t xml:space="preserve"> and I</w:t>
      </w:r>
      <w:r w:rsidR="00E27502">
        <w:t>.</w:t>
      </w:r>
      <w:r w:rsidRPr="009C7E1E">
        <w:t xml:space="preserve"> </w:t>
      </w:r>
    </w:p>
    <w:p w:rsidR="005B58D2" w:rsidRDefault="005B58D2" w:rsidP="00483515">
      <w:pPr>
        <w:pStyle w:val="BulletBlack"/>
        <w:numPr>
          <w:ilvl w:val="0"/>
          <w:numId w:val="0"/>
        </w:numPr>
        <w:spacing w:after="240"/>
        <w:ind w:left="810"/>
      </w:pPr>
      <w:r>
        <w:t xml:space="preserve">Survey fielding will be preceded by a </w:t>
      </w:r>
      <w:r w:rsidRPr="00B874FB">
        <w:t xml:space="preserve">template that will be used to collect </w:t>
      </w:r>
      <w:r>
        <w:t xml:space="preserve">information from </w:t>
      </w:r>
      <w:r w:rsidR="00483515">
        <w:t>the ETA funding stream</w:t>
      </w:r>
      <w:r>
        <w:t xml:space="preserve"> administrators to assemble the sampling frame. </w:t>
      </w:r>
      <w:proofErr w:type="gramStart"/>
      <w:r>
        <w:t xml:space="preserve">(See </w:t>
      </w:r>
      <w:r w:rsidRPr="009C7E1E">
        <w:t>Attachme</w:t>
      </w:r>
      <w:r>
        <w:t>nt</w:t>
      </w:r>
      <w:r w:rsidRPr="009C7E1E">
        <w:t xml:space="preserve"> </w:t>
      </w:r>
      <w:r w:rsidR="009269EA">
        <w:t>J</w:t>
      </w:r>
      <w:r>
        <w:t>).</w:t>
      </w:r>
      <w:proofErr w:type="gramEnd"/>
      <w:r>
        <w:t xml:space="preserve"> In order to pretest the planned process and time required</w:t>
      </w:r>
      <w:proofErr w:type="gramStart"/>
      <w:r w:rsidR="00AF1052">
        <w:t>,</w:t>
      </w:r>
      <w:proofErr w:type="gramEnd"/>
      <w:r>
        <w:t xml:space="preserve"> the evaluation team took the following steps. </w:t>
      </w:r>
      <w:r w:rsidR="00AF1052">
        <w:t>The team</w:t>
      </w:r>
      <w:r w:rsidR="00483515">
        <w:t xml:space="preserve"> </w:t>
      </w:r>
      <w:r w:rsidR="00EE38EA">
        <w:t>reviewed grant proposals and other documents submitted by the 30 clusters to generate initial listings of organizations partnering with the grantees. Th</w:t>
      </w:r>
      <w:r w:rsidR="00483515">
        <w:t>ese</w:t>
      </w:r>
      <w:r w:rsidR="00EE38EA">
        <w:t xml:space="preserve"> initial listing</w:t>
      </w:r>
      <w:r w:rsidR="00483515">
        <w:t>s</w:t>
      </w:r>
      <w:r w:rsidR="00EE38EA">
        <w:t xml:space="preserve"> of partners ranged from </w:t>
      </w:r>
      <w:r w:rsidR="00B71E67">
        <w:t>4</w:t>
      </w:r>
      <w:r w:rsidR="00EE38EA">
        <w:t xml:space="preserve"> to </w:t>
      </w:r>
      <w:r w:rsidR="00B71E67">
        <w:t>36</w:t>
      </w:r>
      <w:r w:rsidR="00EE38EA">
        <w:t xml:space="preserve"> partners, with a median of about </w:t>
      </w:r>
      <w:r w:rsidR="00B71E67">
        <w:t>14</w:t>
      </w:r>
      <w:r w:rsidR="00EE38EA">
        <w:t xml:space="preserve">. </w:t>
      </w:r>
      <w:r>
        <w:t>T</w:t>
      </w:r>
      <w:r w:rsidR="0004642C">
        <w:t xml:space="preserve">he evaluation team </w:t>
      </w:r>
      <w:r>
        <w:t>then asked the cluster administrator and grant administrators to</w:t>
      </w:r>
      <w:r w:rsidR="0004642C">
        <w:t xml:space="preserve"> review, correct, and update the</w:t>
      </w:r>
      <w:r>
        <w:t xml:space="preserve">se listings, as well as </w:t>
      </w:r>
      <w:r w:rsidR="00483515">
        <w:t xml:space="preserve">to </w:t>
      </w:r>
      <w:r w:rsidR="0004642C">
        <w:t xml:space="preserve">provide </w:t>
      </w:r>
      <w:r w:rsidR="00194283">
        <w:t>additional information on involvement levels</w:t>
      </w:r>
      <w:r w:rsidR="0004642C">
        <w:t xml:space="preserve"> and current contact information</w:t>
      </w:r>
      <w:r>
        <w:t xml:space="preserve"> for partners</w:t>
      </w:r>
      <w:r w:rsidR="00194283">
        <w:t xml:space="preserve">. Both pretest clusters </w:t>
      </w:r>
      <w:r w:rsidR="0004642C">
        <w:t>identified</w:t>
      </w:r>
      <w:r w:rsidR="00194283">
        <w:t xml:space="preserve"> different sets of partners than </w:t>
      </w:r>
      <w:r w:rsidR="0004642C">
        <w:t xml:space="preserve">those </w:t>
      </w:r>
      <w:r w:rsidR="00194283">
        <w:t>included in their proposals</w:t>
      </w:r>
      <w:r w:rsidR="00AF1052">
        <w:t>. Three types of changes arose. First, t</w:t>
      </w:r>
      <w:r w:rsidR="0004642C">
        <w:t>hey designated</w:t>
      </w:r>
      <w:r w:rsidR="00194283">
        <w:t xml:space="preserve"> </w:t>
      </w:r>
      <w:r w:rsidR="0004642C">
        <w:t>a larger number of partners as having</w:t>
      </w:r>
      <w:r w:rsidR="00194283">
        <w:t xml:space="preserve"> low involvement than </w:t>
      </w:r>
      <w:r w:rsidR="00483515">
        <w:t>was implied</w:t>
      </w:r>
      <w:r w:rsidR="0004642C">
        <w:t xml:space="preserve"> in the proposal</w:t>
      </w:r>
      <w:r w:rsidR="00AF1052">
        <w:t xml:space="preserve">. Second, </w:t>
      </w:r>
      <w:r w:rsidR="009C5BA4">
        <w:t>some of the partners</w:t>
      </w:r>
      <w:r w:rsidR="0004642C">
        <w:t xml:space="preserve"> mentioned in the proposal</w:t>
      </w:r>
      <w:r w:rsidR="009C5BA4">
        <w:t xml:space="preserve"> were ultimately not involved</w:t>
      </w:r>
      <w:r w:rsidR="0004642C">
        <w:t xml:space="preserve"> in grant activities</w:t>
      </w:r>
      <w:r w:rsidR="00194283">
        <w:t>.</w:t>
      </w:r>
      <w:r>
        <w:t xml:space="preserve"> Finally, respondents did not have contact information for some partners and had not worked with them. They were nonetheless hesitant to delete such partners because they were</w:t>
      </w:r>
      <w:r w:rsidR="00AF1052">
        <w:t xml:space="preserve"> not</w:t>
      </w:r>
      <w:r>
        <w:t xml:space="preserve"> sure if other cluster members had engaged these organizations on the grant. </w:t>
      </w:r>
      <w:r w:rsidR="00AF1052">
        <w:t xml:space="preserve">Given these responses, the study team confirmed the importance of working with the </w:t>
      </w:r>
      <w:r w:rsidR="00AF1052">
        <w:lastRenderedPageBreak/>
        <w:t>clusters to develop complete and accurate lists, rather than using only partners listed in the proposal documents, before proceeding with the survey sample selection.</w:t>
      </w:r>
      <w:r>
        <w:t xml:space="preserve"> </w:t>
      </w:r>
    </w:p>
    <w:p w:rsidR="00215BF4" w:rsidRDefault="005B58D2" w:rsidP="00215BF4">
      <w:pPr>
        <w:pStyle w:val="BulletBlack"/>
        <w:numPr>
          <w:ilvl w:val="0"/>
          <w:numId w:val="0"/>
        </w:numPr>
        <w:spacing w:after="240"/>
        <w:ind w:left="810"/>
      </w:pPr>
      <w:r>
        <w:tab/>
        <w:t xml:space="preserve">In </w:t>
      </w:r>
      <w:proofErr w:type="gramStart"/>
      <w:r>
        <w:t>pretesting</w:t>
      </w:r>
      <w:proofErr w:type="gramEnd"/>
      <w:r>
        <w:t xml:space="preserve"> the survey instruments with </w:t>
      </w:r>
      <w:r w:rsidR="00B71E67">
        <w:t xml:space="preserve">some of the low and medium involvement partners, </w:t>
      </w:r>
      <w:r w:rsidR="0004642C">
        <w:t>the evaluation team</w:t>
      </w:r>
      <w:r w:rsidR="00B71E67">
        <w:t xml:space="preserve"> found that the</w:t>
      </w:r>
      <w:r w:rsidR="009A5B10">
        <w:t>se partners</w:t>
      </w:r>
      <w:r w:rsidR="00B71E67">
        <w:t xml:space="preserve"> were sometimes not aware of the cluster or the grant</w:t>
      </w:r>
      <w:r>
        <w:t xml:space="preserve"> even though they were performing activities funded by the grant. These respondents indicated that </w:t>
      </w:r>
      <w:r w:rsidR="00B71E67">
        <w:t xml:space="preserve">they were simply engaging in </w:t>
      </w:r>
      <w:r>
        <w:t xml:space="preserve">the </w:t>
      </w:r>
      <w:r w:rsidR="009A5B10">
        <w:t>activities</w:t>
      </w:r>
      <w:r w:rsidR="00B71E67">
        <w:t xml:space="preserve"> </w:t>
      </w:r>
      <w:r w:rsidR="009C5BA4">
        <w:t>because they were asked</w:t>
      </w:r>
      <w:r w:rsidR="009A5B10">
        <w:t>,</w:t>
      </w:r>
      <w:r w:rsidR="009C5BA4">
        <w:t xml:space="preserve"> </w:t>
      </w:r>
      <w:r w:rsidR="009A5B10">
        <w:t xml:space="preserve">or contracted with, </w:t>
      </w:r>
      <w:r w:rsidR="009C5BA4">
        <w:t xml:space="preserve">to </w:t>
      </w:r>
      <w:r w:rsidR="0004642C">
        <w:t xml:space="preserve">do so </w:t>
      </w:r>
      <w:r w:rsidR="009C5BA4">
        <w:t xml:space="preserve">by an organization in the cluster. These organizations were unable to complete the survey meaningfully because they had no awareness of the topics of interest in it. </w:t>
      </w:r>
      <w:r w:rsidR="0004642C">
        <w:t xml:space="preserve">Based on this feedback, the evaluation team plans to exclude </w:t>
      </w:r>
      <w:r>
        <w:t xml:space="preserve">from the sampling frame </w:t>
      </w:r>
      <w:r w:rsidR="009C5BA4">
        <w:t xml:space="preserve">those partners listed on the contact </w:t>
      </w:r>
      <w:proofErr w:type="gramStart"/>
      <w:r w:rsidR="009C5BA4">
        <w:t xml:space="preserve">sheet </w:t>
      </w:r>
      <w:r w:rsidR="004C24B2">
        <w:t>that have</w:t>
      </w:r>
      <w:proofErr w:type="gramEnd"/>
      <w:r w:rsidR="009C5BA4">
        <w:t xml:space="preserve"> low or no involvement</w:t>
      </w:r>
      <w:r>
        <w:t xml:space="preserve">. The study will also exclude those partners for whom </w:t>
      </w:r>
      <w:r w:rsidR="009C5BA4">
        <w:t>no contact information is provided</w:t>
      </w:r>
      <w:r>
        <w:t>.</w:t>
      </w:r>
      <w:r w:rsidR="009C5BA4">
        <w:t xml:space="preserve"> </w:t>
      </w:r>
      <w:r w:rsidR="00194283">
        <w:t xml:space="preserve">While the size of the sampling frame </w:t>
      </w:r>
      <w:r>
        <w:t xml:space="preserve">for each site </w:t>
      </w:r>
      <w:r w:rsidR="00194283">
        <w:t>cannot be know</w:t>
      </w:r>
      <w:r w:rsidR="00B71E67">
        <w:t>n</w:t>
      </w:r>
      <w:r w:rsidR="00194283">
        <w:t xml:space="preserve"> precisely </w:t>
      </w:r>
      <w:r w:rsidR="00BA4D76">
        <w:t xml:space="preserve">until information is collected from the grant administrators after receipt of OMB approval, it is </w:t>
      </w:r>
      <w:r>
        <w:t xml:space="preserve">likely </w:t>
      </w:r>
      <w:r w:rsidR="00BA4D76">
        <w:t xml:space="preserve">to be somewhat </w:t>
      </w:r>
      <w:r w:rsidR="00087206">
        <w:t>smaller than</w:t>
      </w:r>
      <w:r w:rsidR="00BA4D76">
        <w:t xml:space="preserve"> the </w:t>
      </w:r>
      <w:r w:rsidR="00B71E67">
        <w:t>list of</w:t>
      </w:r>
      <w:r w:rsidR="00BA4D76">
        <w:t xml:space="preserve"> partners identified through the initial review of grantee documents. </w:t>
      </w:r>
    </w:p>
    <w:p w:rsidR="00787468" w:rsidRDefault="00F97839" w:rsidP="00A27F1B">
      <w:pPr>
        <w:pStyle w:val="Heading2Blue"/>
        <w:numPr>
          <w:ilvl w:val="0"/>
          <w:numId w:val="18"/>
        </w:numPr>
        <w:ind w:hanging="720"/>
      </w:pPr>
      <w:r>
        <w:t>Respondent Universe and Sampling</w:t>
      </w:r>
    </w:p>
    <w:p w:rsidR="00F85E46" w:rsidRPr="004E7BD3" w:rsidRDefault="00F26136" w:rsidP="004E7BD3">
      <w:pPr>
        <w:pStyle w:val="NormalSS"/>
      </w:pPr>
      <w:r w:rsidRPr="004E7BD3">
        <w:t xml:space="preserve">The evaluation will collect in-depth qualitative data from respondents in a subset of the 30 grant clusters and survey data from respondents across all 30 clusters. </w:t>
      </w:r>
      <w:r w:rsidR="004F0B96" w:rsidRPr="004E7BD3">
        <w:t>D</w:t>
      </w:r>
      <w:r w:rsidRPr="004E7BD3">
        <w:t xml:space="preserve">etails </w:t>
      </w:r>
      <w:r w:rsidR="004F0B96" w:rsidRPr="004E7BD3">
        <w:t xml:space="preserve">follow </w:t>
      </w:r>
      <w:r w:rsidRPr="004E7BD3">
        <w:t xml:space="preserve">on </w:t>
      </w:r>
      <w:r w:rsidR="004660F6" w:rsidRPr="004E7BD3">
        <w:t xml:space="preserve">the selection of </w:t>
      </w:r>
      <w:r w:rsidRPr="004E7BD3">
        <w:t xml:space="preserve">clusters for site visits and </w:t>
      </w:r>
      <w:r w:rsidR="004660F6" w:rsidRPr="004E7BD3">
        <w:t xml:space="preserve">the selection of </w:t>
      </w:r>
      <w:r w:rsidRPr="004E7BD3">
        <w:t xml:space="preserve">respondents within </w:t>
      </w:r>
      <w:r w:rsidR="0010658F" w:rsidRPr="004E7BD3">
        <w:t xml:space="preserve">the 30 </w:t>
      </w:r>
      <w:r w:rsidRPr="004E7BD3">
        <w:t>clusters for the survey.</w:t>
      </w:r>
    </w:p>
    <w:p w:rsidR="00787468" w:rsidRPr="004E7BD3" w:rsidRDefault="00787468" w:rsidP="004E7BD3">
      <w:pPr>
        <w:pStyle w:val="Heading3"/>
      </w:pPr>
      <w:r w:rsidRPr="004E7BD3">
        <w:t>a.</w:t>
      </w:r>
      <w:r w:rsidRPr="004E7BD3">
        <w:tab/>
        <w:t>Selecting Study Sites for Site Visits</w:t>
      </w:r>
    </w:p>
    <w:p w:rsidR="006328E9" w:rsidRPr="004E7BD3" w:rsidRDefault="006328E9" w:rsidP="004E7BD3">
      <w:pPr>
        <w:pStyle w:val="NormalSS"/>
      </w:pPr>
      <w:r w:rsidRPr="004E7BD3">
        <w:t>The first round</w:t>
      </w:r>
      <w:r w:rsidR="0072114D" w:rsidRPr="004E7BD3">
        <w:t xml:space="preserve"> of site visits for th</w:t>
      </w:r>
      <w:r w:rsidR="00E81E91" w:rsidRPr="004E7BD3">
        <w:t>is</w:t>
      </w:r>
      <w:r w:rsidR="0072114D" w:rsidRPr="004E7BD3">
        <w:t xml:space="preserve"> evaluation </w:t>
      </w:r>
      <w:r w:rsidRPr="004E7BD3">
        <w:t xml:space="preserve">will include visits to 9 of the 30 grantee clusters. The evaluation contractor anticipates visiting approximately 6 JIAC and 3 </w:t>
      </w:r>
      <w:r w:rsidR="004F0B96" w:rsidRPr="004E7BD3">
        <w:t>advanced manufacturing (</w:t>
      </w:r>
      <w:r w:rsidRPr="004E7BD3">
        <w:t>AM</w:t>
      </w:r>
      <w:r w:rsidR="004F0B96" w:rsidRPr="004E7BD3">
        <w:t>)</w:t>
      </w:r>
      <w:r w:rsidRPr="004E7BD3">
        <w:t>-JIAC grantees</w:t>
      </w:r>
      <w:r w:rsidR="004F0B96" w:rsidRPr="004E7BD3">
        <w:t>,</w:t>
      </w:r>
      <w:r w:rsidRPr="004E7BD3">
        <w:t xml:space="preserve"> but this distribution may shift based on input from federal staff. The second round will include 3 of the 9 grantee clusters visited during the first round. It may include 2 JIAC and 1 AM-JIAC grantee clusters.</w:t>
      </w:r>
    </w:p>
    <w:p w:rsidR="00F97839" w:rsidRDefault="004660F6" w:rsidP="006328E9">
      <w:pPr>
        <w:pStyle w:val="NormalSS"/>
      </w:pPr>
      <w:r>
        <w:t>The evaluation team will conduct s</w:t>
      </w:r>
      <w:r w:rsidR="006328E9">
        <w:t>ite selection based on information on grantee clusters from the document review and input from f</w:t>
      </w:r>
      <w:r w:rsidR="00F97839" w:rsidRPr="00F97839">
        <w:t>ederal agency staff</w:t>
      </w:r>
      <w:r w:rsidR="006328E9">
        <w:t xml:space="preserve">. The evaluation contractor will solicit input on site selection from up to 30 federal staff during </w:t>
      </w:r>
      <w:r w:rsidR="00F97839" w:rsidRPr="00F97839">
        <w:t>summer</w:t>
      </w:r>
      <w:r w:rsidR="006328E9">
        <w:t xml:space="preserve"> </w:t>
      </w:r>
      <w:r w:rsidR="00F97839" w:rsidRPr="00F97839">
        <w:t>2014</w:t>
      </w:r>
      <w:r w:rsidR="006328E9">
        <w:t xml:space="preserve">. </w:t>
      </w:r>
      <w:r w:rsidR="00F97839" w:rsidRPr="00F97839">
        <w:t xml:space="preserve">The respondents will include the regional ETA staff who are the </w:t>
      </w:r>
      <w:r w:rsidR="004F0B96">
        <w:t>f</w:t>
      </w:r>
      <w:r w:rsidR="00F97839" w:rsidRPr="00F97839">
        <w:t xml:space="preserve">ederal </w:t>
      </w:r>
      <w:r w:rsidR="004F0B96">
        <w:t>p</w:t>
      </w:r>
      <w:r w:rsidR="00F97839" w:rsidRPr="00F97839">
        <w:t xml:space="preserve">roject </w:t>
      </w:r>
      <w:r w:rsidR="004F0B96">
        <w:t>o</w:t>
      </w:r>
      <w:r w:rsidR="00F97839" w:rsidRPr="00F97839">
        <w:t xml:space="preserve">fficers (FPOs) for the ETA-funded portions of the grants, individuals from the national offices of the funding partners, and possibly staff from the nonfunding federal partners. </w:t>
      </w:r>
      <w:r w:rsidR="006328E9">
        <w:t xml:space="preserve">After </w:t>
      </w:r>
      <w:r w:rsidR="004F0B96">
        <w:t xml:space="preserve">completing the </w:t>
      </w:r>
      <w:r w:rsidR="006328E9">
        <w:t>interview calls</w:t>
      </w:r>
      <w:r w:rsidR="00F97839" w:rsidRPr="00F97839">
        <w:t xml:space="preserve">, </w:t>
      </w:r>
      <w:r w:rsidR="006328E9">
        <w:t>the evaluation contractor</w:t>
      </w:r>
      <w:r w:rsidR="00F97839" w:rsidRPr="00F97839">
        <w:t xml:space="preserve"> </w:t>
      </w:r>
      <w:r w:rsidR="006328E9">
        <w:t>will (1)</w:t>
      </w:r>
      <w:r w:rsidR="00F97839" w:rsidRPr="00F97839">
        <w:t xml:space="preserve"> compile respondents’ site visit recommendations in a spreadsheet along with their</w:t>
      </w:r>
      <w:r w:rsidR="00D801DB">
        <w:t xml:space="preserve"> rationale for each suggestion,</w:t>
      </w:r>
      <w:r w:rsidR="006328E9">
        <w:t xml:space="preserve"> (2) </w:t>
      </w:r>
      <w:r w:rsidR="00F97839" w:rsidRPr="00F97839">
        <w:t>review this information</w:t>
      </w:r>
      <w:r w:rsidR="006328E9">
        <w:t xml:space="preserve"> in tandem with information from the document review</w:t>
      </w:r>
      <w:r w:rsidR="00F97839" w:rsidRPr="00F97839">
        <w:t xml:space="preserve"> and co</w:t>
      </w:r>
      <w:r w:rsidR="00D801DB">
        <w:t>mpile a list of possible sites,</w:t>
      </w:r>
      <w:r w:rsidR="006328E9">
        <w:t xml:space="preserve"> (3) </w:t>
      </w:r>
      <w:r w:rsidR="00F97839" w:rsidRPr="00F97839">
        <w:t>consult with ETA about these site suggestions</w:t>
      </w:r>
      <w:r w:rsidR="00D801DB">
        <w:t>,</w:t>
      </w:r>
      <w:r w:rsidR="00F97839" w:rsidRPr="00F97839">
        <w:t xml:space="preserve"> and</w:t>
      </w:r>
      <w:r w:rsidR="006328E9">
        <w:t xml:space="preserve"> (4)</w:t>
      </w:r>
      <w:r w:rsidR="00F97839" w:rsidRPr="00F97839">
        <w:t xml:space="preserve"> derive a consensus list of nine sites (and two alternates) to visit.</w:t>
      </w:r>
    </w:p>
    <w:p w:rsidR="00F97839" w:rsidRDefault="00904211" w:rsidP="00F97839">
      <w:pPr>
        <w:pStyle w:val="NormalSS"/>
      </w:pPr>
      <w:r>
        <w:t xml:space="preserve">The input </w:t>
      </w:r>
      <w:r w:rsidR="00AF1052">
        <w:t>provided by</w:t>
      </w:r>
      <w:r>
        <w:t xml:space="preserve"> federal partners</w:t>
      </w:r>
      <w:r w:rsidR="001319FA">
        <w:t xml:space="preserve"> and FPOs</w:t>
      </w:r>
      <w:r>
        <w:t xml:space="preserve"> will play a large role in determining how sites are selected. </w:t>
      </w:r>
      <w:r w:rsidR="001319FA">
        <w:t xml:space="preserve">After compiling the list of suggested sites, the evaluation team will coordinate with ETA to finalize a list that </w:t>
      </w:r>
      <w:r w:rsidR="006328E9">
        <w:t>ensure</w:t>
      </w:r>
      <w:r w:rsidR="001319FA">
        <w:t>s</w:t>
      </w:r>
      <w:r w:rsidR="00F97839" w:rsidRPr="00C8199D">
        <w:t xml:space="preserve"> diversity across the following </w:t>
      </w:r>
      <w:r w:rsidR="00737A11">
        <w:t xml:space="preserve">six </w:t>
      </w:r>
      <w:r w:rsidR="00F97839" w:rsidRPr="00C8199D">
        <w:t>key dimensions:</w:t>
      </w:r>
    </w:p>
    <w:p w:rsidR="00F94174" w:rsidRDefault="00F94174" w:rsidP="00F94174">
      <w:pPr>
        <w:pStyle w:val="BulletBlue"/>
      </w:pPr>
      <w:r>
        <w:rPr>
          <w:b/>
          <w:bCs/>
        </w:rPr>
        <w:t>Grantee and key partner types:</w:t>
      </w:r>
      <w:r>
        <w:t xml:space="preserve"> the study will seek to include sites that collectively include some variation in the types of organizations that play key roles—such as local workforce investment areas, colleges or universities, public agencies, and nonprofit organizations. </w:t>
      </w:r>
    </w:p>
    <w:p w:rsidR="00F94174" w:rsidRDefault="00F94174" w:rsidP="00F94174">
      <w:pPr>
        <w:pStyle w:val="BulletBlue"/>
        <w:rPr>
          <w:b/>
          <w:bCs/>
        </w:rPr>
      </w:pPr>
      <w:r>
        <w:rPr>
          <w:b/>
          <w:bCs/>
        </w:rPr>
        <w:lastRenderedPageBreak/>
        <w:t xml:space="preserve">Maturity of grantee partnerships before the grant application: </w:t>
      </w:r>
      <w:r>
        <w:t xml:space="preserve">the study will a include a mix of sites with some that had robust partnerships and a long history of collaboration prior to grant application and others where partnership development has been a more recent phenomena.  </w:t>
      </w:r>
    </w:p>
    <w:p w:rsidR="00F94174" w:rsidRDefault="00F94174" w:rsidP="00F94174">
      <w:pPr>
        <w:pStyle w:val="BulletBlue"/>
      </w:pPr>
      <w:r>
        <w:rPr>
          <w:b/>
          <w:bCs/>
        </w:rPr>
        <w:t xml:space="preserve">Geographic location and type: </w:t>
      </w:r>
      <w:r>
        <w:t>the study will ideally include sites in each of the six DOL regions, as well as</w:t>
      </w:r>
      <w:proofErr w:type="gramStart"/>
      <w:r>
        <w:t>  include</w:t>
      </w:r>
      <w:proofErr w:type="gramEnd"/>
      <w:r>
        <w:t xml:space="preserve"> a mix of urban, rural, and blended communities.</w:t>
      </w:r>
    </w:p>
    <w:p w:rsidR="00F94174" w:rsidRDefault="00F94174" w:rsidP="00F94174">
      <w:pPr>
        <w:pStyle w:val="BulletBlue"/>
        <w:rPr>
          <w:b/>
          <w:bCs/>
        </w:rPr>
      </w:pPr>
      <w:r>
        <w:rPr>
          <w:b/>
          <w:bCs/>
        </w:rPr>
        <w:t xml:space="preserve">Industry and occupational focus of the cluster: </w:t>
      </w:r>
      <w:r>
        <w:t xml:space="preserve">we will select sites in which cluster activities focus on diverse industries and occupations, making sure to include those of particular interest to DOL. </w:t>
      </w:r>
    </w:p>
    <w:p w:rsidR="00F94174" w:rsidRDefault="00F94174" w:rsidP="00F94174">
      <w:pPr>
        <w:pStyle w:val="BulletBlue"/>
      </w:pPr>
      <w:r>
        <w:rPr>
          <w:b/>
          <w:bCs/>
        </w:rPr>
        <w:t>Targeted populations</w:t>
      </w:r>
      <w:r>
        <w:t>: we will select sites that vary in the target populations served by grant activities, including a cross-section of clusters serving unemployed workers, incumbent workers, or underrepresented groups or communities.</w:t>
      </w:r>
    </w:p>
    <w:p w:rsidR="00F94174" w:rsidRDefault="00F94174" w:rsidP="00F94174">
      <w:pPr>
        <w:pStyle w:val="BulletBlue"/>
      </w:pPr>
      <w:r>
        <w:rPr>
          <w:b/>
          <w:bCs/>
        </w:rPr>
        <w:t>Types of training offered</w:t>
      </w:r>
      <w:r>
        <w:t xml:space="preserve">: we will select sites that vary in the types of trainings offered, including on-the-job training, classroom occupational training, customized training, and contextualized learning. </w:t>
      </w:r>
    </w:p>
    <w:p w:rsidR="00F86BC4" w:rsidRDefault="004F0B96" w:rsidP="00F86BC4">
      <w:pPr>
        <w:pStyle w:val="NormalSS"/>
      </w:pPr>
      <w:r>
        <w:t>ETA priorities will determine s</w:t>
      </w:r>
      <w:r w:rsidR="006328E9">
        <w:t xml:space="preserve">ite selection for </w:t>
      </w:r>
      <w:r w:rsidR="00F97839">
        <w:t>round 2 site</w:t>
      </w:r>
      <w:r w:rsidR="00F97839" w:rsidRPr="00C8199D">
        <w:t xml:space="preserve"> visit</w:t>
      </w:r>
      <w:r w:rsidR="00F97839">
        <w:t>s</w:t>
      </w:r>
      <w:r w:rsidR="00F97839" w:rsidRPr="00C8199D">
        <w:t xml:space="preserve">. </w:t>
      </w:r>
      <w:r w:rsidR="00D801DB">
        <w:t>For example, i</w:t>
      </w:r>
      <w:r w:rsidR="00F97839" w:rsidRPr="00C8199D">
        <w:t xml:space="preserve">f </w:t>
      </w:r>
      <w:r w:rsidR="00F85E46">
        <w:t xml:space="preserve">ETA </w:t>
      </w:r>
      <w:r w:rsidR="00C87A21">
        <w:t xml:space="preserve">decides that </w:t>
      </w:r>
      <w:r w:rsidR="00F97839" w:rsidRPr="00C8199D">
        <w:t xml:space="preserve">additional information </w:t>
      </w:r>
      <w:r w:rsidR="00F97839">
        <w:t>on practices for sustaining cluster efforts</w:t>
      </w:r>
      <w:r w:rsidR="00D801DB">
        <w:t xml:space="preserve"> is a priority</w:t>
      </w:r>
      <w:r w:rsidR="00F97839">
        <w:t xml:space="preserve">, </w:t>
      </w:r>
      <w:r w:rsidR="006328E9">
        <w:t>sites that</w:t>
      </w:r>
      <w:r w:rsidR="00F97839">
        <w:t xml:space="preserve"> have developed formal sustainability plans or </w:t>
      </w:r>
      <w:r w:rsidR="00D801DB">
        <w:t>those that</w:t>
      </w:r>
      <w:r w:rsidR="00F97839">
        <w:t xml:space="preserve"> actively s</w:t>
      </w:r>
      <w:r>
        <w:t>ought</w:t>
      </w:r>
      <w:r w:rsidR="00F97839">
        <w:t xml:space="preserve"> funding for continued cluster efforts</w:t>
      </w:r>
      <w:r w:rsidR="006328E9">
        <w:t xml:space="preserve"> will be selected</w:t>
      </w:r>
      <w:r w:rsidR="00F97839" w:rsidRPr="00C8199D">
        <w:t xml:space="preserve">. If the priority is to examine </w:t>
      </w:r>
      <w:r w:rsidR="00F97839">
        <w:t>promising</w:t>
      </w:r>
      <w:r w:rsidR="00F97839" w:rsidRPr="00C8199D">
        <w:t xml:space="preserve"> practices, it m</w:t>
      </w:r>
      <w:r>
        <w:t>ight</w:t>
      </w:r>
      <w:r w:rsidR="00F97839" w:rsidRPr="00C8199D">
        <w:t xml:space="preserve"> make more sense to choose a set of grantees with demonstrated success</w:t>
      </w:r>
      <w:r w:rsidR="00F97839">
        <w:t xml:space="preserve"> along key dimensions of interest to the agency</w:t>
      </w:r>
      <w:r w:rsidR="00F97839" w:rsidRPr="00C8199D">
        <w:t xml:space="preserve">. </w:t>
      </w:r>
      <w:r w:rsidR="00F97839">
        <w:t xml:space="preserve">As such, selection of round 2 sites will occur after </w:t>
      </w:r>
      <w:r>
        <w:t xml:space="preserve">completion of </w:t>
      </w:r>
      <w:r w:rsidR="00F97839">
        <w:t xml:space="preserve">the round 1 </w:t>
      </w:r>
      <w:proofErr w:type="gramStart"/>
      <w:r w:rsidR="00F97839">
        <w:t>visits</w:t>
      </w:r>
      <w:proofErr w:type="gramEnd"/>
      <w:r w:rsidR="00F97839">
        <w:t xml:space="preserve"> so</w:t>
      </w:r>
      <w:r w:rsidR="00D801DB">
        <w:t xml:space="preserve"> that</w:t>
      </w:r>
      <w:r w:rsidR="00F97839">
        <w:t xml:space="preserve"> the information gained </w:t>
      </w:r>
      <w:r>
        <w:t xml:space="preserve">can </w:t>
      </w:r>
      <w:r w:rsidR="00F97839">
        <w:t>answer the questions of greatest interest to ETA.</w:t>
      </w:r>
    </w:p>
    <w:p w:rsidR="00F86BC4" w:rsidRPr="00F86BC4" w:rsidRDefault="00F86BC4" w:rsidP="00F86BC4">
      <w:pPr>
        <w:pStyle w:val="NormalSS"/>
        <w:ind w:firstLine="0"/>
        <w:rPr>
          <w:b/>
          <w:highlight w:val="green"/>
        </w:rPr>
      </w:pPr>
      <w:r w:rsidRPr="00F86BC4">
        <w:rPr>
          <w:b/>
        </w:rPr>
        <w:t>b.</w:t>
      </w:r>
      <w:r w:rsidRPr="00F86BC4">
        <w:rPr>
          <w:b/>
        </w:rPr>
        <w:tab/>
      </w:r>
      <w:r w:rsidR="007F4638">
        <w:rPr>
          <w:b/>
        </w:rPr>
        <w:t xml:space="preserve">Survey </w:t>
      </w:r>
      <w:r>
        <w:rPr>
          <w:b/>
        </w:rPr>
        <w:t>Universe and Sampling</w:t>
      </w:r>
    </w:p>
    <w:p w:rsidR="00F0389D" w:rsidRDefault="00F86BC4" w:rsidP="00F86BC4">
      <w:pPr>
        <w:pStyle w:val="NormalSS"/>
      </w:pPr>
      <w:r w:rsidRPr="00E212AB">
        <w:t xml:space="preserve">About 330 representatives </w:t>
      </w:r>
      <w:r w:rsidR="007F4638">
        <w:t xml:space="preserve">from across the </w:t>
      </w:r>
      <w:r w:rsidRPr="00E212AB">
        <w:t xml:space="preserve">30 JIAC and AM-JIAC grantee clusters will </w:t>
      </w:r>
      <w:r w:rsidR="007F4638">
        <w:t>be asked to participate</w:t>
      </w:r>
      <w:r w:rsidRPr="00E212AB">
        <w:t xml:space="preserve"> in the online survey.</w:t>
      </w:r>
      <w:r>
        <w:t xml:space="preserve"> This includes a total of</w:t>
      </w:r>
      <w:r w:rsidR="00651A87">
        <w:t xml:space="preserve"> </w:t>
      </w:r>
      <w:r w:rsidR="00737A11">
        <w:t>up to</w:t>
      </w:r>
      <w:r>
        <w:t xml:space="preserve"> 11 individuals within each cluster.</w:t>
      </w:r>
    </w:p>
    <w:p w:rsidR="00F86BC4" w:rsidRDefault="00FC2E2B" w:rsidP="00F86BC4">
      <w:pPr>
        <w:pStyle w:val="NormalSS"/>
      </w:pPr>
      <w:r>
        <w:t>T</w:t>
      </w:r>
      <w:r w:rsidR="00F0389D">
        <w:t xml:space="preserve">he </w:t>
      </w:r>
      <w:r w:rsidR="004F0B96">
        <w:t xml:space="preserve">evaluation contractor will use a two-step approach to develop the </w:t>
      </w:r>
      <w:r w:rsidR="00F0389D">
        <w:t>sampling frame for the survey</w:t>
      </w:r>
      <w:r w:rsidR="00666A78">
        <w:t xml:space="preserve">. </w:t>
      </w:r>
      <w:r w:rsidR="00F0389D">
        <w:t xml:space="preserve">First, </w:t>
      </w:r>
      <w:r>
        <w:t>the evaluator</w:t>
      </w:r>
      <w:r w:rsidR="00F86BC4">
        <w:t xml:space="preserve"> </w:t>
      </w:r>
      <w:r w:rsidR="00CF3B83">
        <w:t xml:space="preserve">has </w:t>
      </w:r>
      <w:r w:rsidR="00F86BC4">
        <w:t>use</w:t>
      </w:r>
      <w:r w:rsidR="00CF3B83">
        <w:t>d</w:t>
      </w:r>
      <w:r w:rsidR="00F86BC4">
        <w:t xml:space="preserve"> g</w:t>
      </w:r>
      <w:r w:rsidR="00F86BC4" w:rsidRPr="007D4F9F">
        <w:t>rantee</w:t>
      </w:r>
      <w:r w:rsidR="004F0B96">
        <w:t>s’</w:t>
      </w:r>
      <w:r w:rsidR="00F86BC4" w:rsidRPr="007D4F9F">
        <w:t xml:space="preserve"> statements of work</w:t>
      </w:r>
      <w:r w:rsidR="00F86BC4">
        <w:t>, grant proposals,</w:t>
      </w:r>
      <w:r w:rsidR="00F86BC4" w:rsidRPr="007D4F9F">
        <w:t xml:space="preserve"> </w:t>
      </w:r>
      <w:r w:rsidR="00F86BC4">
        <w:t xml:space="preserve">progress reports, and interviews with federal staff to develop a list of grantee partners. </w:t>
      </w:r>
      <w:r w:rsidR="00F86BC4" w:rsidRPr="003F6166">
        <w:t xml:space="preserve">From these resources, </w:t>
      </w:r>
      <w:r>
        <w:t>the evaluator</w:t>
      </w:r>
      <w:r w:rsidR="00F86BC4" w:rsidRPr="003F6166">
        <w:t xml:space="preserve"> </w:t>
      </w:r>
      <w:r w:rsidR="00CF3B83">
        <w:t>has</w:t>
      </w:r>
      <w:r w:rsidR="00CF3B83" w:rsidRPr="003F6166">
        <w:t xml:space="preserve"> </w:t>
      </w:r>
      <w:r w:rsidR="00F86BC4" w:rsidRPr="003F6166">
        <w:t>develop</w:t>
      </w:r>
      <w:r w:rsidR="00CF3B83">
        <w:t>ed</w:t>
      </w:r>
      <w:r w:rsidR="00F86BC4" w:rsidRPr="003F6166">
        <w:t xml:space="preserve"> a</w:t>
      </w:r>
      <w:r w:rsidR="00F86BC4">
        <w:t xml:space="preserve">n initial list including the cluster manager, the funding stream </w:t>
      </w:r>
      <w:r w:rsidR="00F86BC4" w:rsidRPr="003F6166">
        <w:t xml:space="preserve">administrators, and partners in each cluster. </w:t>
      </w:r>
      <w:r w:rsidR="00F0389D">
        <w:t>Second, a</w:t>
      </w:r>
      <w:r w:rsidR="00F86BC4">
        <w:t xml:space="preserve">fter receiving </w:t>
      </w:r>
      <w:r w:rsidR="004F0B96">
        <w:t>Office of Management and Budget (</w:t>
      </w:r>
      <w:r w:rsidR="00F86BC4">
        <w:t>OMB</w:t>
      </w:r>
      <w:r w:rsidR="004F0B96">
        <w:t>)</w:t>
      </w:r>
      <w:r w:rsidR="00F86BC4">
        <w:t xml:space="preserve"> clearance, the</w:t>
      </w:r>
      <w:r w:rsidR="004F0B96">
        <w:t xml:space="preserve"> evaluator will send the</w:t>
      </w:r>
      <w:r w:rsidR="00F86BC4">
        <w:t xml:space="preserve">se lists to each </w:t>
      </w:r>
      <w:r w:rsidR="00C8522E">
        <w:t>ETA funding stream administrator</w:t>
      </w:r>
      <w:r w:rsidR="00F86BC4">
        <w:t xml:space="preserve">, asking him or her to verify that the list of organizations is complete and accurate. </w:t>
      </w:r>
      <w:r>
        <w:t>Each</w:t>
      </w:r>
      <w:r w:rsidR="00FA3E87">
        <w:t xml:space="preserve"> respondent</w:t>
      </w:r>
      <w:r>
        <w:t xml:space="preserve"> will be </w:t>
      </w:r>
      <w:r w:rsidR="00F86BC4">
        <w:t>instruct</w:t>
      </w:r>
      <w:r>
        <w:t>ed</w:t>
      </w:r>
      <w:r w:rsidR="007F4638">
        <w:t xml:space="preserve"> </w:t>
      </w:r>
      <w:r w:rsidR="00F86BC4">
        <w:t xml:space="preserve">to </w:t>
      </w:r>
      <w:r w:rsidR="007F4638">
        <w:t xml:space="preserve">add any organizations that are not represented on the list and </w:t>
      </w:r>
      <w:r w:rsidR="00F86BC4">
        <w:t>update or add</w:t>
      </w:r>
      <w:r w:rsidR="004F0B96">
        <w:t xml:space="preserve"> any</w:t>
      </w:r>
      <w:r w:rsidR="00F86BC4">
        <w:t xml:space="preserve"> </w:t>
      </w:r>
      <w:r w:rsidR="004F0B96">
        <w:t xml:space="preserve">missing or inaccurate </w:t>
      </w:r>
      <w:r w:rsidR="00F86BC4">
        <w:t>contact information</w:t>
      </w:r>
      <w:r w:rsidR="001B7C6E">
        <w:t>, contacting the grantees for listings of their partners in order to do so</w:t>
      </w:r>
      <w:r w:rsidR="007F4638">
        <w:t xml:space="preserve">. </w:t>
      </w:r>
      <w:r>
        <w:t>T</w:t>
      </w:r>
      <w:r w:rsidR="007F4638">
        <w:t>he</w:t>
      </w:r>
      <w:r w:rsidR="00651A87">
        <w:t>y</w:t>
      </w:r>
      <w:r w:rsidR="007F4638">
        <w:t xml:space="preserve"> </w:t>
      </w:r>
      <w:r>
        <w:t xml:space="preserve">will also be asked to </w:t>
      </w:r>
      <w:r w:rsidR="00F86BC4">
        <w:t>populate</w:t>
      </w:r>
      <w:r w:rsidR="007F4638">
        <w:t xml:space="preserve"> a series of </w:t>
      </w:r>
      <w:r w:rsidR="00F86BC4">
        <w:t xml:space="preserve">columns </w:t>
      </w:r>
      <w:r w:rsidR="007F4638">
        <w:t xml:space="preserve">for each participating organization. These include yes/no responses for whether the organization received ETA, </w:t>
      </w:r>
      <w:r w:rsidR="004F0B96">
        <w:t>U.S. Small Business Administration (</w:t>
      </w:r>
      <w:r w:rsidR="007F4638">
        <w:t>SBA</w:t>
      </w:r>
      <w:r w:rsidR="004F0B96">
        <w:t>)</w:t>
      </w:r>
      <w:r w:rsidR="007F4638">
        <w:t xml:space="preserve">, or </w:t>
      </w:r>
      <w:r w:rsidR="004F0B96">
        <w:t>Economic Development Administration (</w:t>
      </w:r>
      <w:r w:rsidR="007F4638">
        <w:t>EDA</w:t>
      </w:r>
      <w:r w:rsidR="004F0B96">
        <w:t>)</w:t>
      </w:r>
      <w:r w:rsidR="007F4638">
        <w:t xml:space="preserve"> grant funds for JIAC activities (or ETA, SBA, EDA, </w:t>
      </w:r>
      <w:r w:rsidR="004F0B96">
        <w:t>U.S. Department of Energy [</w:t>
      </w:r>
      <w:r w:rsidR="007F4638">
        <w:t>DOE</w:t>
      </w:r>
      <w:r w:rsidR="004F0B96">
        <w:t>]</w:t>
      </w:r>
      <w:r w:rsidR="007F4638">
        <w:t xml:space="preserve">, or </w:t>
      </w:r>
      <w:r w:rsidR="004F0B96">
        <w:t>National Institute of Standards and Technology, Hollings Manufacturing Extension Partnership [</w:t>
      </w:r>
      <w:r w:rsidR="007F4638">
        <w:t>NIST-MEP</w:t>
      </w:r>
      <w:r w:rsidR="004F0B96">
        <w:t>]</w:t>
      </w:r>
      <w:r w:rsidR="007F4638">
        <w:t xml:space="preserve"> funds for AM-JIAC activities)</w:t>
      </w:r>
      <w:r w:rsidR="00651A87">
        <w:t>,</w:t>
      </w:r>
      <w:r w:rsidR="007F4638">
        <w:t xml:space="preserve"> whether the organization has maintained a high, medium, or low level of participation in grant-related cluster activities</w:t>
      </w:r>
      <w:r w:rsidR="00651A87">
        <w:t xml:space="preserve">, </w:t>
      </w:r>
      <w:r w:rsidR="00FA3E87">
        <w:t>and</w:t>
      </w:r>
      <w:r w:rsidR="00651A87">
        <w:t xml:space="preserve"> why </w:t>
      </w:r>
      <w:r w:rsidR="00FA3E87">
        <w:t xml:space="preserve">any </w:t>
      </w:r>
      <w:r w:rsidR="00651A87">
        <w:t xml:space="preserve">organizations listed in initial materials </w:t>
      </w:r>
      <w:r w:rsidR="00FA3E87">
        <w:t xml:space="preserve">that are deleted </w:t>
      </w:r>
      <w:r w:rsidR="00651A87">
        <w:t>were ultimately not involved in the project.</w:t>
      </w:r>
      <w:r w:rsidR="00B43954">
        <w:t xml:space="preserve"> An example of such a completed sheet is included as </w:t>
      </w:r>
      <w:r w:rsidR="009269EA">
        <w:t>Attachment J</w:t>
      </w:r>
      <w:r w:rsidR="00B43954">
        <w:t>.</w:t>
      </w:r>
    </w:p>
    <w:p w:rsidR="00F86BC4" w:rsidRDefault="00CF3B83" w:rsidP="00F86BC4">
      <w:pPr>
        <w:pStyle w:val="NormalSS"/>
      </w:pPr>
      <w:r>
        <w:t xml:space="preserve">Based on the pretest, the sampling frame is expected to consist of about </w:t>
      </w:r>
      <w:r w:rsidR="001B7C6E">
        <w:t>400</w:t>
      </w:r>
      <w:r w:rsidR="00557320">
        <w:t xml:space="preserve"> partnering organizations</w:t>
      </w:r>
      <w:r>
        <w:t xml:space="preserve">, slightly </w:t>
      </w:r>
      <w:r w:rsidR="00391BE7">
        <w:t>fewer</w:t>
      </w:r>
      <w:r w:rsidR="001B7C6E">
        <w:t xml:space="preserve"> than</w:t>
      </w:r>
      <w:r>
        <w:t xml:space="preserve"> the initial listing.</w:t>
      </w:r>
      <w:r w:rsidR="001B7C6E">
        <w:t xml:space="preserve"> This small reduction is based on the finding that some partners listed in the application ultimately had little or no involvement in the cluster</w:t>
      </w:r>
      <w:r w:rsidR="00557320">
        <w:t xml:space="preserve"> or were listed multiple times under varying names</w:t>
      </w:r>
      <w:r w:rsidR="001B7C6E">
        <w:t>.</w:t>
      </w:r>
      <w:r w:rsidR="00C125A2">
        <w:t xml:space="preserve"> </w:t>
      </w:r>
      <w:r>
        <w:t>T</w:t>
      </w:r>
      <w:r w:rsidR="00FC2E2B">
        <w:t>he evaluation team</w:t>
      </w:r>
      <w:r w:rsidR="007F4638">
        <w:t xml:space="preserve"> anticipate</w:t>
      </w:r>
      <w:r w:rsidR="00FC2E2B">
        <w:t>s</w:t>
      </w:r>
      <w:r w:rsidR="007F4638">
        <w:t xml:space="preserve"> that </w:t>
      </w:r>
      <w:r w:rsidR="00C8522E">
        <w:t>ETA funding stream administrators</w:t>
      </w:r>
      <w:r>
        <w:t xml:space="preserve"> </w:t>
      </w:r>
      <w:r w:rsidR="007F4638">
        <w:t>will be able to provide all the required information</w:t>
      </w:r>
      <w:r w:rsidR="00F0389D">
        <w:t xml:space="preserve"> to </w:t>
      </w:r>
      <w:r>
        <w:t xml:space="preserve">refine </w:t>
      </w:r>
      <w:r w:rsidR="00F0389D">
        <w:t>the sampling frame</w:t>
      </w:r>
      <w:r w:rsidR="007F4638">
        <w:t xml:space="preserve"> and have a high degree of accuracy in verifying the lists.</w:t>
      </w:r>
      <w:r w:rsidR="00F86BC4">
        <w:t xml:space="preserve"> However, </w:t>
      </w:r>
      <w:r w:rsidR="00FC2E2B">
        <w:t>researchers</w:t>
      </w:r>
      <w:r w:rsidR="00F86BC4">
        <w:t xml:space="preserve"> will conduct follow-up </w:t>
      </w:r>
      <w:r w:rsidR="009C73BB">
        <w:t xml:space="preserve">calls and web searches </w:t>
      </w:r>
      <w:r w:rsidR="00F86BC4">
        <w:t>to gather information</w:t>
      </w:r>
      <w:r w:rsidR="004F0B96">
        <w:t xml:space="preserve"> </w:t>
      </w:r>
      <w:r w:rsidR="00C828BE">
        <w:t>in the case of significant deficiencies in the contact lists</w:t>
      </w:r>
      <w:r w:rsidR="00F86BC4">
        <w:t xml:space="preserve">. In the event that contact information for a partner organization cannot be located or is known to be incorrect and corrected information cannot be found (for example, if the </w:t>
      </w:r>
      <w:r w:rsidR="004F0B96">
        <w:t>tele</w:t>
      </w:r>
      <w:r w:rsidR="00F86BC4">
        <w:t xml:space="preserve">phone number is no longer in service and/or the website has been taken down), </w:t>
      </w:r>
      <w:r w:rsidR="00FC2E2B">
        <w:t>the evaluator</w:t>
      </w:r>
      <w:r w:rsidR="00F86BC4">
        <w:t xml:space="preserve"> will assume the partner is no longer operating and exclude it from the sample frame.</w:t>
      </w:r>
      <w:r w:rsidR="00F94FC8">
        <w:t xml:space="preserve"> This </w:t>
      </w:r>
      <w:r w:rsidR="00446FAC">
        <w:t xml:space="preserve">exclusion </w:t>
      </w:r>
      <w:r w:rsidR="00F94FC8">
        <w:t>will be unlikely as these updates to the sampling frame will be gathered a matter of weeks before fielding the survey</w:t>
      </w:r>
      <w:r w:rsidR="00FA3E87">
        <w:t xml:space="preserve"> and we anticipate that ETA funding team administrators will make every effort to provide updated lists</w:t>
      </w:r>
      <w:r w:rsidR="00F94FC8">
        <w:t xml:space="preserve">.   </w:t>
      </w:r>
    </w:p>
    <w:p w:rsidR="00A337A3" w:rsidRDefault="00DA1A2E" w:rsidP="00F86BC4">
      <w:pPr>
        <w:pStyle w:val="NormalSS"/>
      </w:pPr>
      <w:r>
        <w:t>The evaluation team will sample the survey respondents using these verified sampling frames</w:t>
      </w:r>
      <w:r w:rsidR="009F3293">
        <w:t>, following the steps depicted in Figure B.1</w:t>
      </w:r>
      <w:r>
        <w:t>.</w:t>
      </w:r>
      <w:r w:rsidR="00F86BC4">
        <w:t xml:space="preserve"> </w:t>
      </w:r>
      <w:r>
        <w:t>The</w:t>
      </w:r>
      <w:r w:rsidR="004F0B96">
        <w:t xml:space="preserve"> team</w:t>
      </w:r>
      <w:r>
        <w:t xml:space="preserve"> </w:t>
      </w:r>
      <w:r w:rsidR="00F86BC4">
        <w:t xml:space="preserve">will begin by sampling the cluster manager </w:t>
      </w:r>
      <w:r w:rsidR="00581746">
        <w:t xml:space="preserve">within each cluster </w:t>
      </w:r>
      <w:r w:rsidR="00F86BC4">
        <w:t xml:space="preserve">with certainty (a probability of 1.0). In cases </w:t>
      </w:r>
      <w:r w:rsidR="004F0B96">
        <w:t xml:space="preserve">in </w:t>
      </w:r>
      <w:r w:rsidR="00F86BC4">
        <w:t>wh</w:t>
      </w:r>
      <w:r w:rsidR="004F0B96">
        <w:t>ich</w:t>
      </w:r>
      <w:r w:rsidR="00F86BC4">
        <w:t xml:space="preserve"> the cluster manager and the ETA funding stream administrator are not the same person, the ETA funding stream administrator will be sampled with certainty as well.</w:t>
      </w:r>
      <w:r w:rsidR="00287CAB">
        <w:t xml:space="preserve"> </w:t>
      </w:r>
      <w:r>
        <w:t>A</w:t>
      </w:r>
      <w:r w:rsidR="00F86BC4">
        <w:t xml:space="preserve"> sample of </w:t>
      </w:r>
      <w:r w:rsidR="00651A87">
        <w:t>staff</w:t>
      </w:r>
      <w:r w:rsidR="00651A87" w:rsidRPr="007D4F9F">
        <w:t xml:space="preserve"> </w:t>
      </w:r>
      <w:r w:rsidR="00F86BC4">
        <w:t xml:space="preserve">at cluster </w:t>
      </w:r>
      <w:r w:rsidR="00F86BC4" w:rsidRPr="007D4F9F">
        <w:t>partners</w:t>
      </w:r>
      <w:r w:rsidR="00F86BC4">
        <w:t xml:space="preserve"> will comprise the remaining survey respondents.</w:t>
      </w:r>
      <w:r w:rsidR="00287CAB" w:rsidRPr="00287CAB">
        <w:t xml:space="preserve"> </w:t>
      </w:r>
      <w:r w:rsidR="00287CAB">
        <w:t>Any partners rated as having low or no involvement, or for whom no contact information was provided, will be dropped from the sampling frame.</w:t>
      </w:r>
      <w:r w:rsidR="00F86BC4">
        <w:t xml:space="preserve"> If a cluster</w:t>
      </w:r>
      <w:r w:rsidR="00F86BC4" w:rsidRPr="007D4F9F">
        <w:t xml:space="preserve"> has fewer than </w:t>
      </w:r>
      <w:r w:rsidR="00581746">
        <w:t xml:space="preserve">9 or </w:t>
      </w:r>
      <w:r w:rsidR="00F86BC4" w:rsidRPr="007D4F9F">
        <w:t>10 partners</w:t>
      </w:r>
      <w:r w:rsidR="00581746">
        <w:t xml:space="preserve"> (depending on whether the cluster manager and ETA funding stream administrator are from the same organization)</w:t>
      </w:r>
      <w:r w:rsidR="00F86BC4" w:rsidRPr="007D4F9F">
        <w:t xml:space="preserve">, all of them will be contacted for interviews and there will be no need for sampling. </w:t>
      </w:r>
      <w:r w:rsidR="00F86BC4">
        <w:t xml:space="preserve">If there are more, </w:t>
      </w:r>
      <w:r>
        <w:t>the evaluator</w:t>
      </w:r>
      <w:r w:rsidR="00F86BC4">
        <w:t xml:space="preserve"> will use the following sampling strategy to select organizations as survey respondents.</w:t>
      </w:r>
    </w:p>
    <w:p w:rsidR="00A337A3" w:rsidRDefault="00A337A3" w:rsidP="00A337A3">
      <w:pPr>
        <w:pStyle w:val="MarkforFigureHeading"/>
      </w:pPr>
      <w:r>
        <w:t xml:space="preserve">Figure B.1. </w:t>
      </w:r>
      <w:r w:rsidR="007C171D">
        <w:t>The Survey Sample Selection Process</w:t>
      </w:r>
    </w:p>
    <w:p w:rsidR="00A337A3" w:rsidRDefault="00A337A3">
      <w:pPr>
        <w:tabs>
          <w:tab w:val="clear" w:pos="432"/>
        </w:tabs>
        <w:spacing w:line="240" w:lineRule="auto"/>
        <w:ind w:firstLine="0"/>
        <w:jc w:val="left"/>
      </w:pPr>
      <w:r w:rsidRPr="00A337A3">
        <w:rPr>
          <w:noProof/>
        </w:rPr>
        <w:drawing>
          <wp:inline distT="0" distB="0" distL="0" distR="0">
            <wp:extent cx="5143500" cy="51435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6496050"/>
                      <a:chOff x="1524000" y="247650"/>
                      <a:chExt cx="6400800" cy="6496050"/>
                    </a:xfrm>
                  </a:grpSpPr>
                  <a:grpSp>
                    <a:nvGrpSpPr>
                      <a:cNvPr id="43" name="Group 42"/>
                      <a:cNvGrpSpPr/>
                    </a:nvGrpSpPr>
                    <a:grpSpPr>
                      <a:xfrm>
                        <a:off x="1524000" y="247650"/>
                        <a:ext cx="6400800" cy="6496050"/>
                        <a:chOff x="1524000" y="247650"/>
                        <a:chExt cx="6400800" cy="6496050"/>
                      </a:xfrm>
                    </a:grpSpPr>
                    <a:cxnSp>
                      <a:nvCxnSpPr>
                        <a:cNvPr id="102" name="Straight Arrow Connector 101"/>
                        <a:cNvCxnSpPr/>
                      </a:nvCxnSpPr>
                      <a:spPr>
                        <a:xfrm>
                          <a:off x="2743200" y="4203303"/>
                          <a:ext cx="1219200" cy="0"/>
                        </a:xfrm>
                        <a:prstGeom prst="straightConnector1">
                          <a:avLst/>
                        </a:prstGeom>
                        <a:ln w="28575">
                          <a:solidFill>
                            <a:srgbClr val="C000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7" name="Straight Arrow Connector 96"/>
                        <a:cNvCxnSpPr/>
                      </a:nvCxnSpPr>
                      <a:spPr>
                        <a:xfrm>
                          <a:off x="4749800" y="6019800"/>
                          <a:ext cx="0" cy="3048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8" name="Straight Arrow Connector 97"/>
                        <a:cNvCxnSpPr/>
                      </a:nvCxnSpPr>
                      <a:spPr>
                        <a:xfrm>
                          <a:off x="6756400" y="6019800"/>
                          <a:ext cx="0" cy="3048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9" name="Straight Arrow Connector 98"/>
                        <a:cNvCxnSpPr/>
                      </a:nvCxnSpPr>
                      <a:spPr>
                        <a:xfrm>
                          <a:off x="2514600" y="6019800"/>
                          <a:ext cx="0" cy="3048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1" name="Shape 70"/>
                        <a:cNvCxnSpPr>
                          <a:stCxn id="19" idx="1"/>
                          <a:endCxn id="1036" idx="0"/>
                        </a:cNvCxnSpPr>
                      </a:nvCxnSpPr>
                      <a:spPr>
                        <a:xfrm rot="10800000" flipV="1">
                          <a:off x="4733925" y="5486400"/>
                          <a:ext cx="371476" cy="228600"/>
                        </a:xfrm>
                        <a:prstGeom prst="bentConnector2">
                          <a:avLst/>
                        </a:prstGeom>
                        <a:ln w="28575">
                          <a:solidFill>
                            <a:srgbClr val="C000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9" name="Shape 68"/>
                        <a:cNvCxnSpPr>
                          <a:stCxn id="19" idx="3"/>
                          <a:endCxn id="1037" idx="0"/>
                        </a:cNvCxnSpPr>
                      </a:nvCxnSpPr>
                      <a:spPr>
                        <a:xfrm>
                          <a:off x="6553200" y="5486400"/>
                          <a:ext cx="523875" cy="228600"/>
                        </a:xfrm>
                        <a:prstGeom prst="bentConnector2">
                          <a:avLst/>
                        </a:prstGeom>
                        <a:ln w="28575">
                          <a:solidFill>
                            <a:srgbClr val="0066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flipH="1">
                          <a:off x="5334000" y="4203303"/>
                          <a:ext cx="1371600" cy="0"/>
                        </a:xfrm>
                        <a:prstGeom prst="straightConnector1">
                          <a:avLst/>
                        </a:prstGeom>
                        <a:ln w="28575">
                          <a:solidFill>
                            <a:srgbClr val="C000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026" name="Rectangle 2"/>
                        <a:cNvSpPr>
                          <a:spLocks noChangeArrowheads="1"/>
                        </a:cNvSpPr>
                      </a:nvSpPr>
                      <a:spPr bwMode="auto">
                        <a:xfrm>
                          <a:off x="2362200" y="247650"/>
                          <a:ext cx="4552950" cy="22860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Obtain contact information sheet from the cluster</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27" name="Rectangle 3"/>
                        <a:cNvSpPr>
                          <a:spLocks noChangeArrowheads="1"/>
                        </a:cNvSpPr>
                      </a:nvSpPr>
                      <a:spPr bwMode="auto">
                        <a:xfrm>
                          <a:off x="2362200" y="685800"/>
                          <a:ext cx="4552950" cy="22860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smtClean="0">
                                <a:ln>
                                  <a:noFill/>
                                </a:ln>
                                <a:solidFill>
                                  <a:schemeClr val="tx1"/>
                                </a:solidFill>
                                <a:effectLst/>
                                <a:latin typeface="Arial" pitchFamily="34" charset="0"/>
                                <a:cs typeface="Arial" pitchFamily="34" charset="0"/>
                              </a:rPr>
                              <a:t>Select the cluster manager with certainty</a:t>
                            </a:r>
                            <a:endParaRPr kumimoji="0" lang="en-US"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28" name="Rectangle 4"/>
                        <a:cNvSpPr>
                          <a:spLocks noChangeArrowheads="1"/>
                        </a:cNvSpPr>
                      </a:nvSpPr>
                      <a:spPr bwMode="auto">
                        <a:xfrm>
                          <a:off x="2362200" y="1123950"/>
                          <a:ext cx="4552950" cy="41910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Select the ETA funding stream administrator with certainty </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(if someone different than the cluster manager)</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29" name="Rectangle 5"/>
                        <a:cNvSpPr>
                          <a:spLocks noChangeArrowheads="1"/>
                        </a:cNvSpPr>
                      </a:nvSpPr>
                      <a:spPr bwMode="auto">
                        <a:xfrm>
                          <a:off x="2362200" y="1752600"/>
                          <a:ext cx="4552950" cy="22860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smtClean="0">
                                <a:ln>
                                  <a:noFill/>
                                </a:ln>
                                <a:solidFill>
                                  <a:schemeClr val="tx1"/>
                                </a:solidFill>
                                <a:effectLst/>
                                <a:latin typeface="Arial" pitchFamily="34" charset="0"/>
                                <a:cs typeface="Arial" pitchFamily="34" charset="0"/>
                              </a:rPr>
                              <a:t>Remove organizations with no or low involvement or with no contact information</a:t>
                            </a:r>
                            <a:endParaRPr kumimoji="0" lang="en-US"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30" name="AutoShape 6"/>
                        <a:cNvSpPr>
                          <a:spLocks noChangeArrowheads="1"/>
                        </a:cNvSpPr>
                      </a:nvSpPr>
                      <a:spPr bwMode="auto">
                        <a:xfrm>
                          <a:off x="3175000" y="2209800"/>
                          <a:ext cx="2927350" cy="955675"/>
                        </a:xfrm>
                        <a:prstGeom prst="diamond">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Are the cluster manager and the ETA administrator the same person?</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1" name="AutoShape 7"/>
                        <a:cNvSpPr>
                          <a:spLocks noChangeArrowheads="1"/>
                        </a:cNvSpPr>
                      </a:nvSpPr>
                      <a:spPr bwMode="auto">
                        <a:xfrm>
                          <a:off x="1981200" y="3013869"/>
                          <a:ext cx="1582737" cy="1239838"/>
                        </a:xfrm>
                        <a:prstGeom prst="diamond">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smtClean="0">
                                <a:ln>
                                  <a:noFill/>
                                </a:ln>
                                <a:solidFill>
                                  <a:schemeClr val="tx1"/>
                                </a:solidFill>
                                <a:effectLst/>
                                <a:latin typeface="Arial" pitchFamily="34" charset="0"/>
                                <a:cs typeface="Arial" pitchFamily="34" charset="0"/>
                              </a:rPr>
                              <a:t>Are there 10 or more partners remaining?</a:t>
                            </a:r>
                            <a:endParaRPr kumimoji="0" lang="en-US"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32" name="AutoShape 8"/>
                        <a:cNvSpPr>
                          <a:spLocks noChangeArrowheads="1"/>
                        </a:cNvSpPr>
                      </a:nvSpPr>
                      <a:spPr bwMode="auto">
                        <a:xfrm>
                          <a:off x="5867400" y="3013869"/>
                          <a:ext cx="1582737" cy="1239838"/>
                        </a:xfrm>
                        <a:prstGeom prst="diamond">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smtClean="0">
                                <a:ln>
                                  <a:noFill/>
                                </a:ln>
                                <a:solidFill>
                                  <a:schemeClr val="tx1"/>
                                </a:solidFill>
                                <a:effectLst/>
                                <a:latin typeface="Arial" pitchFamily="34" charset="0"/>
                                <a:cs typeface="Arial" pitchFamily="34" charset="0"/>
                              </a:rPr>
                              <a:t>Are there 9 or more partners remaining?</a:t>
                            </a:r>
                            <a:endParaRPr kumimoji="0" lang="en-US"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33" name="Oval 9"/>
                        <a:cNvSpPr>
                          <a:spLocks noChangeArrowheads="1"/>
                        </a:cNvSpPr>
                      </a:nvSpPr>
                      <a:spPr bwMode="auto">
                        <a:xfrm>
                          <a:off x="3974307" y="3352800"/>
                          <a:ext cx="1328737" cy="1209675"/>
                        </a:xfrm>
                        <a:prstGeom prst="ellipse">
                          <a:avLst/>
                        </a:prstGeom>
                        <a:solidFill>
                          <a:srgbClr val="FFFFFF"/>
                        </a:solidFill>
                        <a:ln w="9525">
                          <a:solidFill>
                            <a:srgbClr val="000000"/>
                          </a:solidFill>
                          <a:round/>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No need for sampling. All remaining partners will be contacted for interviews.</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4" name="Rectangle 10"/>
                        <a:cNvSpPr>
                          <a:spLocks noChangeArrowheads="1"/>
                        </a:cNvSpPr>
                      </a:nvSpPr>
                      <a:spPr bwMode="auto">
                        <a:xfrm>
                          <a:off x="2362200" y="6324600"/>
                          <a:ext cx="4552950" cy="41910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smtClean="0">
                                <a:ln>
                                  <a:noFill/>
                                </a:ln>
                                <a:solidFill>
                                  <a:schemeClr val="tx1"/>
                                </a:solidFill>
                                <a:effectLst/>
                                <a:latin typeface="Arial" pitchFamily="34" charset="0"/>
                                <a:cs typeface="Arial" pitchFamily="34" charset="0"/>
                              </a:rPr>
                              <a:t>Select the remaining number of partners needed to reach a total of 11 surveys from the remaining organizations using probability proportional to size</a:t>
                            </a:r>
                            <a:endParaRPr kumimoji="0" lang="en-US"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35" name="AutoShape 11"/>
                        <a:cNvSpPr>
                          <a:spLocks noChangeArrowheads="1"/>
                        </a:cNvSpPr>
                      </a:nvSpPr>
                      <a:spPr bwMode="auto">
                        <a:xfrm>
                          <a:off x="2057400" y="5715000"/>
                          <a:ext cx="1392237" cy="439737"/>
                        </a:xfrm>
                        <a:prstGeom prst="roundRect">
                          <a:avLst>
                            <a:gd name="adj" fmla="val 16667"/>
                          </a:avLst>
                        </a:prstGeom>
                        <a:solidFill>
                          <a:srgbClr val="FFFFFF"/>
                        </a:solidFill>
                        <a:ln w="9525">
                          <a:solidFill>
                            <a:srgbClr val="000000"/>
                          </a:solidFill>
                          <a:round/>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Select them all with certainty</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6" name="AutoShape 12"/>
                        <a:cNvSpPr>
                          <a:spLocks noChangeArrowheads="1"/>
                        </a:cNvSpPr>
                      </a:nvSpPr>
                      <a:spPr bwMode="auto">
                        <a:xfrm>
                          <a:off x="4038600" y="5715000"/>
                          <a:ext cx="1390650" cy="439737"/>
                        </a:xfrm>
                        <a:prstGeom prst="roundRect">
                          <a:avLst>
                            <a:gd name="adj" fmla="val 16667"/>
                          </a:avLst>
                        </a:prstGeom>
                        <a:solidFill>
                          <a:srgbClr val="FFFFFF"/>
                        </a:solidFill>
                        <a:ln w="9525">
                          <a:solidFill>
                            <a:srgbClr val="000000"/>
                          </a:solidFill>
                          <a:round/>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smtClean="0">
                                <a:ln>
                                  <a:noFill/>
                                </a:ln>
                                <a:solidFill>
                                  <a:schemeClr val="tx1"/>
                                </a:solidFill>
                                <a:effectLst/>
                                <a:latin typeface="Arial" pitchFamily="34" charset="0"/>
                                <a:cs typeface="Arial" pitchFamily="34" charset="0"/>
                              </a:rPr>
                              <a:t>Select the 3 with the highest involvement</a:t>
                            </a:r>
                            <a:endParaRPr kumimoji="0" lang="en-US"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037" name="AutoShape 13"/>
                        <a:cNvSpPr>
                          <a:spLocks noChangeArrowheads="1"/>
                        </a:cNvSpPr>
                      </a:nvSpPr>
                      <a:spPr bwMode="auto">
                        <a:xfrm>
                          <a:off x="6381750" y="5715000"/>
                          <a:ext cx="1390650" cy="439737"/>
                        </a:xfrm>
                        <a:prstGeom prst="roundRect">
                          <a:avLst>
                            <a:gd name="adj" fmla="val 16667"/>
                          </a:avLst>
                        </a:prstGeom>
                        <a:solidFill>
                          <a:srgbClr val="FFFFFF"/>
                        </a:solidFill>
                        <a:ln w="9525">
                          <a:solidFill>
                            <a:srgbClr val="000000"/>
                          </a:solidFill>
                          <a:round/>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Select a random sample of 3</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8" name="Rectangle 14"/>
                        <a:cNvSpPr>
                          <a:spLocks noChangeArrowheads="1"/>
                        </a:cNvSpPr>
                      </a:nvSpPr>
                      <a:spPr bwMode="auto">
                        <a:xfrm>
                          <a:off x="2848769" y="4648200"/>
                          <a:ext cx="3579813" cy="28575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How many remaining partners receive ETA funds?</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9" name="AutoShape 8"/>
                        <a:cNvSpPr>
                          <a:spLocks noChangeArrowheads="1"/>
                        </a:cNvSpPr>
                      </a:nvSpPr>
                      <a:spPr bwMode="auto">
                        <a:xfrm>
                          <a:off x="5105401" y="5181600"/>
                          <a:ext cx="1447799" cy="609600"/>
                        </a:xfrm>
                        <a:prstGeom prst="diamond">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chemeClr val="tx1"/>
                                </a:solidFill>
                                <a:effectLst/>
                                <a:latin typeface="Arial" pitchFamily="34" charset="0"/>
                                <a:cs typeface="Arial" pitchFamily="34" charset="0"/>
                              </a:rPr>
                              <a:t>Are they equally involved?</a:t>
                            </a:r>
                            <a:endParaRPr kumimoji="0" lang="en-US" b="0" i="0" u="none" strike="noStrike" cap="none" normalizeH="0" baseline="0" dirty="0" smtClean="0">
                              <a:ln>
                                <a:noFill/>
                              </a:ln>
                              <a:solidFill>
                                <a:schemeClr val="tx1"/>
                              </a:solidFill>
                              <a:effectLst/>
                              <a:latin typeface="Arial" pitchFamily="34" charset="0"/>
                              <a:cs typeface="Arial" pitchFamily="34" charset="0"/>
                            </a:endParaRPr>
                          </a:p>
                        </a:txBody>
                        <a:useSpRect/>
                      </a:txSp>
                    </a:sp>
                    <a:cxnSp>
                      <a:nvCxnSpPr>
                        <a:cNvPr id="23" name="Straight Arrow Connector 22"/>
                        <a:cNvCxnSpPr>
                          <a:stCxn id="1026" idx="2"/>
                          <a:endCxn id="1027" idx="0"/>
                        </a:cNvCxnSpPr>
                      </a:nvCxnSpPr>
                      <a:spPr>
                        <a:xfrm>
                          <a:off x="4638675" y="476250"/>
                          <a:ext cx="0" cy="20955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stCxn id="1027" idx="2"/>
                          <a:endCxn id="1028" idx="0"/>
                        </a:cNvCxnSpPr>
                      </a:nvCxnSpPr>
                      <a:spPr>
                        <a:xfrm>
                          <a:off x="4638675" y="914400"/>
                          <a:ext cx="0" cy="20955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stCxn id="1028" idx="2"/>
                          <a:endCxn id="1029" idx="0"/>
                        </a:cNvCxnSpPr>
                      </a:nvCxnSpPr>
                      <a:spPr>
                        <a:xfrm>
                          <a:off x="4638675" y="1543050"/>
                          <a:ext cx="0" cy="20955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stCxn id="1029" idx="2"/>
                          <a:endCxn id="1030" idx="0"/>
                        </a:cNvCxnSpPr>
                      </a:nvCxnSpPr>
                      <a:spPr>
                        <a:xfrm>
                          <a:off x="4638675" y="1981200"/>
                          <a:ext cx="0" cy="228600"/>
                        </a:xfrm>
                        <a:prstGeom prst="straightConnector1">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31" name="Shape 30"/>
                        <a:cNvCxnSpPr>
                          <a:stCxn id="1030" idx="1"/>
                          <a:endCxn id="1031" idx="0"/>
                        </a:cNvCxnSpPr>
                      </a:nvCxnSpPr>
                      <a:spPr>
                        <a:xfrm rot="10800000" flipV="1">
                          <a:off x="2772570" y="2687637"/>
                          <a:ext cx="402431" cy="326231"/>
                        </a:xfrm>
                        <a:prstGeom prst="bentConnector2">
                          <a:avLst/>
                        </a:prstGeom>
                        <a:ln w="28575">
                          <a:solidFill>
                            <a:srgbClr val="0066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039" name="Rectangle 15"/>
                        <a:cNvSpPr>
                          <a:spLocks noChangeArrowheads="1"/>
                        </a:cNvSpPr>
                      </a:nvSpPr>
                      <a:spPr bwMode="auto">
                        <a:xfrm>
                          <a:off x="2555082" y="2590800"/>
                          <a:ext cx="40081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006600"/>
                                </a:solidFill>
                                <a:effectLst/>
                                <a:latin typeface="Arial" pitchFamily="34" charset="0"/>
                                <a:cs typeface="Arial" pitchFamily="34" charset="0"/>
                              </a:rPr>
                              <a:t>YES</a:t>
                            </a:r>
                            <a:endParaRPr kumimoji="0" lang="en-US" sz="1800" b="0" i="0" u="none" strike="noStrike" cap="none" normalizeH="0" baseline="0" dirty="0" smtClean="0">
                              <a:ln>
                                <a:noFill/>
                              </a:ln>
                              <a:solidFill>
                                <a:srgbClr val="006600"/>
                              </a:solidFill>
                              <a:effectLst/>
                              <a:latin typeface="Arial" pitchFamily="34" charset="0"/>
                              <a:cs typeface="Arial" pitchFamily="34" charset="0"/>
                            </a:endParaRPr>
                          </a:p>
                        </a:txBody>
                        <a:useSpRect/>
                      </a:txSp>
                    </a:sp>
                    <a:cxnSp>
                      <a:nvCxnSpPr>
                        <a:cNvPr id="33" name="Shape 32"/>
                        <a:cNvCxnSpPr>
                          <a:stCxn id="1030" idx="3"/>
                          <a:endCxn id="1032" idx="0"/>
                        </a:cNvCxnSpPr>
                      </a:nvCxnSpPr>
                      <a:spPr>
                        <a:xfrm>
                          <a:off x="6102350" y="2687638"/>
                          <a:ext cx="556419" cy="326231"/>
                        </a:xfrm>
                        <a:prstGeom prst="bentConnector2">
                          <a:avLst/>
                        </a:prstGeom>
                        <a:ln w="28575">
                          <a:solidFill>
                            <a:srgbClr val="C000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040" name="Rectangle 16"/>
                        <a:cNvSpPr>
                          <a:spLocks noChangeArrowheads="1"/>
                        </a:cNvSpPr>
                      </a:nvSpPr>
                      <a:spPr bwMode="auto">
                        <a:xfrm>
                          <a:off x="5867400" y="4102497"/>
                          <a:ext cx="402273"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C00000"/>
                                </a:solidFill>
                                <a:effectLst/>
                                <a:latin typeface="Arial" pitchFamily="34" charset="0"/>
                                <a:cs typeface="Arial" pitchFamily="34" charset="0"/>
                              </a:rPr>
                              <a:t>NO</a:t>
                            </a:r>
                            <a:endParaRPr kumimoji="0" lang="en-US" sz="1800" b="0" i="0" u="none" strike="noStrike" cap="none" normalizeH="0" baseline="0" dirty="0" smtClean="0">
                              <a:ln>
                                <a:noFill/>
                              </a:ln>
                              <a:solidFill>
                                <a:srgbClr val="C00000"/>
                              </a:solidFill>
                              <a:effectLst/>
                              <a:latin typeface="Arial" pitchFamily="34" charset="0"/>
                              <a:cs typeface="Arial" pitchFamily="34" charset="0"/>
                            </a:endParaRPr>
                          </a:p>
                        </a:txBody>
                        <a:useSpRect/>
                      </a:txSp>
                    </a:sp>
                    <a:sp>
                      <a:nvSpPr>
                        <a:cNvPr id="52" name="Rectangle 16"/>
                        <a:cNvSpPr>
                          <a:spLocks noChangeArrowheads="1"/>
                        </a:cNvSpPr>
                      </a:nvSpPr>
                      <a:spPr bwMode="auto">
                        <a:xfrm>
                          <a:off x="3263900" y="4102497"/>
                          <a:ext cx="402273"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C00000"/>
                                </a:solidFill>
                                <a:effectLst/>
                                <a:latin typeface="Arial" pitchFamily="34" charset="0"/>
                                <a:cs typeface="Arial" pitchFamily="34" charset="0"/>
                              </a:rPr>
                              <a:t>NO</a:t>
                            </a:r>
                            <a:endParaRPr kumimoji="0" lang="en-US" sz="1800" b="0" i="0" u="none" strike="noStrike" cap="none" normalizeH="0" baseline="0" dirty="0" smtClean="0">
                              <a:ln>
                                <a:noFill/>
                              </a:ln>
                              <a:solidFill>
                                <a:srgbClr val="C00000"/>
                              </a:solidFill>
                              <a:effectLst/>
                              <a:latin typeface="Arial" pitchFamily="34" charset="0"/>
                              <a:cs typeface="Arial" pitchFamily="34" charset="0"/>
                            </a:endParaRPr>
                          </a:p>
                        </a:txBody>
                        <a:useSpRect/>
                      </a:txSp>
                    </a:sp>
                    <a:sp>
                      <a:nvSpPr>
                        <a:cNvPr id="59" name="Rectangle 16"/>
                        <a:cNvSpPr>
                          <a:spLocks noChangeArrowheads="1"/>
                        </a:cNvSpPr>
                      </a:nvSpPr>
                      <a:spPr bwMode="auto">
                        <a:xfrm>
                          <a:off x="6324600" y="2590800"/>
                          <a:ext cx="22860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C00000"/>
                                </a:solidFill>
                                <a:effectLst/>
                                <a:latin typeface="Arial" pitchFamily="34" charset="0"/>
                                <a:cs typeface="Arial" pitchFamily="34" charset="0"/>
                              </a:rPr>
                              <a:t>NO</a:t>
                            </a:r>
                            <a:endParaRPr kumimoji="0" lang="en-US" sz="1800" b="0" i="0" u="none" strike="noStrike" cap="none" normalizeH="0" baseline="0" dirty="0" smtClean="0">
                              <a:ln>
                                <a:noFill/>
                              </a:ln>
                              <a:solidFill>
                                <a:srgbClr val="C00000"/>
                              </a:solidFill>
                              <a:effectLst/>
                              <a:latin typeface="Arial" pitchFamily="34" charset="0"/>
                              <a:cs typeface="Arial" pitchFamily="34" charset="0"/>
                            </a:endParaRPr>
                          </a:p>
                        </a:txBody>
                        <a:useSpRect/>
                      </a:txSp>
                    </a:sp>
                    <a:cxnSp>
                      <a:nvCxnSpPr>
                        <a:cNvPr id="61" name="Elbow Connector 60"/>
                        <a:cNvCxnSpPr>
                          <a:stCxn id="1031" idx="1"/>
                          <a:endCxn id="1038" idx="1"/>
                        </a:cNvCxnSpPr>
                      </a:nvCxnSpPr>
                      <a:spPr>
                        <a:xfrm rot="10800000" flipH="1" flipV="1">
                          <a:off x="1981199" y="3633787"/>
                          <a:ext cx="867569" cy="1157287"/>
                        </a:xfrm>
                        <a:prstGeom prst="bentConnector3">
                          <a:avLst>
                            <a:gd name="adj1" fmla="val -26349"/>
                          </a:avLst>
                        </a:prstGeom>
                        <a:ln w="28575">
                          <a:solidFill>
                            <a:srgbClr val="0066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3" name="Elbow Connector 62"/>
                        <a:cNvCxnSpPr>
                          <a:stCxn id="1032" idx="3"/>
                          <a:endCxn id="1038" idx="3"/>
                        </a:cNvCxnSpPr>
                      </a:nvCxnSpPr>
                      <a:spPr>
                        <a:xfrm flipH="1">
                          <a:off x="6428582" y="3633788"/>
                          <a:ext cx="1021555" cy="1157287"/>
                        </a:xfrm>
                        <a:prstGeom prst="bentConnector3">
                          <a:avLst>
                            <a:gd name="adj1" fmla="val -22378"/>
                          </a:avLst>
                        </a:prstGeom>
                        <a:ln w="28575">
                          <a:solidFill>
                            <a:srgbClr val="0066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64" name="Rectangle 15"/>
                        <a:cNvSpPr>
                          <a:spLocks noChangeArrowheads="1"/>
                        </a:cNvSpPr>
                      </a:nvSpPr>
                      <a:spPr bwMode="auto">
                        <a:xfrm>
                          <a:off x="1524000" y="3810000"/>
                          <a:ext cx="40081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006600"/>
                                </a:solidFill>
                                <a:effectLst/>
                                <a:latin typeface="Arial" pitchFamily="34" charset="0"/>
                                <a:cs typeface="Arial" pitchFamily="34" charset="0"/>
                              </a:rPr>
                              <a:t>YES</a:t>
                            </a:r>
                            <a:endParaRPr kumimoji="0" lang="en-US" sz="1800" b="0" i="0" u="none" strike="noStrike" cap="none" normalizeH="0" baseline="0" dirty="0" smtClean="0">
                              <a:ln>
                                <a:noFill/>
                              </a:ln>
                              <a:solidFill>
                                <a:srgbClr val="006600"/>
                              </a:solidFill>
                              <a:effectLst/>
                              <a:latin typeface="Arial" pitchFamily="34" charset="0"/>
                              <a:cs typeface="Arial" pitchFamily="34" charset="0"/>
                            </a:endParaRPr>
                          </a:p>
                        </a:txBody>
                        <a:useSpRect/>
                      </a:txSp>
                    </a:sp>
                    <a:sp>
                      <a:nvSpPr>
                        <a:cNvPr id="65" name="Rectangle 15"/>
                        <a:cNvSpPr>
                          <a:spLocks noChangeArrowheads="1"/>
                        </a:cNvSpPr>
                      </a:nvSpPr>
                      <a:spPr bwMode="auto">
                        <a:xfrm>
                          <a:off x="7523990" y="3810000"/>
                          <a:ext cx="40081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006600"/>
                                </a:solidFill>
                                <a:effectLst/>
                                <a:latin typeface="Arial" pitchFamily="34" charset="0"/>
                                <a:cs typeface="Arial" pitchFamily="34" charset="0"/>
                              </a:rPr>
                              <a:t>YES</a:t>
                            </a:r>
                            <a:endParaRPr kumimoji="0" lang="en-US" sz="1800" b="0" i="0" u="none" strike="noStrike" cap="none" normalizeH="0" baseline="0" dirty="0" smtClean="0">
                              <a:ln>
                                <a:noFill/>
                              </a:ln>
                              <a:solidFill>
                                <a:srgbClr val="006600"/>
                              </a:solidFill>
                              <a:effectLst/>
                              <a:latin typeface="Arial" pitchFamily="34" charset="0"/>
                              <a:cs typeface="Arial" pitchFamily="34" charset="0"/>
                            </a:endParaRPr>
                          </a:p>
                        </a:txBody>
                        <a:useSpRect/>
                      </a:txSp>
                    </a:sp>
                    <a:sp>
                      <a:nvSpPr>
                        <a:cNvPr id="66" name="Rectangle 15"/>
                        <a:cNvSpPr>
                          <a:spLocks noChangeArrowheads="1"/>
                        </a:cNvSpPr>
                      </a:nvSpPr>
                      <a:spPr bwMode="auto">
                        <a:xfrm>
                          <a:off x="6781800" y="5360988"/>
                          <a:ext cx="32461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006600"/>
                                </a:solidFill>
                                <a:effectLst/>
                                <a:latin typeface="Arial" pitchFamily="34" charset="0"/>
                                <a:cs typeface="Arial" pitchFamily="34" charset="0"/>
                              </a:rPr>
                              <a:t>YES</a:t>
                            </a:r>
                            <a:endParaRPr kumimoji="0" lang="en-US" sz="1800" b="0" i="0" u="none" strike="noStrike" cap="none" normalizeH="0" baseline="0" dirty="0" smtClean="0">
                              <a:ln>
                                <a:noFill/>
                              </a:ln>
                              <a:solidFill>
                                <a:srgbClr val="006600"/>
                              </a:solidFill>
                              <a:effectLst/>
                              <a:latin typeface="Arial" pitchFamily="34" charset="0"/>
                              <a:cs typeface="Arial" pitchFamily="34" charset="0"/>
                            </a:endParaRPr>
                          </a:p>
                        </a:txBody>
                        <a:useSpRect/>
                      </a:txSp>
                    </a:sp>
                    <a:sp>
                      <a:nvSpPr>
                        <a:cNvPr id="67" name="Rectangle 16"/>
                        <a:cNvSpPr>
                          <a:spLocks noChangeArrowheads="1"/>
                        </a:cNvSpPr>
                      </a:nvSpPr>
                      <a:spPr bwMode="auto">
                        <a:xfrm>
                          <a:off x="4648200" y="5360988"/>
                          <a:ext cx="306263"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0" u="none" strike="noStrike" cap="none" normalizeH="0" baseline="0" dirty="0" smtClean="0">
                                <a:ln>
                                  <a:noFill/>
                                </a:ln>
                                <a:solidFill>
                                  <a:srgbClr val="C00000"/>
                                </a:solidFill>
                                <a:effectLst/>
                                <a:latin typeface="Arial" pitchFamily="34" charset="0"/>
                                <a:cs typeface="Arial" pitchFamily="34" charset="0"/>
                              </a:rPr>
                              <a:t>NO</a:t>
                            </a:r>
                            <a:endParaRPr kumimoji="0" lang="en-US" sz="1800" b="0" i="0" u="none" strike="noStrike" cap="none" normalizeH="0" baseline="0" dirty="0" smtClean="0">
                              <a:ln>
                                <a:noFill/>
                              </a:ln>
                              <a:solidFill>
                                <a:srgbClr val="C00000"/>
                              </a:solidFill>
                              <a:effectLst/>
                              <a:latin typeface="Arial" pitchFamily="34" charset="0"/>
                              <a:cs typeface="Arial" pitchFamily="34" charset="0"/>
                            </a:endParaRPr>
                          </a:p>
                        </a:txBody>
                        <a:useSpRect/>
                      </a:txSp>
                    </a:sp>
                    <a:cxnSp>
                      <a:nvCxnSpPr>
                        <a:cNvPr id="75" name="Elbow Connector 74"/>
                        <a:cNvCxnSpPr>
                          <a:stCxn id="1038" idx="2"/>
                          <a:endCxn id="19" idx="0"/>
                        </a:cNvCxnSpPr>
                      </a:nvCxnSpPr>
                      <a:spPr>
                        <a:xfrm rot="16200000" flipH="1">
                          <a:off x="5110163" y="4462462"/>
                          <a:ext cx="247650" cy="1190625"/>
                        </a:xfrm>
                        <a:prstGeom prst="bentConnector3">
                          <a:avLst>
                            <a:gd name="adj1" fmla="val 50000"/>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7" name="Elbow Connector 76"/>
                        <a:cNvCxnSpPr/>
                      </a:nvCxnSpPr>
                      <a:spPr>
                        <a:xfrm rot="5400000">
                          <a:off x="2761853" y="4381899"/>
                          <a:ext cx="781050" cy="1885157"/>
                        </a:xfrm>
                        <a:prstGeom prst="bentConnector3">
                          <a:avLst>
                            <a:gd name="adj1" fmla="val 50000"/>
                          </a:avLst>
                        </a:prstGeom>
                        <a:ln w="28575">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91" name="Rectangle 15"/>
                        <a:cNvSpPr>
                          <a:spLocks noChangeArrowheads="1"/>
                        </a:cNvSpPr>
                      </a:nvSpPr>
                      <a:spPr bwMode="auto">
                        <a:xfrm>
                          <a:off x="4800600" y="4953000"/>
                          <a:ext cx="76200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800" b="1" i="0" u="none" strike="noStrike" cap="none" normalizeH="0" baseline="0" dirty="0" smtClean="0">
                                <a:ln>
                                  <a:noFill/>
                                </a:ln>
                                <a:solidFill>
                                  <a:srgbClr val="0070C0"/>
                                </a:solidFill>
                                <a:effectLst/>
                                <a:latin typeface="Arial" pitchFamily="34" charset="0"/>
                                <a:cs typeface="Arial" pitchFamily="34" charset="0"/>
                              </a:rPr>
                              <a:t>more than 3</a:t>
                            </a:r>
                            <a:endParaRPr kumimoji="0" lang="en-US" sz="1600" b="1" i="0" u="none" strike="noStrike" cap="none" normalizeH="0" baseline="0" dirty="0" smtClean="0">
                              <a:ln>
                                <a:noFill/>
                              </a:ln>
                              <a:solidFill>
                                <a:srgbClr val="0070C0"/>
                              </a:solidFill>
                              <a:effectLst/>
                              <a:latin typeface="Arial" pitchFamily="34" charset="0"/>
                              <a:cs typeface="Arial" pitchFamily="34" charset="0"/>
                            </a:endParaRPr>
                          </a:p>
                        </a:txBody>
                        <a:useSpRect/>
                      </a:txSp>
                    </a:sp>
                    <a:sp>
                      <a:nvSpPr>
                        <a:cNvPr id="92" name="Rectangle 15"/>
                        <a:cNvSpPr>
                          <a:spLocks noChangeArrowheads="1"/>
                        </a:cNvSpPr>
                      </a:nvSpPr>
                      <a:spPr bwMode="auto">
                        <a:xfrm>
                          <a:off x="3657600" y="5181600"/>
                          <a:ext cx="762000" cy="201612"/>
                        </a:xfrm>
                        <a:prstGeom prst="rect">
                          <a:avLst/>
                        </a:prstGeom>
                        <a:solidFill>
                          <a:schemeClr val="bg1"/>
                        </a:solid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800" b="1" i="0" u="none" strike="noStrike" cap="none" normalizeH="0" baseline="0" dirty="0" smtClean="0">
                                <a:ln>
                                  <a:noFill/>
                                </a:ln>
                                <a:solidFill>
                                  <a:srgbClr val="0070C0"/>
                                </a:solidFill>
                                <a:effectLst/>
                                <a:latin typeface="Arial" pitchFamily="34" charset="0"/>
                                <a:cs typeface="Arial" pitchFamily="34" charset="0"/>
                              </a:rPr>
                              <a:t>3 or fewer</a:t>
                            </a:r>
                            <a:endParaRPr kumimoji="0" lang="en-US" sz="1600" b="1" i="0" u="none" strike="noStrike" cap="none" normalizeH="0" baseline="0" dirty="0" smtClean="0">
                              <a:ln>
                                <a:noFill/>
                              </a:ln>
                              <a:solidFill>
                                <a:srgbClr val="0070C0"/>
                              </a:solidFill>
                              <a:effectLst/>
                              <a:latin typeface="Arial" pitchFamily="34" charset="0"/>
                              <a:cs typeface="Arial" pitchFamily="34" charset="0"/>
                            </a:endParaRPr>
                          </a:p>
                        </a:txBody>
                        <a:useSpRect/>
                      </a:txSp>
                    </a:sp>
                  </a:grpSp>
                </lc:lockedCanvas>
              </a:graphicData>
            </a:graphic>
          </wp:inline>
        </w:drawing>
      </w:r>
      <w:r>
        <w:br w:type="page"/>
      </w:r>
    </w:p>
    <w:p w:rsidR="00F86BC4" w:rsidRDefault="00DA1A2E" w:rsidP="00F86BC4">
      <w:pPr>
        <w:pStyle w:val="NormalSS"/>
      </w:pPr>
      <w:r>
        <w:t>Sampling w</w:t>
      </w:r>
      <w:r w:rsidR="00F86BC4">
        <w:t xml:space="preserve">ill begin </w:t>
      </w:r>
      <w:r>
        <w:t>with</w:t>
      </w:r>
      <w:r w:rsidR="00F86BC4">
        <w:t xml:space="preserve"> partners receiving ETA grant funds. This will ensure that </w:t>
      </w:r>
      <w:r>
        <w:t>the survey</w:t>
      </w:r>
      <w:r w:rsidR="00F86BC4">
        <w:t xml:space="preserve"> capture</w:t>
      </w:r>
      <w:r>
        <w:t>s</w:t>
      </w:r>
      <w:r w:rsidR="00F86BC4">
        <w:t xml:space="preserve"> the </w:t>
      </w:r>
      <w:r w:rsidR="00F86BC4" w:rsidRPr="00F86BC4">
        <w:t>experiences</w:t>
      </w:r>
      <w:r w:rsidR="00F86BC4">
        <w:t xml:space="preserve"> and opinions of those organizations most familiar with workforce-related activities. If three or fewer partners receiv</w:t>
      </w:r>
      <w:r w:rsidR="004F0B96">
        <w:t>e</w:t>
      </w:r>
      <w:r w:rsidR="00F86BC4">
        <w:t xml:space="preserve"> ETA funds (excluding the ETA funding stream administrator), all of them </w:t>
      </w:r>
      <w:r>
        <w:t xml:space="preserve">will be selected </w:t>
      </w:r>
      <w:r w:rsidR="00F86BC4">
        <w:t xml:space="preserve">with certainty. If there are more than three, </w:t>
      </w:r>
      <w:r>
        <w:t>t</w:t>
      </w:r>
      <w:r w:rsidR="00F86BC4">
        <w:t>he three organizations with the highest reported level</w:t>
      </w:r>
      <w:r w:rsidR="004F0B96">
        <w:t>s</w:t>
      </w:r>
      <w:r w:rsidR="00F86BC4">
        <w:t xml:space="preserve"> of involvement</w:t>
      </w:r>
      <w:r>
        <w:t xml:space="preserve"> will be selected</w:t>
      </w:r>
      <w:r w:rsidR="00F86BC4">
        <w:t xml:space="preserve">, or a random sample </w:t>
      </w:r>
      <w:r w:rsidR="004F0B96">
        <w:t xml:space="preserve">will be selected </w:t>
      </w:r>
      <w:r w:rsidR="00F86BC4">
        <w:t>if they are equally involved.</w:t>
      </w:r>
      <w:r w:rsidR="00287CAB">
        <w:t xml:space="preserve"> </w:t>
      </w:r>
    </w:p>
    <w:p w:rsidR="00F86BC4" w:rsidRDefault="00F86BC4" w:rsidP="00F86BC4">
      <w:pPr>
        <w:pStyle w:val="NormalSS"/>
      </w:pPr>
      <w:r>
        <w:t xml:space="preserve">Next, </w:t>
      </w:r>
      <w:r w:rsidR="00FC2E2B">
        <w:t>the evaluation team</w:t>
      </w:r>
      <w:r>
        <w:t xml:space="preserve"> will select the remaining </w:t>
      </w:r>
      <w:r w:rsidR="00B63182">
        <w:t>partners</w:t>
      </w:r>
      <w:r>
        <w:t xml:space="preserve"> from the rest of the partner organizations, including any remaining ETA grant recipients, using </w:t>
      </w:r>
      <w:r w:rsidR="00FA3E87">
        <w:t xml:space="preserve">the </w:t>
      </w:r>
      <w:r>
        <w:t>probability proportional to size</w:t>
      </w:r>
      <w:r w:rsidR="00D25B56">
        <w:t xml:space="preserve"> (PPS)</w:t>
      </w:r>
      <w:r w:rsidR="007B7F5D">
        <w:t xml:space="preserve"> selection method</w:t>
      </w:r>
      <w:r>
        <w:t xml:space="preserve">. In this case, extent of involvement in implementing grant activities will be the </w:t>
      </w:r>
      <w:r w:rsidR="00D25B56">
        <w:t>measure of size (MOS)</w:t>
      </w:r>
      <w:r>
        <w:t xml:space="preserve">. </w:t>
      </w:r>
      <w:r w:rsidR="00D25B56">
        <w:t>H</w:t>
      </w:r>
      <w:r>
        <w:t xml:space="preserve">ighly active partners will be assigned a </w:t>
      </w:r>
      <w:r w:rsidR="00D25B56">
        <w:t xml:space="preserve">MOS </w:t>
      </w:r>
      <w:r>
        <w:t xml:space="preserve">of </w:t>
      </w:r>
      <w:r w:rsidR="00D635DB">
        <w:t>0</w:t>
      </w:r>
      <w:r>
        <w:t>.</w:t>
      </w:r>
      <w:r w:rsidR="00DA0D05">
        <w:t>59 and</w:t>
      </w:r>
      <w:r>
        <w:t xml:space="preserve"> those with medium activity will be assigned a </w:t>
      </w:r>
      <w:r w:rsidR="00D25B56">
        <w:t xml:space="preserve">MOS </w:t>
      </w:r>
      <w:r>
        <w:t xml:space="preserve">of </w:t>
      </w:r>
      <w:r w:rsidR="00D635DB">
        <w:t>0</w:t>
      </w:r>
      <w:r>
        <w:t>.</w:t>
      </w:r>
      <w:r w:rsidR="00DA0D05">
        <w:t>41</w:t>
      </w:r>
      <w:r>
        <w:t xml:space="preserve">. </w:t>
      </w:r>
      <w:r w:rsidR="00D25B56">
        <w:t xml:space="preserve">We will use the survey select procedure in SAS to select the sample using a systematic sequential PPS method. Any partners with a size larger than the selection </w:t>
      </w:r>
      <w:r w:rsidR="007B7F5D">
        <w:t>interval</w:t>
      </w:r>
      <w:r w:rsidR="00D25B56">
        <w:t xml:space="preserve"> are selected with </w:t>
      </w:r>
      <w:r w:rsidR="007B7F5D">
        <w:t xml:space="preserve">certainty. </w:t>
      </w:r>
      <w:r w:rsidR="00D25B56">
        <w:t xml:space="preserve"> </w:t>
      </w:r>
      <w:r w:rsidR="007B7F5D">
        <w:t>We will determine all of the certainty selections and then the balance of the sample will be selected from the remaining partners.</w:t>
      </w:r>
    </w:p>
    <w:p w:rsidR="00F94FC8" w:rsidRDefault="00F94FC8" w:rsidP="00F86BC4">
      <w:pPr>
        <w:pStyle w:val="NormalSS"/>
      </w:pPr>
      <w:r>
        <w:t>No unusual problems requiring specialized sampling procedures have been identified</w:t>
      </w:r>
      <w:r w:rsidR="00FA3E87">
        <w:t xml:space="preserve"> in the course of the pretest</w:t>
      </w:r>
      <w:r>
        <w:t>.</w:t>
      </w:r>
    </w:p>
    <w:p w:rsidR="00AB66F6" w:rsidRDefault="00AB66F6" w:rsidP="004E7BD3">
      <w:pPr>
        <w:pStyle w:val="Heading2Blue"/>
        <w:numPr>
          <w:ilvl w:val="0"/>
          <w:numId w:val="23"/>
        </w:numPr>
        <w:spacing w:after="120"/>
        <w:ind w:hanging="720"/>
      </w:pPr>
      <w:r>
        <w:t>Analysis Methods and Degree of Accuracy</w:t>
      </w:r>
    </w:p>
    <w:p w:rsidR="00AB66F6" w:rsidRDefault="00AB66F6" w:rsidP="00AB66F6">
      <w:pPr>
        <w:pStyle w:val="NormalSS"/>
      </w:pPr>
      <w:r w:rsidRPr="00FD4B63">
        <w:t>The mixed</w:t>
      </w:r>
      <w:r w:rsidR="001203E7">
        <w:t>-</w:t>
      </w:r>
      <w:r w:rsidRPr="00FD4B63">
        <w:t xml:space="preserve">methods design of this study relies on qualitative and quantitative analysis methods to fully explore the data gathered and extract the useful and interesting details that the data hold. </w:t>
      </w:r>
      <w:r w:rsidR="001203E7">
        <w:t>The evaluator’s</w:t>
      </w:r>
      <w:r w:rsidR="001203E7" w:rsidRPr="00FD4B63">
        <w:t xml:space="preserve"> </w:t>
      </w:r>
      <w:r w:rsidRPr="00FD4B63">
        <w:t xml:space="preserve">plan is to organize the analyses according to the research </w:t>
      </w:r>
      <w:r w:rsidR="00581746">
        <w:t>topic</w:t>
      </w:r>
      <w:r w:rsidRPr="00FD4B63">
        <w:t xml:space="preserve">s identified in </w:t>
      </w:r>
      <w:r w:rsidR="00581746">
        <w:t>T</w:t>
      </w:r>
      <w:r>
        <w:t xml:space="preserve">able </w:t>
      </w:r>
      <w:r w:rsidR="00581746">
        <w:t>B.1 and discussed in more detail in Part A of this supporting statement</w:t>
      </w:r>
      <w:r w:rsidRPr="00FD4B63">
        <w:t xml:space="preserve">. The quantitative analysis will provide descriptive data on all 30 clusters and </w:t>
      </w:r>
      <w:r w:rsidR="00D635DB">
        <w:t>a</w:t>
      </w:r>
      <w:r w:rsidRPr="00FD4B63">
        <w:t>i</w:t>
      </w:r>
      <w:r w:rsidR="00D635DB">
        <w:t>m</w:t>
      </w:r>
      <w:r w:rsidRPr="00FD4B63">
        <w:t>s to answer questions</w:t>
      </w:r>
      <w:r w:rsidR="001203E7">
        <w:t xml:space="preserve"> related to </w:t>
      </w:r>
      <w:r w:rsidR="00857EEE" w:rsidRPr="00857EEE">
        <w:rPr>
          <w:i/>
        </w:rPr>
        <w:t>what</w:t>
      </w:r>
      <w:r w:rsidR="001203E7">
        <w:t xml:space="preserve"> and </w:t>
      </w:r>
      <w:r w:rsidR="00857EEE" w:rsidRPr="00857EEE">
        <w:rPr>
          <w:i/>
        </w:rPr>
        <w:t>how many.</w:t>
      </w:r>
      <w:r w:rsidRPr="00FD4B63">
        <w:t xml:space="preserve"> The qualitative analysis will provide richer detail on activities at the federal level and at the subset of clusters involved in site visits. It </w:t>
      </w:r>
      <w:r w:rsidR="00D635DB">
        <w:t>a</w:t>
      </w:r>
      <w:r w:rsidRPr="00FD4B63">
        <w:t>i</w:t>
      </w:r>
      <w:r w:rsidR="00D635DB">
        <w:t>m</w:t>
      </w:r>
      <w:r w:rsidRPr="00FD4B63">
        <w:t xml:space="preserve">s to answer the </w:t>
      </w:r>
      <w:r w:rsidR="00857EEE" w:rsidRPr="00857EEE">
        <w:rPr>
          <w:i/>
        </w:rPr>
        <w:t>why</w:t>
      </w:r>
      <w:r w:rsidRPr="00FD4B63">
        <w:t xml:space="preserve"> and </w:t>
      </w:r>
      <w:r w:rsidR="00857EEE" w:rsidRPr="00857EEE">
        <w:rPr>
          <w:i/>
        </w:rPr>
        <w:t>how</w:t>
      </w:r>
      <w:r w:rsidRPr="00FD4B63">
        <w:t xml:space="preserve"> questions a</w:t>
      </w:r>
      <w:r w:rsidR="001203E7">
        <w:t>nd</w:t>
      </w:r>
      <w:r w:rsidRPr="00FD4B63">
        <w:t xml:space="preserve"> to identify promising practices and lessons learned.</w:t>
      </w:r>
      <w:r w:rsidR="00581746">
        <w:t xml:space="preserve"> </w:t>
      </w:r>
      <w:r>
        <w:t xml:space="preserve">The </w:t>
      </w:r>
      <w:r w:rsidR="001203E7">
        <w:t xml:space="preserve">following two subsections present the </w:t>
      </w:r>
      <w:r>
        <w:t>methods used for the site visit analysis and analysis of survey data</w:t>
      </w:r>
      <w:r w:rsidR="001203E7">
        <w:t>, respectively</w:t>
      </w:r>
      <w:r>
        <w:t>.</w:t>
      </w:r>
    </w:p>
    <w:p w:rsidR="00A337A3" w:rsidRPr="00A337A3" w:rsidRDefault="00A337A3" w:rsidP="00A337A3">
      <w:pPr>
        <w:pStyle w:val="Heading3"/>
      </w:pPr>
      <w:r w:rsidRPr="00A337A3">
        <w:t>a.</w:t>
      </w:r>
      <w:r w:rsidRPr="00A337A3">
        <w:tab/>
        <w:t>Analysis of Site Visit Data</w:t>
      </w:r>
    </w:p>
    <w:p w:rsidR="00A337A3" w:rsidRDefault="00A337A3" w:rsidP="00A337A3">
      <w:pPr>
        <w:pStyle w:val="NormalSS"/>
      </w:pPr>
      <w:r>
        <w:t xml:space="preserve">During the site visits, the evaluation contractor will use </w:t>
      </w:r>
      <w:proofErr w:type="spellStart"/>
      <w:r>
        <w:t>semistructured</w:t>
      </w:r>
      <w:proofErr w:type="spellEnd"/>
      <w:r>
        <w:t xml:space="preserve"> interviews to collect information from the following types of respondents: cluster management staff; activity leaders; frontline staff; participants; and the workforce investment board, employer groups, or local economic development agencies. The evaluation contractor will also conduct other on-site activities, such as observation of grant activities. The contractor will use a two-step process to analyze these data.</w:t>
      </w:r>
    </w:p>
    <w:p w:rsidR="00A337A3" w:rsidRDefault="00A337A3" w:rsidP="00A337A3">
      <w:pPr>
        <w:tabs>
          <w:tab w:val="left" w:pos="360"/>
        </w:tabs>
        <w:spacing w:after="240" w:line="240" w:lineRule="auto"/>
        <w:rPr>
          <w:bCs/>
        </w:rPr>
      </w:pPr>
      <w:r>
        <w:rPr>
          <w:bCs/>
        </w:rPr>
        <w:t xml:space="preserve">The first stage—a within-site implementation analysis—will involve preparing summary narratives for each of the demonstration sites. The study team will use these narratives to document the topics noted earlier. </w:t>
      </w:r>
      <w:r>
        <w:t>Using standard templates, the evaluation contractor will develop detailed internal notes from all site visit interviews to feed into the analysis. This common organizational framework will help cover all topics in a consistent and comprehensive fashion.</w:t>
      </w:r>
    </w:p>
    <w:p w:rsidR="00AF7D27" w:rsidRDefault="00AF7D27">
      <w:pPr>
        <w:tabs>
          <w:tab w:val="clear" w:pos="432"/>
        </w:tabs>
        <w:spacing w:line="240" w:lineRule="auto"/>
        <w:ind w:firstLine="0"/>
        <w:jc w:val="left"/>
      </w:pPr>
      <w:r>
        <w:br w:type="page"/>
      </w:r>
    </w:p>
    <w:p w:rsidR="00AB66F6" w:rsidRDefault="00AB66F6" w:rsidP="00AB66F6">
      <w:pPr>
        <w:pStyle w:val="MarkforTableHeading"/>
      </w:pPr>
      <w:bookmarkStart w:id="0" w:name="_Toc372888192"/>
      <w:r>
        <w:t xml:space="preserve">Table </w:t>
      </w:r>
      <w:r w:rsidR="00581746">
        <w:t>B</w:t>
      </w:r>
      <w:r w:rsidR="00581746" w:rsidRPr="00581746">
        <w:t>.1</w:t>
      </w:r>
      <w:r w:rsidRPr="00581746">
        <w:t>. Study</w:t>
      </w:r>
      <w:r>
        <w:t xml:space="preserve"> Topics Covered by Each Data Source</w:t>
      </w:r>
      <w:bookmarkEnd w:id="0"/>
    </w:p>
    <w:tbl>
      <w:tblPr>
        <w:tblStyle w:val="SMPRTableBlue"/>
        <w:tblW w:w="5100" w:type="pct"/>
        <w:tblCellMar>
          <w:left w:w="58" w:type="dxa"/>
          <w:right w:w="58" w:type="dxa"/>
        </w:tblCellMar>
        <w:tblLook w:val="04A0"/>
      </w:tblPr>
      <w:tblGrid>
        <w:gridCol w:w="1896"/>
        <w:gridCol w:w="846"/>
        <w:gridCol w:w="539"/>
        <w:gridCol w:w="126"/>
        <w:gridCol w:w="574"/>
        <w:gridCol w:w="463"/>
        <w:gridCol w:w="218"/>
        <w:gridCol w:w="995"/>
        <w:gridCol w:w="606"/>
        <w:gridCol w:w="632"/>
        <w:gridCol w:w="800"/>
        <w:gridCol w:w="551"/>
        <w:gridCol w:w="160"/>
        <w:gridCol w:w="641"/>
        <w:gridCol w:w="619"/>
      </w:tblGrid>
      <w:tr w:rsidR="00AB66F6" w:rsidTr="00666A78">
        <w:trPr>
          <w:cnfStyle w:val="100000000000"/>
          <w:tblHeader/>
        </w:trPr>
        <w:tc>
          <w:tcPr>
            <w:tcW w:w="989" w:type="pct"/>
            <w:tcBorders>
              <w:bottom w:val="nil"/>
            </w:tcBorders>
          </w:tcPr>
          <w:p w:rsidR="00AB66F6" w:rsidRDefault="00AB66F6" w:rsidP="004E7BD3">
            <w:pPr>
              <w:spacing w:before="60" w:after="60" w:line="240" w:lineRule="auto"/>
              <w:ind w:hanging="14"/>
              <w:jc w:val="left"/>
              <w:rPr>
                <w:rFonts w:ascii="Arial" w:hAnsi="Arial" w:cs="Arial"/>
                <w:b/>
                <w:spacing w:val="-4"/>
                <w:sz w:val="14"/>
                <w:szCs w:val="14"/>
              </w:rPr>
            </w:pPr>
          </w:p>
        </w:tc>
        <w:tc>
          <w:tcPr>
            <w:tcW w:w="733" w:type="pct"/>
            <w:gridSpan w:val="2"/>
            <w:tcBorders>
              <w:bottom w:val="single" w:sz="4" w:space="0" w:color="auto"/>
            </w:tcBorders>
            <w:vAlign w:val="bottom"/>
            <w:hideMark/>
          </w:tcPr>
          <w:p w:rsidR="00AB66F6" w:rsidRDefault="00AB66F6" w:rsidP="004E7BD3">
            <w:pPr>
              <w:spacing w:before="60" w:after="60" w:line="240" w:lineRule="auto"/>
              <w:ind w:firstLine="0"/>
              <w:jc w:val="center"/>
              <w:rPr>
                <w:rFonts w:ascii="Arial" w:hAnsi="Arial" w:cs="Arial"/>
                <w:spacing w:val="-4"/>
                <w:sz w:val="14"/>
                <w:szCs w:val="14"/>
              </w:rPr>
            </w:pPr>
            <w:r>
              <w:rPr>
                <w:rFonts w:ascii="Arial" w:hAnsi="Arial" w:cs="Arial"/>
                <w:spacing w:val="-4"/>
                <w:sz w:val="14"/>
                <w:szCs w:val="14"/>
              </w:rPr>
              <w:t>Document Review</w:t>
            </w:r>
          </w:p>
        </w:tc>
        <w:tc>
          <w:tcPr>
            <w:tcW w:w="70" w:type="pct"/>
            <w:tcBorders>
              <w:bottom w:val="nil"/>
            </w:tcBorders>
            <w:vAlign w:val="bottom"/>
          </w:tcPr>
          <w:p w:rsidR="00AB66F6" w:rsidRDefault="00AB66F6" w:rsidP="004E7BD3">
            <w:pPr>
              <w:spacing w:before="60" w:after="60" w:line="240" w:lineRule="auto"/>
              <w:ind w:firstLine="0"/>
              <w:jc w:val="center"/>
              <w:rPr>
                <w:rFonts w:ascii="Arial" w:hAnsi="Arial" w:cs="Arial"/>
                <w:spacing w:val="-4"/>
                <w:sz w:val="14"/>
                <w:szCs w:val="14"/>
              </w:rPr>
            </w:pPr>
          </w:p>
        </w:tc>
        <w:tc>
          <w:tcPr>
            <w:tcW w:w="557" w:type="pct"/>
            <w:gridSpan w:val="2"/>
            <w:tcBorders>
              <w:bottom w:val="single" w:sz="4" w:space="0" w:color="auto"/>
            </w:tcBorders>
            <w:vAlign w:val="bottom"/>
            <w:hideMark/>
          </w:tcPr>
          <w:p w:rsidR="00AB66F6" w:rsidRDefault="00AB66F6" w:rsidP="004E7BD3">
            <w:pPr>
              <w:spacing w:before="60" w:after="60" w:line="240" w:lineRule="auto"/>
              <w:ind w:firstLine="0"/>
              <w:jc w:val="center"/>
              <w:rPr>
                <w:rFonts w:ascii="Arial" w:hAnsi="Arial" w:cs="Arial"/>
                <w:spacing w:val="-4"/>
                <w:sz w:val="14"/>
                <w:szCs w:val="14"/>
              </w:rPr>
            </w:pPr>
            <w:r>
              <w:rPr>
                <w:rFonts w:ascii="Arial" w:hAnsi="Arial" w:cs="Arial"/>
                <w:spacing w:val="-4"/>
                <w:sz w:val="14"/>
                <w:szCs w:val="14"/>
              </w:rPr>
              <w:t>Federal Staff Interviews</w:t>
            </w:r>
          </w:p>
        </w:tc>
        <w:tc>
          <w:tcPr>
            <w:tcW w:w="121" w:type="pct"/>
            <w:tcBorders>
              <w:bottom w:val="nil"/>
            </w:tcBorders>
            <w:vAlign w:val="bottom"/>
          </w:tcPr>
          <w:p w:rsidR="00AB66F6" w:rsidRDefault="00AB66F6" w:rsidP="004E7BD3">
            <w:pPr>
              <w:spacing w:before="60" w:after="60" w:line="240" w:lineRule="auto"/>
              <w:ind w:firstLine="0"/>
              <w:jc w:val="center"/>
              <w:rPr>
                <w:rFonts w:ascii="Arial" w:hAnsi="Arial" w:cs="Arial"/>
                <w:spacing w:val="-4"/>
                <w:sz w:val="14"/>
                <w:szCs w:val="14"/>
              </w:rPr>
            </w:pPr>
          </w:p>
        </w:tc>
        <w:tc>
          <w:tcPr>
            <w:tcW w:w="1790" w:type="pct"/>
            <w:gridSpan w:val="5"/>
            <w:tcBorders>
              <w:bottom w:val="single" w:sz="4" w:space="0" w:color="auto"/>
            </w:tcBorders>
            <w:vAlign w:val="bottom"/>
            <w:hideMark/>
          </w:tcPr>
          <w:p w:rsidR="00AB66F6" w:rsidRDefault="00AB66F6" w:rsidP="004E7BD3">
            <w:pPr>
              <w:spacing w:before="60" w:after="60" w:line="240" w:lineRule="auto"/>
              <w:ind w:firstLine="6"/>
              <w:jc w:val="center"/>
              <w:rPr>
                <w:rFonts w:ascii="Arial" w:hAnsi="Arial" w:cs="Arial"/>
                <w:spacing w:val="-4"/>
                <w:sz w:val="14"/>
                <w:szCs w:val="14"/>
              </w:rPr>
            </w:pPr>
            <w:r>
              <w:rPr>
                <w:rFonts w:ascii="Arial" w:hAnsi="Arial" w:cs="Arial"/>
                <w:spacing w:val="-4"/>
                <w:sz w:val="14"/>
                <w:szCs w:val="14"/>
              </w:rPr>
              <w:t>Site Visit Interviews</w:t>
            </w:r>
          </w:p>
        </w:tc>
        <w:tc>
          <w:tcPr>
            <w:tcW w:w="73" w:type="pct"/>
            <w:tcBorders>
              <w:bottom w:val="nil"/>
            </w:tcBorders>
            <w:vAlign w:val="bottom"/>
          </w:tcPr>
          <w:p w:rsidR="00AB66F6" w:rsidRDefault="00AB66F6" w:rsidP="004E7BD3">
            <w:pPr>
              <w:spacing w:before="60" w:after="60" w:line="240" w:lineRule="auto"/>
              <w:ind w:firstLine="6"/>
              <w:jc w:val="center"/>
              <w:rPr>
                <w:rFonts w:ascii="Arial" w:hAnsi="Arial" w:cs="Arial"/>
                <w:spacing w:val="-4"/>
                <w:sz w:val="14"/>
                <w:szCs w:val="14"/>
              </w:rPr>
            </w:pPr>
          </w:p>
        </w:tc>
        <w:tc>
          <w:tcPr>
            <w:tcW w:w="667" w:type="pct"/>
            <w:gridSpan w:val="2"/>
            <w:tcBorders>
              <w:bottom w:val="single" w:sz="4" w:space="0" w:color="auto"/>
            </w:tcBorders>
            <w:vAlign w:val="bottom"/>
            <w:hideMark/>
          </w:tcPr>
          <w:p w:rsidR="00AB66F6" w:rsidRDefault="00AB66F6" w:rsidP="004E7BD3">
            <w:pPr>
              <w:spacing w:before="60" w:after="60" w:line="240" w:lineRule="auto"/>
              <w:ind w:firstLine="0"/>
              <w:jc w:val="center"/>
              <w:rPr>
                <w:rFonts w:ascii="Arial" w:hAnsi="Arial" w:cs="Arial"/>
                <w:spacing w:val="-4"/>
                <w:sz w:val="14"/>
                <w:szCs w:val="14"/>
              </w:rPr>
            </w:pPr>
            <w:r>
              <w:rPr>
                <w:rFonts w:ascii="Arial" w:hAnsi="Arial" w:cs="Arial"/>
                <w:spacing w:val="-4"/>
                <w:sz w:val="14"/>
                <w:szCs w:val="14"/>
              </w:rPr>
              <w:t>Survey</w:t>
            </w:r>
          </w:p>
        </w:tc>
      </w:tr>
      <w:tr w:rsidR="00AB66F6" w:rsidTr="00666A78">
        <w:trPr>
          <w:cnfStyle w:val="100000000000"/>
          <w:tblHeader/>
        </w:trPr>
        <w:tc>
          <w:tcPr>
            <w:tcW w:w="989" w:type="pct"/>
            <w:tcBorders>
              <w:top w:val="nil"/>
              <w:bottom w:val="single" w:sz="4" w:space="0" w:color="auto"/>
            </w:tcBorders>
            <w:vAlign w:val="bottom"/>
            <w:hideMark/>
          </w:tcPr>
          <w:p w:rsidR="00AB66F6" w:rsidRDefault="00AB66F6" w:rsidP="004E7BD3">
            <w:pPr>
              <w:spacing w:before="60" w:after="40" w:line="240" w:lineRule="auto"/>
              <w:ind w:firstLine="0"/>
              <w:jc w:val="left"/>
              <w:rPr>
                <w:rFonts w:ascii="Arial" w:hAnsi="Arial" w:cs="Arial"/>
                <w:spacing w:val="-4"/>
                <w:sz w:val="14"/>
                <w:szCs w:val="14"/>
              </w:rPr>
            </w:pPr>
            <w:r>
              <w:rPr>
                <w:rFonts w:ascii="Arial" w:hAnsi="Arial" w:cs="Arial"/>
                <w:b/>
                <w:spacing w:val="-4"/>
                <w:sz w:val="14"/>
                <w:szCs w:val="14"/>
              </w:rPr>
              <w:t>Topics and Subtopics</w:t>
            </w:r>
          </w:p>
        </w:tc>
        <w:tc>
          <w:tcPr>
            <w:tcW w:w="446" w:type="pct"/>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Grant Agreements</w:t>
            </w:r>
          </w:p>
        </w:tc>
        <w:tc>
          <w:tcPr>
            <w:tcW w:w="357" w:type="pct"/>
            <w:gridSpan w:val="2"/>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Progress Reports</w:t>
            </w:r>
          </w:p>
        </w:tc>
        <w:tc>
          <w:tcPr>
            <w:tcW w:w="309" w:type="pct"/>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Design Stage</w:t>
            </w:r>
          </w:p>
        </w:tc>
        <w:tc>
          <w:tcPr>
            <w:tcW w:w="369" w:type="pct"/>
            <w:gridSpan w:val="2"/>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Site Selection Stage</w:t>
            </w:r>
          </w:p>
        </w:tc>
        <w:tc>
          <w:tcPr>
            <w:tcW w:w="523" w:type="pct"/>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Cluster Administrators</w:t>
            </w:r>
          </w:p>
        </w:tc>
        <w:tc>
          <w:tcPr>
            <w:tcW w:w="322" w:type="pct"/>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Activity Leaders</w:t>
            </w:r>
          </w:p>
        </w:tc>
        <w:tc>
          <w:tcPr>
            <w:tcW w:w="335" w:type="pct"/>
            <w:tcBorders>
              <w:top w:val="nil"/>
              <w:bottom w:val="single" w:sz="4" w:space="0" w:color="auto"/>
            </w:tcBorders>
            <w:vAlign w:val="bottom"/>
            <w:hideMark/>
          </w:tcPr>
          <w:p w:rsidR="00AB66F6" w:rsidRDefault="00AB66F6" w:rsidP="004E7BD3">
            <w:pPr>
              <w:tabs>
                <w:tab w:val="left" w:pos="537"/>
              </w:tabs>
              <w:spacing w:before="60" w:after="40" w:line="240" w:lineRule="auto"/>
              <w:ind w:firstLine="0"/>
              <w:jc w:val="center"/>
              <w:rPr>
                <w:rFonts w:ascii="Arial" w:hAnsi="Arial" w:cs="Arial"/>
                <w:spacing w:val="-4"/>
                <w:sz w:val="14"/>
                <w:szCs w:val="14"/>
              </w:rPr>
            </w:pPr>
            <w:r>
              <w:rPr>
                <w:rFonts w:ascii="Arial" w:hAnsi="Arial" w:cs="Arial"/>
                <w:spacing w:val="-4"/>
                <w:sz w:val="14"/>
                <w:szCs w:val="14"/>
              </w:rPr>
              <w:t>Frontline Staff</w:t>
            </w:r>
          </w:p>
        </w:tc>
        <w:tc>
          <w:tcPr>
            <w:tcW w:w="359" w:type="pct"/>
            <w:tcBorders>
              <w:top w:val="nil"/>
              <w:bottom w:val="single" w:sz="4" w:space="0" w:color="auto"/>
            </w:tcBorders>
            <w:vAlign w:val="bottom"/>
            <w:hideMark/>
          </w:tcPr>
          <w:p w:rsidR="00AB66F6" w:rsidRDefault="00AB66F6" w:rsidP="004E7BD3">
            <w:pPr>
              <w:tabs>
                <w:tab w:val="left" w:pos="537"/>
              </w:tabs>
              <w:spacing w:before="60" w:after="40" w:line="240" w:lineRule="auto"/>
              <w:ind w:firstLine="0"/>
              <w:jc w:val="center"/>
              <w:rPr>
                <w:rFonts w:ascii="Arial" w:hAnsi="Arial" w:cs="Arial"/>
                <w:spacing w:val="-4"/>
                <w:sz w:val="14"/>
                <w:szCs w:val="14"/>
              </w:rPr>
            </w:pPr>
            <w:r>
              <w:rPr>
                <w:rFonts w:ascii="Arial" w:hAnsi="Arial" w:cs="Arial"/>
                <w:spacing w:val="-4"/>
                <w:sz w:val="14"/>
                <w:szCs w:val="14"/>
              </w:rPr>
              <w:t>Participants</w:t>
            </w:r>
          </w:p>
        </w:tc>
        <w:tc>
          <w:tcPr>
            <w:tcW w:w="324" w:type="pct"/>
            <w:gridSpan w:val="2"/>
            <w:tcBorders>
              <w:top w:val="nil"/>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LWIB /Employer Groups</w:t>
            </w:r>
          </w:p>
        </w:tc>
        <w:tc>
          <w:tcPr>
            <w:tcW w:w="335" w:type="pct"/>
            <w:tcBorders>
              <w:top w:val="single" w:sz="4" w:space="0" w:color="auto"/>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Cluster Manager and ETA Grantee Manager</w:t>
            </w:r>
          </w:p>
        </w:tc>
        <w:tc>
          <w:tcPr>
            <w:tcW w:w="331" w:type="pct"/>
            <w:tcBorders>
              <w:top w:val="single" w:sz="4" w:space="0" w:color="auto"/>
              <w:bottom w:val="single" w:sz="4" w:space="0" w:color="auto"/>
            </w:tcBorders>
            <w:vAlign w:val="bottom"/>
            <w:hideMark/>
          </w:tcPr>
          <w:p w:rsidR="00AB66F6" w:rsidRDefault="00AB66F6" w:rsidP="004E7BD3">
            <w:pPr>
              <w:spacing w:before="60" w:after="40" w:line="240" w:lineRule="auto"/>
              <w:ind w:firstLine="0"/>
              <w:jc w:val="center"/>
              <w:rPr>
                <w:rFonts w:ascii="Arial" w:hAnsi="Arial" w:cs="Arial"/>
                <w:spacing w:val="-4"/>
                <w:sz w:val="14"/>
                <w:szCs w:val="14"/>
              </w:rPr>
            </w:pPr>
            <w:r>
              <w:rPr>
                <w:rFonts w:ascii="Arial" w:hAnsi="Arial" w:cs="Arial"/>
                <w:spacing w:val="-4"/>
                <w:sz w:val="14"/>
                <w:szCs w:val="14"/>
              </w:rPr>
              <w:t>Grantee Partners</w:t>
            </w:r>
          </w:p>
        </w:tc>
      </w:tr>
      <w:tr w:rsidR="00AB66F6" w:rsidTr="00AB66F6">
        <w:trPr>
          <w:trHeight w:val="144"/>
        </w:trPr>
        <w:tc>
          <w:tcPr>
            <w:tcW w:w="5000" w:type="pct"/>
            <w:gridSpan w:val="15"/>
            <w:tcBorders>
              <w:top w:val="single" w:sz="4" w:space="0" w:color="auto"/>
              <w:left w:val="nil"/>
              <w:bottom w:val="single" w:sz="4" w:space="0" w:color="A6A6A6" w:themeColor="background1" w:themeShade="A6"/>
              <w:right w:val="nil"/>
            </w:tcBorders>
            <w:shd w:val="clear" w:color="auto" w:fill="D9D9D9" w:themeFill="background1" w:themeFillShade="D9"/>
            <w:hideMark/>
          </w:tcPr>
          <w:p w:rsidR="00AB66F6" w:rsidRDefault="00AB66F6" w:rsidP="004E7BD3">
            <w:pPr>
              <w:spacing w:before="40" w:after="20" w:line="240" w:lineRule="auto"/>
              <w:ind w:firstLine="0"/>
              <w:jc w:val="center"/>
              <w:rPr>
                <w:rFonts w:ascii="Arial" w:hAnsi="Arial" w:cs="Arial"/>
                <w:spacing w:val="-4"/>
                <w:sz w:val="14"/>
                <w:szCs w:val="14"/>
              </w:rPr>
            </w:pPr>
            <w:r>
              <w:rPr>
                <w:rFonts w:ascii="Arial" w:hAnsi="Arial" w:cs="Arial"/>
                <w:b/>
                <w:spacing w:val="-4"/>
                <w:sz w:val="14"/>
                <w:szCs w:val="14"/>
              </w:rPr>
              <w:t>I. Role of Multiagency Collaboration</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before="40" w:line="240" w:lineRule="auto"/>
              <w:ind w:left="218" w:hanging="218"/>
              <w:jc w:val="left"/>
              <w:rPr>
                <w:rFonts w:ascii="Arial" w:hAnsi="Arial" w:cs="Arial"/>
                <w:spacing w:val="-4"/>
                <w:sz w:val="14"/>
                <w:szCs w:val="14"/>
              </w:rPr>
            </w:pPr>
            <w:r>
              <w:rPr>
                <w:rFonts w:ascii="Arial" w:hAnsi="Arial" w:cs="Arial"/>
                <w:spacing w:val="-4"/>
                <w:sz w:val="14"/>
                <w:szCs w:val="14"/>
              </w:rPr>
              <w:t xml:space="preserve">A. History and </w:t>
            </w:r>
            <w:r w:rsidR="001203E7">
              <w:rPr>
                <w:rFonts w:ascii="Arial" w:hAnsi="Arial" w:cs="Arial"/>
                <w:spacing w:val="-4"/>
                <w:sz w:val="14"/>
                <w:szCs w:val="14"/>
              </w:rPr>
              <w:t>G</w:t>
            </w:r>
            <w:r>
              <w:rPr>
                <w:rFonts w:ascii="Arial" w:hAnsi="Arial" w:cs="Arial"/>
                <w:spacing w:val="-4"/>
                <w:sz w:val="14"/>
                <w:szCs w:val="14"/>
              </w:rPr>
              <w:t xml:space="preserve">oals of </w:t>
            </w:r>
            <w:r w:rsidR="001203E7">
              <w:rPr>
                <w:rFonts w:ascii="Arial" w:hAnsi="Arial" w:cs="Arial"/>
                <w:spacing w:val="-4"/>
                <w:sz w:val="14"/>
                <w:szCs w:val="14"/>
              </w:rPr>
              <w:t>G</w:t>
            </w:r>
            <w:r>
              <w:rPr>
                <w:rFonts w:ascii="Arial" w:hAnsi="Arial" w:cs="Arial"/>
                <w:spacing w:val="-4"/>
                <w:sz w:val="14"/>
                <w:szCs w:val="14"/>
              </w:rPr>
              <w:t>rants</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5"/>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22"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537"/>
              </w:tabs>
              <w:spacing w:line="240" w:lineRule="auto"/>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B. Federal </w:t>
            </w:r>
            <w:r w:rsidR="001203E7">
              <w:rPr>
                <w:rFonts w:ascii="Arial" w:hAnsi="Arial" w:cs="Arial"/>
                <w:spacing w:val="-4"/>
                <w:sz w:val="14"/>
                <w:szCs w:val="14"/>
              </w:rPr>
              <w:t>P</w:t>
            </w:r>
            <w:r>
              <w:rPr>
                <w:rFonts w:ascii="Arial" w:hAnsi="Arial" w:cs="Arial"/>
                <w:spacing w:val="-4"/>
                <w:sz w:val="14"/>
                <w:szCs w:val="14"/>
              </w:rPr>
              <w:t xml:space="preserve">artner </w:t>
            </w:r>
            <w:r w:rsidR="001203E7">
              <w:rPr>
                <w:rFonts w:ascii="Arial" w:hAnsi="Arial" w:cs="Arial"/>
                <w:spacing w:val="-4"/>
                <w:sz w:val="14"/>
                <w:szCs w:val="14"/>
              </w:rPr>
              <w:t>R</w:t>
            </w:r>
            <w:r>
              <w:rPr>
                <w:rFonts w:ascii="Arial" w:hAnsi="Arial" w:cs="Arial"/>
                <w:spacing w:val="-4"/>
                <w:sz w:val="14"/>
                <w:szCs w:val="14"/>
              </w:rPr>
              <w:t xml:space="preserve">oles, </w:t>
            </w:r>
            <w:r w:rsidR="001203E7">
              <w:rPr>
                <w:rFonts w:ascii="Arial" w:hAnsi="Arial" w:cs="Arial"/>
                <w:spacing w:val="-4"/>
                <w:sz w:val="14"/>
                <w:szCs w:val="14"/>
              </w:rPr>
              <w:t>O</w:t>
            </w:r>
            <w:r>
              <w:rPr>
                <w:rFonts w:ascii="Arial" w:hAnsi="Arial" w:cs="Arial"/>
                <w:spacing w:val="-4"/>
                <w:sz w:val="14"/>
                <w:szCs w:val="14"/>
              </w:rPr>
              <w:t xml:space="preserve">rganizational </w:t>
            </w:r>
            <w:r w:rsidR="001203E7">
              <w:rPr>
                <w:rFonts w:ascii="Arial" w:hAnsi="Arial" w:cs="Arial"/>
                <w:spacing w:val="-4"/>
                <w:sz w:val="14"/>
                <w:szCs w:val="14"/>
              </w:rPr>
              <w:t>S</w:t>
            </w:r>
            <w:r>
              <w:rPr>
                <w:rFonts w:ascii="Arial" w:hAnsi="Arial" w:cs="Arial"/>
                <w:spacing w:val="-4"/>
                <w:sz w:val="14"/>
                <w:szCs w:val="14"/>
              </w:rPr>
              <w:t xml:space="preserve">tructures, and </w:t>
            </w:r>
            <w:r w:rsidR="001203E7">
              <w:rPr>
                <w:rFonts w:ascii="Arial" w:hAnsi="Arial" w:cs="Arial"/>
                <w:spacing w:val="-4"/>
                <w:sz w:val="14"/>
                <w:szCs w:val="14"/>
              </w:rPr>
              <w:t>G</w:t>
            </w:r>
            <w:r>
              <w:rPr>
                <w:rFonts w:ascii="Arial" w:hAnsi="Arial" w:cs="Arial"/>
                <w:spacing w:val="-4"/>
                <w:sz w:val="14"/>
                <w:szCs w:val="14"/>
              </w:rPr>
              <w:t>overnance</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5"/>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22"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keepLines/>
              <w:tabs>
                <w:tab w:val="left" w:pos="200"/>
              </w:tabs>
              <w:spacing w:line="240" w:lineRule="auto"/>
              <w:ind w:left="218" w:hanging="218"/>
              <w:jc w:val="left"/>
              <w:rPr>
                <w:rFonts w:ascii="Arial" w:hAnsi="Arial" w:cs="Arial"/>
                <w:color w:val="FF0000"/>
                <w:spacing w:val="-4"/>
                <w:sz w:val="14"/>
                <w:szCs w:val="14"/>
              </w:rPr>
            </w:pPr>
            <w:r>
              <w:rPr>
                <w:rFonts w:ascii="Arial" w:hAnsi="Arial" w:cs="Arial"/>
                <w:spacing w:val="-4"/>
                <w:sz w:val="14"/>
                <w:szCs w:val="14"/>
              </w:rPr>
              <w:t xml:space="preserve">C. Federal </w:t>
            </w:r>
            <w:r w:rsidR="001203E7">
              <w:rPr>
                <w:rFonts w:ascii="Arial" w:hAnsi="Arial" w:cs="Arial"/>
                <w:spacing w:val="-4"/>
                <w:sz w:val="14"/>
                <w:szCs w:val="14"/>
              </w:rPr>
              <w:t>S</w:t>
            </w:r>
            <w:r>
              <w:rPr>
                <w:rFonts w:ascii="Arial" w:hAnsi="Arial" w:cs="Arial"/>
                <w:spacing w:val="-4"/>
                <w:sz w:val="14"/>
                <w:szCs w:val="14"/>
              </w:rPr>
              <w:t xml:space="preserve">upport for </w:t>
            </w:r>
            <w:r w:rsidR="001203E7">
              <w:rPr>
                <w:rFonts w:ascii="Arial" w:hAnsi="Arial" w:cs="Arial"/>
                <w:spacing w:val="-4"/>
                <w:sz w:val="14"/>
                <w:szCs w:val="14"/>
              </w:rPr>
              <w:t>G</w:t>
            </w:r>
            <w:r>
              <w:rPr>
                <w:rFonts w:ascii="Arial" w:hAnsi="Arial" w:cs="Arial"/>
                <w:spacing w:val="-4"/>
                <w:sz w:val="14"/>
                <w:szCs w:val="14"/>
              </w:rPr>
              <w:t>rantees</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5"/>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color w:val="FF0000"/>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color w:val="FF0000"/>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D. Grant </w:t>
            </w:r>
            <w:r w:rsidR="001203E7">
              <w:rPr>
                <w:rFonts w:ascii="Arial" w:hAnsi="Arial" w:cs="Arial"/>
                <w:spacing w:val="-4"/>
                <w:sz w:val="14"/>
                <w:szCs w:val="14"/>
              </w:rPr>
              <w:t>M</w:t>
            </w:r>
            <w:r>
              <w:rPr>
                <w:rFonts w:ascii="Arial" w:hAnsi="Arial" w:cs="Arial"/>
                <w:spacing w:val="-4"/>
                <w:sz w:val="14"/>
                <w:szCs w:val="14"/>
              </w:rPr>
              <w:t>onitoring</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5"/>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tabs>
                <w:tab w:val="clear" w:pos="432"/>
                <w:tab w:val="left" w:pos="720"/>
              </w:tabs>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tabs>
                <w:tab w:val="clear" w:pos="432"/>
                <w:tab w:val="left" w:pos="720"/>
              </w:tabs>
              <w:spacing w:line="240" w:lineRule="auto"/>
              <w:ind w:firstLine="4"/>
              <w:jc w:val="center"/>
              <w:rPr>
                <w:rFonts w:ascii="Arial" w:hAnsi="Arial" w:cs="Arial"/>
                <w:spacing w:val="-4"/>
                <w:sz w:val="14"/>
                <w:szCs w:val="14"/>
              </w:rPr>
            </w:pPr>
          </w:p>
        </w:tc>
      </w:tr>
      <w:tr w:rsidR="00AB66F6" w:rsidRPr="004E7BD3" w:rsidTr="00AB66F6">
        <w:trPr>
          <w:trHeight w:val="144"/>
        </w:trPr>
        <w:tc>
          <w:tcPr>
            <w:tcW w:w="5000" w:type="pct"/>
            <w:gridSpan w:val="15"/>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rsidR="00AB66F6" w:rsidRDefault="00AB66F6" w:rsidP="004E7BD3">
            <w:pPr>
              <w:spacing w:before="40" w:after="20" w:line="240" w:lineRule="auto"/>
              <w:ind w:firstLine="0"/>
              <w:jc w:val="center"/>
              <w:rPr>
                <w:rFonts w:ascii="Arial" w:hAnsi="Arial" w:cs="Arial"/>
                <w:b/>
                <w:spacing w:val="-4"/>
                <w:sz w:val="14"/>
                <w:szCs w:val="14"/>
              </w:rPr>
            </w:pPr>
            <w:r>
              <w:rPr>
                <w:rFonts w:ascii="Arial" w:hAnsi="Arial" w:cs="Arial"/>
                <w:b/>
                <w:spacing w:val="-4"/>
                <w:sz w:val="14"/>
                <w:szCs w:val="14"/>
              </w:rPr>
              <w:t>II. Development of Regional Clusters, Programs, and Partnerships</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before="40" w:line="240" w:lineRule="auto"/>
              <w:ind w:left="218" w:hanging="218"/>
              <w:jc w:val="left"/>
              <w:rPr>
                <w:rFonts w:ascii="Arial" w:hAnsi="Arial" w:cs="Arial"/>
                <w:spacing w:val="-4"/>
                <w:sz w:val="14"/>
                <w:szCs w:val="14"/>
              </w:rPr>
            </w:pPr>
            <w:r>
              <w:rPr>
                <w:rFonts w:ascii="Arial" w:hAnsi="Arial" w:cs="Arial"/>
                <w:spacing w:val="-4"/>
                <w:sz w:val="14"/>
                <w:szCs w:val="14"/>
              </w:rPr>
              <w:t xml:space="preserve">A. Overview of </w:t>
            </w:r>
            <w:r w:rsidR="001203E7">
              <w:rPr>
                <w:rFonts w:ascii="Arial" w:hAnsi="Arial" w:cs="Arial"/>
                <w:spacing w:val="-4"/>
                <w:sz w:val="14"/>
                <w:szCs w:val="14"/>
              </w:rPr>
              <w:t>G</w:t>
            </w:r>
            <w:r>
              <w:rPr>
                <w:rFonts w:ascii="Arial" w:hAnsi="Arial" w:cs="Arial"/>
                <w:spacing w:val="-4"/>
                <w:sz w:val="14"/>
                <w:szCs w:val="14"/>
              </w:rPr>
              <w:t xml:space="preserve">rants and </w:t>
            </w:r>
            <w:r w:rsidR="001203E7">
              <w:rPr>
                <w:rFonts w:ascii="Arial" w:hAnsi="Arial" w:cs="Arial"/>
                <w:spacing w:val="-4"/>
                <w:sz w:val="14"/>
                <w:szCs w:val="14"/>
              </w:rPr>
              <w:t>C</w:t>
            </w:r>
            <w:r>
              <w:rPr>
                <w:rFonts w:ascii="Arial" w:hAnsi="Arial" w:cs="Arial"/>
                <w:spacing w:val="-4"/>
                <w:sz w:val="14"/>
                <w:szCs w:val="14"/>
              </w:rPr>
              <w:t>lusters</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22"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B. History of </w:t>
            </w:r>
            <w:r w:rsidR="001203E7">
              <w:rPr>
                <w:rFonts w:ascii="Arial" w:hAnsi="Arial" w:cs="Arial"/>
                <w:spacing w:val="-4"/>
                <w:sz w:val="14"/>
                <w:szCs w:val="14"/>
              </w:rPr>
              <w:t>C</w:t>
            </w:r>
            <w:r>
              <w:rPr>
                <w:rFonts w:ascii="Arial" w:hAnsi="Arial" w:cs="Arial"/>
                <w:spacing w:val="-4"/>
                <w:sz w:val="14"/>
                <w:szCs w:val="14"/>
              </w:rPr>
              <w:t xml:space="preserve">ollaboration and </w:t>
            </w:r>
            <w:r w:rsidR="001203E7">
              <w:rPr>
                <w:rFonts w:ascii="Arial" w:hAnsi="Arial" w:cs="Arial"/>
                <w:spacing w:val="-4"/>
                <w:sz w:val="14"/>
                <w:szCs w:val="14"/>
              </w:rPr>
              <w:t>F</w:t>
            </w:r>
            <w:r>
              <w:rPr>
                <w:rFonts w:ascii="Arial" w:hAnsi="Arial" w:cs="Arial"/>
                <w:spacing w:val="-4"/>
                <w:sz w:val="14"/>
                <w:szCs w:val="14"/>
              </w:rPr>
              <w:t xml:space="preserve">ederal </w:t>
            </w:r>
            <w:r w:rsidR="001203E7">
              <w:rPr>
                <w:rFonts w:ascii="Arial" w:hAnsi="Arial" w:cs="Arial"/>
                <w:spacing w:val="-4"/>
                <w:sz w:val="14"/>
                <w:szCs w:val="14"/>
              </w:rPr>
              <w:t>G</w:t>
            </w:r>
            <w:r>
              <w:rPr>
                <w:rFonts w:ascii="Arial" w:hAnsi="Arial" w:cs="Arial"/>
                <w:spacing w:val="-4"/>
                <w:sz w:val="14"/>
                <w:szCs w:val="14"/>
              </w:rPr>
              <w:t xml:space="preserve">rant </w:t>
            </w:r>
            <w:r w:rsidR="001203E7">
              <w:rPr>
                <w:rFonts w:ascii="Arial" w:hAnsi="Arial" w:cs="Arial"/>
                <w:spacing w:val="-4"/>
                <w:sz w:val="14"/>
                <w:szCs w:val="14"/>
              </w:rPr>
              <w:t>R</w:t>
            </w:r>
            <w:r>
              <w:rPr>
                <w:rFonts w:ascii="Arial" w:hAnsi="Arial" w:cs="Arial"/>
                <w:spacing w:val="-4"/>
                <w:sz w:val="14"/>
                <w:szCs w:val="14"/>
              </w:rPr>
              <w:t>eceipt</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C. Grant </w:t>
            </w:r>
            <w:r w:rsidR="001203E7">
              <w:rPr>
                <w:rFonts w:ascii="Arial" w:hAnsi="Arial" w:cs="Arial"/>
                <w:spacing w:val="-4"/>
                <w:sz w:val="14"/>
                <w:szCs w:val="14"/>
              </w:rPr>
              <w:t>F</w:t>
            </w:r>
            <w:r>
              <w:rPr>
                <w:rFonts w:ascii="Arial" w:hAnsi="Arial" w:cs="Arial"/>
                <w:spacing w:val="-4"/>
                <w:sz w:val="14"/>
                <w:szCs w:val="14"/>
              </w:rPr>
              <w:t>unding</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D. Grantee and </w:t>
            </w:r>
            <w:r w:rsidR="001203E7">
              <w:rPr>
                <w:rFonts w:ascii="Arial" w:hAnsi="Arial" w:cs="Arial"/>
                <w:spacing w:val="-4"/>
                <w:sz w:val="14"/>
                <w:szCs w:val="14"/>
              </w:rPr>
              <w:t>P</w:t>
            </w:r>
            <w:r>
              <w:rPr>
                <w:rFonts w:ascii="Arial" w:hAnsi="Arial" w:cs="Arial"/>
                <w:spacing w:val="-4"/>
                <w:sz w:val="14"/>
                <w:szCs w:val="14"/>
              </w:rPr>
              <w:t xml:space="preserve">artner </w:t>
            </w:r>
            <w:r w:rsidR="001203E7">
              <w:rPr>
                <w:rFonts w:ascii="Arial" w:hAnsi="Arial" w:cs="Arial"/>
                <w:spacing w:val="-4"/>
                <w:sz w:val="14"/>
                <w:szCs w:val="14"/>
              </w:rPr>
              <w:t>E</w:t>
            </w:r>
            <w:r>
              <w:rPr>
                <w:rFonts w:ascii="Arial" w:hAnsi="Arial" w:cs="Arial"/>
                <w:spacing w:val="-4"/>
                <w:sz w:val="14"/>
                <w:szCs w:val="14"/>
              </w:rPr>
              <w:t xml:space="preserve">ngagement, </w:t>
            </w:r>
            <w:r w:rsidR="001203E7">
              <w:rPr>
                <w:rFonts w:ascii="Arial" w:hAnsi="Arial" w:cs="Arial"/>
                <w:spacing w:val="-4"/>
                <w:sz w:val="14"/>
                <w:szCs w:val="14"/>
              </w:rPr>
              <w:t>D</w:t>
            </w:r>
            <w:r>
              <w:rPr>
                <w:rFonts w:ascii="Arial" w:hAnsi="Arial" w:cs="Arial"/>
                <w:spacing w:val="-4"/>
                <w:sz w:val="14"/>
                <w:szCs w:val="14"/>
              </w:rPr>
              <w:t xml:space="preserve">ecision </w:t>
            </w:r>
            <w:r w:rsidR="001203E7">
              <w:rPr>
                <w:rFonts w:ascii="Arial" w:hAnsi="Arial" w:cs="Arial"/>
                <w:spacing w:val="-4"/>
                <w:sz w:val="14"/>
                <w:szCs w:val="14"/>
              </w:rPr>
              <w:t>M</w:t>
            </w:r>
            <w:r>
              <w:rPr>
                <w:rFonts w:ascii="Arial" w:hAnsi="Arial" w:cs="Arial"/>
                <w:spacing w:val="-4"/>
                <w:sz w:val="14"/>
                <w:szCs w:val="14"/>
              </w:rPr>
              <w:t xml:space="preserve">aking, </w:t>
            </w:r>
            <w:r w:rsidR="001203E7">
              <w:rPr>
                <w:rFonts w:ascii="Arial" w:hAnsi="Arial" w:cs="Arial"/>
                <w:spacing w:val="-4"/>
                <w:sz w:val="14"/>
                <w:szCs w:val="14"/>
              </w:rPr>
              <w:t>C</w:t>
            </w:r>
            <w:r>
              <w:rPr>
                <w:rFonts w:ascii="Arial" w:hAnsi="Arial" w:cs="Arial"/>
                <w:spacing w:val="-4"/>
                <w:sz w:val="14"/>
                <w:szCs w:val="14"/>
              </w:rPr>
              <w:t>ommunication</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E. Types of </w:t>
            </w:r>
            <w:r w:rsidR="001203E7">
              <w:rPr>
                <w:rFonts w:ascii="Arial" w:hAnsi="Arial" w:cs="Arial"/>
                <w:spacing w:val="-4"/>
                <w:sz w:val="14"/>
                <w:szCs w:val="14"/>
              </w:rPr>
              <w:t>G</w:t>
            </w:r>
            <w:r>
              <w:rPr>
                <w:rFonts w:ascii="Arial" w:hAnsi="Arial" w:cs="Arial"/>
                <w:spacing w:val="-4"/>
                <w:sz w:val="14"/>
                <w:szCs w:val="14"/>
              </w:rPr>
              <w:t xml:space="preserve">rant </w:t>
            </w:r>
            <w:r w:rsidR="001203E7">
              <w:rPr>
                <w:rFonts w:ascii="Arial" w:hAnsi="Arial" w:cs="Arial"/>
                <w:spacing w:val="-4"/>
                <w:sz w:val="14"/>
                <w:szCs w:val="14"/>
              </w:rPr>
              <w:t>A</w:t>
            </w:r>
            <w:r>
              <w:rPr>
                <w:rFonts w:ascii="Arial" w:hAnsi="Arial" w:cs="Arial"/>
                <w:spacing w:val="-4"/>
                <w:sz w:val="14"/>
                <w:szCs w:val="14"/>
              </w:rPr>
              <w:t>ctivities</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F. Experience with </w:t>
            </w:r>
            <w:r w:rsidR="001203E7">
              <w:rPr>
                <w:rFonts w:ascii="Arial" w:hAnsi="Arial" w:cs="Arial"/>
                <w:spacing w:val="-4"/>
                <w:sz w:val="14"/>
                <w:szCs w:val="14"/>
              </w:rPr>
              <w:t>G</w:t>
            </w:r>
            <w:r>
              <w:rPr>
                <w:rFonts w:ascii="Arial" w:hAnsi="Arial" w:cs="Arial"/>
                <w:spacing w:val="-4"/>
                <w:sz w:val="14"/>
                <w:szCs w:val="14"/>
              </w:rPr>
              <w:t>rant</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pStyle w:val="ListParagraph"/>
              <w:numPr>
                <w:ilvl w:val="0"/>
                <w:numId w:val="0"/>
              </w:numPr>
              <w:spacing w:line="240" w:lineRule="auto"/>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2E4BE2">
            <w:pPr>
              <w:spacing w:line="240" w:lineRule="auto"/>
              <w:ind w:firstLine="4"/>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4"/>
              <w:jc w:val="center"/>
              <w:rPr>
                <w:rFonts w:ascii="Arial" w:hAnsi="Arial" w:cs="Arial"/>
                <w:spacing w:val="-4"/>
                <w:sz w:val="14"/>
                <w:szCs w:val="14"/>
              </w:rPr>
            </w:pPr>
          </w:p>
        </w:tc>
      </w:tr>
      <w:tr w:rsidR="00AB66F6" w:rsidRPr="004E7BD3" w:rsidTr="00AB66F6">
        <w:trPr>
          <w:trHeight w:val="144"/>
        </w:trPr>
        <w:tc>
          <w:tcPr>
            <w:tcW w:w="5000" w:type="pct"/>
            <w:gridSpan w:val="15"/>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rsidR="00AB66F6" w:rsidRDefault="00AB66F6" w:rsidP="004E7BD3">
            <w:pPr>
              <w:spacing w:before="40" w:after="20" w:line="240" w:lineRule="auto"/>
              <w:ind w:firstLine="0"/>
              <w:jc w:val="center"/>
              <w:rPr>
                <w:rFonts w:ascii="Arial" w:hAnsi="Arial" w:cs="Arial"/>
                <w:b/>
                <w:spacing w:val="-4"/>
                <w:sz w:val="14"/>
                <w:szCs w:val="14"/>
              </w:rPr>
            </w:pPr>
            <w:r>
              <w:rPr>
                <w:rFonts w:ascii="Arial" w:hAnsi="Arial" w:cs="Arial"/>
                <w:b/>
                <w:spacing w:val="-4"/>
                <w:sz w:val="14"/>
                <w:szCs w:val="14"/>
              </w:rPr>
              <w:t>III. Project Outcomes</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before="40" w:line="240" w:lineRule="auto"/>
              <w:ind w:left="218" w:hanging="218"/>
              <w:jc w:val="left"/>
              <w:rPr>
                <w:rFonts w:ascii="Arial" w:hAnsi="Arial" w:cs="Arial"/>
                <w:spacing w:val="-4"/>
                <w:sz w:val="14"/>
                <w:szCs w:val="14"/>
              </w:rPr>
            </w:pPr>
            <w:r>
              <w:rPr>
                <w:rFonts w:ascii="Arial" w:hAnsi="Arial" w:cs="Arial"/>
                <w:spacing w:val="-4"/>
                <w:sz w:val="14"/>
                <w:szCs w:val="14"/>
              </w:rPr>
              <w:t xml:space="preserve">A. Metrics </w:t>
            </w:r>
            <w:r w:rsidR="001203E7">
              <w:rPr>
                <w:rFonts w:ascii="Arial" w:hAnsi="Arial" w:cs="Arial"/>
                <w:spacing w:val="-4"/>
                <w:sz w:val="14"/>
                <w:szCs w:val="14"/>
              </w:rPr>
              <w:t>U</w:t>
            </w:r>
            <w:r>
              <w:rPr>
                <w:rFonts w:ascii="Arial" w:hAnsi="Arial" w:cs="Arial"/>
                <w:spacing w:val="-4"/>
                <w:sz w:val="14"/>
                <w:szCs w:val="14"/>
              </w:rPr>
              <w:t xml:space="preserve">sed for </w:t>
            </w:r>
            <w:r w:rsidR="001203E7">
              <w:rPr>
                <w:rFonts w:ascii="Arial" w:hAnsi="Arial" w:cs="Arial"/>
                <w:spacing w:val="-4"/>
                <w:sz w:val="14"/>
                <w:szCs w:val="14"/>
              </w:rPr>
              <w:t>P</w:t>
            </w:r>
            <w:r>
              <w:rPr>
                <w:rFonts w:ascii="Arial" w:hAnsi="Arial" w:cs="Arial"/>
                <w:spacing w:val="-4"/>
                <w:sz w:val="14"/>
                <w:szCs w:val="14"/>
              </w:rPr>
              <w:t xml:space="preserve">roject </w:t>
            </w:r>
            <w:r w:rsidR="001203E7">
              <w:rPr>
                <w:rFonts w:ascii="Arial" w:hAnsi="Arial" w:cs="Arial"/>
                <w:spacing w:val="-4"/>
                <w:sz w:val="14"/>
                <w:szCs w:val="14"/>
              </w:rPr>
              <w:t>O</w:t>
            </w:r>
            <w:r>
              <w:rPr>
                <w:rFonts w:ascii="Arial" w:hAnsi="Arial" w:cs="Arial"/>
                <w:spacing w:val="-4"/>
                <w:sz w:val="14"/>
                <w:szCs w:val="14"/>
              </w:rPr>
              <w:t xml:space="preserve">utput and </w:t>
            </w:r>
            <w:r w:rsidR="001203E7">
              <w:rPr>
                <w:rFonts w:ascii="Arial" w:hAnsi="Arial" w:cs="Arial"/>
                <w:spacing w:val="-4"/>
                <w:sz w:val="14"/>
                <w:szCs w:val="14"/>
              </w:rPr>
              <w:t>O</w:t>
            </w:r>
            <w:r>
              <w:rPr>
                <w:rFonts w:ascii="Arial" w:hAnsi="Arial" w:cs="Arial"/>
                <w:spacing w:val="-4"/>
                <w:sz w:val="14"/>
                <w:szCs w:val="14"/>
              </w:rPr>
              <w:t xml:space="preserve">utcome </w:t>
            </w:r>
            <w:r w:rsidR="001203E7">
              <w:rPr>
                <w:rFonts w:ascii="Arial" w:hAnsi="Arial" w:cs="Arial"/>
                <w:spacing w:val="-4"/>
                <w:sz w:val="14"/>
                <w:szCs w:val="14"/>
              </w:rPr>
              <w:t>M</w:t>
            </w:r>
            <w:r>
              <w:rPr>
                <w:rFonts w:ascii="Arial" w:hAnsi="Arial" w:cs="Arial"/>
                <w:spacing w:val="-4"/>
                <w:sz w:val="14"/>
                <w:szCs w:val="14"/>
              </w:rPr>
              <w:t>easurement</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B. Output and </w:t>
            </w:r>
            <w:r w:rsidR="001203E7">
              <w:rPr>
                <w:rFonts w:ascii="Arial" w:hAnsi="Arial" w:cs="Arial"/>
                <w:spacing w:val="-4"/>
                <w:sz w:val="14"/>
                <w:szCs w:val="14"/>
              </w:rPr>
              <w:t>O</w:t>
            </w:r>
            <w:r>
              <w:rPr>
                <w:rFonts w:ascii="Arial" w:hAnsi="Arial" w:cs="Arial"/>
                <w:spacing w:val="-4"/>
                <w:sz w:val="14"/>
                <w:szCs w:val="14"/>
              </w:rPr>
              <w:t xml:space="preserve">utcome </w:t>
            </w:r>
            <w:r w:rsidR="001203E7">
              <w:rPr>
                <w:rFonts w:ascii="Arial" w:hAnsi="Arial" w:cs="Arial"/>
                <w:spacing w:val="-4"/>
                <w:sz w:val="14"/>
                <w:szCs w:val="14"/>
              </w:rPr>
              <w:t>M</w:t>
            </w:r>
            <w:r>
              <w:rPr>
                <w:rFonts w:ascii="Arial" w:hAnsi="Arial" w:cs="Arial"/>
                <w:spacing w:val="-4"/>
                <w:sz w:val="14"/>
                <w:szCs w:val="14"/>
              </w:rPr>
              <w:t>onitoring</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C. Assessment of </w:t>
            </w:r>
            <w:r w:rsidR="001203E7">
              <w:rPr>
                <w:rFonts w:ascii="Arial" w:hAnsi="Arial" w:cs="Arial"/>
                <w:spacing w:val="-4"/>
                <w:sz w:val="14"/>
                <w:szCs w:val="14"/>
              </w:rPr>
              <w:t>Q</w:t>
            </w:r>
            <w:r>
              <w:rPr>
                <w:rFonts w:ascii="Arial" w:hAnsi="Arial" w:cs="Arial"/>
                <w:spacing w:val="-4"/>
                <w:sz w:val="14"/>
                <w:szCs w:val="14"/>
              </w:rPr>
              <w:t xml:space="preserve">uality and </w:t>
            </w:r>
            <w:r w:rsidR="001203E7">
              <w:rPr>
                <w:rFonts w:ascii="Arial" w:hAnsi="Arial" w:cs="Arial"/>
                <w:spacing w:val="-4"/>
                <w:sz w:val="14"/>
                <w:szCs w:val="14"/>
              </w:rPr>
              <w:t>U</w:t>
            </w:r>
            <w:r>
              <w:rPr>
                <w:rFonts w:ascii="Arial" w:hAnsi="Arial" w:cs="Arial"/>
                <w:spacing w:val="-4"/>
                <w:sz w:val="14"/>
                <w:szCs w:val="14"/>
              </w:rPr>
              <w:t xml:space="preserve">sefulness of </w:t>
            </w:r>
            <w:r w:rsidR="001203E7">
              <w:rPr>
                <w:rFonts w:ascii="Arial" w:hAnsi="Arial" w:cs="Arial"/>
                <w:spacing w:val="-4"/>
                <w:sz w:val="14"/>
                <w:szCs w:val="14"/>
              </w:rPr>
              <w:t>M</w:t>
            </w:r>
            <w:r>
              <w:rPr>
                <w:rFonts w:ascii="Arial" w:hAnsi="Arial" w:cs="Arial"/>
                <w:spacing w:val="-4"/>
                <w:sz w:val="14"/>
                <w:szCs w:val="14"/>
              </w:rPr>
              <w:t xml:space="preserve">onitoring </w:t>
            </w:r>
            <w:r w:rsidR="001203E7">
              <w:rPr>
                <w:rFonts w:ascii="Arial" w:hAnsi="Arial" w:cs="Arial"/>
                <w:spacing w:val="-4"/>
                <w:sz w:val="14"/>
                <w:szCs w:val="14"/>
              </w:rPr>
              <w:t>D</w:t>
            </w:r>
            <w:r>
              <w:rPr>
                <w:rFonts w:ascii="Arial" w:hAnsi="Arial" w:cs="Arial"/>
                <w:spacing w:val="-4"/>
                <w:sz w:val="14"/>
                <w:szCs w:val="14"/>
              </w:rPr>
              <w:t>ata</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r>
      <w:tr w:rsidR="00AB66F6" w:rsidTr="00AB66F6">
        <w:trPr>
          <w:trHeight w:val="125"/>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D. Beneficiaries of </w:t>
            </w:r>
            <w:r w:rsidR="001203E7">
              <w:rPr>
                <w:rFonts w:ascii="Arial" w:hAnsi="Arial" w:cs="Arial"/>
                <w:spacing w:val="-4"/>
                <w:sz w:val="14"/>
                <w:szCs w:val="14"/>
              </w:rPr>
              <w:t>G</w:t>
            </w:r>
            <w:r>
              <w:rPr>
                <w:rFonts w:ascii="Arial" w:hAnsi="Arial" w:cs="Arial"/>
                <w:spacing w:val="-4"/>
                <w:sz w:val="14"/>
                <w:szCs w:val="14"/>
              </w:rPr>
              <w:t xml:space="preserve">rant </w:t>
            </w:r>
            <w:r w:rsidR="001203E7">
              <w:rPr>
                <w:rFonts w:ascii="Arial" w:hAnsi="Arial" w:cs="Arial"/>
                <w:spacing w:val="-4"/>
                <w:sz w:val="14"/>
                <w:szCs w:val="14"/>
              </w:rPr>
              <w:t>A</w:t>
            </w:r>
            <w:r>
              <w:rPr>
                <w:rFonts w:ascii="Arial" w:hAnsi="Arial" w:cs="Arial"/>
                <w:spacing w:val="-4"/>
                <w:sz w:val="14"/>
                <w:szCs w:val="14"/>
              </w:rPr>
              <w:t>ctivities</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E. Rate of </w:t>
            </w:r>
            <w:r w:rsidR="001203E7">
              <w:rPr>
                <w:rFonts w:ascii="Arial" w:hAnsi="Arial" w:cs="Arial"/>
                <w:spacing w:val="-4"/>
                <w:sz w:val="14"/>
                <w:szCs w:val="14"/>
              </w:rPr>
              <w:t>O</w:t>
            </w:r>
            <w:r>
              <w:rPr>
                <w:rFonts w:ascii="Arial" w:hAnsi="Arial" w:cs="Arial"/>
                <w:spacing w:val="-4"/>
                <w:sz w:val="14"/>
                <w:szCs w:val="14"/>
              </w:rPr>
              <w:t xml:space="preserve">utcome </w:t>
            </w:r>
            <w:r w:rsidR="001203E7">
              <w:rPr>
                <w:rFonts w:ascii="Arial" w:hAnsi="Arial" w:cs="Arial"/>
                <w:spacing w:val="-4"/>
                <w:sz w:val="14"/>
                <w:szCs w:val="14"/>
              </w:rPr>
              <w:t>A</w:t>
            </w:r>
            <w:r>
              <w:rPr>
                <w:rFonts w:ascii="Arial" w:hAnsi="Arial" w:cs="Arial"/>
                <w:spacing w:val="-4"/>
                <w:sz w:val="14"/>
                <w:szCs w:val="14"/>
              </w:rPr>
              <w:t>chievement</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r>
      <w:tr w:rsidR="00AB66F6" w:rsidRPr="004E7BD3" w:rsidTr="00AB66F6">
        <w:trPr>
          <w:trHeight w:val="144"/>
        </w:trPr>
        <w:tc>
          <w:tcPr>
            <w:tcW w:w="5000" w:type="pct"/>
            <w:gridSpan w:val="15"/>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rsidR="00AB66F6" w:rsidRDefault="00AB66F6" w:rsidP="004E7BD3">
            <w:pPr>
              <w:spacing w:before="40" w:after="20" w:line="240" w:lineRule="auto"/>
              <w:ind w:firstLine="0"/>
              <w:jc w:val="center"/>
              <w:rPr>
                <w:rFonts w:ascii="Arial" w:hAnsi="Arial" w:cs="Arial"/>
                <w:b/>
                <w:spacing w:val="-4"/>
                <w:sz w:val="14"/>
                <w:szCs w:val="14"/>
              </w:rPr>
            </w:pPr>
            <w:r>
              <w:rPr>
                <w:rFonts w:ascii="Arial" w:hAnsi="Arial" w:cs="Arial"/>
                <w:b/>
                <w:spacing w:val="-4"/>
                <w:sz w:val="14"/>
                <w:szCs w:val="14"/>
              </w:rPr>
              <w:t>IV. Program Management and Sustainability</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before="40" w:line="240" w:lineRule="auto"/>
              <w:ind w:left="218" w:hanging="218"/>
              <w:jc w:val="left"/>
              <w:rPr>
                <w:rFonts w:ascii="Arial" w:hAnsi="Arial" w:cs="Arial"/>
                <w:spacing w:val="-4"/>
                <w:sz w:val="14"/>
                <w:szCs w:val="14"/>
              </w:rPr>
            </w:pPr>
            <w:r>
              <w:rPr>
                <w:rFonts w:ascii="Arial" w:hAnsi="Arial" w:cs="Arial"/>
                <w:spacing w:val="-4"/>
                <w:sz w:val="14"/>
                <w:szCs w:val="14"/>
              </w:rPr>
              <w:t xml:space="preserve">A. Cluster </w:t>
            </w:r>
            <w:r w:rsidR="001203E7">
              <w:rPr>
                <w:rFonts w:ascii="Arial" w:hAnsi="Arial" w:cs="Arial"/>
                <w:spacing w:val="-4"/>
                <w:sz w:val="14"/>
                <w:szCs w:val="14"/>
              </w:rPr>
              <w:t>F</w:t>
            </w:r>
            <w:r>
              <w:rPr>
                <w:rFonts w:ascii="Arial" w:hAnsi="Arial" w:cs="Arial"/>
                <w:spacing w:val="-4"/>
                <w:sz w:val="14"/>
                <w:szCs w:val="14"/>
              </w:rPr>
              <w:t>eatures</w:t>
            </w:r>
          </w:p>
        </w:tc>
        <w:tc>
          <w:tcPr>
            <w:tcW w:w="446"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p>
        </w:tc>
      </w:tr>
      <w:tr w:rsidR="00AB66F6" w:rsidTr="00AB66F6">
        <w:trPr>
          <w:trHeight w:val="143"/>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B. Cluster </w:t>
            </w:r>
            <w:r w:rsidR="001203E7">
              <w:rPr>
                <w:rFonts w:ascii="Arial" w:hAnsi="Arial" w:cs="Arial"/>
                <w:spacing w:val="-4"/>
                <w:sz w:val="14"/>
                <w:szCs w:val="14"/>
              </w:rPr>
              <w:t>A</w:t>
            </w:r>
            <w:r>
              <w:rPr>
                <w:rFonts w:ascii="Arial" w:hAnsi="Arial" w:cs="Arial"/>
                <w:spacing w:val="-4"/>
                <w:sz w:val="14"/>
                <w:szCs w:val="14"/>
              </w:rPr>
              <w:t>gility</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nil"/>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 xml:space="preserve">C. Cluster </w:t>
            </w:r>
            <w:r w:rsidR="001203E7">
              <w:rPr>
                <w:rFonts w:ascii="Arial" w:hAnsi="Arial" w:cs="Arial"/>
                <w:spacing w:val="-4"/>
                <w:sz w:val="14"/>
                <w:szCs w:val="14"/>
              </w:rPr>
              <w:t>D</w:t>
            </w:r>
            <w:r>
              <w:rPr>
                <w:rFonts w:ascii="Arial" w:hAnsi="Arial" w:cs="Arial"/>
                <w:spacing w:val="-4"/>
                <w:sz w:val="14"/>
                <w:szCs w:val="14"/>
              </w:rPr>
              <w:t xml:space="preserve">ependence on </w:t>
            </w:r>
            <w:r w:rsidR="001203E7">
              <w:rPr>
                <w:rFonts w:ascii="Arial" w:hAnsi="Arial" w:cs="Arial"/>
                <w:spacing w:val="-4"/>
                <w:sz w:val="14"/>
                <w:szCs w:val="14"/>
              </w:rPr>
              <w:t>O</w:t>
            </w:r>
            <w:r>
              <w:rPr>
                <w:rFonts w:ascii="Arial" w:hAnsi="Arial" w:cs="Arial"/>
                <w:spacing w:val="-4"/>
                <w:sz w:val="14"/>
                <w:szCs w:val="14"/>
              </w:rPr>
              <w:t>utside TA</w:t>
            </w:r>
          </w:p>
        </w:tc>
        <w:tc>
          <w:tcPr>
            <w:tcW w:w="446" w:type="pct"/>
            <w:tcBorders>
              <w:top w:val="single" w:sz="4" w:space="0" w:color="A6A6A6" w:themeColor="background1" w:themeShade="A6"/>
              <w:left w:val="nil"/>
              <w:bottom w:val="nil"/>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nil"/>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nil"/>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nil"/>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nil"/>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nil"/>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nil"/>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nil"/>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nil"/>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nil"/>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nil"/>
              <w:right w:val="nil"/>
            </w:tcBorders>
            <w:hideMark/>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nil"/>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D</w:t>
            </w:r>
            <w:r w:rsidR="00666A78">
              <w:rPr>
                <w:rFonts w:ascii="Arial" w:hAnsi="Arial" w:cs="Arial"/>
                <w:spacing w:val="-4"/>
                <w:sz w:val="14"/>
                <w:szCs w:val="14"/>
              </w:rPr>
              <w:t xml:space="preserve">. </w:t>
            </w:r>
            <w:r>
              <w:rPr>
                <w:rFonts w:ascii="Arial" w:hAnsi="Arial" w:cs="Arial"/>
                <w:spacing w:val="-4"/>
                <w:sz w:val="14"/>
                <w:szCs w:val="14"/>
              </w:rPr>
              <w:t xml:space="preserve">Matching </w:t>
            </w:r>
            <w:r w:rsidR="001203E7">
              <w:rPr>
                <w:rFonts w:ascii="Arial" w:hAnsi="Arial" w:cs="Arial"/>
                <w:spacing w:val="-4"/>
                <w:sz w:val="14"/>
                <w:szCs w:val="14"/>
              </w:rPr>
              <w:t>F</w:t>
            </w:r>
            <w:r>
              <w:rPr>
                <w:rFonts w:ascii="Arial" w:hAnsi="Arial" w:cs="Arial"/>
                <w:spacing w:val="-4"/>
                <w:sz w:val="14"/>
                <w:szCs w:val="14"/>
              </w:rPr>
              <w:t>unds/</w:t>
            </w:r>
            <w:r w:rsidR="001203E7">
              <w:rPr>
                <w:rFonts w:ascii="Arial" w:hAnsi="Arial" w:cs="Arial"/>
                <w:spacing w:val="-4"/>
                <w:sz w:val="14"/>
                <w:szCs w:val="14"/>
              </w:rPr>
              <w:t>L</w:t>
            </w:r>
            <w:r>
              <w:rPr>
                <w:rFonts w:ascii="Arial" w:hAnsi="Arial" w:cs="Arial"/>
                <w:spacing w:val="-4"/>
                <w:sz w:val="14"/>
                <w:szCs w:val="14"/>
              </w:rPr>
              <w:t xml:space="preserve">everaged </w:t>
            </w:r>
            <w:r w:rsidR="001203E7">
              <w:rPr>
                <w:rFonts w:ascii="Arial" w:hAnsi="Arial" w:cs="Arial"/>
                <w:spacing w:val="-4"/>
                <w:sz w:val="14"/>
                <w:szCs w:val="14"/>
              </w:rPr>
              <w:t>F</w:t>
            </w:r>
            <w:r>
              <w:rPr>
                <w:rFonts w:ascii="Arial" w:hAnsi="Arial" w:cs="Arial"/>
                <w:spacing w:val="-4"/>
                <w:sz w:val="14"/>
                <w:szCs w:val="14"/>
              </w:rPr>
              <w:t>unds</w:t>
            </w:r>
          </w:p>
        </w:tc>
        <w:tc>
          <w:tcPr>
            <w:tcW w:w="446" w:type="pct"/>
            <w:tcBorders>
              <w:top w:val="nil"/>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7" w:type="pct"/>
            <w:gridSpan w:val="2"/>
            <w:tcBorders>
              <w:top w:val="nil"/>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nil"/>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nil"/>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nil"/>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nil"/>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nil"/>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9" w:type="pct"/>
            <w:tcBorders>
              <w:top w:val="nil"/>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nil"/>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nil"/>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nil"/>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tabs>
                <w:tab w:val="left" w:pos="200"/>
              </w:tabs>
              <w:spacing w:line="240" w:lineRule="auto"/>
              <w:ind w:left="218" w:hanging="218"/>
              <w:jc w:val="left"/>
              <w:rPr>
                <w:rFonts w:ascii="Arial" w:hAnsi="Arial" w:cs="Arial"/>
                <w:spacing w:val="-4"/>
                <w:sz w:val="14"/>
                <w:szCs w:val="14"/>
              </w:rPr>
            </w:pPr>
            <w:r>
              <w:rPr>
                <w:rFonts w:ascii="Arial" w:hAnsi="Arial" w:cs="Arial"/>
                <w:spacing w:val="-4"/>
                <w:sz w:val="14"/>
                <w:szCs w:val="14"/>
              </w:rPr>
              <w:t>E</w:t>
            </w:r>
            <w:r w:rsidR="00666A78">
              <w:rPr>
                <w:rFonts w:ascii="Arial" w:hAnsi="Arial" w:cs="Arial"/>
                <w:spacing w:val="-4"/>
                <w:sz w:val="14"/>
                <w:szCs w:val="14"/>
              </w:rPr>
              <w:t xml:space="preserve">. </w:t>
            </w:r>
            <w:r>
              <w:rPr>
                <w:rFonts w:ascii="Arial" w:hAnsi="Arial" w:cs="Arial"/>
                <w:spacing w:val="-4"/>
                <w:sz w:val="14"/>
                <w:szCs w:val="14"/>
              </w:rPr>
              <w:t xml:space="preserve">Plans for </w:t>
            </w:r>
            <w:r w:rsidR="001203E7">
              <w:rPr>
                <w:rFonts w:ascii="Arial" w:hAnsi="Arial" w:cs="Arial"/>
                <w:spacing w:val="-4"/>
                <w:sz w:val="14"/>
                <w:szCs w:val="14"/>
              </w:rPr>
              <w:t>S</w:t>
            </w:r>
            <w:r>
              <w:rPr>
                <w:rFonts w:ascii="Arial" w:hAnsi="Arial" w:cs="Arial"/>
                <w:spacing w:val="-4"/>
                <w:sz w:val="14"/>
                <w:szCs w:val="14"/>
              </w:rPr>
              <w:t>ustainability</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1"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p>
        </w:tc>
      </w:tr>
      <w:tr w:rsidR="00AB66F6" w:rsidRPr="004E7BD3" w:rsidTr="00AB66F6">
        <w:trPr>
          <w:trHeight w:val="144"/>
        </w:trPr>
        <w:tc>
          <w:tcPr>
            <w:tcW w:w="5000" w:type="pct"/>
            <w:gridSpan w:val="15"/>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rsidR="00AB66F6" w:rsidRDefault="00AB66F6" w:rsidP="004E7BD3">
            <w:pPr>
              <w:spacing w:before="40" w:after="20" w:line="240" w:lineRule="auto"/>
              <w:ind w:firstLine="0"/>
              <w:jc w:val="center"/>
              <w:rPr>
                <w:rFonts w:ascii="Arial" w:hAnsi="Arial" w:cs="Arial"/>
                <w:b/>
                <w:spacing w:val="-4"/>
                <w:sz w:val="14"/>
                <w:szCs w:val="14"/>
              </w:rPr>
            </w:pPr>
            <w:r>
              <w:rPr>
                <w:rFonts w:ascii="Arial" w:hAnsi="Arial" w:cs="Arial"/>
                <w:b/>
                <w:spacing w:val="-4"/>
                <w:sz w:val="14"/>
                <w:szCs w:val="14"/>
              </w:rPr>
              <w:t>V. Program Replicability and Lessons Learned</w:t>
            </w: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rsidP="00857EEE">
            <w:pPr>
              <w:pStyle w:val="ListParagraph"/>
              <w:numPr>
                <w:ilvl w:val="0"/>
                <w:numId w:val="24"/>
              </w:numPr>
              <w:spacing w:line="240" w:lineRule="auto"/>
              <w:ind w:left="252" w:hanging="270"/>
              <w:rPr>
                <w:rFonts w:ascii="Arial" w:hAnsi="Arial" w:cs="Arial"/>
                <w:spacing w:val="-4"/>
                <w:sz w:val="14"/>
                <w:szCs w:val="14"/>
              </w:rPr>
            </w:pPr>
            <w:r>
              <w:rPr>
                <w:rFonts w:ascii="Arial" w:hAnsi="Arial" w:cs="Arial"/>
                <w:spacing w:val="-4"/>
                <w:sz w:val="14"/>
                <w:szCs w:val="14"/>
              </w:rPr>
              <w:t xml:space="preserve">Best </w:t>
            </w:r>
            <w:r w:rsidR="001203E7">
              <w:rPr>
                <w:rFonts w:ascii="Arial" w:hAnsi="Arial" w:cs="Arial"/>
                <w:spacing w:val="-4"/>
                <w:sz w:val="14"/>
                <w:szCs w:val="14"/>
              </w:rPr>
              <w:t>P</w:t>
            </w:r>
            <w:r>
              <w:rPr>
                <w:rFonts w:ascii="Arial" w:hAnsi="Arial" w:cs="Arial"/>
                <w:spacing w:val="-4"/>
                <w:sz w:val="14"/>
                <w:szCs w:val="14"/>
              </w:rPr>
              <w:t>ractices</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A6A6A6" w:themeColor="background1" w:themeShade="A6"/>
              <w:right w:val="nil"/>
            </w:tcBorders>
            <w:hideMark/>
          </w:tcPr>
          <w:p w:rsidR="00857EEE" w:rsidRDefault="00AB66F6">
            <w:pPr>
              <w:pStyle w:val="ListParagraph"/>
              <w:numPr>
                <w:ilvl w:val="0"/>
                <w:numId w:val="24"/>
              </w:numPr>
              <w:spacing w:line="240" w:lineRule="auto"/>
              <w:ind w:left="252" w:hanging="270"/>
              <w:jc w:val="left"/>
              <w:rPr>
                <w:rFonts w:ascii="Arial" w:hAnsi="Arial" w:cs="Arial"/>
                <w:spacing w:val="-4"/>
                <w:sz w:val="14"/>
                <w:szCs w:val="14"/>
              </w:rPr>
            </w:pPr>
            <w:r>
              <w:rPr>
                <w:rFonts w:ascii="Arial" w:hAnsi="Arial" w:cs="Arial"/>
                <w:spacing w:val="-4"/>
                <w:sz w:val="14"/>
                <w:szCs w:val="14"/>
              </w:rPr>
              <w:t xml:space="preserve">Replicability of or </w:t>
            </w:r>
            <w:r w:rsidR="001203E7">
              <w:rPr>
                <w:rFonts w:ascii="Arial" w:hAnsi="Arial" w:cs="Arial"/>
                <w:spacing w:val="-4"/>
                <w:sz w:val="14"/>
                <w:szCs w:val="14"/>
              </w:rPr>
              <w:t>U</w:t>
            </w:r>
            <w:r>
              <w:rPr>
                <w:rFonts w:ascii="Arial" w:hAnsi="Arial" w:cs="Arial"/>
                <w:spacing w:val="-4"/>
                <w:sz w:val="14"/>
                <w:szCs w:val="14"/>
              </w:rPr>
              <w:t xml:space="preserve">niqueness of </w:t>
            </w:r>
            <w:r w:rsidR="001203E7">
              <w:rPr>
                <w:rFonts w:ascii="Arial" w:hAnsi="Arial" w:cs="Arial"/>
                <w:spacing w:val="-4"/>
                <w:sz w:val="14"/>
                <w:szCs w:val="14"/>
              </w:rPr>
              <w:t>B</w:t>
            </w:r>
            <w:r>
              <w:rPr>
                <w:rFonts w:ascii="Arial" w:hAnsi="Arial" w:cs="Arial"/>
                <w:spacing w:val="-4"/>
                <w:sz w:val="14"/>
                <w:szCs w:val="14"/>
              </w:rPr>
              <w:t xml:space="preserve">est </w:t>
            </w:r>
            <w:r w:rsidR="001203E7">
              <w:rPr>
                <w:rFonts w:ascii="Arial" w:hAnsi="Arial" w:cs="Arial"/>
                <w:spacing w:val="-4"/>
                <w:sz w:val="14"/>
                <w:szCs w:val="14"/>
              </w:rPr>
              <w:t>P</w:t>
            </w:r>
            <w:r>
              <w:rPr>
                <w:rFonts w:ascii="Arial" w:hAnsi="Arial" w:cs="Arial"/>
                <w:spacing w:val="-4"/>
                <w:sz w:val="14"/>
                <w:szCs w:val="14"/>
              </w:rPr>
              <w:t>ractices</w:t>
            </w:r>
          </w:p>
        </w:tc>
        <w:tc>
          <w:tcPr>
            <w:tcW w:w="446"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A6A6A6" w:themeColor="background1" w:themeShade="A6"/>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A6A6A6" w:themeColor="background1" w:themeShade="A6"/>
              <w:right w:val="nil"/>
            </w:tcBorders>
          </w:tcPr>
          <w:p w:rsidR="00AB66F6" w:rsidRDefault="00AB66F6">
            <w:pPr>
              <w:spacing w:line="240" w:lineRule="auto"/>
              <w:ind w:firstLine="0"/>
              <w:jc w:val="center"/>
              <w:rPr>
                <w:rFonts w:ascii="Arial" w:hAnsi="Arial" w:cs="Arial"/>
                <w:spacing w:val="-4"/>
                <w:sz w:val="14"/>
                <w:szCs w:val="14"/>
              </w:rPr>
            </w:pPr>
          </w:p>
        </w:tc>
      </w:tr>
      <w:tr w:rsidR="00AB66F6" w:rsidTr="00AB66F6">
        <w:trPr>
          <w:trHeight w:val="144"/>
        </w:trPr>
        <w:tc>
          <w:tcPr>
            <w:tcW w:w="989" w:type="pct"/>
            <w:tcBorders>
              <w:top w:val="single" w:sz="4" w:space="0" w:color="A6A6A6" w:themeColor="background1" w:themeShade="A6"/>
              <w:left w:val="nil"/>
              <w:bottom w:val="single" w:sz="4" w:space="0" w:color="345294"/>
              <w:right w:val="nil"/>
            </w:tcBorders>
            <w:hideMark/>
          </w:tcPr>
          <w:p w:rsidR="00857EEE" w:rsidRDefault="00AB66F6">
            <w:pPr>
              <w:spacing w:line="240" w:lineRule="auto"/>
              <w:ind w:firstLine="0"/>
              <w:jc w:val="left"/>
              <w:rPr>
                <w:rFonts w:ascii="Arial" w:hAnsi="Arial" w:cs="Arial"/>
                <w:spacing w:val="-4"/>
                <w:sz w:val="14"/>
                <w:szCs w:val="14"/>
              </w:rPr>
            </w:pPr>
            <w:r>
              <w:rPr>
                <w:rFonts w:ascii="Arial" w:hAnsi="Arial" w:cs="Arial"/>
                <w:spacing w:val="-4"/>
                <w:sz w:val="14"/>
                <w:szCs w:val="14"/>
              </w:rPr>
              <w:t>C</w:t>
            </w:r>
            <w:r w:rsidR="00666A78">
              <w:rPr>
                <w:rFonts w:ascii="Arial" w:hAnsi="Arial" w:cs="Arial"/>
                <w:spacing w:val="-4"/>
                <w:sz w:val="14"/>
                <w:szCs w:val="14"/>
              </w:rPr>
              <w:t xml:space="preserve">. </w:t>
            </w:r>
            <w:r>
              <w:rPr>
                <w:rFonts w:ascii="Arial" w:hAnsi="Arial" w:cs="Arial"/>
                <w:spacing w:val="-4"/>
                <w:sz w:val="14"/>
                <w:szCs w:val="14"/>
              </w:rPr>
              <w:t xml:space="preserve">Lessons </w:t>
            </w:r>
            <w:r w:rsidR="001203E7">
              <w:rPr>
                <w:rFonts w:ascii="Arial" w:hAnsi="Arial" w:cs="Arial"/>
                <w:spacing w:val="-4"/>
                <w:sz w:val="14"/>
                <w:szCs w:val="14"/>
              </w:rPr>
              <w:t>L</w:t>
            </w:r>
            <w:r>
              <w:rPr>
                <w:rFonts w:ascii="Arial" w:hAnsi="Arial" w:cs="Arial"/>
                <w:spacing w:val="-4"/>
                <w:sz w:val="14"/>
                <w:szCs w:val="14"/>
              </w:rPr>
              <w:t>earned</w:t>
            </w:r>
          </w:p>
        </w:tc>
        <w:tc>
          <w:tcPr>
            <w:tcW w:w="446" w:type="pct"/>
            <w:tcBorders>
              <w:top w:val="single" w:sz="4" w:space="0" w:color="A6A6A6" w:themeColor="background1" w:themeShade="A6"/>
              <w:left w:val="nil"/>
              <w:bottom w:val="single" w:sz="4" w:space="0" w:color="345294"/>
              <w:right w:val="nil"/>
            </w:tcBorders>
          </w:tcPr>
          <w:p w:rsidR="00AB66F6" w:rsidRDefault="00AB66F6">
            <w:pPr>
              <w:spacing w:line="240" w:lineRule="auto"/>
              <w:ind w:firstLine="0"/>
              <w:jc w:val="center"/>
              <w:rPr>
                <w:rFonts w:ascii="Arial" w:hAnsi="Arial" w:cs="Arial"/>
                <w:spacing w:val="-4"/>
                <w:sz w:val="14"/>
                <w:szCs w:val="14"/>
              </w:rPr>
            </w:pPr>
          </w:p>
        </w:tc>
        <w:tc>
          <w:tcPr>
            <w:tcW w:w="357" w:type="pct"/>
            <w:gridSpan w:val="2"/>
            <w:tcBorders>
              <w:top w:val="single" w:sz="4" w:space="0" w:color="A6A6A6" w:themeColor="background1" w:themeShade="A6"/>
              <w:left w:val="nil"/>
              <w:bottom w:val="single" w:sz="4" w:space="0" w:color="345294"/>
              <w:right w:val="nil"/>
            </w:tcBorders>
          </w:tcPr>
          <w:p w:rsidR="00AB66F6" w:rsidRDefault="00AB66F6">
            <w:pPr>
              <w:spacing w:line="240" w:lineRule="auto"/>
              <w:ind w:firstLine="0"/>
              <w:jc w:val="center"/>
              <w:rPr>
                <w:rFonts w:ascii="Arial" w:hAnsi="Arial" w:cs="Arial"/>
                <w:spacing w:val="-4"/>
                <w:sz w:val="14"/>
                <w:szCs w:val="14"/>
              </w:rPr>
            </w:pPr>
          </w:p>
        </w:tc>
        <w:tc>
          <w:tcPr>
            <w:tcW w:w="309" w:type="pct"/>
            <w:tcBorders>
              <w:top w:val="single" w:sz="4" w:space="0" w:color="A6A6A6" w:themeColor="background1" w:themeShade="A6"/>
              <w:left w:val="nil"/>
              <w:bottom w:val="single" w:sz="4" w:space="0" w:color="345294"/>
              <w:right w:val="nil"/>
            </w:tcBorders>
          </w:tcPr>
          <w:p w:rsidR="00AB66F6" w:rsidRDefault="00AB66F6">
            <w:pPr>
              <w:spacing w:line="240" w:lineRule="auto"/>
              <w:ind w:firstLine="0"/>
              <w:jc w:val="center"/>
              <w:rPr>
                <w:rFonts w:ascii="Arial" w:hAnsi="Arial" w:cs="Arial"/>
                <w:spacing w:val="-4"/>
                <w:sz w:val="14"/>
                <w:szCs w:val="14"/>
              </w:rPr>
            </w:pPr>
          </w:p>
        </w:tc>
        <w:tc>
          <w:tcPr>
            <w:tcW w:w="369" w:type="pct"/>
            <w:gridSpan w:val="2"/>
            <w:tcBorders>
              <w:top w:val="single" w:sz="4" w:space="0" w:color="A6A6A6" w:themeColor="background1" w:themeShade="A6"/>
              <w:left w:val="nil"/>
              <w:bottom w:val="single" w:sz="4" w:space="0" w:color="345294"/>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523" w:type="pct"/>
            <w:tcBorders>
              <w:top w:val="single" w:sz="4" w:space="0" w:color="A6A6A6" w:themeColor="background1" w:themeShade="A6"/>
              <w:left w:val="nil"/>
              <w:bottom w:val="single" w:sz="4" w:space="0" w:color="345294"/>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22" w:type="pct"/>
            <w:tcBorders>
              <w:top w:val="single" w:sz="4" w:space="0" w:color="A6A6A6" w:themeColor="background1" w:themeShade="A6"/>
              <w:left w:val="nil"/>
              <w:bottom w:val="single" w:sz="4" w:space="0" w:color="345294"/>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345294"/>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59" w:type="pct"/>
            <w:tcBorders>
              <w:top w:val="single" w:sz="4" w:space="0" w:color="A6A6A6" w:themeColor="background1" w:themeShade="A6"/>
              <w:left w:val="nil"/>
              <w:bottom w:val="single" w:sz="4" w:space="0" w:color="345294"/>
              <w:right w:val="nil"/>
            </w:tcBorders>
          </w:tcPr>
          <w:p w:rsidR="00AB66F6" w:rsidRDefault="00AB66F6">
            <w:pPr>
              <w:spacing w:line="240" w:lineRule="auto"/>
              <w:ind w:firstLine="0"/>
              <w:jc w:val="center"/>
              <w:rPr>
                <w:rFonts w:ascii="Arial" w:hAnsi="Arial" w:cs="Arial"/>
                <w:spacing w:val="-4"/>
                <w:sz w:val="14"/>
                <w:szCs w:val="14"/>
              </w:rPr>
            </w:pPr>
          </w:p>
        </w:tc>
        <w:tc>
          <w:tcPr>
            <w:tcW w:w="324" w:type="pct"/>
            <w:gridSpan w:val="2"/>
            <w:tcBorders>
              <w:top w:val="single" w:sz="4" w:space="0" w:color="A6A6A6" w:themeColor="background1" w:themeShade="A6"/>
              <w:left w:val="nil"/>
              <w:bottom w:val="single" w:sz="4" w:space="0" w:color="345294"/>
              <w:right w:val="nil"/>
            </w:tcBorders>
            <w:hideMark/>
          </w:tcPr>
          <w:p w:rsidR="00AB66F6" w:rsidRDefault="00AB66F6">
            <w:pPr>
              <w:spacing w:line="240" w:lineRule="auto"/>
              <w:ind w:firstLine="0"/>
              <w:jc w:val="center"/>
              <w:rPr>
                <w:rFonts w:ascii="Arial" w:hAnsi="Arial" w:cs="Arial"/>
                <w:spacing w:val="-4"/>
                <w:sz w:val="14"/>
                <w:szCs w:val="14"/>
              </w:rPr>
            </w:pPr>
            <w:r>
              <w:rPr>
                <w:rFonts w:ascii="Arial" w:hAnsi="Arial" w:cs="Arial"/>
                <w:spacing w:val="-4"/>
                <w:sz w:val="14"/>
                <w:szCs w:val="14"/>
              </w:rPr>
              <w:t>X</w:t>
            </w:r>
          </w:p>
        </w:tc>
        <w:tc>
          <w:tcPr>
            <w:tcW w:w="335" w:type="pct"/>
            <w:tcBorders>
              <w:top w:val="single" w:sz="4" w:space="0" w:color="A6A6A6" w:themeColor="background1" w:themeShade="A6"/>
              <w:left w:val="nil"/>
              <w:bottom w:val="single" w:sz="4" w:space="0" w:color="345294"/>
              <w:right w:val="nil"/>
            </w:tcBorders>
          </w:tcPr>
          <w:p w:rsidR="00AB66F6" w:rsidRDefault="00AB66F6">
            <w:pPr>
              <w:spacing w:line="240" w:lineRule="auto"/>
              <w:ind w:firstLine="0"/>
              <w:jc w:val="center"/>
              <w:rPr>
                <w:rFonts w:ascii="Arial" w:hAnsi="Arial" w:cs="Arial"/>
                <w:spacing w:val="-4"/>
                <w:sz w:val="14"/>
                <w:szCs w:val="14"/>
              </w:rPr>
            </w:pPr>
          </w:p>
        </w:tc>
        <w:tc>
          <w:tcPr>
            <w:tcW w:w="331" w:type="pct"/>
            <w:tcBorders>
              <w:top w:val="single" w:sz="4" w:space="0" w:color="A6A6A6" w:themeColor="background1" w:themeShade="A6"/>
              <w:left w:val="nil"/>
              <w:bottom w:val="single" w:sz="4" w:space="0" w:color="345294"/>
              <w:right w:val="nil"/>
            </w:tcBorders>
          </w:tcPr>
          <w:p w:rsidR="00AB66F6" w:rsidRDefault="00AB66F6">
            <w:pPr>
              <w:spacing w:line="240" w:lineRule="auto"/>
              <w:ind w:firstLine="0"/>
              <w:jc w:val="center"/>
              <w:rPr>
                <w:rFonts w:ascii="Arial" w:hAnsi="Arial" w:cs="Arial"/>
                <w:spacing w:val="-4"/>
                <w:sz w:val="14"/>
                <w:szCs w:val="14"/>
              </w:rPr>
            </w:pPr>
          </w:p>
        </w:tc>
      </w:tr>
    </w:tbl>
    <w:p w:rsidR="00857EEE" w:rsidRPr="004E7BD3" w:rsidRDefault="00857EEE" w:rsidP="00AF7D27">
      <w:pPr>
        <w:pStyle w:val="TableFootnoteCaption"/>
        <w:spacing w:before="120" w:after="360"/>
        <w:rPr>
          <w:rFonts w:ascii="Arial" w:hAnsi="Arial" w:cs="Arial"/>
          <w:b/>
          <w:i/>
          <w:sz w:val="14"/>
          <w:szCs w:val="14"/>
        </w:rPr>
      </w:pPr>
      <w:r w:rsidRPr="004E7BD3">
        <w:rPr>
          <w:rFonts w:ascii="Arial" w:hAnsi="Arial" w:cs="Arial"/>
          <w:sz w:val="14"/>
          <w:szCs w:val="14"/>
        </w:rPr>
        <w:t xml:space="preserve">ETA = U.S. Department of Labor, Employment and Training Administration; LWIB = Local Workforce Investment Board; </w:t>
      </w:r>
      <w:r w:rsidR="004C24B2" w:rsidRPr="004E7BD3">
        <w:rPr>
          <w:rFonts w:ascii="Arial" w:hAnsi="Arial" w:cs="Arial"/>
          <w:sz w:val="14"/>
          <w:szCs w:val="14"/>
        </w:rPr>
        <w:t>TA =</w:t>
      </w:r>
      <w:r w:rsidRPr="004E7BD3">
        <w:rPr>
          <w:rFonts w:ascii="Arial" w:hAnsi="Arial" w:cs="Arial"/>
          <w:sz w:val="14"/>
          <w:szCs w:val="14"/>
        </w:rPr>
        <w:t xml:space="preserve"> technical assistance.</w:t>
      </w:r>
    </w:p>
    <w:p w:rsidR="00AB66F6" w:rsidRDefault="00AB66F6" w:rsidP="00AB66F6">
      <w:pPr>
        <w:tabs>
          <w:tab w:val="left" w:pos="360"/>
        </w:tabs>
        <w:spacing w:after="240" w:line="240" w:lineRule="auto"/>
        <w:rPr>
          <w:bCs/>
        </w:rPr>
      </w:pPr>
      <w:r>
        <w:rPr>
          <w:bCs/>
        </w:rPr>
        <w:t xml:space="preserve">The second stage will draw on this narrative information as raw data to conduct a cross-site analysis. </w:t>
      </w:r>
      <w:r>
        <w:t xml:space="preserve">In conducting this cross-site analysis, one of the greatest challenges will be dealing with the volume and complexity of information. </w:t>
      </w:r>
      <w:r>
        <w:rPr>
          <w:bCs/>
        </w:rPr>
        <w:t>The e</w:t>
      </w:r>
      <w:r w:rsidR="00B53F7E">
        <w:rPr>
          <w:bCs/>
        </w:rPr>
        <w:t>valuation contractor will use ATLAS.ti</w:t>
      </w:r>
      <w:r>
        <w:rPr>
          <w:bCs/>
        </w:rPr>
        <w:t xml:space="preserve">, </w:t>
      </w:r>
      <w:r w:rsidR="004C24B2">
        <w:rPr>
          <w:bCs/>
        </w:rPr>
        <w:t>qualitative</w:t>
      </w:r>
      <w:r>
        <w:rPr>
          <w:bCs/>
        </w:rPr>
        <w:t xml:space="preserve"> data</w:t>
      </w:r>
      <w:r w:rsidR="00B03537">
        <w:rPr>
          <w:bCs/>
        </w:rPr>
        <w:t>-</w:t>
      </w:r>
      <w:r>
        <w:rPr>
          <w:bCs/>
        </w:rPr>
        <w:t xml:space="preserve">coding software, to help organize the information. </w:t>
      </w:r>
      <w:r w:rsidR="00B03537">
        <w:rPr>
          <w:bCs/>
        </w:rPr>
        <w:t>The contractor will prepare a</w:t>
      </w:r>
      <w:r>
        <w:rPr>
          <w:bCs/>
        </w:rPr>
        <w:t xml:space="preserve"> systematic coding scheme and senior staff </w:t>
      </w:r>
      <w:r w:rsidR="00B03537">
        <w:rPr>
          <w:bCs/>
        </w:rPr>
        <w:t xml:space="preserve">will refine it </w:t>
      </w:r>
      <w:r>
        <w:rPr>
          <w:bCs/>
        </w:rPr>
        <w:t>to code raw data by theme, site, and type of respondent</w:t>
      </w:r>
      <w:r w:rsidR="00B03537">
        <w:rPr>
          <w:bCs/>
        </w:rPr>
        <w:t>,</w:t>
      </w:r>
      <w:r>
        <w:rPr>
          <w:bCs/>
        </w:rPr>
        <w:t xml:space="preserve"> and </w:t>
      </w:r>
      <w:r w:rsidR="00B03537">
        <w:rPr>
          <w:bCs/>
        </w:rPr>
        <w:t xml:space="preserve">then </w:t>
      </w:r>
      <w:r>
        <w:rPr>
          <w:bCs/>
        </w:rPr>
        <w:t>appl</w:t>
      </w:r>
      <w:r w:rsidR="00B03537">
        <w:rPr>
          <w:bCs/>
        </w:rPr>
        <w:t>y</w:t>
      </w:r>
      <w:r>
        <w:rPr>
          <w:bCs/>
        </w:rPr>
        <w:t xml:space="preserve"> </w:t>
      </w:r>
      <w:r w:rsidR="00B03537">
        <w:rPr>
          <w:bCs/>
        </w:rPr>
        <w:t xml:space="preserve">the codes </w:t>
      </w:r>
      <w:r>
        <w:rPr>
          <w:bCs/>
        </w:rPr>
        <w:t xml:space="preserve">to these detailed notes. </w:t>
      </w:r>
      <w:r>
        <w:t xml:space="preserve">The coding will </w:t>
      </w:r>
      <w:r w:rsidR="00B03537">
        <w:t xml:space="preserve">enable </w:t>
      </w:r>
      <w:r>
        <w:t>the evaluation contractor to organize the notes by key topics to help facilitate a detailed analysis. For example,</w:t>
      </w:r>
      <w:r w:rsidR="00597ECA">
        <w:t xml:space="preserve"> </w:t>
      </w:r>
      <w:r w:rsidR="00B03537">
        <w:t>the software</w:t>
      </w:r>
      <w:r>
        <w:t xml:space="preserve"> can use queries to pull all information related to a single topic, such as sustainability efforts, and examine the data across all </w:t>
      </w:r>
      <w:r w:rsidR="00B53F7E">
        <w:t>clusters</w:t>
      </w:r>
      <w:r>
        <w:t>.</w:t>
      </w:r>
    </w:p>
    <w:p w:rsidR="00AB66F6" w:rsidRPr="004E7BD3" w:rsidRDefault="00AB66F6" w:rsidP="004E7BD3">
      <w:pPr>
        <w:pStyle w:val="NormalSS"/>
      </w:pPr>
      <w:r w:rsidRPr="004E7BD3">
        <w:t xml:space="preserve">To lay the groundwork for the second stage of analysis, the study team will adopt an iterative process of distilling themes from the qualitative data, drawing not only on respondents’ perspectives about their own best practices as captured in the interview data, but also the study team’s insights based on </w:t>
      </w:r>
      <w:r w:rsidR="00B03537" w:rsidRPr="004E7BD3">
        <w:t>i</w:t>
      </w:r>
      <w:r w:rsidRPr="004E7BD3">
        <w:t>t</w:t>
      </w:r>
      <w:r w:rsidR="00B03537" w:rsidRPr="004E7BD3">
        <w:t>s</w:t>
      </w:r>
      <w:r w:rsidRPr="004E7BD3">
        <w:t xml:space="preserve"> understanding of practices across multiple sites. </w:t>
      </w:r>
      <w:r w:rsidR="00B03537" w:rsidRPr="004E7BD3">
        <w:t xml:space="preserve">Following </w:t>
      </w:r>
      <w:r w:rsidRPr="004E7BD3">
        <w:t>each round of site visits, the team will meet as often as necessary to reach a consensus on the practices that seemed to warrant special attention, lessons learned</w:t>
      </w:r>
      <w:r w:rsidR="00B03537" w:rsidRPr="004E7BD3">
        <w:t>,</w:t>
      </w:r>
      <w:r w:rsidRPr="004E7BD3">
        <w:t xml:space="preserve"> and challenges overcome.</w:t>
      </w:r>
    </w:p>
    <w:p w:rsidR="00AB66F6" w:rsidRDefault="00AB66F6" w:rsidP="00B53F7E">
      <w:pPr>
        <w:tabs>
          <w:tab w:val="left" w:pos="360"/>
        </w:tabs>
        <w:spacing w:after="240" w:line="240" w:lineRule="auto"/>
      </w:pPr>
      <w:r>
        <w:rPr>
          <w:bCs/>
        </w:rPr>
        <w:t>Using the coded site visit data together with selected data drawn from document review</w:t>
      </w:r>
      <w:r w:rsidR="00071B93">
        <w:rPr>
          <w:bCs/>
        </w:rPr>
        <w:t>s</w:t>
      </w:r>
      <w:r>
        <w:rPr>
          <w:bCs/>
        </w:rPr>
        <w:t>, the analysis team will conduct a cross-site analysis to describe common elements and differences across sites in the development of regional clusters, grant-funded programs,</w:t>
      </w:r>
      <w:r w:rsidR="00B53F7E">
        <w:rPr>
          <w:bCs/>
        </w:rPr>
        <w:t xml:space="preserve"> </w:t>
      </w:r>
      <w:r>
        <w:rPr>
          <w:bCs/>
        </w:rPr>
        <w:t xml:space="preserve">and partnerships; conduct of JIAC/AM-JIAC </w:t>
      </w:r>
      <w:r w:rsidR="00B53F7E">
        <w:rPr>
          <w:bCs/>
        </w:rPr>
        <w:t>ETA-</w:t>
      </w:r>
      <w:r>
        <w:rPr>
          <w:bCs/>
        </w:rPr>
        <w:t>funded activities; their perceptions of the quality and adequacy of multiagency federal support; perceived progress toward outcomes and mechanisms for monitoring output and outcome metrics, steps taken toward program sustainability; and lessons learned</w:t>
      </w:r>
      <w:r w:rsidR="00666A78">
        <w:rPr>
          <w:bCs/>
        </w:rPr>
        <w:t xml:space="preserve">. </w:t>
      </w:r>
      <w:r>
        <w:t>The analysis will highlight common phenomena a</w:t>
      </w:r>
      <w:r w:rsidR="00B03537">
        <w:t>nd</w:t>
      </w:r>
      <w:r>
        <w:t xml:space="preserve"> unique or interesting cluster experiences. To the extent possible, </w:t>
      </w:r>
      <w:r w:rsidR="00B53F7E">
        <w:t>the evaluator</w:t>
      </w:r>
      <w:r>
        <w:t xml:space="preserve"> will document the number of clusters that reported types of experiences and the types of organizations and staff within those clusters that contributed their perspectives on the topic. </w:t>
      </w:r>
      <w:r w:rsidR="00B03537">
        <w:t>When</w:t>
      </w:r>
      <w:r>
        <w:t xml:space="preserve"> differences </w:t>
      </w:r>
      <w:r w:rsidR="00B03537">
        <w:t xml:space="preserve">emerge </w:t>
      </w:r>
      <w:r>
        <w:t xml:space="preserve">in the viewpoints of different respondents within a single cluster, </w:t>
      </w:r>
      <w:r w:rsidR="00FC2E2B">
        <w:t xml:space="preserve">researchers </w:t>
      </w:r>
      <w:r>
        <w:t>will triangulate the data across as many sources as possible to understand why perspectives might differ. This information will provide a rich understanding of grantee</w:t>
      </w:r>
      <w:r w:rsidR="00B03537">
        <w:t>s’</w:t>
      </w:r>
      <w:r>
        <w:t xml:space="preserve"> cluster experiences.</w:t>
      </w:r>
    </w:p>
    <w:p w:rsidR="00AB66F6" w:rsidRDefault="00AB66F6" w:rsidP="00AB66F6">
      <w:pPr>
        <w:pStyle w:val="NormalSS"/>
      </w:pPr>
      <w:r>
        <w:t xml:space="preserve">An important part of ensuring the accuracy of the conclusions derived through analysis of site visit data will be </w:t>
      </w:r>
      <w:r w:rsidR="00B03537">
        <w:t xml:space="preserve">to </w:t>
      </w:r>
      <w:r>
        <w:t>ensur</w:t>
      </w:r>
      <w:r w:rsidR="00B03537">
        <w:t>e</w:t>
      </w:r>
      <w:r>
        <w:t xml:space="preserve"> </w:t>
      </w:r>
      <w:r w:rsidR="00B03537">
        <w:t>reliable</w:t>
      </w:r>
      <w:r>
        <w:t xml:space="preserve"> data collect</w:t>
      </w:r>
      <w:r w:rsidR="00B03537">
        <w:t>ion</w:t>
      </w:r>
      <w:r>
        <w:t xml:space="preserve">. As described in Section B.3.d, strategies to ensure the </w:t>
      </w:r>
      <w:r w:rsidR="00B03537">
        <w:t xml:space="preserve">reliability and completeness of </w:t>
      </w:r>
      <w:r>
        <w:t>data include using a flexible approach to schedule visits and ensuring respondents that the information they provide will remain private. Furthermore, using structured, predetermined protocols to collect the data</w:t>
      </w:r>
      <w:r w:rsidR="00B03537">
        <w:t>;</w:t>
      </w:r>
      <w:r>
        <w:t xml:space="preserve"> thoroughly training the site visitors in the use of such protocols in the preparation of systematic summary narratives that cover </w:t>
      </w:r>
      <w:r>
        <w:rPr>
          <w:i/>
        </w:rPr>
        <w:t>all</w:t>
      </w:r>
      <w:r>
        <w:t xml:space="preserve"> key topics</w:t>
      </w:r>
      <w:r w:rsidR="00B03537">
        <w:t>;</w:t>
      </w:r>
      <w:r>
        <w:t xml:space="preserve"> and conducting ongoing review of summary narratives by senior staff during the data collection period will help achieve a high degree of accuracy in the data. Because most questions will be asked of more than one respondent during a visit, the analysis will allow for comparisons and triangulation of the data so that discrepancies among different respondents can be interpreted.</w:t>
      </w:r>
    </w:p>
    <w:p w:rsidR="00AB66F6" w:rsidRPr="00AB66F6" w:rsidRDefault="00AB66F6" w:rsidP="00AB66F6">
      <w:pPr>
        <w:pStyle w:val="NormalSS"/>
        <w:ind w:firstLine="0"/>
        <w:rPr>
          <w:b/>
        </w:rPr>
      </w:pPr>
      <w:r w:rsidRPr="00AB66F6">
        <w:rPr>
          <w:b/>
        </w:rPr>
        <w:t>b.</w:t>
      </w:r>
      <w:r w:rsidRPr="00AB66F6">
        <w:rPr>
          <w:b/>
        </w:rPr>
        <w:tab/>
        <w:t>Analysis of S</w:t>
      </w:r>
      <w:r>
        <w:rPr>
          <w:b/>
        </w:rPr>
        <w:t>urvey</w:t>
      </w:r>
      <w:r w:rsidRPr="00AB66F6">
        <w:rPr>
          <w:b/>
        </w:rPr>
        <w:t xml:space="preserve"> Data</w:t>
      </w:r>
    </w:p>
    <w:p w:rsidR="00AB66F6" w:rsidRDefault="00AB66F6" w:rsidP="00AB66F6">
      <w:pPr>
        <w:pStyle w:val="NormalSS"/>
      </w:pPr>
      <w:r w:rsidRPr="005B69B3">
        <w:t xml:space="preserve">The analysis of the survey data will </w:t>
      </w:r>
      <w:r>
        <w:t xml:space="preserve">include </w:t>
      </w:r>
      <w:r w:rsidRPr="005B69B3">
        <w:t>simple descriptive statistics</w:t>
      </w:r>
      <w:r>
        <w:t>, frequencies, distributions, and cross</w:t>
      </w:r>
      <w:r w:rsidR="00B03537">
        <w:t>-</w:t>
      </w:r>
      <w:r>
        <w:t xml:space="preserve">tabulations. </w:t>
      </w:r>
      <w:r w:rsidR="00E16CAA">
        <w:t xml:space="preserve">The evaluator </w:t>
      </w:r>
      <w:r>
        <w:t>will also explore the usefulness of conducting subgroup analyses based on</w:t>
      </w:r>
      <w:r w:rsidRPr="005B69B3">
        <w:t xml:space="preserve"> </w:t>
      </w:r>
      <w:r>
        <w:t xml:space="preserve">cluster </w:t>
      </w:r>
      <w:r w:rsidRPr="005B69B3">
        <w:t>characteristics</w:t>
      </w:r>
      <w:r w:rsidR="00B03537">
        <w:t>—</w:t>
      </w:r>
      <w:r w:rsidRPr="005B69B3">
        <w:t xml:space="preserve">such as type of </w:t>
      </w:r>
      <w:r>
        <w:t>sector, maturity</w:t>
      </w:r>
      <w:r w:rsidRPr="005B69B3">
        <w:t>, and amount of matching funding</w:t>
      </w:r>
      <w:r w:rsidR="00B03537">
        <w:t>—</w:t>
      </w:r>
      <w:r w:rsidRPr="005B69B3">
        <w:t>and by characteristics of the respondent</w:t>
      </w:r>
      <w:r>
        <w:t>s</w:t>
      </w:r>
      <w:r w:rsidR="00B03537">
        <w:t>,</w:t>
      </w:r>
      <w:r w:rsidRPr="005B69B3">
        <w:t xml:space="preserve"> such as </w:t>
      </w:r>
      <w:r>
        <w:t>cluster manager, ETA funding stream administrator,</w:t>
      </w:r>
      <w:r w:rsidRPr="005B69B3">
        <w:t xml:space="preserve"> or partner.</w:t>
      </w:r>
      <w:r w:rsidR="00B0710D">
        <w:t xml:space="preserve"> Key </w:t>
      </w:r>
      <w:r w:rsidR="0072495B">
        <w:t>variables f</w:t>
      </w:r>
      <w:r w:rsidR="00B0710D">
        <w:t>r</w:t>
      </w:r>
      <w:r w:rsidR="0072495B">
        <w:t>om</w:t>
      </w:r>
      <w:r w:rsidR="00B0710D">
        <w:t xml:space="preserve"> the </w:t>
      </w:r>
      <w:r w:rsidR="0072495B">
        <w:t>cluster manager and ETA funding stream administrator surveys</w:t>
      </w:r>
      <w:r w:rsidR="00B0710D">
        <w:t xml:space="preserve"> include</w:t>
      </w:r>
      <w:r w:rsidR="0072495B">
        <w:t xml:space="preserve"> those on the types of organizations in the cluster, </w:t>
      </w:r>
      <w:r w:rsidR="00C125A2">
        <w:t>existence</w:t>
      </w:r>
      <w:r w:rsidR="0072495B">
        <w:t xml:space="preserve"> of the cluster prior to the grant, growth in the strength of partnerships, likelihood of partnership sustainability, use of an </w:t>
      </w:r>
      <w:r w:rsidR="00651A87">
        <w:t>i</w:t>
      </w:r>
      <w:r w:rsidR="0072495B">
        <w:t xml:space="preserve">terative </w:t>
      </w:r>
      <w:r w:rsidR="00651A87">
        <w:t>w</w:t>
      </w:r>
      <w:r w:rsidR="0072495B">
        <w:t xml:space="preserve">ork </w:t>
      </w:r>
      <w:r w:rsidR="00651A87">
        <w:t>p</w:t>
      </w:r>
      <w:r w:rsidR="0072495B">
        <w:t>lan, strategies for including underrepresented populations, federal support, use of data, and perception of outc</w:t>
      </w:r>
      <w:r w:rsidR="00651A87">
        <w:t>omes. Key variables f</w:t>
      </w:r>
      <w:r w:rsidR="0072495B">
        <w:t>r</w:t>
      </w:r>
      <w:r w:rsidR="00651A87">
        <w:t>o</w:t>
      </w:r>
      <w:r w:rsidR="0072495B">
        <w:t>m the partner survey</w:t>
      </w:r>
      <w:r w:rsidR="00651A87">
        <w:t xml:space="preserve"> </w:t>
      </w:r>
      <w:r w:rsidR="0072495B">
        <w:t xml:space="preserve">include the type of organization, collaboration as a strategy, </w:t>
      </w:r>
      <w:r w:rsidR="00C125A2">
        <w:t>existence</w:t>
      </w:r>
      <w:r w:rsidR="0072495B">
        <w:t xml:space="preserve"> of the cluster prior to the grant, involvement in planning, grant activities</w:t>
      </w:r>
      <w:r w:rsidR="00651A87">
        <w:t xml:space="preserve"> undertaken</w:t>
      </w:r>
      <w:r w:rsidR="0072495B">
        <w:t xml:space="preserve">, use of data, and perception of outcomes. </w:t>
      </w:r>
      <w:r>
        <w:t xml:space="preserve">Given that a large proportion of the pool of partners will be represented, subgroup analyses by the type of respondent will </w:t>
      </w:r>
      <w:r w:rsidR="00E16CAA">
        <w:t xml:space="preserve">likely </w:t>
      </w:r>
      <w:r>
        <w:t>provide sufficient insights into whether highly involved respondents have different perspectives than less involved partners, and</w:t>
      </w:r>
      <w:r w:rsidR="004F6CCD">
        <w:t xml:space="preserve"> </w:t>
      </w:r>
      <w:r>
        <w:t xml:space="preserve">weighting responses by the activity level of the organization </w:t>
      </w:r>
      <w:r w:rsidR="00651A87">
        <w:t xml:space="preserve">will be </w:t>
      </w:r>
      <w:r>
        <w:t>unnecessary.</w:t>
      </w:r>
      <w:r w:rsidR="003A434E">
        <w:t xml:space="preserve"> </w:t>
      </w:r>
      <w:r w:rsidR="00B0710D">
        <w:t>Su</w:t>
      </w:r>
      <w:r w:rsidR="00324697">
        <w:t>rvey data analysis and any statistical tests will be conducted using STATA</w:t>
      </w:r>
      <w:r w:rsidR="00AB32B7">
        <w:t xml:space="preserve"> software</w:t>
      </w:r>
      <w:r w:rsidR="00324697">
        <w:t xml:space="preserve"> which contains survey procedures</w:t>
      </w:r>
      <w:r w:rsidR="00B0710D">
        <w:t xml:space="preserve"> </w:t>
      </w:r>
      <w:r w:rsidR="00324697">
        <w:t>commands that would correctly estimate variance.</w:t>
      </w:r>
      <w:r w:rsidR="0072495B">
        <w:t xml:space="preserve"> Because a treatment is not being tested</w:t>
      </w:r>
      <w:r w:rsidR="00363D69">
        <w:t xml:space="preserve"> and data analyses are purely descriptive</w:t>
      </w:r>
      <w:r w:rsidR="0072495B">
        <w:t>, mini</w:t>
      </w:r>
      <w:r w:rsidR="00AB32B7">
        <w:t>mal substantively significant effect sizes are not applicable.</w:t>
      </w:r>
    </w:p>
    <w:p w:rsidR="00AB66F6" w:rsidRDefault="00AB66F6" w:rsidP="00AB66F6">
      <w:pPr>
        <w:pStyle w:val="NormalSS"/>
      </w:pPr>
      <w:proofErr w:type="gramStart"/>
      <w:r w:rsidRPr="00152A38">
        <w:rPr>
          <w:b/>
        </w:rPr>
        <w:t>Missing data.</w:t>
      </w:r>
      <w:proofErr w:type="gramEnd"/>
      <w:r>
        <w:t xml:space="preserve"> Despite best efforts to encourage full response to the survey instrument, respondents will likely leave some missing or incomplete items. During</w:t>
      </w:r>
      <w:r w:rsidRPr="009901B1">
        <w:t xml:space="preserve"> data cleaning, </w:t>
      </w:r>
      <w:r w:rsidR="00E16CAA">
        <w:t>the evaluator</w:t>
      </w:r>
      <w:r w:rsidRPr="009901B1">
        <w:t xml:space="preserve"> will look for unusual patterns of item nonresponse</w:t>
      </w:r>
      <w:r>
        <w:t xml:space="preserve">. If item nonresponse is less than 10 percent, </w:t>
      </w:r>
      <w:r w:rsidR="00E16CAA">
        <w:t>the study report</w:t>
      </w:r>
      <w:r>
        <w:t xml:space="preserve"> will simply indicate the proportion missing. If it is greater than 10 percent, </w:t>
      </w:r>
      <w:r w:rsidR="00E16CAA">
        <w:t>the evaluation team</w:t>
      </w:r>
      <w:r>
        <w:t xml:space="preserve"> will examine the types of respondents that did not respond and determine whether the data item suffer</w:t>
      </w:r>
      <w:r w:rsidR="00B03537">
        <w:t>s</w:t>
      </w:r>
      <w:r>
        <w:t xml:space="preserve"> from nonresponse bias.</w:t>
      </w:r>
      <w:r w:rsidR="0016427A">
        <w:t xml:space="preserve"> </w:t>
      </w:r>
      <w:r>
        <w:t xml:space="preserve">Some items of less significance </w:t>
      </w:r>
      <w:r w:rsidR="00B03537">
        <w:t xml:space="preserve">could </w:t>
      </w:r>
      <w:r>
        <w:t xml:space="preserve">be dropped from the analysis. Others </w:t>
      </w:r>
      <w:r w:rsidR="00B03537">
        <w:t xml:space="preserve">could </w:t>
      </w:r>
      <w:r>
        <w:t xml:space="preserve">be presented in reports, but </w:t>
      </w:r>
      <w:r w:rsidR="00E16CAA">
        <w:t>the study report</w:t>
      </w:r>
      <w:r>
        <w:t xml:space="preserve"> will provide clear information on the nonresponse issue and describe any cautions that readers should take in interpreting the results.</w:t>
      </w:r>
      <w:r w:rsidR="0071638E">
        <w:t xml:space="preserve"> </w:t>
      </w:r>
      <w:r w:rsidR="00651A87">
        <w:t xml:space="preserve">Information on whether or not a respondent organization was receiving grant funds, the type of grant funds, the level of involvement of the organization in grant activities, and possibly the type of organization will be available in the nonresponse frame and could be used for nonresponse bias analysis. The desire to gather additional information while constructing the sample frame that could be used </w:t>
      </w:r>
      <w:r w:rsidR="00363D69">
        <w:t>for a</w:t>
      </w:r>
      <w:r w:rsidR="00651A87">
        <w:t xml:space="preserve"> nonresponse bias analysis must be tempered by the risk of the additional burden on respondents </w:t>
      </w:r>
      <w:r w:rsidR="00BB3E59">
        <w:t xml:space="preserve">that </w:t>
      </w:r>
      <w:r w:rsidR="004C24B2">
        <w:t>could lower</w:t>
      </w:r>
      <w:r w:rsidR="002E4BE2">
        <w:t xml:space="preserve"> response</w:t>
      </w:r>
      <w:r w:rsidR="00363D69">
        <w:t xml:space="preserve"> rates</w:t>
      </w:r>
      <w:r w:rsidR="00651A87">
        <w:t>.</w:t>
      </w:r>
    </w:p>
    <w:p w:rsidR="00AB66F6" w:rsidRDefault="00AB66F6" w:rsidP="00AB66F6">
      <w:pPr>
        <w:pStyle w:val="NormalSS"/>
        <w:rPr>
          <w:highlight w:val="green"/>
        </w:rPr>
      </w:pPr>
      <w:proofErr w:type="gramStart"/>
      <w:r w:rsidRPr="0029646C">
        <w:rPr>
          <w:b/>
        </w:rPr>
        <w:t xml:space="preserve">Reconciling </w:t>
      </w:r>
      <w:r>
        <w:rPr>
          <w:b/>
        </w:rPr>
        <w:t xml:space="preserve">contradictory </w:t>
      </w:r>
      <w:r w:rsidRPr="0029646C">
        <w:rPr>
          <w:b/>
        </w:rPr>
        <w:t>responses</w:t>
      </w:r>
      <w:r>
        <w:rPr>
          <w:b/>
        </w:rPr>
        <w:t>.</w:t>
      </w:r>
      <w:proofErr w:type="gramEnd"/>
      <w:r>
        <w:rPr>
          <w:b/>
        </w:rPr>
        <w:t xml:space="preserve"> </w:t>
      </w:r>
      <w:r w:rsidRPr="00560F2F">
        <w:t>A</w:t>
      </w:r>
      <w:r>
        <w:t xml:space="preserve">s with any survey of multiple respondents in a single site, </w:t>
      </w:r>
      <w:r w:rsidR="00E16CAA">
        <w:t>the evaluator</w:t>
      </w:r>
      <w:r>
        <w:t xml:space="preserve"> will </w:t>
      </w:r>
      <w:r w:rsidR="00B03537">
        <w:t xml:space="preserve">have </w:t>
      </w:r>
      <w:r>
        <w:t xml:space="preserve">to reconcile findings if different respondents within a cluster provide seemingly contradictory responses to some survey items. Few questions ask the same factual information from various respondents, </w:t>
      </w:r>
      <w:r w:rsidRPr="0029646C">
        <w:t xml:space="preserve">but it is possible that some contradictory responses </w:t>
      </w:r>
      <w:r w:rsidR="00F91251">
        <w:t>will</w:t>
      </w:r>
      <w:r w:rsidR="00F91251" w:rsidRPr="0029646C">
        <w:t xml:space="preserve"> </w:t>
      </w:r>
      <w:r w:rsidRPr="0029646C">
        <w:t>occur due to the varying involvement, experiences, and interactions that respondents had during the grant period.</w:t>
      </w:r>
      <w:r>
        <w:t xml:space="preserve"> </w:t>
      </w:r>
      <w:r w:rsidRPr="0029646C">
        <w:t>For example, technical</w:t>
      </w:r>
      <w:r>
        <w:t xml:space="preserve"> assistance m</w:t>
      </w:r>
      <w:r w:rsidR="00F91251">
        <w:t>ight</w:t>
      </w:r>
      <w:r>
        <w:t xml:space="preserve"> have different quality scores across different organizations or respondents who had divergent levels of experience and need for assistance. In cases of contradictory responses within a single cluster, </w:t>
      </w:r>
      <w:r w:rsidR="00E16CAA">
        <w:t>the evaluation team</w:t>
      </w:r>
      <w:r>
        <w:t xml:space="preserve"> will triangulate the data across as many sources as possible to understand why perspectives differ. If it appears that an error in completing the survey</w:t>
      </w:r>
      <w:r w:rsidR="00F91251">
        <w:t xml:space="preserve"> caused the issue</w:t>
      </w:r>
      <w:r>
        <w:t xml:space="preserve">, </w:t>
      </w:r>
      <w:r w:rsidR="00E16CAA">
        <w:t>the evaluator</w:t>
      </w:r>
      <w:r>
        <w:t xml:space="preserve"> m</w:t>
      </w:r>
      <w:r w:rsidR="00F91251">
        <w:t>ight</w:t>
      </w:r>
      <w:r>
        <w:t xml:space="preserve"> follow up with the respondent to resolve the issue and explore whether other responses </w:t>
      </w:r>
      <w:r w:rsidR="00F91251">
        <w:t>are</w:t>
      </w:r>
      <w:r>
        <w:t xml:space="preserve"> affected.</w:t>
      </w:r>
    </w:p>
    <w:p w:rsidR="00AB66F6" w:rsidRDefault="00AB66F6" w:rsidP="00AB66F6">
      <w:pPr>
        <w:pStyle w:val="Heading2Blue"/>
        <w:numPr>
          <w:ilvl w:val="0"/>
          <w:numId w:val="18"/>
        </w:numPr>
        <w:ind w:hanging="810"/>
      </w:pPr>
      <w:r>
        <w:t>Methods to Maximize Response Rates and Data Accuracy</w:t>
      </w:r>
    </w:p>
    <w:p w:rsidR="00AB66F6" w:rsidRPr="00A27F1B" w:rsidRDefault="00F11C7E" w:rsidP="00AB66F6">
      <w:pPr>
        <w:pStyle w:val="NormalSS"/>
      </w:pPr>
      <w:r>
        <w:t xml:space="preserve">Even though all JIAC and AM-JIAC clusters have agreed to participate in evaluation efforts as a condition of receiving the grant, the evaluator will still use several </w:t>
      </w:r>
      <w:r w:rsidR="00AB66F6" w:rsidRPr="00E30E83">
        <w:t>methods to maximize response and data reliability</w:t>
      </w:r>
      <w:r>
        <w:t xml:space="preserve">. </w:t>
      </w:r>
      <w:r w:rsidR="00B620DB">
        <w:t>This section discusses p</w:t>
      </w:r>
      <w:r>
        <w:t xml:space="preserve">lanned strategies </w:t>
      </w:r>
      <w:r w:rsidR="00AB66F6" w:rsidRPr="00E30E83">
        <w:t xml:space="preserve">for each data collection effort that is part of this request for </w:t>
      </w:r>
      <w:r w:rsidR="00E16CAA">
        <w:t>approval</w:t>
      </w:r>
      <w:r w:rsidR="00AB66F6" w:rsidRPr="00E30E83">
        <w:t>.</w:t>
      </w:r>
    </w:p>
    <w:p w:rsidR="00AB66F6" w:rsidRPr="00E30E83" w:rsidRDefault="00AB66F6" w:rsidP="00AB66F6">
      <w:pPr>
        <w:pStyle w:val="Heading3"/>
      </w:pPr>
      <w:bookmarkStart w:id="1" w:name="_Toc332978218"/>
      <w:r>
        <w:t>a</w:t>
      </w:r>
      <w:r w:rsidRPr="00E30E83">
        <w:t>.</w:t>
      </w:r>
      <w:r w:rsidRPr="00E30E83">
        <w:tab/>
        <w:t>Site Visit Data Collection</w:t>
      </w:r>
      <w:bookmarkEnd w:id="1"/>
    </w:p>
    <w:p w:rsidR="00AB66F6" w:rsidRPr="00E30E83" w:rsidRDefault="00AB66F6" w:rsidP="00AB66F6">
      <w:pPr>
        <w:pStyle w:val="NormalSS"/>
      </w:pPr>
      <w:r w:rsidRPr="00E30E83">
        <w:t>The plan to collect study data during site visits will ensure that response rates are high and that the data are reliable.</w:t>
      </w:r>
    </w:p>
    <w:p w:rsidR="00AB66F6" w:rsidRPr="00E30E83" w:rsidRDefault="00AB66F6" w:rsidP="00AB66F6">
      <w:pPr>
        <w:pStyle w:val="NormalSS"/>
      </w:pPr>
      <w:proofErr w:type="gramStart"/>
      <w:r w:rsidRPr="00E30E83">
        <w:rPr>
          <w:b/>
        </w:rPr>
        <w:t>Response rates.</w:t>
      </w:r>
      <w:proofErr w:type="gramEnd"/>
      <w:r>
        <w:rPr>
          <w:b/>
        </w:rPr>
        <w:t xml:space="preserve"> </w:t>
      </w:r>
      <w:r w:rsidRPr="00E30E83">
        <w:t xml:space="preserve">Site visitors will begin working with staff at </w:t>
      </w:r>
      <w:r>
        <w:t>grantee clusters</w:t>
      </w:r>
      <w:r w:rsidRPr="00E30E83">
        <w:t xml:space="preserve"> well </w:t>
      </w:r>
      <w:r w:rsidR="00F91251">
        <w:t>before</w:t>
      </w:r>
      <w:r w:rsidRPr="00E30E83">
        <w:t xml:space="preserve"> each visit to ensure that the timing of the visit is convenient.</w:t>
      </w:r>
      <w:r>
        <w:t xml:space="preserve"> </w:t>
      </w:r>
      <w:r w:rsidRPr="00E30E83">
        <w:t>The site visits will take place over a period of several months, which also will provide flexibility in timing.</w:t>
      </w:r>
      <w:r>
        <w:t xml:space="preserve"> </w:t>
      </w:r>
      <w:r w:rsidRPr="00E30E83">
        <w:t>Because the visits will involve several interviews and activities each day, there will be flexibility in the scheduling of specific interviews and activities to accommodate the particular needs of respondents.</w:t>
      </w:r>
      <w:r>
        <w:t xml:space="preserve"> </w:t>
      </w:r>
      <w:r w:rsidRPr="00E30E83">
        <w:t xml:space="preserve">Should scheduling conflicts prevent a meeting with all respondents while </w:t>
      </w:r>
      <w:r w:rsidR="00F91251">
        <w:t xml:space="preserve">visitors are </w:t>
      </w:r>
      <w:r w:rsidRPr="00E30E83">
        <w:t xml:space="preserve">on site, </w:t>
      </w:r>
      <w:r w:rsidR="00F91251">
        <w:t xml:space="preserve">the contractor will conduct </w:t>
      </w:r>
      <w:r w:rsidRPr="00E30E83">
        <w:t>follow-up telephone calls accordingly.</w:t>
      </w:r>
      <w:r w:rsidR="00651A87">
        <w:t xml:space="preserve"> Because of this flexibility in scheduling</w:t>
      </w:r>
      <w:r w:rsidR="00AF1D96">
        <w:t>, the ability to follow-up by telephone, and</w:t>
      </w:r>
      <w:r w:rsidR="00651A87">
        <w:t xml:space="preserve"> several staff members a</w:t>
      </w:r>
      <w:r w:rsidR="00AF1D96">
        <w:t>t</w:t>
      </w:r>
      <w:r w:rsidR="00651A87">
        <w:t xml:space="preserve"> sites likely qualifying as potential respondents</w:t>
      </w:r>
      <w:r w:rsidR="004F6CCD">
        <w:t>,</w:t>
      </w:r>
      <w:r w:rsidR="00651A87">
        <w:t xml:space="preserve"> a response rate of over 90 percent to site visit</w:t>
      </w:r>
      <w:r w:rsidR="00A46A80">
        <w:t xml:space="preserve"> </w:t>
      </w:r>
      <w:r w:rsidR="00651A87">
        <w:t>interviews is expected.</w:t>
      </w:r>
    </w:p>
    <w:p w:rsidR="00AB66F6" w:rsidRPr="00E30E83" w:rsidRDefault="00AB66F6" w:rsidP="00AB66F6">
      <w:pPr>
        <w:pStyle w:val="NormalSS"/>
        <w:rPr>
          <w:b/>
        </w:rPr>
      </w:pPr>
      <w:proofErr w:type="gramStart"/>
      <w:r w:rsidRPr="00E30E83">
        <w:rPr>
          <w:b/>
        </w:rPr>
        <w:t>Data reliability.</w:t>
      </w:r>
      <w:proofErr w:type="gramEnd"/>
      <w:r w:rsidR="00857EEE" w:rsidRPr="00857EEE">
        <w:t xml:space="preserve"> The</w:t>
      </w:r>
      <w:r w:rsidR="00F91251">
        <w:rPr>
          <w:b/>
        </w:rPr>
        <w:t xml:space="preserve"> </w:t>
      </w:r>
      <w:r w:rsidR="00F91251">
        <w:t>evaluation team will use f</w:t>
      </w:r>
      <w:r w:rsidR="0053475B" w:rsidRPr="0053475B">
        <w:t>our</w:t>
      </w:r>
      <w:r w:rsidR="00857EEE" w:rsidRPr="00857EEE">
        <w:t xml:space="preserve"> </w:t>
      </w:r>
      <w:r w:rsidRPr="00E30E83">
        <w:t>well-proven strategies to ensure the reliability of the data.</w:t>
      </w:r>
      <w:r>
        <w:t xml:space="preserve"> </w:t>
      </w:r>
      <w:r w:rsidRPr="00E30E83">
        <w:t>First, two experienced site visitors will conduct a pilot site visit.</w:t>
      </w:r>
      <w:r>
        <w:t xml:space="preserve"> </w:t>
      </w:r>
      <w:r w:rsidRPr="00E30E83">
        <w:t>During this visit, the site visitors will assess the flow and pacing of the discussion guided by the questions in the site visit protocol to ensure that it is feasible during a visit to collect comprehensive information that is in accord with the study’s goals.</w:t>
      </w:r>
      <w:r>
        <w:t xml:space="preserve"> </w:t>
      </w:r>
      <w:r w:rsidRPr="00E30E83">
        <w:t xml:space="preserve">As needed, </w:t>
      </w:r>
      <w:r w:rsidR="00F91251">
        <w:t xml:space="preserve">the evaluation team will </w:t>
      </w:r>
      <w:r w:rsidRPr="00E30E83">
        <w:t>revis</w:t>
      </w:r>
      <w:r w:rsidR="00B620DB">
        <w:t>e</w:t>
      </w:r>
      <w:r w:rsidRPr="00E30E83">
        <w:t xml:space="preserve"> the protocol to facilitate the data collection effort.</w:t>
      </w:r>
      <w:r>
        <w:t xml:space="preserve"> </w:t>
      </w:r>
      <w:r w:rsidRPr="00E30E83">
        <w:t>Second, all site visitors, most of whom already have extensive experience with this data collection method, will be thoroughly trained in the issues of importance to this particular study.</w:t>
      </w:r>
      <w:r>
        <w:t xml:space="preserve"> </w:t>
      </w:r>
      <w:r w:rsidRPr="00E30E83">
        <w:t xml:space="preserve">This training will include techniques to probe for additional details to help interpret responses to interview questions and to </w:t>
      </w:r>
      <w:r w:rsidR="00F91251">
        <w:rPr>
          <w:color w:val="000000" w:themeColor="text1"/>
        </w:rPr>
        <w:t>as</w:t>
      </w:r>
      <w:r w:rsidRPr="00E30E83">
        <w:rPr>
          <w:color w:val="000000" w:themeColor="text1"/>
        </w:rPr>
        <w:t xml:space="preserve">sure all interview respondents of the </w:t>
      </w:r>
      <w:r>
        <w:rPr>
          <w:color w:val="000000" w:themeColor="text1"/>
        </w:rPr>
        <w:t>privacy</w:t>
      </w:r>
      <w:r w:rsidRPr="00E30E83">
        <w:rPr>
          <w:color w:val="000000" w:themeColor="text1"/>
        </w:rPr>
        <w:t xml:space="preserve"> of their responses to questions.</w:t>
      </w:r>
      <w:r>
        <w:rPr>
          <w:color w:val="000000" w:themeColor="text1"/>
        </w:rPr>
        <w:t xml:space="preserve"> </w:t>
      </w:r>
      <w:r w:rsidRPr="00E30E83">
        <w:rPr>
          <w:color w:val="000000" w:themeColor="text1"/>
        </w:rPr>
        <w:t>Third, site visitors will be trained in systematic documentation of data gathered on all key topics through the use of a standardized template.</w:t>
      </w:r>
      <w:r>
        <w:rPr>
          <w:color w:val="000000" w:themeColor="text1"/>
        </w:rPr>
        <w:t xml:space="preserve"> </w:t>
      </w:r>
      <w:r w:rsidRPr="00C8199D">
        <w:t xml:space="preserve">These </w:t>
      </w:r>
      <w:r>
        <w:t>note</w:t>
      </w:r>
      <w:r w:rsidRPr="00C8199D">
        <w:t xml:space="preserve">s </w:t>
      </w:r>
      <w:r>
        <w:t xml:space="preserve">will </w:t>
      </w:r>
      <w:r w:rsidRPr="00C8199D">
        <w:t>generally follow the topics in the protocols and integrate the perspectives of multiple respondents to describe the site’s overall program implementation experiences accurately and comprehensively.</w:t>
      </w:r>
      <w:r w:rsidRPr="00F36AB1">
        <w:t xml:space="preserve"> </w:t>
      </w:r>
      <w:r w:rsidRPr="00E30E83">
        <w:rPr>
          <w:color w:val="000000" w:themeColor="text1"/>
        </w:rPr>
        <w:t xml:space="preserve">Finally, </w:t>
      </w:r>
      <w:r>
        <w:t>to minimize subjectivity and ensure consistency across sites, both members of site visit teams will review all site visit notes and coordinate to resolve inconsistencies or missing information.</w:t>
      </w:r>
    </w:p>
    <w:p w:rsidR="00AB66F6" w:rsidRPr="001C0FB6" w:rsidRDefault="00AB66F6" w:rsidP="00AB66F6">
      <w:pPr>
        <w:pStyle w:val="Heading3NoTOC"/>
      </w:pPr>
      <w:r>
        <w:t>b.</w:t>
      </w:r>
      <w:r>
        <w:tab/>
        <w:t>Survey</w:t>
      </w:r>
    </w:p>
    <w:p w:rsidR="00AB66F6" w:rsidRPr="003462FF" w:rsidRDefault="00AB66F6" w:rsidP="00AB66F6">
      <w:pPr>
        <w:pStyle w:val="NormalSS"/>
      </w:pPr>
      <w:r>
        <w:t xml:space="preserve">The </w:t>
      </w:r>
      <w:r w:rsidR="00E16CAA">
        <w:t>evaluator</w:t>
      </w:r>
      <w:r>
        <w:t xml:space="preserve"> will use well-established methods to maximize response rates and data reliability for the survey. The strategy for maximizing </w:t>
      </w:r>
      <w:r w:rsidR="00F91251">
        <w:t xml:space="preserve">survey </w:t>
      </w:r>
      <w:r>
        <w:t>response begins with the survey development and carries through the entire survey process</w:t>
      </w:r>
      <w:r w:rsidR="00666A78">
        <w:t xml:space="preserve">. </w:t>
      </w:r>
      <w:r>
        <w:t>The methods employed mitigate all types of individual nonresponse, from failure to locate the sample member to a refusal to participate in the survey</w:t>
      </w:r>
      <w:r w:rsidR="00666A78">
        <w:t>.</w:t>
      </w:r>
      <w:r w:rsidR="003462FF">
        <w:t xml:space="preserve"> An overall survey response rate of at least 80 percent is expected. In the evaluation of the AT&amp;T Foundation’s </w:t>
      </w:r>
      <w:r w:rsidR="003462FF">
        <w:rPr>
          <w:i/>
        </w:rPr>
        <w:t>Aspire Program</w:t>
      </w:r>
      <w:r w:rsidR="003462FF">
        <w:t xml:space="preserve">, a web-only survey of 172 grantees – school districts, foundations, and non-profit organizations – a 97 percent response rate was achieved during a one-month field period. In an evaluation of </w:t>
      </w:r>
      <w:r w:rsidR="003462FF">
        <w:rPr>
          <w:i/>
        </w:rPr>
        <w:t>Early Head Start</w:t>
      </w:r>
      <w:r w:rsidR="003462FF">
        <w:t>, an 89-percent response rate was achieved</w:t>
      </w:r>
      <w:r w:rsidR="00AF1D96">
        <w:t xml:space="preserve"> from </w:t>
      </w:r>
      <w:r w:rsidR="004C24B2">
        <w:t xml:space="preserve">all 748 Early Head start programs in existence at the time, </w:t>
      </w:r>
      <w:r w:rsidR="003462FF">
        <w:t xml:space="preserve">using web surveys with telephone and mail follow-up over a five month period. </w:t>
      </w:r>
      <w:r w:rsidR="009A31D5">
        <w:t>The National Study of Substance Abuse Treatment Services web survey</w:t>
      </w:r>
      <w:r w:rsidR="004C24B2">
        <w:t>,</w:t>
      </w:r>
      <w:r w:rsidR="00AF1D96">
        <w:t xml:space="preserve"> administered to </w:t>
      </w:r>
      <w:r w:rsidR="004C24B2">
        <w:t xml:space="preserve">about 17,000 substance abuse treatment facilities throughout the </w:t>
      </w:r>
      <w:r w:rsidR="00446FAC">
        <w:t xml:space="preserve">United States </w:t>
      </w:r>
      <w:r w:rsidR="004C24B2">
        <w:t>and its territories,</w:t>
      </w:r>
      <w:r w:rsidR="009A31D5">
        <w:t xml:space="preserve"> achieved a 95 percent response rate. </w:t>
      </w:r>
      <w:r w:rsidR="00776972">
        <w:t>Unfunded partners may be somewhat less likely to respond to the survey than are grantees. Because both of these types of respondents will be included in the JIAC/AM-JIAC survey, the response rate to this survey may be slightly lower than those achieved in these past experiences. As</w:t>
      </w:r>
      <w:r w:rsidR="009A31D5">
        <w:t xml:space="preserve"> the response rate is expected to be over 80 percent, and item nonresponse is not expected to be below 70 percent, </w:t>
      </w:r>
      <w:r w:rsidR="0016427A">
        <w:t>plans for nonresponse bias analysis are not required.</w:t>
      </w:r>
    </w:p>
    <w:p w:rsidR="00AB66F6" w:rsidRPr="00E86C26" w:rsidRDefault="00AB66F6" w:rsidP="00AB66F6">
      <w:pPr>
        <w:pStyle w:val="NormalSS"/>
      </w:pPr>
      <w:proofErr w:type="gramStart"/>
      <w:r w:rsidRPr="00E86C26">
        <w:rPr>
          <w:b/>
        </w:rPr>
        <w:t>Survey language and length.</w:t>
      </w:r>
      <w:proofErr w:type="gramEnd"/>
      <w:r>
        <w:rPr>
          <w:b/>
        </w:rPr>
        <w:t xml:space="preserve"> </w:t>
      </w:r>
      <w:r w:rsidRPr="00516193">
        <w:t xml:space="preserve">The questionnaire </w:t>
      </w:r>
      <w:r>
        <w:t>is</w:t>
      </w:r>
      <w:r w:rsidRPr="00516193">
        <w:t xml:space="preserve"> designed to be easy to complete</w:t>
      </w:r>
      <w:r w:rsidR="00666A78">
        <w:t xml:space="preserve">. </w:t>
      </w:r>
      <w:r w:rsidRPr="00516193">
        <w:t xml:space="preserve">The questions </w:t>
      </w:r>
      <w:r w:rsidR="00F91251">
        <w:t>us</w:t>
      </w:r>
      <w:r w:rsidRPr="00516193">
        <w:t>e clear and straightforward language</w:t>
      </w:r>
      <w:r>
        <w:t xml:space="preserve"> and skips ensure </w:t>
      </w:r>
      <w:r w:rsidR="00F91251">
        <w:t xml:space="preserve">that </w:t>
      </w:r>
      <w:r>
        <w:t>respondents a</w:t>
      </w:r>
      <w:r w:rsidR="00F91251">
        <w:t>nswe</w:t>
      </w:r>
      <w:r>
        <w:t>r only items that appl</w:t>
      </w:r>
      <w:r w:rsidR="00F91251">
        <w:t>y</w:t>
      </w:r>
      <w:r>
        <w:t xml:space="preserve"> to them</w:t>
      </w:r>
      <w:r w:rsidR="00666A78">
        <w:t xml:space="preserve">. </w:t>
      </w:r>
      <w:r w:rsidRPr="00516193">
        <w:t xml:space="preserve">The </w:t>
      </w:r>
      <w:r w:rsidR="00B620DB" w:rsidRPr="00E86C26">
        <w:t>estimated</w:t>
      </w:r>
      <w:r w:rsidR="00B620DB">
        <w:t xml:space="preserve"> </w:t>
      </w:r>
      <w:r>
        <w:t xml:space="preserve">average </w:t>
      </w:r>
      <w:r w:rsidRPr="00516193">
        <w:t xml:space="preserve">time required for </w:t>
      </w:r>
      <w:r>
        <w:t>completion</w:t>
      </w:r>
      <w:r w:rsidRPr="00E86C26">
        <w:t xml:space="preserve"> is </w:t>
      </w:r>
      <w:r w:rsidR="00446FAC">
        <w:t>23</w:t>
      </w:r>
      <w:r w:rsidR="00446FAC" w:rsidRPr="00E86C26">
        <w:t xml:space="preserve"> </w:t>
      </w:r>
      <w:r w:rsidRPr="00E86C26">
        <w:t>minutes</w:t>
      </w:r>
      <w:r>
        <w:t>.</w:t>
      </w:r>
    </w:p>
    <w:p w:rsidR="00AB66F6" w:rsidRDefault="00AB66F6" w:rsidP="00AB66F6">
      <w:pPr>
        <w:pStyle w:val="NormalSS"/>
      </w:pPr>
      <w:proofErr w:type="gramStart"/>
      <w:r w:rsidRPr="00751263">
        <w:rPr>
          <w:b/>
        </w:rPr>
        <w:t>Locating sample members.</w:t>
      </w:r>
      <w:proofErr w:type="gramEnd"/>
      <w:r w:rsidRPr="00751263">
        <w:rPr>
          <w:b/>
        </w:rPr>
        <w:t xml:space="preserve"> </w:t>
      </w:r>
      <w:r>
        <w:t xml:space="preserve">An essential step in a successful survey effort is the ability to locate as much of the survey sample as possible. </w:t>
      </w:r>
      <w:r w:rsidR="00597ECA">
        <w:t>The evaluation team will initially identify survey respondents using g</w:t>
      </w:r>
      <w:r>
        <w:t xml:space="preserve">rant proposals, project plans, performance reports, interviews with federal staff, and other materials. Shortly after the receipt of OMB clearance, the </w:t>
      </w:r>
      <w:r w:rsidR="00597ECA">
        <w:t>team</w:t>
      </w:r>
      <w:r w:rsidR="00F91251">
        <w:t xml:space="preserve"> will ask the </w:t>
      </w:r>
      <w:r w:rsidR="00E66C78">
        <w:t>ETA funding stream administrator in</w:t>
      </w:r>
      <w:r>
        <w:t xml:space="preserve"> each cluster to provide additional and updated information on the partners in the cluster, including contact information </w:t>
      </w:r>
      <w:r w:rsidR="00A25FCA">
        <w:t xml:space="preserve">for </w:t>
      </w:r>
      <w:r>
        <w:t xml:space="preserve">potential survey respondents. </w:t>
      </w:r>
      <w:r w:rsidR="00E66C78">
        <w:t>This individual</w:t>
      </w:r>
      <w:r w:rsidR="00A25FCA">
        <w:t xml:space="preserve"> will be instructed to contact other grantees as necessary to obtain information on the partners of those grantees, and to assimilate all information into a single partner contact information sheet. </w:t>
      </w:r>
      <w:r>
        <w:t xml:space="preserve">The sample will be selected and the survey fielded soon after collecting this information, minimizing the possibility of it becoming out of date. If </w:t>
      </w:r>
      <w:r w:rsidR="004B7A7F">
        <w:t xml:space="preserve">the evaluation team encounters </w:t>
      </w:r>
      <w:r>
        <w:t xml:space="preserve">difficulty contacting a sampled respondent, </w:t>
      </w:r>
      <w:r w:rsidR="00F91251">
        <w:t>i</w:t>
      </w:r>
      <w:r w:rsidR="004B7A7F">
        <w:t xml:space="preserve">t will </w:t>
      </w:r>
      <w:r>
        <w:t>follow</w:t>
      </w:r>
      <w:r w:rsidR="00F91251">
        <w:t xml:space="preserve"> </w:t>
      </w:r>
      <w:r>
        <w:t xml:space="preserve">up </w:t>
      </w:r>
      <w:r w:rsidR="004B7A7F">
        <w:t>by holding</w:t>
      </w:r>
      <w:r>
        <w:t xml:space="preserve"> discussions with the </w:t>
      </w:r>
      <w:r w:rsidR="005D14D5">
        <w:t>cluster manager</w:t>
      </w:r>
      <w:r>
        <w:t xml:space="preserve"> and/or grantees, </w:t>
      </w:r>
      <w:r w:rsidR="004B7A7F">
        <w:t xml:space="preserve">asking </w:t>
      </w:r>
      <w:r>
        <w:t xml:space="preserve">the </w:t>
      </w:r>
      <w:r w:rsidR="005D14D5">
        <w:t xml:space="preserve">cluster manager </w:t>
      </w:r>
      <w:r>
        <w:t xml:space="preserve">and/or grantees </w:t>
      </w:r>
      <w:r w:rsidR="004B7A7F">
        <w:t xml:space="preserve">to </w:t>
      </w:r>
      <w:r>
        <w:t xml:space="preserve">contact cluster members, and/or </w:t>
      </w:r>
      <w:r w:rsidR="004B7A7F">
        <w:t xml:space="preserve">using </w:t>
      </w:r>
      <w:r>
        <w:t>Internet and other searches. I</w:t>
      </w:r>
      <w:r w:rsidR="002165EB">
        <w:t>f</w:t>
      </w:r>
      <w:r>
        <w:t xml:space="preserve"> contact information for a partner organization cannot be located or is known to be incorrect and corrected information cannot be found (for example, if the </w:t>
      </w:r>
      <w:r w:rsidR="002165EB">
        <w:t>tele</w:t>
      </w:r>
      <w:r>
        <w:t xml:space="preserve">phone number is no longer in service and/or the website has been taken down), </w:t>
      </w:r>
      <w:r w:rsidR="00FC2E2B">
        <w:t xml:space="preserve">the evaluation team </w:t>
      </w:r>
      <w:r>
        <w:t>will assume the partner is no longer operating and exclude it.</w:t>
      </w:r>
    </w:p>
    <w:p w:rsidR="00AB66F6" w:rsidRPr="007D4F9F" w:rsidRDefault="00AB66F6" w:rsidP="00AB66F6">
      <w:pPr>
        <w:pStyle w:val="NormalSS"/>
      </w:pPr>
      <w:proofErr w:type="gramStart"/>
      <w:r w:rsidRPr="00F701EF">
        <w:rPr>
          <w:b/>
        </w:rPr>
        <w:t>Initial contact with sample members</w:t>
      </w:r>
      <w:r w:rsidR="00666A78">
        <w:rPr>
          <w:b/>
        </w:rPr>
        <w:t>.</w:t>
      </w:r>
      <w:proofErr w:type="gramEnd"/>
      <w:r w:rsidR="00666A78">
        <w:rPr>
          <w:b/>
        </w:rPr>
        <w:t xml:space="preserve"> </w:t>
      </w:r>
      <w:r w:rsidR="002165EB">
        <w:t xml:space="preserve">Although </w:t>
      </w:r>
      <w:r>
        <w:t xml:space="preserve">grantees agreed to participate in the evaluation as a condition of grant receipt, </w:t>
      </w:r>
      <w:r w:rsidR="00F11C7E">
        <w:t>the evaluator</w:t>
      </w:r>
      <w:r>
        <w:t xml:space="preserve"> will send all</w:t>
      </w:r>
      <w:r w:rsidRPr="007D4F9F">
        <w:t xml:space="preserve"> grantees and partners</w:t>
      </w:r>
      <w:r w:rsidR="00A25FCA">
        <w:t xml:space="preserve"> an email that provides </w:t>
      </w:r>
      <w:r w:rsidR="00A25FCA" w:rsidRPr="007D4F9F">
        <w:t xml:space="preserve">details on the goals and </w:t>
      </w:r>
      <w:r w:rsidR="00A25FCA">
        <w:t>components</w:t>
      </w:r>
      <w:r w:rsidR="00A25FCA" w:rsidRPr="007D4F9F">
        <w:t xml:space="preserve"> of the evaluation and their role in it.</w:t>
      </w:r>
      <w:r w:rsidR="00A25FCA">
        <w:t xml:space="preserve"> An attached  </w:t>
      </w:r>
      <w:r w:rsidRPr="007D4F9F">
        <w:t xml:space="preserve"> letter </w:t>
      </w:r>
      <w:r>
        <w:t>on ETA letterhead</w:t>
      </w:r>
      <w:r w:rsidR="00A25FCA">
        <w:t xml:space="preserve"> will also </w:t>
      </w:r>
      <w:r w:rsidR="00A25FCA" w:rsidRPr="007D4F9F">
        <w:t>introduc</w:t>
      </w:r>
      <w:r w:rsidR="00A25FCA">
        <w:t>e</w:t>
      </w:r>
      <w:r w:rsidR="00A25FCA" w:rsidRPr="007D4F9F">
        <w:t xml:space="preserve"> </w:t>
      </w:r>
      <w:r w:rsidRPr="007D4F9F">
        <w:t xml:space="preserve">the evaluation and expectations for participation. All </w:t>
      </w:r>
      <w:r>
        <w:t>cluster managers, funding stream administrators,</w:t>
      </w:r>
      <w:r w:rsidRPr="007D4F9F">
        <w:t xml:space="preserve"> and partners </w:t>
      </w:r>
      <w:r>
        <w:t xml:space="preserve">selected for the survey </w:t>
      </w:r>
      <w:r w:rsidRPr="007D4F9F">
        <w:t xml:space="preserve">will be informed of the survey and </w:t>
      </w:r>
      <w:r w:rsidR="002165EB">
        <w:t>receive</w:t>
      </w:r>
      <w:r w:rsidR="002165EB" w:rsidRPr="007D4F9F">
        <w:t xml:space="preserve"> </w:t>
      </w:r>
      <w:r w:rsidRPr="007D4F9F">
        <w:t>a fact sheet addressing likely questions.</w:t>
      </w:r>
      <w:r>
        <w:t xml:space="preserve"> Establishing the authenticity of the survey effort with sample members from the start lays an important foundation in promoting a high response.</w:t>
      </w:r>
      <w:r w:rsidRPr="007D4F9F">
        <w:t xml:space="preserve"> The email </w:t>
      </w:r>
      <w:r>
        <w:t xml:space="preserve">to sampled individuals </w:t>
      </w:r>
      <w:r w:rsidRPr="007D4F9F">
        <w:t>will include a link to the survey and will provide individualized log</w:t>
      </w:r>
      <w:r w:rsidR="002165EB">
        <w:t>-</w:t>
      </w:r>
      <w:r w:rsidRPr="007D4F9F">
        <w:t>in information.</w:t>
      </w:r>
      <w:r>
        <w:t xml:space="preserve"> This log</w:t>
      </w:r>
      <w:r w:rsidR="002165EB">
        <w:t>-</w:t>
      </w:r>
      <w:r>
        <w:t xml:space="preserve">in information will route respondents down the proper path for their role when they begin the survey. </w:t>
      </w:r>
      <w:r w:rsidRPr="007D4F9F">
        <w:t xml:space="preserve">On the survey website, respondents will </w:t>
      </w:r>
      <w:r>
        <w:t xml:space="preserve">also </w:t>
      </w:r>
      <w:r w:rsidRPr="007D4F9F">
        <w:t>be able to access a fact sheet on the evaluation and a letter of support issued by ETA.</w:t>
      </w:r>
    </w:p>
    <w:p w:rsidR="00AB66F6" w:rsidRDefault="00AB66F6" w:rsidP="00AB66F6">
      <w:pPr>
        <w:pStyle w:val="NormalSS"/>
      </w:pPr>
      <w:r w:rsidRPr="00751263">
        <w:rPr>
          <w:b/>
        </w:rPr>
        <w:t>Gaining and maintaining cooperation</w:t>
      </w:r>
      <w:r w:rsidR="00666A78">
        <w:rPr>
          <w:b/>
        </w:rPr>
        <w:t xml:space="preserve">. </w:t>
      </w:r>
      <w:r w:rsidRPr="007D4F9F">
        <w:t>One week after sending email invitations to participate in the survey, and at several other points in the 16-week field period</w:t>
      </w:r>
      <w:r>
        <w:t>,</w:t>
      </w:r>
      <w:r w:rsidRPr="007D4F9F">
        <w:t xml:space="preserve"> </w:t>
      </w:r>
      <w:r w:rsidR="002165EB">
        <w:t xml:space="preserve">the evaluation team will send </w:t>
      </w:r>
      <w:r w:rsidRPr="007D4F9F">
        <w:t xml:space="preserve">email reminders to encourage response. If email reminders are not sufficient, </w:t>
      </w:r>
      <w:r w:rsidR="00F11C7E">
        <w:t>the evaluation team</w:t>
      </w:r>
      <w:r w:rsidRPr="007D4F9F">
        <w:t xml:space="preserve"> will follow</w:t>
      </w:r>
      <w:r>
        <w:t xml:space="preserve"> </w:t>
      </w:r>
      <w:r w:rsidRPr="007D4F9F">
        <w:t xml:space="preserve">up by </w:t>
      </w:r>
      <w:r w:rsidR="002165EB">
        <w:t>tele</w:t>
      </w:r>
      <w:r w:rsidRPr="007D4F9F">
        <w:t>phone. Telep</w:t>
      </w:r>
      <w:r>
        <w:t>hone follow-up with nonrespondent</w:t>
      </w:r>
      <w:r w:rsidRPr="007D4F9F">
        <w:t xml:space="preserve">s will begin in week eight of the survey period and continue throughout the </w:t>
      </w:r>
      <w:r>
        <w:t>remaining two months</w:t>
      </w:r>
      <w:r w:rsidRPr="007D4F9F">
        <w:t xml:space="preserve"> of the field period. In these calls, trained </w:t>
      </w:r>
      <w:r>
        <w:t>study team members</w:t>
      </w:r>
      <w:r w:rsidRPr="007D4F9F">
        <w:t xml:space="preserve"> </w:t>
      </w:r>
      <w:r>
        <w:t xml:space="preserve">who were involved with the study design and other data collection efforts </w:t>
      </w:r>
      <w:r w:rsidRPr="007D4F9F">
        <w:t>will answer any questions the respondent</w:t>
      </w:r>
      <w:r w:rsidR="002165EB">
        <w:t>s</w:t>
      </w:r>
      <w:r w:rsidRPr="007D4F9F">
        <w:t xml:space="preserve"> have about the survey, encourage them to complete it online, or complete surveys with respondents over the telephone, entering their responses in the web instrument for them.</w:t>
      </w:r>
      <w:r>
        <w:t xml:space="preserve"> If contact information </w:t>
      </w:r>
      <w:r w:rsidR="00F11C7E">
        <w:t xml:space="preserve">is incorrect or </w:t>
      </w:r>
      <w:r>
        <w:t>th</w:t>
      </w:r>
      <w:r w:rsidR="00F11C7E">
        <w:t>e</w:t>
      </w:r>
      <w:r>
        <w:t xml:space="preserve"> identified individual ha</w:t>
      </w:r>
      <w:r w:rsidR="00F11C7E">
        <w:t>s</w:t>
      </w:r>
      <w:r>
        <w:t xml:space="preserve"> left </w:t>
      </w:r>
      <w:r w:rsidR="00F11C7E">
        <w:t>his</w:t>
      </w:r>
      <w:r w:rsidR="002165EB">
        <w:t xml:space="preserve"> or </w:t>
      </w:r>
      <w:r w:rsidR="00F11C7E">
        <w:t xml:space="preserve">her </w:t>
      </w:r>
      <w:r>
        <w:t xml:space="preserve">position, </w:t>
      </w:r>
      <w:r w:rsidR="00F11C7E">
        <w:t>the evaluator</w:t>
      </w:r>
      <w:r>
        <w:t xml:space="preserve"> will attempt to locate another appropriate respondent from the organization through web searches and conversations with the FPO and/or grantees, federal grant administrators, cluster managers, and/or other partners. If it is determined that a partner organization is no longer in operation, this will be noted, but the organization will not be replaced in the sample.</w:t>
      </w:r>
    </w:p>
    <w:p w:rsidR="00AB66F6" w:rsidRDefault="00AB66F6" w:rsidP="00AB66F6">
      <w:pPr>
        <w:pStyle w:val="NormalSS"/>
      </w:pPr>
      <w:proofErr w:type="gramStart"/>
      <w:r w:rsidRPr="009244E5">
        <w:rPr>
          <w:b/>
        </w:rPr>
        <w:t xml:space="preserve">Data </w:t>
      </w:r>
      <w:r>
        <w:rPr>
          <w:b/>
        </w:rPr>
        <w:t>r</w:t>
      </w:r>
      <w:r w:rsidRPr="009244E5">
        <w:rPr>
          <w:b/>
        </w:rPr>
        <w:t>eliability</w:t>
      </w:r>
      <w:r w:rsidR="00666A78">
        <w:rPr>
          <w:b/>
          <w:i/>
        </w:rPr>
        <w:t>.</w:t>
      </w:r>
      <w:proofErr w:type="gramEnd"/>
      <w:r w:rsidR="00666A78">
        <w:rPr>
          <w:b/>
          <w:i/>
        </w:rPr>
        <w:t xml:space="preserve"> </w:t>
      </w:r>
      <w:r>
        <w:t>The survey has been extensively reviewed by project staff and staff at DOL and thoroughly tested in a pre</w:t>
      </w:r>
      <w:r w:rsidR="002165EB">
        <w:t>-</w:t>
      </w:r>
      <w:r>
        <w:t xml:space="preserve">test involving nine individuals from two clusters. </w:t>
      </w:r>
      <w:r w:rsidRPr="007D4F9F">
        <w:t xml:space="preserve">At the end of the survey period, </w:t>
      </w:r>
      <w:r w:rsidR="00F11C7E">
        <w:t>the evaluator</w:t>
      </w:r>
      <w:r w:rsidRPr="007D4F9F">
        <w:t xml:space="preserve"> will prepare data files including item responses and any verbatim </w:t>
      </w:r>
      <w:r>
        <w:t>responses</w:t>
      </w:r>
      <w:r w:rsidRPr="007D4F9F">
        <w:t xml:space="preserve"> that </w:t>
      </w:r>
      <w:r>
        <w:t>will</w:t>
      </w:r>
      <w:r w:rsidRPr="007D4F9F">
        <w:t xml:space="preserve"> </w:t>
      </w:r>
      <w:r w:rsidR="002165EB">
        <w:t xml:space="preserve">have </w:t>
      </w:r>
      <w:r>
        <w:t xml:space="preserve">to be </w:t>
      </w:r>
      <w:r w:rsidRPr="007D4F9F">
        <w:t>coded for analysis.</w:t>
      </w:r>
      <w:r>
        <w:t xml:space="preserve"> Unusual patterns of item nonresponse will be addressed, as described previously, and contradictory responses will be reconciled to the extent possible through triangulation.</w:t>
      </w:r>
    </w:p>
    <w:p w:rsidR="00AB66F6" w:rsidRPr="00EE08A2" w:rsidRDefault="00AB66F6" w:rsidP="00AB66F6">
      <w:pPr>
        <w:pStyle w:val="Heading2Blue"/>
      </w:pPr>
      <w:r>
        <w:t>4.</w:t>
      </w:r>
      <w:r w:rsidR="00666A78">
        <w:tab/>
      </w:r>
      <w:r>
        <w:t>Tests of Procedures or Methods</w:t>
      </w:r>
    </w:p>
    <w:p w:rsidR="00AB66F6" w:rsidRDefault="00AB66F6" w:rsidP="00AB66F6">
      <w:pPr>
        <w:pStyle w:val="NormalSS"/>
      </w:pPr>
      <w:r w:rsidRPr="00E30E83">
        <w:t xml:space="preserve">All instruments and protocols used in the conduct of the </w:t>
      </w:r>
      <w:r>
        <w:t xml:space="preserve">JIAC Grants Evaluation </w:t>
      </w:r>
      <w:r w:rsidR="00A46A80">
        <w:t xml:space="preserve">have </w:t>
      </w:r>
      <w:r>
        <w:t>be</w:t>
      </w:r>
      <w:r w:rsidR="00A46A80">
        <w:t>en</w:t>
      </w:r>
      <w:r>
        <w:t xml:space="preserve"> tested </w:t>
      </w:r>
      <w:r w:rsidRPr="00E30E83">
        <w:t>to evaluate the clarity of the questions asked, identify possible modifications to question wording or order that could improve the quality of the data, and estimate respondent</w:t>
      </w:r>
      <w:r w:rsidR="002165EB">
        <w:t>s’</w:t>
      </w:r>
      <w:r w:rsidRPr="00E30E83">
        <w:t xml:space="preserve"> burden.</w:t>
      </w:r>
    </w:p>
    <w:p w:rsidR="00AB66F6" w:rsidRDefault="00AB66F6" w:rsidP="00AB66F6">
      <w:pPr>
        <w:pStyle w:val="NormalSS"/>
      </w:pPr>
      <w:proofErr w:type="gramStart"/>
      <w:r w:rsidRPr="00E30E83">
        <w:rPr>
          <w:b/>
        </w:rPr>
        <w:t>Site visit data collection.</w:t>
      </w:r>
      <w:proofErr w:type="gramEnd"/>
      <w:r>
        <w:rPr>
          <w:b/>
        </w:rPr>
        <w:t xml:space="preserve"> </w:t>
      </w:r>
      <w:r w:rsidRPr="00E30E83">
        <w:t xml:space="preserve">To ensure that the site visit protocols provide effective field guides that will yield comprehensive and comparable data across the </w:t>
      </w:r>
      <w:r>
        <w:t xml:space="preserve">nine </w:t>
      </w:r>
      <w:r w:rsidRPr="00E30E83">
        <w:t xml:space="preserve">study sites, site visit protocols </w:t>
      </w:r>
      <w:r w:rsidR="005D14D5">
        <w:t>are</w:t>
      </w:r>
      <w:r w:rsidRPr="00E30E83">
        <w:t xml:space="preserve"> based on those used for related evaluations</w:t>
      </w:r>
      <w:r w:rsidR="001B7B2C">
        <w:t>. S</w:t>
      </w:r>
      <w:r w:rsidRPr="00E30E83">
        <w:t>enior team members</w:t>
      </w:r>
      <w:r>
        <w:t xml:space="preserve">, including the </w:t>
      </w:r>
      <w:r w:rsidR="002165EB">
        <w:t>p</w:t>
      </w:r>
      <w:r>
        <w:t xml:space="preserve">roject </w:t>
      </w:r>
      <w:r w:rsidR="002165EB">
        <w:t>d</w:t>
      </w:r>
      <w:r>
        <w:t xml:space="preserve">irector and the </w:t>
      </w:r>
      <w:r w:rsidR="002165EB">
        <w:t>p</w:t>
      </w:r>
      <w:r>
        <w:t xml:space="preserve">rincipal </w:t>
      </w:r>
      <w:r w:rsidR="002165EB">
        <w:t>i</w:t>
      </w:r>
      <w:r>
        <w:t>nvestigator,</w:t>
      </w:r>
      <w:r w:rsidRPr="00E30E83">
        <w:t xml:space="preserve"> will conduct the first</w:t>
      </w:r>
      <w:r>
        <w:t xml:space="preserve"> two</w:t>
      </w:r>
      <w:r w:rsidRPr="00E30E83">
        <w:t xml:space="preserve"> site visit</w:t>
      </w:r>
      <w:r>
        <w:t xml:space="preserve">s as </w:t>
      </w:r>
      <w:r w:rsidRPr="00E30E83">
        <w:t>pilot test</w:t>
      </w:r>
      <w:r>
        <w:t>s</w:t>
      </w:r>
      <w:r w:rsidRPr="00E30E83">
        <w:t>, before launching the full round of site visits.</w:t>
      </w:r>
      <w:r>
        <w:t xml:space="preserve"> The</w:t>
      </w:r>
      <w:r w:rsidRPr="00E30E83">
        <w:t>s</w:t>
      </w:r>
      <w:r>
        <w:t>e</w:t>
      </w:r>
      <w:r w:rsidRPr="00E30E83">
        <w:t xml:space="preserve"> pilot site visit</w:t>
      </w:r>
      <w:r>
        <w:t>s</w:t>
      </w:r>
      <w:r w:rsidRPr="00E30E83">
        <w:t xml:space="preserve"> will help </w:t>
      </w:r>
      <w:r w:rsidR="002165EB">
        <w:t xml:space="preserve">to </w:t>
      </w:r>
      <w:r w:rsidRPr="00E30E83">
        <w:t>ensure that the protocol will appropriately assist site visitors in delving into the topics of interest and does not omit relevant topics of inquiry.</w:t>
      </w:r>
      <w:r>
        <w:t xml:space="preserve"> </w:t>
      </w:r>
      <w:r w:rsidRPr="00E30E83">
        <w:t xml:space="preserve">Senior research staff will also assess the site visit agenda—including the data collection activities to conduct and </w:t>
      </w:r>
      <w:r w:rsidR="002165EB">
        <w:t>the structure of</w:t>
      </w:r>
      <w:r w:rsidRPr="00E30E83">
        <w:t xml:space="preserve"> these activities—to ensure that they can be feasibly conducted as part of the site visits and yield the desired information.</w:t>
      </w:r>
      <w:r>
        <w:t xml:space="preserve"> </w:t>
      </w:r>
      <w:r w:rsidR="002165EB">
        <w:t>B</w:t>
      </w:r>
      <w:r w:rsidRPr="00E30E83">
        <w:t>a</w:t>
      </w:r>
      <w:r>
        <w:t xml:space="preserve">sed on the results of the first two </w:t>
      </w:r>
      <w:r w:rsidRPr="00E30E83">
        <w:t>visit</w:t>
      </w:r>
      <w:r>
        <w:t>s</w:t>
      </w:r>
      <w:r w:rsidR="002165EB">
        <w:t>, the contractor will adjust the site visit protocols as necessary</w:t>
      </w:r>
      <w:r w:rsidRPr="00E30E83">
        <w:t>.</w:t>
      </w:r>
      <w:r>
        <w:t xml:space="preserve"> </w:t>
      </w:r>
      <w:r w:rsidR="002165EB">
        <w:t>Before</w:t>
      </w:r>
      <w:r>
        <w:t xml:space="preserve"> the initial site visits, senior team members will review the protocols, site materials, evaluations goals, and data recording</w:t>
      </w:r>
      <w:r w:rsidR="002165EB">
        <w:t>s</w:t>
      </w:r>
      <w:r>
        <w:t>. Following the first two site visits, the senior team members will participate in a debriefing meeting to refine the protocols and develop training materials for the remaining site visitors.</w:t>
      </w:r>
    </w:p>
    <w:p w:rsidR="00AB66F6" w:rsidRDefault="00AB66F6" w:rsidP="00AB66F6">
      <w:pPr>
        <w:pStyle w:val="NormalSS"/>
      </w:pPr>
      <w:proofErr w:type="gramStart"/>
      <w:r>
        <w:rPr>
          <w:b/>
        </w:rPr>
        <w:t>S</w:t>
      </w:r>
      <w:r w:rsidRPr="00E30E83">
        <w:rPr>
          <w:b/>
        </w:rPr>
        <w:t>urvey</w:t>
      </w:r>
      <w:r w:rsidRPr="00E30E83">
        <w:rPr>
          <w:b/>
          <w:i/>
        </w:rPr>
        <w:t>.</w:t>
      </w:r>
      <w:proofErr w:type="gramEnd"/>
      <w:r>
        <w:rPr>
          <w:b/>
          <w:i/>
        </w:rPr>
        <w:t xml:space="preserve"> </w:t>
      </w:r>
      <w:r>
        <w:t>T</w:t>
      </w:r>
      <w:r w:rsidRPr="00E30E83">
        <w:t>he survey instrument</w:t>
      </w:r>
      <w:r w:rsidR="005314EE">
        <w:t>s</w:t>
      </w:r>
      <w:r w:rsidRPr="00E30E83">
        <w:t xml:space="preserve"> </w:t>
      </w:r>
      <w:r w:rsidR="00A46A80">
        <w:t>w</w:t>
      </w:r>
      <w:r w:rsidR="005314EE">
        <w:t>ere</w:t>
      </w:r>
      <w:r w:rsidRPr="00E30E83">
        <w:t xml:space="preserve"> thoroughly </w:t>
      </w:r>
      <w:r>
        <w:t>pre-tested using paper versions of the instrument</w:t>
      </w:r>
      <w:r w:rsidR="005314EE">
        <w:t>s</w:t>
      </w:r>
      <w:r w:rsidR="008E268B">
        <w:t xml:space="preserve"> </w:t>
      </w:r>
      <w:r w:rsidR="002165EB">
        <w:t xml:space="preserve">that </w:t>
      </w:r>
      <w:r w:rsidR="00A46A80">
        <w:t>were</w:t>
      </w:r>
      <w:r w:rsidR="008E268B">
        <w:t xml:space="preserve"> distributed and returned via email</w:t>
      </w:r>
      <w:r>
        <w:t>.</w:t>
      </w:r>
      <w:r w:rsidR="008E268B">
        <w:t xml:space="preserve"> A debriefing conversation then t</w:t>
      </w:r>
      <w:r w:rsidR="00A46A80">
        <w:t>ook</w:t>
      </w:r>
      <w:r w:rsidR="008E268B">
        <w:t xml:space="preserve"> place by telephone.</w:t>
      </w:r>
      <w:r>
        <w:t xml:space="preserve"> Because all 30 clusters will be involved in the evaluation, the evaluation team c</w:t>
      </w:r>
      <w:r w:rsidR="00A46A80">
        <w:t xml:space="preserve">ould </w:t>
      </w:r>
      <w:r>
        <w:t>not select cluster</w:t>
      </w:r>
      <w:r w:rsidR="00A46A80">
        <w:t>s</w:t>
      </w:r>
      <w:r>
        <w:t xml:space="preserve"> that </w:t>
      </w:r>
      <w:r w:rsidR="00A46A80">
        <w:t xml:space="preserve">were </w:t>
      </w:r>
      <w:r>
        <w:t xml:space="preserve">not involved in the evaluation for the pre-test. Additionally, organizations not participating in either of the grants </w:t>
      </w:r>
      <w:r w:rsidR="00A46A80">
        <w:t xml:space="preserve">would </w:t>
      </w:r>
      <w:r>
        <w:t xml:space="preserve">not have </w:t>
      </w:r>
      <w:r w:rsidR="00A46A80">
        <w:t xml:space="preserve">had </w:t>
      </w:r>
      <w:r>
        <w:t xml:space="preserve">a basis for comprehending or responding to the survey questions. Therefore, the survey instrument </w:t>
      </w:r>
      <w:r w:rsidR="00A46A80">
        <w:t xml:space="preserve">has </w:t>
      </w:r>
      <w:r>
        <w:t>b</w:t>
      </w:r>
      <w:r w:rsidR="00A46A80">
        <w:t>e</w:t>
      </w:r>
      <w:r>
        <w:t>e</w:t>
      </w:r>
      <w:r w:rsidR="00A46A80">
        <w:t>n</w:t>
      </w:r>
      <w:r>
        <w:t xml:space="preserve"> pre-tested in two clusters that agree</w:t>
      </w:r>
      <w:r w:rsidR="00A46A80">
        <w:t>d</w:t>
      </w:r>
      <w:r>
        <w:t xml:space="preserve"> to participate and for which the evaluation team </w:t>
      </w:r>
      <w:r w:rsidR="00A46A80">
        <w:t xml:space="preserve">had </w:t>
      </w:r>
      <w:r>
        <w:t>reliable contact information a</w:t>
      </w:r>
      <w:r w:rsidR="002165EB">
        <w:t>nd</w:t>
      </w:r>
      <w:r>
        <w:t xml:space="preserve"> a strong sense of partner participation levels. Pre-testing in two clusters provide</w:t>
      </w:r>
      <w:r w:rsidR="00A46A80">
        <w:t>d</w:t>
      </w:r>
      <w:r>
        <w:t xml:space="preserve"> a varied mix of cluster administrator, grantee, and partner respondents.</w:t>
      </w:r>
    </w:p>
    <w:p w:rsidR="00AB66F6" w:rsidRPr="00E30E83" w:rsidRDefault="00AB66F6" w:rsidP="00AB66F6">
      <w:pPr>
        <w:pStyle w:val="NormalSS"/>
      </w:pPr>
      <w:r>
        <w:t>During the pre-test, the evaluation team administer</w:t>
      </w:r>
      <w:r w:rsidR="00A46A80">
        <w:t>ed</w:t>
      </w:r>
      <w:r>
        <w:t xml:space="preserve"> the survey in two </w:t>
      </w:r>
      <w:r w:rsidR="00674674">
        <w:t>clusters</w:t>
      </w:r>
      <w:r>
        <w:t xml:space="preserve"> to a total of </w:t>
      </w:r>
      <w:r w:rsidR="00007EA1">
        <w:t>eight</w:t>
      </w:r>
      <w:r>
        <w:t xml:space="preserve"> respondents. The evaluation team request</w:t>
      </w:r>
      <w:r w:rsidR="00A46A80">
        <w:t>ed</w:t>
      </w:r>
      <w:r>
        <w:t xml:space="preserve"> sample frame selection information for two clusters from the </w:t>
      </w:r>
      <w:r w:rsidR="000A7A8F">
        <w:t>cluster manager</w:t>
      </w:r>
      <w:r w:rsidR="00A46A80">
        <w:t xml:space="preserve"> and ETA funding stream administrator. The responses provided and conversation with these individuals made it clear that this information also needed to be requested from the other funding stream administrators in order to get a complete list of participating partners. Cluster managers and funding stream administrators were </w:t>
      </w:r>
      <w:r w:rsidR="005314EE">
        <w:t>n</w:t>
      </w:r>
      <w:r w:rsidR="00A46A80">
        <w:t>ot familiar with all partners to all of the grants, particularly those with lower levels of involvement</w:t>
      </w:r>
      <w:r>
        <w:t>.</w:t>
      </w:r>
      <w:r w:rsidR="00BA23CB">
        <w:t xml:space="preserve"> Several changes were also made to the form used to collect this information based on pretest usability.</w:t>
      </w:r>
      <w:r>
        <w:t xml:space="preserve"> During </w:t>
      </w:r>
      <w:r w:rsidR="005314EE">
        <w:t xml:space="preserve">the first </w:t>
      </w:r>
      <w:r>
        <w:t xml:space="preserve">round of pre-testing, the evaluation team </w:t>
      </w:r>
      <w:r w:rsidR="00F8748A">
        <w:t>administer</w:t>
      </w:r>
      <w:r w:rsidR="00BA23CB">
        <w:t>ed</w:t>
      </w:r>
      <w:r w:rsidR="00F8748A">
        <w:t xml:space="preserve"> the survey to </w:t>
      </w:r>
      <w:r>
        <w:t>a</w:t>
      </w:r>
      <w:r w:rsidR="005314EE">
        <w:t xml:space="preserve">n individual who was both </w:t>
      </w:r>
      <w:r w:rsidR="004C24B2">
        <w:t>the cluster</w:t>
      </w:r>
      <w:r>
        <w:t xml:space="preserve"> manager an</w:t>
      </w:r>
      <w:r w:rsidR="005314EE">
        <w:t>d</w:t>
      </w:r>
      <w:r>
        <w:t xml:space="preserve"> </w:t>
      </w:r>
      <w:r w:rsidR="00547C1F">
        <w:t xml:space="preserve">the </w:t>
      </w:r>
      <w:r>
        <w:t xml:space="preserve">ETA funding stream administrator, </w:t>
      </w:r>
      <w:r w:rsidR="005314EE">
        <w:t xml:space="preserve">an ETA funding stream administrator, a cluster manager, and two partners. </w:t>
      </w:r>
      <w:r w:rsidR="00CE3F47">
        <w:t xml:space="preserve">Second round participants were from </w:t>
      </w:r>
      <w:r w:rsidR="00007EA1">
        <w:t xml:space="preserve">three </w:t>
      </w:r>
      <w:r w:rsidR="00CE3F47">
        <w:t xml:space="preserve">partner organizations, as the partner survey required the most revision. Pretest participants were chosen to </w:t>
      </w:r>
      <w:r>
        <w:t xml:space="preserve">ensure a mix of ETA and non-ETA </w:t>
      </w:r>
      <w:r w:rsidR="00547C1F">
        <w:t xml:space="preserve">respondents </w:t>
      </w:r>
      <w:r w:rsidR="00CE3F47">
        <w:t xml:space="preserve">and funded and non-funded respondents. </w:t>
      </w:r>
      <w:r>
        <w:t>A 15</w:t>
      </w:r>
      <w:r w:rsidR="00795B11">
        <w:t>-</w:t>
      </w:r>
      <w:r>
        <w:t>minute telephone debriefing follow</w:t>
      </w:r>
      <w:r w:rsidR="00BA23CB">
        <w:t>ed</w:t>
      </w:r>
      <w:r>
        <w:t xml:space="preserve"> survey completion in the pre-test. During the debriefing, respondents </w:t>
      </w:r>
      <w:r w:rsidR="00795B11">
        <w:t>answer</w:t>
      </w:r>
      <w:r w:rsidR="00BA23CB">
        <w:t>ed</w:t>
      </w:r>
      <w:r w:rsidR="00795B11">
        <w:t xml:space="preserve"> questions</w:t>
      </w:r>
      <w:r>
        <w:t xml:space="preserve"> about their experience</w:t>
      </w:r>
      <w:r w:rsidR="00795B11">
        <w:t>s</w:t>
      </w:r>
      <w:r>
        <w:t xml:space="preserve"> completing the survey, any challenges faced in understanding the questions or their intent, </w:t>
      </w:r>
      <w:r w:rsidR="00795B11">
        <w:t>t</w:t>
      </w:r>
      <w:r>
        <w:t>h</w:t>
      </w:r>
      <w:r w:rsidR="00795B11">
        <w:t>e</w:t>
      </w:r>
      <w:r>
        <w:t xml:space="preserve"> availab</w:t>
      </w:r>
      <w:r w:rsidR="00795B11">
        <w:t>i</w:t>
      </w:r>
      <w:r>
        <w:t>l</w:t>
      </w:r>
      <w:r w:rsidR="00795B11">
        <w:t>ity</w:t>
      </w:r>
      <w:r>
        <w:t xml:space="preserve"> </w:t>
      </w:r>
      <w:r w:rsidR="00795B11">
        <w:t>of</w:t>
      </w:r>
      <w:r>
        <w:t xml:space="preserve"> needed information, and how long the survey took</w:t>
      </w:r>
      <w:r w:rsidR="00795B11">
        <w:t xml:space="preserve"> to complete</w:t>
      </w:r>
      <w:r>
        <w:t xml:space="preserve">. The instrument </w:t>
      </w:r>
      <w:r w:rsidR="00CE3F47">
        <w:t xml:space="preserve">was </w:t>
      </w:r>
      <w:r>
        <w:t xml:space="preserve">modified following the first phase of the pre-test to address identified issues. </w:t>
      </w:r>
      <w:r w:rsidR="00CE3F47">
        <w:t>For the cluster managers and ETA administrators, these were largely matters of adopting the most commonly used and understood vocabulary and adding response options to some items to more completely cover the range of possibilities. Changes to the</w:t>
      </w:r>
      <w:r w:rsidR="007030ED">
        <w:t xml:space="preserve"> questions </w:t>
      </w:r>
      <w:r w:rsidR="00CE3F47">
        <w:t>partner</w:t>
      </w:r>
      <w:r w:rsidR="007030ED">
        <w:t>s</w:t>
      </w:r>
      <w:r w:rsidR="00CE3F47">
        <w:t xml:space="preserve"> </w:t>
      </w:r>
      <w:r w:rsidR="007030ED">
        <w:t>receive</w:t>
      </w:r>
      <w:r w:rsidR="00CE3F47">
        <w:t xml:space="preserve"> were more extensive and involved deleting questions in several areas </w:t>
      </w:r>
      <w:r w:rsidR="007030ED">
        <w:t xml:space="preserve">with which </w:t>
      </w:r>
      <w:r w:rsidR="00CE3F47">
        <w:t xml:space="preserve">partners were found </w:t>
      </w:r>
      <w:r w:rsidR="007030ED">
        <w:t>to be unfamiliar</w:t>
      </w:r>
      <w:r w:rsidR="00CE3F47">
        <w:t>, rewording others, and adopti</w:t>
      </w:r>
      <w:r w:rsidR="00007EA1">
        <w:t>ng</w:t>
      </w:r>
      <w:r w:rsidR="00CE3F47">
        <w:t xml:space="preserve"> the most commonly used and understood vocabulary. </w:t>
      </w:r>
      <w:r>
        <w:t xml:space="preserve">The modified instrument </w:t>
      </w:r>
      <w:r w:rsidR="00CE3F47">
        <w:t xml:space="preserve">was </w:t>
      </w:r>
      <w:r>
        <w:t>then used for the second phase of pre-testing to determine if the changes successfully addressed the identified issues</w:t>
      </w:r>
      <w:r w:rsidR="007030ED">
        <w:t>, which they did</w:t>
      </w:r>
      <w:r>
        <w:t>.</w:t>
      </w:r>
    </w:p>
    <w:p w:rsidR="00AB66F6" w:rsidRDefault="00AB66F6" w:rsidP="00AB66F6">
      <w:pPr>
        <w:pStyle w:val="Heading2Blue"/>
      </w:pPr>
      <w:r>
        <w:t>5.</w:t>
      </w:r>
      <w:r w:rsidR="00666A78">
        <w:tab/>
      </w:r>
      <w:r>
        <w:t>Individuals Consulted on Statistical Methods</w:t>
      </w:r>
    </w:p>
    <w:p w:rsidR="00AB66F6" w:rsidRPr="00B7709A" w:rsidRDefault="00AB66F6" w:rsidP="00AB66F6">
      <w:pPr>
        <w:pStyle w:val="NormalSS"/>
      </w:pPr>
      <w:r w:rsidRPr="00E30E83">
        <w:t>Consultations on the statistical methods used in this study have been used to ensure the technical soundness of the study.</w:t>
      </w:r>
      <w:r>
        <w:t xml:space="preserve"> </w:t>
      </w:r>
      <w:r w:rsidRPr="00E30E83">
        <w:t xml:space="preserve">Specifically, </w:t>
      </w:r>
      <w:r>
        <w:t>ETA</w:t>
      </w:r>
      <w:r w:rsidRPr="00E30E83">
        <w:t xml:space="preserve"> has contracted with Mathematica </w:t>
      </w:r>
      <w:r w:rsidR="00B7709A">
        <w:t xml:space="preserve">and the W. E. Upjohn Institute for Employment Research </w:t>
      </w:r>
      <w:r w:rsidRPr="00E30E83">
        <w:t xml:space="preserve">to conduct the </w:t>
      </w:r>
      <w:r>
        <w:t xml:space="preserve">JIAC Grants </w:t>
      </w:r>
      <w:r w:rsidRPr="00B7709A">
        <w:t xml:space="preserve">Evaluation. </w:t>
      </w:r>
      <w:r w:rsidR="00B7709A">
        <w:t xml:space="preserve">The evaluation team also engaged three technical working group </w:t>
      </w:r>
      <w:r w:rsidR="00795B11">
        <w:t xml:space="preserve">(TWG) </w:t>
      </w:r>
      <w:r w:rsidR="00B7709A">
        <w:t xml:space="preserve">members to consult on the design of the study, the interim report findings, and the final report findings. </w:t>
      </w:r>
      <w:r w:rsidRPr="00B7709A">
        <w:t>Table B.</w:t>
      </w:r>
      <w:r w:rsidR="00B7709A" w:rsidRPr="00B7709A">
        <w:t>2</w:t>
      </w:r>
      <w:r w:rsidRPr="00B7709A">
        <w:t xml:space="preserve"> displays the technical staff</w:t>
      </w:r>
      <w:r w:rsidR="00B7709A">
        <w:t xml:space="preserve"> members</w:t>
      </w:r>
      <w:r w:rsidRPr="00B7709A">
        <w:t xml:space="preserve"> consulted in planning for the evaluation of the JIAC grants.</w:t>
      </w:r>
    </w:p>
    <w:p w:rsidR="00AB66F6" w:rsidRPr="004E7BD3" w:rsidRDefault="00AB66F6" w:rsidP="00AB66F6">
      <w:pPr>
        <w:pStyle w:val="MarkforTableHeading"/>
        <w:rPr>
          <w:rFonts w:ascii="Arial" w:hAnsi="Arial" w:cs="Arial"/>
        </w:rPr>
      </w:pPr>
      <w:bookmarkStart w:id="2" w:name="_Toc332978266"/>
      <w:r w:rsidRPr="004E7BD3">
        <w:rPr>
          <w:rFonts w:ascii="Arial" w:hAnsi="Arial" w:cs="Arial"/>
        </w:rPr>
        <w:t>Table B.</w:t>
      </w:r>
      <w:r w:rsidR="00B7709A" w:rsidRPr="004E7BD3">
        <w:rPr>
          <w:rFonts w:ascii="Arial" w:hAnsi="Arial" w:cs="Arial"/>
        </w:rPr>
        <w:t>2</w:t>
      </w:r>
      <w:r w:rsidRPr="004E7BD3">
        <w:rPr>
          <w:rFonts w:ascii="Arial" w:hAnsi="Arial" w:cs="Arial"/>
        </w:rPr>
        <w:t>. Contractor Technical Staff</w:t>
      </w:r>
      <w:bookmarkEnd w:id="2"/>
    </w:p>
    <w:tbl>
      <w:tblPr>
        <w:tblStyle w:val="SMPRTableBlue"/>
        <w:tblW w:w="4935" w:type="pct"/>
        <w:tblLook w:val="04A0"/>
      </w:tblPr>
      <w:tblGrid>
        <w:gridCol w:w="3505"/>
        <w:gridCol w:w="3444"/>
        <w:gridCol w:w="2503"/>
      </w:tblGrid>
      <w:tr w:rsidR="00AB66F6" w:rsidRPr="004E7BD3" w:rsidTr="00A320E2">
        <w:trPr>
          <w:cnfStyle w:val="100000000000"/>
          <w:trHeight w:val="230"/>
        </w:trPr>
        <w:tc>
          <w:tcPr>
            <w:tcW w:w="1854" w:type="pct"/>
          </w:tcPr>
          <w:p w:rsidR="00AB66F6" w:rsidRPr="004E7BD3" w:rsidRDefault="00AB66F6" w:rsidP="007F4638">
            <w:pPr>
              <w:pStyle w:val="TableHeaderLeft"/>
              <w:tabs>
                <w:tab w:val="clear" w:pos="432"/>
              </w:tabs>
              <w:rPr>
                <w:rFonts w:ascii="Arial" w:hAnsi="Arial" w:cs="Arial"/>
              </w:rPr>
            </w:pPr>
            <w:r w:rsidRPr="004E7BD3">
              <w:rPr>
                <w:rFonts w:ascii="Arial" w:hAnsi="Arial" w:cs="Arial"/>
              </w:rPr>
              <w:t>Affiliation and Name</w:t>
            </w:r>
          </w:p>
        </w:tc>
        <w:tc>
          <w:tcPr>
            <w:tcW w:w="1822" w:type="pct"/>
          </w:tcPr>
          <w:p w:rsidR="00AB66F6" w:rsidRPr="004E7BD3" w:rsidRDefault="00AB66F6" w:rsidP="00666A78">
            <w:pPr>
              <w:pStyle w:val="TableHeaderCenter"/>
              <w:rPr>
                <w:rFonts w:ascii="Arial" w:hAnsi="Arial" w:cs="Arial"/>
              </w:rPr>
            </w:pPr>
            <w:r w:rsidRPr="004E7BD3">
              <w:rPr>
                <w:rFonts w:ascii="Arial" w:hAnsi="Arial" w:cs="Arial"/>
              </w:rPr>
              <w:t>Role on Project</w:t>
            </w:r>
          </w:p>
        </w:tc>
        <w:tc>
          <w:tcPr>
            <w:tcW w:w="1324" w:type="pct"/>
          </w:tcPr>
          <w:p w:rsidR="00AB66F6" w:rsidRPr="004E7BD3" w:rsidRDefault="00AB66F6" w:rsidP="00666A78">
            <w:pPr>
              <w:pStyle w:val="TableHeaderCenter"/>
              <w:rPr>
                <w:rFonts w:ascii="Arial" w:hAnsi="Arial" w:cs="Arial"/>
              </w:rPr>
            </w:pPr>
            <w:r w:rsidRPr="004E7BD3">
              <w:rPr>
                <w:rFonts w:ascii="Arial" w:hAnsi="Arial" w:cs="Arial"/>
              </w:rPr>
              <w:t>Telephone Number</w:t>
            </w:r>
          </w:p>
        </w:tc>
      </w:tr>
      <w:tr w:rsidR="00AB66F6" w:rsidRPr="004E7BD3" w:rsidTr="00A320E2">
        <w:trPr>
          <w:trHeight w:val="230"/>
        </w:trPr>
        <w:tc>
          <w:tcPr>
            <w:tcW w:w="1854" w:type="pct"/>
          </w:tcPr>
          <w:p w:rsidR="00AB66F6" w:rsidRPr="004E7BD3" w:rsidRDefault="00AB66F6" w:rsidP="00A320E2">
            <w:pPr>
              <w:pStyle w:val="TableText"/>
              <w:spacing w:before="120"/>
              <w:rPr>
                <w:rFonts w:ascii="Arial" w:hAnsi="Arial" w:cs="Arial"/>
                <w:b/>
              </w:rPr>
            </w:pPr>
            <w:r w:rsidRPr="004E7BD3">
              <w:rPr>
                <w:rFonts w:ascii="Arial" w:hAnsi="Arial" w:cs="Arial"/>
                <w:b/>
              </w:rPr>
              <w:t>Mathematica Policy Research</w:t>
            </w:r>
          </w:p>
        </w:tc>
        <w:tc>
          <w:tcPr>
            <w:tcW w:w="1822" w:type="pct"/>
          </w:tcPr>
          <w:p w:rsidR="00AB66F6" w:rsidRPr="004E7BD3" w:rsidRDefault="00AB66F6" w:rsidP="00A320E2">
            <w:pPr>
              <w:pStyle w:val="TableText"/>
              <w:spacing w:before="120"/>
              <w:rPr>
                <w:rFonts w:ascii="Arial" w:hAnsi="Arial" w:cs="Arial"/>
              </w:rPr>
            </w:pPr>
          </w:p>
        </w:tc>
        <w:tc>
          <w:tcPr>
            <w:tcW w:w="1324" w:type="pct"/>
          </w:tcPr>
          <w:p w:rsidR="00AB66F6" w:rsidRPr="004E7BD3" w:rsidRDefault="00AB66F6" w:rsidP="00A320E2">
            <w:pPr>
              <w:pStyle w:val="TableText"/>
              <w:spacing w:before="120"/>
              <w:jc w:val="center"/>
              <w:rPr>
                <w:rFonts w:ascii="Arial" w:hAnsi="Arial" w:cs="Arial"/>
              </w:rPr>
            </w:pPr>
          </w:p>
        </w:tc>
      </w:tr>
      <w:tr w:rsidR="00AB66F6" w:rsidRPr="004E7BD3" w:rsidTr="00A320E2">
        <w:trPr>
          <w:trHeight w:val="230"/>
        </w:trPr>
        <w:tc>
          <w:tcPr>
            <w:tcW w:w="1854" w:type="pct"/>
          </w:tcPr>
          <w:p w:rsidR="00AB66F6" w:rsidRPr="004E7BD3" w:rsidRDefault="00AB66F6" w:rsidP="00A320E2">
            <w:pPr>
              <w:pStyle w:val="TableText"/>
              <w:spacing w:before="40" w:after="20"/>
              <w:ind w:left="180"/>
              <w:rPr>
                <w:rFonts w:ascii="Arial" w:hAnsi="Arial" w:cs="Arial"/>
              </w:rPr>
            </w:pPr>
            <w:r w:rsidRPr="004E7BD3">
              <w:rPr>
                <w:rFonts w:ascii="Arial" w:hAnsi="Arial" w:cs="Arial"/>
              </w:rPr>
              <w:t>Ms. Jeanne Bellotti</w:t>
            </w:r>
          </w:p>
        </w:tc>
        <w:tc>
          <w:tcPr>
            <w:tcW w:w="1822" w:type="pct"/>
          </w:tcPr>
          <w:p w:rsidR="00AB66F6" w:rsidRPr="00A320E2" w:rsidRDefault="00AB66F6" w:rsidP="00A320E2">
            <w:pPr>
              <w:pStyle w:val="TableText"/>
              <w:spacing w:before="40" w:after="20"/>
              <w:ind w:left="180"/>
              <w:rPr>
                <w:rFonts w:ascii="Arial" w:hAnsi="Arial" w:cs="Arial"/>
              </w:rPr>
            </w:pPr>
            <w:r w:rsidRPr="00A320E2">
              <w:rPr>
                <w:rFonts w:ascii="Arial" w:hAnsi="Arial" w:cs="Arial"/>
              </w:rPr>
              <w:t>Project director</w:t>
            </w:r>
          </w:p>
        </w:tc>
        <w:tc>
          <w:tcPr>
            <w:tcW w:w="1324" w:type="pct"/>
          </w:tcPr>
          <w:p w:rsidR="00AB66F6" w:rsidRPr="00A320E2" w:rsidRDefault="00AB66F6" w:rsidP="00A320E2">
            <w:pPr>
              <w:pStyle w:val="TableText"/>
              <w:spacing w:before="40" w:after="20"/>
              <w:ind w:left="496"/>
              <w:rPr>
                <w:rFonts w:ascii="Arial" w:hAnsi="Arial" w:cs="Arial"/>
              </w:rPr>
            </w:pPr>
            <w:r w:rsidRPr="00A320E2">
              <w:rPr>
                <w:rFonts w:ascii="Arial" w:hAnsi="Arial" w:cs="Arial"/>
              </w:rPr>
              <w:t>(609) 275-2243</w:t>
            </w:r>
          </w:p>
        </w:tc>
      </w:tr>
      <w:tr w:rsidR="00AB66F6" w:rsidRPr="004E7BD3" w:rsidTr="00A320E2">
        <w:trPr>
          <w:trHeight w:val="230"/>
        </w:trPr>
        <w:tc>
          <w:tcPr>
            <w:tcW w:w="1854" w:type="pct"/>
          </w:tcPr>
          <w:p w:rsidR="00AB66F6" w:rsidRPr="004E7BD3" w:rsidRDefault="00AB66F6" w:rsidP="00A320E2">
            <w:pPr>
              <w:pStyle w:val="TableText"/>
              <w:spacing w:before="40" w:after="20"/>
              <w:ind w:left="180"/>
              <w:rPr>
                <w:rFonts w:ascii="Arial" w:hAnsi="Arial" w:cs="Arial"/>
              </w:rPr>
            </w:pPr>
            <w:r w:rsidRPr="004E7BD3">
              <w:rPr>
                <w:rFonts w:ascii="Arial" w:hAnsi="Arial" w:cs="Arial"/>
              </w:rPr>
              <w:t>Ms. Stephanie Boraas</w:t>
            </w:r>
          </w:p>
        </w:tc>
        <w:tc>
          <w:tcPr>
            <w:tcW w:w="1822" w:type="pct"/>
          </w:tcPr>
          <w:p w:rsidR="00AB66F6" w:rsidRPr="00A320E2" w:rsidRDefault="00AB66F6" w:rsidP="00A320E2">
            <w:pPr>
              <w:pStyle w:val="TableText"/>
              <w:spacing w:before="40" w:after="20"/>
              <w:ind w:left="180"/>
              <w:rPr>
                <w:rFonts w:ascii="Arial" w:hAnsi="Arial" w:cs="Arial"/>
              </w:rPr>
            </w:pPr>
            <w:r w:rsidRPr="00A320E2">
              <w:rPr>
                <w:rFonts w:ascii="Arial" w:hAnsi="Arial" w:cs="Arial"/>
              </w:rPr>
              <w:t>Survey director; task leader</w:t>
            </w:r>
          </w:p>
        </w:tc>
        <w:tc>
          <w:tcPr>
            <w:tcW w:w="1324" w:type="pct"/>
          </w:tcPr>
          <w:p w:rsidR="00AB66F6" w:rsidRPr="00A320E2" w:rsidRDefault="007B0B82" w:rsidP="00A320E2">
            <w:pPr>
              <w:pStyle w:val="TableText"/>
              <w:spacing w:before="40" w:after="20"/>
              <w:ind w:left="496"/>
              <w:rPr>
                <w:rFonts w:ascii="Arial" w:hAnsi="Arial" w:cs="Arial"/>
              </w:rPr>
            </w:pPr>
            <w:r w:rsidRPr="00A320E2">
              <w:rPr>
                <w:rFonts w:ascii="Arial" w:hAnsi="Arial" w:cs="Arial"/>
              </w:rPr>
              <w:t>(202) 484-3292</w:t>
            </w:r>
          </w:p>
        </w:tc>
      </w:tr>
      <w:tr w:rsidR="00AB66F6" w:rsidRPr="004E7BD3" w:rsidTr="00A320E2">
        <w:trPr>
          <w:trHeight w:val="230"/>
        </w:trPr>
        <w:tc>
          <w:tcPr>
            <w:tcW w:w="1854" w:type="pct"/>
          </w:tcPr>
          <w:p w:rsidR="00AB66F6" w:rsidRPr="004E7BD3" w:rsidRDefault="00AB66F6" w:rsidP="00A320E2">
            <w:pPr>
              <w:pStyle w:val="TableText"/>
              <w:spacing w:before="40" w:after="20"/>
              <w:ind w:left="180"/>
              <w:rPr>
                <w:rFonts w:ascii="Arial" w:hAnsi="Arial" w:cs="Arial"/>
              </w:rPr>
            </w:pPr>
            <w:r w:rsidRPr="004E7BD3">
              <w:rPr>
                <w:rFonts w:ascii="Arial" w:hAnsi="Arial" w:cs="Arial"/>
              </w:rPr>
              <w:t>Ms. Samia Amin</w:t>
            </w:r>
          </w:p>
        </w:tc>
        <w:tc>
          <w:tcPr>
            <w:tcW w:w="1822" w:type="pct"/>
          </w:tcPr>
          <w:p w:rsidR="00AB66F6" w:rsidRPr="00A320E2" w:rsidRDefault="00AB66F6" w:rsidP="00A320E2">
            <w:pPr>
              <w:pStyle w:val="TableText"/>
              <w:spacing w:before="40" w:after="20"/>
              <w:ind w:left="180"/>
              <w:rPr>
                <w:rFonts w:ascii="Arial" w:hAnsi="Arial" w:cs="Arial"/>
              </w:rPr>
            </w:pPr>
            <w:r w:rsidRPr="00A320E2">
              <w:rPr>
                <w:rFonts w:ascii="Arial" w:hAnsi="Arial" w:cs="Arial"/>
              </w:rPr>
              <w:t>Deputy project director; task leader</w:t>
            </w:r>
          </w:p>
        </w:tc>
        <w:tc>
          <w:tcPr>
            <w:tcW w:w="1324" w:type="pct"/>
          </w:tcPr>
          <w:p w:rsidR="00AB66F6" w:rsidRPr="00A320E2" w:rsidRDefault="00AB66F6" w:rsidP="00A320E2">
            <w:pPr>
              <w:pStyle w:val="TableText"/>
              <w:spacing w:before="40" w:after="20"/>
              <w:ind w:left="496"/>
              <w:rPr>
                <w:rFonts w:ascii="Arial" w:hAnsi="Arial" w:cs="Arial"/>
              </w:rPr>
            </w:pPr>
            <w:r w:rsidRPr="00A320E2">
              <w:rPr>
                <w:rFonts w:ascii="Arial" w:hAnsi="Arial" w:cs="Arial"/>
              </w:rPr>
              <w:t>(</w:t>
            </w:r>
            <w:r w:rsidR="007B0B82" w:rsidRPr="00A320E2">
              <w:rPr>
                <w:rFonts w:ascii="Arial" w:hAnsi="Arial" w:cs="Arial"/>
              </w:rPr>
              <w:t>609</w:t>
            </w:r>
            <w:r w:rsidRPr="00A320E2">
              <w:rPr>
                <w:rFonts w:ascii="Arial" w:hAnsi="Arial" w:cs="Arial"/>
              </w:rPr>
              <w:t xml:space="preserve">) </w:t>
            </w:r>
            <w:r w:rsidR="007B0B82" w:rsidRPr="00A320E2">
              <w:rPr>
                <w:rFonts w:ascii="Arial" w:hAnsi="Arial" w:cs="Arial"/>
              </w:rPr>
              <w:t>275</w:t>
            </w:r>
            <w:r w:rsidRPr="00A320E2">
              <w:rPr>
                <w:rFonts w:ascii="Arial" w:hAnsi="Arial" w:cs="Arial"/>
              </w:rPr>
              <w:t>-</w:t>
            </w:r>
            <w:r w:rsidR="007B0B82" w:rsidRPr="00A320E2">
              <w:rPr>
                <w:rFonts w:ascii="Arial" w:hAnsi="Arial" w:cs="Arial"/>
              </w:rPr>
              <w:t>2375</w:t>
            </w:r>
          </w:p>
        </w:tc>
      </w:tr>
      <w:tr w:rsidR="00AB66F6" w:rsidRPr="004E7BD3" w:rsidTr="00A320E2">
        <w:trPr>
          <w:trHeight w:val="230"/>
        </w:trPr>
        <w:tc>
          <w:tcPr>
            <w:tcW w:w="1854" w:type="pct"/>
          </w:tcPr>
          <w:p w:rsidR="00AB66F6" w:rsidRPr="004E7BD3" w:rsidRDefault="00AB66F6" w:rsidP="004F6CCD">
            <w:pPr>
              <w:pStyle w:val="TableText"/>
              <w:spacing w:before="40" w:after="20"/>
              <w:ind w:left="180"/>
              <w:rPr>
                <w:rFonts w:ascii="Arial" w:hAnsi="Arial" w:cs="Arial"/>
              </w:rPr>
            </w:pPr>
            <w:r w:rsidRPr="004E7BD3">
              <w:rPr>
                <w:rFonts w:ascii="Arial" w:hAnsi="Arial" w:cs="Arial"/>
              </w:rPr>
              <w:t xml:space="preserve">Ms. </w:t>
            </w:r>
            <w:r w:rsidR="004F6CCD">
              <w:rPr>
                <w:rFonts w:ascii="Arial" w:hAnsi="Arial" w:cs="Arial"/>
              </w:rPr>
              <w:t>Michelle Derr</w:t>
            </w:r>
          </w:p>
        </w:tc>
        <w:tc>
          <w:tcPr>
            <w:tcW w:w="1822" w:type="pct"/>
          </w:tcPr>
          <w:p w:rsidR="00AB66F6" w:rsidRPr="00A320E2" w:rsidRDefault="00AB66F6" w:rsidP="00A320E2">
            <w:pPr>
              <w:pStyle w:val="TableText"/>
              <w:spacing w:before="40" w:after="20"/>
              <w:ind w:left="180"/>
              <w:rPr>
                <w:rFonts w:ascii="Arial" w:hAnsi="Arial" w:cs="Arial"/>
              </w:rPr>
            </w:pPr>
            <w:r w:rsidRPr="00A320E2">
              <w:rPr>
                <w:rFonts w:ascii="Arial" w:hAnsi="Arial" w:cs="Arial"/>
              </w:rPr>
              <w:t>Senior researcher</w:t>
            </w:r>
          </w:p>
        </w:tc>
        <w:tc>
          <w:tcPr>
            <w:tcW w:w="1324" w:type="pct"/>
          </w:tcPr>
          <w:p w:rsidR="00AB66F6" w:rsidRPr="00A320E2" w:rsidRDefault="00AB66F6" w:rsidP="004F6CCD">
            <w:pPr>
              <w:pStyle w:val="TableText"/>
              <w:spacing w:before="40" w:after="20"/>
              <w:ind w:left="496"/>
              <w:rPr>
                <w:rFonts w:ascii="Arial" w:hAnsi="Arial" w:cs="Arial"/>
              </w:rPr>
            </w:pPr>
            <w:r w:rsidRPr="00A320E2">
              <w:rPr>
                <w:rFonts w:ascii="Arial" w:hAnsi="Arial" w:cs="Arial"/>
              </w:rPr>
              <w:t>(202) 484-</w:t>
            </w:r>
            <w:r w:rsidR="004F6CCD">
              <w:rPr>
                <w:rFonts w:ascii="Arial" w:hAnsi="Arial" w:cs="Arial"/>
              </w:rPr>
              <w:t>4830</w:t>
            </w:r>
          </w:p>
        </w:tc>
      </w:tr>
      <w:tr w:rsidR="00AB66F6" w:rsidRPr="004E7BD3" w:rsidTr="00A320E2">
        <w:trPr>
          <w:trHeight w:val="230"/>
        </w:trPr>
        <w:tc>
          <w:tcPr>
            <w:tcW w:w="1854" w:type="pct"/>
          </w:tcPr>
          <w:p w:rsidR="00AB66F6" w:rsidRPr="004E7BD3" w:rsidDel="00EF43E4" w:rsidRDefault="00AB66F6" w:rsidP="00A320E2">
            <w:pPr>
              <w:pStyle w:val="TableText"/>
              <w:spacing w:before="40" w:after="20"/>
              <w:ind w:left="180"/>
              <w:rPr>
                <w:rFonts w:ascii="Arial" w:hAnsi="Arial" w:cs="Arial"/>
              </w:rPr>
            </w:pPr>
            <w:r w:rsidRPr="004E7BD3">
              <w:rPr>
                <w:rFonts w:ascii="Arial" w:hAnsi="Arial" w:cs="Arial"/>
              </w:rPr>
              <w:t>Ms. Patricia Nemeth</w:t>
            </w:r>
          </w:p>
        </w:tc>
        <w:tc>
          <w:tcPr>
            <w:tcW w:w="1822" w:type="pct"/>
          </w:tcPr>
          <w:p w:rsidR="00AB66F6" w:rsidRPr="00A320E2" w:rsidRDefault="00AB66F6" w:rsidP="00A320E2">
            <w:pPr>
              <w:pStyle w:val="TableText"/>
              <w:spacing w:before="40" w:after="20"/>
              <w:ind w:left="180"/>
              <w:rPr>
                <w:rFonts w:ascii="Arial" w:hAnsi="Arial" w:cs="Arial"/>
              </w:rPr>
            </w:pPr>
            <w:r w:rsidRPr="00A320E2">
              <w:rPr>
                <w:rFonts w:ascii="Arial" w:hAnsi="Arial" w:cs="Arial"/>
              </w:rPr>
              <w:t>Senior survey researcher</w:t>
            </w:r>
          </w:p>
        </w:tc>
        <w:tc>
          <w:tcPr>
            <w:tcW w:w="1324" w:type="pct"/>
          </w:tcPr>
          <w:p w:rsidR="00AB66F6" w:rsidRPr="00A320E2" w:rsidDel="00EF43E4" w:rsidRDefault="00AB66F6" w:rsidP="00A320E2">
            <w:pPr>
              <w:pStyle w:val="TableText"/>
              <w:spacing w:before="40" w:after="20"/>
              <w:ind w:left="496"/>
              <w:rPr>
                <w:rFonts w:ascii="Arial" w:hAnsi="Arial" w:cs="Arial"/>
              </w:rPr>
            </w:pPr>
            <w:r w:rsidRPr="00A320E2">
              <w:rPr>
                <w:rFonts w:ascii="Arial" w:hAnsi="Arial" w:cs="Arial"/>
              </w:rPr>
              <w:t>(609) 275-2294</w:t>
            </w:r>
          </w:p>
        </w:tc>
      </w:tr>
      <w:tr w:rsidR="00AB66F6" w:rsidRPr="004E7BD3" w:rsidTr="00A320E2">
        <w:trPr>
          <w:trHeight w:val="230"/>
        </w:trPr>
        <w:tc>
          <w:tcPr>
            <w:tcW w:w="1854" w:type="pct"/>
          </w:tcPr>
          <w:p w:rsidR="00AB66F6" w:rsidRPr="004E7BD3" w:rsidRDefault="00AB66F6" w:rsidP="00A320E2">
            <w:pPr>
              <w:pStyle w:val="TableText"/>
              <w:spacing w:before="120"/>
              <w:rPr>
                <w:rFonts w:ascii="Arial" w:hAnsi="Arial" w:cs="Arial"/>
                <w:b/>
              </w:rPr>
            </w:pPr>
            <w:r w:rsidRPr="004E7BD3">
              <w:rPr>
                <w:rFonts w:ascii="Arial" w:hAnsi="Arial" w:cs="Arial"/>
                <w:b/>
              </w:rPr>
              <w:t>W.E. Upjohn Institute</w:t>
            </w:r>
          </w:p>
        </w:tc>
        <w:tc>
          <w:tcPr>
            <w:tcW w:w="1822" w:type="pct"/>
          </w:tcPr>
          <w:p w:rsidR="00AB66F6" w:rsidRPr="00A320E2" w:rsidRDefault="00AB66F6" w:rsidP="00A320E2">
            <w:pPr>
              <w:pStyle w:val="TableText"/>
              <w:rPr>
                <w:rFonts w:ascii="Arial" w:hAnsi="Arial" w:cs="Arial"/>
              </w:rPr>
            </w:pPr>
          </w:p>
        </w:tc>
        <w:tc>
          <w:tcPr>
            <w:tcW w:w="1324" w:type="pct"/>
          </w:tcPr>
          <w:p w:rsidR="00AB66F6" w:rsidRPr="00A320E2" w:rsidRDefault="00AB66F6" w:rsidP="00A320E2">
            <w:pPr>
              <w:pStyle w:val="TableText"/>
              <w:ind w:left="496"/>
              <w:rPr>
                <w:rFonts w:ascii="Arial" w:hAnsi="Arial" w:cs="Arial"/>
              </w:rPr>
            </w:pPr>
          </w:p>
        </w:tc>
      </w:tr>
      <w:tr w:rsidR="00AB66F6" w:rsidRPr="004E7BD3" w:rsidTr="00A320E2">
        <w:trPr>
          <w:trHeight w:val="230"/>
        </w:trPr>
        <w:tc>
          <w:tcPr>
            <w:tcW w:w="1854" w:type="pct"/>
          </w:tcPr>
          <w:p w:rsidR="00AB66F6" w:rsidRPr="004E7BD3" w:rsidDel="00EF43E4" w:rsidRDefault="00AB66F6" w:rsidP="00A320E2">
            <w:pPr>
              <w:pStyle w:val="TableText"/>
              <w:spacing w:before="40" w:after="20"/>
              <w:ind w:left="180"/>
              <w:rPr>
                <w:rFonts w:ascii="Arial" w:hAnsi="Arial" w:cs="Arial"/>
              </w:rPr>
            </w:pPr>
            <w:r w:rsidRPr="004E7BD3">
              <w:rPr>
                <w:rFonts w:ascii="Arial" w:hAnsi="Arial" w:cs="Arial"/>
              </w:rPr>
              <w:t>Dr. Kevin Hollenbeck</w:t>
            </w:r>
          </w:p>
        </w:tc>
        <w:tc>
          <w:tcPr>
            <w:tcW w:w="1822" w:type="pct"/>
          </w:tcPr>
          <w:p w:rsidR="00AB66F6" w:rsidRPr="00A320E2" w:rsidDel="00EF43E4" w:rsidRDefault="00AB66F6" w:rsidP="00A320E2">
            <w:pPr>
              <w:pStyle w:val="TableText"/>
              <w:spacing w:before="40" w:after="20"/>
              <w:ind w:left="180"/>
              <w:rPr>
                <w:rFonts w:ascii="Arial" w:hAnsi="Arial" w:cs="Arial"/>
              </w:rPr>
            </w:pPr>
            <w:r w:rsidRPr="00A320E2">
              <w:rPr>
                <w:rFonts w:ascii="Arial" w:hAnsi="Arial" w:cs="Arial"/>
              </w:rPr>
              <w:t>Principal investigator</w:t>
            </w:r>
          </w:p>
        </w:tc>
        <w:tc>
          <w:tcPr>
            <w:tcW w:w="1324" w:type="pct"/>
          </w:tcPr>
          <w:p w:rsidR="00AB66F6" w:rsidRPr="00A320E2" w:rsidDel="00EF43E4" w:rsidRDefault="00AB66F6" w:rsidP="00A320E2">
            <w:pPr>
              <w:pStyle w:val="TableText"/>
              <w:spacing w:before="40" w:after="20"/>
              <w:ind w:left="496"/>
              <w:rPr>
                <w:rFonts w:ascii="Arial" w:hAnsi="Arial" w:cs="Arial"/>
              </w:rPr>
            </w:pPr>
            <w:r w:rsidRPr="00A320E2">
              <w:rPr>
                <w:rFonts w:ascii="Arial" w:hAnsi="Arial" w:cs="Arial"/>
              </w:rPr>
              <w:t>(269) 343-5541</w:t>
            </w:r>
          </w:p>
        </w:tc>
      </w:tr>
      <w:tr w:rsidR="00AB66F6" w:rsidRPr="004E7BD3" w:rsidTr="00A320E2">
        <w:trPr>
          <w:trHeight w:val="230"/>
        </w:trPr>
        <w:tc>
          <w:tcPr>
            <w:tcW w:w="1854" w:type="pct"/>
          </w:tcPr>
          <w:p w:rsidR="00AB66F6" w:rsidRPr="004E7BD3" w:rsidRDefault="00AB66F6" w:rsidP="00A320E2">
            <w:pPr>
              <w:pStyle w:val="TableText"/>
              <w:spacing w:before="120"/>
              <w:rPr>
                <w:rFonts w:ascii="Arial" w:hAnsi="Arial" w:cs="Arial"/>
                <w:b/>
              </w:rPr>
            </w:pPr>
            <w:r w:rsidRPr="004E7BD3">
              <w:rPr>
                <w:rFonts w:ascii="Arial" w:hAnsi="Arial" w:cs="Arial"/>
                <w:b/>
              </w:rPr>
              <w:t>The Aspen Institute</w:t>
            </w:r>
          </w:p>
        </w:tc>
        <w:tc>
          <w:tcPr>
            <w:tcW w:w="1822" w:type="pct"/>
          </w:tcPr>
          <w:p w:rsidR="00AB66F6" w:rsidRPr="00A320E2" w:rsidRDefault="00AB66F6" w:rsidP="00A320E2">
            <w:pPr>
              <w:pStyle w:val="TableText"/>
              <w:rPr>
                <w:rFonts w:ascii="Arial" w:hAnsi="Arial" w:cs="Arial"/>
              </w:rPr>
            </w:pPr>
          </w:p>
        </w:tc>
        <w:tc>
          <w:tcPr>
            <w:tcW w:w="1324" w:type="pct"/>
          </w:tcPr>
          <w:p w:rsidR="00AB66F6" w:rsidRPr="00A320E2" w:rsidRDefault="00AB66F6" w:rsidP="00A320E2">
            <w:pPr>
              <w:pStyle w:val="TableText"/>
              <w:ind w:left="496"/>
              <w:rPr>
                <w:rFonts w:ascii="Arial" w:hAnsi="Arial" w:cs="Arial"/>
              </w:rPr>
            </w:pPr>
          </w:p>
        </w:tc>
      </w:tr>
      <w:tr w:rsidR="00AB66F6" w:rsidRPr="004E7BD3" w:rsidTr="00A320E2">
        <w:trPr>
          <w:trHeight w:val="230"/>
        </w:trPr>
        <w:tc>
          <w:tcPr>
            <w:tcW w:w="1854" w:type="pct"/>
          </w:tcPr>
          <w:p w:rsidR="00AB66F6" w:rsidRPr="004E7BD3" w:rsidRDefault="00AB66F6" w:rsidP="00A320E2">
            <w:pPr>
              <w:pStyle w:val="TableText"/>
              <w:spacing w:before="40" w:after="20"/>
              <w:ind w:left="180"/>
              <w:rPr>
                <w:rFonts w:ascii="Arial" w:hAnsi="Arial" w:cs="Arial"/>
              </w:rPr>
            </w:pPr>
            <w:r w:rsidRPr="004E7BD3">
              <w:rPr>
                <w:rFonts w:ascii="Arial" w:hAnsi="Arial" w:cs="Arial"/>
              </w:rPr>
              <w:t>Ms. Maureen Conway</w:t>
            </w:r>
          </w:p>
        </w:tc>
        <w:tc>
          <w:tcPr>
            <w:tcW w:w="1822" w:type="pct"/>
          </w:tcPr>
          <w:p w:rsidR="00857EEE" w:rsidRPr="00A320E2" w:rsidRDefault="00AB66F6" w:rsidP="00A320E2">
            <w:pPr>
              <w:pStyle w:val="TableText"/>
              <w:spacing w:before="40" w:after="20"/>
              <w:ind w:left="180"/>
              <w:rPr>
                <w:rFonts w:ascii="Arial" w:hAnsi="Arial" w:cs="Arial"/>
              </w:rPr>
            </w:pPr>
            <w:r w:rsidRPr="00A320E2">
              <w:rPr>
                <w:rFonts w:ascii="Arial" w:hAnsi="Arial" w:cs="Arial"/>
              </w:rPr>
              <w:t>T</w:t>
            </w:r>
            <w:r w:rsidR="00795B11" w:rsidRPr="00A320E2">
              <w:rPr>
                <w:rFonts w:ascii="Arial" w:hAnsi="Arial" w:cs="Arial"/>
              </w:rPr>
              <w:t>WG</w:t>
            </w:r>
            <w:r w:rsidRPr="00A320E2">
              <w:rPr>
                <w:rFonts w:ascii="Arial" w:hAnsi="Arial" w:cs="Arial"/>
              </w:rPr>
              <w:t xml:space="preserve"> member</w:t>
            </w:r>
          </w:p>
        </w:tc>
        <w:tc>
          <w:tcPr>
            <w:tcW w:w="1324" w:type="pct"/>
          </w:tcPr>
          <w:p w:rsidR="00AB66F6" w:rsidRPr="00A320E2" w:rsidRDefault="00AB66F6" w:rsidP="00A320E2">
            <w:pPr>
              <w:pStyle w:val="TableText"/>
              <w:spacing w:before="40" w:after="20"/>
              <w:ind w:left="496"/>
              <w:rPr>
                <w:rFonts w:ascii="Arial" w:hAnsi="Arial" w:cs="Arial"/>
              </w:rPr>
            </w:pPr>
            <w:r w:rsidRPr="00A320E2">
              <w:rPr>
                <w:rFonts w:ascii="Arial" w:hAnsi="Arial" w:cs="Arial"/>
              </w:rPr>
              <w:t>(202) 736-1071</w:t>
            </w:r>
          </w:p>
        </w:tc>
      </w:tr>
      <w:tr w:rsidR="00AB66F6" w:rsidRPr="004E7BD3" w:rsidTr="00A320E2">
        <w:trPr>
          <w:trHeight w:val="230"/>
        </w:trPr>
        <w:tc>
          <w:tcPr>
            <w:tcW w:w="1854" w:type="pct"/>
          </w:tcPr>
          <w:p w:rsidR="00AB66F6" w:rsidRPr="004E7BD3" w:rsidRDefault="00AB66F6" w:rsidP="00A320E2">
            <w:pPr>
              <w:pStyle w:val="TableText"/>
              <w:spacing w:before="120"/>
              <w:rPr>
                <w:rFonts w:ascii="Arial" w:hAnsi="Arial" w:cs="Arial"/>
                <w:b/>
              </w:rPr>
            </w:pPr>
            <w:r w:rsidRPr="004E7BD3">
              <w:rPr>
                <w:rFonts w:ascii="Arial" w:hAnsi="Arial" w:cs="Arial"/>
                <w:b/>
              </w:rPr>
              <w:t>Public Policy Associates</w:t>
            </w:r>
          </w:p>
        </w:tc>
        <w:tc>
          <w:tcPr>
            <w:tcW w:w="1822" w:type="pct"/>
          </w:tcPr>
          <w:p w:rsidR="00AB66F6" w:rsidRPr="00A320E2" w:rsidRDefault="00AB66F6" w:rsidP="00A320E2">
            <w:pPr>
              <w:pStyle w:val="TableText"/>
              <w:rPr>
                <w:rFonts w:ascii="Arial" w:hAnsi="Arial" w:cs="Arial"/>
              </w:rPr>
            </w:pPr>
          </w:p>
        </w:tc>
        <w:tc>
          <w:tcPr>
            <w:tcW w:w="1324" w:type="pct"/>
          </w:tcPr>
          <w:p w:rsidR="00AB66F6" w:rsidRPr="00A320E2" w:rsidRDefault="00AB66F6" w:rsidP="00A320E2">
            <w:pPr>
              <w:pStyle w:val="TableText"/>
              <w:ind w:left="496"/>
              <w:rPr>
                <w:rFonts w:ascii="Arial" w:hAnsi="Arial" w:cs="Arial"/>
              </w:rPr>
            </w:pPr>
          </w:p>
        </w:tc>
      </w:tr>
      <w:tr w:rsidR="00AB66F6" w:rsidRPr="004E7BD3" w:rsidTr="00A320E2">
        <w:trPr>
          <w:trHeight w:val="230"/>
        </w:trPr>
        <w:tc>
          <w:tcPr>
            <w:tcW w:w="1854" w:type="pct"/>
          </w:tcPr>
          <w:p w:rsidR="00AB66F6" w:rsidRPr="004E7BD3" w:rsidRDefault="00AB66F6" w:rsidP="00A320E2">
            <w:pPr>
              <w:pStyle w:val="TableText"/>
              <w:spacing w:before="40" w:after="20"/>
              <w:ind w:left="180"/>
              <w:rPr>
                <w:rFonts w:ascii="Arial" w:hAnsi="Arial" w:cs="Arial"/>
              </w:rPr>
            </w:pPr>
            <w:r w:rsidRPr="004E7BD3">
              <w:rPr>
                <w:rFonts w:ascii="Arial" w:hAnsi="Arial" w:cs="Arial"/>
              </w:rPr>
              <w:t>Dr. Nancy Hewat</w:t>
            </w:r>
          </w:p>
        </w:tc>
        <w:tc>
          <w:tcPr>
            <w:tcW w:w="1822" w:type="pct"/>
          </w:tcPr>
          <w:p w:rsidR="00857EEE" w:rsidRPr="00A320E2" w:rsidRDefault="00AB66F6" w:rsidP="00A320E2">
            <w:pPr>
              <w:pStyle w:val="TableText"/>
              <w:spacing w:before="40" w:after="20"/>
              <w:ind w:left="180"/>
              <w:rPr>
                <w:rFonts w:ascii="Arial" w:hAnsi="Arial" w:cs="Arial"/>
              </w:rPr>
            </w:pPr>
            <w:r w:rsidRPr="00A320E2">
              <w:rPr>
                <w:rFonts w:ascii="Arial" w:hAnsi="Arial" w:cs="Arial"/>
              </w:rPr>
              <w:t>T</w:t>
            </w:r>
            <w:r w:rsidR="00795B11" w:rsidRPr="00A320E2">
              <w:rPr>
                <w:rFonts w:ascii="Arial" w:hAnsi="Arial" w:cs="Arial"/>
              </w:rPr>
              <w:t>WG</w:t>
            </w:r>
            <w:r w:rsidRPr="00A320E2">
              <w:rPr>
                <w:rFonts w:ascii="Arial" w:hAnsi="Arial" w:cs="Arial"/>
              </w:rPr>
              <w:t xml:space="preserve"> member</w:t>
            </w:r>
          </w:p>
        </w:tc>
        <w:tc>
          <w:tcPr>
            <w:tcW w:w="1324" w:type="pct"/>
          </w:tcPr>
          <w:p w:rsidR="00AB66F6" w:rsidRPr="00A320E2" w:rsidRDefault="00AB66F6" w:rsidP="00A320E2">
            <w:pPr>
              <w:pStyle w:val="TableText"/>
              <w:spacing w:before="40" w:after="20"/>
              <w:ind w:left="496"/>
              <w:rPr>
                <w:rFonts w:ascii="Arial" w:hAnsi="Arial" w:cs="Arial"/>
              </w:rPr>
            </w:pPr>
            <w:r w:rsidRPr="00A320E2">
              <w:rPr>
                <w:rFonts w:ascii="Arial" w:hAnsi="Arial" w:cs="Arial"/>
              </w:rPr>
              <w:t>(517) 485-4477</w:t>
            </w:r>
          </w:p>
        </w:tc>
      </w:tr>
      <w:tr w:rsidR="00AB66F6" w:rsidRPr="004E7BD3" w:rsidTr="00A320E2">
        <w:trPr>
          <w:trHeight w:val="230"/>
        </w:trPr>
        <w:tc>
          <w:tcPr>
            <w:tcW w:w="1854" w:type="pct"/>
          </w:tcPr>
          <w:p w:rsidR="00AB66F6" w:rsidRPr="004E7BD3" w:rsidRDefault="00AB66F6" w:rsidP="00A320E2">
            <w:pPr>
              <w:pStyle w:val="TableText"/>
              <w:spacing w:before="120"/>
              <w:rPr>
                <w:rFonts w:ascii="Arial" w:hAnsi="Arial" w:cs="Arial"/>
                <w:b/>
              </w:rPr>
            </w:pPr>
            <w:r w:rsidRPr="004E7BD3">
              <w:rPr>
                <w:rFonts w:ascii="Arial" w:hAnsi="Arial" w:cs="Arial"/>
                <w:b/>
              </w:rPr>
              <w:t>University of California, San Diego</w:t>
            </w:r>
          </w:p>
        </w:tc>
        <w:tc>
          <w:tcPr>
            <w:tcW w:w="1822" w:type="pct"/>
          </w:tcPr>
          <w:p w:rsidR="00AB66F6" w:rsidRPr="00A320E2" w:rsidRDefault="00AB66F6" w:rsidP="00A320E2">
            <w:pPr>
              <w:pStyle w:val="TableText"/>
              <w:rPr>
                <w:rFonts w:ascii="Arial" w:hAnsi="Arial" w:cs="Arial"/>
              </w:rPr>
            </w:pPr>
          </w:p>
        </w:tc>
        <w:tc>
          <w:tcPr>
            <w:tcW w:w="1324" w:type="pct"/>
          </w:tcPr>
          <w:p w:rsidR="00AB66F6" w:rsidRPr="00A320E2" w:rsidRDefault="00AB66F6" w:rsidP="00A320E2">
            <w:pPr>
              <w:pStyle w:val="TableText"/>
              <w:ind w:left="496"/>
              <w:rPr>
                <w:rFonts w:ascii="Arial" w:hAnsi="Arial" w:cs="Arial"/>
              </w:rPr>
            </w:pPr>
          </w:p>
        </w:tc>
      </w:tr>
      <w:tr w:rsidR="00AB66F6" w:rsidRPr="004E7BD3" w:rsidTr="00A320E2">
        <w:trPr>
          <w:trHeight w:val="230"/>
        </w:trPr>
        <w:tc>
          <w:tcPr>
            <w:tcW w:w="1854" w:type="pct"/>
          </w:tcPr>
          <w:p w:rsidR="00AB66F6" w:rsidRPr="004E7BD3" w:rsidRDefault="00AB66F6" w:rsidP="00A320E2">
            <w:pPr>
              <w:pStyle w:val="TableText"/>
              <w:spacing w:before="40" w:after="20"/>
              <w:ind w:left="180"/>
              <w:rPr>
                <w:rFonts w:ascii="Arial" w:hAnsi="Arial" w:cs="Arial"/>
              </w:rPr>
            </w:pPr>
            <w:r w:rsidRPr="004E7BD3">
              <w:rPr>
                <w:rFonts w:ascii="Arial" w:hAnsi="Arial" w:cs="Arial"/>
              </w:rPr>
              <w:t>Dr. Mary Walshok</w:t>
            </w:r>
          </w:p>
        </w:tc>
        <w:tc>
          <w:tcPr>
            <w:tcW w:w="1822" w:type="pct"/>
          </w:tcPr>
          <w:p w:rsidR="00857EEE" w:rsidRPr="00A320E2" w:rsidRDefault="00AB66F6" w:rsidP="00A320E2">
            <w:pPr>
              <w:pStyle w:val="TableText"/>
              <w:spacing w:before="40" w:after="20"/>
              <w:ind w:left="180"/>
              <w:rPr>
                <w:rFonts w:ascii="Arial" w:hAnsi="Arial" w:cs="Arial"/>
              </w:rPr>
            </w:pPr>
            <w:r w:rsidRPr="00A320E2">
              <w:rPr>
                <w:rFonts w:ascii="Arial" w:hAnsi="Arial" w:cs="Arial"/>
              </w:rPr>
              <w:t>T</w:t>
            </w:r>
            <w:r w:rsidR="00795B11" w:rsidRPr="00A320E2">
              <w:rPr>
                <w:rFonts w:ascii="Arial" w:hAnsi="Arial" w:cs="Arial"/>
              </w:rPr>
              <w:t>WG</w:t>
            </w:r>
            <w:r w:rsidRPr="00A320E2">
              <w:rPr>
                <w:rFonts w:ascii="Arial" w:hAnsi="Arial" w:cs="Arial"/>
              </w:rPr>
              <w:t xml:space="preserve"> member</w:t>
            </w:r>
          </w:p>
        </w:tc>
        <w:tc>
          <w:tcPr>
            <w:tcW w:w="1324" w:type="pct"/>
          </w:tcPr>
          <w:p w:rsidR="00AB66F6" w:rsidRPr="00A320E2" w:rsidRDefault="00AB66F6" w:rsidP="00A320E2">
            <w:pPr>
              <w:pStyle w:val="TableText"/>
              <w:spacing w:before="40" w:after="20"/>
              <w:ind w:left="496"/>
              <w:rPr>
                <w:rFonts w:ascii="Arial" w:hAnsi="Arial" w:cs="Arial"/>
              </w:rPr>
            </w:pPr>
            <w:r w:rsidRPr="00A320E2">
              <w:rPr>
                <w:rFonts w:ascii="Arial" w:hAnsi="Arial" w:cs="Arial"/>
              </w:rPr>
              <w:t>(858) 434-3412</w:t>
            </w:r>
          </w:p>
        </w:tc>
      </w:tr>
    </w:tbl>
    <w:p w:rsidR="00F86BC4" w:rsidRPr="004E7BD3" w:rsidRDefault="00F86BC4" w:rsidP="00D230C5">
      <w:pPr>
        <w:pStyle w:val="NormalSS"/>
        <w:ind w:firstLine="0"/>
        <w:rPr>
          <w:rFonts w:ascii="Arial" w:hAnsi="Arial" w:cs="Arial"/>
        </w:rPr>
      </w:pPr>
    </w:p>
    <w:sectPr w:rsidR="00F86BC4" w:rsidRPr="004E7BD3"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A3" w:rsidRDefault="00A337A3">
      <w:pPr>
        <w:spacing w:line="240" w:lineRule="auto"/>
        <w:ind w:firstLine="0"/>
      </w:pPr>
    </w:p>
  </w:endnote>
  <w:endnote w:type="continuationSeparator" w:id="0">
    <w:p w:rsidR="00A337A3" w:rsidRDefault="00A337A3">
      <w:pPr>
        <w:spacing w:line="240" w:lineRule="auto"/>
        <w:ind w:firstLine="0"/>
      </w:pPr>
    </w:p>
  </w:endnote>
  <w:endnote w:type="continuationNotice" w:id="1">
    <w:p w:rsidR="00A337A3" w:rsidRDefault="00A337A3">
      <w:pPr>
        <w:spacing w:line="240" w:lineRule="auto"/>
        <w:ind w:firstLine="0"/>
      </w:pPr>
    </w:p>
    <w:p w:rsidR="00A337A3" w:rsidRDefault="00A337A3"/>
    <w:p w:rsidR="00A337A3" w:rsidRDefault="00A337A3">
      <w:r>
        <w:rPr>
          <w:b/>
          <w:snapToGrid w:val="0"/>
        </w:rPr>
        <w:t>DRAFT</w:t>
      </w:r>
      <w:r>
        <w:rPr>
          <w:snapToGrid w:val="0"/>
          <w:sz w:val="16"/>
        </w:rPr>
        <w:t xml:space="preserve"> </w:t>
      </w:r>
      <w:r w:rsidR="00D50690">
        <w:rPr>
          <w:snapToGrid w:val="0"/>
          <w:sz w:val="16"/>
        </w:rPr>
        <w:fldChar w:fldCharType="begin"/>
      </w:r>
      <w:r>
        <w:rPr>
          <w:snapToGrid w:val="0"/>
          <w:sz w:val="16"/>
        </w:rPr>
        <w:instrText xml:space="preserve"> FILENAME \p </w:instrText>
      </w:r>
      <w:r w:rsidR="00D50690">
        <w:rPr>
          <w:snapToGrid w:val="0"/>
          <w:sz w:val="16"/>
        </w:rPr>
        <w:fldChar w:fldCharType="separate"/>
      </w:r>
      <w:r w:rsidR="00693667">
        <w:rPr>
          <w:noProof/>
          <w:snapToGrid w:val="0"/>
          <w:sz w:val="16"/>
        </w:rPr>
        <w:t>N:\Project\40260_JIAC\Restricted\NJ1\OMB\9. Draft to DOL\JIAC 40260 OMB Package_Part B.docx</w:t>
      </w:r>
      <w:r w:rsidR="00D5069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A3" w:rsidRDefault="00A337A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50690">
      <w:rPr>
        <w:rStyle w:val="PageNumber"/>
      </w:rPr>
      <w:fldChar w:fldCharType="begin"/>
    </w:r>
    <w:r>
      <w:rPr>
        <w:rStyle w:val="PageNumber"/>
      </w:rPr>
      <w:instrText xml:space="preserve"> PAGE </w:instrText>
    </w:r>
    <w:r w:rsidR="00D50690">
      <w:rPr>
        <w:rStyle w:val="PageNumber"/>
      </w:rPr>
      <w:fldChar w:fldCharType="separate"/>
    </w:r>
    <w:r w:rsidR="007C171D">
      <w:rPr>
        <w:rStyle w:val="PageNumber"/>
        <w:noProof/>
      </w:rPr>
      <w:t>5</w:t>
    </w:r>
    <w:r w:rsidR="00D50690">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A3" w:rsidRDefault="00A337A3">
      <w:pPr>
        <w:spacing w:line="240" w:lineRule="auto"/>
        <w:ind w:firstLine="0"/>
      </w:pPr>
      <w:r>
        <w:separator/>
      </w:r>
    </w:p>
  </w:footnote>
  <w:footnote w:type="continuationSeparator" w:id="0">
    <w:p w:rsidR="00A337A3" w:rsidRDefault="00A337A3">
      <w:pPr>
        <w:spacing w:line="240" w:lineRule="auto"/>
        <w:ind w:firstLine="0"/>
      </w:pPr>
      <w:r>
        <w:separator/>
      </w:r>
    </w:p>
    <w:p w:rsidR="00A337A3" w:rsidRDefault="00A337A3">
      <w:pPr>
        <w:spacing w:line="240" w:lineRule="auto"/>
        <w:ind w:firstLine="0"/>
        <w:rPr>
          <w:i/>
        </w:rPr>
      </w:pPr>
      <w:r>
        <w:rPr>
          <w:i/>
        </w:rPr>
        <w:t>(</w:t>
      </w:r>
      <w:proofErr w:type="gramStart"/>
      <w:r>
        <w:rPr>
          <w:i/>
        </w:rPr>
        <w:t>continued</w:t>
      </w:r>
      <w:proofErr w:type="gramEnd"/>
      <w:r>
        <w:rPr>
          <w:i/>
        </w:rPr>
        <w:t>)</w:t>
      </w:r>
    </w:p>
  </w:footnote>
  <w:footnote w:type="continuationNotice" w:id="1">
    <w:p w:rsidR="00A337A3" w:rsidRDefault="00A337A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A3" w:rsidRPr="000A4439" w:rsidRDefault="00A337A3" w:rsidP="006C5B99">
    <w:pPr>
      <w:pStyle w:val="Header"/>
      <w:rPr>
        <w:szCs w:val="22"/>
      </w:rPr>
    </w:pPr>
    <w:r>
      <w:rPr>
        <w:szCs w:val="22"/>
      </w:rPr>
      <w:t>Jobs and Innovation Challenge Grants Evaluation</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A95"/>
    <w:multiLevelType w:val="hybridMultilevel"/>
    <w:tmpl w:val="51E070E4"/>
    <w:lvl w:ilvl="0" w:tplc="A3E03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78644A"/>
    <w:multiLevelType w:val="hybridMultilevel"/>
    <w:tmpl w:val="9E48AAD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4B241D8A">
      <w:start w:val="1"/>
      <w:numFmt w:val="bullet"/>
      <w:pStyle w:val="BulletBlack"/>
      <w:lvlText w:val=""/>
      <w:lvlJc w:val="left"/>
      <w:pPr>
        <w:ind w:left="1152" w:hanging="360"/>
      </w:pPr>
      <w:rPr>
        <w:rFonts w:ascii="Symbol" w:hAnsi="Symbol" w:hint="default"/>
      </w:rPr>
    </w:lvl>
    <w:lvl w:ilvl="1" w:tplc="977AB9C4">
      <w:start w:val="1"/>
      <w:numFmt w:val="bullet"/>
      <w:lvlText w:val="o"/>
      <w:lvlJc w:val="left"/>
      <w:pPr>
        <w:ind w:left="1872" w:hanging="360"/>
      </w:pPr>
      <w:rPr>
        <w:rFonts w:ascii="Courier New" w:hAnsi="Courier New" w:cs="Courier New" w:hint="default"/>
      </w:rPr>
    </w:lvl>
    <w:lvl w:ilvl="2" w:tplc="295867E2" w:tentative="1">
      <w:start w:val="1"/>
      <w:numFmt w:val="bullet"/>
      <w:lvlText w:val=""/>
      <w:lvlJc w:val="left"/>
      <w:pPr>
        <w:ind w:left="2592" w:hanging="360"/>
      </w:pPr>
      <w:rPr>
        <w:rFonts w:ascii="Wingdings" w:hAnsi="Wingdings" w:hint="default"/>
      </w:rPr>
    </w:lvl>
    <w:lvl w:ilvl="3" w:tplc="DDAE1044" w:tentative="1">
      <w:start w:val="1"/>
      <w:numFmt w:val="bullet"/>
      <w:lvlText w:val=""/>
      <w:lvlJc w:val="left"/>
      <w:pPr>
        <w:ind w:left="3312" w:hanging="360"/>
      </w:pPr>
      <w:rPr>
        <w:rFonts w:ascii="Symbol" w:hAnsi="Symbol" w:hint="default"/>
      </w:rPr>
    </w:lvl>
    <w:lvl w:ilvl="4" w:tplc="3C0851AE" w:tentative="1">
      <w:start w:val="1"/>
      <w:numFmt w:val="bullet"/>
      <w:lvlText w:val="o"/>
      <w:lvlJc w:val="left"/>
      <w:pPr>
        <w:ind w:left="4032" w:hanging="360"/>
      </w:pPr>
      <w:rPr>
        <w:rFonts w:ascii="Courier New" w:hAnsi="Courier New" w:cs="Courier New" w:hint="default"/>
      </w:rPr>
    </w:lvl>
    <w:lvl w:ilvl="5" w:tplc="F1EA2062" w:tentative="1">
      <w:start w:val="1"/>
      <w:numFmt w:val="bullet"/>
      <w:lvlText w:val=""/>
      <w:lvlJc w:val="left"/>
      <w:pPr>
        <w:ind w:left="4752" w:hanging="360"/>
      </w:pPr>
      <w:rPr>
        <w:rFonts w:ascii="Wingdings" w:hAnsi="Wingdings" w:hint="default"/>
      </w:rPr>
    </w:lvl>
    <w:lvl w:ilvl="6" w:tplc="AE44D134" w:tentative="1">
      <w:start w:val="1"/>
      <w:numFmt w:val="bullet"/>
      <w:lvlText w:val=""/>
      <w:lvlJc w:val="left"/>
      <w:pPr>
        <w:ind w:left="5472" w:hanging="360"/>
      </w:pPr>
      <w:rPr>
        <w:rFonts w:ascii="Symbol" w:hAnsi="Symbol" w:hint="default"/>
      </w:rPr>
    </w:lvl>
    <w:lvl w:ilvl="7" w:tplc="3FCC0334" w:tentative="1">
      <w:start w:val="1"/>
      <w:numFmt w:val="bullet"/>
      <w:lvlText w:val="o"/>
      <w:lvlJc w:val="left"/>
      <w:pPr>
        <w:ind w:left="6192" w:hanging="360"/>
      </w:pPr>
      <w:rPr>
        <w:rFonts w:ascii="Courier New" w:hAnsi="Courier New" w:cs="Courier New" w:hint="default"/>
      </w:rPr>
    </w:lvl>
    <w:lvl w:ilvl="8" w:tplc="3D507058"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49CF7D0">
      <w:start w:val="1"/>
      <w:numFmt w:val="bullet"/>
      <w:pStyle w:val="BulletBlue"/>
      <w:lvlText w:val=""/>
      <w:lvlJc w:val="left"/>
      <w:pPr>
        <w:ind w:left="792" w:hanging="360"/>
      </w:pPr>
      <w:rPr>
        <w:rFonts w:ascii="Symbol" w:hAnsi="Symbol" w:hint="default"/>
        <w:color w:val="345294"/>
      </w:rPr>
    </w:lvl>
    <w:lvl w:ilvl="1" w:tplc="AD7E5F58" w:tentative="1">
      <w:start w:val="1"/>
      <w:numFmt w:val="bullet"/>
      <w:lvlText w:val="o"/>
      <w:lvlJc w:val="left"/>
      <w:pPr>
        <w:ind w:left="1872" w:hanging="360"/>
      </w:pPr>
      <w:rPr>
        <w:rFonts w:ascii="Courier New" w:hAnsi="Courier New" w:cs="Courier New" w:hint="default"/>
      </w:rPr>
    </w:lvl>
    <w:lvl w:ilvl="2" w:tplc="2C587738" w:tentative="1">
      <w:start w:val="1"/>
      <w:numFmt w:val="bullet"/>
      <w:lvlText w:val=""/>
      <w:lvlJc w:val="left"/>
      <w:pPr>
        <w:ind w:left="2592" w:hanging="360"/>
      </w:pPr>
      <w:rPr>
        <w:rFonts w:ascii="Wingdings" w:hAnsi="Wingdings" w:hint="default"/>
      </w:rPr>
    </w:lvl>
    <w:lvl w:ilvl="3" w:tplc="1F960112" w:tentative="1">
      <w:start w:val="1"/>
      <w:numFmt w:val="bullet"/>
      <w:lvlText w:val=""/>
      <w:lvlJc w:val="left"/>
      <w:pPr>
        <w:ind w:left="3312" w:hanging="360"/>
      </w:pPr>
      <w:rPr>
        <w:rFonts w:ascii="Symbol" w:hAnsi="Symbol" w:hint="default"/>
      </w:rPr>
    </w:lvl>
    <w:lvl w:ilvl="4" w:tplc="7E563EE4" w:tentative="1">
      <w:start w:val="1"/>
      <w:numFmt w:val="bullet"/>
      <w:lvlText w:val="o"/>
      <w:lvlJc w:val="left"/>
      <w:pPr>
        <w:ind w:left="4032" w:hanging="360"/>
      </w:pPr>
      <w:rPr>
        <w:rFonts w:ascii="Courier New" w:hAnsi="Courier New" w:cs="Courier New" w:hint="default"/>
      </w:rPr>
    </w:lvl>
    <w:lvl w:ilvl="5" w:tplc="2392EA94" w:tentative="1">
      <w:start w:val="1"/>
      <w:numFmt w:val="bullet"/>
      <w:lvlText w:val=""/>
      <w:lvlJc w:val="left"/>
      <w:pPr>
        <w:ind w:left="4752" w:hanging="360"/>
      </w:pPr>
      <w:rPr>
        <w:rFonts w:ascii="Wingdings" w:hAnsi="Wingdings" w:hint="default"/>
      </w:rPr>
    </w:lvl>
    <w:lvl w:ilvl="6" w:tplc="C966C758" w:tentative="1">
      <w:start w:val="1"/>
      <w:numFmt w:val="bullet"/>
      <w:lvlText w:val=""/>
      <w:lvlJc w:val="left"/>
      <w:pPr>
        <w:ind w:left="5472" w:hanging="360"/>
      </w:pPr>
      <w:rPr>
        <w:rFonts w:ascii="Symbol" w:hAnsi="Symbol" w:hint="default"/>
      </w:rPr>
    </w:lvl>
    <w:lvl w:ilvl="7" w:tplc="0AEEBE86" w:tentative="1">
      <w:start w:val="1"/>
      <w:numFmt w:val="bullet"/>
      <w:lvlText w:val="o"/>
      <w:lvlJc w:val="left"/>
      <w:pPr>
        <w:ind w:left="6192" w:hanging="360"/>
      </w:pPr>
      <w:rPr>
        <w:rFonts w:ascii="Courier New" w:hAnsi="Courier New" w:cs="Courier New" w:hint="default"/>
      </w:rPr>
    </w:lvl>
    <w:lvl w:ilvl="8" w:tplc="AFF83CA6" w:tentative="1">
      <w:start w:val="1"/>
      <w:numFmt w:val="bullet"/>
      <w:lvlText w:val=""/>
      <w:lvlJc w:val="left"/>
      <w:pPr>
        <w:ind w:left="6912" w:hanging="360"/>
      </w:pPr>
      <w:rPr>
        <w:rFonts w:ascii="Wingdings" w:hAnsi="Wingdings" w:hint="default"/>
      </w:rPr>
    </w:lvl>
  </w:abstractNum>
  <w:abstractNum w:abstractNumId="10">
    <w:nsid w:val="240D35F3"/>
    <w:multiLevelType w:val="hybridMultilevel"/>
    <w:tmpl w:val="DE3E94D2"/>
    <w:lvl w:ilvl="0" w:tplc="235CE2F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4E22E69"/>
    <w:multiLevelType w:val="hybridMultilevel"/>
    <w:tmpl w:val="4E78C662"/>
    <w:lvl w:ilvl="0" w:tplc="0409000F">
      <w:start w:val="1"/>
      <w:numFmt w:val="decimal"/>
      <w:lvlText w:val="%1."/>
      <w:lvlJc w:val="left"/>
      <w:pPr>
        <w:ind w:left="1152" w:hanging="360"/>
      </w:pPr>
      <w:rPr>
        <w:rFonts w:hint="default"/>
      </w:rPr>
    </w:lvl>
    <w:lvl w:ilvl="1" w:tplc="977AB9C4">
      <w:start w:val="1"/>
      <w:numFmt w:val="bullet"/>
      <w:lvlText w:val="o"/>
      <w:lvlJc w:val="left"/>
      <w:pPr>
        <w:ind w:left="1872" w:hanging="360"/>
      </w:pPr>
      <w:rPr>
        <w:rFonts w:ascii="Courier New" w:hAnsi="Courier New" w:cs="Courier New" w:hint="default"/>
      </w:rPr>
    </w:lvl>
    <w:lvl w:ilvl="2" w:tplc="295867E2" w:tentative="1">
      <w:start w:val="1"/>
      <w:numFmt w:val="bullet"/>
      <w:lvlText w:val=""/>
      <w:lvlJc w:val="left"/>
      <w:pPr>
        <w:ind w:left="2592" w:hanging="360"/>
      </w:pPr>
      <w:rPr>
        <w:rFonts w:ascii="Wingdings" w:hAnsi="Wingdings" w:hint="default"/>
      </w:rPr>
    </w:lvl>
    <w:lvl w:ilvl="3" w:tplc="DDAE1044" w:tentative="1">
      <w:start w:val="1"/>
      <w:numFmt w:val="bullet"/>
      <w:lvlText w:val=""/>
      <w:lvlJc w:val="left"/>
      <w:pPr>
        <w:ind w:left="3312" w:hanging="360"/>
      </w:pPr>
      <w:rPr>
        <w:rFonts w:ascii="Symbol" w:hAnsi="Symbol" w:hint="default"/>
      </w:rPr>
    </w:lvl>
    <w:lvl w:ilvl="4" w:tplc="3C0851AE" w:tentative="1">
      <w:start w:val="1"/>
      <w:numFmt w:val="bullet"/>
      <w:lvlText w:val="o"/>
      <w:lvlJc w:val="left"/>
      <w:pPr>
        <w:ind w:left="4032" w:hanging="360"/>
      </w:pPr>
      <w:rPr>
        <w:rFonts w:ascii="Courier New" w:hAnsi="Courier New" w:cs="Courier New" w:hint="default"/>
      </w:rPr>
    </w:lvl>
    <w:lvl w:ilvl="5" w:tplc="F1EA2062" w:tentative="1">
      <w:start w:val="1"/>
      <w:numFmt w:val="bullet"/>
      <w:lvlText w:val=""/>
      <w:lvlJc w:val="left"/>
      <w:pPr>
        <w:ind w:left="4752" w:hanging="360"/>
      </w:pPr>
      <w:rPr>
        <w:rFonts w:ascii="Wingdings" w:hAnsi="Wingdings" w:hint="default"/>
      </w:rPr>
    </w:lvl>
    <w:lvl w:ilvl="6" w:tplc="AE44D134" w:tentative="1">
      <w:start w:val="1"/>
      <w:numFmt w:val="bullet"/>
      <w:lvlText w:val=""/>
      <w:lvlJc w:val="left"/>
      <w:pPr>
        <w:ind w:left="5472" w:hanging="360"/>
      </w:pPr>
      <w:rPr>
        <w:rFonts w:ascii="Symbol" w:hAnsi="Symbol" w:hint="default"/>
      </w:rPr>
    </w:lvl>
    <w:lvl w:ilvl="7" w:tplc="3FCC0334" w:tentative="1">
      <w:start w:val="1"/>
      <w:numFmt w:val="bullet"/>
      <w:lvlText w:val="o"/>
      <w:lvlJc w:val="left"/>
      <w:pPr>
        <w:ind w:left="6192" w:hanging="360"/>
      </w:pPr>
      <w:rPr>
        <w:rFonts w:ascii="Courier New" w:hAnsi="Courier New" w:cs="Courier New" w:hint="default"/>
      </w:rPr>
    </w:lvl>
    <w:lvl w:ilvl="8" w:tplc="3D507058" w:tentative="1">
      <w:start w:val="1"/>
      <w:numFmt w:val="bullet"/>
      <w:lvlText w:val=""/>
      <w:lvlJc w:val="left"/>
      <w:pPr>
        <w:ind w:left="6912" w:hanging="360"/>
      </w:pPr>
      <w:rPr>
        <w:rFonts w:ascii="Wingdings" w:hAnsi="Wingdings" w:hint="default"/>
      </w:rPr>
    </w:lvl>
  </w:abstractNum>
  <w:abstractNum w:abstractNumId="12">
    <w:nsid w:val="32AD53DB"/>
    <w:multiLevelType w:val="hybridMultilevel"/>
    <w:tmpl w:val="17185D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89662FA"/>
    <w:multiLevelType w:val="hybridMultilevel"/>
    <w:tmpl w:val="C7A6A180"/>
    <w:lvl w:ilvl="0" w:tplc="04090001">
      <w:start w:val="4"/>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F547443"/>
    <w:multiLevelType w:val="hybridMultilevel"/>
    <w:tmpl w:val="E7DEE1F4"/>
    <w:lvl w:ilvl="0" w:tplc="34505752">
      <w:start w:val="1"/>
      <w:numFmt w:val="bullet"/>
      <w:pStyle w:val="BulletBlueLastDS"/>
      <w:lvlText w:val=""/>
      <w:lvlJc w:val="left"/>
      <w:pPr>
        <w:ind w:left="1152" w:hanging="360"/>
      </w:pPr>
      <w:rPr>
        <w:rFonts w:ascii="Symbol" w:hAnsi="Symbol" w:hint="default"/>
        <w:color w:val="345294"/>
      </w:rPr>
    </w:lvl>
    <w:lvl w:ilvl="1" w:tplc="63D0B68C" w:tentative="1">
      <w:start w:val="1"/>
      <w:numFmt w:val="bullet"/>
      <w:lvlText w:val="o"/>
      <w:lvlJc w:val="left"/>
      <w:pPr>
        <w:ind w:left="1872" w:hanging="360"/>
      </w:pPr>
      <w:rPr>
        <w:rFonts w:ascii="Courier New" w:hAnsi="Courier New" w:cs="Courier New" w:hint="default"/>
      </w:rPr>
    </w:lvl>
    <w:lvl w:ilvl="2" w:tplc="B380B3BE" w:tentative="1">
      <w:start w:val="1"/>
      <w:numFmt w:val="bullet"/>
      <w:lvlText w:val=""/>
      <w:lvlJc w:val="left"/>
      <w:pPr>
        <w:ind w:left="2592" w:hanging="360"/>
      </w:pPr>
      <w:rPr>
        <w:rFonts w:ascii="Wingdings" w:hAnsi="Wingdings" w:hint="default"/>
      </w:rPr>
    </w:lvl>
    <w:lvl w:ilvl="3" w:tplc="0ED42FEE" w:tentative="1">
      <w:start w:val="1"/>
      <w:numFmt w:val="bullet"/>
      <w:lvlText w:val=""/>
      <w:lvlJc w:val="left"/>
      <w:pPr>
        <w:ind w:left="3312" w:hanging="360"/>
      </w:pPr>
      <w:rPr>
        <w:rFonts w:ascii="Symbol" w:hAnsi="Symbol" w:hint="default"/>
      </w:rPr>
    </w:lvl>
    <w:lvl w:ilvl="4" w:tplc="2AB6DE90" w:tentative="1">
      <w:start w:val="1"/>
      <w:numFmt w:val="bullet"/>
      <w:lvlText w:val="o"/>
      <w:lvlJc w:val="left"/>
      <w:pPr>
        <w:ind w:left="4032" w:hanging="360"/>
      </w:pPr>
      <w:rPr>
        <w:rFonts w:ascii="Courier New" w:hAnsi="Courier New" w:cs="Courier New" w:hint="default"/>
      </w:rPr>
    </w:lvl>
    <w:lvl w:ilvl="5" w:tplc="E9F28922" w:tentative="1">
      <w:start w:val="1"/>
      <w:numFmt w:val="bullet"/>
      <w:lvlText w:val=""/>
      <w:lvlJc w:val="left"/>
      <w:pPr>
        <w:ind w:left="4752" w:hanging="360"/>
      </w:pPr>
      <w:rPr>
        <w:rFonts w:ascii="Wingdings" w:hAnsi="Wingdings" w:hint="default"/>
      </w:rPr>
    </w:lvl>
    <w:lvl w:ilvl="6" w:tplc="57F24530" w:tentative="1">
      <w:start w:val="1"/>
      <w:numFmt w:val="bullet"/>
      <w:lvlText w:val=""/>
      <w:lvlJc w:val="left"/>
      <w:pPr>
        <w:ind w:left="5472" w:hanging="360"/>
      </w:pPr>
      <w:rPr>
        <w:rFonts w:ascii="Symbol" w:hAnsi="Symbol" w:hint="default"/>
      </w:rPr>
    </w:lvl>
    <w:lvl w:ilvl="7" w:tplc="C3949F90" w:tentative="1">
      <w:start w:val="1"/>
      <w:numFmt w:val="bullet"/>
      <w:lvlText w:val="o"/>
      <w:lvlJc w:val="left"/>
      <w:pPr>
        <w:ind w:left="6192" w:hanging="360"/>
      </w:pPr>
      <w:rPr>
        <w:rFonts w:ascii="Courier New" w:hAnsi="Courier New" w:cs="Courier New" w:hint="default"/>
      </w:rPr>
    </w:lvl>
    <w:lvl w:ilvl="8" w:tplc="E6981B64" w:tentative="1">
      <w:start w:val="1"/>
      <w:numFmt w:val="bullet"/>
      <w:lvlText w:val=""/>
      <w:lvlJc w:val="left"/>
      <w:pPr>
        <w:ind w:left="6912" w:hanging="360"/>
      </w:pPr>
      <w:rPr>
        <w:rFonts w:ascii="Wingdings" w:hAnsi="Wingdings" w:hint="default"/>
      </w:rPr>
    </w:lvl>
  </w:abstractNum>
  <w:abstractNum w:abstractNumId="16">
    <w:nsid w:val="60B377DE"/>
    <w:multiLevelType w:val="hybridMultilevel"/>
    <w:tmpl w:val="A3B4AE1C"/>
    <w:lvl w:ilvl="0" w:tplc="4080ECB0">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1548B71A">
      <w:start w:val="1"/>
      <w:numFmt w:val="bullet"/>
      <w:lvlText w:val=""/>
      <w:lvlJc w:val="left"/>
      <w:pPr>
        <w:ind w:left="792" w:hanging="360"/>
      </w:pPr>
      <w:rPr>
        <w:rFonts w:ascii="Symbol" w:hAnsi="Symbol" w:hint="default"/>
      </w:rPr>
    </w:lvl>
    <w:lvl w:ilvl="1" w:tplc="DD1E8594" w:tentative="1">
      <w:start w:val="1"/>
      <w:numFmt w:val="bullet"/>
      <w:lvlText w:val="o"/>
      <w:lvlJc w:val="left"/>
      <w:pPr>
        <w:ind w:left="1872" w:hanging="360"/>
      </w:pPr>
      <w:rPr>
        <w:rFonts w:ascii="Courier New" w:hAnsi="Courier New" w:cs="Courier New" w:hint="default"/>
      </w:rPr>
    </w:lvl>
    <w:lvl w:ilvl="2" w:tplc="200E215A" w:tentative="1">
      <w:start w:val="1"/>
      <w:numFmt w:val="bullet"/>
      <w:lvlText w:val=""/>
      <w:lvlJc w:val="left"/>
      <w:pPr>
        <w:ind w:left="2592" w:hanging="360"/>
      </w:pPr>
      <w:rPr>
        <w:rFonts w:ascii="Wingdings" w:hAnsi="Wingdings" w:hint="default"/>
      </w:rPr>
    </w:lvl>
    <w:lvl w:ilvl="3" w:tplc="C900B262" w:tentative="1">
      <w:start w:val="1"/>
      <w:numFmt w:val="bullet"/>
      <w:lvlText w:val=""/>
      <w:lvlJc w:val="left"/>
      <w:pPr>
        <w:ind w:left="3312" w:hanging="360"/>
      </w:pPr>
      <w:rPr>
        <w:rFonts w:ascii="Symbol" w:hAnsi="Symbol" w:hint="default"/>
      </w:rPr>
    </w:lvl>
    <w:lvl w:ilvl="4" w:tplc="E5848070" w:tentative="1">
      <w:start w:val="1"/>
      <w:numFmt w:val="bullet"/>
      <w:lvlText w:val="o"/>
      <w:lvlJc w:val="left"/>
      <w:pPr>
        <w:ind w:left="4032" w:hanging="360"/>
      </w:pPr>
      <w:rPr>
        <w:rFonts w:ascii="Courier New" w:hAnsi="Courier New" w:cs="Courier New" w:hint="default"/>
      </w:rPr>
    </w:lvl>
    <w:lvl w:ilvl="5" w:tplc="EDFC62B8" w:tentative="1">
      <w:start w:val="1"/>
      <w:numFmt w:val="bullet"/>
      <w:lvlText w:val=""/>
      <w:lvlJc w:val="left"/>
      <w:pPr>
        <w:ind w:left="4752" w:hanging="360"/>
      </w:pPr>
      <w:rPr>
        <w:rFonts w:ascii="Wingdings" w:hAnsi="Wingdings" w:hint="default"/>
      </w:rPr>
    </w:lvl>
    <w:lvl w:ilvl="6" w:tplc="C08E833C" w:tentative="1">
      <w:start w:val="1"/>
      <w:numFmt w:val="bullet"/>
      <w:lvlText w:val=""/>
      <w:lvlJc w:val="left"/>
      <w:pPr>
        <w:ind w:left="5472" w:hanging="360"/>
      </w:pPr>
      <w:rPr>
        <w:rFonts w:ascii="Symbol" w:hAnsi="Symbol" w:hint="default"/>
      </w:rPr>
    </w:lvl>
    <w:lvl w:ilvl="7" w:tplc="24D8C792" w:tentative="1">
      <w:start w:val="1"/>
      <w:numFmt w:val="bullet"/>
      <w:lvlText w:val="o"/>
      <w:lvlJc w:val="left"/>
      <w:pPr>
        <w:ind w:left="6192" w:hanging="360"/>
      </w:pPr>
      <w:rPr>
        <w:rFonts w:ascii="Courier New" w:hAnsi="Courier New" w:cs="Courier New" w:hint="default"/>
      </w:rPr>
    </w:lvl>
    <w:lvl w:ilvl="8" w:tplc="C4708196" w:tentative="1">
      <w:start w:val="1"/>
      <w:numFmt w:val="bullet"/>
      <w:lvlText w:val=""/>
      <w:lvlJc w:val="left"/>
      <w:pPr>
        <w:ind w:left="6912" w:hanging="360"/>
      </w:pPr>
      <w:rPr>
        <w:rFonts w:ascii="Wingdings" w:hAnsi="Wingdings" w:hint="default"/>
      </w:rPr>
    </w:lvl>
  </w:abstractNum>
  <w:abstractNum w:abstractNumId="21">
    <w:nsid w:val="6DCD1431"/>
    <w:multiLevelType w:val="hybridMultilevel"/>
    <w:tmpl w:val="E0769C14"/>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4"/>
  </w:num>
  <w:num w:numId="2">
    <w:abstractNumId w:val="22"/>
  </w:num>
  <w:num w:numId="3">
    <w:abstractNumId w:val="17"/>
  </w:num>
  <w:num w:numId="4">
    <w:abstractNumId w:val="2"/>
  </w:num>
  <w:num w:numId="5">
    <w:abstractNumId w:val="1"/>
  </w:num>
  <w:num w:numId="6">
    <w:abstractNumId w:val="23"/>
  </w:num>
  <w:num w:numId="7">
    <w:abstractNumId w:val="20"/>
  </w:num>
  <w:num w:numId="8">
    <w:abstractNumId w:val="6"/>
  </w:num>
  <w:num w:numId="9">
    <w:abstractNumId w:val="7"/>
  </w:num>
  <w:num w:numId="10">
    <w:abstractNumId w:val="9"/>
  </w:num>
  <w:num w:numId="11">
    <w:abstractNumId w:val="3"/>
  </w:num>
  <w:num w:numId="12">
    <w:abstractNumId w:val="18"/>
  </w:num>
  <w:num w:numId="13">
    <w:abstractNumId w:val="4"/>
  </w:num>
  <w:num w:numId="14">
    <w:abstractNumId w:val="15"/>
  </w:num>
  <w:num w:numId="15">
    <w:abstractNumId w:val="19"/>
  </w:num>
  <w:num w:numId="16">
    <w:abstractNumId w:val="8"/>
  </w:num>
  <w:num w:numId="17">
    <w:abstractNumId w:val="13"/>
  </w:num>
  <w:num w:numId="18">
    <w:abstractNumId w:val="0"/>
  </w:num>
  <w:num w:numId="19">
    <w:abstractNumId w:val="16"/>
  </w:num>
  <w:num w:numId="20">
    <w:abstractNumId w:val="21"/>
  </w:num>
  <w:num w:numId="21">
    <w:abstractNumId w:val="12"/>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5"/>
  </w:num>
  <w:num w:numId="27">
    <w:abstractNumId w:val="11"/>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doNotUseHTMLParagraphAutoSpacing/>
  </w:compat>
  <w:rsids>
    <w:rsidRoot w:val="00F97839"/>
    <w:rsid w:val="000015FB"/>
    <w:rsid w:val="00005F28"/>
    <w:rsid w:val="00006E1F"/>
    <w:rsid w:val="00007CA0"/>
    <w:rsid w:val="00007EA1"/>
    <w:rsid w:val="0001119F"/>
    <w:rsid w:val="00012372"/>
    <w:rsid w:val="00012863"/>
    <w:rsid w:val="00017DD1"/>
    <w:rsid w:val="00021A62"/>
    <w:rsid w:val="000300AF"/>
    <w:rsid w:val="00037098"/>
    <w:rsid w:val="00044C15"/>
    <w:rsid w:val="0004642C"/>
    <w:rsid w:val="00046CA3"/>
    <w:rsid w:val="00046E51"/>
    <w:rsid w:val="00052499"/>
    <w:rsid w:val="00053968"/>
    <w:rsid w:val="0006200B"/>
    <w:rsid w:val="00063123"/>
    <w:rsid w:val="00063FEF"/>
    <w:rsid w:val="00066AB9"/>
    <w:rsid w:val="00071B93"/>
    <w:rsid w:val="000769A1"/>
    <w:rsid w:val="00076CF0"/>
    <w:rsid w:val="00080DFA"/>
    <w:rsid w:val="000812AE"/>
    <w:rsid w:val="00081D47"/>
    <w:rsid w:val="00087206"/>
    <w:rsid w:val="00090099"/>
    <w:rsid w:val="00090529"/>
    <w:rsid w:val="000A4439"/>
    <w:rsid w:val="000A544F"/>
    <w:rsid w:val="000A7A8F"/>
    <w:rsid w:val="000B2BD0"/>
    <w:rsid w:val="000B3A77"/>
    <w:rsid w:val="000B7E70"/>
    <w:rsid w:val="000C0118"/>
    <w:rsid w:val="000C15B4"/>
    <w:rsid w:val="000C21AF"/>
    <w:rsid w:val="000C70DC"/>
    <w:rsid w:val="000C72F8"/>
    <w:rsid w:val="000D709F"/>
    <w:rsid w:val="000E1D9E"/>
    <w:rsid w:val="000E6D11"/>
    <w:rsid w:val="000F0BB8"/>
    <w:rsid w:val="000F79B9"/>
    <w:rsid w:val="000F7A59"/>
    <w:rsid w:val="001001FA"/>
    <w:rsid w:val="00105D23"/>
    <w:rsid w:val="00105E46"/>
    <w:rsid w:val="0010658F"/>
    <w:rsid w:val="001073C9"/>
    <w:rsid w:val="001110F1"/>
    <w:rsid w:val="00113335"/>
    <w:rsid w:val="001139E9"/>
    <w:rsid w:val="00114777"/>
    <w:rsid w:val="001203E7"/>
    <w:rsid w:val="00123EF4"/>
    <w:rsid w:val="00130424"/>
    <w:rsid w:val="001319FA"/>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2907"/>
    <w:rsid w:val="0016427A"/>
    <w:rsid w:val="00181F53"/>
    <w:rsid w:val="0018564C"/>
    <w:rsid w:val="001933B1"/>
    <w:rsid w:val="00194283"/>
    <w:rsid w:val="001A07D4"/>
    <w:rsid w:val="001B360E"/>
    <w:rsid w:val="001B7611"/>
    <w:rsid w:val="001B7B2C"/>
    <w:rsid w:val="001B7C6E"/>
    <w:rsid w:val="001C1EB4"/>
    <w:rsid w:val="001C6D08"/>
    <w:rsid w:val="001D11DE"/>
    <w:rsid w:val="001D247C"/>
    <w:rsid w:val="001D3C41"/>
    <w:rsid w:val="001D634E"/>
    <w:rsid w:val="001D69E5"/>
    <w:rsid w:val="001E045B"/>
    <w:rsid w:val="001E0AB2"/>
    <w:rsid w:val="001E466A"/>
    <w:rsid w:val="001E69D6"/>
    <w:rsid w:val="001E7467"/>
    <w:rsid w:val="001F5410"/>
    <w:rsid w:val="00200B10"/>
    <w:rsid w:val="00200CC4"/>
    <w:rsid w:val="002053F3"/>
    <w:rsid w:val="00215BF4"/>
    <w:rsid w:val="00216090"/>
    <w:rsid w:val="002165EB"/>
    <w:rsid w:val="00223990"/>
    <w:rsid w:val="0022402B"/>
    <w:rsid w:val="00231ECD"/>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CAB"/>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4BE2"/>
    <w:rsid w:val="002F1E71"/>
    <w:rsid w:val="002F440B"/>
    <w:rsid w:val="002F60A0"/>
    <w:rsid w:val="002F71D4"/>
    <w:rsid w:val="002F7C83"/>
    <w:rsid w:val="00300CE3"/>
    <w:rsid w:val="00303CF8"/>
    <w:rsid w:val="00307C04"/>
    <w:rsid w:val="00313100"/>
    <w:rsid w:val="00313671"/>
    <w:rsid w:val="00313E69"/>
    <w:rsid w:val="003142E6"/>
    <w:rsid w:val="00317EDA"/>
    <w:rsid w:val="00320EB3"/>
    <w:rsid w:val="00324697"/>
    <w:rsid w:val="00336A60"/>
    <w:rsid w:val="00342CD8"/>
    <w:rsid w:val="00343A0C"/>
    <w:rsid w:val="003462FF"/>
    <w:rsid w:val="00350399"/>
    <w:rsid w:val="00350E63"/>
    <w:rsid w:val="00353544"/>
    <w:rsid w:val="00353E51"/>
    <w:rsid w:val="00354942"/>
    <w:rsid w:val="00354C34"/>
    <w:rsid w:val="0035674B"/>
    <w:rsid w:val="003607F3"/>
    <w:rsid w:val="00362133"/>
    <w:rsid w:val="00363D69"/>
    <w:rsid w:val="00372AB1"/>
    <w:rsid w:val="00374549"/>
    <w:rsid w:val="00381A96"/>
    <w:rsid w:val="00381B5C"/>
    <w:rsid w:val="00386508"/>
    <w:rsid w:val="00391BE7"/>
    <w:rsid w:val="00394752"/>
    <w:rsid w:val="003A06E3"/>
    <w:rsid w:val="003A1506"/>
    <w:rsid w:val="003A1774"/>
    <w:rsid w:val="003A17E0"/>
    <w:rsid w:val="003A26BB"/>
    <w:rsid w:val="003A434E"/>
    <w:rsid w:val="003B1FFC"/>
    <w:rsid w:val="003B303A"/>
    <w:rsid w:val="003C0A5F"/>
    <w:rsid w:val="003C27A1"/>
    <w:rsid w:val="003C57EB"/>
    <w:rsid w:val="003D77B2"/>
    <w:rsid w:val="003E0A97"/>
    <w:rsid w:val="003E0D48"/>
    <w:rsid w:val="003E10A4"/>
    <w:rsid w:val="003E4DE6"/>
    <w:rsid w:val="003F68DF"/>
    <w:rsid w:val="00401627"/>
    <w:rsid w:val="00406374"/>
    <w:rsid w:val="0040780A"/>
    <w:rsid w:val="00407BBB"/>
    <w:rsid w:val="00410D8F"/>
    <w:rsid w:val="00410F60"/>
    <w:rsid w:val="004118E0"/>
    <w:rsid w:val="00412D08"/>
    <w:rsid w:val="00414FF6"/>
    <w:rsid w:val="004178CB"/>
    <w:rsid w:val="00417B7A"/>
    <w:rsid w:val="0042039D"/>
    <w:rsid w:val="0042391D"/>
    <w:rsid w:val="0042461E"/>
    <w:rsid w:val="00430121"/>
    <w:rsid w:val="004338D1"/>
    <w:rsid w:val="004353BB"/>
    <w:rsid w:val="0044551C"/>
    <w:rsid w:val="00446472"/>
    <w:rsid w:val="00446CE2"/>
    <w:rsid w:val="00446FAC"/>
    <w:rsid w:val="00447C62"/>
    <w:rsid w:val="00450873"/>
    <w:rsid w:val="00455C7B"/>
    <w:rsid w:val="00463045"/>
    <w:rsid w:val="004660F6"/>
    <w:rsid w:val="00474405"/>
    <w:rsid w:val="0047478B"/>
    <w:rsid w:val="00475483"/>
    <w:rsid w:val="00476CB1"/>
    <w:rsid w:val="00482D21"/>
    <w:rsid w:val="00483515"/>
    <w:rsid w:val="0048784E"/>
    <w:rsid w:val="00490847"/>
    <w:rsid w:val="00492B73"/>
    <w:rsid w:val="00494DE9"/>
    <w:rsid w:val="004A0392"/>
    <w:rsid w:val="004A071B"/>
    <w:rsid w:val="004A46CC"/>
    <w:rsid w:val="004A53B6"/>
    <w:rsid w:val="004B0D54"/>
    <w:rsid w:val="004B7A7F"/>
    <w:rsid w:val="004C24B2"/>
    <w:rsid w:val="004D62CD"/>
    <w:rsid w:val="004E7BD3"/>
    <w:rsid w:val="004E7D79"/>
    <w:rsid w:val="004F0B74"/>
    <w:rsid w:val="004F0B96"/>
    <w:rsid w:val="004F493C"/>
    <w:rsid w:val="004F6CCD"/>
    <w:rsid w:val="004F7785"/>
    <w:rsid w:val="0051027D"/>
    <w:rsid w:val="00514703"/>
    <w:rsid w:val="00525772"/>
    <w:rsid w:val="00531424"/>
    <w:rsid w:val="005314EE"/>
    <w:rsid w:val="0053475B"/>
    <w:rsid w:val="00537F22"/>
    <w:rsid w:val="00542523"/>
    <w:rsid w:val="00547C1F"/>
    <w:rsid w:val="005503A8"/>
    <w:rsid w:val="00557320"/>
    <w:rsid w:val="00557FE1"/>
    <w:rsid w:val="005604DC"/>
    <w:rsid w:val="005637D0"/>
    <w:rsid w:val="0056487B"/>
    <w:rsid w:val="00564E98"/>
    <w:rsid w:val="00576C4F"/>
    <w:rsid w:val="00577AE1"/>
    <w:rsid w:val="005811B3"/>
    <w:rsid w:val="00581746"/>
    <w:rsid w:val="00581EE2"/>
    <w:rsid w:val="00582CD2"/>
    <w:rsid w:val="00583141"/>
    <w:rsid w:val="00584664"/>
    <w:rsid w:val="0058753C"/>
    <w:rsid w:val="00587B55"/>
    <w:rsid w:val="00591AE6"/>
    <w:rsid w:val="00592E1A"/>
    <w:rsid w:val="005944EC"/>
    <w:rsid w:val="00597C9C"/>
    <w:rsid w:val="00597ECA"/>
    <w:rsid w:val="00597FEB"/>
    <w:rsid w:val="005A19C0"/>
    <w:rsid w:val="005A3631"/>
    <w:rsid w:val="005A3D02"/>
    <w:rsid w:val="005A4837"/>
    <w:rsid w:val="005A4E2C"/>
    <w:rsid w:val="005A52EB"/>
    <w:rsid w:val="005A66CB"/>
    <w:rsid w:val="005A6E5C"/>
    <w:rsid w:val="005B0472"/>
    <w:rsid w:val="005B58D2"/>
    <w:rsid w:val="005C228F"/>
    <w:rsid w:val="005C272F"/>
    <w:rsid w:val="005C746E"/>
    <w:rsid w:val="005D01A8"/>
    <w:rsid w:val="005D14D5"/>
    <w:rsid w:val="005E1375"/>
    <w:rsid w:val="005E7695"/>
    <w:rsid w:val="005F162C"/>
    <w:rsid w:val="005F430F"/>
    <w:rsid w:val="005F53E1"/>
    <w:rsid w:val="00600494"/>
    <w:rsid w:val="006150A8"/>
    <w:rsid w:val="0062522C"/>
    <w:rsid w:val="00626C58"/>
    <w:rsid w:val="006328E9"/>
    <w:rsid w:val="00635EC3"/>
    <w:rsid w:val="00636860"/>
    <w:rsid w:val="00637A61"/>
    <w:rsid w:val="0064008B"/>
    <w:rsid w:val="00641AC0"/>
    <w:rsid w:val="00645FA6"/>
    <w:rsid w:val="00651A87"/>
    <w:rsid w:val="00656171"/>
    <w:rsid w:val="006571CE"/>
    <w:rsid w:val="006607E7"/>
    <w:rsid w:val="00666769"/>
    <w:rsid w:val="00666A78"/>
    <w:rsid w:val="00670448"/>
    <w:rsid w:val="006714AC"/>
    <w:rsid w:val="00671E2B"/>
    <w:rsid w:val="00672F90"/>
    <w:rsid w:val="00674674"/>
    <w:rsid w:val="0067684B"/>
    <w:rsid w:val="00677BF6"/>
    <w:rsid w:val="00682BCD"/>
    <w:rsid w:val="00684908"/>
    <w:rsid w:val="0068692D"/>
    <w:rsid w:val="00690B57"/>
    <w:rsid w:val="00693667"/>
    <w:rsid w:val="006959AF"/>
    <w:rsid w:val="00695DB5"/>
    <w:rsid w:val="006A04F2"/>
    <w:rsid w:val="006A3DE8"/>
    <w:rsid w:val="006A5367"/>
    <w:rsid w:val="006A65E7"/>
    <w:rsid w:val="006A7614"/>
    <w:rsid w:val="006B0652"/>
    <w:rsid w:val="006B2B5D"/>
    <w:rsid w:val="006B43E8"/>
    <w:rsid w:val="006C5B99"/>
    <w:rsid w:val="006C5F78"/>
    <w:rsid w:val="006C6496"/>
    <w:rsid w:val="006D413F"/>
    <w:rsid w:val="006D4428"/>
    <w:rsid w:val="006D44FA"/>
    <w:rsid w:val="006D67B8"/>
    <w:rsid w:val="006D6B4E"/>
    <w:rsid w:val="006E2AEF"/>
    <w:rsid w:val="006E3DE1"/>
    <w:rsid w:val="006F053F"/>
    <w:rsid w:val="006F0832"/>
    <w:rsid w:val="006F168E"/>
    <w:rsid w:val="006F2F89"/>
    <w:rsid w:val="00702D34"/>
    <w:rsid w:val="007030ED"/>
    <w:rsid w:val="00707664"/>
    <w:rsid w:val="00711CA6"/>
    <w:rsid w:val="0071244B"/>
    <w:rsid w:val="00712A21"/>
    <w:rsid w:val="0071638E"/>
    <w:rsid w:val="00717B10"/>
    <w:rsid w:val="00720A3E"/>
    <w:rsid w:val="00720F11"/>
    <w:rsid w:val="0072114D"/>
    <w:rsid w:val="007214EF"/>
    <w:rsid w:val="00723C00"/>
    <w:rsid w:val="0072495B"/>
    <w:rsid w:val="00726DD4"/>
    <w:rsid w:val="00730892"/>
    <w:rsid w:val="00731A4C"/>
    <w:rsid w:val="00737A11"/>
    <w:rsid w:val="00742342"/>
    <w:rsid w:val="00742C8C"/>
    <w:rsid w:val="00744A14"/>
    <w:rsid w:val="00744CFB"/>
    <w:rsid w:val="0074653C"/>
    <w:rsid w:val="00747001"/>
    <w:rsid w:val="0074778F"/>
    <w:rsid w:val="00747B99"/>
    <w:rsid w:val="007525FD"/>
    <w:rsid w:val="00754E03"/>
    <w:rsid w:val="00763A57"/>
    <w:rsid w:val="00773734"/>
    <w:rsid w:val="007761AF"/>
    <w:rsid w:val="00776972"/>
    <w:rsid w:val="00777820"/>
    <w:rsid w:val="0078127B"/>
    <w:rsid w:val="00784BA2"/>
    <w:rsid w:val="00787468"/>
    <w:rsid w:val="007906CE"/>
    <w:rsid w:val="007959C1"/>
    <w:rsid w:val="00795B11"/>
    <w:rsid w:val="007A322C"/>
    <w:rsid w:val="007A5803"/>
    <w:rsid w:val="007B0B82"/>
    <w:rsid w:val="007B2015"/>
    <w:rsid w:val="007B2F7F"/>
    <w:rsid w:val="007B4E6A"/>
    <w:rsid w:val="007B5799"/>
    <w:rsid w:val="007B6D9E"/>
    <w:rsid w:val="007B705F"/>
    <w:rsid w:val="007B7F5D"/>
    <w:rsid w:val="007C0CD8"/>
    <w:rsid w:val="007C171D"/>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4638"/>
    <w:rsid w:val="007F58E6"/>
    <w:rsid w:val="007F686C"/>
    <w:rsid w:val="007F76BA"/>
    <w:rsid w:val="008046F2"/>
    <w:rsid w:val="00806376"/>
    <w:rsid w:val="00813568"/>
    <w:rsid w:val="00815170"/>
    <w:rsid w:val="00815ABB"/>
    <w:rsid w:val="00815DA7"/>
    <w:rsid w:val="008169DF"/>
    <w:rsid w:val="00816DF1"/>
    <w:rsid w:val="00821DD9"/>
    <w:rsid w:val="00833128"/>
    <w:rsid w:val="00840E7C"/>
    <w:rsid w:val="008421A1"/>
    <w:rsid w:val="008432EE"/>
    <w:rsid w:val="00850CF2"/>
    <w:rsid w:val="00851DFB"/>
    <w:rsid w:val="00855573"/>
    <w:rsid w:val="00857845"/>
    <w:rsid w:val="00857EEE"/>
    <w:rsid w:val="0086314C"/>
    <w:rsid w:val="0086519F"/>
    <w:rsid w:val="00865D38"/>
    <w:rsid w:val="008663FA"/>
    <w:rsid w:val="00871B05"/>
    <w:rsid w:val="00872197"/>
    <w:rsid w:val="00873713"/>
    <w:rsid w:val="00874265"/>
    <w:rsid w:val="00883BD4"/>
    <w:rsid w:val="008840EE"/>
    <w:rsid w:val="008845AE"/>
    <w:rsid w:val="00887A63"/>
    <w:rsid w:val="00893B1D"/>
    <w:rsid w:val="00894485"/>
    <w:rsid w:val="00895A2A"/>
    <w:rsid w:val="008A3B53"/>
    <w:rsid w:val="008A7139"/>
    <w:rsid w:val="008B032B"/>
    <w:rsid w:val="008B1F5A"/>
    <w:rsid w:val="008B43D6"/>
    <w:rsid w:val="008C0EA3"/>
    <w:rsid w:val="008C4666"/>
    <w:rsid w:val="008C4927"/>
    <w:rsid w:val="008D0DC0"/>
    <w:rsid w:val="008D129A"/>
    <w:rsid w:val="008D32DE"/>
    <w:rsid w:val="008D5B53"/>
    <w:rsid w:val="008E12AE"/>
    <w:rsid w:val="008E268B"/>
    <w:rsid w:val="008E27F1"/>
    <w:rsid w:val="008E602B"/>
    <w:rsid w:val="008F0865"/>
    <w:rsid w:val="008F312B"/>
    <w:rsid w:val="008F5A8F"/>
    <w:rsid w:val="009009D0"/>
    <w:rsid w:val="00902B68"/>
    <w:rsid w:val="00903CAA"/>
    <w:rsid w:val="00904211"/>
    <w:rsid w:val="00912344"/>
    <w:rsid w:val="00913D71"/>
    <w:rsid w:val="009156D2"/>
    <w:rsid w:val="0092134D"/>
    <w:rsid w:val="009269EA"/>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871B6"/>
    <w:rsid w:val="00994EDD"/>
    <w:rsid w:val="00997375"/>
    <w:rsid w:val="009A1591"/>
    <w:rsid w:val="009A31D5"/>
    <w:rsid w:val="009A4925"/>
    <w:rsid w:val="009A5B10"/>
    <w:rsid w:val="009B20BD"/>
    <w:rsid w:val="009B4174"/>
    <w:rsid w:val="009B61A1"/>
    <w:rsid w:val="009C0EAF"/>
    <w:rsid w:val="009C1F87"/>
    <w:rsid w:val="009C4947"/>
    <w:rsid w:val="009C5BA4"/>
    <w:rsid w:val="009C67C5"/>
    <w:rsid w:val="009C73BB"/>
    <w:rsid w:val="009E3E10"/>
    <w:rsid w:val="009E7EE8"/>
    <w:rsid w:val="009F0F58"/>
    <w:rsid w:val="009F3293"/>
    <w:rsid w:val="009F3745"/>
    <w:rsid w:val="009F450A"/>
    <w:rsid w:val="00A01202"/>
    <w:rsid w:val="00A0718C"/>
    <w:rsid w:val="00A10ACD"/>
    <w:rsid w:val="00A11049"/>
    <w:rsid w:val="00A129F1"/>
    <w:rsid w:val="00A25FCA"/>
    <w:rsid w:val="00A26CF0"/>
    <w:rsid w:val="00A274D2"/>
    <w:rsid w:val="00A27F1B"/>
    <w:rsid w:val="00A31BC3"/>
    <w:rsid w:val="00A320E2"/>
    <w:rsid w:val="00A3304F"/>
    <w:rsid w:val="00A337A3"/>
    <w:rsid w:val="00A3416C"/>
    <w:rsid w:val="00A356E7"/>
    <w:rsid w:val="00A36752"/>
    <w:rsid w:val="00A37976"/>
    <w:rsid w:val="00A42745"/>
    <w:rsid w:val="00A43B1C"/>
    <w:rsid w:val="00A467CE"/>
    <w:rsid w:val="00A46A80"/>
    <w:rsid w:val="00A5366E"/>
    <w:rsid w:val="00A55276"/>
    <w:rsid w:val="00A553D5"/>
    <w:rsid w:val="00A56BB5"/>
    <w:rsid w:val="00A56C6B"/>
    <w:rsid w:val="00A56FF1"/>
    <w:rsid w:val="00A60FFF"/>
    <w:rsid w:val="00A61A2C"/>
    <w:rsid w:val="00A6306A"/>
    <w:rsid w:val="00A63890"/>
    <w:rsid w:val="00A678FC"/>
    <w:rsid w:val="00A71B7A"/>
    <w:rsid w:val="00A72CF0"/>
    <w:rsid w:val="00A80A4F"/>
    <w:rsid w:val="00A82430"/>
    <w:rsid w:val="00A91891"/>
    <w:rsid w:val="00A92B92"/>
    <w:rsid w:val="00A9613A"/>
    <w:rsid w:val="00A973B2"/>
    <w:rsid w:val="00AA29C2"/>
    <w:rsid w:val="00AA7D4D"/>
    <w:rsid w:val="00AB0F92"/>
    <w:rsid w:val="00AB32B7"/>
    <w:rsid w:val="00AB567E"/>
    <w:rsid w:val="00AB66F6"/>
    <w:rsid w:val="00AB7907"/>
    <w:rsid w:val="00AC08A8"/>
    <w:rsid w:val="00AC3943"/>
    <w:rsid w:val="00AC4317"/>
    <w:rsid w:val="00AC4EA1"/>
    <w:rsid w:val="00AC5EBF"/>
    <w:rsid w:val="00AC6981"/>
    <w:rsid w:val="00AD1107"/>
    <w:rsid w:val="00AD4163"/>
    <w:rsid w:val="00AE2F54"/>
    <w:rsid w:val="00AE3A26"/>
    <w:rsid w:val="00AF1052"/>
    <w:rsid w:val="00AF10A3"/>
    <w:rsid w:val="00AF1B2F"/>
    <w:rsid w:val="00AF1D96"/>
    <w:rsid w:val="00AF7D27"/>
    <w:rsid w:val="00B03117"/>
    <w:rsid w:val="00B03537"/>
    <w:rsid w:val="00B04F57"/>
    <w:rsid w:val="00B0710D"/>
    <w:rsid w:val="00B13000"/>
    <w:rsid w:val="00B20019"/>
    <w:rsid w:val="00B21550"/>
    <w:rsid w:val="00B24137"/>
    <w:rsid w:val="00B31FEF"/>
    <w:rsid w:val="00B325E1"/>
    <w:rsid w:val="00B3381A"/>
    <w:rsid w:val="00B3588C"/>
    <w:rsid w:val="00B43736"/>
    <w:rsid w:val="00B43954"/>
    <w:rsid w:val="00B528FB"/>
    <w:rsid w:val="00B53F7E"/>
    <w:rsid w:val="00B559AA"/>
    <w:rsid w:val="00B564BC"/>
    <w:rsid w:val="00B56D64"/>
    <w:rsid w:val="00B620DB"/>
    <w:rsid w:val="00B62E57"/>
    <w:rsid w:val="00B63182"/>
    <w:rsid w:val="00B63270"/>
    <w:rsid w:val="00B64400"/>
    <w:rsid w:val="00B65228"/>
    <w:rsid w:val="00B67E03"/>
    <w:rsid w:val="00B70CD9"/>
    <w:rsid w:val="00B71319"/>
    <w:rsid w:val="00B714B7"/>
    <w:rsid w:val="00B71E67"/>
    <w:rsid w:val="00B7709A"/>
    <w:rsid w:val="00B82337"/>
    <w:rsid w:val="00B82E71"/>
    <w:rsid w:val="00B83493"/>
    <w:rsid w:val="00B940DD"/>
    <w:rsid w:val="00B95847"/>
    <w:rsid w:val="00B966ED"/>
    <w:rsid w:val="00BA23CB"/>
    <w:rsid w:val="00BA268A"/>
    <w:rsid w:val="00BA3D16"/>
    <w:rsid w:val="00BA3D8F"/>
    <w:rsid w:val="00BA4D76"/>
    <w:rsid w:val="00BA65A5"/>
    <w:rsid w:val="00BB2397"/>
    <w:rsid w:val="00BB3E59"/>
    <w:rsid w:val="00BB6193"/>
    <w:rsid w:val="00BB6A0B"/>
    <w:rsid w:val="00BB756B"/>
    <w:rsid w:val="00BC15E4"/>
    <w:rsid w:val="00BD1A05"/>
    <w:rsid w:val="00BD1B80"/>
    <w:rsid w:val="00BD5FBC"/>
    <w:rsid w:val="00BE335A"/>
    <w:rsid w:val="00BF187B"/>
    <w:rsid w:val="00C02961"/>
    <w:rsid w:val="00C02B5E"/>
    <w:rsid w:val="00C057EF"/>
    <w:rsid w:val="00C07274"/>
    <w:rsid w:val="00C125A2"/>
    <w:rsid w:val="00C14296"/>
    <w:rsid w:val="00C16B6E"/>
    <w:rsid w:val="00C2333D"/>
    <w:rsid w:val="00C2452C"/>
    <w:rsid w:val="00C2695D"/>
    <w:rsid w:val="00C32246"/>
    <w:rsid w:val="00C34B1C"/>
    <w:rsid w:val="00C41693"/>
    <w:rsid w:val="00C424E8"/>
    <w:rsid w:val="00C4260B"/>
    <w:rsid w:val="00C43792"/>
    <w:rsid w:val="00C450AE"/>
    <w:rsid w:val="00C510A3"/>
    <w:rsid w:val="00C53387"/>
    <w:rsid w:val="00C546B7"/>
    <w:rsid w:val="00C56ED2"/>
    <w:rsid w:val="00C62EB4"/>
    <w:rsid w:val="00C6623A"/>
    <w:rsid w:val="00C673E2"/>
    <w:rsid w:val="00C70000"/>
    <w:rsid w:val="00C70B6C"/>
    <w:rsid w:val="00C72FA1"/>
    <w:rsid w:val="00C74089"/>
    <w:rsid w:val="00C758F5"/>
    <w:rsid w:val="00C81DE1"/>
    <w:rsid w:val="00C828BE"/>
    <w:rsid w:val="00C8522E"/>
    <w:rsid w:val="00C86F65"/>
    <w:rsid w:val="00C87A21"/>
    <w:rsid w:val="00C90E85"/>
    <w:rsid w:val="00C910FF"/>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3F47"/>
    <w:rsid w:val="00CE4644"/>
    <w:rsid w:val="00CF1131"/>
    <w:rsid w:val="00CF3B83"/>
    <w:rsid w:val="00CF3E4E"/>
    <w:rsid w:val="00CF5581"/>
    <w:rsid w:val="00D10C52"/>
    <w:rsid w:val="00D11C16"/>
    <w:rsid w:val="00D1214E"/>
    <w:rsid w:val="00D12383"/>
    <w:rsid w:val="00D14FDB"/>
    <w:rsid w:val="00D150CA"/>
    <w:rsid w:val="00D15D3F"/>
    <w:rsid w:val="00D20BD0"/>
    <w:rsid w:val="00D230C5"/>
    <w:rsid w:val="00D2311D"/>
    <w:rsid w:val="00D25B56"/>
    <w:rsid w:val="00D27605"/>
    <w:rsid w:val="00D31DA0"/>
    <w:rsid w:val="00D3638A"/>
    <w:rsid w:val="00D36521"/>
    <w:rsid w:val="00D42C39"/>
    <w:rsid w:val="00D451FE"/>
    <w:rsid w:val="00D50690"/>
    <w:rsid w:val="00D50E23"/>
    <w:rsid w:val="00D531A3"/>
    <w:rsid w:val="00D61BF4"/>
    <w:rsid w:val="00D627AE"/>
    <w:rsid w:val="00D62AA3"/>
    <w:rsid w:val="00D62DF9"/>
    <w:rsid w:val="00D635DB"/>
    <w:rsid w:val="00D67274"/>
    <w:rsid w:val="00D725C4"/>
    <w:rsid w:val="00D77566"/>
    <w:rsid w:val="00D801DB"/>
    <w:rsid w:val="00D90DB4"/>
    <w:rsid w:val="00D94283"/>
    <w:rsid w:val="00DA0D05"/>
    <w:rsid w:val="00DA1A2E"/>
    <w:rsid w:val="00DA1AB2"/>
    <w:rsid w:val="00DA371A"/>
    <w:rsid w:val="00DA39C5"/>
    <w:rsid w:val="00DA5F2B"/>
    <w:rsid w:val="00DA621C"/>
    <w:rsid w:val="00DA7922"/>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0CF6"/>
    <w:rsid w:val="00E03491"/>
    <w:rsid w:val="00E04753"/>
    <w:rsid w:val="00E0544B"/>
    <w:rsid w:val="00E11E6A"/>
    <w:rsid w:val="00E12C39"/>
    <w:rsid w:val="00E13871"/>
    <w:rsid w:val="00E16A37"/>
    <w:rsid w:val="00E16CAA"/>
    <w:rsid w:val="00E25796"/>
    <w:rsid w:val="00E2600A"/>
    <w:rsid w:val="00E269B1"/>
    <w:rsid w:val="00E27502"/>
    <w:rsid w:val="00E275F9"/>
    <w:rsid w:val="00E3155F"/>
    <w:rsid w:val="00E33FB4"/>
    <w:rsid w:val="00E350C6"/>
    <w:rsid w:val="00E35802"/>
    <w:rsid w:val="00E36FE2"/>
    <w:rsid w:val="00E37AFD"/>
    <w:rsid w:val="00E51F41"/>
    <w:rsid w:val="00E5691B"/>
    <w:rsid w:val="00E601F3"/>
    <w:rsid w:val="00E61505"/>
    <w:rsid w:val="00E6158B"/>
    <w:rsid w:val="00E63ACD"/>
    <w:rsid w:val="00E66C78"/>
    <w:rsid w:val="00E673D2"/>
    <w:rsid w:val="00E701E0"/>
    <w:rsid w:val="00E72220"/>
    <w:rsid w:val="00E74213"/>
    <w:rsid w:val="00E76CD9"/>
    <w:rsid w:val="00E80549"/>
    <w:rsid w:val="00E81E91"/>
    <w:rsid w:val="00E85272"/>
    <w:rsid w:val="00E91E19"/>
    <w:rsid w:val="00E925EA"/>
    <w:rsid w:val="00E95106"/>
    <w:rsid w:val="00E95F26"/>
    <w:rsid w:val="00EA023E"/>
    <w:rsid w:val="00EA0EBF"/>
    <w:rsid w:val="00EC0B2E"/>
    <w:rsid w:val="00EC2333"/>
    <w:rsid w:val="00ED1CC5"/>
    <w:rsid w:val="00ED47C6"/>
    <w:rsid w:val="00ED74EC"/>
    <w:rsid w:val="00ED79BB"/>
    <w:rsid w:val="00EE0957"/>
    <w:rsid w:val="00EE0E4E"/>
    <w:rsid w:val="00EE38EA"/>
    <w:rsid w:val="00EF0715"/>
    <w:rsid w:val="00EF0B95"/>
    <w:rsid w:val="00EF1732"/>
    <w:rsid w:val="00EF3ABF"/>
    <w:rsid w:val="00EF636A"/>
    <w:rsid w:val="00EF6795"/>
    <w:rsid w:val="00EF776D"/>
    <w:rsid w:val="00EF7F86"/>
    <w:rsid w:val="00F03412"/>
    <w:rsid w:val="00F0389D"/>
    <w:rsid w:val="00F066E2"/>
    <w:rsid w:val="00F11C7E"/>
    <w:rsid w:val="00F11FE7"/>
    <w:rsid w:val="00F1261F"/>
    <w:rsid w:val="00F142BF"/>
    <w:rsid w:val="00F1508D"/>
    <w:rsid w:val="00F2451A"/>
    <w:rsid w:val="00F26136"/>
    <w:rsid w:val="00F30EFD"/>
    <w:rsid w:val="00F30F6D"/>
    <w:rsid w:val="00F31F97"/>
    <w:rsid w:val="00F32C89"/>
    <w:rsid w:val="00F336F6"/>
    <w:rsid w:val="00F35860"/>
    <w:rsid w:val="00F36C1D"/>
    <w:rsid w:val="00F37D6D"/>
    <w:rsid w:val="00F40E54"/>
    <w:rsid w:val="00F42C01"/>
    <w:rsid w:val="00F45261"/>
    <w:rsid w:val="00F5243D"/>
    <w:rsid w:val="00F570F0"/>
    <w:rsid w:val="00F5755F"/>
    <w:rsid w:val="00F62807"/>
    <w:rsid w:val="00F647CA"/>
    <w:rsid w:val="00F731D3"/>
    <w:rsid w:val="00F85E46"/>
    <w:rsid w:val="00F86BC4"/>
    <w:rsid w:val="00F8748A"/>
    <w:rsid w:val="00F87765"/>
    <w:rsid w:val="00F91251"/>
    <w:rsid w:val="00F94174"/>
    <w:rsid w:val="00F94FC8"/>
    <w:rsid w:val="00F96808"/>
    <w:rsid w:val="00F968DD"/>
    <w:rsid w:val="00F97839"/>
    <w:rsid w:val="00FA2139"/>
    <w:rsid w:val="00FA300C"/>
    <w:rsid w:val="00FA3E87"/>
    <w:rsid w:val="00FA63D5"/>
    <w:rsid w:val="00FA7F74"/>
    <w:rsid w:val="00FB0335"/>
    <w:rsid w:val="00FB3929"/>
    <w:rsid w:val="00FB6B35"/>
    <w:rsid w:val="00FB6B9E"/>
    <w:rsid w:val="00FB6CAC"/>
    <w:rsid w:val="00FC0EF5"/>
    <w:rsid w:val="00FC2E2B"/>
    <w:rsid w:val="00FC5611"/>
    <w:rsid w:val="00FC5F8C"/>
    <w:rsid w:val="00FC79B6"/>
    <w:rsid w:val="00FD1CCB"/>
    <w:rsid w:val="00FE130F"/>
    <w:rsid w:val="00FE2767"/>
    <w:rsid w:val="00FF09F2"/>
    <w:rsid w:val="00FF0DCF"/>
    <w:rsid w:val="00FF4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uiPriority w:val="99"/>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uiPriority w:val="99"/>
    <w:qFormat/>
    <w:rsid w:val="006D4428"/>
    <w:pPr>
      <w:outlineLvl w:val="8"/>
    </w:pPr>
  </w:style>
  <w:style w:type="character" w:customStyle="1" w:styleId="NormalSSChar">
    <w:name w:val="NormalSS Char"/>
    <w:basedOn w:val="DefaultParagraphFont"/>
    <w:link w:val="NormalSS"/>
    <w:rsid w:val="00F97839"/>
  </w:style>
  <w:style w:type="character" w:customStyle="1" w:styleId="Heading3Char">
    <w:name w:val="Heading 3 Char"/>
    <w:basedOn w:val="DefaultParagraphFont"/>
    <w:link w:val="Heading3"/>
    <w:rsid w:val="00AB66F6"/>
    <w:rPr>
      <w:b/>
    </w:rPr>
  </w:style>
  <w:style w:type="character" w:styleId="CommentReference">
    <w:name w:val="annotation reference"/>
    <w:basedOn w:val="DefaultParagraphFont"/>
    <w:uiPriority w:val="99"/>
    <w:semiHidden/>
    <w:unhideWhenUsed/>
    <w:rsid w:val="00AB66F6"/>
    <w:rPr>
      <w:sz w:val="16"/>
      <w:szCs w:val="16"/>
    </w:rPr>
  </w:style>
  <w:style w:type="paragraph" w:styleId="CommentText">
    <w:name w:val="annotation text"/>
    <w:basedOn w:val="Normal"/>
    <w:link w:val="CommentTextChar"/>
    <w:uiPriority w:val="99"/>
    <w:semiHidden/>
    <w:unhideWhenUsed/>
    <w:rsid w:val="00AB66F6"/>
    <w:pPr>
      <w:spacing w:line="240" w:lineRule="auto"/>
    </w:pPr>
    <w:rPr>
      <w:sz w:val="20"/>
      <w:szCs w:val="20"/>
    </w:rPr>
  </w:style>
  <w:style w:type="character" w:customStyle="1" w:styleId="CommentTextChar">
    <w:name w:val="Comment Text Char"/>
    <w:basedOn w:val="DefaultParagraphFont"/>
    <w:link w:val="CommentText"/>
    <w:uiPriority w:val="99"/>
    <w:semiHidden/>
    <w:rsid w:val="00AB66F6"/>
    <w:rPr>
      <w:sz w:val="20"/>
      <w:szCs w:val="20"/>
    </w:rPr>
  </w:style>
  <w:style w:type="paragraph" w:styleId="CommentSubject">
    <w:name w:val="annotation subject"/>
    <w:basedOn w:val="CommentText"/>
    <w:next w:val="CommentText"/>
    <w:link w:val="CommentSubjectChar"/>
    <w:uiPriority w:val="99"/>
    <w:semiHidden/>
    <w:unhideWhenUsed/>
    <w:rsid w:val="007F4638"/>
    <w:rPr>
      <w:b/>
      <w:bCs/>
    </w:rPr>
  </w:style>
  <w:style w:type="character" w:customStyle="1" w:styleId="CommentSubjectChar">
    <w:name w:val="Comment Subject Char"/>
    <w:basedOn w:val="CommentTextChar"/>
    <w:link w:val="CommentSubject"/>
    <w:uiPriority w:val="99"/>
    <w:semiHidden/>
    <w:rsid w:val="007F4638"/>
    <w:rPr>
      <w:b/>
      <w:bCs/>
    </w:rPr>
  </w:style>
  <w:style w:type="character" w:customStyle="1" w:styleId="FootnoteTextChar">
    <w:name w:val="Footnote Text Char"/>
    <w:basedOn w:val="DefaultParagraphFont"/>
    <w:link w:val="FootnoteText"/>
    <w:rsid w:val="00F26136"/>
    <w:rPr>
      <w:sz w:val="20"/>
    </w:rPr>
  </w:style>
  <w:style w:type="paragraph" w:styleId="Revision">
    <w:name w:val="Revision"/>
    <w:hidden/>
    <w:uiPriority w:val="99"/>
    <w:semiHidden/>
    <w:rsid w:val="005B58D2"/>
  </w:style>
</w:styles>
</file>

<file path=word/webSettings.xml><?xml version="1.0" encoding="utf-8"?>
<w:webSettings xmlns:r="http://schemas.openxmlformats.org/officeDocument/2006/relationships" xmlns:w="http://schemas.openxmlformats.org/wordprocessingml/2006/main">
  <w:divs>
    <w:div w:id="285041535">
      <w:bodyDiv w:val="1"/>
      <w:marLeft w:val="0"/>
      <w:marRight w:val="0"/>
      <w:marTop w:val="0"/>
      <w:marBottom w:val="0"/>
      <w:divBdr>
        <w:top w:val="none" w:sz="0" w:space="0" w:color="auto"/>
        <w:left w:val="none" w:sz="0" w:space="0" w:color="auto"/>
        <w:bottom w:val="none" w:sz="0" w:space="0" w:color="auto"/>
        <w:right w:val="none" w:sz="0" w:space="0" w:color="auto"/>
      </w:divBdr>
    </w:div>
    <w:div w:id="411202086">
      <w:bodyDiv w:val="1"/>
      <w:marLeft w:val="0"/>
      <w:marRight w:val="0"/>
      <w:marTop w:val="0"/>
      <w:marBottom w:val="0"/>
      <w:divBdr>
        <w:top w:val="none" w:sz="0" w:space="0" w:color="auto"/>
        <w:left w:val="none" w:sz="0" w:space="0" w:color="auto"/>
        <w:bottom w:val="none" w:sz="0" w:space="0" w:color="auto"/>
        <w:right w:val="none" w:sz="0" w:space="0" w:color="auto"/>
      </w:divBdr>
    </w:div>
    <w:div w:id="466438631">
      <w:bodyDiv w:val="1"/>
      <w:marLeft w:val="0"/>
      <w:marRight w:val="0"/>
      <w:marTop w:val="0"/>
      <w:marBottom w:val="0"/>
      <w:divBdr>
        <w:top w:val="none" w:sz="0" w:space="0" w:color="auto"/>
        <w:left w:val="none" w:sz="0" w:space="0" w:color="auto"/>
        <w:bottom w:val="none" w:sz="0" w:space="0" w:color="auto"/>
        <w:right w:val="none" w:sz="0" w:space="0" w:color="auto"/>
      </w:divBdr>
    </w:div>
    <w:div w:id="587234102">
      <w:bodyDiv w:val="1"/>
      <w:marLeft w:val="0"/>
      <w:marRight w:val="0"/>
      <w:marTop w:val="0"/>
      <w:marBottom w:val="0"/>
      <w:divBdr>
        <w:top w:val="none" w:sz="0" w:space="0" w:color="auto"/>
        <w:left w:val="none" w:sz="0" w:space="0" w:color="auto"/>
        <w:bottom w:val="none" w:sz="0" w:space="0" w:color="auto"/>
        <w:right w:val="none" w:sz="0" w:space="0" w:color="auto"/>
      </w:divBdr>
    </w:div>
    <w:div w:id="815801525">
      <w:bodyDiv w:val="1"/>
      <w:marLeft w:val="0"/>
      <w:marRight w:val="0"/>
      <w:marTop w:val="0"/>
      <w:marBottom w:val="0"/>
      <w:divBdr>
        <w:top w:val="none" w:sz="0" w:space="0" w:color="auto"/>
        <w:left w:val="none" w:sz="0" w:space="0" w:color="auto"/>
        <w:bottom w:val="none" w:sz="0" w:space="0" w:color="auto"/>
        <w:right w:val="none" w:sz="0" w:space="0" w:color="auto"/>
      </w:divBdr>
    </w:div>
    <w:div w:id="889536343">
      <w:bodyDiv w:val="1"/>
      <w:marLeft w:val="0"/>
      <w:marRight w:val="0"/>
      <w:marTop w:val="0"/>
      <w:marBottom w:val="0"/>
      <w:divBdr>
        <w:top w:val="none" w:sz="0" w:space="0" w:color="auto"/>
        <w:left w:val="none" w:sz="0" w:space="0" w:color="auto"/>
        <w:bottom w:val="none" w:sz="0" w:space="0" w:color="auto"/>
        <w:right w:val="none" w:sz="0" w:space="0" w:color="auto"/>
      </w:divBdr>
    </w:div>
    <w:div w:id="970480246">
      <w:bodyDiv w:val="1"/>
      <w:marLeft w:val="0"/>
      <w:marRight w:val="0"/>
      <w:marTop w:val="0"/>
      <w:marBottom w:val="0"/>
      <w:divBdr>
        <w:top w:val="none" w:sz="0" w:space="0" w:color="auto"/>
        <w:left w:val="none" w:sz="0" w:space="0" w:color="auto"/>
        <w:bottom w:val="none" w:sz="0" w:space="0" w:color="auto"/>
        <w:right w:val="none" w:sz="0" w:space="0" w:color="auto"/>
      </w:divBdr>
    </w:div>
    <w:div w:id="15260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5F19-93F8-43E0-9E19-F0A1E212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6374</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Samia Amin</dc:creator>
  <cp:lastModifiedBy>Stephanie Boraas</cp:lastModifiedBy>
  <cp:revision>6</cp:revision>
  <cp:lastPrinted>2014-05-29T20:56:00Z</cp:lastPrinted>
  <dcterms:created xsi:type="dcterms:W3CDTF">2014-05-28T17:58:00Z</dcterms:created>
  <dcterms:modified xsi:type="dcterms:W3CDTF">2014-05-30T11:43:00Z</dcterms:modified>
</cp:coreProperties>
</file>