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638D2" w14:textId="77777777" w:rsidR="00855ABA" w:rsidRPr="00891591" w:rsidRDefault="00855ABA" w:rsidP="00FF1C6E">
      <w:pPr>
        <w:tabs>
          <w:tab w:val="left" w:pos="5220"/>
        </w:tabs>
        <w:rPr>
          <w:b/>
          <w:sz w:val="22"/>
          <w:szCs w:val="28"/>
        </w:rPr>
      </w:pPr>
    </w:p>
    <w:p w14:paraId="478486AE" w14:textId="77777777" w:rsidR="00DB30BA" w:rsidRDefault="00DB30BA" w:rsidP="00C64EFE">
      <w:pPr>
        <w:jc w:val="center"/>
        <w:rPr>
          <w:b/>
          <w:bCs/>
          <w:sz w:val="23"/>
          <w:szCs w:val="23"/>
        </w:rPr>
      </w:pPr>
    </w:p>
    <w:p w14:paraId="4547661D" w14:textId="77777777" w:rsidR="00356B39" w:rsidRDefault="00356B39" w:rsidP="00C64EFE">
      <w:pPr>
        <w:jc w:val="center"/>
        <w:rPr>
          <w:b/>
          <w:bCs/>
          <w:sz w:val="23"/>
          <w:szCs w:val="23"/>
        </w:rPr>
      </w:pPr>
    </w:p>
    <w:p w14:paraId="422FA65D" w14:textId="77777777" w:rsidR="00DB30BA" w:rsidRDefault="00DB30BA" w:rsidP="00C64EFE">
      <w:pPr>
        <w:jc w:val="center"/>
        <w:rPr>
          <w:b/>
          <w:bCs/>
          <w:sz w:val="23"/>
          <w:szCs w:val="23"/>
        </w:rPr>
      </w:pPr>
    </w:p>
    <w:p w14:paraId="29027977" w14:textId="77777777" w:rsidR="008534E4" w:rsidRPr="001B678D" w:rsidRDefault="00855ABA" w:rsidP="00C64EFE">
      <w:pPr>
        <w:jc w:val="center"/>
        <w:rPr>
          <w:b/>
          <w:bCs/>
          <w:sz w:val="23"/>
          <w:szCs w:val="23"/>
        </w:rPr>
      </w:pPr>
      <w:r w:rsidRPr="001B678D">
        <w:rPr>
          <w:b/>
          <w:bCs/>
          <w:sz w:val="23"/>
          <w:szCs w:val="23"/>
        </w:rPr>
        <w:t>Supporting Statement</w:t>
      </w:r>
    </w:p>
    <w:p w14:paraId="562A3CCE" w14:textId="1F8B33FE" w:rsidR="008534E4" w:rsidRPr="001B678D" w:rsidRDefault="00651005" w:rsidP="001B678D">
      <w:pPr>
        <w:jc w:val="center"/>
        <w:rPr>
          <w:b/>
          <w:sz w:val="23"/>
          <w:szCs w:val="23"/>
        </w:rPr>
      </w:pPr>
      <w:r w:rsidRPr="001B678D">
        <w:rPr>
          <w:b/>
          <w:sz w:val="23"/>
          <w:szCs w:val="23"/>
        </w:rPr>
        <w:t>On the Road to Retirement Surveys</w:t>
      </w:r>
      <w:r w:rsidR="008534E4" w:rsidRPr="001B678D">
        <w:rPr>
          <w:b/>
          <w:sz w:val="23"/>
          <w:szCs w:val="23"/>
        </w:rPr>
        <w:t>:</w:t>
      </w:r>
      <w:r w:rsidR="001B678D">
        <w:rPr>
          <w:b/>
          <w:sz w:val="23"/>
          <w:szCs w:val="23"/>
        </w:rPr>
        <w:t xml:space="preserve"> </w:t>
      </w:r>
      <w:r w:rsidR="004301F5" w:rsidRPr="001B678D">
        <w:rPr>
          <w:b/>
          <w:sz w:val="23"/>
          <w:szCs w:val="23"/>
        </w:rPr>
        <w:t>Investigating Retirement Planning Decision-Making</w:t>
      </w:r>
      <w:r w:rsidR="00FA4E21" w:rsidRPr="001B678D">
        <w:rPr>
          <w:b/>
          <w:sz w:val="23"/>
          <w:szCs w:val="23"/>
        </w:rPr>
        <w:t xml:space="preserve"> and</w:t>
      </w:r>
      <w:r w:rsidR="001B678D">
        <w:rPr>
          <w:b/>
          <w:sz w:val="23"/>
          <w:szCs w:val="23"/>
        </w:rPr>
        <w:t xml:space="preserve"> </w:t>
      </w:r>
      <w:r w:rsidR="004301F5" w:rsidRPr="001B678D">
        <w:rPr>
          <w:b/>
          <w:sz w:val="23"/>
          <w:szCs w:val="23"/>
        </w:rPr>
        <w:t>the Evolution of Individuals’ Retirement Planning Decisions over Time</w:t>
      </w:r>
    </w:p>
    <w:p w14:paraId="2D6B9C81" w14:textId="77777777" w:rsidR="008534E4" w:rsidRDefault="008534E4" w:rsidP="00FF1C6E">
      <w:pPr>
        <w:rPr>
          <w:b/>
          <w:sz w:val="23"/>
          <w:szCs w:val="23"/>
        </w:rPr>
      </w:pPr>
    </w:p>
    <w:p w14:paraId="390E1FDE" w14:textId="77777777" w:rsidR="00DB30BA" w:rsidRDefault="00DB30BA" w:rsidP="00FF1C6E">
      <w:pPr>
        <w:rPr>
          <w:b/>
          <w:sz w:val="23"/>
          <w:szCs w:val="23"/>
        </w:rPr>
      </w:pPr>
    </w:p>
    <w:p w14:paraId="6DE95892" w14:textId="77777777" w:rsidR="00DB30BA" w:rsidRDefault="00DB30BA" w:rsidP="00FF1C6E">
      <w:pPr>
        <w:rPr>
          <w:b/>
          <w:sz w:val="23"/>
          <w:szCs w:val="23"/>
        </w:rPr>
      </w:pPr>
    </w:p>
    <w:p w14:paraId="2BF7B979" w14:textId="77777777" w:rsidR="00DB30BA" w:rsidRPr="001B678D" w:rsidRDefault="00DB30BA" w:rsidP="00FF1C6E">
      <w:pPr>
        <w:rPr>
          <w:b/>
          <w:sz w:val="23"/>
          <w:szCs w:val="23"/>
        </w:rPr>
      </w:pPr>
    </w:p>
    <w:p w14:paraId="4B5F0CF8" w14:textId="77777777" w:rsidR="00855ABA" w:rsidRPr="001B678D" w:rsidRDefault="00855ABA" w:rsidP="00FF1C6E">
      <w:pPr>
        <w:rPr>
          <w:b/>
          <w:sz w:val="23"/>
          <w:szCs w:val="23"/>
        </w:rPr>
      </w:pPr>
      <w:r w:rsidRPr="001B678D">
        <w:rPr>
          <w:b/>
          <w:sz w:val="23"/>
          <w:szCs w:val="23"/>
        </w:rPr>
        <w:t xml:space="preserve">Table of </w:t>
      </w:r>
      <w:r w:rsidR="004301F5" w:rsidRPr="001B678D">
        <w:rPr>
          <w:b/>
          <w:sz w:val="23"/>
          <w:szCs w:val="23"/>
        </w:rPr>
        <w:t>C</w:t>
      </w:r>
      <w:r w:rsidRPr="001B678D">
        <w:rPr>
          <w:b/>
          <w:sz w:val="23"/>
          <w:szCs w:val="23"/>
        </w:rPr>
        <w:t>ontents</w:t>
      </w:r>
    </w:p>
    <w:p w14:paraId="07E126A6" w14:textId="77777777" w:rsidR="005A3ED0" w:rsidRPr="00CA5680" w:rsidRDefault="002307A2">
      <w:pPr>
        <w:pStyle w:val="TOC1"/>
        <w:rPr>
          <w:rFonts w:asciiTheme="minorHAnsi" w:eastAsiaTheme="minorEastAsia" w:hAnsiTheme="minorHAnsi" w:cstheme="minorBidi"/>
          <w:bCs w:val="0"/>
          <w:sz w:val="23"/>
          <w:szCs w:val="23"/>
        </w:rPr>
      </w:pPr>
      <w:r w:rsidRPr="00CA5680">
        <w:rPr>
          <w:sz w:val="23"/>
          <w:szCs w:val="23"/>
        </w:rPr>
        <w:fldChar w:fldCharType="begin"/>
      </w:r>
      <w:r w:rsidR="00855ABA" w:rsidRPr="00CA5680">
        <w:rPr>
          <w:sz w:val="23"/>
          <w:szCs w:val="23"/>
        </w:rPr>
        <w:instrText xml:space="preserve"> TOC \o "1-3" \h \z \u </w:instrText>
      </w:r>
      <w:r w:rsidRPr="00CA5680">
        <w:rPr>
          <w:sz w:val="23"/>
          <w:szCs w:val="23"/>
        </w:rPr>
        <w:fldChar w:fldCharType="separate"/>
      </w:r>
      <w:hyperlink w:anchor="_Toc479522838" w:history="1">
        <w:r w:rsidR="005A3ED0" w:rsidRPr="00CA5680">
          <w:rPr>
            <w:rStyle w:val="Hyperlink"/>
            <w:sz w:val="23"/>
            <w:szCs w:val="23"/>
          </w:rPr>
          <w:t>A.</w:t>
        </w:r>
        <w:r w:rsidR="005A3ED0" w:rsidRPr="00CA5680">
          <w:rPr>
            <w:rFonts w:asciiTheme="minorHAnsi" w:eastAsiaTheme="minorEastAsia" w:hAnsiTheme="minorHAnsi" w:cstheme="minorBidi"/>
            <w:bCs w:val="0"/>
            <w:sz w:val="23"/>
            <w:szCs w:val="23"/>
          </w:rPr>
          <w:tab/>
        </w:r>
        <w:r w:rsidR="005A3ED0" w:rsidRPr="00CA5680">
          <w:rPr>
            <w:rStyle w:val="Hyperlink"/>
            <w:sz w:val="23"/>
            <w:szCs w:val="23"/>
          </w:rPr>
          <w:t>Justification</w:t>
        </w:r>
        <w:r w:rsidR="005A3ED0" w:rsidRPr="00CA5680">
          <w:rPr>
            <w:webHidden/>
            <w:sz w:val="23"/>
            <w:szCs w:val="23"/>
          </w:rPr>
          <w:tab/>
        </w:r>
        <w:r w:rsidR="005A3ED0" w:rsidRPr="00CA5680">
          <w:rPr>
            <w:webHidden/>
            <w:sz w:val="23"/>
            <w:szCs w:val="23"/>
          </w:rPr>
          <w:fldChar w:fldCharType="begin"/>
        </w:r>
        <w:r w:rsidR="005A3ED0" w:rsidRPr="00CA5680">
          <w:rPr>
            <w:webHidden/>
            <w:sz w:val="23"/>
            <w:szCs w:val="23"/>
          </w:rPr>
          <w:instrText xml:space="preserve"> PAGEREF _Toc479522838 \h </w:instrText>
        </w:r>
        <w:r w:rsidR="005A3ED0" w:rsidRPr="00CA5680">
          <w:rPr>
            <w:webHidden/>
            <w:sz w:val="23"/>
            <w:szCs w:val="23"/>
          </w:rPr>
        </w:r>
        <w:r w:rsidR="005A3ED0" w:rsidRPr="00CA5680">
          <w:rPr>
            <w:webHidden/>
            <w:sz w:val="23"/>
            <w:szCs w:val="23"/>
          </w:rPr>
          <w:fldChar w:fldCharType="separate"/>
        </w:r>
        <w:r w:rsidR="000205AA">
          <w:rPr>
            <w:webHidden/>
            <w:sz w:val="23"/>
            <w:szCs w:val="23"/>
          </w:rPr>
          <w:t>2</w:t>
        </w:r>
        <w:r w:rsidR="005A3ED0" w:rsidRPr="00CA5680">
          <w:rPr>
            <w:webHidden/>
            <w:sz w:val="23"/>
            <w:szCs w:val="23"/>
          </w:rPr>
          <w:fldChar w:fldCharType="end"/>
        </w:r>
      </w:hyperlink>
    </w:p>
    <w:p w14:paraId="63946BF8" w14:textId="77777777" w:rsidR="005A3ED0" w:rsidRPr="00CA5680" w:rsidRDefault="000205AA">
      <w:pPr>
        <w:pStyle w:val="TOC2"/>
        <w:rPr>
          <w:rFonts w:asciiTheme="minorHAnsi" w:eastAsiaTheme="minorEastAsia" w:hAnsiTheme="minorHAnsi" w:cstheme="minorBidi"/>
          <w:noProof/>
          <w:sz w:val="23"/>
          <w:szCs w:val="23"/>
        </w:rPr>
      </w:pPr>
      <w:hyperlink w:anchor="_Toc479522839" w:history="1">
        <w:r w:rsidR="005A3ED0" w:rsidRPr="00CA5680">
          <w:rPr>
            <w:rStyle w:val="Hyperlink"/>
            <w:noProof/>
            <w:sz w:val="23"/>
            <w:szCs w:val="23"/>
          </w:rPr>
          <w:t>A.1. Circumstances Making the Collection of Information Necessary</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_Toc479522839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w:t>
        </w:r>
        <w:r w:rsidR="005A3ED0" w:rsidRPr="00CA5680">
          <w:rPr>
            <w:noProof/>
            <w:webHidden/>
            <w:sz w:val="23"/>
            <w:szCs w:val="23"/>
          </w:rPr>
          <w:fldChar w:fldCharType="end"/>
        </w:r>
      </w:hyperlink>
    </w:p>
    <w:p w14:paraId="4FFEF5BD" w14:textId="77777777" w:rsidR="005A3ED0" w:rsidRPr="00CA5680" w:rsidRDefault="000205AA">
      <w:pPr>
        <w:pStyle w:val="TOC2"/>
        <w:rPr>
          <w:rFonts w:asciiTheme="minorHAnsi" w:eastAsiaTheme="minorEastAsia" w:hAnsiTheme="minorHAnsi" w:cstheme="minorBidi"/>
          <w:noProof/>
          <w:sz w:val="23"/>
          <w:szCs w:val="23"/>
        </w:rPr>
      </w:pPr>
      <w:hyperlink w:anchor="_Toc479522840" w:history="1">
        <w:r w:rsidR="005A3ED0" w:rsidRPr="00CA5680">
          <w:rPr>
            <w:rStyle w:val="Hyperlink"/>
            <w:noProof/>
            <w:sz w:val="23"/>
            <w:szCs w:val="23"/>
          </w:rPr>
          <w:t>A.2. Purpose and Use of Information Collection</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_Toc479522840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3</w:t>
        </w:r>
        <w:r w:rsidR="005A3ED0" w:rsidRPr="00CA5680">
          <w:rPr>
            <w:noProof/>
            <w:webHidden/>
            <w:sz w:val="23"/>
            <w:szCs w:val="23"/>
          </w:rPr>
          <w:fldChar w:fldCharType="end"/>
        </w:r>
      </w:hyperlink>
    </w:p>
    <w:p w14:paraId="03263C0A" w14:textId="77777777" w:rsidR="005A3ED0" w:rsidRPr="00CA5680" w:rsidRDefault="000205AA">
      <w:pPr>
        <w:pStyle w:val="TOC2"/>
        <w:rPr>
          <w:rFonts w:asciiTheme="minorHAnsi" w:eastAsiaTheme="minorEastAsia" w:hAnsiTheme="minorHAnsi" w:cstheme="minorBidi"/>
          <w:noProof/>
          <w:sz w:val="23"/>
          <w:szCs w:val="23"/>
        </w:rPr>
      </w:pPr>
      <w:hyperlink w:anchor="_Toc479522841" w:history="1">
        <w:r w:rsidR="005A3ED0" w:rsidRPr="00CA5680">
          <w:rPr>
            <w:rStyle w:val="Hyperlink"/>
            <w:noProof/>
            <w:sz w:val="23"/>
            <w:szCs w:val="23"/>
          </w:rPr>
          <w:t>A.3. Use of Improved Information Technology and Burden Reduction</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_Toc479522841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4</w:t>
        </w:r>
        <w:r w:rsidR="005A3ED0" w:rsidRPr="00CA5680">
          <w:rPr>
            <w:noProof/>
            <w:webHidden/>
            <w:sz w:val="23"/>
            <w:szCs w:val="23"/>
          </w:rPr>
          <w:fldChar w:fldCharType="end"/>
        </w:r>
      </w:hyperlink>
    </w:p>
    <w:p w14:paraId="6CDA0015" w14:textId="77777777" w:rsidR="005A3ED0" w:rsidRPr="00CA5680" w:rsidRDefault="000205AA">
      <w:pPr>
        <w:pStyle w:val="TOC2"/>
        <w:rPr>
          <w:rFonts w:asciiTheme="minorHAnsi" w:eastAsiaTheme="minorEastAsia" w:hAnsiTheme="minorHAnsi" w:cstheme="minorBidi"/>
          <w:noProof/>
          <w:sz w:val="23"/>
          <w:szCs w:val="23"/>
        </w:rPr>
      </w:pPr>
      <w:hyperlink w:anchor="_Toc479522842" w:history="1">
        <w:r w:rsidR="005A3ED0" w:rsidRPr="00CA5680">
          <w:rPr>
            <w:rStyle w:val="Hyperlink"/>
            <w:noProof/>
            <w:sz w:val="23"/>
            <w:szCs w:val="23"/>
          </w:rPr>
          <w:t>A.4. Efforts to Identify Duplication and Use of Similar Information</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_Toc479522842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5</w:t>
        </w:r>
        <w:r w:rsidR="005A3ED0" w:rsidRPr="00CA5680">
          <w:rPr>
            <w:noProof/>
            <w:webHidden/>
            <w:sz w:val="23"/>
            <w:szCs w:val="23"/>
          </w:rPr>
          <w:fldChar w:fldCharType="end"/>
        </w:r>
      </w:hyperlink>
    </w:p>
    <w:p w14:paraId="0242052B" w14:textId="77777777" w:rsidR="005A3ED0" w:rsidRPr="00CA5680" w:rsidRDefault="000205AA">
      <w:pPr>
        <w:pStyle w:val="TOC2"/>
        <w:rPr>
          <w:rFonts w:asciiTheme="minorHAnsi" w:eastAsiaTheme="minorEastAsia" w:hAnsiTheme="minorHAnsi" w:cstheme="minorBidi"/>
          <w:noProof/>
          <w:sz w:val="23"/>
          <w:szCs w:val="23"/>
        </w:rPr>
      </w:pPr>
      <w:hyperlink w:anchor="_Toc479522843" w:history="1">
        <w:r w:rsidR="005A3ED0" w:rsidRPr="00CA5680">
          <w:rPr>
            <w:rStyle w:val="Hyperlink"/>
            <w:noProof/>
            <w:sz w:val="23"/>
            <w:szCs w:val="23"/>
          </w:rPr>
          <w:t>A.5. Impact on Small Businesses or Other Small Entities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_Toc479522843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6</w:t>
        </w:r>
        <w:r w:rsidR="005A3ED0" w:rsidRPr="00CA5680">
          <w:rPr>
            <w:noProof/>
            <w:webHidden/>
            <w:sz w:val="23"/>
            <w:szCs w:val="23"/>
          </w:rPr>
          <w:fldChar w:fldCharType="end"/>
        </w:r>
      </w:hyperlink>
    </w:p>
    <w:p w14:paraId="39CCFD71" w14:textId="77777777" w:rsidR="005A3ED0" w:rsidRPr="00CA5680" w:rsidRDefault="000205AA">
      <w:pPr>
        <w:pStyle w:val="TOC2"/>
        <w:rPr>
          <w:rFonts w:asciiTheme="minorHAnsi" w:eastAsiaTheme="minorEastAsia" w:hAnsiTheme="minorHAnsi" w:cstheme="minorBidi"/>
          <w:noProof/>
          <w:sz w:val="23"/>
          <w:szCs w:val="23"/>
        </w:rPr>
      </w:pPr>
      <w:hyperlink w:anchor="_Toc479522844" w:history="1">
        <w:r w:rsidR="005A3ED0" w:rsidRPr="00CA5680">
          <w:rPr>
            <w:rStyle w:val="Hyperlink"/>
            <w:noProof/>
            <w:sz w:val="23"/>
            <w:szCs w:val="23"/>
          </w:rPr>
          <w:t>A.6. Consequences of Not Collecting the Information or Less Frequent Collection</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_Toc479522844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6</w:t>
        </w:r>
        <w:r w:rsidR="005A3ED0" w:rsidRPr="00CA5680">
          <w:rPr>
            <w:noProof/>
            <w:webHidden/>
            <w:sz w:val="23"/>
            <w:szCs w:val="23"/>
          </w:rPr>
          <w:fldChar w:fldCharType="end"/>
        </w:r>
      </w:hyperlink>
    </w:p>
    <w:p w14:paraId="0823A216" w14:textId="77777777" w:rsidR="005A3ED0" w:rsidRPr="00CA5680" w:rsidRDefault="000205AA">
      <w:pPr>
        <w:pStyle w:val="TOC2"/>
        <w:rPr>
          <w:rFonts w:asciiTheme="minorHAnsi" w:eastAsiaTheme="minorEastAsia" w:hAnsiTheme="minorHAnsi" w:cstheme="minorBidi"/>
          <w:noProof/>
          <w:sz w:val="23"/>
          <w:szCs w:val="23"/>
        </w:rPr>
      </w:pPr>
      <w:hyperlink w:anchor="_Toc479522845" w:history="1">
        <w:r w:rsidR="005A3ED0" w:rsidRPr="00CA5680">
          <w:rPr>
            <w:rStyle w:val="Hyperlink"/>
            <w:noProof/>
            <w:sz w:val="23"/>
            <w:szCs w:val="23"/>
          </w:rPr>
          <w:t>A.7. Special Circumstances Relating to the Guidelines of 5 CFR 1320.5</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_Toc479522845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6</w:t>
        </w:r>
        <w:r w:rsidR="005A3ED0" w:rsidRPr="00CA5680">
          <w:rPr>
            <w:noProof/>
            <w:webHidden/>
            <w:sz w:val="23"/>
            <w:szCs w:val="23"/>
          </w:rPr>
          <w:fldChar w:fldCharType="end"/>
        </w:r>
      </w:hyperlink>
    </w:p>
    <w:p w14:paraId="5A0DDBCA" w14:textId="77777777" w:rsidR="005A3ED0" w:rsidRPr="00CA5680" w:rsidRDefault="000205AA">
      <w:pPr>
        <w:pStyle w:val="TOC2"/>
        <w:rPr>
          <w:rFonts w:asciiTheme="minorHAnsi" w:eastAsiaTheme="minorEastAsia" w:hAnsiTheme="minorHAnsi" w:cstheme="minorBidi"/>
          <w:noProof/>
          <w:sz w:val="23"/>
          <w:szCs w:val="23"/>
        </w:rPr>
      </w:pPr>
      <w:hyperlink w:anchor="_Toc479522846" w:history="1">
        <w:r w:rsidR="005A3ED0" w:rsidRPr="00CA5680">
          <w:rPr>
            <w:rStyle w:val="Hyperlink"/>
            <w:noProof/>
            <w:sz w:val="23"/>
            <w:szCs w:val="23"/>
          </w:rPr>
          <w:t>A.8. Comments in Response to the Federal Register Notice/Outside Consultation</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_Toc479522846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7</w:t>
        </w:r>
        <w:r w:rsidR="005A3ED0" w:rsidRPr="00CA5680">
          <w:rPr>
            <w:noProof/>
            <w:webHidden/>
            <w:sz w:val="23"/>
            <w:szCs w:val="23"/>
          </w:rPr>
          <w:fldChar w:fldCharType="end"/>
        </w:r>
      </w:hyperlink>
    </w:p>
    <w:p w14:paraId="60B5BE41" w14:textId="77777777" w:rsidR="005A3ED0" w:rsidRPr="00CA5680" w:rsidRDefault="000205AA">
      <w:pPr>
        <w:pStyle w:val="TOC3"/>
        <w:tabs>
          <w:tab w:val="right" w:leader="dot" w:pos="9350"/>
        </w:tabs>
        <w:rPr>
          <w:rFonts w:asciiTheme="minorHAnsi" w:eastAsiaTheme="minorEastAsia" w:hAnsiTheme="minorHAnsi" w:cstheme="minorBidi"/>
          <w:noProof/>
          <w:sz w:val="23"/>
          <w:szCs w:val="23"/>
        </w:rPr>
      </w:pPr>
      <w:hyperlink w:anchor="_Toc479522847" w:history="1">
        <w:r w:rsidR="005A3ED0" w:rsidRPr="00CA5680">
          <w:rPr>
            <w:rStyle w:val="Hyperlink"/>
            <w:noProof/>
            <w:sz w:val="23"/>
            <w:szCs w:val="23"/>
          </w:rPr>
          <w:t>A.8.a. Sample Design, Longitudinal Structure, and Cost of the Surveys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_Toc479522847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8</w:t>
        </w:r>
        <w:r w:rsidR="005A3ED0" w:rsidRPr="00CA5680">
          <w:rPr>
            <w:noProof/>
            <w:webHidden/>
            <w:sz w:val="23"/>
            <w:szCs w:val="23"/>
          </w:rPr>
          <w:fldChar w:fldCharType="end"/>
        </w:r>
      </w:hyperlink>
    </w:p>
    <w:p w14:paraId="3750B6B4" w14:textId="77777777" w:rsidR="005A3ED0" w:rsidRPr="00CA5680" w:rsidRDefault="000205AA">
      <w:pPr>
        <w:pStyle w:val="TOC3"/>
        <w:tabs>
          <w:tab w:val="right" w:leader="dot" w:pos="9350"/>
        </w:tabs>
        <w:rPr>
          <w:rFonts w:asciiTheme="minorHAnsi" w:eastAsiaTheme="minorEastAsia" w:hAnsiTheme="minorHAnsi" w:cstheme="minorBidi"/>
          <w:noProof/>
          <w:sz w:val="23"/>
          <w:szCs w:val="23"/>
        </w:rPr>
      </w:pPr>
      <w:hyperlink w:anchor="_Toc479522848" w:history="1">
        <w:r w:rsidR="005A3ED0" w:rsidRPr="00CA5680">
          <w:rPr>
            <w:rStyle w:val="Hyperlink"/>
            <w:noProof/>
            <w:sz w:val="23"/>
            <w:szCs w:val="23"/>
          </w:rPr>
          <w:t>A.8.b. Questionnaire Items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_Toc479522848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10</w:t>
        </w:r>
        <w:r w:rsidR="005A3ED0" w:rsidRPr="00CA5680">
          <w:rPr>
            <w:noProof/>
            <w:webHidden/>
            <w:sz w:val="23"/>
            <w:szCs w:val="23"/>
          </w:rPr>
          <w:fldChar w:fldCharType="end"/>
        </w:r>
      </w:hyperlink>
    </w:p>
    <w:p w14:paraId="2E7DF13B" w14:textId="77777777" w:rsidR="005A3ED0" w:rsidRPr="00CA5680" w:rsidRDefault="000205AA">
      <w:pPr>
        <w:pStyle w:val="TOC2"/>
        <w:rPr>
          <w:rFonts w:asciiTheme="minorHAnsi" w:eastAsiaTheme="minorEastAsia" w:hAnsiTheme="minorHAnsi" w:cstheme="minorBidi"/>
          <w:noProof/>
          <w:sz w:val="23"/>
          <w:szCs w:val="23"/>
        </w:rPr>
      </w:pPr>
      <w:hyperlink w:anchor="_Toc479522849" w:history="1">
        <w:r w:rsidR="005A3ED0" w:rsidRPr="00CA5680">
          <w:rPr>
            <w:rStyle w:val="Hyperlink"/>
            <w:noProof/>
            <w:sz w:val="23"/>
            <w:szCs w:val="23"/>
          </w:rPr>
          <w:t>A.9. Explanation of any Payment/Gift to Respondents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_Toc479522849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17</w:t>
        </w:r>
        <w:r w:rsidR="005A3ED0" w:rsidRPr="00CA5680">
          <w:rPr>
            <w:noProof/>
            <w:webHidden/>
            <w:sz w:val="23"/>
            <w:szCs w:val="23"/>
          </w:rPr>
          <w:fldChar w:fldCharType="end"/>
        </w:r>
      </w:hyperlink>
    </w:p>
    <w:p w14:paraId="309C361B" w14:textId="77777777" w:rsidR="005A3ED0" w:rsidRPr="00CA5680" w:rsidRDefault="000205AA">
      <w:pPr>
        <w:pStyle w:val="TOC2"/>
        <w:rPr>
          <w:rFonts w:asciiTheme="minorHAnsi" w:eastAsiaTheme="minorEastAsia" w:hAnsiTheme="minorHAnsi" w:cstheme="minorBidi"/>
          <w:noProof/>
          <w:sz w:val="23"/>
          <w:szCs w:val="23"/>
        </w:rPr>
      </w:pPr>
      <w:hyperlink w:anchor="_Toc479522850" w:history="1">
        <w:r w:rsidR="005A3ED0" w:rsidRPr="00CA5680">
          <w:rPr>
            <w:rStyle w:val="Hyperlink"/>
            <w:noProof/>
            <w:sz w:val="23"/>
            <w:szCs w:val="23"/>
          </w:rPr>
          <w:t>A.10. Assurance of Privacy Provided to Respondents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_Toc479522850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19</w:t>
        </w:r>
        <w:r w:rsidR="005A3ED0" w:rsidRPr="00CA5680">
          <w:rPr>
            <w:noProof/>
            <w:webHidden/>
            <w:sz w:val="23"/>
            <w:szCs w:val="23"/>
          </w:rPr>
          <w:fldChar w:fldCharType="end"/>
        </w:r>
      </w:hyperlink>
    </w:p>
    <w:p w14:paraId="73D48332" w14:textId="77777777" w:rsidR="005A3ED0" w:rsidRPr="00CA5680" w:rsidRDefault="000205AA">
      <w:pPr>
        <w:pStyle w:val="TOC2"/>
        <w:rPr>
          <w:rFonts w:asciiTheme="minorHAnsi" w:eastAsiaTheme="minorEastAsia" w:hAnsiTheme="minorHAnsi" w:cstheme="minorBidi"/>
          <w:noProof/>
          <w:sz w:val="23"/>
          <w:szCs w:val="23"/>
        </w:rPr>
      </w:pPr>
      <w:hyperlink w:anchor="_Toc479522851" w:history="1">
        <w:r w:rsidR="005A3ED0" w:rsidRPr="00CA5680">
          <w:rPr>
            <w:rStyle w:val="Hyperlink"/>
            <w:noProof/>
            <w:sz w:val="23"/>
            <w:szCs w:val="23"/>
          </w:rPr>
          <w:t>A.11. Justification for Sensitive Questions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_Toc479522851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21</w:t>
        </w:r>
        <w:r w:rsidR="005A3ED0" w:rsidRPr="00CA5680">
          <w:rPr>
            <w:noProof/>
            <w:webHidden/>
            <w:sz w:val="23"/>
            <w:szCs w:val="23"/>
          </w:rPr>
          <w:fldChar w:fldCharType="end"/>
        </w:r>
      </w:hyperlink>
    </w:p>
    <w:p w14:paraId="3ABA09C1" w14:textId="77777777" w:rsidR="005A3ED0" w:rsidRPr="00CA5680" w:rsidRDefault="000205AA">
      <w:pPr>
        <w:pStyle w:val="TOC2"/>
        <w:rPr>
          <w:rFonts w:asciiTheme="minorHAnsi" w:eastAsiaTheme="minorEastAsia" w:hAnsiTheme="minorHAnsi" w:cstheme="minorBidi"/>
          <w:noProof/>
          <w:sz w:val="23"/>
          <w:szCs w:val="23"/>
        </w:rPr>
      </w:pPr>
      <w:hyperlink w:anchor="_Toc479522852" w:history="1">
        <w:r w:rsidR="005A3ED0" w:rsidRPr="00CA5680">
          <w:rPr>
            <w:rStyle w:val="Hyperlink"/>
            <w:noProof/>
            <w:sz w:val="23"/>
            <w:szCs w:val="23"/>
          </w:rPr>
          <w:t>A.12. Estimates of Annualized Hour and Cost Burden</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_Toc479522852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21</w:t>
        </w:r>
        <w:r w:rsidR="005A3ED0" w:rsidRPr="00CA5680">
          <w:rPr>
            <w:noProof/>
            <w:webHidden/>
            <w:sz w:val="23"/>
            <w:szCs w:val="23"/>
          </w:rPr>
          <w:fldChar w:fldCharType="end"/>
        </w:r>
      </w:hyperlink>
    </w:p>
    <w:p w14:paraId="61C68701" w14:textId="77777777" w:rsidR="005A3ED0" w:rsidRPr="00CA5680" w:rsidRDefault="000205AA">
      <w:pPr>
        <w:pStyle w:val="TOC2"/>
        <w:rPr>
          <w:rFonts w:asciiTheme="minorHAnsi" w:eastAsiaTheme="minorEastAsia" w:hAnsiTheme="minorHAnsi" w:cstheme="minorBidi"/>
          <w:noProof/>
          <w:sz w:val="23"/>
          <w:szCs w:val="23"/>
        </w:rPr>
      </w:pPr>
      <w:hyperlink w:anchor="_Toc479522855" w:history="1">
        <w:r w:rsidR="005A3ED0" w:rsidRPr="00CA5680">
          <w:rPr>
            <w:rStyle w:val="Hyperlink"/>
            <w:noProof/>
            <w:sz w:val="23"/>
            <w:szCs w:val="23"/>
          </w:rPr>
          <w:t>A.13. Estimates of other Total Annual Cost Burden to Respondents or Recordkeepers/Capital Costs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_Toc479522855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24</w:t>
        </w:r>
        <w:r w:rsidR="005A3ED0" w:rsidRPr="00CA5680">
          <w:rPr>
            <w:noProof/>
            <w:webHidden/>
            <w:sz w:val="23"/>
            <w:szCs w:val="23"/>
          </w:rPr>
          <w:fldChar w:fldCharType="end"/>
        </w:r>
      </w:hyperlink>
    </w:p>
    <w:p w14:paraId="18362C40" w14:textId="77777777" w:rsidR="005A3ED0" w:rsidRPr="00CA5680" w:rsidRDefault="000205AA">
      <w:pPr>
        <w:pStyle w:val="TOC2"/>
        <w:rPr>
          <w:rFonts w:asciiTheme="minorHAnsi" w:eastAsiaTheme="minorEastAsia" w:hAnsiTheme="minorHAnsi" w:cstheme="minorBidi"/>
          <w:noProof/>
          <w:sz w:val="23"/>
          <w:szCs w:val="23"/>
        </w:rPr>
      </w:pPr>
      <w:hyperlink w:anchor="_Toc479522856" w:history="1">
        <w:r w:rsidR="005A3ED0" w:rsidRPr="00CA5680">
          <w:rPr>
            <w:rStyle w:val="Hyperlink"/>
            <w:noProof/>
            <w:sz w:val="23"/>
            <w:szCs w:val="23"/>
          </w:rPr>
          <w:t>A.14. Cost to Federal Government</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_Toc479522856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25</w:t>
        </w:r>
        <w:r w:rsidR="005A3ED0" w:rsidRPr="00CA5680">
          <w:rPr>
            <w:noProof/>
            <w:webHidden/>
            <w:sz w:val="23"/>
            <w:szCs w:val="23"/>
          </w:rPr>
          <w:fldChar w:fldCharType="end"/>
        </w:r>
      </w:hyperlink>
    </w:p>
    <w:p w14:paraId="714C4287" w14:textId="77777777" w:rsidR="005A3ED0" w:rsidRPr="00CA5680" w:rsidRDefault="000205AA">
      <w:pPr>
        <w:pStyle w:val="TOC2"/>
        <w:rPr>
          <w:rFonts w:asciiTheme="minorHAnsi" w:eastAsiaTheme="minorEastAsia" w:hAnsiTheme="minorHAnsi" w:cstheme="minorBidi"/>
          <w:noProof/>
          <w:sz w:val="23"/>
          <w:szCs w:val="23"/>
        </w:rPr>
      </w:pPr>
      <w:hyperlink w:anchor="_Toc479522857" w:history="1">
        <w:r w:rsidR="005A3ED0" w:rsidRPr="00CA5680">
          <w:rPr>
            <w:rStyle w:val="Hyperlink"/>
            <w:noProof/>
            <w:sz w:val="23"/>
            <w:szCs w:val="23"/>
          </w:rPr>
          <w:t>A.15. Explanation for Program Changes or Adjustments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_Toc479522857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26</w:t>
        </w:r>
        <w:r w:rsidR="005A3ED0" w:rsidRPr="00CA5680">
          <w:rPr>
            <w:noProof/>
            <w:webHidden/>
            <w:sz w:val="23"/>
            <w:szCs w:val="23"/>
          </w:rPr>
          <w:fldChar w:fldCharType="end"/>
        </w:r>
      </w:hyperlink>
    </w:p>
    <w:p w14:paraId="15A1267D" w14:textId="77777777" w:rsidR="005A3ED0" w:rsidRPr="00CA5680" w:rsidRDefault="000205AA">
      <w:pPr>
        <w:pStyle w:val="TOC2"/>
        <w:rPr>
          <w:rFonts w:asciiTheme="minorHAnsi" w:eastAsiaTheme="minorEastAsia" w:hAnsiTheme="minorHAnsi" w:cstheme="minorBidi"/>
          <w:noProof/>
          <w:sz w:val="23"/>
          <w:szCs w:val="23"/>
        </w:rPr>
      </w:pPr>
      <w:hyperlink w:anchor="_Toc479522858" w:history="1">
        <w:r w:rsidR="005A3ED0" w:rsidRPr="00CA5680">
          <w:rPr>
            <w:rStyle w:val="Hyperlink"/>
            <w:noProof/>
            <w:sz w:val="23"/>
            <w:szCs w:val="23"/>
          </w:rPr>
          <w:t>A.16. Plans for Tabulation and Publication and Project Time Schedule</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_Toc479522858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26</w:t>
        </w:r>
        <w:r w:rsidR="005A3ED0" w:rsidRPr="00CA5680">
          <w:rPr>
            <w:noProof/>
            <w:webHidden/>
            <w:sz w:val="23"/>
            <w:szCs w:val="23"/>
          </w:rPr>
          <w:fldChar w:fldCharType="end"/>
        </w:r>
      </w:hyperlink>
    </w:p>
    <w:p w14:paraId="624E3D2F" w14:textId="468B0B4B" w:rsidR="005A3ED0" w:rsidRPr="00CA5680" w:rsidRDefault="000205AA">
      <w:pPr>
        <w:pStyle w:val="TOC3"/>
        <w:tabs>
          <w:tab w:val="right" w:leader="dot" w:pos="9350"/>
        </w:tabs>
        <w:rPr>
          <w:rFonts w:asciiTheme="minorHAnsi" w:eastAsiaTheme="minorEastAsia" w:hAnsiTheme="minorHAnsi" w:cstheme="minorBidi"/>
          <w:noProof/>
          <w:sz w:val="23"/>
          <w:szCs w:val="23"/>
        </w:rPr>
      </w:pPr>
      <w:hyperlink w:anchor="_Toc479522859" w:history="1">
        <w:r w:rsidR="005A3ED0" w:rsidRPr="00CA5680">
          <w:rPr>
            <w:rStyle w:val="Hyperlink"/>
            <w:noProof/>
            <w:sz w:val="23"/>
            <w:szCs w:val="23"/>
          </w:rPr>
          <w:t>A.16a. Schedule of Data Collection Efforts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_Toc479522859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27</w:t>
        </w:r>
        <w:r w:rsidR="005A3ED0" w:rsidRPr="00CA5680">
          <w:rPr>
            <w:noProof/>
            <w:webHidden/>
            <w:sz w:val="23"/>
            <w:szCs w:val="23"/>
          </w:rPr>
          <w:fldChar w:fldCharType="end"/>
        </w:r>
      </w:hyperlink>
    </w:p>
    <w:p w14:paraId="6E8E219E" w14:textId="5F3D0B25" w:rsidR="005A3ED0" w:rsidRPr="00CA5680" w:rsidRDefault="000205AA">
      <w:pPr>
        <w:pStyle w:val="TOC3"/>
        <w:tabs>
          <w:tab w:val="right" w:leader="dot" w:pos="9350"/>
        </w:tabs>
        <w:rPr>
          <w:rFonts w:asciiTheme="minorHAnsi" w:eastAsiaTheme="minorEastAsia" w:hAnsiTheme="minorHAnsi" w:cstheme="minorBidi"/>
          <w:noProof/>
          <w:sz w:val="23"/>
          <w:szCs w:val="23"/>
        </w:rPr>
      </w:pPr>
      <w:hyperlink w:anchor="_Toc479522860" w:history="1">
        <w:r w:rsidR="005A3ED0" w:rsidRPr="00CA5680">
          <w:rPr>
            <w:rStyle w:val="Hyperlink"/>
            <w:noProof/>
            <w:sz w:val="23"/>
            <w:szCs w:val="23"/>
          </w:rPr>
          <w:t>A.16b. Schedule of Deliverables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_Toc479522860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28</w:t>
        </w:r>
        <w:r w:rsidR="005A3ED0" w:rsidRPr="00CA5680">
          <w:rPr>
            <w:noProof/>
            <w:webHidden/>
            <w:sz w:val="23"/>
            <w:szCs w:val="23"/>
          </w:rPr>
          <w:fldChar w:fldCharType="end"/>
        </w:r>
      </w:hyperlink>
    </w:p>
    <w:p w14:paraId="5DAC99AA" w14:textId="43E16E8C" w:rsidR="005A3ED0" w:rsidRPr="00CA5680" w:rsidRDefault="000205AA">
      <w:pPr>
        <w:pStyle w:val="TOC2"/>
        <w:rPr>
          <w:rFonts w:asciiTheme="minorHAnsi" w:eastAsiaTheme="minorEastAsia" w:hAnsiTheme="minorHAnsi" w:cstheme="minorBidi"/>
          <w:noProof/>
          <w:sz w:val="23"/>
          <w:szCs w:val="23"/>
        </w:rPr>
      </w:pPr>
      <w:hyperlink w:anchor="_Toc479522861" w:history="1">
        <w:r w:rsidR="005A3ED0" w:rsidRPr="00CA5680">
          <w:rPr>
            <w:rStyle w:val="Hyperlink"/>
            <w:noProof/>
            <w:sz w:val="23"/>
            <w:szCs w:val="23"/>
          </w:rPr>
          <w:t>A.17. Reason(s) Display of OMB Expiration Date is Inappropriate</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_Toc479522861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29</w:t>
        </w:r>
        <w:r w:rsidR="005A3ED0" w:rsidRPr="00CA5680">
          <w:rPr>
            <w:noProof/>
            <w:webHidden/>
            <w:sz w:val="23"/>
            <w:szCs w:val="23"/>
          </w:rPr>
          <w:fldChar w:fldCharType="end"/>
        </w:r>
      </w:hyperlink>
    </w:p>
    <w:p w14:paraId="419004EC" w14:textId="3A5ABE1C" w:rsidR="005A3ED0" w:rsidRPr="00CA5680" w:rsidRDefault="000205AA">
      <w:pPr>
        <w:pStyle w:val="TOC2"/>
        <w:rPr>
          <w:rFonts w:asciiTheme="minorHAnsi" w:eastAsiaTheme="minorEastAsia" w:hAnsiTheme="minorHAnsi" w:cstheme="minorBidi"/>
          <w:noProof/>
          <w:sz w:val="23"/>
          <w:szCs w:val="23"/>
        </w:rPr>
      </w:pPr>
      <w:hyperlink w:anchor="_Toc479522862" w:history="1">
        <w:r w:rsidR="005A3ED0" w:rsidRPr="00CA5680">
          <w:rPr>
            <w:rStyle w:val="Hyperlink"/>
            <w:noProof/>
            <w:sz w:val="23"/>
            <w:szCs w:val="23"/>
          </w:rPr>
          <w:t>A.18. Exceptions to Certification for Paperwork Reduction Act Submissions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_Toc479522862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29</w:t>
        </w:r>
        <w:r w:rsidR="005A3ED0" w:rsidRPr="00CA5680">
          <w:rPr>
            <w:noProof/>
            <w:webHidden/>
            <w:sz w:val="23"/>
            <w:szCs w:val="23"/>
          </w:rPr>
          <w:fldChar w:fldCharType="end"/>
        </w:r>
      </w:hyperlink>
    </w:p>
    <w:p w14:paraId="4D19965E" w14:textId="463C1C6D" w:rsidR="005A3ED0" w:rsidRPr="00CA5680" w:rsidRDefault="000205AA">
      <w:pPr>
        <w:pStyle w:val="TOC2"/>
        <w:rPr>
          <w:rFonts w:asciiTheme="minorHAnsi" w:eastAsiaTheme="minorEastAsia" w:hAnsiTheme="minorHAnsi" w:cstheme="minorBidi"/>
          <w:noProof/>
          <w:sz w:val="23"/>
          <w:szCs w:val="23"/>
        </w:rPr>
      </w:pPr>
      <w:hyperlink w:anchor="_Toc479522863" w:history="1">
        <w:r w:rsidR="005A3ED0" w:rsidRPr="00CA5680">
          <w:rPr>
            <w:rStyle w:val="Hyperlink"/>
            <w:b/>
            <w:noProof/>
            <w:sz w:val="23"/>
            <w:szCs w:val="23"/>
          </w:rPr>
          <w:t>References</w:t>
        </w:r>
        <w:r w:rsidR="005A3ED0" w:rsidRPr="00CA5680">
          <w:rPr>
            <w:noProof/>
            <w:webHidden/>
            <w:sz w:val="23"/>
            <w:szCs w:val="23"/>
          </w:rPr>
          <w:tab/>
        </w:r>
        <w:r w:rsidR="005A3ED0" w:rsidRPr="00CA5680">
          <w:rPr>
            <w:noProof/>
            <w:webHidden/>
            <w:sz w:val="23"/>
            <w:szCs w:val="23"/>
          </w:rPr>
          <w:fldChar w:fldCharType="begin"/>
        </w:r>
        <w:r w:rsidR="005A3ED0" w:rsidRPr="00CA5680">
          <w:rPr>
            <w:noProof/>
            <w:webHidden/>
            <w:sz w:val="23"/>
            <w:szCs w:val="23"/>
          </w:rPr>
          <w:instrText xml:space="preserve"> PAGEREF _Toc479522863 \h </w:instrText>
        </w:r>
        <w:r w:rsidR="005A3ED0" w:rsidRPr="00CA5680">
          <w:rPr>
            <w:noProof/>
            <w:webHidden/>
            <w:sz w:val="23"/>
            <w:szCs w:val="23"/>
          </w:rPr>
        </w:r>
        <w:r w:rsidR="005A3ED0" w:rsidRPr="00CA5680">
          <w:rPr>
            <w:noProof/>
            <w:webHidden/>
            <w:sz w:val="23"/>
            <w:szCs w:val="23"/>
          </w:rPr>
          <w:fldChar w:fldCharType="separate"/>
        </w:r>
        <w:r>
          <w:rPr>
            <w:noProof/>
            <w:webHidden/>
            <w:sz w:val="23"/>
            <w:szCs w:val="23"/>
          </w:rPr>
          <w:t>30</w:t>
        </w:r>
        <w:r w:rsidR="005A3ED0" w:rsidRPr="00CA5680">
          <w:rPr>
            <w:noProof/>
            <w:webHidden/>
            <w:sz w:val="23"/>
            <w:szCs w:val="23"/>
          </w:rPr>
          <w:fldChar w:fldCharType="end"/>
        </w:r>
      </w:hyperlink>
    </w:p>
    <w:p w14:paraId="3AED9D0E" w14:textId="5F7EB648" w:rsidR="00855ABA" w:rsidRPr="00891591" w:rsidRDefault="002307A2" w:rsidP="00163D89">
      <w:pPr>
        <w:rPr>
          <w:b/>
          <w:bCs/>
          <w:sz w:val="22"/>
          <w:szCs w:val="32"/>
        </w:rPr>
      </w:pPr>
      <w:r w:rsidRPr="00CA5680">
        <w:rPr>
          <w:bCs/>
          <w:noProof/>
          <w:sz w:val="23"/>
          <w:szCs w:val="23"/>
        </w:rPr>
        <w:fldChar w:fldCharType="end"/>
      </w:r>
    </w:p>
    <w:p w14:paraId="6E2ED5DB" w14:textId="3C82A610" w:rsidR="007652CE" w:rsidRDefault="007652CE">
      <w:pPr>
        <w:widowControl/>
        <w:autoSpaceDE/>
        <w:autoSpaceDN/>
        <w:adjustRightInd/>
        <w:rPr>
          <w:b/>
          <w:bCs/>
          <w:sz w:val="28"/>
        </w:rPr>
      </w:pPr>
    </w:p>
    <w:p w14:paraId="62BCA5E1" w14:textId="77777777" w:rsidR="00DB30BA" w:rsidRDefault="00DB30BA">
      <w:pPr>
        <w:widowControl/>
        <w:autoSpaceDE/>
        <w:autoSpaceDN/>
        <w:adjustRightInd/>
        <w:rPr>
          <w:b/>
          <w:bCs/>
          <w:sz w:val="28"/>
        </w:rPr>
      </w:pPr>
      <w:bookmarkStart w:id="0" w:name="_Toc479522838"/>
      <w:r>
        <w:br w:type="page"/>
      </w:r>
    </w:p>
    <w:p w14:paraId="7A348BA4" w14:textId="77777777" w:rsidR="00DB30BA" w:rsidRDefault="00DB30BA" w:rsidP="00FF1C6E">
      <w:pPr>
        <w:pStyle w:val="Heading1"/>
      </w:pPr>
    </w:p>
    <w:p w14:paraId="48AEEE5D" w14:textId="08DB5E48" w:rsidR="00855ABA" w:rsidRPr="00891591" w:rsidRDefault="00855ABA" w:rsidP="00FF1C6E">
      <w:pPr>
        <w:pStyle w:val="Heading1"/>
      </w:pPr>
      <w:r w:rsidRPr="00891591">
        <w:t>A.</w:t>
      </w:r>
      <w:r w:rsidRPr="00891591">
        <w:tab/>
        <w:t>Justification</w:t>
      </w:r>
      <w:bookmarkEnd w:id="0"/>
    </w:p>
    <w:p w14:paraId="79FB3C2D" w14:textId="77777777" w:rsidR="00855ABA" w:rsidRPr="00891591" w:rsidRDefault="00855ABA" w:rsidP="00FF1C6E">
      <w:pPr>
        <w:rPr>
          <w:sz w:val="22"/>
        </w:rPr>
      </w:pPr>
    </w:p>
    <w:p w14:paraId="364074BF" w14:textId="77777777" w:rsidR="002E4554" w:rsidRPr="00D07695" w:rsidRDefault="000839A6" w:rsidP="00FF1C6E">
      <w:pPr>
        <w:pStyle w:val="Heading2"/>
        <w:rPr>
          <w:szCs w:val="24"/>
        </w:rPr>
      </w:pPr>
      <w:bookmarkStart w:id="1" w:name="_Toc479522839"/>
      <w:r w:rsidRPr="00D07695">
        <w:rPr>
          <w:szCs w:val="24"/>
        </w:rPr>
        <w:t xml:space="preserve">A.1. </w:t>
      </w:r>
      <w:r w:rsidR="00855ABA" w:rsidRPr="00D07695">
        <w:rPr>
          <w:szCs w:val="24"/>
        </w:rPr>
        <w:t>Circumstances Making the Collection of Information Necessary</w:t>
      </w:r>
      <w:bookmarkEnd w:id="1"/>
    </w:p>
    <w:p w14:paraId="61CB9A87" w14:textId="77777777" w:rsidR="002E4554" w:rsidRPr="007A18CC" w:rsidRDefault="002E4554" w:rsidP="00FF1C6E">
      <w:pPr>
        <w:rPr>
          <w:sz w:val="24"/>
        </w:rPr>
      </w:pPr>
    </w:p>
    <w:p w14:paraId="5AF41066" w14:textId="77777777" w:rsidR="00EC15F2" w:rsidRPr="007A18CC" w:rsidRDefault="00B56F9B" w:rsidP="00FF1C6E">
      <w:pPr>
        <w:rPr>
          <w:sz w:val="24"/>
        </w:rPr>
      </w:pPr>
      <w:r w:rsidRPr="007A18CC">
        <w:rPr>
          <w:sz w:val="24"/>
        </w:rPr>
        <w:t xml:space="preserve">The Department of Labor’s (DOL) Employee Benefits Security Administration (EBSA) administers and enforces the reporting, disclosure, and fiduciary requirements of Title I of the Employee Retirement Income Security Act of 1974 (ERISA).  EBSA’s oversight ensures the security of the private-sector, employer-sponsored retirement, health and other workplace related benefits of American workers and their families. </w:t>
      </w:r>
      <w:r w:rsidR="005D40DD" w:rsidRPr="007A18CC">
        <w:rPr>
          <w:sz w:val="24"/>
        </w:rPr>
        <w:t xml:space="preserve"> DOL-EBSA</w:t>
      </w:r>
      <w:r w:rsidR="002E4554" w:rsidRPr="007A18CC">
        <w:rPr>
          <w:sz w:val="24"/>
        </w:rPr>
        <w:t xml:space="preserve"> is requesting approval from the Office of Management and B</w:t>
      </w:r>
      <w:r w:rsidR="00450F7B" w:rsidRPr="007A18CC">
        <w:rPr>
          <w:sz w:val="24"/>
        </w:rPr>
        <w:t xml:space="preserve">udget (OMB) </w:t>
      </w:r>
      <w:r w:rsidR="00656E35" w:rsidRPr="007A18CC">
        <w:rPr>
          <w:sz w:val="24"/>
        </w:rPr>
        <w:t xml:space="preserve">to undertake a long-term research study to develop a panel that will track </w:t>
      </w:r>
      <w:r w:rsidR="00C62D58" w:rsidRPr="007A18CC">
        <w:rPr>
          <w:sz w:val="24"/>
        </w:rPr>
        <w:t xml:space="preserve">U. S. households </w:t>
      </w:r>
      <w:r w:rsidR="00656E35" w:rsidRPr="007A18CC">
        <w:rPr>
          <w:sz w:val="24"/>
        </w:rPr>
        <w:t xml:space="preserve">over several years in order to collect data and answer important research questions on how retirement planning strategies and decisions evolve over time. </w:t>
      </w:r>
    </w:p>
    <w:p w14:paraId="6025ED59" w14:textId="77777777" w:rsidR="00450F7B" w:rsidRPr="007A18CC" w:rsidRDefault="00450F7B" w:rsidP="00FF1C6E">
      <w:pPr>
        <w:rPr>
          <w:sz w:val="24"/>
        </w:rPr>
      </w:pPr>
    </w:p>
    <w:p w14:paraId="2A0F566F" w14:textId="77777777" w:rsidR="002E4554" w:rsidRPr="007A18CC" w:rsidRDefault="002E4554" w:rsidP="00FF1C6E">
      <w:pPr>
        <w:rPr>
          <w:sz w:val="24"/>
        </w:rPr>
      </w:pPr>
      <w:r w:rsidRPr="007A18CC">
        <w:rPr>
          <w:sz w:val="24"/>
        </w:rPr>
        <w:t xml:space="preserve">This project is funded by DOL-EBSA. </w:t>
      </w:r>
      <w:r w:rsidR="00DB61FA" w:rsidRPr="007A18CC">
        <w:rPr>
          <w:sz w:val="24"/>
        </w:rPr>
        <w:t xml:space="preserve"> </w:t>
      </w:r>
      <w:r w:rsidRPr="007A18CC">
        <w:rPr>
          <w:sz w:val="24"/>
        </w:rPr>
        <w:t xml:space="preserve">DOL has contracted with </w:t>
      </w:r>
      <w:r w:rsidR="00450F7B" w:rsidRPr="007A18CC">
        <w:rPr>
          <w:sz w:val="24"/>
        </w:rPr>
        <w:t xml:space="preserve">Resolution Economics </w:t>
      </w:r>
      <w:r w:rsidR="00344025" w:rsidRPr="007A18CC">
        <w:rPr>
          <w:sz w:val="24"/>
        </w:rPr>
        <w:t>Group</w:t>
      </w:r>
      <w:r w:rsidR="000244B0" w:rsidRPr="007A18CC">
        <w:rPr>
          <w:sz w:val="24"/>
        </w:rPr>
        <w:t xml:space="preserve"> LLC</w:t>
      </w:r>
      <w:r w:rsidR="00344025" w:rsidRPr="007A18CC">
        <w:rPr>
          <w:sz w:val="24"/>
        </w:rPr>
        <w:t>, a small</w:t>
      </w:r>
      <w:r w:rsidR="00450F7B" w:rsidRPr="007A18CC">
        <w:rPr>
          <w:sz w:val="24"/>
        </w:rPr>
        <w:t xml:space="preserve"> business</w:t>
      </w:r>
      <w:r w:rsidR="00344025" w:rsidRPr="007A18CC">
        <w:rPr>
          <w:sz w:val="24"/>
        </w:rPr>
        <w:t xml:space="preserve"> that provides economic consulting services</w:t>
      </w:r>
      <w:r w:rsidR="000244B0" w:rsidRPr="007A18CC">
        <w:rPr>
          <w:sz w:val="24"/>
        </w:rPr>
        <w:t>,</w:t>
      </w:r>
      <w:r w:rsidRPr="007A18CC">
        <w:rPr>
          <w:sz w:val="24"/>
        </w:rPr>
        <w:t xml:space="preserve"> to conduct this study.</w:t>
      </w:r>
      <w:r w:rsidR="00D4017F" w:rsidRPr="007A18CC">
        <w:rPr>
          <w:rStyle w:val="FootnoteReference"/>
          <w:sz w:val="24"/>
          <w:vertAlign w:val="superscript"/>
        </w:rPr>
        <w:footnoteReference w:id="1"/>
      </w:r>
      <w:r w:rsidRPr="007A18CC">
        <w:rPr>
          <w:sz w:val="24"/>
        </w:rPr>
        <w:t xml:space="preserve"> </w:t>
      </w:r>
    </w:p>
    <w:p w14:paraId="2973B7C4" w14:textId="77777777" w:rsidR="002E4554" w:rsidRPr="007A18CC" w:rsidRDefault="002E4554" w:rsidP="00FF1C6E">
      <w:pPr>
        <w:ind w:left="720"/>
        <w:rPr>
          <w:sz w:val="24"/>
        </w:rPr>
      </w:pPr>
    </w:p>
    <w:p w14:paraId="575DB311" w14:textId="77777777" w:rsidR="002E4554" w:rsidRPr="007A18CC" w:rsidRDefault="002E4554" w:rsidP="00FF1C6E">
      <w:pPr>
        <w:rPr>
          <w:sz w:val="24"/>
        </w:rPr>
      </w:pPr>
      <w:r w:rsidRPr="007A18CC">
        <w:rPr>
          <w:sz w:val="24"/>
        </w:rPr>
        <w:t>Specifically, the data will be collected through the following methods:</w:t>
      </w:r>
    </w:p>
    <w:p w14:paraId="40AB7D59" w14:textId="77777777" w:rsidR="005E7592" w:rsidRPr="005021DC" w:rsidRDefault="005E7592" w:rsidP="005E7592">
      <w:pPr>
        <w:rPr>
          <w:sz w:val="24"/>
        </w:rPr>
      </w:pPr>
    </w:p>
    <w:p w14:paraId="0DF4A7EF" w14:textId="5308726A" w:rsidR="005E7592" w:rsidRPr="007A18CC" w:rsidRDefault="005E7592" w:rsidP="00B145A8">
      <w:pPr>
        <w:widowControl/>
        <w:numPr>
          <w:ilvl w:val="0"/>
          <w:numId w:val="3"/>
        </w:numPr>
        <w:autoSpaceDE/>
        <w:autoSpaceDN/>
        <w:adjustRightInd/>
        <w:rPr>
          <w:sz w:val="24"/>
        </w:rPr>
      </w:pPr>
      <w:r w:rsidRPr="007A18CC">
        <w:rPr>
          <w:b/>
          <w:sz w:val="24"/>
        </w:rPr>
        <w:t>Pretesting</w:t>
      </w:r>
      <w:r w:rsidRPr="007A18CC">
        <w:rPr>
          <w:sz w:val="24"/>
        </w:rPr>
        <w:t xml:space="preserve"> - Survey pretesting utilizing cognitive interviews, pilot surveys</w:t>
      </w:r>
      <w:r w:rsidR="00A43407" w:rsidRPr="007A18CC">
        <w:rPr>
          <w:sz w:val="24"/>
        </w:rPr>
        <w:t xml:space="preserve">, and </w:t>
      </w:r>
      <w:r w:rsidRPr="007A18CC">
        <w:rPr>
          <w:sz w:val="24"/>
        </w:rPr>
        <w:t>debriefing of respondents to the pilot surveys.</w:t>
      </w:r>
      <w:r w:rsidR="003D576B" w:rsidRPr="007A18CC">
        <w:rPr>
          <w:sz w:val="24"/>
        </w:rPr>
        <w:t xml:space="preserve"> The data generated by these pretests will be used solely for the purpose of assessing and improving the quality of the survey instruments.</w:t>
      </w:r>
      <w:r w:rsidR="00B145A8">
        <w:rPr>
          <w:sz w:val="24"/>
        </w:rPr>
        <w:t xml:space="preserve"> </w:t>
      </w:r>
      <w:r w:rsidR="00ED1EC7">
        <w:rPr>
          <w:sz w:val="24"/>
        </w:rPr>
        <w:t xml:space="preserve">Any revisions to the survey instruments </w:t>
      </w:r>
      <w:r w:rsidR="00B145A8" w:rsidRPr="00B145A8">
        <w:rPr>
          <w:sz w:val="24"/>
        </w:rPr>
        <w:t xml:space="preserve">will be cleared as non-material changes before </w:t>
      </w:r>
      <w:r w:rsidR="00ED1EC7">
        <w:rPr>
          <w:sz w:val="24"/>
        </w:rPr>
        <w:t>those instruments are administered in the field.</w:t>
      </w:r>
    </w:p>
    <w:p w14:paraId="7DDB452D" w14:textId="77777777" w:rsidR="005E7592" w:rsidRPr="007A18CC" w:rsidRDefault="00E33599" w:rsidP="00E020FC">
      <w:pPr>
        <w:widowControl/>
        <w:numPr>
          <w:ilvl w:val="0"/>
          <w:numId w:val="3"/>
        </w:numPr>
        <w:autoSpaceDE/>
        <w:autoSpaceDN/>
        <w:adjustRightInd/>
        <w:rPr>
          <w:sz w:val="24"/>
        </w:rPr>
      </w:pPr>
      <w:r w:rsidRPr="007A18CC">
        <w:rPr>
          <w:b/>
          <w:sz w:val="24"/>
        </w:rPr>
        <w:t>Pre-Survey</w:t>
      </w:r>
      <w:r w:rsidR="005E7592" w:rsidRPr="007A18CC">
        <w:rPr>
          <w:sz w:val="24"/>
        </w:rPr>
        <w:t xml:space="preserve"> - A mailed-out survey </w:t>
      </w:r>
      <w:r w:rsidR="00D15CC0" w:rsidRPr="007A18CC">
        <w:rPr>
          <w:sz w:val="24"/>
        </w:rPr>
        <w:t xml:space="preserve">to recruit sample members for the Initial Participant Survey, with </w:t>
      </w:r>
      <w:r w:rsidR="008A00CF" w:rsidRPr="007A18CC">
        <w:rPr>
          <w:sz w:val="24"/>
        </w:rPr>
        <w:t>follow-</w:t>
      </w:r>
      <w:r w:rsidR="005E7592" w:rsidRPr="007A18CC">
        <w:rPr>
          <w:sz w:val="24"/>
        </w:rPr>
        <w:t>up</w:t>
      </w:r>
      <w:r w:rsidR="00D15CC0" w:rsidRPr="007A18CC">
        <w:rPr>
          <w:sz w:val="24"/>
        </w:rPr>
        <w:t xml:space="preserve"> contacts </w:t>
      </w:r>
      <w:r w:rsidR="005E7592" w:rsidRPr="007A18CC">
        <w:rPr>
          <w:sz w:val="24"/>
        </w:rPr>
        <w:t>by mail and telephone</w:t>
      </w:r>
      <w:r w:rsidR="00D15CC0" w:rsidRPr="007A18CC">
        <w:rPr>
          <w:sz w:val="24"/>
        </w:rPr>
        <w:t>, as well as phone</w:t>
      </w:r>
      <w:r w:rsidR="005E7592" w:rsidRPr="007A18CC">
        <w:rPr>
          <w:sz w:val="24"/>
        </w:rPr>
        <w:t xml:space="preserve"> interviews</w:t>
      </w:r>
      <w:r w:rsidR="00D2704A" w:rsidRPr="007A18CC">
        <w:rPr>
          <w:sz w:val="24"/>
        </w:rPr>
        <w:t>.</w:t>
      </w:r>
      <w:r w:rsidR="005E7592" w:rsidRPr="007A18CC">
        <w:rPr>
          <w:sz w:val="24"/>
        </w:rPr>
        <w:t xml:space="preserve"> </w:t>
      </w:r>
    </w:p>
    <w:p w14:paraId="5FF9C8E1" w14:textId="77777777" w:rsidR="005E7592" w:rsidRPr="007A18CC" w:rsidRDefault="005E7592" w:rsidP="00E020FC">
      <w:pPr>
        <w:widowControl/>
        <w:numPr>
          <w:ilvl w:val="0"/>
          <w:numId w:val="3"/>
        </w:numPr>
        <w:autoSpaceDE/>
        <w:autoSpaceDN/>
        <w:adjustRightInd/>
        <w:rPr>
          <w:sz w:val="24"/>
        </w:rPr>
      </w:pPr>
      <w:r w:rsidRPr="007A18CC">
        <w:rPr>
          <w:b/>
          <w:sz w:val="24"/>
        </w:rPr>
        <w:t>Initial Participant Survey</w:t>
      </w:r>
      <w:r w:rsidRPr="007A18CC">
        <w:rPr>
          <w:sz w:val="24"/>
        </w:rPr>
        <w:t xml:space="preserve"> (IPS) questionnaires administered via Internet, mail, and telephone</w:t>
      </w:r>
      <w:r w:rsidR="00D2704A" w:rsidRPr="007A18CC">
        <w:rPr>
          <w:sz w:val="24"/>
        </w:rPr>
        <w:t>.</w:t>
      </w:r>
    </w:p>
    <w:p w14:paraId="0C9C518F" w14:textId="77777777" w:rsidR="005E7592" w:rsidRPr="007A18CC" w:rsidRDefault="005E7592" w:rsidP="00E020FC">
      <w:pPr>
        <w:widowControl/>
        <w:numPr>
          <w:ilvl w:val="0"/>
          <w:numId w:val="3"/>
        </w:numPr>
        <w:autoSpaceDE/>
        <w:autoSpaceDN/>
        <w:adjustRightInd/>
        <w:rPr>
          <w:sz w:val="24"/>
        </w:rPr>
      </w:pPr>
      <w:r w:rsidRPr="007A18CC">
        <w:rPr>
          <w:b/>
          <w:sz w:val="24"/>
        </w:rPr>
        <w:t>Advice Interaction Survey</w:t>
      </w:r>
      <w:r w:rsidRPr="007A18CC">
        <w:rPr>
          <w:sz w:val="24"/>
        </w:rPr>
        <w:t xml:space="preserve"> (AIS) questionnaires administered quarterly via Internet, mail, and telephone</w:t>
      </w:r>
      <w:r w:rsidR="00D2704A" w:rsidRPr="007A18CC">
        <w:rPr>
          <w:sz w:val="24"/>
        </w:rPr>
        <w:t>.</w:t>
      </w:r>
    </w:p>
    <w:p w14:paraId="63F18B0D" w14:textId="77777777" w:rsidR="005E7592" w:rsidRPr="007A18CC" w:rsidRDefault="005E7592" w:rsidP="00E020FC">
      <w:pPr>
        <w:widowControl/>
        <w:numPr>
          <w:ilvl w:val="0"/>
          <w:numId w:val="3"/>
        </w:numPr>
        <w:autoSpaceDE/>
        <w:autoSpaceDN/>
        <w:adjustRightInd/>
        <w:rPr>
          <w:sz w:val="24"/>
        </w:rPr>
      </w:pPr>
      <w:r w:rsidRPr="007A18CC">
        <w:rPr>
          <w:b/>
          <w:sz w:val="24"/>
        </w:rPr>
        <w:t>Annual Participant Survey</w:t>
      </w:r>
      <w:r w:rsidRPr="007A18CC">
        <w:rPr>
          <w:sz w:val="24"/>
        </w:rPr>
        <w:t xml:space="preserve"> (APS) questionnaires administered annually via Internet, mail, and telephone</w:t>
      </w:r>
      <w:r w:rsidR="00D2704A" w:rsidRPr="007A18CC">
        <w:rPr>
          <w:sz w:val="24"/>
        </w:rPr>
        <w:t>.</w:t>
      </w:r>
    </w:p>
    <w:p w14:paraId="44706317" w14:textId="77777777" w:rsidR="000244B0" w:rsidRPr="00D07695" w:rsidRDefault="000244B0" w:rsidP="00FF1C6E">
      <w:pPr>
        <w:rPr>
          <w:rFonts w:ascii="Times" w:hAnsi="Times"/>
          <w:sz w:val="24"/>
        </w:rPr>
      </w:pPr>
    </w:p>
    <w:p w14:paraId="26963C61" w14:textId="77777777" w:rsidR="00760AE3" w:rsidRDefault="00760AE3" w:rsidP="00FF1C6E">
      <w:pPr>
        <w:pStyle w:val="Heading2"/>
        <w:rPr>
          <w:szCs w:val="24"/>
        </w:rPr>
      </w:pPr>
    </w:p>
    <w:p w14:paraId="6C97129A" w14:textId="77777777" w:rsidR="002E4554" w:rsidRPr="00D07695" w:rsidRDefault="000839A6" w:rsidP="00FF1C6E">
      <w:pPr>
        <w:pStyle w:val="Heading2"/>
        <w:rPr>
          <w:szCs w:val="24"/>
        </w:rPr>
      </w:pPr>
      <w:bookmarkStart w:id="2" w:name="_Toc479522840"/>
      <w:r w:rsidRPr="00D07695">
        <w:rPr>
          <w:szCs w:val="24"/>
        </w:rPr>
        <w:t xml:space="preserve">A.2. </w:t>
      </w:r>
      <w:r w:rsidR="00855ABA" w:rsidRPr="00D07695">
        <w:rPr>
          <w:szCs w:val="24"/>
        </w:rPr>
        <w:t>Purpose and Use of Information Collection</w:t>
      </w:r>
      <w:bookmarkEnd w:id="2"/>
    </w:p>
    <w:p w14:paraId="7AB19514" w14:textId="77777777" w:rsidR="00080098" w:rsidRPr="00D07695" w:rsidRDefault="00080098" w:rsidP="00FF1C6E">
      <w:pPr>
        <w:rPr>
          <w:sz w:val="24"/>
        </w:rPr>
      </w:pPr>
    </w:p>
    <w:p w14:paraId="09B11947" w14:textId="3953D2CA" w:rsidR="00080098" w:rsidRPr="007A18CC" w:rsidRDefault="00B56F9B" w:rsidP="00FF1C6E">
      <w:pPr>
        <w:rPr>
          <w:sz w:val="24"/>
        </w:rPr>
      </w:pPr>
      <w:r w:rsidRPr="007A18CC">
        <w:rPr>
          <w:sz w:val="24"/>
        </w:rPr>
        <w:t xml:space="preserve">Americans are being asked to take more responsibility for their own long-term financial security.  In particular, the </w:t>
      </w:r>
      <w:r w:rsidR="003C0A99" w:rsidRPr="007A18CC">
        <w:rPr>
          <w:sz w:val="24"/>
        </w:rPr>
        <w:t>shift</w:t>
      </w:r>
      <w:r w:rsidRPr="007A18CC">
        <w:rPr>
          <w:sz w:val="24"/>
        </w:rPr>
        <w:t xml:space="preserve"> from defined benefit </w:t>
      </w:r>
      <w:r w:rsidR="00AE045E" w:rsidRPr="007A18CC">
        <w:rPr>
          <w:sz w:val="24"/>
        </w:rPr>
        <w:t xml:space="preserve">(DB) </w:t>
      </w:r>
      <w:r w:rsidRPr="007A18CC">
        <w:rPr>
          <w:sz w:val="24"/>
        </w:rPr>
        <w:t xml:space="preserve">plans towards </w:t>
      </w:r>
      <w:r w:rsidR="005C3368" w:rsidRPr="007A18CC">
        <w:rPr>
          <w:sz w:val="24"/>
        </w:rPr>
        <w:t>defined contribution (</w:t>
      </w:r>
      <w:r w:rsidR="00AE045E" w:rsidRPr="007A18CC">
        <w:rPr>
          <w:sz w:val="24"/>
        </w:rPr>
        <w:t>DC</w:t>
      </w:r>
      <w:r w:rsidR="005C3368" w:rsidRPr="007A18CC">
        <w:rPr>
          <w:sz w:val="24"/>
        </w:rPr>
        <w:t>)</w:t>
      </w:r>
      <w:r w:rsidRPr="007A18CC">
        <w:rPr>
          <w:sz w:val="24"/>
        </w:rPr>
        <w:t xml:space="preserve"> plans has placed the burden of retirement planning on individuals, many of whom are ill-equipped to bear this responsibility.  </w:t>
      </w:r>
      <w:r w:rsidR="003D7BE0" w:rsidRPr="007A18CC">
        <w:rPr>
          <w:sz w:val="24"/>
        </w:rPr>
        <w:t>Given</w:t>
      </w:r>
      <w:r w:rsidRPr="007A18CC">
        <w:rPr>
          <w:sz w:val="24"/>
        </w:rPr>
        <w:t xml:space="preserve"> the increased demands placed on individuals, </w:t>
      </w:r>
      <w:r w:rsidR="003D7BE0" w:rsidRPr="007A18CC">
        <w:rPr>
          <w:sz w:val="24"/>
        </w:rPr>
        <w:t xml:space="preserve">it is important to understand as much as possible </w:t>
      </w:r>
      <w:r w:rsidRPr="007A18CC">
        <w:rPr>
          <w:sz w:val="24"/>
        </w:rPr>
        <w:t xml:space="preserve">about how people make planning and financial decisions before and during retirement. </w:t>
      </w:r>
      <w:r w:rsidR="00EA06EC" w:rsidRPr="007A18CC">
        <w:rPr>
          <w:sz w:val="24"/>
        </w:rPr>
        <w:t xml:space="preserve"> The proposed</w:t>
      </w:r>
      <w:r w:rsidR="00D73215" w:rsidRPr="007A18CC">
        <w:rPr>
          <w:sz w:val="24"/>
        </w:rPr>
        <w:t xml:space="preserve"> data collection effort</w:t>
      </w:r>
      <w:r w:rsidR="00EA06EC" w:rsidRPr="007A18CC">
        <w:rPr>
          <w:sz w:val="24"/>
        </w:rPr>
        <w:t xml:space="preserve"> is designed to overcome limitations of existing data collection activities</w:t>
      </w:r>
      <w:r w:rsidR="00D73215" w:rsidRPr="007A18CC">
        <w:rPr>
          <w:sz w:val="24"/>
        </w:rPr>
        <w:t xml:space="preserve"> in order to address the central issues of focus here in sufficient breadth and depth.  </w:t>
      </w:r>
      <w:r w:rsidR="00400B66" w:rsidRPr="007A18CC">
        <w:rPr>
          <w:sz w:val="24"/>
        </w:rPr>
        <w:t>Gaining</w:t>
      </w:r>
      <w:r w:rsidR="00CA09CE" w:rsidRPr="007A18CC">
        <w:rPr>
          <w:sz w:val="24"/>
        </w:rPr>
        <w:t xml:space="preserve"> new </w:t>
      </w:r>
      <w:r w:rsidR="00400B66" w:rsidRPr="007A18CC">
        <w:rPr>
          <w:sz w:val="24"/>
        </w:rPr>
        <w:t xml:space="preserve">insight into Americans’ decision-making processes and experiences will provide policy-makers and the research community with valuable information that can be used to guide future </w:t>
      </w:r>
      <w:r w:rsidR="008A00CF" w:rsidRPr="007A18CC">
        <w:rPr>
          <w:sz w:val="24"/>
        </w:rPr>
        <w:t xml:space="preserve">policy and </w:t>
      </w:r>
      <w:r w:rsidR="00400B66" w:rsidRPr="007A18CC">
        <w:rPr>
          <w:sz w:val="24"/>
        </w:rPr>
        <w:t xml:space="preserve">research.  </w:t>
      </w:r>
    </w:p>
    <w:p w14:paraId="6A2379C1" w14:textId="77777777" w:rsidR="005D40DD" w:rsidRPr="007A18CC" w:rsidRDefault="005D40DD" w:rsidP="00FF1C6E">
      <w:pPr>
        <w:rPr>
          <w:sz w:val="24"/>
        </w:rPr>
      </w:pPr>
    </w:p>
    <w:p w14:paraId="6E02CD75" w14:textId="77777777" w:rsidR="005D40DD" w:rsidRPr="003D7BE0" w:rsidRDefault="005D40DD" w:rsidP="00FF1C6E">
      <w:pPr>
        <w:rPr>
          <w:sz w:val="24"/>
        </w:rPr>
      </w:pPr>
      <w:r w:rsidRPr="005021DC">
        <w:rPr>
          <w:sz w:val="24"/>
        </w:rPr>
        <w:t xml:space="preserve">This investigation will explore a set of research questions on retirement savings, investment, and drawdown behavior by conducting a study that tracks retirees and future retirees over an extended period.  </w:t>
      </w:r>
      <w:r w:rsidR="00400B66" w:rsidRPr="005E57E4">
        <w:rPr>
          <w:sz w:val="24"/>
        </w:rPr>
        <w:t>The primary research questions to be explored are:</w:t>
      </w:r>
    </w:p>
    <w:p w14:paraId="7C90F45E" w14:textId="77777777" w:rsidR="00400B66" w:rsidRPr="007A18CC" w:rsidRDefault="00400B66" w:rsidP="00FF1C6E">
      <w:pPr>
        <w:rPr>
          <w:sz w:val="24"/>
        </w:rPr>
      </w:pPr>
    </w:p>
    <w:p w14:paraId="5FFBA585" w14:textId="77777777" w:rsidR="00DB61FA" w:rsidRPr="007A18CC" w:rsidRDefault="00400B66" w:rsidP="00AA7CE6">
      <w:pPr>
        <w:ind w:left="720" w:hanging="720"/>
        <w:rPr>
          <w:sz w:val="24"/>
        </w:rPr>
      </w:pPr>
      <w:r w:rsidRPr="007A18CC">
        <w:rPr>
          <w:sz w:val="24"/>
        </w:rPr>
        <w:t>1.</w:t>
      </w:r>
      <w:r w:rsidRPr="007A18CC">
        <w:rPr>
          <w:sz w:val="24"/>
        </w:rPr>
        <w:tab/>
      </w:r>
      <w:r w:rsidR="00ED10D4" w:rsidRPr="007A18CC">
        <w:rPr>
          <w:sz w:val="24"/>
        </w:rPr>
        <w:t>How do household</w:t>
      </w:r>
      <w:r w:rsidR="00DB61FA" w:rsidRPr="007A18CC">
        <w:rPr>
          <w:sz w:val="24"/>
        </w:rPr>
        <w:t>s</w:t>
      </w:r>
      <w:r w:rsidR="00ED10D4" w:rsidRPr="007A18CC">
        <w:rPr>
          <w:sz w:val="24"/>
        </w:rPr>
        <w:t xml:space="preserve"> plan for retirement and how do they act on those plans? </w:t>
      </w:r>
      <w:r w:rsidR="00107B30" w:rsidRPr="007A18CC">
        <w:rPr>
          <w:sz w:val="24"/>
        </w:rPr>
        <w:t xml:space="preserve"> What kind of advice do they ge</w:t>
      </w:r>
      <w:r w:rsidR="00DB61FA" w:rsidRPr="007A18CC">
        <w:rPr>
          <w:sz w:val="24"/>
        </w:rPr>
        <w:t>t to develop and act on those plans?  What roles do retirement savings vehicles—especially, DC plans and IRAs—play in those plans?</w:t>
      </w:r>
    </w:p>
    <w:p w14:paraId="5409C465" w14:textId="77777777" w:rsidR="00DB61FA" w:rsidRPr="007A18CC" w:rsidRDefault="00DB61FA" w:rsidP="00AA7CE6">
      <w:pPr>
        <w:ind w:left="720" w:hanging="720"/>
        <w:rPr>
          <w:sz w:val="24"/>
        </w:rPr>
      </w:pPr>
    </w:p>
    <w:p w14:paraId="15C031CF" w14:textId="77777777" w:rsidR="00AA7CE6" w:rsidRPr="007A18CC" w:rsidRDefault="00DB61FA" w:rsidP="00AA7CE6">
      <w:pPr>
        <w:ind w:left="720" w:hanging="720"/>
        <w:rPr>
          <w:sz w:val="24"/>
        </w:rPr>
      </w:pPr>
      <w:proofErr w:type="gramStart"/>
      <w:r w:rsidRPr="007A18CC">
        <w:rPr>
          <w:sz w:val="24"/>
        </w:rPr>
        <w:t>2.</w:t>
      </w:r>
      <w:r w:rsidRPr="007A18CC">
        <w:rPr>
          <w:sz w:val="24"/>
        </w:rPr>
        <w:tab/>
      </w:r>
      <w:r w:rsidR="00AA7CE6" w:rsidRPr="007A18CC">
        <w:rPr>
          <w:sz w:val="24"/>
        </w:rPr>
        <w:t>How are savings and investment decisions inside and outside of retirement plans</w:t>
      </w:r>
      <w:proofErr w:type="gramEnd"/>
      <w:r w:rsidR="00AA7CE6" w:rsidRPr="007A18CC">
        <w:rPr>
          <w:sz w:val="24"/>
        </w:rPr>
        <w:t xml:space="preserve"> influenced both by the types of dedicated retirement savings plans that are available to the household and by the investment options that are available within those plans?</w:t>
      </w:r>
    </w:p>
    <w:p w14:paraId="094380E2" w14:textId="77777777" w:rsidR="00AA7CE6" w:rsidRPr="007A18CC" w:rsidRDefault="00AA7CE6" w:rsidP="00AA7CE6">
      <w:pPr>
        <w:ind w:left="720" w:hanging="720"/>
        <w:rPr>
          <w:sz w:val="24"/>
        </w:rPr>
      </w:pPr>
    </w:p>
    <w:p w14:paraId="7DB417CB" w14:textId="7B297D04" w:rsidR="00AA7CE6" w:rsidRPr="007A18CC" w:rsidRDefault="00DB61FA" w:rsidP="00AA7CE6">
      <w:pPr>
        <w:ind w:left="720" w:hanging="720"/>
        <w:rPr>
          <w:sz w:val="24"/>
        </w:rPr>
      </w:pPr>
      <w:r w:rsidRPr="007A18CC">
        <w:rPr>
          <w:sz w:val="24"/>
        </w:rPr>
        <w:t>3</w:t>
      </w:r>
      <w:r w:rsidR="00AA7CE6" w:rsidRPr="007A18CC">
        <w:rPr>
          <w:sz w:val="24"/>
        </w:rPr>
        <w:t>.</w:t>
      </w:r>
      <w:r w:rsidR="00AA7CE6" w:rsidRPr="007A18CC">
        <w:rPr>
          <w:sz w:val="24"/>
        </w:rPr>
        <w:tab/>
        <w:t>What financial, demographic, and retirement plan characteristics are associated with the use of a professional fi</w:t>
      </w:r>
      <w:r w:rsidR="003C4FC6" w:rsidRPr="007A18CC">
        <w:rPr>
          <w:sz w:val="24"/>
        </w:rPr>
        <w:t xml:space="preserve">nancial </w:t>
      </w:r>
      <w:r w:rsidR="00407ED4" w:rsidRPr="007A18CC">
        <w:rPr>
          <w:sz w:val="24"/>
        </w:rPr>
        <w:t>adviser</w:t>
      </w:r>
      <w:r w:rsidR="00315329" w:rsidRPr="007A18CC">
        <w:rPr>
          <w:sz w:val="24"/>
        </w:rPr>
        <w:t xml:space="preserve">?   How does retirement planning </w:t>
      </w:r>
      <w:r w:rsidR="00AA7CE6" w:rsidRPr="007A18CC">
        <w:rPr>
          <w:sz w:val="24"/>
        </w:rPr>
        <w:t>advice vary with these characteristics?</w:t>
      </w:r>
      <w:r w:rsidR="003C4FC6" w:rsidRPr="007A18CC">
        <w:rPr>
          <w:sz w:val="24"/>
        </w:rPr>
        <w:t xml:space="preserve">  </w:t>
      </w:r>
    </w:p>
    <w:p w14:paraId="0101C1B5" w14:textId="77777777" w:rsidR="003C4FC6" w:rsidRPr="007A18CC" w:rsidRDefault="003C4FC6" w:rsidP="00AA7CE6">
      <w:pPr>
        <w:ind w:left="720" w:hanging="720"/>
        <w:rPr>
          <w:sz w:val="24"/>
        </w:rPr>
      </w:pPr>
    </w:p>
    <w:p w14:paraId="3B70F314" w14:textId="77777777" w:rsidR="00AA7CE6" w:rsidRPr="007A18CC" w:rsidRDefault="007042AA" w:rsidP="00AA7CE6">
      <w:pPr>
        <w:ind w:left="720" w:hanging="720"/>
        <w:rPr>
          <w:sz w:val="24"/>
        </w:rPr>
      </w:pPr>
      <w:r w:rsidRPr="007A18CC">
        <w:rPr>
          <w:sz w:val="24"/>
        </w:rPr>
        <w:t>4</w:t>
      </w:r>
      <w:r w:rsidR="00AA7CE6" w:rsidRPr="007A18CC">
        <w:rPr>
          <w:sz w:val="24"/>
        </w:rPr>
        <w:t>.</w:t>
      </w:r>
      <w:r w:rsidR="00AA7CE6" w:rsidRPr="007A18CC">
        <w:rPr>
          <w:sz w:val="24"/>
        </w:rPr>
        <w:tab/>
        <w:t xml:space="preserve">What types of informal advice </w:t>
      </w:r>
      <w:r w:rsidR="00AE045E" w:rsidRPr="007A18CC">
        <w:rPr>
          <w:sz w:val="24"/>
        </w:rPr>
        <w:t xml:space="preserve">related to retirement—i.e., something other than advice from a </w:t>
      </w:r>
      <w:r w:rsidR="00AA7CE6" w:rsidRPr="007A18CC">
        <w:rPr>
          <w:sz w:val="24"/>
        </w:rPr>
        <w:t xml:space="preserve">professional </w:t>
      </w:r>
      <w:r w:rsidR="00AE045E" w:rsidRPr="007A18CC">
        <w:rPr>
          <w:sz w:val="24"/>
        </w:rPr>
        <w:t>financial services provider—</w:t>
      </w:r>
      <w:r w:rsidR="00AA7CE6" w:rsidRPr="007A18CC">
        <w:rPr>
          <w:sz w:val="24"/>
        </w:rPr>
        <w:t>do households rely on and to what extent? How do professional advice and informal advice interact with one another?</w:t>
      </w:r>
    </w:p>
    <w:p w14:paraId="772A1430" w14:textId="77777777" w:rsidR="00AA7CE6" w:rsidRPr="007A18CC" w:rsidRDefault="00AA7CE6" w:rsidP="00AA7CE6">
      <w:pPr>
        <w:ind w:left="720" w:hanging="720"/>
        <w:rPr>
          <w:sz w:val="24"/>
        </w:rPr>
      </w:pPr>
    </w:p>
    <w:p w14:paraId="24557D82" w14:textId="77777777" w:rsidR="00AA7CE6" w:rsidRPr="007A18CC" w:rsidRDefault="007042AA" w:rsidP="00AA7CE6">
      <w:pPr>
        <w:ind w:left="720" w:hanging="720"/>
        <w:rPr>
          <w:sz w:val="24"/>
        </w:rPr>
      </w:pPr>
      <w:r w:rsidRPr="007A18CC">
        <w:rPr>
          <w:sz w:val="24"/>
        </w:rPr>
        <w:t>5</w:t>
      </w:r>
      <w:r w:rsidR="00AA7CE6" w:rsidRPr="007A18CC">
        <w:rPr>
          <w:sz w:val="24"/>
        </w:rPr>
        <w:t>.</w:t>
      </w:r>
      <w:r w:rsidR="00AA7CE6" w:rsidRPr="007A18CC">
        <w:rPr>
          <w:sz w:val="24"/>
        </w:rPr>
        <w:tab/>
      </w:r>
      <w:r w:rsidR="00A43407" w:rsidRPr="007A18CC">
        <w:rPr>
          <w:sz w:val="24"/>
        </w:rPr>
        <w:t xml:space="preserve">What </w:t>
      </w:r>
      <w:r w:rsidR="00194DC4" w:rsidRPr="007A18CC">
        <w:rPr>
          <w:sz w:val="24"/>
        </w:rPr>
        <w:t xml:space="preserve">types of </w:t>
      </w:r>
      <w:r w:rsidR="00A43407" w:rsidRPr="007A18CC">
        <w:rPr>
          <w:sz w:val="24"/>
        </w:rPr>
        <w:t xml:space="preserve">advice </w:t>
      </w:r>
      <w:r w:rsidR="00AA7CE6" w:rsidRPr="007A18CC">
        <w:rPr>
          <w:sz w:val="24"/>
        </w:rPr>
        <w:t xml:space="preserve">do DC </w:t>
      </w:r>
      <w:r w:rsidR="001B7CBB" w:rsidRPr="007A18CC">
        <w:rPr>
          <w:sz w:val="24"/>
        </w:rPr>
        <w:t xml:space="preserve">plan </w:t>
      </w:r>
      <w:r w:rsidR="00AA7CE6" w:rsidRPr="007A18CC">
        <w:rPr>
          <w:sz w:val="24"/>
        </w:rPr>
        <w:t xml:space="preserve">participants and IRA holders receive in conjunction with their retirement plans?  </w:t>
      </w:r>
      <w:r w:rsidR="00DF569C" w:rsidRPr="007A18CC">
        <w:rPr>
          <w:sz w:val="24"/>
        </w:rPr>
        <w:t xml:space="preserve">Does this </w:t>
      </w:r>
      <w:r w:rsidR="00194DC4" w:rsidRPr="007A18CC">
        <w:rPr>
          <w:sz w:val="24"/>
        </w:rPr>
        <w:t>advice</w:t>
      </w:r>
      <w:r w:rsidR="00DF569C" w:rsidRPr="007A18CC">
        <w:rPr>
          <w:sz w:val="24"/>
        </w:rPr>
        <w:t xml:space="preserve"> </w:t>
      </w:r>
      <w:r w:rsidR="008A00CF" w:rsidRPr="007A18CC">
        <w:rPr>
          <w:sz w:val="24"/>
        </w:rPr>
        <w:t>enhance</w:t>
      </w:r>
      <w:r w:rsidR="00DF569C" w:rsidRPr="007A18CC">
        <w:rPr>
          <w:sz w:val="24"/>
        </w:rPr>
        <w:t xml:space="preserve"> their financial capabilities?  </w:t>
      </w:r>
    </w:p>
    <w:p w14:paraId="7EBCB8AB" w14:textId="77777777" w:rsidR="00AA7CE6" w:rsidRPr="007A18CC" w:rsidRDefault="00AA7CE6" w:rsidP="00AA7CE6">
      <w:pPr>
        <w:ind w:left="720" w:hanging="720"/>
        <w:rPr>
          <w:sz w:val="24"/>
        </w:rPr>
      </w:pPr>
    </w:p>
    <w:p w14:paraId="29056D29" w14:textId="77777777" w:rsidR="00AA7CE6" w:rsidRPr="007A18CC" w:rsidRDefault="007042AA" w:rsidP="00AA7CE6">
      <w:pPr>
        <w:ind w:left="720" w:hanging="720"/>
        <w:rPr>
          <w:sz w:val="24"/>
        </w:rPr>
      </w:pPr>
      <w:r w:rsidRPr="007A18CC">
        <w:rPr>
          <w:sz w:val="24"/>
        </w:rPr>
        <w:t>6</w:t>
      </w:r>
      <w:r w:rsidR="00AA7CE6" w:rsidRPr="007A18CC">
        <w:rPr>
          <w:sz w:val="24"/>
        </w:rPr>
        <w:t>.</w:t>
      </w:r>
      <w:r w:rsidR="00AA7CE6" w:rsidRPr="007A18CC">
        <w:rPr>
          <w:sz w:val="24"/>
        </w:rPr>
        <w:tab/>
        <w:t>How frequently do households change retirement planning strategies?  What factors</w:t>
      </w:r>
      <w:r w:rsidR="006D37DF" w:rsidRPr="007A18CC">
        <w:rPr>
          <w:sz w:val="24"/>
        </w:rPr>
        <w:t>,</w:t>
      </w:r>
      <w:r w:rsidR="00AA7CE6" w:rsidRPr="007A18CC">
        <w:rPr>
          <w:sz w:val="24"/>
        </w:rPr>
        <w:t xml:space="preserve"> such as market conditions or age of participant</w:t>
      </w:r>
      <w:r w:rsidR="006D37DF" w:rsidRPr="007A18CC">
        <w:rPr>
          <w:sz w:val="24"/>
        </w:rPr>
        <w:t>,</w:t>
      </w:r>
      <w:r w:rsidR="00AA7CE6" w:rsidRPr="007A18CC">
        <w:rPr>
          <w:sz w:val="24"/>
        </w:rPr>
        <w:t xml:space="preserve"> predict a change in retirement planning strategy?</w:t>
      </w:r>
    </w:p>
    <w:p w14:paraId="50398D3E" w14:textId="77777777" w:rsidR="00AA7CE6" w:rsidRPr="007A18CC" w:rsidRDefault="00AA7CE6" w:rsidP="00AA7CE6">
      <w:pPr>
        <w:ind w:left="720" w:hanging="720"/>
        <w:rPr>
          <w:sz w:val="24"/>
        </w:rPr>
      </w:pPr>
    </w:p>
    <w:p w14:paraId="4AEC6B13" w14:textId="77777777" w:rsidR="00AA7CE6" w:rsidRPr="007A18CC" w:rsidRDefault="007042AA" w:rsidP="00AA7CE6">
      <w:pPr>
        <w:ind w:left="720" w:hanging="720"/>
        <w:rPr>
          <w:sz w:val="24"/>
        </w:rPr>
      </w:pPr>
      <w:r w:rsidRPr="007A18CC">
        <w:rPr>
          <w:sz w:val="24"/>
        </w:rPr>
        <w:t>7</w:t>
      </w:r>
      <w:r w:rsidR="00AA7CE6" w:rsidRPr="007A18CC">
        <w:rPr>
          <w:sz w:val="24"/>
        </w:rPr>
        <w:t>.</w:t>
      </w:r>
      <w:r w:rsidR="00AA7CE6" w:rsidRPr="007A18CC">
        <w:rPr>
          <w:sz w:val="24"/>
        </w:rPr>
        <w:tab/>
        <w:t>How do retirement planning strategies and decisions evolve over time?  How are decisions made during the transition to retirement or when changing jobs?</w:t>
      </w:r>
    </w:p>
    <w:p w14:paraId="6AD492CA" w14:textId="77777777" w:rsidR="00400B66" w:rsidRPr="007A18CC" w:rsidRDefault="00400B66" w:rsidP="00181D9C">
      <w:pPr>
        <w:ind w:left="720" w:hanging="720"/>
        <w:rPr>
          <w:sz w:val="24"/>
        </w:rPr>
      </w:pPr>
    </w:p>
    <w:p w14:paraId="781035E2" w14:textId="77777777" w:rsidR="00400B66" w:rsidRPr="007A18CC" w:rsidRDefault="007042AA" w:rsidP="00A43407">
      <w:pPr>
        <w:ind w:left="720" w:hanging="720"/>
        <w:rPr>
          <w:sz w:val="24"/>
        </w:rPr>
      </w:pPr>
      <w:r w:rsidRPr="007A18CC">
        <w:rPr>
          <w:sz w:val="24"/>
        </w:rPr>
        <w:t>8</w:t>
      </w:r>
      <w:r w:rsidR="00400B66" w:rsidRPr="007A18CC">
        <w:rPr>
          <w:sz w:val="24"/>
        </w:rPr>
        <w:t>.</w:t>
      </w:r>
      <w:r w:rsidR="00400B66" w:rsidRPr="007A18CC">
        <w:rPr>
          <w:sz w:val="24"/>
        </w:rPr>
        <w:tab/>
        <w:t xml:space="preserve">Do </w:t>
      </w:r>
      <w:r w:rsidR="00AA7CE6" w:rsidRPr="007A18CC">
        <w:rPr>
          <w:sz w:val="24"/>
        </w:rPr>
        <w:t xml:space="preserve">households </w:t>
      </w:r>
      <w:r w:rsidR="00400B66" w:rsidRPr="007A18CC">
        <w:rPr>
          <w:sz w:val="24"/>
        </w:rPr>
        <w:t>display cognitive biases in their retirement decision-making?  Are these cognitive biases consistent over time for an individual or are they dependent on particular circumstances?  What factors predict cognitive biases?</w:t>
      </w:r>
    </w:p>
    <w:p w14:paraId="20F00B86" w14:textId="77777777" w:rsidR="003C4FC6" w:rsidRPr="007A18CC" w:rsidRDefault="003C4FC6" w:rsidP="00FF1C6E">
      <w:pPr>
        <w:ind w:left="720" w:hanging="720"/>
        <w:rPr>
          <w:sz w:val="24"/>
        </w:rPr>
      </w:pPr>
    </w:p>
    <w:p w14:paraId="33F6E73A" w14:textId="77777777" w:rsidR="00400B66" w:rsidRPr="007A18CC" w:rsidRDefault="007042AA" w:rsidP="00FF1C6E">
      <w:pPr>
        <w:ind w:left="720" w:hanging="720"/>
        <w:rPr>
          <w:sz w:val="24"/>
        </w:rPr>
      </w:pPr>
      <w:r w:rsidRPr="007A18CC">
        <w:rPr>
          <w:sz w:val="24"/>
        </w:rPr>
        <w:t>9</w:t>
      </w:r>
      <w:r w:rsidR="00400B66" w:rsidRPr="007A18CC">
        <w:rPr>
          <w:sz w:val="24"/>
        </w:rPr>
        <w:t>.</w:t>
      </w:r>
      <w:r w:rsidR="00400B66" w:rsidRPr="007A18CC">
        <w:rPr>
          <w:sz w:val="24"/>
        </w:rPr>
        <w:tab/>
      </w:r>
      <w:r w:rsidR="00A43407" w:rsidRPr="007A18CC">
        <w:rPr>
          <w:sz w:val="24"/>
        </w:rPr>
        <w:t xml:space="preserve">Important methodological questions will also be addressed over the course of this study, such as: </w:t>
      </w:r>
      <w:r w:rsidR="00400B66" w:rsidRPr="007A18CC">
        <w:rPr>
          <w:sz w:val="24"/>
        </w:rPr>
        <w:t>How should we measure such phenomena as financial capabilities, perceptions of retirement plan options, and retirement savings strategies?</w:t>
      </w:r>
    </w:p>
    <w:p w14:paraId="221163DB" w14:textId="77777777" w:rsidR="00AA7CE6" w:rsidRPr="007A18CC" w:rsidRDefault="00AA7CE6" w:rsidP="00FF1C6E">
      <w:pPr>
        <w:ind w:left="720" w:hanging="720"/>
        <w:rPr>
          <w:sz w:val="24"/>
        </w:rPr>
      </w:pPr>
    </w:p>
    <w:p w14:paraId="10307C7D" w14:textId="77777777" w:rsidR="00C921A5" w:rsidRPr="007A18CC" w:rsidRDefault="00C921A5" w:rsidP="00FF1C6E">
      <w:pPr>
        <w:rPr>
          <w:sz w:val="24"/>
        </w:rPr>
      </w:pPr>
      <w:r w:rsidRPr="007A18CC">
        <w:rPr>
          <w:sz w:val="24"/>
        </w:rPr>
        <w:t>The data on observed outcomes will be combined with survey responses on planning methods and</w:t>
      </w:r>
      <w:r w:rsidR="00BE690F" w:rsidRPr="007A18CC">
        <w:rPr>
          <w:sz w:val="24"/>
        </w:rPr>
        <w:t xml:space="preserve"> </w:t>
      </w:r>
      <w:r w:rsidRPr="007A18CC">
        <w:rPr>
          <w:sz w:val="24"/>
        </w:rPr>
        <w:t>strategies to perform a cross-sectional analysis, conditional</w:t>
      </w:r>
      <w:r w:rsidR="00BE690F" w:rsidRPr="007A18CC">
        <w:rPr>
          <w:sz w:val="24"/>
        </w:rPr>
        <w:t xml:space="preserve"> on other respondent attributes.  Multiple waves of </w:t>
      </w:r>
      <w:r w:rsidR="00CF63D3" w:rsidRPr="007A18CC">
        <w:rPr>
          <w:sz w:val="24"/>
        </w:rPr>
        <w:t xml:space="preserve">data drawn from the </w:t>
      </w:r>
      <w:r w:rsidR="00873E3B" w:rsidRPr="007A18CC">
        <w:rPr>
          <w:sz w:val="24"/>
        </w:rPr>
        <w:t xml:space="preserve">IPS, AIS, and APS </w:t>
      </w:r>
      <w:r w:rsidR="00BE690F" w:rsidRPr="007A18CC">
        <w:rPr>
          <w:sz w:val="24"/>
        </w:rPr>
        <w:t xml:space="preserve">will be </w:t>
      </w:r>
      <w:r w:rsidR="00873E3B" w:rsidRPr="007A18CC">
        <w:rPr>
          <w:sz w:val="24"/>
        </w:rPr>
        <w:t xml:space="preserve">utilized </w:t>
      </w:r>
      <w:r w:rsidR="00BE690F" w:rsidRPr="007A18CC">
        <w:rPr>
          <w:sz w:val="24"/>
        </w:rPr>
        <w:t>to analyze how behavior evolves over time.</w:t>
      </w:r>
    </w:p>
    <w:p w14:paraId="2F24762B" w14:textId="77777777" w:rsidR="00997755" w:rsidRPr="007A18CC" w:rsidRDefault="00997755" w:rsidP="00FF1C6E">
      <w:pPr>
        <w:rPr>
          <w:sz w:val="24"/>
        </w:rPr>
      </w:pPr>
    </w:p>
    <w:p w14:paraId="24D61049" w14:textId="77777777" w:rsidR="0041508F" w:rsidRPr="007A18CC" w:rsidRDefault="00997755" w:rsidP="00FF1C6E">
      <w:pPr>
        <w:rPr>
          <w:sz w:val="24"/>
        </w:rPr>
      </w:pPr>
      <w:r w:rsidRPr="007A18CC">
        <w:rPr>
          <w:sz w:val="24"/>
        </w:rPr>
        <w:t>Prior to administering the On the Road to Retirement Surveys</w:t>
      </w:r>
      <w:r w:rsidR="00313686" w:rsidRPr="007A18CC">
        <w:rPr>
          <w:sz w:val="24"/>
        </w:rPr>
        <w:t xml:space="preserve">, the data collection instruments will be pretested via cognitive interviews, pilot surveys, </w:t>
      </w:r>
      <w:r w:rsidR="00A43407" w:rsidRPr="007A18CC">
        <w:rPr>
          <w:sz w:val="24"/>
        </w:rPr>
        <w:t xml:space="preserve">and </w:t>
      </w:r>
      <w:r w:rsidR="00313686" w:rsidRPr="007A18CC">
        <w:rPr>
          <w:sz w:val="24"/>
        </w:rPr>
        <w:t>debriefing of respondents to the pilot surveys. The data generated by these pretests will be used solely for the purpose of assessing and improving the quality of the survey instruments.  The findings from the pretests will be used</w:t>
      </w:r>
      <w:r w:rsidR="0041508F" w:rsidRPr="007A18CC">
        <w:rPr>
          <w:sz w:val="24"/>
        </w:rPr>
        <w:t xml:space="preserve"> to make minor changes to </w:t>
      </w:r>
      <w:r w:rsidR="00D857C9" w:rsidRPr="007A18CC">
        <w:rPr>
          <w:sz w:val="24"/>
        </w:rPr>
        <w:t xml:space="preserve">the </w:t>
      </w:r>
      <w:r w:rsidR="0041508F" w:rsidRPr="007A18CC">
        <w:rPr>
          <w:sz w:val="24"/>
        </w:rPr>
        <w:t>wording of questions and could result in removal of questions if they are found to be confusing or more burdensome than anticipated.  The Department</w:t>
      </w:r>
      <w:r w:rsidR="00313686" w:rsidRPr="007A18CC">
        <w:rPr>
          <w:sz w:val="24"/>
        </w:rPr>
        <w:t xml:space="preserve"> of Labor</w:t>
      </w:r>
      <w:r w:rsidR="0041508F" w:rsidRPr="007A18CC">
        <w:rPr>
          <w:sz w:val="24"/>
        </w:rPr>
        <w:t xml:space="preserve"> </w:t>
      </w:r>
      <w:r w:rsidR="008E51AB" w:rsidRPr="007A18CC">
        <w:rPr>
          <w:sz w:val="24"/>
        </w:rPr>
        <w:t>intends to use the non-material change process to clear any change resulting from the pretesting.</w:t>
      </w:r>
    </w:p>
    <w:p w14:paraId="6F73D81B" w14:textId="77777777" w:rsidR="00EA5917" w:rsidRDefault="00EA5917" w:rsidP="00FF1C6E">
      <w:pPr>
        <w:pStyle w:val="Heading2"/>
      </w:pPr>
      <w:bookmarkStart w:id="3" w:name="_Toc479522841"/>
    </w:p>
    <w:p w14:paraId="433B90FE" w14:textId="77777777" w:rsidR="00855ABA" w:rsidRDefault="000839A6" w:rsidP="00FF1C6E">
      <w:pPr>
        <w:pStyle w:val="Heading2"/>
      </w:pPr>
      <w:r>
        <w:t xml:space="preserve">A.3. </w:t>
      </w:r>
      <w:r w:rsidR="00855ABA" w:rsidRPr="00891591">
        <w:t>Use of Improved Information Technology and Burden Reduction</w:t>
      </w:r>
      <w:bookmarkEnd w:id="3"/>
    </w:p>
    <w:p w14:paraId="5F363D42" w14:textId="77777777" w:rsidR="00080098" w:rsidRDefault="00080098" w:rsidP="00FF1C6E"/>
    <w:p w14:paraId="3ED8F6C7" w14:textId="77777777" w:rsidR="00C921A5" w:rsidRPr="00D07695" w:rsidRDefault="00C921A5" w:rsidP="00FF1C6E">
      <w:pPr>
        <w:rPr>
          <w:rFonts w:ascii="Times" w:hAnsi="Times"/>
          <w:sz w:val="24"/>
        </w:rPr>
      </w:pPr>
      <w:r w:rsidRPr="00D07695">
        <w:rPr>
          <w:sz w:val="24"/>
        </w:rPr>
        <w:t xml:space="preserve">The </w:t>
      </w:r>
      <w:r w:rsidR="00873E3B" w:rsidRPr="00D07695">
        <w:rPr>
          <w:sz w:val="24"/>
        </w:rPr>
        <w:t xml:space="preserve">survey </w:t>
      </w:r>
      <w:r w:rsidRPr="00D07695">
        <w:rPr>
          <w:sz w:val="24"/>
        </w:rPr>
        <w:t xml:space="preserve">interviews will primarily be </w:t>
      </w:r>
      <w:r w:rsidR="00873E3B" w:rsidRPr="00D07695">
        <w:rPr>
          <w:sz w:val="24"/>
        </w:rPr>
        <w:t xml:space="preserve">conducted via </w:t>
      </w:r>
      <w:r w:rsidR="0098216F" w:rsidRPr="00D07695">
        <w:rPr>
          <w:sz w:val="24"/>
        </w:rPr>
        <w:t>Internet</w:t>
      </w:r>
      <w:r w:rsidRPr="00D07695">
        <w:rPr>
          <w:sz w:val="24"/>
        </w:rPr>
        <w:t xml:space="preserve"> but will be supported by mail and telephone interviews as necessary</w:t>
      </w:r>
      <w:r w:rsidR="00873E3B" w:rsidRPr="00D07695">
        <w:rPr>
          <w:sz w:val="24"/>
        </w:rPr>
        <w:t xml:space="preserve"> for those respondents who prefer one of these interview modes</w:t>
      </w:r>
      <w:r w:rsidRPr="00D07695">
        <w:rPr>
          <w:sz w:val="24"/>
        </w:rPr>
        <w:t xml:space="preserve">. </w:t>
      </w:r>
      <w:r w:rsidR="00873E3B" w:rsidRPr="00D07695">
        <w:rPr>
          <w:sz w:val="24"/>
        </w:rPr>
        <w:t xml:space="preserve">Research on </w:t>
      </w:r>
      <w:r w:rsidRPr="00D07695">
        <w:rPr>
          <w:rFonts w:ascii="Times" w:hAnsi="Times"/>
          <w:sz w:val="24"/>
        </w:rPr>
        <w:t xml:space="preserve">multi-mode interviewing shows that, in order to maximize response rates, it is not a good idea to offer a choice of modes upfront.  Rather, one starts with the </w:t>
      </w:r>
      <w:r w:rsidR="008A00CF">
        <w:rPr>
          <w:rFonts w:ascii="Times" w:hAnsi="Times"/>
          <w:sz w:val="24"/>
        </w:rPr>
        <w:t xml:space="preserve">study’s </w:t>
      </w:r>
      <w:r w:rsidRPr="00D07695">
        <w:rPr>
          <w:rFonts w:ascii="Times" w:hAnsi="Times"/>
          <w:sz w:val="24"/>
        </w:rPr>
        <w:t>preferred mode (in this case Internet) and only if that turns out to be difficult should one offer a second (and possibly a third) mode.</w:t>
      </w:r>
      <w:r w:rsidRPr="00D07695">
        <w:rPr>
          <w:rFonts w:ascii="Times" w:hAnsi="Times"/>
          <w:sz w:val="24"/>
          <w:vertAlign w:val="superscript"/>
        </w:rPr>
        <w:footnoteReference w:id="2"/>
      </w:r>
      <w:r w:rsidRPr="00D07695">
        <w:rPr>
          <w:rFonts w:ascii="Times" w:hAnsi="Times"/>
          <w:sz w:val="24"/>
        </w:rPr>
        <w:t xml:space="preserve">  It is possible that</w:t>
      </w:r>
      <w:r w:rsidR="008D32F2">
        <w:rPr>
          <w:rFonts w:ascii="Times" w:hAnsi="Times"/>
          <w:sz w:val="24"/>
        </w:rPr>
        <w:t xml:space="preserve"> some</w:t>
      </w:r>
      <w:r w:rsidRPr="00D07695">
        <w:rPr>
          <w:rFonts w:ascii="Times" w:hAnsi="Times"/>
          <w:sz w:val="24"/>
        </w:rPr>
        <w:t xml:space="preserve"> respondents </w:t>
      </w:r>
      <w:r w:rsidR="008D32F2">
        <w:rPr>
          <w:rFonts w:ascii="Times" w:hAnsi="Times"/>
          <w:sz w:val="24"/>
        </w:rPr>
        <w:t xml:space="preserve">will </w:t>
      </w:r>
      <w:r w:rsidRPr="00D07695">
        <w:rPr>
          <w:rFonts w:ascii="Times" w:hAnsi="Times"/>
          <w:sz w:val="24"/>
        </w:rPr>
        <w:t>start in one mode and then switch to a different mode, even within an interview.</w:t>
      </w:r>
      <w:r w:rsidR="003C414B" w:rsidRPr="00D07695">
        <w:rPr>
          <w:rFonts w:ascii="Times" w:hAnsi="Times"/>
          <w:sz w:val="24"/>
        </w:rPr>
        <w:t xml:space="preserve">  All mail and phone contacts regarding the surveys will include information on how the interview can be completed via </w:t>
      </w:r>
      <w:r w:rsidR="003C414B" w:rsidRPr="00D07695">
        <w:rPr>
          <w:rFonts w:ascii="Times" w:hAnsi="Times"/>
          <w:sz w:val="24"/>
        </w:rPr>
        <w:lastRenderedPageBreak/>
        <w:t xml:space="preserve">Internet. </w:t>
      </w:r>
      <w:r w:rsidRPr="00D07695">
        <w:rPr>
          <w:rFonts w:ascii="Times" w:hAnsi="Times"/>
          <w:sz w:val="24"/>
        </w:rPr>
        <w:t xml:space="preserve"> </w:t>
      </w:r>
      <w:r w:rsidRPr="005F048A">
        <w:rPr>
          <w:rFonts w:ascii="Times" w:hAnsi="Times"/>
          <w:sz w:val="24"/>
        </w:rPr>
        <w:t xml:space="preserve">RAND’s proprietary software </w:t>
      </w:r>
      <w:r w:rsidR="00AD7724" w:rsidRPr="005F048A">
        <w:rPr>
          <w:rFonts w:ascii="Times" w:hAnsi="Times"/>
          <w:sz w:val="24"/>
        </w:rPr>
        <w:t>Multimode Interviewing Capability (</w:t>
      </w:r>
      <w:r w:rsidRPr="005F048A">
        <w:rPr>
          <w:rFonts w:ascii="Times" w:hAnsi="Times"/>
          <w:sz w:val="24"/>
        </w:rPr>
        <w:t>MMIC</w:t>
      </w:r>
      <w:r w:rsidRPr="005F048A">
        <w:rPr>
          <w:rFonts w:ascii="Times" w:hAnsi="Times"/>
          <w:sz w:val="24"/>
          <w:vertAlign w:val="superscript"/>
        </w:rPr>
        <w:t>TM</w:t>
      </w:r>
      <w:r w:rsidR="00AD7724" w:rsidRPr="005F048A">
        <w:rPr>
          <w:rFonts w:ascii="Times" w:hAnsi="Times"/>
          <w:sz w:val="24"/>
        </w:rPr>
        <w:t xml:space="preserve">) </w:t>
      </w:r>
      <w:r w:rsidRPr="005F048A">
        <w:rPr>
          <w:rFonts w:ascii="Times" w:hAnsi="Times"/>
          <w:sz w:val="24"/>
        </w:rPr>
        <w:t>offers a full suite of options—telephone interviewing, self-administered mail and Internet survey, and personal interviewing—and ensures continuity and comparability across modes and over time.</w:t>
      </w:r>
    </w:p>
    <w:p w14:paraId="247FF60E" w14:textId="77777777" w:rsidR="00080098" w:rsidRPr="00D07695" w:rsidRDefault="00080098" w:rsidP="00FF1C6E">
      <w:pPr>
        <w:rPr>
          <w:sz w:val="24"/>
        </w:rPr>
      </w:pPr>
    </w:p>
    <w:p w14:paraId="5C0F2EAE" w14:textId="77777777" w:rsidR="00080098" w:rsidRPr="00D07695" w:rsidRDefault="00080098" w:rsidP="00FF1C6E">
      <w:pPr>
        <w:rPr>
          <w:sz w:val="24"/>
        </w:rPr>
      </w:pPr>
      <w:r w:rsidRPr="00D07695">
        <w:rPr>
          <w:sz w:val="24"/>
        </w:rPr>
        <w:t>In addition, the Records Management System (RMS) will be used to manage the survey sample, document interim and final case status codes, and generate progress reports.  The RMS will track case status in all modes and will document the actions and outcomes for each and every case in the sample, for all phases of activity.  The centralization of record</w:t>
      </w:r>
      <w:r w:rsidR="00F74209" w:rsidRPr="00D07695">
        <w:rPr>
          <w:sz w:val="24"/>
        </w:rPr>
        <w:t>s</w:t>
      </w:r>
      <w:r w:rsidRPr="00D07695">
        <w:rPr>
          <w:sz w:val="24"/>
        </w:rPr>
        <w:t xml:space="preserve"> management across survey modes provides for integrated reporting and control over production. </w:t>
      </w:r>
    </w:p>
    <w:p w14:paraId="4A36898E" w14:textId="77777777" w:rsidR="00EA5917" w:rsidRDefault="00EA5917" w:rsidP="00FF1C6E">
      <w:pPr>
        <w:pStyle w:val="Heading2"/>
        <w:rPr>
          <w:szCs w:val="24"/>
        </w:rPr>
      </w:pPr>
      <w:bookmarkStart w:id="4" w:name="_Toc479522842"/>
    </w:p>
    <w:p w14:paraId="4D7EC0DF" w14:textId="77777777" w:rsidR="00855ABA" w:rsidRPr="00D07695" w:rsidRDefault="000839A6" w:rsidP="00FF1C6E">
      <w:pPr>
        <w:pStyle w:val="Heading2"/>
        <w:rPr>
          <w:szCs w:val="24"/>
        </w:rPr>
      </w:pPr>
      <w:r w:rsidRPr="00D07695">
        <w:rPr>
          <w:szCs w:val="24"/>
        </w:rPr>
        <w:t xml:space="preserve">A.4. </w:t>
      </w:r>
      <w:r w:rsidR="00855ABA" w:rsidRPr="00D07695">
        <w:rPr>
          <w:szCs w:val="24"/>
        </w:rPr>
        <w:t>Efforts to Identify Duplication and Use of Similar Information</w:t>
      </w:r>
      <w:bookmarkEnd w:id="4"/>
    </w:p>
    <w:p w14:paraId="12BA07ED" w14:textId="77777777" w:rsidR="00080098" w:rsidRPr="00D07695" w:rsidRDefault="00080098" w:rsidP="00FF1C6E">
      <w:pPr>
        <w:rPr>
          <w:sz w:val="24"/>
        </w:rPr>
      </w:pPr>
    </w:p>
    <w:p w14:paraId="24AB8909" w14:textId="08923C45" w:rsidR="00D33018" w:rsidRDefault="008D673B" w:rsidP="00FF1C6E">
      <w:pPr>
        <w:rPr>
          <w:sz w:val="24"/>
        </w:rPr>
      </w:pPr>
      <w:r w:rsidRPr="00D07695">
        <w:rPr>
          <w:sz w:val="24"/>
        </w:rPr>
        <w:t xml:space="preserve">No recent and </w:t>
      </w:r>
      <w:r w:rsidR="00080098" w:rsidRPr="00D07695">
        <w:rPr>
          <w:sz w:val="24"/>
        </w:rPr>
        <w:t xml:space="preserve">suitable national data </w:t>
      </w:r>
      <w:r w:rsidRPr="00D07695">
        <w:rPr>
          <w:sz w:val="24"/>
        </w:rPr>
        <w:t xml:space="preserve">for the United States </w:t>
      </w:r>
      <w:r w:rsidR="00080098" w:rsidRPr="00D07695">
        <w:rPr>
          <w:sz w:val="24"/>
        </w:rPr>
        <w:t xml:space="preserve">are available and no ongoing similar data collection is being conducted, according to the knowledge of the </w:t>
      </w:r>
      <w:r w:rsidR="00B145A8">
        <w:rPr>
          <w:sz w:val="24"/>
        </w:rPr>
        <w:t>agency</w:t>
      </w:r>
      <w:r w:rsidRPr="00D07695">
        <w:rPr>
          <w:sz w:val="24"/>
        </w:rPr>
        <w:t xml:space="preserve">, that allow a rigorous </w:t>
      </w:r>
      <w:r w:rsidR="007E7959" w:rsidRPr="00D07695">
        <w:rPr>
          <w:rFonts w:ascii="Times" w:hAnsi="Times"/>
          <w:sz w:val="24"/>
        </w:rPr>
        <w:t>study of how people make planning and financial decisions before and during retirement</w:t>
      </w:r>
      <w:r w:rsidR="00C64F37">
        <w:rPr>
          <w:rFonts w:ascii="Times" w:hAnsi="Times"/>
          <w:sz w:val="24"/>
        </w:rPr>
        <w:t>,</w:t>
      </w:r>
      <w:r w:rsidR="00C64F37" w:rsidRPr="00C64F37">
        <w:t xml:space="preserve"> </w:t>
      </w:r>
      <w:r w:rsidR="00C64F37" w:rsidRPr="00C64F37">
        <w:rPr>
          <w:rFonts w:ascii="Times" w:hAnsi="Times"/>
          <w:sz w:val="24"/>
        </w:rPr>
        <w:t>especially with regard to the information and advice that they receive and how they respond to this information and advice</w:t>
      </w:r>
      <w:r w:rsidR="00080098" w:rsidRPr="00D07695">
        <w:rPr>
          <w:sz w:val="24"/>
        </w:rPr>
        <w:t>.</w:t>
      </w:r>
      <w:r w:rsidR="003C414B" w:rsidRPr="00D07695">
        <w:rPr>
          <w:sz w:val="24"/>
        </w:rPr>
        <w:t xml:space="preserve">  The research team is well aware </w:t>
      </w:r>
      <w:r w:rsidR="006D37DF">
        <w:rPr>
          <w:sz w:val="24"/>
        </w:rPr>
        <w:t xml:space="preserve">of </w:t>
      </w:r>
      <w:r w:rsidR="003C414B" w:rsidRPr="00D07695">
        <w:rPr>
          <w:sz w:val="24"/>
        </w:rPr>
        <w:t>and has been very involved with major national studies on related issues, especially the Health and Retirement Study</w:t>
      </w:r>
      <w:r w:rsidR="00DB2F85">
        <w:rPr>
          <w:sz w:val="24"/>
        </w:rPr>
        <w:t xml:space="preserve"> (HRS)</w:t>
      </w:r>
      <w:r w:rsidR="003C414B" w:rsidRPr="00D07695">
        <w:rPr>
          <w:sz w:val="24"/>
        </w:rPr>
        <w:t>, but these studies do not address the central issues of focus here in</w:t>
      </w:r>
      <w:r w:rsidR="00080098" w:rsidRPr="00D07695">
        <w:rPr>
          <w:sz w:val="24"/>
        </w:rPr>
        <w:t xml:space="preserve"> </w:t>
      </w:r>
      <w:r w:rsidR="003C414B" w:rsidRPr="00D07695">
        <w:rPr>
          <w:sz w:val="24"/>
        </w:rPr>
        <w:t xml:space="preserve">sufficient breadth or depth.  </w:t>
      </w:r>
    </w:p>
    <w:p w14:paraId="2B9475EA" w14:textId="77777777" w:rsidR="00D33018" w:rsidRDefault="00D33018" w:rsidP="00FF1C6E">
      <w:pPr>
        <w:rPr>
          <w:sz w:val="24"/>
        </w:rPr>
      </w:pPr>
    </w:p>
    <w:p w14:paraId="55C9BDCE" w14:textId="13EFC095" w:rsidR="00D33018" w:rsidRDefault="00DB2F85" w:rsidP="00FF1C6E">
      <w:pPr>
        <w:rPr>
          <w:sz w:val="24"/>
        </w:rPr>
      </w:pPr>
      <w:r w:rsidRPr="00DB2F85">
        <w:rPr>
          <w:sz w:val="24"/>
        </w:rPr>
        <w:t xml:space="preserve">Data collected in the University of Michigan’s </w:t>
      </w:r>
      <w:r>
        <w:rPr>
          <w:sz w:val="24"/>
        </w:rPr>
        <w:t>HRS</w:t>
      </w:r>
      <w:r w:rsidRPr="00DB2F85">
        <w:rPr>
          <w:sz w:val="24"/>
        </w:rPr>
        <w:t>, the Department of Labor’s National Longitudinal Surveys (NLS), and the Federal Reserve Board’s Survey of Consumer Finances (SCF), among others, provide the basis for valuable research that has been conduc</w:t>
      </w:r>
      <w:r w:rsidR="00A01AFE">
        <w:rPr>
          <w:sz w:val="24"/>
        </w:rPr>
        <w:t xml:space="preserve">ted on these and related issues.  However, the sample designs of these studies </w:t>
      </w:r>
      <w:r w:rsidR="00C2474D">
        <w:rPr>
          <w:sz w:val="24"/>
        </w:rPr>
        <w:t xml:space="preserve">would </w:t>
      </w:r>
      <w:r w:rsidR="00A01AFE">
        <w:rPr>
          <w:sz w:val="24"/>
        </w:rPr>
        <w:t>limit what</w:t>
      </w:r>
      <w:r w:rsidRPr="00DB2F85">
        <w:rPr>
          <w:sz w:val="24"/>
        </w:rPr>
        <w:t xml:space="preserve"> can be learned about how </w:t>
      </w:r>
      <w:r w:rsidR="00A01AFE">
        <w:rPr>
          <w:sz w:val="24"/>
        </w:rPr>
        <w:t xml:space="preserve">retirement decisions are made even if the interviews were to be supplemented with </w:t>
      </w:r>
      <w:r w:rsidR="005021DC">
        <w:rPr>
          <w:sz w:val="24"/>
        </w:rPr>
        <w:t>additional questions</w:t>
      </w:r>
      <w:r w:rsidR="00C2474D">
        <w:rPr>
          <w:sz w:val="24"/>
        </w:rPr>
        <w:t>.</w:t>
      </w:r>
      <w:r w:rsidR="00A01AFE">
        <w:rPr>
          <w:sz w:val="24"/>
        </w:rPr>
        <w:t xml:space="preserve"> </w:t>
      </w:r>
      <w:r w:rsidR="00D33018">
        <w:rPr>
          <w:sz w:val="24"/>
        </w:rPr>
        <w:t xml:space="preserve"> </w:t>
      </w:r>
      <w:r w:rsidRPr="00DB2F85">
        <w:rPr>
          <w:sz w:val="24"/>
        </w:rPr>
        <w:t xml:space="preserve">For example, the HRS is a longitudinal panel study that administers interviews every two years to a sample designed to be representative of the </w:t>
      </w:r>
      <w:r w:rsidR="00EF5DF1">
        <w:rPr>
          <w:sz w:val="24"/>
        </w:rPr>
        <w:t xml:space="preserve">U.S. </w:t>
      </w:r>
      <w:r w:rsidRPr="00DB2F85">
        <w:rPr>
          <w:sz w:val="24"/>
        </w:rPr>
        <w:t>population over age 50</w:t>
      </w:r>
      <w:r w:rsidR="00A379E2">
        <w:rPr>
          <w:sz w:val="24"/>
        </w:rPr>
        <w:t>,</w:t>
      </w:r>
      <w:r w:rsidR="00A379E2" w:rsidRPr="00A379E2">
        <w:rPr>
          <w:rStyle w:val="FootnoteReference"/>
          <w:sz w:val="24"/>
          <w:vertAlign w:val="superscript"/>
        </w:rPr>
        <w:footnoteReference w:id="3"/>
      </w:r>
      <w:r w:rsidRPr="00DB2F85">
        <w:rPr>
          <w:sz w:val="24"/>
        </w:rPr>
        <w:t xml:space="preserve"> while the NLS also administers interviews at two-year intervals to samples from just a few cohorts of the population</w:t>
      </w:r>
      <w:r w:rsidR="00A379E2">
        <w:rPr>
          <w:sz w:val="24"/>
        </w:rPr>
        <w:t>.</w:t>
      </w:r>
      <w:r w:rsidR="00A379E2" w:rsidRPr="00A379E2">
        <w:rPr>
          <w:rStyle w:val="FootnoteReference"/>
          <w:sz w:val="24"/>
          <w:vertAlign w:val="superscript"/>
        </w:rPr>
        <w:footnoteReference w:id="4"/>
      </w:r>
      <w:r w:rsidRPr="00DB2F85">
        <w:rPr>
          <w:sz w:val="24"/>
        </w:rPr>
        <w:t xml:space="preserve"> </w:t>
      </w:r>
      <w:r w:rsidR="00810C31">
        <w:rPr>
          <w:sz w:val="24"/>
        </w:rPr>
        <w:t xml:space="preserve"> </w:t>
      </w:r>
      <w:r w:rsidRPr="00DB2F85">
        <w:rPr>
          <w:sz w:val="24"/>
        </w:rPr>
        <w:t>The SCF, on the other hand, administers interviews to a more broadly representative population every three years but selects a new sample each time</w:t>
      </w:r>
      <w:r w:rsidR="00D870A4">
        <w:rPr>
          <w:sz w:val="24"/>
        </w:rPr>
        <w:t>.</w:t>
      </w:r>
      <w:r w:rsidR="00D870A4" w:rsidRPr="00D870A4">
        <w:rPr>
          <w:rStyle w:val="FootnoteReference"/>
          <w:sz w:val="24"/>
          <w:vertAlign w:val="superscript"/>
        </w:rPr>
        <w:footnoteReference w:id="5"/>
      </w:r>
      <w:r w:rsidR="00D870A4">
        <w:rPr>
          <w:sz w:val="24"/>
        </w:rPr>
        <w:t xml:space="preserve"> </w:t>
      </w:r>
      <w:r w:rsidR="00785E73">
        <w:rPr>
          <w:sz w:val="24"/>
        </w:rPr>
        <w:t xml:space="preserve"> </w:t>
      </w:r>
      <w:r w:rsidRPr="00DB2F85">
        <w:rPr>
          <w:sz w:val="24"/>
        </w:rPr>
        <w:t xml:space="preserve">Therefore, the SCF lacks the longitudinal component required to address important issues in retirement decision making.   </w:t>
      </w:r>
    </w:p>
    <w:p w14:paraId="4727316F" w14:textId="77777777" w:rsidR="00D33018" w:rsidRDefault="00D33018" w:rsidP="00FF1C6E">
      <w:pPr>
        <w:rPr>
          <w:sz w:val="24"/>
        </w:rPr>
      </w:pPr>
    </w:p>
    <w:p w14:paraId="6964438E" w14:textId="73BD7B2B" w:rsidR="00CE433C" w:rsidRDefault="00DB2F85" w:rsidP="00F45404">
      <w:r w:rsidRPr="00DB2F85">
        <w:rPr>
          <w:sz w:val="24"/>
        </w:rPr>
        <w:t>As another example, the Investme</w:t>
      </w:r>
      <w:r w:rsidR="00817A00">
        <w:rPr>
          <w:sz w:val="24"/>
        </w:rPr>
        <w:t>nt Company Institute (ICI) administers</w:t>
      </w:r>
      <w:r w:rsidRPr="00DB2F85">
        <w:rPr>
          <w:sz w:val="24"/>
        </w:rPr>
        <w:t xml:space="preserve"> many data collection </w:t>
      </w:r>
      <w:r w:rsidRPr="00DB2F85">
        <w:rPr>
          <w:sz w:val="24"/>
        </w:rPr>
        <w:lastRenderedPageBreak/>
        <w:t>activities that produ</w:t>
      </w:r>
      <w:r w:rsidR="00817A00">
        <w:rPr>
          <w:sz w:val="24"/>
        </w:rPr>
        <w:t>ce informative findings on related</w:t>
      </w:r>
      <w:r w:rsidRPr="00DB2F85">
        <w:rPr>
          <w:sz w:val="24"/>
        </w:rPr>
        <w:t xml:space="preserve"> issues, but these proprietary data sources are limited in ways that the Road to Retirement Study is designed to overcome with, for example, a longitudinal panel that is interviewed at relatively short intervals followed by public release of the data. The most comparable line of ICI research arises from annual fall surveys of households administered via the </w:t>
      </w:r>
      <w:proofErr w:type="spellStart"/>
      <w:r w:rsidRPr="00DB2F85">
        <w:rPr>
          <w:sz w:val="24"/>
        </w:rPr>
        <w:t>GfK</w:t>
      </w:r>
      <w:proofErr w:type="spellEnd"/>
      <w:r w:rsidRPr="00DB2F85">
        <w:rPr>
          <w:sz w:val="24"/>
        </w:rPr>
        <w:t xml:space="preserve"> </w:t>
      </w:r>
      <w:proofErr w:type="spellStart"/>
      <w:r w:rsidRPr="00DB2F85">
        <w:rPr>
          <w:sz w:val="24"/>
        </w:rPr>
        <w:t>KnowledgePanel</w:t>
      </w:r>
      <w:proofErr w:type="spellEnd"/>
      <w:r w:rsidRPr="00DB2F85">
        <w:rPr>
          <w:sz w:val="24"/>
        </w:rPr>
        <w:t>®, an ongoing, proprietary</w:t>
      </w:r>
      <w:r w:rsidR="006A76A9">
        <w:rPr>
          <w:sz w:val="24"/>
        </w:rPr>
        <w:t xml:space="preserve"> </w:t>
      </w:r>
      <w:r w:rsidRPr="00DB2F85">
        <w:rPr>
          <w:sz w:val="24"/>
        </w:rPr>
        <w:t>panel of American households.   However, it does not appear that the ICI survey utilize</w:t>
      </w:r>
      <w:r w:rsidR="006A76A9">
        <w:rPr>
          <w:sz w:val="24"/>
        </w:rPr>
        <w:t>s the longitudinal nature of this</w:t>
      </w:r>
      <w:r w:rsidRPr="00DB2F85">
        <w:rPr>
          <w:sz w:val="24"/>
        </w:rPr>
        <w:t xml:space="preserve"> </w:t>
      </w:r>
      <w:r w:rsidR="006A76A9">
        <w:rPr>
          <w:sz w:val="24"/>
        </w:rPr>
        <w:t xml:space="preserve">Internet </w:t>
      </w:r>
      <w:r w:rsidRPr="00DB2F85">
        <w:rPr>
          <w:sz w:val="24"/>
        </w:rPr>
        <w:t>panel.</w:t>
      </w:r>
      <w:r w:rsidR="00D870A4" w:rsidRPr="00D870A4">
        <w:rPr>
          <w:rStyle w:val="FootnoteReference"/>
          <w:sz w:val="24"/>
          <w:vertAlign w:val="superscript"/>
        </w:rPr>
        <w:footnoteReference w:id="6"/>
      </w:r>
    </w:p>
    <w:p w14:paraId="2947EF45" w14:textId="77777777" w:rsidR="00EA5917" w:rsidRDefault="00EA5917" w:rsidP="00FF1C6E">
      <w:pPr>
        <w:pStyle w:val="Heading2"/>
        <w:rPr>
          <w:szCs w:val="24"/>
        </w:rPr>
      </w:pPr>
      <w:bookmarkStart w:id="5" w:name="_Toc479522843"/>
    </w:p>
    <w:p w14:paraId="46807C2C" w14:textId="77777777" w:rsidR="00855ABA" w:rsidRPr="00D07695" w:rsidRDefault="000839A6" w:rsidP="00FF1C6E">
      <w:pPr>
        <w:pStyle w:val="Heading2"/>
        <w:rPr>
          <w:szCs w:val="24"/>
        </w:rPr>
      </w:pPr>
      <w:r w:rsidRPr="00D07695">
        <w:rPr>
          <w:szCs w:val="24"/>
        </w:rPr>
        <w:t xml:space="preserve">A.5. </w:t>
      </w:r>
      <w:r w:rsidR="00855ABA" w:rsidRPr="00D07695">
        <w:rPr>
          <w:szCs w:val="24"/>
        </w:rPr>
        <w:t>Impact on Small Businesses or Other Small Entities</w:t>
      </w:r>
      <w:bookmarkEnd w:id="5"/>
    </w:p>
    <w:p w14:paraId="4A2878CE" w14:textId="77777777" w:rsidR="00080098" w:rsidRPr="00D07695" w:rsidRDefault="00080098" w:rsidP="00FF1C6E">
      <w:pPr>
        <w:rPr>
          <w:sz w:val="24"/>
        </w:rPr>
      </w:pPr>
    </w:p>
    <w:p w14:paraId="0DAF41FE" w14:textId="77777777" w:rsidR="00080098" w:rsidRPr="00D07695" w:rsidRDefault="00080098" w:rsidP="00FF1C6E">
      <w:pPr>
        <w:rPr>
          <w:sz w:val="24"/>
        </w:rPr>
      </w:pPr>
      <w:r w:rsidRPr="00D07695">
        <w:rPr>
          <w:sz w:val="24"/>
        </w:rPr>
        <w:t xml:space="preserve">The surveys will have negligible impact on small entities. Completion of the survey by respondents who are small-business owners or employees will require minimal time out of </w:t>
      </w:r>
      <w:r w:rsidR="003C414B" w:rsidRPr="00D07695">
        <w:rPr>
          <w:sz w:val="24"/>
        </w:rPr>
        <w:t xml:space="preserve">the </w:t>
      </w:r>
      <w:r w:rsidRPr="00D07695">
        <w:rPr>
          <w:sz w:val="24"/>
        </w:rPr>
        <w:t>work day to complete</w:t>
      </w:r>
      <w:r w:rsidR="003C414B" w:rsidRPr="00D07695">
        <w:rPr>
          <w:sz w:val="24"/>
        </w:rPr>
        <w:t xml:space="preserve">.  </w:t>
      </w:r>
      <w:r w:rsidR="003F6A4D">
        <w:rPr>
          <w:sz w:val="24"/>
        </w:rPr>
        <w:t>Each On the Road to Retirement panel</w:t>
      </w:r>
      <w:r w:rsidR="00AE2A04">
        <w:rPr>
          <w:sz w:val="24"/>
        </w:rPr>
        <w:t xml:space="preserve"> </w:t>
      </w:r>
      <w:r w:rsidR="003C414B" w:rsidRPr="00D07695">
        <w:rPr>
          <w:sz w:val="24"/>
        </w:rPr>
        <w:t>interview will be expected to require</w:t>
      </w:r>
      <w:r w:rsidR="00BA3B6D">
        <w:rPr>
          <w:sz w:val="24"/>
        </w:rPr>
        <w:t xml:space="preserve"> no</w:t>
      </w:r>
      <w:r w:rsidR="003C414B" w:rsidRPr="00D07695">
        <w:rPr>
          <w:sz w:val="24"/>
        </w:rPr>
        <w:t xml:space="preserve"> more th</w:t>
      </w:r>
      <w:r w:rsidR="006D37DF">
        <w:rPr>
          <w:sz w:val="24"/>
        </w:rPr>
        <w:t>an an average of</w:t>
      </w:r>
      <w:r w:rsidR="003C414B" w:rsidRPr="00D07695">
        <w:rPr>
          <w:sz w:val="24"/>
        </w:rPr>
        <w:t xml:space="preserve"> 30 minutes to complete</w:t>
      </w:r>
      <w:r w:rsidR="003F6A4D">
        <w:rPr>
          <w:sz w:val="24"/>
        </w:rPr>
        <w:t>.</w:t>
      </w:r>
      <w:r w:rsidR="003C414B" w:rsidRPr="00D07695">
        <w:rPr>
          <w:sz w:val="24"/>
        </w:rPr>
        <w:t xml:space="preserve"> </w:t>
      </w:r>
      <w:r w:rsidR="00AE2A04">
        <w:rPr>
          <w:sz w:val="24"/>
        </w:rPr>
        <w:t xml:space="preserve"> </w:t>
      </w:r>
      <w:r w:rsidR="003F6A4D">
        <w:rPr>
          <w:sz w:val="24"/>
        </w:rPr>
        <w:t>A</w:t>
      </w:r>
      <w:r w:rsidR="003C414B" w:rsidRPr="00D07695">
        <w:rPr>
          <w:sz w:val="24"/>
        </w:rPr>
        <w:t>ll</w:t>
      </w:r>
      <w:r w:rsidR="005534F1">
        <w:rPr>
          <w:sz w:val="24"/>
        </w:rPr>
        <w:t xml:space="preserve"> </w:t>
      </w:r>
      <w:r w:rsidR="003C414B" w:rsidRPr="00D07695">
        <w:rPr>
          <w:sz w:val="24"/>
        </w:rPr>
        <w:t>interviews can be completed outside of regular working hours.</w:t>
      </w:r>
      <w:r w:rsidRPr="00D07695">
        <w:rPr>
          <w:sz w:val="24"/>
        </w:rPr>
        <w:t xml:space="preserve"> </w:t>
      </w:r>
    </w:p>
    <w:p w14:paraId="47B2E602" w14:textId="77777777" w:rsidR="00EA5917" w:rsidRDefault="00EA5917" w:rsidP="00FF1C6E">
      <w:pPr>
        <w:pStyle w:val="Heading2"/>
        <w:rPr>
          <w:szCs w:val="24"/>
        </w:rPr>
      </w:pPr>
      <w:bookmarkStart w:id="6" w:name="_Toc479522844"/>
    </w:p>
    <w:p w14:paraId="178367DF" w14:textId="77777777" w:rsidR="00855ABA" w:rsidRPr="00D07695" w:rsidRDefault="000839A6" w:rsidP="00FF1C6E">
      <w:pPr>
        <w:pStyle w:val="Heading2"/>
        <w:rPr>
          <w:szCs w:val="24"/>
        </w:rPr>
      </w:pPr>
      <w:r w:rsidRPr="00D07695">
        <w:rPr>
          <w:szCs w:val="24"/>
        </w:rPr>
        <w:t xml:space="preserve">A.6. </w:t>
      </w:r>
      <w:r w:rsidR="00855ABA" w:rsidRPr="00D07695">
        <w:rPr>
          <w:szCs w:val="24"/>
        </w:rPr>
        <w:t xml:space="preserve">Consequences of </w:t>
      </w:r>
      <w:r w:rsidR="005400D0" w:rsidRPr="00D07695">
        <w:rPr>
          <w:szCs w:val="24"/>
        </w:rPr>
        <w:t xml:space="preserve">Not </w:t>
      </w:r>
      <w:r w:rsidR="00855ABA" w:rsidRPr="00D07695">
        <w:rPr>
          <w:szCs w:val="24"/>
        </w:rPr>
        <w:t xml:space="preserve">Collecting the Information </w:t>
      </w:r>
      <w:r w:rsidR="005400D0" w:rsidRPr="00D07695">
        <w:rPr>
          <w:szCs w:val="24"/>
        </w:rPr>
        <w:t xml:space="preserve">or </w:t>
      </w:r>
      <w:r w:rsidR="00855ABA" w:rsidRPr="00D07695">
        <w:rPr>
          <w:szCs w:val="24"/>
        </w:rPr>
        <w:t>Less Frequent Collection</w:t>
      </w:r>
      <w:bookmarkEnd w:id="6"/>
    </w:p>
    <w:p w14:paraId="27348B23" w14:textId="77777777" w:rsidR="008D673B" w:rsidRPr="00BB3CDA" w:rsidRDefault="008D673B" w:rsidP="00FF1C6E">
      <w:pPr>
        <w:rPr>
          <w:sz w:val="24"/>
        </w:rPr>
      </w:pPr>
    </w:p>
    <w:p w14:paraId="374DDC60" w14:textId="09B1511C" w:rsidR="00BB3CDA" w:rsidRPr="00BB3CDA" w:rsidRDefault="00BB3CDA" w:rsidP="00FF1C6E">
      <w:pPr>
        <w:rPr>
          <w:sz w:val="24"/>
        </w:rPr>
      </w:pPr>
      <w:r w:rsidRPr="00BB3CDA">
        <w:rPr>
          <w:sz w:val="24"/>
        </w:rPr>
        <w:t>There is currently no other public or private data collection of this type. This collec</w:t>
      </w:r>
      <w:r>
        <w:rPr>
          <w:sz w:val="24"/>
        </w:rPr>
        <w:t xml:space="preserve">tion will provide statistically </w:t>
      </w:r>
      <w:r w:rsidRPr="00BB3CDA">
        <w:rPr>
          <w:sz w:val="24"/>
        </w:rPr>
        <w:t>valid data about how people make planning and financial decisions before and during retirement, especially with regard to the information that they receive and how they respond to it. EBSA’s deeper understanding of retirement issues will directly impact its work to protect and enhance retirement security. Given that the survey results will be widely available, the broader public will also benefit.</w:t>
      </w:r>
    </w:p>
    <w:p w14:paraId="352EC08E" w14:textId="77777777" w:rsidR="00EA5917" w:rsidRDefault="00EA5917" w:rsidP="00FF1C6E">
      <w:pPr>
        <w:pStyle w:val="Heading2"/>
        <w:rPr>
          <w:szCs w:val="24"/>
        </w:rPr>
      </w:pPr>
      <w:bookmarkStart w:id="7" w:name="_Toc479522845"/>
    </w:p>
    <w:p w14:paraId="66E5E29C" w14:textId="77777777" w:rsidR="00855ABA" w:rsidRPr="00D07695" w:rsidRDefault="000839A6" w:rsidP="00FF1C6E">
      <w:pPr>
        <w:pStyle w:val="Heading2"/>
        <w:rPr>
          <w:szCs w:val="24"/>
        </w:rPr>
      </w:pPr>
      <w:r w:rsidRPr="00D07695">
        <w:rPr>
          <w:szCs w:val="24"/>
        </w:rPr>
        <w:t xml:space="preserve">A.7. </w:t>
      </w:r>
      <w:r w:rsidR="00855ABA" w:rsidRPr="00D07695">
        <w:rPr>
          <w:szCs w:val="24"/>
        </w:rPr>
        <w:t>Special Circumstances Relating to the Guidelines of 5 CFR 1320.5</w:t>
      </w:r>
      <w:bookmarkEnd w:id="7"/>
    </w:p>
    <w:p w14:paraId="1C337781" w14:textId="77777777" w:rsidR="008D673B" w:rsidRPr="00D07695" w:rsidRDefault="008D673B" w:rsidP="00FF1C6E">
      <w:pPr>
        <w:rPr>
          <w:sz w:val="24"/>
        </w:rPr>
      </w:pPr>
    </w:p>
    <w:p w14:paraId="26B6C9AC" w14:textId="4A834D03" w:rsidR="008D673B" w:rsidRPr="00D07695" w:rsidRDefault="008D673B" w:rsidP="00FF1C6E">
      <w:pPr>
        <w:rPr>
          <w:sz w:val="24"/>
        </w:rPr>
      </w:pPr>
      <w:r w:rsidRPr="00D07695">
        <w:rPr>
          <w:sz w:val="24"/>
        </w:rPr>
        <w:t>No special circumstances apply.</w:t>
      </w:r>
    </w:p>
    <w:p w14:paraId="5D9DDBA7" w14:textId="44279C6B" w:rsidR="00EA5917" w:rsidRDefault="00EA5917">
      <w:pPr>
        <w:widowControl/>
        <w:autoSpaceDE/>
        <w:autoSpaceDN/>
        <w:adjustRightInd/>
        <w:rPr>
          <w:b/>
          <w:sz w:val="24"/>
        </w:rPr>
      </w:pPr>
      <w:bookmarkStart w:id="8" w:name="_Toc479522846"/>
      <w:r>
        <w:br w:type="page"/>
      </w:r>
    </w:p>
    <w:p w14:paraId="3EA87F20" w14:textId="77777777" w:rsidR="00EA5917" w:rsidRDefault="00EA5917" w:rsidP="00FF1C6E">
      <w:pPr>
        <w:pStyle w:val="Heading2"/>
        <w:rPr>
          <w:szCs w:val="24"/>
        </w:rPr>
      </w:pPr>
    </w:p>
    <w:p w14:paraId="4D6388DA" w14:textId="1EB566D1" w:rsidR="00855ABA" w:rsidRPr="00D07695" w:rsidRDefault="000839A6" w:rsidP="00FF1C6E">
      <w:pPr>
        <w:pStyle w:val="Heading2"/>
        <w:rPr>
          <w:szCs w:val="24"/>
        </w:rPr>
      </w:pPr>
      <w:r w:rsidRPr="00D07695">
        <w:rPr>
          <w:szCs w:val="24"/>
        </w:rPr>
        <w:t xml:space="preserve">A.8. </w:t>
      </w:r>
      <w:r w:rsidR="00855ABA" w:rsidRPr="00D07695">
        <w:rPr>
          <w:szCs w:val="24"/>
        </w:rPr>
        <w:t>Comments in Response to the Federal Register Notice/Outside Consultation</w:t>
      </w:r>
      <w:bookmarkEnd w:id="8"/>
    </w:p>
    <w:p w14:paraId="7E85E3F7" w14:textId="77777777" w:rsidR="008D673B" w:rsidRPr="00D07695" w:rsidRDefault="008D673B" w:rsidP="00FF1C6E">
      <w:pPr>
        <w:rPr>
          <w:sz w:val="24"/>
        </w:rPr>
      </w:pPr>
    </w:p>
    <w:p w14:paraId="30E6C766" w14:textId="476A6E7F" w:rsidR="001846F5" w:rsidRPr="00E674EA" w:rsidRDefault="001846F5">
      <w:pPr>
        <w:rPr>
          <w:sz w:val="24"/>
        </w:rPr>
      </w:pPr>
      <w:r w:rsidRPr="00E674EA">
        <w:rPr>
          <w:sz w:val="24"/>
        </w:rPr>
        <w:t xml:space="preserve">The notice required in 5 CFR 1320.8(d) was published in the Federal Register on </w:t>
      </w:r>
      <w:r>
        <w:rPr>
          <w:sz w:val="24"/>
        </w:rPr>
        <w:t>February 29, 2016,</w:t>
      </w:r>
      <w:r w:rsidRPr="00E674EA">
        <w:rPr>
          <w:sz w:val="24"/>
        </w:rPr>
        <w:t xml:space="preserve"> </w:t>
      </w:r>
      <w:r w:rsidR="00B145A8">
        <w:rPr>
          <w:sz w:val="24"/>
        </w:rPr>
        <w:t>81 FR</w:t>
      </w:r>
      <w:r w:rsidRPr="00E674EA">
        <w:rPr>
          <w:sz w:val="24"/>
        </w:rPr>
        <w:t xml:space="preserve"> </w:t>
      </w:r>
      <w:r>
        <w:rPr>
          <w:sz w:val="24"/>
        </w:rPr>
        <w:t>10280</w:t>
      </w:r>
      <w:r w:rsidRPr="00E674EA">
        <w:rPr>
          <w:sz w:val="24"/>
        </w:rPr>
        <w:t>.</w:t>
      </w:r>
    </w:p>
    <w:p w14:paraId="4D16EC6D" w14:textId="77777777" w:rsidR="00460D56" w:rsidRPr="00E674EA" w:rsidRDefault="00460D56" w:rsidP="001846F5">
      <w:pPr>
        <w:rPr>
          <w:sz w:val="24"/>
        </w:rPr>
      </w:pPr>
    </w:p>
    <w:p w14:paraId="603A7FBE" w14:textId="3834871D" w:rsidR="001846F5" w:rsidRDefault="003C5E4F" w:rsidP="001846F5">
      <w:pPr>
        <w:rPr>
          <w:sz w:val="24"/>
        </w:rPr>
      </w:pPr>
      <w:r>
        <w:rPr>
          <w:sz w:val="24"/>
        </w:rPr>
        <w:t xml:space="preserve">Four comment letters </w:t>
      </w:r>
      <w:r w:rsidR="001846F5" w:rsidRPr="001846F5">
        <w:rPr>
          <w:sz w:val="24"/>
        </w:rPr>
        <w:t>were received by</w:t>
      </w:r>
      <w:r w:rsidR="00407ED4">
        <w:rPr>
          <w:sz w:val="24"/>
        </w:rPr>
        <w:t xml:space="preserve"> DOL</w:t>
      </w:r>
      <w:r w:rsidR="001846F5" w:rsidRPr="001846F5">
        <w:rPr>
          <w:sz w:val="24"/>
        </w:rPr>
        <w:t xml:space="preserve"> during the 60-day notice period: from representatives of the Investment Company Institute (“ICI”), Securities Industry and Financial Markets Association (“SIFMA”), Teachers Insurance and Annuity Association ("TIAA"), and U.S. Chamber of Commerce.  </w:t>
      </w:r>
      <w:r w:rsidR="00537000">
        <w:rPr>
          <w:sz w:val="24"/>
        </w:rPr>
        <w:t>The changes incorporated in response to public comments and discussions with advisers are summarized below. We also describe our reasons for not incorporating certain comments.</w:t>
      </w:r>
      <w:r w:rsidR="001846F5" w:rsidRPr="001846F5">
        <w:rPr>
          <w:sz w:val="24"/>
        </w:rPr>
        <w:t xml:space="preserve"> </w:t>
      </w:r>
    </w:p>
    <w:p w14:paraId="0378F0E9" w14:textId="77777777" w:rsidR="00460D56" w:rsidRPr="00ED2B71" w:rsidRDefault="00460D56" w:rsidP="001846F5">
      <w:pPr>
        <w:rPr>
          <w:sz w:val="24"/>
        </w:rPr>
      </w:pPr>
    </w:p>
    <w:p w14:paraId="3F437DF5" w14:textId="14A070F5" w:rsidR="001846F5" w:rsidRPr="001846F5" w:rsidRDefault="00294416" w:rsidP="001846F5">
      <w:pPr>
        <w:rPr>
          <w:sz w:val="24"/>
        </w:rPr>
      </w:pPr>
      <w:r>
        <w:rPr>
          <w:sz w:val="24"/>
        </w:rPr>
        <w:t xml:space="preserve">The </w:t>
      </w:r>
      <w:r w:rsidR="00B145A8">
        <w:rPr>
          <w:sz w:val="24"/>
        </w:rPr>
        <w:t>agency</w:t>
      </w:r>
      <w:r>
        <w:rPr>
          <w:sz w:val="24"/>
        </w:rPr>
        <w:t xml:space="preserve"> </w:t>
      </w:r>
      <w:r w:rsidR="00B145A8">
        <w:rPr>
          <w:sz w:val="24"/>
        </w:rPr>
        <w:t xml:space="preserve">considered the </w:t>
      </w:r>
      <w:r w:rsidR="001846F5" w:rsidRPr="001846F5">
        <w:rPr>
          <w:sz w:val="24"/>
        </w:rPr>
        <w:t>comments</w:t>
      </w:r>
      <w:r w:rsidR="00B145A8">
        <w:rPr>
          <w:sz w:val="24"/>
        </w:rPr>
        <w:t>, including</w:t>
      </w:r>
      <w:r w:rsidR="001846F5" w:rsidRPr="001846F5">
        <w:rPr>
          <w:sz w:val="24"/>
        </w:rPr>
        <w:t xml:space="preserve"> the strong expressions of support made by each commenter in response to the question of "whether the collections of information are necessary for the proper performance of the functions of the agency, including whether the information will have practical utility."</w:t>
      </w:r>
      <w:r w:rsidR="001846F5" w:rsidRPr="00460D56">
        <w:rPr>
          <w:rStyle w:val="FootnoteReference"/>
          <w:sz w:val="24"/>
          <w:vertAlign w:val="superscript"/>
        </w:rPr>
        <w:footnoteReference w:id="7"/>
      </w:r>
    </w:p>
    <w:p w14:paraId="4869941E" w14:textId="77777777" w:rsidR="00294416" w:rsidRDefault="00294416" w:rsidP="001846F5">
      <w:pPr>
        <w:rPr>
          <w:sz w:val="24"/>
        </w:rPr>
      </w:pPr>
    </w:p>
    <w:p w14:paraId="143B9F66" w14:textId="786EEF57" w:rsidR="002013C1" w:rsidRDefault="001846F5" w:rsidP="00B8403B">
      <w:pPr>
        <w:rPr>
          <w:sz w:val="24"/>
        </w:rPr>
      </w:pPr>
      <w:r w:rsidRPr="001846F5">
        <w:rPr>
          <w:sz w:val="24"/>
        </w:rPr>
        <w:t>One commenter exp</w:t>
      </w:r>
      <w:r w:rsidR="00B8403B">
        <w:rPr>
          <w:sz w:val="24"/>
        </w:rPr>
        <w:t xml:space="preserve">ressed concern that the stated motivation for the On the Road to Retirement Study overlooks important existing data collection activities and research on </w:t>
      </w:r>
      <w:r w:rsidR="00B8403B" w:rsidRPr="00B8403B">
        <w:rPr>
          <w:sz w:val="24"/>
        </w:rPr>
        <w:t>how people make</w:t>
      </w:r>
      <w:r w:rsidR="00447389">
        <w:rPr>
          <w:sz w:val="24"/>
        </w:rPr>
        <w:t xml:space="preserve"> </w:t>
      </w:r>
      <w:r w:rsidR="00B8403B" w:rsidRPr="00B8403B">
        <w:rPr>
          <w:sz w:val="24"/>
        </w:rPr>
        <w:t>planning and financial decisions before and during retirement</w:t>
      </w:r>
      <w:r w:rsidR="00B8403B">
        <w:rPr>
          <w:sz w:val="24"/>
        </w:rPr>
        <w:t>.  However, th</w:t>
      </w:r>
      <w:r w:rsidRPr="001846F5">
        <w:rPr>
          <w:sz w:val="24"/>
        </w:rPr>
        <w:t xml:space="preserve">e strong expressions of support </w:t>
      </w:r>
      <w:r w:rsidR="00B8403B">
        <w:rPr>
          <w:sz w:val="24"/>
        </w:rPr>
        <w:t xml:space="preserve">from the full set of commenters </w:t>
      </w:r>
      <w:r w:rsidRPr="001846F5">
        <w:rPr>
          <w:sz w:val="24"/>
        </w:rPr>
        <w:t xml:space="preserve">underscore the need for additional data. </w:t>
      </w:r>
      <w:r w:rsidR="001212A9">
        <w:rPr>
          <w:sz w:val="24"/>
        </w:rPr>
        <w:t xml:space="preserve"> </w:t>
      </w:r>
      <w:r w:rsidRPr="001846F5">
        <w:rPr>
          <w:sz w:val="24"/>
        </w:rPr>
        <w:t>As further explanation, we</w:t>
      </w:r>
      <w:r w:rsidR="00B8403B">
        <w:rPr>
          <w:sz w:val="24"/>
        </w:rPr>
        <w:t xml:space="preserve"> have</w:t>
      </w:r>
      <w:r w:rsidRPr="001846F5">
        <w:rPr>
          <w:sz w:val="24"/>
        </w:rPr>
        <w:t xml:space="preserve"> added text in Section A.4 </w:t>
      </w:r>
      <w:r w:rsidR="00B145A8">
        <w:rPr>
          <w:sz w:val="24"/>
        </w:rPr>
        <w:t xml:space="preserve">of this supporting statement </w:t>
      </w:r>
      <w:r w:rsidRPr="001846F5">
        <w:rPr>
          <w:sz w:val="24"/>
        </w:rPr>
        <w:t xml:space="preserve">that describes </w:t>
      </w:r>
      <w:r w:rsidR="00F15C64" w:rsidRPr="00F15C64">
        <w:rPr>
          <w:sz w:val="24"/>
        </w:rPr>
        <w:t>very significant limitations to existing</w:t>
      </w:r>
      <w:r w:rsidR="005C3368" w:rsidRPr="005C3368">
        <w:rPr>
          <w:sz w:val="24"/>
        </w:rPr>
        <w:t xml:space="preserve"> </w:t>
      </w:r>
      <w:r w:rsidR="005C3368" w:rsidRPr="001846F5">
        <w:rPr>
          <w:sz w:val="24"/>
        </w:rPr>
        <w:t>data</w:t>
      </w:r>
      <w:r w:rsidR="005C3368">
        <w:rPr>
          <w:sz w:val="24"/>
        </w:rPr>
        <w:t xml:space="preserve"> collection activities</w:t>
      </w:r>
      <w:r w:rsidR="00B8403B">
        <w:rPr>
          <w:sz w:val="24"/>
        </w:rPr>
        <w:t>.</w:t>
      </w:r>
    </w:p>
    <w:p w14:paraId="2761ADFD" w14:textId="77777777" w:rsidR="002013C1" w:rsidRDefault="002013C1" w:rsidP="001846F5">
      <w:pPr>
        <w:rPr>
          <w:sz w:val="24"/>
        </w:rPr>
      </w:pPr>
    </w:p>
    <w:p w14:paraId="1B43E2FE" w14:textId="09F57C6E" w:rsidR="001846F5" w:rsidRDefault="00447389" w:rsidP="001846F5">
      <w:pPr>
        <w:rPr>
          <w:sz w:val="24"/>
        </w:rPr>
      </w:pPr>
      <w:r>
        <w:rPr>
          <w:sz w:val="24"/>
        </w:rPr>
        <w:t>Along with the expressed</w:t>
      </w:r>
      <w:r w:rsidR="001846F5" w:rsidRPr="001846F5">
        <w:rPr>
          <w:sz w:val="24"/>
        </w:rPr>
        <w:t xml:space="preserve"> support</w:t>
      </w:r>
      <w:r>
        <w:rPr>
          <w:sz w:val="24"/>
        </w:rPr>
        <w:t xml:space="preserve"> for the study</w:t>
      </w:r>
      <w:r w:rsidR="001846F5" w:rsidRPr="001846F5">
        <w:rPr>
          <w:sz w:val="24"/>
        </w:rPr>
        <w:t xml:space="preserve">, the commenters present a number of suggestions to improve details of the Road to Retirement surveys, as described in the proposed Information Collection Request, with one of the four commenters expressing serious reservations about the survey design.  In the sections below, we offer responses to these comments.  Before doing so, it is worth noting the great difficulty of successfully designing and implementing an ambitious </w:t>
      </w:r>
      <w:r w:rsidR="001846F5" w:rsidRPr="001846F5">
        <w:rPr>
          <w:sz w:val="24"/>
        </w:rPr>
        <w:lastRenderedPageBreak/>
        <w:t xml:space="preserve">longitudinal research study of this type.  The commenters offer a number of constructive suggestions that are well-founded based on their own experiences and expertise, especially subject-matter expertise.  The research team also has considerable subject-matter expertise, as well as breadth and depth of experience and expertise in survey research and in economic and statistical analysis, on which the survey design decisions have been based. </w:t>
      </w:r>
    </w:p>
    <w:p w14:paraId="592BF3AA" w14:textId="77777777" w:rsidR="00BF7922" w:rsidRPr="001846F5" w:rsidRDefault="00BF7922" w:rsidP="001846F5">
      <w:pPr>
        <w:rPr>
          <w:sz w:val="24"/>
        </w:rPr>
      </w:pPr>
    </w:p>
    <w:p w14:paraId="7FCC819B" w14:textId="0959711F" w:rsidR="00030138" w:rsidRDefault="00A87BD0" w:rsidP="001846F5">
      <w:pPr>
        <w:rPr>
          <w:sz w:val="24"/>
        </w:rPr>
      </w:pPr>
      <w:r>
        <w:rPr>
          <w:sz w:val="24"/>
        </w:rPr>
        <w:t>Many n</w:t>
      </w:r>
      <w:r w:rsidR="001846F5" w:rsidRPr="001846F5">
        <w:rPr>
          <w:sz w:val="24"/>
        </w:rPr>
        <w:t>otable improvements have been made in response to the public comments</w:t>
      </w:r>
      <w:r w:rsidR="00F86461">
        <w:rPr>
          <w:sz w:val="24"/>
        </w:rPr>
        <w:t>, as described below</w:t>
      </w:r>
      <w:r w:rsidR="001846F5" w:rsidRPr="001846F5">
        <w:rPr>
          <w:sz w:val="24"/>
        </w:rPr>
        <w:t>.  The team recognizes, however, that the design work is still not complete.  The pretests will provide extremely valuable information for the purpose of making fu</w:t>
      </w:r>
      <w:r w:rsidR="00B037EA">
        <w:rPr>
          <w:sz w:val="24"/>
        </w:rPr>
        <w:t>rther refinements as necessary.</w:t>
      </w:r>
    </w:p>
    <w:p w14:paraId="67D98F23" w14:textId="77777777" w:rsidR="00030138" w:rsidRDefault="00030138" w:rsidP="001846F5">
      <w:pPr>
        <w:rPr>
          <w:sz w:val="24"/>
        </w:rPr>
      </w:pPr>
    </w:p>
    <w:p w14:paraId="1667EC96" w14:textId="487DF851" w:rsidR="001846F5" w:rsidRDefault="001846F5" w:rsidP="001846F5">
      <w:pPr>
        <w:rPr>
          <w:sz w:val="24"/>
        </w:rPr>
      </w:pPr>
      <w:r w:rsidRPr="001846F5">
        <w:rPr>
          <w:sz w:val="24"/>
        </w:rPr>
        <w:t xml:space="preserve">All long-term studies face questions concerning how and when to revise various elements of the survey design, as demonstrated recently by the </w:t>
      </w:r>
      <w:r w:rsidR="00B145A8">
        <w:rPr>
          <w:sz w:val="24"/>
        </w:rPr>
        <w:t xml:space="preserve">2013-2014 </w:t>
      </w:r>
      <w:r w:rsidRPr="001846F5">
        <w:rPr>
          <w:sz w:val="24"/>
        </w:rPr>
        <w:t>redesign of the Current Population Survey (CPS) Annual Social and Economic Supplement, which is an</w:t>
      </w:r>
      <w:r w:rsidR="005A3B79">
        <w:rPr>
          <w:sz w:val="24"/>
        </w:rPr>
        <w:t xml:space="preserve">nually administered in March.  </w:t>
      </w:r>
      <w:r w:rsidRPr="001846F5">
        <w:rPr>
          <w:sz w:val="24"/>
        </w:rPr>
        <w:t xml:space="preserve">According to </w:t>
      </w:r>
      <w:proofErr w:type="spellStart"/>
      <w:r w:rsidRPr="001846F5">
        <w:rPr>
          <w:sz w:val="24"/>
        </w:rPr>
        <w:t>Semega</w:t>
      </w:r>
      <w:proofErr w:type="spellEnd"/>
      <w:r w:rsidRPr="001846F5">
        <w:rPr>
          <w:sz w:val="24"/>
        </w:rPr>
        <w:t xml:space="preserve"> and </w:t>
      </w:r>
      <w:proofErr w:type="spellStart"/>
      <w:r w:rsidRPr="001846F5">
        <w:rPr>
          <w:sz w:val="24"/>
        </w:rPr>
        <w:t>Welniak</w:t>
      </w:r>
      <w:proofErr w:type="spellEnd"/>
      <w:r w:rsidRPr="001846F5">
        <w:rPr>
          <w:sz w:val="24"/>
        </w:rPr>
        <w:t xml:space="preserve"> (2015), a major objective of the redesign was to improve the measurement of income amounts, especially to address the “changing retirement income environment” arising from the increasing importance of defined contribution plan income, as well as research findings indicating that retirement, pension, and annuity income</w:t>
      </w:r>
      <w:r w:rsidR="001A6B52">
        <w:rPr>
          <w:sz w:val="24"/>
        </w:rPr>
        <w:t>s have</w:t>
      </w:r>
      <w:r w:rsidRPr="001846F5">
        <w:rPr>
          <w:sz w:val="24"/>
        </w:rPr>
        <w:t xml:space="preserve"> historically been underreported in the March CPS.  This redesign has been found to be successful in improving the measurement of income amounts, but it appears to have had unintended consequences for the measurement of participation in employer-provided retirement plans, even though the questions eliciting retirement plan participation remained unchanged (Copeland, 2015).</w:t>
      </w:r>
    </w:p>
    <w:p w14:paraId="6CDD1F25" w14:textId="77777777" w:rsidR="00BF7922" w:rsidRPr="001846F5" w:rsidRDefault="00BF7922" w:rsidP="001846F5">
      <w:pPr>
        <w:rPr>
          <w:sz w:val="24"/>
        </w:rPr>
      </w:pPr>
    </w:p>
    <w:p w14:paraId="2BEC06D1" w14:textId="1F364B8A" w:rsidR="001846F5" w:rsidRDefault="001846F5" w:rsidP="001846F5">
      <w:pPr>
        <w:rPr>
          <w:sz w:val="24"/>
        </w:rPr>
      </w:pPr>
      <w:r w:rsidRPr="001846F5">
        <w:rPr>
          <w:sz w:val="24"/>
        </w:rPr>
        <w:t>As with any such large-scale effort, the proposed data collection instruments will always have room for improvement.  However, as evidenced by the strong support for the project</w:t>
      </w:r>
      <w:r w:rsidR="000D5233">
        <w:rPr>
          <w:sz w:val="24"/>
        </w:rPr>
        <w:t>’s goals</w:t>
      </w:r>
      <w:r w:rsidRPr="001846F5">
        <w:rPr>
          <w:sz w:val="24"/>
        </w:rPr>
        <w:t xml:space="preserve"> voiced in the comments, the potential value of the data to be collected </w:t>
      </w:r>
      <w:r w:rsidR="000A1ADA">
        <w:rPr>
          <w:sz w:val="24"/>
        </w:rPr>
        <w:t>makes it worthwhile to undertake</w:t>
      </w:r>
      <w:r w:rsidRPr="001846F5">
        <w:rPr>
          <w:sz w:val="24"/>
        </w:rPr>
        <w:t xml:space="preserve"> such an ambitious project.</w:t>
      </w:r>
    </w:p>
    <w:p w14:paraId="49379546" w14:textId="3EC9EB10" w:rsidR="00E059C2" w:rsidRPr="00EE452D" w:rsidRDefault="00E059C2" w:rsidP="00E059C2">
      <w:pPr>
        <w:keepNext/>
        <w:spacing w:before="240" w:after="60"/>
        <w:ind w:left="720"/>
        <w:outlineLvl w:val="2"/>
        <w:rPr>
          <w:b/>
          <w:sz w:val="24"/>
        </w:rPr>
      </w:pPr>
      <w:bookmarkStart w:id="9" w:name="_Toc479522847"/>
      <w:r>
        <w:rPr>
          <w:b/>
          <w:sz w:val="24"/>
        </w:rPr>
        <w:t>A.8</w:t>
      </w:r>
      <w:r w:rsidRPr="00EE452D">
        <w:rPr>
          <w:b/>
          <w:sz w:val="24"/>
        </w:rPr>
        <w:t xml:space="preserve">.a. </w:t>
      </w:r>
      <w:r w:rsidRPr="00E059C2">
        <w:rPr>
          <w:b/>
          <w:sz w:val="24"/>
        </w:rPr>
        <w:t>Sample Design, Longitudinal Structure, and Cost of the Surveys</w:t>
      </w:r>
      <w:bookmarkEnd w:id="9"/>
    </w:p>
    <w:p w14:paraId="3DB89880" w14:textId="6F441D94" w:rsidR="001846F5" w:rsidRDefault="001846F5" w:rsidP="001846F5">
      <w:pPr>
        <w:tabs>
          <w:tab w:val="left" w:pos="6120"/>
        </w:tabs>
        <w:rPr>
          <w:sz w:val="24"/>
        </w:rPr>
      </w:pPr>
      <w:r w:rsidRPr="001846F5">
        <w:rPr>
          <w:sz w:val="24"/>
        </w:rPr>
        <w:t>Two commenters raise concerns about the sampling scheme with respect t</w:t>
      </w:r>
      <w:r w:rsidR="002D5073">
        <w:rPr>
          <w:sz w:val="24"/>
        </w:rPr>
        <w:t xml:space="preserve">o representativeness and to sufficiency </w:t>
      </w:r>
      <w:r w:rsidR="009B2DBE">
        <w:rPr>
          <w:sz w:val="24"/>
        </w:rPr>
        <w:t xml:space="preserve">of </w:t>
      </w:r>
      <w:r w:rsidRPr="001846F5">
        <w:rPr>
          <w:sz w:val="24"/>
        </w:rPr>
        <w:t xml:space="preserve">sample size for population subgroups and events of interest.  </w:t>
      </w:r>
      <w:r w:rsidR="009B2DBE">
        <w:rPr>
          <w:sz w:val="24"/>
        </w:rPr>
        <w:t xml:space="preserve">One comment concerned recruitment to the cognitive interviews, but that sample </w:t>
      </w:r>
      <w:r w:rsidRPr="001846F5">
        <w:rPr>
          <w:sz w:val="24"/>
        </w:rPr>
        <w:t>is not intended to be representative of any population</w:t>
      </w:r>
      <w:r w:rsidR="009B2DBE">
        <w:rPr>
          <w:sz w:val="24"/>
        </w:rPr>
        <w:t xml:space="preserve"> (see Section B.1.a)</w:t>
      </w:r>
      <w:r w:rsidRPr="001846F5">
        <w:rPr>
          <w:sz w:val="24"/>
        </w:rPr>
        <w:t xml:space="preserve">.  As for the sample design for the Road to Retirement panel, the research team believes that the proposed sample design is the most appropriate for this study.  </w:t>
      </w:r>
    </w:p>
    <w:p w14:paraId="0BB9A50E" w14:textId="77777777" w:rsidR="00BF7922" w:rsidRPr="001846F5" w:rsidRDefault="00BF7922" w:rsidP="001846F5">
      <w:pPr>
        <w:tabs>
          <w:tab w:val="left" w:pos="6120"/>
        </w:tabs>
        <w:rPr>
          <w:sz w:val="24"/>
        </w:rPr>
      </w:pPr>
    </w:p>
    <w:p w14:paraId="6DBF2B82" w14:textId="77777777" w:rsidR="001846F5" w:rsidRDefault="001846F5" w:rsidP="001846F5">
      <w:pPr>
        <w:rPr>
          <w:sz w:val="24"/>
        </w:rPr>
      </w:pPr>
      <w:r w:rsidRPr="001846F5">
        <w:rPr>
          <w:sz w:val="24"/>
        </w:rPr>
        <w:t xml:space="preserve">The number of respondents with specific characteristics required for a good study depends on the nature of the study. With 4500 respondents, there will be many subgroups and events of interest for which concerns about small samples are wholly unfounded.  Of course, the further you parse the sample the greater concern there will be for conducting the types of hypothesis tests to which </w:t>
      </w:r>
      <w:r w:rsidRPr="001846F5">
        <w:rPr>
          <w:sz w:val="24"/>
        </w:rPr>
        <w:lastRenderedPageBreak/>
        <w:t>one commenter alludes.  The research team would certainly prefer to increase the total sample size, but tradeoffs must be made when working within a budget.  Even if the budget and sample size were increased substantially, it is difficult to ensure that large sample sizes would be obtained for each possible experience of interest, especially for events that are relatively rare.</w:t>
      </w:r>
    </w:p>
    <w:p w14:paraId="6BFDBC36" w14:textId="77777777" w:rsidR="00BF7922" w:rsidRPr="001846F5" w:rsidRDefault="00BF7922" w:rsidP="001846F5">
      <w:pPr>
        <w:rPr>
          <w:sz w:val="24"/>
        </w:rPr>
      </w:pPr>
    </w:p>
    <w:p w14:paraId="59F4FF3B" w14:textId="4655FF58" w:rsidR="001846F5" w:rsidRDefault="001846F5" w:rsidP="001846F5">
      <w:pPr>
        <w:rPr>
          <w:sz w:val="24"/>
        </w:rPr>
      </w:pPr>
      <w:r w:rsidRPr="001846F5">
        <w:rPr>
          <w:sz w:val="24"/>
        </w:rPr>
        <w:t>Moreover, the resear</w:t>
      </w:r>
      <w:r w:rsidR="009B2DBE">
        <w:rPr>
          <w:sz w:val="24"/>
        </w:rPr>
        <w:t>ch team strongly believes that a “</w:t>
      </w:r>
      <w:r w:rsidRPr="001846F5">
        <w:rPr>
          <w:sz w:val="24"/>
        </w:rPr>
        <w:t>statistically meaningful analysis of the data</w:t>
      </w:r>
      <w:r w:rsidR="009B2DBE">
        <w:rPr>
          <w:sz w:val="24"/>
        </w:rPr>
        <w:t>”</w:t>
      </w:r>
      <w:r w:rsidR="00FA4072" w:rsidRPr="007C5120">
        <w:rPr>
          <w:rStyle w:val="FootnoteReference"/>
          <w:sz w:val="24"/>
          <w:vertAlign w:val="superscript"/>
        </w:rPr>
        <w:footnoteReference w:id="8"/>
      </w:r>
      <w:r w:rsidRPr="001846F5">
        <w:rPr>
          <w:sz w:val="24"/>
        </w:rPr>
        <w:t xml:space="preserve"> does not and should not imply any specific minimum acceptable threshold for the size of sample subgroups. </w:t>
      </w:r>
      <w:r w:rsidR="009B2DBE">
        <w:rPr>
          <w:sz w:val="24"/>
        </w:rPr>
        <w:t xml:space="preserve"> </w:t>
      </w:r>
      <w:r w:rsidRPr="001846F5">
        <w:rPr>
          <w:sz w:val="24"/>
        </w:rPr>
        <w:t>Unfortunately, mistaken beliefs about the proper role and meaning of statistical significance and about the value of quantitative findings are pervasive.  In an attempt to address and rectify this situation, the board of the American Statistical Association (ASA) recently undertook the unprecedented step of taking a position on a specific matter of statistical practice.  As noted in its statement:</w:t>
      </w:r>
    </w:p>
    <w:p w14:paraId="002A5151" w14:textId="77777777" w:rsidR="00BF7922" w:rsidRPr="001846F5" w:rsidRDefault="00BF7922" w:rsidP="001846F5">
      <w:pPr>
        <w:rPr>
          <w:sz w:val="24"/>
        </w:rPr>
      </w:pPr>
    </w:p>
    <w:p w14:paraId="26F04E94" w14:textId="2A145382" w:rsidR="001846F5" w:rsidRDefault="001846F5" w:rsidP="001846F5">
      <w:pPr>
        <w:pStyle w:val="ListParagraph"/>
        <w:ind w:left="432"/>
      </w:pPr>
      <w:r w:rsidRPr="001846F5">
        <w:t xml:space="preserve">The Board envisioned that the ASA statement on p-values and statistical significance </w:t>
      </w:r>
      <w:r w:rsidRPr="00ED2B71">
        <w:t xml:space="preserve">would shed light on an aspect of our field that is too often misunderstood and misused in the broader research community, and, in the process, </w:t>
      </w:r>
      <w:proofErr w:type="gramStart"/>
      <w:r w:rsidRPr="00ED2B71">
        <w:t>provide</w:t>
      </w:r>
      <w:proofErr w:type="gramEnd"/>
      <w:r w:rsidRPr="00ED2B71">
        <w:t xml:space="preserve"> the community a service. The intended audience would be researchers, practitioners and science writers who are not primarily statis</w:t>
      </w:r>
      <w:r w:rsidRPr="00CF4B82">
        <w:t>ticians. Thus, this statement would be quite different from anything previously attempted.</w:t>
      </w:r>
      <w:r w:rsidRPr="00BF7922">
        <w:rPr>
          <w:rStyle w:val="FootnoteReference"/>
          <w:vertAlign w:val="superscript"/>
        </w:rPr>
        <w:footnoteReference w:id="9"/>
      </w:r>
    </w:p>
    <w:p w14:paraId="727E40E7" w14:textId="77777777" w:rsidR="00BF7922" w:rsidRPr="00BF7922" w:rsidRDefault="00BF7922" w:rsidP="001846F5">
      <w:pPr>
        <w:pStyle w:val="ListParagraph"/>
        <w:ind w:left="432"/>
      </w:pPr>
    </w:p>
    <w:p w14:paraId="6C035CEE" w14:textId="01516640" w:rsidR="001846F5" w:rsidRDefault="001846F5" w:rsidP="001846F5">
      <w:pPr>
        <w:rPr>
          <w:sz w:val="24"/>
        </w:rPr>
      </w:pPr>
      <w:r w:rsidRPr="001846F5">
        <w:rPr>
          <w:sz w:val="24"/>
        </w:rPr>
        <w:t xml:space="preserve">Even beyond questions about how much focus should be paid to statistical significance and the sample sizes required </w:t>
      </w:r>
      <w:proofErr w:type="gramStart"/>
      <w:r w:rsidRPr="001846F5">
        <w:rPr>
          <w:sz w:val="24"/>
        </w:rPr>
        <w:t>to generate</w:t>
      </w:r>
      <w:proofErr w:type="gramEnd"/>
      <w:r w:rsidRPr="001846F5">
        <w:rPr>
          <w:sz w:val="24"/>
        </w:rPr>
        <w:t xml:space="preserve"> “significant” or “meaningful” results, it must be recognized that focusing on counts of specific groups and specific events may be misleading in its own right.  After all, other types of analyses can fruitfully combine data across persons with different covariates, under specified modelling assumptions.  This is done routinely in estimation of linear or logit prediction models that are commonly performed and, indeed, will form a key basis for findings to be produce</w:t>
      </w:r>
      <w:r w:rsidR="00BF7922">
        <w:rPr>
          <w:sz w:val="24"/>
        </w:rPr>
        <w:t>d based on the collected data.</w:t>
      </w:r>
    </w:p>
    <w:p w14:paraId="6471EB01" w14:textId="77777777" w:rsidR="00BF7922" w:rsidRPr="001846F5" w:rsidRDefault="00BF7922" w:rsidP="001846F5">
      <w:pPr>
        <w:rPr>
          <w:sz w:val="24"/>
        </w:rPr>
      </w:pPr>
    </w:p>
    <w:p w14:paraId="5810F625" w14:textId="3951DF60" w:rsidR="001846F5" w:rsidRDefault="001846F5" w:rsidP="001846F5">
      <w:pPr>
        <w:rPr>
          <w:sz w:val="24"/>
        </w:rPr>
      </w:pPr>
      <w:r w:rsidRPr="001846F5">
        <w:rPr>
          <w:sz w:val="24"/>
        </w:rPr>
        <w:t xml:space="preserve">Note also that respondents may move in and out of various states over time.  Therefore, counts of </w:t>
      </w:r>
      <w:r w:rsidR="00330BFB">
        <w:rPr>
          <w:sz w:val="24"/>
        </w:rPr>
        <w:t xml:space="preserve">subgroup </w:t>
      </w:r>
      <w:r w:rsidRPr="001846F5">
        <w:rPr>
          <w:sz w:val="24"/>
        </w:rPr>
        <w:t xml:space="preserve">sample sizes based on cross-sectional data undercount the cumulative sample size as time passes and, for instance, respondents change jobs and open and close retirement accounts. Moreover, the fact that these experiences arise from choices made by the households would raise additional problems if one used target quotas to increase sample sizes for various experiences.   The research team believes it would be ill-advised to adopt </w:t>
      </w:r>
      <w:r w:rsidR="001F0D1D">
        <w:rPr>
          <w:sz w:val="24"/>
        </w:rPr>
        <w:t xml:space="preserve">such </w:t>
      </w:r>
      <w:r w:rsidRPr="001846F5">
        <w:rPr>
          <w:sz w:val="24"/>
        </w:rPr>
        <w:t>a “choice-based sampling” approach.</w:t>
      </w:r>
      <w:r w:rsidRPr="007C5120">
        <w:rPr>
          <w:rStyle w:val="FootnoteReference"/>
          <w:sz w:val="24"/>
          <w:vertAlign w:val="superscript"/>
        </w:rPr>
        <w:footnoteReference w:id="10"/>
      </w:r>
    </w:p>
    <w:p w14:paraId="06118C55" w14:textId="77777777" w:rsidR="00EA5917" w:rsidRDefault="00EA5917" w:rsidP="001846F5">
      <w:pPr>
        <w:rPr>
          <w:sz w:val="24"/>
        </w:rPr>
      </w:pPr>
    </w:p>
    <w:p w14:paraId="1DBFC1A2" w14:textId="786D0E88" w:rsidR="001846F5" w:rsidRDefault="001846F5" w:rsidP="00EA5917">
      <w:pPr>
        <w:widowControl/>
        <w:autoSpaceDE/>
        <w:autoSpaceDN/>
        <w:adjustRightInd/>
        <w:rPr>
          <w:sz w:val="24"/>
        </w:rPr>
      </w:pPr>
      <w:r w:rsidRPr="001846F5">
        <w:rPr>
          <w:sz w:val="24"/>
        </w:rPr>
        <w:lastRenderedPageBreak/>
        <w:t xml:space="preserve">Two commenters express uncertainty about whether the surveys would be conducted for two years or for longer, and state that a longer survey would be much more valuable. </w:t>
      </w:r>
      <w:r w:rsidR="00E05DD6">
        <w:rPr>
          <w:sz w:val="24"/>
        </w:rPr>
        <w:t xml:space="preserve"> </w:t>
      </w:r>
      <w:r w:rsidRPr="001846F5">
        <w:rPr>
          <w:sz w:val="24"/>
        </w:rPr>
        <w:t xml:space="preserve">This Information Collection Request describes plans to conduct the survey in the field for two years. EBSA intends to extend the longitudinal survey past those two years. </w:t>
      </w:r>
      <w:r w:rsidR="00CD4261">
        <w:rPr>
          <w:sz w:val="24"/>
        </w:rPr>
        <w:t xml:space="preserve"> </w:t>
      </w:r>
      <w:r w:rsidRPr="001846F5">
        <w:rPr>
          <w:sz w:val="24"/>
        </w:rPr>
        <w:t xml:space="preserve">It may be appropriate to make some modifications based on the experience EBSA will have gained during the initial two years. </w:t>
      </w:r>
    </w:p>
    <w:p w14:paraId="2ACC5368" w14:textId="77777777" w:rsidR="00BF7922" w:rsidRPr="001846F5" w:rsidRDefault="00BF7922" w:rsidP="001846F5">
      <w:pPr>
        <w:rPr>
          <w:sz w:val="24"/>
        </w:rPr>
      </w:pPr>
    </w:p>
    <w:p w14:paraId="607435AC" w14:textId="72246A43" w:rsidR="001846F5" w:rsidRDefault="001846F5" w:rsidP="00E21617">
      <w:pPr>
        <w:rPr>
          <w:sz w:val="24"/>
        </w:rPr>
      </w:pPr>
      <w:r w:rsidRPr="001846F5">
        <w:rPr>
          <w:sz w:val="24"/>
        </w:rPr>
        <w:t>One</w:t>
      </w:r>
      <w:r w:rsidR="00E21617">
        <w:rPr>
          <w:sz w:val="24"/>
        </w:rPr>
        <w:t xml:space="preserve"> commenter raises a concern</w:t>
      </w:r>
      <w:r w:rsidR="00E21617" w:rsidRPr="00E21617">
        <w:rPr>
          <w:sz w:val="24"/>
        </w:rPr>
        <w:t xml:space="preserve"> that respondents’</w:t>
      </w:r>
      <w:r w:rsidR="00E21617">
        <w:rPr>
          <w:sz w:val="24"/>
        </w:rPr>
        <w:t xml:space="preserve"> </w:t>
      </w:r>
      <w:r w:rsidR="00E21617" w:rsidRPr="00E21617">
        <w:rPr>
          <w:sz w:val="24"/>
        </w:rPr>
        <w:t>participation in the surveys may change their subsequent behaviors</w:t>
      </w:r>
      <w:r w:rsidR="00E21617">
        <w:rPr>
          <w:sz w:val="24"/>
        </w:rPr>
        <w:t>.</w:t>
      </w:r>
      <w:r w:rsidRPr="001846F5">
        <w:rPr>
          <w:sz w:val="24"/>
        </w:rPr>
        <w:t xml:space="preserve"> </w:t>
      </w:r>
      <w:r w:rsidR="004C76AA">
        <w:rPr>
          <w:sz w:val="24"/>
        </w:rPr>
        <w:t xml:space="preserve"> </w:t>
      </w:r>
      <w:r w:rsidRPr="001846F5">
        <w:rPr>
          <w:sz w:val="24"/>
        </w:rPr>
        <w:t>Experienced researchers should be cognizant of this issue when analyzing panel data.  However, the research team strongly believes that the benefits of collecting panel data far outweigh this potential weakness.  Widespread support of this view may be inferred from the many years of support for and extremely important research findings based on such panel studies as the Panel</w:t>
      </w:r>
      <w:r w:rsidR="00433589">
        <w:rPr>
          <w:sz w:val="24"/>
        </w:rPr>
        <w:t xml:space="preserve"> Study of Income Dynamics, the </w:t>
      </w:r>
      <w:r w:rsidRPr="001846F5">
        <w:rPr>
          <w:sz w:val="24"/>
        </w:rPr>
        <w:t>N</w:t>
      </w:r>
      <w:r w:rsidR="00433589">
        <w:rPr>
          <w:sz w:val="24"/>
        </w:rPr>
        <w:t>LS</w:t>
      </w:r>
      <w:r w:rsidRPr="001846F5">
        <w:rPr>
          <w:sz w:val="24"/>
        </w:rPr>
        <w:t>, and the H</w:t>
      </w:r>
      <w:r w:rsidR="00433589">
        <w:rPr>
          <w:sz w:val="24"/>
        </w:rPr>
        <w:t>RS</w:t>
      </w:r>
      <w:r w:rsidRPr="001846F5">
        <w:rPr>
          <w:sz w:val="24"/>
        </w:rPr>
        <w:t>, just to name a few.</w:t>
      </w:r>
    </w:p>
    <w:p w14:paraId="7BA8926C" w14:textId="77777777" w:rsidR="00BF7922" w:rsidRPr="001846F5" w:rsidRDefault="00BF7922" w:rsidP="001846F5">
      <w:pPr>
        <w:rPr>
          <w:sz w:val="24"/>
        </w:rPr>
      </w:pPr>
    </w:p>
    <w:p w14:paraId="4050EDDB" w14:textId="7AE960B2" w:rsidR="00E059C2" w:rsidRDefault="001846F5" w:rsidP="00E059C2">
      <w:pPr>
        <w:rPr>
          <w:sz w:val="24"/>
        </w:rPr>
      </w:pPr>
      <w:r w:rsidRPr="001846F5">
        <w:rPr>
          <w:sz w:val="24"/>
        </w:rPr>
        <w:t xml:space="preserve">One comment letter also reflects some ambiguity in the reported cost figures. The cost figures that are outlined in this Information Collection Request describe what will be needed for the initial two years of conducting the survey in the field. </w:t>
      </w:r>
      <w:r w:rsidR="00E10961">
        <w:rPr>
          <w:sz w:val="24"/>
        </w:rPr>
        <w:t xml:space="preserve"> </w:t>
      </w:r>
      <w:r w:rsidRPr="001846F5">
        <w:rPr>
          <w:sz w:val="24"/>
        </w:rPr>
        <w:t>It also encompasses all the activities preparing and supporting the survey, including the design, planning, pretesting, pre-survey, the data cleaning, analysis and documentation, and writing analytical reports.</w:t>
      </w:r>
      <w:r w:rsidR="00E059C2" w:rsidRPr="00E059C2">
        <w:rPr>
          <w:sz w:val="24"/>
        </w:rPr>
        <w:t xml:space="preserve"> </w:t>
      </w:r>
    </w:p>
    <w:p w14:paraId="7BC1CDD6" w14:textId="41A29DA5" w:rsidR="00E059C2" w:rsidRPr="00EE452D" w:rsidRDefault="00E059C2" w:rsidP="00E059C2">
      <w:pPr>
        <w:keepNext/>
        <w:spacing w:before="240" w:after="60"/>
        <w:ind w:left="720"/>
        <w:outlineLvl w:val="2"/>
        <w:rPr>
          <w:b/>
          <w:sz w:val="24"/>
        </w:rPr>
      </w:pPr>
      <w:bookmarkStart w:id="10" w:name="_Toc479522848"/>
      <w:r>
        <w:rPr>
          <w:b/>
          <w:sz w:val="24"/>
        </w:rPr>
        <w:t>A.8.b</w:t>
      </w:r>
      <w:r w:rsidRPr="00EE452D">
        <w:rPr>
          <w:b/>
          <w:sz w:val="24"/>
        </w:rPr>
        <w:t xml:space="preserve">. </w:t>
      </w:r>
      <w:r>
        <w:rPr>
          <w:b/>
          <w:sz w:val="24"/>
        </w:rPr>
        <w:t>Questionnaire Items</w:t>
      </w:r>
      <w:bookmarkEnd w:id="10"/>
    </w:p>
    <w:p w14:paraId="0572DEB9" w14:textId="75D0C3FA" w:rsidR="001846F5" w:rsidRDefault="001846F5" w:rsidP="001846F5">
      <w:pPr>
        <w:rPr>
          <w:sz w:val="24"/>
        </w:rPr>
      </w:pPr>
      <w:r w:rsidRPr="001846F5">
        <w:rPr>
          <w:sz w:val="24"/>
        </w:rPr>
        <w:t>The commenter</w:t>
      </w:r>
      <w:r w:rsidR="00030630">
        <w:rPr>
          <w:sz w:val="24"/>
        </w:rPr>
        <w:t>s made numerous recommendations to</w:t>
      </w:r>
      <w:r w:rsidRPr="001846F5">
        <w:rPr>
          <w:sz w:val="24"/>
        </w:rPr>
        <w:t xml:space="preserve"> add or revis</w:t>
      </w:r>
      <w:r w:rsidR="00030630">
        <w:rPr>
          <w:sz w:val="24"/>
        </w:rPr>
        <w:t>e</w:t>
      </w:r>
      <w:r w:rsidRPr="001846F5">
        <w:rPr>
          <w:sz w:val="24"/>
        </w:rPr>
        <w:t xml:space="preserve"> questions included in the data collection instruments.  It would not be possible to include all such additions given the current structure of the surveys and, especially, the current levels of respondent burden.  However, as listed below, many changes were made based on the suggestions and some questions were removed from questionnaires in order to accommodate the additions.</w:t>
      </w:r>
    </w:p>
    <w:p w14:paraId="7DC7E1AD" w14:textId="77777777" w:rsidR="00F14252" w:rsidRPr="001846F5" w:rsidRDefault="00F14252" w:rsidP="001846F5">
      <w:pPr>
        <w:rPr>
          <w:sz w:val="24"/>
        </w:rPr>
      </w:pPr>
    </w:p>
    <w:p w14:paraId="22D716E2" w14:textId="77777777" w:rsidR="001846F5" w:rsidRDefault="001846F5" w:rsidP="001846F5">
      <w:pPr>
        <w:rPr>
          <w:i/>
          <w:sz w:val="24"/>
        </w:rPr>
      </w:pPr>
      <w:r w:rsidRPr="006E5822">
        <w:rPr>
          <w:i/>
          <w:sz w:val="24"/>
        </w:rPr>
        <w:t>Demographics</w:t>
      </w:r>
    </w:p>
    <w:p w14:paraId="508E91B8" w14:textId="77777777" w:rsidR="006E5822" w:rsidRPr="006E5822" w:rsidRDefault="006E5822" w:rsidP="001846F5">
      <w:pPr>
        <w:rPr>
          <w:i/>
          <w:sz w:val="24"/>
        </w:rPr>
      </w:pPr>
    </w:p>
    <w:p w14:paraId="30958E01" w14:textId="29FF7666" w:rsidR="001846F5" w:rsidRDefault="001846F5" w:rsidP="001846F5">
      <w:pPr>
        <w:rPr>
          <w:sz w:val="24"/>
        </w:rPr>
      </w:pPr>
      <w:r w:rsidRPr="001846F5">
        <w:rPr>
          <w:sz w:val="24"/>
        </w:rPr>
        <w:t>In response to concerns about the limited information collected about household member</w:t>
      </w:r>
      <w:r w:rsidR="00AA33A9">
        <w:rPr>
          <w:sz w:val="24"/>
        </w:rPr>
        <w:t>s</w:t>
      </w:r>
      <w:r w:rsidRPr="001846F5">
        <w:rPr>
          <w:sz w:val="24"/>
        </w:rPr>
        <w:t>, questions were added to the annual surveys on the composition of the household.  In particular, these questions elicit the relationship, age, sex, and current educational status of members of the household, other than the respondent and spouse/partner.</w:t>
      </w:r>
      <w:r w:rsidR="009E65F7" w:rsidRPr="007C5120">
        <w:rPr>
          <w:rStyle w:val="FootnoteReference"/>
          <w:sz w:val="24"/>
          <w:vertAlign w:val="superscript"/>
        </w:rPr>
        <w:footnoteReference w:id="11"/>
      </w:r>
      <w:r w:rsidR="00E869A6" w:rsidRPr="00E869A6">
        <w:rPr>
          <w:sz w:val="24"/>
        </w:rPr>
        <w:t xml:space="preserve">  We have also added questions in all follow-up interviews</w:t>
      </w:r>
      <w:r w:rsidR="00571A9A">
        <w:rPr>
          <w:sz w:val="24"/>
        </w:rPr>
        <w:t xml:space="preserve"> administered via Internet</w:t>
      </w:r>
      <w:r w:rsidR="00E869A6" w:rsidRPr="00E869A6">
        <w:rPr>
          <w:sz w:val="24"/>
        </w:rPr>
        <w:t xml:space="preserve"> to ascertain what happened to those individuals who are no longer in the household—e.g., moved to a new household, moved to a long-term care facility, incarcerated, or deceased.</w:t>
      </w:r>
    </w:p>
    <w:p w14:paraId="7829B55C" w14:textId="77777777" w:rsidR="00F14252" w:rsidRPr="001846F5" w:rsidRDefault="00F14252" w:rsidP="001846F5">
      <w:pPr>
        <w:rPr>
          <w:sz w:val="24"/>
        </w:rPr>
      </w:pPr>
    </w:p>
    <w:p w14:paraId="74759527" w14:textId="77777777" w:rsidR="001846F5" w:rsidRDefault="001846F5" w:rsidP="001846F5">
      <w:pPr>
        <w:rPr>
          <w:i/>
          <w:sz w:val="24"/>
        </w:rPr>
      </w:pPr>
      <w:r w:rsidRPr="002F4D80">
        <w:rPr>
          <w:i/>
          <w:sz w:val="24"/>
        </w:rPr>
        <w:t>Employment Situation</w:t>
      </w:r>
    </w:p>
    <w:p w14:paraId="63146FC3" w14:textId="77777777" w:rsidR="002F4D80" w:rsidRPr="002F4D80" w:rsidRDefault="002F4D80" w:rsidP="001846F5">
      <w:pPr>
        <w:rPr>
          <w:i/>
          <w:sz w:val="24"/>
        </w:rPr>
      </w:pPr>
    </w:p>
    <w:p w14:paraId="5DE7DC5F" w14:textId="7322F866" w:rsidR="001846F5" w:rsidRDefault="001846F5" w:rsidP="001846F5">
      <w:pPr>
        <w:rPr>
          <w:sz w:val="24"/>
        </w:rPr>
      </w:pPr>
      <w:r w:rsidRPr="001846F5">
        <w:rPr>
          <w:sz w:val="24"/>
        </w:rPr>
        <w:t>Following the suggestions of a commenter, many changes were made to the employment status questions included in each interview</w:t>
      </w:r>
      <w:r w:rsidR="00570EAC" w:rsidRPr="00570EAC">
        <w:rPr>
          <w:sz w:val="24"/>
        </w:rPr>
        <w:t xml:space="preserve"> </w:t>
      </w:r>
      <w:r w:rsidR="00570EAC">
        <w:rPr>
          <w:sz w:val="24"/>
        </w:rPr>
        <w:t xml:space="preserve">in order to capture </w:t>
      </w:r>
      <w:r w:rsidR="00570EAC" w:rsidRPr="001846F5">
        <w:rPr>
          <w:sz w:val="24"/>
        </w:rPr>
        <w:t xml:space="preserve">additional information </w:t>
      </w:r>
      <w:r w:rsidR="00570EAC">
        <w:rPr>
          <w:sz w:val="24"/>
        </w:rPr>
        <w:t>on multiple employment statuses; multiple jobs;</w:t>
      </w:r>
      <w:r w:rsidR="001765CD">
        <w:rPr>
          <w:sz w:val="24"/>
        </w:rPr>
        <w:t xml:space="preserve"> part-time versus</w:t>
      </w:r>
      <w:r w:rsidR="00570EAC" w:rsidRPr="001846F5">
        <w:rPr>
          <w:sz w:val="24"/>
        </w:rPr>
        <w:t xml:space="preserve"> full-time</w:t>
      </w:r>
      <w:r w:rsidR="00570EAC">
        <w:rPr>
          <w:sz w:val="24"/>
        </w:rPr>
        <w:t xml:space="preserve"> work; and the</w:t>
      </w:r>
      <w:r w:rsidR="00570EAC" w:rsidRPr="001846F5">
        <w:rPr>
          <w:sz w:val="24"/>
        </w:rPr>
        <w:t xml:space="preserve"> desire for more, less, or same number of hours of work.</w:t>
      </w:r>
      <w:r w:rsidRPr="001846F5">
        <w:rPr>
          <w:sz w:val="24"/>
        </w:rPr>
        <w:t xml:space="preserve">  In particular, two questions asked of both the respondent and the spouse/partner in each Road to Retirement Survey panel interview have been replaced by a sequence of more detailed questions adapted from the Federal Reserve Board’s Survey of Household and Economics and </w:t>
      </w:r>
      <w:proofErr w:type="spellStart"/>
      <w:r w:rsidRPr="001846F5">
        <w:rPr>
          <w:sz w:val="24"/>
        </w:rPr>
        <w:t>Decisionmaking</w:t>
      </w:r>
      <w:proofErr w:type="spellEnd"/>
      <w:r w:rsidR="000B68BB">
        <w:rPr>
          <w:sz w:val="24"/>
        </w:rPr>
        <w:t xml:space="preserve"> (Board of Governors of the Federal Reserve System, 2016)</w:t>
      </w:r>
      <w:r w:rsidRPr="001846F5">
        <w:rPr>
          <w:sz w:val="24"/>
        </w:rPr>
        <w:t>.</w:t>
      </w:r>
      <w:r w:rsidR="00A0796F" w:rsidRPr="0034401C">
        <w:rPr>
          <w:rStyle w:val="FootnoteReference"/>
          <w:sz w:val="24"/>
          <w:vertAlign w:val="superscript"/>
        </w:rPr>
        <w:footnoteReference w:id="12"/>
      </w:r>
      <w:r w:rsidRPr="001846F5">
        <w:rPr>
          <w:sz w:val="24"/>
        </w:rPr>
        <w:t xml:space="preserve">  In addition, a single question on respondent employment status asked in the Pre</w:t>
      </w:r>
      <w:r w:rsidR="00570EAC">
        <w:rPr>
          <w:sz w:val="24"/>
        </w:rPr>
        <w:t>-Survey has been replaced by the</w:t>
      </w:r>
      <w:r w:rsidRPr="001846F5">
        <w:rPr>
          <w:sz w:val="24"/>
        </w:rPr>
        <w:t xml:space="preserve"> comparable</w:t>
      </w:r>
      <w:r w:rsidR="00570EAC">
        <w:rPr>
          <w:sz w:val="24"/>
        </w:rPr>
        <w:t xml:space="preserve"> question now asked in this longer sequence of employment status questions.</w:t>
      </w:r>
      <w:r w:rsidRPr="001846F5">
        <w:rPr>
          <w:sz w:val="24"/>
        </w:rPr>
        <w:t xml:space="preserve"> </w:t>
      </w:r>
    </w:p>
    <w:p w14:paraId="731F9303" w14:textId="77777777" w:rsidR="00F14252" w:rsidRPr="001846F5" w:rsidRDefault="00F14252" w:rsidP="001846F5">
      <w:pPr>
        <w:rPr>
          <w:sz w:val="24"/>
        </w:rPr>
      </w:pPr>
    </w:p>
    <w:p w14:paraId="22FE153C" w14:textId="56F8F8B4" w:rsidR="001846F5" w:rsidRDefault="001846F5" w:rsidP="001846F5">
      <w:pPr>
        <w:rPr>
          <w:sz w:val="24"/>
        </w:rPr>
      </w:pPr>
      <w:r w:rsidRPr="001846F5">
        <w:rPr>
          <w:sz w:val="24"/>
        </w:rPr>
        <w:t xml:space="preserve">The changes made to the employment status questions necessitated that many changes be made to the text and/or question-branching of related questions, such as those concerning pay frequency and employer-provided retirement plans in the Internet IPS </w:t>
      </w:r>
      <w:r w:rsidR="008E3EDC">
        <w:rPr>
          <w:sz w:val="24"/>
        </w:rPr>
        <w:t xml:space="preserve">and APS </w:t>
      </w:r>
      <w:r w:rsidRPr="001846F5">
        <w:rPr>
          <w:sz w:val="24"/>
        </w:rPr>
        <w:t>Baseline interview</w:t>
      </w:r>
      <w:r w:rsidR="008E3EDC">
        <w:rPr>
          <w:sz w:val="24"/>
        </w:rPr>
        <w:t>s</w:t>
      </w:r>
      <w:r w:rsidRPr="001846F5">
        <w:rPr>
          <w:sz w:val="24"/>
        </w:rPr>
        <w:t xml:space="preserve"> and those concerning a possible change in employment status in the Internet IPS </w:t>
      </w:r>
      <w:r w:rsidR="008E3EDC">
        <w:rPr>
          <w:sz w:val="24"/>
        </w:rPr>
        <w:t xml:space="preserve">and APS </w:t>
      </w:r>
      <w:r w:rsidRPr="001846F5">
        <w:rPr>
          <w:sz w:val="24"/>
        </w:rPr>
        <w:t xml:space="preserve">Follow-Up </w:t>
      </w:r>
      <w:r w:rsidR="008E3EDC">
        <w:rPr>
          <w:sz w:val="24"/>
        </w:rPr>
        <w:t xml:space="preserve">interviews and the </w:t>
      </w:r>
      <w:r w:rsidRPr="001846F5">
        <w:rPr>
          <w:sz w:val="24"/>
        </w:rPr>
        <w:t xml:space="preserve">AIS </w:t>
      </w:r>
      <w:r w:rsidR="008E3EDC">
        <w:rPr>
          <w:sz w:val="24"/>
        </w:rPr>
        <w:t>i</w:t>
      </w:r>
      <w:r w:rsidRPr="001846F5">
        <w:rPr>
          <w:sz w:val="24"/>
        </w:rPr>
        <w:t>nterviews.</w:t>
      </w:r>
      <w:r w:rsidR="00E21617" w:rsidRPr="007C5120">
        <w:rPr>
          <w:rStyle w:val="FootnoteReference"/>
          <w:sz w:val="24"/>
          <w:vertAlign w:val="superscript"/>
        </w:rPr>
        <w:footnoteReference w:id="13"/>
      </w:r>
    </w:p>
    <w:p w14:paraId="1D57DF64" w14:textId="77777777" w:rsidR="00F14252" w:rsidRPr="001846F5" w:rsidRDefault="00F14252" w:rsidP="001846F5">
      <w:pPr>
        <w:rPr>
          <w:sz w:val="24"/>
        </w:rPr>
      </w:pPr>
    </w:p>
    <w:p w14:paraId="677713FC" w14:textId="77777777" w:rsidR="001846F5" w:rsidRPr="002F4D80" w:rsidRDefault="001846F5" w:rsidP="001846F5">
      <w:pPr>
        <w:rPr>
          <w:i/>
          <w:sz w:val="24"/>
        </w:rPr>
      </w:pPr>
      <w:r w:rsidRPr="002F4D80">
        <w:rPr>
          <w:i/>
          <w:sz w:val="24"/>
        </w:rPr>
        <w:t>Employment-Related Retirement Plans</w:t>
      </w:r>
    </w:p>
    <w:p w14:paraId="22107F15" w14:textId="77777777" w:rsidR="002F4D80" w:rsidRPr="001846F5" w:rsidRDefault="002F4D80" w:rsidP="001846F5">
      <w:pPr>
        <w:rPr>
          <w:sz w:val="24"/>
          <w:u w:val="single"/>
        </w:rPr>
      </w:pPr>
    </w:p>
    <w:p w14:paraId="5E468A74" w14:textId="2A07E25E" w:rsidR="001846F5" w:rsidRDefault="001846F5" w:rsidP="001846F5">
      <w:pPr>
        <w:rPr>
          <w:sz w:val="24"/>
        </w:rPr>
      </w:pPr>
      <w:r w:rsidRPr="001846F5">
        <w:rPr>
          <w:sz w:val="24"/>
        </w:rPr>
        <w:t>Concerns were raised</w:t>
      </w:r>
      <w:r w:rsidR="00EF01C8">
        <w:rPr>
          <w:sz w:val="24"/>
        </w:rPr>
        <w:t xml:space="preserve"> that IPS and APS </w:t>
      </w:r>
      <w:r w:rsidRPr="001846F5">
        <w:rPr>
          <w:sz w:val="24"/>
        </w:rPr>
        <w:t xml:space="preserve">questions on retirement </w:t>
      </w:r>
      <w:r w:rsidR="00EF01C8">
        <w:rPr>
          <w:sz w:val="24"/>
        </w:rPr>
        <w:t>plan status at the current job follow a confusing path.</w:t>
      </w:r>
      <w:r w:rsidR="00E21617">
        <w:rPr>
          <w:sz w:val="24"/>
        </w:rPr>
        <w:t xml:space="preserve"> </w:t>
      </w:r>
      <w:r w:rsidRPr="001846F5">
        <w:rPr>
          <w:sz w:val="24"/>
        </w:rPr>
        <w:t xml:space="preserve"> Eliciting information about employment-based retirement plans is a very difficult endeavor, but it is necessary to undertake in order to meet the goals of this project.  The proposed sets of questions in the data collection instruments </w:t>
      </w:r>
      <w:r w:rsidR="0031450C">
        <w:rPr>
          <w:sz w:val="24"/>
        </w:rPr>
        <w:t xml:space="preserve">include many that </w:t>
      </w:r>
      <w:r w:rsidRPr="001846F5">
        <w:rPr>
          <w:sz w:val="24"/>
        </w:rPr>
        <w:t>were adapted from questions used in the H</w:t>
      </w:r>
      <w:r w:rsidR="0031450C">
        <w:rPr>
          <w:sz w:val="24"/>
        </w:rPr>
        <w:t>RS and in</w:t>
      </w:r>
      <w:r w:rsidRPr="001846F5">
        <w:rPr>
          <w:sz w:val="24"/>
        </w:rPr>
        <w:t xml:space="preserve"> the S</w:t>
      </w:r>
      <w:r w:rsidR="0031450C">
        <w:rPr>
          <w:sz w:val="24"/>
        </w:rPr>
        <w:t>CF</w:t>
      </w:r>
      <w:r w:rsidRPr="001846F5">
        <w:rPr>
          <w:sz w:val="24"/>
        </w:rPr>
        <w:t>.  Some modifications were made for purposes of simplicity in order to reduce respondent burden while aiming to ascertain information of greatest interest in this study--in particular, information about participation in plans where participants are able to choose contribution rates and investment allocations.  A major obstacle to doing so, however, is the difficulty that respondents may have in reporting on plan type.</w:t>
      </w:r>
      <w:r w:rsidRPr="00F14252">
        <w:rPr>
          <w:rStyle w:val="FootnoteReference"/>
          <w:sz w:val="24"/>
          <w:vertAlign w:val="superscript"/>
        </w:rPr>
        <w:footnoteReference w:id="14"/>
      </w:r>
    </w:p>
    <w:p w14:paraId="5275D832" w14:textId="77777777" w:rsidR="00363829" w:rsidRPr="001846F5" w:rsidRDefault="00363829" w:rsidP="001846F5">
      <w:pPr>
        <w:rPr>
          <w:sz w:val="24"/>
        </w:rPr>
      </w:pPr>
    </w:p>
    <w:p w14:paraId="533A7129" w14:textId="2AC73839" w:rsidR="001846F5" w:rsidRDefault="001846F5" w:rsidP="001846F5">
      <w:pPr>
        <w:rPr>
          <w:sz w:val="24"/>
        </w:rPr>
      </w:pPr>
      <w:r w:rsidRPr="001846F5">
        <w:rPr>
          <w:sz w:val="24"/>
        </w:rPr>
        <w:t>This fundamental measurement problem must be faced when deciding on the sequence of questions to ask.  We believe that the full sequence of questions about retirement plan attributes should be asked of all respondents who report plan participation, rather than branching based on reported plan type.  The pretests will be useful for identifying difficulties that arise from doing so, and an assessment will be made as to whether further modifications to the question sequence are warranted.  However, we believe that this more inclusive approach is superior to skipping respondents out of important questions just because the</w:t>
      </w:r>
      <w:r w:rsidR="00F14252">
        <w:rPr>
          <w:sz w:val="24"/>
        </w:rPr>
        <w:t>y misclassified the plan type.</w:t>
      </w:r>
    </w:p>
    <w:p w14:paraId="49CBCEBE" w14:textId="77777777" w:rsidR="00F14252" w:rsidRPr="001846F5" w:rsidRDefault="00F14252" w:rsidP="001846F5">
      <w:pPr>
        <w:rPr>
          <w:sz w:val="24"/>
        </w:rPr>
      </w:pPr>
    </w:p>
    <w:p w14:paraId="041416C1" w14:textId="0BCE9B97" w:rsidR="001846F5" w:rsidRDefault="001E3DB9" w:rsidP="001846F5">
      <w:pPr>
        <w:rPr>
          <w:sz w:val="24"/>
        </w:rPr>
      </w:pPr>
      <w:r>
        <w:rPr>
          <w:sz w:val="24"/>
        </w:rPr>
        <w:t>In response to the comments, t</w:t>
      </w:r>
      <w:r w:rsidR="001846F5" w:rsidRPr="001846F5">
        <w:rPr>
          <w:sz w:val="24"/>
        </w:rPr>
        <w:t>he primary change to the sequence of questions arises from a new focus in the IPS</w:t>
      </w:r>
      <w:r w:rsidR="00655E9E">
        <w:rPr>
          <w:sz w:val="24"/>
        </w:rPr>
        <w:t xml:space="preserve"> and APS</w:t>
      </w:r>
      <w:r w:rsidR="004540B5">
        <w:rPr>
          <w:sz w:val="24"/>
        </w:rPr>
        <w:t xml:space="preserve"> </w:t>
      </w:r>
      <w:r w:rsidR="001846F5" w:rsidRPr="001846F5">
        <w:rPr>
          <w:sz w:val="24"/>
        </w:rPr>
        <w:t>interview</w:t>
      </w:r>
      <w:r w:rsidR="00655E9E">
        <w:rPr>
          <w:sz w:val="24"/>
        </w:rPr>
        <w:t>s</w:t>
      </w:r>
      <w:r w:rsidR="001846F5" w:rsidRPr="001846F5">
        <w:rPr>
          <w:sz w:val="24"/>
        </w:rPr>
        <w:t xml:space="preserve"> on eliciting information about multiple plans on the current job.  This focus begins by following up the initial Yes/No question on whether the respondent (or the spouse/partner) has a plan on the current job with new questions on </w:t>
      </w:r>
      <w:r w:rsidR="00762A40">
        <w:rPr>
          <w:sz w:val="24"/>
        </w:rPr>
        <w:t xml:space="preserve">whether there are multiple </w:t>
      </w:r>
      <w:r w:rsidR="001846F5" w:rsidRPr="001846F5">
        <w:rPr>
          <w:sz w:val="24"/>
        </w:rPr>
        <w:t xml:space="preserve">plans on this job, as is done in the HRS and SCF questionnaires. </w:t>
      </w:r>
      <w:r w:rsidR="007B4AF4">
        <w:rPr>
          <w:sz w:val="24"/>
        </w:rPr>
        <w:t xml:space="preserve"> </w:t>
      </w:r>
      <w:r w:rsidR="001846F5" w:rsidRPr="001846F5">
        <w:rPr>
          <w:sz w:val="24"/>
        </w:rPr>
        <w:t>Asking these questions may induce some respondents to report multiple plans when they otherwise may have thought of them as one plan with multiple accounts.  This response process will be of central interest in pretests.</w:t>
      </w:r>
    </w:p>
    <w:p w14:paraId="37C4BD72" w14:textId="77777777" w:rsidR="00F14252" w:rsidRPr="001846F5" w:rsidRDefault="00F14252" w:rsidP="001846F5">
      <w:pPr>
        <w:rPr>
          <w:sz w:val="24"/>
        </w:rPr>
      </w:pPr>
    </w:p>
    <w:p w14:paraId="11B989F6" w14:textId="786D21D5" w:rsidR="001846F5" w:rsidRDefault="001846F5" w:rsidP="001846F5">
      <w:pPr>
        <w:rPr>
          <w:sz w:val="24"/>
        </w:rPr>
      </w:pPr>
      <w:r w:rsidRPr="001846F5">
        <w:rPr>
          <w:sz w:val="24"/>
        </w:rPr>
        <w:t>The text of subsequen</w:t>
      </w:r>
      <w:r w:rsidR="00785150">
        <w:rPr>
          <w:sz w:val="24"/>
        </w:rPr>
        <w:t>t questions in the sequence was</w:t>
      </w:r>
      <w:r w:rsidRPr="001846F5">
        <w:rPr>
          <w:sz w:val="24"/>
        </w:rPr>
        <w:t xml:space="preserve"> revised to accommodate the possibility of multiple plans.  Text was also added to instruct the respondent on the </w:t>
      </w:r>
      <w:r w:rsidR="00C15DF9">
        <w:rPr>
          <w:sz w:val="24"/>
        </w:rPr>
        <w:t xml:space="preserve">initial </w:t>
      </w:r>
      <w:r w:rsidRPr="001846F5">
        <w:rPr>
          <w:sz w:val="24"/>
        </w:rPr>
        <w:t>plan of interest for the sequence of questions, as appropriate based on previous responses about the number and type of plan</w:t>
      </w:r>
      <w:r w:rsidR="00F76EBE">
        <w:rPr>
          <w:sz w:val="24"/>
        </w:rPr>
        <w:t xml:space="preserve">s—e.g., “Now we have some </w:t>
      </w:r>
      <w:r w:rsidRPr="001846F5">
        <w:rPr>
          <w:sz w:val="24"/>
        </w:rPr>
        <w:t xml:space="preserve">questions </w:t>
      </w:r>
      <w:r w:rsidR="00F76EBE">
        <w:rPr>
          <w:sz w:val="24"/>
        </w:rPr>
        <w:t xml:space="preserve">about </w:t>
      </w:r>
      <w:r w:rsidRPr="001846F5">
        <w:rPr>
          <w:sz w:val="24"/>
        </w:rPr>
        <w:t>the Defined Contribution type of pla</w:t>
      </w:r>
      <w:r w:rsidR="00D55D07">
        <w:rPr>
          <w:sz w:val="24"/>
        </w:rPr>
        <w:t>n that is most important to you</w:t>
      </w:r>
      <w:r w:rsidRPr="001846F5">
        <w:rPr>
          <w:sz w:val="24"/>
        </w:rPr>
        <w:t>”</w:t>
      </w:r>
      <w:r w:rsidR="00D55D07">
        <w:rPr>
          <w:sz w:val="24"/>
        </w:rPr>
        <w:t xml:space="preserve"> or “N</w:t>
      </w:r>
      <w:r w:rsidR="00D55D07" w:rsidRPr="00D55D07">
        <w:rPr>
          <w:sz w:val="24"/>
        </w:rPr>
        <w:t>ow we have some questions about the plan that is most important to you</w:t>
      </w:r>
      <w:r w:rsidR="00D55D07">
        <w:rPr>
          <w:sz w:val="24"/>
        </w:rPr>
        <w:t>,” as appropriate.</w:t>
      </w:r>
      <w:r w:rsidR="00414446">
        <w:rPr>
          <w:sz w:val="24"/>
        </w:rPr>
        <w:t xml:space="preserve"> </w:t>
      </w:r>
    </w:p>
    <w:p w14:paraId="11A496FC" w14:textId="77777777" w:rsidR="00F14252" w:rsidRPr="001846F5" w:rsidRDefault="00F14252" w:rsidP="001846F5">
      <w:pPr>
        <w:rPr>
          <w:sz w:val="24"/>
        </w:rPr>
      </w:pPr>
    </w:p>
    <w:p w14:paraId="15EE5D6A" w14:textId="1033B445" w:rsidR="001846F5" w:rsidRDefault="001846F5" w:rsidP="001846F5">
      <w:pPr>
        <w:rPr>
          <w:sz w:val="24"/>
        </w:rPr>
      </w:pPr>
      <w:r w:rsidRPr="001846F5">
        <w:rPr>
          <w:sz w:val="24"/>
        </w:rPr>
        <w:t xml:space="preserve">Finally, a whole new and substantively identical sequence of these questions was added about a second plan on the current job, </w:t>
      </w:r>
      <w:r w:rsidR="00CF4CC9">
        <w:rPr>
          <w:sz w:val="24"/>
        </w:rPr>
        <w:t xml:space="preserve">as </w:t>
      </w:r>
      <w:r w:rsidRPr="001846F5">
        <w:rPr>
          <w:sz w:val="24"/>
        </w:rPr>
        <w:t>appropriate</w:t>
      </w:r>
      <w:r w:rsidR="004540B5">
        <w:rPr>
          <w:sz w:val="24"/>
        </w:rPr>
        <w:t>, in the Internet IPS Baseline and Internet APS Baseline interviews</w:t>
      </w:r>
      <w:r w:rsidR="00D55D07">
        <w:rPr>
          <w:sz w:val="24"/>
        </w:rPr>
        <w:t xml:space="preserve">.  For example, </w:t>
      </w:r>
      <w:r w:rsidRPr="001846F5">
        <w:rPr>
          <w:sz w:val="24"/>
        </w:rPr>
        <w:t>“</w:t>
      </w:r>
      <w:r w:rsidR="001579AA" w:rsidRPr="001579AA">
        <w:rPr>
          <w:sz w:val="24"/>
        </w:rPr>
        <w:t xml:space="preserve">The following questions concern the Defined Contribution type of plan at this job that is the most important to you, other than the plan at </w:t>
      </w:r>
      <w:r w:rsidR="00D55D07">
        <w:rPr>
          <w:sz w:val="24"/>
        </w:rPr>
        <w:t>this job you just told us about</w:t>
      </w:r>
      <w:r w:rsidR="001579AA">
        <w:rPr>
          <w:sz w:val="24"/>
        </w:rPr>
        <w:t>”</w:t>
      </w:r>
      <w:r w:rsidR="00D55D07">
        <w:rPr>
          <w:sz w:val="24"/>
        </w:rPr>
        <w:t xml:space="preserve"> or “</w:t>
      </w:r>
      <w:r w:rsidR="00D55D07" w:rsidRPr="00D55D07">
        <w:rPr>
          <w:sz w:val="24"/>
        </w:rPr>
        <w:t>The following questions concern the plan at this job that is the most important to you, other than the plan at this job you just told us about</w:t>
      </w:r>
      <w:r w:rsidR="00D55D07">
        <w:rPr>
          <w:sz w:val="24"/>
        </w:rPr>
        <w:t>,</w:t>
      </w:r>
      <w:r w:rsidR="00D55D07" w:rsidRPr="00D55D07">
        <w:rPr>
          <w:sz w:val="24"/>
        </w:rPr>
        <w:t>”</w:t>
      </w:r>
      <w:r w:rsidR="00414446">
        <w:rPr>
          <w:sz w:val="24"/>
        </w:rPr>
        <w:t xml:space="preserve"> as appropriate.</w:t>
      </w:r>
    </w:p>
    <w:p w14:paraId="7240E97B" w14:textId="77777777" w:rsidR="00F14252" w:rsidRPr="001846F5" w:rsidRDefault="00F14252" w:rsidP="001846F5">
      <w:pPr>
        <w:rPr>
          <w:sz w:val="24"/>
        </w:rPr>
      </w:pPr>
    </w:p>
    <w:p w14:paraId="74826413" w14:textId="7F6F26B0" w:rsidR="001846F5" w:rsidRDefault="001846F5" w:rsidP="00C03AAF">
      <w:pPr>
        <w:rPr>
          <w:sz w:val="24"/>
        </w:rPr>
      </w:pPr>
      <w:r w:rsidRPr="001846F5">
        <w:rPr>
          <w:sz w:val="24"/>
        </w:rPr>
        <w:t>Revisions to questions about retirement plans on the current job necessitated that changes be made to the text of the more limited sequence of subsequent questions about retirement plans from any current or previous business, employer, or union</w:t>
      </w:r>
      <w:r w:rsidR="00EE4C21">
        <w:rPr>
          <w:sz w:val="24"/>
        </w:rPr>
        <w:t>,</w:t>
      </w:r>
      <w:r w:rsidRPr="001846F5">
        <w:rPr>
          <w:sz w:val="24"/>
        </w:rPr>
        <w:t xml:space="preserve"> other than current job that was just discussed.  These revisions also led us to drop questions about plan changes in the </w:t>
      </w:r>
      <w:r w:rsidR="00DA29B0">
        <w:rPr>
          <w:sz w:val="24"/>
        </w:rPr>
        <w:t xml:space="preserve">Internet </w:t>
      </w:r>
      <w:r w:rsidRPr="001846F5">
        <w:rPr>
          <w:sz w:val="24"/>
        </w:rPr>
        <w:t xml:space="preserve">IPS </w:t>
      </w:r>
      <w:r w:rsidR="00655E9E">
        <w:rPr>
          <w:sz w:val="24"/>
        </w:rPr>
        <w:t xml:space="preserve">and APS </w:t>
      </w:r>
      <w:r w:rsidRPr="001846F5">
        <w:rPr>
          <w:sz w:val="24"/>
        </w:rPr>
        <w:t xml:space="preserve">Follow-Up </w:t>
      </w:r>
      <w:r w:rsidR="00F963D9">
        <w:rPr>
          <w:sz w:val="24"/>
        </w:rPr>
        <w:t xml:space="preserve">interviews </w:t>
      </w:r>
      <w:r w:rsidRPr="001846F5">
        <w:rPr>
          <w:sz w:val="24"/>
        </w:rPr>
        <w:t xml:space="preserve">that would have been asked of those </w:t>
      </w:r>
      <w:r w:rsidR="00E3325D">
        <w:rPr>
          <w:sz w:val="24"/>
        </w:rPr>
        <w:t xml:space="preserve">who separated from an </w:t>
      </w:r>
      <w:r w:rsidR="00E3325D">
        <w:rPr>
          <w:sz w:val="24"/>
        </w:rPr>
        <w:lastRenderedPageBreak/>
        <w:t>employer</w:t>
      </w:r>
      <w:r w:rsidRPr="001846F5">
        <w:rPr>
          <w:sz w:val="24"/>
        </w:rPr>
        <w:t>.</w:t>
      </w:r>
    </w:p>
    <w:p w14:paraId="3F4A0CC5" w14:textId="77777777" w:rsidR="00F14252" w:rsidRPr="001846F5" w:rsidRDefault="00F14252" w:rsidP="001846F5">
      <w:pPr>
        <w:rPr>
          <w:sz w:val="24"/>
        </w:rPr>
      </w:pPr>
    </w:p>
    <w:p w14:paraId="4946326D" w14:textId="7F6EE97C" w:rsidR="001846F5" w:rsidRPr="007C5120" w:rsidRDefault="001846F5" w:rsidP="001846F5">
      <w:pPr>
        <w:rPr>
          <w:i/>
          <w:sz w:val="24"/>
        </w:rPr>
      </w:pPr>
      <w:r w:rsidRPr="007C5120">
        <w:rPr>
          <w:i/>
          <w:sz w:val="24"/>
        </w:rPr>
        <w:t xml:space="preserve">Other </w:t>
      </w:r>
      <w:r w:rsidR="00DF7B4B">
        <w:rPr>
          <w:i/>
          <w:sz w:val="24"/>
        </w:rPr>
        <w:t xml:space="preserve">Questions about </w:t>
      </w:r>
      <w:r w:rsidRPr="007C5120">
        <w:rPr>
          <w:i/>
          <w:sz w:val="24"/>
        </w:rPr>
        <w:t>Retirement Plan</w:t>
      </w:r>
      <w:r w:rsidR="00DF7B4B">
        <w:rPr>
          <w:i/>
          <w:sz w:val="24"/>
        </w:rPr>
        <w:t>s</w:t>
      </w:r>
    </w:p>
    <w:p w14:paraId="40F033C5" w14:textId="77777777" w:rsidR="00F14252" w:rsidRPr="001846F5" w:rsidRDefault="00F14252" w:rsidP="001846F5">
      <w:pPr>
        <w:rPr>
          <w:sz w:val="24"/>
        </w:rPr>
      </w:pPr>
    </w:p>
    <w:p w14:paraId="44D95A6C" w14:textId="7AAB2DE0" w:rsidR="001846F5" w:rsidRDefault="001846F5" w:rsidP="001846F5">
      <w:pPr>
        <w:rPr>
          <w:sz w:val="24"/>
        </w:rPr>
      </w:pPr>
      <w:r w:rsidRPr="001846F5">
        <w:rPr>
          <w:sz w:val="24"/>
        </w:rPr>
        <w:t xml:space="preserve">One commenter raised </w:t>
      </w:r>
      <w:r w:rsidR="00354C8B">
        <w:rPr>
          <w:sz w:val="24"/>
        </w:rPr>
        <w:t xml:space="preserve">a series of </w:t>
      </w:r>
      <w:r w:rsidRPr="001846F5">
        <w:rPr>
          <w:sz w:val="24"/>
        </w:rPr>
        <w:t>concerns about questions asking about rollovers and closing of plans.  We have removed all of the existing questions about closed plans, closed accounts, and rollovers in the I</w:t>
      </w:r>
      <w:r w:rsidR="003B3000">
        <w:rPr>
          <w:sz w:val="24"/>
        </w:rPr>
        <w:t>PS</w:t>
      </w:r>
      <w:r w:rsidR="00956ACE">
        <w:rPr>
          <w:sz w:val="24"/>
        </w:rPr>
        <w:t xml:space="preserve"> and </w:t>
      </w:r>
      <w:r w:rsidR="003B3000">
        <w:rPr>
          <w:sz w:val="24"/>
        </w:rPr>
        <w:t>APS interviews</w:t>
      </w:r>
      <w:r w:rsidRPr="001846F5">
        <w:rPr>
          <w:sz w:val="24"/>
        </w:rPr>
        <w:t>.  In response to this comment, as well as suggestions to improve elicitation of information on the disposition of defined benefit and defined contribution plan assets, we have added a new sequence of question</w:t>
      </w:r>
      <w:r w:rsidR="003B3000">
        <w:rPr>
          <w:sz w:val="24"/>
        </w:rPr>
        <w:t>s</w:t>
      </w:r>
      <w:r w:rsidRPr="001846F5">
        <w:rPr>
          <w:sz w:val="24"/>
        </w:rPr>
        <w:t xml:space="preserve"> to the AIS on </w:t>
      </w:r>
      <w:r w:rsidR="00A60BAD">
        <w:rPr>
          <w:sz w:val="24"/>
        </w:rPr>
        <w:t xml:space="preserve">the </w:t>
      </w:r>
      <w:r w:rsidRPr="001846F5">
        <w:rPr>
          <w:sz w:val="24"/>
        </w:rPr>
        <w:t>disposition of DB and DC plan assets.  This sequence concludes with two new, related questions about the purchase of an annuity.  Subsequent</w:t>
      </w:r>
      <w:r w:rsidR="00024019">
        <w:rPr>
          <w:sz w:val="24"/>
        </w:rPr>
        <w:t xml:space="preserve"> AIS</w:t>
      </w:r>
      <w:r w:rsidRPr="001846F5">
        <w:rPr>
          <w:sz w:val="24"/>
        </w:rPr>
        <w:t xml:space="preserve"> questions about possible changes to retirement accounts</w:t>
      </w:r>
      <w:r w:rsidR="00024019">
        <w:rPr>
          <w:sz w:val="24"/>
        </w:rPr>
        <w:t xml:space="preserve"> previously</w:t>
      </w:r>
      <w:r w:rsidR="00131EC0">
        <w:rPr>
          <w:sz w:val="24"/>
        </w:rPr>
        <w:t xml:space="preserve"> included “T</w:t>
      </w:r>
      <w:r w:rsidRPr="001846F5">
        <w:rPr>
          <w:sz w:val="24"/>
        </w:rPr>
        <w:t xml:space="preserve">ook out a loan” and “Withdrew funds from retirement savings account(s)” as response options.  These items were removed, because the preceding questions on asset disposition explicitly ask about </w:t>
      </w:r>
      <w:proofErr w:type="gramStart"/>
      <w:r w:rsidRPr="001846F5">
        <w:rPr>
          <w:sz w:val="24"/>
        </w:rPr>
        <w:t>this possibilities</w:t>
      </w:r>
      <w:proofErr w:type="gramEnd"/>
      <w:r w:rsidR="008C1374">
        <w:rPr>
          <w:sz w:val="24"/>
        </w:rPr>
        <w:t>.</w:t>
      </w:r>
    </w:p>
    <w:p w14:paraId="7B8C8509" w14:textId="77777777" w:rsidR="00BC49CB" w:rsidRDefault="00BC49CB" w:rsidP="001846F5">
      <w:pPr>
        <w:rPr>
          <w:sz w:val="24"/>
        </w:rPr>
      </w:pPr>
    </w:p>
    <w:p w14:paraId="1479E07D" w14:textId="7281563E" w:rsidR="00F11D13" w:rsidRPr="00BB3CDA" w:rsidRDefault="00BC49CB" w:rsidP="001846F5">
      <w:pPr>
        <w:rPr>
          <w:sz w:val="24"/>
        </w:rPr>
      </w:pPr>
      <w:r w:rsidRPr="00BC49CB">
        <w:rPr>
          <w:sz w:val="24"/>
        </w:rPr>
        <w:t>One commenter identified some ambiguity with respect to</w:t>
      </w:r>
      <w:r w:rsidR="00906F83">
        <w:rPr>
          <w:sz w:val="24"/>
        </w:rPr>
        <w:t xml:space="preserve"> questions about</w:t>
      </w:r>
      <w:r w:rsidRPr="00BC49CB">
        <w:rPr>
          <w:sz w:val="24"/>
        </w:rPr>
        <w:t xml:space="preserve"> IRA contributions</w:t>
      </w:r>
      <w:r w:rsidR="00906F83" w:rsidRPr="00906F83">
        <w:rPr>
          <w:sz w:val="24"/>
        </w:rPr>
        <w:t xml:space="preserve"> </w:t>
      </w:r>
      <w:r w:rsidR="00906F83">
        <w:rPr>
          <w:sz w:val="24"/>
        </w:rPr>
        <w:t xml:space="preserve">asked in </w:t>
      </w:r>
      <w:r w:rsidR="00906F83" w:rsidRPr="00BC49CB">
        <w:rPr>
          <w:sz w:val="24"/>
        </w:rPr>
        <w:t xml:space="preserve">the </w:t>
      </w:r>
      <w:r w:rsidR="00906F83">
        <w:rPr>
          <w:sz w:val="24"/>
        </w:rPr>
        <w:t xml:space="preserve">Internet </w:t>
      </w:r>
      <w:r w:rsidR="00906F83" w:rsidRPr="00BC49CB">
        <w:rPr>
          <w:sz w:val="24"/>
        </w:rPr>
        <w:t xml:space="preserve">IPS </w:t>
      </w:r>
      <w:r w:rsidR="00906F83">
        <w:rPr>
          <w:sz w:val="24"/>
        </w:rPr>
        <w:t>and APS Baseline, as well as the Mail/Telephone IPS and AP.   W</w:t>
      </w:r>
      <w:r w:rsidRPr="00BC49CB">
        <w:rPr>
          <w:sz w:val="24"/>
        </w:rPr>
        <w:t>e have revised this sequence of questions</w:t>
      </w:r>
      <w:r w:rsidR="00975638">
        <w:rPr>
          <w:sz w:val="24"/>
        </w:rPr>
        <w:t xml:space="preserve"> in accordance with the recommendations</w:t>
      </w:r>
      <w:r w:rsidRPr="00BC49CB">
        <w:rPr>
          <w:sz w:val="24"/>
        </w:rPr>
        <w:t xml:space="preserve">. </w:t>
      </w:r>
      <w:r>
        <w:rPr>
          <w:sz w:val="24"/>
        </w:rPr>
        <w:t xml:space="preserve"> </w:t>
      </w:r>
      <w:r w:rsidRPr="00BC49CB">
        <w:rPr>
          <w:sz w:val="24"/>
        </w:rPr>
        <w:t xml:space="preserve">We have also generally followed suggestions to replace question text concerning “stock mutual funds” with more generic text concerning “stock investment funds” in the IPS </w:t>
      </w:r>
      <w:r w:rsidR="00655E9E">
        <w:rPr>
          <w:sz w:val="24"/>
        </w:rPr>
        <w:t xml:space="preserve">and APS </w:t>
      </w:r>
      <w:r w:rsidRPr="00BC49CB">
        <w:rPr>
          <w:sz w:val="24"/>
        </w:rPr>
        <w:t>Baseline interview</w:t>
      </w:r>
      <w:r w:rsidR="00655E9E">
        <w:rPr>
          <w:sz w:val="24"/>
        </w:rPr>
        <w:t>s</w:t>
      </w:r>
      <w:r w:rsidRPr="00BC49CB">
        <w:rPr>
          <w:sz w:val="24"/>
        </w:rPr>
        <w:t>.  One commenter raised concerns about use of the phrase “retirement savings accounts,” which occurs in the AIS interview. We have replaced “retirement savings accounts” with “retirement saving</w:t>
      </w:r>
      <w:r>
        <w:rPr>
          <w:sz w:val="24"/>
        </w:rPr>
        <w:t>s or investment accounts” in on</w:t>
      </w:r>
      <w:r w:rsidRPr="00BC49CB">
        <w:rPr>
          <w:sz w:val="24"/>
        </w:rPr>
        <w:t>e case and “retirement account” in another.</w:t>
      </w:r>
    </w:p>
    <w:p w14:paraId="22A5E1B2" w14:textId="77777777" w:rsidR="00F11D13" w:rsidRDefault="00F11D13" w:rsidP="001846F5">
      <w:pPr>
        <w:rPr>
          <w:i/>
          <w:sz w:val="24"/>
        </w:rPr>
      </w:pPr>
    </w:p>
    <w:p w14:paraId="616EA7F7" w14:textId="77777777" w:rsidR="001846F5" w:rsidRPr="007C5120" w:rsidRDefault="001846F5" w:rsidP="001846F5">
      <w:pPr>
        <w:rPr>
          <w:i/>
          <w:sz w:val="24"/>
        </w:rPr>
      </w:pPr>
      <w:r w:rsidRPr="007C5120">
        <w:rPr>
          <w:i/>
          <w:sz w:val="24"/>
        </w:rPr>
        <w:t>Retirement Income</w:t>
      </w:r>
    </w:p>
    <w:p w14:paraId="79D6116C" w14:textId="77777777" w:rsidR="002F4D80" w:rsidRPr="001846F5" w:rsidRDefault="002F4D80" w:rsidP="001846F5">
      <w:pPr>
        <w:rPr>
          <w:sz w:val="24"/>
          <w:u w:val="single"/>
        </w:rPr>
      </w:pPr>
    </w:p>
    <w:p w14:paraId="6D2E9A8D" w14:textId="57FAEA7D" w:rsidR="001846F5" w:rsidRDefault="001846F5" w:rsidP="001846F5">
      <w:pPr>
        <w:rPr>
          <w:sz w:val="24"/>
        </w:rPr>
      </w:pPr>
      <w:r w:rsidRPr="001846F5">
        <w:rPr>
          <w:sz w:val="24"/>
        </w:rPr>
        <w:t>One comment</w:t>
      </w:r>
      <w:r w:rsidR="00774D15">
        <w:rPr>
          <w:sz w:val="24"/>
        </w:rPr>
        <w:t>er</w:t>
      </w:r>
      <w:r w:rsidRPr="001846F5">
        <w:rPr>
          <w:sz w:val="24"/>
        </w:rPr>
        <w:t xml:space="preserve"> recommended making improvements to the measurement of retirement income, including Social Security benefits and retirement benefits.  To begin, it is worth noting that the cited language and associated IPS and APS question on total family income about which one concern is raised are actually taken directly from the standard CPS question on total family income.</w:t>
      </w:r>
      <w:r w:rsidR="001977BD" w:rsidRPr="007C5120">
        <w:rPr>
          <w:rStyle w:val="FootnoteReference"/>
          <w:sz w:val="24"/>
          <w:vertAlign w:val="superscript"/>
        </w:rPr>
        <w:footnoteReference w:id="15"/>
      </w:r>
      <w:r w:rsidRPr="001846F5">
        <w:rPr>
          <w:sz w:val="24"/>
        </w:rPr>
        <w:t xml:space="preserve">  Further, the Internet IPS </w:t>
      </w:r>
      <w:r w:rsidR="00655E9E">
        <w:rPr>
          <w:sz w:val="24"/>
        </w:rPr>
        <w:t xml:space="preserve">and APS </w:t>
      </w:r>
      <w:r w:rsidRPr="001846F5">
        <w:rPr>
          <w:sz w:val="24"/>
        </w:rPr>
        <w:t>Follow-Up int</w:t>
      </w:r>
      <w:r w:rsidR="001977BD">
        <w:rPr>
          <w:sz w:val="24"/>
        </w:rPr>
        <w:t>erview</w:t>
      </w:r>
      <w:r w:rsidR="00655E9E">
        <w:rPr>
          <w:sz w:val="24"/>
        </w:rPr>
        <w:t>s explicitly measure</w:t>
      </w:r>
      <w:r w:rsidR="001977BD">
        <w:rPr>
          <w:sz w:val="24"/>
        </w:rPr>
        <w:t xml:space="preserve"> Social Security benefit income and retirement benefit income</w:t>
      </w:r>
      <w:r w:rsidRPr="001846F5">
        <w:rPr>
          <w:sz w:val="24"/>
        </w:rPr>
        <w:t xml:space="preserve">, separately for the respondent and for the spouse/partner.  The Internet IPS </w:t>
      </w:r>
      <w:r w:rsidR="00B60B9A">
        <w:rPr>
          <w:sz w:val="24"/>
        </w:rPr>
        <w:t xml:space="preserve">and APS </w:t>
      </w:r>
      <w:r w:rsidRPr="001846F5">
        <w:rPr>
          <w:sz w:val="24"/>
        </w:rPr>
        <w:t>Follow-Up interview</w:t>
      </w:r>
      <w:r w:rsidR="00B60B9A">
        <w:rPr>
          <w:sz w:val="24"/>
        </w:rPr>
        <w:t>s also elicit</w:t>
      </w:r>
      <w:r w:rsidRPr="001846F5">
        <w:rPr>
          <w:sz w:val="24"/>
        </w:rPr>
        <w:t xml:space="preserve"> respondent expectations of future Social Security benefit income and of future pension income.</w:t>
      </w:r>
    </w:p>
    <w:p w14:paraId="59FEF3F7" w14:textId="77777777" w:rsidR="00F14252" w:rsidRPr="001846F5" w:rsidRDefault="00F14252" w:rsidP="001846F5">
      <w:pPr>
        <w:rPr>
          <w:sz w:val="24"/>
        </w:rPr>
      </w:pPr>
    </w:p>
    <w:p w14:paraId="2FEBFBAD" w14:textId="36BC36BF" w:rsidR="001846F5" w:rsidRDefault="001846F5" w:rsidP="001846F5">
      <w:pPr>
        <w:rPr>
          <w:sz w:val="24"/>
        </w:rPr>
      </w:pPr>
      <w:r w:rsidRPr="001846F5">
        <w:rPr>
          <w:sz w:val="24"/>
        </w:rPr>
        <w:t xml:space="preserve">We have now added supplemental </w:t>
      </w:r>
      <w:r w:rsidR="00631B7B">
        <w:rPr>
          <w:sz w:val="24"/>
        </w:rPr>
        <w:t xml:space="preserve">questions to Internet IPS </w:t>
      </w:r>
      <w:r w:rsidR="00592FE8">
        <w:rPr>
          <w:sz w:val="24"/>
        </w:rPr>
        <w:t xml:space="preserve">and APS </w:t>
      </w:r>
      <w:r w:rsidR="00631B7B">
        <w:rPr>
          <w:sz w:val="24"/>
        </w:rPr>
        <w:t>Follow-Up</w:t>
      </w:r>
      <w:r w:rsidRPr="001846F5">
        <w:rPr>
          <w:sz w:val="24"/>
        </w:rPr>
        <w:t xml:space="preserve"> </w:t>
      </w:r>
      <w:r w:rsidR="00592FE8">
        <w:rPr>
          <w:sz w:val="24"/>
        </w:rPr>
        <w:t xml:space="preserve">interviews </w:t>
      </w:r>
      <w:r w:rsidRPr="001846F5">
        <w:rPr>
          <w:sz w:val="24"/>
        </w:rPr>
        <w:t>concerning initial receipt of Social Security benefits and of pension income.</w:t>
      </w:r>
      <w:r w:rsidR="00310F54">
        <w:rPr>
          <w:sz w:val="24"/>
        </w:rPr>
        <w:t xml:space="preserve">  The new sequence </w:t>
      </w:r>
      <w:r w:rsidR="00310F54">
        <w:rPr>
          <w:sz w:val="24"/>
        </w:rPr>
        <w:lastRenderedPageBreak/>
        <w:t>of AIS questions</w:t>
      </w:r>
      <w:r w:rsidR="00A60BAD">
        <w:rPr>
          <w:sz w:val="24"/>
        </w:rPr>
        <w:t xml:space="preserve"> on the disposition of DB and DC plan assets </w:t>
      </w:r>
      <w:r w:rsidR="00310F54">
        <w:rPr>
          <w:sz w:val="24"/>
        </w:rPr>
        <w:t>includes ques</w:t>
      </w:r>
      <w:r w:rsidR="00A60BAD">
        <w:rPr>
          <w:sz w:val="24"/>
        </w:rPr>
        <w:t>tions about whether the individual was</w:t>
      </w:r>
      <w:r w:rsidR="00310F54">
        <w:rPr>
          <w:sz w:val="24"/>
        </w:rPr>
        <w:t xml:space="preserve"> given the option to choose</w:t>
      </w:r>
      <w:r w:rsidR="00A60BAD">
        <w:rPr>
          <w:sz w:val="24"/>
        </w:rPr>
        <w:t xml:space="preserve"> between taking pension benefits as a lump sum or as periodic monthly income and, if so,</w:t>
      </w:r>
      <w:r w:rsidR="00031B3D">
        <w:rPr>
          <w:sz w:val="24"/>
        </w:rPr>
        <w:t xml:space="preserve"> about </w:t>
      </w:r>
      <w:r w:rsidR="003310D6">
        <w:rPr>
          <w:sz w:val="24"/>
        </w:rPr>
        <w:t xml:space="preserve">choices </w:t>
      </w:r>
      <w:r w:rsidR="00A60BAD">
        <w:rPr>
          <w:sz w:val="24"/>
        </w:rPr>
        <w:t xml:space="preserve">made. </w:t>
      </w:r>
      <w:r w:rsidR="00310F54">
        <w:rPr>
          <w:sz w:val="24"/>
        </w:rPr>
        <w:t xml:space="preserve"> </w:t>
      </w:r>
      <w:r w:rsidRPr="001846F5">
        <w:rPr>
          <w:sz w:val="24"/>
        </w:rPr>
        <w:t xml:space="preserve">New questions have also been added to the AIS regarding recent changes to </w:t>
      </w:r>
      <w:r w:rsidR="00031B3D">
        <w:rPr>
          <w:sz w:val="24"/>
        </w:rPr>
        <w:t xml:space="preserve">DB </w:t>
      </w:r>
      <w:r w:rsidRPr="001846F5">
        <w:rPr>
          <w:sz w:val="24"/>
        </w:rPr>
        <w:t>pension plans of the respondent and of the spouse, including onset of pension benefit receipt, freezing of plans, and termination of plans.</w:t>
      </w:r>
    </w:p>
    <w:p w14:paraId="18DA8765" w14:textId="77777777" w:rsidR="00F14252" w:rsidRPr="001846F5" w:rsidRDefault="00F14252" w:rsidP="001846F5">
      <w:pPr>
        <w:rPr>
          <w:sz w:val="24"/>
        </w:rPr>
      </w:pPr>
    </w:p>
    <w:p w14:paraId="0B22D76B" w14:textId="77777777" w:rsidR="001846F5" w:rsidRPr="007C5120" w:rsidRDefault="001846F5" w:rsidP="001846F5">
      <w:pPr>
        <w:rPr>
          <w:i/>
          <w:sz w:val="24"/>
        </w:rPr>
      </w:pPr>
      <w:r w:rsidRPr="007C5120">
        <w:rPr>
          <w:i/>
          <w:sz w:val="24"/>
        </w:rPr>
        <w:t>Financial Advice and Information</w:t>
      </w:r>
    </w:p>
    <w:p w14:paraId="24675CBD" w14:textId="77777777" w:rsidR="002F4D80" w:rsidRPr="001846F5" w:rsidRDefault="002F4D80" w:rsidP="001846F5">
      <w:pPr>
        <w:rPr>
          <w:sz w:val="24"/>
          <w:u w:val="single"/>
        </w:rPr>
      </w:pPr>
    </w:p>
    <w:p w14:paraId="52AEE6DB" w14:textId="21D76B0F" w:rsidR="001846F5" w:rsidRPr="001846F5" w:rsidRDefault="001846F5" w:rsidP="001846F5">
      <w:pPr>
        <w:rPr>
          <w:sz w:val="24"/>
        </w:rPr>
      </w:pPr>
      <w:r w:rsidRPr="001846F5">
        <w:rPr>
          <w:sz w:val="24"/>
        </w:rPr>
        <w:t>Two commenters suggested that revisions be made to questions concerning the types and sources of financial advice</w:t>
      </w:r>
      <w:r w:rsidR="00E464C7">
        <w:rPr>
          <w:sz w:val="24"/>
        </w:rPr>
        <w:t xml:space="preserve"> by expanding the list of types of advice and by distinguishing between information and advice</w:t>
      </w:r>
      <w:r w:rsidRPr="001846F5">
        <w:rPr>
          <w:sz w:val="24"/>
        </w:rPr>
        <w:t xml:space="preserve">.  In response to these comments, we have made systematic revisions in all questionnaires so that the questions now refer to financial “information” rather than “advice.”  </w:t>
      </w:r>
    </w:p>
    <w:p w14:paraId="1ADB483C" w14:textId="6ACE5BD1" w:rsidR="001846F5" w:rsidRDefault="001846F5" w:rsidP="001846F5">
      <w:pPr>
        <w:rPr>
          <w:sz w:val="24"/>
        </w:rPr>
      </w:pPr>
      <w:r w:rsidRPr="001846F5">
        <w:rPr>
          <w:sz w:val="24"/>
        </w:rPr>
        <w:t>We have also expanded and clarified the list of sources of this financial information, but</w:t>
      </w:r>
      <w:r w:rsidR="0050156E">
        <w:rPr>
          <w:sz w:val="24"/>
        </w:rPr>
        <w:t>,</w:t>
      </w:r>
      <w:r w:rsidRPr="001846F5">
        <w:rPr>
          <w:sz w:val="24"/>
        </w:rPr>
        <w:t xml:space="preserve"> where appropriate, an abbreviated list is employed.  For example, financial advice/information not related to retirement is of less interest than is such information related to retirement.</w:t>
      </w:r>
      <w:r w:rsidR="00512343">
        <w:rPr>
          <w:sz w:val="24"/>
        </w:rPr>
        <w:t xml:space="preserve"> </w:t>
      </w:r>
      <w:r w:rsidRPr="001846F5">
        <w:rPr>
          <w:sz w:val="24"/>
        </w:rPr>
        <w:t xml:space="preserve"> Therefore, to decrease respondent burden, questions regarding sources of financial information/advice for non-retirement financial decisions use an abbreviated response list.  The potential difficulty of giving accurate responses about financial information received by the spouse/partner also motivates the use of an abbreviated list for the spouse/partner questions.</w:t>
      </w:r>
    </w:p>
    <w:p w14:paraId="1288F15B" w14:textId="77777777" w:rsidR="00F14252" w:rsidRPr="001846F5" w:rsidRDefault="00F14252" w:rsidP="001846F5">
      <w:pPr>
        <w:rPr>
          <w:sz w:val="24"/>
        </w:rPr>
      </w:pPr>
    </w:p>
    <w:p w14:paraId="696EF61E" w14:textId="708F425F" w:rsidR="001846F5" w:rsidRDefault="001846F5" w:rsidP="001846F5">
      <w:pPr>
        <w:rPr>
          <w:sz w:val="24"/>
        </w:rPr>
      </w:pPr>
      <w:r w:rsidRPr="001846F5">
        <w:rPr>
          <w:sz w:val="24"/>
        </w:rPr>
        <w:t>Two commenters suggested paying more attention to fees for financial advice and information.  Suggestions were al</w:t>
      </w:r>
      <w:r w:rsidR="0080511B">
        <w:rPr>
          <w:sz w:val="24"/>
        </w:rPr>
        <w:t>so made to collect information on the</w:t>
      </w:r>
      <w:r w:rsidRPr="001846F5">
        <w:rPr>
          <w:sz w:val="24"/>
        </w:rPr>
        <w:t xml:space="preserve"> provision of advice via an employer-provided retirement plan.  We have added questions eliciting “Who pays for” each source of personalized financial information related to retirement reported by the respondent to the </w:t>
      </w:r>
      <w:r w:rsidR="007E6419">
        <w:rPr>
          <w:sz w:val="24"/>
        </w:rPr>
        <w:t xml:space="preserve">Internet </w:t>
      </w:r>
      <w:r w:rsidRPr="001846F5">
        <w:rPr>
          <w:sz w:val="24"/>
        </w:rPr>
        <w:t xml:space="preserve">IPS </w:t>
      </w:r>
      <w:r w:rsidR="00303C22">
        <w:rPr>
          <w:sz w:val="24"/>
        </w:rPr>
        <w:t xml:space="preserve">and APS </w:t>
      </w:r>
      <w:r w:rsidRPr="001846F5">
        <w:rPr>
          <w:sz w:val="24"/>
        </w:rPr>
        <w:t>Baseline interview</w:t>
      </w:r>
      <w:r w:rsidR="00303C22">
        <w:rPr>
          <w:sz w:val="24"/>
        </w:rPr>
        <w:t>s</w:t>
      </w:r>
      <w:r w:rsidRPr="001846F5">
        <w:rPr>
          <w:sz w:val="24"/>
        </w:rPr>
        <w:t>.  We have also added questions on whether the current retirement plan of the respondent and of the spouse/partner offers the option to receive financial advice, and on the types of advice that are offered by the plan.  In response to a related comment, we also added questions on how investment choices are made in this plan.</w:t>
      </w:r>
    </w:p>
    <w:p w14:paraId="2A9FE45C" w14:textId="77777777" w:rsidR="00F14252" w:rsidRPr="001846F5" w:rsidRDefault="00F14252" w:rsidP="001846F5">
      <w:pPr>
        <w:rPr>
          <w:sz w:val="24"/>
        </w:rPr>
      </w:pPr>
    </w:p>
    <w:p w14:paraId="60E4D24F" w14:textId="7D1F1D76" w:rsidR="001846F5" w:rsidRDefault="001846F5" w:rsidP="001846F5">
      <w:pPr>
        <w:rPr>
          <w:sz w:val="24"/>
        </w:rPr>
      </w:pPr>
      <w:r w:rsidRPr="001846F5">
        <w:rPr>
          <w:sz w:val="24"/>
        </w:rPr>
        <w:t xml:space="preserve">One commenter expressed considerable interest in fees paid and how they relate to an individual’s understanding of fees received by an </w:t>
      </w:r>
      <w:r w:rsidR="00407ED4">
        <w:rPr>
          <w:sz w:val="24"/>
        </w:rPr>
        <w:t>adviser</w:t>
      </w:r>
      <w:r w:rsidRPr="001846F5">
        <w:rPr>
          <w:sz w:val="24"/>
        </w:rPr>
        <w:t xml:space="preserve"> and perceptions of the quality of this advice and potential conflicts of interest.   </w:t>
      </w:r>
      <w:r w:rsidR="00BE16FF">
        <w:rPr>
          <w:sz w:val="24"/>
        </w:rPr>
        <w:t xml:space="preserve">As mentioned above, </w:t>
      </w:r>
      <w:r w:rsidR="000B316C">
        <w:rPr>
          <w:sz w:val="24"/>
        </w:rPr>
        <w:t xml:space="preserve">we have added </w:t>
      </w:r>
      <w:r w:rsidR="00BE16FF">
        <w:rPr>
          <w:sz w:val="24"/>
        </w:rPr>
        <w:t>questions on fees paid for personalized financial information related to retirement.</w:t>
      </w:r>
      <w:r w:rsidRPr="001846F5">
        <w:rPr>
          <w:sz w:val="24"/>
        </w:rPr>
        <w:t xml:space="preserve">  To address perceptions of the quality of the advice, we have added </w:t>
      </w:r>
      <w:r w:rsidR="004064DC">
        <w:rPr>
          <w:sz w:val="24"/>
        </w:rPr>
        <w:t xml:space="preserve">questions </w:t>
      </w:r>
      <w:r w:rsidRPr="001846F5">
        <w:rPr>
          <w:sz w:val="24"/>
        </w:rPr>
        <w:t>to the AIS on plans to follow the advice received and on steps taken this far.</w:t>
      </w:r>
      <w:r w:rsidR="00B0207F" w:rsidRPr="007C5120">
        <w:rPr>
          <w:rStyle w:val="FootnoteReference"/>
          <w:sz w:val="24"/>
          <w:vertAlign w:val="superscript"/>
        </w:rPr>
        <w:footnoteReference w:id="16"/>
      </w:r>
      <w:r w:rsidRPr="007C5120">
        <w:rPr>
          <w:sz w:val="24"/>
          <w:vertAlign w:val="superscript"/>
        </w:rPr>
        <w:t xml:space="preserve"> </w:t>
      </w:r>
    </w:p>
    <w:p w14:paraId="53086F05" w14:textId="7D266224" w:rsidR="00C03AAF" w:rsidRDefault="00C03AAF">
      <w:pPr>
        <w:widowControl/>
        <w:autoSpaceDE/>
        <w:autoSpaceDN/>
        <w:adjustRightInd/>
        <w:rPr>
          <w:sz w:val="24"/>
        </w:rPr>
      </w:pPr>
      <w:r>
        <w:rPr>
          <w:sz w:val="24"/>
        </w:rPr>
        <w:br w:type="page"/>
      </w:r>
    </w:p>
    <w:p w14:paraId="448FF072" w14:textId="77777777" w:rsidR="00F14252" w:rsidRPr="001846F5" w:rsidRDefault="00F14252" w:rsidP="001846F5">
      <w:pPr>
        <w:rPr>
          <w:sz w:val="24"/>
        </w:rPr>
      </w:pPr>
    </w:p>
    <w:p w14:paraId="518CC808" w14:textId="77777777" w:rsidR="001846F5" w:rsidRPr="007C5120" w:rsidRDefault="001846F5" w:rsidP="001846F5">
      <w:pPr>
        <w:rPr>
          <w:i/>
          <w:sz w:val="24"/>
        </w:rPr>
      </w:pPr>
      <w:r w:rsidRPr="007C5120">
        <w:rPr>
          <w:i/>
          <w:sz w:val="24"/>
        </w:rPr>
        <w:t>Retirement Planning</w:t>
      </w:r>
    </w:p>
    <w:p w14:paraId="47497260" w14:textId="77777777" w:rsidR="00FB5D5F" w:rsidRPr="001846F5" w:rsidRDefault="00FB5D5F" w:rsidP="001846F5">
      <w:pPr>
        <w:rPr>
          <w:sz w:val="24"/>
          <w:u w:val="single"/>
        </w:rPr>
      </w:pPr>
    </w:p>
    <w:p w14:paraId="20E2BFE9" w14:textId="77777777" w:rsidR="001846F5" w:rsidRDefault="001846F5" w:rsidP="001846F5">
      <w:pPr>
        <w:rPr>
          <w:sz w:val="24"/>
        </w:rPr>
      </w:pPr>
      <w:r w:rsidRPr="001846F5">
        <w:rPr>
          <w:sz w:val="24"/>
        </w:rPr>
        <w:t>Two commenters drew attention to obstacles to saving enough for retirement.  We have added a question on what keeps you from saving more for retirement.  As suggested by a commenter, we have also revised the wording of retirement planning questions to accommodate those households in which someone is already retired.</w:t>
      </w:r>
    </w:p>
    <w:p w14:paraId="2F422782" w14:textId="77777777" w:rsidR="00F14252" w:rsidRPr="001846F5" w:rsidRDefault="00F14252" w:rsidP="001846F5">
      <w:pPr>
        <w:rPr>
          <w:sz w:val="24"/>
        </w:rPr>
      </w:pPr>
    </w:p>
    <w:p w14:paraId="35E921CA" w14:textId="77777777" w:rsidR="001846F5" w:rsidRPr="007C5120" w:rsidRDefault="001846F5" w:rsidP="001846F5">
      <w:pPr>
        <w:rPr>
          <w:i/>
          <w:sz w:val="24"/>
        </w:rPr>
      </w:pPr>
      <w:r w:rsidRPr="007C5120">
        <w:rPr>
          <w:i/>
          <w:sz w:val="24"/>
        </w:rPr>
        <w:t>Hypothetical Choices</w:t>
      </w:r>
    </w:p>
    <w:p w14:paraId="67B5ACDB" w14:textId="77777777" w:rsidR="00FB5D5F" w:rsidRPr="001846F5" w:rsidRDefault="00FB5D5F" w:rsidP="001846F5">
      <w:pPr>
        <w:rPr>
          <w:sz w:val="24"/>
          <w:u w:val="single"/>
        </w:rPr>
      </w:pPr>
    </w:p>
    <w:p w14:paraId="7388DB6B" w14:textId="2B3E0C0E" w:rsidR="007747DC" w:rsidRDefault="001846F5" w:rsidP="001846F5">
      <w:pPr>
        <w:rPr>
          <w:sz w:val="24"/>
        </w:rPr>
      </w:pPr>
      <w:r w:rsidRPr="001846F5">
        <w:rPr>
          <w:sz w:val="24"/>
        </w:rPr>
        <w:t xml:space="preserve">One commenter also raises serious concerns about </w:t>
      </w:r>
      <w:r w:rsidR="007B269F">
        <w:rPr>
          <w:sz w:val="24"/>
        </w:rPr>
        <w:t>the insights to be gleaned from responses to</w:t>
      </w:r>
      <w:r w:rsidR="007B269F" w:rsidRPr="001846F5">
        <w:rPr>
          <w:sz w:val="24"/>
        </w:rPr>
        <w:t xml:space="preserve"> </w:t>
      </w:r>
      <w:r w:rsidRPr="001846F5">
        <w:rPr>
          <w:sz w:val="24"/>
        </w:rPr>
        <w:t>the hypothetical choice questions on investment choices and risk</w:t>
      </w:r>
      <w:r w:rsidR="007B269F">
        <w:rPr>
          <w:sz w:val="24"/>
        </w:rPr>
        <w:t>.</w:t>
      </w:r>
      <w:r w:rsidRPr="001846F5">
        <w:rPr>
          <w:sz w:val="24"/>
        </w:rPr>
        <w:t xml:space="preserve"> </w:t>
      </w:r>
      <w:r w:rsidR="007B269F">
        <w:rPr>
          <w:sz w:val="24"/>
        </w:rPr>
        <w:t xml:space="preserve"> </w:t>
      </w:r>
      <w:r w:rsidRPr="001846F5">
        <w:rPr>
          <w:sz w:val="24"/>
        </w:rPr>
        <w:t>These questions are designed to collect information on the risk preferences of respondents.  Such data may be used to understand how risk preferences combine with other factors—e.g., expectations, time preferences, income and wealth, household demographics, and financial advice—to determine observed behaviors, especially those arising from retirement investment decision making</w:t>
      </w:r>
      <w:r w:rsidR="007747DC">
        <w:rPr>
          <w:sz w:val="24"/>
        </w:rPr>
        <w:t xml:space="preserve"> (</w:t>
      </w:r>
      <w:proofErr w:type="spellStart"/>
      <w:r w:rsidR="007747DC">
        <w:rPr>
          <w:sz w:val="24"/>
        </w:rPr>
        <w:t>Manski</w:t>
      </w:r>
      <w:proofErr w:type="spellEnd"/>
      <w:r w:rsidR="007747DC">
        <w:rPr>
          <w:sz w:val="24"/>
        </w:rPr>
        <w:t>, 2004</w:t>
      </w:r>
      <w:r w:rsidR="00F74B80">
        <w:rPr>
          <w:sz w:val="24"/>
        </w:rPr>
        <w:t xml:space="preserve">; </w:t>
      </w:r>
      <w:proofErr w:type="spellStart"/>
      <w:r w:rsidR="00F74B80">
        <w:rPr>
          <w:sz w:val="24"/>
        </w:rPr>
        <w:t>Kapteyn</w:t>
      </w:r>
      <w:proofErr w:type="spellEnd"/>
      <w:r w:rsidR="00F74B80">
        <w:rPr>
          <w:sz w:val="24"/>
        </w:rPr>
        <w:t xml:space="preserve"> and </w:t>
      </w:r>
      <w:proofErr w:type="spellStart"/>
      <w:r w:rsidR="00F74B80">
        <w:rPr>
          <w:sz w:val="24"/>
        </w:rPr>
        <w:t>Teppa</w:t>
      </w:r>
      <w:proofErr w:type="spellEnd"/>
      <w:r w:rsidR="00F74B80">
        <w:rPr>
          <w:sz w:val="24"/>
        </w:rPr>
        <w:t>, 2011</w:t>
      </w:r>
      <w:r w:rsidR="007747DC">
        <w:rPr>
          <w:sz w:val="24"/>
        </w:rPr>
        <w:t>)</w:t>
      </w:r>
      <w:r w:rsidRPr="001846F5">
        <w:rPr>
          <w:sz w:val="24"/>
        </w:rPr>
        <w:t xml:space="preserve">. </w:t>
      </w:r>
    </w:p>
    <w:p w14:paraId="63E96D5E" w14:textId="77777777" w:rsidR="007747DC" w:rsidRDefault="007747DC" w:rsidP="001846F5">
      <w:pPr>
        <w:rPr>
          <w:sz w:val="24"/>
        </w:rPr>
      </w:pPr>
    </w:p>
    <w:p w14:paraId="70A7A98A" w14:textId="3000A799" w:rsidR="001846F5" w:rsidRDefault="001846F5" w:rsidP="001846F5">
      <w:pPr>
        <w:rPr>
          <w:sz w:val="24"/>
        </w:rPr>
      </w:pPr>
      <w:r w:rsidRPr="001846F5">
        <w:rPr>
          <w:sz w:val="24"/>
        </w:rPr>
        <w:t>The proposed questions adopt the standard approach in surveys that elicit preferences by asking respondents to make a sequence of hypothetical choices.   The concern that is voiced arises because the commenter’s understanding of “all else equal” differs from the intended understanding.   While we do not anticipate that the commenter’s concern will actually arise in a substantial way, the commenter has identified a generic concern about hypothetical choice questions that we share.  We will be attentive to this concern in the pretests.  Experienced researchers should be cognizant of this type of concern when using data on hypothetical choices.</w:t>
      </w:r>
      <w:r w:rsidR="00952445" w:rsidRPr="007C5120">
        <w:rPr>
          <w:rStyle w:val="FootnoteReference"/>
          <w:sz w:val="24"/>
          <w:vertAlign w:val="superscript"/>
        </w:rPr>
        <w:footnoteReference w:id="17"/>
      </w:r>
    </w:p>
    <w:p w14:paraId="196F84B0" w14:textId="77777777" w:rsidR="00282D0D" w:rsidRPr="001846F5" w:rsidRDefault="00282D0D" w:rsidP="001846F5">
      <w:pPr>
        <w:rPr>
          <w:sz w:val="24"/>
        </w:rPr>
      </w:pPr>
    </w:p>
    <w:p w14:paraId="56DD7070" w14:textId="6948DF42" w:rsidR="00D70E56" w:rsidRDefault="00D70E56" w:rsidP="00D70E56">
      <w:pPr>
        <w:rPr>
          <w:sz w:val="24"/>
        </w:rPr>
      </w:pPr>
      <w:r>
        <w:rPr>
          <w:sz w:val="24"/>
        </w:rPr>
        <w:t xml:space="preserve">We also received a suggestion to elicit </w:t>
      </w:r>
      <w:r w:rsidRPr="001846F5">
        <w:rPr>
          <w:sz w:val="24"/>
        </w:rPr>
        <w:t>hypothetical willingness</w:t>
      </w:r>
      <w:r w:rsidR="00C279BF">
        <w:rPr>
          <w:sz w:val="24"/>
        </w:rPr>
        <w:t xml:space="preserve"> to submit documents related to </w:t>
      </w:r>
      <w:r w:rsidRPr="001846F5">
        <w:rPr>
          <w:sz w:val="24"/>
        </w:rPr>
        <w:t>retirement plans</w:t>
      </w:r>
      <w:r>
        <w:rPr>
          <w:sz w:val="24"/>
        </w:rPr>
        <w:t xml:space="preserve"> and </w:t>
      </w:r>
      <w:r w:rsidR="00C279BF">
        <w:rPr>
          <w:sz w:val="24"/>
        </w:rPr>
        <w:t>to</w:t>
      </w:r>
      <w:r>
        <w:rPr>
          <w:sz w:val="24"/>
        </w:rPr>
        <w:t xml:space="preserve"> retirement information and advice received.  W</w:t>
      </w:r>
      <w:r w:rsidRPr="001846F5">
        <w:rPr>
          <w:sz w:val="24"/>
        </w:rPr>
        <w:t xml:space="preserve">e have </w:t>
      </w:r>
      <w:r>
        <w:rPr>
          <w:sz w:val="24"/>
        </w:rPr>
        <w:t>added such</w:t>
      </w:r>
      <w:r w:rsidRPr="001846F5">
        <w:rPr>
          <w:sz w:val="24"/>
        </w:rPr>
        <w:t xml:space="preserve"> question</w:t>
      </w:r>
      <w:r>
        <w:rPr>
          <w:sz w:val="24"/>
        </w:rPr>
        <w:t>s</w:t>
      </w:r>
      <w:r w:rsidRPr="001846F5">
        <w:rPr>
          <w:sz w:val="24"/>
        </w:rPr>
        <w:t xml:space="preserve"> </w:t>
      </w:r>
      <w:r>
        <w:rPr>
          <w:sz w:val="24"/>
        </w:rPr>
        <w:t>at the end of</w:t>
      </w:r>
      <w:r w:rsidRPr="00D70E56">
        <w:rPr>
          <w:sz w:val="24"/>
        </w:rPr>
        <w:t xml:space="preserve"> (</w:t>
      </w:r>
      <w:proofErr w:type="spellStart"/>
      <w:r w:rsidRPr="00D70E56">
        <w:rPr>
          <w:sz w:val="24"/>
        </w:rPr>
        <w:t>i</w:t>
      </w:r>
      <w:proofErr w:type="spellEnd"/>
      <w:r w:rsidRPr="00D70E56">
        <w:rPr>
          <w:sz w:val="24"/>
        </w:rPr>
        <w:t xml:space="preserve">) the Internet IPS </w:t>
      </w:r>
      <w:r w:rsidR="00C279BF">
        <w:rPr>
          <w:sz w:val="24"/>
        </w:rPr>
        <w:t xml:space="preserve">and APS </w:t>
      </w:r>
      <w:r w:rsidRPr="00D70E56">
        <w:rPr>
          <w:sz w:val="24"/>
        </w:rPr>
        <w:t>Follow-Up</w:t>
      </w:r>
      <w:r w:rsidR="00C279BF">
        <w:rPr>
          <w:sz w:val="24"/>
        </w:rPr>
        <w:t xml:space="preserve"> interviews </w:t>
      </w:r>
      <w:r w:rsidRPr="00D70E56">
        <w:rPr>
          <w:sz w:val="24"/>
        </w:rPr>
        <w:t xml:space="preserve">and the Mail/Telephone IPS </w:t>
      </w:r>
      <w:r w:rsidR="00C279BF">
        <w:rPr>
          <w:sz w:val="24"/>
        </w:rPr>
        <w:t xml:space="preserve">and APS interviews </w:t>
      </w:r>
      <w:r w:rsidRPr="00D70E56">
        <w:rPr>
          <w:sz w:val="24"/>
        </w:rPr>
        <w:t>and (ii) the Internet AIS and Mail/Telepho</w:t>
      </w:r>
      <w:r>
        <w:rPr>
          <w:sz w:val="24"/>
        </w:rPr>
        <w:t xml:space="preserve">ne AIS, respectively.  </w:t>
      </w:r>
      <w:r w:rsidRPr="001846F5">
        <w:rPr>
          <w:sz w:val="24"/>
        </w:rPr>
        <w:t>If respondents are found generally willing to provide such documents, then a potentially valuable source of supplemental data collection will have been identified.</w:t>
      </w:r>
    </w:p>
    <w:p w14:paraId="1C146E70" w14:textId="61081882" w:rsidR="00C03AAF" w:rsidRDefault="00C03AAF">
      <w:pPr>
        <w:widowControl/>
        <w:autoSpaceDE/>
        <w:autoSpaceDN/>
        <w:adjustRightInd/>
        <w:rPr>
          <w:sz w:val="24"/>
        </w:rPr>
      </w:pPr>
      <w:r>
        <w:rPr>
          <w:sz w:val="24"/>
        </w:rPr>
        <w:br w:type="page"/>
      </w:r>
    </w:p>
    <w:p w14:paraId="0EA11DEE" w14:textId="77777777" w:rsidR="00D70E56" w:rsidRDefault="00D70E56" w:rsidP="001846F5">
      <w:pPr>
        <w:rPr>
          <w:sz w:val="24"/>
        </w:rPr>
      </w:pPr>
    </w:p>
    <w:p w14:paraId="48507EE3" w14:textId="77777777" w:rsidR="001846F5" w:rsidRPr="007C5120" w:rsidRDefault="001846F5" w:rsidP="001846F5">
      <w:pPr>
        <w:rPr>
          <w:i/>
          <w:sz w:val="24"/>
        </w:rPr>
      </w:pPr>
      <w:r w:rsidRPr="007C5120">
        <w:rPr>
          <w:i/>
          <w:sz w:val="24"/>
        </w:rPr>
        <w:t>Expectations</w:t>
      </w:r>
    </w:p>
    <w:p w14:paraId="3FB5418C" w14:textId="77777777" w:rsidR="00FB5D5F" w:rsidRPr="001846F5" w:rsidRDefault="00FB5D5F" w:rsidP="001846F5">
      <w:pPr>
        <w:rPr>
          <w:sz w:val="24"/>
          <w:u w:val="single"/>
        </w:rPr>
      </w:pPr>
    </w:p>
    <w:p w14:paraId="5320B5FC" w14:textId="2C55112C" w:rsidR="001846F5" w:rsidRDefault="001846F5" w:rsidP="001846F5">
      <w:pPr>
        <w:rPr>
          <w:sz w:val="24"/>
        </w:rPr>
      </w:pPr>
      <w:r w:rsidRPr="001846F5">
        <w:rPr>
          <w:sz w:val="24"/>
        </w:rPr>
        <w:t>Two commenters expressed interest in collecting information on life expectancies.  The IPS and APS Baseline questionnaires elicit life expectancies in the form of survival probabilities.  Eliciting life expectancies in this form has become standard practice in national surveys since this approach was adopted in the HRS surveys, beginning with the first wave in 1992</w:t>
      </w:r>
      <w:r w:rsidR="00657E8C">
        <w:rPr>
          <w:sz w:val="24"/>
        </w:rPr>
        <w:t xml:space="preserve"> (Hurd and </w:t>
      </w:r>
      <w:proofErr w:type="spellStart"/>
      <w:r w:rsidR="00657E8C">
        <w:rPr>
          <w:sz w:val="24"/>
        </w:rPr>
        <w:t>McGarry</w:t>
      </w:r>
      <w:proofErr w:type="spellEnd"/>
      <w:r w:rsidR="00657E8C">
        <w:rPr>
          <w:sz w:val="24"/>
        </w:rPr>
        <w:t>, 2002)</w:t>
      </w:r>
      <w:r w:rsidRPr="001846F5">
        <w:rPr>
          <w:sz w:val="24"/>
        </w:rPr>
        <w:t xml:space="preserve">. </w:t>
      </w:r>
      <w:r w:rsidR="007A66EC">
        <w:rPr>
          <w:sz w:val="24"/>
        </w:rPr>
        <w:t xml:space="preserve"> </w:t>
      </w:r>
      <w:r w:rsidRPr="001846F5">
        <w:rPr>
          <w:sz w:val="24"/>
        </w:rPr>
        <w:t>However, to reduce respondent burden, the IPS and APS questions were only asked of respondents age 65 and older. We have dropped these age restrictions.</w:t>
      </w:r>
    </w:p>
    <w:p w14:paraId="6A60D252" w14:textId="77777777" w:rsidR="00F14252" w:rsidRPr="001846F5" w:rsidRDefault="00F14252" w:rsidP="001846F5">
      <w:pPr>
        <w:rPr>
          <w:sz w:val="24"/>
        </w:rPr>
      </w:pPr>
    </w:p>
    <w:p w14:paraId="28F2777D" w14:textId="6659D153" w:rsidR="001846F5" w:rsidRDefault="001846F5" w:rsidP="001846F5">
      <w:pPr>
        <w:rPr>
          <w:sz w:val="24"/>
        </w:rPr>
      </w:pPr>
      <w:r w:rsidRPr="001846F5">
        <w:rPr>
          <w:sz w:val="24"/>
        </w:rPr>
        <w:t>One commenter raises serious concerns about</w:t>
      </w:r>
      <w:r w:rsidR="007A66EC">
        <w:rPr>
          <w:sz w:val="24"/>
        </w:rPr>
        <w:t xml:space="preserve"> the insights to be gleaned from</w:t>
      </w:r>
      <w:r w:rsidR="00E51A18">
        <w:rPr>
          <w:sz w:val="24"/>
        </w:rPr>
        <w:t xml:space="preserve"> responses to</w:t>
      </w:r>
      <w:r w:rsidR="003B26C0">
        <w:rPr>
          <w:sz w:val="24"/>
        </w:rPr>
        <w:t xml:space="preserve"> IPS Follow-Up, APS</w:t>
      </w:r>
      <w:r w:rsidRPr="001846F5">
        <w:rPr>
          <w:sz w:val="24"/>
        </w:rPr>
        <w:t xml:space="preserve"> Follow-Up</w:t>
      </w:r>
      <w:r w:rsidR="00604910">
        <w:rPr>
          <w:sz w:val="24"/>
        </w:rPr>
        <w:t>,</w:t>
      </w:r>
      <w:r w:rsidRPr="001846F5">
        <w:rPr>
          <w:sz w:val="24"/>
        </w:rPr>
        <w:t xml:space="preserve"> </w:t>
      </w:r>
      <w:r w:rsidR="003B26C0">
        <w:rPr>
          <w:sz w:val="24"/>
        </w:rPr>
        <w:t xml:space="preserve">and </w:t>
      </w:r>
      <w:r w:rsidRPr="001846F5">
        <w:rPr>
          <w:sz w:val="24"/>
        </w:rPr>
        <w:t xml:space="preserve">AIS questions on mutual fund expectations.  The commenter makes an appropriate criticism of the title of the section, which has now been changed to “Expectations of Stock Market Returns and Hypothetical Choices” in the </w:t>
      </w:r>
      <w:r w:rsidR="009E7AD2">
        <w:rPr>
          <w:sz w:val="24"/>
        </w:rPr>
        <w:t xml:space="preserve">Internet </w:t>
      </w:r>
      <w:r w:rsidRPr="001846F5">
        <w:rPr>
          <w:sz w:val="24"/>
        </w:rPr>
        <w:t>IPS</w:t>
      </w:r>
      <w:r w:rsidR="00F5776D">
        <w:rPr>
          <w:sz w:val="24"/>
        </w:rPr>
        <w:t xml:space="preserve"> and APS</w:t>
      </w:r>
      <w:r w:rsidRPr="001846F5">
        <w:rPr>
          <w:sz w:val="24"/>
        </w:rPr>
        <w:t xml:space="preserve"> Follow-Up and “Expectations of Stock Market Returns” in the AIS</w:t>
      </w:r>
      <w:r w:rsidR="009E7AD2">
        <w:rPr>
          <w:sz w:val="24"/>
        </w:rPr>
        <w:t xml:space="preserve"> interviews</w:t>
      </w:r>
      <w:r w:rsidRPr="001846F5">
        <w:rPr>
          <w:sz w:val="24"/>
        </w:rPr>
        <w:t>.  We do not, however, follow the recommendation to avoid mentioning the phrase “mutual fund” in these questions.  Mutual funds should be familiar to most respondents, and we seek to take advantage of this familiarity to ask expectations questions about outcomes that will be understood by most respondents.   Related lines of questioning have been included in HRS surveys and the Michigan Surveys of Consumers</w:t>
      </w:r>
      <w:r w:rsidR="00451342">
        <w:rPr>
          <w:sz w:val="24"/>
        </w:rPr>
        <w:t xml:space="preserve"> (</w:t>
      </w:r>
      <w:proofErr w:type="spellStart"/>
      <w:r w:rsidR="00451342">
        <w:rPr>
          <w:sz w:val="24"/>
        </w:rPr>
        <w:t>Dominitz</w:t>
      </w:r>
      <w:proofErr w:type="spellEnd"/>
      <w:r w:rsidR="00451342">
        <w:rPr>
          <w:sz w:val="24"/>
        </w:rPr>
        <w:t xml:space="preserve"> and </w:t>
      </w:r>
      <w:proofErr w:type="spellStart"/>
      <w:r w:rsidR="00451342">
        <w:rPr>
          <w:sz w:val="24"/>
        </w:rPr>
        <w:t>Manski</w:t>
      </w:r>
      <w:proofErr w:type="spellEnd"/>
      <w:r w:rsidR="00451342">
        <w:rPr>
          <w:sz w:val="24"/>
        </w:rPr>
        <w:t>, 2007, 2011)</w:t>
      </w:r>
      <w:r w:rsidRPr="001846F5">
        <w:rPr>
          <w:sz w:val="24"/>
        </w:rPr>
        <w:t>.  More fundamentally, there are no correct answers to these question</w:t>
      </w:r>
      <w:r w:rsidR="00BE5934">
        <w:rPr>
          <w:sz w:val="24"/>
        </w:rPr>
        <w:t>s</w:t>
      </w:r>
      <w:r w:rsidRPr="001846F5">
        <w:rPr>
          <w:sz w:val="24"/>
        </w:rPr>
        <w:t xml:space="preserve">, so the remaining concerns about these questions need not be addressed.  Rather, the questions are asked in order to learn about respondent-specific subjective expectations of stock market returns. </w:t>
      </w:r>
    </w:p>
    <w:p w14:paraId="763CE51E" w14:textId="5605D9C0" w:rsidR="00C739BC" w:rsidRDefault="00C739BC">
      <w:pPr>
        <w:widowControl/>
        <w:autoSpaceDE/>
        <w:autoSpaceDN/>
        <w:adjustRightInd/>
        <w:rPr>
          <w:i/>
          <w:sz w:val="24"/>
        </w:rPr>
      </w:pPr>
    </w:p>
    <w:p w14:paraId="78DEC24F" w14:textId="22FD9B56" w:rsidR="001846F5" w:rsidRPr="007C5120" w:rsidRDefault="001846F5" w:rsidP="001846F5">
      <w:pPr>
        <w:rPr>
          <w:i/>
          <w:sz w:val="24"/>
        </w:rPr>
      </w:pPr>
      <w:r w:rsidRPr="007C5120">
        <w:rPr>
          <w:i/>
          <w:sz w:val="24"/>
        </w:rPr>
        <w:t>Other Items</w:t>
      </w:r>
    </w:p>
    <w:p w14:paraId="27A07898" w14:textId="77777777" w:rsidR="00FB5D5F" w:rsidRPr="001846F5" w:rsidRDefault="00FB5D5F" w:rsidP="001846F5">
      <w:pPr>
        <w:rPr>
          <w:sz w:val="24"/>
          <w:u w:val="single"/>
        </w:rPr>
      </w:pPr>
    </w:p>
    <w:p w14:paraId="3D1C5F76" w14:textId="114656C3" w:rsidR="001846F5" w:rsidRDefault="00CC7332" w:rsidP="001846F5">
      <w:pPr>
        <w:rPr>
          <w:sz w:val="24"/>
        </w:rPr>
      </w:pPr>
      <w:r>
        <w:rPr>
          <w:sz w:val="24"/>
        </w:rPr>
        <w:t xml:space="preserve">The </w:t>
      </w:r>
      <w:r w:rsidR="0068372F">
        <w:rPr>
          <w:sz w:val="24"/>
        </w:rPr>
        <w:t xml:space="preserve">Internet </w:t>
      </w:r>
      <w:r w:rsidR="001846F5" w:rsidRPr="001846F5">
        <w:rPr>
          <w:sz w:val="24"/>
        </w:rPr>
        <w:t>IPS</w:t>
      </w:r>
      <w:r w:rsidR="00F32D8A">
        <w:rPr>
          <w:sz w:val="24"/>
        </w:rPr>
        <w:t>/APS</w:t>
      </w:r>
      <w:r w:rsidR="005650EC">
        <w:rPr>
          <w:sz w:val="24"/>
        </w:rPr>
        <w:t xml:space="preserve"> </w:t>
      </w:r>
      <w:r w:rsidR="001846F5" w:rsidRPr="001846F5">
        <w:rPr>
          <w:sz w:val="24"/>
        </w:rPr>
        <w:t xml:space="preserve">Baseline interview Section (11) on “Health Insurance and Long-Term Care Insurance” has been moved to the </w:t>
      </w:r>
      <w:r w:rsidR="0068372F">
        <w:rPr>
          <w:sz w:val="24"/>
        </w:rPr>
        <w:t xml:space="preserve">Internet </w:t>
      </w:r>
      <w:r w:rsidR="001846F5" w:rsidRPr="001846F5">
        <w:rPr>
          <w:sz w:val="24"/>
        </w:rPr>
        <w:t>IPS</w:t>
      </w:r>
      <w:r w:rsidR="005650EC">
        <w:rPr>
          <w:sz w:val="24"/>
        </w:rPr>
        <w:t>/APS</w:t>
      </w:r>
      <w:r w:rsidR="001846F5" w:rsidRPr="001846F5">
        <w:rPr>
          <w:sz w:val="24"/>
        </w:rPr>
        <w:t xml:space="preserve"> Follow-Up interview to address c</w:t>
      </w:r>
      <w:r w:rsidR="00917F09">
        <w:rPr>
          <w:sz w:val="24"/>
        </w:rPr>
        <w:t>oncerns about respondent burden</w:t>
      </w:r>
      <w:r w:rsidR="0068372F">
        <w:rPr>
          <w:sz w:val="24"/>
        </w:rPr>
        <w:t xml:space="preserve">. </w:t>
      </w:r>
    </w:p>
    <w:p w14:paraId="665E8FCC" w14:textId="77777777" w:rsidR="00F14252" w:rsidRPr="001846F5" w:rsidRDefault="00F14252" w:rsidP="001846F5">
      <w:pPr>
        <w:rPr>
          <w:sz w:val="24"/>
        </w:rPr>
      </w:pPr>
    </w:p>
    <w:p w14:paraId="04870724" w14:textId="527B399A" w:rsidR="001846F5" w:rsidRDefault="001846F5" w:rsidP="001846F5">
      <w:pPr>
        <w:rPr>
          <w:sz w:val="24"/>
        </w:rPr>
      </w:pPr>
      <w:r w:rsidRPr="001846F5">
        <w:rPr>
          <w:sz w:val="24"/>
        </w:rPr>
        <w:t xml:space="preserve">To address concerns about respondent burden, </w:t>
      </w:r>
      <w:r w:rsidR="0068372F">
        <w:rPr>
          <w:sz w:val="24"/>
        </w:rPr>
        <w:t xml:space="preserve">Internet </w:t>
      </w:r>
      <w:r w:rsidRPr="001846F5">
        <w:rPr>
          <w:sz w:val="24"/>
        </w:rPr>
        <w:t>IPS</w:t>
      </w:r>
      <w:r w:rsidR="00F32D8A">
        <w:rPr>
          <w:sz w:val="24"/>
        </w:rPr>
        <w:t>/APS</w:t>
      </w:r>
      <w:r w:rsidRPr="001846F5">
        <w:rPr>
          <w:sz w:val="24"/>
        </w:rPr>
        <w:t xml:space="preserve"> Follow-Up interview Section (11) on “Investment Time Horizon, Liquidity Needs, Response to Losses” ha</w:t>
      </w:r>
      <w:r w:rsidR="00917F09">
        <w:rPr>
          <w:sz w:val="24"/>
        </w:rPr>
        <w:t>s</w:t>
      </w:r>
      <w:r w:rsidRPr="001846F5">
        <w:rPr>
          <w:sz w:val="24"/>
        </w:rPr>
        <w:t xml:space="preserve"> been dropped, but one question from this section was moved up to Section (9a) on “Attitudinal Predictors of Household Portfolio Choice.”</w:t>
      </w:r>
    </w:p>
    <w:p w14:paraId="54BF7C18" w14:textId="77777777" w:rsidR="00F14252" w:rsidRPr="001846F5" w:rsidRDefault="00F14252" w:rsidP="001846F5">
      <w:pPr>
        <w:rPr>
          <w:sz w:val="24"/>
        </w:rPr>
      </w:pPr>
    </w:p>
    <w:p w14:paraId="4B299850" w14:textId="574FAF6E" w:rsidR="001846F5" w:rsidRDefault="001846F5" w:rsidP="001846F5">
      <w:pPr>
        <w:rPr>
          <w:sz w:val="24"/>
        </w:rPr>
      </w:pPr>
      <w:r w:rsidRPr="001846F5">
        <w:rPr>
          <w:sz w:val="24"/>
        </w:rPr>
        <w:t>Several minor changes have also been made to questions and question-branching to clarify questions and/or rectify minor errors.</w:t>
      </w:r>
      <w:r w:rsidR="004475B5">
        <w:rPr>
          <w:sz w:val="24"/>
        </w:rPr>
        <w:t xml:space="preserve"> </w:t>
      </w:r>
      <w:r w:rsidR="00576136">
        <w:rPr>
          <w:sz w:val="24"/>
        </w:rPr>
        <w:t xml:space="preserve"> In addition, t</w:t>
      </w:r>
      <w:r w:rsidR="004475B5" w:rsidRPr="004475B5">
        <w:rPr>
          <w:sz w:val="24"/>
        </w:rPr>
        <w:t xml:space="preserve">he reference year for questions concerning annual incomes in the </w:t>
      </w:r>
      <w:r w:rsidR="00907BDB">
        <w:rPr>
          <w:sz w:val="24"/>
        </w:rPr>
        <w:t xml:space="preserve">Internet </w:t>
      </w:r>
      <w:r w:rsidR="004475B5" w:rsidRPr="004475B5">
        <w:rPr>
          <w:sz w:val="24"/>
        </w:rPr>
        <w:t>IPS Baseline and Follow-Up interviews</w:t>
      </w:r>
      <w:r w:rsidR="00907BDB">
        <w:rPr>
          <w:sz w:val="24"/>
        </w:rPr>
        <w:t xml:space="preserve"> and the Mail/Telephone IPS interviews</w:t>
      </w:r>
      <w:r w:rsidR="004475B5" w:rsidRPr="004475B5">
        <w:rPr>
          <w:sz w:val="24"/>
        </w:rPr>
        <w:t xml:space="preserve"> has</w:t>
      </w:r>
      <w:r w:rsidR="00BF0F9A">
        <w:rPr>
          <w:sz w:val="24"/>
        </w:rPr>
        <w:t xml:space="preserve"> been changed from 2014 to 2015.  For the </w:t>
      </w:r>
      <w:r w:rsidR="00907BDB">
        <w:rPr>
          <w:sz w:val="24"/>
        </w:rPr>
        <w:t xml:space="preserve">Internet </w:t>
      </w:r>
      <w:r w:rsidR="00BF0F9A">
        <w:rPr>
          <w:sz w:val="24"/>
        </w:rPr>
        <w:t>APS Baseline and Follow-Up interviews</w:t>
      </w:r>
      <w:r w:rsidR="00907BDB">
        <w:rPr>
          <w:sz w:val="24"/>
        </w:rPr>
        <w:t xml:space="preserve"> and the Mail/Telephone APS</w:t>
      </w:r>
      <w:r w:rsidR="00BF0F9A">
        <w:rPr>
          <w:sz w:val="24"/>
        </w:rPr>
        <w:t>, the reference year is now 2016.</w:t>
      </w:r>
    </w:p>
    <w:p w14:paraId="51088FA4" w14:textId="77777777" w:rsidR="00F14252" w:rsidRPr="001846F5" w:rsidRDefault="00F14252" w:rsidP="001846F5">
      <w:pPr>
        <w:rPr>
          <w:sz w:val="24"/>
        </w:rPr>
      </w:pPr>
    </w:p>
    <w:p w14:paraId="6FF1591C" w14:textId="07D71B14" w:rsidR="001846F5" w:rsidRDefault="00576136" w:rsidP="00FF1C6E">
      <w:pPr>
        <w:rPr>
          <w:sz w:val="24"/>
        </w:rPr>
      </w:pPr>
      <w:r>
        <w:rPr>
          <w:sz w:val="24"/>
        </w:rPr>
        <w:lastRenderedPageBreak/>
        <w:t>One c</w:t>
      </w:r>
      <w:r w:rsidR="001B6EF5">
        <w:rPr>
          <w:sz w:val="24"/>
        </w:rPr>
        <w:t>ommenter</w:t>
      </w:r>
      <w:r>
        <w:rPr>
          <w:sz w:val="24"/>
        </w:rPr>
        <w:t xml:space="preserve"> recommended </w:t>
      </w:r>
      <w:r w:rsidR="001846F5" w:rsidRPr="001846F5">
        <w:rPr>
          <w:sz w:val="24"/>
        </w:rPr>
        <w:t>pre-loading of data</w:t>
      </w:r>
      <w:r>
        <w:rPr>
          <w:sz w:val="24"/>
        </w:rPr>
        <w:t xml:space="preserve"> in follow-up </w:t>
      </w:r>
      <w:r w:rsidR="001B6EF5">
        <w:rPr>
          <w:sz w:val="24"/>
        </w:rPr>
        <w:t>i</w:t>
      </w:r>
      <w:r>
        <w:rPr>
          <w:sz w:val="24"/>
        </w:rPr>
        <w:t>nterviews to reduce respondent burden.  Pre</w:t>
      </w:r>
      <w:r w:rsidR="001B6EF5">
        <w:rPr>
          <w:sz w:val="24"/>
        </w:rPr>
        <w:t>-</w:t>
      </w:r>
      <w:r>
        <w:rPr>
          <w:sz w:val="24"/>
        </w:rPr>
        <w:t>loading is utilized in a</w:t>
      </w:r>
      <w:r w:rsidR="006875C6">
        <w:rPr>
          <w:sz w:val="24"/>
        </w:rPr>
        <w:t xml:space="preserve"> limited way</w:t>
      </w:r>
      <w:r w:rsidR="00C53F5F">
        <w:rPr>
          <w:sz w:val="24"/>
        </w:rPr>
        <w:t xml:space="preserve"> for just this reason</w:t>
      </w:r>
      <w:r w:rsidR="006875C6">
        <w:rPr>
          <w:sz w:val="24"/>
        </w:rPr>
        <w:t xml:space="preserve">, </w:t>
      </w:r>
      <w:r w:rsidR="00847ED6">
        <w:rPr>
          <w:sz w:val="24"/>
        </w:rPr>
        <w:t>in particular for household demographics as well as employer names</w:t>
      </w:r>
      <w:r w:rsidR="001B6EF5">
        <w:rPr>
          <w:sz w:val="24"/>
        </w:rPr>
        <w:t xml:space="preserve"> in the Internet interviews, where doing so should clearly reduce respondent burden and should enhance data quality.  In other cases, however, pre-loading of past response</w:t>
      </w:r>
      <w:r w:rsidR="00162210">
        <w:rPr>
          <w:sz w:val="24"/>
        </w:rPr>
        <w:t>s</w:t>
      </w:r>
      <w:r w:rsidR="001B6EF5">
        <w:rPr>
          <w:sz w:val="24"/>
        </w:rPr>
        <w:t xml:space="preserve"> may increase the complexity of the questionnaire and could be counterproductive</w:t>
      </w:r>
      <w:r w:rsidR="00847ED6">
        <w:rPr>
          <w:sz w:val="24"/>
        </w:rPr>
        <w:t xml:space="preserve">.  </w:t>
      </w:r>
    </w:p>
    <w:p w14:paraId="18F48C8D" w14:textId="1EE1ABDD" w:rsidR="001846F5" w:rsidRPr="00D07695" w:rsidRDefault="001846F5" w:rsidP="00FF1C6E">
      <w:pPr>
        <w:rPr>
          <w:sz w:val="24"/>
        </w:rPr>
      </w:pPr>
    </w:p>
    <w:p w14:paraId="7AFE929A" w14:textId="77777777" w:rsidR="00855ABA" w:rsidRPr="00D07695" w:rsidRDefault="000839A6" w:rsidP="00FF1C6E">
      <w:pPr>
        <w:pStyle w:val="Heading2"/>
        <w:rPr>
          <w:szCs w:val="24"/>
        </w:rPr>
      </w:pPr>
      <w:bookmarkStart w:id="11" w:name="_Toc479522849"/>
      <w:r w:rsidRPr="00D07695">
        <w:rPr>
          <w:szCs w:val="24"/>
        </w:rPr>
        <w:t xml:space="preserve">A.9. </w:t>
      </w:r>
      <w:r w:rsidR="00855ABA" w:rsidRPr="00D07695">
        <w:rPr>
          <w:szCs w:val="24"/>
        </w:rPr>
        <w:t>Explanation of any Payment/Gift to Respondents</w:t>
      </w:r>
      <w:bookmarkEnd w:id="11"/>
    </w:p>
    <w:p w14:paraId="134B2AAA" w14:textId="77777777" w:rsidR="00BD7BDF" w:rsidRDefault="00BD7BDF" w:rsidP="00FF1C6E">
      <w:pPr>
        <w:rPr>
          <w:rFonts w:ascii="Times" w:hAnsi="Times"/>
          <w:sz w:val="24"/>
        </w:rPr>
      </w:pPr>
    </w:p>
    <w:p w14:paraId="45B07407" w14:textId="77777777" w:rsidR="00BD7BDF" w:rsidRPr="007A18CC" w:rsidRDefault="00BD7BDF" w:rsidP="00BD7BDF">
      <w:pPr>
        <w:rPr>
          <w:sz w:val="24"/>
        </w:rPr>
      </w:pPr>
      <w:r w:rsidRPr="007A18CC">
        <w:rPr>
          <w:sz w:val="24"/>
        </w:rPr>
        <w:t xml:space="preserve">Pretest participants will receive monetary payments for completing surveys and debriefing </w:t>
      </w:r>
      <w:r w:rsidR="00A6433E" w:rsidRPr="007A18CC">
        <w:rPr>
          <w:sz w:val="24"/>
        </w:rPr>
        <w:t>interviews</w:t>
      </w:r>
      <w:r w:rsidRPr="007A18CC">
        <w:rPr>
          <w:sz w:val="24"/>
        </w:rPr>
        <w:t>--$20 for each survey questionnaire and $30 for each debriefing interviews.  Pretest participants in cognitive interviews will be paid $40 upon completion of the interview.</w:t>
      </w:r>
      <w:r w:rsidR="003D40F4" w:rsidRPr="007A18CC">
        <w:rPr>
          <w:sz w:val="24"/>
        </w:rPr>
        <w:t xml:space="preserve">  We anticipate that pretest participant</w:t>
      </w:r>
      <w:r w:rsidR="00C71D5B" w:rsidRPr="007A18CC">
        <w:rPr>
          <w:sz w:val="24"/>
        </w:rPr>
        <w:t>s</w:t>
      </w:r>
      <w:r w:rsidR="003D40F4" w:rsidRPr="007A18CC">
        <w:rPr>
          <w:sz w:val="24"/>
        </w:rPr>
        <w:t xml:space="preserve"> will receive a total of approximately $</w:t>
      </w:r>
      <w:r w:rsidR="000E0159" w:rsidRPr="007A18CC">
        <w:rPr>
          <w:sz w:val="24"/>
        </w:rPr>
        <w:t>24</w:t>
      </w:r>
      <w:r w:rsidR="003D40F4" w:rsidRPr="007A18CC">
        <w:rPr>
          <w:sz w:val="24"/>
        </w:rPr>
        <w:t>,000 in monetary incentives.</w:t>
      </w:r>
    </w:p>
    <w:p w14:paraId="1D601A32" w14:textId="77777777" w:rsidR="00BD7BDF" w:rsidRPr="007A18CC" w:rsidRDefault="00BD7BDF" w:rsidP="00FF1C6E">
      <w:pPr>
        <w:rPr>
          <w:sz w:val="24"/>
        </w:rPr>
      </w:pPr>
    </w:p>
    <w:p w14:paraId="0AD9A7FD" w14:textId="77777777" w:rsidR="003D40F4" w:rsidRPr="007A18CC" w:rsidRDefault="006D37DF" w:rsidP="00FF1C6E">
      <w:pPr>
        <w:rPr>
          <w:sz w:val="24"/>
        </w:rPr>
      </w:pPr>
      <w:r w:rsidRPr="007A18CC">
        <w:rPr>
          <w:sz w:val="24"/>
        </w:rPr>
        <w:t xml:space="preserve">The data collection activities </w:t>
      </w:r>
      <w:r w:rsidR="00BD7BDF" w:rsidRPr="007A18CC">
        <w:rPr>
          <w:sz w:val="24"/>
        </w:rPr>
        <w:t xml:space="preserve">for the On the Road to Retirement panel </w:t>
      </w:r>
      <w:r w:rsidRPr="007A18CC">
        <w:rPr>
          <w:sz w:val="24"/>
        </w:rPr>
        <w:t xml:space="preserve">begin with a </w:t>
      </w:r>
      <w:r w:rsidR="00E33599" w:rsidRPr="007A18CC">
        <w:rPr>
          <w:sz w:val="24"/>
        </w:rPr>
        <w:t>Pre-Survey</w:t>
      </w:r>
      <w:r w:rsidRPr="007A18CC">
        <w:rPr>
          <w:sz w:val="24"/>
        </w:rPr>
        <w:t xml:space="preserve"> to recruit potentially eligible households. </w:t>
      </w:r>
      <w:r w:rsidR="0026575F" w:rsidRPr="007A18CC">
        <w:rPr>
          <w:sz w:val="24"/>
        </w:rPr>
        <w:t xml:space="preserve">There will be a $5 </w:t>
      </w:r>
      <w:r w:rsidR="00BD7DA2" w:rsidRPr="007A18CC">
        <w:rPr>
          <w:sz w:val="24"/>
        </w:rPr>
        <w:t>prepaid</w:t>
      </w:r>
      <w:r w:rsidR="0026575F" w:rsidRPr="007A18CC">
        <w:rPr>
          <w:sz w:val="24"/>
        </w:rPr>
        <w:t xml:space="preserve"> monetary incentive to complete </w:t>
      </w:r>
      <w:r w:rsidRPr="007A18CC">
        <w:rPr>
          <w:sz w:val="24"/>
        </w:rPr>
        <w:t xml:space="preserve">the </w:t>
      </w:r>
      <w:r w:rsidR="00E33599" w:rsidRPr="007A18CC">
        <w:rPr>
          <w:sz w:val="24"/>
        </w:rPr>
        <w:t>Pre-Survey</w:t>
      </w:r>
      <w:r w:rsidR="0026575F" w:rsidRPr="007A18CC">
        <w:rPr>
          <w:sz w:val="24"/>
        </w:rPr>
        <w:t xml:space="preserve"> and a $10 payment upon completion.  </w:t>
      </w:r>
      <w:r w:rsidR="003D40F4" w:rsidRPr="007A18CC">
        <w:rPr>
          <w:sz w:val="24"/>
        </w:rPr>
        <w:t xml:space="preserve"> We anticipate that a total of approximately $225,000 in monetary incentives will be paid out during the Pre-Survey recruitment period.</w:t>
      </w:r>
    </w:p>
    <w:p w14:paraId="5B0E54BF" w14:textId="77777777" w:rsidR="003D40F4" w:rsidRPr="007A18CC" w:rsidRDefault="003D40F4" w:rsidP="00FF1C6E">
      <w:pPr>
        <w:rPr>
          <w:sz w:val="24"/>
        </w:rPr>
      </w:pPr>
    </w:p>
    <w:p w14:paraId="4FD61A4C" w14:textId="77777777" w:rsidR="00181D9C" w:rsidRPr="007A18CC" w:rsidRDefault="003222BB" w:rsidP="00FF1C6E">
      <w:pPr>
        <w:rPr>
          <w:sz w:val="24"/>
        </w:rPr>
      </w:pPr>
      <w:r w:rsidRPr="007A18CC">
        <w:rPr>
          <w:sz w:val="24"/>
        </w:rPr>
        <w:t xml:space="preserve">We </w:t>
      </w:r>
      <w:r w:rsidR="006D37DF" w:rsidRPr="007A18CC">
        <w:rPr>
          <w:sz w:val="24"/>
        </w:rPr>
        <w:t xml:space="preserve">will also </w:t>
      </w:r>
      <w:r w:rsidRPr="007A18CC">
        <w:rPr>
          <w:sz w:val="24"/>
        </w:rPr>
        <w:t xml:space="preserve">provide </w:t>
      </w:r>
      <w:r w:rsidR="006D37DF" w:rsidRPr="007A18CC">
        <w:rPr>
          <w:sz w:val="24"/>
        </w:rPr>
        <w:t xml:space="preserve">monetary </w:t>
      </w:r>
      <w:r w:rsidRPr="007A18CC">
        <w:rPr>
          <w:sz w:val="24"/>
        </w:rPr>
        <w:t xml:space="preserve">incentives </w:t>
      </w:r>
      <w:r w:rsidR="006D37DF" w:rsidRPr="007A18CC">
        <w:rPr>
          <w:sz w:val="24"/>
        </w:rPr>
        <w:t xml:space="preserve">to complete IPS, AIS, and APS </w:t>
      </w:r>
      <w:r w:rsidR="0026575F" w:rsidRPr="007A18CC">
        <w:rPr>
          <w:sz w:val="24"/>
        </w:rPr>
        <w:t>interviews</w:t>
      </w:r>
      <w:r w:rsidR="000C6CD9" w:rsidRPr="007A18CC">
        <w:rPr>
          <w:sz w:val="24"/>
        </w:rPr>
        <w:t xml:space="preserve">, </w:t>
      </w:r>
      <w:r w:rsidR="00FB29BE" w:rsidRPr="007A18CC">
        <w:rPr>
          <w:sz w:val="24"/>
        </w:rPr>
        <w:t xml:space="preserve">in the form of </w:t>
      </w:r>
      <w:r w:rsidR="000C6CD9" w:rsidRPr="007A18CC">
        <w:rPr>
          <w:sz w:val="24"/>
        </w:rPr>
        <w:t xml:space="preserve">flat payments made upon </w:t>
      </w:r>
      <w:r w:rsidR="00FB29BE" w:rsidRPr="007A18CC">
        <w:rPr>
          <w:sz w:val="24"/>
        </w:rPr>
        <w:t xml:space="preserve">survey </w:t>
      </w:r>
      <w:r w:rsidR="000C6CD9" w:rsidRPr="007A18CC">
        <w:rPr>
          <w:sz w:val="24"/>
        </w:rPr>
        <w:t>completion.</w:t>
      </w:r>
      <w:r w:rsidR="0026575F" w:rsidRPr="007A18CC">
        <w:rPr>
          <w:sz w:val="24"/>
        </w:rPr>
        <w:t xml:space="preserve"> </w:t>
      </w:r>
      <w:r w:rsidR="00233A6C" w:rsidRPr="007A18CC">
        <w:rPr>
          <w:sz w:val="24"/>
        </w:rPr>
        <w:t xml:space="preserve"> </w:t>
      </w:r>
      <w:r w:rsidR="000C6CD9" w:rsidRPr="007A18CC">
        <w:rPr>
          <w:sz w:val="24"/>
        </w:rPr>
        <w:t xml:space="preserve">Given the length of time expected for filling out each survey, these incentives will </w:t>
      </w:r>
      <w:r w:rsidR="00FB29BE" w:rsidRPr="007A18CC">
        <w:rPr>
          <w:sz w:val="24"/>
        </w:rPr>
        <w:t xml:space="preserve">in general </w:t>
      </w:r>
      <w:r w:rsidR="000C6CD9" w:rsidRPr="007A18CC">
        <w:rPr>
          <w:sz w:val="24"/>
        </w:rPr>
        <w:t xml:space="preserve">be </w:t>
      </w:r>
      <w:r w:rsidR="00FB29BE" w:rsidRPr="007A18CC">
        <w:rPr>
          <w:sz w:val="24"/>
        </w:rPr>
        <w:t>roughly equ</w:t>
      </w:r>
      <w:r w:rsidR="000C6CD9" w:rsidRPr="007A18CC">
        <w:rPr>
          <w:sz w:val="24"/>
        </w:rPr>
        <w:t xml:space="preserve">ivalent to </w:t>
      </w:r>
      <w:r w:rsidR="006D37DF" w:rsidRPr="007A18CC">
        <w:rPr>
          <w:sz w:val="24"/>
        </w:rPr>
        <w:t xml:space="preserve">a rate of </w:t>
      </w:r>
      <w:r w:rsidRPr="007A18CC">
        <w:rPr>
          <w:sz w:val="24"/>
        </w:rPr>
        <w:t xml:space="preserve">$20 per thirty minutes of </w:t>
      </w:r>
      <w:r w:rsidR="00651005" w:rsidRPr="007A18CC">
        <w:rPr>
          <w:sz w:val="24"/>
        </w:rPr>
        <w:t>survey</w:t>
      </w:r>
      <w:r w:rsidR="006D37DF" w:rsidRPr="007A18CC">
        <w:rPr>
          <w:sz w:val="24"/>
        </w:rPr>
        <w:t xml:space="preserve"> response</w:t>
      </w:r>
      <w:r w:rsidRPr="007A18CC">
        <w:rPr>
          <w:sz w:val="24"/>
        </w:rPr>
        <w:t xml:space="preserve"> time. </w:t>
      </w:r>
      <w:r w:rsidR="000C6CD9" w:rsidRPr="007A18CC">
        <w:rPr>
          <w:sz w:val="24"/>
        </w:rPr>
        <w:t xml:space="preserve">That is similar </w:t>
      </w:r>
      <w:r w:rsidRPr="007A18CC">
        <w:rPr>
          <w:sz w:val="24"/>
        </w:rPr>
        <w:t>to the incentives provided by the Health and Retirement S</w:t>
      </w:r>
      <w:r w:rsidR="008A00CF" w:rsidRPr="007A18CC">
        <w:rPr>
          <w:sz w:val="24"/>
        </w:rPr>
        <w:t>tudy</w:t>
      </w:r>
      <w:r w:rsidRPr="007A18CC">
        <w:rPr>
          <w:sz w:val="24"/>
        </w:rPr>
        <w:t xml:space="preserve"> and the Panel Study of Income Dynamics.  </w:t>
      </w:r>
      <w:r w:rsidR="003D40F4" w:rsidRPr="007A18CC">
        <w:rPr>
          <w:sz w:val="24"/>
        </w:rPr>
        <w:t>We anticipate that a total of approximately $9</w:t>
      </w:r>
      <w:r w:rsidR="0020217B" w:rsidRPr="007A18CC">
        <w:rPr>
          <w:sz w:val="24"/>
        </w:rPr>
        <w:t>32</w:t>
      </w:r>
      <w:r w:rsidR="003D40F4" w:rsidRPr="007A18CC">
        <w:rPr>
          <w:sz w:val="24"/>
        </w:rPr>
        <w:t xml:space="preserve">,000 in monetary incentives will be paid to participants in the On the Road to Retirement panel for participation in the IPS, Year 1 of the AIS, </w:t>
      </w:r>
      <w:r w:rsidR="00233A6C" w:rsidRPr="007A18CC">
        <w:rPr>
          <w:sz w:val="24"/>
        </w:rPr>
        <w:t xml:space="preserve">the </w:t>
      </w:r>
      <w:r w:rsidR="003D40F4" w:rsidRPr="007A18CC">
        <w:rPr>
          <w:sz w:val="24"/>
        </w:rPr>
        <w:t>APS, and/or Year 2 of the AIS.</w:t>
      </w:r>
    </w:p>
    <w:p w14:paraId="63BBB990" w14:textId="77777777" w:rsidR="003D40F4" w:rsidRPr="007A18CC" w:rsidRDefault="003D40F4" w:rsidP="00FF1C6E">
      <w:pPr>
        <w:rPr>
          <w:sz w:val="24"/>
        </w:rPr>
      </w:pPr>
    </w:p>
    <w:p w14:paraId="33CAAEFE" w14:textId="77777777" w:rsidR="00AF0331" w:rsidRPr="007A18CC" w:rsidRDefault="000601C8" w:rsidP="00FF1C6E">
      <w:pPr>
        <w:rPr>
          <w:sz w:val="24"/>
        </w:rPr>
      </w:pPr>
      <w:r w:rsidRPr="007A18CC">
        <w:rPr>
          <w:sz w:val="24"/>
        </w:rPr>
        <w:t xml:space="preserve">We believe that financial incentives are </w:t>
      </w:r>
      <w:r w:rsidR="006D37DF" w:rsidRPr="007A18CC">
        <w:rPr>
          <w:sz w:val="24"/>
        </w:rPr>
        <w:t xml:space="preserve">a </w:t>
      </w:r>
      <w:r w:rsidRPr="007A18CC">
        <w:rPr>
          <w:sz w:val="24"/>
        </w:rPr>
        <w:t xml:space="preserve">crucial component of efforts to obtain acceptable rates of participation in this panel study, both in terms of the initial recruitment of respondents and in terms of </w:t>
      </w:r>
      <w:r w:rsidR="002A1AD0" w:rsidRPr="007A18CC">
        <w:rPr>
          <w:sz w:val="24"/>
        </w:rPr>
        <w:t xml:space="preserve">reducing </w:t>
      </w:r>
      <w:r w:rsidRPr="007A18CC">
        <w:rPr>
          <w:sz w:val="24"/>
        </w:rPr>
        <w:t>attrition.  Providing incentives in panels is a best practice and there is ample evidence that this practice</w:t>
      </w:r>
      <w:r w:rsidR="00A85BB4" w:rsidRPr="007A18CC">
        <w:rPr>
          <w:sz w:val="24"/>
        </w:rPr>
        <w:t xml:space="preserve"> enhances sample recruitment efforts</w:t>
      </w:r>
      <w:r w:rsidR="005924F1" w:rsidRPr="007A18CC">
        <w:rPr>
          <w:sz w:val="24"/>
        </w:rPr>
        <w:t xml:space="preserve">, </w:t>
      </w:r>
      <w:r w:rsidRPr="007A18CC">
        <w:rPr>
          <w:sz w:val="24"/>
        </w:rPr>
        <w:t>limit</w:t>
      </w:r>
      <w:r w:rsidR="005924F1" w:rsidRPr="007A18CC">
        <w:rPr>
          <w:sz w:val="24"/>
        </w:rPr>
        <w:t>s</w:t>
      </w:r>
      <w:r w:rsidRPr="007A18CC">
        <w:rPr>
          <w:sz w:val="24"/>
        </w:rPr>
        <w:t xml:space="preserve"> attrition</w:t>
      </w:r>
      <w:r w:rsidR="005924F1" w:rsidRPr="007A18CC">
        <w:rPr>
          <w:sz w:val="24"/>
        </w:rPr>
        <w:t>, and reduces</w:t>
      </w:r>
      <w:r w:rsidR="00A85BB4" w:rsidRPr="007A18CC">
        <w:rPr>
          <w:sz w:val="24"/>
        </w:rPr>
        <w:t xml:space="preserve"> potential</w:t>
      </w:r>
      <w:r w:rsidR="005924F1" w:rsidRPr="007A18CC">
        <w:rPr>
          <w:sz w:val="24"/>
        </w:rPr>
        <w:t xml:space="preserve"> biases arising from nonresponse</w:t>
      </w:r>
      <w:r w:rsidRPr="007A18CC">
        <w:rPr>
          <w:sz w:val="24"/>
        </w:rPr>
        <w:t xml:space="preserve">. </w:t>
      </w:r>
    </w:p>
    <w:p w14:paraId="01A80C69" w14:textId="77777777" w:rsidR="00AF0331" w:rsidRPr="007A18CC" w:rsidRDefault="00AF0331" w:rsidP="00FF1C6E">
      <w:pPr>
        <w:rPr>
          <w:sz w:val="24"/>
        </w:rPr>
      </w:pPr>
    </w:p>
    <w:p w14:paraId="26F0CC39" w14:textId="77777777" w:rsidR="00C71D5B" w:rsidRPr="007A18CC" w:rsidRDefault="00C71D5B" w:rsidP="00C71D5B">
      <w:pPr>
        <w:rPr>
          <w:sz w:val="24"/>
        </w:rPr>
      </w:pPr>
      <w:r w:rsidRPr="007A18CC">
        <w:rPr>
          <w:sz w:val="24"/>
        </w:rPr>
        <w:t>As described above, sample recruitment will begin with a Pre-Survey that includes a $5 payment in advance and a $10 payment following submission of the completed questionnaire.  Based on the extensive experience of the project team, as well as our understanding of research findings, we believe that such incentives are necessary to obtain our expected response rate of 40%</w:t>
      </w:r>
      <w:r w:rsidR="00E46992" w:rsidRPr="007A18CC">
        <w:rPr>
          <w:sz w:val="24"/>
        </w:rPr>
        <w:t>—</w:t>
      </w:r>
      <w:r w:rsidR="00E46992" w:rsidRPr="007A18CC">
        <w:rPr>
          <w:sz w:val="24"/>
        </w:rPr>
        <w:lastRenderedPageBreak/>
        <w:t>10,000 out of 25,000</w:t>
      </w:r>
      <w:r w:rsidR="00C617F2" w:rsidRPr="007A18CC">
        <w:rPr>
          <w:sz w:val="24"/>
        </w:rPr>
        <w:t xml:space="preserve"> households</w:t>
      </w:r>
      <w:r w:rsidRPr="007A18CC">
        <w:rPr>
          <w:sz w:val="24"/>
        </w:rPr>
        <w:t>.  In a meta-analysis of mail surveys, Church (1993) found that prepaid monetary incentives yielded an average increase in response rate of 19.1 percentage points over the rate obtained with a comparison group given no incentive.  Other forms of incentives—nonmonetary and/or postpaid—yielded much smaller increases.  He concluded that “monetary incentives included in the initial mailing (MI) should be the method of choice for improving respondent return rates” (Church, 1993, p. 75).  One decade later, Edwards et al. (2002) reviewed 292 studies and concluded that response rates to mail surveys with monetary incentives more than doubled the rates obtained without incentives, with prepaid incentives yielding almost double the response rate generated with equivalent incentives to be paid upon completion of the survey.  Finally, Singer and Ye (2013) examined evidence on the effects of incentives in mail surveys produced over the subsequent decade and concluded that, in general, the results of these studies “are consistent with the conclusions reported by Church (1993) and Edwards et al. (2002).”</w:t>
      </w:r>
    </w:p>
    <w:p w14:paraId="7ED76366" w14:textId="77777777" w:rsidR="00C71D5B" w:rsidRPr="007A18CC" w:rsidRDefault="00C71D5B" w:rsidP="00C71D5B">
      <w:pPr>
        <w:rPr>
          <w:sz w:val="24"/>
        </w:rPr>
      </w:pPr>
    </w:p>
    <w:p w14:paraId="280D2A58" w14:textId="77777777" w:rsidR="00C71D5B" w:rsidRPr="007A18CC" w:rsidRDefault="00C71D5B" w:rsidP="00C71D5B">
      <w:pPr>
        <w:rPr>
          <w:sz w:val="24"/>
        </w:rPr>
      </w:pPr>
      <w:r w:rsidRPr="007A18CC">
        <w:rPr>
          <w:sz w:val="24"/>
        </w:rPr>
        <w:t xml:space="preserve">For panel retention, incentives are equally important, but it is less clear from the available evidence that these incentives need to be prepaid as well. We expect that annual attrition rates will be less than 10%. This low attrition rate, which RAND </w:t>
      </w:r>
      <w:r w:rsidR="00C617F2" w:rsidRPr="007A18CC">
        <w:rPr>
          <w:sz w:val="24"/>
        </w:rPr>
        <w:t>has achieved its</w:t>
      </w:r>
      <w:r w:rsidRPr="007A18CC">
        <w:rPr>
          <w:sz w:val="24"/>
        </w:rPr>
        <w:t xml:space="preserve"> A</w:t>
      </w:r>
      <w:r w:rsidR="00C617F2" w:rsidRPr="007A18CC">
        <w:rPr>
          <w:sz w:val="24"/>
        </w:rPr>
        <w:t>merican Life Panel surveys</w:t>
      </w:r>
      <w:r w:rsidRPr="007A18CC">
        <w:rPr>
          <w:sz w:val="24"/>
        </w:rPr>
        <w:t>, is undoubtedly related to the relatively generous incentive to respond—$20 after completion of a 30-minute interview—that will be adopted in the On the Road to Retirement panel study as well.   We believe that such incentives are necessary to obtain our expected attrition rate.</w:t>
      </w:r>
    </w:p>
    <w:p w14:paraId="1C1E2B97" w14:textId="77777777" w:rsidR="00C71D5B" w:rsidRPr="007A18CC" w:rsidRDefault="00C71D5B" w:rsidP="00C71D5B">
      <w:pPr>
        <w:rPr>
          <w:sz w:val="24"/>
        </w:rPr>
      </w:pPr>
    </w:p>
    <w:p w14:paraId="4C7B0D7B" w14:textId="77777777" w:rsidR="00C71D5B" w:rsidRPr="007A18CC" w:rsidRDefault="00C71D5B" w:rsidP="00C71D5B">
      <w:pPr>
        <w:rPr>
          <w:sz w:val="24"/>
        </w:rPr>
      </w:pPr>
      <w:r w:rsidRPr="007A18CC">
        <w:rPr>
          <w:sz w:val="24"/>
        </w:rPr>
        <w:t>In the summary of their review, Singer and Ye (2013) report three main conclusions regarding the effect of monetary incentives on response rates, as follows:</w:t>
      </w:r>
    </w:p>
    <w:p w14:paraId="27C1086B" w14:textId="77777777" w:rsidR="00C71D5B" w:rsidRPr="007A18CC" w:rsidRDefault="00C71D5B" w:rsidP="00C617F2">
      <w:pPr>
        <w:ind w:left="720"/>
        <w:rPr>
          <w:sz w:val="24"/>
        </w:rPr>
      </w:pPr>
      <w:r w:rsidRPr="007A18CC">
        <w:rPr>
          <w:sz w:val="24"/>
        </w:rPr>
        <w:t>“1. Incentives increase response rates to surveys in all modes, including the Web, and in cross-sectional and panel studies.</w:t>
      </w:r>
    </w:p>
    <w:p w14:paraId="336CB774" w14:textId="77777777" w:rsidR="00C71D5B" w:rsidRPr="007A18CC" w:rsidRDefault="00C71D5B" w:rsidP="00C617F2">
      <w:pPr>
        <w:ind w:left="720"/>
        <w:rPr>
          <w:sz w:val="24"/>
        </w:rPr>
      </w:pPr>
      <w:r w:rsidRPr="007A18CC">
        <w:rPr>
          <w:sz w:val="24"/>
        </w:rPr>
        <w:t>2. Monetary incentives increase response rates more than gifts, and prepaid incentives increase them more than promised incentives or lotteries, though they are difficult to implement in Web surveys.</w:t>
      </w:r>
    </w:p>
    <w:p w14:paraId="6CC6BB06" w14:textId="77777777" w:rsidR="00C71D5B" w:rsidRPr="007A18CC" w:rsidRDefault="00C71D5B" w:rsidP="00C617F2">
      <w:pPr>
        <w:ind w:left="720"/>
        <w:rPr>
          <w:sz w:val="24"/>
        </w:rPr>
      </w:pPr>
      <w:r w:rsidRPr="007A18CC">
        <w:rPr>
          <w:sz w:val="24"/>
        </w:rPr>
        <w:t xml:space="preserve">3. There is no good evidence for how large an incentive should be. </w:t>
      </w:r>
      <w:proofErr w:type="gramStart"/>
      <w:r w:rsidRPr="007A18CC">
        <w:rPr>
          <w:sz w:val="24"/>
        </w:rPr>
        <w:t>In general, though response rates increase as the size of the incentive increases, they do so at a declining rate” (Singer and Ye, 2013, p. 134).</w:t>
      </w:r>
      <w:proofErr w:type="gramEnd"/>
    </w:p>
    <w:p w14:paraId="1F01C5E0" w14:textId="77777777" w:rsidR="00C71D5B" w:rsidRPr="007A18CC" w:rsidRDefault="00C71D5B" w:rsidP="00C71D5B">
      <w:pPr>
        <w:rPr>
          <w:sz w:val="24"/>
        </w:rPr>
      </w:pPr>
    </w:p>
    <w:p w14:paraId="2210DD0C" w14:textId="77777777" w:rsidR="00C71D5B" w:rsidRPr="007A18CC" w:rsidRDefault="00C71D5B" w:rsidP="00C71D5B">
      <w:pPr>
        <w:rPr>
          <w:sz w:val="24"/>
        </w:rPr>
      </w:pPr>
      <w:r w:rsidRPr="007A18CC">
        <w:rPr>
          <w:sz w:val="24"/>
        </w:rPr>
        <w:t xml:space="preserve">Following the recommendations made in these studies and what has become standard, best practices in survey research, our proposed protocol for initial sample recruitment includes a prepaid incentive and a postpaid incentive, as well as other procedures that have been shown to increase response rates, including pre-notification letters, follow-up contacts, and mailing of a second questionnaire to </w:t>
      </w:r>
      <w:proofErr w:type="spellStart"/>
      <w:r w:rsidRPr="007A18CC">
        <w:rPr>
          <w:sz w:val="24"/>
        </w:rPr>
        <w:t>nonrespondents</w:t>
      </w:r>
      <w:proofErr w:type="spellEnd"/>
      <w:r w:rsidRPr="007A18CC">
        <w:rPr>
          <w:sz w:val="24"/>
        </w:rPr>
        <w:t>—see, for example, Edwards et al. (2002).  With this protocol, we anticipate a response rate of 40%.  The total amount of the Pre-Survey monetary incentives would then be no more than $225,000, with $150,000 paid out to 10,000 Pre-Survey respondents ($5 prepaid plus $10 postpaid) and no more than $75,000 paid out to 15,000 Pre-</w:t>
      </w:r>
      <w:r w:rsidRPr="007A18CC">
        <w:rPr>
          <w:sz w:val="24"/>
        </w:rPr>
        <w:lastRenderedPageBreak/>
        <w:t xml:space="preserve">Survey </w:t>
      </w:r>
      <w:proofErr w:type="spellStart"/>
      <w:r w:rsidRPr="007A18CC">
        <w:rPr>
          <w:sz w:val="24"/>
        </w:rPr>
        <w:t>nonrespondents</w:t>
      </w:r>
      <w:proofErr w:type="spellEnd"/>
      <w:r w:rsidRPr="007A18CC">
        <w:rPr>
          <w:sz w:val="24"/>
        </w:rPr>
        <w:t>.</w:t>
      </w:r>
    </w:p>
    <w:p w14:paraId="7BFCD173" w14:textId="77777777" w:rsidR="00C71D5B" w:rsidRPr="007A18CC" w:rsidRDefault="00C71D5B" w:rsidP="00AF0331">
      <w:pPr>
        <w:rPr>
          <w:sz w:val="24"/>
        </w:rPr>
      </w:pPr>
    </w:p>
    <w:p w14:paraId="2CFC1C8B" w14:textId="77777777" w:rsidR="00AF0331" w:rsidRPr="007A18CC" w:rsidRDefault="00AF0331" w:rsidP="00AF0331">
      <w:pPr>
        <w:rPr>
          <w:sz w:val="24"/>
        </w:rPr>
      </w:pPr>
      <w:r w:rsidRPr="007A18CC">
        <w:rPr>
          <w:sz w:val="24"/>
        </w:rPr>
        <w:t xml:space="preserve">The prepaid incentive of $5 is a key component of the protocol.  Without the prepaid incentive, the available evidence indicates that the response rate would fall substantially, even if we were to increase the postpaid incentive by $5 to a total of $15 in order to compensate.  With such a revision to the protocol, the response rate would likely fall by at least 10 percentage points.  Such a revision would save a substantial amount of money on the front end, but other recruitment costs would increase substantially as many additional follow-up contacts via mail and telephone would be required, and we do not believe that follow-up these follow-up contacts would be sufficient to generate a response rate of 40%.   </w:t>
      </w:r>
    </w:p>
    <w:p w14:paraId="5EDFCC66" w14:textId="77777777" w:rsidR="00AF0331" w:rsidRPr="007A18CC" w:rsidRDefault="00AF0331" w:rsidP="00AF0331">
      <w:pPr>
        <w:rPr>
          <w:sz w:val="24"/>
        </w:rPr>
      </w:pPr>
    </w:p>
    <w:p w14:paraId="4AB13EF8" w14:textId="77777777" w:rsidR="008436DF" w:rsidRPr="007A18CC" w:rsidRDefault="00AF0331" w:rsidP="00AF0331">
      <w:pPr>
        <w:rPr>
          <w:sz w:val="24"/>
        </w:rPr>
      </w:pPr>
      <w:r w:rsidRPr="007A18CC">
        <w:rPr>
          <w:sz w:val="24"/>
        </w:rPr>
        <w:t xml:space="preserve">One alternative recruitment protocol to consider would be to use the monetary savings obtained by dropping the prepaid incentive to increase the amount of the postpaid incentive by more than just the offsetting $5.  While it is difficult to know what it would take, there must be some dollar amount of a postpaid incentive that would generate a 40% response rate with no prepaid incentive but with the remainder of our protocol in place.  The required increase in the postpaid incentive would likely be more than another $7.50—i.e., a total postpaid incentive of </w:t>
      </w:r>
      <w:r w:rsidR="00840335" w:rsidRPr="007A18CC">
        <w:rPr>
          <w:sz w:val="24"/>
        </w:rPr>
        <w:t xml:space="preserve">more than </w:t>
      </w:r>
      <w:r w:rsidRPr="007A18CC">
        <w:rPr>
          <w:sz w:val="24"/>
        </w:rPr>
        <w:t xml:space="preserve">$22.50—in which case this revised protocol would necessarily increase the total amount of monetary incentives paid out for sample recruitment.  </w:t>
      </w:r>
    </w:p>
    <w:p w14:paraId="0CC988BD" w14:textId="77777777" w:rsidR="008436DF" w:rsidRPr="007A18CC" w:rsidRDefault="008436DF" w:rsidP="00AF0331">
      <w:pPr>
        <w:rPr>
          <w:sz w:val="24"/>
        </w:rPr>
      </w:pPr>
    </w:p>
    <w:p w14:paraId="2A8F6991" w14:textId="77777777" w:rsidR="00AF0331" w:rsidRPr="007A18CC" w:rsidRDefault="00AF0331" w:rsidP="00AF0331">
      <w:pPr>
        <w:rPr>
          <w:sz w:val="24"/>
        </w:rPr>
      </w:pPr>
      <w:r w:rsidRPr="007A18CC">
        <w:rPr>
          <w:sz w:val="24"/>
        </w:rPr>
        <w:t>For example</w:t>
      </w:r>
      <w:r w:rsidR="00411CB4" w:rsidRPr="007A18CC">
        <w:rPr>
          <w:sz w:val="24"/>
        </w:rPr>
        <w:t>,</w:t>
      </w:r>
      <w:r w:rsidRPr="007A18CC">
        <w:rPr>
          <w:sz w:val="24"/>
        </w:rPr>
        <w:t xml:space="preserve"> a postpaid incentive of $25 might suffice, but then the amount of monetary incentives paid for the Pre-Survey would total $250,000, for an increase of $25,000.  Further, a postpaid incentive of more </w:t>
      </w:r>
      <w:r w:rsidR="00362329" w:rsidRPr="007A18CC">
        <w:rPr>
          <w:sz w:val="24"/>
        </w:rPr>
        <w:t xml:space="preserve">than $20 </w:t>
      </w:r>
      <w:r w:rsidRPr="007A18CC">
        <w:rPr>
          <w:sz w:val="24"/>
        </w:rPr>
        <w:t xml:space="preserve">for </w:t>
      </w:r>
      <w:r w:rsidR="00362329" w:rsidRPr="007A18CC">
        <w:rPr>
          <w:sz w:val="24"/>
        </w:rPr>
        <w:t xml:space="preserve">completion of a </w:t>
      </w:r>
      <w:r w:rsidRPr="007A18CC">
        <w:rPr>
          <w:sz w:val="24"/>
        </w:rPr>
        <w:t>less-than-10 minute survey would likely have a deleterious effect on attrition, because the incentives paid upon completion of subsequent interviews—$20 after completion of a 30-minute interview—would become relatively less generous.   We would then likely be required to increase the incentives paid for subsequent interviews in order to obtain the desired response rates</w:t>
      </w:r>
      <w:r w:rsidR="008436DF" w:rsidRPr="007A18CC">
        <w:rPr>
          <w:sz w:val="24"/>
        </w:rPr>
        <w:t>.  With more than 20,000 separate interviews to be conducted each year, the annual amount of incentives paid would increase by more than $100,000 even if would only needed to increase the p</w:t>
      </w:r>
      <w:r w:rsidR="008E702E" w:rsidRPr="007A18CC">
        <w:rPr>
          <w:sz w:val="24"/>
        </w:rPr>
        <w:t>er interview payment by $5 as a result of the change in protocol.</w:t>
      </w:r>
    </w:p>
    <w:p w14:paraId="5AD1AE46" w14:textId="77777777" w:rsidR="008D673B" w:rsidRPr="00D07695" w:rsidRDefault="008D673B" w:rsidP="00AF0331">
      <w:pPr>
        <w:rPr>
          <w:rFonts w:ascii="Times" w:hAnsi="Times"/>
          <w:color w:val="000000"/>
          <w:sz w:val="24"/>
        </w:rPr>
      </w:pPr>
    </w:p>
    <w:p w14:paraId="3917A206" w14:textId="77777777" w:rsidR="00855ABA" w:rsidRPr="00D07695" w:rsidRDefault="000839A6" w:rsidP="00FF1C6E">
      <w:pPr>
        <w:pStyle w:val="Heading2"/>
        <w:rPr>
          <w:szCs w:val="24"/>
        </w:rPr>
      </w:pPr>
      <w:bookmarkStart w:id="12" w:name="_Toc479522850"/>
      <w:r w:rsidRPr="00D07695">
        <w:rPr>
          <w:szCs w:val="24"/>
        </w:rPr>
        <w:t xml:space="preserve">A.10. </w:t>
      </w:r>
      <w:r w:rsidR="00855ABA" w:rsidRPr="00D07695">
        <w:rPr>
          <w:szCs w:val="24"/>
        </w:rPr>
        <w:t xml:space="preserve">Assurance of </w:t>
      </w:r>
      <w:r w:rsidR="002C2A34">
        <w:rPr>
          <w:szCs w:val="24"/>
        </w:rPr>
        <w:t>Privacy</w:t>
      </w:r>
      <w:r w:rsidR="00855ABA" w:rsidRPr="00D07695">
        <w:rPr>
          <w:szCs w:val="24"/>
        </w:rPr>
        <w:t xml:space="preserve"> Provided to Respondents</w:t>
      </w:r>
      <w:bookmarkEnd w:id="12"/>
    </w:p>
    <w:p w14:paraId="5AAF9DEA" w14:textId="77777777" w:rsidR="008D673B" w:rsidRPr="00D07695" w:rsidRDefault="008D673B" w:rsidP="00FF1C6E">
      <w:pPr>
        <w:rPr>
          <w:sz w:val="24"/>
        </w:rPr>
      </w:pPr>
    </w:p>
    <w:p w14:paraId="1E49FCC4" w14:textId="2D3F75E6" w:rsidR="009714C9" w:rsidRPr="007A18CC" w:rsidRDefault="000F185C" w:rsidP="00FF1C6E">
      <w:pPr>
        <w:rPr>
          <w:sz w:val="24"/>
        </w:rPr>
      </w:pPr>
      <w:r w:rsidRPr="007A18CC">
        <w:rPr>
          <w:sz w:val="24"/>
        </w:rPr>
        <w:t xml:space="preserve">Data will be treated in a </w:t>
      </w:r>
      <w:r w:rsidR="00A21506" w:rsidRPr="007A18CC">
        <w:rPr>
          <w:sz w:val="24"/>
        </w:rPr>
        <w:t>private</w:t>
      </w:r>
      <w:r w:rsidRPr="007A18CC">
        <w:rPr>
          <w:sz w:val="24"/>
        </w:rPr>
        <w:t xml:space="preserve"> manner, unless otherwise compelled by law.</w:t>
      </w:r>
      <w:r w:rsidR="009714C9" w:rsidRPr="007A18CC">
        <w:rPr>
          <w:sz w:val="24"/>
        </w:rPr>
        <w:t xml:space="preserve">  The initial contact letters to respondents will include</w:t>
      </w:r>
      <w:r w:rsidRPr="007A18CC">
        <w:rPr>
          <w:sz w:val="24"/>
        </w:rPr>
        <w:t xml:space="preserve"> </w:t>
      </w:r>
      <w:r w:rsidR="009714C9" w:rsidRPr="007A18CC">
        <w:rPr>
          <w:sz w:val="24"/>
        </w:rPr>
        <w:t xml:space="preserve">the following </w:t>
      </w:r>
      <w:r w:rsidR="005B5CE4" w:rsidRPr="007A18CC">
        <w:rPr>
          <w:sz w:val="24"/>
        </w:rPr>
        <w:t xml:space="preserve">information about </w:t>
      </w:r>
      <w:r w:rsidR="00B474A7">
        <w:rPr>
          <w:sz w:val="24"/>
        </w:rPr>
        <w:t>the public release of data, removal of personally identifiable information, data-sharing arrangements, and volunt</w:t>
      </w:r>
      <w:bookmarkStart w:id="13" w:name="_GoBack"/>
      <w:bookmarkEnd w:id="13"/>
      <w:r w:rsidR="00B474A7">
        <w:rPr>
          <w:sz w:val="24"/>
        </w:rPr>
        <w:t xml:space="preserve">ary </w:t>
      </w:r>
      <w:r w:rsidR="005B5CE4" w:rsidRPr="007A18CC">
        <w:rPr>
          <w:sz w:val="24"/>
        </w:rPr>
        <w:t>participation</w:t>
      </w:r>
      <w:r w:rsidR="009714C9" w:rsidRPr="007A18CC">
        <w:rPr>
          <w:sz w:val="24"/>
        </w:rPr>
        <w:t xml:space="preserve">: </w:t>
      </w:r>
    </w:p>
    <w:p w14:paraId="1772AE1E" w14:textId="77777777" w:rsidR="00754656" w:rsidRPr="007A18CC" w:rsidRDefault="00754656" w:rsidP="00FF1C6E">
      <w:pPr>
        <w:rPr>
          <w:sz w:val="24"/>
        </w:rPr>
      </w:pPr>
    </w:p>
    <w:p w14:paraId="258E703E" w14:textId="2C3BF7D5" w:rsidR="00C909A6" w:rsidRPr="007A18CC" w:rsidRDefault="009714C9" w:rsidP="00C909A6">
      <w:pPr>
        <w:ind w:left="720" w:right="720"/>
        <w:rPr>
          <w:sz w:val="24"/>
        </w:rPr>
      </w:pPr>
      <w:r w:rsidRPr="007A18CC">
        <w:rPr>
          <w:sz w:val="24"/>
        </w:rPr>
        <w:t>“</w:t>
      </w:r>
      <w:r w:rsidR="00BB33EC" w:rsidRPr="00BB33EC">
        <w:rPr>
          <w:sz w:val="24"/>
        </w:rPr>
        <w:t xml:space="preserve">Your survey responses will be used for research and statistical purposes by the Department of Labor and contractors and researchers working with us on this </w:t>
      </w:r>
      <w:r w:rsidR="00BB33EC" w:rsidRPr="00BB33EC">
        <w:rPr>
          <w:sz w:val="24"/>
        </w:rPr>
        <w:lastRenderedPageBreak/>
        <w:t xml:space="preserve">study.  </w:t>
      </w:r>
      <w:r w:rsidR="00B145A8" w:rsidRPr="00B145A8">
        <w:rPr>
          <w:sz w:val="24"/>
        </w:rPr>
        <w:t xml:space="preserve">We will keep your identity private to the extent permitted by law.  </w:t>
      </w:r>
      <w:r w:rsidR="00BB33EC" w:rsidRPr="00BB33EC">
        <w:rPr>
          <w:sz w:val="24"/>
        </w:rPr>
        <w:t xml:space="preserve">The Department </w:t>
      </w:r>
      <w:r w:rsidR="00B145A8">
        <w:rPr>
          <w:sz w:val="24"/>
        </w:rPr>
        <w:t xml:space="preserve">of Labor </w:t>
      </w:r>
      <w:r w:rsidR="00BB33EC" w:rsidRPr="00BB33EC">
        <w:rPr>
          <w:sz w:val="24"/>
        </w:rPr>
        <w:t xml:space="preserve">intends to release </w:t>
      </w:r>
      <w:r w:rsidR="00AE2963">
        <w:rPr>
          <w:sz w:val="24"/>
        </w:rPr>
        <w:t xml:space="preserve">a </w:t>
      </w:r>
      <w:r w:rsidR="00B145A8">
        <w:rPr>
          <w:sz w:val="24"/>
        </w:rPr>
        <w:t xml:space="preserve">public </w:t>
      </w:r>
      <w:r w:rsidR="00BB33EC" w:rsidRPr="00BB33EC">
        <w:rPr>
          <w:sz w:val="24"/>
        </w:rPr>
        <w:t xml:space="preserve">data </w:t>
      </w:r>
      <w:r w:rsidR="00B145A8">
        <w:rPr>
          <w:sz w:val="24"/>
        </w:rPr>
        <w:t xml:space="preserve">file with information </w:t>
      </w:r>
      <w:r w:rsidR="00BB33EC" w:rsidRPr="00BB33EC">
        <w:rPr>
          <w:sz w:val="24"/>
        </w:rPr>
        <w:t xml:space="preserve">obtained from this survey, but will </w:t>
      </w:r>
      <w:r w:rsidR="00B145A8" w:rsidRPr="00B145A8">
        <w:rPr>
          <w:sz w:val="24"/>
        </w:rPr>
        <w:t xml:space="preserve">do so in in a way that protects the privacy of individual respondents. For example, released data will not include any </w:t>
      </w:r>
      <w:r w:rsidR="00BB33EC" w:rsidRPr="00BB33EC">
        <w:rPr>
          <w:sz w:val="24"/>
        </w:rPr>
        <w:t xml:space="preserve">personally identifying information, such as your name and address.  The project team includes researchers from </w:t>
      </w:r>
      <w:proofErr w:type="spellStart"/>
      <w:r w:rsidR="00BB33EC" w:rsidRPr="00BB33EC">
        <w:rPr>
          <w:sz w:val="24"/>
        </w:rPr>
        <w:t>DataStat</w:t>
      </w:r>
      <w:proofErr w:type="spellEnd"/>
      <w:r w:rsidR="00BB33EC" w:rsidRPr="00BB33EC">
        <w:rPr>
          <w:sz w:val="24"/>
        </w:rPr>
        <w:t>, Resolution Economics Group LLC, the University of Southern California, and RAND Corporation, a non-profit research organization.</w:t>
      </w:r>
      <w:r w:rsidR="00C909A6" w:rsidRPr="007A18CC">
        <w:rPr>
          <w:sz w:val="24"/>
        </w:rPr>
        <w:t xml:space="preserve"> </w:t>
      </w:r>
    </w:p>
    <w:p w14:paraId="6474CEF7" w14:textId="77777777" w:rsidR="00C909A6" w:rsidRPr="007A18CC" w:rsidRDefault="00C909A6" w:rsidP="00C909A6">
      <w:pPr>
        <w:ind w:left="720" w:right="720"/>
        <w:rPr>
          <w:sz w:val="24"/>
        </w:rPr>
      </w:pPr>
    </w:p>
    <w:p w14:paraId="7034CEC4" w14:textId="677FC79A" w:rsidR="00754656" w:rsidRPr="007A18CC" w:rsidRDefault="00C909A6" w:rsidP="00FF1C6E">
      <w:pPr>
        <w:ind w:left="720" w:right="720"/>
        <w:rPr>
          <w:sz w:val="24"/>
        </w:rPr>
      </w:pPr>
      <w:r w:rsidRPr="007A18CC">
        <w:rPr>
          <w:sz w:val="24"/>
        </w:rPr>
        <w:t>Your participation is voluntary, and your decision to participate or not to participate will not affect you</w:t>
      </w:r>
      <w:r w:rsidR="00B145A8" w:rsidRPr="00B145A8">
        <w:rPr>
          <w:sz w:val="24"/>
        </w:rPr>
        <w:t>r standing or relationship with the U.S. Department of Labor</w:t>
      </w:r>
      <w:r w:rsidRPr="007A18CC">
        <w:rPr>
          <w:sz w:val="24"/>
        </w:rPr>
        <w:t xml:space="preserve"> in any way.  Your experiences and opinions will provide policy makers with valuable information</w:t>
      </w:r>
      <w:r w:rsidR="00B145A8">
        <w:rPr>
          <w:sz w:val="24"/>
        </w:rPr>
        <w:t>; therefore</w:t>
      </w:r>
      <w:r w:rsidRPr="007A18CC">
        <w:rPr>
          <w:sz w:val="24"/>
        </w:rPr>
        <w:t>, we hope you will choose to participate.</w:t>
      </w:r>
      <w:r w:rsidR="009714C9" w:rsidRPr="007A18CC">
        <w:rPr>
          <w:sz w:val="24"/>
        </w:rPr>
        <w:t>”</w:t>
      </w:r>
    </w:p>
    <w:p w14:paraId="34ED2AC4" w14:textId="77777777" w:rsidR="00754656" w:rsidRPr="007A18CC" w:rsidRDefault="00754656" w:rsidP="00FF1C6E">
      <w:pPr>
        <w:ind w:left="720" w:right="720"/>
        <w:rPr>
          <w:sz w:val="24"/>
        </w:rPr>
      </w:pPr>
    </w:p>
    <w:p w14:paraId="098E7AE5" w14:textId="77777777" w:rsidR="007D679C" w:rsidRPr="007A18CC" w:rsidRDefault="007D679C" w:rsidP="00FF1C6E">
      <w:pPr>
        <w:rPr>
          <w:sz w:val="24"/>
        </w:rPr>
      </w:pPr>
      <w:r w:rsidRPr="007A18CC">
        <w:rPr>
          <w:sz w:val="24"/>
        </w:rPr>
        <w:t>Subsequent contact letters will include similar statements.</w:t>
      </w:r>
    </w:p>
    <w:p w14:paraId="3A0D66ED" w14:textId="77777777" w:rsidR="007D679C" w:rsidRPr="007A18CC" w:rsidRDefault="007D679C" w:rsidP="00FF1C6E">
      <w:pPr>
        <w:rPr>
          <w:sz w:val="24"/>
        </w:rPr>
      </w:pPr>
    </w:p>
    <w:p w14:paraId="2F3273BB" w14:textId="77777777" w:rsidR="008D673B" w:rsidRPr="007A18CC" w:rsidRDefault="009533FA" w:rsidP="00FF1C6E">
      <w:pPr>
        <w:rPr>
          <w:sz w:val="24"/>
        </w:rPr>
      </w:pPr>
      <w:r w:rsidRPr="007A18CC">
        <w:rPr>
          <w:sz w:val="24"/>
        </w:rPr>
        <w:t>The research team will have access to</w:t>
      </w:r>
      <w:r w:rsidR="009714C9" w:rsidRPr="007A18CC">
        <w:rPr>
          <w:sz w:val="24"/>
        </w:rPr>
        <w:t xml:space="preserve"> sensitive information</w:t>
      </w:r>
      <w:r w:rsidRPr="007A18CC">
        <w:rPr>
          <w:sz w:val="24"/>
        </w:rPr>
        <w:t xml:space="preserve"> </w:t>
      </w:r>
      <w:r w:rsidR="009714C9" w:rsidRPr="007A18CC">
        <w:rPr>
          <w:sz w:val="24"/>
        </w:rPr>
        <w:t xml:space="preserve">that is </w:t>
      </w:r>
      <w:r w:rsidRPr="007A18CC">
        <w:rPr>
          <w:sz w:val="24"/>
        </w:rPr>
        <w:t>p</w:t>
      </w:r>
      <w:r w:rsidR="000F185C" w:rsidRPr="007A18CC">
        <w:rPr>
          <w:sz w:val="24"/>
        </w:rPr>
        <w:t>ersonal</w:t>
      </w:r>
      <w:r w:rsidR="009714C9" w:rsidRPr="007A18CC">
        <w:rPr>
          <w:sz w:val="24"/>
        </w:rPr>
        <w:t>ly</w:t>
      </w:r>
      <w:r w:rsidR="000F185C" w:rsidRPr="007A18CC">
        <w:rPr>
          <w:sz w:val="24"/>
        </w:rPr>
        <w:t xml:space="preserve"> identifi</w:t>
      </w:r>
      <w:r w:rsidRPr="007A18CC">
        <w:rPr>
          <w:sz w:val="24"/>
        </w:rPr>
        <w:t>able</w:t>
      </w:r>
      <w:r w:rsidR="000F185C" w:rsidRPr="007A18CC">
        <w:rPr>
          <w:sz w:val="24"/>
        </w:rPr>
        <w:t xml:space="preserve"> (e.</w:t>
      </w:r>
      <w:r w:rsidR="009714C9" w:rsidRPr="007A18CC">
        <w:rPr>
          <w:sz w:val="24"/>
        </w:rPr>
        <w:t>g.</w:t>
      </w:r>
      <w:r w:rsidR="000F185C" w:rsidRPr="007A18CC">
        <w:rPr>
          <w:sz w:val="24"/>
        </w:rPr>
        <w:t>, respondent names</w:t>
      </w:r>
      <w:r w:rsidR="008A00CF" w:rsidRPr="007A18CC">
        <w:rPr>
          <w:sz w:val="24"/>
        </w:rPr>
        <w:t xml:space="preserve"> and</w:t>
      </w:r>
      <w:r w:rsidRPr="007A18CC">
        <w:rPr>
          <w:sz w:val="24"/>
        </w:rPr>
        <w:t xml:space="preserve"> </w:t>
      </w:r>
      <w:r w:rsidR="00481329" w:rsidRPr="007A18CC">
        <w:rPr>
          <w:sz w:val="24"/>
        </w:rPr>
        <w:t>self-reports</w:t>
      </w:r>
      <w:r w:rsidR="006C7BF4" w:rsidRPr="007A18CC">
        <w:rPr>
          <w:sz w:val="24"/>
        </w:rPr>
        <w:t xml:space="preserve"> on household finances</w:t>
      </w:r>
      <w:r w:rsidR="000F185C" w:rsidRPr="007A18CC">
        <w:rPr>
          <w:sz w:val="24"/>
        </w:rPr>
        <w:t xml:space="preserve">) </w:t>
      </w:r>
      <w:r w:rsidRPr="007A18CC">
        <w:rPr>
          <w:sz w:val="24"/>
        </w:rPr>
        <w:t xml:space="preserve">for the purposes of the study.  </w:t>
      </w:r>
      <w:r w:rsidR="000F185C" w:rsidRPr="007A18CC">
        <w:rPr>
          <w:sz w:val="24"/>
        </w:rPr>
        <w:t xml:space="preserve">Researchers will take appropriate steps to secure all potentially identifying information so that there can be no breach of </w:t>
      </w:r>
      <w:r w:rsidR="00BB02B2" w:rsidRPr="007A18CC">
        <w:rPr>
          <w:sz w:val="24"/>
        </w:rPr>
        <w:t>privacy</w:t>
      </w:r>
      <w:r w:rsidR="000F1F0B" w:rsidRPr="007A18CC">
        <w:rPr>
          <w:sz w:val="24"/>
        </w:rPr>
        <w:t xml:space="preserve"> by following RAND’s guidelines for treating sensitive information. These guidelines identify six levels of sensitivity with corresponding levels of security for storing, transferring and disposing of sensitive information. Secured storage of information includes limiting access to a set number of researchers and keeping the data in a locked environment.  Examples of proper disposal of sensitive data include the use of secure file deletion software that deletes the files and overwrites all empty space on the disk a minimum of </w:t>
      </w:r>
      <w:r w:rsidR="00937DE2" w:rsidRPr="007A18CC">
        <w:rPr>
          <w:sz w:val="24"/>
        </w:rPr>
        <w:t>three</w:t>
      </w:r>
      <w:r w:rsidR="000F1F0B" w:rsidRPr="007A18CC">
        <w:rPr>
          <w:sz w:val="24"/>
        </w:rPr>
        <w:t xml:space="preserve"> times.</w:t>
      </w:r>
      <w:r w:rsidR="00F310B2" w:rsidRPr="007A18CC">
        <w:rPr>
          <w:sz w:val="24"/>
        </w:rPr>
        <w:t xml:space="preserve"> The information presented in the study’s briefs and reports will be de-identified and will not provide any information about specific individuals.  De-identified databases will also be produced in accordance with plans to make the data available to the public for research purposes.</w:t>
      </w:r>
    </w:p>
    <w:p w14:paraId="3D8E9A69" w14:textId="77777777" w:rsidR="00452E97" w:rsidRPr="007A18CC" w:rsidRDefault="00452E97" w:rsidP="00FF1C6E">
      <w:pPr>
        <w:rPr>
          <w:sz w:val="24"/>
        </w:rPr>
      </w:pPr>
    </w:p>
    <w:p w14:paraId="22C680F1" w14:textId="77777777" w:rsidR="00452E97" w:rsidRPr="007A18CC" w:rsidRDefault="00452E97" w:rsidP="00FF1C6E">
      <w:pPr>
        <w:rPr>
          <w:sz w:val="24"/>
        </w:rPr>
      </w:pPr>
      <w:r w:rsidRPr="007A18CC">
        <w:rPr>
          <w:sz w:val="24"/>
        </w:rPr>
        <w:t>Contact information for all potential survey respondents will be considered “highly sensitive” and thus must be kept in a “locked”, “fixed”, or “isolated” storage at project team sites.  Databases containing contact information and</w:t>
      </w:r>
      <w:r w:rsidR="006829AC" w:rsidRPr="007A18CC">
        <w:rPr>
          <w:sz w:val="24"/>
        </w:rPr>
        <w:t>/or</w:t>
      </w:r>
      <w:r w:rsidRPr="007A18CC">
        <w:rPr>
          <w:sz w:val="24"/>
        </w:rPr>
        <w:t xml:space="preserve"> identifying information will be maintained separately from databases contain</w:t>
      </w:r>
      <w:r w:rsidR="00CF2013" w:rsidRPr="007A18CC">
        <w:rPr>
          <w:sz w:val="24"/>
        </w:rPr>
        <w:t>ing</w:t>
      </w:r>
      <w:r w:rsidRPr="007A18CC">
        <w:rPr>
          <w:sz w:val="24"/>
        </w:rPr>
        <w:t xml:space="preserve"> other survey responses.  The databases of surv</w:t>
      </w:r>
      <w:r w:rsidR="00CF2013" w:rsidRPr="007A18CC">
        <w:rPr>
          <w:sz w:val="24"/>
        </w:rPr>
        <w:t xml:space="preserve">ey responses will </w:t>
      </w:r>
      <w:r w:rsidRPr="007A18CC">
        <w:rPr>
          <w:sz w:val="24"/>
        </w:rPr>
        <w:t>utilize scrambled identification numbers that will only be linked back to identifying information as needed—e.g., in the introduction to a follow-up survey in order to confirm that the correct individual is responding.</w:t>
      </w:r>
      <w:r w:rsidR="006829AC" w:rsidRPr="007A18CC">
        <w:rPr>
          <w:sz w:val="24"/>
        </w:rPr>
        <w:t xml:space="preserve">  Databases containing contact information and/or identifying information will only be distribut</w:t>
      </w:r>
      <w:r w:rsidR="00CF2013" w:rsidRPr="007A18CC">
        <w:rPr>
          <w:sz w:val="24"/>
        </w:rPr>
        <w:t xml:space="preserve">ed within the project team </w:t>
      </w:r>
      <w:r w:rsidR="006829AC" w:rsidRPr="007A18CC">
        <w:rPr>
          <w:sz w:val="24"/>
        </w:rPr>
        <w:t>as needed—e.g., for the purpose of conducting follow-up contacts—</w:t>
      </w:r>
      <w:r w:rsidR="00CF2013" w:rsidRPr="007A18CC">
        <w:rPr>
          <w:sz w:val="24"/>
        </w:rPr>
        <w:t>utilizing 128-</w:t>
      </w:r>
      <w:r w:rsidR="006829AC" w:rsidRPr="007A18CC">
        <w:rPr>
          <w:sz w:val="24"/>
        </w:rPr>
        <w:t xml:space="preserve">bit encryption through SSL to securely transfer files. </w:t>
      </w:r>
    </w:p>
    <w:p w14:paraId="344D6C60" w14:textId="397F6D9F" w:rsidR="00C03AAF" w:rsidRDefault="00C03AAF">
      <w:pPr>
        <w:widowControl/>
        <w:autoSpaceDE/>
        <w:autoSpaceDN/>
        <w:adjustRightInd/>
        <w:rPr>
          <w:sz w:val="24"/>
        </w:rPr>
      </w:pPr>
      <w:r>
        <w:rPr>
          <w:sz w:val="24"/>
        </w:rPr>
        <w:br w:type="page"/>
      </w:r>
    </w:p>
    <w:p w14:paraId="689D428D" w14:textId="77777777" w:rsidR="006E241D" w:rsidRPr="007A18CC" w:rsidRDefault="006E241D" w:rsidP="00FF1C6E">
      <w:pPr>
        <w:rPr>
          <w:sz w:val="24"/>
        </w:rPr>
      </w:pPr>
    </w:p>
    <w:p w14:paraId="19437C03" w14:textId="77777777" w:rsidR="00AD4F4A" w:rsidRPr="007A18CC" w:rsidRDefault="006E241D" w:rsidP="00FF1C6E">
      <w:pPr>
        <w:rPr>
          <w:sz w:val="24"/>
        </w:rPr>
      </w:pPr>
      <w:r w:rsidRPr="007A18CC">
        <w:rPr>
          <w:sz w:val="24"/>
        </w:rPr>
        <w:t xml:space="preserve">Initial contact and data collection will be conducted solely by a contractor.   Once data is produced to DOL, appropriate protections will be implemented under the Privacy Act of 1974, </w:t>
      </w:r>
    </w:p>
    <w:p w14:paraId="4CF95076" w14:textId="77777777" w:rsidR="006E241D" w:rsidRPr="007A18CC" w:rsidRDefault="006E241D" w:rsidP="00FF1C6E">
      <w:pPr>
        <w:rPr>
          <w:sz w:val="24"/>
        </w:rPr>
      </w:pPr>
      <w:proofErr w:type="gramStart"/>
      <w:r w:rsidRPr="007A18CC">
        <w:rPr>
          <w:sz w:val="24"/>
        </w:rPr>
        <w:t>5 U.S.C.</w:t>
      </w:r>
      <w:proofErr w:type="gramEnd"/>
      <w:r w:rsidRPr="007A18CC">
        <w:rPr>
          <w:sz w:val="24"/>
        </w:rPr>
        <w:t xml:space="preserve">  </w:t>
      </w:r>
      <w:proofErr w:type="gramStart"/>
      <w:r w:rsidRPr="007A18CC">
        <w:rPr>
          <w:sz w:val="24"/>
        </w:rPr>
        <w:t>Sec 552a, for data that has not been de-identified.</w:t>
      </w:r>
      <w:proofErr w:type="gramEnd"/>
      <w:r w:rsidRPr="007A18CC">
        <w:rPr>
          <w:sz w:val="24"/>
        </w:rPr>
        <w:t xml:space="preserve">  The Department is in the process of preparing a System of Records Notice (SORN) for such data.</w:t>
      </w:r>
    </w:p>
    <w:p w14:paraId="1390A2C0" w14:textId="77777777" w:rsidR="00452E97" w:rsidRPr="007A18CC" w:rsidRDefault="00452E97" w:rsidP="00FF1C6E">
      <w:pPr>
        <w:rPr>
          <w:sz w:val="24"/>
        </w:rPr>
      </w:pPr>
    </w:p>
    <w:p w14:paraId="2EC05819" w14:textId="77777777" w:rsidR="00030936" w:rsidRPr="007A18CC" w:rsidRDefault="00030936" w:rsidP="00FF1C6E">
      <w:pPr>
        <w:rPr>
          <w:sz w:val="24"/>
        </w:rPr>
      </w:pPr>
      <w:r w:rsidRPr="007A18CC">
        <w:rPr>
          <w:sz w:val="24"/>
        </w:rPr>
        <w:t>The data collection and dissemination procedures will be submitted for review by the Human Subjects Protection Committee (HSPC) o</w:t>
      </w:r>
      <w:r w:rsidR="00452E97" w:rsidRPr="007A18CC">
        <w:rPr>
          <w:sz w:val="24"/>
        </w:rPr>
        <w:t>f</w:t>
      </w:r>
      <w:r w:rsidRPr="007A18CC">
        <w:rPr>
          <w:sz w:val="24"/>
        </w:rPr>
        <w:t xml:space="preserve"> the RAND Corporation.  The HSPC reviews research involving human subjects, pursuant to regulations of 15 federal departments and agencies. RAND has a multiple project assurance of compliance on file with the Department of Health and Huma</w:t>
      </w:r>
      <w:r w:rsidR="008A7F86" w:rsidRPr="007A18CC">
        <w:rPr>
          <w:sz w:val="24"/>
        </w:rPr>
        <w:t xml:space="preserve">n Services that also serves as </w:t>
      </w:r>
      <w:r w:rsidRPr="007A18CC">
        <w:rPr>
          <w:sz w:val="24"/>
        </w:rPr>
        <w:t>assurance of compliance with the regulations of other federal departments and agencies. The HSPC reviews all nonexempt research to make sure subjects are adequately protected from research risks. It monitors research on an ongoing basis and conducts periodic reviews. It also advises researchers about safeguarding rights and welfare of human subjects.  The data collection activities will not begin before RAND HSPC approval has been granted.</w:t>
      </w:r>
    </w:p>
    <w:p w14:paraId="740F1A99" w14:textId="77777777" w:rsidR="00C03AAF" w:rsidRDefault="00C03AAF" w:rsidP="00FF1C6E">
      <w:pPr>
        <w:pStyle w:val="Heading2"/>
        <w:rPr>
          <w:szCs w:val="24"/>
        </w:rPr>
      </w:pPr>
      <w:bookmarkStart w:id="14" w:name="_Toc479522851"/>
    </w:p>
    <w:p w14:paraId="426E9A4E" w14:textId="77777777" w:rsidR="00855ABA" w:rsidRPr="00D07695" w:rsidRDefault="000839A6" w:rsidP="00FF1C6E">
      <w:pPr>
        <w:pStyle w:val="Heading2"/>
        <w:rPr>
          <w:szCs w:val="24"/>
        </w:rPr>
      </w:pPr>
      <w:r w:rsidRPr="00D07695">
        <w:rPr>
          <w:szCs w:val="24"/>
        </w:rPr>
        <w:t xml:space="preserve">A.11. </w:t>
      </w:r>
      <w:r w:rsidR="00855ABA" w:rsidRPr="00D07695">
        <w:rPr>
          <w:szCs w:val="24"/>
        </w:rPr>
        <w:t>Justification for Sensitive Questions</w:t>
      </w:r>
      <w:bookmarkEnd w:id="14"/>
    </w:p>
    <w:p w14:paraId="282288EA" w14:textId="77777777" w:rsidR="008D673B" w:rsidRPr="00D07695" w:rsidRDefault="008D673B" w:rsidP="00FF1C6E">
      <w:pPr>
        <w:rPr>
          <w:sz w:val="24"/>
        </w:rPr>
      </w:pPr>
    </w:p>
    <w:p w14:paraId="4FEB4609" w14:textId="77777777" w:rsidR="009533FA" w:rsidRDefault="009533FA" w:rsidP="00FF1C6E">
      <w:pPr>
        <w:rPr>
          <w:sz w:val="24"/>
        </w:rPr>
      </w:pPr>
      <w:r w:rsidRPr="007A18CC">
        <w:rPr>
          <w:sz w:val="24"/>
        </w:rPr>
        <w:t xml:space="preserve">The </w:t>
      </w:r>
      <w:r w:rsidR="008251E2" w:rsidRPr="007A18CC">
        <w:rPr>
          <w:sz w:val="24"/>
        </w:rPr>
        <w:t xml:space="preserve">cognitive interviews, </w:t>
      </w:r>
      <w:r w:rsidRPr="007A18CC">
        <w:rPr>
          <w:sz w:val="24"/>
        </w:rPr>
        <w:t>survey</w:t>
      </w:r>
      <w:r w:rsidR="005C5EDD" w:rsidRPr="007A18CC">
        <w:rPr>
          <w:sz w:val="24"/>
        </w:rPr>
        <w:t xml:space="preserve"> interviews</w:t>
      </w:r>
      <w:r w:rsidR="007571CC" w:rsidRPr="007A18CC">
        <w:rPr>
          <w:sz w:val="24"/>
        </w:rPr>
        <w:t>,</w:t>
      </w:r>
      <w:r w:rsidR="005C5EDD" w:rsidRPr="007A18CC">
        <w:rPr>
          <w:sz w:val="24"/>
        </w:rPr>
        <w:t xml:space="preserve"> and </w:t>
      </w:r>
      <w:r w:rsidR="008251E2" w:rsidRPr="007A18CC">
        <w:rPr>
          <w:sz w:val="24"/>
        </w:rPr>
        <w:t>debriefings</w:t>
      </w:r>
      <w:r w:rsidR="00EF292B" w:rsidRPr="007A18CC">
        <w:rPr>
          <w:sz w:val="24"/>
        </w:rPr>
        <w:t xml:space="preserve"> will</w:t>
      </w:r>
      <w:r w:rsidRPr="007A18CC">
        <w:rPr>
          <w:sz w:val="24"/>
        </w:rPr>
        <w:t xml:space="preserve"> ask questions related to personal financial behavior, such as </w:t>
      </w:r>
      <w:r w:rsidR="005C5EDD" w:rsidRPr="007A18CC">
        <w:rPr>
          <w:sz w:val="24"/>
        </w:rPr>
        <w:t>how financial decisions are made, whether they receive professional advice</w:t>
      </w:r>
      <w:r w:rsidR="007571CC" w:rsidRPr="007A18CC">
        <w:rPr>
          <w:sz w:val="24"/>
        </w:rPr>
        <w:t>,</w:t>
      </w:r>
      <w:r w:rsidR="00EF292B" w:rsidRPr="007A18CC">
        <w:rPr>
          <w:sz w:val="24"/>
        </w:rPr>
        <w:t xml:space="preserve"> and the current </w:t>
      </w:r>
      <w:r w:rsidRPr="007A18CC">
        <w:rPr>
          <w:sz w:val="24"/>
        </w:rPr>
        <w:t>amount</w:t>
      </w:r>
      <w:r w:rsidR="007571CC" w:rsidRPr="007A18CC">
        <w:rPr>
          <w:sz w:val="24"/>
        </w:rPr>
        <w:t>s</w:t>
      </w:r>
      <w:r w:rsidRPr="007A18CC">
        <w:rPr>
          <w:sz w:val="24"/>
        </w:rPr>
        <w:t xml:space="preserve"> of </w:t>
      </w:r>
      <w:r w:rsidR="00EF292B" w:rsidRPr="007A18CC">
        <w:rPr>
          <w:sz w:val="24"/>
        </w:rPr>
        <w:t xml:space="preserve">retirement </w:t>
      </w:r>
      <w:r w:rsidRPr="007A18CC">
        <w:rPr>
          <w:sz w:val="24"/>
        </w:rPr>
        <w:t>savings</w:t>
      </w:r>
      <w:r w:rsidR="00EF292B" w:rsidRPr="007A18CC">
        <w:rPr>
          <w:sz w:val="24"/>
        </w:rPr>
        <w:t xml:space="preserve"> and </w:t>
      </w:r>
      <w:r w:rsidR="007571CC" w:rsidRPr="007A18CC">
        <w:rPr>
          <w:sz w:val="24"/>
        </w:rPr>
        <w:t>investments</w:t>
      </w:r>
      <w:r w:rsidRPr="007A18CC">
        <w:rPr>
          <w:sz w:val="24"/>
        </w:rPr>
        <w:t xml:space="preserve">.  Researchers will need this information to assess financial </w:t>
      </w:r>
      <w:r w:rsidR="00EF292B" w:rsidRPr="007A18CC">
        <w:rPr>
          <w:sz w:val="24"/>
        </w:rPr>
        <w:t>decision</w:t>
      </w:r>
      <w:r w:rsidR="00197E63" w:rsidRPr="007A18CC">
        <w:rPr>
          <w:sz w:val="24"/>
        </w:rPr>
        <w:t xml:space="preserve"> </w:t>
      </w:r>
      <w:r w:rsidR="00EF292B" w:rsidRPr="007A18CC">
        <w:rPr>
          <w:sz w:val="24"/>
        </w:rPr>
        <w:t>making related to preparing for retirement.</w:t>
      </w:r>
      <w:r w:rsidR="009714C9" w:rsidRPr="007A18CC">
        <w:rPr>
          <w:sz w:val="24"/>
        </w:rPr>
        <w:t xml:space="preserve">  Self-reports on household finances are required to gain a full understanding of household decisions.</w:t>
      </w:r>
    </w:p>
    <w:p w14:paraId="027C57B2" w14:textId="77777777" w:rsidR="00C03AAF" w:rsidRPr="007A18CC" w:rsidRDefault="00C03AAF" w:rsidP="00FF1C6E">
      <w:pPr>
        <w:rPr>
          <w:sz w:val="24"/>
        </w:rPr>
      </w:pPr>
    </w:p>
    <w:p w14:paraId="35A112F3" w14:textId="77777777" w:rsidR="00855ABA" w:rsidRPr="00D07695" w:rsidRDefault="000839A6" w:rsidP="00FF1C6E">
      <w:pPr>
        <w:pStyle w:val="Heading2"/>
        <w:rPr>
          <w:szCs w:val="24"/>
        </w:rPr>
      </w:pPr>
      <w:bookmarkStart w:id="15" w:name="_Toc479522852"/>
      <w:r w:rsidRPr="00D07695">
        <w:rPr>
          <w:szCs w:val="24"/>
        </w:rPr>
        <w:t xml:space="preserve">A.12. </w:t>
      </w:r>
      <w:r w:rsidR="00855ABA" w:rsidRPr="00D07695">
        <w:rPr>
          <w:szCs w:val="24"/>
        </w:rPr>
        <w:t xml:space="preserve">Estimates of </w:t>
      </w:r>
      <w:r w:rsidR="00855ABA" w:rsidRPr="00DD6830">
        <w:rPr>
          <w:szCs w:val="24"/>
        </w:rPr>
        <w:t>Annualized</w:t>
      </w:r>
      <w:r w:rsidR="00855ABA" w:rsidRPr="00D07695">
        <w:rPr>
          <w:szCs w:val="24"/>
        </w:rPr>
        <w:t xml:space="preserve"> Hour and Cost Burden</w:t>
      </w:r>
      <w:bookmarkEnd w:id="15"/>
      <w:r w:rsidR="00855ABA" w:rsidRPr="00D07695">
        <w:rPr>
          <w:szCs w:val="24"/>
        </w:rPr>
        <w:t xml:space="preserve">  </w:t>
      </w:r>
    </w:p>
    <w:p w14:paraId="7F60CF29" w14:textId="77777777" w:rsidR="008D673B" w:rsidRPr="00D07695" w:rsidRDefault="008D673B" w:rsidP="00FF1C6E">
      <w:pPr>
        <w:rPr>
          <w:sz w:val="24"/>
        </w:rPr>
      </w:pPr>
    </w:p>
    <w:p w14:paraId="3FF864C3" w14:textId="6C869E00" w:rsidR="00AD5A55" w:rsidRDefault="008D673B" w:rsidP="00FF1C6E">
      <w:pPr>
        <w:rPr>
          <w:sz w:val="24"/>
        </w:rPr>
      </w:pPr>
      <w:r w:rsidRPr="00D07695">
        <w:rPr>
          <w:sz w:val="24"/>
        </w:rPr>
        <w:t xml:space="preserve">In </w:t>
      </w:r>
      <w:r w:rsidR="00BA3B6D">
        <w:rPr>
          <w:sz w:val="24"/>
        </w:rPr>
        <w:t>T</w:t>
      </w:r>
      <w:r w:rsidR="00BA3B6D" w:rsidRPr="00D07695">
        <w:rPr>
          <w:sz w:val="24"/>
        </w:rPr>
        <w:t>able</w:t>
      </w:r>
      <w:r w:rsidR="00BA3B6D">
        <w:rPr>
          <w:sz w:val="24"/>
        </w:rPr>
        <w:t xml:space="preserve"> 1</w:t>
      </w:r>
      <w:r w:rsidR="00BA3B6D" w:rsidRPr="00D07695">
        <w:rPr>
          <w:sz w:val="24"/>
        </w:rPr>
        <w:t xml:space="preserve"> </w:t>
      </w:r>
      <w:r w:rsidR="00A23808" w:rsidRPr="00D07695">
        <w:rPr>
          <w:sz w:val="24"/>
        </w:rPr>
        <w:t>below</w:t>
      </w:r>
      <w:r w:rsidRPr="00D07695">
        <w:rPr>
          <w:sz w:val="24"/>
        </w:rPr>
        <w:t xml:space="preserve">, we provide estimates of the collection burden on study participants. </w:t>
      </w:r>
      <w:r w:rsidR="007129BD" w:rsidRPr="005A788C">
        <w:rPr>
          <w:sz w:val="24"/>
        </w:rPr>
        <w:t>P</w:t>
      </w:r>
      <w:r w:rsidRPr="005A788C">
        <w:rPr>
          <w:sz w:val="24"/>
        </w:rPr>
        <w:t xml:space="preserve">articipants will </w:t>
      </w:r>
      <w:r w:rsidR="00E97C73" w:rsidRPr="005A788C">
        <w:rPr>
          <w:sz w:val="24"/>
        </w:rPr>
        <w:t xml:space="preserve">engage </w:t>
      </w:r>
      <w:r w:rsidRPr="005A788C">
        <w:rPr>
          <w:sz w:val="24"/>
        </w:rPr>
        <w:t xml:space="preserve">in data collection </w:t>
      </w:r>
      <w:r w:rsidR="00C560AE" w:rsidRPr="005A788C">
        <w:rPr>
          <w:sz w:val="24"/>
        </w:rPr>
        <w:t>on an ongoing basis</w:t>
      </w:r>
      <w:r w:rsidR="00E97C73" w:rsidRPr="005A788C">
        <w:rPr>
          <w:sz w:val="24"/>
        </w:rPr>
        <w:t xml:space="preserve"> beginning </w:t>
      </w:r>
      <w:r w:rsidR="00E04D8F" w:rsidRPr="005A788C">
        <w:rPr>
          <w:sz w:val="24"/>
        </w:rPr>
        <w:t>as early as</w:t>
      </w:r>
      <w:r w:rsidR="00E97C73" w:rsidRPr="005A788C">
        <w:rPr>
          <w:sz w:val="24"/>
        </w:rPr>
        <w:t xml:space="preserve"> </w:t>
      </w:r>
      <w:r w:rsidR="007A5050" w:rsidRPr="005A788C">
        <w:rPr>
          <w:sz w:val="24"/>
        </w:rPr>
        <w:t>the</w:t>
      </w:r>
      <w:r w:rsidR="006468C5">
        <w:rPr>
          <w:sz w:val="24"/>
        </w:rPr>
        <w:t xml:space="preserve"> summer </w:t>
      </w:r>
      <w:r w:rsidR="007A5050" w:rsidRPr="005A788C">
        <w:rPr>
          <w:sz w:val="24"/>
        </w:rPr>
        <w:t>of</w:t>
      </w:r>
      <w:r w:rsidR="00E97C73" w:rsidRPr="005A788C">
        <w:rPr>
          <w:sz w:val="24"/>
        </w:rPr>
        <w:t xml:space="preserve"> </w:t>
      </w:r>
      <w:r w:rsidR="006468C5">
        <w:rPr>
          <w:sz w:val="24"/>
        </w:rPr>
        <w:t>2017</w:t>
      </w:r>
      <w:r w:rsidR="00A23808" w:rsidRPr="005A788C">
        <w:rPr>
          <w:sz w:val="24"/>
        </w:rPr>
        <w:t xml:space="preserve">, contingent upon OMB </w:t>
      </w:r>
      <w:r w:rsidR="00F64B8D" w:rsidRPr="005A788C">
        <w:rPr>
          <w:sz w:val="24"/>
        </w:rPr>
        <w:t>clearance</w:t>
      </w:r>
      <w:r w:rsidR="00A23808" w:rsidRPr="005A788C">
        <w:rPr>
          <w:sz w:val="24"/>
        </w:rPr>
        <w:t>,</w:t>
      </w:r>
      <w:r w:rsidR="00E97C73" w:rsidRPr="005A788C">
        <w:rPr>
          <w:sz w:val="24"/>
        </w:rPr>
        <w:t xml:space="preserve"> and continuing </w:t>
      </w:r>
      <w:r w:rsidR="006468C5">
        <w:rPr>
          <w:sz w:val="24"/>
        </w:rPr>
        <w:t xml:space="preserve">for </w:t>
      </w:r>
      <w:r w:rsidR="004D434D">
        <w:rPr>
          <w:sz w:val="24"/>
        </w:rPr>
        <w:t xml:space="preserve">up to </w:t>
      </w:r>
      <w:r w:rsidR="006468C5">
        <w:rPr>
          <w:sz w:val="24"/>
        </w:rPr>
        <w:t xml:space="preserve">two years. </w:t>
      </w:r>
      <w:r w:rsidR="00A23808" w:rsidRPr="005F048A">
        <w:rPr>
          <w:sz w:val="24"/>
        </w:rPr>
        <w:t xml:space="preserve"> Participants will respond</w:t>
      </w:r>
      <w:r w:rsidRPr="005F048A">
        <w:rPr>
          <w:sz w:val="24"/>
        </w:rPr>
        <w:t xml:space="preserve"> </w:t>
      </w:r>
      <w:r w:rsidR="00BF73F1">
        <w:rPr>
          <w:sz w:val="24"/>
        </w:rPr>
        <w:t xml:space="preserve">in </w:t>
      </w:r>
      <w:r w:rsidR="00264F82">
        <w:rPr>
          <w:sz w:val="24"/>
        </w:rPr>
        <w:t xml:space="preserve">person, </w:t>
      </w:r>
      <w:r w:rsidR="00BF73F1">
        <w:rPr>
          <w:sz w:val="24"/>
        </w:rPr>
        <w:t xml:space="preserve">via </w:t>
      </w:r>
      <w:r w:rsidR="00264F82">
        <w:rPr>
          <w:sz w:val="24"/>
        </w:rPr>
        <w:t>mail,</w:t>
      </w:r>
      <w:r w:rsidR="00BF73F1">
        <w:rPr>
          <w:sz w:val="24"/>
        </w:rPr>
        <w:t xml:space="preserve"> via</w:t>
      </w:r>
      <w:r w:rsidR="00264F82">
        <w:rPr>
          <w:sz w:val="24"/>
        </w:rPr>
        <w:t xml:space="preserve"> telephone, and/or</w:t>
      </w:r>
      <w:r w:rsidR="00BF73F1">
        <w:rPr>
          <w:sz w:val="24"/>
        </w:rPr>
        <w:t xml:space="preserve"> via</w:t>
      </w:r>
      <w:r w:rsidR="00264F82">
        <w:rPr>
          <w:sz w:val="24"/>
        </w:rPr>
        <w:t xml:space="preserve"> </w:t>
      </w:r>
      <w:r w:rsidR="00C560AE" w:rsidRPr="005F048A">
        <w:rPr>
          <w:sz w:val="24"/>
        </w:rPr>
        <w:t>Internet</w:t>
      </w:r>
      <w:r w:rsidRPr="005F048A">
        <w:rPr>
          <w:sz w:val="24"/>
        </w:rPr>
        <w:t>.</w:t>
      </w:r>
      <w:r w:rsidRPr="00D07695">
        <w:rPr>
          <w:sz w:val="24"/>
        </w:rPr>
        <w:t xml:space="preserve"> </w:t>
      </w:r>
    </w:p>
    <w:p w14:paraId="373E52E6" w14:textId="77777777" w:rsidR="00AD5A55" w:rsidRDefault="00AD5A55" w:rsidP="00FF1C6E">
      <w:pPr>
        <w:rPr>
          <w:sz w:val="24"/>
        </w:rPr>
      </w:pPr>
    </w:p>
    <w:p w14:paraId="6CFF1506" w14:textId="77777777" w:rsidR="0087302E" w:rsidRDefault="008D673B">
      <w:pPr>
        <w:widowControl/>
        <w:autoSpaceDE/>
        <w:autoSpaceDN/>
        <w:adjustRightInd/>
        <w:rPr>
          <w:sz w:val="24"/>
        </w:rPr>
      </w:pPr>
      <w:r w:rsidRPr="00D07695">
        <w:rPr>
          <w:sz w:val="24"/>
        </w:rPr>
        <w:t xml:space="preserve">Hour burden estimates </w:t>
      </w:r>
      <w:r w:rsidR="000B684E" w:rsidRPr="00D07695">
        <w:rPr>
          <w:sz w:val="24"/>
        </w:rPr>
        <w:t xml:space="preserve">will be </w:t>
      </w:r>
      <w:r w:rsidRPr="00D07695">
        <w:rPr>
          <w:sz w:val="24"/>
        </w:rPr>
        <w:t xml:space="preserve">verified during the pretesting of the </w:t>
      </w:r>
      <w:r w:rsidR="000B684E" w:rsidRPr="00D07695">
        <w:rPr>
          <w:sz w:val="24"/>
        </w:rPr>
        <w:t>data collection instruments</w:t>
      </w:r>
      <w:r w:rsidR="00AD5A55">
        <w:rPr>
          <w:sz w:val="24"/>
        </w:rPr>
        <w:t xml:space="preserve"> via automated timestamps on responses</w:t>
      </w:r>
      <w:r w:rsidRPr="00D07695">
        <w:rPr>
          <w:sz w:val="24"/>
        </w:rPr>
        <w:t xml:space="preserve">. </w:t>
      </w:r>
      <w:r w:rsidR="00AD5A55">
        <w:rPr>
          <w:sz w:val="24"/>
        </w:rPr>
        <w:t xml:space="preserve">If the pretests indicate that completion of a questionnaire requires more than the estimated amount of time, then the length of </w:t>
      </w:r>
      <w:r w:rsidR="00FD747E">
        <w:rPr>
          <w:sz w:val="24"/>
        </w:rPr>
        <w:t xml:space="preserve">the </w:t>
      </w:r>
      <w:r w:rsidR="00AD5A55">
        <w:rPr>
          <w:sz w:val="24"/>
        </w:rPr>
        <w:t xml:space="preserve">questionnaire will be reduced accordingly by deleting </w:t>
      </w:r>
      <w:r w:rsidR="00214995">
        <w:rPr>
          <w:sz w:val="24"/>
        </w:rPr>
        <w:t>a sufficient number of questions</w:t>
      </w:r>
      <w:r w:rsidR="00AD5A55">
        <w:rPr>
          <w:sz w:val="24"/>
        </w:rPr>
        <w:t>.</w:t>
      </w:r>
      <w:r w:rsidR="009D1496" w:rsidRPr="009D1496">
        <w:t xml:space="preserve"> </w:t>
      </w:r>
      <w:r w:rsidR="009D1496">
        <w:t xml:space="preserve"> </w:t>
      </w:r>
      <w:r w:rsidR="009D1496" w:rsidRPr="009D1496">
        <w:rPr>
          <w:sz w:val="24"/>
        </w:rPr>
        <w:t xml:space="preserve">The Department of Labor </w:t>
      </w:r>
      <w:r w:rsidR="008E51AB" w:rsidRPr="008E51AB">
        <w:rPr>
          <w:sz w:val="24"/>
        </w:rPr>
        <w:lastRenderedPageBreak/>
        <w:t>intend</w:t>
      </w:r>
      <w:r w:rsidR="008E51AB">
        <w:rPr>
          <w:sz w:val="24"/>
        </w:rPr>
        <w:t>s to use the</w:t>
      </w:r>
      <w:r w:rsidR="008E51AB" w:rsidRPr="008E51AB">
        <w:rPr>
          <w:sz w:val="24"/>
        </w:rPr>
        <w:t xml:space="preserve"> non-material change process to clear any change resulting from the early testing.</w:t>
      </w:r>
    </w:p>
    <w:p w14:paraId="0D54778C" w14:textId="77777777" w:rsidR="00163D89" w:rsidRDefault="00163D89">
      <w:pPr>
        <w:widowControl/>
        <w:autoSpaceDE/>
        <w:autoSpaceDN/>
        <w:adjustRightInd/>
        <w:rPr>
          <w:sz w:val="24"/>
        </w:rPr>
      </w:pPr>
    </w:p>
    <w:p w14:paraId="7C7AEB34" w14:textId="77777777" w:rsidR="00B20AB0" w:rsidRDefault="00B20AB0" w:rsidP="00FF1C6E">
      <w:pPr>
        <w:rPr>
          <w:sz w:val="24"/>
        </w:rPr>
      </w:pPr>
      <w:proofErr w:type="gramStart"/>
      <w:r w:rsidRPr="001E5AD0">
        <w:rPr>
          <w:sz w:val="24"/>
        </w:rPr>
        <w:t>Table 1.</w:t>
      </w:r>
      <w:proofErr w:type="gramEnd"/>
      <w:r w:rsidRPr="001E5AD0">
        <w:rPr>
          <w:sz w:val="24"/>
        </w:rPr>
        <w:t xml:space="preserve"> Burden on Study Participants</w:t>
      </w:r>
    </w:p>
    <w:p w14:paraId="70204E0C" w14:textId="77777777" w:rsidR="00C03AAF" w:rsidRDefault="00C03AAF" w:rsidP="00FF1C6E">
      <w:pPr>
        <w:rPr>
          <w:sz w:val="24"/>
        </w:rPr>
      </w:pPr>
    </w:p>
    <w:tbl>
      <w:tblPr>
        <w:tblW w:w="8987" w:type="dxa"/>
        <w:tblInd w:w="93" w:type="dxa"/>
        <w:tblLayout w:type="fixed"/>
        <w:tblLook w:val="04A0" w:firstRow="1" w:lastRow="0" w:firstColumn="1" w:lastColumn="0" w:noHBand="0" w:noVBand="1"/>
      </w:tblPr>
      <w:tblGrid>
        <w:gridCol w:w="1134"/>
        <w:gridCol w:w="2363"/>
        <w:gridCol w:w="1440"/>
        <w:gridCol w:w="1440"/>
        <w:gridCol w:w="1281"/>
        <w:gridCol w:w="1329"/>
      </w:tblGrid>
      <w:tr w:rsidR="0082343C" w:rsidRPr="0082343C" w14:paraId="7A3B6B55" w14:textId="77777777" w:rsidTr="00B145A8">
        <w:trPr>
          <w:trHeight w:val="909"/>
        </w:trPr>
        <w:tc>
          <w:tcPr>
            <w:tcW w:w="3497" w:type="dxa"/>
            <w:gridSpan w:val="2"/>
            <w:tcBorders>
              <w:top w:val="single" w:sz="8" w:space="0" w:color="auto"/>
              <w:left w:val="single" w:sz="8" w:space="0" w:color="auto"/>
              <w:bottom w:val="nil"/>
              <w:right w:val="single" w:sz="8" w:space="0" w:color="000000"/>
            </w:tcBorders>
            <w:shd w:val="clear" w:color="auto" w:fill="auto"/>
            <w:vAlign w:val="bottom"/>
            <w:hideMark/>
          </w:tcPr>
          <w:p w14:paraId="5AA496BD" w14:textId="77777777" w:rsidR="0082343C" w:rsidRPr="0082343C" w:rsidRDefault="0082343C" w:rsidP="0082343C">
            <w:pPr>
              <w:widowControl/>
              <w:autoSpaceDE/>
              <w:autoSpaceDN/>
              <w:adjustRightInd/>
              <w:jc w:val="center"/>
              <w:rPr>
                <w:b/>
                <w:bCs/>
                <w:color w:val="000000"/>
                <w:sz w:val="24"/>
              </w:rPr>
            </w:pPr>
            <w:r w:rsidRPr="0082343C">
              <w:rPr>
                <w:b/>
                <w:bCs/>
                <w:color w:val="000000"/>
                <w:sz w:val="24"/>
              </w:rPr>
              <w:t>Data Collection Activity</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7737AF37" w14:textId="77777777" w:rsidR="0082343C" w:rsidRPr="0082343C" w:rsidRDefault="0082343C" w:rsidP="0082343C">
            <w:pPr>
              <w:widowControl/>
              <w:autoSpaceDE/>
              <w:autoSpaceDN/>
              <w:adjustRightInd/>
              <w:jc w:val="center"/>
              <w:rPr>
                <w:b/>
                <w:bCs/>
                <w:color w:val="000000"/>
                <w:sz w:val="22"/>
                <w:szCs w:val="22"/>
              </w:rPr>
            </w:pPr>
            <w:r w:rsidRPr="0082343C">
              <w:rPr>
                <w:b/>
                <w:bCs/>
                <w:color w:val="000000"/>
                <w:sz w:val="22"/>
                <w:szCs w:val="22"/>
              </w:rPr>
              <w:t>Number of Unique Respondents</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2E49DA07" w14:textId="77777777" w:rsidR="0082343C" w:rsidRPr="0082343C" w:rsidRDefault="0082343C" w:rsidP="0082343C">
            <w:pPr>
              <w:widowControl/>
              <w:autoSpaceDE/>
              <w:autoSpaceDN/>
              <w:adjustRightInd/>
              <w:jc w:val="center"/>
              <w:rPr>
                <w:b/>
                <w:bCs/>
                <w:color w:val="000000"/>
                <w:sz w:val="22"/>
                <w:szCs w:val="22"/>
              </w:rPr>
            </w:pPr>
            <w:r w:rsidRPr="0082343C">
              <w:rPr>
                <w:b/>
                <w:bCs/>
                <w:color w:val="000000"/>
                <w:sz w:val="22"/>
                <w:szCs w:val="22"/>
              </w:rPr>
              <w:t>Total Burden Hours</w:t>
            </w:r>
            <w:r w:rsidRPr="0082343C">
              <w:rPr>
                <w:b/>
                <w:bCs/>
                <w:color w:val="000000"/>
                <w:sz w:val="22"/>
                <w:szCs w:val="22"/>
                <w:vertAlign w:val="superscript"/>
              </w:rPr>
              <w:t>(1)</w:t>
            </w:r>
          </w:p>
        </w:tc>
        <w:tc>
          <w:tcPr>
            <w:tcW w:w="1281" w:type="dxa"/>
            <w:tcBorders>
              <w:top w:val="single" w:sz="8" w:space="0" w:color="auto"/>
              <w:left w:val="nil"/>
              <w:bottom w:val="single" w:sz="8" w:space="0" w:color="auto"/>
              <w:right w:val="single" w:sz="8" w:space="0" w:color="auto"/>
            </w:tcBorders>
            <w:shd w:val="clear" w:color="auto" w:fill="auto"/>
            <w:vAlign w:val="bottom"/>
            <w:hideMark/>
          </w:tcPr>
          <w:p w14:paraId="623DFA8F" w14:textId="77777777" w:rsidR="0082343C" w:rsidRPr="0082343C" w:rsidRDefault="0082343C" w:rsidP="0082343C">
            <w:pPr>
              <w:widowControl/>
              <w:autoSpaceDE/>
              <w:autoSpaceDN/>
              <w:adjustRightInd/>
              <w:jc w:val="center"/>
              <w:rPr>
                <w:b/>
                <w:bCs/>
                <w:color w:val="000000"/>
                <w:sz w:val="22"/>
                <w:szCs w:val="22"/>
              </w:rPr>
            </w:pPr>
            <w:r w:rsidRPr="0082343C">
              <w:rPr>
                <w:b/>
                <w:bCs/>
                <w:color w:val="000000"/>
                <w:sz w:val="22"/>
                <w:szCs w:val="22"/>
              </w:rPr>
              <w:t>Average Hourly Wage Rate</w:t>
            </w:r>
            <w:r w:rsidRPr="0082343C">
              <w:rPr>
                <w:b/>
                <w:bCs/>
                <w:color w:val="000000"/>
                <w:sz w:val="22"/>
                <w:szCs w:val="22"/>
                <w:vertAlign w:val="superscript"/>
              </w:rPr>
              <w:t>(2)</w:t>
            </w:r>
          </w:p>
        </w:tc>
        <w:tc>
          <w:tcPr>
            <w:tcW w:w="1329" w:type="dxa"/>
            <w:tcBorders>
              <w:top w:val="single" w:sz="8" w:space="0" w:color="auto"/>
              <w:left w:val="nil"/>
              <w:bottom w:val="single" w:sz="8" w:space="0" w:color="auto"/>
              <w:right w:val="single" w:sz="8" w:space="0" w:color="auto"/>
            </w:tcBorders>
            <w:shd w:val="clear" w:color="auto" w:fill="auto"/>
            <w:vAlign w:val="bottom"/>
            <w:hideMark/>
          </w:tcPr>
          <w:p w14:paraId="7EC22CBE" w14:textId="6213E11E" w:rsidR="0082343C" w:rsidRPr="0082343C" w:rsidRDefault="00B145A8" w:rsidP="0082343C">
            <w:pPr>
              <w:widowControl/>
              <w:autoSpaceDE/>
              <w:autoSpaceDN/>
              <w:adjustRightInd/>
              <w:jc w:val="center"/>
              <w:rPr>
                <w:b/>
                <w:bCs/>
                <w:color w:val="000000"/>
                <w:sz w:val="22"/>
                <w:szCs w:val="22"/>
              </w:rPr>
            </w:pPr>
            <w:r>
              <w:rPr>
                <w:b/>
                <w:bCs/>
                <w:color w:val="000000"/>
                <w:sz w:val="22"/>
                <w:szCs w:val="22"/>
              </w:rPr>
              <w:t xml:space="preserve">Monetized Value of Time </w:t>
            </w:r>
            <w:r w:rsidR="0082343C" w:rsidRPr="0082343C">
              <w:rPr>
                <w:b/>
                <w:bCs/>
                <w:color w:val="000000"/>
                <w:sz w:val="22"/>
                <w:szCs w:val="22"/>
              </w:rPr>
              <w:t>Burden</w:t>
            </w:r>
          </w:p>
        </w:tc>
      </w:tr>
      <w:tr w:rsidR="0082343C" w:rsidRPr="0082343C" w14:paraId="36FC2AC8" w14:textId="77777777" w:rsidTr="00B145A8">
        <w:trPr>
          <w:trHeight w:val="299"/>
        </w:trPr>
        <w:tc>
          <w:tcPr>
            <w:tcW w:w="1134" w:type="dxa"/>
            <w:tcBorders>
              <w:top w:val="single" w:sz="8" w:space="0" w:color="000000"/>
              <w:left w:val="single" w:sz="8" w:space="0" w:color="auto"/>
              <w:bottom w:val="single" w:sz="8" w:space="0" w:color="auto"/>
              <w:right w:val="nil"/>
            </w:tcBorders>
            <w:shd w:val="clear" w:color="000000" w:fill="D9D9D9"/>
            <w:vAlign w:val="center"/>
            <w:hideMark/>
          </w:tcPr>
          <w:p w14:paraId="549194E3"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Pretesting</w:t>
            </w:r>
          </w:p>
        </w:tc>
        <w:tc>
          <w:tcPr>
            <w:tcW w:w="2363"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7009AFCA"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Cognitive Interviews</w:t>
            </w:r>
          </w:p>
        </w:tc>
        <w:tc>
          <w:tcPr>
            <w:tcW w:w="1440" w:type="dxa"/>
            <w:tcBorders>
              <w:top w:val="nil"/>
              <w:left w:val="nil"/>
              <w:bottom w:val="single" w:sz="8" w:space="0" w:color="auto"/>
              <w:right w:val="single" w:sz="8" w:space="0" w:color="auto"/>
            </w:tcBorders>
            <w:shd w:val="clear" w:color="000000" w:fill="D9D9D9"/>
            <w:vAlign w:val="center"/>
            <w:hideMark/>
          </w:tcPr>
          <w:p w14:paraId="3EA9C4BB"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30</w:t>
            </w:r>
          </w:p>
        </w:tc>
        <w:tc>
          <w:tcPr>
            <w:tcW w:w="1440" w:type="dxa"/>
            <w:tcBorders>
              <w:top w:val="nil"/>
              <w:left w:val="nil"/>
              <w:bottom w:val="single" w:sz="8" w:space="0" w:color="auto"/>
              <w:right w:val="single" w:sz="8" w:space="0" w:color="auto"/>
            </w:tcBorders>
            <w:shd w:val="clear" w:color="000000" w:fill="D9D9D9"/>
            <w:vAlign w:val="center"/>
            <w:hideMark/>
          </w:tcPr>
          <w:p w14:paraId="11ED0697"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37</w:t>
            </w:r>
          </w:p>
        </w:tc>
        <w:tc>
          <w:tcPr>
            <w:tcW w:w="1281" w:type="dxa"/>
            <w:tcBorders>
              <w:top w:val="nil"/>
              <w:left w:val="nil"/>
              <w:bottom w:val="single" w:sz="8" w:space="0" w:color="auto"/>
              <w:right w:val="single" w:sz="8" w:space="0" w:color="auto"/>
            </w:tcBorders>
            <w:shd w:val="clear" w:color="000000" w:fill="D9D9D9"/>
            <w:vAlign w:val="center"/>
            <w:hideMark/>
          </w:tcPr>
          <w:p w14:paraId="4D227B5D"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$22.</w:t>
            </w:r>
            <w:r w:rsidR="00FC129A">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000000" w:fill="D9D9D9"/>
            <w:vAlign w:val="center"/>
            <w:hideMark/>
          </w:tcPr>
          <w:p w14:paraId="3EE37494"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$8</w:t>
            </w:r>
            <w:r w:rsidR="00AA5AD8">
              <w:rPr>
                <w:color w:val="000000"/>
                <w:sz w:val="22"/>
                <w:szCs w:val="22"/>
              </w:rPr>
              <w:t>40</w:t>
            </w:r>
            <w:r w:rsidRPr="0082343C">
              <w:rPr>
                <w:color w:val="000000"/>
                <w:sz w:val="22"/>
                <w:szCs w:val="22"/>
              </w:rPr>
              <w:t xml:space="preserve"> </w:t>
            </w:r>
          </w:p>
        </w:tc>
      </w:tr>
      <w:tr w:rsidR="0082343C" w:rsidRPr="0082343C" w14:paraId="2477F3F3" w14:textId="77777777" w:rsidTr="00B145A8">
        <w:trPr>
          <w:trHeight w:val="825"/>
        </w:trPr>
        <w:tc>
          <w:tcPr>
            <w:tcW w:w="1134" w:type="dxa"/>
            <w:tcBorders>
              <w:top w:val="nil"/>
              <w:left w:val="single" w:sz="8" w:space="0" w:color="auto"/>
              <w:bottom w:val="single" w:sz="8" w:space="0" w:color="auto"/>
              <w:right w:val="nil"/>
            </w:tcBorders>
            <w:shd w:val="clear" w:color="000000" w:fill="D9D9D9"/>
            <w:vAlign w:val="center"/>
            <w:hideMark/>
          </w:tcPr>
          <w:p w14:paraId="03020C68"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Pretesting</w:t>
            </w:r>
          </w:p>
        </w:tc>
        <w:tc>
          <w:tcPr>
            <w:tcW w:w="2363"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A2ABC8"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Mail/Telephone Interviews and Debriefings</w:t>
            </w:r>
          </w:p>
        </w:tc>
        <w:tc>
          <w:tcPr>
            <w:tcW w:w="1440" w:type="dxa"/>
            <w:tcBorders>
              <w:top w:val="nil"/>
              <w:left w:val="nil"/>
              <w:bottom w:val="single" w:sz="8" w:space="0" w:color="auto"/>
              <w:right w:val="single" w:sz="8" w:space="0" w:color="auto"/>
            </w:tcBorders>
            <w:shd w:val="clear" w:color="000000" w:fill="D9D9D9"/>
            <w:vAlign w:val="center"/>
            <w:hideMark/>
          </w:tcPr>
          <w:p w14:paraId="7BA4BB65"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60</w:t>
            </w:r>
          </w:p>
        </w:tc>
        <w:tc>
          <w:tcPr>
            <w:tcW w:w="1440" w:type="dxa"/>
            <w:tcBorders>
              <w:top w:val="nil"/>
              <w:left w:val="nil"/>
              <w:bottom w:val="single" w:sz="8" w:space="0" w:color="auto"/>
              <w:right w:val="single" w:sz="8" w:space="0" w:color="auto"/>
            </w:tcBorders>
            <w:shd w:val="clear" w:color="000000" w:fill="D9D9D9"/>
            <w:vAlign w:val="center"/>
            <w:hideMark/>
          </w:tcPr>
          <w:p w14:paraId="79B61B2D" w14:textId="77777777" w:rsidR="0082343C" w:rsidRPr="0082343C" w:rsidRDefault="005F64C3" w:rsidP="0082343C">
            <w:pPr>
              <w:widowControl/>
              <w:autoSpaceDE/>
              <w:autoSpaceDN/>
              <w:adjustRightInd/>
              <w:jc w:val="right"/>
              <w:rPr>
                <w:color w:val="000000"/>
                <w:sz w:val="22"/>
                <w:szCs w:val="22"/>
              </w:rPr>
            </w:pPr>
            <w:r>
              <w:rPr>
                <w:color w:val="000000"/>
                <w:sz w:val="22"/>
                <w:szCs w:val="22"/>
              </w:rPr>
              <w:t>63</w:t>
            </w:r>
          </w:p>
        </w:tc>
        <w:tc>
          <w:tcPr>
            <w:tcW w:w="1281" w:type="dxa"/>
            <w:tcBorders>
              <w:top w:val="nil"/>
              <w:left w:val="nil"/>
              <w:bottom w:val="single" w:sz="8" w:space="0" w:color="auto"/>
              <w:right w:val="single" w:sz="8" w:space="0" w:color="auto"/>
            </w:tcBorders>
            <w:shd w:val="clear" w:color="000000" w:fill="D9D9D9"/>
            <w:vAlign w:val="center"/>
            <w:hideMark/>
          </w:tcPr>
          <w:p w14:paraId="5A3D865B" w14:textId="77777777" w:rsidR="0082343C" w:rsidRPr="0082343C" w:rsidRDefault="0082343C" w:rsidP="00FC129A">
            <w:pPr>
              <w:widowControl/>
              <w:autoSpaceDE/>
              <w:autoSpaceDN/>
              <w:adjustRightInd/>
              <w:jc w:val="right"/>
              <w:rPr>
                <w:color w:val="000000"/>
                <w:sz w:val="22"/>
                <w:szCs w:val="22"/>
              </w:rPr>
            </w:pPr>
            <w:r w:rsidRPr="0082343C">
              <w:rPr>
                <w:color w:val="000000"/>
                <w:sz w:val="22"/>
                <w:szCs w:val="22"/>
              </w:rPr>
              <w:t>$22.</w:t>
            </w:r>
            <w:r w:rsidR="00FC129A">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000000" w:fill="D9D9D9"/>
            <w:vAlign w:val="center"/>
            <w:hideMark/>
          </w:tcPr>
          <w:p w14:paraId="05583863"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w:t>
            </w:r>
            <w:r w:rsidR="00AA5AD8">
              <w:rPr>
                <w:color w:val="000000"/>
                <w:sz w:val="22"/>
                <w:szCs w:val="22"/>
              </w:rPr>
              <w:t>1,431</w:t>
            </w:r>
            <w:r w:rsidRPr="0082343C">
              <w:rPr>
                <w:color w:val="000000"/>
                <w:sz w:val="22"/>
                <w:szCs w:val="22"/>
              </w:rPr>
              <w:t xml:space="preserve"> </w:t>
            </w:r>
          </w:p>
        </w:tc>
      </w:tr>
      <w:tr w:rsidR="0082343C" w:rsidRPr="0082343C" w14:paraId="7084369C" w14:textId="77777777" w:rsidTr="00B145A8">
        <w:trPr>
          <w:trHeight w:val="550"/>
        </w:trPr>
        <w:tc>
          <w:tcPr>
            <w:tcW w:w="1134" w:type="dxa"/>
            <w:tcBorders>
              <w:top w:val="nil"/>
              <w:left w:val="single" w:sz="8" w:space="0" w:color="auto"/>
              <w:bottom w:val="single" w:sz="8" w:space="0" w:color="auto"/>
              <w:right w:val="nil"/>
            </w:tcBorders>
            <w:shd w:val="clear" w:color="000000" w:fill="D9D9D9"/>
            <w:vAlign w:val="center"/>
            <w:hideMark/>
          </w:tcPr>
          <w:p w14:paraId="28D67DC8"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Pretesting</w:t>
            </w:r>
          </w:p>
        </w:tc>
        <w:tc>
          <w:tcPr>
            <w:tcW w:w="2363"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47A42697"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Interviews and Debriefings</w:t>
            </w:r>
          </w:p>
        </w:tc>
        <w:tc>
          <w:tcPr>
            <w:tcW w:w="1440" w:type="dxa"/>
            <w:tcBorders>
              <w:top w:val="nil"/>
              <w:left w:val="nil"/>
              <w:bottom w:val="single" w:sz="8" w:space="0" w:color="auto"/>
              <w:right w:val="single" w:sz="8" w:space="0" w:color="auto"/>
            </w:tcBorders>
            <w:shd w:val="clear" w:color="000000" w:fill="D9D9D9"/>
            <w:vAlign w:val="center"/>
            <w:hideMark/>
          </w:tcPr>
          <w:p w14:paraId="7F694CE3"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300</w:t>
            </w:r>
          </w:p>
        </w:tc>
        <w:tc>
          <w:tcPr>
            <w:tcW w:w="1440" w:type="dxa"/>
            <w:tcBorders>
              <w:top w:val="nil"/>
              <w:left w:val="nil"/>
              <w:bottom w:val="single" w:sz="8" w:space="0" w:color="auto"/>
              <w:right w:val="single" w:sz="8" w:space="0" w:color="auto"/>
            </w:tcBorders>
            <w:shd w:val="clear" w:color="000000" w:fill="D9D9D9"/>
            <w:vAlign w:val="center"/>
            <w:hideMark/>
          </w:tcPr>
          <w:p w14:paraId="05B79F19" w14:textId="77777777" w:rsidR="0082343C" w:rsidRPr="0082343C" w:rsidRDefault="005F64C3" w:rsidP="0082343C">
            <w:pPr>
              <w:widowControl/>
              <w:autoSpaceDE/>
              <w:autoSpaceDN/>
              <w:adjustRightInd/>
              <w:jc w:val="right"/>
              <w:rPr>
                <w:color w:val="000000"/>
                <w:sz w:val="22"/>
                <w:szCs w:val="22"/>
              </w:rPr>
            </w:pPr>
            <w:r>
              <w:rPr>
                <w:color w:val="000000"/>
                <w:sz w:val="22"/>
                <w:szCs w:val="22"/>
              </w:rPr>
              <w:t>366</w:t>
            </w:r>
          </w:p>
        </w:tc>
        <w:tc>
          <w:tcPr>
            <w:tcW w:w="1281" w:type="dxa"/>
            <w:tcBorders>
              <w:top w:val="nil"/>
              <w:left w:val="nil"/>
              <w:bottom w:val="single" w:sz="8" w:space="0" w:color="auto"/>
              <w:right w:val="single" w:sz="8" w:space="0" w:color="auto"/>
            </w:tcBorders>
            <w:shd w:val="clear" w:color="000000" w:fill="D9D9D9"/>
            <w:vAlign w:val="center"/>
            <w:hideMark/>
          </w:tcPr>
          <w:p w14:paraId="705F34A8" w14:textId="77777777" w:rsidR="0082343C" w:rsidRPr="0082343C" w:rsidRDefault="0082343C" w:rsidP="00FC129A">
            <w:pPr>
              <w:widowControl/>
              <w:autoSpaceDE/>
              <w:autoSpaceDN/>
              <w:adjustRightInd/>
              <w:jc w:val="right"/>
              <w:rPr>
                <w:color w:val="000000"/>
                <w:sz w:val="22"/>
                <w:szCs w:val="22"/>
              </w:rPr>
            </w:pPr>
            <w:r w:rsidRPr="0082343C">
              <w:rPr>
                <w:color w:val="000000"/>
                <w:sz w:val="22"/>
                <w:szCs w:val="22"/>
              </w:rPr>
              <w:t>$22.</w:t>
            </w:r>
            <w:r w:rsidR="00FC129A">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000000" w:fill="D9D9D9"/>
            <w:vAlign w:val="center"/>
            <w:hideMark/>
          </w:tcPr>
          <w:p w14:paraId="0F74022D"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w:t>
            </w:r>
            <w:r w:rsidR="00AA5AD8">
              <w:rPr>
                <w:color w:val="000000"/>
                <w:sz w:val="22"/>
                <w:szCs w:val="22"/>
              </w:rPr>
              <w:t>8,312</w:t>
            </w:r>
            <w:r w:rsidRPr="0082343C">
              <w:rPr>
                <w:color w:val="000000"/>
                <w:sz w:val="22"/>
                <w:szCs w:val="22"/>
              </w:rPr>
              <w:t xml:space="preserve"> </w:t>
            </w:r>
          </w:p>
        </w:tc>
      </w:tr>
      <w:tr w:rsidR="0082343C" w:rsidRPr="0082343C" w14:paraId="3DE384D5" w14:textId="77777777" w:rsidTr="00B145A8">
        <w:trPr>
          <w:trHeight w:val="299"/>
        </w:trPr>
        <w:tc>
          <w:tcPr>
            <w:tcW w:w="349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2FFCB4"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Pre-Survey</w:t>
            </w:r>
          </w:p>
        </w:tc>
        <w:tc>
          <w:tcPr>
            <w:tcW w:w="1440" w:type="dxa"/>
            <w:tcBorders>
              <w:top w:val="nil"/>
              <w:left w:val="nil"/>
              <w:bottom w:val="single" w:sz="8" w:space="0" w:color="auto"/>
              <w:right w:val="single" w:sz="8" w:space="0" w:color="auto"/>
            </w:tcBorders>
            <w:shd w:val="clear" w:color="auto" w:fill="auto"/>
            <w:vAlign w:val="center"/>
            <w:hideMark/>
          </w:tcPr>
          <w:p w14:paraId="1AFE4CF3"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10,000</w:t>
            </w:r>
          </w:p>
        </w:tc>
        <w:tc>
          <w:tcPr>
            <w:tcW w:w="1440" w:type="dxa"/>
            <w:tcBorders>
              <w:top w:val="nil"/>
              <w:left w:val="nil"/>
              <w:bottom w:val="single" w:sz="8" w:space="0" w:color="auto"/>
              <w:right w:val="single" w:sz="8" w:space="0" w:color="auto"/>
            </w:tcBorders>
            <w:shd w:val="clear" w:color="auto" w:fill="auto"/>
            <w:vAlign w:val="center"/>
            <w:hideMark/>
          </w:tcPr>
          <w:p w14:paraId="28DACBAA"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4</w:t>
            </w:r>
            <w:r w:rsidR="004743E7">
              <w:rPr>
                <w:color w:val="000000"/>
                <w:sz w:val="22"/>
                <w:szCs w:val="22"/>
              </w:rPr>
              <w:t>,</w:t>
            </w:r>
            <w:r w:rsidRPr="0082343C">
              <w:rPr>
                <w:color w:val="000000"/>
                <w:sz w:val="22"/>
                <w:szCs w:val="22"/>
              </w:rPr>
              <w:t>000</w:t>
            </w:r>
          </w:p>
        </w:tc>
        <w:tc>
          <w:tcPr>
            <w:tcW w:w="1281" w:type="dxa"/>
            <w:tcBorders>
              <w:top w:val="nil"/>
              <w:left w:val="nil"/>
              <w:bottom w:val="single" w:sz="8" w:space="0" w:color="auto"/>
              <w:right w:val="single" w:sz="8" w:space="0" w:color="auto"/>
            </w:tcBorders>
            <w:shd w:val="clear" w:color="auto" w:fill="auto"/>
            <w:vAlign w:val="center"/>
            <w:hideMark/>
          </w:tcPr>
          <w:p w14:paraId="6CC3F3E0" w14:textId="77777777" w:rsidR="0082343C" w:rsidRPr="0082343C" w:rsidRDefault="0082343C" w:rsidP="00FC129A">
            <w:pPr>
              <w:widowControl/>
              <w:autoSpaceDE/>
              <w:autoSpaceDN/>
              <w:adjustRightInd/>
              <w:jc w:val="right"/>
              <w:rPr>
                <w:color w:val="000000"/>
                <w:sz w:val="22"/>
                <w:szCs w:val="22"/>
              </w:rPr>
            </w:pPr>
            <w:r w:rsidRPr="0082343C">
              <w:rPr>
                <w:color w:val="000000"/>
                <w:sz w:val="22"/>
                <w:szCs w:val="22"/>
              </w:rPr>
              <w:t>$22.</w:t>
            </w:r>
            <w:r w:rsidR="00FC129A">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46FBE47"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w:t>
            </w:r>
            <w:r w:rsidR="00AA5AD8">
              <w:rPr>
                <w:color w:val="000000"/>
                <w:sz w:val="22"/>
                <w:szCs w:val="22"/>
              </w:rPr>
              <w:t>90,840</w:t>
            </w:r>
            <w:r w:rsidRPr="0082343C">
              <w:rPr>
                <w:color w:val="000000"/>
                <w:sz w:val="22"/>
                <w:szCs w:val="22"/>
              </w:rPr>
              <w:t xml:space="preserve"> </w:t>
            </w:r>
          </w:p>
        </w:tc>
      </w:tr>
      <w:tr w:rsidR="0082343C" w:rsidRPr="0082343C" w14:paraId="1733C678" w14:textId="77777777" w:rsidTr="00B145A8">
        <w:trPr>
          <w:trHeight w:val="299"/>
        </w:trPr>
        <w:tc>
          <w:tcPr>
            <w:tcW w:w="1134" w:type="dxa"/>
            <w:tcBorders>
              <w:top w:val="nil"/>
              <w:left w:val="single" w:sz="8" w:space="0" w:color="auto"/>
              <w:bottom w:val="nil"/>
              <w:right w:val="nil"/>
            </w:tcBorders>
            <w:shd w:val="clear" w:color="000000" w:fill="D9D9D9"/>
            <w:noWrap/>
            <w:vAlign w:val="center"/>
            <w:hideMark/>
          </w:tcPr>
          <w:p w14:paraId="5C6BAD74"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IPS</w:t>
            </w:r>
          </w:p>
        </w:tc>
        <w:tc>
          <w:tcPr>
            <w:tcW w:w="2363"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29EA1F52"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Baseline</w:t>
            </w:r>
          </w:p>
        </w:tc>
        <w:tc>
          <w:tcPr>
            <w:tcW w:w="1440" w:type="dxa"/>
            <w:tcBorders>
              <w:top w:val="nil"/>
              <w:left w:val="nil"/>
              <w:bottom w:val="single" w:sz="8" w:space="0" w:color="auto"/>
              <w:right w:val="single" w:sz="8" w:space="0" w:color="auto"/>
            </w:tcBorders>
            <w:shd w:val="clear" w:color="000000" w:fill="D9D9D9"/>
            <w:vAlign w:val="center"/>
            <w:hideMark/>
          </w:tcPr>
          <w:p w14:paraId="15C06103"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900</w:t>
            </w:r>
          </w:p>
        </w:tc>
        <w:tc>
          <w:tcPr>
            <w:tcW w:w="1440" w:type="dxa"/>
            <w:tcBorders>
              <w:top w:val="nil"/>
              <w:left w:val="nil"/>
              <w:bottom w:val="single" w:sz="8" w:space="0" w:color="auto"/>
              <w:right w:val="single" w:sz="8" w:space="0" w:color="auto"/>
            </w:tcBorders>
            <w:shd w:val="clear" w:color="000000" w:fill="D9D9D9"/>
            <w:vAlign w:val="center"/>
            <w:hideMark/>
          </w:tcPr>
          <w:p w14:paraId="105669DD" w14:textId="7BD704E0" w:rsidR="0082343C" w:rsidRPr="0082343C" w:rsidRDefault="00396E96" w:rsidP="00396E96">
            <w:pPr>
              <w:widowControl/>
              <w:autoSpaceDE/>
              <w:autoSpaceDN/>
              <w:adjustRightInd/>
              <w:jc w:val="right"/>
              <w:rPr>
                <w:color w:val="000000"/>
                <w:sz w:val="22"/>
                <w:szCs w:val="22"/>
              </w:rPr>
            </w:pPr>
            <w:r>
              <w:rPr>
                <w:color w:val="000000"/>
                <w:sz w:val="22"/>
                <w:szCs w:val="22"/>
              </w:rPr>
              <w:t>2,665</w:t>
            </w:r>
            <w:r w:rsidR="00605736">
              <w:rPr>
                <w:color w:val="000000"/>
                <w:sz w:val="22"/>
                <w:szCs w:val="22"/>
              </w:rPr>
              <w:t xml:space="preserve"> </w:t>
            </w:r>
          </w:p>
        </w:tc>
        <w:tc>
          <w:tcPr>
            <w:tcW w:w="1281" w:type="dxa"/>
            <w:tcBorders>
              <w:top w:val="nil"/>
              <w:left w:val="nil"/>
              <w:bottom w:val="single" w:sz="8" w:space="0" w:color="auto"/>
              <w:right w:val="single" w:sz="8" w:space="0" w:color="auto"/>
            </w:tcBorders>
            <w:shd w:val="clear" w:color="000000" w:fill="D9D9D9"/>
            <w:vAlign w:val="center"/>
            <w:hideMark/>
          </w:tcPr>
          <w:p w14:paraId="5E27F87C" w14:textId="77777777" w:rsidR="0082343C" w:rsidRPr="0082343C" w:rsidRDefault="0082343C" w:rsidP="00FC129A">
            <w:pPr>
              <w:widowControl/>
              <w:autoSpaceDE/>
              <w:autoSpaceDN/>
              <w:adjustRightInd/>
              <w:jc w:val="right"/>
              <w:rPr>
                <w:color w:val="000000"/>
                <w:sz w:val="22"/>
                <w:szCs w:val="22"/>
              </w:rPr>
            </w:pPr>
            <w:r w:rsidRPr="0082343C">
              <w:rPr>
                <w:color w:val="000000"/>
                <w:sz w:val="22"/>
                <w:szCs w:val="22"/>
              </w:rPr>
              <w:t>$22.</w:t>
            </w:r>
            <w:r w:rsidR="00FC129A">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000000" w:fill="D9D9D9"/>
            <w:vAlign w:val="center"/>
            <w:hideMark/>
          </w:tcPr>
          <w:p w14:paraId="3E74858A" w14:textId="59349DB4" w:rsidR="0082343C" w:rsidRPr="0082343C" w:rsidRDefault="0082343C" w:rsidP="00605736">
            <w:pPr>
              <w:widowControl/>
              <w:autoSpaceDE/>
              <w:autoSpaceDN/>
              <w:adjustRightInd/>
              <w:jc w:val="right"/>
              <w:rPr>
                <w:color w:val="000000"/>
                <w:sz w:val="22"/>
                <w:szCs w:val="22"/>
              </w:rPr>
            </w:pPr>
            <w:r w:rsidRPr="0082343C">
              <w:rPr>
                <w:color w:val="000000"/>
                <w:sz w:val="22"/>
                <w:szCs w:val="22"/>
              </w:rPr>
              <w:t>$</w:t>
            </w:r>
            <w:r w:rsidR="00396E96">
              <w:rPr>
                <w:color w:val="000000"/>
                <w:sz w:val="22"/>
                <w:szCs w:val="22"/>
              </w:rPr>
              <w:t>60,522</w:t>
            </w:r>
            <w:r w:rsidR="00605736">
              <w:rPr>
                <w:color w:val="000000"/>
                <w:sz w:val="22"/>
                <w:szCs w:val="22"/>
              </w:rPr>
              <w:t xml:space="preserve"> </w:t>
            </w:r>
            <w:r w:rsidRPr="0082343C">
              <w:rPr>
                <w:color w:val="000000"/>
                <w:sz w:val="22"/>
                <w:szCs w:val="22"/>
              </w:rPr>
              <w:t xml:space="preserve"> </w:t>
            </w:r>
          </w:p>
        </w:tc>
      </w:tr>
      <w:tr w:rsidR="0082343C" w:rsidRPr="0082343C" w14:paraId="3288D8B2" w14:textId="77777777" w:rsidTr="00B145A8">
        <w:trPr>
          <w:trHeight w:val="299"/>
        </w:trPr>
        <w:tc>
          <w:tcPr>
            <w:tcW w:w="113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8519A13"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IPS</w:t>
            </w:r>
          </w:p>
        </w:tc>
        <w:tc>
          <w:tcPr>
            <w:tcW w:w="2363" w:type="dxa"/>
            <w:tcBorders>
              <w:top w:val="single" w:sz="8" w:space="0" w:color="auto"/>
              <w:left w:val="nil"/>
              <w:bottom w:val="single" w:sz="8" w:space="0" w:color="auto"/>
              <w:right w:val="single" w:sz="8" w:space="0" w:color="000000"/>
            </w:tcBorders>
            <w:shd w:val="clear" w:color="000000" w:fill="D9D9D9"/>
            <w:vAlign w:val="center"/>
            <w:hideMark/>
          </w:tcPr>
          <w:p w14:paraId="2D909263"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Follow-Up</w:t>
            </w:r>
          </w:p>
        </w:tc>
        <w:tc>
          <w:tcPr>
            <w:tcW w:w="1440" w:type="dxa"/>
            <w:tcBorders>
              <w:top w:val="nil"/>
              <w:left w:val="nil"/>
              <w:bottom w:val="single" w:sz="8" w:space="0" w:color="auto"/>
              <w:right w:val="single" w:sz="8" w:space="0" w:color="auto"/>
            </w:tcBorders>
            <w:shd w:val="clear" w:color="000000" w:fill="D9D9D9"/>
            <w:vAlign w:val="center"/>
            <w:hideMark/>
          </w:tcPr>
          <w:p w14:paraId="1E4C9E62"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800</w:t>
            </w:r>
          </w:p>
        </w:tc>
        <w:tc>
          <w:tcPr>
            <w:tcW w:w="1440" w:type="dxa"/>
            <w:tcBorders>
              <w:top w:val="nil"/>
              <w:left w:val="nil"/>
              <w:bottom w:val="single" w:sz="8" w:space="0" w:color="auto"/>
              <w:right w:val="single" w:sz="8" w:space="0" w:color="auto"/>
            </w:tcBorders>
            <w:shd w:val="clear" w:color="000000" w:fill="D9D9D9"/>
            <w:vAlign w:val="center"/>
            <w:hideMark/>
          </w:tcPr>
          <w:p w14:paraId="7C64D4D6"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1</w:t>
            </w:r>
            <w:r w:rsidR="004743E7">
              <w:rPr>
                <w:color w:val="000000"/>
                <w:sz w:val="22"/>
                <w:szCs w:val="22"/>
              </w:rPr>
              <w:t>,</w:t>
            </w:r>
            <w:r w:rsidRPr="0082343C">
              <w:rPr>
                <w:color w:val="000000"/>
                <w:sz w:val="22"/>
                <w:szCs w:val="22"/>
              </w:rPr>
              <w:t>710</w:t>
            </w:r>
          </w:p>
        </w:tc>
        <w:tc>
          <w:tcPr>
            <w:tcW w:w="1281" w:type="dxa"/>
            <w:tcBorders>
              <w:top w:val="nil"/>
              <w:left w:val="nil"/>
              <w:bottom w:val="single" w:sz="8" w:space="0" w:color="auto"/>
              <w:right w:val="single" w:sz="8" w:space="0" w:color="auto"/>
            </w:tcBorders>
            <w:shd w:val="clear" w:color="000000" w:fill="D9D9D9"/>
            <w:vAlign w:val="center"/>
            <w:hideMark/>
          </w:tcPr>
          <w:p w14:paraId="434621A2" w14:textId="77777777" w:rsidR="0082343C" w:rsidRPr="0082343C" w:rsidRDefault="0082343C" w:rsidP="00FC129A">
            <w:pPr>
              <w:widowControl/>
              <w:autoSpaceDE/>
              <w:autoSpaceDN/>
              <w:adjustRightInd/>
              <w:jc w:val="right"/>
              <w:rPr>
                <w:color w:val="000000"/>
                <w:sz w:val="22"/>
                <w:szCs w:val="22"/>
              </w:rPr>
            </w:pPr>
            <w:r w:rsidRPr="0082343C">
              <w:rPr>
                <w:color w:val="000000"/>
                <w:sz w:val="22"/>
                <w:szCs w:val="22"/>
              </w:rPr>
              <w:t>$22.</w:t>
            </w:r>
            <w:r w:rsidR="00FC129A">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000000" w:fill="D9D9D9"/>
            <w:vAlign w:val="center"/>
            <w:hideMark/>
          </w:tcPr>
          <w:p w14:paraId="7485227C"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$38,</w:t>
            </w:r>
            <w:r w:rsidR="00AA5AD8">
              <w:rPr>
                <w:color w:val="000000"/>
                <w:sz w:val="22"/>
                <w:szCs w:val="22"/>
              </w:rPr>
              <w:t>834</w:t>
            </w:r>
            <w:r w:rsidRPr="0082343C">
              <w:rPr>
                <w:color w:val="000000"/>
                <w:sz w:val="22"/>
                <w:szCs w:val="22"/>
              </w:rPr>
              <w:t xml:space="preserve"> </w:t>
            </w:r>
          </w:p>
        </w:tc>
      </w:tr>
      <w:tr w:rsidR="0082343C" w:rsidRPr="0082343C" w14:paraId="55BBBC1C" w14:textId="77777777" w:rsidTr="00B145A8">
        <w:trPr>
          <w:trHeight w:val="299"/>
        </w:trPr>
        <w:tc>
          <w:tcPr>
            <w:tcW w:w="1134" w:type="dxa"/>
            <w:tcBorders>
              <w:top w:val="nil"/>
              <w:left w:val="single" w:sz="8" w:space="0" w:color="auto"/>
              <w:bottom w:val="single" w:sz="8" w:space="0" w:color="auto"/>
              <w:right w:val="single" w:sz="8" w:space="0" w:color="auto"/>
            </w:tcBorders>
            <w:shd w:val="clear" w:color="000000" w:fill="D9D9D9"/>
            <w:noWrap/>
            <w:vAlign w:val="center"/>
            <w:hideMark/>
          </w:tcPr>
          <w:p w14:paraId="46EE0300"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IPS</w:t>
            </w:r>
          </w:p>
        </w:tc>
        <w:tc>
          <w:tcPr>
            <w:tcW w:w="2363" w:type="dxa"/>
            <w:tcBorders>
              <w:top w:val="single" w:sz="8" w:space="0" w:color="auto"/>
              <w:left w:val="nil"/>
              <w:bottom w:val="single" w:sz="8" w:space="0" w:color="auto"/>
              <w:right w:val="single" w:sz="8" w:space="0" w:color="000000"/>
            </w:tcBorders>
            <w:shd w:val="clear" w:color="000000" w:fill="D9D9D9"/>
            <w:vAlign w:val="center"/>
            <w:hideMark/>
          </w:tcPr>
          <w:p w14:paraId="33F5E4C7"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Mail/Telephone</w:t>
            </w:r>
          </w:p>
        </w:tc>
        <w:tc>
          <w:tcPr>
            <w:tcW w:w="1440" w:type="dxa"/>
            <w:tcBorders>
              <w:top w:val="nil"/>
              <w:left w:val="nil"/>
              <w:bottom w:val="single" w:sz="8" w:space="0" w:color="auto"/>
              <w:right w:val="single" w:sz="8" w:space="0" w:color="auto"/>
            </w:tcBorders>
            <w:shd w:val="clear" w:color="000000" w:fill="D9D9D9"/>
            <w:vAlign w:val="center"/>
            <w:hideMark/>
          </w:tcPr>
          <w:p w14:paraId="7B566E98"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600</w:t>
            </w:r>
          </w:p>
        </w:tc>
        <w:tc>
          <w:tcPr>
            <w:tcW w:w="1440" w:type="dxa"/>
            <w:tcBorders>
              <w:top w:val="nil"/>
              <w:left w:val="nil"/>
              <w:bottom w:val="single" w:sz="8" w:space="0" w:color="auto"/>
              <w:right w:val="single" w:sz="8" w:space="0" w:color="auto"/>
            </w:tcBorders>
            <w:shd w:val="clear" w:color="000000" w:fill="D9D9D9"/>
            <w:vAlign w:val="center"/>
            <w:hideMark/>
          </w:tcPr>
          <w:p w14:paraId="3DDDC849"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360</w:t>
            </w:r>
          </w:p>
        </w:tc>
        <w:tc>
          <w:tcPr>
            <w:tcW w:w="1281" w:type="dxa"/>
            <w:tcBorders>
              <w:top w:val="nil"/>
              <w:left w:val="nil"/>
              <w:bottom w:val="single" w:sz="8" w:space="0" w:color="auto"/>
              <w:right w:val="single" w:sz="8" w:space="0" w:color="auto"/>
            </w:tcBorders>
            <w:shd w:val="clear" w:color="000000" w:fill="D9D9D9"/>
            <w:vAlign w:val="center"/>
            <w:hideMark/>
          </w:tcPr>
          <w:p w14:paraId="00597728"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000000" w:fill="D9D9D9"/>
            <w:vAlign w:val="center"/>
            <w:hideMark/>
          </w:tcPr>
          <w:p w14:paraId="033CFCD2"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$8,</w:t>
            </w:r>
            <w:r w:rsidR="00AA5AD8">
              <w:rPr>
                <w:color w:val="000000"/>
                <w:sz w:val="22"/>
                <w:szCs w:val="22"/>
              </w:rPr>
              <w:t>176</w:t>
            </w:r>
            <w:r w:rsidRPr="0082343C">
              <w:rPr>
                <w:color w:val="000000"/>
                <w:sz w:val="22"/>
                <w:szCs w:val="22"/>
              </w:rPr>
              <w:t xml:space="preserve"> </w:t>
            </w:r>
          </w:p>
        </w:tc>
      </w:tr>
      <w:tr w:rsidR="0082343C" w:rsidRPr="0082343C" w14:paraId="49FDDA4B" w14:textId="77777777" w:rsidTr="00B145A8">
        <w:trPr>
          <w:trHeight w:val="299"/>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2C72C0"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auto"/>
            <w:vAlign w:val="center"/>
            <w:hideMark/>
          </w:tcPr>
          <w:p w14:paraId="2A3AFB94"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Baseline</w:t>
            </w:r>
          </w:p>
        </w:tc>
        <w:tc>
          <w:tcPr>
            <w:tcW w:w="1440" w:type="dxa"/>
            <w:tcBorders>
              <w:top w:val="nil"/>
              <w:left w:val="nil"/>
              <w:bottom w:val="single" w:sz="8" w:space="0" w:color="auto"/>
              <w:right w:val="single" w:sz="8" w:space="0" w:color="auto"/>
            </w:tcBorders>
            <w:shd w:val="clear" w:color="auto" w:fill="auto"/>
            <w:vAlign w:val="center"/>
            <w:hideMark/>
          </w:tcPr>
          <w:p w14:paraId="33D22FB6"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750</w:t>
            </w:r>
          </w:p>
        </w:tc>
        <w:tc>
          <w:tcPr>
            <w:tcW w:w="1440" w:type="dxa"/>
            <w:tcBorders>
              <w:top w:val="nil"/>
              <w:left w:val="nil"/>
              <w:bottom w:val="single" w:sz="8" w:space="0" w:color="auto"/>
              <w:right w:val="single" w:sz="8" w:space="0" w:color="auto"/>
            </w:tcBorders>
            <w:shd w:val="clear" w:color="auto" w:fill="auto"/>
            <w:vAlign w:val="center"/>
            <w:hideMark/>
          </w:tcPr>
          <w:p w14:paraId="217D35E1" w14:textId="77777777" w:rsidR="0082343C" w:rsidRPr="0082343C" w:rsidRDefault="005F64C3" w:rsidP="0082343C">
            <w:pPr>
              <w:widowControl/>
              <w:autoSpaceDE/>
              <w:autoSpaceDN/>
              <w:adjustRightInd/>
              <w:jc w:val="right"/>
              <w:rPr>
                <w:color w:val="000000"/>
                <w:sz w:val="22"/>
                <w:szCs w:val="22"/>
              </w:rPr>
            </w:pPr>
            <w:r>
              <w:rPr>
                <w:color w:val="000000"/>
                <w:sz w:val="22"/>
                <w:szCs w:val="22"/>
              </w:rPr>
              <w:t>2,063</w:t>
            </w:r>
          </w:p>
        </w:tc>
        <w:tc>
          <w:tcPr>
            <w:tcW w:w="1281" w:type="dxa"/>
            <w:tcBorders>
              <w:top w:val="nil"/>
              <w:left w:val="nil"/>
              <w:bottom w:val="single" w:sz="8" w:space="0" w:color="auto"/>
              <w:right w:val="single" w:sz="8" w:space="0" w:color="auto"/>
            </w:tcBorders>
            <w:shd w:val="clear" w:color="auto" w:fill="auto"/>
            <w:vAlign w:val="center"/>
            <w:hideMark/>
          </w:tcPr>
          <w:p w14:paraId="5B88CDA1"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A4591FA"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w:t>
            </w:r>
            <w:r w:rsidR="00AA5AD8">
              <w:rPr>
                <w:color w:val="000000"/>
                <w:sz w:val="22"/>
                <w:szCs w:val="22"/>
              </w:rPr>
              <w:t>46,851</w:t>
            </w:r>
            <w:r w:rsidRPr="0082343C">
              <w:rPr>
                <w:color w:val="000000"/>
                <w:sz w:val="22"/>
                <w:szCs w:val="22"/>
              </w:rPr>
              <w:t xml:space="preserve"> </w:t>
            </w:r>
          </w:p>
        </w:tc>
      </w:tr>
      <w:tr w:rsidR="0082343C" w:rsidRPr="0082343C" w14:paraId="4DA64F90" w14:textId="77777777" w:rsidTr="00C739BC">
        <w:trPr>
          <w:trHeight w:val="304"/>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AAC4B1C"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auto"/>
            <w:vAlign w:val="center"/>
            <w:hideMark/>
          </w:tcPr>
          <w:p w14:paraId="2ECA3F2C"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1st Follow-Up</w:t>
            </w:r>
          </w:p>
        </w:tc>
        <w:tc>
          <w:tcPr>
            <w:tcW w:w="1440" w:type="dxa"/>
            <w:tcBorders>
              <w:top w:val="nil"/>
              <w:left w:val="nil"/>
              <w:bottom w:val="single" w:sz="8" w:space="0" w:color="auto"/>
              <w:right w:val="single" w:sz="8" w:space="0" w:color="auto"/>
            </w:tcBorders>
            <w:shd w:val="clear" w:color="auto" w:fill="auto"/>
            <w:vAlign w:val="center"/>
            <w:hideMark/>
          </w:tcPr>
          <w:p w14:paraId="1FE65833"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700</w:t>
            </w:r>
          </w:p>
        </w:tc>
        <w:tc>
          <w:tcPr>
            <w:tcW w:w="1440" w:type="dxa"/>
            <w:tcBorders>
              <w:top w:val="nil"/>
              <w:left w:val="nil"/>
              <w:bottom w:val="single" w:sz="8" w:space="0" w:color="auto"/>
              <w:right w:val="single" w:sz="8" w:space="0" w:color="auto"/>
            </w:tcBorders>
            <w:shd w:val="clear" w:color="auto" w:fill="auto"/>
            <w:vAlign w:val="center"/>
            <w:hideMark/>
          </w:tcPr>
          <w:p w14:paraId="62D24E81" w14:textId="77777777" w:rsidR="0082343C" w:rsidRPr="0082343C" w:rsidRDefault="005F64C3" w:rsidP="005F64C3">
            <w:pPr>
              <w:widowControl/>
              <w:autoSpaceDE/>
              <w:autoSpaceDN/>
              <w:adjustRightInd/>
              <w:jc w:val="right"/>
              <w:rPr>
                <w:color w:val="000000"/>
                <w:sz w:val="22"/>
                <w:szCs w:val="22"/>
              </w:rPr>
            </w:pPr>
            <w:r>
              <w:rPr>
                <w:color w:val="000000"/>
                <w:sz w:val="22"/>
                <w:szCs w:val="22"/>
              </w:rPr>
              <w:t>2,035</w:t>
            </w:r>
          </w:p>
        </w:tc>
        <w:tc>
          <w:tcPr>
            <w:tcW w:w="1281" w:type="dxa"/>
            <w:tcBorders>
              <w:top w:val="nil"/>
              <w:left w:val="nil"/>
              <w:bottom w:val="single" w:sz="8" w:space="0" w:color="auto"/>
              <w:right w:val="single" w:sz="8" w:space="0" w:color="auto"/>
            </w:tcBorders>
            <w:shd w:val="clear" w:color="auto" w:fill="auto"/>
            <w:vAlign w:val="center"/>
            <w:hideMark/>
          </w:tcPr>
          <w:p w14:paraId="391A8A9F"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44D4D8"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w:t>
            </w:r>
            <w:r w:rsidR="00AA5AD8">
              <w:rPr>
                <w:color w:val="000000"/>
                <w:sz w:val="22"/>
                <w:szCs w:val="22"/>
              </w:rPr>
              <w:t>46,215</w:t>
            </w:r>
            <w:r w:rsidRPr="0082343C">
              <w:rPr>
                <w:color w:val="000000"/>
                <w:sz w:val="22"/>
                <w:szCs w:val="22"/>
              </w:rPr>
              <w:t xml:space="preserve"> </w:t>
            </w:r>
          </w:p>
        </w:tc>
      </w:tr>
      <w:tr w:rsidR="0082343C" w:rsidRPr="0082343C" w14:paraId="27A8410F" w14:textId="77777777" w:rsidTr="00C739BC">
        <w:trPr>
          <w:trHeight w:val="34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0473323"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auto"/>
            <w:vAlign w:val="center"/>
            <w:hideMark/>
          </w:tcPr>
          <w:p w14:paraId="468187CD"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2nd Follow-Up</w:t>
            </w:r>
          </w:p>
        </w:tc>
        <w:tc>
          <w:tcPr>
            <w:tcW w:w="1440" w:type="dxa"/>
            <w:tcBorders>
              <w:top w:val="nil"/>
              <w:left w:val="nil"/>
              <w:bottom w:val="single" w:sz="8" w:space="0" w:color="auto"/>
              <w:right w:val="single" w:sz="8" w:space="0" w:color="auto"/>
            </w:tcBorders>
            <w:shd w:val="clear" w:color="auto" w:fill="auto"/>
            <w:vAlign w:val="center"/>
            <w:hideMark/>
          </w:tcPr>
          <w:p w14:paraId="7243A541"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680</w:t>
            </w:r>
          </w:p>
        </w:tc>
        <w:tc>
          <w:tcPr>
            <w:tcW w:w="1440" w:type="dxa"/>
            <w:tcBorders>
              <w:top w:val="nil"/>
              <w:left w:val="nil"/>
              <w:bottom w:val="single" w:sz="8" w:space="0" w:color="auto"/>
              <w:right w:val="single" w:sz="8" w:space="0" w:color="auto"/>
            </w:tcBorders>
            <w:shd w:val="clear" w:color="auto" w:fill="auto"/>
            <w:vAlign w:val="center"/>
            <w:hideMark/>
          </w:tcPr>
          <w:p w14:paraId="2827986A" w14:textId="77777777" w:rsidR="0082343C" w:rsidRPr="0082343C" w:rsidRDefault="005F64C3" w:rsidP="005F64C3">
            <w:pPr>
              <w:widowControl/>
              <w:autoSpaceDE/>
              <w:autoSpaceDN/>
              <w:adjustRightInd/>
              <w:jc w:val="right"/>
              <w:rPr>
                <w:color w:val="000000"/>
                <w:sz w:val="22"/>
                <w:szCs w:val="22"/>
              </w:rPr>
            </w:pPr>
            <w:r>
              <w:rPr>
                <w:color w:val="000000"/>
                <w:sz w:val="22"/>
                <w:szCs w:val="22"/>
              </w:rPr>
              <w:t>2,024</w:t>
            </w:r>
          </w:p>
        </w:tc>
        <w:tc>
          <w:tcPr>
            <w:tcW w:w="1281" w:type="dxa"/>
            <w:tcBorders>
              <w:top w:val="nil"/>
              <w:left w:val="nil"/>
              <w:bottom w:val="single" w:sz="8" w:space="0" w:color="auto"/>
              <w:right w:val="single" w:sz="8" w:space="0" w:color="auto"/>
            </w:tcBorders>
            <w:shd w:val="clear" w:color="auto" w:fill="auto"/>
            <w:vAlign w:val="center"/>
            <w:hideMark/>
          </w:tcPr>
          <w:p w14:paraId="120EE045"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BE6EA9" w14:textId="77777777" w:rsidR="0082343C" w:rsidRPr="0082343C" w:rsidRDefault="0082343C" w:rsidP="00AA5AD8">
            <w:pPr>
              <w:widowControl/>
              <w:autoSpaceDE/>
              <w:autoSpaceDN/>
              <w:adjustRightInd/>
              <w:jc w:val="right"/>
              <w:rPr>
                <w:color w:val="000000"/>
                <w:sz w:val="22"/>
                <w:szCs w:val="22"/>
              </w:rPr>
            </w:pPr>
            <w:r w:rsidRPr="0082343C">
              <w:rPr>
                <w:color w:val="000000"/>
                <w:sz w:val="22"/>
                <w:szCs w:val="22"/>
              </w:rPr>
              <w:t>$</w:t>
            </w:r>
            <w:r w:rsidR="00AA5AD8">
              <w:rPr>
                <w:color w:val="000000"/>
                <w:sz w:val="22"/>
                <w:szCs w:val="22"/>
              </w:rPr>
              <w:t>45,965</w:t>
            </w:r>
            <w:r w:rsidRPr="0082343C">
              <w:rPr>
                <w:color w:val="000000"/>
                <w:sz w:val="22"/>
                <w:szCs w:val="22"/>
              </w:rPr>
              <w:t xml:space="preserve"> </w:t>
            </w:r>
          </w:p>
        </w:tc>
      </w:tr>
      <w:tr w:rsidR="00C739BC" w:rsidRPr="0082343C" w14:paraId="7E307CA7" w14:textId="77777777" w:rsidTr="00C739BC">
        <w:trPr>
          <w:trHeight w:val="340"/>
        </w:trPr>
        <w:tc>
          <w:tcPr>
            <w:tcW w:w="1134" w:type="dxa"/>
            <w:tcBorders>
              <w:top w:val="nil"/>
              <w:left w:val="single" w:sz="8" w:space="0" w:color="auto"/>
              <w:bottom w:val="single" w:sz="8" w:space="0" w:color="auto"/>
              <w:right w:val="single" w:sz="8" w:space="0" w:color="auto"/>
            </w:tcBorders>
            <w:shd w:val="clear" w:color="auto" w:fill="auto"/>
            <w:noWrap/>
            <w:vAlign w:val="center"/>
          </w:tcPr>
          <w:p w14:paraId="1CD91AC0" w14:textId="45B53D1E" w:rsidR="00C739BC" w:rsidRPr="0082343C" w:rsidRDefault="00C739BC" w:rsidP="0082343C">
            <w:pPr>
              <w:widowControl/>
              <w:autoSpaceDE/>
              <w:autoSpaceDN/>
              <w:adjustRightInd/>
              <w:rPr>
                <w:color w:val="000000"/>
                <w:sz w:val="22"/>
                <w:szCs w:val="22"/>
              </w:rPr>
            </w:pPr>
            <w:r w:rsidRPr="0082343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auto"/>
            <w:vAlign w:val="center"/>
          </w:tcPr>
          <w:p w14:paraId="4FE3FE7B" w14:textId="54F66FD4" w:rsidR="00C739BC" w:rsidRPr="0082343C" w:rsidRDefault="00C739BC" w:rsidP="0082343C">
            <w:pPr>
              <w:widowControl/>
              <w:autoSpaceDE/>
              <w:autoSpaceDN/>
              <w:adjustRightInd/>
              <w:rPr>
                <w:color w:val="000000"/>
                <w:sz w:val="22"/>
                <w:szCs w:val="22"/>
              </w:rPr>
            </w:pPr>
            <w:r w:rsidRPr="0082343C">
              <w:rPr>
                <w:color w:val="000000"/>
                <w:sz w:val="22"/>
                <w:szCs w:val="22"/>
              </w:rPr>
              <w:t>Internet 3rd Follow-Up</w:t>
            </w:r>
          </w:p>
        </w:tc>
        <w:tc>
          <w:tcPr>
            <w:tcW w:w="1440" w:type="dxa"/>
            <w:tcBorders>
              <w:top w:val="nil"/>
              <w:left w:val="nil"/>
              <w:bottom w:val="single" w:sz="8" w:space="0" w:color="auto"/>
              <w:right w:val="single" w:sz="8" w:space="0" w:color="auto"/>
            </w:tcBorders>
            <w:shd w:val="clear" w:color="auto" w:fill="auto"/>
            <w:vAlign w:val="center"/>
          </w:tcPr>
          <w:p w14:paraId="78A6A081" w14:textId="0D2D003F" w:rsidR="00C739BC" w:rsidRPr="0082343C" w:rsidRDefault="00C739BC" w:rsidP="0082343C">
            <w:pPr>
              <w:widowControl/>
              <w:autoSpaceDE/>
              <w:autoSpaceDN/>
              <w:adjustRightInd/>
              <w:jc w:val="right"/>
              <w:rPr>
                <w:color w:val="000000"/>
                <w:sz w:val="22"/>
                <w:szCs w:val="22"/>
              </w:rPr>
            </w:pPr>
            <w:r w:rsidRPr="0082343C">
              <w:rPr>
                <w:color w:val="000000"/>
                <w:sz w:val="22"/>
                <w:szCs w:val="22"/>
              </w:rPr>
              <w:t>3</w:t>
            </w:r>
            <w:r>
              <w:rPr>
                <w:color w:val="000000"/>
                <w:sz w:val="22"/>
                <w:szCs w:val="22"/>
              </w:rPr>
              <w:t>,</w:t>
            </w:r>
            <w:r w:rsidRPr="0082343C">
              <w:rPr>
                <w:color w:val="000000"/>
                <w:sz w:val="22"/>
                <w:szCs w:val="22"/>
              </w:rPr>
              <w:t>660</w:t>
            </w:r>
          </w:p>
        </w:tc>
        <w:tc>
          <w:tcPr>
            <w:tcW w:w="1440" w:type="dxa"/>
            <w:tcBorders>
              <w:top w:val="nil"/>
              <w:left w:val="nil"/>
              <w:bottom w:val="single" w:sz="8" w:space="0" w:color="auto"/>
              <w:right w:val="single" w:sz="8" w:space="0" w:color="auto"/>
            </w:tcBorders>
            <w:shd w:val="clear" w:color="auto" w:fill="auto"/>
            <w:vAlign w:val="center"/>
          </w:tcPr>
          <w:p w14:paraId="2B685D51" w14:textId="126F1767" w:rsidR="00C739BC" w:rsidRDefault="00C739BC" w:rsidP="005F64C3">
            <w:pPr>
              <w:widowControl/>
              <w:autoSpaceDE/>
              <w:autoSpaceDN/>
              <w:adjustRightInd/>
              <w:jc w:val="right"/>
              <w:rPr>
                <w:color w:val="000000"/>
                <w:sz w:val="22"/>
                <w:szCs w:val="22"/>
              </w:rPr>
            </w:pPr>
            <w:r>
              <w:rPr>
                <w:color w:val="000000"/>
                <w:sz w:val="22"/>
                <w:szCs w:val="22"/>
              </w:rPr>
              <w:t>2,013</w:t>
            </w:r>
          </w:p>
        </w:tc>
        <w:tc>
          <w:tcPr>
            <w:tcW w:w="1281" w:type="dxa"/>
            <w:tcBorders>
              <w:top w:val="nil"/>
              <w:left w:val="nil"/>
              <w:bottom w:val="single" w:sz="8" w:space="0" w:color="auto"/>
              <w:right w:val="single" w:sz="8" w:space="0" w:color="auto"/>
            </w:tcBorders>
            <w:shd w:val="clear" w:color="auto" w:fill="auto"/>
            <w:vAlign w:val="center"/>
          </w:tcPr>
          <w:p w14:paraId="5DD0A7D8" w14:textId="4AE18BD4" w:rsidR="00C739BC" w:rsidRPr="0082343C" w:rsidRDefault="00C739BC" w:rsidP="0080406F">
            <w:pPr>
              <w:widowControl/>
              <w:autoSpaceDE/>
              <w:autoSpaceDN/>
              <w:adjustRightInd/>
              <w:jc w:val="right"/>
              <w:rPr>
                <w:color w:val="000000"/>
                <w:sz w:val="22"/>
                <w:szCs w:val="22"/>
              </w:rPr>
            </w:pPr>
            <w:r w:rsidRPr="0082343C">
              <w:rPr>
                <w:color w:val="000000"/>
                <w:sz w:val="22"/>
                <w:szCs w:val="22"/>
              </w:rPr>
              <w:t>$22.</w:t>
            </w:r>
            <w:r>
              <w:rPr>
                <w:color w:val="000000"/>
                <w:sz w:val="22"/>
                <w:szCs w:val="22"/>
              </w:rPr>
              <w:t>71</w:t>
            </w:r>
            <w:r w:rsidRPr="0082343C">
              <w:rPr>
                <w:color w:val="00000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tcPr>
          <w:p w14:paraId="28C3E4E2" w14:textId="49BE33CF" w:rsidR="00C739BC" w:rsidRPr="0082343C" w:rsidRDefault="00C739BC" w:rsidP="00AA5AD8">
            <w:pPr>
              <w:widowControl/>
              <w:autoSpaceDE/>
              <w:autoSpaceDN/>
              <w:adjustRightInd/>
              <w:jc w:val="right"/>
              <w:rPr>
                <w:color w:val="000000"/>
                <w:sz w:val="22"/>
                <w:szCs w:val="22"/>
              </w:rPr>
            </w:pPr>
            <w:r w:rsidRPr="0082343C">
              <w:rPr>
                <w:color w:val="000000"/>
                <w:sz w:val="22"/>
                <w:szCs w:val="22"/>
              </w:rPr>
              <w:t>$</w:t>
            </w:r>
            <w:r>
              <w:rPr>
                <w:color w:val="000000"/>
                <w:sz w:val="22"/>
                <w:szCs w:val="22"/>
              </w:rPr>
              <w:t>45,715</w:t>
            </w:r>
            <w:r w:rsidRPr="0082343C">
              <w:rPr>
                <w:color w:val="000000"/>
                <w:sz w:val="22"/>
                <w:szCs w:val="22"/>
              </w:rPr>
              <w:t xml:space="preserve"> </w:t>
            </w:r>
          </w:p>
        </w:tc>
      </w:tr>
      <w:tr w:rsidR="00C739BC" w:rsidRPr="0082343C" w14:paraId="09371523" w14:textId="77777777" w:rsidTr="00C739BC">
        <w:trPr>
          <w:trHeight w:val="340"/>
        </w:trPr>
        <w:tc>
          <w:tcPr>
            <w:tcW w:w="1134" w:type="dxa"/>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701D3AEF" w14:textId="7D7F8BBE" w:rsidR="00C739BC" w:rsidRPr="0082343C" w:rsidRDefault="00C739BC" w:rsidP="0082343C">
            <w:pPr>
              <w:widowControl/>
              <w:autoSpaceDE/>
              <w:autoSpaceDN/>
              <w:adjustRightInd/>
              <w:rPr>
                <w:color w:val="000000"/>
                <w:sz w:val="22"/>
                <w:szCs w:val="22"/>
              </w:rPr>
            </w:pPr>
            <w:r w:rsidRPr="00C739B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2C6AE01B" w14:textId="21210125" w:rsidR="00C739BC" w:rsidRPr="0082343C" w:rsidRDefault="00C739BC" w:rsidP="0082343C">
            <w:pPr>
              <w:widowControl/>
              <w:autoSpaceDE/>
              <w:autoSpaceDN/>
              <w:adjustRightInd/>
              <w:rPr>
                <w:color w:val="000000"/>
                <w:sz w:val="22"/>
                <w:szCs w:val="22"/>
              </w:rPr>
            </w:pPr>
            <w:r w:rsidRPr="00C739BC">
              <w:rPr>
                <w:color w:val="000000"/>
                <w:sz w:val="22"/>
                <w:szCs w:val="22"/>
              </w:rPr>
              <w:t>Mail/Telephone Baseline</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1B243A43" w14:textId="0A35AB5B" w:rsidR="00C739BC" w:rsidRPr="0082343C" w:rsidRDefault="00C739BC" w:rsidP="0082343C">
            <w:pPr>
              <w:widowControl/>
              <w:autoSpaceDE/>
              <w:autoSpaceDN/>
              <w:adjustRightInd/>
              <w:jc w:val="right"/>
              <w:rPr>
                <w:color w:val="000000"/>
                <w:sz w:val="22"/>
                <w:szCs w:val="22"/>
              </w:rPr>
            </w:pPr>
            <w:r w:rsidRPr="00C739BC">
              <w:rPr>
                <w:color w:val="000000"/>
                <w:sz w:val="22"/>
                <w:szCs w:val="22"/>
              </w:rPr>
              <w:t>500</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57DBD6A2" w14:textId="47FB7D67" w:rsidR="00C739BC" w:rsidRDefault="00C739BC" w:rsidP="005F64C3">
            <w:pPr>
              <w:widowControl/>
              <w:autoSpaceDE/>
              <w:autoSpaceDN/>
              <w:adjustRightInd/>
              <w:jc w:val="right"/>
              <w:rPr>
                <w:color w:val="000000"/>
                <w:sz w:val="22"/>
                <w:szCs w:val="22"/>
              </w:rPr>
            </w:pPr>
            <w:r w:rsidRPr="00C739BC">
              <w:rPr>
                <w:color w:val="000000"/>
                <w:sz w:val="22"/>
                <w:szCs w:val="22"/>
              </w:rPr>
              <w:t>300</w:t>
            </w:r>
          </w:p>
        </w:tc>
        <w:tc>
          <w:tcPr>
            <w:tcW w:w="1281" w:type="dxa"/>
            <w:tcBorders>
              <w:top w:val="nil"/>
              <w:left w:val="nil"/>
              <w:bottom w:val="single" w:sz="8" w:space="0" w:color="auto"/>
              <w:right w:val="single" w:sz="8" w:space="0" w:color="auto"/>
            </w:tcBorders>
            <w:shd w:val="clear" w:color="auto" w:fill="D9D9D9" w:themeFill="background1" w:themeFillShade="D9"/>
            <w:vAlign w:val="center"/>
          </w:tcPr>
          <w:p w14:paraId="27C5EAD5" w14:textId="1606ACDD" w:rsidR="00C739BC" w:rsidRPr="0082343C" w:rsidRDefault="00C739BC" w:rsidP="0080406F">
            <w:pPr>
              <w:widowControl/>
              <w:autoSpaceDE/>
              <w:autoSpaceDN/>
              <w:adjustRightInd/>
              <w:jc w:val="right"/>
              <w:rPr>
                <w:color w:val="000000"/>
                <w:sz w:val="22"/>
                <w:szCs w:val="22"/>
              </w:rPr>
            </w:pPr>
            <w:r w:rsidRPr="00C739BC">
              <w:rPr>
                <w:color w:val="000000"/>
                <w:sz w:val="22"/>
                <w:szCs w:val="22"/>
              </w:rPr>
              <w:t xml:space="preserve">$22.71 </w:t>
            </w:r>
          </w:p>
        </w:tc>
        <w:tc>
          <w:tcPr>
            <w:tcW w:w="1329" w:type="dxa"/>
            <w:tcBorders>
              <w:top w:val="nil"/>
              <w:left w:val="nil"/>
              <w:bottom w:val="single" w:sz="8" w:space="0" w:color="auto"/>
              <w:right w:val="single" w:sz="8" w:space="0" w:color="auto"/>
            </w:tcBorders>
            <w:shd w:val="clear" w:color="auto" w:fill="D9D9D9" w:themeFill="background1" w:themeFillShade="D9"/>
            <w:vAlign w:val="center"/>
          </w:tcPr>
          <w:p w14:paraId="6ECEA905" w14:textId="192268F6" w:rsidR="00C739BC" w:rsidRPr="0082343C" w:rsidRDefault="00C739BC" w:rsidP="00AA5AD8">
            <w:pPr>
              <w:widowControl/>
              <w:autoSpaceDE/>
              <w:autoSpaceDN/>
              <w:adjustRightInd/>
              <w:jc w:val="right"/>
              <w:rPr>
                <w:color w:val="000000"/>
                <w:sz w:val="22"/>
                <w:szCs w:val="22"/>
              </w:rPr>
            </w:pPr>
            <w:r w:rsidRPr="00C739BC">
              <w:rPr>
                <w:color w:val="000000"/>
                <w:sz w:val="22"/>
                <w:szCs w:val="22"/>
              </w:rPr>
              <w:t xml:space="preserve">$6,813 </w:t>
            </w:r>
          </w:p>
        </w:tc>
      </w:tr>
      <w:tr w:rsidR="00C739BC" w:rsidRPr="0082343C" w14:paraId="79FE9CF0" w14:textId="77777777" w:rsidTr="00C739BC">
        <w:trPr>
          <w:trHeight w:val="340"/>
        </w:trPr>
        <w:tc>
          <w:tcPr>
            <w:tcW w:w="1134" w:type="dxa"/>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417F2E25" w14:textId="58217491" w:rsidR="00C739BC" w:rsidRPr="0082343C" w:rsidRDefault="00C739BC" w:rsidP="0082343C">
            <w:pPr>
              <w:widowControl/>
              <w:autoSpaceDE/>
              <w:autoSpaceDN/>
              <w:adjustRightInd/>
              <w:rPr>
                <w:color w:val="000000"/>
                <w:sz w:val="22"/>
                <w:szCs w:val="22"/>
              </w:rPr>
            </w:pPr>
            <w:r w:rsidRPr="00C739B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71A0E3E" w14:textId="1681B84B" w:rsidR="00C739BC" w:rsidRPr="0082343C" w:rsidRDefault="00C739BC" w:rsidP="0082343C">
            <w:pPr>
              <w:widowControl/>
              <w:autoSpaceDE/>
              <w:autoSpaceDN/>
              <w:adjustRightInd/>
              <w:rPr>
                <w:color w:val="000000"/>
                <w:sz w:val="22"/>
                <w:szCs w:val="22"/>
              </w:rPr>
            </w:pPr>
            <w:r w:rsidRPr="00C739BC">
              <w:rPr>
                <w:color w:val="000000"/>
                <w:sz w:val="22"/>
                <w:szCs w:val="22"/>
              </w:rPr>
              <w:t>Mail 1st Follow-Up</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4DA14155" w14:textId="0987D204" w:rsidR="00C739BC" w:rsidRPr="0082343C" w:rsidRDefault="00C739BC" w:rsidP="0082343C">
            <w:pPr>
              <w:widowControl/>
              <w:autoSpaceDE/>
              <w:autoSpaceDN/>
              <w:adjustRightInd/>
              <w:jc w:val="right"/>
              <w:rPr>
                <w:color w:val="000000"/>
                <w:sz w:val="22"/>
                <w:szCs w:val="22"/>
              </w:rPr>
            </w:pPr>
            <w:r w:rsidRPr="00C739BC">
              <w:rPr>
                <w:color w:val="000000"/>
                <w:sz w:val="22"/>
                <w:szCs w:val="22"/>
              </w:rPr>
              <w:t>475</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3E54276E" w14:textId="3A90A2D8" w:rsidR="00C739BC" w:rsidRDefault="00C739BC" w:rsidP="005F64C3">
            <w:pPr>
              <w:widowControl/>
              <w:autoSpaceDE/>
              <w:autoSpaceDN/>
              <w:adjustRightInd/>
              <w:jc w:val="right"/>
              <w:rPr>
                <w:color w:val="000000"/>
                <w:sz w:val="22"/>
                <w:szCs w:val="22"/>
              </w:rPr>
            </w:pPr>
            <w:r w:rsidRPr="00C739BC">
              <w:rPr>
                <w:color w:val="000000"/>
                <w:sz w:val="22"/>
                <w:szCs w:val="22"/>
              </w:rPr>
              <w:t>285</w:t>
            </w:r>
          </w:p>
        </w:tc>
        <w:tc>
          <w:tcPr>
            <w:tcW w:w="1281" w:type="dxa"/>
            <w:tcBorders>
              <w:top w:val="nil"/>
              <w:left w:val="nil"/>
              <w:bottom w:val="single" w:sz="8" w:space="0" w:color="auto"/>
              <w:right w:val="single" w:sz="8" w:space="0" w:color="auto"/>
            </w:tcBorders>
            <w:shd w:val="clear" w:color="auto" w:fill="D9D9D9" w:themeFill="background1" w:themeFillShade="D9"/>
            <w:vAlign w:val="center"/>
          </w:tcPr>
          <w:p w14:paraId="3D7980BA" w14:textId="59C40592" w:rsidR="00C739BC" w:rsidRPr="0082343C" w:rsidRDefault="00C739BC" w:rsidP="0080406F">
            <w:pPr>
              <w:widowControl/>
              <w:autoSpaceDE/>
              <w:autoSpaceDN/>
              <w:adjustRightInd/>
              <w:jc w:val="right"/>
              <w:rPr>
                <w:color w:val="000000"/>
                <w:sz w:val="22"/>
                <w:szCs w:val="22"/>
              </w:rPr>
            </w:pPr>
            <w:r w:rsidRPr="00C739BC">
              <w:rPr>
                <w:color w:val="000000"/>
                <w:sz w:val="22"/>
                <w:szCs w:val="22"/>
              </w:rPr>
              <w:t xml:space="preserve">$22.71 </w:t>
            </w:r>
          </w:p>
        </w:tc>
        <w:tc>
          <w:tcPr>
            <w:tcW w:w="1329" w:type="dxa"/>
            <w:tcBorders>
              <w:top w:val="nil"/>
              <w:left w:val="nil"/>
              <w:bottom w:val="single" w:sz="8" w:space="0" w:color="auto"/>
              <w:right w:val="single" w:sz="8" w:space="0" w:color="auto"/>
            </w:tcBorders>
            <w:shd w:val="clear" w:color="auto" w:fill="D9D9D9" w:themeFill="background1" w:themeFillShade="D9"/>
            <w:vAlign w:val="center"/>
          </w:tcPr>
          <w:p w14:paraId="794C2A45" w14:textId="5016885B" w:rsidR="00C739BC" w:rsidRPr="0082343C" w:rsidRDefault="00C739BC" w:rsidP="00AA5AD8">
            <w:pPr>
              <w:widowControl/>
              <w:autoSpaceDE/>
              <w:autoSpaceDN/>
              <w:adjustRightInd/>
              <w:jc w:val="right"/>
              <w:rPr>
                <w:color w:val="000000"/>
                <w:sz w:val="22"/>
                <w:szCs w:val="22"/>
              </w:rPr>
            </w:pPr>
            <w:r w:rsidRPr="00C739BC">
              <w:rPr>
                <w:color w:val="000000"/>
                <w:sz w:val="22"/>
                <w:szCs w:val="22"/>
              </w:rPr>
              <w:t xml:space="preserve">$6,472 </w:t>
            </w:r>
          </w:p>
        </w:tc>
      </w:tr>
      <w:tr w:rsidR="00C739BC" w:rsidRPr="0082343C" w14:paraId="4226A83C" w14:textId="77777777" w:rsidTr="00C739BC">
        <w:trPr>
          <w:trHeight w:val="340"/>
        </w:trPr>
        <w:tc>
          <w:tcPr>
            <w:tcW w:w="1134" w:type="dxa"/>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43056734" w14:textId="0B79EE7E" w:rsidR="00C739BC" w:rsidRPr="0082343C" w:rsidRDefault="00C739BC" w:rsidP="0082343C">
            <w:pPr>
              <w:widowControl/>
              <w:autoSpaceDE/>
              <w:autoSpaceDN/>
              <w:adjustRightInd/>
              <w:rPr>
                <w:color w:val="000000"/>
                <w:sz w:val="22"/>
                <w:szCs w:val="22"/>
              </w:rPr>
            </w:pPr>
            <w:r w:rsidRPr="00C739B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1551D11" w14:textId="5FBF0CAC" w:rsidR="00C739BC" w:rsidRPr="0082343C" w:rsidRDefault="00C739BC" w:rsidP="0082343C">
            <w:pPr>
              <w:widowControl/>
              <w:autoSpaceDE/>
              <w:autoSpaceDN/>
              <w:adjustRightInd/>
              <w:rPr>
                <w:color w:val="000000"/>
                <w:sz w:val="22"/>
                <w:szCs w:val="22"/>
              </w:rPr>
            </w:pPr>
            <w:r w:rsidRPr="00C739BC">
              <w:rPr>
                <w:color w:val="000000"/>
                <w:sz w:val="22"/>
                <w:szCs w:val="22"/>
              </w:rPr>
              <w:t>Mail 2nd Follow-Up</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7948F395" w14:textId="3F560577" w:rsidR="00C739BC" w:rsidRPr="0082343C" w:rsidRDefault="00C739BC" w:rsidP="0082343C">
            <w:pPr>
              <w:widowControl/>
              <w:autoSpaceDE/>
              <w:autoSpaceDN/>
              <w:adjustRightInd/>
              <w:jc w:val="right"/>
              <w:rPr>
                <w:color w:val="000000"/>
                <w:sz w:val="22"/>
                <w:szCs w:val="22"/>
              </w:rPr>
            </w:pPr>
            <w:r w:rsidRPr="00C739BC">
              <w:rPr>
                <w:color w:val="000000"/>
                <w:sz w:val="22"/>
                <w:szCs w:val="22"/>
              </w:rPr>
              <w:t>450</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7EB5963C" w14:textId="621C7E0B" w:rsidR="00C739BC" w:rsidRDefault="00C739BC" w:rsidP="005F64C3">
            <w:pPr>
              <w:widowControl/>
              <w:autoSpaceDE/>
              <w:autoSpaceDN/>
              <w:adjustRightInd/>
              <w:jc w:val="right"/>
              <w:rPr>
                <w:color w:val="000000"/>
                <w:sz w:val="22"/>
                <w:szCs w:val="22"/>
              </w:rPr>
            </w:pPr>
            <w:r w:rsidRPr="00C739BC">
              <w:rPr>
                <w:color w:val="000000"/>
                <w:sz w:val="22"/>
                <w:szCs w:val="22"/>
              </w:rPr>
              <w:t>270</w:t>
            </w:r>
          </w:p>
        </w:tc>
        <w:tc>
          <w:tcPr>
            <w:tcW w:w="1281" w:type="dxa"/>
            <w:tcBorders>
              <w:top w:val="nil"/>
              <w:left w:val="nil"/>
              <w:bottom w:val="single" w:sz="8" w:space="0" w:color="auto"/>
              <w:right w:val="single" w:sz="8" w:space="0" w:color="auto"/>
            </w:tcBorders>
            <w:shd w:val="clear" w:color="auto" w:fill="D9D9D9" w:themeFill="background1" w:themeFillShade="D9"/>
            <w:vAlign w:val="center"/>
          </w:tcPr>
          <w:p w14:paraId="1751666C" w14:textId="7A1C67B3" w:rsidR="00C739BC" w:rsidRPr="0082343C" w:rsidRDefault="00C739BC" w:rsidP="0080406F">
            <w:pPr>
              <w:widowControl/>
              <w:autoSpaceDE/>
              <w:autoSpaceDN/>
              <w:adjustRightInd/>
              <w:jc w:val="right"/>
              <w:rPr>
                <w:color w:val="000000"/>
                <w:sz w:val="22"/>
                <w:szCs w:val="22"/>
              </w:rPr>
            </w:pPr>
            <w:r w:rsidRPr="00C739BC">
              <w:rPr>
                <w:color w:val="000000"/>
                <w:sz w:val="22"/>
                <w:szCs w:val="22"/>
              </w:rPr>
              <w:t xml:space="preserve">$22.71 </w:t>
            </w:r>
          </w:p>
        </w:tc>
        <w:tc>
          <w:tcPr>
            <w:tcW w:w="1329" w:type="dxa"/>
            <w:tcBorders>
              <w:top w:val="nil"/>
              <w:left w:val="nil"/>
              <w:bottom w:val="single" w:sz="8" w:space="0" w:color="auto"/>
              <w:right w:val="single" w:sz="8" w:space="0" w:color="auto"/>
            </w:tcBorders>
            <w:shd w:val="clear" w:color="auto" w:fill="D9D9D9" w:themeFill="background1" w:themeFillShade="D9"/>
            <w:vAlign w:val="center"/>
          </w:tcPr>
          <w:p w14:paraId="28D302FF" w14:textId="2EC339F6" w:rsidR="00C739BC" w:rsidRPr="0082343C" w:rsidRDefault="00C739BC" w:rsidP="00AA5AD8">
            <w:pPr>
              <w:widowControl/>
              <w:autoSpaceDE/>
              <w:autoSpaceDN/>
              <w:adjustRightInd/>
              <w:jc w:val="right"/>
              <w:rPr>
                <w:color w:val="000000"/>
                <w:sz w:val="22"/>
                <w:szCs w:val="22"/>
              </w:rPr>
            </w:pPr>
            <w:r w:rsidRPr="00C739BC">
              <w:rPr>
                <w:color w:val="000000"/>
                <w:sz w:val="22"/>
                <w:szCs w:val="22"/>
              </w:rPr>
              <w:t xml:space="preserve">$6,132 </w:t>
            </w:r>
          </w:p>
        </w:tc>
      </w:tr>
      <w:tr w:rsidR="00C739BC" w:rsidRPr="0082343C" w14:paraId="1D51AA6B" w14:textId="77777777" w:rsidTr="00C739BC">
        <w:trPr>
          <w:trHeight w:val="250"/>
        </w:trPr>
        <w:tc>
          <w:tcPr>
            <w:tcW w:w="1134" w:type="dxa"/>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7CD492FE" w14:textId="1293567B" w:rsidR="00C739BC" w:rsidRPr="0082343C" w:rsidRDefault="00C739BC" w:rsidP="0082343C">
            <w:pPr>
              <w:widowControl/>
              <w:autoSpaceDE/>
              <w:autoSpaceDN/>
              <w:adjustRightInd/>
              <w:rPr>
                <w:color w:val="000000"/>
                <w:sz w:val="22"/>
                <w:szCs w:val="22"/>
              </w:rPr>
            </w:pPr>
            <w:r w:rsidRPr="00C739BC">
              <w:rPr>
                <w:color w:val="000000"/>
                <w:sz w:val="22"/>
                <w:szCs w:val="22"/>
              </w:rPr>
              <w:t>AIS1</w:t>
            </w:r>
          </w:p>
        </w:tc>
        <w:tc>
          <w:tcPr>
            <w:tcW w:w="2363"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02182379" w14:textId="3969646E" w:rsidR="00C739BC" w:rsidRPr="0082343C" w:rsidRDefault="00C739BC" w:rsidP="0082343C">
            <w:pPr>
              <w:widowControl/>
              <w:autoSpaceDE/>
              <w:autoSpaceDN/>
              <w:adjustRightInd/>
              <w:rPr>
                <w:color w:val="000000"/>
                <w:sz w:val="22"/>
                <w:szCs w:val="22"/>
              </w:rPr>
            </w:pPr>
            <w:r w:rsidRPr="00C739BC">
              <w:rPr>
                <w:color w:val="000000"/>
                <w:sz w:val="22"/>
                <w:szCs w:val="22"/>
              </w:rPr>
              <w:t>Mail 3rd Follow-Up</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73157C8C" w14:textId="1B3EAF33" w:rsidR="00C739BC" w:rsidRPr="0082343C" w:rsidRDefault="00C739BC" w:rsidP="0082343C">
            <w:pPr>
              <w:widowControl/>
              <w:autoSpaceDE/>
              <w:autoSpaceDN/>
              <w:adjustRightInd/>
              <w:jc w:val="right"/>
              <w:rPr>
                <w:color w:val="000000"/>
                <w:sz w:val="22"/>
                <w:szCs w:val="22"/>
              </w:rPr>
            </w:pPr>
            <w:r w:rsidRPr="00C739BC">
              <w:rPr>
                <w:color w:val="000000"/>
                <w:sz w:val="22"/>
                <w:szCs w:val="22"/>
              </w:rPr>
              <w:t>425</w:t>
            </w:r>
          </w:p>
        </w:tc>
        <w:tc>
          <w:tcPr>
            <w:tcW w:w="1440" w:type="dxa"/>
            <w:tcBorders>
              <w:top w:val="nil"/>
              <w:left w:val="nil"/>
              <w:bottom w:val="single" w:sz="8" w:space="0" w:color="auto"/>
              <w:right w:val="single" w:sz="8" w:space="0" w:color="auto"/>
            </w:tcBorders>
            <w:shd w:val="clear" w:color="auto" w:fill="D9D9D9" w:themeFill="background1" w:themeFillShade="D9"/>
            <w:vAlign w:val="center"/>
          </w:tcPr>
          <w:p w14:paraId="1A57EB6B" w14:textId="4ED3E5D5" w:rsidR="00C739BC" w:rsidRPr="0082343C" w:rsidRDefault="00C739BC" w:rsidP="005F64C3">
            <w:pPr>
              <w:widowControl/>
              <w:autoSpaceDE/>
              <w:autoSpaceDN/>
              <w:adjustRightInd/>
              <w:jc w:val="right"/>
              <w:rPr>
                <w:color w:val="000000"/>
                <w:sz w:val="22"/>
                <w:szCs w:val="22"/>
              </w:rPr>
            </w:pPr>
            <w:r w:rsidRPr="00C739BC">
              <w:rPr>
                <w:color w:val="000000"/>
                <w:sz w:val="22"/>
                <w:szCs w:val="22"/>
              </w:rPr>
              <w:t>255</w:t>
            </w:r>
          </w:p>
        </w:tc>
        <w:tc>
          <w:tcPr>
            <w:tcW w:w="1281" w:type="dxa"/>
            <w:tcBorders>
              <w:top w:val="nil"/>
              <w:left w:val="nil"/>
              <w:bottom w:val="single" w:sz="8" w:space="0" w:color="auto"/>
              <w:right w:val="single" w:sz="8" w:space="0" w:color="auto"/>
            </w:tcBorders>
            <w:shd w:val="clear" w:color="auto" w:fill="D9D9D9" w:themeFill="background1" w:themeFillShade="D9"/>
            <w:vAlign w:val="center"/>
          </w:tcPr>
          <w:p w14:paraId="39EF2949" w14:textId="3224FFF6" w:rsidR="00C739BC" w:rsidRPr="0082343C" w:rsidRDefault="00C739BC" w:rsidP="0080406F">
            <w:pPr>
              <w:widowControl/>
              <w:autoSpaceDE/>
              <w:autoSpaceDN/>
              <w:adjustRightInd/>
              <w:jc w:val="right"/>
              <w:rPr>
                <w:color w:val="000000"/>
                <w:sz w:val="22"/>
                <w:szCs w:val="22"/>
              </w:rPr>
            </w:pPr>
            <w:r w:rsidRPr="00C739BC">
              <w:rPr>
                <w:color w:val="000000"/>
                <w:sz w:val="22"/>
                <w:szCs w:val="22"/>
              </w:rPr>
              <w:t xml:space="preserve">$22.71 </w:t>
            </w:r>
          </w:p>
        </w:tc>
        <w:tc>
          <w:tcPr>
            <w:tcW w:w="1329" w:type="dxa"/>
            <w:tcBorders>
              <w:top w:val="nil"/>
              <w:left w:val="nil"/>
              <w:bottom w:val="single" w:sz="8" w:space="0" w:color="auto"/>
              <w:right w:val="single" w:sz="8" w:space="0" w:color="auto"/>
            </w:tcBorders>
            <w:shd w:val="clear" w:color="auto" w:fill="D9D9D9" w:themeFill="background1" w:themeFillShade="D9"/>
            <w:vAlign w:val="center"/>
          </w:tcPr>
          <w:p w14:paraId="270F9EF3" w14:textId="507C4334" w:rsidR="00C739BC" w:rsidRPr="0082343C" w:rsidRDefault="00C739BC" w:rsidP="00AA5AD8">
            <w:pPr>
              <w:widowControl/>
              <w:autoSpaceDE/>
              <w:autoSpaceDN/>
              <w:adjustRightInd/>
              <w:jc w:val="right"/>
              <w:rPr>
                <w:color w:val="000000"/>
                <w:sz w:val="22"/>
                <w:szCs w:val="22"/>
              </w:rPr>
            </w:pPr>
            <w:r w:rsidRPr="00C739BC">
              <w:rPr>
                <w:color w:val="000000"/>
                <w:sz w:val="22"/>
                <w:szCs w:val="22"/>
              </w:rPr>
              <w:t xml:space="preserve">$5,791 </w:t>
            </w:r>
          </w:p>
        </w:tc>
      </w:tr>
    </w:tbl>
    <w:p w14:paraId="794A22E7" w14:textId="762FCD71" w:rsidR="00C03AAF" w:rsidRDefault="00C03AAF">
      <w:pPr>
        <w:widowControl/>
        <w:autoSpaceDE/>
        <w:autoSpaceDN/>
        <w:adjustRightInd/>
        <w:rPr>
          <w:sz w:val="24"/>
        </w:rPr>
      </w:pPr>
    </w:p>
    <w:p w14:paraId="22E96DA6" w14:textId="77777777" w:rsidR="00C03AAF" w:rsidRDefault="00C03AAF">
      <w:pPr>
        <w:widowControl/>
        <w:autoSpaceDE/>
        <w:autoSpaceDN/>
        <w:adjustRightInd/>
        <w:rPr>
          <w:sz w:val="24"/>
        </w:rPr>
      </w:pPr>
      <w:r>
        <w:rPr>
          <w:sz w:val="24"/>
        </w:rPr>
        <w:br w:type="page"/>
      </w:r>
    </w:p>
    <w:p w14:paraId="7A785A5E" w14:textId="77777777" w:rsidR="00C739BC" w:rsidRDefault="00C739BC">
      <w:pPr>
        <w:widowControl/>
        <w:autoSpaceDE/>
        <w:autoSpaceDN/>
        <w:adjustRightInd/>
        <w:rPr>
          <w:sz w:val="24"/>
        </w:rPr>
      </w:pPr>
    </w:p>
    <w:p w14:paraId="1E8E3C3B" w14:textId="62D08372" w:rsidR="00B20AB0" w:rsidRDefault="00B20AB0" w:rsidP="0034401C">
      <w:pPr>
        <w:widowControl/>
        <w:autoSpaceDE/>
        <w:autoSpaceDN/>
        <w:adjustRightInd/>
        <w:rPr>
          <w:sz w:val="24"/>
        </w:rPr>
      </w:pPr>
      <w:proofErr w:type="gramStart"/>
      <w:r>
        <w:rPr>
          <w:sz w:val="24"/>
        </w:rPr>
        <w:t>Table 1.</w:t>
      </w:r>
      <w:proofErr w:type="gramEnd"/>
      <w:r>
        <w:rPr>
          <w:sz w:val="24"/>
        </w:rPr>
        <w:t xml:space="preserve"> Bur</w:t>
      </w:r>
      <w:r w:rsidR="004F2CB6">
        <w:rPr>
          <w:sz w:val="24"/>
        </w:rPr>
        <w:t>den on Study Participants (cont</w:t>
      </w:r>
      <w:r w:rsidR="00377085">
        <w:rPr>
          <w:sz w:val="24"/>
        </w:rPr>
        <w:t>i</w:t>
      </w:r>
      <w:r w:rsidR="004F2CB6">
        <w:rPr>
          <w:sz w:val="24"/>
        </w:rPr>
        <w:t>nued</w:t>
      </w:r>
      <w:r>
        <w:rPr>
          <w:sz w:val="24"/>
        </w:rPr>
        <w:t>)</w:t>
      </w:r>
    </w:p>
    <w:p w14:paraId="51A95509" w14:textId="77777777" w:rsidR="00DD6830" w:rsidRDefault="00DD6830" w:rsidP="00FF1C6E">
      <w:pPr>
        <w:rPr>
          <w:sz w:val="24"/>
        </w:rPr>
      </w:pPr>
    </w:p>
    <w:tbl>
      <w:tblPr>
        <w:tblW w:w="9015" w:type="dxa"/>
        <w:tblInd w:w="93" w:type="dxa"/>
        <w:tblLook w:val="04A0" w:firstRow="1" w:lastRow="0" w:firstColumn="1" w:lastColumn="0" w:noHBand="0" w:noVBand="1"/>
      </w:tblPr>
      <w:tblGrid>
        <w:gridCol w:w="1095"/>
        <w:gridCol w:w="2381"/>
        <w:gridCol w:w="1446"/>
        <w:gridCol w:w="1483"/>
        <w:gridCol w:w="1260"/>
        <w:gridCol w:w="1350"/>
      </w:tblGrid>
      <w:tr w:rsidR="0082343C" w:rsidRPr="0082343C" w14:paraId="0A05D0F5" w14:textId="77777777" w:rsidTr="00C739BC">
        <w:trPr>
          <w:trHeight w:val="912"/>
        </w:trPr>
        <w:tc>
          <w:tcPr>
            <w:tcW w:w="34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8301D8C" w14:textId="77777777" w:rsidR="0082343C" w:rsidRPr="0082343C" w:rsidRDefault="0082343C" w:rsidP="0082343C">
            <w:pPr>
              <w:widowControl/>
              <w:autoSpaceDE/>
              <w:autoSpaceDN/>
              <w:adjustRightInd/>
              <w:jc w:val="center"/>
              <w:rPr>
                <w:b/>
                <w:bCs/>
                <w:color w:val="000000"/>
                <w:sz w:val="22"/>
                <w:szCs w:val="22"/>
              </w:rPr>
            </w:pPr>
            <w:r w:rsidRPr="0082343C">
              <w:rPr>
                <w:b/>
                <w:bCs/>
                <w:color w:val="000000"/>
                <w:sz w:val="22"/>
                <w:szCs w:val="22"/>
              </w:rPr>
              <w:t>Data Collection Activity</w:t>
            </w:r>
          </w:p>
        </w:tc>
        <w:tc>
          <w:tcPr>
            <w:tcW w:w="1446" w:type="dxa"/>
            <w:tcBorders>
              <w:top w:val="single" w:sz="8" w:space="0" w:color="auto"/>
              <w:left w:val="nil"/>
              <w:bottom w:val="single" w:sz="8" w:space="0" w:color="auto"/>
              <w:right w:val="single" w:sz="8" w:space="0" w:color="auto"/>
            </w:tcBorders>
            <w:shd w:val="clear" w:color="auto" w:fill="auto"/>
            <w:vAlign w:val="bottom"/>
            <w:hideMark/>
          </w:tcPr>
          <w:p w14:paraId="18EA778D" w14:textId="77777777" w:rsidR="0082343C" w:rsidRPr="0082343C" w:rsidRDefault="0082343C" w:rsidP="0082343C">
            <w:pPr>
              <w:widowControl/>
              <w:autoSpaceDE/>
              <w:autoSpaceDN/>
              <w:adjustRightInd/>
              <w:jc w:val="center"/>
              <w:rPr>
                <w:b/>
                <w:bCs/>
                <w:color w:val="000000"/>
                <w:sz w:val="22"/>
                <w:szCs w:val="22"/>
              </w:rPr>
            </w:pPr>
            <w:r w:rsidRPr="0082343C">
              <w:rPr>
                <w:b/>
                <w:bCs/>
                <w:color w:val="000000"/>
                <w:sz w:val="22"/>
                <w:szCs w:val="22"/>
              </w:rPr>
              <w:t>Number of Unique Respondents</w:t>
            </w:r>
          </w:p>
        </w:tc>
        <w:tc>
          <w:tcPr>
            <w:tcW w:w="1483" w:type="dxa"/>
            <w:tcBorders>
              <w:top w:val="single" w:sz="8" w:space="0" w:color="auto"/>
              <w:left w:val="nil"/>
              <w:bottom w:val="single" w:sz="8" w:space="0" w:color="auto"/>
              <w:right w:val="single" w:sz="8" w:space="0" w:color="auto"/>
            </w:tcBorders>
            <w:shd w:val="clear" w:color="auto" w:fill="auto"/>
            <w:vAlign w:val="bottom"/>
            <w:hideMark/>
          </w:tcPr>
          <w:p w14:paraId="75F92114" w14:textId="77777777" w:rsidR="0082343C" w:rsidRPr="0082343C" w:rsidRDefault="0082343C" w:rsidP="0082343C">
            <w:pPr>
              <w:widowControl/>
              <w:autoSpaceDE/>
              <w:autoSpaceDN/>
              <w:adjustRightInd/>
              <w:jc w:val="center"/>
              <w:rPr>
                <w:b/>
                <w:bCs/>
                <w:color w:val="000000"/>
                <w:sz w:val="22"/>
                <w:szCs w:val="22"/>
              </w:rPr>
            </w:pPr>
            <w:r w:rsidRPr="0082343C">
              <w:rPr>
                <w:b/>
                <w:bCs/>
                <w:color w:val="000000"/>
                <w:sz w:val="22"/>
                <w:szCs w:val="22"/>
              </w:rPr>
              <w:t>Total Burden Hours</w:t>
            </w:r>
            <w:r w:rsidRPr="0082343C">
              <w:rPr>
                <w:b/>
                <w:bCs/>
                <w:color w:val="000000"/>
                <w:sz w:val="22"/>
                <w:szCs w:val="22"/>
                <w:vertAlign w:val="superscript"/>
              </w:rPr>
              <w:t>(1)</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14:paraId="7176F9B1" w14:textId="77777777" w:rsidR="0082343C" w:rsidRPr="0082343C" w:rsidRDefault="0082343C" w:rsidP="0082343C">
            <w:pPr>
              <w:widowControl/>
              <w:autoSpaceDE/>
              <w:autoSpaceDN/>
              <w:adjustRightInd/>
              <w:jc w:val="center"/>
              <w:rPr>
                <w:b/>
                <w:bCs/>
                <w:color w:val="000000"/>
                <w:sz w:val="22"/>
                <w:szCs w:val="22"/>
              </w:rPr>
            </w:pPr>
            <w:r w:rsidRPr="0082343C">
              <w:rPr>
                <w:b/>
                <w:bCs/>
                <w:color w:val="000000"/>
                <w:sz w:val="22"/>
                <w:szCs w:val="22"/>
              </w:rPr>
              <w:t>Average Hourly Wage Rate</w:t>
            </w:r>
            <w:r w:rsidRPr="0082343C">
              <w:rPr>
                <w:b/>
                <w:bCs/>
                <w:color w:val="000000"/>
                <w:sz w:val="22"/>
                <w:szCs w:val="22"/>
                <w:vertAlign w:val="superscript"/>
              </w:rPr>
              <w:t>(2)</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7C55FE32" w14:textId="2FB01A3C" w:rsidR="0082343C" w:rsidRPr="0082343C" w:rsidRDefault="00B145A8" w:rsidP="00B145A8">
            <w:pPr>
              <w:widowControl/>
              <w:autoSpaceDE/>
              <w:autoSpaceDN/>
              <w:adjustRightInd/>
              <w:jc w:val="center"/>
              <w:rPr>
                <w:b/>
                <w:bCs/>
                <w:color w:val="000000"/>
                <w:sz w:val="22"/>
                <w:szCs w:val="22"/>
              </w:rPr>
            </w:pPr>
            <w:r>
              <w:rPr>
                <w:b/>
                <w:bCs/>
                <w:color w:val="000000"/>
                <w:sz w:val="22"/>
                <w:szCs w:val="22"/>
              </w:rPr>
              <w:t xml:space="preserve">Monetized Value of Time </w:t>
            </w:r>
            <w:r w:rsidR="0082343C" w:rsidRPr="0082343C">
              <w:rPr>
                <w:b/>
                <w:bCs/>
                <w:color w:val="000000"/>
                <w:sz w:val="22"/>
                <w:szCs w:val="22"/>
              </w:rPr>
              <w:t xml:space="preserve"> Burden</w:t>
            </w:r>
          </w:p>
        </w:tc>
      </w:tr>
      <w:tr w:rsidR="00C739BC" w:rsidRPr="0082343C" w14:paraId="4DB61E2F" w14:textId="77777777" w:rsidTr="00EA5917">
        <w:trPr>
          <w:trHeight w:val="340"/>
        </w:trPr>
        <w:tc>
          <w:tcPr>
            <w:tcW w:w="1095" w:type="dxa"/>
            <w:tcBorders>
              <w:top w:val="nil"/>
              <w:left w:val="single" w:sz="8" w:space="0" w:color="auto"/>
              <w:bottom w:val="single" w:sz="8" w:space="0" w:color="auto"/>
              <w:right w:val="single" w:sz="8" w:space="0" w:color="auto"/>
            </w:tcBorders>
            <w:shd w:val="clear" w:color="auto" w:fill="auto"/>
            <w:noWrap/>
            <w:vAlign w:val="center"/>
          </w:tcPr>
          <w:p w14:paraId="0D62C50E" w14:textId="224FEA9A" w:rsidR="00C739BC" w:rsidRPr="0082343C" w:rsidRDefault="00C739BC" w:rsidP="0082343C">
            <w:pPr>
              <w:widowControl/>
              <w:autoSpaceDE/>
              <w:autoSpaceDN/>
              <w:adjustRightInd/>
              <w:rPr>
                <w:color w:val="000000"/>
                <w:sz w:val="22"/>
                <w:szCs w:val="22"/>
              </w:rPr>
            </w:pPr>
            <w:r w:rsidRPr="0082343C">
              <w:rPr>
                <w:color w:val="000000"/>
                <w:sz w:val="22"/>
                <w:szCs w:val="22"/>
              </w:rPr>
              <w:t>APS</w:t>
            </w:r>
          </w:p>
        </w:tc>
        <w:tc>
          <w:tcPr>
            <w:tcW w:w="2381" w:type="dxa"/>
            <w:tcBorders>
              <w:top w:val="single" w:sz="8" w:space="0" w:color="auto"/>
              <w:left w:val="nil"/>
              <w:bottom w:val="single" w:sz="8" w:space="0" w:color="auto"/>
              <w:right w:val="single" w:sz="8" w:space="0" w:color="000000"/>
            </w:tcBorders>
            <w:shd w:val="clear" w:color="auto" w:fill="auto"/>
            <w:vAlign w:val="center"/>
          </w:tcPr>
          <w:p w14:paraId="212E734B" w14:textId="6EE7C97E" w:rsidR="00C739BC" w:rsidRPr="0082343C" w:rsidRDefault="00C739BC" w:rsidP="0082343C">
            <w:pPr>
              <w:widowControl/>
              <w:autoSpaceDE/>
              <w:autoSpaceDN/>
              <w:adjustRightInd/>
              <w:rPr>
                <w:color w:val="000000"/>
                <w:sz w:val="22"/>
                <w:szCs w:val="22"/>
              </w:rPr>
            </w:pPr>
            <w:r w:rsidRPr="0082343C">
              <w:rPr>
                <w:color w:val="000000"/>
                <w:sz w:val="22"/>
                <w:szCs w:val="22"/>
              </w:rPr>
              <w:t>Internet Baseline</w:t>
            </w:r>
          </w:p>
        </w:tc>
        <w:tc>
          <w:tcPr>
            <w:tcW w:w="1446" w:type="dxa"/>
            <w:tcBorders>
              <w:top w:val="nil"/>
              <w:left w:val="nil"/>
              <w:bottom w:val="single" w:sz="8" w:space="0" w:color="auto"/>
              <w:right w:val="single" w:sz="8" w:space="0" w:color="auto"/>
            </w:tcBorders>
            <w:shd w:val="clear" w:color="auto" w:fill="auto"/>
            <w:vAlign w:val="center"/>
          </w:tcPr>
          <w:p w14:paraId="0E09C97C" w14:textId="4D29E5C7" w:rsidR="00C739BC" w:rsidRPr="0082343C" w:rsidRDefault="00C739BC" w:rsidP="0082343C">
            <w:pPr>
              <w:widowControl/>
              <w:autoSpaceDE/>
              <w:autoSpaceDN/>
              <w:adjustRightInd/>
              <w:jc w:val="right"/>
              <w:rPr>
                <w:color w:val="000000"/>
                <w:sz w:val="22"/>
                <w:szCs w:val="22"/>
              </w:rPr>
            </w:pPr>
            <w:r w:rsidRPr="0082343C">
              <w:rPr>
                <w:color w:val="000000"/>
                <w:sz w:val="22"/>
                <w:szCs w:val="22"/>
              </w:rPr>
              <w:t>3</w:t>
            </w:r>
            <w:r>
              <w:rPr>
                <w:color w:val="000000"/>
                <w:sz w:val="22"/>
                <w:szCs w:val="22"/>
              </w:rPr>
              <w:t>,</w:t>
            </w:r>
            <w:r w:rsidRPr="0082343C">
              <w:rPr>
                <w:color w:val="000000"/>
                <w:sz w:val="22"/>
                <w:szCs w:val="22"/>
              </w:rPr>
              <w:t>660</w:t>
            </w:r>
          </w:p>
        </w:tc>
        <w:tc>
          <w:tcPr>
            <w:tcW w:w="1483" w:type="dxa"/>
            <w:tcBorders>
              <w:top w:val="nil"/>
              <w:left w:val="nil"/>
              <w:bottom w:val="single" w:sz="8" w:space="0" w:color="auto"/>
              <w:right w:val="nil"/>
            </w:tcBorders>
            <w:shd w:val="clear" w:color="auto" w:fill="auto"/>
            <w:vAlign w:val="center"/>
          </w:tcPr>
          <w:p w14:paraId="2883473B" w14:textId="5B60D8A3" w:rsidR="00C739BC" w:rsidRDefault="00C739BC" w:rsidP="005F64C3">
            <w:pPr>
              <w:widowControl/>
              <w:autoSpaceDE/>
              <w:autoSpaceDN/>
              <w:adjustRightInd/>
              <w:jc w:val="right"/>
              <w:rPr>
                <w:color w:val="000000"/>
                <w:sz w:val="22"/>
                <w:szCs w:val="22"/>
              </w:rPr>
            </w:pPr>
            <w:r>
              <w:rPr>
                <w:color w:val="000000"/>
                <w:sz w:val="22"/>
                <w:szCs w:val="22"/>
              </w:rPr>
              <w:t xml:space="preserve">2,501 </w:t>
            </w:r>
          </w:p>
        </w:tc>
        <w:tc>
          <w:tcPr>
            <w:tcW w:w="1260" w:type="dxa"/>
            <w:tcBorders>
              <w:top w:val="nil"/>
              <w:left w:val="single" w:sz="8" w:space="0" w:color="auto"/>
              <w:bottom w:val="single" w:sz="8" w:space="0" w:color="auto"/>
              <w:right w:val="single" w:sz="8" w:space="0" w:color="auto"/>
            </w:tcBorders>
            <w:shd w:val="clear" w:color="auto" w:fill="auto"/>
            <w:vAlign w:val="center"/>
          </w:tcPr>
          <w:p w14:paraId="4F506A37" w14:textId="2D63BAC9" w:rsidR="00C739BC" w:rsidRPr="0082343C" w:rsidRDefault="00C739BC" w:rsidP="0080406F">
            <w:pPr>
              <w:widowControl/>
              <w:autoSpaceDE/>
              <w:autoSpaceDN/>
              <w:adjustRightInd/>
              <w:jc w:val="right"/>
              <w:rPr>
                <w:color w:val="000000"/>
                <w:sz w:val="22"/>
                <w:szCs w:val="22"/>
              </w:rPr>
            </w:pPr>
            <w:r w:rsidRPr="0082343C">
              <w:rPr>
                <w:color w:val="000000"/>
                <w:sz w:val="22"/>
                <w:szCs w:val="22"/>
              </w:rPr>
              <w:t>$22.</w:t>
            </w:r>
            <w:r>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tcPr>
          <w:p w14:paraId="5B079A45" w14:textId="66017521" w:rsidR="00C739BC" w:rsidRPr="0082343C" w:rsidRDefault="00C739BC" w:rsidP="006464FA">
            <w:pPr>
              <w:widowControl/>
              <w:autoSpaceDE/>
              <w:autoSpaceDN/>
              <w:adjustRightInd/>
              <w:jc w:val="right"/>
              <w:rPr>
                <w:color w:val="000000"/>
                <w:sz w:val="22"/>
                <w:szCs w:val="22"/>
              </w:rPr>
            </w:pPr>
            <w:r w:rsidRPr="0082343C">
              <w:rPr>
                <w:color w:val="000000"/>
                <w:sz w:val="22"/>
                <w:szCs w:val="22"/>
              </w:rPr>
              <w:t>$</w:t>
            </w:r>
            <w:r>
              <w:rPr>
                <w:color w:val="000000"/>
                <w:sz w:val="22"/>
                <w:szCs w:val="22"/>
              </w:rPr>
              <w:t xml:space="preserve">56,798 </w:t>
            </w:r>
            <w:r w:rsidRPr="0082343C">
              <w:rPr>
                <w:color w:val="000000"/>
                <w:sz w:val="22"/>
                <w:szCs w:val="22"/>
              </w:rPr>
              <w:t xml:space="preserve"> </w:t>
            </w:r>
          </w:p>
        </w:tc>
      </w:tr>
      <w:tr w:rsidR="00C739BC" w:rsidRPr="0082343C" w14:paraId="51619D75" w14:textId="77777777" w:rsidTr="00EA5917">
        <w:trPr>
          <w:trHeight w:val="340"/>
        </w:trPr>
        <w:tc>
          <w:tcPr>
            <w:tcW w:w="1095" w:type="dxa"/>
            <w:tcBorders>
              <w:top w:val="nil"/>
              <w:left w:val="single" w:sz="8" w:space="0" w:color="auto"/>
              <w:bottom w:val="single" w:sz="8" w:space="0" w:color="auto"/>
              <w:right w:val="single" w:sz="8" w:space="0" w:color="auto"/>
            </w:tcBorders>
            <w:shd w:val="clear" w:color="auto" w:fill="auto"/>
            <w:noWrap/>
            <w:vAlign w:val="center"/>
          </w:tcPr>
          <w:p w14:paraId="45D9DBEB" w14:textId="60F75119" w:rsidR="00C739BC" w:rsidRPr="0082343C" w:rsidRDefault="00C739BC" w:rsidP="0082343C">
            <w:pPr>
              <w:widowControl/>
              <w:autoSpaceDE/>
              <w:autoSpaceDN/>
              <w:adjustRightInd/>
              <w:rPr>
                <w:color w:val="000000"/>
                <w:sz w:val="22"/>
                <w:szCs w:val="22"/>
              </w:rPr>
            </w:pPr>
            <w:r w:rsidRPr="0082343C">
              <w:rPr>
                <w:color w:val="000000"/>
                <w:sz w:val="22"/>
                <w:szCs w:val="22"/>
              </w:rPr>
              <w:t>APS</w:t>
            </w:r>
          </w:p>
        </w:tc>
        <w:tc>
          <w:tcPr>
            <w:tcW w:w="2381" w:type="dxa"/>
            <w:tcBorders>
              <w:top w:val="single" w:sz="8" w:space="0" w:color="auto"/>
              <w:left w:val="nil"/>
              <w:bottom w:val="single" w:sz="8" w:space="0" w:color="auto"/>
              <w:right w:val="single" w:sz="8" w:space="0" w:color="000000"/>
            </w:tcBorders>
            <w:shd w:val="clear" w:color="auto" w:fill="auto"/>
            <w:vAlign w:val="center"/>
          </w:tcPr>
          <w:p w14:paraId="51D6A4B4" w14:textId="0AEF0B52" w:rsidR="00C739BC" w:rsidRPr="0082343C" w:rsidRDefault="00C739BC" w:rsidP="0082343C">
            <w:pPr>
              <w:widowControl/>
              <w:autoSpaceDE/>
              <w:autoSpaceDN/>
              <w:adjustRightInd/>
              <w:rPr>
                <w:color w:val="000000"/>
                <w:sz w:val="22"/>
                <w:szCs w:val="22"/>
              </w:rPr>
            </w:pPr>
            <w:r w:rsidRPr="0082343C">
              <w:rPr>
                <w:color w:val="000000"/>
                <w:sz w:val="22"/>
                <w:szCs w:val="22"/>
              </w:rPr>
              <w:t>Internet Follow-Up</w:t>
            </w:r>
          </w:p>
        </w:tc>
        <w:tc>
          <w:tcPr>
            <w:tcW w:w="1446" w:type="dxa"/>
            <w:tcBorders>
              <w:top w:val="nil"/>
              <w:left w:val="nil"/>
              <w:bottom w:val="single" w:sz="8" w:space="0" w:color="auto"/>
              <w:right w:val="single" w:sz="8" w:space="0" w:color="auto"/>
            </w:tcBorders>
            <w:shd w:val="clear" w:color="auto" w:fill="auto"/>
            <w:vAlign w:val="center"/>
          </w:tcPr>
          <w:p w14:paraId="32798188" w14:textId="0F91F719" w:rsidR="00C739BC" w:rsidRPr="0082343C" w:rsidRDefault="00C739BC" w:rsidP="0082343C">
            <w:pPr>
              <w:widowControl/>
              <w:autoSpaceDE/>
              <w:autoSpaceDN/>
              <w:adjustRightInd/>
              <w:jc w:val="right"/>
              <w:rPr>
                <w:color w:val="000000"/>
                <w:sz w:val="22"/>
                <w:szCs w:val="22"/>
              </w:rPr>
            </w:pPr>
            <w:r w:rsidRPr="0082343C">
              <w:rPr>
                <w:color w:val="000000"/>
                <w:sz w:val="22"/>
                <w:szCs w:val="22"/>
              </w:rPr>
              <w:t>3</w:t>
            </w:r>
            <w:r>
              <w:rPr>
                <w:color w:val="000000"/>
                <w:sz w:val="22"/>
                <w:szCs w:val="22"/>
              </w:rPr>
              <w:t>,</w:t>
            </w:r>
            <w:r w:rsidRPr="0082343C">
              <w:rPr>
                <w:color w:val="000000"/>
                <w:sz w:val="22"/>
                <w:szCs w:val="22"/>
              </w:rPr>
              <w:t>605</w:t>
            </w:r>
          </w:p>
        </w:tc>
        <w:tc>
          <w:tcPr>
            <w:tcW w:w="1483" w:type="dxa"/>
            <w:tcBorders>
              <w:top w:val="nil"/>
              <w:left w:val="nil"/>
              <w:bottom w:val="single" w:sz="8" w:space="0" w:color="auto"/>
              <w:right w:val="nil"/>
            </w:tcBorders>
            <w:shd w:val="clear" w:color="auto" w:fill="auto"/>
            <w:vAlign w:val="center"/>
          </w:tcPr>
          <w:p w14:paraId="7A6B06B5" w14:textId="6DC1374C" w:rsidR="00C739BC" w:rsidRDefault="00C739BC" w:rsidP="005F64C3">
            <w:pPr>
              <w:widowControl/>
              <w:autoSpaceDE/>
              <w:autoSpaceDN/>
              <w:adjustRightInd/>
              <w:jc w:val="right"/>
              <w:rPr>
                <w:color w:val="000000"/>
                <w:sz w:val="22"/>
                <w:szCs w:val="22"/>
              </w:rPr>
            </w:pPr>
            <w:r w:rsidRPr="0082343C">
              <w:rPr>
                <w:color w:val="000000"/>
                <w:sz w:val="22"/>
                <w:szCs w:val="22"/>
              </w:rPr>
              <w:t>1</w:t>
            </w:r>
            <w:r>
              <w:rPr>
                <w:color w:val="000000"/>
                <w:sz w:val="22"/>
                <w:szCs w:val="22"/>
              </w:rPr>
              <w:t>,</w:t>
            </w:r>
            <w:r w:rsidRPr="0082343C">
              <w:rPr>
                <w:color w:val="000000"/>
                <w:sz w:val="22"/>
                <w:szCs w:val="22"/>
              </w:rPr>
              <w:t>622</w:t>
            </w:r>
          </w:p>
        </w:tc>
        <w:tc>
          <w:tcPr>
            <w:tcW w:w="1260" w:type="dxa"/>
            <w:tcBorders>
              <w:top w:val="nil"/>
              <w:left w:val="single" w:sz="8" w:space="0" w:color="auto"/>
              <w:bottom w:val="single" w:sz="8" w:space="0" w:color="auto"/>
              <w:right w:val="single" w:sz="8" w:space="0" w:color="auto"/>
            </w:tcBorders>
            <w:shd w:val="clear" w:color="auto" w:fill="auto"/>
            <w:vAlign w:val="center"/>
          </w:tcPr>
          <w:p w14:paraId="76ED58D1" w14:textId="287347CF" w:rsidR="00C739BC" w:rsidRPr="0082343C" w:rsidRDefault="00C739BC" w:rsidP="0080406F">
            <w:pPr>
              <w:widowControl/>
              <w:autoSpaceDE/>
              <w:autoSpaceDN/>
              <w:adjustRightInd/>
              <w:jc w:val="right"/>
              <w:rPr>
                <w:color w:val="000000"/>
                <w:sz w:val="22"/>
                <w:szCs w:val="22"/>
              </w:rPr>
            </w:pPr>
            <w:r w:rsidRPr="0082343C">
              <w:rPr>
                <w:color w:val="000000"/>
                <w:sz w:val="22"/>
                <w:szCs w:val="22"/>
              </w:rPr>
              <w:t>$22.</w:t>
            </w:r>
            <w:r>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tcPr>
          <w:p w14:paraId="0A754EED" w14:textId="6996AAEF" w:rsidR="00C739BC" w:rsidRPr="0082343C" w:rsidRDefault="00C739BC" w:rsidP="006464FA">
            <w:pPr>
              <w:widowControl/>
              <w:autoSpaceDE/>
              <w:autoSpaceDN/>
              <w:adjustRightInd/>
              <w:jc w:val="right"/>
              <w:rPr>
                <w:color w:val="000000"/>
                <w:sz w:val="22"/>
                <w:szCs w:val="22"/>
              </w:rPr>
            </w:pPr>
            <w:r w:rsidRPr="0082343C">
              <w:rPr>
                <w:color w:val="000000"/>
                <w:sz w:val="22"/>
                <w:szCs w:val="22"/>
              </w:rPr>
              <w:t>$36,</w:t>
            </w:r>
            <w:r>
              <w:rPr>
                <w:color w:val="000000"/>
                <w:sz w:val="22"/>
                <w:szCs w:val="22"/>
              </w:rPr>
              <w:t>836</w:t>
            </w:r>
            <w:r w:rsidRPr="0082343C">
              <w:rPr>
                <w:color w:val="000000"/>
                <w:sz w:val="22"/>
                <w:szCs w:val="22"/>
              </w:rPr>
              <w:t xml:space="preserve"> </w:t>
            </w:r>
          </w:p>
        </w:tc>
      </w:tr>
      <w:tr w:rsidR="00C739BC" w:rsidRPr="0082343C" w14:paraId="755D4F25" w14:textId="77777777" w:rsidTr="00EA5917">
        <w:trPr>
          <w:trHeight w:val="340"/>
        </w:trPr>
        <w:tc>
          <w:tcPr>
            <w:tcW w:w="1095" w:type="dxa"/>
            <w:tcBorders>
              <w:top w:val="nil"/>
              <w:left w:val="single" w:sz="8" w:space="0" w:color="auto"/>
              <w:bottom w:val="single" w:sz="8" w:space="0" w:color="auto"/>
              <w:right w:val="single" w:sz="8" w:space="0" w:color="auto"/>
            </w:tcBorders>
            <w:shd w:val="clear" w:color="auto" w:fill="auto"/>
            <w:noWrap/>
            <w:vAlign w:val="center"/>
          </w:tcPr>
          <w:p w14:paraId="0E3B4EC4" w14:textId="542891C0" w:rsidR="00C739BC" w:rsidRPr="0082343C" w:rsidRDefault="00C739BC" w:rsidP="0082343C">
            <w:pPr>
              <w:widowControl/>
              <w:autoSpaceDE/>
              <w:autoSpaceDN/>
              <w:adjustRightInd/>
              <w:rPr>
                <w:color w:val="000000"/>
                <w:sz w:val="22"/>
                <w:szCs w:val="22"/>
              </w:rPr>
            </w:pPr>
            <w:r w:rsidRPr="0082343C">
              <w:rPr>
                <w:color w:val="000000"/>
                <w:sz w:val="22"/>
                <w:szCs w:val="22"/>
              </w:rPr>
              <w:t>APS</w:t>
            </w:r>
          </w:p>
        </w:tc>
        <w:tc>
          <w:tcPr>
            <w:tcW w:w="2381" w:type="dxa"/>
            <w:tcBorders>
              <w:top w:val="single" w:sz="8" w:space="0" w:color="auto"/>
              <w:left w:val="nil"/>
              <w:bottom w:val="single" w:sz="8" w:space="0" w:color="auto"/>
              <w:right w:val="single" w:sz="8" w:space="0" w:color="000000"/>
            </w:tcBorders>
            <w:shd w:val="clear" w:color="auto" w:fill="auto"/>
            <w:vAlign w:val="center"/>
          </w:tcPr>
          <w:p w14:paraId="14495BB8" w14:textId="336C676A" w:rsidR="00C739BC" w:rsidRPr="0082343C" w:rsidRDefault="00C739BC" w:rsidP="0082343C">
            <w:pPr>
              <w:widowControl/>
              <w:autoSpaceDE/>
              <w:autoSpaceDN/>
              <w:adjustRightInd/>
              <w:rPr>
                <w:color w:val="000000"/>
                <w:sz w:val="22"/>
                <w:szCs w:val="22"/>
              </w:rPr>
            </w:pPr>
            <w:r w:rsidRPr="0082343C">
              <w:rPr>
                <w:color w:val="000000"/>
                <w:sz w:val="22"/>
                <w:szCs w:val="22"/>
              </w:rPr>
              <w:t>Mail/Telephone</w:t>
            </w:r>
          </w:p>
        </w:tc>
        <w:tc>
          <w:tcPr>
            <w:tcW w:w="1446" w:type="dxa"/>
            <w:tcBorders>
              <w:top w:val="nil"/>
              <w:left w:val="nil"/>
              <w:bottom w:val="single" w:sz="8" w:space="0" w:color="auto"/>
              <w:right w:val="single" w:sz="8" w:space="0" w:color="auto"/>
            </w:tcBorders>
            <w:shd w:val="clear" w:color="auto" w:fill="auto"/>
            <w:vAlign w:val="center"/>
          </w:tcPr>
          <w:p w14:paraId="5D506341" w14:textId="60C8203A" w:rsidR="00C739BC" w:rsidRPr="0082343C" w:rsidRDefault="00C739BC" w:rsidP="0082343C">
            <w:pPr>
              <w:widowControl/>
              <w:autoSpaceDE/>
              <w:autoSpaceDN/>
              <w:adjustRightInd/>
              <w:jc w:val="right"/>
              <w:rPr>
                <w:color w:val="000000"/>
                <w:sz w:val="22"/>
                <w:szCs w:val="22"/>
              </w:rPr>
            </w:pPr>
            <w:r w:rsidRPr="0082343C">
              <w:rPr>
                <w:color w:val="000000"/>
                <w:sz w:val="22"/>
                <w:szCs w:val="22"/>
              </w:rPr>
              <w:t>415</w:t>
            </w:r>
          </w:p>
        </w:tc>
        <w:tc>
          <w:tcPr>
            <w:tcW w:w="1483" w:type="dxa"/>
            <w:tcBorders>
              <w:top w:val="nil"/>
              <w:left w:val="nil"/>
              <w:bottom w:val="single" w:sz="8" w:space="0" w:color="auto"/>
              <w:right w:val="nil"/>
            </w:tcBorders>
            <w:shd w:val="clear" w:color="auto" w:fill="auto"/>
            <w:vAlign w:val="center"/>
          </w:tcPr>
          <w:p w14:paraId="6FFCA467" w14:textId="78893F49" w:rsidR="00C739BC" w:rsidRDefault="00C739BC" w:rsidP="005F64C3">
            <w:pPr>
              <w:widowControl/>
              <w:autoSpaceDE/>
              <w:autoSpaceDN/>
              <w:adjustRightInd/>
              <w:jc w:val="right"/>
              <w:rPr>
                <w:color w:val="000000"/>
                <w:sz w:val="22"/>
                <w:szCs w:val="22"/>
              </w:rPr>
            </w:pPr>
            <w:r w:rsidRPr="0082343C">
              <w:rPr>
                <w:color w:val="000000"/>
                <w:sz w:val="22"/>
                <w:szCs w:val="22"/>
              </w:rPr>
              <w:t>249</w:t>
            </w:r>
          </w:p>
        </w:tc>
        <w:tc>
          <w:tcPr>
            <w:tcW w:w="1260" w:type="dxa"/>
            <w:tcBorders>
              <w:top w:val="nil"/>
              <w:left w:val="single" w:sz="8" w:space="0" w:color="auto"/>
              <w:bottom w:val="single" w:sz="8" w:space="0" w:color="auto"/>
              <w:right w:val="single" w:sz="8" w:space="0" w:color="auto"/>
            </w:tcBorders>
            <w:shd w:val="clear" w:color="auto" w:fill="auto"/>
            <w:vAlign w:val="center"/>
          </w:tcPr>
          <w:p w14:paraId="4A3C03EB" w14:textId="444DDB24" w:rsidR="00C739BC" w:rsidRPr="0082343C" w:rsidRDefault="00C739BC" w:rsidP="0080406F">
            <w:pPr>
              <w:widowControl/>
              <w:autoSpaceDE/>
              <w:autoSpaceDN/>
              <w:adjustRightInd/>
              <w:jc w:val="right"/>
              <w:rPr>
                <w:color w:val="000000"/>
                <w:sz w:val="22"/>
                <w:szCs w:val="22"/>
              </w:rPr>
            </w:pPr>
            <w:r w:rsidRPr="0082343C">
              <w:rPr>
                <w:color w:val="000000"/>
                <w:sz w:val="22"/>
                <w:szCs w:val="22"/>
              </w:rPr>
              <w:t>$22.</w:t>
            </w:r>
            <w:r>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tcPr>
          <w:p w14:paraId="7B6F3BFD" w14:textId="79DCC513" w:rsidR="00C739BC" w:rsidRPr="0082343C" w:rsidRDefault="00C739BC" w:rsidP="006464FA">
            <w:pPr>
              <w:widowControl/>
              <w:autoSpaceDE/>
              <w:autoSpaceDN/>
              <w:adjustRightInd/>
              <w:jc w:val="right"/>
              <w:rPr>
                <w:color w:val="000000"/>
                <w:sz w:val="22"/>
                <w:szCs w:val="22"/>
              </w:rPr>
            </w:pPr>
            <w:r w:rsidRPr="0082343C">
              <w:rPr>
                <w:color w:val="000000"/>
                <w:sz w:val="22"/>
                <w:szCs w:val="22"/>
              </w:rPr>
              <w:t>$5,</w:t>
            </w:r>
            <w:r>
              <w:rPr>
                <w:color w:val="000000"/>
                <w:sz w:val="22"/>
                <w:szCs w:val="22"/>
              </w:rPr>
              <w:t>655</w:t>
            </w:r>
            <w:r w:rsidRPr="0082343C">
              <w:rPr>
                <w:color w:val="000000"/>
                <w:sz w:val="22"/>
                <w:szCs w:val="22"/>
              </w:rPr>
              <w:t xml:space="preserve"> </w:t>
            </w:r>
          </w:p>
        </w:tc>
      </w:tr>
      <w:tr w:rsidR="0082343C" w:rsidRPr="0082343C" w14:paraId="6E60865A" w14:textId="77777777" w:rsidTr="00EA5917">
        <w:trPr>
          <w:trHeight w:val="430"/>
        </w:trPr>
        <w:tc>
          <w:tcPr>
            <w:tcW w:w="1095"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C2E062C"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CAF7E2F"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Baseline</w:t>
            </w:r>
          </w:p>
        </w:tc>
        <w:tc>
          <w:tcPr>
            <w:tcW w:w="1446" w:type="dxa"/>
            <w:tcBorders>
              <w:top w:val="nil"/>
              <w:left w:val="nil"/>
              <w:bottom w:val="single" w:sz="8" w:space="0" w:color="auto"/>
              <w:right w:val="single" w:sz="8" w:space="0" w:color="auto"/>
            </w:tcBorders>
            <w:shd w:val="clear" w:color="auto" w:fill="D9D9D9" w:themeFill="background1" w:themeFillShade="D9"/>
            <w:vAlign w:val="center"/>
            <w:hideMark/>
          </w:tcPr>
          <w:p w14:paraId="63888D64"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640</w:t>
            </w:r>
          </w:p>
        </w:tc>
        <w:tc>
          <w:tcPr>
            <w:tcW w:w="1483" w:type="dxa"/>
            <w:tcBorders>
              <w:top w:val="nil"/>
              <w:left w:val="nil"/>
              <w:bottom w:val="single" w:sz="8" w:space="0" w:color="auto"/>
              <w:right w:val="nil"/>
            </w:tcBorders>
            <w:shd w:val="clear" w:color="auto" w:fill="D9D9D9" w:themeFill="background1" w:themeFillShade="D9"/>
            <w:vAlign w:val="center"/>
            <w:hideMark/>
          </w:tcPr>
          <w:p w14:paraId="08A517A3" w14:textId="77777777" w:rsidR="0082343C" w:rsidRPr="0082343C" w:rsidRDefault="005F64C3" w:rsidP="005F64C3">
            <w:pPr>
              <w:widowControl/>
              <w:autoSpaceDE/>
              <w:autoSpaceDN/>
              <w:adjustRightInd/>
              <w:jc w:val="right"/>
              <w:rPr>
                <w:color w:val="000000"/>
                <w:sz w:val="22"/>
                <w:szCs w:val="22"/>
              </w:rPr>
            </w:pPr>
            <w:r>
              <w:rPr>
                <w:color w:val="000000"/>
                <w:sz w:val="22"/>
                <w:szCs w:val="22"/>
              </w:rPr>
              <w:t>2,002</w:t>
            </w:r>
          </w:p>
        </w:tc>
        <w:tc>
          <w:tcPr>
            <w:tcW w:w="126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08887AE"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D9D9D9" w:themeFill="background1" w:themeFillShade="D9"/>
            <w:vAlign w:val="center"/>
            <w:hideMark/>
          </w:tcPr>
          <w:p w14:paraId="50C9F248"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w:t>
            </w:r>
            <w:r w:rsidR="006464FA">
              <w:rPr>
                <w:color w:val="000000"/>
                <w:sz w:val="22"/>
                <w:szCs w:val="22"/>
              </w:rPr>
              <w:t>45,465</w:t>
            </w:r>
            <w:r w:rsidRPr="0082343C">
              <w:rPr>
                <w:color w:val="000000"/>
                <w:sz w:val="22"/>
                <w:szCs w:val="22"/>
              </w:rPr>
              <w:t xml:space="preserve"> </w:t>
            </w:r>
          </w:p>
        </w:tc>
      </w:tr>
      <w:tr w:rsidR="0082343C" w:rsidRPr="0082343C" w14:paraId="21EE9E2B" w14:textId="77777777" w:rsidTr="00EA5917">
        <w:trPr>
          <w:trHeight w:val="349"/>
        </w:trPr>
        <w:tc>
          <w:tcPr>
            <w:tcW w:w="1095"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80F0E81"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4AC1C3E"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1st Follow-Up</w:t>
            </w:r>
          </w:p>
        </w:tc>
        <w:tc>
          <w:tcPr>
            <w:tcW w:w="1446" w:type="dxa"/>
            <w:tcBorders>
              <w:top w:val="nil"/>
              <w:left w:val="nil"/>
              <w:bottom w:val="single" w:sz="8" w:space="0" w:color="auto"/>
              <w:right w:val="single" w:sz="8" w:space="0" w:color="auto"/>
            </w:tcBorders>
            <w:shd w:val="clear" w:color="auto" w:fill="D9D9D9" w:themeFill="background1" w:themeFillShade="D9"/>
            <w:vAlign w:val="center"/>
            <w:hideMark/>
          </w:tcPr>
          <w:p w14:paraId="19C444E7"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605</w:t>
            </w:r>
          </w:p>
        </w:tc>
        <w:tc>
          <w:tcPr>
            <w:tcW w:w="1483" w:type="dxa"/>
            <w:tcBorders>
              <w:top w:val="nil"/>
              <w:left w:val="nil"/>
              <w:bottom w:val="single" w:sz="8" w:space="0" w:color="auto"/>
              <w:right w:val="nil"/>
            </w:tcBorders>
            <w:shd w:val="clear" w:color="auto" w:fill="D9D9D9" w:themeFill="background1" w:themeFillShade="D9"/>
            <w:vAlign w:val="center"/>
            <w:hideMark/>
          </w:tcPr>
          <w:p w14:paraId="1994053F" w14:textId="77777777" w:rsidR="0082343C" w:rsidRPr="0082343C" w:rsidRDefault="005F64C3" w:rsidP="005F64C3">
            <w:pPr>
              <w:widowControl/>
              <w:autoSpaceDE/>
              <w:autoSpaceDN/>
              <w:adjustRightInd/>
              <w:jc w:val="right"/>
              <w:rPr>
                <w:color w:val="000000"/>
                <w:sz w:val="22"/>
                <w:szCs w:val="22"/>
              </w:rPr>
            </w:pPr>
            <w:r>
              <w:rPr>
                <w:color w:val="000000"/>
                <w:sz w:val="22"/>
                <w:szCs w:val="22"/>
              </w:rPr>
              <w:t>1</w:t>
            </w:r>
            <w:r w:rsidR="00AB1251">
              <w:rPr>
                <w:color w:val="000000"/>
                <w:sz w:val="22"/>
                <w:szCs w:val="22"/>
              </w:rPr>
              <w:t>,</w:t>
            </w:r>
            <w:r>
              <w:rPr>
                <w:color w:val="000000"/>
                <w:sz w:val="22"/>
                <w:szCs w:val="22"/>
              </w:rPr>
              <w:t>983</w:t>
            </w:r>
          </w:p>
        </w:tc>
        <w:tc>
          <w:tcPr>
            <w:tcW w:w="126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E9A059F"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D9D9D9" w:themeFill="background1" w:themeFillShade="D9"/>
            <w:vAlign w:val="center"/>
            <w:hideMark/>
          </w:tcPr>
          <w:p w14:paraId="55D68664"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w:t>
            </w:r>
            <w:r w:rsidR="006464FA">
              <w:rPr>
                <w:color w:val="000000"/>
                <w:sz w:val="22"/>
                <w:szCs w:val="22"/>
              </w:rPr>
              <w:t>45,034</w:t>
            </w:r>
            <w:r w:rsidRPr="0082343C">
              <w:rPr>
                <w:color w:val="000000"/>
                <w:sz w:val="22"/>
                <w:szCs w:val="22"/>
              </w:rPr>
              <w:t xml:space="preserve"> </w:t>
            </w:r>
          </w:p>
        </w:tc>
      </w:tr>
      <w:tr w:rsidR="0082343C" w:rsidRPr="0082343C" w14:paraId="7755FE73" w14:textId="77777777" w:rsidTr="00EA5917">
        <w:trPr>
          <w:trHeight w:val="331"/>
        </w:trPr>
        <w:tc>
          <w:tcPr>
            <w:tcW w:w="1095"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A36AA6A"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E3499B1"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2nd Follow-Up</w:t>
            </w:r>
          </w:p>
        </w:tc>
        <w:tc>
          <w:tcPr>
            <w:tcW w:w="1446" w:type="dxa"/>
            <w:tcBorders>
              <w:top w:val="nil"/>
              <w:left w:val="nil"/>
              <w:bottom w:val="single" w:sz="8" w:space="0" w:color="auto"/>
              <w:right w:val="single" w:sz="8" w:space="0" w:color="auto"/>
            </w:tcBorders>
            <w:shd w:val="clear" w:color="auto" w:fill="D9D9D9" w:themeFill="background1" w:themeFillShade="D9"/>
            <w:vAlign w:val="center"/>
            <w:hideMark/>
          </w:tcPr>
          <w:p w14:paraId="42F91ECD"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580</w:t>
            </w:r>
          </w:p>
        </w:tc>
        <w:tc>
          <w:tcPr>
            <w:tcW w:w="1483" w:type="dxa"/>
            <w:tcBorders>
              <w:top w:val="nil"/>
              <w:left w:val="nil"/>
              <w:bottom w:val="single" w:sz="8" w:space="0" w:color="auto"/>
              <w:right w:val="nil"/>
            </w:tcBorders>
            <w:shd w:val="clear" w:color="auto" w:fill="D9D9D9" w:themeFill="background1" w:themeFillShade="D9"/>
            <w:vAlign w:val="center"/>
            <w:hideMark/>
          </w:tcPr>
          <w:p w14:paraId="6A1F6FEB" w14:textId="77777777" w:rsidR="0082343C" w:rsidRPr="0082343C" w:rsidRDefault="005F64C3" w:rsidP="005F64C3">
            <w:pPr>
              <w:widowControl/>
              <w:autoSpaceDE/>
              <w:autoSpaceDN/>
              <w:adjustRightInd/>
              <w:jc w:val="right"/>
              <w:rPr>
                <w:color w:val="000000"/>
                <w:sz w:val="22"/>
                <w:szCs w:val="22"/>
              </w:rPr>
            </w:pPr>
            <w:r>
              <w:rPr>
                <w:color w:val="000000"/>
                <w:sz w:val="22"/>
                <w:szCs w:val="22"/>
              </w:rPr>
              <w:t>1</w:t>
            </w:r>
            <w:r w:rsidR="00AB1251">
              <w:rPr>
                <w:color w:val="000000"/>
                <w:sz w:val="22"/>
                <w:szCs w:val="22"/>
              </w:rPr>
              <w:t>,</w:t>
            </w:r>
            <w:r>
              <w:rPr>
                <w:color w:val="000000"/>
                <w:sz w:val="22"/>
                <w:szCs w:val="22"/>
              </w:rPr>
              <w:t>969</w:t>
            </w:r>
          </w:p>
        </w:tc>
        <w:tc>
          <w:tcPr>
            <w:tcW w:w="126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3157538"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D9D9D9" w:themeFill="background1" w:themeFillShade="D9"/>
            <w:vAlign w:val="center"/>
            <w:hideMark/>
          </w:tcPr>
          <w:p w14:paraId="793EBFEE"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w:t>
            </w:r>
            <w:r w:rsidR="006464FA">
              <w:rPr>
                <w:color w:val="000000"/>
                <w:sz w:val="22"/>
                <w:szCs w:val="22"/>
              </w:rPr>
              <w:t>44,716</w:t>
            </w:r>
            <w:r w:rsidRPr="0082343C">
              <w:rPr>
                <w:color w:val="000000"/>
                <w:sz w:val="22"/>
                <w:szCs w:val="22"/>
              </w:rPr>
              <w:t xml:space="preserve"> </w:t>
            </w:r>
          </w:p>
        </w:tc>
      </w:tr>
      <w:tr w:rsidR="0082343C" w:rsidRPr="0082343C" w14:paraId="07A15E2B" w14:textId="77777777" w:rsidTr="00EA5917">
        <w:trPr>
          <w:trHeight w:val="349"/>
        </w:trPr>
        <w:tc>
          <w:tcPr>
            <w:tcW w:w="1095"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90F7EAF"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27BD19F"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Internet 3rd Follow-Up</w:t>
            </w:r>
          </w:p>
        </w:tc>
        <w:tc>
          <w:tcPr>
            <w:tcW w:w="1446" w:type="dxa"/>
            <w:tcBorders>
              <w:top w:val="nil"/>
              <w:left w:val="nil"/>
              <w:bottom w:val="single" w:sz="8" w:space="0" w:color="auto"/>
              <w:right w:val="single" w:sz="8" w:space="0" w:color="auto"/>
            </w:tcBorders>
            <w:shd w:val="clear" w:color="auto" w:fill="D9D9D9" w:themeFill="background1" w:themeFillShade="D9"/>
            <w:vAlign w:val="center"/>
            <w:hideMark/>
          </w:tcPr>
          <w:p w14:paraId="032596A2"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w:t>
            </w:r>
            <w:r w:rsidR="004743E7">
              <w:rPr>
                <w:color w:val="000000"/>
                <w:sz w:val="22"/>
                <w:szCs w:val="22"/>
              </w:rPr>
              <w:t>,</w:t>
            </w:r>
            <w:r w:rsidRPr="0082343C">
              <w:rPr>
                <w:color w:val="000000"/>
                <w:sz w:val="22"/>
                <w:szCs w:val="22"/>
              </w:rPr>
              <w:t>555</w:t>
            </w:r>
          </w:p>
        </w:tc>
        <w:tc>
          <w:tcPr>
            <w:tcW w:w="1483" w:type="dxa"/>
            <w:tcBorders>
              <w:top w:val="nil"/>
              <w:left w:val="nil"/>
              <w:bottom w:val="single" w:sz="8" w:space="0" w:color="auto"/>
              <w:right w:val="nil"/>
            </w:tcBorders>
            <w:shd w:val="clear" w:color="auto" w:fill="D9D9D9" w:themeFill="background1" w:themeFillShade="D9"/>
            <w:vAlign w:val="center"/>
            <w:hideMark/>
          </w:tcPr>
          <w:p w14:paraId="54107E78" w14:textId="77777777" w:rsidR="0082343C" w:rsidRPr="0082343C" w:rsidRDefault="005F64C3" w:rsidP="005F64C3">
            <w:pPr>
              <w:widowControl/>
              <w:autoSpaceDE/>
              <w:autoSpaceDN/>
              <w:adjustRightInd/>
              <w:jc w:val="right"/>
              <w:rPr>
                <w:color w:val="000000"/>
                <w:sz w:val="22"/>
                <w:szCs w:val="22"/>
              </w:rPr>
            </w:pPr>
            <w:r>
              <w:rPr>
                <w:color w:val="000000"/>
                <w:sz w:val="22"/>
                <w:szCs w:val="22"/>
              </w:rPr>
              <w:t>1,956</w:t>
            </w:r>
          </w:p>
        </w:tc>
        <w:tc>
          <w:tcPr>
            <w:tcW w:w="126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7D0B596"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D9D9D9" w:themeFill="background1" w:themeFillShade="D9"/>
            <w:vAlign w:val="center"/>
            <w:hideMark/>
          </w:tcPr>
          <w:p w14:paraId="3CD30CDD"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w:t>
            </w:r>
            <w:r w:rsidR="006464FA">
              <w:rPr>
                <w:color w:val="000000"/>
                <w:sz w:val="22"/>
                <w:szCs w:val="22"/>
              </w:rPr>
              <w:t>44,421</w:t>
            </w:r>
            <w:r w:rsidRPr="0082343C">
              <w:rPr>
                <w:color w:val="000000"/>
                <w:sz w:val="22"/>
                <w:szCs w:val="22"/>
              </w:rPr>
              <w:t xml:space="preserve"> </w:t>
            </w:r>
          </w:p>
        </w:tc>
      </w:tr>
      <w:tr w:rsidR="0082343C" w:rsidRPr="0082343C" w14:paraId="3D5677BA" w14:textId="77777777" w:rsidTr="00C739BC">
        <w:trPr>
          <w:trHeight w:val="552"/>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54A64FF7"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auto"/>
            <w:vAlign w:val="center"/>
            <w:hideMark/>
          </w:tcPr>
          <w:p w14:paraId="0B56A75A"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Mail/Telephone Baseline</w:t>
            </w:r>
          </w:p>
        </w:tc>
        <w:tc>
          <w:tcPr>
            <w:tcW w:w="1446" w:type="dxa"/>
            <w:tcBorders>
              <w:top w:val="nil"/>
              <w:left w:val="nil"/>
              <w:bottom w:val="single" w:sz="8" w:space="0" w:color="auto"/>
              <w:right w:val="nil"/>
            </w:tcBorders>
            <w:shd w:val="clear" w:color="auto" w:fill="auto"/>
            <w:noWrap/>
            <w:vAlign w:val="center"/>
            <w:hideMark/>
          </w:tcPr>
          <w:p w14:paraId="165EDB66"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395</w:t>
            </w:r>
          </w:p>
        </w:tc>
        <w:tc>
          <w:tcPr>
            <w:tcW w:w="1483" w:type="dxa"/>
            <w:tcBorders>
              <w:top w:val="nil"/>
              <w:left w:val="single" w:sz="8" w:space="0" w:color="auto"/>
              <w:bottom w:val="single" w:sz="8" w:space="0" w:color="auto"/>
              <w:right w:val="nil"/>
            </w:tcBorders>
            <w:shd w:val="clear" w:color="auto" w:fill="auto"/>
            <w:noWrap/>
            <w:vAlign w:val="center"/>
            <w:hideMark/>
          </w:tcPr>
          <w:p w14:paraId="50139845"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237</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1AC55C18"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206AD412"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$5,</w:t>
            </w:r>
            <w:r w:rsidR="006464FA">
              <w:rPr>
                <w:color w:val="000000"/>
                <w:sz w:val="22"/>
                <w:szCs w:val="22"/>
              </w:rPr>
              <w:t>382</w:t>
            </w:r>
            <w:r w:rsidRPr="0082343C">
              <w:rPr>
                <w:color w:val="000000"/>
                <w:sz w:val="22"/>
                <w:szCs w:val="22"/>
              </w:rPr>
              <w:t xml:space="preserve"> </w:t>
            </w:r>
          </w:p>
        </w:tc>
      </w:tr>
      <w:tr w:rsidR="0082343C" w:rsidRPr="0082343C" w14:paraId="377F8C98" w14:textId="77777777" w:rsidTr="00C739BC">
        <w:trPr>
          <w:trHeight w:val="300"/>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393BF576"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auto"/>
            <w:vAlign w:val="center"/>
            <w:hideMark/>
          </w:tcPr>
          <w:p w14:paraId="4C447001"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Mail 1st Follow-Up</w:t>
            </w:r>
          </w:p>
        </w:tc>
        <w:tc>
          <w:tcPr>
            <w:tcW w:w="1446" w:type="dxa"/>
            <w:tcBorders>
              <w:top w:val="nil"/>
              <w:left w:val="nil"/>
              <w:bottom w:val="single" w:sz="8" w:space="0" w:color="auto"/>
              <w:right w:val="nil"/>
            </w:tcBorders>
            <w:shd w:val="clear" w:color="auto" w:fill="auto"/>
            <w:noWrap/>
            <w:vAlign w:val="center"/>
            <w:hideMark/>
          </w:tcPr>
          <w:p w14:paraId="7889C2C8"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370</w:t>
            </w:r>
          </w:p>
        </w:tc>
        <w:tc>
          <w:tcPr>
            <w:tcW w:w="1483" w:type="dxa"/>
            <w:tcBorders>
              <w:top w:val="nil"/>
              <w:left w:val="single" w:sz="8" w:space="0" w:color="auto"/>
              <w:bottom w:val="single" w:sz="8" w:space="0" w:color="auto"/>
              <w:right w:val="nil"/>
            </w:tcBorders>
            <w:shd w:val="clear" w:color="auto" w:fill="auto"/>
            <w:noWrap/>
            <w:vAlign w:val="center"/>
            <w:hideMark/>
          </w:tcPr>
          <w:p w14:paraId="58026C7D"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222</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7008DEBC"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1F55BEA5"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w:t>
            </w:r>
            <w:r w:rsidR="006464FA">
              <w:rPr>
                <w:color w:val="000000"/>
                <w:sz w:val="22"/>
                <w:szCs w:val="22"/>
              </w:rPr>
              <w:t>5,042</w:t>
            </w:r>
            <w:r w:rsidRPr="0082343C">
              <w:rPr>
                <w:color w:val="000000"/>
                <w:sz w:val="22"/>
                <w:szCs w:val="22"/>
              </w:rPr>
              <w:t xml:space="preserve"> </w:t>
            </w:r>
          </w:p>
        </w:tc>
      </w:tr>
      <w:tr w:rsidR="0082343C" w:rsidRPr="0082343C" w14:paraId="075C0A64" w14:textId="77777777" w:rsidTr="00C739BC">
        <w:trPr>
          <w:trHeight w:val="300"/>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33417617"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auto"/>
            <w:vAlign w:val="center"/>
            <w:hideMark/>
          </w:tcPr>
          <w:p w14:paraId="715C2625"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Mail 2nd Follow-Up</w:t>
            </w:r>
          </w:p>
        </w:tc>
        <w:tc>
          <w:tcPr>
            <w:tcW w:w="1446" w:type="dxa"/>
            <w:tcBorders>
              <w:top w:val="nil"/>
              <w:left w:val="nil"/>
              <w:bottom w:val="single" w:sz="8" w:space="0" w:color="auto"/>
              <w:right w:val="nil"/>
            </w:tcBorders>
            <w:shd w:val="clear" w:color="auto" w:fill="auto"/>
            <w:noWrap/>
            <w:vAlign w:val="center"/>
            <w:hideMark/>
          </w:tcPr>
          <w:p w14:paraId="773058D1"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345</w:t>
            </w:r>
          </w:p>
        </w:tc>
        <w:tc>
          <w:tcPr>
            <w:tcW w:w="1483" w:type="dxa"/>
            <w:tcBorders>
              <w:top w:val="nil"/>
              <w:left w:val="single" w:sz="8" w:space="0" w:color="auto"/>
              <w:bottom w:val="single" w:sz="8" w:space="0" w:color="auto"/>
              <w:right w:val="nil"/>
            </w:tcBorders>
            <w:shd w:val="clear" w:color="auto" w:fill="auto"/>
            <w:noWrap/>
            <w:vAlign w:val="center"/>
            <w:hideMark/>
          </w:tcPr>
          <w:p w14:paraId="14CC420A"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207</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7B0E33B3"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6AE25176"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$4,</w:t>
            </w:r>
            <w:r w:rsidR="006464FA">
              <w:rPr>
                <w:color w:val="000000"/>
                <w:sz w:val="22"/>
                <w:szCs w:val="22"/>
              </w:rPr>
              <w:t>701</w:t>
            </w:r>
            <w:r w:rsidRPr="0082343C">
              <w:rPr>
                <w:color w:val="000000"/>
                <w:sz w:val="22"/>
                <w:szCs w:val="22"/>
              </w:rPr>
              <w:t xml:space="preserve"> </w:t>
            </w:r>
          </w:p>
        </w:tc>
      </w:tr>
      <w:tr w:rsidR="0082343C" w:rsidRPr="0082343C" w14:paraId="220B0DED" w14:textId="77777777" w:rsidTr="00C739BC">
        <w:trPr>
          <w:trHeight w:val="300"/>
        </w:trPr>
        <w:tc>
          <w:tcPr>
            <w:tcW w:w="1095" w:type="dxa"/>
            <w:tcBorders>
              <w:top w:val="nil"/>
              <w:left w:val="single" w:sz="8" w:space="0" w:color="auto"/>
              <w:bottom w:val="single" w:sz="8" w:space="0" w:color="auto"/>
              <w:right w:val="single" w:sz="8" w:space="0" w:color="auto"/>
            </w:tcBorders>
            <w:shd w:val="clear" w:color="auto" w:fill="auto"/>
            <w:noWrap/>
            <w:vAlign w:val="center"/>
            <w:hideMark/>
          </w:tcPr>
          <w:p w14:paraId="71074ECE"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AIS2</w:t>
            </w:r>
          </w:p>
        </w:tc>
        <w:tc>
          <w:tcPr>
            <w:tcW w:w="2381" w:type="dxa"/>
            <w:tcBorders>
              <w:top w:val="single" w:sz="8" w:space="0" w:color="auto"/>
              <w:left w:val="nil"/>
              <w:bottom w:val="single" w:sz="8" w:space="0" w:color="auto"/>
              <w:right w:val="single" w:sz="8" w:space="0" w:color="000000"/>
            </w:tcBorders>
            <w:shd w:val="clear" w:color="auto" w:fill="auto"/>
            <w:vAlign w:val="center"/>
            <w:hideMark/>
          </w:tcPr>
          <w:p w14:paraId="406722AE" w14:textId="77777777" w:rsidR="0082343C" w:rsidRPr="0082343C" w:rsidRDefault="0082343C" w:rsidP="0082343C">
            <w:pPr>
              <w:widowControl/>
              <w:autoSpaceDE/>
              <w:autoSpaceDN/>
              <w:adjustRightInd/>
              <w:rPr>
                <w:color w:val="000000"/>
                <w:sz w:val="22"/>
                <w:szCs w:val="22"/>
              </w:rPr>
            </w:pPr>
            <w:r w:rsidRPr="0082343C">
              <w:rPr>
                <w:color w:val="000000"/>
                <w:sz w:val="22"/>
                <w:szCs w:val="22"/>
              </w:rPr>
              <w:t>Mail 3rd Follow-Up</w:t>
            </w:r>
          </w:p>
        </w:tc>
        <w:tc>
          <w:tcPr>
            <w:tcW w:w="1446" w:type="dxa"/>
            <w:tcBorders>
              <w:top w:val="nil"/>
              <w:left w:val="nil"/>
              <w:bottom w:val="single" w:sz="8" w:space="0" w:color="auto"/>
              <w:right w:val="nil"/>
            </w:tcBorders>
            <w:shd w:val="clear" w:color="auto" w:fill="auto"/>
            <w:noWrap/>
            <w:vAlign w:val="center"/>
            <w:hideMark/>
          </w:tcPr>
          <w:p w14:paraId="4FAA5224"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320</w:t>
            </w:r>
          </w:p>
        </w:tc>
        <w:tc>
          <w:tcPr>
            <w:tcW w:w="1483" w:type="dxa"/>
            <w:tcBorders>
              <w:top w:val="nil"/>
              <w:left w:val="single" w:sz="8" w:space="0" w:color="auto"/>
              <w:bottom w:val="single" w:sz="8" w:space="0" w:color="auto"/>
              <w:right w:val="nil"/>
            </w:tcBorders>
            <w:shd w:val="clear" w:color="auto" w:fill="auto"/>
            <w:noWrap/>
            <w:vAlign w:val="center"/>
            <w:hideMark/>
          </w:tcPr>
          <w:p w14:paraId="541DFC41" w14:textId="77777777" w:rsidR="0082343C" w:rsidRPr="0082343C" w:rsidRDefault="0082343C" w:rsidP="0082343C">
            <w:pPr>
              <w:widowControl/>
              <w:autoSpaceDE/>
              <w:autoSpaceDN/>
              <w:adjustRightInd/>
              <w:jc w:val="right"/>
              <w:rPr>
                <w:color w:val="000000"/>
                <w:sz w:val="22"/>
                <w:szCs w:val="22"/>
              </w:rPr>
            </w:pPr>
            <w:r w:rsidRPr="0082343C">
              <w:rPr>
                <w:color w:val="000000"/>
                <w:sz w:val="22"/>
                <w:szCs w:val="22"/>
              </w:rPr>
              <w:t>192</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1D6326E7" w14:textId="77777777" w:rsidR="0082343C" w:rsidRPr="0082343C" w:rsidRDefault="0082343C" w:rsidP="0080406F">
            <w:pPr>
              <w:widowControl/>
              <w:autoSpaceDE/>
              <w:autoSpaceDN/>
              <w:adjustRightInd/>
              <w:jc w:val="right"/>
              <w:rPr>
                <w:color w:val="000000"/>
                <w:sz w:val="22"/>
                <w:szCs w:val="22"/>
              </w:rPr>
            </w:pPr>
            <w:r w:rsidRPr="0082343C">
              <w:rPr>
                <w:color w:val="000000"/>
                <w:sz w:val="22"/>
                <w:szCs w:val="22"/>
              </w:rPr>
              <w:t>$22.</w:t>
            </w:r>
            <w:r w:rsidR="0080406F">
              <w:rPr>
                <w:color w:val="000000"/>
                <w:sz w:val="22"/>
                <w:szCs w:val="22"/>
              </w:rPr>
              <w:t>71</w:t>
            </w:r>
            <w:r w:rsidRPr="0082343C">
              <w:rPr>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7FD824DC" w14:textId="77777777" w:rsidR="0082343C" w:rsidRPr="0082343C" w:rsidRDefault="0082343C" w:rsidP="006464FA">
            <w:pPr>
              <w:widowControl/>
              <w:autoSpaceDE/>
              <w:autoSpaceDN/>
              <w:adjustRightInd/>
              <w:jc w:val="right"/>
              <w:rPr>
                <w:color w:val="000000"/>
                <w:sz w:val="22"/>
                <w:szCs w:val="22"/>
              </w:rPr>
            </w:pPr>
            <w:r w:rsidRPr="0082343C">
              <w:rPr>
                <w:color w:val="000000"/>
                <w:sz w:val="22"/>
                <w:szCs w:val="22"/>
              </w:rPr>
              <w:t>$4,</w:t>
            </w:r>
            <w:r w:rsidR="006464FA">
              <w:rPr>
                <w:color w:val="000000"/>
                <w:sz w:val="22"/>
                <w:szCs w:val="22"/>
              </w:rPr>
              <w:t>360</w:t>
            </w:r>
            <w:r w:rsidRPr="0082343C">
              <w:rPr>
                <w:color w:val="000000"/>
                <w:sz w:val="22"/>
                <w:szCs w:val="22"/>
              </w:rPr>
              <w:t xml:space="preserve"> </w:t>
            </w:r>
          </w:p>
        </w:tc>
      </w:tr>
    </w:tbl>
    <w:p w14:paraId="1D21F645" w14:textId="77777777" w:rsidR="00DD6830" w:rsidRDefault="00DD6830">
      <w:pPr>
        <w:widowControl/>
        <w:autoSpaceDE/>
        <w:autoSpaceDN/>
        <w:adjustRightInd/>
        <w:rPr>
          <w:sz w:val="24"/>
        </w:rPr>
      </w:pPr>
    </w:p>
    <w:p w14:paraId="3AF17F3F" w14:textId="77777777" w:rsidR="00855ABA" w:rsidRPr="0098216F" w:rsidRDefault="0098216F" w:rsidP="00FF1C6E">
      <w:pPr>
        <w:ind w:left="720" w:hanging="360"/>
        <w:rPr>
          <w:sz w:val="18"/>
          <w:szCs w:val="18"/>
        </w:rPr>
      </w:pPr>
      <w:r>
        <w:rPr>
          <w:sz w:val="18"/>
          <w:szCs w:val="18"/>
        </w:rPr>
        <w:t>(1)</w:t>
      </w:r>
      <w:r>
        <w:rPr>
          <w:sz w:val="18"/>
          <w:szCs w:val="18"/>
        </w:rPr>
        <w:tab/>
      </w:r>
      <w:r w:rsidR="00E97C73" w:rsidRPr="0098216F">
        <w:rPr>
          <w:sz w:val="18"/>
          <w:szCs w:val="18"/>
        </w:rPr>
        <w:t xml:space="preserve">Time estimates include time required to respond to </w:t>
      </w:r>
      <w:r w:rsidR="00937DE2">
        <w:rPr>
          <w:sz w:val="18"/>
          <w:szCs w:val="18"/>
        </w:rPr>
        <w:t xml:space="preserve">the </w:t>
      </w:r>
      <w:r w:rsidR="00E97C73" w:rsidRPr="0098216F">
        <w:rPr>
          <w:sz w:val="18"/>
          <w:szCs w:val="18"/>
        </w:rPr>
        <w:t>questionnaire p</w:t>
      </w:r>
      <w:r w:rsidR="00E97C73" w:rsidRPr="00E97C73">
        <w:rPr>
          <w:sz w:val="18"/>
          <w:szCs w:val="18"/>
        </w:rPr>
        <w:t>lus additional time required to read</w:t>
      </w:r>
      <w:r w:rsidR="00E97C73" w:rsidRPr="0098216F">
        <w:rPr>
          <w:sz w:val="18"/>
          <w:szCs w:val="18"/>
        </w:rPr>
        <w:t xml:space="preserve"> related correspondence </w:t>
      </w:r>
      <w:r w:rsidR="00E97C73" w:rsidRPr="00E97C73">
        <w:rPr>
          <w:sz w:val="18"/>
          <w:szCs w:val="18"/>
        </w:rPr>
        <w:t>and efforts to locate materials and</w:t>
      </w:r>
      <w:r w:rsidR="00E97C73" w:rsidRPr="0098216F">
        <w:rPr>
          <w:sz w:val="18"/>
          <w:szCs w:val="18"/>
        </w:rPr>
        <w:t xml:space="preserve"> discuss with other members of </w:t>
      </w:r>
      <w:r w:rsidR="00937DE2">
        <w:rPr>
          <w:sz w:val="18"/>
          <w:szCs w:val="18"/>
        </w:rPr>
        <w:t xml:space="preserve">the </w:t>
      </w:r>
      <w:r w:rsidR="00E97C73" w:rsidRPr="0098216F">
        <w:rPr>
          <w:sz w:val="18"/>
          <w:szCs w:val="18"/>
        </w:rPr>
        <w:t>household</w:t>
      </w:r>
      <w:r w:rsidR="00E97C73">
        <w:rPr>
          <w:sz w:val="18"/>
          <w:szCs w:val="18"/>
        </w:rPr>
        <w:t>.</w:t>
      </w:r>
    </w:p>
    <w:p w14:paraId="5DAB66FB" w14:textId="11EB3D93" w:rsidR="00E97C73" w:rsidRPr="0098216F" w:rsidRDefault="00E97C73" w:rsidP="00163D89">
      <w:pPr>
        <w:pStyle w:val="ListParagraph"/>
        <w:numPr>
          <w:ilvl w:val="0"/>
          <w:numId w:val="2"/>
        </w:numPr>
        <w:rPr>
          <w:sz w:val="18"/>
          <w:szCs w:val="18"/>
        </w:rPr>
      </w:pPr>
      <w:r w:rsidRPr="00163D89">
        <w:rPr>
          <w:sz w:val="18"/>
          <w:szCs w:val="18"/>
        </w:rPr>
        <w:t xml:space="preserve">Average hourly wage was derived from the </w:t>
      </w:r>
      <w:r w:rsidRPr="00FC129A">
        <w:rPr>
          <w:sz w:val="18"/>
          <w:szCs w:val="18"/>
        </w:rPr>
        <w:t>May 201</w:t>
      </w:r>
      <w:r w:rsidR="00FC129A">
        <w:rPr>
          <w:sz w:val="18"/>
          <w:szCs w:val="18"/>
        </w:rPr>
        <w:t>4</w:t>
      </w:r>
      <w:r w:rsidR="00FC3AD1" w:rsidRPr="00163D89">
        <w:rPr>
          <w:sz w:val="18"/>
          <w:szCs w:val="18"/>
        </w:rPr>
        <w:t xml:space="preserve"> Nation</w:t>
      </w:r>
      <w:r w:rsidR="00F64B8D" w:rsidRPr="00163D89">
        <w:rPr>
          <w:sz w:val="18"/>
          <w:szCs w:val="18"/>
        </w:rPr>
        <w:t>al Occupational Employment and Wage Estimates reported by the Bureau of Labor Statistics</w:t>
      </w:r>
      <w:r w:rsidR="00163D89" w:rsidRPr="00163D89">
        <w:rPr>
          <w:sz w:val="18"/>
          <w:szCs w:val="18"/>
        </w:rPr>
        <w:t xml:space="preserve"> (BLS)</w:t>
      </w:r>
      <w:r w:rsidRPr="00163D89">
        <w:rPr>
          <w:sz w:val="18"/>
          <w:szCs w:val="18"/>
        </w:rPr>
        <w:t>. We used the mean hourly wage for all occupations to cover the range of respondents in th</w:t>
      </w:r>
      <w:r w:rsidR="006E4EF7" w:rsidRPr="00163D89">
        <w:rPr>
          <w:sz w:val="18"/>
          <w:szCs w:val="18"/>
        </w:rPr>
        <w:t>is study</w:t>
      </w:r>
      <w:r w:rsidR="00FC3AD1" w:rsidRPr="00163D89">
        <w:rPr>
          <w:sz w:val="18"/>
          <w:szCs w:val="18"/>
        </w:rPr>
        <w:t xml:space="preserve">.  </w:t>
      </w:r>
      <w:r w:rsidR="00163D89" w:rsidRPr="008E51AB">
        <w:rPr>
          <w:sz w:val="18"/>
          <w:szCs w:val="18"/>
        </w:rPr>
        <w:t xml:space="preserve">Tables of wage estimates are available for download from BLS at </w:t>
      </w:r>
      <w:r w:rsidR="00163D89" w:rsidRPr="00163D89">
        <w:rPr>
          <w:sz w:val="18"/>
          <w:szCs w:val="18"/>
        </w:rPr>
        <w:t>http://www.bls.gov/oes/tables.htm.  See column F of row 2 in</w:t>
      </w:r>
      <w:r w:rsidR="00F5375D">
        <w:rPr>
          <w:sz w:val="18"/>
          <w:szCs w:val="18"/>
        </w:rPr>
        <w:t xml:space="preserve"> the table in</w:t>
      </w:r>
      <w:r w:rsidR="00163D89" w:rsidRPr="00163D89">
        <w:rPr>
          <w:sz w:val="18"/>
          <w:szCs w:val="18"/>
        </w:rPr>
        <w:t xml:space="preserve"> Appendix </w:t>
      </w:r>
      <w:r w:rsidR="00F5375D">
        <w:rPr>
          <w:sz w:val="18"/>
          <w:szCs w:val="18"/>
        </w:rPr>
        <w:t>1</w:t>
      </w:r>
      <w:r w:rsidR="00163D89" w:rsidRPr="00163D89">
        <w:rPr>
          <w:sz w:val="18"/>
          <w:szCs w:val="18"/>
        </w:rPr>
        <w:t xml:space="preserve"> (</w:t>
      </w:r>
      <w:r w:rsidR="00163D89" w:rsidRPr="00FC129A">
        <w:rPr>
          <w:sz w:val="18"/>
          <w:szCs w:val="18"/>
        </w:rPr>
        <w:t xml:space="preserve">downloaded from BLS on </w:t>
      </w:r>
      <w:r w:rsidR="00FC129A">
        <w:rPr>
          <w:sz w:val="18"/>
          <w:szCs w:val="18"/>
        </w:rPr>
        <w:t>Septem</w:t>
      </w:r>
      <w:r w:rsidR="001E5AD0">
        <w:rPr>
          <w:sz w:val="18"/>
          <w:szCs w:val="18"/>
        </w:rPr>
        <w:t>ber</w:t>
      </w:r>
      <w:r w:rsidR="00FC129A">
        <w:rPr>
          <w:sz w:val="18"/>
          <w:szCs w:val="18"/>
        </w:rPr>
        <w:t xml:space="preserve"> 3, 2015</w:t>
      </w:r>
      <w:r w:rsidR="00163D89" w:rsidRPr="00163D89">
        <w:rPr>
          <w:sz w:val="18"/>
          <w:szCs w:val="18"/>
        </w:rPr>
        <w:t xml:space="preserve">) for the wage estimate used </w:t>
      </w:r>
      <w:r w:rsidR="00815B3D">
        <w:rPr>
          <w:sz w:val="18"/>
          <w:szCs w:val="18"/>
        </w:rPr>
        <w:t xml:space="preserve">here </w:t>
      </w:r>
      <w:r w:rsidR="00163D89" w:rsidRPr="00163D89">
        <w:rPr>
          <w:sz w:val="18"/>
          <w:szCs w:val="18"/>
        </w:rPr>
        <w:t>in Table 1.</w:t>
      </w:r>
      <w:r w:rsidR="00163D89" w:rsidRPr="0098216F" w:rsidDel="00163D89">
        <w:rPr>
          <w:sz w:val="18"/>
          <w:szCs w:val="18"/>
        </w:rPr>
        <w:t xml:space="preserve"> </w:t>
      </w:r>
    </w:p>
    <w:p w14:paraId="139A95E2" w14:textId="77777777" w:rsidR="0082343C" w:rsidRPr="00DB10A0" w:rsidRDefault="0082343C">
      <w:pPr>
        <w:widowControl/>
        <w:autoSpaceDE/>
        <w:autoSpaceDN/>
        <w:adjustRightInd/>
        <w:rPr>
          <w:sz w:val="24"/>
        </w:rPr>
      </w:pPr>
    </w:p>
    <w:p w14:paraId="2C74CBC1" w14:textId="77777777" w:rsidR="00DB10A0" w:rsidRDefault="00DB10A0" w:rsidP="009939C3">
      <w:pPr>
        <w:widowControl/>
        <w:autoSpaceDE/>
        <w:autoSpaceDN/>
        <w:adjustRightInd/>
      </w:pPr>
    </w:p>
    <w:p w14:paraId="7171F78C" w14:textId="77777777" w:rsidR="00557C4F" w:rsidRDefault="00557C4F">
      <w:pPr>
        <w:widowControl/>
        <w:autoSpaceDE/>
        <w:autoSpaceDN/>
        <w:adjustRightInd/>
        <w:rPr>
          <w:sz w:val="24"/>
        </w:rPr>
      </w:pPr>
      <w:bookmarkStart w:id="16" w:name="_Toc399230014"/>
      <w:r>
        <w:rPr>
          <w:sz w:val="24"/>
        </w:rPr>
        <w:br w:type="page"/>
      </w:r>
    </w:p>
    <w:p w14:paraId="17B97DFD" w14:textId="46D8423D" w:rsidR="00EE19CB" w:rsidRDefault="00EE19CB" w:rsidP="009939C3">
      <w:pPr>
        <w:widowControl/>
        <w:autoSpaceDE/>
        <w:autoSpaceDN/>
        <w:adjustRightInd/>
        <w:rPr>
          <w:sz w:val="24"/>
        </w:rPr>
      </w:pPr>
      <w:r w:rsidRPr="00DB10A0">
        <w:rPr>
          <w:sz w:val="24"/>
        </w:rPr>
        <w:lastRenderedPageBreak/>
        <w:t>In Table 2 below, we summarize the estimated burden for</w:t>
      </w:r>
      <w:r w:rsidR="00D44F34" w:rsidRPr="00DB10A0">
        <w:rPr>
          <w:sz w:val="24"/>
        </w:rPr>
        <w:t xml:space="preserve"> each phase of data collection</w:t>
      </w:r>
      <w:bookmarkEnd w:id="16"/>
      <w:r w:rsidR="002D3338" w:rsidRPr="00DB10A0">
        <w:rPr>
          <w:sz w:val="24"/>
        </w:rPr>
        <w:t xml:space="preserve"> detail</w:t>
      </w:r>
      <w:r w:rsidR="00AE6C6E" w:rsidRPr="00DB10A0">
        <w:rPr>
          <w:sz w:val="24"/>
        </w:rPr>
        <w:t>ed in Table 1.</w:t>
      </w:r>
    </w:p>
    <w:p w14:paraId="2041993E" w14:textId="77777777" w:rsidR="00886A82" w:rsidRDefault="00886A82" w:rsidP="009939C3">
      <w:pPr>
        <w:widowControl/>
        <w:autoSpaceDE/>
        <w:autoSpaceDN/>
        <w:adjustRightInd/>
        <w:rPr>
          <w:sz w:val="24"/>
        </w:rPr>
      </w:pPr>
    </w:p>
    <w:p w14:paraId="42230257" w14:textId="77777777" w:rsidR="00F52120" w:rsidRDefault="00F52120" w:rsidP="00FF1C6E">
      <w:pPr>
        <w:pStyle w:val="Heading2"/>
        <w:rPr>
          <w:b w:val="0"/>
          <w:szCs w:val="24"/>
        </w:rPr>
      </w:pPr>
      <w:bookmarkStart w:id="17" w:name="_Toc399230015"/>
      <w:bookmarkStart w:id="18" w:name="_Toc458458240"/>
      <w:bookmarkStart w:id="19" w:name="_Toc479522853"/>
      <w:proofErr w:type="gramStart"/>
      <w:r w:rsidRPr="00BE2E19">
        <w:rPr>
          <w:b w:val="0"/>
          <w:szCs w:val="24"/>
        </w:rPr>
        <w:t>Table 2.</w:t>
      </w:r>
      <w:proofErr w:type="gramEnd"/>
      <w:r w:rsidRPr="00BE2E19">
        <w:rPr>
          <w:b w:val="0"/>
          <w:szCs w:val="24"/>
        </w:rPr>
        <w:t xml:space="preserve"> Burden o</w:t>
      </w:r>
      <w:r w:rsidR="00AF3A0C" w:rsidRPr="00BE2E19">
        <w:rPr>
          <w:b w:val="0"/>
          <w:szCs w:val="24"/>
        </w:rPr>
        <w:t>n</w:t>
      </w:r>
      <w:r w:rsidRPr="00BE2E19">
        <w:rPr>
          <w:b w:val="0"/>
          <w:szCs w:val="24"/>
        </w:rPr>
        <w:t xml:space="preserve"> Participants in Each Phase of the Study</w:t>
      </w:r>
      <w:bookmarkEnd w:id="17"/>
      <w:bookmarkEnd w:id="18"/>
      <w:bookmarkEnd w:id="19"/>
      <w:r>
        <w:rPr>
          <w:b w:val="0"/>
          <w:szCs w:val="24"/>
        </w:rPr>
        <w:t xml:space="preserve"> </w:t>
      </w:r>
    </w:p>
    <w:p w14:paraId="225F0CE9" w14:textId="77777777" w:rsidR="00C03AAF" w:rsidRPr="00C03AAF" w:rsidRDefault="00C03AAF" w:rsidP="00C03AAF"/>
    <w:tbl>
      <w:tblPr>
        <w:tblW w:w="9707" w:type="dxa"/>
        <w:tblInd w:w="93" w:type="dxa"/>
        <w:tblLayout w:type="fixed"/>
        <w:tblLook w:val="04A0" w:firstRow="1" w:lastRow="0" w:firstColumn="1" w:lastColumn="0" w:noHBand="0" w:noVBand="1"/>
      </w:tblPr>
      <w:tblGrid>
        <w:gridCol w:w="2237"/>
        <w:gridCol w:w="1507"/>
        <w:gridCol w:w="1422"/>
        <w:gridCol w:w="1571"/>
        <w:gridCol w:w="1080"/>
        <w:gridCol w:w="1890"/>
      </w:tblGrid>
      <w:tr w:rsidR="00F52120" w:rsidRPr="00F52120" w14:paraId="557D8F92" w14:textId="77777777" w:rsidTr="00605736">
        <w:trPr>
          <w:trHeight w:val="912"/>
        </w:trPr>
        <w:tc>
          <w:tcPr>
            <w:tcW w:w="374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41D9C9F" w14:textId="77777777" w:rsidR="00F52120" w:rsidRPr="00F52120" w:rsidRDefault="00F52120" w:rsidP="00F52120">
            <w:pPr>
              <w:widowControl/>
              <w:autoSpaceDE/>
              <w:autoSpaceDN/>
              <w:adjustRightInd/>
              <w:jc w:val="center"/>
              <w:rPr>
                <w:b/>
                <w:bCs/>
                <w:color w:val="000000"/>
                <w:sz w:val="22"/>
                <w:szCs w:val="22"/>
              </w:rPr>
            </w:pPr>
            <w:bookmarkStart w:id="20" w:name="OLE_LINK1"/>
            <w:r w:rsidRPr="00F52120">
              <w:rPr>
                <w:b/>
                <w:bCs/>
                <w:color w:val="000000"/>
                <w:sz w:val="22"/>
                <w:szCs w:val="22"/>
              </w:rPr>
              <w:t>Data Collection Activity</w:t>
            </w:r>
          </w:p>
        </w:tc>
        <w:tc>
          <w:tcPr>
            <w:tcW w:w="1422" w:type="dxa"/>
            <w:tcBorders>
              <w:top w:val="single" w:sz="8" w:space="0" w:color="auto"/>
              <w:left w:val="nil"/>
              <w:bottom w:val="single" w:sz="4" w:space="0" w:color="auto"/>
              <w:right w:val="single" w:sz="8" w:space="0" w:color="auto"/>
            </w:tcBorders>
            <w:shd w:val="clear" w:color="auto" w:fill="auto"/>
            <w:vAlign w:val="bottom"/>
            <w:hideMark/>
          </w:tcPr>
          <w:p w14:paraId="0F0E5183" w14:textId="77777777" w:rsidR="00F52120" w:rsidRPr="00F52120" w:rsidRDefault="00F52120" w:rsidP="00F52120">
            <w:pPr>
              <w:widowControl/>
              <w:autoSpaceDE/>
              <w:autoSpaceDN/>
              <w:adjustRightInd/>
              <w:jc w:val="center"/>
              <w:rPr>
                <w:b/>
                <w:bCs/>
                <w:color w:val="000000"/>
                <w:sz w:val="22"/>
                <w:szCs w:val="22"/>
              </w:rPr>
            </w:pPr>
            <w:r w:rsidRPr="00F52120">
              <w:rPr>
                <w:b/>
                <w:bCs/>
                <w:color w:val="000000"/>
                <w:sz w:val="22"/>
                <w:szCs w:val="22"/>
              </w:rPr>
              <w:t>Number of Unique Respondents</w:t>
            </w:r>
          </w:p>
        </w:tc>
        <w:tc>
          <w:tcPr>
            <w:tcW w:w="1571" w:type="dxa"/>
            <w:tcBorders>
              <w:top w:val="single" w:sz="8" w:space="0" w:color="auto"/>
              <w:left w:val="nil"/>
              <w:bottom w:val="single" w:sz="4" w:space="0" w:color="auto"/>
              <w:right w:val="single" w:sz="8" w:space="0" w:color="auto"/>
            </w:tcBorders>
            <w:shd w:val="clear" w:color="auto" w:fill="auto"/>
            <w:vAlign w:val="bottom"/>
            <w:hideMark/>
          </w:tcPr>
          <w:p w14:paraId="3359C896" w14:textId="77777777" w:rsidR="00F52120" w:rsidRPr="00F52120" w:rsidRDefault="00AD0CE1" w:rsidP="00F52120">
            <w:pPr>
              <w:widowControl/>
              <w:autoSpaceDE/>
              <w:autoSpaceDN/>
              <w:adjustRightInd/>
              <w:jc w:val="center"/>
              <w:rPr>
                <w:b/>
                <w:bCs/>
                <w:color w:val="000000"/>
                <w:sz w:val="22"/>
                <w:szCs w:val="22"/>
              </w:rPr>
            </w:pPr>
            <w:r>
              <w:rPr>
                <w:b/>
                <w:bCs/>
                <w:color w:val="000000"/>
                <w:sz w:val="22"/>
                <w:szCs w:val="22"/>
              </w:rPr>
              <w:t>Total Burden Hours</w:t>
            </w:r>
          </w:p>
        </w:tc>
        <w:tc>
          <w:tcPr>
            <w:tcW w:w="1080" w:type="dxa"/>
            <w:tcBorders>
              <w:top w:val="single" w:sz="8" w:space="0" w:color="auto"/>
              <w:left w:val="nil"/>
              <w:bottom w:val="single" w:sz="4" w:space="0" w:color="auto"/>
              <w:right w:val="single" w:sz="8" w:space="0" w:color="auto"/>
            </w:tcBorders>
            <w:shd w:val="clear" w:color="auto" w:fill="auto"/>
            <w:vAlign w:val="bottom"/>
            <w:hideMark/>
          </w:tcPr>
          <w:p w14:paraId="1670EC99" w14:textId="77777777" w:rsidR="00F52120" w:rsidRPr="00F52120" w:rsidRDefault="00F52120" w:rsidP="003F513A">
            <w:pPr>
              <w:widowControl/>
              <w:autoSpaceDE/>
              <w:autoSpaceDN/>
              <w:adjustRightInd/>
              <w:jc w:val="center"/>
              <w:rPr>
                <w:b/>
                <w:bCs/>
                <w:color w:val="000000"/>
                <w:sz w:val="22"/>
                <w:szCs w:val="22"/>
              </w:rPr>
            </w:pPr>
            <w:r w:rsidRPr="00F52120">
              <w:rPr>
                <w:b/>
                <w:bCs/>
                <w:color w:val="000000"/>
                <w:sz w:val="22"/>
                <w:szCs w:val="22"/>
              </w:rPr>
              <w:t>Average Hourly Wage Rate</w:t>
            </w:r>
          </w:p>
        </w:tc>
        <w:tc>
          <w:tcPr>
            <w:tcW w:w="1890" w:type="dxa"/>
            <w:tcBorders>
              <w:top w:val="single" w:sz="8" w:space="0" w:color="auto"/>
              <w:left w:val="nil"/>
              <w:bottom w:val="single" w:sz="4" w:space="0" w:color="auto"/>
              <w:right w:val="single" w:sz="8" w:space="0" w:color="auto"/>
            </w:tcBorders>
            <w:shd w:val="clear" w:color="auto" w:fill="auto"/>
            <w:vAlign w:val="bottom"/>
            <w:hideMark/>
          </w:tcPr>
          <w:p w14:paraId="053175B7" w14:textId="08A5F8B6" w:rsidR="00F52120" w:rsidRPr="00F52120" w:rsidRDefault="00886A82" w:rsidP="00886A82">
            <w:pPr>
              <w:widowControl/>
              <w:autoSpaceDE/>
              <w:autoSpaceDN/>
              <w:adjustRightInd/>
              <w:jc w:val="center"/>
              <w:rPr>
                <w:b/>
                <w:bCs/>
                <w:color w:val="000000"/>
                <w:sz w:val="22"/>
                <w:szCs w:val="22"/>
              </w:rPr>
            </w:pPr>
            <w:r>
              <w:rPr>
                <w:b/>
                <w:bCs/>
                <w:color w:val="000000"/>
                <w:sz w:val="22"/>
                <w:szCs w:val="22"/>
              </w:rPr>
              <w:t xml:space="preserve">Monetized Value of Time </w:t>
            </w:r>
            <w:r w:rsidR="00F52120" w:rsidRPr="00F52120">
              <w:rPr>
                <w:b/>
                <w:bCs/>
                <w:color w:val="000000"/>
                <w:sz w:val="22"/>
                <w:szCs w:val="22"/>
              </w:rPr>
              <w:t>Burden</w:t>
            </w:r>
          </w:p>
        </w:tc>
      </w:tr>
      <w:tr w:rsidR="00F52120" w:rsidRPr="00F52120" w14:paraId="53354658" w14:textId="77777777" w:rsidTr="00886A82">
        <w:trPr>
          <w:trHeight w:val="300"/>
        </w:trPr>
        <w:tc>
          <w:tcPr>
            <w:tcW w:w="2237" w:type="dxa"/>
            <w:tcBorders>
              <w:top w:val="single" w:sz="4" w:space="0" w:color="auto"/>
              <w:left w:val="single" w:sz="4" w:space="0" w:color="auto"/>
              <w:bottom w:val="single" w:sz="8" w:space="0" w:color="auto"/>
              <w:right w:val="single" w:sz="8" w:space="0" w:color="000000"/>
            </w:tcBorders>
            <w:shd w:val="clear" w:color="000000" w:fill="D9D9D9"/>
            <w:noWrap/>
            <w:vAlign w:val="center"/>
            <w:hideMark/>
          </w:tcPr>
          <w:p w14:paraId="4CF9C6AE" w14:textId="77777777" w:rsidR="00F52120" w:rsidRPr="00F52120" w:rsidRDefault="00340E48" w:rsidP="00F52120">
            <w:pPr>
              <w:widowControl/>
              <w:autoSpaceDE/>
              <w:autoSpaceDN/>
              <w:adjustRightInd/>
              <w:rPr>
                <w:b/>
                <w:bCs/>
                <w:color w:val="000000"/>
                <w:sz w:val="22"/>
                <w:szCs w:val="22"/>
              </w:rPr>
            </w:pPr>
            <w:r>
              <w:rPr>
                <w:b/>
                <w:bCs/>
                <w:color w:val="000000"/>
                <w:sz w:val="22"/>
                <w:szCs w:val="22"/>
              </w:rPr>
              <w:t>Pretesting</w:t>
            </w:r>
          </w:p>
        </w:tc>
        <w:tc>
          <w:tcPr>
            <w:tcW w:w="1507" w:type="dxa"/>
            <w:tcBorders>
              <w:top w:val="single" w:sz="4" w:space="0" w:color="auto"/>
              <w:left w:val="nil"/>
              <w:bottom w:val="single" w:sz="8" w:space="0" w:color="auto"/>
              <w:right w:val="single" w:sz="8" w:space="0" w:color="auto"/>
            </w:tcBorders>
            <w:shd w:val="clear" w:color="000000" w:fill="D9D9D9"/>
            <w:vAlign w:val="center"/>
            <w:hideMark/>
          </w:tcPr>
          <w:p w14:paraId="2547D79B" w14:textId="77777777" w:rsidR="00F52120" w:rsidRPr="00F52120" w:rsidRDefault="00F52120" w:rsidP="00F52120">
            <w:pPr>
              <w:widowControl/>
              <w:autoSpaceDE/>
              <w:autoSpaceDN/>
              <w:adjustRightInd/>
              <w:rPr>
                <w:b/>
                <w:bCs/>
                <w:color w:val="000000"/>
                <w:sz w:val="22"/>
                <w:szCs w:val="22"/>
              </w:rPr>
            </w:pPr>
            <w:r w:rsidRPr="00F52120">
              <w:rPr>
                <w:b/>
                <w:bCs/>
                <w:color w:val="000000"/>
                <w:sz w:val="22"/>
                <w:szCs w:val="22"/>
              </w:rPr>
              <w:t>Subtotal</w:t>
            </w:r>
          </w:p>
        </w:tc>
        <w:tc>
          <w:tcPr>
            <w:tcW w:w="1422" w:type="dxa"/>
            <w:tcBorders>
              <w:top w:val="single" w:sz="4" w:space="0" w:color="auto"/>
              <w:left w:val="nil"/>
              <w:bottom w:val="single" w:sz="8" w:space="0" w:color="auto"/>
              <w:right w:val="nil"/>
            </w:tcBorders>
            <w:shd w:val="clear" w:color="000000" w:fill="D9D9D9"/>
            <w:noWrap/>
            <w:vAlign w:val="center"/>
            <w:hideMark/>
          </w:tcPr>
          <w:p w14:paraId="50271958" w14:textId="77777777" w:rsidR="00F52120" w:rsidRPr="00F52120" w:rsidRDefault="00F52120" w:rsidP="00F52120">
            <w:pPr>
              <w:widowControl/>
              <w:autoSpaceDE/>
              <w:autoSpaceDN/>
              <w:adjustRightInd/>
              <w:jc w:val="right"/>
              <w:rPr>
                <w:b/>
                <w:bCs/>
                <w:color w:val="000000"/>
                <w:sz w:val="22"/>
                <w:szCs w:val="22"/>
              </w:rPr>
            </w:pPr>
            <w:r w:rsidRPr="00F52120">
              <w:rPr>
                <w:b/>
                <w:bCs/>
                <w:color w:val="000000"/>
                <w:sz w:val="22"/>
                <w:szCs w:val="22"/>
              </w:rPr>
              <w:t>390</w:t>
            </w:r>
          </w:p>
        </w:tc>
        <w:tc>
          <w:tcPr>
            <w:tcW w:w="1571" w:type="dxa"/>
            <w:tcBorders>
              <w:top w:val="single" w:sz="4" w:space="0" w:color="auto"/>
              <w:left w:val="single" w:sz="8" w:space="0" w:color="auto"/>
              <w:bottom w:val="single" w:sz="8" w:space="0" w:color="auto"/>
              <w:right w:val="nil"/>
            </w:tcBorders>
            <w:shd w:val="clear" w:color="000000" w:fill="D9D9D9"/>
            <w:noWrap/>
            <w:vAlign w:val="center"/>
            <w:hideMark/>
          </w:tcPr>
          <w:p w14:paraId="07041C1D" w14:textId="18F0ED0B" w:rsidR="00F52120" w:rsidRPr="00F52120" w:rsidRDefault="009D095E" w:rsidP="009D095E">
            <w:pPr>
              <w:widowControl/>
              <w:autoSpaceDE/>
              <w:autoSpaceDN/>
              <w:adjustRightInd/>
              <w:jc w:val="right"/>
              <w:rPr>
                <w:b/>
                <w:bCs/>
                <w:color w:val="000000"/>
                <w:sz w:val="22"/>
                <w:szCs w:val="22"/>
              </w:rPr>
            </w:pPr>
            <w:r>
              <w:rPr>
                <w:b/>
                <w:bCs/>
                <w:color w:val="000000"/>
                <w:sz w:val="22"/>
                <w:szCs w:val="22"/>
              </w:rPr>
              <w:t>466</w:t>
            </w:r>
            <w:r w:rsidR="00605736">
              <w:rPr>
                <w:b/>
                <w:bCs/>
                <w:color w:val="000000"/>
                <w:sz w:val="22"/>
                <w:szCs w:val="22"/>
              </w:rPr>
              <w:t xml:space="preserve"> </w:t>
            </w:r>
          </w:p>
        </w:tc>
        <w:tc>
          <w:tcPr>
            <w:tcW w:w="1080"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43B74187" w14:textId="77777777" w:rsidR="00F52120" w:rsidRPr="00F52120" w:rsidRDefault="00F52120" w:rsidP="0080406F">
            <w:pPr>
              <w:widowControl/>
              <w:autoSpaceDE/>
              <w:autoSpaceDN/>
              <w:adjustRightInd/>
              <w:jc w:val="right"/>
              <w:rPr>
                <w:b/>
                <w:bCs/>
                <w:color w:val="000000"/>
                <w:sz w:val="22"/>
                <w:szCs w:val="22"/>
              </w:rPr>
            </w:pPr>
            <w:r w:rsidRPr="00F52120">
              <w:rPr>
                <w:b/>
                <w:bCs/>
                <w:color w:val="000000"/>
                <w:sz w:val="22"/>
                <w:szCs w:val="22"/>
              </w:rPr>
              <w:t>$22.</w:t>
            </w:r>
            <w:r w:rsidR="0080406F">
              <w:rPr>
                <w:b/>
                <w:bCs/>
                <w:color w:val="000000"/>
                <w:sz w:val="22"/>
                <w:szCs w:val="22"/>
              </w:rPr>
              <w:t>71</w:t>
            </w:r>
            <w:r w:rsidRPr="00F52120">
              <w:rPr>
                <w:b/>
                <w:bCs/>
                <w:color w:val="000000"/>
                <w:sz w:val="22"/>
                <w:szCs w:val="22"/>
              </w:rPr>
              <w:t xml:space="preserve"> </w:t>
            </w:r>
          </w:p>
        </w:tc>
        <w:tc>
          <w:tcPr>
            <w:tcW w:w="1890" w:type="dxa"/>
            <w:tcBorders>
              <w:top w:val="single" w:sz="4" w:space="0" w:color="auto"/>
              <w:left w:val="nil"/>
              <w:bottom w:val="single" w:sz="8" w:space="0" w:color="auto"/>
              <w:right w:val="single" w:sz="4" w:space="0" w:color="auto"/>
            </w:tcBorders>
            <w:shd w:val="clear" w:color="000000" w:fill="D9D9D9"/>
            <w:vAlign w:val="center"/>
            <w:hideMark/>
          </w:tcPr>
          <w:p w14:paraId="6859AC56" w14:textId="6B904697" w:rsidR="00F52120" w:rsidRPr="00F52120" w:rsidRDefault="00F52120" w:rsidP="005617A7">
            <w:pPr>
              <w:widowControl/>
              <w:autoSpaceDE/>
              <w:autoSpaceDN/>
              <w:adjustRightInd/>
              <w:jc w:val="right"/>
              <w:rPr>
                <w:b/>
                <w:bCs/>
                <w:color w:val="000000"/>
                <w:sz w:val="22"/>
                <w:szCs w:val="22"/>
              </w:rPr>
            </w:pPr>
            <w:r w:rsidRPr="00F52120">
              <w:rPr>
                <w:b/>
                <w:bCs/>
                <w:color w:val="000000"/>
                <w:sz w:val="22"/>
                <w:szCs w:val="22"/>
              </w:rPr>
              <w:t>$1</w:t>
            </w:r>
            <w:r w:rsidR="005617A7">
              <w:rPr>
                <w:b/>
                <w:bCs/>
                <w:color w:val="000000"/>
                <w:sz w:val="22"/>
                <w:szCs w:val="22"/>
              </w:rPr>
              <w:t>0,583</w:t>
            </w:r>
            <w:r w:rsidR="00605736">
              <w:rPr>
                <w:b/>
                <w:bCs/>
                <w:color w:val="000000"/>
                <w:sz w:val="22"/>
                <w:szCs w:val="22"/>
              </w:rPr>
              <w:t xml:space="preserve"> </w:t>
            </w:r>
            <w:r w:rsidRPr="00F52120">
              <w:rPr>
                <w:b/>
                <w:bCs/>
                <w:color w:val="000000"/>
                <w:sz w:val="22"/>
                <w:szCs w:val="22"/>
              </w:rPr>
              <w:t xml:space="preserve"> </w:t>
            </w:r>
          </w:p>
        </w:tc>
      </w:tr>
      <w:tr w:rsidR="00F52120" w:rsidRPr="00F52120" w14:paraId="6741E684" w14:textId="77777777" w:rsidTr="00886A82">
        <w:trPr>
          <w:trHeight w:val="300"/>
        </w:trPr>
        <w:tc>
          <w:tcPr>
            <w:tcW w:w="2237" w:type="dxa"/>
            <w:tcBorders>
              <w:top w:val="single" w:sz="8" w:space="0" w:color="auto"/>
              <w:left w:val="single" w:sz="4" w:space="0" w:color="auto"/>
              <w:bottom w:val="single" w:sz="8" w:space="0" w:color="auto"/>
              <w:right w:val="single" w:sz="8" w:space="0" w:color="000000"/>
            </w:tcBorders>
            <w:shd w:val="clear" w:color="000000" w:fill="D9D9D9"/>
            <w:noWrap/>
            <w:vAlign w:val="center"/>
            <w:hideMark/>
          </w:tcPr>
          <w:p w14:paraId="3DD87569" w14:textId="77777777" w:rsidR="00F52120" w:rsidRPr="00F52120" w:rsidRDefault="00F52120" w:rsidP="00F52120">
            <w:pPr>
              <w:widowControl/>
              <w:autoSpaceDE/>
              <w:autoSpaceDN/>
              <w:adjustRightInd/>
              <w:rPr>
                <w:b/>
                <w:bCs/>
                <w:color w:val="000000"/>
                <w:sz w:val="22"/>
                <w:szCs w:val="22"/>
              </w:rPr>
            </w:pPr>
            <w:r w:rsidRPr="00F52120">
              <w:rPr>
                <w:b/>
                <w:bCs/>
                <w:color w:val="000000"/>
                <w:sz w:val="22"/>
                <w:szCs w:val="22"/>
              </w:rPr>
              <w:t>Pre-Survey</w:t>
            </w:r>
          </w:p>
        </w:tc>
        <w:tc>
          <w:tcPr>
            <w:tcW w:w="1507" w:type="dxa"/>
            <w:tcBorders>
              <w:top w:val="single" w:sz="8" w:space="0" w:color="auto"/>
              <w:left w:val="nil"/>
              <w:bottom w:val="single" w:sz="8" w:space="0" w:color="auto"/>
              <w:right w:val="single" w:sz="8" w:space="0" w:color="auto"/>
            </w:tcBorders>
            <w:shd w:val="clear" w:color="000000" w:fill="D9D9D9"/>
            <w:vAlign w:val="center"/>
            <w:hideMark/>
          </w:tcPr>
          <w:p w14:paraId="341D1603" w14:textId="77777777" w:rsidR="00F52120" w:rsidRPr="00F52120" w:rsidRDefault="00F52120" w:rsidP="00F52120">
            <w:pPr>
              <w:widowControl/>
              <w:autoSpaceDE/>
              <w:autoSpaceDN/>
              <w:adjustRightInd/>
              <w:rPr>
                <w:b/>
                <w:bCs/>
                <w:color w:val="000000"/>
                <w:sz w:val="22"/>
                <w:szCs w:val="22"/>
              </w:rPr>
            </w:pPr>
            <w:r w:rsidRPr="00F52120">
              <w:rPr>
                <w:b/>
                <w:bCs/>
                <w:color w:val="000000"/>
                <w:sz w:val="22"/>
                <w:szCs w:val="22"/>
              </w:rPr>
              <w:t>Subtotal</w:t>
            </w:r>
          </w:p>
        </w:tc>
        <w:tc>
          <w:tcPr>
            <w:tcW w:w="1422" w:type="dxa"/>
            <w:tcBorders>
              <w:top w:val="single" w:sz="8" w:space="0" w:color="auto"/>
              <w:left w:val="nil"/>
              <w:bottom w:val="single" w:sz="8" w:space="0" w:color="auto"/>
              <w:right w:val="nil"/>
            </w:tcBorders>
            <w:shd w:val="clear" w:color="000000" w:fill="D9D9D9"/>
            <w:noWrap/>
            <w:vAlign w:val="center"/>
            <w:hideMark/>
          </w:tcPr>
          <w:p w14:paraId="5AE234E6" w14:textId="77777777" w:rsidR="00F52120" w:rsidRPr="00F52120" w:rsidRDefault="00F52120" w:rsidP="00F52120">
            <w:pPr>
              <w:widowControl/>
              <w:autoSpaceDE/>
              <w:autoSpaceDN/>
              <w:adjustRightInd/>
              <w:jc w:val="right"/>
              <w:rPr>
                <w:b/>
                <w:bCs/>
                <w:color w:val="000000"/>
                <w:sz w:val="22"/>
                <w:szCs w:val="22"/>
              </w:rPr>
            </w:pPr>
            <w:r w:rsidRPr="00F52120">
              <w:rPr>
                <w:b/>
                <w:bCs/>
                <w:color w:val="000000"/>
                <w:sz w:val="22"/>
                <w:szCs w:val="22"/>
              </w:rPr>
              <w:t>10,000</w:t>
            </w:r>
          </w:p>
        </w:tc>
        <w:tc>
          <w:tcPr>
            <w:tcW w:w="1571" w:type="dxa"/>
            <w:tcBorders>
              <w:top w:val="single" w:sz="8" w:space="0" w:color="auto"/>
              <w:left w:val="single" w:sz="8" w:space="0" w:color="auto"/>
              <w:bottom w:val="single" w:sz="8" w:space="0" w:color="auto"/>
              <w:right w:val="nil"/>
            </w:tcBorders>
            <w:shd w:val="clear" w:color="000000" w:fill="D9D9D9"/>
            <w:noWrap/>
            <w:vAlign w:val="center"/>
            <w:hideMark/>
          </w:tcPr>
          <w:p w14:paraId="33144428" w14:textId="6DC27EE8" w:rsidR="00F52120" w:rsidRPr="00F52120" w:rsidRDefault="00F52120" w:rsidP="00F52120">
            <w:pPr>
              <w:widowControl/>
              <w:autoSpaceDE/>
              <w:autoSpaceDN/>
              <w:adjustRightInd/>
              <w:jc w:val="right"/>
              <w:rPr>
                <w:b/>
                <w:bCs/>
                <w:color w:val="000000"/>
                <w:sz w:val="22"/>
                <w:szCs w:val="22"/>
              </w:rPr>
            </w:pPr>
            <w:r w:rsidRPr="00F52120">
              <w:rPr>
                <w:b/>
                <w:bCs/>
                <w:color w:val="000000"/>
                <w:sz w:val="22"/>
                <w:szCs w:val="22"/>
              </w:rPr>
              <w:t>4</w:t>
            </w:r>
            <w:r w:rsidR="004743E7">
              <w:rPr>
                <w:b/>
                <w:bCs/>
                <w:color w:val="000000"/>
                <w:sz w:val="22"/>
                <w:szCs w:val="22"/>
              </w:rPr>
              <w:t>,</w:t>
            </w:r>
            <w:r w:rsidRPr="00F52120">
              <w:rPr>
                <w:b/>
                <w:bCs/>
                <w:color w:val="000000"/>
                <w:sz w:val="22"/>
                <w:szCs w:val="22"/>
              </w:rPr>
              <w:t>000</w:t>
            </w:r>
            <w:r w:rsidR="00605736">
              <w:rPr>
                <w:b/>
                <w:bCs/>
                <w:color w:val="000000"/>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B877BE3" w14:textId="77777777" w:rsidR="00F52120" w:rsidRPr="00F52120" w:rsidRDefault="00F52120" w:rsidP="0080406F">
            <w:pPr>
              <w:widowControl/>
              <w:autoSpaceDE/>
              <w:autoSpaceDN/>
              <w:adjustRightInd/>
              <w:jc w:val="right"/>
              <w:rPr>
                <w:b/>
                <w:bCs/>
                <w:color w:val="000000"/>
                <w:sz w:val="22"/>
                <w:szCs w:val="22"/>
              </w:rPr>
            </w:pPr>
            <w:r w:rsidRPr="00F52120">
              <w:rPr>
                <w:b/>
                <w:bCs/>
                <w:color w:val="000000"/>
                <w:sz w:val="22"/>
                <w:szCs w:val="22"/>
              </w:rPr>
              <w:t>$22.</w:t>
            </w:r>
            <w:r w:rsidR="0080406F">
              <w:rPr>
                <w:b/>
                <w:bCs/>
                <w:color w:val="000000"/>
                <w:sz w:val="22"/>
                <w:szCs w:val="22"/>
              </w:rPr>
              <w:t>71</w:t>
            </w:r>
            <w:r w:rsidRPr="00F52120">
              <w:rPr>
                <w:b/>
                <w:bCs/>
                <w:color w:val="000000"/>
                <w:sz w:val="22"/>
                <w:szCs w:val="22"/>
              </w:rPr>
              <w:t xml:space="preserve"> </w:t>
            </w:r>
          </w:p>
        </w:tc>
        <w:tc>
          <w:tcPr>
            <w:tcW w:w="1890" w:type="dxa"/>
            <w:tcBorders>
              <w:top w:val="single" w:sz="8" w:space="0" w:color="auto"/>
              <w:left w:val="nil"/>
              <w:bottom w:val="single" w:sz="8" w:space="0" w:color="auto"/>
              <w:right w:val="single" w:sz="4" w:space="0" w:color="auto"/>
            </w:tcBorders>
            <w:shd w:val="clear" w:color="000000" w:fill="D9D9D9"/>
            <w:vAlign w:val="center"/>
            <w:hideMark/>
          </w:tcPr>
          <w:p w14:paraId="07A886A4" w14:textId="47C4FFA5" w:rsidR="00F52120" w:rsidRPr="00F52120" w:rsidRDefault="00F52120" w:rsidP="005617A7">
            <w:pPr>
              <w:widowControl/>
              <w:autoSpaceDE/>
              <w:autoSpaceDN/>
              <w:adjustRightInd/>
              <w:jc w:val="right"/>
              <w:rPr>
                <w:b/>
                <w:bCs/>
                <w:color w:val="000000"/>
                <w:sz w:val="22"/>
                <w:szCs w:val="22"/>
              </w:rPr>
            </w:pPr>
            <w:r w:rsidRPr="00F52120">
              <w:rPr>
                <w:b/>
                <w:bCs/>
                <w:color w:val="000000"/>
                <w:sz w:val="22"/>
                <w:szCs w:val="22"/>
              </w:rPr>
              <w:t>$</w:t>
            </w:r>
            <w:r w:rsidR="005617A7">
              <w:rPr>
                <w:b/>
                <w:bCs/>
                <w:color w:val="000000"/>
                <w:sz w:val="22"/>
                <w:szCs w:val="22"/>
              </w:rPr>
              <w:t>90,840</w:t>
            </w:r>
            <w:r w:rsidR="00605736">
              <w:rPr>
                <w:b/>
                <w:bCs/>
                <w:color w:val="000000"/>
                <w:sz w:val="22"/>
                <w:szCs w:val="22"/>
              </w:rPr>
              <w:t xml:space="preserve"> </w:t>
            </w:r>
            <w:r w:rsidRPr="00F52120">
              <w:rPr>
                <w:b/>
                <w:bCs/>
                <w:color w:val="000000"/>
                <w:sz w:val="22"/>
                <w:szCs w:val="22"/>
              </w:rPr>
              <w:t xml:space="preserve"> </w:t>
            </w:r>
          </w:p>
        </w:tc>
      </w:tr>
      <w:tr w:rsidR="00F52120" w:rsidRPr="00F52120" w14:paraId="72C18D73" w14:textId="77777777" w:rsidTr="00886A82">
        <w:trPr>
          <w:trHeight w:val="624"/>
        </w:trPr>
        <w:tc>
          <w:tcPr>
            <w:tcW w:w="2237" w:type="dxa"/>
            <w:tcBorders>
              <w:top w:val="single" w:sz="8" w:space="0" w:color="auto"/>
              <w:left w:val="single" w:sz="4" w:space="0" w:color="auto"/>
              <w:bottom w:val="single" w:sz="8" w:space="0" w:color="auto"/>
              <w:right w:val="single" w:sz="8" w:space="0" w:color="000000"/>
            </w:tcBorders>
            <w:shd w:val="clear" w:color="000000" w:fill="D9D9D9"/>
            <w:vAlign w:val="center"/>
            <w:hideMark/>
          </w:tcPr>
          <w:p w14:paraId="663544D8" w14:textId="77777777" w:rsidR="00573B48" w:rsidRDefault="00F52120" w:rsidP="00F52120">
            <w:pPr>
              <w:widowControl/>
              <w:autoSpaceDE/>
              <w:autoSpaceDN/>
              <w:adjustRightInd/>
              <w:rPr>
                <w:b/>
                <w:bCs/>
                <w:color w:val="000000"/>
                <w:sz w:val="22"/>
                <w:szCs w:val="22"/>
              </w:rPr>
            </w:pPr>
            <w:r w:rsidRPr="00F52120">
              <w:rPr>
                <w:b/>
                <w:bCs/>
                <w:color w:val="000000"/>
                <w:sz w:val="22"/>
                <w:szCs w:val="22"/>
              </w:rPr>
              <w:t>Year 1 Surveys:</w:t>
            </w:r>
          </w:p>
          <w:p w14:paraId="249F0C14" w14:textId="77777777" w:rsidR="00F52120" w:rsidRPr="00F52120" w:rsidRDefault="00F52120" w:rsidP="00F52120">
            <w:pPr>
              <w:widowControl/>
              <w:autoSpaceDE/>
              <w:autoSpaceDN/>
              <w:adjustRightInd/>
              <w:rPr>
                <w:b/>
                <w:bCs/>
                <w:color w:val="000000"/>
                <w:sz w:val="22"/>
                <w:szCs w:val="22"/>
              </w:rPr>
            </w:pPr>
            <w:r w:rsidRPr="00F52120">
              <w:rPr>
                <w:b/>
                <w:bCs/>
                <w:color w:val="000000"/>
                <w:sz w:val="22"/>
                <w:szCs w:val="22"/>
              </w:rPr>
              <w:t xml:space="preserve"> IPS and AIS1</w:t>
            </w:r>
          </w:p>
        </w:tc>
        <w:tc>
          <w:tcPr>
            <w:tcW w:w="1507" w:type="dxa"/>
            <w:tcBorders>
              <w:top w:val="single" w:sz="8" w:space="0" w:color="auto"/>
              <w:left w:val="nil"/>
              <w:bottom w:val="single" w:sz="8" w:space="0" w:color="auto"/>
              <w:right w:val="single" w:sz="8" w:space="0" w:color="auto"/>
            </w:tcBorders>
            <w:shd w:val="clear" w:color="000000" w:fill="D9D9D9"/>
            <w:vAlign w:val="center"/>
            <w:hideMark/>
          </w:tcPr>
          <w:p w14:paraId="049F2D8A" w14:textId="77777777" w:rsidR="00F52120" w:rsidRPr="00F52120" w:rsidRDefault="00F52120" w:rsidP="00F52120">
            <w:pPr>
              <w:widowControl/>
              <w:autoSpaceDE/>
              <w:autoSpaceDN/>
              <w:adjustRightInd/>
              <w:rPr>
                <w:b/>
                <w:bCs/>
                <w:color w:val="000000"/>
                <w:sz w:val="22"/>
                <w:szCs w:val="22"/>
              </w:rPr>
            </w:pPr>
            <w:r w:rsidRPr="00F52120">
              <w:rPr>
                <w:b/>
                <w:bCs/>
                <w:color w:val="000000"/>
                <w:sz w:val="22"/>
                <w:szCs w:val="22"/>
              </w:rPr>
              <w:t>Subtotal</w:t>
            </w:r>
          </w:p>
        </w:tc>
        <w:tc>
          <w:tcPr>
            <w:tcW w:w="1422" w:type="dxa"/>
            <w:tcBorders>
              <w:top w:val="single" w:sz="8" w:space="0" w:color="auto"/>
              <w:left w:val="nil"/>
              <w:bottom w:val="single" w:sz="8" w:space="0" w:color="auto"/>
              <w:right w:val="nil"/>
            </w:tcBorders>
            <w:shd w:val="clear" w:color="000000" w:fill="D9D9D9"/>
            <w:noWrap/>
            <w:vAlign w:val="center"/>
            <w:hideMark/>
          </w:tcPr>
          <w:p w14:paraId="69A2CB8A" w14:textId="77777777" w:rsidR="00F52120" w:rsidRPr="00F52120" w:rsidRDefault="00F52120" w:rsidP="00F52120">
            <w:pPr>
              <w:widowControl/>
              <w:autoSpaceDE/>
              <w:autoSpaceDN/>
              <w:adjustRightInd/>
              <w:jc w:val="right"/>
              <w:rPr>
                <w:b/>
                <w:bCs/>
                <w:color w:val="000000"/>
                <w:sz w:val="22"/>
                <w:szCs w:val="22"/>
              </w:rPr>
            </w:pPr>
            <w:r w:rsidRPr="00F52120">
              <w:rPr>
                <w:b/>
                <w:bCs/>
                <w:color w:val="000000"/>
                <w:sz w:val="22"/>
                <w:szCs w:val="22"/>
              </w:rPr>
              <w:t>4</w:t>
            </w:r>
            <w:r w:rsidR="004743E7">
              <w:rPr>
                <w:b/>
                <w:bCs/>
                <w:color w:val="000000"/>
                <w:sz w:val="22"/>
                <w:szCs w:val="22"/>
              </w:rPr>
              <w:t>,</w:t>
            </w:r>
            <w:r w:rsidRPr="00F52120">
              <w:rPr>
                <w:b/>
                <w:bCs/>
                <w:color w:val="000000"/>
                <w:sz w:val="22"/>
                <w:szCs w:val="22"/>
              </w:rPr>
              <w:t>500</w:t>
            </w:r>
          </w:p>
        </w:tc>
        <w:tc>
          <w:tcPr>
            <w:tcW w:w="1571" w:type="dxa"/>
            <w:tcBorders>
              <w:top w:val="single" w:sz="8" w:space="0" w:color="auto"/>
              <w:left w:val="single" w:sz="8" w:space="0" w:color="auto"/>
              <w:bottom w:val="single" w:sz="8" w:space="0" w:color="auto"/>
              <w:right w:val="nil"/>
            </w:tcBorders>
            <w:shd w:val="clear" w:color="000000" w:fill="D9D9D9"/>
            <w:noWrap/>
            <w:vAlign w:val="center"/>
            <w:hideMark/>
          </w:tcPr>
          <w:p w14:paraId="2567671E" w14:textId="2B558A69" w:rsidR="00F52120" w:rsidRPr="00F52120" w:rsidRDefault="00396E96" w:rsidP="00396E96">
            <w:pPr>
              <w:widowControl/>
              <w:autoSpaceDE/>
              <w:autoSpaceDN/>
              <w:adjustRightInd/>
              <w:jc w:val="right"/>
              <w:rPr>
                <w:b/>
                <w:bCs/>
                <w:color w:val="000000"/>
                <w:sz w:val="22"/>
                <w:szCs w:val="22"/>
              </w:rPr>
            </w:pPr>
            <w:r>
              <w:rPr>
                <w:b/>
                <w:bCs/>
                <w:color w:val="000000"/>
                <w:sz w:val="22"/>
                <w:szCs w:val="22"/>
              </w:rPr>
              <w:t>13,980</w:t>
            </w:r>
            <w:r w:rsidR="00605736">
              <w:rPr>
                <w:b/>
                <w:bCs/>
                <w:color w:val="000000"/>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AEBB8A7" w14:textId="77777777" w:rsidR="00F52120" w:rsidRPr="00F52120" w:rsidRDefault="00F52120" w:rsidP="0080406F">
            <w:pPr>
              <w:widowControl/>
              <w:autoSpaceDE/>
              <w:autoSpaceDN/>
              <w:adjustRightInd/>
              <w:jc w:val="right"/>
              <w:rPr>
                <w:b/>
                <w:bCs/>
                <w:color w:val="000000"/>
                <w:sz w:val="22"/>
                <w:szCs w:val="22"/>
              </w:rPr>
            </w:pPr>
            <w:r w:rsidRPr="00F52120">
              <w:rPr>
                <w:b/>
                <w:bCs/>
                <w:color w:val="000000"/>
                <w:sz w:val="22"/>
                <w:szCs w:val="22"/>
              </w:rPr>
              <w:t>$22.</w:t>
            </w:r>
            <w:r w:rsidR="0080406F">
              <w:rPr>
                <w:b/>
                <w:bCs/>
                <w:color w:val="000000"/>
                <w:sz w:val="22"/>
                <w:szCs w:val="22"/>
              </w:rPr>
              <w:t>71</w:t>
            </w:r>
            <w:r w:rsidRPr="00F52120">
              <w:rPr>
                <w:b/>
                <w:bCs/>
                <w:color w:val="000000"/>
                <w:sz w:val="22"/>
                <w:szCs w:val="22"/>
              </w:rPr>
              <w:t xml:space="preserve"> </w:t>
            </w:r>
          </w:p>
        </w:tc>
        <w:tc>
          <w:tcPr>
            <w:tcW w:w="1890" w:type="dxa"/>
            <w:tcBorders>
              <w:top w:val="single" w:sz="8" w:space="0" w:color="auto"/>
              <w:left w:val="nil"/>
              <w:bottom w:val="single" w:sz="8" w:space="0" w:color="auto"/>
              <w:right w:val="single" w:sz="4" w:space="0" w:color="auto"/>
            </w:tcBorders>
            <w:shd w:val="clear" w:color="000000" w:fill="D9D9D9"/>
            <w:vAlign w:val="center"/>
            <w:hideMark/>
          </w:tcPr>
          <w:p w14:paraId="10178E7A" w14:textId="512F04B9" w:rsidR="00F52120" w:rsidRPr="00F52120" w:rsidRDefault="00F52120" w:rsidP="00396E96">
            <w:pPr>
              <w:widowControl/>
              <w:autoSpaceDE/>
              <w:autoSpaceDN/>
              <w:adjustRightInd/>
              <w:jc w:val="right"/>
              <w:rPr>
                <w:b/>
                <w:bCs/>
                <w:color w:val="000000"/>
                <w:sz w:val="22"/>
                <w:szCs w:val="22"/>
              </w:rPr>
            </w:pPr>
            <w:r w:rsidRPr="00F52120">
              <w:rPr>
                <w:b/>
                <w:bCs/>
                <w:color w:val="000000"/>
                <w:sz w:val="22"/>
                <w:szCs w:val="22"/>
              </w:rPr>
              <w:t>$</w:t>
            </w:r>
            <w:r w:rsidR="00396E96">
              <w:rPr>
                <w:b/>
                <w:bCs/>
                <w:color w:val="000000"/>
                <w:sz w:val="22"/>
                <w:szCs w:val="22"/>
              </w:rPr>
              <w:t>317,486</w:t>
            </w:r>
            <w:r w:rsidR="00605736">
              <w:rPr>
                <w:b/>
                <w:bCs/>
                <w:color w:val="000000"/>
                <w:sz w:val="22"/>
                <w:szCs w:val="22"/>
              </w:rPr>
              <w:t xml:space="preserve"> </w:t>
            </w:r>
            <w:r w:rsidRPr="00F52120">
              <w:rPr>
                <w:b/>
                <w:bCs/>
                <w:color w:val="000000"/>
                <w:sz w:val="22"/>
                <w:szCs w:val="22"/>
              </w:rPr>
              <w:t xml:space="preserve"> </w:t>
            </w:r>
          </w:p>
        </w:tc>
      </w:tr>
      <w:tr w:rsidR="00573B48" w:rsidRPr="00F52120" w14:paraId="4BAB8572" w14:textId="77777777" w:rsidTr="00886A82">
        <w:trPr>
          <w:trHeight w:val="716"/>
        </w:trPr>
        <w:tc>
          <w:tcPr>
            <w:tcW w:w="2237" w:type="dxa"/>
            <w:tcBorders>
              <w:top w:val="single" w:sz="8" w:space="0" w:color="auto"/>
              <w:left w:val="single" w:sz="4" w:space="0" w:color="auto"/>
              <w:bottom w:val="single" w:sz="4" w:space="0" w:color="auto"/>
              <w:right w:val="single" w:sz="8" w:space="0" w:color="000000"/>
            </w:tcBorders>
            <w:shd w:val="clear" w:color="000000" w:fill="D9D9D9"/>
            <w:noWrap/>
            <w:vAlign w:val="center"/>
            <w:hideMark/>
          </w:tcPr>
          <w:p w14:paraId="065C5849" w14:textId="77777777" w:rsidR="00573B48" w:rsidRPr="00F52120" w:rsidRDefault="00573B48" w:rsidP="00F52120">
            <w:pPr>
              <w:widowControl/>
              <w:autoSpaceDE/>
              <w:autoSpaceDN/>
              <w:adjustRightInd/>
              <w:rPr>
                <w:b/>
                <w:bCs/>
                <w:color w:val="000000"/>
                <w:sz w:val="22"/>
                <w:szCs w:val="22"/>
              </w:rPr>
            </w:pPr>
            <w:r w:rsidRPr="00F52120">
              <w:rPr>
                <w:b/>
                <w:bCs/>
                <w:color w:val="000000"/>
                <w:sz w:val="22"/>
                <w:szCs w:val="22"/>
              </w:rPr>
              <w:t>Year 2 Surveys:</w:t>
            </w:r>
          </w:p>
          <w:p w14:paraId="1FB3A464" w14:textId="77777777" w:rsidR="00573B48" w:rsidRPr="00F52120" w:rsidRDefault="00573B48" w:rsidP="00F52120">
            <w:pPr>
              <w:rPr>
                <w:b/>
                <w:bCs/>
                <w:color w:val="000000"/>
                <w:sz w:val="22"/>
                <w:szCs w:val="22"/>
              </w:rPr>
            </w:pPr>
            <w:r w:rsidRPr="00F52120">
              <w:rPr>
                <w:b/>
                <w:bCs/>
                <w:color w:val="000000"/>
                <w:sz w:val="22"/>
                <w:szCs w:val="22"/>
              </w:rPr>
              <w:t>APS and AIS2</w:t>
            </w:r>
          </w:p>
        </w:tc>
        <w:tc>
          <w:tcPr>
            <w:tcW w:w="1507"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49B648D3" w14:textId="77777777" w:rsidR="00573B48" w:rsidRPr="00F52120" w:rsidRDefault="00573B48" w:rsidP="00F52120">
            <w:pPr>
              <w:widowControl/>
              <w:autoSpaceDE/>
              <w:autoSpaceDN/>
              <w:adjustRightInd/>
              <w:rPr>
                <w:b/>
                <w:bCs/>
                <w:color w:val="000000"/>
                <w:sz w:val="22"/>
                <w:szCs w:val="22"/>
              </w:rPr>
            </w:pPr>
            <w:r w:rsidRPr="00F52120">
              <w:rPr>
                <w:b/>
                <w:bCs/>
                <w:color w:val="000000"/>
                <w:sz w:val="22"/>
                <w:szCs w:val="22"/>
              </w:rPr>
              <w:t>Subtotal</w:t>
            </w:r>
          </w:p>
        </w:tc>
        <w:tc>
          <w:tcPr>
            <w:tcW w:w="1422"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71149ED7" w14:textId="77777777" w:rsidR="00573B48" w:rsidRPr="00F52120" w:rsidRDefault="00573B48" w:rsidP="00F52120">
            <w:pPr>
              <w:widowControl/>
              <w:autoSpaceDE/>
              <w:autoSpaceDN/>
              <w:adjustRightInd/>
              <w:jc w:val="right"/>
              <w:rPr>
                <w:b/>
                <w:bCs/>
                <w:color w:val="000000"/>
                <w:sz w:val="22"/>
                <w:szCs w:val="22"/>
              </w:rPr>
            </w:pPr>
            <w:r w:rsidRPr="00F52120">
              <w:rPr>
                <w:b/>
                <w:bCs/>
                <w:color w:val="000000"/>
                <w:sz w:val="22"/>
                <w:szCs w:val="22"/>
              </w:rPr>
              <w:t>4</w:t>
            </w:r>
            <w:r>
              <w:rPr>
                <w:b/>
                <w:bCs/>
                <w:color w:val="000000"/>
                <w:sz w:val="22"/>
                <w:szCs w:val="22"/>
              </w:rPr>
              <w:t>,</w:t>
            </w:r>
            <w:r w:rsidRPr="00F52120">
              <w:rPr>
                <w:b/>
                <w:bCs/>
                <w:color w:val="000000"/>
                <w:sz w:val="22"/>
                <w:szCs w:val="22"/>
              </w:rPr>
              <w:t>075</w:t>
            </w:r>
          </w:p>
        </w:tc>
        <w:tc>
          <w:tcPr>
            <w:tcW w:w="1571"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F1E964A" w14:textId="71F18132" w:rsidR="00573B48" w:rsidRPr="00F52120" w:rsidRDefault="00396E96" w:rsidP="00396E96">
            <w:pPr>
              <w:widowControl/>
              <w:autoSpaceDE/>
              <w:autoSpaceDN/>
              <w:adjustRightInd/>
              <w:jc w:val="right"/>
              <w:rPr>
                <w:b/>
                <w:bCs/>
                <w:color w:val="000000"/>
                <w:sz w:val="22"/>
                <w:szCs w:val="22"/>
              </w:rPr>
            </w:pPr>
            <w:r>
              <w:rPr>
                <w:b/>
                <w:bCs/>
                <w:color w:val="000000"/>
                <w:sz w:val="22"/>
                <w:szCs w:val="22"/>
              </w:rPr>
              <w:t>13,140</w:t>
            </w:r>
            <w:r w:rsidR="00605736">
              <w:rPr>
                <w:b/>
                <w:bCs/>
                <w:color w:val="000000"/>
                <w:sz w:val="22"/>
                <w:szCs w:val="22"/>
              </w:rPr>
              <w:t xml:space="preserve"> </w:t>
            </w:r>
          </w:p>
        </w:tc>
        <w:tc>
          <w:tcPr>
            <w:tcW w:w="10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13787C36" w14:textId="77777777" w:rsidR="00573B48" w:rsidRPr="00F52120" w:rsidRDefault="00573B48" w:rsidP="0080406F">
            <w:pPr>
              <w:widowControl/>
              <w:autoSpaceDE/>
              <w:autoSpaceDN/>
              <w:adjustRightInd/>
              <w:jc w:val="right"/>
              <w:rPr>
                <w:b/>
                <w:bCs/>
                <w:color w:val="000000"/>
                <w:sz w:val="22"/>
                <w:szCs w:val="22"/>
              </w:rPr>
            </w:pPr>
            <w:r w:rsidRPr="00F52120">
              <w:rPr>
                <w:b/>
                <w:bCs/>
                <w:color w:val="000000"/>
                <w:sz w:val="22"/>
                <w:szCs w:val="22"/>
              </w:rPr>
              <w:t>$22.</w:t>
            </w:r>
            <w:r w:rsidR="0080406F">
              <w:rPr>
                <w:b/>
                <w:bCs/>
                <w:color w:val="000000"/>
                <w:sz w:val="22"/>
                <w:szCs w:val="22"/>
              </w:rPr>
              <w:t>71</w:t>
            </w:r>
            <w:r w:rsidRPr="00F52120">
              <w:rPr>
                <w:b/>
                <w:bCs/>
                <w:color w:val="000000"/>
                <w:sz w:val="22"/>
                <w:szCs w:val="22"/>
              </w:rPr>
              <w:t xml:space="preserve"> </w:t>
            </w:r>
          </w:p>
        </w:tc>
        <w:tc>
          <w:tcPr>
            <w:tcW w:w="189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041E99A" w14:textId="58F6579E" w:rsidR="00573B48" w:rsidRPr="00F52120" w:rsidRDefault="00573B48" w:rsidP="00396E96">
            <w:pPr>
              <w:widowControl/>
              <w:autoSpaceDE/>
              <w:autoSpaceDN/>
              <w:adjustRightInd/>
              <w:jc w:val="right"/>
              <w:rPr>
                <w:b/>
                <w:bCs/>
                <w:color w:val="000000"/>
                <w:sz w:val="22"/>
                <w:szCs w:val="22"/>
              </w:rPr>
            </w:pPr>
            <w:r w:rsidRPr="00F52120">
              <w:rPr>
                <w:b/>
                <w:bCs/>
                <w:color w:val="000000"/>
                <w:sz w:val="22"/>
                <w:szCs w:val="22"/>
              </w:rPr>
              <w:t>$</w:t>
            </w:r>
            <w:r w:rsidR="00396E96">
              <w:rPr>
                <w:b/>
                <w:bCs/>
                <w:color w:val="000000"/>
                <w:sz w:val="22"/>
                <w:szCs w:val="22"/>
              </w:rPr>
              <w:t>298,410</w:t>
            </w:r>
            <w:r w:rsidR="00605736">
              <w:rPr>
                <w:b/>
                <w:bCs/>
                <w:color w:val="000000"/>
                <w:sz w:val="22"/>
                <w:szCs w:val="22"/>
              </w:rPr>
              <w:t xml:space="preserve"> </w:t>
            </w:r>
            <w:r w:rsidRPr="00F52120">
              <w:rPr>
                <w:b/>
                <w:bCs/>
                <w:color w:val="000000"/>
                <w:sz w:val="22"/>
                <w:szCs w:val="22"/>
              </w:rPr>
              <w:t xml:space="preserve"> </w:t>
            </w:r>
          </w:p>
        </w:tc>
      </w:tr>
      <w:tr w:rsidR="00F52120" w:rsidRPr="00F52120" w14:paraId="542F6C79" w14:textId="77777777" w:rsidTr="00886A82">
        <w:trPr>
          <w:trHeight w:val="312"/>
        </w:trPr>
        <w:tc>
          <w:tcPr>
            <w:tcW w:w="22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E2B51B7" w14:textId="77777777" w:rsidR="00F52120" w:rsidRPr="00F52120" w:rsidRDefault="00F52120" w:rsidP="00F52120">
            <w:pPr>
              <w:widowControl/>
              <w:autoSpaceDE/>
              <w:autoSpaceDN/>
              <w:adjustRightInd/>
              <w:rPr>
                <w:b/>
                <w:bCs/>
                <w:color w:val="000000"/>
                <w:sz w:val="22"/>
                <w:szCs w:val="22"/>
              </w:rPr>
            </w:pPr>
            <w:r w:rsidRPr="00F52120">
              <w:rPr>
                <w:b/>
                <w:bCs/>
                <w:color w:val="000000"/>
                <w:sz w:val="22"/>
                <w:szCs w:val="22"/>
              </w:rPr>
              <w:t>All Data Collection Activities</w:t>
            </w:r>
          </w:p>
        </w:tc>
        <w:tc>
          <w:tcPr>
            <w:tcW w:w="1507" w:type="dxa"/>
            <w:tcBorders>
              <w:top w:val="single" w:sz="4" w:space="0" w:color="auto"/>
              <w:left w:val="nil"/>
              <w:bottom w:val="single" w:sz="4" w:space="0" w:color="auto"/>
              <w:right w:val="single" w:sz="8" w:space="0" w:color="auto"/>
            </w:tcBorders>
            <w:shd w:val="clear" w:color="auto" w:fill="auto"/>
            <w:vAlign w:val="center"/>
            <w:hideMark/>
          </w:tcPr>
          <w:p w14:paraId="2EEA9127" w14:textId="77777777" w:rsidR="00F52120" w:rsidRPr="00F52120" w:rsidRDefault="00F52120" w:rsidP="00F52120">
            <w:pPr>
              <w:widowControl/>
              <w:autoSpaceDE/>
              <w:autoSpaceDN/>
              <w:adjustRightInd/>
              <w:rPr>
                <w:b/>
                <w:bCs/>
                <w:color w:val="000000"/>
                <w:sz w:val="22"/>
                <w:szCs w:val="22"/>
              </w:rPr>
            </w:pPr>
            <w:r w:rsidRPr="00F52120">
              <w:rPr>
                <w:b/>
                <w:bCs/>
                <w:color w:val="000000"/>
                <w:sz w:val="22"/>
                <w:szCs w:val="22"/>
              </w:rPr>
              <w:t>Total</w:t>
            </w:r>
          </w:p>
        </w:tc>
        <w:tc>
          <w:tcPr>
            <w:tcW w:w="1422" w:type="dxa"/>
            <w:tcBorders>
              <w:top w:val="single" w:sz="4" w:space="0" w:color="auto"/>
              <w:left w:val="nil"/>
              <w:bottom w:val="single" w:sz="4" w:space="0" w:color="auto"/>
              <w:right w:val="nil"/>
            </w:tcBorders>
            <w:shd w:val="clear" w:color="auto" w:fill="auto"/>
            <w:noWrap/>
            <w:vAlign w:val="center"/>
            <w:hideMark/>
          </w:tcPr>
          <w:p w14:paraId="77CF5D6E" w14:textId="40CF7BC1" w:rsidR="00F52120" w:rsidRPr="00F52120" w:rsidRDefault="007C476C" w:rsidP="00F52120">
            <w:pPr>
              <w:widowControl/>
              <w:autoSpaceDE/>
              <w:autoSpaceDN/>
              <w:adjustRightInd/>
              <w:jc w:val="right"/>
              <w:rPr>
                <w:b/>
                <w:bCs/>
                <w:color w:val="000000"/>
                <w:sz w:val="22"/>
                <w:szCs w:val="22"/>
              </w:rPr>
            </w:pPr>
            <w:r>
              <w:rPr>
                <w:b/>
                <w:bCs/>
                <w:color w:val="000000"/>
                <w:sz w:val="22"/>
                <w:szCs w:val="22"/>
              </w:rPr>
              <w:t>10,3</w:t>
            </w:r>
            <w:r w:rsidR="00F52120" w:rsidRPr="00F52120">
              <w:rPr>
                <w:b/>
                <w:bCs/>
                <w:color w:val="000000"/>
                <w:sz w:val="22"/>
                <w:szCs w:val="22"/>
              </w:rPr>
              <w:t>90</w:t>
            </w:r>
          </w:p>
        </w:tc>
        <w:tc>
          <w:tcPr>
            <w:tcW w:w="1571" w:type="dxa"/>
            <w:tcBorders>
              <w:top w:val="single" w:sz="4" w:space="0" w:color="auto"/>
              <w:left w:val="single" w:sz="8" w:space="0" w:color="auto"/>
              <w:bottom w:val="single" w:sz="4" w:space="0" w:color="auto"/>
              <w:right w:val="nil"/>
            </w:tcBorders>
            <w:shd w:val="clear" w:color="auto" w:fill="auto"/>
            <w:noWrap/>
            <w:vAlign w:val="center"/>
            <w:hideMark/>
          </w:tcPr>
          <w:p w14:paraId="6940441D" w14:textId="02D9F832" w:rsidR="00F52120" w:rsidRPr="00F52120" w:rsidRDefault="00396E96" w:rsidP="00396E96">
            <w:pPr>
              <w:widowControl/>
              <w:autoSpaceDE/>
              <w:autoSpaceDN/>
              <w:adjustRightInd/>
              <w:jc w:val="right"/>
              <w:rPr>
                <w:b/>
                <w:bCs/>
                <w:color w:val="000000"/>
                <w:sz w:val="22"/>
                <w:szCs w:val="22"/>
              </w:rPr>
            </w:pPr>
            <w:r>
              <w:rPr>
                <w:b/>
                <w:bCs/>
                <w:color w:val="000000"/>
                <w:sz w:val="22"/>
                <w:szCs w:val="22"/>
              </w:rPr>
              <w:t>31,586</w:t>
            </w:r>
            <w:r w:rsidR="00605736">
              <w:rPr>
                <w:b/>
                <w:bCs/>
                <w:color w:val="000000"/>
                <w:sz w:val="22"/>
                <w:szCs w:val="22"/>
              </w:rPr>
              <w:t xml:space="preserve"> </w:t>
            </w:r>
          </w:p>
        </w:tc>
        <w:tc>
          <w:tcPr>
            <w:tcW w:w="108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81EFD0" w14:textId="77777777" w:rsidR="00F52120" w:rsidRPr="00F52120" w:rsidRDefault="00F52120" w:rsidP="0080406F">
            <w:pPr>
              <w:widowControl/>
              <w:autoSpaceDE/>
              <w:autoSpaceDN/>
              <w:adjustRightInd/>
              <w:jc w:val="right"/>
              <w:rPr>
                <w:b/>
                <w:bCs/>
                <w:color w:val="000000"/>
                <w:sz w:val="22"/>
                <w:szCs w:val="22"/>
              </w:rPr>
            </w:pPr>
            <w:r w:rsidRPr="00F52120">
              <w:rPr>
                <w:b/>
                <w:bCs/>
                <w:color w:val="000000"/>
                <w:sz w:val="22"/>
                <w:szCs w:val="22"/>
              </w:rPr>
              <w:t> $22.</w:t>
            </w:r>
            <w:r w:rsidR="0080406F">
              <w:rPr>
                <w:b/>
                <w:bCs/>
                <w:color w:val="000000"/>
                <w:sz w:val="22"/>
                <w:szCs w:val="22"/>
              </w:rPr>
              <w:t>71</w:t>
            </w:r>
          </w:p>
        </w:tc>
        <w:tc>
          <w:tcPr>
            <w:tcW w:w="1890" w:type="dxa"/>
            <w:tcBorders>
              <w:top w:val="single" w:sz="4" w:space="0" w:color="auto"/>
              <w:left w:val="nil"/>
              <w:bottom w:val="single" w:sz="4" w:space="0" w:color="auto"/>
              <w:right w:val="single" w:sz="8" w:space="0" w:color="auto"/>
            </w:tcBorders>
            <w:shd w:val="clear" w:color="auto" w:fill="auto"/>
            <w:vAlign w:val="center"/>
            <w:hideMark/>
          </w:tcPr>
          <w:p w14:paraId="50D9F240" w14:textId="244D0F9D" w:rsidR="00F52120" w:rsidRPr="00F52120" w:rsidRDefault="00F52120" w:rsidP="00396E96">
            <w:pPr>
              <w:widowControl/>
              <w:autoSpaceDE/>
              <w:autoSpaceDN/>
              <w:adjustRightInd/>
              <w:jc w:val="right"/>
              <w:rPr>
                <w:b/>
                <w:bCs/>
                <w:color w:val="000000"/>
                <w:sz w:val="22"/>
                <w:szCs w:val="22"/>
              </w:rPr>
            </w:pPr>
            <w:r w:rsidRPr="00F52120">
              <w:rPr>
                <w:b/>
                <w:bCs/>
                <w:color w:val="000000"/>
                <w:sz w:val="22"/>
                <w:szCs w:val="22"/>
              </w:rPr>
              <w:t>$</w:t>
            </w:r>
            <w:r w:rsidR="00396E96">
              <w:rPr>
                <w:b/>
                <w:bCs/>
                <w:color w:val="000000"/>
                <w:sz w:val="22"/>
                <w:szCs w:val="22"/>
              </w:rPr>
              <w:t>717,319</w:t>
            </w:r>
            <w:r w:rsidR="00605736">
              <w:rPr>
                <w:b/>
                <w:bCs/>
                <w:color w:val="000000"/>
                <w:sz w:val="22"/>
                <w:szCs w:val="22"/>
              </w:rPr>
              <w:t xml:space="preserve"> </w:t>
            </w:r>
            <w:r w:rsidRPr="00F52120">
              <w:rPr>
                <w:b/>
                <w:bCs/>
                <w:color w:val="000000"/>
                <w:sz w:val="22"/>
                <w:szCs w:val="22"/>
              </w:rPr>
              <w:t xml:space="preserve"> </w:t>
            </w:r>
          </w:p>
        </w:tc>
      </w:tr>
      <w:tr w:rsidR="00886A82" w:rsidRPr="00F52120" w14:paraId="28E4C24B" w14:textId="77777777" w:rsidTr="00886A82">
        <w:trPr>
          <w:trHeight w:val="312"/>
        </w:trPr>
        <w:tc>
          <w:tcPr>
            <w:tcW w:w="2237" w:type="dxa"/>
            <w:tcBorders>
              <w:top w:val="single" w:sz="4" w:space="0" w:color="auto"/>
              <w:left w:val="single" w:sz="8" w:space="0" w:color="auto"/>
              <w:bottom w:val="single" w:sz="8" w:space="0" w:color="auto"/>
              <w:right w:val="single" w:sz="8" w:space="0" w:color="000000"/>
            </w:tcBorders>
            <w:shd w:val="clear" w:color="auto" w:fill="auto"/>
            <w:noWrap/>
            <w:vAlign w:val="center"/>
          </w:tcPr>
          <w:p w14:paraId="53BF2366" w14:textId="6AFE798E" w:rsidR="00886A82" w:rsidRPr="00F52120" w:rsidRDefault="00886A82" w:rsidP="00F52120">
            <w:pPr>
              <w:widowControl/>
              <w:autoSpaceDE/>
              <w:autoSpaceDN/>
              <w:adjustRightInd/>
              <w:rPr>
                <w:b/>
                <w:bCs/>
                <w:color w:val="000000"/>
                <w:sz w:val="22"/>
                <w:szCs w:val="22"/>
              </w:rPr>
            </w:pPr>
            <w:r>
              <w:rPr>
                <w:b/>
                <w:bCs/>
                <w:color w:val="000000"/>
                <w:sz w:val="22"/>
                <w:szCs w:val="22"/>
              </w:rPr>
              <w:t>All Data Collection Activities</w:t>
            </w:r>
          </w:p>
        </w:tc>
        <w:tc>
          <w:tcPr>
            <w:tcW w:w="1507" w:type="dxa"/>
            <w:tcBorders>
              <w:top w:val="single" w:sz="4" w:space="0" w:color="auto"/>
              <w:left w:val="nil"/>
              <w:bottom w:val="single" w:sz="8" w:space="0" w:color="auto"/>
              <w:right w:val="single" w:sz="8" w:space="0" w:color="auto"/>
            </w:tcBorders>
            <w:shd w:val="clear" w:color="auto" w:fill="auto"/>
            <w:vAlign w:val="center"/>
          </w:tcPr>
          <w:p w14:paraId="66BDE67B" w14:textId="3F8A3346" w:rsidR="00886A82" w:rsidRPr="00F52120" w:rsidRDefault="00886A82" w:rsidP="00F52120">
            <w:pPr>
              <w:widowControl/>
              <w:autoSpaceDE/>
              <w:autoSpaceDN/>
              <w:adjustRightInd/>
              <w:rPr>
                <w:b/>
                <w:bCs/>
                <w:color w:val="000000"/>
                <w:sz w:val="22"/>
                <w:szCs w:val="22"/>
              </w:rPr>
            </w:pPr>
            <w:r>
              <w:rPr>
                <w:b/>
                <w:bCs/>
                <w:color w:val="000000"/>
                <w:sz w:val="22"/>
                <w:szCs w:val="22"/>
              </w:rPr>
              <w:t>Annualized (for Three Year Period)</w:t>
            </w:r>
          </w:p>
        </w:tc>
        <w:tc>
          <w:tcPr>
            <w:tcW w:w="1422" w:type="dxa"/>
            <w:tcBorders>
              <w:top w:val="single" w:sz="4" w:space="0" w:color="auto"/>
              <w:left w:val="nil"/>
              <w:bottom w:val="single" w:sz="8" w:space="0" w:color="auto"/>
              <w:right w:val="nil"/>
            </w:tcBorders>
            <w:shd w:val="clear" w:color="auto" w:fill="auto"/>
            <w:noWrap/>
            <w:vAlign w:val="center"/>
          </w:tcPr>
          <w:p w14:paraId="1E3FE224" w14:textId="5A346C4C" w:rsidR="00886A82" w:rsidRPr="00F52120" w:rsidRDefault="007C476C" w:rsidP="00F52120">
            <w:pPr>
              <w:widowControl/>
              <w:autoSpaceDE/>
              <w:autoSpaceDN/>
              <w:adjustRightInd/>
              <w:jc w:val="right"/>
              <w:rPr>
                <w:b/>
                <w:bCs/>
                <w:color w:val="000000"/>
                <w:sz w:val="22"/>
                <w:szCs w:val="22"/>
              </w:rPr>
            </w:pPr>
            <w:r>
              <w:rPr>
                <w:b/>
                <w:bCs/>
                <w:color w:val="000000"/>
                <w:sz w:val="22"/>
                <w:szCs w:val="22"/>
              </w:rPr>
              <w:t>3,4</w:t>
            </w:r>
            <w:r w:rsidR="00886A82">
              <w:rPr>
                <w:b/>
                <w:bCs/>
                <w:color w:val="000000"/>
                <w:sz w:val="22"/>
                <w:szCs w:val="22"/>
              </w:rPr>
              <w:t>63</w:t>
            </w:r>
          </w:p>
        </w:tc>
        <w:tc>
          <w:tcPr>
            <w:tcW w:w="1571" w:type="dxa"/>
            <w:tcBorders>
              <w:top w:val="single" w:sz="4" w:space="0" w:color="auto"/>
              <w:left w:val="single" w:sz="8" w:space="0" w:color="auto"/>
              <w:bottom w:val="single" w:sz="8" w:space="0" w:color="auto"/>
              <w:right w:val="nil"/>
            </w:tcBorders>
            <w:shd w:val="clear" w:color="auto" w:fill="auto"/>
            <w:noWrap/>
            <w:vAlign w:val="center"/>
          </w:tcPr>
          <w:p w14:paraId="13D3304F" w14:textId="6006E15C" w:rsidR="00886A82" w:rsidRDefault="00886A82" w:rsidP="00396E96">
            <w:pPr>
              <w:widowControl/>
              <w:autoSpaceDE/>
              <w:autoSpaceDN/>
              <w:adjustRightInd/>
              <w:jc w:val="right"/>
              <w:rPr>
                <w:b/>
                <w:bCs/>
                <w:color w:val="000000"/>
                <w:sz w:val="22"/>
                <w:szCs w:val="22"/>
              </w:rPr>
            </w:pPr>
            <w:r>
              <w:rPr>
                <w:b/>
                <w:bCs/>
                <w:color w:val="000000"/>
                <w:sz w:val="22"/>
                <w:szCs w:val="22"/>
              </w:rPr>
              <w:t>10,529</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14:paraId="27F10724" w14:textId="030071CC" w:rsidR="00886A82" w:rsidRPr="00F52120" w:rsidRDefault="00886A82" w:rsidP="0080406F">
            <w:pPr>
              <w:widowControl/>
              <w:autoSpaceDE/>
              <w:autoSpaceDN/>
              <w:adjustRightInd/>
              <w:jc w:val="right"/>
              <w:rPr>
                <w:b/>
                <w:bCs/>
                <w:color w:val="000000"/>
                <w:sz w:val="22"/>
                <w:szCs w:val="22"/>
              </w:rPr>
            </w:pPr>
            <w:r>
              <w:rPr>
                <w:b/>
                <w:bCs/>
                <w:color w:val="000000"/>
                <w:sz w:val="22"/>
                <w:szCs w:val="22"/>
              </w:rPr>
              <w:t>22.71</w:t>
            </w:r>
          </w:p>
        </w:tc>
        <w:tc>
          <w:tcPr>
            <w:tcW w:w="1890" w:type="dxa"/>
            <w:tcBorders>
              <w:top w:val="single" w:sz="4" w:space="0" w:color="auto"/>
              <w:left w:val="nil"/>
              <w:bottom w:val="single" w:sz="8" w:space="0" w:color="auto"/>
              <w:right w:val="single" w:sz="8" w:space="0" w:color="auto"/>
            </w:tcBorders>
            <w:shd w:val="clear" w:color="auto" w:fill="auto"/>
            <w:vAlign w:val="center"/>
          </w:tcPr>
          <w:p w14:paraId="64ABABA5" w14:textId="431A5DC0" w:rsidR="00886A82" w:rsidRPr="00F52120" w:rsidRDefault="00886A82" w:rsidP="00396E96">
            <w:pPr>
              <w:widowControl/>
              <w:autoSpaceDE/>
              <w:autoSpaceDN/>
              <w:adjustRightInd/>
              <w:jc w:val="right"/>
              <w:rPr>
                <w:b/>
                <w:bCs/>
                <w:color w:val="000000"/>
                <w:sz w:val="22"/>
                <w:szCs w:val="22"/>
              </w:rPr>
            </w:pPr>
            <w:r>
              <w:rPr>
                <w:b/>
                <w:bCs/>
                <w:color w:val="000000"/>
                <w:sz w:val="22"/>
                <w:szCs w:val="22"/>
              </w:rPr>
              <w:t>$239,106</w:t>
            </w:r>
          </w:p>
        </w:tc>
      </w:tr>
    </w:tbl>
    <w:p w14:paraId="7542752C" w14:textId="1B85E957" w:rsidR="001F1C6D" w:rsidRDefault="00886A82" w:rsidP="00FF1C6E">
      <w:pPr>
        <w:pStyle w:val="Heading2"/>
        <w:rPr>
          <w:b w:val="0"/>
          <w:szCs w:val="24"/>
        </w:rPr>
      </w:pPr>
      <w:bookmarkStart w:id="21" w:name="_Toc479522854"/>
      <w:bookmarkEnd w:id="20"/>
      <w:r w:rsidRPr="0089712E">
        <w:rPr>
          <w:b w:val="0"/>
          <w:szCs w:val="24"/>
        </w:rPr>
        <w:t>Because each of the information collections will take place during one year of the three year request period, the burden values entered into reginfo.gov for this information collection request were divided by three.  Therefore, for reginfo.gov purposes, the Pre-Test/Pre-Survey information collection was entered as 3,463 respondents and 1,489 hours; the Year 1 Survey information collection was entered as 1,500 respondents and 4,660 hours; and the Year 2 Survey information collection was entered as 1,358 respondents and 4,380 hours.</w:t>
      </w:r>
      <w:bookmarkEnd w:id="21"/>
    </w:p>
    <w:p w14:paraId="7B556560" w14:textId="77777777" w:rsidR="00886A82" w:rsidRPr="00886A82" w:rsidRDefault="00886A82" w:rsidP="0089712E"/>
    <w:p w14:paraId="3E3C0391" w14:textId="77777777" w:rsidR="00855ABA" w:rsidRPr="00D82025" w:rsidRDefault="000839A6" w:rsidP="00FF1C6E">
      <w:pPr>
        <w:pStyle w:val="Heading2"/>
        <w:rPr>
          <w:szCs w:val="24"/>
        </w:rPr>
      </w:pPr>
      <w:bookmarkStart w:id="22" w:name="_Toc479522855"/>
      <w:r w:rsidRPr="00D07695">
        <w:rPr>
          <w:szCs w:val="24"/>
        </w:rPr>
        <w:t xml:space="preserve">A.13. </w:t>
      </w:r>
      <w:r w:rsidR="00855ABA" w:rsidRPr="00D07695">
        <w:rPr>
          <w:szCs w:val="24"/>
        </w:rPr>
        <w:t xml:space="preserve">Estimates of other Total Annual Cost Burden to Respondents or </w:t>
      </w:r>
      <w:proofErr w:type="spellStart"/>
      <w:r w:rsidR="00855ABA" w:rsidRPr="00D07695">
        <w:rPr>
          <w:szCs w:val="24"/>
        </w:rPr>
        <w:t>Recordkeepers</w:t>
      </w:r>
      <w:proofErr w:type="spellEnd"/>
      <w:r w:rsidR="00855ABA" w:rsidRPr="00D07695">
        <w:rPr>
          <w:szCs w:val="24"/>
        </w:rPr>
        <w:t>/Capital Costs</w:t>
      </w:r>
      <w:bookmarkEnd w:id="22"/>
    </w:p>
    <w:p w14:paraId="1F61AA18" w14:textId="77777777" w:rsidR="002E4554" w:rsidRPr="00D07695" w:rsidRDefault="002E4554" w:rsidP="00FF1C6E">
      <w:pPr>
        <w:rPr>
          <w:sz w:val="24"/>
        </w:rPr>
      </w:pPr>
    </w:p>
    <w:p w14:paraId="7166CF97" w14:textId="47376C22" w:rsidR="00200B7B" w:rsidRDefault="00855ABA" w:rsidP="00EA5917">
      <w:pPr>
        <w:rPr>
          <w:sz w:val="24"/>
        </w:rPr>
      </w:pPr>
      <w:r w:rsidRPr="00D07695">
        <w:rPr>
          <w:sz w:val="24"/>
        </w:rPr>
        <w:t>Data collection for this study will not result in any additional capital, start-up, maintenance, or purchase</w:t>
      </w:r>
      <w:r w:rsidR="006E16BB" w:rsidRPr="00D07695">
        <w:rPr>
          <w:sz w:val="24"/>
        </w:rPr>
        <w:t xml:space="preserve"> costs to respondents or </w:t>
      </w:r>
      <w:proofErr w:type="spellStart"/>
      <w:r w:rsidR="006E16BB" w:rsidRPr="00D07695">
        <w:rPr>
          <w:sz w:val="24"/>
        </w:rPr>
        <w:t>record</w:t>
      </w:r>
      <w:r w:rsidR="00EA5917">
        <w:rPr>
          <w:sz w:val="24"/>
        </w:rPr>
        <w:t>keepers</w:t>
      </w:r>
      <w:proofErr w:type="spellEnd"/>
      <w:r w:rsidR="00EA5917">
        <w:rPr>
          <w:sz w:val="24"/>
        </w:rPr>
        <w:t>.</w:t>
      </w:r>
    </w:p>
    <w:p w14:paraId="3C32AA73" w14:textId="77777777" w:rsidR="00557C4F" w:rsidRDefault="00557C4F" w:rsidP="00EA5917">
      <w:pPr>
        <w:rPr>
          <w:sz w:val="24"/>
        </w:rPr>
      </w:pPr>
    </w:p>
    <w:p w14:paraId="1F1F20C0" w14:textId="77777777" w:rsidR="00557C4F" w:rsidRDefault="00557C4F">
      <w:pPr>
        <w:widowControl/>
        <w:autoSpaceDE/>
        <w:autoSpaceDN/>
        <w:adjustRightInd/>
        <w:rPr>
          <w:b/>
          <w:sz w:val="24"/>
        </w:rPr>
      </w:pPr>
      <w:bookmarkStart w:id="23" w:name="_Toc479522856"/>
      <w:r>
        <w:br w:type="page"/>
      </w:r>
    </w:p>
    <w:p w14:paraId="1036C155" w14:textId="3388B89D" w:rsidR="00855ABA" w:rsidRPr="00D07695" w:rsidRDefault="000839A6" w:rsidP="00FF1C6E">
      <w:pPr>
        <w:pStyle w:val="Heading2"/>
        <w:rPr>
          <w:szCs w:val="24"/>
        </w:rPr>
      </w:pPr>
      <w:r w:rsidRPr="00D07695">
        <w:rPr>
          <w:szCs w:val="24"/>
        </w:rPr>
        <w:lastRenderedPageBreak/>
        <w:t xml:space="preserve">A.14. </w:t>
      </w:r>
      <w:r w:rsidR="00855ABA" w:rsidRPr="00D07695">
        <w:rPr>
          <w:szCs w:val="24"/>
        </w:rPr>
        <w:t>Cost to Federal Government</w:t>
      </w:r>
      <w:bookmarkEnd w:id="23"/>
    </w:p>
    <w:p w14:paraId="1FA38112" w14:textId="77777777" w:rsidR="00883E29" w:rsidRDefault="00883E29" w:rsidP="00FF1C6E">
      <w:pPr>
        <w:rPr>
          <w:sz w:val="24"/>
        </w:rPr>
      </w:pPr>
    </w:p>
    <w:p w14:paraId="0563E242" w14:textId="6CE463F4" w:rsidR="00EA5917" w:rsidRPr="00557C4F" w:rsidRDefault="007129BD" w:rsidP="00557C4F">
      <w:pPr>
        <w:rPr>
          <w:sz w:val="24"/>
        </w:rPr>
      </w:pPr>
      <w:r w:rsidRPr="000372A6">
        <w:rPr>
          <w:sz w:val="24"/>
        </w:rPr>
        <w:t xml:space="preserve">DOL is supporting the conduct of this data collection and analysis of data as part of the contract with </w:t>
      </w:r>
      <w:r w:rsidR="00836170" w:rsidRPr="000372A6">
        <w:rPr>
          <w:sz w:val="24"/>
        </w:rPr>
        <w:t>Resolution Economics Group</w:t>
      </w:r>
      <w:r w:rsidRPr="000372A6">
        <w:rPr>
          <w:sz w:val="24"/>
        </w:rPr>
        <w:t xml:space="preserve">. </w:t>
      </w:r>
      <w:r w:rsidR="000233D7">
        <w:rPr>
          <w:sz w:val="24"/>
        </w:rPr>
        <w:t xml:space="preserve"> A total of</w:t>
      </w:r>
      <w:r w:rsidR="004E78B9" w:rsidRPr="000372A6">
        <w:rPr>
          <w:sz w:val="24"/>
        </w:rPr>
        <w:t xml:space="preserve"> $</w:t>
      </w:r>
      <w:r w:rsidR="000233D7">
        <w:rPr>
          <w:sz w:val="24"/>
        </w:rPr>
        <w:t>7,330</w:t>
      </w:r>
      <w:r w:rsidR="004E78B9" w:rsidRPr="000372A6">
        <w:rPr>
          <w:sz w:val="24"/>
        </w:rPr>
        <w:t xml:space="preserve">,000 has been funded </w:t>
      </w:r>
      <w:r w:rsidRPr="000372A6">
        <w:rPr>
          <w:sz w:val="24"/>
        </w:rPr>
        <w:t>for this work</w:t>
      </w:r>
      <w:r w:rsidR="006E4EF7" w:rsidRPr="000372A6">
        <w:rPr>
          <w:sz w:val="24"/>
        </w:rPr>
        <w:t>,</w:t>
      </w:r>
      <w:r w:rsidRPr="000372A6">
        <w:rPr>
          <w:sz w:val="24"/>
        </w:rPr>
        <w:t xml:space="preserve"> including design, fieldwork, </w:t>
      </w:r>
      <w:r w:rsidR="00886A82">
        <w:rPr>
          <w:sz w:val="24"/>
        </w:rPr>
        <w:t xml:space="preserve">participant incentives, </w:t>
      </w:r>
      <w:r w:rsidRPr="000372A6">
        <w:rPr>
          <w:sz w:val="24"/>
        </w:rPr>
        <w:t>and analysis.</w:t>
      </w:r>
      <w:r w:rsidR="000372A6">
        <w:rPr>
          <w:sz w:val="24"/>
        </w:rPr>
        <w:t xml:space="preserve">  The </w:t>
      </w:r>
      <w:r w:rsidR="0070587F">
        <w:rPr>
          <w:sz w:val="24"/>
        </w:rPr>
        <w:t xml:space="preserve">tasks and associated </w:t>
      </w:r>
      <w:r w:rsidR="000372A6">
        <w:rPr>
          <w:sz w:val="24"/>
        </w:rPr>
        <w:t>cost</w:t>
      </w:r>
      <w:r w:rsidR="0070587F">
        <w:rPr>
          <w:sz w:val="24"/>
        </w:rPr>
        <w:t xml:space="preserve">s are listed </w:t>
      </w:r>
      <w:r w:rsidR="000372A6">
        <w:rPr>
          <w:sz w:val="24"/>
        </w:rPr>
        <w:t xml:space="preserve">in </w:t>
      </w:r>
      <w:r w:rsidR="00F52120">
        <w:rPr>
          <w:sz w:val="24"/>
        </w:rPr>
        <w:t>Table 3</w:t>
      </w:r>
      <w:r w:rsidR="006D0936">
        <w:rPr>
          <w:sz w:val="24"/>
        </w:rPr>
        <w:t>.</w:t>
      </w:r>
    </w:p>
    <w:p w14:paraId="6AC1B3AA" w14:textId="77777777" w:rsidR="00883E29" w:rsidRDefault="00883E29">
      <w:pPr>
        <w:widowControl/>
        <w:autoSpaceDE/>
        <w:autoSpaceDN/>
        <w:adjustRightInd/>
        <w:rPr>
          <w:sz w:val="24"/>
          <w:highlight w:val="yellow"/>
        </w:rPr>
      </w:pPr>
    </w:p>
    <w:p w14:paraId="63EBB51F" w14:textId="24862017" w:rsidR="006D0936" w:rsidRPr="003F513A" w:rsidRDefault="006D0936">
      <w:pPr>
        <w:widowControl/>
        <w:autoSpaceDE/>
        <w:autoSpaceDN/>
        <w:adjustRightInd/>
        <w:rPr>
          <w:sz w:val="24"/>
        </w:rPr>
      </w:pPr>
      <w:proofErr w:type="gramStart"/>
      <w:r w:rsidRPr="003F513A">
        <w:rPr>
          <w:sz w:val="24"/>
        </w:rPr>
        <w:t>Table 3.</w:t>
      </w:r>
      <w:proofErr w:type="gramEnd"/>
      <w:r w:rsidRPr="003F513A">
        <w:rPr>
          <w:sz w:val="24"/>
        </w:rPr>
        <w:t xml:space="preserve"> Cost </w:t>
      </w:r>
      <w:r w:rsidR="009A2AA5" w:rsidRPr="003F513A">
        <w:rPr>
          <w:sz w:val="24"/>
        </w:rPr>
        <w:t>to Federal Government</w:t>
      </w:r>
    </w:p>
    <w:p w14:paraId="64905A79" w14:textId="77777777" w:rsidR="006D0936" w:rsidRDefault="006D0936">
      <w:pPr>
        <w:widowControl/>
        <w:autoSpaceDE/>
        <w:autoSpaceDN/>
        <w:adjustRightInd/>
        <w:rPr>
          <w:sz w:val="24"/>
          <w:highlight w:val="yellow"/>
        </w:rPr>
      </w:pPr>
    </w:p>
    <w:tbl>
      <w:tblPr>
        <w:tblW w:w="9387" w:type="dxa"/>
        <w:tblInd w:w="93" w:type="dxa"/>
        <w:tblLook w:val="04A0" w:firstRow="1" w:lastRow="0" w:firstColumn="1" w:lastColumn="0" w:noHBand="0" w:noVBand="1"/>
      </w:tblPr>
      <w:tblGrid>
        <w:gridCol w:w="5235"/>
        <w:gridCol w:w="1387"/>
        <w:gridCol w:w="1493"/>
        <w:gridCol w:w="1272"/>
      </w:tblGrid>
      <w:tr w:rsidR="00264F35" w:rsidRPr="00424E27" w14:paraId="1E426425" w14:textId="77777777" w:rsidTr="003F513A">
        <w:trPr>
          <w:trHeight w:val="603"/>
        </w:trPr>
        <w:tc>
          <w:tcPr>
            <w:tcW w:w="5235" w:type="dxa"/>
            <w:tcBorders>
              <w:top w:val="single" w:sz="8" w:space="0" w:color="auto"/>
              <w:left w:val="single" w:sz="8" w:space="0" w:color="auto"/>
              <w:bottom w:val="single" w:sz="8" w:space="0" w:color="auto"/>
              <w:right w:val="nil"/>
            </w:tcBorders>
            <w:shd w:val="clear" w:color="auto" w:fill="auto"/>
            <w:vAlign w:val="bottom"/>
            <w:hideMark/>
          </w:tcPr>
          <w:p w14:paraId="10EBC999" w14:textId="77777777" w:rsidR="00264F35" w:rsidRPr="00883E29" w:rsidRDefault="00264F35" w:rsidP="00264F35">
            <w:pPr>
              <w:widowControl/>
              <w:autoSpaceDE/>
              <w:autoSpaceDN/>
              <w:adjustRightInd/>
              <w:rPr>
                <w:b/>
                <w:color w:val="000000"/>
                <w:sz w:val="22"/>
                <w:szCs w:val="22"/>
              </w:rPr>
            </w:pPr>
            <w:r w:rsidRPr="00883E29">
              <w:rPr>
                <w:b/>
                <w:color w:val="000000"/>
                <w:sz w:val="22"/>
                <w:szCs w:val="22"/>
              </w:rPr>
              <w:t>Task</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0A1ACCD" w14:textId="77777777" w:rsidR="00264F35" w:rsidRPr="00883E29" w:rsidRDefault="00264F35" w:rsidP="00264F35">
            <w:pPr>
              <w:widowControl/>
              <w:autoSpaceDE/>
              <w:autoSpaceDN/>
              <w:adjustRightInd/>
              <w:jc w:val="center"/>
              <w:rPr>
                <w:b/>
                <w:color w:val="000000"/>
                <w:sz w:val="22"/>
                <w:szCs w:val="22"/>
              </w:rPr>
            </w:pPr>
            <w:r w:rsidRPr="00883E29">
              <w:rPr>
                <w:b/>
                <w:color w:val="000000"/>
                <w:sz w:val="22"/>
                <w:szCs w:val="22"/>
              </w:rPr>
              <w:t>Payment Amount</w:t>
            </w:r>
          </w:p>
        </w:tc>
        <w:tc>
          <w:tcPr>
            <w:tcW w:w="1493" w:type="dxa"/>
            <w:tcBorders>
              <w:top w:val="single" w:sz="8" w:space="0" w:color="auto"/>
              <w:left w:val="nil"/>
              <w:bottom w:val="single" w:sz="8" w:space="0" w:color="auto"/>
              <w:right w:val="single" w:sz="8" w:space="0" w:color="auto"/>
            </w:tcBorders>
            <w:shd w:val="clear" w:color="auto" w:fill="auto"/>
            <w:vAlign w:val="bottom"/>
            <w:hideMark/>
          </w:tcPr>
          <w:p w14:paraId="156F137C" w14:textId="77777777" w:rsidR="00264F35" w:rsidRPr="00883E29" w:rsidRDefault="00264F35" w:rsidP="001E5AD0">
            <w:pPr>
              <w:widowControl/>
              <w:autoSpaceDE/>
              <w:autoSpaceDN/>
              <w:adjustRightInd/>
              <w:jc w:val="center"/>
              <w:rPr>
                <w:b/>
                <w:color w:val="000000"/>
                <w:sz w:val="22"/>
                <w:szCs w:val="22"/>
              </w:rPr>
            </w:pPr>
            <w:r w:rsidRPr="001E5AD0">
              <w:rPr>
                <w:b/>
                <w:color w:val="000000"/>
                <w:sz w:val="22"/>
                <w:szCs w:val="22"/>
              </w:rPr>
              <w:t>Funded</w:t>
            </w:r>
            <w:r w:rsidR="004B5884" w:rsidRPr="001E5AD0">
              <w:rPr>
                <w:b/>
                <w:color w:val="000000"/>
                <w:sz w:val="22"/>
                <w:szCs w:val="22"/>
              </w:rPr>
              <w:t xml:space="preserve"> </w:t>
            </w:r>
            <w:r w:rsidR="003D7521" w:rsidRPr="001E5AD0">
              <w:rPr>
                <w:b/>
                <w:color w:val="000000"/>
                <w:sz w:val="22"/>
                <w:szCs w:val="22"/>
              </w:rPr>
              <w:t>a</w:t>
            </w:r>
            <w:r w:rsidR="004B5884" w:rsidRPr="001E5AD0">
              <w:rPr>
                <w:b/>
                <w:color w:val="000000"/>
                <w:sz w:val="22"/>
                <w:szCs w:val="22"/>
              </w:rPr>
              <w:t xml:space="preserve">s of </w:t>
            </w:r>
            <w:r w:rsidR="000233D7" w:rsidRPr="001E5AD0">
              <w:rPr>
                <w:b/>
                <w:color w:val="000000"/>
                <w:sz w:val="22"/>
                <w:szCs w:val="22"/>
              </w:rPr>
              <w:t>September</w:t>
            </w:r>
            <w:r w:rsidR="004B5884" w:rsidRPr="001E5AD0">
              <w:rPr>
                <w:b/>
                <w:color w:val="000000"/>
                <w:sz w:val="22"/>
                <w:szCs w:val="22"/>
              </w:rPr>
              <w:t xml:space="preserve"> </w:t>
            </w:r>
            <w:r w:rsidR="001E5AD0">
              <w:rPr>
                <w:b/>
                <w:color w:val="000000"/>
                <w:sz w:val="22"/>
                <w:szCs w:val="22"/>
              </w:rPr>
              <w:t>1</w:t>
            </w:r>
            <w:r w:rsidR="003B68D2">
              <w:rPr>
                <w:b/>
                <w:color w:val="000000"/>
                <w:sz w:val="22"/>
                <w:szCs w:val="22"/>
              </w:rPr>
              <w:t>5</w:t>
            </w:r>
            <w:r w:rsidR="003D7521" w:rsidRPr="001E5AD0">
              <w:rPr>
                <w:b/>
                <w:color w:val="000000"/>
                <w:sz w:val="22"/>
                <w:szCs w:val="22"/>
              </w:rPr>
              <w:t>,</w:t>
            </w:r>
            <w:r w:rsidRPr="001E5AD0">
              <w:rPr>
                <w:b/>
                <w:color w:val="000000"/>
                <w:sz w:val="22"/>
                <w:szCs w:val="22"/>
              </w:rPr>
              <w:t xml:space="preserve"> </w:t>
            </w:r>
            <w:r w:rsidR="0007437C" w:rsidRPr="001E5AD0">
              <w:rPr>
                <w:b/>
                <w:color w:val="000000"/>
                <w:sz w:val="22"/>
                <w:szCs w:val="22"/>
              </w:rPr>
              <w:t>201</w:t>
            </w:r>
            <w:r w:rsidR="00642688" w:rsidRPr="001E5AD0">
              <w:rPr>
                <w:b/>
                <w:color w:val="000000"/>
                <w:sz w:val="22"/>
                <w:szCs w:val="22"/>
              </w:rPr>
              <w:t>5</w:t>
            </w:r>
            <w:r w:rsidR="0007437C" w:rsidRPr="00883E29">
              <w:rPr>
                <w:b/>
                <w:color w:val="000000"/>
                <w:sz w:val="22"/>
                <w:szCs w:val="22"/>
              </w:rPr>
              <w:t xml:space="preserve"> </w:t>
            </w:r>
            <w:r w:rsidRPr="00883E29">
              <w:rPr>
                <w:b/>
                <w:color w:val="000000"/>
                <w:sz w:val="22"/>
                <w:szCs w:val="22"/>
              </w:rPr>
              <w:t>(Yes/No)</w:t>
            </w:r>
          </w:p>
        </w:tc>
        <w:tc>
          <w:tcPr>
            <w:tcW w:w="1272" w:type="dxa"/>
            <w:tcBorders>
              <w:top w:val="single" w:sz="8" w:space="0" w:color="auto"/>
              <w:left w:val="nil"/>
              <w:bottom w:val="single" w:sz="8" w:space="0" w:color="auto"/>
              <w:right w:val="single" w:sz="8" w:space="0" w:color="auto"/>
            </w:tcBorders>
            <w:shd w:val="clear" w:color="auto" w:fill="auto"/>
            <w:vAlign w:val="bottom"/>
            <w:hideMark/>
          </w:tcPr>
          <w:p w14:paraId="614B3BCF" w14:textId="77777777" w:rsidR="00264F35" w:rsidRPr="00883E29" w:rsidRDefault="00264F35" w:rsidP="00264F35">
            <w:pPr>
              <w:widowControl/>
              <w:autoSpaceDE/>
              <w:autoSpaceDN/>
              <w:adjustRightInd/>
              <w:jc w:val="center"/>
              <w:rPr>
                <w:b/>
                <w:color w:val="000000"/>
                <w:sz w:val="22"/>
                <w:szCs w:val="22"/>
              </w:rPr>
            </w:pPr>
            <w:r w:rsidRPr="00883E29">
              <w:rPr>
                <w:b/>
                <w:color w:val="000000"/>
                <w:sz w:val="22"/>
                <w:szCs w:val="22"/>
              </w:rPr>
              <w:t>Funded Amount</w:t>
            </w:r>
          </w:p>
        </w:tc>
      </w:tr>
      <w:tr w:rsidR="00264F35" w:rsidRPr="00424E27" w14:paraId="14B0A5AA" w14:textId="77777777" w:rsidTr="003F513A">
        <w:trPr>
          <w:trHeight w:val="301"/>
        </w:trPr>
        <w:tc>
          <w:tcPr>
            <w:tcW w:w="5235" w:type="dxa"/>
            <w:tcBorders>
              <w:top w:val="nil"/>
              <w:left w:val="single" w:sz="8" w:space="0" w:color="auto"/>
              <w:bottom w:val="single" w:sz="4" w:space="0" w:color="auto"/>
              <w:right w:val="nil"/>
            </w:tcBorders>
            <w:shd w:val="clear" w:color="auto" w:fill="auto"/>
            <w:noWrap/>
            <w:vAlign w:val="bottom"/>
            <w:hideMark/>
          </w:tcPr>
          <w:p w14:paraId="7408A127"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Base Task (Design of Study)</w:t>
            </w:r>
          </w:p>
        </w:tc>
        <w:tc>
          <w:tcPr>
            <w:tcW w:w="1387" w:type="dxa"/>
            <w:tcBorders>
              <w:top w:val="nil"/>
              <w:left w:val="single" w:sz="8" w:space="0" w:color="auto"/>
              <w:bottom w:val="single" w:sz="4" w:space="0" w:color="auto"/>
              <w:right w:val="single" w:sz="8" w:space="0" w:color="auto"/>
            </w:tcBorders>
            <w:shd w:val="clear" w:color="auto" w:fill="auto"/>
            <w:noWrap/>
            <w:vAlign w:val="bottom"/>
            <w:hideMark/>
          </w:tcPr>
          <w:p w14:paraId="0A1B3A7A"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$1,200,000</w:t>
            </w:r>
          </w:p>
        </w:tc>
        <w:tc>
          <w:tcPr>
            <w:tcW w:w="1493" w:type="dxa"/>
            <w:tcBorders>
              <w:top w:val="nil"/>
              <w:left w:val="nil"/>
              <w:bottom w:val="single" w:sz="4" w:space="0" w:color="auto"/>
              <w:right w:val="single" w:sz="8" w:space="0" w:color="auto"/>
            </w:tcBorders>
            <w:shd w:val="clear" w:color="auto" w:fill="auto"/>
            <w:noWrap/>
            <w:vAlign w:val="bottom"/>
            <w:hideMark/>
          </w:tcPr>
          <w:p w14:paraId="519EFD9C"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nil"/>
              <w:left w:val="nil"/>
              <w:bottom w:val="nil"/>
              <w:right w:val="single" w:sz="8" w:space="0" w:color="auto"/>
            </w:tcBorders>
            <w:shd w:val="clear" w:color="auto" w:fill="auto"/>
            <w:noWrap/>
            <w:vAlign w:val="bottom"/>
            <w:hideMark/>
          </w:tcPr>
          <w:p w14:paraId="5B7438B7"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$1,200,000</w:t>
            </w:r>
          </w:p>
        </w:tc>
      </w:tr>
      <w:tr w:rsidR="00264F35" w:rsidRPr="00424E27" w14:paraId="5E045BC0" w14:textId="77777777" w:rsidTr="003F513A">
        <w:trPr>
          <w:trHeight w:val="289"/>
        </w:trPr>
        <w:tc>
          <w:tcPr>
            <w:tcW w:w="5235" w:type="dxa"/>
            <w:tcBorders>
              <w:top w:val="nil"/>
              <w:left w:val="single" w:sz="8" w:space="0" w:color="auto"/>
              <w:bottom w:val="nil"/>
              <w:right w:val="nil"/>
            </w:tcBorders>
            <w:shd w:val="clear" w:color="auto" w:fill="auto"/>
            <w:noWrap/>
            <w:vAlign w:val="bottom"/>
            <w:hideMark/>
          </w:tcPr>
          <w:p w14:paraId="57D034C9"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AA  (Initial Participant Survey)</w:t>
            </w:r>
          </w:p>
        </w:tc>
        <w:tc>
          <w:tcPr>
            <w:tcW w:w="1387" w:type="dxa"/>
            <w:tcBorders>
              <w:top w:val="nil"/>
              <w:left w:val="single" w:sz="8" w:space="0" w:color="auto"/>
              <w:bottom w:val="nil"/>
              <w:right w:val="single" w:sz="8" w:space="0" w:color="auto"/>
            </w:tcBorders>
            <w:shd w:val="clear" w:color="auto" w:fill="auto"/>
            <w:noWrap/>
            <w:vAlign w:val="bottom"/>
            <w:hideMark/>
          </w:tcPr>
          <w:p w14:paraId="6985EE8A"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$1,300,000</w:t>
            </w:r>
          </w:p>
        </w:tc>
        <w:tc>
          <w:tcPr>
            <w:tcW w:w="1493" w:type="dxa"/>
            <w:tcBorders>
              <w:top w:val="nil"/>
              <w:left w:val="nil"/>
              <w:bottom w:val="nil"/>
              <w:right w:val="single" w:sz="8" w:space="0" w:color="auto"/>
            </w:tcBorders>
            <w:shd w:val="clear" w:color="auto" w:fill="auto"/>
            <w:noWrap/>
            <w:vAlign w:val="bottom"/>
            <w:hideMark/>
          </w:tcPr>
          <w:p w14:paraId="521D1712"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single" w:sz="4" w:space="0" w:color="auto"/>
              <w:left w:val="nil"/>
              <w:bottom w:val="single" w:sz="4" w:space="0" w:color="auto"/>
              <w:right w:val="single" w:sz="8" w:space="0" w:color="auto"/>
            </w:tcBorders>
            <w:shd w:val="clear" w:color="auto" w:fill="auto"/>
            <w:noWrap/>
            <w:vAlign w:val="bottom"/>
            <w:hideMark/>
          </w:tcPr>
          <w:p w14:paraId="410AFFCE"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$1,300,000</w:t>
            </w:r>
          </w:p>
        </w:tc>
      </w:tr>
      <w:tr w:rsidR="00264F35" w:rsidRPr="00424E27" w14:paraId="1FB42313" w14:textId="77777777" w:rsidTr="003F513A">
        <w:trPr>
          <w:trHeight w:val="289"/>
        </w:trPr>
        <w:tc>
          <w:tcPr>
            <w:tcW w:w="5235" w:type="dxa"/>
            <w:tcBorders>
              <w:top w:val="single" w:sz="4" w:space="0" w:color="auto"/>
              <w:left w:val="single" w:sz="8" w:space="0" w:color="auto"/>
              <w:bottom w:val="single" w:sz="4" w:space="0" w:color="auto"/>
              <w:right w:val="nil"/>
            </w:tcBorders>
            <w:shd w:val="clear" w:color="auto" w:fill="auto"/>
            <w:noWrap/>
            <w:vAlign w:val="bottom"/>
            <w:hideMark/>
          </w:tcPr>
          <w:p w14:paraId="6840AD63"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BB (Advice Interaction Survey, Year 1)</w:t>
            </w:r>
          </w:p>
        </w:tc>
        <w:tc>
          <w:tcPr>
            <w:tcW w:w="13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448AA99"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$2,000,000</w:t>
            </w:r>
          </w:p>
        </w:tc>
        <w:tc>
          <w:tcPr>
            <w:tcW w:w="1493" w:type="dxa"/>
            <w:tcBorders>
              <w:top w:val="single" w:sz="4" w:space="0" w:color="auto"/>
              <w:left w:val="nil"/>
              <w:bottom w:val="single" w:sz="4" w:space="0" w:color="auto"/>
              <w:right w:val="single" w:sz="8" w:space="0" w:color="auto"/>
            </w:tcBorders>
            <w:shd w:val="clear" w:color="auto" w:fill="auto"/>
            <w:noWrap/>
            <w:vAlign w:val="bottom"/>
            <w:hideMark/>
          </w:tcPr>
          <w:p w14:paraId="42C57E2F"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nil"/>
              <w:left w:val="nil"/>
              <w:bottom w:val="nil"/>
              <w:right w:val="single" w:sz="8" w:space="0" w:color="auto"/>
            </w:tcBorders>
            <w:shd w:val="clear" w:color="auto" w:fill="auto"/>
            <w:noWrap/>
            <w:vAlign w:val="bottom"/>
            <w:hideMark/>
          </w:tcPr>
          <w:p w14:paraId="2D86994E"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$2,000,000</w:t>
            </w:r>
          </w:p>
        </w:tc>
      </w:tr>
      <w:tr w:rsidR="00264F35" w:rsidRPr="00424E27" w14:paraId="505D74CD" w14:textId="77777777" w:rsidTr="003F513A">
        <w:trPr>
          <w:trHeight w:val="289"/>
        </w:trPr>
        <w:tc>
          <w:tcPr>
            <w:tcW w:w="5235" w:type="dxa"/>
            <w:tcBorders>
              <w:top w:val="nil"/>
              <w:left w:val="single" w:sz="8" w:space="0" w:color="auto"/>
              <w:bottom w:val="nil"/>
              <w:right w:val="nil"/>
            </w:tcBorders>
            <w:shd w:val="clear" w:color="auto" w:fill="auto"/>
            <w:noWrap/>
            <w:vAlign w:val="bottom"/>
            <w:hideMark/>
          </w:tcPr>
          <w:p w14:paraId="5CB24C4B"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CC (Annual Participant Survey)</w:t>
            </w:r>
          </w:p>
        </w:tc>
        <w:tc>
          <w:tcPr>
            <w:tcW w:w="1387" w:type="dxa"/>
            <w:tcBorders>
              <w:top w:val="nil"/>
              <w:left w:val="single" w:sz="8" w:space="0" w:color="auto"/>
              <w:bottom w:val="nil"/>
              <w:right w:val="single" w:sz="8" w:space="0" w:color="auto"/>
            </w:tcBorders>
            <w:shd w:val="clear" w:color="auto" w:fill="auto"/>
            <w:noWrap/>
            <w:vAlign w:val="bottom"/>
            <w:hideMark/>
          </w:tcPr>
          <w:p w14:paraId="3F25C285"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$850,000</w:t>
            </w:r>
          </w:p>
        </w:tc>
        <w:tc>
          <w:tcPr>
            <w:tcW w:w="1493" w:type="dxa"/>
            <w:tcBorders>
              <w:top w:val="nil"/>
              <w:left w:val="nil"/>
              <w:bottom w:val="nil"/>
              <w:right w:val="single" w:sz="8" w:space="0" w:color="auto"/>
            </w:tcBorders>
            <w:shd w:val="clear" w:color="auto" w:fill="auto"/>
            <w:noWrap/>
            <w:vAlign w:val="bottom"/>
            <w:hideMark/>
          </w:tcPr>
          <w:p w14:paraId="26A44A06"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single" w:sz="4" w:space="0" w:color="auto"/>
              <w:left w:val="nil"/>
              <w:bottom w:val="single" w:sz="4" w:space="0" w:color="auto"/>
              <w:right w:val="single" w:sz="8" w:space="0" w:color="auto"/>
            </w:tcBorders>
            <w:shd w:val="clear" w:color="auto" w:fill="auto"/>
            <w:noWrap/>
            <w:vAlign w:val="bottom"/>
            <w:hideMark/>
          </w:tcPr>
          <w:p w14:paraId="07B89CA1"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$850,000</w:t>
            </w:r>
          </w:p>
        </w:tc>
      </w:tr>
      <w:tr w:rsidR="00264F35" w:rsidRPr="00424E27" w14:paraId="7B41DF9C" w14:textId="77777777" w:rsidTr="003F513A">
        <w:trPr>
          <w:trHeight w:val="289"/>
        </w:trPr>
        <w:tc>
          <w:tcPr>
            <w:tcW w:w="5235" w:type="dxa"/>
            <w:tcBorders>
              <w:top w:val="single" w:sz="4" w:space="0" w:color="auto"/>
              <w:left w:val="single" w:sz="8" w:space="0" w:color="auto"/>
              <w:bottom w:val="single" w:sz="4" w:space="0" w:color="auto"/>
              <w:right w:val="nil"/>
            </w:tcBorders>
            <w:shd w:val="clear" w:color="auto" w:fill="auto"/>
            <w:noWrap/>
            <w:vAlign w:val="bottom"/>
            <w:hideMark/>
          </w:tcPr>
          <w:p w14:paraId="2C56ABAC" w14:textId="77777777" w:rsidR="00264F35" w:rsidRPr="00883E29" w:rsidRDefault="00264F35">
            <w:pPr>
              <w:widowControl/>
              <w:autoSpaceDE/>
              <w:autoSpaceDN/>
              <w:adjustRightInd/>
              <w:rPr>
                <w:color w:val="000000"/>
                <w:sz w:val="22"/>
                <w:szCs w:val="22"/>
              </w:rPr>
            </w:pPr>
            <w:r w:rsidRPr="00883E29">
              <w:rPr>
                <w:color w:val="000000"/>
                <w:sz w:val="22"/>
                <w:szCs w:val="22"/>
              </w:rPr>
              <w:t>Option Task DD (Advice Interaction Survey, Ye</w:t>
            </w:r>
            <w:r w:rsidR="00947935" w:rsidRPr="00883E29">
              <w:rPr>
                <w:color w:val="000000"/>
                <w:sz w:val="22"/>
                <w:szCs w:val="22"/>
              </w:rPr>
              <w:t>ar</w:t>
            </w:r>
            <w:r w:rsidRPr="00883E29">
              <w:rPr>
                <w:color w:val="000000"/>
                <w:sz w:val="22"/>
                <w:szCs w:val="22"/>
              </w:rPr>
              <w:t xml:space="preserve"> 2)</w:t>
            </w:r>
          </w:p>
        </w:tc>
        <w:tc>
          <w:tcPr>
            <w:tcW w:w="13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404BF1A"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$950,000</w:t>
            </w:r>
          </w:p>
        </w:tc>
        <w:tc>
          <w:tcPr>
            <w:tcW w:w="1493" w:type="dxa"/>
            <w:tcBorders>
              <w:top w:val="single" w:sz="4" w:space="0" w:color="auto"/>
              <w:left w:val="nil"/>
              <w:bottom w:val="single" w:sz="4" w:space="0" w:color="auto"/>
              <w:right w:val="single" w:sz="8" w:space="0" w:color="auto"/>
            </w:tcBorders>
            <w:shd w:val="clear" w:color="auto" w:fill="auto"/>
            <w:noWrap/>
            <w:vAlign w:val="bottom"/>
            <w:hideMark/>
          </w:tcPr>
          <w:p w14:paraId="15240537" w14:textId="77777777" w:rsidR="00264F35" w:rsidRPr="00883E29" w:rsidRDefault="000233D7" w:rsidP="00264F35">
            <w:pPr>
              <w:widowControl/>
              <w:autoSpaceDE/>
              <w:autoSpaceDN/>
              <w:adjustRightInd/>
              <w:jc w:val="center"/>
              <w:rPr>
                <w:color w:val="000000"/>
                <w:sz w:val="22"/>
                <w:szCs w:val="22"/>
              </w:rPr>
            </w:pPr>
            <w:r>
              <w:rPr>
                <w:color w:val="000000"/>
                <w:sz w:val="22"/>
                <w:szCs w:val="22"/>
              </w:rPr>
              <w:t>Yes</w:t>
            </w:r>
          </w:p>
        </w:tc>
        <w:tc>
          <w:tcPr>
            <w:tcW w:w="1272" w:type="dxa"/>
            <w:tcBorders>
              <w:top w:val="nil"/>
              <w:left w:val="nil"/>
              <w:bottom w:val="nil"/>
              <w:right w:val="single" w:sz="8" w:space="0" w:color="auto"/>
            </w:tcBorders>
            <w:shd w:val="clear" w:color="auto" w:fill="auto"/>
            <w:noWrap/>
            <w:vAlign w:val="bottom"/>
            <w:hideMark/>
          </w:tcPr>
          <w:p w14:paraId="21E8CE5F" w14:textId="77777777" w:rsidR="00264F35" w:rsidRPr="00883E29" w:rsidRDefault="000233D7" w:rsidP="00264F35">
            <w:pPr>
              <w:widowControl/>
              <w:autoSpaceDE/>
              <w:autoSpaceDN/>
              <w:adjustRightInd/>
              <w:jc w:val="center"/>
              <w:rPr>
                <w:color w:val="000000"/>
                <w:sz w:val="22"/>
                <w:szCs w:val="22"/>
              </w:rPr>
            </w:pPr>
            <w:r>
              <w:rPr>
                <w:color w:val="000000"/>
                <w:sz w:val="22"/>
                <w:szCs w:val="22"/>
              </w:rPr>
              <w:t>$950,000</w:t>
            </w:r>
          </w:p>
        </w:tc>
      </w:tr>
      <w:tr w:rsidR="00264F35" w:rsidRPr="00424E27" w14:paraId="4E396E3B" w14:textId="77777777" w:rsidTr="003F513A">
        <w:trPr>
          <w:trHeight w:val="289"/>
        </w:trPr>
        <w:tc>
          <w:tcPr>
            <w:tcW w:w="5235" w:type="dxa"/>
            <w:tcBorders>
              <w:top w:val="nil"/>
              <w:left w:val="single" w:sz="8" w:space="0" w:color="auto"/>
              <w:bottom w:val="nil"/>
              <w:right w:val="nil"/>
            </w:tcBorders>
            <w:shd w:val="clear" w:color="auto" w:fill="auto"/>
            <w:noWrap/>
            <w:vAlign w:val="bottom"/>
            <w:hideMark/>
          </w:tcPr>
          <w:p w14:paraId="292C605B"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EE (Providing Collected Data)</w:t>
            </w:r>
          </w:p>
        </w:tc>
        <w:tc>
          <w:tcPr>
            <w:tcW w:w="1387" w:type="dxa"/>
            <w:tcBorders>
              <w:top w:val="nil"/>
              <w:left w:val="single" w:sz="8" w:space="0" w:color="auto"/>
              <w:bottom w:val="nil"/>
              <w:right w:val="single" w:sz="8" w:space="0" w:color="auto"/>
            </w:tcBorders>
            <w:shd w:val="clear" w:color="auto" w:fill="auto"/>
            <w:noWrap/>
            <w:vAlign w:val="bottom"/>
            <w:hideMark/>
          </w:tcPr>
          <w:p w14:paraId="26794021"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$650,000</w:t>
            </w:r>
          </w:p>
        </w:tc>
        <w:tc>
          <w:tcPr>
            <w:tcW w:w="1493" w:type="dxa"/>
            <w:tcBorders>
              <w:top w:val="nil"/>
              <w:left w:val="nil"/>
              <w:bottom w:val="nil"/>
              <w:right w:val="single" w:sz="8" w:space="0" w:color="auto"/>
            </w:tcBorders>
            <w:shd w:val="clear" w:color="auto" w:fill="auto"/>
            <w:noWrap/>
            <w:vAlign w:val="bottom"/>
            <w:hideMark/>
          </w:tcPr>
          <w:p w14:paraId="149DE6E4"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single" w:sz="4" w:space="0" w:color="auto"/>
              <w:left w:val="nil"/>
              <w:bottom w:val="single" w:sz="4" w:space="0" w:color="auto"/>
              <w:right w:val="single" w:sz="8" w:space="0" w:color="auto"/>
            </w:tcBorders>
            <w:shd w:val="clear" w:color="auto" w:fill="auto"/>
            <w:noWrap/>
            <w:vAlign w:val="bottom"/>
            <w:hideMark/>
          </w:tcPr>
          <w:p w14:paraId="08AF7573"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$650,000</w:t>
            </w:r>
          </w:p>
        </w:tc>
      </w:tr>
      <w:tr w:rsidR="00264F35" w:rsidRPr="00424E27" w14:paraId="215D8EB5" w14:textId="77777777" w:rsidTr="003F513A">
        <w:trPr>
          <w:trHeight w:val="289"/>
        </w:trPr>
        <w:tc>
          <w:tcPr>
            <w:tcW w:w="5235" w:type="dxa"/>
            <w:tcBorders>
              <w:top w:val="single" w:sz="4" w:space="0" w:color="auto"/>
              <w:left w:val="single" w:sz="8" w:space="0" w:color="auto"/>
              <w:bottom w:val="single" w:sz="4" w:space="0" w:color="auto"/>
              <w:right w:val="nil"/>
            </w:tcBorders>
            <w:shd w:val="clear" w:color="auto" w:fill="auto"/>
            <w:noWrap/>
            <w:vAlign w:val="bottom"/>
            <w:hideMark/>
          </w:tcPr>
          <w:p w14:paraId="0C46A2C8"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F: Briefing #1</w:t>
            </w:r>
          </w:p>
        </w:tc>
        <w:tc>
          <w:tcPr>
            <w:tcW w:w="13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CDF81DD"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w:t>
            </w:r>
          </w:p>
        </w:tc>
        <w:tc>
          <w:tcPr>
            <w:tcW w:w="1493" w:type="dxa"/>
            <w:tcBorders>
              <w:top w:val="single" w:sz="4" w:space="0" w:color="auto"/>
              <w:left w:val="nil"/>
              <w:bottom w:val="single" w:sz="4" w:space="0" w:color="auto"/>
              <w:right w:val="single" w:sz="8" w:space="0" w:color="auto"/>
            </w:tcBorders>
            <w:shd w:val="clear" w:color="auto" w:fill="auto"/>
            <w:noWrap/>
            <w:vAlign w:val="bottom"/>
            <w:hideMark/>
          </w:tcPr>
          <w:p w14:paraId="7585BF64"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nil"/>
              <w:left w:val="nil"/>
              <w:bottom w:val="nil"/>
              <w:right w:val="single" w:sz="8" w:space="0" w:color="auto"/>
            </w:tcBorders>
            <w:shd w:val="clear" w:color="auto" w:fill="auto"/>
            <w:noWrap/>
            <w:vAlign w:val="bottom"/>
            <w:hideMark/>
          </w:tcPr>
          <w:p w14:paraId="270C63CE"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w:t>
            </w:r>
          </w:p>
        </w:tc>
      </w:tr>
      <w:tr w:rsidR="00264F35" w:rsidRPr="00424E27" w14:paraId="72EDA554" w14:textId="77777777" w:rsidTr="003F513A">
        <w:trPr>
          <w:trHeight w:val="289"/>
        </w:trPr>
        <w:tc>
          <w:tcPr>
            <w:tcW w:w="5235" w:type="dxa"/>
            <w:tcBorders>
              <w:top w:val="nil"/>
              <w:left w:val="single" w:sz="8" w:space="0" w:color="auto"/>
              <w:bottom w:val="nil"/>
              <w:right w:val="nil"/>
            </w:tcBorders>
            <w:shd w:val="clear" w:color="auto" w:fill="auto"/>
            <w:noWrap/>
            <w:vAlign w:val="bottom"/>
            <w:hideMark/>
          </w:tcPr>
          <w:p w14:paraId="1D388A6D"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F: Briefing #2</w:t>
            </w:r>
          </w:p>
        </w:tc>
        <w:tc>
          <w:tcPr>
            <w:tcW w:w="1387" w:type="dxa"/>
            <w:tcBorders>
              <w:top w:val="nil"/>
              <w:left w:val="single" w:sz="8" w:space="0" w:color="auto"/>
              <w:bottom w:val="nil"/>
              <w:right w:val="single" w:sz="8" w:space="0" w:color="auto"/>
            </w:tcBorders>
            <w:shd w:val="clear" w:color="auto" w:fill="auto"/>
            <w:noWrap/>
            <w:vAlign w:val="bottom"/>
            <w:hideMark/>
          </w:tcPr>
          <w:p w14:paraId="1D2334D1"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w:t>
            </w:r>
          </w:p>
        </w:tc>
        <w:tc>
          <w:tcPr>
            <w:tcW w:w="1493" w:type="dxa"/>
            <w:tcBorders>
              <w:top w:val="nil"/>
              <w:left w:val="nil"/>
              <w:bottom w:val="nil"/>
              <w:right w:val="single" w:sz="8" w:space="0" w:color="auto"/>
            </w:tcBorders>
            <w:shd w:val="clear" w:color="auto" w:fill="auto"/>
            <w:noWrap/>
            <w:vAlign w:val="bottom"/>
            <w:hideMark/>
          </w:tcPr>
          <w:p w14:paraId="6AADF8C2"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single" w:sz="4" w:space="0" w:color="auto"/>
              <w:left w:val="nil"/>
              <w:bottom w:val="single" w:sz="4" w:space="0" w:color="auto"/>
              <w:right w:val="single" w:sz="8" w:space="0" w:color="auto"/>
            </w:tcBorders>
            <w:shd w:val="clear" w:color="auto" w:fill="auto"/>
            <w:noWrap/>
            <w:vAlign w:val="bottom"/>
            <w:hideMark/>
          </w:tcPr>
          <w:p w14:paraId="2F2D2B94"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w:t>
            </w:r>
          </w:p>
        </w:tc>
      </w:tr>
      <w:tr w:rsidR="00264F35" w:rsidRPr="00424E27" w14:paraId="1694E54C" w14:textId="77777777" w:rsidTr="003F513A">
        <w:trPr>
          <w:trHeight w:val="289"/>
        </w:trPr>
        <w:tc>
          <w:tcPr>
            <w:tcW w:w="5235" w:type="dxa"/>
            <w:tcBorders>
              <w:top w:val="single" w:sz="4" w:space="0" w:color="auto"/>
              <w:left w:val="single" w:sz="8" w:space="0" w:color="auto"/>
              <w:bottom w:val="single" w:sz="4" w:space="0" w:color="auto"/>
              <w:right w:val="nil"/>
            </w:tcBorders>
            <w:shd w:val="clear" w:color="auto" w:fill="auto"/>
            <w:noWrap/>
            <w:vAlign w:val="bottom"/>
            <w:hideMark/>
          </w:tcPr>
          <w:p w14:paraId="21EC7C2E"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F: Briefing #3</w:t>
            </w:r>
          </w:p>
        </w:tc>
        <w:tc>
          <w:tcPr>
            <w:tcW w:w="13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864C383"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w:t>
            </w:r>
          </w:p>
        </w:tc>
        <w:tc>
          <w:tcPr>
            <w:tcW w:w="1493" w:type="dxa"/>
            <w:tcBorders>
              <w:top w:val="single" w:sz="4" w:space="0" w:color="auto"/>
              <w:left w:val="nil"/>
              <w:bottom w:val="single" w:sz="4" w:space="0" w:color="auto"/>
              <w:right w:val="single" w:sz="8" w:space="0" w:color="auto"/>
            </w:tcBorders>
            <w:shd w:val="clear" w:color="auto" w:fill="auto"/>
            <w:noWrap/>
            <w:vAlign w:val="bottom"/>
            <w:hideMark/>
          </w:tcPr>
          <w:p w14:paraId="1CAD210E"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nil"/>
              <w:left w:val="nil"/>
              <w:bottom w:val="single" w:sz="4" w:space="0" w:color="auto"/>
              <w:right w:val="single" w:sz="8" w:space="0" w:color="auto"/>
            </w:tcBorders>
            <w:shd w:val="clear" w:color="auto" w:fill="auto"/>
            <w:noWrap/>
            <w:vAlign w:val="bottom"/>
            <w:hideMark/>
          </w:tcPr>
          <w:p w14:paraId="38D9CCDC"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w:t>
            </w:r>
          </w:p>
        </w:tc>
      </w:tr>
      <w:tr w:rsidR="00264F35" w:rsidRPr="00424E27" w14:paraId="4C3DBE1B" w14:textId="77777777" w:rsidTr="003F513A">
        <w:trPr>
          <w:trHeight w:val="289"/>
        </w:trPr>
        <w:tc>
          <w:tcPr>
            <w:tcW w:w="5235" w:type="dxa"/>
            <w:tcBorders>
              <w:top w:val="single" w:sz="4" w:space="0" w:color="auto"/>
              <w:left w:val="single" w:sz="8" w:space="0" w:color="auto"/>
              <w:bottom w:val="single" w:sz="4" w:space="0" w:color="auto"/>
              <w:right w:val="nil"/>
            </w:tcBorders>
            <w:shd w:val="clear" w:color="auto" w:fill="auto"/>
            <w:noWrap/>
            <w:vAlign w:val="bottom"/>
            <w:hideMark/>
          </w:tcPr>
          <w:p w14:paraId="692D5220"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Task F: Briefing #4</w:t>
            </w:r>
          </w:p>
        </w:tc>
        <w:tc>
          <w:tcPr>
            <w:tcW w:w="13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AB47457"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$20,000</w:t>
            </w:r>
          </w:p>
        </w:tc>
        <w:tc>
          <w:tcPr>
            <w:tcW w:w="1493" w:type="dxa"/>
            <w:tcBorders>
              <w:top w:val="single" w:sz="4" w:space="0" w:color="auto"/>
              <w:left w:val="nil"/>
              <w:bottom w:val="single" w:sz="4" w:space="0" w:color="auto"/>
              <w:right w:val="single" w:sz="8" w:space="0" w:color="auto"/>
            </w:tcBorders>
            <w:shd w:val="clear" w:color="auto" w:fill="auto"/>
            <w:noWrap/>
            <w:vAlign w:val="bottom"/>
            <w:hideMark/>
          </w:tcPr>
          <w:p w14:paraId="47DFD17F" w14:textId="77777777" w:rsidR="00264F35" w:rsidRPr="00883E29" w:rsidRDefault="000233D7" w:rsidP="00264F35">
            <w:pPr>
              <w:widowControl/>
              <w:autoSpaceDE/>
              <w:autoSpaceDN/>
              <w:adjustRightInd/>
              <w:jc w:val="center"/>
              <w:rPr>
                <w:color w:val="000000"/>
                <w:sz w:val="22"/>
                <w:szCs w:val="22"/>
              </w:rPr>
            </w:pPr>
            <w:r>
              <w:rPr>
                <w:color w:val="000000"/>
                <w:sz w:val="22"/>
                <w:szCs w:val="22"/>
              </w:rPr>
              <w:t>Yes</w:t>
            </w:r>
          </w:p>
        </w:tc>
        <w:tc>
          <w:tcPr>
            <w:tcW w:w="1272" w:type="dxa"/>
            <w:tcBorders>
              <w:top w:val="single" w:sz="4" w:space="0" w:color="auto"/>
              <w:left w:val="nil"/>
              <w:bottom w:val="single" w:sz="4" w:space="0" w:color="auto"/>
              <w:right w:val="single" w:sz="8" w:space="0" w:color="auto"/>
            </w:tcBorders>
            <w:shd w:val="clear" w:color="auto" w:fill="auto"/>
            <w:noWrap/>
            <w:vAlign w:val="bottom"/>
            <w:hideMark/>
          </w:tcPr>
          <w:p w14:paraId="7074CF33" w14:textId="77777777" w:rsidR="00264F35" w:rsidRPr="00883E29" w:rsidRDefault="000233D7" w:rsidP="00264F35">
            <w:pPr>
              <w:widowControl/>
              <w:autoSpaceDE/>
              <w:autoSpaceDN/>
              <w:adjustRightInd/>
              <w:jc w:val="center"/>
              <w:rPr>
                <w:color w:val="000000"/>
                <w:sz w:val="22"/>
                <w:szCs w:val="22"/>
              </w:rPr>
            </w:pPr>
            <w:r>
              <w:rPr>
                <w:color w:val="000000"/>
                <w:sz w:val="22"/>
                <w:szCs w:val="22"/>
              </w:rPr>
              <w:t>$20,000</w:t>
            </w:r>
          </w:p>
        </w:tc>
      </w:tr>
      <w:tr w:rsidR="00264F35" w:rsidRPr="00424E27" w14:paraId="4727767E" w14:textId="77777777" w:rsidTr="003F513A">
        <w:trPr>
          <w:trHeight w:val="289"/>
        </w:trPr>
        <w:tc>
          <w:tcPr>
            <w:tcW w:w="5235" w:type="dxa"/>
            <w:tcBorders>
              <w:top w:val="single" w:sz="4" w:space="0" w:color="auto"/>
              <w:left w:val="single" w:sz="4" w:space="0" w:color="auto"/>
              <w:bottom w:val="single" w:sz="4" w:space="0" w:color="auto"/>
              <w:right w:val="nil"/>
            </w:tcBorders>
            <w:shd w:val="clear" w:color="auto" w:fill="auto"/>
            <w:noWrap/>
            <w:vAlign w:val="bottom"/>
            <w:hideMark/>
          </w:tcPr>
          <w:p w14:paraId="77B2DEE8" w14:textId="77777777" w:rsidR="00264F35" w:rsidRPr="00883E29" w:rsidRDefault="00264F35" w:rsidP="00264F35">
            <w:pPr>
              <w:widowControl/>
              <w:autoSpaceDE/>
              <w:autoSpaceDN/>
              <w:adjustRightInd/>
              <w:rPr>
                <w:color w:val="000000"/>
                <w:sz w:val="22"/>
                <w:szCs w:val="22"/>
              </w:rPr>
            </w:pPr>
            <w:r w:rsidRPr="00883E29">
              <w:rPr>
                <w:color w:val="000000"/>
                <w:sz w:val="22"/>
                <w:szCs w:val="22"/>
              </w:rPr>
              <w:t>Option H (Data Collection Design Experiments/Pretests)</w:t>
            </w:r>
          </w:p>
        </w:tc>
        <w:tc>
          <w:tcPr>
            <w:tcW w:w="13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1E66F7"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$300,000</w:t>
            </w:r>
          </w:p>
        </w:tc>
        <w:tc>
          <w:tcPr>
            <w:tcW w:w="1493" w:type="dxa"/>
            <w:tcBorders>
              <w:top w:val="single" w:sz="4" w:space="0" w:color="auto"/>
              <w:left w:val="nil"/>
              <w:bottom w:val="single" w:sz="4" w:space="0" w:color="auto"/>
              <w:right w:val="single" w:sz="8" w:space="0" w:color="auto"/>
            </w:tcBorders>
            <w:shd w:val="clear" w:color="auto" w:fill="auto"/>
            <w:noWrap/>
            <w:vAlign w:val="bottom"/>
            <w:hideMark/>
          </w:tcPr>
          <w:p w14:paraId="3D60CECC"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Yes</w:t>
            </w:r>
          </w:p>
        </w:tc>
        <w:tc>
          <w:tcPr>
            <w:tcW w:w="1272" w:type="dxa"/>
            <w:tcBorders>
              <w:top w:val="single" w:sz="4" w:space="0" w:color="auto"/>
              <w:left w:val="nil"/>
              <w:bottom w:val="single" w:sz="4" w:space="0" w:color="auto"/>
              <w:right w:val="single" w:sz="8" w:space="0" w:color="auto"/>
            </w:tcBorders>
            <w:shd w:val="clear" w:color="auto" w:fill="auto"/>
            <w:noWrap/>
            <w:vAlign w:val="bottom"/>
            <w:hideMark/>
          </w:tcPr>
          <w:p w14:paraId="45EA435F" w14:textId="77777777" w:rsidR="00264F35" w:rsidRPr="00883E29" w:rsidRDefault="00264F35" w:rsidP="00264F35">
            <w:pPr>
              <w:widowControl/>
              <w:autoSpaceDE/>
              <w:autoSpaceDN/>
              <w:adjustRightInd/>
              <w:jc w:val="center"/>
              <w:rPr>
                <w:color w:val="000000"/>
                <w:sz w:val="22"/>
                <w:szCs w:val="22"/>
              </w:rPr>
            </w:pPr>
            <w:r w:rsidRPr="00883E29">
              <w:rPr>
                <w:color w:val="000000"/>
                <w:sz w:val="22"/>
                <w:szCs w:val="22"/>
              </w:rPr>
              <w:t>$300,000</w:t>
            </w:r>
          </w:p>
        </w:tc>
      </w:tr>
      <w:tr w:rsidR="00264F35" w:rsidRPr="00424E27" w14:paraId="5F122BFC" w14:textId="77777777" w:rsidTr="003F513A">
        <w:trPr>
          <w:trHeight w:val="301"/>
        </w:trPr>
        <w:tc>
          <w:tcPr>
            <w:tcW w:w="5235" w:type="dxa"/>
            <w:tcBorders>
              <w:top w:val="single" w:sz="4" w:space="0" w:color="auto"/>
              <w:left w:val="single" w:sz="8" w:space="0" w:color="auto"/>
              <w:bottom w:val="single" w:sz="8" w:space="0" w:color="auto"/>
              <w:right w:val="nil"/>
            </w:tcBorders>
            <w:shd w:val="clear" w:color="auto" w:fill="auto"/>
            <w:noWrap/>
            <w:vAlign w:val="bottom"/>
            <w:hideMark/>
          </w:tcPr>
          <w:p w14:paraId="4FF99797" w14:textId="77777777" w:rsidR="00264F35" w:rsidRPr="00EE452D" w:rsidRDefault="00264F35" w:rsidP="00264F35">
            <w:pPr>
              <w:widowControl/>
              <w:autoSpaceDE/>
              <w:autoSpaceDN/>
              <w:adjustRightInd/>
              <w:rPr>
                <w:b/>
                <w:bCs/>
                <w:color w:val="000000"/>
                <w:sz w:val="22"/>
                <w:szCs w:val="22"/>
              </w:rPr>
            </w:pPr>
            <w:r w:rsidRPr="00EE452D">
              <w:rPr>
                <w:b/>
                <w:bCs/>
                <w:color w:val="000000"/>
                <w:sz w:val="22"/>
                <w:szCs w:val="22"/>
              </w:rPr>
              <w:t>Total</w:t>
            </w:r>
          </w:p>
        </w:tc>
        <w:tc>
          <w:tcPr>
            <w:tcW w:w="138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5395133" w14:textId="77777777" w:rsidR="00264F35" w:rsidRPr="00EE452D" w:rsidRDefault="00264F35" w:rsidP="0007437C">
            <w:pPr>
              <w:widowControl/>
              <w:autoSpaceDE/>
              <w:autoSpaceDN/>
              <w:adjustRightInd/>
              <w:jc w:val="center"/>
              <w:rPr>
                <w:b/>
                <w:bCs/>
                <w:color w:val="000000"/>
                <w:sz w:val="22"/>
                <w:szCs w:val="22"/>
              </w:rPr>
            </w:pPr>
            <w:r w:rsidRPr="00EE452D">
              <w:rPr>
                <w:b/>
                <w:bCs/>
                <w:color w:val="000000"/>
                <w:sz w:val="22"/>
                <w:szCs w:val="22"/>
              </w:rPr>
              <w:t>$7,</w:t>
            </w:r>
            <w:r w:rsidR="0007437C" w:rsidRPr="00EE452D">
              <w:rPr>
                <w:b/>
                <w:bCs/>
                <w:color w:val="000000"/>
                <w:sz w:val="22"/>
                <w:szCs w:val="22"/>
              </w:rPr>
              <w:t>33</w:t>
            </w:r>
            <w:r w:rsidRPr="00EE452D">
              <w:rPr>
                <w:b/>
                <w:bCs/>
                <w:color w:val="000000"/>
                <w:sz w:val="22"/>
                <w:szCs w:val="22"/>
              </w:rPr>
              <w:t>0,000</w:t>
            </w:r>
          </w:p>
        </w:tc>
        <w:tc>
          <w:tcPr>
            <w:tcW w:w="1493" w:type="dxa"/>
            <w:tcBorders>
              <w:top w:val="single" w:sz="4" w:space="0" w:color="auto"/>
              <w:left w:val="nil"/>
              <w:bottom w:val="single" w:sz="8" w:space="0" w:color="auto"/>
              <w:right w:val="single" w:sz="8" w:space="0" w:color="auto"/>
            </w:tcBorders>
            <w:shd w:val="clear" w:color="auto" w:fill="auto"/>
            <w:noWrap/>
            <w:vAlign w:val="bottom"/>
            <w:hideMark/>
          </w:tcPr>
          <w:p w14:paraId="72ECE718" w14:textId="77777777" w:rsidR="00264F35" w:rsidRPr="00EE452D" w:rsidRDefault="00264F35" w:rsidP="00264F35">
            <w:pPr>
              <w:widowControl/>
              <w:autoSpaceDE/>
              <w:autoSpaceDN/>
              <w:adjustRightInd/>
              <w:jc w:val="center"/>
              <w:rPr>
                <w:b/>
                <w:bCs/>
                <w:color w:val="000000"/>
                <w:sz w:val="22"/>
                <w:szCs w:val="22"/>
              </w:rPr>
            </w:pPr>
            <w:r w:rsidRPr="00EE452D">
              <w:rPr>
                <w:b/>
                <w:bCs/>
                <w:color w:val="000000"/>
                <w:sz w:val="22"/>
                <w:szCs w:val="22"/>
              </w:rPr>
              <w:t> </w:t>
            </w:r>
          </w:p>
        </w:tc>
        <w:tc>
          <w:tcPr>
            <w:tcW w:w="1272" w:type="dxa"/>
            <w:tcBorders>
              <w:top w:val="single" w:sz="4" w:space="0" w:color="auto"/>
              <w:left w:val="nil"/>
              <w:bottom w:val="single" w:sz="8" w:space="0" w:color="auto"/>
              <w:right w:val="single" w:sz="8" w:space="0" w:color="auto"/>
            </w:tcBorders>
            <w:shd w:val="clear" w:color="auto" w:fill="auto"/>
            <w:noWrap/>
            <w:vAlign w:val="bottom"/>
            <w:hideMark/>
          </w:tcPr>
          <w:p w14:paraId="056A6E32" w14:textId="77777777" w:rsidR="00264F35" w:rsidRPr="00EE452D" w:rsidRDefault="00264F35" w:rsidP="000233D7">
            <w:pPr>
              <w:widowControl/>
              <w:autoSpaceDE/>
              <w:autoSpaceDN/>
              <w:adjustRightInd/>
              <w:jc w:val="center"/>
              <w:rPr>
                <w:b/>
                <w:bCs/>
                <w:color w:val="000000"/>
                <w:sz w:val="22"/>
                <w:szCs w:val="22"/>
              </w:rPr>
            </w:pPr>
            <w:r w:rsidRPr="00EE452D">
              <w:rPr>
                <w:b/>
                <w:bCs/>
                <w:color w:val="000000"/>
                <w:sz w:val="22"/>
                <w:szCs w:val="22"/>
              </w:rPr>
              <w:t>$</w:t>
            </w:r>
            <w:r w:rsidR="000233D7" w:rsidRPr="00EE452D">
              <w:rPr>
                <w:b/>
                <w:bCs/>
                <w:color w:val="000000"/>
                <w:sz w:val="22"/>
                <w:szCs w:val="22"/>
              </w:rPr>
              <w:t>7</w:t>
            </w:r>
            <w:r w:rsidRPr="00EE452D">
              <w:rPr>
                <w:b/>
                <w:bCs/>
                <w:color w:val="000000"/>
                <w:sz w:val="22"/>
                <w:szCs w:val="22"/>
              </w:rPr>
              <w:t>,3</w:t>
            </w:r>
            <w:r w:rsidR="000233D7" w:rsidRPr="00EE452D">
              <w:rPr>
                <w:b/>
                <w:bCs/>
                <w:color w:val="000000"/>
                <w:sz w:val="22"/>
                <w:szCs w:val="22"/>
              </w:rPr>
              <w:t>3</w:t>
            </w:r>
            <w:r w:rsidRPr="00EE452D">
              <w:rPr>
                <w:b/>
                <w:bCs/>
                <w:color w:val="000000"/>
                <w:sz w:val="22"/>
                <w:szCs w:val="22"/>
              </w:rPr>
              <w:t>0,000</w:t>
            </w:r>
          </w:p>
        </w:tc>
      </w:tr>
    </w:tbl>
    <w:p w14:paraId="572E48BF" w14:textId="77777777" w:rsidR="00855ABA" w:rsidRPr="005C50F6" w:rsidRDefault="00855ABA" w:rsidP="00FF1C6E">
      <w:pPr>
        <w:rPr>
          <w:sz w:val="24"/>
          <w:highlight w:val="yellow"/>
        </w:rPr>
      </w:pPr>
    </w:p>
    <w:p w14:paraId="25A9BE4D" w14:textId="77777777" w:rsidR="000063C8" w:rsidRDefault="000063C8" w:rsidP="005C50F6">
      <w:pPr>
        <w:rPr>
          <w:sz w:val="24"/>
        </w:rPr>
      </w:pPr>
    </w:p>
    <w:p w14:paraId="7BF64D8F" w14:textId="37AD56D5" w:rsidR="005C50F6" w:rsidRPr="005C50F6" w:rsidRDefault="005C50F6" w:rsidP="005C50F6">
      <w:pPr>
        <w:rPr>
          <w:sz w:val="24"/>
        </w:rPr>
      </w:pPr>
      <w:r w:rsidRPr="005C50F6">
        <w:rPr>
          <w:sz w:val="24"/>
        </w:rPr>
        <w:t xml:space="preserve">The cost to the government to oversee the contractor and review documents is estimated at the labor rate of a GS-14, step </w:t>
      </w:r>
      <w:r w:rsidR="00886A82">
        <w:rPr>
          <w:sz w:val="24"/>
        </w:rPr>
        <w:t>4</w:t>
      </w:r>
      <w:r w:rsidRPr="005C50F6">
        <w:rPr>
          <w:sz w:val="24"/>
        </w:rPr>
        <w:t xml:space="preserve"> Federa</w:t>
      </w:r>
      <w:r w:rsidR="009A7F57">
        <w:rPr>
          <w:sz w:val="24"/>
        </w:rPr>
        <w:t>l employee in Washington DC ($5</w:t>
      </w:r>
      <w:r w:rsidR="00886A82">
        <w:rPr>
          <w:sz w:val="24"/>
        </w:rPr>
        <w:t>9.04</w:t>
      </w:r>
      <w:r w:rsidRPr="005C50F6">
        <w:rPr>
          <w:sz w:val="24"/>
        </w:rPr>
        <w:t xml:space="preserve">, see </w:t>
      </w:r>
      <w:hyperlink r:id="rId9" w:history="1">
        <w:r w:rsidR="00886A82" w:rsidRPr="00F35B0B">
          <w:rPr>
            <w:rStyle w:val="Hyperlink"/>
            <w:sz w:val="24"/>
          </w:rPr>
          <w:t>http://www.opm.gov/policy-data-oversight/pay-leave/salaries-wages/salary-tables/pdf/2015/DCB_h.pdf</w:t>
        </w:r>
      </w:hyperlink>
      <w:r w:rsidRPr="005C50F6">
        <w:rPr>
          <w:sz w:val="24"/>
        </w:rPr>
        <w:t xml:space="preserve">) spending </w:t>
      </w:r>
      <w:r w:rsidR="003A0EBF">
        <w:rPr>
          <w:sz w:val="24"/>
        </w:rPr>
        <w:t>400</w:t>
      </w:r>
      <w:r w:rsidRPr="005C50F6">
        <w:rPr>
          <w:sz w:val="24"/>
        </w:rPr>
        <w:t xml:space="preserve"> hours </w:t>
      </w:r>
      <w:r w:rsidR="009A7F57">
        <w:rPr>
          <w:sz w:val="24"/>
        </w:rPr>
        <w:t xml:space="preserve">per year </w:t>
      </w:r>
      <w:r w:rsidRPr="005C50F6">
        <w:rPr>
          <w:sz w:val="24"/>
        </w:rPr>
        <w:t>for a</w:t>
      </w:r>
      <w:r w:rsidR="008C130B">
        <w:rPr>
          <w:sz w:val="24"/>
        </w:rPr>
        <w:t>n annualized</w:t>
      </w:r>
      <w:r w:rsidRPr="005C50F6">
        <w:rPr>
          <w:sz w:val="24"/>
        </w:rPr>
        <w:t xml:space="preserve"> cost of $</w:t>
      </w:r>
      <w:r w:rsidR="008C130B">
        <w:rPr>
          <w:sz w:val="24"/>
        </w:rPr>
        <w:t>20,572</w:t>
      </w:r>
      <w:r w:rsidRPr="005C50F6">
        <w:rPr>
          <w:sz w:val="24"/>
        </w:rPr>
        <w:t xml:space="preserve"> (</w:t>
      </w:r>
      <w:r w:rsidR="009A7F57">
        <w:rPr>
          <w:sz w:val="24"/>
        </w:rPr>
        <w:t>$5</w:t>
      </w:r>
      <w:r w:rsidR="00886A82">
        <w:rPr>
          <w:sz w:val="24"/>
        </w:rPr>
        <w:t>9.04</w:t>
      </w:r>
      <w:r w:rsidR="009A7F57">
        <w:rPr>
          <w:sz w:val="24"/>
        </w:rPr>
        <w:t xml:space="preserve"> x 400</w:t>
      </w:r>
      <w:r w:rsidRPr="005C50F6">
        <w:rPr>
          <w:sz w:val="24"/>
        </w:rPr>
        <w:t xml:space="preserve"> hours = $</w:t>
      </w:r>
      <w:r w:rsidR="008C130B">
        <w:rPr>
          <w:sz w:val="24"/>
        </w:rPr>
        <w:t>2</w:t>
      </w:r>
      <w:r w:rsidR="00886A82">
        <w:rPr>
          <w:sz w:val="24"/>
        </w:rPr>
        <w:t>3,616</w:t>
      </w:r>
      <w:r w:rsidRPr="005C50F6">
        <w:rPr>
          <w:sz w:val="24"/>
        </w:rPr>
        <w:t>).</w:t>
      </w:r>
      <w:r w:rsidR="008C130B">
        <w:rPr>
          <w:sz w:val="24"/>
        </w:rPr>
        <w:t xml:space="preserve"> Over the course of the six year </w:t>
      </w:r>
      <w:r w:rsidR="00B93498">
        <w:rPr>
          <w:sz w:val="24"/>
        </w:rPr>
        <w:t>contract, this totals about $141,696</w:t>
      </w:r>
      <w:r w:rsidR="008C130B">
        <w:rPr>
          <w:sz w:val="24"/>
        </w:rPr>
        <w:t xml:space="preserve"> ($2</w:t>
      </w:r>
      <w:r w:rsidR="00886A82">
        <w:rPr>
          <w:sz w:val="24"/>
        </w:rPr>
        <w:t>3,616</w:t>
      </w:r>
      <w:r w:rsidR="00B93498">
        <w:rPr>
          <w:sz w:val="24"/>
        </w:rPr>
        <w:t xml:space="preserve"> x 6 years = $141,696</w:t>
      </w:r>
      <w:r w:rsidR="008C130B">
        <w:rPr>
          <w:sz w:val="24"/>
        </w:rPr>
        <w:t>).</w:t>
      </w:r>
    </w:p>
    <w:p w14:paraId="330A72FE" w14:textId="77777777" w:rsidR="005C50F6" w:rsidRPr="005C50F6" w:rsidRDefault="005C50F6" w:rsidP="005C50F6">
      <w:pPr>
        <w:ind w:left="720"/>
        <w:rPr>
          <w:sz w:val="24"/>
        </w:rPr>
      </w:pPr>
    </w:p>
    <w:p w14:paraId="32EA407B" w14:textId="4ADD5A78" w:rsidR="005C50F6" w:rsidRDefault="005C50F6" w:rsidP="00FF1C6E">
      <w:pPr>
        <w:rPr>
          <w:sz w:val="24"/>
        </w:rPr>
      </w:pPr>
      <w:r w:rsidRPr="005C50F6">
        <w:rPr>
          <w:sz w:val="24"/>
        </w:rPr>
        <w:t>Overall, the contract and oversight costs ar</w:t>
      </w:r>
      <w:r w:rsidR="00241D8D">
        <w:rPr>
          <w:sz w:val="24"/>
        </w:rPr>
        <w:t>e estimated to total $7,471,696</w:t>
      </w:r>
      <w:r w:rsidR="00494609">
        <w:rPr>
          <w:sz w:val="24"/>
        </w:rPr>
        <w:t xml:space="preserve"> over the course of the contract.</w:t>
      </w:r>
      <w:r w:rsidR="008C130B">
        <w:rPr>
          <w:sz w:val="24"/>
        </w:rPr>
        <w:t xml:space="preserve"> The</w:t>
      </w:r>
      <w:r w:rsidR="00241D8D">
        <w:rPr>
          <w:sz w:val="24"/>
        </w:rPr>
        <w:t xml:space="preserve"> annualized cost is about $1,245,283</w:t>
      </w:r>
      <w:r w:rsidR="008C130B">
        <w:rPr>
          <w:sz w:val="24"/>
        </w:rPr>
        <w:t xml:space="preserve"> ($7,4</w:t>
      </w:r>
      <w:r w:rsidR="00241D8D">
        <w:rPr>
          <w:sz w:val="24"/>
        </w:rPr>
        <w:t>71,696 / 6 years = $1,245,283</w:t>
      </w:r>
      <w:r w:rsidR="008C130B">
        <w:rPr>
          <w:sz w:val="24"/>
        </w:rPr>
        <w:t>).</w:t>
      </w:r>
    </w:p>
    <w:p w14:paraId="7055768A" w14:textId="77777777" w:rsidR="00557C4F" w:rsidRPr="005C50F6" w:rsidRDefault="00557C4F" w:rsidP="00FF1C6E">
      <w:pPr>
        <w:rPr>
          <w:sz w:val="24"/>
          <w:highlight w:val="yellow"/>
        </w:rPr>
      </w:pPr>
    </w:p>
    <w:p w14:paraId="467CA14A" w14:textId="77777777" w:rsidR="00855ABA" w:rsidRPr="00D07695" w:rsidRDefault="000839A6" w:rsidP="00FF1C6E">
      <w:pPr>
        <w:pStyle w:val="Heading2"/>
        <w:rPr>
          <w:szCs w:val="24"/>
        </w:rPr>
      </w:pPr>
      <w:bookmarkStart w:id="24" w:name="_Toc479522857"/>
      <w:r w:rsidRPr="00D07695">
        <w:rPr>
          <w:szCs w:val="24"/>
        </w:rPr>
        <w:lastRenderedPageBreak/>
        <w:t xml:space="preserve">A.15. </w:t>
      </w:r>
      <w:r w:rsidR="00855ABA" w:rsidRPr="00D07695">
        <w:rPr>
          <w:szCs w:val="24"/>
        </w:rPr>
        <w:t>Explanation for Program Changes or Adjustments</w:t>
      </w:r>
      <w:bookmarkEnd w:id="24"/>
    </w:p>
    <w:p w14:paraId="3644730B" w14:textId="77777777" w:rsidR="00855ABA" w:rsidRPr="00D07695" w:rsidRDefault="00855ABA" w:rsidP="00FF1C6E">
      <w:pPr>
        <w:pStyle w:val="BodyTextIndent"/>
        <w:ind w:left="0"/>
        <w:rPr>
          <w:rFonts w:ascii="Times New Roman" w:hAnsi="Times New Roman"/>
        </w:rPr>
      </w:pPr>
      <w:r w:rsidRPr="00D07695">
        <w:rPr>
          <w:rFonts w:ascii="Times New Roman" w:hAnsi="Times New Roman"/>
        </w:rPr>
        <w:t>This is a new data collection.</w:t>
      </w:r>
    </w:p>
    <w:p w14:paraId="7AFE3AB2" w14:textId="77777777" w:rsidR="002A4E8D" w:rsidRDefault="002A4E8D" w:rsidP="00FF1C6E">
      <w:pPr>
        <w:pStyle w:val="Heading2"/>
        <w:rPr>
          <w:szCs w:val="24"/>
        </w:rPr>
      </w:pPr>
    </w:p>
    <w:p w14:paraId="061EA65E" w14:textId="77777777" w:rsidR="00855ABA" w:rsidRPr="00D07695" w:rsidRDefault="000839A6" w:rsidP="00FF1C6E">
      <w:pPr>
        <w:pStyle w:val="Heading2"/>
        <w:rPr>
          <w:szCs w:val="24"/>
        </w:rPr>
      </w:pPr>
      <w:bookmarkStart w:id="25" w:name="_Toc479522858"/>
      <w:r w:rsidRPr="00D07695">
        <w:rPr>
          <w:szCs w:val="24"/>
        </w:rPr>
        <w:t xml:space="preserve">A.16. </w:t>
      </w:r>
      <w:r w:rsidR="00855ABA" w:rsidRPr="00D07695">
        <w:rPr>
          <w:szCs w:val="24"/>
        </w:rPr>
        <w:t>Plans for Tabulation and Publication and Project Time Schedule</w:t>
      </w:r>
      <w:bookmarkEnd w:id="25"/>
    </w:p>
    <w:p w14:paraId="60E1269C" w14:textId="77777777" w:rsidR="0004776A" w:rsidRPr="00D07695" w:rsidRDefault="0004776A" w:rsidP="00FF1C6E">
      <w:pPr>
        <w:rPr>
          <w:sz w:val="24"/>
        </w:rPr>
      </w:pPr>
    </w:p>
    <w:p w14:paraId="21865A48" w14:textId="7D350963" w:rsidR="00883E29" w:rsidRDefault="0004776A">
      <w:pPr>
        <w:widowControl/>
        <w:autoSpaceDE/>
        <w:autoSpaceDN/>
        <w:adjustRightInd/>
        <w:rPr>
          <w:b/>
          <w:sz w:val="24"/>
        </w:rPr>
      </w:pPr>
      <w:r w:rsidRPr="005F048A">
        <w:rPr>
          <w:sz w:val="24"/>
        </w:rPr>
        <w:t xml:space="preserve">We anticipate </w:t>
      </w:r>
      <w:r w:rsidR="00D62C42" w:rsidRPr="005F048A">
        <w:rPr>
          <w:sz w:val="24"/>
        </w:rPr>
        <w:t xml:space="preserve">that data collection will begin in </w:t>
      </w:r>
      <w:r w:rsidRPr="00E06555">
        <w:rPr>
          <w:sz w:val="24"/>
        </w:rPr>
        <w:t>201</w:t>
      </w:r>
      <w:r w:rsidR="0005317D">
        <w:rPr>
          <w:sz w:val="24"/>
        </w:rPr>
        <w:t>7</w:t>
      </w:r>
      <w:r w:rsidRPr="005F048A">
        <w:rPr>
          <w:sz w:val="24"/>
        </w:rPr>
        <w:t xml:space="preserve">, contingent upon OMB </w:t>
      </w:r>
      <w:r w:rsidR="00907F66" w:rsidRPr="005F048A">
        <w:rPr>
          <w:sz w:val="24"/>
        </w:rPr>
        <w:t>clearance</w:t>
      </w:r>
      <w:r w:rsidR="000E5345">
        <w:rPr>
          <w:sz w:val="24"/>
        </w:rPr>
        <w:t xml:space="preserve"> to conduct pretesting</w:t>
      </w:r>
      <w:r w:rsidR="008D6204" w:rsidRPr="005F048A">
        <w:rPr>
          <w:sz w:val="24"/>
        </w:rPr>
        <w:t xml:space="preserve">, </w:t>
      </w:r>
      <w:r w:rsidR="00937DE2" w:rsidRPr="005F048A">
        <w:rPr>
          <w:sz w:val="24"/>
        </w:rPr>
        <w:t>and be completed</w:t>
      </w:r>
      <w:r w:rsidR="00AC70D0" w:rsidRPr="005F048A">
        <w:rPr>
          <w:sz w:val="24"/>
        </w:rPr>
        <w:t xml:space="preserve"> </w:t>
      </w:r>
      <w:r w:rsidR="00776389">
        <w:rPr>
          <w:sz w:val="24"/>
        </w:rPr>
        <w:t>with</w:t>
      </w:r>
      <w:r w:rsidR="00766F6C">
        <w:rPr>
          <w:sz w:val="24"/>
        </w:rPr>
        <w:t xml:space="preserve">in </w:t>
      </w:r>
      <w:r w:rsidR="000E5345">
        <w:rPr>
          <w:sz w:val="24"/>
        </w:rPr>
        <w:t>two years</w:t>
      </w:r>
      <w:r w:rsidR="00937DE2" w:rsidRPr="005F048A">
        <w:rPr>
          <w:sz w:val="24"/>
        </w:rPr>
        <w:t xml:space="preserve"> as described below in A.16a.  Publication of reports will continue </w:t>
      </w:r>
      <w:r w:rsidR="000E5345">
        <w:rPr>
          <w:sz w:val="24"/>
        </w:rPr>
        <w:t>until three months after completion of the data collection</w:t>
      </w:r>
      <w:r w:rsidR="00937DE2" w:rsidRPr="005F048A">
        <w:rPr>
          <w:sz w:val="24"/>
        </w:rPr>
        <w:t>.</w:t>
      </w:r>
      <w:r w:rsidRPr="00D07695">
        <w:rPr>
          <w:sz w:val="24"/>
        </w:rPr>
        <w:t xml:space="preserve">  </w:t>
      </w:r>
      <w:r w:rsidR="009C361C" w:rsidRPr="00D07695">
        <w:rPr>
          <w:sz w:val="24"/>
        </w:rPr>
        <w:t>Each stage of data collection is associated with the publication of a report, as listed below</w:t>
      </w:r>
      <w:r w:rsidR="008D6204" w:rsidRPr="00D07695">
        <w:rPr>
          <w:sz w:val="24"/>
        </w:rPr>
        <w:t xml:space="preserve"> in A.16b.</w:t>
      </w:r>
      <w:r w:rsidR="009C361C" w:rsidRPr="00D07695">
        <w:rPr>
          <w:sz w:val="24"/>
        </w:rPr>
        <w:t xml:space="preserve">  </w:t>
      </w:r>
      <w:r w:rsidR="00D62C42" w:rsidRPr="00D07695">
        <w:rPr>
          <w:sz w:val="24"/>
        </w:rPr>
        <w:t>Each report will</w:t>
      </w:r>
      <w:r w:rsidR="009C361C" w:rsidRPr="00D07695">
        <w:rPr>
          <w:sz w:val="24"/>
        </w:rPr>
        <w:t xml:space="preserve"> </w:t>
      </w:r>
      <w:r w:rsidR="008D7014" w:rsidRPr="00D07695">
        <w:rPr>
          <w:sz w:val="24"/>
        </w:rPr>
        <w:t xml:space="preserve">include </w:t>
      </w:r>
      <w:r w:rsidR="00D62C42" w:rsidRPr="00D07695">
        <w:rPr>
          <w:sz w:val="24"/>
        </w:rPr>
        <w:t xml:space="preserve">numerous </w:t>
      </w:r>
      <w:r w:rsidR="009C361C" w:rsidRPr="00D07695">
        <w:rPr>
          <w:sz w:val="24"/>
        </w:rPr>
        <w:t xml:space="preserve">tabulations of </w:t>
      </w:r>
      <w:r w:rsidR="00D62C42" w:rsidRPr="00D07695">
        <w:rPr>
          <w:sz w:val="24"/>
        </w:rPr>
        <w:t xml:space="preserve">methodological and substantive </w:t>
      </w:r>
      <w:r w:rsidR="008D7014" w:rsidRPr="00D07695">
        <w:rPr>
          <w:sz w:val="24"/>
        </w:rPr>
        <w:t>results</w:t>
      </w:r>
      <w:r w:rsidR="00D62C42" w:rsidRPr="00D07695">
        <w:rPr>
          <w:sz w:val="24"/>
        </w:rPr>
        <w:t>. The reports will be written in a manner accessible to policymakers and researchers and will be subject to RAND’s review process to ensure that high standards for quality are met.  Each report will also include a technical appendix containing information that is too technical to be discussed in the main body of the report.  The research team will utilize the most appropriate, rigorous statistical</w:t>
      </w:r>
      <w:r w:rsidR="008D7014" w:rsidRPr="00D07695">
        <w:rPr>
          <w:sz w:val="24"/>
        </w:rPr>
        <w:t xml:space="preserve"> methods</w:t>
      </w:r>
      <w:r w:rsidR="00D62C42" w:rsidRPr="00D07695">
        <w:rPr>
          <w:sz w:val="24"/>
        </w:rPr>
        <w:t xml:space="preserve"> to perform the</w:t>
      </w:r>
      <w:r w:rsidR="00574F44" w:rsidRPr="00D07695">
        <w:rPr>
          <w:sz w:val="24"/>
        </w:rPr>
        <w:t>se</w:t>
      </w:r>
      <w:r w:rsidR="00D62C42" w:rsidRPr="00D07695">
        <w:rPr>
          <w:sz w:val="24"/>
        </w:rPr>
        <w:t xml:space="preserve"> tabulations. </w:t>
      </w:r>
    </w:p>
    <w:p w14:paraId="76E8CD20" w14:textId="76B62102" w:rsidR="00CC43AE" w:rsidRDefault="00CC43AE">
      <w:pPr>
        <w:widowControl/>
        <w:autoSpaceDE/>
        <w:autoSpaceDN/>
        <w:adjustRightInd/>
        <w:rPr>
          <w:b/>
          <w:sz w:val="24"/>
        </w:rPr>
      </w:pPr>
      <w:bookmarkStart w:id="26" w:name="_Toc479522859"/>
    </w:p>
    <w:p w14:paraId="7ECB0E21" w14:textId="77777777" w:rsidR="00C05F7B" w:rsidRDefault="00C05F7B">
      <w:pPr>
        <w:widowControl/>
        <w:autoSpaceDE/>
        <w:autoSpaceDN/>
        <w:adjustRightInd/>
        <w:rPr>
          <w:b/>
          <w:sz w:val="24"/>
        </w:rPr>
      </w:pPr>
      <w:r>
        <w:br w:type="page"/>
      </w:r>
    </w:p>
    <w:p w14:paraId="4EE9FA7A" w14:textId="77777777" w:rsidR="00C05F7B" w:rsidRDefault="00C05F7B" w:rsidP="00FF1C6E">
      <w:pPr>
        <w:pStyle w:val="Heading3"/>
        <w:rPr>
          <w:szCs w:val="24"/>
        </w:rPr>
      </w:pPr>
    </w:p>
    <w:p w14:paraId="3A423A1F" w14:textId="44F825B3" w:rsidR="0004776A" w:rsidRDefault="008D6204" w:rsidP="00FF1C6E">
      <w:pPr>
        <w:pStyle w:val="Heading3"/>
        <w:rPr>
          <w:szCs w:val="24"/>
        </w:rPr>
      </w:pPr>
      <w:r w:rsidRPr="00D07695">
        <w:rPr>
          <w:szCs w:val="24"/>
        </w:rPr>
        <w:t>A.16a. Schedule of Data Collection Efforts</w:t>
      </w:r>
      <w:bookmarkEnd w:id="26"/>
    </w:p>
    <w:p w14:paraId="19BC996C" w14:textId="77777777" w:rsidR="00897BE0" w:rsidRDefault="00897BE0" w:rsidP="00897BE0">
      <w:pPr>
        <w:rPr>
          <w:sz w:val="24"/>
        </w:rPr>
      </w:pPr>
    </w:p>
    <w:p w14:paraId="56F09627" w14:textId="77777777" w:rsidR="00F46AE8" w:rsidRPr="00897BE0" w:rsidRDefault="00F46AE8" w:rsidP="00897BE0">
      <w:pPr>
        <w:rPr>
          <w:sz w:val="24"/>
        </w:rPr>
      </w:pPr>
      <w:proofErr w:type="gramStart"/>
      <w:r w:rsidRPr="00A91A52">
        <w:rPr>
          <w:sz w:val="24"/>
        </w:rPr>
        <w:t>Table 4.</w:t>
      </w:r>
      <w:proofErr w:type="gramEnd"/>
      <w:r w:rsidRPr="00A91A52">
        <w:rPr>
          <w:sz w:val="24"/>
        </w:rPr>
        <w:t xml:space="preserve"> Schedule of Data Collection Efforts</w:t>
      </w:r>
    </w:p>
    <w:p w14:paraId="66BD279D" w14:textId="77777777" w:rsidR="00F46AE8" w:rsidRPr="00F46AE8" w:rsidRDefault="00F46AE8" w:rsidP="00897BE0"/>
    <w:tbl>
      <w:tblPr>
        <w:tblW w:w="8897" w:type="dxa"/>
        <w:tblInd w:w="93" w:type="dxa"/>
        <w:tblLook w:val="04A0" w:firstRow="1" w:lastRow="0" w:firstColumn="1" w:lastColumn="0" w:noHBand="0" w:noVBand="1"/>
      </w:tblPr>
      <w:tblGrid>
        <w:gridCol w:w="681"/>
        <w:gridCol w:w="2304"/>
        <w:gridCol w:w="2520"/>
        <w:gridCol w:w="3392"/>
      </w:tblGrid>
      <w:tr w:rsidR="00646F6C" w:rsidRPr="009C6DB9" w14:paraId="69FB2077" w14:textId="77777777" w:rsidTr="00C24560">
        <w:trPr>
          <w:trHeight w:val="288"/>
        </w:trPr>
        <w:tc>
          <w:tcPr>
            <w:tcW w:w="298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A59CE3" w14:textId="77777777" w:rsidR="00646F6C" w:rsidRPr="003F513A" w:rsidRDefault="00646F6C" w:rsidP="00FF1C6E">
            <w:pPr>
              <w:widowControl/>
              <w:autoSpaceDE/>
              <w:autoSpaceDN/>
              <w:adjustRightInd/>
              <w:rPr>
                <w:b/>
                <w:color w:val="000000"/>
                <w:sz w:val="24"/>
              </w:rPr>
            </w:pPr>
            <w:r w:rsidRPr="003F513A">
              <w:rPr>
                <w:b/>
                <w:color w:val="000000"/>
                <w:sz w:val="24"/>
                <w:szCs w:val="16"/>
              </w:rPr>
              <w:t>Data Collection Activity</w:t>
            </w: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8064B1" w14:textId="77777777" w:rsidR="00646F6C" w:rsidRPr="003F513A" w:rsidRDefault="00646F6C" w:rsidP="00897BE0">
            <w:pPr>
              <w:widowControl/>
              <w:autoSpaceDE/>
              <w:autoSpaceDN/>
              <w:adjustRightInd/>
              <w:rPr>
                <w:b/>
                <w:color w:val="000000"/>
                <w:sz w:val="24"/>
              </w:rPr>
            </w:pPr>
            <w:r w:rsidRPr="003F513A">
              <w:rPr>
                <w:b/>
                <w:color w:val="000000"/>
                <w:sz w:val="24"/>
              </w:rPr>
              <w:t>Timeline for Beginning of Activity</w:t>
            </w:r>
          </w:p>
        </w:tc>
        <w:tc>
          <w:tcPr>
            <w:tcW w:w="33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A3A4EE" w14:textId="77777777" w:rsidR="00646F6C" w:rsidRPr="003F513A" w:rsidRDefault="00646F6C" w:rsidP="00FF1C6E">
            <w:pPr>
              <w:widowControl/>
              <w:autoSpaceDE/>
              <w:autoSpaceDN/>
              <w:adjustRightInd/>
              <w:rPr>
                <w:b/>
                <w:color w:val="000000"/>
                <w:sz w:val="24"/>
              </w:rPr>
            </w:pPr>
            <w:r w:rsidRPr="003F513A">
              <w:rPr>
                <w:b/>
                <w:color w:val="000000"/>
                <w:sz w:val="24"/>
              </w:rPr>
              <w:t>Approximate Start Date</w:t>
            </w:r>
          </w:p>
        </w:tc>
      </w:tr>
      <w:tr w:rsidR="00646F6C" w:rsidRPr="00EB272B" w14:paraId="67B5D3C8" w14:textId="77777777" w:rsidTr="00C24560">
        <w:trPr>
          <w:trHeight w:val="348"/>
        </w:trPr>
        <w:tc>
          <w:tcPr>
            <w:tcW w:w="2985" w:type="dxa"/>
            <w:gridSpan w:val="2"/>
            <w:vMerge/>
            <w:tcBorders>
              <w:top w:val="single" w:sz="8" w:space="0" w:color="auto"/>
              <w:left w:val="single" w:sz="8" w:space="0" w:color="auto"/>
              <w:bottom w:val="single" w:sz="8" w:space="0" w:color="000000"/>
              <w:right w:val="single" w:sz="8" w:space="0" w:color="000000"/>
            </w:tcBorders>
            <w:vAlign w:val="center"/>
            <w:hideMark/>
          </w:tcPr>
          <w:p w14:paraId="6219658C" w14:textId="77777777" w:rsidR="00646F6C" w:rsidRPr="00961D8E" w:rsidRDefault="00646F6C" w:rsidP="00FF1C6E">
            <w:pPr>
              <w:widowControl/>
              <w:autoSpaceDE/>
              <w:autoSpaceDN/>
              <w:adjustRightInd/>
              <w:rPr>
                <w:color w:val="000000"/>
                <w:sz w:val="24"/>
                <w:u w:val="single"/>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14:paraId="0359906B" w14:textId="77777777" w:rsidR="00646F6C" w:rsidRPr="00961D8E" w:rsidRDefault="00646F6C" w:rsidP="00FF1C6E">
            <w:pPr>
              <w:widowControl/>
              <w:autoSpaceDE/>
              <w:autoSpaceDN/>
              <w:adjustRightInd/>
              <w:rPr>
                <w:color w:val="000000"/>
                <w:sz w:val="24"/>
                <w:u w:val="single"/>
              </w:rPr>
            </w:pP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1E060335" w14:textId="77777777" w:rsidR="00646F6C" w:rsidRPr="00EB272B" w:rsidRDefault="00646F6C" w:rsidP="00FF1C6E">
            <w:pPr>
              <w:widowControl/>
              <w:autoSpaceDE/>
              <w:autoSpaceDN/>
              <w:adjustRightInd/>
              <w:rPr>
                <w:color w:val="000000"/>
                <w:sz w:val="24"/>
                <w:u w:val="single"/>
              </w:rPr>
            </w:pPr>
          </w:p>
        </w:tc>
      </w:tr>
      <w:tr w:rsidR="00646F6C" w:rsidRPr="00EB272B" w14:paraId="16C8DCE4" w14:textId="77777777" w:rsidTr="00C24560">
        <w:trPr>
          <w:trHeight w:val="564"/>
        </w:trPr>
        <w:tc>
          <w:tcPr>
            <w:tcW w:w="29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58A7D18" w14:textId="77777777" w:rsidR="00646F6C" w:rsidRPr="00D82025" w:rsidRDefault="00646F6C" w:rsidP="00FF1C6E">
            <w:pPr>
              <w:widowControl/>
              <w:autoSpaceDE/>
              <w:autoSpaceDN/>
              <w:adjustRightInd/>
              <w:rPr>
                <w:color w:val="000000"/>
                <w:sz w:val="22"/>
                <w:szCs w:val="22"/>
              </w:rPr>
            </w:pPr>
            <w:r w:rsidRPr="00D82025">
              <w:rPr>
                <w:color w:val="000000"/>
                <w:sz w:val="22"/>
                <w:szCs w:val="22"/>
              </w:rPr>
              <w:t>Pretesting</w:t>
            </w:r>
          </w:p>
        </w:tc>
        <w:tc>
          <w:tcPr>
            <w:tcW w:w="2520" w:type="dxa"/>
            <w:tcBorders>
              <w:top w:val="nil"/>
              <w:left w:val="nil"/>
              <w:bottom w:val="single" w:sz="8" w:space="0" w:color="auto"/>
              <w:right w:val="single" w:sz="8" w:space="0" w:color="auto"/>
            </w:tcBorders>
            <w:shd w:val="clear" w:color="auto" w:fill="auto"/>
            <w:vAlign w:val="center"/>
            <w:hideMark/>
          </w:tcPr>
          <w:p w14:paraId="6CEDC899" w14:textId="77777777" w:rsidR="00646F6C" w:rsidRPr="00680B07" w:rsidRDefault="00646F6C" w:rsidP="00EE357B">
            <w:pPr>
              <w:widowControl/>
              <w:autoSpaceDE/>
              <w:autoSpaceDN/>
              <w:adjustRightInd/>
              <w:rPr>
                <w:color w:val="000000"/>
                <w:sz w:val="22"/>
                <w:szCs w:val="22"/>
              </w:rPr>
            </w:pPr>
            <w:r w:rsidRPr="00680B07">
              <w:rPr>
                <w:color w:val="000000"/>
                <w:sz w:val="22"/>
                <w:szCs w:val="22"/>
              </w:rPr>
              <w:t>As soon as possible after clearance from OMB</w:t>
            </w:r>
          </w:p>
        </w:tc>
        <w:tc>
          <w:tcPr>
            <w:tcW w:w="3392" w:type="dxa"/>
            <w:tcBorders>
              <w:top w:val="nil"/>
              <w:left w:val="nil"/>
              <w:bottom w:val="single" w:sz="8" w:space="0" w:color="auto"/>
              <w:right w:val="single" w:sz="8" w:space="0" w:color="auto"/>
            </w:tcBorders>
            <w:shd w:val="clear" w:color="auto" w:fill="auto"/>
            <w:vAlign w:val="center"/>
            <w:hideMark/>
          </w:tcPr>
          <w:p w14:paraId="79358F56" w14:textId="441D4848" w:rsidR="00646F6C" w:rsidRPr="00680B07" w:rsidRDefault="000E5345" w:rsidP="00080F1D">
            <w:pPr>
              <w:widowControl/>
              <w:autoSpaceDE/>
              <w:autoSpaceDN/>
              <w:adjustRightInd/>
              <w:rPr>
                <w:color w:val="000000"/>
                <w:sz w:val="22"/>
                <w:szCs w:val="22"/>
              </w:rPr>
            </w:pPr>
            <w:r w:rsidRPr="000E5345">
              <w:rPr>
                <w:color w:val="000000"/>
                <w:sz w:val="22"/>
                <w:szCs w:val="22"/>
              </w:rPr>
              <w:t>In first week after clearance from OMB</w:t>
            </w:r>
          </w:p>
        </w:tc>
      </w:tr>
      <w:tr w:rsidR="00646F6C" w:rsidRPr="00EB272B" w14:paraId="7D27E9B3" w14:textId="77777777" w:rsidTr="00C24560">
        <w:trPr>
          <w:trHeight w:val="564"/>
        </w:trPr>
        <w:tc>
          <w:tcPr>
            <w:tcW w:w="29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CEDA0A" w14:textId="77777777" w:rsidR="00646F6C" w:rsidRPr="00D82025" w:rsidRDefault="00646F6C" w:rsidP="00FF1C6E">
            <w:pPr>
              <w:widowControl/>
              <w:autoSpaceDE/>
              <w:autoSpaceDN/>
              <w:adjustRightInd/>
              <w:rPr>
                <w:color w:val="000000"/>
                <w:sz w:val="22"/>
                <w:szCs w:val="22"/>
              </w:rPr>
            </w:pPr>
            <w:r w:rsidRPr="00D82025">
              <w:rPr>
                <w:bCs/>
                <w:color w:val="000000"/>
                <w:sz w:val="22"/>
              </w:rPr>
              <w:t>Pre-Survey</w:t>
            </w:r>
          </w:p>
        </w:tc>
        <w:tc>
          <w:tcPr>
            <w:tcW w:w="2520" w:type="dxa"/>
            <w:tcBorders>
              <w:top w:val="nil"/>
              <w:left w:val="nil"/>
              <w:bottom w:val="single" w:sz="8" w:space="0" w:color="auto"/>
              <w:right w:val="single" w:sz="8" w:space="0" w:color="auto"/>
            </w:tcBorders>
            <w:shd w:val="clear" w:color="auto" w:fill="auto"/>
            <w:vAlign w:val="center"/>
            <w:hideMark/>
          </w:tcPr>
          <w:p w14:paraId="448F88D9" w14:textId="6A5F45C4" w:rsidR="00646F6C" w:rsidRPr="00680B07" w:rsidRDefault="00080F1D" w:rsidP="008E51AB">
            <w:pPr>
              <w:widowControl/>
              <w:autoSpaceDE/>
              <w:autoSpaceDN/>
              <w:adjustRightInd/>
              <w:rPr>
                <w:color w:val="000000"/>
                <w:sz w:val="22"/>
                <w:szCs w:val="22"/>
              </w:rPr>
            </w:pPr>
            <w:r w:rsidRPr="00680B07">
              <w:rPr>
                <w:color w:val="000000"/>
                <w:sz w:val="22"/>
                <w:szCs w:val="22"/>
              </w:rPr>
              <w:t>As soon as possible after clearance from OMB</w:t>
            </w:r>
          </w:p>
        </w:tc>
        <w:tc>
          <w:tcPr>
            <w:tcW w:w="3392" w:type="dxa"/>
            <w:tcBorders>
              <w:top w:val="nil"/>
              <w:left w:val="nil"/>
              <w:bottom w:val="single" w:sz="8" w:space="0" w:color="auto"/>
              <w:right w:val="single" w:sz="8" w:space="0" w:color="auto"/>
            </w:tcBorders>
            <w:shd w:val="clear" w:color="auto" w:fill="auto"/>
            <w:vAlign w:val="center"/>
            <w:hideMark/>
          </w:tcPr>
          <w:p w14:paraId="5181D728" w14:textId="21EF6A5E" w:rsidR="00646F6C" w:rsidRPr="00680B07" w:rsidRDefault="00776389" w:rsidP="00080F1D">
            <w:pPr>
              <w:widowControl/>
              <w:autoSpaceDE/>
              <w:autoSpaceDN/>
              <w:adjustRightInd/>
              <w:rPr>
                <w:color w:val="000000"/>
                <w:sz w:val="22"/>
                <w:szCs w:val="22"/>
              </w:rPr>
            </w:pPr>
            <w:r>
              <w:t xml:space="preserve">Within </w:t>
            </w:r>
            <w:r w:rsidR="008A0F20">
              <w:t xml:space="preserve">1 month </w:t>
            </w:r>
            <w:r w:rsidR="000E5345" w:rsidRPr="000E5345">
              <w:rPr>
                <w:color w:val="000000"/>
                <w:sz w:val="22"/>
                <w:szCs w:val="22"/>
              </w:rPr>
              <w:t>after clearance from OMB</w:t>
            </w:r>
          </w:p>
        </w:tc>
      </w:tr>
      <w:tr w:rsidR="00646F6C" w:rsidRPr="00EB272B" w14:paraId="11B1EAFE" w14:textId="77777777" w:rsidTr="00C24560">
        <w:trPr>
          <w:trHeight w:val="300"/>
        </w:trPr>
        <w:tc>
          <w:tcPr>
            <w:tcW w:w="681" w:type="dxa"/>
            <w:tcBorders>
              <w:top w:val="nil"/>
              <w:left w:val="single" w:sz="8" w:space="0" w:color="auto"/>
              <w:bottom w:val="nil"/>
              <w:right w:val="nil"/>
            </w:tcBorders>
            <w:shd w:val="clear" w:color="000000" w:fill="D9D9D9"/>
            <w:noWrap/>
            <w:vAlign w:val="center"/>
            <w:hideMark/>
          </w:tcPr>
          <w:p w14:paraId="7F3D85DD"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IPS</w:t>
            </w:r>
          </w:p>
        </w:tc>
        <w:tc>
          <w:tcPr>
            <w:tcW w:w="2304" w:type="dxa"/>
            <w:tcBorders>
              <w:top w:val="nil"/>
              <w:left w:val="single" w:sz="8" w:space="0" w:color="auto"/>
              <w:bottom w:val="single" w:sz="8" w:space="0" w:color="auto"/>
              <w:right w:val="single" w:sz="8" w:space="0" w:color="auto"/>
            </w:tcBorders>
            <w:shd w:val="clear" w:color="000000" w:fill="D9D9D9"/>
            <w:vAlign w:val="center"/>
            <w:hideMark/>
          </w:tcPr>
          <w:p w14:paraId="764569A4" w14:textId="77777777" w:rsidR="00646F6C" w:rsidRPr="00D82025" w:rsidRDefault="00646F6C" w:rsidP="00FF1C6E">
            <w:pPr>
              <w:widowControl/>
              <w:autoSpaceDE/>
              <w:autoSpaceDN/>
              <w:adjustRightInd/>
              <w:rPr>
                <w:color w:val="000000"/>
                <w:sz w:val="22"/>
                <w:szCs w:val="22"/>
              </w:rPr>
            </w:pPr>
            <w:r w:rsidRPr="00D82025">
              <w:rPr>
                <w:bCs/>
                <w:color w:val="000000"/>
                <w:sz w:val="22"/>
              </w:rPr>
              <w:t>Internet Baseline</w:t>
            </w:r>
          </w:p>
        </w:tc>
        <w:tc>
          <w:tcPr>
            <w:tcW w:w="2520" w:type="dxa"/>
            <w:tcBorders>
              <w:top w:val="nil"/>
              <w:left w:val="nil"/>
              <w:bottom w:val="single" w:sz="8" w:space="0" w:color="auto"/>
              <w:right w:val="single" w:sz="8" w:space="0" w:color="auto"/>
            </w:tcBorders>
            <w:shd w:val="clear" w:color="000000" w:fill="D9D9D9"/>
            <w:vAlign w:val="center"/>
            <w:hideMark/>
          </w:tcPr>
          <w:p w14:paraId="5FF2AA3E" w14:textId="6B466D04"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1 (week 1)</w:t>
            </w:r>
          </w:p>
        </w:tc>
        <w:tc>
          <w:tcPr>
            <w:tcW w:w="3392" w:type="dxa"/>
            <w:tcBorders>
              <w:top w:val="nil"/>
              <w:left w:val="nil"/>
              <w:bottom w:val="single" w:sz="8" w:space="0" w:color="auto"/>
              <w:right w:val="single" w:sz="8" w:space="0" w:color="auto"/>
            </w:tcBorders>
            <w:shd w:val="clear" w:color="000000" w:fill="D9D9D9"/>
            <w:vAlign w:val="center"/>
            <w:hideMark/>
          </w:tcPr>
          <w:p w14:paraId="7B79FB7D" w14:textId="78D0616D" w:rsidR="00646F6C" w:rsidRPr="009C6DB9" w:rsidRDefault="000309E1" w:rsidP="000309E1">
            <w:pPr>
              <w:widowControl/>
              <w:autoSpaceDE/>
              <w:autoSpaceDN/>
              <w:adjustRightInd/>
              <w:rPr>
                <w:color w:val="000000"/>
                <w:sz w:val="22"/>
                <w:szCs w:val="22"/>
              </w:rPr>
            </w:pPr>
            <w:r>
              <w:rPr>
                <w:color w:val="000000"/>
                <w:sz w:val="22"/>
                <w:szCs w:val="22"/>
              </w:rPr>
              <w:t xml:space="preserve">In first week after survey instruments are finalized and have OMB approval </w:t>
            </w:r>
          </w:p>
        </w:tc>
      </w:tr>
      <w:tr w:rsidR="00646F6C" w:rsidRPr="00EB272B" w14:paraId="019F96D2" w14:textId="77777777" w:rsidTr="00C24560">
        <w:trPr>
          <w:trHeight w:val="300"/>
        </w:trPr>
        <w:tc>
          <w:tcPr>
            <w:tcW w:w="68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190BA0F"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IPS</w:t>
            </w:r>
          </w:p>
        </w:tc>
        <w:tc>
          <w:tcPr>
            <w:tcW w:w="2304" w:type="dxa"/>
            <w:tcBorders>
              <w:top w:val="nil"/>
              <w:left w:val="nil"/>
              <w:bottom w:val="single" w:sz="8" w:space="0" w:color="auto"/>
              <w:right w:val="single" w:sz="8" w:space="0" w:color="auto"/>
            </w:tcBorders>
            <w:shd w:val="clear" w:color="000000" w:fill="D9D9D9"/>
            <w:vAlign w:val="center"/>
            <w:hideMark/>
          </w:tcPr>
          <w:p w14:paraId="583EBC98" w14:textId="77777777" w:rsidR="00646F6C" w:rsidRPr="00D82025" w:rsidRDefault="00646F6C" w:rsidP="00FF1C6E">
            <w:pPr>
              <w:widowControl/>
              <w:autoSpaceDE/>
              <w:autoSpaceDN/>
              <w:adjustRightInd/>
              <w:rPr>
                <w:color w:val="000000"/>
                <w:sz w:val="22"/>
                <w:szCs w:val="22"/>
              </w:rPr>
            </w:pPr>
            <w:r w:rsidRPr="00D82025">
              <w:rPr>
                <w:bCs/>
                <w:color w:val="000000"/>
                <w:sz w:val="22"/>
              </w:rPr>
              <w:t>Internet Follow-Up</w:t>
            </w:r>
          </w:p>
        </w:tc>
        <w:tc>
          <w:tcPr>
            <w:tcW w:w="2520" w:type="dxa"/>
            <w:tcBorders>
              <w:top w:val="nil"/>
              <w:left w:val="nil"/>
              <w:bottom w:val="single" w:sz="8" w:space="0" w:color="auto"/>
              <w:right w:val="single" w:sz="8" w:space="0" w:color="auto"/>
            </w:tcBorders>
            <w:shd w:val="clear" w:color="000000" w:fill="D9D9D9"/>
            <w:vAlign w:val="center"/>
            <w:hideMark/>
          </w:tcPr>
          <w:p w14:paraId="79D609D4" w14:textId="487A6308"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1 (week 3)</w:t>
            </w:r>
          </w:p>
        </w:tc>
        <w:tc>
          <w:tcPr>
            <w:tcW w:w="3392" w:type="dxa"/>
            <w:tcBorders>
              <w:top w:val="nil"/>
              <w:left w:val="nil"/>
              <w:bottom w:val="single" w:sz="8" w:space="0" w:color="auto"/>
              <w:right w:val="single" w:sz="8" w:space="0" w:color="auto"/>
            </w:tcBorders>
            <w:shd w:val="clear" w:color="000000" w:fill="D9D9D9"/>
            <w:vAlign w:val="center"/>
            <w:hideMark/>
          </w:tcPr>
          <w:p w14:paraId="2343F876" w14:textId="5F9F6BC1" w:rsidR="00646F6C" w:rsidRPr="009C6DB9" w:rsidRDefault="00776389" w:rsidP="000309E1">
            <w:pPr>
              <w:widowControl/>
              <w:autoSpaceDE/>
              <w:autoSpaceDN/>
              <w:adjustRightInd/>
              <w:rPr>
                <w:color w:val="000000"/>
                <w:sz w:val="22"/>
                <w:szCs w:val="22"/>
              </w:rPr>
            </w:pPr>
            <w:r>
              <w:t xml:space="preserve">Within </w:t>
            </w:r>
            <w:r w:rsidR="000309E1">
              <w:rPr>
                <w:color w:val="000000"/>
                <w:sz w:val="22"/>
                <w:szCs w:val="22"/>
              </w:rPr>
              <w:t>2 weeks after IPS starts</w:t>
            </w:r>
          </w:p>
        </w:tc>
      </w:tr>
      <w:tr w:rsidR="00646F6C" w:rsidRPr="00EB272B" w14:paraId="5B897231" w14:textId="77777777" w:rsidTr="00C24560">
        <w:trPr>
          <w:trHeight w:val="300"/>
        </w:trPr>
        <w:tc>
          <w:tcPr>
            <w:tcW w:w="681" w:type="dxa"/>
            <w:tcBorders>
              <w:top w:val="nil"/>
              <w:left w:val="single" w:sz="8" w:space="0" w:color="auto"/>
              <w:bottom w:val="single" w:sz="8" w:space="0" w:color="auto"/>
              <w:right w:val="single" w:sz="8" w:space="0" w:color="auto"/>
            </w:tcBorders>
            <w:shd w:val="clear" w:color="000000" w:fill="D9D9D9"/>
            <w:noWrap/>
            <w:vAlign w:val="center"/>
            <w:hideMark/>
          </w:tcPr>
          <w:p w14:paraId="6269A27F"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IPS</w:t>
            </w:r>
          </w:p>
        </w:tc>
        <w:tc>
          <w:tcPr>
            <w:tcW w:w="2304" w:type="dxa"/>
            <w:tcBorders>
              <w:top w:val="nil"/>
              <w:left w:val="nil"/>
              <w:bottom w:val="single" w:sz="8" w:space="0" w:color="auto"/>
              <w:right w:val="single" w:sz="8" w:space="0" w:color="auto"/>
            </w:tcBorders>
            <w:shd w:val="clear" w:color="000000" w:fill="D9D9D9"/>
            <w:vAlign w:val="center"/>
            <w:hideMark/>
          </w:tcPr>
          <w:p w14:paraId="098BC26D" w14:textId="77777777" w:rsidR="00646F6C" w:rsidRPr="00D82025" w:rsidRDefault="00646F6C" w:rsidP="00FF1C6E">
            <w:pPr>
              <w:widowControl/>
              <w:autoSpaceDE/>
              <w:autoSpaceDN/>
              <w:adjustRightInd/>
              <w:rPr>
                <w:color w:val="000000"/>
                <w:sz w:val="22"/>
                <w:szCs w:val="22"/>
              </w:rPr>
            </w:pPr>
            <w:r w:rsidRPr="00D82025">
              <w:rPr>
                <w:bCs/>
                <w:color w:val="000000"/>
                <w:sz w:val="22"/>
              </w:rPr>
              <w:t>Mail/Telephone</w:t>
            </w:r>
          </w:p>
        </w:tc>
        <w:tc>
          <w:tcPr>
            <w:tcW w:w="2520" w:type="dxa"/>
            <w:tcBorders>
              <w:top w:val="nil"/>
              <w:left w:val="nil"/>
              <w:bottom w:val="single" w:sz="8" w:space="0" w:color="auto"/>
              <w:right w:val="single" w:sz="8" w:space="0" w:color="auto"/>
            </w:tcBorders>
            <w:shd w:val="clear" w:color="000000" w:fill="D9D9D9"/>
            <w:vAlign w:val="center"/>
            <w:hideMark/>
          </w:tcPr>
          <w:p w14:paraId="51AE77D5" w14:textId="1A35F31D"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1 (week 1)</w:t>
            </w:r>
          </w:p>
        </w:tc>
        <w:tc>
          <w:tcPr>
            <w:tcW w:w="3392" w:type="dxa"/>
            <w:tcBorders>
              <w:top w:val="nil"/>
              <w:left w:val="nil"/>
              <w:bottom w:val="single" w:sz="8" w:space="0" w:color="auto"/>
              <w:right w:val="single" w:sz="8" w:space="0" w:color="auto"/>
            </w:tcBorders>
            <w:shd w:val="clear" w:color="000000" w:fill="D9D9D9"/>
            <w:vAlign w:val="center"/>
            <w:hideMark/>
          </w:tcPr>
          <w:p w14:paraId="2D3814F9" w14:textId="01F5C0AE" w:rsidR="00646F6C" w:rsidRPr="00EB272B" w:rsidRDefault="008A0F20" w:rsidP="00DB7271">
            <w:pPr>
              <w:widowControl/>
              <w:autoSpaceDE/>
              <w:autoSpaceDN/>
              <w:adjustRightInd/>
              <w:rPr>
                <w:color w:val="000000"/>
                <w:sz w:val="22"/>
                <w:szCs w:val="22"/>
              </w:rPr>
            </w:pPr>
            <w:r>
              <w:rPr>
                <w:color w:val="000000"/>
                <w:sz w:val="22"/>
                <w:szCs w:val="22"/>
              </w:rPr>
              <w:t>Same time</w:t>
            </w:r>
            <w:r w:rsidR="000309E1">
              <w:rPr>
                <w:color w:val="000000"/>
                <w:sz w:val="22"/>
                <w:szCs w:val="22"/>
              </w:rPr>
              <w:t xml:space="preserve"> IPS starts</w:t>
            </w:r>
          </w:p>
        </w:tc>
      </w:tr>
      <w:tr w:rsidR="00646F6C" w:rsidRPr="00EB272B" w14:paraId="01047881" w14:textId="77777777" w:rsidTr="00C24560">
        <w:trPr>
          <w:trHeight w:val="300"/>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EEA48E"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auto" w:fill="auto"/>
            <w:vAlign w:val="center"/>
            <w:hideMark/>
          </w:tcPr>
          <w:p w14:paraId="582BC4DC"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Baseline </w:t>
            </w:r>
          </w:p>
        </w:tc>
        <w:tc>
          <w:tcPr>
            <w:tcW w:w="2520" w:type="dxa"/>
            <w:tcBorders>
              <w:top w:val="nil"/>
              <w:left w:val="nil"/>
              <w:bottom w:val="single" w:sz="8" w:space="0" w:color="auto"/>
              <w:right w:val="single" w:sz="8" w:space="0" w:color="auto"/>
            </w:tcBorders>
            <w:shd w:val="clear" w:color="auto" w:fill="auto"/>
            <w:vAlign w:val="center"/>
            <w:hideMark/>
          </w:tcPr>
          <w:p w14:paraId="222C0DA1" w14:textId="22BC64C5"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3</w:t>
            </w:r>
          </w:p>
        </w:tc>
        <w:tc>
          <w:tcPr>
            <w:tcW w:w="3392" w:type="dxa"/>
            <w:tcBorders>
              <w:top w:val="nil"/>
              <w:left w:val="nil"/>
              <w:bottom w:val="single" w:sz="8" w:space="0" w:color="auto"/>
              <w:right w:val="single" w:sz="8" w:space="0" w:color="auto"/>
            </w:tcBorders>
            <w:shd w:val="clear" w:color="auto" w:fill="auto"/>
            <w:vAlign w:val="center"/>
            <w:hideMark/>
          </w:tcPr>
          <w:p w14:paraId="0F13ADF0" w14:textId="4BED8676"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2 months after IPS starts</w:t>
            </w:r>
          </w:p>
        </w:tc>
      </w:tr>
      <w:tr w:rsidR="00646F6C" w:rsidRPr="00EB272B" w14:paraId="427BAEA1"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238F95B4"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auto" w:fill="auto"/>
            <w:vAlign w:val="center"/>
            <w:hideMark/>
          </w:tcPr>
          <w:p w14:paraId="566ECDA4"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1st Follow-Up </w:t>
            </w:r>
          </w:p>
        </w:tc>
        <w:tc>
          <w:tcPr>
            <w:tcW w:w="2520" w:type="dxa"/>
            <w:tcBorders>
              <w:top w:val="nil"/>
              <w:left w:val="nil"/>
              <w:bottom w:val="single" w:sz="8" w:space="0" w:color="auto"/>
              <w:right w:val="single" w:sz="8" w:space="0" w:color="auto"/>
            </w:tcBorders>
            <w:shd w:val="clear" w:color="auto" w:fill="auto"/>
            <w:vAlign w:val="center"/>
            <w:hideMark/>
          </w:tcPr>
          <w:p w14:paraId="73D3FB35" w14:textId="3072AD1D"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6</w:t>
            </w:r>
          </w:p>
        </w:tc>
        <w:tc>
          <w:tcPr>
            <w:tcW w:w="3392" w:type="dxa"/>
            <w:tcBorders>
              <w:top w:val="nil"/>
              <w:left w:val="nil"/>
              <w:bottom w:val="single" w:sz="8" w:space="0" w:color="auto"/>
              <w:right w:val="single" w:sz="8" w:space="0" w:color="auto"/>
            </w:tcBorders>
            <w:shd w:val="clear" w:color="auto" w:fill="auto"/>
            <w:vAlign w:val="center"/>
            <w:hideMark/>
          </w:tcPr>
          <w:p w14:paraId="265914B2" w14:textId="724C3FFF"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5 months after IPS starts</w:t>
            </w:r>
          </w:p>
        </w:tc>
      </w:tr>
      <w:tr w:rsidR="00646F6C" w:rsidRPr="00EB272B" w14:paraId="02C1F13E"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1DE738A6"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auto" w:fill="auto"/>
            <w:vAlign w:val="center"/>
            <w:hideMark/>
          </w:tcPr>
          <w:p w14:paraId="4A74E9D5"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2nd Follow-Up </w:t>
            </w:r>
          </w:p>
        </w:tc>
        <w:tc>
          <w:tcPr>
            <w:tcW w:w="2520" w:type="dxa"/>
            <w:tcBorders>
              <w:top w:val="nil"/>
              <w:left w:val="nil"/>
              <w:bottom w:val="single" w:sz="8" w:space="0" w:color="auto"/>
              <w:right w:val="single" w:sz="8" w:space="0" w:color="auto"/>
            </w:tcBorders>
            <w:shd w:val="clear" w:color="auto" w:fill="auto"/>
            <w:vAlign w:val="center"/>
            <w:hideMark/>
          </w:tcPr>
          <w:p w14:paraId="023B6CB2" w14:textId="3A67F951"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9</w:t>
            </w:r>
          </w:p>
        </w:tc>
        <w:tc>
          <w:tcPr>
            <w:tcW w:w="3392" w:type="dxa"/>
            <w:tcBorders>
              <w:top w:val="nil"/>
              <w:left w:val="nil"/>
              <w:bottom w:val="single" w:sz="8" w:space="0" w:color="auto"/>
              <w:right w:val="single" w:sz="8" w:space="0" w:color="auto"/>
            </w:tcBorders>
            <w:shd w:val="clear" w:color="auto" w:fill="auto"/>
            <w:vAlign w:val="center"/>
            <w:hideMark/>
          </w:tcPr>
          <w:p w14:paraId="3CC593C0" w14:textId="72401664"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8 months after IPS starts</w:t>
            </w:r>
          </w:p>
        </w:tc>
      </w:tr>
      <w:tr w:rsidR="00646F6C" w:rsidRPr="00EB272B" w14:paraId="50EFB92D"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65507C63"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auto" w:fill="auto"/>
            <w:vAlign w:val="center"/>
            <w:hideMark/>
          </w:tcPr>
          <w:p w14:paraId="5BC0C9E4"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3rd Follow-Up </w:t>
            </w:r>
          </w:p>
        </w:tc>
        <w:tc>
          <w:tcPr>
            <w:tcW w:w="2520" w:type="dxa"/>
            <w:tcBorders>
              <w:top w:val="nil"/>
              <w:left w:val="nil"/>
              <w:bottom w:val="single" w:sz="8" w:space="0" w:color="auto"/>
              <w:right w:val="single" w:sz="8" w:space="0" w:color="auto"/>
            </w:tcBorders>
            <w:shd w:val="clear" w:color="auto" w:fill="auto"/>
            <w:vAlign w:val="center"/>
            <w:hideMark/>
          </w:tcPr>
          <w:p w14:paraId="0E0E1E33" w14:textId="41D472B7"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12</w:t>
            </w:r>
          </w:p>
        </w:tc>
        <w:tc>
          <w:tcPr>
            <w:tcW w:w="3392" w:type="dxa"/>
            <w:tcBorders>
              <w:top w:val="nil"/>
              <w:left w:val="nil"/>
              <w:bottom w:val="single" w:sz="8" w:space="0" w:color="auto"/>
              <w:right w:val="single" w:sz="8" w:space="0" w:color="auto"/>
            </w:tcBorders>
            <w:shd w:val="clear" w:color="auto" w:fill="auto"/>
            <w:vAlign w:val="center"/>
            <w:hideMark/>
          </w:tcPr>
          <w:p w14:paraId="4EA9535B" w14:textId="07016AA9"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11 months after IPS starts</w:t>
            </w:r>
          </w:p>
        </w:tc>
      </w:tr>
      <w:tr w:rsidR="00646F6C" w:rsidRPr="00EB272B" w14:paraId="6559D25D" w14:textId="77777777" w:rsidTr="00C24560">
        <w:trPr>
          <w:trHeight w:val="300"/>
        </w:trPr>
        <w:tc>
          <w:tcPr>
            <w:tcW w:w="681" w:type="dxa"/>
            <w:tcBorders>
              <w:top w:val="nil"/>
              <w:left w:val="single" w:sz="8" w:space="0" w:color="auto"/>
              <w:bottom w:val="single" w:sz="8" w:space="0" w:color="auto"/>
              <w:right w:val="single" w:sz="8" w:space="0" w:color="auto"/>
            </w:tcBorders>
            <w:shd w:val="clear" w:color="000000" w:fill="BFBFBF"/>
            <w:noWrap/>
            <w:vAlign w:val="center"/>
            <w:hideMark/>
          </w:tcPr>
          <w:p w14:paraId="179FDB80"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000000" w:fill="BFBFBF"/>
            <w:vAlign w:val="center"/>
            <w:hideMark/>
          </w:tcPr>
          <w:p w14:paraId="6AB48368" w14:textId="77777777" w:rsidR="00646F6C" w:rsidRPr="00D82025" w:rsidRDefault="00646F6C" w:rsidP="00FF1C6E">
            <w:pPr>
              <w:widowControl/>
              <w:autoSpaceDE/>
              <w:autoSpaceDN/>
              <w:adjustRightInd/>
              <w:rPr>
                <w:color w:val="000000"/>
                <w:sz w:val="22"/>
                <w:szCs w:val="22"/>
              </w:rPr>
            </w:pPr>
            <w:r w:rsidRPr="00D82025">
              <w:rPr>
                <w:bCs/>
                <w:color w:val="000000"/>
                <w:sz w:val="22"/>
              </w:rPr>
              <w:t>Mail/Telephone Baseline</w:t>
            </w:r>
          </w:p>
        </w:tc>
        <w:tc>
          <w:tcPr>
            <w:tcW w:w="2520" w:type="dxa"/>
            <w:tcBorders>
              <w:top w:val="nil"/>
              <w:left w:val="nil"/>
              <w:bottom w:val="single" w:sz="8" w:space="0" w:color="auto"/>
              <w:right w:val="single" w:sz="8" w:space="0" w:color="auto"/>
            </w:tcBorders>
            <w:shd w:val="clear" w:color="000000" w:fill="BFBFBF"/>
            <w:vAlign w:val="center"/>
            <w:hideMark/>
          </w:tcPr>
          <w:p w14:paraId="2A2218AE" w14:textId="0E41AB9A"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3</w:t>
            </w:r>
          </w:p>
        </w:tc>
        <w:tc>
          <w:tcPr>
            <w:tcW w:w="3392" w:type="dxa"/>
            <w:tcBorders>
              <w:top w:val="nil"/>
              <w:left w:val="nil"/>
              <w:bottom w:val="single" w:sz="8" w:space="0" w:color="auto"/>
              <w:right w:val="single" w:sz="8" w:space="0" w:color="auto"/>
            </w:tcBorders>
            <w:shd w:val="clear" w:color="000000" w:fill="BFBFBF"/>
            <w:vAlign w:val="center"/>
            <w:hideMark/>
          </w:tcPr>
          <w:p w14:paraId="79199443" w14:textId="5C65953B"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2 months after IPS starts</w:t>
            </w:r>
          </w:p>
        </w:tc>
      </w:tr>
      <w:tr w:rsidR="00646F6C" w:rsidRPr="00EB272B" w14:paraId="4C4C2286" w14:textId="77777777" w:rsidTr="00C24560">
        <w:trPr>
          <w:trHeight w:val="300"/>
        </w:trPr>
        <w:tc>
          <w:tcPr>
            <w:tcW w:w="681" w:type="dxa"/>
            <w:tcBorders>
              <w:top w:val="nil"/>
              <w:left w:val="single" w:sz="8" w:space="0" w:color="auto"/>
              <w:bottom w:val="single" w:sz="8" w:space="0" w:color="auto"/>
              <w:right w:val="single" w:sz="8" w:space="0" w:color="auto"/>
            </w:tcBorders>
            <w:shd w:val="clear" w:color="000000" w:fill="BFBFBF"/>
            <w:noWrap/>
            <w:vAlign w:val="center"/>
            <w:hideMark/>
          </w:tcPr>
          <w:p w14:paraId="41E815B9"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000000" w:fill="BFBFBF"/>
            <w:vAlign w:val="center"/>
            <w:hideMark/>
          </w:tcPr>
          <w:p w14:paraId="7F962F2C" w14:textId="77777777" w:rsidR="00646F6C" w:rsidRPr="00D82025" w:rsidRDefault="00646F6C" w:rsidP="00FF1C6E">
            <w:pPr>
              <w:widowControl/>
              <w:autoSpaceDE/>
              <w:autoSpaceDN/>
              <w:adjustRightInd/>
              <w:rPr>
                <w:color w:val="000000"/>
                <w:sz w:val="22"/>
                <w:szCs w:val="22"/>
              </w:rPr>
            </w:pPr>
            <w:r w:rsidRPr="00D82025">
              <w:rPr>
                <w:bCs/>
                <w:color w:val="000000"/>
                <w:sz w:val="22"/>
              </w:rPr>
              <w:t>Mail 1st Follow-Up</w:t>
            </w:r>
          </w:p>
        </w:tc>
        <w:tc>
          <w:tcPr>
            <w:tcW w:w="2520" w:type="dxa"/>
            <w:tcBorders>
              <w:top w:val="nil"/>
              <w:left w:val="nil"/>
              <w:bottom w:val="single" w:sz="8" w:space="0" w:color="auto"/>
              <w:right w:val="single" w:sz="8" w:space="0" w:color="auto"/>
            </w:tcBorders>
            <w:shd w:val="clear" w:color="000000" w:fill="BFBFBF"/>
            <w:vAlign w:val="center"/>
            <w:hideMark/>
          </w:tcPr>
          <w:p w14:paraId="3F9CAA70" w14:textId="0860F39D"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6</w:t>
            </w:r>
          </w:p>
        </w:tc>
        <w:tc>
          <w:tcPr>
            <w:tcW w:w="3392" w:type="dxa"/>
            <w:tcBorders>
              <w:top w:val="nil"/>
              <w:left w:val="nil"/>
              <w:bottom w:val="single" w:sz="8" w:space="0" w:color="auto"/>
              <w:right w:val="single" w:sz="8" w:space="0" w:color="auto"/>
            </w:tcBorders>
            <w:shd w:val="clear" w:color="000000" w:fill="BFBFBF"/>
            <w:vAlign w:val="center"/>
            <w:hideMark/>
          </w:tcPr>
          <w:p w14:paraId="78436379" w14:textId="401AEF58"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5 months after IPS starts</w:t>
            </w:r>
          </w:p>
        </w:tc>
      </w:tr>
      <w:tr w:rsidR="00646F6C" w:rsidRPr="00EB272B" w14:paraId="3F160744" w14:textId="77777777" w:rsidTr="00C24560">
        <w:trPr>
          <w:trHeight w:val="300"/>
        </w:trPr>
        <w:tc>
          <w:tcPr>
            <w:tcW w:w="681" w:type="dxa"/>
            <w:tcBorders>
              <w:top w:val="nil"/>
              <w:left w:val="single" w:sz="8" w:space="0" w:color="auto"/>
              <w:bottom w:val="single" w:sz="8" w:space="0" w:color="auto"/>
              <w:right w:val="single" w:sz="8" w:space="0" w:color="auto"/>
            </w:tcBorders>
            <w:shd w:val="clear" w:color="000000" w:fill="BFBFBF"/>
            <w:noWrap/>
            <w:vAlign w:val="center"/>
            <w:hideMark/>
          </w:tcPr>
          <w:p w14:paraId="1FD55B67"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000000" w:fill="BFBFBF"/>
            <w:vAlign w:val="center"/>
            <w:hideMark/>
          </w:tcPr>
          <w:p w14:paraId="57204766" w14:textId="77777777" w:rsidR="00646F6C" w:rsidRPr="00D82025" w:rsidRDefault="00646F6C" w:rsidP="00FF1C6E">
            <w:pPr>
              <w:widowControl/>
              <w:autoSpaceDE/>
              <w:autoSpaceDN/>
              <w:adjustRightInd/>
              <w:rPr>
                <w:color w:val="000000"/>
                <w:sz w:val="22"/>
                <w:szCs w:val="22"/>
              </w:rPr>
            </w:pPr>
            <w:r w:rsidRPr="00D82025">
              <w:rPr>
                <w:bCs/>
                <w:color w:val="000000"/>
                <w:sz w:val="22"/>
              </w:rPr>
              <w:t>Mail 2nd Follow-Up</w:t>
            </w:r>
          </w:p>
        </w:tc>
        <w:tc>
          <w:tcPr>
            <w:tcW w:w="2520" w:type="dxa"/>
            <w:tcBorders>
              <w:top w:val="nil"/>
              <w:left w:val="nil"/>
              <w:bottom w:val="single" w:sz="8" w:space="0" w:color="auto"/>
              <w:right w:val="single" w:sz="8" w:space="0" w:color="auto"/>
            </w:tcBorders>
            <w:shd w:val="clear" w:color="000000" w:fill="BFBFBF"/>
            <w:vAlign w:val="center"/>
            <w:hideMark/>
          </w:tcPr>
          <w:p w14:paraId="0C5FEAC0" w14:textId="0A6E7826"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9</w:t>
            </w:r>
          </w:p>
        </w:tc>
        <w:tc>
          <w:tcPr>
            <w:tcW w:w="3392" w:type="dxa"/>
            <w:tcBorders>
              <w:top w:val="nil"/>
              <w:left w:val="nil"/>
              <w:bottom w:val="single" w:sz="8" w:space="0" w:color="auto"/>
              <w:right w:val="single" w:sz="8" w:space="0" w:color="auto"/>
            </w:tcBorders>
            <w:shd w:val="clear" w:color="000000" w:fill="BFBFBF"/>
            <w:vAlign w:val="center"/>
            <w:hideMark/>
          </w:tcPr>
          <w:p w14:paraId="56BD814B" w14:textId="645CE6EC"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8 months after IPS starts</w:t>
            </w:r>
          </w:p>
        </w:tc>
      </w:tr>
      <w:tr w:rsidR="00646F6C" w:rsidRPr="00EB272B" w14:paraId="4725FD6C" w14:textId="77777777" w:rsidTr="00C24560">
        <w:trPr>
          <w:trHeight w:val="300"/>
        </w:trPr>
        <w:tc>
          <w:tcPr>
            <w:tcW w:w="681" w:type="dxa"/>
            <w:tcBorders>
              <w:top w:val="nil"/>
              <w:left w:val="single" w:sz="8" w:space="0" w:color="auto"/>
              <w:bottom w:val="single" w:sz="8" w:space="0" w:color="auto"/>
              <w:right w:val="single" w:sz="8" w:space="0" w:color="auto"/>
            </w:tcBorders>
            <w:shd w:val="clear" w:color="000000" w:fill="BFBFBF"/>
            <w:noWrap/>
            <w:vAlign w:val="center"/>
            <w:hideMark/>
          </w:tcPr>
          <w:p w14:paraId="4B21A08E"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AIS1</w:t>
            </w:r>
          </w:p>
        </w:tc>
        <w:tc>
          <w:tcPr>
            <w:tcW w:w="2304" w:type="dxa"/>
            <w:tcBorders>
              <w:top w:val="nil"/>
              <w:left w:val="nil"/>
              <w:bottom w:val="single" w:sz="8" w:space="0" w:color="auto"/>
              <w:right w:val="single" w:sz="8" w:space="0" w:color="auto"/>
            </w:tcBorders>
            <w:shd w:val="clear" w:color="000000" w:fill="BFBFBF"/>
            <w:vAlign w:val="center"/>
            <w:hideMark/>
          </w:tcPr>
          <w:p w14:paraId="64195428" w14:textId="77777777" w:rsidR="00646F6C" w:rsidRPr="00D82025" w:rsidRDefault="00646F6C" w:rsidP="00FF1C6E">
            <w:pPr>
              <w:widowControl/>
              <w:autoSpaceDE/>
              <w:autoSpaceDN/>
              <w:adjustRightInd/>
              <w:rPr>
                <w:color w:val="000000"/>
                <w:sz w:val="22"/>
                <w:szCs w:val="22"/>
              </w:rPr>
            </w:pPr>
            <w:r w:rsidRPr="00D82025">
              <w:rPr>
                <w:bCs/>
                <w:color w:val="000000"/>
                <w:sz w:val="22"/>
              </w:rPr>
              <w:t>Mail 3rd Follow-Up</w:t>
            </w:r>
          </w:p>
        </w:tc>
        <w:tc>
          <w:tcPr>
            <w:tcW w:w="2520" w:type="dxa"/>
            <w:tcBorders>
              <w:top w:val="nil"/>
              <w:left w:val="nil"/>
              <w:bottom w:val="single" w:sz="8" w:space="0" w:color="auto"/>
              <w:right w:val="single" w:sz="8" w:space="0" w:color="auto"/>
            </w:tcBorders>
            <w:shd w:val="clear" w:color="000000" w:fill="BFBFBF"/>
            <w:vAlign w:val="center"/>
            <w:hideMark/>
          </w:tcPr>
          <w:p w14:paraId="3ABE63F0" w14:textId="4B04006D"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1: Month 12</w:t>
            </w:r>
          </w:p>
        </w:tc>
        <w:tc>
          <w:tcPr>
            <w:tcW w:w="3392" w:type="dxa"/>
            <w:tcBorders>
              <w:top w:val="nil"/>
              <w:left w:val="nil"/>
              <w:bottom w:val="single" w:sz="8" w:space="0" w:color="auto"/>
              <w:right w:val="single" w:sz="8" w:space="0" w:color="auto"/>
            </w:tcBorders>
            <w:shd w:val="clear" w:color="000000" w:fill="BFBFBF"/>
            <w:vAlign w:val="center"/>
            <w:hideMark/>
          </w:tcPr>
          <w:p w14:paraId="350CCD1F" w14:textId="225595A5"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11 months after IPS starts</w:t>
            </w:r>
          </w:p>
        </w:tc>
      </w:tr>
      <w:tr w:rsidR="00646F6C" w:rsidRPr="00EB272B" w14:paraId="6DC12B4D" w14:textId="77777777" w:rsidTr="00C24560">
        <w:trPr>
          <w:trHeight w:val="300"/>
        </w:trPr>
        <w:tc>
          <w:tcPr>
            <w:tcW w:w="681" w:type="dxa"/>
            <w:tcBorders>
              <w:top w:val="nil"/>
              <w:left w:val="single" w:sz="8" w:space="0" w:color="auto"/>
              <w:bottom w:val="nil"/>
              <w:right w:val="nil"/>
            </w:tcBorders>
            <w:shd w:val="clear" w:color="auto" w:fill="auto"/>
            <w:noWrap/>
            <w:vAlign w:val="center"/>
            <w:hideMark/>
          </w:tcPr>
          <w:p w14:paraId="1777E5F0" w14:textId="77777777" w:rsidR="00646F6C" w:rsidRPr="00DE2E22" w:rsidRDefault="00646F6C" w:rsidP="00D42A86">
            <w:pPr>
              <w:widowControl/>
              <w:autoSpaceDE/>
              <w:autoSpaceDN/>
              <w:adjustRightInd/>
              <w:rPr>
                <w:color w:val="000000"/>
                <w:sz w:val="22"/>
                <w:szCs w:val="22"/>
              </w:rPr>
            </w:pPr>
            <w:r w:rsidRPr="00DE2E22">
              <w:rPr>
                <w:color w:val="000000"/>
                <w:sz w:val="22"/>
                <w:szCs w:val="22"/>
              </w:rPr>
              <w:t>APS</w:t>
            </w:r>
          </w:p>
        </w:tc>
        <w:tc>
          <w:tcPr>
            <w:tcW w:w="2304" w:type="dxa"/>
            <w:tcBorders>
              <w:top w:val="nil"/>
              <w:left w:val="single" w:sz="8" w:space="0" w:color="auto"/>
              <w:bottom w:val="single" w:sz="8" w:space="0" w:color="auto"/>
              <w:right w:val="single" w:sz="8" w:space="0" w:color="auto"/>
            </w:tcBorders>
            <w:shd w:val="clear" w:color="auto" w:fill="auto"/>
            <w:vAlign w:val="center"/>
            <w:hideMark/>
          </w:tcPr>
          <w:p w14:paraId="6DBCE986" w14:textId="77777777" w:rsidR="00646F6C" w:rsidRPr="00DE2E22" w:rsidRDefault="00646F6C" w:rsidP="00FF1C6E">
            <w:pPr>
              <w:widowControl/>
              <w:autoSpaceDE/>
              <w:autoSpaceDN/>
              <w:adjustRightInd/>
              <w:rPr>
                <w:color w:val="000000"/>
                <w:sz w:val="22"/>
                <w:szCs w:val="22"/>
              </w:rPr>
            </w:pPr>
            <w:r w:rsidRPr="00DE2E22">
              <w:rPr>
                <w:bCs/>
                <w:color w:val="000000"/>
                <w:sz w:val="22"/>
              </w:rPr>
              <w:t>Internet Baseline</w:t>
            </w:r>
          </w:p>
        </w:tc>
        <w:tc>
          <w:tcPr>
            <w:tcW w:w="2520" w:type="dxa"/>
            <w:tcBorders>
              <w:top w:val="nil"/>
              <w:left w:val="nil"/>
              <w:bottom w:val="single" w:sz="8" w:space="0" w:color="auto"/>
              <w:right w:val="single" w:sz="8" w:space="0" w:color="auto"/>
            </w:tcBorders>
            <w:shd w:val="clear" w:color="auto" w:fill="auto"/>
            <w:vAlign w:val="center"/>
            <w:hideMark/>
          </w:tcPr>
          <w:p w14:paraId="0357A282" w14:textId="73913F65" w:rsidR="00646F6C" w:rsidRPr="00DE2E22" w:rsidRDefault="00D41F24" w:rsidP="00FF1C6E">
            <w:pPr>
              <w:widowControl/>
              <w:autoSpaceDE/>
              <w:autoSpaceDN/>
              <w:adjustRightInd/>
              <w:rPr>
                <w:color w:val="000000"/>
                <w:sz w:val="22"/>
                <w:szCs w:val="22"/>
              </w:rPr>
            </w:pPr>
            <w:r>
              <w:rPr>
                <w:color w:val="000000"/>
                <w:sz w:val="22"/>
                <w:szCs w:val="22"/>
              </w:rPr>
              <w:t xml:space="preserve">No later than </w:t>
            </w:r>
            <w:r w:rsidR="00646F6C" w:rsidRPr="00DE2E22">
              <w:rPr>
                <w:color w:val="000000"/>
                <w:sz w:val="22"/>
                <w:szCs w:val="22"/>
              </w:rPr>
              <w:t>Year 2: Month 1 (week 1)</w:t>
            </w:r>
          </w:p>
        </w:tc>
        <w:tc>
          <w:tcPr>
            <w:tcW w:w="3392" w:type="dxa"/>
            <w:tcBorders>
              <w:top w:val="nil"/>
              <w:left w:val="nil"/>
              <w:bottom w:val="single" w:sz="8" w:space="0" w:color="auto"/>
              <w:right w:val="single" w:sz="8" w:space="0" w:color="auto"/>
            </w:tcBorders>
            <w:shd w:val="clear" w:color="auto" w:fill="auto"/>
            <w:vAlign w:val="center"/>
            <w:hideMark/>
          </w:tcPr>
          <w:p w14:paraId="54020D32" w14:textId="552D6F82" w:rsidR="00646F6C" w:rsidRPr="00DE2E22" w:rsidRDefault="00776389" w:rsidP="000309E1">
            <w:pPr>
              <w:widowControl/>
              <w:autoSpaceDE/>
              <w:autoSpaceDN/>
              <w:adjustRightInd/>
              <w:rPr>
                <w:color w:val="000000"/>
                <w:sz w:val="22"/>
                <w:szCs w:val="22"/>
              </w:rPr>
            </w:pPr>
            <w:r>
              <w:t xml:space="preserve">Within </w:t>
            </w:r>
            <w:r w:rsidR="000309E1">
              <w:rPr>
                <w:color w:val="000000"/>
                <w:sz w:val="22"/>
                <w:szCs w:val="22"/>
              </w:rPr>
              <w:t>12 months after IPS starts</w:t>
            </w:r>
          </w:p>
        </w:tc>
      </w:tr>
      <w:tr w:rsidR="00646F6C" w:rsidRPr="00EB272B" w14:paraId="58C57B4B" w14:textId="77777777" w:rsidTr="00C24560">
        <w:trPr>
          <w:trHeight w:val="300"/>
        </w:trPr>
        <w:tc>
          <w:tcPr>
            <w:tcW w:w="6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A717A5" w14:textId="77777777" w:rsidR="00646F6C" w:rsidRPr="00DE2E22" w:rsidRDefault="00646F6C" w:rsidP="00D42A86">
            <w:pPr>
              <w:widowControl/>
              <w:autoSpaceDE/>
              <w:autoSpaceDN/>
              <w:adjustRightInd/>
              <w:rPr>
                <w:color w:val="000000"/>
                <w:sz w:val="22"/>
                <w:szCs w:val="22"/>
              </w:rPr>
            </w:pPr>
            <w:r w:rsidRPr="00DE2E22">
              <w:rPr>
                <w:color w:val="000000"/>
                <w:sz w:val="22"/>
                <w:szCs w:val="22"/>
              </w:rPr>
              <w:t>APS</w:t>
            </w:r>
          </w:p>
        </w:tc>
        <w:tc>
          <w:tcPr>
            <w:tcW w:w="2304" w:type="dxa"/>
            <w:tcBorders>
              <w:top w:val="nil"/>
              <w:left w:val="nil"/>
              <w:bottom w:val="single" w:sz="8" w:space="0" w:color="auto"/>
              <w:right w:val="single" w:sz="8" w:space="0" w:color="auto"/>
            </w:tcBorders>
            <w:shd w:val="clear" w:color="auto" w:fill="auto"/>
            <w:vAlign w:val="center"/>
            <w:hideMark/>
          </w:tcPr>
          <w:p w14:paraId="7342D35B" w14:textId="77777777" w:rsidR="00646F6C" w:rsidRPr="00DE2E22" w:rsidRDefault="00646F6C" w:rsidP="00FF1C6E">
            <w:pPr>
              <w:widowControl/>
              <w:autoSpaceDE/>
              <w:autoSpaceDN/>
              <w:adjustRightInd/>
              <w:rPr>
                <w:color w:val="000000"/>
                <w:sz w:val="22"/>
                <w:szCs w:val="22"/>
              </w:rPr>
            </w:pPr>
            <w:r w:rsidRPr="00DE2E22">
              <w:rPr>
                <w:bCs/>
                <w:color w:val="000000"/>
                <w:sz w:val="22"/>
              </w:rPr>
              <w:t>Internet Follow-Up</w:t>
            </w:r>
          </w:p>
        </w:tc>
        <w:tc>
          <w:tcPr>
            <w:tcW w:w="2520" w:type="dxa"/>
            <w:tcBorders>
              <w:top w:val="nil"/>
              <w:left w:val="nil"/>
              <w:bottom w:val="single" w:sz="8" w:space="0" w:color="auto"/>
              <w:right w:val="single" w:sz="8" w:space="0" w:color="auto"/>
            </w:tcBorders>
            <w:shd w:val="clear" w:color="auto" w:fill="auto"/>
            <w:vAlign w:val="center"/>
            <w:hideMark/>
          </w:tcPr>
          <w:p w14:paraId="65B32FA9" w14:textId="2639F1D1" w:rsidR="00646F6C" w:rsidRPr="00DE2E22" w:rsidRDefault="00D41F24" w:rsidP="00FF1C6E">
            <w:pPr>
              <w:widowControl/>
              <w:autoSpaceDE/>
              <w:autoSpaceDN/>
              <w:adjustRightInd/>
              <w:rPr>
                <w:color w:val="000000"/>
                <w:sz w:val="22"/>
                <w:szCs w:val="22"/>
              </w:rPr>
            </w:pPr>
            <w:r>
              <w:rPr>
                <w:color w:val="000000"/>
                <w:sz w:val="22"/>
                <w:szCs w:val="22"/>
              </w:rPr>
              <w:t xml:space="preserve">No later than </w:t>
            </w:r>
            <w:r w:rsidR="00646F6C" w:rsidRPr="00DE2E22">
              <w:rPr>
                <w:color w:val="000000"/>
                <w:sz w:val="22"/>
                <w:szCs w:val="22"/>
              </w:rPr>
              <w:t>Year 2: Month 1 (week 3)</w:t>
            </w:r>
          </w:p>
        </w:tc>
        <w:tc>
          <w:tcPr>
            <w:tcW w:w="3392" w:type="dxa"/>
            <w:tcBorders>
              <w:top w:val="nil"/>
              <w:left w:val="nil"/>
              <w:bottom w:val="single" w:sz="8" w:space="0" w:color="auto"/>
              <w:right w:val="single" w:sz="8" w:space="0" w:color="auto"/>
            </w:tcBorders>
            <w:shd w:val="clear" w:color="auto" w:fill="auto"/>
            <w:vAlign w:val="center"/>
            <w:hideMark/>
          </w:tcPr>
          <w:p w14:paraId="26384BED" w14:textId="7FC91D4F" w:rsidR="00646F6C" w:rsidRPr="00DE2E22" w:rsidRDefault="00776389" w:rsidP="000309E1">
            <w:pPr>
              <w:widowControl/>
              <w:autoSpaceDE/>
              <w:autoSpaceDN/>
              <w:adjustRightInd/>
              <w:rPr>
                <w:color w:val="000000"/>
                <w:sz w:val="22"/>
                <w:szCs w:val="22"/>
              </w:rPr>
            </w:pPr>
            <w:r>
              <w:t xml:space="preserve">Within </w:t>
            </w:r>
            <w:r w:rsidR="000309E1">
              <w:rPr>
                <w:color w:val="000000"/>
                <w:sz w:val="22"/>
                <w:szCs w:val="22"/>
              </w:rPr>
              <w:t>12.5 months after IPS starts</w:t>
            </w:r>
          </w:p>
        </w:tc>
      </w:tr>
      <w:tr w:rsidR="00646F6C" w:rsidRPr="00EB272B" w14:paraId="4B532633" w14:textId="77777777" w:rsidTr="00C24560">
        <w:trPr>
          <w:trHeight w:val="300"/>
        </w:trPr>
        <w:tc>
          <w:tcPr>
            <w:tcW w:w="681" w:type="dxa"/>
            <w:tcBorders>
              <w:top w:val="single" w:sz="8" w:space="0" w:color="auto"/>
              <w:left w:val="single" w:sz="8" w:space="0" w:color="auto"/>
              <w:bottom w:val="single" w:sz="4" w:space="0" w:color="auto"/>
              <w:right w:val="nil"/>
            </w:tcBorders>
            <w:shd w:val="clear" w:color="auto" w:fill="auto"/>
            <w:noWrap/>
            <w:vAlign w:val="center"/>
            <w:hideMark/>
          </w:tcPr>
          <w:p w14:paraId="2B17CEEE" w14:textId="77777777" w:rsidR="00646F6C" w:rsidRPr="00DE2E22" w:rsidRDefault="00646F6C" w:rsidP="00D42A86">
            <w:pPr>
              <w:widowControl/>
              <w:autoSpaceDE/>
              <w:autoSpaceDN/>
              <w:adjustRightInd/>
              <w:rPr>
                <w:color w:val="000000"/>
                <w:sz w:val="22"/>
                <w:szCs w:val="22"/>
              </w:rPr>
            </w:pPr>
            <w:r w:rsidRPr="00DE2E22">
              <w:rPr>
                <w:color w:val="000000"/>
                <w:sz w:val="22"/>
                <w:szCs w:val="22"/>
              </w:rPr>
              <w:t>APS</w:t>
            </w:r>
          </w:p>
        </w:tc>
        <w:tc>
          <w:tcPr>
            <w:tcW w:w="2304" w:type="dxa"/>
            <w:tcBorders>
              <w:top w:val="nil"/>
              <w:left w:val="single" w:sz="8" w:space="0" w:color="auto"/>
              <w:bottom w:val="single" w:sz="8" w:space="0" w:color="auto"/>
              <w:right w:val="single" w:sz="8" w:space="0" w:color="auto"/>
            </w:tcBorders>
            <w:shd w:val="clear" w:color="auto" w:fill="auto"/>
            <w:vAlign w:val="center"/>
            <w:hideMark/>
          </w:tcPr>
          <w:p w14:paraId="4B6A3C67" w14:textId="77777777" w:rsidR="00646F6C" w:rsidRPr="00DE2E22" w:rsidRDefault="00646F6C" w:rsidP="00FF1C6E">
            <w:pPr>
              <w:widowControl/>
              <w:autoSpaceDE/>
              <w:autoSpaceDN/>
              <w:adjustRightInd/>
              <w:rPr>
                <w:color w:val="000000"/>
                <w:sz w:val="22"/>
                <w:szCs w:val="22"/>
              </w:rPr>
            </w:pPr>
            <w:r w:rsidRPr="00DE2E22">
              <w:rPr>
                <w:bCs/>
                <w:color w:val="000000"/>
                <w:sz w:val="22"/>
              </w:rPr>
              <w:t>Mail/Telephone</w:t>
            </w:r>
          </w:p>
        </w:tc>
        <w:tc>
          <w:tcPr>
            <w:tcW w:w="2520" w:type="dxa"/>
            <w:tcBorders>
              <w:top w:val="nil"/>
              <w:left w:val="nil"/>
              <w:bottom w:val="single" w:sz="8" w:space="0" w:color="auto"/>
              <w:right w:val="single" w:sz="8" w:space="0" w:color="auto"/>
            </w:tcBorders>
            <w:shd w:val="clear" w:color="auto" w:fill="auto"/>
            <w:vAlign w:val="center"/>
            <w:hideMark/>
          </w:tcPr>
          <w:p w14:paraId="459C213F" w14:textId="17FE969A" w:rsidR="00646F6C" w:rsidRPr="00DE2E22" w:rsidRDefault="00D41F24" w:rsidP="00FF1C6E">
            <w:pPr>
              <w:widowControl/>
              <w:autoSpaceDE/>
              <w:autoSpaceDN/>
              <w:adjustRightInd/>
              <w:rPr>
                <w:color w:val="000000"/>
                <w:sz w:val="22"/>
                <w:szCs w:val="22"/>
              </w:rPr>
            </w:pPr>
            <w:r>
              <w:rPr>
                <w:color w:val="000000"/>
                <w:sz w:val="22"/>
                <w:szCs w:val="22"/>
              </w:rPr>
              <w:t xml:space="preserve">No later than </w:t>
            </w:r>
            <w:r w:rsidR="00646F6C" w:rsidRPr="00DE2E22">
              <w:rPr>
                <w:color w:val="000000"/>
                <w:sz w:val="22"/>
                <w:szCs w:val="22"/>
              </w:rPr>
              <w:t>Year 2: Month 1 (week 1)</w:t>
            </w:r>
          </w:p>
        </w:tc>
        <w:tc>
          <w:tcPr>
            <w:tcW w:w="3392" w:type="dxa"/>
            <w:tcBorders>
              <w:top w:val="nil"/>
              <w:left w:val="nil"/>
              <w:bottom w:val="single" w:sz="8" w:space="0" w:color="auto"/>
              <w:right w:val="single" w:sz="8" w:space="0" w:color="auto"/>
            </w:tcBorders>
            <w:shd w:val="clear" w:color="auto" w:fill="auto"/>
            <w:vAlign w:val="center"/>
            <w:hideMark/>
          </w:tcPr>
          <w:p w14:paraId="11B441F6" w14:textId="14B47965" w:rsidR="00646F6C" w:rsidRPr="00DE2E22" w:rsidRDefault="00776389" w:rsidP="000309E1">
            <w:pPr>
              <w:widowControl/>
              <w:autoSpaceDE/>
              <w:autoSpaceDN/>
              <w:adjustRightInd/>
              <w:rPr>
                <w:color w:val="000000"/>
                <w:sz w:val="22"/>
                <w:szCs w:val="22"/>
              </w:rPr>
            </w:pPr>
            <w:r>
              <w:t xml:space="preserve">Within </w:t>
            </w:r>
            <w:r w:rsidR="000309E1">
              <w:rPr>
                <w:color w:val="000000"/>
                <w:sz w:val="22"/>
                <w:szCs w:val="22"/>
              </w:rPr>
              <w:t>12 months after IPS starts</w:t>
            </w:r>
          </w:p>
        </w:tc>
      </w:tr>
      <w:tr w:rsidR="00646F6C" w:rsidRPr="00EB272B" w14:paraId="57195D84" w14:textId="77777777" w:rsidTr="00C24560">
        <w:trPr>
          <w:trHeight w:val="300"/>
        </w:trPr>
        <w:tc>
          <w:tcPr>
            <w:tcW w:w="681" w:type="dxa"/>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4FED5655" w14:textId="77777777" w:rsidR="00646F6C" w:rsidRPr="00D82025" w:rsidRDefault="00646F6C" w:rsidP="00D42A86">
            <w:pPr>
              <w:widowControl/>
              <w:autoSpaceDE/>
              <w:autoSpaceDN/>
              <w:adjustRightInd/>
              <w:rPr>
                <w:color w:val="000000"/>
                <w:sz w:val="22"/>
                <w:szCs w:val="22"/>
              </w:rPr>
            </w:pPr>
            <w:r w:rsidRPr="00D82025">
              <w:rPr>
                <w:color w:val="000000"/>
                <w:sz w:val="22"/>
                <w:szCs w:val="22"/>
              </w:rPr>
              <w:lastRenderedPageBreak/>
              <w:t>AIS2</w:t>
            </w:r>
          </w:p>
        </w:tc>
        <w:tc>
          <w:tcPr>
            <w:tcW w:w="2304" w:type="dxa"/>
            <w:tcBorders>
              <w:top w:val="nil"/>
              <w:left w:val="nil"/>
              <w:bottom w:val="single" w:sz="8" w:space="0" w:color="auto"/>
              <w:right w:val="single" w:sz="8" w:space="0" w:color="auto"/>
            </w:tcBorders>
            <w:shd w:val="clear" w:color="auto" w:fill="BFBFBF" w:themeFill="background1" w:themeFillShade="BF"/>
            <w:vAlign w:val="center"/>
            <w:hideMark/>
          </w:tcPr>
          <w:p w14:paraId="5F15D29E"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Baseline </w:t>
            </w:r>
          </w:p>
        </w:tc>
        <w:tc>
          <w:tcPr>
            <w:tcW w:w="2520" w:type="dxa"/>
            <w:tcBorders>
              <w:top w:val="nil"/>
              <w:left w:val="nil"/>
              <w:bottom w:val="single" w:sz="8" w:space="0" w:color="auto"/>
              <w:right w:val="single" w:sz="8" w:space="0" w:color="auto"/>
            </w:tcBorders>
            <w:shd w:val="clear" w:color="auto" w:fill="BFBFBF" w:themeFill="background1" w:themeFillShade="BF"/>
            <w:vAlign w:val="center"/>
            <w:hideMark/>
          </w:tcPr>
          <w:p w14:paraId="633DEC23" w14:textId="1CE443DA"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3</w:t>
            </w:r>
          </w:p>
        </w:tc>
        <w:tc>
          <w:tcPr>
            <w:tcW w:w="3392" w:type="dxa"/>
            <w:tcBorders>
              <w:top w:val="nil"/>
              <w:left w:val="nil"/>
              <w:bottom w:val="single" w:sz="8" w:space="0" w:color="auto"/>
              <w:right w:val="single" w:sz="8" w:space="0" w:color="auto"/>
            </w:tcBorders>
            <w:shd w:val="clear" w:color="auto" w:fill="BFBFBF" w:themeFill="background1" w:themeFillShade="BF"/>
            <w:vAlign w:val="center"/>
            <w:hideMark/>
          </w:tcPr>
          <w:p w14:paraId="5998D467" w14:textId="5A94B275" w:rsidR="00646F6C" w:rsidRPr="00EB272B" w:rsidRDefault="00776389" w:rsidP="000309E1">
            <w:pPr>
              <w:widowControl/>
              <w:autoSpaceDE/>
              <w:autoSpaceDN/>
              <w:adjustRightInd/>
              <w:rPr>
                <w:color w:val="000000"/>
                <w:sz w:val="22"/>
                <w:szCs w:val="22"/>
              </w:rPr>
            </w:pPr>
            <w:r>
              <w:t xml:space="preserve">Within </w:t>
            </w:r>
            <w:r w:rsidR="000309E1">
              <w:rPr>
                <w:color w:val="000000"/>
                <w:sz w:val="22"/>
                <w:szCs w:val="22"/>
              </w:rPr>
              <w:t>14 months after IPS starts</w:t>
            </w:r>
          </w:p>
        </w:tc>
      </w:tr>
      <w:tr w:rsidR="00646F6C" w:rsidRPr="00EB272B" w14:paraId="3B82221A"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03257297"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AIS2</w:t>
            </w:r>
          </w:p>
        </w:tc>
        <w:tc>
          <w:tcPr>
            <w:tcW w:w="2304" w:type="dxa"/>
            <w:tcBorders>
              <w:top w:val="nil"/>
              <w:left w:val="nil"/>
              <w:bottom w:val="single" w:sz="8" w:space="0" w:color="auto"/>
              <w:right w:val="single" w:sz="8" w:space="0" w:color="auto"/>
            </w:tcBorders>
            <w:shd w:val="clear" w:color="auto" w:fill="BFBFBF" w:themeFill="background1" w:themeFillShade="BF"/>
            <w:vAlign w:val="center"/>
            <w:hideMark/>
          </w:tcPr>
          <w:p w14:paraId="4EA9B1F8"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1st Follow-Up </w:t>
            </w:r>
          </w:p>
        </w:tc>
        <w:tc>
          <w:tcPr>
            <w:tcW w:w="2520" w:type="dxa"/>
            <w:tcBorders>
              <w:top w:val="nil"/>
              <w:left w:val="nil"/>
              <w:bottom w:val="single" w:sz="8" w:space="0" w:color="auto"/>
              <w:right w:val="single" w:sz="8" w:space="0" w:color="auto"/>
            </w:tcBorders>
            <w:shd w:val="clear" w:color="auto" w:fill="BFBFBF" w:themeFill="background1" w:themeFillShade="BF"/>
            <w:vAlign w:val="center"/>
            <w:hideMark/>
          </w:tcPr>
          <w:p w14:paraId="5F1D49E4" w14:textId="6B1AB3AA"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6</w:t>
            </w:r>
          </w:p>
        </w:tc>
        <w:tc>
          <w:tcPr>
            <w:tcW w:w="3392" w:type="dxa"/>
            <w:tcBorders>
              <w:top w:val="nil"/>
              <w:left w:val="nil"/>
              <w:bottom w:val="single" w:sz="8" w:space="0" w:color="auto"/>
              <w:right w:val="single" w:sz="8" w:space="0" w:color="auto"/>
            </w:tcBorders>
            <w:shd w:val="clear" w:color="auto" w:fill="BFBFBF" w:themeFill="background1" w:themeFillShade="BF"/>
            <w:vAlign w:val="center"/>
            <w:hideMark/>
          </w:tcPr>
          <w:p w14:paraId="01A895A9" w14:textId="2E3DA218" w:rsidR="00646F6C" w:rsidRPr="00EB272B" w:rsidRDefault="00776389" w:rsidP="007F0C94">
            <w:pPr>
              <w:widowControl/>
              <w:autoSpaceDE/>
              <w:autoSpaceDN/>
              <w:adjustRightInd/>
              <w:rPr>
                <w:color w:val="000000"/>
                <w:sz w:val="22"/>
                <w:szCs w:val="22"/>
              </w:rPr>
            </w:pPr>
            <w:r>
              <w:t xml:space="preserve">Within </w:t>
            </w:r>
            <w:r w:rsidR="007F0C94">
              <w:rPr>
                <w:color w:val="000000"/>
                <w:sz w:val="22"/>
                <w:szCs w:val="22"/>
              </w:rPr>
              <w:t>17 months after IPS starts</w:t>
            </w:r>
          </w:p>
        </w:tc>
      </w:tr>
      <w:tr w:rsidR="00646F6C" w:rsidRPr="00EB272B" w14:paraId="748E71AE"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0A6311A5"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AIS2</w:t>
            </w:r>
          </w:p>
        </w:tc>
        <w:tc>
          <w:tcPr>
            <w:tcW w:w="2304" w:type="dxa"/>
            <w:tcBorders>
              <w:top w:val="nil"/>
              <w:left w:val="nil"/>
              <w:bottom w:val="single" w:sz="8" w:space="0" w:color="auto"/>
              <w:right w:val="single" w:sz="8" w:space="0" w:color="auto"/>
            </w:tcBorders>
            <w:shd w:val="clear" w:color="auto" w:fill="BFBFBF" w:themeFill="background1" w:themeFillShade="BF"/>
            <w:vAlign w:val="center"/>
            <w:hideMark/>
          </w:tcPr>
          <w:p w14:paraId="15A8AFD9"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2nd Follow-Up </w:t>
            </w:r>
          </w:p>
        </w:tc>
        <w:tc>
          <w:tcPr>
            <w:tcW w:w="2520" w:type="dxa"/>
            <w:tcBorders>
              <w:top w:val="nil"/>
              <w:left w:val="nil"/>
              <w:bottom w:val="single" w:sz="8" w:space="0" w:color="auto"/>
              <w:right w:val="single" w:sz="8" w:space="0" w:color="auto"/>
            </w:tcBorders>
            <w:shd w:val="clear" w:color="auto" w:fill="BFBFBF" w:themeFill="background1" w:themeFillShade="BF"/>
            <w:vAlign w:val="center"/>
            <w:hideMark/>
          </w:tcPr>
          <w:p w14:paraId="036EE78F" w14:textId="7A6B744B"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9</w:t>
            </w:r>
          </w:p>
        </w:tc>
        <w:tc>
          <w:tcPr>
            <w:tcW w:w="3392" w:type="dxa"/>
            <w:tcBorders>
              <w:top w:val="nil"/>
              <w:left w:val="nil"/>
              <w:bottom w:val="single" w:sz="8" w:space="0" w:color="auto"/>
              <w:right w:val="single" w:sz="8" w:space="0" w:color="auto"/>
            </w:tcBorders>
            <w:shd w:val="clear" w:color="auto" w:fill="BFBFBF" w:themeFill="background1" w:themeFillShade="BF"/>
            <w:vAlign w:val="center"/>
            <w:hideMark/>
          </w:tcPr>
          <w:p w14:paraId="50B6169D" w14:textId="0EA3F483" w:rsidR="00646F6C" w:rsidRPr="00EB272B" w:rsidRDefault="00776389" w:rsidP="007F0C94">
            <w:pPr>
              <w:widowControl/>
              <w:autoSpaceDE/>
              <w:autoSpaceDN/>
              <w:adjustRightInd/>
              <w:rPr>
                <w:color w:val="000000"/>
                <w:sz w:val="22"/>
                <w:szCs w:val="22"/>
              </w:rPr>
            </w:pPr>
            <w:r>
              <w:t xml:space="preserve">Within </w:t>
            </w:r>
            <w:r w:rsidR="007F0C94">
              <w:rPr>
                <w:color w:val="000000"/>
                <w:sz w:val="22"/>
                <w:szCs w:val="22"/>
              </w:rPr>
              <w:t>20 months after IPS starts</w:t>
            </w:r>
          </w:p>
        </w:tc>
      </w:tr>
      <w:tr w:rsidR="00646F6C" w:rsidRPr="00EB272B" w14:paraId="2EA6341A"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17AC0897"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AIS2</w:t>
            </w:r>
          </w:p>
        </w:tc>
        <w:tc>
          <w:tcPr>
            <w:tcW w:w="2304" w:type="dxa"/>
            <w:tcBorders>
              <w:top w:val="nil"/>
              <w:left w:val="nil"/>
              <w:bottom w:val="single" w:sz="8" w:space="0" w:color="auto"/>
              <w:right w:val="single" w:sz="8" w:space="0" w:color="auto"/>
            </w:tcBorders>
            <w:shd w:val="clear" w:color="auto" w:fill="BFBFBF" w:themeFill="background1" w:themeFillShade="BF"/>
            <w:vAlign w:val="center"/>
            <w:hideMark/>
          </w:tcPr>
          <w:p w14:paraId="3DD23D61" w14:textId="77777777" w:rsidR="00646F6C" w:rsidRPr="00D82025" w:rsidRDefault="00646F6C" w:rsidP="00FF1C6E">
            <w:pPr>
              <w:widowControl/>
              <w:autoSpaceDE/>
              <w:autoSpaceDN/>
              <w:adjustRightInd/>
              <w:rPr>
                <w:color w:val="000000"/>
                <w:sz w:val="22"/>
                <w:szCs w:val="22"/>
              </w:rPr>
            </w:pPr>
            <w:r w:rsidRPr="00D82025">
              <w:rPr>
                <w:bCs/>
                <w:color w:val="000000"/>
                <w:sz w:val="22"/>
              </w:rPr>
              <w:t xml:space="preserve">Internet 3rd Follow-Up </w:t>
            </w:r>
          </w:p>
        </w:tc>
        <w:tc>
          <w:tcPr>
            <w:tcW w:w="2520" w:type="dxa"/>
            <w:tcBorders>
              <w:top w:val="nil"/>
              <w:left w:val="nil"/>
              <w:bottom w:val="single" w:sz="8" w:space="0" w:color="auto"/>
              <w:right w:val="single" w:sz="8" w:space="0" w:color="auto"/>
            </w:tcBorders>
            <w:shd w:val="clear" w:color="auto" w:fill="BFBFBF" w:themeFill="background1" w:themeFillShade="BF"/>
            <w:vAlign w:val="center"/>
            <w:hideMark/>
          </w:tcPr>
          <w:p w14:paraId="458998BD" w14:textId="075964E6"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12</w:t>
            </w:r>
          </w:p>
        </w:tc>
        <w:tc>
          <w:tcPr>
            <w:tcW w:w="3392" w:type="dxa"/>
            <w:tcBorders>
              <w:top w:val="nil"/>
              <w:left w:val="nil"/>
              <w:bottom w:val="single" w:sz="8" w:space="0" w:color="auto"/>
              <w:right w:val="single" w:sz="8" w:space="0" w:color="auto"/>
            </w:tcBorders>
            <w:shd w:val="clear" w:color="auto" w:fill="BFBFBF" w:themeFill="background1" w:themeFillShade="BF"/>
            <w:vAlign w:val="center"/>
            <w:hideMark/>
          </w:tcPr>
          <w:p w14:paraId="4AB57715" w14:textId="58C0AD8B" w:rsidR="00646F6C" w:rsidRPr="00EB272B" w:rsidRDefault="00776389" w:rsidP="007F0C94">
            <w:pPr>
              <w:widowControl/>
              <w:autoSpaceDE/>
              <w:autoSpaceDN/>
              <w:adjustRightInd/>
              <w:rPr>
                <w:color w:val="000000"/>
                <w:sz w:val="22"/>
                <w:szCs w:val="22"/>
              </w:rPr>
            </w:pPr>
            <w:r>
              <w:t xml:space="preserve">Within </w:t>
            </w:r>
            <w:r w:rsidR="007F0C94">
              <w:rPr>
                <w:color w:val="000000"/>
                <w:sz w:val="22"/>
                <w:szCs w:val="22"/>
              </w:rPr>
              <w:t>23 months after IPS starts</w:t>
            </w:r>
          </w:p>
        </w:tc>
      </w:tr>
      <w:tr w:rsidR="00646F6C" w:rsidRPr="00EB272B" w14:paraId="4BCBFF0D"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39298A42"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AIS2</w:t>
            </w:r>
          </w:p>
        </w:tc>
        <w:tc>
          <w:tcPr>
            <w:tcW w:w="2304" w:type="dxa"/>
            <w:tcBorders>
              <w:top w:val="nil"/>
              <w:left w:val="nil"/>
              <w:bottom w:val="single" w:sz="8" w:space="0" w:color="auto"/>
              <w:right w:val="single" w:sz="8" w:space="0" w:color="auto"/>
            </w:tcBorders>
            <w:shd w:val="clear" w:color="auto" w:fill="auto"/>
            <w:vAlign w:val="center"/>
            <w:hideMark/>
          </w:tcPr>
          <w:p w14:paraId="09A9E464" w14:textId="77777777" w:rsidR="00646F6C" w:rsidRPr="00D82025" w:rsidRDefault="00646F6C" w:rsidP="00FF1C6E">
            <w:pPr>
              <w:widowControl/>
              <w:autoSpaceDE/>
              <w:autoSpaceDN/>
              <w:adjustRightInd/>
              <w:rPr>
                <w:color w:val="000000"/>
                <w:sz w:val="22"/>
                <w:szCs w:val="22"/>
              </w:rPr>
            </w:pPr>
            <w:r w:rsidRPr="00D82025">
              <w:rPr>
                <w:bCs/>
                <w:color w:val="000000"/>
                <w:sz w:val="22"/>
              </w:rPr>
              <w:t>Mail/Telephone Baseline</w:t>
            </w:r>
          </w:p>
        </w:tc>
        <w:tc>
          <w:tcPr>
            <w:tcW w:w="2520" w:type="dxa"/>
            <w:tcBorders>
              <w:top w:val="nil"/>
              <w:left w:val="nil"/>
              <w:bottom w:val="single" w:sz="8" w:space="0" w:color="auto"/>
              <w:right w:val="nil"/>
            </w:tcBorders>
            <w:shd w:val="clear" w:color="auto" w:fill="auto"/>
            <w:vAlign w:val="center"/>
            <w:hideMark/>
          </w:tcPr>
          <w:p w14:paraId="55AB7EB5" w14:textId="0B808494"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3</w:t>
            </w:r>
          </w:p>
        </w:tc>
        <w:tc>
          <w:tcPr>
            <w:tcW w:w="3392" w:type="dxa"/>
            <w:tcBorders>
              <w:top w:val="nil"/>
              <w:left w:val="single" w:sz="8" w:space="0" w:color="auto"/>
              <w:bottom w:val="single" w:sz="8" w:space="0" w:color="auto"/>
              <w:right w:val="single" w:sz="8" w:space="0" w:color="auto"/>
            </w:tcBorders>
            <w:shd w:val="clear" w:color="auto" w:fill="auto"/>
            <w:vAlign w:val="center"/>
            <w:hideMark/>
          </w:tcPr>
          <w:p w14:paraId="2F28D04E" w14:textId="7B86393E" w:rsidR="00646F6C" w:rsidRPr="00EB272B" w:rsidRDefault="00776389" w:rsidP="007F0C94">
            <w:pPr>
              <w:widowControl/>
              <w:autoSpaceDE/>
              <w:autoSpaceDN/>
              <w:adjustRightInd/>
              <w:rPr>
                <w:color w:val="000000"/>
                <w:sz w:val="22"/>
                <w:szCs w:val="22"/>
              </w:rPr>
            </w:pPr>
            <w:r>
              <w:t xml:space="preserve">Within </w:t>
            </w:r>
            <w:r w:rsidR="007F0C94">
              <w:rPr>
                <w:color w:val="000000"/>
                <w:sz w:val="22"/>
                <w:szCs w:val="22"/>
              </w:rPr>
              <w:t>14 months after IPS starts</w:t>
            </w:r>
          </w:p>
        </w:tc>
      </w:tr>
      <w:tr w:rsidR="00646F6C" w:rsidRPr="00EB272B" w14:paraId="31CB15E4"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6C0470D5"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AIS2</w:t>
            </w:r>
          </w:p>
        </w:tc>
        <w:tc>
          <w:tcPr>
            <w:tcW w:w="2304" w:type="dxa"/>
            <w:tcBorders>
              <w:top w:val="nil"/>
              <w:left w:val="nil"/>
              <w:bottom w:val="single" w:sz="8" w:space="0" w:color="auto"/>
              <w:right w:val="single" w:sz="8" w:space="0" w:color="auto"/>
            </w:tcBorders>
            <w:shd w:val="clear" w:color="auto" w:fill="auto"/>
            <w:vAlign w:val="center"/>
            <w:hideMark/>
          </w:tcPr>
          <w:p w14:paraId="016996CA" w14:textId="77777777" w:rsidR="00646F6C" w:rsidRPr="00D82025" w:rsidRDefault="00646F6C" w:rsidP="00FF1C6E">
            <w:pPr>
              <w:widowControl/>
              <w:autoSpaceDE/>
              <w:autoSpaceDN/>
              <w:adjustRightInd/>
              <w:rPr>
                <w:color w:val="000000"/>
                <w:sz w:val="22"/>
                <w:szCs w:val="22"/>
              </w:rPr>
            </w:pPr>
            <w:r w:rsidRPr="00D82025">
              <w:rPr>
                <w:bCs/>
                <w:color w:val="000000"/>
                <w:sz w:val="22"/>
              </w:rPr>
              <w:t>Mail 1st Follow-Up</w:t>
            </w:r>
          </w:p>
        </w:tc>
        <w:tc>
          <w:tcPr>
            <w:tcW w:w="2520" w:type="dxa"/>
            <w:tcBorders>
              <w:top w:val="nil"/>
              <w:left w:val="nil"/>
              <w:bottom w:val="single" w:sz="8" w:space="0" w:color="auto"/>
              <w:right w:val="nil"/>
            </w:tcBorders>
            <w:shd w:val="clear" w:color="auto" w:fill="auto"/>
            <w:vAlign w:val="center"/>
            <w:hideMark/>
          </w:tcPr>
          <w:p w14:paraId="4ACA7D27" w14:textId="5C6ADE02"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6</w:t>
            </w:r>
          </w:p>
        </w:tc>
        <w:tc>
          <w:tcPr>
            <w:tcW w:w="3392" w:type="dxa"/>
            <w:tcBorders>
              <w:top w:val="nil"/>
              <w:left w:val="single" w:sz="8" w:space="0" w:color="auto"/>
              <w:bottom w:val="single" w:sz="8" w:space="0" w:color="auto"/>
              <w:right w:val="single" w:sz="8" w:space="0" w:color="auto"/>
            </w:tcBorders>
            <w:shd w:val="clear" w:color="auto" w:fill="auto"/>
            <w:vAlign w:val="center"/>
            <w:hideMark/>
          </w:tcPr>
          <w:p w14:paraId="55301CBB" w14:textId="5BF79CDA" w:rsidR="00646F6C" w:rsidRPr="00EB272B" w:rsidRDefault="00776389" w:rsidP="007F0C94">
            <w:pPr>
              <w:widowControl/>
              <w:autoSpaceDE/>
              <w:autoSpaceDN/>
              <w:adjustRightInd/>
              <w:rPr>
                <w:color w:val="000000"/>
                <w:sz w:val="22"/>
                <w:szCs w:val="22"/>
              </w:rPr>
            </w:pPr>
            <w:r>
              <w:t xml:space="preserve">Within </w:t>
            </w:r>
            <w:r w:rsidR="007F0C94">
              <w:rPr>
                <w:color w:val="000000"/>
                <w:sz w:val="22"/>
                <w:szCs w:val="22"/>
              </w:rPr>
              <w:t>17 months after IPS starts</w:t>
            </w:r>
          </w:p>
        </w:tc>
      </w:tr>
      <w:tr w:rsidR="00646F6C" w:rsidRPr="00EB272B" w14:paraId="077C8BAF"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57138B24"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AIS2</w:t>
            </w:r>
          </w:p>
        </w:tc>
        <w:tc>
          <w:tcPr>
            <w:tcW w:w="2304" w:type="dxa"/>
            <w:tcBorders>
              <w:top w:val="nil"/>
              <w:left w:val="nil"/>
              <w:bottom w:val="single" w:sz="8" w:space="0" w:color="auto"/>
              <w:right w:val="single" w:sz="8" w:space="0" w:color="auto"/>
            </w:tcBorders>
            <w:shd w:val="clear" w:color="auto" w:fill="auto"/>
            <w:vAlign w:val="center"/>
            <w:hideMark/>
          </w:tcPr>
          <w:p w14:paraId="23CDD094" w14:textId="77777777" w:rsidR="00646F6C" w:rsidRPr="00D82025" w:rsidRDefault="00646F6C" w:rsidP="00FF1C6E">
            <w:pPr>
              <w:widowControl/>
              <w:autoSpaceDE/>
              <w:autoSpaceDN/>
              <w:adjustRightInd/>
              <w:rPr>
                <w:color w:val="000000"/>
                <w:sz w:val="22"/>
                <w:szCs w:val="22"/>
              </w:rPr>
            </w:pPr>
            <w:r w:rsidRPr="00D82025">
              <w:rPr>
                <w:bCs/>
                <w:color w:val="000000"/>
                <w:sz w:val="22"/>
              </w:rPr>
              <w:t>Mail 2nd Follow-Up</w:t>
            </w:r>
          </w:p>
        </w:tc>
        <w:tc>
          <w:tcPr>
            <w:tcW w:w="2520" w:type="dxa"/>
            <w:tcBorders>
              <w:top w:val="nil"/>
              <w:left w:val="nil"/>
              <w:bottom w:val="single" w:sz="8" w:space="0" w:color="auto"/>
              <w:right w:val="nil"/>
            </w:tcBorders>
            <w:shd w:val="clear" w:color="auto" w:fill="auto"/>
            <w:vAlign w:val="center"/>
            <w:hideMark/>
          </w:tcPr>
          <w:p w14:paraId="29C771D8" w14:textId="0AD3CE11"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9</w:t>
            </w:r>
          </w:p>
        </w:tc>
        <w:tc>
          <w:tcPr>
            <w:tcW w:w="3392" w:type="dxa"/>
            <w:tcBorders>
              <w:top w:val="nil"/>
              <w:left w:val="single" w:sz="8" w:space="0" w:color="auto"/>
              <w:bottom w:val="single" w:sz="8" w:space="0" w:color="auto"/>
              <w:right w:val="single" w:sz="8" w:space="0" w:color="auto"/>
            </w:tcBorders>
            <w:shd w:val="clear" w:color="auto" w:fill="auto"/>
            <w:vAlign w:val="center"/>
            <w:hideMark/>
          </w:tcPr>
          <w:p w14:paraId="63672829" w14:textId="256946BE" w:rsidR="00646F6C" w:rsidRPr="00EB272B" w:rsidRDefault="00776389" w:rsidP="007F0C94">
            <w:pPr>
              <w:widowControl/>
              <w:autoSpaceDE/>
              <w:autoSpaceDN/>
              <w:adjustRightInd/>
              <w:rPr>
                <w:color w:val="000000"/>
                <w:sz w:val="22"/>
                <w:szCs w:val="22"/>
              </w:rPr>
            </w:pPr>
            <w:r>
              <w:t xml:space="preserve">Within </w:t>
            </w:r>
            <w:r w:rsidR="007F0C94">
              <w:rPr>
                <w:color w:val="000000"/>
                <w:sz w:val="22"/>
                <w:szCs w:val="22"/>
              </w:rPr>
              <w:t>20 months after IPS starts</w:t>
            </w:r>
          </w:p>
        </w:tc>
      </w:tr>
      <w:tr w:rsidR="00646F6C" w:rsidRPr="00EB272B" w14:paraId="38BC00F4" w14:textId="77777777" w:rsidTr="00C24560">
        <w:trPr>
          <w:trHeight w:val="300"/>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5007636F" w14:textId="77777777" w:rsidR="00646F6C" w:rsidRPr="00D82025" w:rsidRDefault="00646F6C" w:rsidP="00D42A86">
            <w:pPr>
              <w:widowControl/>
              <w:autoSpaceDE/>
              <w:autoSpaceDN/>
              <w:adjustRightInd/>
              <w:rPr>
                <w:color w:val="000000"/>
                <w:sz w:val="22"/>
                <w:szCs w:val="22"/>
              </w:rPr>
            </w:pPr>
            <w:r w:rsidRPr="00D82025">
              <w:rPr>
                <w:color w:val="000000"/>
                <w:sz w:val="22"/>
                <w:szCs w:val="22"/>
              </w:rPr>
              <w:t>AIS2</w:t>
            </w:r>
          </w:p>
        </w:tc>
        <w:tc>
          <w:tcPr>
            <w:tcW w:w="2304" w:type="dxa"/>
            <w:tcBorders>
              <w:top w:val="nil"/>
              <w:left w:val="nil"/>
              <w:bottom w:val="single" w:sz="8" w:space="0" w:color="auto"/>
              <w:right w:val="single" w:sz="8" w:space="0" w:color="auto"/>
            </w:tcBorders>
            <w:shd w:val="clear" w:color="auto" w:fill="auto"/>
            <w:vAlign w:val="center"/>
            <w:hideMark/>
          </w:tcPr>
          <w:p w14:paraId="467E6F44" w14:textId="77777777" w:rsidR="00646F6C" w:rsidRPr="00D82025" w:rsidRDefault="00646F6C" w:rsidP="00FF1C6E">
            <w:pPr>
              <w:widowControl/>
              <w:autoSpaceDE/>
              <w:autoSpaceDN/>
              <w:adjustRightInd/>
              <w:rPr>
                <w:color w:val="000000"/>
                <w:sz w:val="22"/>
                <w:szCs w:val="22"/>
              </w:rPr>
            </w:pPr>
            <w:r w:rsidRPr="00D82025">
              <w:rPr>
                <w:bCs/>
                <w:color w:val="000000"/>
                <w:sz w:val="22"/>
              </w:rPr>
              <w:t>Mail 3rd Follow-Up</w:t>
            </w:r>
          </w:p>
        </w:tc>
        <w:tc>
          <w:tcPr>
            <w:tcW w:w="2520" w:type="dxa"/>
            <w:tcBorders>
              <w:top w:val="nil"/>
              <w:left w:val="nil"/>
              <w:bottom w:val="single" w:sz="8" w:space="0" w:color="auto"/>
              <w:right w:val="nil"/>
            </w:tcBorders>
            <w:shd w:val="clear" w:color="auto" w:fill="auto"/>
            <w:vAlign w:val="center"/>
            <w:hideMark/>
          </w:tcPr>
          <w:p w14:paraId="7B7F6AA7" w14:textId="7A9525C2" w:rsidR="00646F6C" w:rsidRPr="00D82025" w:rsidRDefault="00D41F24" w:rsidP="00FF1C6E">
            <w:pPr>
              <w:widowControl/>
              <w:autoSpaceDE/>
              <w:autoSpaceDN/>
              <w:adjustRightInd/>
              <w:rPr>
                <w:color w:val="000000"/>
                <w:sz w:val="22"/>
                <w:szCs w:val="22"/>
              </w:rPr>
            </w:pPr>
            <w:r>
              <w:rPr>
                <w:color w:val="000000"/>
                <w:sz w:val="22"/>
                <w:szCs w:val="22"/>
              </w:rPr>
              <w:t xml:space="preserve">No later than </w:t>
            </w:r>
            <w:r w:rsidR="00646F6C" w:rsidRPr="00D82025">
              <w:rPr>
                <w:color w:val="000000"/>
                <w:sz w:val="22"/>
                <w:szCs w:val="22"/>
              </w:rPr>
              <w:t>Year 2: Month 12</w:t>
            </w:r>
          </w:p>
        </w:tc>
        <w:tc>
          <w:tcPr>
            <w:tcW w:w="3392" w:type="dxa"/>
            <w:tcBorders>
              <w:top w:val="nil"/>
              <w:left w:val="single" w:sz="8" w:space="0" w:color="auto"/>
              <w:bottom w:val="single" w:sz="8" w:space="0" w:color="auto"/>
              <w:right w:val="single" w:sz="8" w:space="0" w:color="auto"/>
            </w:tcBorders>
            <w:shd w:val="clear" w:color="auto" w:fill="auto"/>
            <w:vAlign w:val="center"/>
            <w:hideMark/>
          </w:tcPr>
          <w:p w14:paraId="622B7889" w14:textId="6BFAE3BE" w:rsidR="00646F6C" w:rsidRPr="00EB272B" w:rsidRDefault="00776389" w:rsidP="007F0C94">
            <w:pPr>
              <w:widowControl/>
              <w:autoSpaceDE/>
              <w:autoSpaceDN/>
              <w:adjustRightInd/>
              <w:rPr>
                <w:color w:val="000000"/>
                <w:sz w:val="22"/>
                <w:szCs w:val="22"/>
              </w:rPr>
            </w:pPr>
            <w:r>
              <w:t xml:space="preserve">Within </w:t>
            </w:r>
            <w:r w:rsidR="007F0C94">
              <w:rPr>
                <w:color w:val="000000"/>
                <w:sz w:val="22"/>
                <w:szCs w:val="22"/>
              </w:rPr>
              <w:t>23 months after IPS starts</w:t>
            </w:r>
          </w:p>
        </w:tc>
      </w:tr>
    </w:tbl>
    <w:p w14:paraId="1F7D5AAC" w14:textId="59DB2A9A" w:rsidR="00557C4F" w:rsidRDefault="00557C4F" w:rsidP="00FF1C6E">
      <w:pPr>
        <w:pStyle w:val="Heading3"/>
      </w:pPr>
    </w:p>
    <w:p w14:paraId="270C3DA5" w14:textId="77777777" w:rsidR="00023CBD" w:rsidRDefault="008D6204" w:rsidP="00FF1C6E">
      <w:pPr>
        <w:pStyle w:val="Heading3"/>
      </w:pPr>
      <w:bookmarkStart w:id="27" w:name="_Toc479522860"/>
      <w:r>
        <w:t>A.16b. Schedule of Deliverables</w:t>
      </w:r>
      <w:bookmarkEnd w:id="27"/>
    </w:p>
    <w:p w14:paraId="1BA5AF85" w14:textId="77777777" w:rsidR="008D6204" w:rsidRDefault="008D6204" w:rsidP="00FF1C6E"/>
    <w:p w14:paraId="3E4B4D38" w14:textId="77777777" w:rsidR="00897BE0" w:rsidRPr="009A2AA5" w:rsidRDefault="00897BE0" w:rsidP="00FF1C6E">
      <w:pPr>
        <w:rPr>
          <w:sz w:val="24"/>
        </w:rPr>
      </w:pPr>
      <w:proofErr w:type="gramStart"/>
      <w:r w:rsidRPr="00A91A52">
        <w:rPr>
          <w:sz w:val="24"/>
        </w:rPr>
        <w:t>Table 5.</w:t>
      </w:r>
      <w:proofErr w:type="gramEnd"/>
      <w:r w:rsidRPr="00A91A52">
        <w:rPr>
          <w:sz w:val="24"/>
        </w:rPr>
        <w:t xml:space="preserve"> Schedule of Deliverables</w:t>
      </w:r>
    </w:p>
    <w:p w14:paraId="04C3C400" w14:textId="77777777" w:rsidR="003F7AF9" w:rsidRPr="00023CBD" w:rsidRDefault="003F7AF9" w:rsidP="00FF1C6E"/>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3716"/>
      </w:tblGrid>
      <w:tr w:rsidR="006E16BB" w:rsidRPr="00DA7CCA" w14:paraId="35AA57B9" w14:textId="77777777" w:rsidTr="00D92F7F">
        <w:tc>
          <w:tcPr>
            <w:tcW w:w="5194" w:type="dxa"/>
            <w:tcBorders>
              <w:bottom w:val="single" w:sz="18" w:space="0" w:color="auto"/>
            </w:tcBorders>
            <w:shd w:val="clear" w:color="auto" w:fill="auto"/>
          </w:tcPr>
          <w:p w14:paraId="0CFAB79F" w14:textId="77777777" w:rsidR="006E16BB" w:rsidRPr="009B7030" w:rsidRDefault="006E16BB" w:rsidP="00FF1C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9B7030">
              <w:rPr>
                <w:b/>
                <w:sz w:val="22"/>
                <w:szCs w:val="22"/>
              </w:rPr>
              <w:t>Title</w:t>
            </w:r>
          </w:p>
        </w:tc>
        <w:tc>
          <w:tcPr>
            <w:tcW w:w="3716" w:type="dxa"/>
            <w:tcBorders>
              <w:bottom w:val="single" w:sz="18" w:space="0" w:color="auto"/>
            </w:tcBorders>
            <w:shd w:val="clear" w:color="auto" w:fill="auto"/>
          </w:tcPr>
          <w:p w14:paraId="0962FDAC" w14:textId="26F62ED6" w:rsidR="006E16BB" w:rsidRPr="009B7030" w:rsidRDefault="004A4C21" w:rsidP="00FF1C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Pr>
                <w:b/>
                <w:sz w:val="22"/>
                <w:szCs w:val="22"/>
              </w:rPr>
              <w:t>Approximate</w:t>
            </w:r>
            <w:r w:rsidR="006E16BB" w:rsidRPr="009B7030">
              <w:rPr>
                <w:b/>
                <w:sz w:val="22"/>
                <w:szCs w:val="22"/>
              </w:rPr>
              <w:t xml:space="preserve"> Date</w:t>
            </w:r>
          </w:p>
        </w:tc>
      </w:tr>
      <w:tr w:rsidR="006E16BB" w:rsidRPr="00DD58D0" w14:paraId="29DC5BFE" w14:textId="77777777" w:rsidTr="00D92F7F">
        <w:tc>
          <w:tcPr>
            <w:tcW w:w="5194" w:type="dxa"/>
            <w:tcBorders>
              <w:top w:val="single" w:sz="18" w:space="0" w:color="auto"/>
              <w:bottom w:val="single" w:sz="18" w:space="0" w:color="auto"/>
            </w:tcBorders>
            <w:shd w:val="clear" w:color="auto" w:fill="auto"/>
          </w:tcPr>
          <w:p w14:paraId="62F41C70" w14:textId="77777777" w:rsidR="006E16BB" w:rsidRPr="00DD58D0" w:rsidRDefault="006E16BB" w:rsidP="004334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EC09B7">
              <w:rPr>
                <w:iCs/>
                <w:sz w:val="22"/>
                <w:szCs w:val="22"/>
              </w:rPr>
              <w:t xml:space="preserve">Report: Results of Pretests </w:t>
            </w:r>
          </w:p>
        </w:tc>
        <w:tc>
          <w:tcPr>
            <w:tcW w:w="3716" w:type="dxa"/>
            <w:tcBorders>
              <w:top w:val="single" w:sz="18" w:space="0" w:color="auto"/>
              <w:bottom w:val="single" w:sz="18" w:space="0" w:color="auto"/>
            </w:tcBorders>
            <w:shd w:val="clear" w:color="auto" w:fill="auto"/>
          </w:tcPr>
          <w:p w14:paraId="49F3D26C" w14:textId="7C5FB8E4" w:rsidR="006E16BB" w:rsidRPr="00DD58D0" w:rsidRDefault="006E16BB" w:rsidP="008417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Within </w:t>
            </w:r>
            <w:r w:rsidR="00E11DA7">
              <w:rPr>
                <w:sz w:val="22"/>
                <w:szCs w:val="22"/>
              </w:rPr>
              <w:t>3</w:t>
            </w:r>
            <w:r w:rsidR="00470CD2">
              <w:rPr>
                <w:sz w:val="22"/>
                <w:szCs w:val="22"/>
              </w:rPr>
              <w:t xml:space="preserve"> months</w:t>
            </w:r>
            <w:r w:rsidRPr="00EC09B7">
              <w:rPr>
                <w:sz w:val="22"/>
                <w:szCs w:val="22"/>
              </w:rPr>
              <w:t xml:space="preserve"> of receiving OMB </w:t>
            </w:r>
            <w:r w:rsidR="00433486">
              <w:rPr>
                <w:sz w:val="22"/>
                <w:szCs w:val="22"/>
              </w:rPr>
              <w:t>clearance</w:t>
            </w:r>
          </w:p>
        </w:tc>
      </w:tr>
      <w:tr w:rsidR="006E16BB" w14:paraId="2D83FB1A" w14:textId="77777777" w:rsidTr="00D92F7F">
        <w:tc>
          <w:tcPr>
            <w:tcW w:w="5194" w:type="dxa"/>
            <w:tcBorders>
              <w:bottom w:val="single" w:sz="18" w:space="0" w:color="auto"/>
            </w:tcBorders>
            <w:shd w:val="clear" w:color="auto" w:fill="auto"/>
          </w:tcPr>
          <w:p w14:paraId="05C1E230" w14:textId="77777777" w:rsidR="006E16BB" w:rsidRPr="00DD58D0" w:rsidRDefault="006E16BB" w:rsidP="001037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DD58D0">
              <w:rPr>
                <w:sz w:val="22"/>
                <w:szCs w:val="22"/>
              </w:rPr>
              <w:t>Report: Initial Participant Survey Report</w:t>
            </w:r>
          </w:p>
        </w:tc>
        <w:tc>
          <w:tcPr>
            <w:tcW w:w="3716" w:type="dxa"/>
            <w:tcBorders>
              <w:bottom w:val="single" w:sz="18" w:space="0" w:color="auto"/>
            </w:tcBorders>
            <w:shd w:val="clear" w:color="auto" w:fill="auto"/>
          </w:tcPr>
          <w:p w14:paraId="7A0F06C7" w14:textId="7F44F6AA" w:rsidR="006E16BB" w:rsidRPr="00DD58D0" w:rsidRDefault="00DB7271" w:rsidP="00DB72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Within 5 months after IPS starts</w:t>
            </w:r>
          </w:p>
        </w:tc>
      </w:tr>
      <w:tr w:rsidR="006E16BB" w14:paraId="37A1515F" w14:textId="77777777" w:rsidTr="00D92F7F">
        <w:tc>
          <w:tcPr>
            <w:tcW w:w="5194" w:type="dxa"/>
            <w:tcBorders>
              <w:bottom w:val="single" w:sz="18" w:space="0" w:color="auto"/>
            </w:tcBorders>
            <w:shd w:val="clear" w:color="auto" w:fill="auto"/>
          </w:tcPr>
          <w:p w14:paraId="3B44E332" w14:textId="77777777" w:rsidR="006E16BB" w:rsidRPr="00DD58D0" w:rsidRDefault="006E16BB" w:rsidP="001037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DD58D0">
              <w:rPr>
                <w:sz w:val="22"/>
                <w:szCs w:val="22"/>
              </w:rPr>
              <w:t xml:space="preserve">Report: </w:t>
            </w:r>
            <w:r>
              <w:rPr>
                <w:sz w:val="22"/>
                <w:szCs w:val="22"/>
              </w:rPr>
              <w:t xml:space="preserve">First Advice </w:t>
            </w:r>
            <w:r w:rsidR="00801C13">
              <w:rPr>
                <w:sz w:val="22"/>
                <w:szCs w:val="22"/>
              </w:rPr>
              <w:t>Interaction</w:t>
            </w:r>
            <w:r>
              <w:rPr>
                <w:sz w:val="22"/>
                <w:szCs w:val="22"/>
              </w:rPr>
              <w:t xml:space="preserve"> </w:t>
            </w:r>
            <w:r w:rsidRPr="00DD58D0">
              <w:rPr>
                <w:sz w:val="22"/>
                <w:szCs w:val="22"/>
              </w:rPr>
              <w:t>Analysis Report</w:t>
            </w:r>
          </w:p>
        </w:tc>
        <w:tc>
          <w:tcPr>
            <w:tcW w:w="3716" w:type="dxa"/>
            <w:tcBorders>
              <w:bottom w:val="single" w:sz="18" w:space="0" w:color="auto"/>
            </w:tcBorders>
            <w:shd w:val="clear" w:color="auto" w:fill="auto"/>
          </w:tcPr>
          <w:p w14:paraId="5CCCCB55" w14:textId="0DD69646" w:rsidR="006E16BB" w:rsidRPr="00DD58D0" w:rsidRDefault="00DB7271" w:rsidP="00DB72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Within 14 months after IPS starts</w:t>
            </w:r>
          </w:p>
        </w:tc>
      </w:tr>
      <w:tr w:rsidR="006E16BB" w14:paraId="7EA97C6E" w14:textId="77777777" w:rsidTr="00D92F7F">
        <w:tc>
          <w:tcPr>
            <w:tcW w:w="5194" w:type="dxa"/>
            <w:tcBorders>
              <w:bottom w:val="single" w:sz="18" w:space="0" w:color="auto"/>
            </w:tcBorders>
            <w:shd w:val="clear" w:color="auto" w:fill="auto"/>
          </w:tcPr>
          <w:p w14:paraId="42BB8D04" w14:textId="77777777" w:rsidR="006E16BB" w:rsidRPr="00DD58D0" w:rsidRDefault="006E16BB" w:rsidP="001037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DD58D0">
              <w:rPr>
                <w:sz w:val="22"/>
                <w:szCs w:val="22"/>
              </w:rPr>
              <w:t xml:space="preserve">Report: </w:t>
            </w:r>
            <w:r w:rsidR="0010374C">
              <w:rPr>
                <w:sz w:val="22"/>
                <w:szCs w:val="22"/>
              </w:rPr>
              <w:t xml:space="preserve">Annual </w:t>
            </w:r>
            <w:r>
              <w:rPr>
                <w:sz w:val="22"/>
                <w:szCs w:val="22"/>
              </w:rPr>
              <w:t>Participant Survey</w:t>
            </w:r>
            <w:r w:rsidRPr="00DD58D0">
              <w:rPr>
                <w:sz w:val="22"/>
                <w:szCs w:val="22"/>
              </w:rPr>
              <w:t xml:space="preserve"> Analysis Report</w:t>
            </w:r>
          </w:p>
        </w:tc>
        <w:tc>
          <w:tcPr>
            <w:tcW w:w="3716" w:type="dxa"/>
            <w:tcBorders>
              <w:bottom w:val="single" w:sz="18" w:space="0" w:color="auto"/>
            </w:tcBorders>
            <w:shd w:val="clear" w:color="auto" w:fill="auto"/>
          </w:tcPr>
          <w:p w14:paraId="301DB4AF" w14:textId="4F4CD420" w:rsidR="006E16BB" w:rsidRPr="00DD58D0" w:rsidRDefault="00DB7271" w:rsidP="00DB72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Within 17 months after IPS starts</w:t>
            </w:r>
          </w:p>
        </w:tc>
      </w:tr>
      <w:tr w:rsidR="006E16BB" w14:paraId="76213E20" w14:textId="77777777" w:rsidTr="00D92F7F">
        <w:tc>
          <w:tcPr>
            <w:tcW w:w="5194" w:type="dxa"/>
            <w:tcBorders>
              <w:top w:val="single" w:sz="18" w:space="0" w:color="auto"/>
              <w:bottom w:val="single" w:sz="18" w:space="0" w:color="auto"/>
            </w:tcBorders>
            <w:shd w:val="clear" w:color="auto" w:fill="auto"/>
          </w:tcPr>
          <w:p w14:paraId="47178684" w14:textId="77777777" w:rsidR="006E16BB" w:rsidRPr="00DD58D0" w:rsidDel="006F22D4" w:rsidRDefault="006E16BB" w:rsidP="001037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Cs/>
                <w:sz w:val="22"/>
                <w:szCs w:val="22"/>
              </w:rPr>
            </w:pPr>
            <w:r w:rsidRPr="00DD58D0">
              <w:rPr>
                <w:sz w:val="22"/>
                <w:szCs w:val="22"/>
              </w:rPr>
              <w:t xml:space="preserve">Report: </w:t>
            </w:r>
            <w:r w:rsidR="0010374C">
              <w:rPr>
                <w:sz w:val="22"/>
                <w:szCs w:val="22"/>
              </w:rPr>
              <w:t xml:space="preserve">Second </w:t>
            </w:r>
            <w:r>
              <w:rPr>
                <w:sz w:val="22"/>
                <w:szCs w:val="22"/>
              </w:rPr>
              <w:t xml:space="preserve">Advice </w:t>
            </w:r>
            <w:r w:rsidR="00801C13">
              <w:rPr>
                <w:sz w:val="22"/>
                <w:szCs w:val="22"/>
              </w:rPr>
              <w:t>Interaction</w:t>
            </w:r>
            <w:r>
              <w:rPr>
                <w:sz w:val="22"/>
                <w:szCs w:val="22"/>
              </w:rPr>
              <w:t xml:space="preserve"> </w:t>
            </w:r>
            <w:r w:rsidRPr="00DD58D0">
              <w:rPr>
                <w:sz w:val="22"/>
                <w:szCs w:val="22"/>
              </w:rPr>
              <w:t>Analysis Report</w:t>
            </w:r>
          </w:p>
        </w:tc>
        <w:tc>
          <w:tcPr>
            <w:tcW w:w="3716" w:type="dxa"/>
            <w:tcBorders>
              <w:top w:val="single" w:sz="18" w:space="0" w:color="auto"/>
              <w:bottom w:val="single" w:sz="18" w:space="0" w:color="auto"/>
            </w:tcBorders>
            <w:shd w:val="clear" w:color="auto" w:fill="auto"/>
          </w:tcPr>
          <w:p w14:paraId="6C9047D9" w14:textId="381B1D8C" w:rsidR="006E16BB" w:rsidRPr="00DD58D0" w:rsidDel="006F22D4" w:rsidRDefault="00DB7271" w:rsidP="00DB72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Within 26 months after IPS starts</w:t>
            </w:r>
          </w:p>
        </w:tc>
      </w:tr>
      <w:tr w:rsidR="006E16BB" w:rsidRPr="00DD58D0" w14:paraId="7A89D342" w14:textId="77777777" w:rsidTr="00D92F7F">
        <w:tc>
          <w:tcPr>
            <w:tcW w:w="5194" w:type="dxa"/>
            <w:tcBorders>
              <w:top w:val="single" w:sz="18" w:space="0" w:color="auto"/>
            </w:tcBorders>
            <w:shd w:val="clear" w:color="auto" w:fill="auto"/>
          </w:tcPr>
          <w:p w14:paraId="745939D9" w14:textId="77777777" w:rsidR="006E16BB" w:rsidRPr="00DD58D0" w:rsidRDefault="006E16BB" w:rsidP="009251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DD58D0">
              <w:rPr>
                <w:iCs/>
                <w:sz w:val="22"/>
                <w:szCs w:val="22"/>
              </w:rPr>
              <w:t xml:space="preserve">Database: </w:t>
            </w:r>
            <w:r w:rsidR="004E78B9">
              <w:rPr>
                <w:iCs/>
                <w:sz w:val="22"/>
                <w:szCs w:val="22"/>
              </w:rPr>
              <w:t>De-Identified</w:t>
            </w:r>
            <w:r w:rsidR="00925132">
              <w:rPr>
                <w:iCs/>
                <w:sz w:val="22"/>
                <w:szCs w:val="22"/>
              </w:rPr>
              <w:t xml:space="preserve"> </w:t>
            </w:r>
            <w:r w:rsidRPr="00DD58D0">
              <w:rPr>
                <w:iCs/>
                <w:sz w:val="22"/>
                <w:szCs w:val="22"/>
              </w:rPr>
              <w:t>Database</w:t>
            </w:r>
            <w:r w:rsidR="00925132">
              <w:rPr>
                <w:iCs/>
                <w:sz w:val="22"/>
                <w:szCs w:val="22"/>
              </w:rPr>
              <w:t xml:space="preserve"> for Research</w:t>
            </w:r>
          </w:p>
        </w:tc>
        <w:tc>
          <w:tcPr>
            <w:tcW w:w="3716" w:type="dxa"/>
            <w:tcBorders>
              <w:top w:val="single" w:sz="18" w:space="0" w:color="auto"/>
            </w:tcBorders>
            <w:shd w:val="clear" w:color="auto" w:fill="auto"/>
          </w:tcPr>
          <w:p w14:paraId="1E0D2D26" w14:textId="333CEBD0" w:rsidR="006E16BB" w:rsidRPr="00DD58D0" w:rsidRDefault="00DB7271" w:rsidP="00DB72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Within 26 months after IPS starts</w:t>
            </w:r>
          </w:p>
        </w:tc>
      </w:tr>
      <w:tr w:rsidR="006E16BB" w:rsidRPr="00DD58D0" w14:paraId="285BAB86" w14:textId="77777777" w:rsidTr="00D92F7F">
        <w:tc>
          <w:tcPr>
            <w:tcW w:w="5194" w:type="dxa"/>
            <w:tcBorders>
              <w:bottom w:val="single" w:sz="18" w:space="0" w:color="auto"/>
            </w:tcBorders>
            <w:shd w:val="clear" w:color="auto" w:fill="auto"/>
          </w:tcPr>
          <w:p w14:paraId="147A7D9F" w14:textId="77777777" w:rsidR="006E16BB" w:rsidRPr="00DD58D0" w:rsidRDefault="006E16BB" w:rsidP="00FF1C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DD58D0">
              <w:rPr>
                <w:iCs/>
                <w:sz w:val="22"/>
                <w:szCs w:val="22"/>
              </w:rPr>
              <w:t xml:space="preserve">Database: Participant Contact and Other </w:t>
            </w:r>
            <w:r w:rsidR="0048150E">
              <w:rPr>
                <w:iCs/>
                <w:sz w:val="22"/>
                <w:szCs w:val="22"/>
              </w:rPr>
              <w:t xml:space="preserve">Sensitive </w:t>
            </w:r>
            <w:r w:rsidRPr="00DD58D0">
              <w:rPr>
                <w:iCs/>
                <w:sz w:val="22"/>
                <w:szCs w:val="22"/>
              </w:rPr>
              <w:t>Information</w:t>
            </w:r>
          </w:p>
        </w:tc>
        <w:tc>
          <w:tcPr>
            <w:tcW w:w="3716" w:type="dxa"/>
            <w:tcBorders>
              <w:bottom w:val="single" w:sz="18" w:space="0" w:color="auto"/>
            </w:tcBorders>
            <w:shd w:val="clear" w:color="auto" w:fill="auto"/>
          </w:tcPr>
          <w:p w14:paraId="3A31ECF1" w14:textId="09FB0E50" w:rsidR="006E16BB" w:rsidRPr="00DD58D0" w:rsidRDefault="00DB7271" w:rsidP="00DB72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Within 26 months after IPS starts</w:t>
            </w:r>
          </w:p>
        </w:tc>
      </w:tr>
    </w:tbl>
    <w:p w14:paraId="4AC76360" w14:textId="7EC185D2" w:rsidR="00D92F7F" w:rsidRDefault="00D92F7F" w:rsidP="00FF1C6E">
      <w:pPr>
        <w:pStyle w:val="Heading2"/>
      </w:pPr>
      <w:bookmarkStart w:id="28" w:name="_Toc479522861"/>
    </w:p>
    <w:p w14:paraId="6137BC27" w14:textId="77777777" w:rsidR="00D92F7F" w:rsidRDefault="00D92F7F">
      <w:pPr>
        <w:widowControl/>
        <w:autoSpaceDE/>
        <w:autoSpaceDN/>
        <w:adjustRightInd/>
        <w:rPr>
          <w:b/>
          <w:sz w:val="24"/>
          <w:szCs w:val="28"/>
        </w:rPr>
      </w:pPr>
      <w:r>
        <w:br w:type="page"/>
      </w:r>
    </w:p>
    <w:p w14:paraId="468F33C2" w14:textId="77777777" w:rsidR="00D92F7F" w:rsidRDefault="00D92F7F" w:rsidP="00FF1C6E">
      <w:pPr>
        <w:pStyle w:val="Heading2"/>
      </w:pPr>
    </w:p>
    <w:p w14:paraId="5FD00294" w14:textId="77777777" w:rsidR="00855ABA" w:rsidRPr="00891591" w:rsidRDefault="000839A6" w:rsidP="00FF1C6E">
      <w:pPr>
        <w:pStyle w:val="Heading2"/>
      </w:pPr>
      <w:r>
        <w:t xml:space="preserve">A.17. </w:t>
      </w:r>
      <w:r w:rsidR="00855ABA" w:rsidRPr="00891591">
        <w:t>Reason(s) Display of OMB Expiration Date is Inappropriate</w:t>
      </w:r>
      <w:bookmarkEnd w:id="28"/>
    </w:p>
    <w:p w14:paraId="5E3C38BC" w14:textId="77777777" w:rsidR="00D92F7F" w:rsidRDefault="00D92F7F" w:rsidP="00D92F7F">
      <w:pPr>
        <w:rPr>
          <w:sz w:val="24"/>
        </w:rPr>
      </w:pPr>
    </w:p>
    <w:p w14:paraId="49FFCBDF" w14:textId="77777777" w:rsidR="00855ABA" w:rsidRPr="00D07695" w:rsidRDefault="00150C4B" w:rsidP="00D92F7F">
      <w:pPr>
        <w:rPr>
          <w:sz w:val="24"/>
        </w:rPr>
      </w:pPr>
      <w:r w:rsidRPr="00D07695">
        <w:rPr>
          <w:sz w:val="24"/>
        </w:rPr>
        <w:t>DOL does</w:t>
      </w:r>
      <w:r w:rsidR="00855ABA" w:rsidRPr="00D07695">
        <w:rPr>
          <w:sz w:val="24"/>
        </w:rPr>
        <w:t xml:space="preserve"> not seek this exemption.</w:t>
      </w:r>
    </w:p>
    <w:p w14:paraId="753CF743" w14:textId="77777777" w:rsidR="00855ABA" w:rsidRDefault="00855ABA" w:rsidP="00D92F7F">
      <w:pPr>
        <w:rPr>
          <w:sz w:val="22"/>
          <w:highlight w:val="cyan"/>
        </w:rPr>
      </w:pPr>
    </w:p>
    <w:p w14:paraId="31ABBD06" w14:textId="77777777" w:rsidR="00D92F7F" w:rsidRPr="00891591" w:rsidRDefault="00D92F7F" w:rsidP="00D92F7F">
      <w:pPr>
        <w:rPr>
          <w:sz w:val="22"/>
          <w:highlight w:val="cyan"/>
        </w:rPr>
      </w:pPr>
    </w:p>
    <w:p w14:paraId="3EE6A998" w14:textId="77777777" w:rsidR="00855ABA" w:rsidRPr="00891591" w:rsidRDefault="000839A6" w:rsidP="00FF1C6E">
      <w:pPr>
        <w:pStyle w:val="Heading2"/>
      </w:pPr>
      <w:bookmarkStart w:id="29" w:name="_Toc479522862"/>
      <w:r>
        <w:t xml:space="preserve">A.18. </w:t>
      </w:r>
      <w:r w:rsidR="00855ABA" w:rsidRPr="00891591">
        <w:t>Exceptions to Certification for Paperwork Reduction Act Submissions</w:t>
      </w:r>
      <w:bookmarkEnd w:id="29"/>
    </w:p>
    <w:p w14:paraId="47595C7D" w14:textId="77777777" w:rsidR="00D92F7F" w:rsidRDefault="00D92F7F" w:rsidP="00D92F7F">
      <w:pPr>
        <w:pStyle w:val="BodyTextIndent"/>
        <w:ind w:left="0"/>
        <w:rPr>
          <w:rFonts w:ascii="Times New Roman" w:hAnsi="Times New Roman"/>
        </w:rPr>
      </w:pPr>
    </w:p>
    <w:p w14:paraId="3205078F" w14:textId="77777777" w:rsidR="0010374C" w:rsidRDefault="0010374C" w:rsidP="00D92F7F">
      <w:pPr>
        <w:pStyle w:val="BodyTextIndent"/>
        <w:ind w:left="0"/>
        <w:rPr>
          <w:rFonts w:ascii="Times New Roman" w:hAnsi="Times New Roman"/>
          <w:sz w:val="22"/>
        </w:rPr>
      </w:pPr>
      <w:r w:rsidRPr="00D07695">
        <w:rPr>
          <w:rFonts w:ascii="Times New Roman" w:hAnsi="Times New Roman"/>
        </w:rPr>
        <w:t>There are no exceptions to the certification.</w:t>
      </w:r>
    </w:p>
    <w:p w14:paraId="05FFBC8A" w14:textId="77777777" w:rsidR="00855ABA" w:rsidRDefault="00855ABA" w:rsidP="00FF1C6E">
      <w:pPr>
        <w:pStyle w:val="BodyTextIndent"/>
        <w:ind w:left="1080"/>
        <w:rPr>
          <w:rFonts w:ascii="Times New Roman" w:hAnsi="Times New Roman"/>
          <w:sz w:val="22"/>
        </w:rPr>
      </w:pPr>
    </w:p>
    <w:p w14:paraId="3EF0A777" w14:textId="77777777" w:rsidR="00C1088C" w:rsidRPr="00CD358A" w:rsidRDefault="00C1088C" w:rsidP="00CD358A">
      <w:pPr>
        <w:widowControl/>
        <w:autoSpaceDE/>
        <w:autoSpaceDN/>
        <w:adjustRightInd/>
        <w:rPr>
          <w:sz w:val="22"/>
        </w:rPr>
      </w:pPr>
      <w:r w:rsidRPr="00C1088C">
        <w:rPr>
          <w:b/>
          <w:bCs/>
          <w:sz w:val="22"/>
          <w:szCs w:val="22"/>
        </w:rPr>
        <w:br w:type="page"/>
      </w:r>
    </w:p>
    <w:p w14:paraId="66469980" w14:textId="32BA3E1B" w:rsidR="00C1088C" w:rsidRPr="00C1088C" w:rsidRDefault="00C1088C" w:rsidP="00C1088C">
      <w:pPr>
        <w:keepNext/>
        <w:spacing w:before="240" w:after="60"/>
        <w:outlineLvl w:val="1"/>
        <w:rPr>
          <w:b/>
          <w:sz w:val="24"/>
          <w:szCs w:val="22"/>
        </w:rPr>
      </w:pPr>
      <w:bookmarkStart w:id="30" w:name="_Toc362604593"/>
      <w:bookmarkStart w:id="31" w:name="_Toc479522863"/>
      <w:r w:rsidRPr="00C1088C">
        <w:rPr>
          <w:b/>
          <w:sz w:val="24"/>
          <w:szCs w:val="22"/>
        </w:rPr>
        <w:lastRenderedPageBreak/>
        <w:t>References</w:t>
      </w:r>
      <w:bookmarkEnd w:id="30"/>
      <w:bookmarkEnd w:id="31"/>
    </w:p>
    <w:p w14:paraId="3D7BB0D2" w14:textId="77777777" w:rsidR="00C1088C" w:rsidRPr="00C1088C" w:rsidRDefault="00C1088C" w:rsidP="00C1088C">
      <w:pPr>
        <w:rPr>
          <w:sz w:val="22"/>
          <w:szCs w:val="22"/>
        </w:rPr>
      </w:pPr>
    </w:p>
    <w:p w14:paraId="2DD911EB" w14:textId="136DA811" w:rsidR="000B68BB" w:rsidRDefault="000B68BB" w:rsidP="007C5120">
      <w:pPr>
        <w:widowControl/>
        <w:autoSpaceDE/>
        <w:autoSpaceDN/>
        <w:adjustRightInd/>
        <w:ind w:left="720" w:hanging="720"/>
        <w:rPr>
          <w:sz w:val="24"/>
          <w:lang w:eastAsia="ja-JP" w:bidi="en-US"/>
        </w:rPr>
      </w:pPr>
      <w:r w:rsidRPr="000B68BB">
        <w:rPr>
          <w:sz w:val="24"/>
          <w:lang w:eastAsia="ja-JP" w:bidi="en-US"/>
        </w:rPr>
        <w:t>Board of Governors of the Federal Reserve System (2016)</w:t>
      </w:r>
      <w:proofErr w:type="gramStart"/>
      <w:r w:rsidRPr="000B68BB">
        <w:rPr>
          <w:sz w:val="24"/>
          <w:lang w:eastAsia="ja-JP" w:bidi="en-US"/>
        </w:rPr>
        <w:t>,“</w:t>
      </w:r>
      <w:proofErr w:type="gramEnd"/>
      <w:r w:rsidRPr="000B68BB">
        <w:rPr>
          <w:sz w:val="24"/>
          <w:lang w:eastAsia="ja-JP" w:bidi="en-US"/>
        </w:rPr>
        <w:t xml:space="preserve">Report on the Economic Well-Being of U.S. Households in 2015,” available at </w:t>
      </w:r>
      <w:hyperlink r:id="rId10" w:history="1">
        <w:r w:rsidRPr="007B3C2F">
          <w:rPr>
            <w:rStyle w:val="Hyperlink"/>
            <w:sz w:val="24"/>
            <w:lang w:eastAsia="ja-JP" w:bidi="en-US"/>
          </w:rPr>
          <w:t>https://www.federalreserve.gov/econresdata/2014-report-economic-well-being-us-households-201505.pdf</w:t>
        </w:r>
      </w:hyperlink>
      <w:r>
        <w:rPr>
          <w:sz w:val="24"/>
          <w:lang w:eastAsia="ja-JP" w:bidi="en-US"/>
        </w:rPr>
        <w:t>.</w:t>
      </w:r>
    </w:p>
    <w:p w14:paraId="7578DCC0" w14:textId="77777777" w:rsidR="00865D39" w:rsidRDefault="00865D39" w:rsidP="00C1088C">
      <w:pPr>
        <w:widowControl/>
        <w:autoSpaceDE/>
        <w:autoSpaceDN/>
        <w:adjustRightInd/>
        <w:ind w:left="720" w:hanging="720"/>
        <w:rPr>
          <w:sz w:val="24"/>
          <w:lang w:eastAsia="ja-JP" w:bidi="en-US"/>
        </w:rPr>
      </w:pPr>
      <w:r w:rsidRPr="00865D39">
        <w:rPr>
          <w:sz w:val="24"/>
          <w:lang w:eastAsia="ja-JP" w:bidi="en-US"/>
        </w:rPr>
        <w:t xml:space="preserve">Church, A. (1993), “Estimating the Effect of Incentives on Mail Survey Response Rates: A Meta-Analysis,” </w:t>
      </w:r>
      <w:r w:rsidRPr="000E20EB">
        <w:rPr>
          <w:i/>
          <w:sz w:val="24"/>
          <w:lang w:eastAsia="ja-JP" w:bidi="en-US"/>
        </w:rPr>
        <w:t>Public Opinion Quarterly</w:t>
      </w:r>
      <w:r w:rsidRPr="00865D39">
        <w:rPr>
          <w:sz w:val="24"/>
          <w:lang w:eastAsia="ja-JP" w:bidi="en-US"/>
        </w:rPr>
        <w:t>, 57, 62-79.</w:t>
      </w:r>
    </w:p>
    <w:p w14:paraId="4530AE20" w14:textId="347D57BB" w:rsidR="004B5F8B" w:rsidRDefault="004B5F8B" w:rsidP="00CF4B82">
      <w:pPr>
        <w:widowControl/>
        <w:autoSpaceDE/>
        <w:autoSpaceDN/>
        <w:adjustRightInd/>
        <w:ind w:left="720" w:hanging="720"/>
        <w:rPr>
          <w:sz w:val="24"/>
          <w:lang w:eastAsia="ja-JP" w:bidi="en-US"/>
        </w:rPr>
      </w:pPr>
      <w:proofErr w:type="gramStart"/>
      <w:r w:rsidRPr="004B5F8B">
        <w:rPr>
          <w:sz w:val="24"/>
          <w:lang w:eastAsia="ja-JP" w:bidi="en-US"/>
        </w:rPr>
        <w:t>Copeland</w:t>
      </w:r>
      <w:r>
        <w:rPr>
          <w:sz w:val="24"/>
          <w:lang w:eastAsia="ja-JP" w:bidi="en-US"/>
        </w:rPr>
        <w:t>, C.</w:t>
      </w:r>
      <w:r w:rsidRPr="004B5F8B">
        <w:rPr>
          <w:sz w:val="24"/>
          <w:lang w:eastAsia="ja-JP" w:bidi="en-US"/>
        </w:rPr>
        <w:t xml:space="preserve"> (2015), “The Effect of the Current Population Survey Redesign on Retirement-Plan</w:t>
      </w:r>
      <w:r>
        <w:rPr>
          <w:sz w:val="24"/>
          <w:lang w:eastAsia="ja-JP" w:bidi="en-US"/>
        </w:rPr>
        <w:t xml:space="preserve"> Participation Estimates,</w:t>
      </w:r>
      <w:r w:rsidR="009F7820">
        <w:rPr>
          <w:sz w:val="24"/>
          <w:lang w:eastAsia="ja-JP" w:bidi="en-US"/>
        </w:rPr>
        <w:t>”</w:t>
      </w:r>
      <w:r>
        <w:rPr>
          <w:sz w:val="24"/>
          <w:lang w:eastAsia="ja-JP" w:bidi="en-US"/>
        </w:rPr>
        <w:t xml:space="preserve"> </w:t>
      </w:r>
      <w:r w:rsidRPr="004B5F8B">
        <w:rPr>
          <w:sz w:val="24"/>
          <w:lang w:eastAsia="ja-JP" w:bidi="en-US"/>
        </w:rPr>
        <w:t xml:space="preserve">EBRI Notes, Vol. 36, No. 12, available at </w:t>
      </w:r>
      <w:hyperlink r:id="rId11" w:history="1">
        <w:r w:rsidR="008840DC" w:rsidRPr="007B3C2F">
          <w:rPr>
            <w:rStyle w:val="Hyperlink"/>
            <w:sz w:val="24"/>
            <w:lang w:eastAsia="ja-JP" w:bidi="en-US"/>
          </w:rPr>
          <w:t>https://www.ebri.org/publications/notes/index.cfm?fa=notesDisp&amp;content_id=3299</w:t>
        </w:r>
      </w:hyperlink>
      <w:r w:rsidR="008840DC">
        <w:rPr>
          <w:sz w:val="24"/>
          <w:lang w:eastAsia="ja-JP" w:bidi="en-US"/>
        </w:rPr>
        <w:t>.</w:t>
      </w:r>
      <w:proofErr w:type="gramEnd"/>
    </w:p>
    <w:p w14:paraId="3551D645" w14:textId="5EFCD45F" w:rsidR="00BF0A6D" w:rsidRDefault="00BF0A6D" w:rsidP="007C5120">
      <w:pPr>
        <w:widowControl/>
        <w:autoSpaceDE/>
        <w:autoSpaceDN/>
        <w:adjustRightInd/>
        <w:ind w:left="720" w:hanging="720"/>
        <w:rPr>
          <w:sz w:val="24"/>
          <w:lang w:eastAsia="ja-JP" w:bidi="en-US"/>
        </w:rPr>
      </w:pPr>
      <w:proofErr w:type="spellStart"/>
      <w:r>
        <w:rPr>
          <w:sz w:val="24"/>
          <w:lang w:eastAsia="ja-JP" w:bidi="en-US"/>
        </w:rPr>
        <w:t>Dominitz</w:t>
      </w:r>
      <w:proofErr w:type="spellEnd"/>
      <w:r>
        <w:rPr>
          <w:sz w:val="24"/>
          <w:lang w:eastAsia="ja-JP" w:bidi="en-US"/>
        </w:rPr>
        <w:t xml:space="preserve">, J. and C. </w:t>
      </w:r>
      <w:proofErr w:type="spellStart"/>
      <w:r>
        <w:rPr>
          <w:sz w:val="24"/>
          <w:lang w:eastAsia="ja-JP" w:bidi="en-US"/>
        </w:rPr>
        <w:t>Manski</w:t>
      </w:r>
      <w:proofErr w:type="spellEnd"/>
      <w:r>
        <w:rPr>
          <w:sz w:val="24"/>
          <w:lang w:eastAsia="ja-JP" w:bidi="en-US"/>
        </w:rPr>
        <w:t xml:space="preserve"> (2011),</w:t>
      </w:r>
      <w:r w:rsidRPr="00BF0A6D">
        <w:t xml:space="preserve"> </w:t>
      </w:r>
      <w:r>
        <w:t>“</w:t>
      </w:r>
      <w:r w:rsidRPr="00BF0A6D">
        <w:rPr>
          <w:sz w:val="24"/>
          <w:lang w:eastAsia="ja-JP" w:bidi="en-US"/>
        </w:rPr>
        <w:t xml:space="preserve">Measuring and Interpreting Expectations of Equity Returns,” </w:t>
      </w:r>
      <w:r w:rsidRPr="007C5120">
        <w:rPr>
          <w:i/>
          <w:sz w:val="24"/>
          <w:lang w:eastAsia="ja-JP" w:bidi="en-US"/>
        </w:rPr>
        <w:t>Journal of Applied Econometrics</w:t>
      </w:r>
      <w:r>
        <w:rPr>
          <w:sz w:val="24"/>
          <w:lang w:eastAsia="ja-JP" w:bidi="en-US"/>
        </w:rPr>
        <w:t xml:space="preserve">, </w:t>
      </w:r>
      <w:r w:rsidRPr="00BF0A6D">
        <w:rPr>
          <w:sz w:val="24"/>
          <w:lang w:eastAsia="ja-JP" w:bidi="en-US"/>
        </w:rPr>
        <w:t>26</w:t>
      </w:r>
      <w:r>
        <w:rPr>
          <w:sz w:val="24"/>
          <w:lang w:eastAsia="ja-JP" w:bidi="en-US"/>
        </w:rPr>
        <w:t>(3):</w:t>
      </w:r>
      <w:r w:rsidRPr="00BF0A6D">
        <w:rPr>
          <w:sz w:val="24"/>
          <w:lang w:eastAsia="ja-JP" w:bidi="en-US"/>
        </w:rPr>
        <w:t xml:space="preserve"> 352-370.</w:t>
      </w:r>
    </w:p>
    <w:p w14:paraId="52353768" w14:textId="261249A9" w:rsidR="00BF0A6D" w:rsidRPr="004B5F8B" w:rsidRDefault="00BF0A6D">
      <w:pPr>
        <w:widowControl/>
        <w:autoSpaceDE/>
        <w:autoSpaceDN/>
        <w:adjustRightInd/>
        <w:ind w:left="720" w:hanging="720"/>
        <w:rPr>
          <w:sz w:val="24"/>
          <w:lang w:eastAsia="ja-JP" w:bidi="en-US"/>
        </w:rPr>
      </w:pPr>
      <w:proofErr w:type="spellStart"/>
      <w:r>
        <w:rPr>
          <w:sz w:val="24"/>
          <w:lang w:eastAsia="ja-JP" w:bidi="en-US"/>
        </w:rPr>
        <w:t>Dominitz</w:t>
      </w:r>
      <w:proofErr w:type="spellEnd"/>
      <w:r>
        <w:rPr>
          <w:sz w:val="24"/>
          <w:lang w:eastAsia="ja-JP" w:bidi="en-US"/>
        </w:rPr>
        <w:t xml:space="preserve">, J. and C. </w:t>
      </w:r>
      <w:proofErr w:type="spellStart"/>
      <w:r>
        <w:rPr>
          <w:sz w:val="24"/>
          <w:lang w:eastAsia="ja-JP" w:bidi="en-US"/>
        </w:rPr>
        <w:t>Manski</w:t>
      </w:r>
      <w:proofErr w:type="spellEnd"/>
      <w:r>
        <w:rPr>
          <w:sz w:val="24"/>
          <w:lang w:eastAsia="ja-JP" w:bidi="en-US"/>
        </w:rPr>
        <w:t xml:space="preserve"> (2007), </w:t>
      </w:r>
      <w:r w:rsidR="007A6A63" w:rsidRPr="007A6A63">
        <w:rPr>
          <w:sz w:val="24"/>
          <w:lang w:eastAsia="ja-JP" w:bidi="en-US"/>
        </w:rPr>
        <w:t xml:space="preserve">“Expected Equity Returns and Portfolio Choice: Evidence from the Health and Retirement Study,” </w:t>
      </w:r>
      <w:r w:rsidR="007A6A63" w:rsidRPr="007C5120">
        <w:rPr>
          <w:i/>
          <w:sz w:val="24"/>
          <w:lang w:eastAsia="ja-JP" w:bidi="en-US"/>
        </w:rPr>
        <w:t>Journal of the European Economic Association</w:t>
      </w:r>
      <w:r w:rsidR="007A6A63">
        <w:rPr>
          <w:sz w:val="24"/>
          <w:lang w:eastAsia="ja-JP" w:bidi="en-US"/>
        </w:rPr>
        <w:t xml:space="preserve">, </w:t>
      </w:r>
      <w:r w:rsidR="007A6A63" w:rsidRPr="007A6A63">
        <w:rPr>
          <w:sz w:val="24"/>
          <w:lang w:eastAsia="ja-JP" w:bidi="en-US"/>
        </w:rPr>
        <w:t>5</w:t>
      </w:r>
      <w:r w:rsidR="007A6A63">
        <w:rPr>
          <w:sz w:val="24"/>
          <w:lang w:eastAsia="ja-JP" w:bidi="en-US"/>
        </w:rPr>
        <w:t>(</w:t>
      </w:r>
      <w:r w:rsidR="007A6A63" w:rsidRPr="007A6A63">
        <w:rPr>
          <w:sz w:val="24"/>
          <w:lang w:eastAsia="ja-JP" w:bidi="en-US"/>
        </w:rPr>
        <w:t>2-3</w:t>
      </w:r>
      <w:r w:rsidR="007A6A63">
        <w:rPr>
          <w:sz w:val="24"/>
          <w:lang w:eastAsia="ja-JP" w:bidi="en-US"/>
        </w:rPr>
        <w:t>):</w:t>
      </w:r>
      <w:r w:rsidR="007A6A63" w:rsidRPr="007A6A63">
        <w:rPr>
          <w:sz w:val="24"/>
          <w:lang w:eastAsia="ja-JP" w:bidi="en-US"/>
        </w:rPr>
        <w:t xml:space="preserve"> 369-379</w:t>
      </w:r>
      <w:r w:rsidR="007A6A63">
        <w:rPr>
          <w:sz w:val="24"/>
          <w:lang w:eastAsia="ja-JP" w:bidi="en-US"/>
        </w:rPr>
        <w:t>.</w:t>
      </w:r>
    </w:p>
    <w:p w14:paraId="20567639" w14:textId="77777777" w:rsidR="00F612D7" w:rsidRPr="00F612D7" w:rsidRDefault="00F612D7" w:rsidP="00F612D7">
      <w:pPr>
        <w:widowControl/>
        <w:autoSpaceDE/>
        <w:autoSpaceDN/>
        <w:adjustRightInd/>
        <w:ind w:left="720" w:hanging="720"/>
        <w:rPr>
          <w:sz w:val="24"/>
          <w:lang w:eastAsia="ja-JP" w:bidi="en-US"/>
        </w:rPr>
      </w:pPr>
      <w:r w:rsidRPr="00F612D7">
        <w:rPr>
          <w:sz w:val="24"/>
          <w:lang w:eastAsia="ja-JP" w:bidi="en-US"/>
        </w:rPr>
        <w:t xml:space="preserve">Edwards, P., I. Roberts, M. Clarke, C. </w:t>
      </w:r>
      <w:proofErr w:type="spellStart"/>
      <w:r w:rsidRPr="00F612D7">
        <w:rPr>
          <w:sz w:val="24"/>
          <w:lang w:eastAsia="ja-JP" w:bidi="en-US"/>
        </w:rPr>
        <w:t>DiGuiseppi</w:t>
      </w:r>
      <w:proofErr w:type="spellEnd"/>
      <w:r w:rsidRPr="00F612D7">
        <w:rPr>
          <w:sz w:val="24"/>
          <w:lang w:eastAsia="ja-JP" w:bidi="en-US"/>
        </w:rPr>
        <w:t xml:space="preserve">, S. </w:t>
      </w:r>
      <w:proofErr w:type="spellStart"/>
      <w:r w:rsidRPr="00F612D7">
        <w:rPr>
          <w:sz w:val="24"/>
          <w:lang w:eastAsia="ja-JP" w:bidi="en-US"/>
        </w:rPr>
        <w:t>Pratap</w:t>
      </w:r>
      <w:proofErr w:type="spellEnd"/>
      <w:r w:rsidRPr="00F612D7">
        <w:rPr>
          <w:sz w:val="24"/>
          <w:lang w:eastAsia="ja-JP" w:bidi="en-US"/>
        </w:rPr>
        <w:t>, R. Wentz, and I. Kwan (2002), “Increasing response rates to postal questionnaires: systematic review</w:t>
      </w:r>
      <w:r w:rsidR="00287CBB">
        <w:rPr>
          <w:sz w:val="24"/>
          <w:lang w:eastAsia="ja-JP" w:bidi="en-US"/>
        </w:rPr>
        <w:t>,</w:t>
      </w:r>
      <w:r w:rsidRPr="00F612D7">
        <w:rPr>
          <w:sz w:val="24"/>
          <w:lang w:eastAsia="ja-JP" w:bidi="en-US"/>
        </w:rPr>
        <w:t xml:space="preserve">”  </w:t>
      </w:r>
      <w:r w:rsidRPr="00F612D7">
        <w:rPr>
          <w:i/>
          <w:sz w:val="24"/>
          <w:lang w:eastAsia="ja-JP" w:bidi="en-US"/>
        </w:rPr>
        <w:t>British Medical Journal</w:t>
      </w:r>
      <w:r w:rsidRPr="00F612D7">
        <w:rPr>
          <w:sz w:val="24"/>
          <w:lang w:eastAsia="ja-JP" w:bidi="en-US"/>
        </w:rPr>
        <w:t>, 324: 1183–91.</w:t>
      </w:r>
    </w:p>
    <w:p w14:paraId="47F3B69A" w14:textId="34D1CCB7" w:rsidR="001C268A" w:rsidRDefault="001C268A" w:rsidP="00C1088C">
      <w:pPr>
        <w:widowControl/>
        <w:autoSpaceDE/>
        <w:autoSpaceDN/>
        <w:adjustRightInd/>
        <w:ind w:left="720" w:hanging="720"/>
        <w:rPr>
          <w:sz w:val="24"/>
          <w:lang w:eastAsia="ja-JP" w:bidi="en-US"/>
        </w:rPr>
      </w:pPr>
      <w:proofErr w:type="spellStart"/>
      <w:r w:rsidRPr="001C268A">
        <w:rPr>
          <w:sz w:val="24"/>
          <w:lang w:eastAsia="ja-JP" w:bidi="en-US"/>
        </w:rPr>
        <w:t>Gustman</w:t>
      </w:r>
      <w:proofErr w:type="spellEnd"/>
      <w:r>
        <w:rPr>
          <w:sz w:val="24"/>
          <w:lang w:eastAsia="ja-JP" w:bidi="en-US"/>
        </w:rPr>
        <w:t>, A.</w:t>
      </w:r>
      <w:r w:rsidRPr="001C268A">
        <w:rPr>
          <w:sz w:val="24"/>
          <w:lang w:eastAsia="ja-JP" w:bidi="en-US"/>
        </w:rPr>
        <w:t xml:space="preserve"> and T. </w:t>
      </w:r>
      <w:proofErr w:type="spellStart"/>
      <w:r w:rsidRPr="001C268A">
        <w:rPr>
          <w:sz w:val="24"/>
          <w:lang w:eastAsia="ja-JP" w:bidi="en-US"/>
        </w:rPr>
        <w:t>Steinmeier</w:t>
      </w:r>
      <w:proofErr w:type="spellEnd"/>
      <w:r w:rsidRPr="001C268A">
        <w:rPr>
          <w:sz w:val="24"/>
          <w:lang w:eastAsia="ja-JP" w:bidi="en-US"/>
        </w:rPr>
        <w:t xml:space="preserve"> (2004), “What People Don’t Know About Their Pensions and Social Security: An Analysis Using Linked Data From the Health and</w:t>
      </w:r>
      <w:r>
        <w:rPr>
          <w:sz w:val="24"/>
          <w:lang w:eastAsia="ja-JP" w:bidi="en-US"/>
        </w:rPr>
        <w:t xml:space="preserve"> Retirement Study,” in W. Gale, J. </w:t>
      </w:r>
      <w:proofErr w:type="spellStart"/>
      <w:r>
        <w:rPr>
          <w:sz w:val="24"/>
          <w:lang w:eastAsia="ja-JP" w:bidi="en-US"/>
        </w:rPr>
        <w:t>Shoven</w:t>
      </w:r>
      <w:proofErr w:type="spellEnd"/>
      <w:r>
        <w:rPr>
          <w:sz w:val="24"/>
          <w:lang w:eastAsia="ja-JP" w:bidi="en-US"/>
        </w:rPr>
        <w:t xml:space="preserve"> and M. </w:t>
      </w:r>
      <w:proofErr w:type="spellStart"/>
      <w:r>
        <w:rPr>
          <w:sz w:val="24"/>
          <w:lang w:eastAsia="ja-JP" w:bidi="en-US"/>
        </w:rPr>
        <w:t>Warshawsky</w:t>
      </w:r>
      <w:proofErr w:type="spellEnd"/>
      <w:r>
        <w:rPr>
          <w:sz w:val="24"/>
          <w:lang w:eastAsia="ja-JP" w:bidi="en-US"/>
        </w:rPr>
        <w:t>, ed</w:t>
      </w:r>
      <w:r w:rsidRPr="001C268A">
        <w:rPr>
          <w:sz w:val="24"/>
          <w:lang w:eastAsia="ja-JP" w:bidi="en-US"/>
        </w:rPr>
        <w:t>s</w:t>
      </w:r>
      <w:r>
        <w:rPr>
          <w:sz w:val="24"/>
          <w:lang w:eastAsia="ja-JP" w:bidi="en-US"/>
        </w:rPr>
        <w:t>.</w:t>
      </w:r>
      <w:r w:rsidRPr="001C268A">
        <w:rPr>
          <w:sz w:val="24"/>
          <w:lang w:eastAsia="ja-JP" w:bidi="en-US"/>
        </w:rPr>
        <w:t xml:space="preserve">, </w:t>
      </w:r>
      <w:r w:rsidRPr="007C5120">
        <w:rPr>
          <w:i/>
          <w:sz w:val="24"/>
          <w:lang w:eastAsia="ja-JP" w:bidi="en-US"/>
        </w:rPr>
        <w:t>Public Policies and Private Pensions</w:t>
      </w:r>
      <w:r>
        <w:rPr>
          <w:sz w:val="24"/>
          <w:lang w:eastAsia="ja-JP" w:bidi="en-US"/>
        </w:rPr>
        <w:t>,</w:t>
      </w:r>
      <w:r w:rsidRPr="001C268A">
        <w:rPr>
          <w:sz w:val="24"/>
          <w:lang w:eastAsia="ja-JP" w:bidi="en-US"/>
        </w:rPr>
        <w:t xml:space="preserve"> Washington, D.C.: Brookings Institution: 57-119</w:t>
      </w:r>
      <w:r w:rsidR="00482A8D">
        <w:rPr>
          <w:sz w:val="24"/>
          <w:lang w:eastAsia="ja-JP" w:bidi="en-US"/>
        </w:rPr>
        <w:t>.</w:t>
      </w:r>
    </w:p>
    <w:p w14:paraId="7D262CE6" w14:textId="2A9A096C" w:rsidR="00FB7172" w:rsidRDefault="00FB7172" w:rsidP="00C1088C">
      <w:pPr>
        <w:widowControl/>
        <w:autoSpaceDE/>
        <w:autoSpaceDN/>
        <w:adjustRightInd/>
        <w:ind w:left="720" w:hanging="720"/>
        <w:rPr>
          <w:sz w:val="24"/>
          <w:lang w:eastAsia="ja-JP" w:bidi="en-US"/>
        </w:rPr>
      </w:pPr>
      <w:r w:rsidRPr="00FB7172">
        <w:rPr>
          <w:sz w:val="24"/>
          <w:lang w:eastAsia="ja-JP" w:bidi="en-US"/>
        </w:rPr>
        <w:t xml:space="preserve">Holden, </w:t>
      </w:r>
      <w:r>
        <w:rPr>
          <w:sz w:val="24"/>
          <w:lang w:eastAsia="ja-JP" w:bidi="en-US"/>
        </w:rPr>
        <w:t xml:space="preserve">S., </w:t>
      </w:r>
      <w:r w:rsidRPr="00FB7172">
        <w:rPr>
          <w:sz w:val="24"/>
          <w:lang w:eastAsia="ja-JP" w:bidi="en-US"/>
        </w:rPr>
        <w:t xml:space="preserve">K. </w:t>
      </w:r>
      <w:proofErr w:type="spellStart"/>
      <w:r w:rsidRPr="00FB7172">
        <w:rPr>
          <w:sz w:val="24"/>
          <w:lang w:eastAsia="ja-JP" w:bidi="en-US"/>
        </w:rPr>
        <w:t>Burham</w:t>
      </w:r>
      <w:proofErr w:type="spellEnd"/>
      <w:r w:rsidRPr="00FB7172">
        <w:rPr>
          <w:sz w:val="24"/>
          <w:lang w:eastAsia="ja-JP" w:bidi="en-US"/>
        </w:rPr>
        <w:t xml:space="preserve">, M. Bogdan, and D. </w:t>
      </w:r>
      <w:proofErr w:type="spellStart"/>
      <w:r w:rsidRPr="00FB7172">
        <w:rPr>
          <w:sz w:val="24"/>
          <w:lang w:eastAsia="ja-JP" w:bidi="en-US"/>
        </w:rPr>
        <w:t>Schrass</w:t>
      </w:r>
      <w:proofErr w:type="spellEnd"/>
      <w:r>
        <w:rPr>
          <w:sz w:val="24"/>
          <w:lang w:eastAsia="ja-JP" w:bidi="en-US"/>
        </w:rPr>
        <w:t xml:space="preserve"> (2016)</w:t>
      </w:r>
      <w:r w:rsidRPr="00FB7172">
        <w:rPr>
          <w:sz w:val="24"/>
          <w:lang w:eastAsia="ja-JP" w:bidi="en-US"/>
        </w:rPr>
        <w:t>, “American Views on Defined Contribution Plan Saving, 2015,”</w:t>
      </w:r>
      <w:r w:rsidRPr="00FB7172">
        <w:rPr>
          <w:i/>
          <w:sz w:val="24"/>
          <w:lang w:eastAsia="ja-JP" w:bidi="en-US"/>
        </w:rPr>
        <w:t xml:space="preserve"> ICI Research Report</w:t>
      </w:r>
      <w:r w:rsidRPr="00FB7172">
        <w:rPr>
          <w:sz w:val="24"/>
          <w:lang w:eastAsia="ja-JP" w:bidi="en-US"/>
        </w:rPr>
        <w:t xml:space="preserve">, </w:t>
      </w:r>
      <w:r>
        <w:rPr>
          <w:sz w:val="24"/>
          <w:lang w:eastAsia="ja-JP" w:bidi="en-US"/>
        </w:rPr>
        <w:t xml:space="preserve">available </w:t>
      </w:r>
      <w:r w:rsidRPr="00FB7172">
        <w:rPr>
          <w:sz w:val="24"/>
          <w:lang w:eastAsia="ja-JP" w:bidi="en-US"/>
        </w:rPr>
        <w:t xml:space="preserve">at </w:t>
      </w:r>
      <w:hyperlink r:id="rId12" w:history="1">
        <w:r w:rsidRPr="00C00283">
          <w:rPr>
            <w:rStyle w:val="Hyperlink"/>
            <w:sz w:val="24"/>
            <w:lang w:eastAsia="ja-JP" w:bidi="en-US"/>
          </w:rPr>
          <w:t>www.ici.org/pdf/ppr_16_dc_plan_saving.pdf</w:t>
        </w:r>
      </w:hyperlink>
      <w:r>
        <w:rPr>
          <w:sz w:val="24"/>
          <w:lang w:eastAsia="ja-JP" w:bidi="en-US"/>
        </w:rPr>
        <w:t>.</w:t>
      </w:r>
    </w:p>
    <w:p w14:paraId="08003164" w14:textId="7117396A" w:rsidR="00657E8C" w:rsidRDefault="00657E8C" w:rsidP="00EA02A4">
      <w:pPr>
        <w:widowControl/>
        <w:autoSpaceDE/>
        <w:autoSpaceDN/>
        <w:adjustRightInd/>
        <w:ind w:left="720" w:hanging="720"/>
        <w:rPr>
          <w:sz w:val="24"/>
          <w:lang w:eastAsia="ja-JP" w:bidi="en-US"/>
        </w:rPr>
      </w:pPr>
      <w:r w:rsidRPr="00657E8C">
        <w:rPr>
          <w:sz w:val="24"/>
          <w:lang w:eastAsia="ja-JP" w:bidi="en-US"/>
        </w:rPr>
        <w:t xml:space="preserve">Hurd, M. and K. </w:t>
      </w:r>
      <w:proofErr w:type="spellStart"/>
      <w:r w:rsidRPr="00657E8C">
        <w:rPr>
          <w:sz w:val="24"/>
          <w:lang w:eastAsia="ja-JP" w:bidi="en-US"/>
        </w:rPr>
        <w:t>McGarry</w:t>
      </w:r>
      <w:proofErr w:type="spellEnd"/>
      <w:r w:rsidRPr="00657E8C">
        <w:rPr>
          <w:sz w:val="24"/>
          <w:lang w:eastAsia="ja-JP" w:bidi="en-US"/>
        </w:rPr>
        <w:t xml:space="preserve"> (2002), “The Predictive Validity of Subjective Probabilities of Survival</w:t>
      </w:r>
      <w:r>
        <w:rPr>
          <w:sz w:val="24"/>
          <w:lang w:eastAsia="ja-JP" w:bidi="en-US"/>
        </w:rPr>
        <w:t>,”</w:t>
      </w:r>
      <w:r w:rsidR="008F7644">
        <w:rPr>
          <w:sz w:val="24"/>
          <w:lang w:eastAsia="ja-JP" w:bidi="en-US"/>
        </w:rPr>
        <w:t xml:space="preserve"> </w:t>
      </w:r>
      <w:r w:rsidR="008F7644" w:rsidRPr="007C5120">
        <w:rPr>
          <w:i/>
          <w:sz w:val="24"/>
          <w:lang w:eastAsia="ja-JP" w:bidi="en-US"/>
        </w:rPr>
        <w:t>The Economic Journal</w:t>
      </w:r>
      <w:r w:rsidR="008F7644">
        <w:rPr>
          <w:sz w:val="24"/>
          <w:lang w:eastAsia="ja-JP" w:bidi="en-US"/>
        </w:rPr>
        <w:t>, 112</w:t>
      </w:r>
      <w:r w:rsidR="00D343CC">
        <w:rPr>
          <w:sz w:val="24"/>
          <w:lang w:eastAsia="ja-JP" w:bidi="en-US"/>
        </w:rPr>
        <w:t>(482):</w:t>
      </w:r>
      <w:r w:rsidR="008F7644">
        <w:rPr>
          <w:sz w:val="24"/>
          <w:lang w:eastAsia="ja-JP" w:bidi="en-US"/>
        </w:rPr>
        <w:t xml:space="preserve"> 966-985.</w:t>
      </w:r>
    </w:p>
    <w:p w14:paraId="25CF8DD4" w14:textId="1451D28B" w:rsidR="00FD77C3" w:rsidRDefault="00FD77C3" w:rsidP="007C5120">
      <w:pPr>
        <w:widowControl/>
        <w:autoSpaceDE/>
        <w:autoSpaceDN/>
        <w:adjustRightInd/>
        <w:ind w:left="720" w:hanging="720"/>
        <w:rPr>
          <w:sz w:val="24"/>
          <w:lang w:eastAsia="ja-JP" w:bidi="en-US"/>
        </w:rPr>
      </w:pPr>
      <w:r>
        <w:rPr>
          <w:sz w:val="24"/>
          <w:lang w:eastAsia="ja-JP" w:bidi="en-US"/>
        </w:rPr>
        <w:t xml:space="preserve">Investment Company Institute (2013), </w:t>
      </w:r>
      <w:r w:rsidRPr="007C5120">
        <w:rPr>
          <w:i/>
          <w:sz w:val="24"/>
          <w:lang w:eastAsia="ja-JP" w:bidi="en-US"/>
        </w:rPr>
        <w:t>ICI Research Perspective</w:t>
      </w:r>
      <w:r w:rsidRPr="00FD77C3">
        <w:rPr>
          <w:sz w:val="24"/>
          <w:lang w:eastAsia="ja-JP" w:bidi="en-US"/>
        </w:rPr>
        <w:t xml:space="preserve">, Vol.19, No. 9, available at: </w:t>
      </w:r>
      <w:hyperlink r:id="rId13" w:history="1">
        <w:r w:rsidRPr="007B3C2F">
          <w:rPr>
            <w:rStyle w:val="Hyperlink"/>
            <w:sz w:val="24"/>
            <w:lang w:eastAsia="ja-JP" w:bidi="en-US"/>
          </w:rPr>
          <w:t>https://www.ici.org/pdf/per19-09.pdf</w:t>
        </w:r>
      </w:hyperlink>
      <w:r>
        <w:rPr>
          <w:sz w:val="24"/>
          <w:lang w:eastAsia="ja-JP" w:bidi="en-US"/>
        </w:rPr>
        <w:t>.</w:t>
      </w:r>
    </w:p>
    <w:p w14:paraId="5A2177EA" w14:textId="5AAF1CB4" w:rsidR="008A670B" w:rsidRDefault="008A670B" w:rsidP="008A670B">
      <w:pPr>
        <w:widowControl/>
        <w:autoSpaceDE/>
        <w:autoSpaceDN/>
        <w:adjustRightInd/>
        <w:ind w:left="720" w:hanging="720"/>
        <w:rPr>
          <w:sz w:val="24"/>
          <w:lang w:eastAsia="ja-JP" w:bidi="en-US"/>
        </w:rPr>
      </w:pPr>
      <w:proofErr w:type="spellStart"/>
      <w:r w:rsidRPr="008A670B">
        <w:rPr>
          <w:sz w:val="24"/>
          <w:lang w:eastAsia="ja-JP" w:bidi="en-US"/>
        </w:rPr>
        <w:t>Kapte</w:t>
      </w:r>
      <w:r>
        <w:rPr>
          <w:sz w:val="24"/>
          <w:lang w:eastAsia="ja-JP" w:bidi="en-US"/>
        </w:rPr>
        <w:t>yn</w:t>
      </w:r>
      <w:proofErr w:type="spellEnd"/>
      <w:r>
        <w:rPr>
          <w:sz w:val="24"/>
          <w:lang w:eastAsia="ja-JP" w:bidi="en-US"/>
        </w:rPr>
        <w:t>, A.</w:t>
      </w:r>
      <w:r w:rsidRPr="008A670B">
        <w:rPr>
          <w:sz w:val="24"/>
          <w:lang w:eastAsia="ja-JP" w:bidi="en-US"/>
        </w:rPr>
        <w:t xml:space="preserve"> and </w:t>
      </w:r>
      <w:r>
        <w:rPr>
          <w:sz w:val="24"/>
          <w:lang w:eastAsia="ja-JP" w:bidi="en-US"/>
        </w:rPr>
        <w:t xml:space="preserve">F. </w:t>
      </w:r>
      <w:proofErr w:type="spellStart"/>
      <w:r>
        <w:rPr>
          <w:sz w:val="24"/>
          <w:lang w:eastAsia="ja-JP" w:bidi="en-US"/>
        </w:rPr>
        <w:t>Teppa</w:t>
      </w:r>
      <w:proofErr w:type="spellEnd"/>
      <w:r>
        <w:rPr>
          <w:sz w:val="24"/>
          <w:lang w:eastAsia="ja-JP" w:bidi="en-US"/>
        </w:rPr>
        <w:t xml:space="preserve"> (2011)</w:t>
      </w:r>
      <w:r w:rsidRPr="008A670B">
        <w:rPr>
          <w:sz w:val="24"/>
          <w:lang w:eastAsia="ja-JP" w:bidi="en-US"/>
        </w:rPr>
        <w:t xml:space="preserve">, “Subjective Measures of Risk Aversion, Fixed Costs, and Portfolio Choice,” </w:t>
      </w:r>
      <w:r w:rsidRPr="007C5120">
        <w:rPr>
          <w:i/>
          <w:sz w:val="24"/>
          <w:lang w:eastAsia="ja-JP" w:bidi="en-US"/>
        </w:rPr>
        <w:t>Journal of Economic Psychology</w:t>
      </w:r>
      <w:r>
        <w:rPr>
          <w:sz w:val="24"/>
          <w:lang w:eastAsia="ja-JP" w:bidi="en-US"/>
        </w:rPr>
        <w:t>, 32</w:t>
      </w:r>
      <w:r w:rsidR="0014546F">
        <w:rPr>
          <w:sz w:val="24"/>
          <w:lang w:eastAsia="ja-JP" w:bidi="en-US"/>
        </w:rPr>
        <w:t xml:space="preserve">(4): </w:t>
      </w:r>
      <w:r w:rsidRPr="008A670B">
        <w:rPr>
          <w:sz w:val="24"/>
          <w:lang w:eastAsia="ja-JP" w:bidi="en-US"/>
        </w:rPr>
        <w:t>564-580</w:t>
      </w:r>
      <w:r w:rsidR="00DA4944">
        <w:rPr>
          <w:sz w:val="24"/>
          <w:lang w:eastAsia="ja-JP" w:bidi="en-US"/>
        </w:rPr>
        <w:t>.</w:t>
      </w:r>
    </w:p>
    <w:p w14:paraId="084F7B9A" w14:textId="06ED2A2D" w:rsidR="00041168" w:rsidRDefault="00A507FB" w:rsidP="00C1088C">
      <w:pPr>
        <w:widowControl/>
        <w:autoSpaceDE/>
        <w:autoSpaceDN/>
        <w:adjustRightInd/>
        <w:ind w:left="720" w:hanging="720"/>
        <w:rPr>
          <w:sz w:val="24"/>
        </w:rPr>
      </w:pPr>
      <w:proofErr w:type="spellStart"/>
      <w:r>
        <w:rPr>
          <w:sz w:val="24"/>
        </w:rPr>
        <w:t>Man</w:t>
      </w:r>
      <w:r w:rsidR="00041168">
        <w:rPr>
          <w:sz w:val="24"/>
        </w:rPr>
        <w:t>s</w:t>
      </w:r>
      <w:r>
        <w:rPr>
          <w:sz w:val="24"/>
        </w:rPr>
        <w:t>k</w:t>
      </w:r>
      <w:r w:rsidR="00041168">
        <w:rPr>
          <w:sz w:val="24"/>
        </w:rPr>
        <w:t>i</w:t>
      </w:r>
      <w:proofErr w:type="spellEnd"/>
      <w:r w:rsidR="00041168">
        <w:rPr>
          <w:sz w:val="24"/>
        </w:rPr>
        <w:t xml:space="preserve">, C. (2004), </w:t>
      </w:r>
      <w:r w:rsidR="00041168" w:rsidRPr="00041168">
        <w:rPr>
          <w:sz w:val="24"/>
        </w:rPr>
        <w:t xml:space="preserve">“Measuring Expectations,” </w:t>
      </w:r>
      <w:proofErr w:type="spellStart"/>
      <w:r w:rsidR="00041168" w:rsidRPr="007C5120">
        <w:rPr>
          <w:i/>
          <w:sz w:val="24"/>
        </w:rPr>
        <w:t>Econometrica</w:t>
      </w:r>
      <w:proofErr w:type="spellEnd"/>
      <w:r w:rsidR="00041168">
        <w:rPr>
          <w:sz w:val="24"/>
        </w:rPr>
        <w:t xml:space="preserve">, </w:t>
      </w:r>
      <w:r w:rsidR="00041168" w:rsidRPr="00041168">
        <w:rPr>
          <w:sz w:val="24"/>
        </w:rPr>
        <w:t>72</w:t>
      </w:r>
      <w:r w:rsidR="003C2224">
        <w:rPr>
          <w:sz w:val="24"/>
        </w:rPr>
        <w:t>(5):</w:t>
      </w:r>
      <w:r w:rsidR="00041168" w:rsidRPr="00041168">
        <w:rPr>
          <w:sz w:val="24"/>
        </w:rPr>
        <w:t xml:space="preserve"> 1329-1376</w:t>
      </w:r>
      <w:r w:rsidR="00DA4944">
        <w:rPr>
          <w:sz w:val="24"/>
        </w:rPr>
        <w:t>.</w:t>
      </w:r>
    </w:p>
    <w:p w14:paraId="404E3E66" w14:textId="209317FD" w:rsidR="000B5113" w:rsidRPr="00C1088C" w:rsidRDefault="000B5113" w:rsidP="00C1088C">
      <w:pPr>
        <w:widowControl/>
        <w:autoSpaceDE/>
        <w:autoSpaceDN/>
        <w:adjustRightInd/>
        <w:ind w:left="720" w:hanging="720"/>
        <w:rPr>
          <w:sz w:val="24"/>
          <w:lang w:eastAsia="ja-JP" w:bidi="en-US"/>
        </w:rPr>
      </w:pPr>
      <w:proofErr w:type="spellStart"/>
      <w:r w:rsidRPr="000B5113">
        <w:rPr>
          <w:sz w:val="24"/>
          <w:lang w:eastAsia="ja-JP" w:bidi="en-US"/>
        </w:rPr>
        <w:t>Manski</w:t>
      </w:r>
      <w:proofErr w:type="spellEnd"/>
      <w:r>
        <w:rPr>
          <w:sz w:val="24"/>
          <w:lang w:eastAsia="ja-JP" w:bidi="en-US"/>
        </w:rPr>
        <w:t>, C.</w:t>
      </w:r>
      <w:r w:rsidRPr="000B5113">
        <w:rPr>
          <w:sz w:val="24"/>
          <w:lang w:eastAsia="ja-JP" w:bidi="en-US"/>
        </w:rPr>
        <w:t xml:space="preserve"> and S. </w:t>
      </w:r>
      <w:proofErr w:type="spellStart"/>
      <w:r w:rsidRPr="000B5113">
        <w:rPr>
          <w:sz w:val="24"/>
          <w:lang w:eastAsia="ja-JP" w:bidi="en-US"/>
        </w:rPr>
        <w:t>Lerman</w:t>
      </w:r>
      <w:proofErr w:type="spellEnd"/>
      <w:r w:rsidRPr="000B5113">
        <w:rPr>
          <w:sz w:val="24"/>
          <w:lang w:eastAsia="ja-JP" w:bidi="en-US"/>
        </w:rPr>
        <w:t xml:space="preserve"> (1977), “The Estimation of Choice Probabilities from Choice Based Samples,” </w:t>
      </w:r>
      <w:proofErr w:type="spellStart"/>
      <w:r w:rsidRPr="000B5113">
        <w:rPr>
          <w:sz w:val="24"/>
          <w:lang w:eastAsia="ja-JP" w:bidi="en-US"/>
        </w:rPr>
        <w:t>Econometrica</w:t>
      </w:r>
      <w:proofErr w:type="spellEnd"/>
      <w:r w:rsidRPr="000B5113">
        <w:rPr>
          <w:sz w:val="24"/>
          <w:lang w:eastAsia="ja-JP" w:bidi="en-US"/>
        </w:rPr>
        <w:t>, 45(8): 1977-88.</w:t>
      </w:r>
    </w:p>
    <w:p w14:paraId="361EBC94" w14:textId="77777777" w:rsidR="00E46A9D" w:rsidRDefault="00C1088C" w:rsidP="00C1088C">
      <w:pPr>
        <w:widowControl/>
        <w:autoSpaceDE/>
        <w:autoSpaceDN/>
        <w:adjustRightInd/>
        <w:ind w:left="720" w:hanging="720"/>
        <w:rPr>
          <w:sz w:val="24"/>
          <w:lang w:eastAsia="ja-JP" w:bidi="en-US"/>
        </w:rPr>
      </w:pPr>
      <w:r w:rsidRPr="00C1088C">
        <w:rPr>
          <w:sz w:val="24"/>
          <w:lang w:eastAsia="ja-JP" w:bidi="en-US"/>
        </w:rPr>
        <w:t xml:space="preserve">Millar, M. and D. </w:t>
      </w:r>
      <w:proofErr w:type="spellStart"/>
      <w:r w:rsidRPr="00C1088C">
        <w:rPr>
          <w:sz w:val="24"/>
          <w:lang w:eastAsia="ja-JP" w:bidi="en-US"/>
        </w:rPr>
        <w:t>Dillman</w:t>
      </w:r>
      <w:proofErr w:type="spellEnd"/>
      <w:r w:rsidRPr="00C1088C">
        <w:rPr>
          <w:sz w:val="24"/>
          <w:lang w:eastAsia="ja-JP" w:bidi="en-US"/>
        </w:rPr>
        <w:t xml:space="preserve"> (2011), </w:t>
      </w:r>
      <w:r w:rsidR="008A67B3">
        <w:rPr>
          <w:sz w:val="24"/>
          <w:lang w:eastAsia="ja-JP" w:bidi="en-US"/>
        </w:rPr>
        <w:t>“</w:t>
      </w:r>
      <w:r w:rsidRPr="00C1088C">
        <w:rPr>
          <w:sz w:val="24"/>
          <w:lang w:eastAsia="ja-JP" w:bidi="en-US"/>
        </w:rPr>
        <w:t>Improving Response to Web and Mixed-Mode Surveys,</w:t>
      </w:r>
      <w:r w:rsidR="008A67B3">
        <w:rPr>
          <w:sz w:val="24"/>
          <w:lang w:eastAsia="ja-JP" w:bidi="en-US"/>
        </w:rPr>
        <w:t>”</w:t>
      </w:r>
      <w:r w:rsidRPr="00C1088C">
        <w:rPr>
          <w:sz w:val="24"/>
          <w:lang w:eastAsia="ja-JP" w:bidi="en-US"/>
        </w:rPr>
        <w:t xml:space="preserve"> </w:t>
      </w:r>
      <w:r w:rsidRPr="00C1088C">
        <w:rPr>
          <w:i/>
          <w:sz w:val="24"/>
          <w:lang w:eastAsia="ja-JP" w:bidi="en-US"/>
        </w:rPr>
        <w:t>Public Opinion Quarterly</w:t>
      </w:r>
      <w:r w:rsidRPr="00C1088C">
        <w:rPr>
          <w:sz w:val="24"/>
          <w:lang w:eastAsia="ja-JP" w:bidi="en-US"/>
        </w:rPr>
        <w:t>, 75 (2), pp. 249-269.</w:t>
      </w:r>
    </w:p>
    <w:p w14:paraId="1D0FD5A0" w14:textId="0DB0C0AF" w:rsidR="004800AF" w:rsidRPr="00C1088C" w:rsidRDefault="004800AF" w:rsidP="00C1088C">
      <w:pPr>
        <w:widowControl/>
        <w:autoSpaceDE/>
        <w:autoSpaceDN/>
        <w:adjustRightInd/>
        <w:ind w:left="720" w:hanging="720"/>
        <w:rPr>
          <w:sz w:val="24"/>
          <w:lang w:eastAsia="ja-JP" w:bidi="en-US"/>
        </w:rPr>
      </w:pPr>
      <w:proofErr w:type="spellStart"/>
      <w:proofErr w:type="gramStart"/>
      <w:r w:rsidRPr="004800AF">
        <w:rPr>
          <w:sz w:val="24"/>
          <w:lang w:eastAsia="ja-JP" w:bidi="en-US"/>
        </w:rPr>
        <w:t>Semega</w:t>
      </w:r>
      <w:proofErr w:type="spellEnd"/>
      <w:r>
        <w:rPr>
          <w:sz w:val="24"/>
          <w:lang w:eastAsia="ja-JP" w:bidi="en-US"/>
        </w:rPr>
        <w:t>, J.</w:t>
      </w:r>
      <w:r w:rsidRPr="004800AF">
        <w:rPr>
          <w:sz w:val="24"/>
          <w:lang w:eastAsia="ja-JP" w:bidi="en-US"/>
        </w:rPr>
        <w:t xml:space="preserve"> and E. </w:t>
      </w:r>
      <w:proofErr w:type="spellStart"/>
      <w:r w:rsidRPr="004800AF">
        <w:rPr>
          <w:sz w:val="24"/>
          <w:lang w:eastAsia="ja-JP" w:bidi="en-US"/>
        </w:rPr>
        <w:t>Welniak</w:t>
      </w:r>
      <w:proofErr w:type="spellEnd"/>
      <w:r w:rsidRPr="004800AF">
        <w:rPr>
          <w:sz w:val="24"/>
          <w:lang w:eastAsia="ja-JP" w:bidi="en-US"/>
        </w:rPr>
        <w:t xml:space="preserve">, Jr. (2015), “The Effects of the Changes to the Current Population Survey Annual Social and Economic Supplement on Estimates of Income,” Proceedings of the 2015 Allied Social Science Association (ASSA) Research Conference, available at </w:t>
      </w:r>
      <w:r w:rsidRPr="004800AF">
        <w:rPr>
          <w:sz w:val="24"/>
          <w:lang w:eastAsia="ja-JP" w:bidi="en-US"/>
        </w:rPr>
        <w:lastRenderedPageBreak/>
        <w:t>https://www.census.gov/content/dam/Census/library/working-</w:t>
      </w:r>
      <w:r>
        <w:rPr>
          <w:sz w:val="24"/>
          <w:lang w:eastAsia="ja-JP" w:bidi="en-US"/>
        </w:rPr>
        <w:t>p</w:t>
      </w:r>
      <w:r w:rsidRPr="004800AF">
        <w:rPr>
          <w:sz w:val="24"/>
          <w:lang w:eastAsia="ja-JP" w:bidi="en-US"/>
        </w:rPr>
        <w:t>apers/2015/DEMO/ASSA-Income-CPSASEC-Red.pdf.</w:t>
      </w:r>
      <w:proofErr w:type="gramEnd"/>
    </w:p>
    <w:p w14:paraId="543553AE" w14:textId="77777777" w:rsidR="00F612D7" w:rsidRDefault="00F612D7" w:rsidP="00F612D7">
      <w:pPr>
        <w:widowControl/>
        <w:autoSpaceDE/>
        <w:autoSpaceDN/>
        <w:adjustRightInd/>
        <w:ind w:left="720" w:hanging="720"/>
        <w:rPr>
          <w:sz w:val="24"/>
        </w:rPr>
      </w:pPr>
      <w:proofErr w:type="gramStart"/>
      <w:r w:rsidRPr="00F612D7">
        <w:rPr>
          <w:sz w:val="24"/>
        </w:rPr>
        <w:t>Singer, E. and C</w:t>
      </w:r>
      <w:r w:rsidR="00B75AB3">
        <w:rPr>
          <w:sz w:val="24"/>
        </w:rPr>
        <w:t>.</w:t>
      </w:r>
      <w:r w:rsidRPr="00F612D7">
        <w:rPr>
          <w:sz w:val="24"/>
        </w:rPr>
        <w:t xml:space="preserve"> Ye (2013), “The Use and Effects of Incentives in Surveys</w:t>
      </w:r>
      <w:r w:rsidR="00287CBB">
        <w:rPr>
          <w:sz w:val="24"/>
        </w:rPr>
        <w:t>,</w:t>
      </w:r>
      <w:r w:rsidRPr="00F612D7">
        <w:rPr>
          <w:sz w:val="24"/>
        </w:rPr>
        <w:t xml:space="preserve">” </w:t>
      </w:r>
      <w:r w:rsidRPr="00F612D7">
        <w:rPr>
          <w:i/>
          <w:sz w:val="24"/>
        </w:rPr>
        <w:t>The ANNALS of the American Academy of Political and Social Science</w:t>
      </w:r>
      <w:r w:rsidRPr="00F612D7">
        <w:rPr>
          <w:sz w:val="24"/>
        </w:rPr>
        <w:t>, 645: 112-141.</w:t>
      </w:r>
      <w:proofErr w:type="gramEnd"/>
    </w:p>
    <w:p w14:paraId="6FB814E2" w14:textId="5683A5C5" w:rsidR="000300E1" w:rsidRPr="00F612D7" w:rsidRDefault="000300E1" w:rsidP="00CF4B82">
      <w:pPr>
        <w:widowControl/>
        <w:autoSpaceDE/>
        <w:autoSpaceDN/>
        <w:adjustRightInd/>
        <w:ind w:left="720" w:hanging="720"/>
        <w:rPr>
          <w:sz w:val="24"/>
        </w:rPr>
      </w:pPr>
      <w:r w:rsidRPr="000300E1">
        <w:rPr>
          <w:sz w:val="24"/>
        </w:rPr>
        <w:t>Wasserstein</w:t>
      </w:r>
      <w:r w:rsidR="000B5113">
        <w:rPr>
          <w:sz w:val="24"/>
        </w:rPr>
        <w:t>, R.</w:t>
      </w:r>
      <w:r>
        <w:rPr>
          <w:sz w:val="24"/>
        </w:rPr>
        <w:t xml:space="preserve"> and </w:t>
      </w:r>
      <w:r w:rsidRPr="000300E1">
        <w:rPr>
          <w:sz w:val="24"/>
        </w:rPr>
        <w:t>N</w:t>
      </w:r>
      <w:r>
        <w:rPr>
          <w:sz w:val="24"/>
        </w:rPr>
        <w:t>.</w:t>
      </w:r>
      <w:r w:rsidRPr="000300E1">
        <w:rPr>
          <w:sz w:val="24"/>
        </w:rPr>
        <w:t xml:space="preserve"> Lazar (2016): The ASA's statement on p-values: context, process, and purpose, The American Statistician, DOI:10.1080/</w:t>
      </w:r>
      <w:proofErr w:type="gramStart"/>
      <w:r w:rsidRPr="000300E1">
        <w:rPr>
          <w:sz w:val="24"/>
        </w:rPr>
        <w:t>00031305.2016.1154108  available</w:t>
      </w:r>
      <w:proofErr w:type="gramEnd"/>
      <w:r w:rsidRPr="000300E1">
        <w:rPr>
          <w:sz w:val="24"/>
        </w:rPr>
        <w:t xml:space="preserve"> at </w:t>
      </w:r>
      <w:hyperlink r:id="rId14" w:anchor=".V0dXwvkrLIU" w:history="1">
        <w:r w:rsidRPr="007B3C2F">
          <w:rPr>
            <w:rStyle w:val="Hyperlink"/>
            <w:sz w:val="24"/>
          </w:rPr>
          <w:t>http://www.tandfonline.com/doi/abs/10.1080/00031305.2016.1154108#.V0dXwvkrLIU</w:t>
        </w:r>
      </w:hyperlink>
      <w:r>
        <w:rPr>
          <w:sz w:val="24"/>
        </w:rPr>
        <w:t>.</w:t>
      </w:r>
    </w:p>
    <w:p w14:paraId="28580A77" w14:textId="6F18861E" w:rsidR="009E6987" w:rsidRDefault="009E6987" w:rsidP="00454EFF">
      <w:pPr>
        <w:widowControl/>
        <w:autoSpaceDE/>
        <w:autoSpaceDN/>
        <w:adjustRightInd/>
        <w:ind w:left="720" w:hanging="720"/>
        <w:rPr>
          <w:rFonts w:ascii="Calibri" w:eastAsia="Calibri" w:hAnsi="Calibri"/>
          <w:b/>
          <w:sz w:val="22"/>
          <w:szCs w:val="22"/>
        </w:rPr>
      </w:pPr>
    </w:p>
    <w:sectPr w:rsidR="009E6987" w:rsidSect="003F513A">
      <w:headerReference w:type="default" r:id="rId15"/>
      <w:footerReference w:type="default" r:id="rId16"/>
      <w:endnotePr>
        <w:numFmt w:val="decimal"/>
      </w:endnotePr>
      <w:pgSz w:w="12240" w:h="15840"/>
      <w:pgMar w:top="1440" w:right="1440" w:bottom="1260" w:left="1440" w:header="1440" w:footer="110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DA841" w14:textId="77777777" w:rsidR="00080F1D" w:rsidRDefault="00080F1D">
      <w:r>
        <w:separator/>
      </w:r>
    </w:p>
  </w:endnote>
  <w:endnote w:type="continuationSeparator" w:id="0">
    <w:p w14:paraId="6CD7235B" w14:textId="77777777" w:rsidR="00080F1D" w:rsidRDefault="0008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897660"/>
      <w:docPartObj>
        <w:docPartGallery w:val="Page Numbers (Bottom of Page)"/>
        <w:docPartUnique/>
      </w:docPartObj>
    </w:sdtPr>
    <w:sdtEndPr>
      <w:rPr>
        <w:noProof/>
      </w:rPr>
    </w:sdtEndPr>
    <w:sdtContent>
      <w:p w14:paraId="6A305254" w14:textId="77A5C1DF" w:rsidR="00080F1D" w:rsidRDefault="00080F1D">
        <w:pPr>
          <w:pStyle w:val="Footer"/>
          <w:jc w:val="center"/>
        </w:pPr>
        <w:r>
          <w:fldChar w:fldCharType="begin"/>
        </w:r>
        <w:r>
          <w:instrText xml:space="preserve"> PAGE   \* MERGEFORMAT </w:instrText>
        </w:r>
        <w:r>
          <w:fldChar w:fldCharType="separate"/>
        </w:r>
        <w:r w:rsidR="000205AA">
          <w:rPr>
            <w:noProof/>
          </w:rPr>
          <w:t>20</w:t>
        </w:r>
        <w:r>
          <w:rPr>
            <w:noProof/>
          </w:rPr>
          <w:fldChar w:fldCharType="end"/>
        </w:r>
      </w:p>
    </w:sdtContent>
  </w:sdt>
  <w:p w14:paraId="363F07AA" w14:textId="77777777" w:rsidR="00080F1D" w:rsidRDefault="00080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6A422" w14:textId="77777777" w:rsidR="00080F1D" w:rsidRDefault="00080F1D">
      <w:r>
        <w:separator/>
      </w:r>
    </w:p>
  </w:footnote>
  <w:footnote w:type="continuationSeparator" w:id="0">
    <w:p w14:paraId="2E1369A3" w14:textId="77777777" w:rsidR="00080F1D" w:rsidRDefault="00080F1D">
      <w:r>
        <w:continuationSeparator/>
      </w:r>
    </w:p>
  </w:footnote>
  <w:footnote w:id="1">
    <w:p w14:paraId="2DDC3CCE" w14:textId="77777777" w:rsidR="00080F1D" w:rsidRDefault="00080F1D">
      <w:pPr>
        <w:pStyle w:val="FootnoteText"/>
      </w:pPr>
      <w:r>
        <w:rPr>
          <w:rStyle w:val="FootnoteReference"/>
        </w:rPr>
        <w:footnoteRef/>
      </w:r>
      <w:r>
        <w:t xml:space="preserve"> Resolution Economics Group has entered into a subcontracting agreement with </w:t>
      </w:r>
      <w:r w:rsidRPr="00C62D58">
        <w:t>the RAND Corporation, a non-profit research institute</w:t>
      </w:r>
      <w:r>
        <w:t xml:space="preserve">.  The research team also includes individuals from several universities—University of Southern California, Northwestern University, UCLA, and University of California-Berkeley—and </w:t>
      </w:r>
      <w:proofErr w:type="spellStart"/>
      <w:r>
        <w:t>DataStat</w:t>
      </w:r>
      <w:proofErr w:type="spellEnd"/>
      <w:r>
        <w:t xml:space="preserve"> Inc., a firm that focuses on survey data collection services.</w:t>
      </w:r>
    </w:p>
  </w:footnote>
  <w:footnote w:id="2">
    <w:p w14:paraId="7515857F" w14:textId="77777777" w:rsidR="00080F1D" w:rsidRPr="007C5120" w:rsidRDefault="00080F1D" w:rsidP="00C921A5">
      <w:pPr>
        <w:pStyle w:val="FootnoteText"/>
      </w:pPr>
      <w:r w:rsidRPr="007C5120">
        <w:rPr>
          <w:rStyle w:val="FootnoteReference"/>
        </w:rPr>
        <w:footnoteRef/>
      </w:r>
      <w:r w:rsidRPr="007C5120">
        <w:t xml:space="preserve"> See, for example, Millar and </w:t>
      </w:r>
      <w:proofErr w:type="spellStart"/>
      <w:r w:rsidRPr="007C5120">
        <w:t>Dillman</w:t>
      </w:r>
      <w:proofErr w:type="spellEnd"/>
      <w:r w:rsidRPr="007C5120">
        <w:t xml:space="preserve"> (2011).</w:t>
      </w:r>
    </w:p>
    <w:p w14:paraId="55AF5119" w14:textId="77777777" w:rsidR="00080F1D" w:rsidRPr="00372FAC" w:rsidRDefault="00080F1D" w:rsidP="00C921A5">
      <w:pPr>
        <w:pStyle w:val="FootnoteText"/>
        <w:rPr>
          <w:sz w:val="22"/>
          <w:szCs w:val="22"/>
        </w:rPr>
      </w:pPr>
    </w:p>
  </w:footnote>
  <w:footnote w:id="3">
    <w:p w14:paraId="1A41E220" w14:textId="2FF506B7" w:rsidR="00080F1D" w:rsidRDefault="00080F1D">
      <w:pPr>
        <w:pStyle w:val="FootnoteText"/>
      </w:pPr>
      <w:r>
        <w:rPr>
          <w:rStyle w:val="FootnoteReference"/>
        </w:rPr>
        <w:footnoteRef/>
      </w:r>
      <w:r>
        <w:t xml:space="preserve"> S</w:t>
      </w:r>
      <w:r w:rsidRPr="00A379E2">
        <w:t>ee http://hrsonline.isr.umich.edu/index.php?p=start</w:t>
      </w:r>
      <w:r>
        <w:t>.</w:t>
      </w:r>
    </w:p>
  </w:footnote>
  <w:footnote w:id="4">
    <w:p w14:paraId="3A830AC6" w14:textId="796FC526" w:rsidR="00080F1D" w:rsidRDefault="00080F1D">
      <w:pPr>
        <w:pStyle w:val="FootnoteText"/>
      </w:pPr>
      <w:r>
        <w:rPr>
          <w:rStyle w:val="FootnoteReference"/>
        </w:rPr>
        <w:footnoteRef/>
      </w:r>
      <w:r>
        <w:t xml:space="preserve"> S</w:t>
      </w:r>
      <w:r w:rsidRPr="00A379E2">
        <w:t>ee http://www.bls.gov/nls/</w:t>
      </w:r>
      <w:r>
        <w:t>.</w:t>
      </w:r>
    </w:p>
  </w:footnote>
  <w:footnote w:id="5">
    <w:p w14:paraId="63A22B21" w14:textId="0DD2C85C" w:rsidR="00080F1D" w:rsidRDefault="00080F1D">
      <w:pPr>
        <w:pStyle w:val="FootnoteText"/>
      </w:pPr>
      <w:r>
        <w:rPr>
          <w:rStyle w:val="FootnoteReference"/>
        </w:rPr>
        <w:footnoteRef/>
      </w:r>
      <w:r>
        <w:t xml:space="preserve"> S</w:t>
      </w:r>
      <w:r w:rsidRPr="00D870A4">
        <w:t>ee http://www.federalreserve.gov/econresdata/scf/scfindex.htm</w:t>
      </w:r>
      <w:r>
        <w:t>.</w:t>
      </w:r>
    </w:p>
  </w:footnote>
  <w:footnote w:id="6">
    <w:p w14:paraId="21503720" w14:textId="01603CD0" w:rsidR="00080F1D" w:rsidRDefault="00080F1D">
      <w:pPr>
        <w:pStyle w:val="FootnoteText"/>
      </w:pPr>
      <w:r>
        <w:rPr>
          <w:rStyle w:val="FootnoteReference"/>
        </w:rPr>
        <w:footnoteRef/>
      </w:r>
      <w:r>
        <w:t xml:space="preserve"> </w:t>
      </w:r>
      <w:r w:rsidRPr="00D870A4">
        <w:t>See, for example, Holden et al. (2016)</w:t>
      </w:r>
      <w:r>
        <w:t>.</w:t>
      </w:r>
    </w:p>
  </w:footnote>
  <w:footnote w:id="7">
    <w:p w14:paraId="1D29CB0F" w14:textId="77777777" w:rsidR="00080F1D" w:rsidRDefault="00080F1D" w:rsidP="001846F5">
      <w:pPr>
        <w:pStyle w:val="FootnoteText"/>
      </w:pPr>
      <w:r>
        <w:rPr>
          <w:rStyle w:val="FootnoteReference"/>
        </w:rPr>
        <w:footnoteRef/>
      </w:r>
      <w:r>
        <w:t xml:space="preserve"> See, for example:</w:t>
      </w:r>
    </w:p>
    <w:p w14:paraId="675FB1B3" w14:textId="56FBF61B" w:rsidR="00080F1D" w:rsidRDefault="00080F1D" w:rsidP="001846F5">
      <w:pPr>
        <w:pStyle w:val="FootnoteText"/>
      </w:pPr>
      <w:r>
        <w:t xml:space="preserve">• TIAA comment letter (page 1): “Our answer is a resounding ‘yes.’" </w:t>
      </w:r>
    </w:p>
    <w:p w14:paraId="5D310328" w14:textId="51BECFEB" w:rsidR="00080F1D" w:rsidRDefault="00080F1D" w:rsidP="001846F5">
      <w:pPr>
        <w:pStyle w:val="FootnoteText"/>
      </w:pPr>
      <w:r>
        <w:t>• U.S. Chamber of Commerce comment letter (page 1): “Supports this initiative and encourages the DOL to move forward with the proposed survey. The planned survey is a good idea and necessary for the proper performance of the duties of the Employee Benefit Security Administration.”</w:t>
      </w:r>
    </w:p>
    <w:p w14:paraId="3C52FB49" w14:textId="0B0B8B14" w:rsidR="00080F1D" w:rsidRDefault="00080F1D" w:rsidP="001846F5">
      <w:pPr>
        <w:pStyle w:val="FootnoteText"/>
      </w:pPr>
      <w:r>
        <w:t>• SIFMA comment letter (page 2): “SIFMA strongly supports the Department’s efforts in the execution of this Survey.”</w:t>
      </w:r>
    </w:p>
    <w:p w14:paraId="567EEC9F" w14:textId="60FA3C59" w:rsidR="00080F1D" w:rsidRDefault="00080F1D" w:rsidP="001846F5">
      <w:pPr>
        <w:pStyle w:val="FootnoteText"/>
      </w:pPr>
      <w:r>
        <w:t>•ICI comment letter (page 1): “Agrees that understanding how individuals progress along the road to retirement will inform retirement savers, plan sponsors, financial services providers, and policymakers on ways to make that road easier to traverse.”</w:t>
      </w:r>
    </w:p>
  </w:footnote>
  <w:footnote w:id="8">
    <w:p w14:paraId="68E285C9" w14:textId="5214A76E" w:rsidR="00080F1D" w:rsidRDefault="00080F1D">
      <w:pPr>
        <w:pStyle w:val="FootnoteText"/>
      </w:pPr>
      <w:r>
        <w:rPr>
          <w:rStyle w:val="FootnoteReference"/>
        </w:rPr>
        <w:footnoteRef/>
      </w:r>
      <w:r>
        <w:t xml:space="preserve"> See ICI comment letter, page 5.</w:t>
      </w:r>
    </w:p>
  </w:footnote>
  <w:footnote w:id="9">
    <w:p w14:paraId="6702E213" w14:textId="6F85B29E" w:rsidR="00080F1D" w:rsidRDefault="00080F1D" w:rsidP="001846F5">
      <w:pPr>
        <w:pStyle w:val="FootnoteText"/>
      </w:pPr>
      <w:r>
        <w:rPr>
          <w:rStyle w:val="FootnoteReference"/>
        </w:rPr>
        <w:footnoteRef/>
      </w:r>
      <w:r>
        <w:t xml:space="preserve"> See Wasserstein and Lazar (2016).</w:t>
      </w:r>
    </w:p>
  </w:footnote>
  <w:footnote w:id="10">
    <w:p w14:paraId="74A7F114" w14:textId="2511CA8B" w:rsidR="00080F1D" w:rsidRDefault="00080F1D" w:rsidP="001846F5">
      <w:pPr>
        <w:pStyle w:val="FootnoteText"/>
      </w:pPr>
      <w:r>
        <w:rPr>
          <w:rStyle w:val="FootnoteReference"/>
        </w:rPr>
        <w:footnoteRef/>
      </w:r>
      <w:r>
        <w:t xml:space="preserve"> See, for example, C.F. </w:t>
      </w:r>
      <w:proofErr w:type="spellStart"/>
      <w:r>
        <w:t>Manski</w:t>
      </w:r>
      <w:proofErr w:type="spellEnd"/>
      <w:r>
        <w:t xml:space="preserve"> and S. </w:t>
      </w:r>
      <w:proofErr w:type="spellStart"/>
      <w:r>
        <w:t>Lerman</w:t>
      </w:r>
      <w:proofErr w:type="spellEnd"/>
      <w:r>
        <w:t xml:space="preserve"> (1977).</w:t>
      </w:r>
    </w:p>
  </w:footnote>
  <w:footnote w:id="11">
    <w:p w14:paraId="6719FF75" w14:textId="1F2317F0" w:rsidR="00080F1D" w:rsidRDefault="00080F1D">
      <w:pPr>
        <w:pStyle w:val="FootnoteText"/>
      </w:pPr>
      <w:r>
        <w:rPr>
          <w:rStyle w:val="FootnoteReference"/>
        </w:rPr>
        <w:footnoteRef/>
      </w:r>
      <w:r>
        <w:t xml:space="preserve"> In addition,</w:t>
      </w:r>
      <w:r w:rsidRPr="00CD3B64">
        <w:t xml:space="preserve"> the word “gender” is replaced by “sex” in questions pertaining to the respondent and to the spouse/partner. As suggested by a commenter, “spouse or partner” was replaced by “spouse/partner” to indicate that the appropriate term will be filled in </w:t>
      </w:r>
      <w:r>
        <w:t>for the Internet annual surveys.  Also, brackets, as well as parentheses within brackets, have been added throughout the Internet interview questionnaires, to clarify where such text fills occur.</w:t>
      </w:r>
    </w:p>
  </w:footnote>
  <w:footnote w:id="12">
    <w:p w14:paraId="1FA0434A" w14:textId="1EACAAF7" w:rsidR="00080F1D" w:rsidRDefault="00080F1D">
      <w:pPr>
        <w:pStyle w:val="FootnoteText"/>
      </w:pPr>
      <w:r>
        <w:rPr>
          <w:rStyle w:val="FootnoteReference"/>
        </w:rPr>
        <w:footnoteRef/>
      </w:r>
      <w:r>
        <w:t xml:space="preserve"> The Mail/Telephone IPS and the Mail/Telephone APS contain a shorter sequence of questions then do the Internet IPS Baseline and Internet APS Baseline interviews, respectively.</w:t>
      </w:r>
    </w:p>
  </w:footnote>
  <w:footnote w:id="13">
    <w:p w14:paraId="54689B17" w14:textId="27D2B84A" w:rsidR="00080F1D" w:rsidRDefault="00080F1D">
      <w:pPr>
        <w:pStyle w:val="FootnoteText"/>
      </w:pPr>
      <w:r>
        <w:rPr>
          <w:rStyle w:val="FootnoteReference"/>
        </w:rPr>
        <w:footnoteRef/>
      </w:r>
      <w:r>
        <w:t xml:space="preserve"> </w:t>
      </w:r>
      <w:r w:rsidRPr="00E21617">
        <w:t>As suggested by a commenter, “employer or union” was replaced by “employer/union” to indicate that appropriate text will be filled in for some questions in the Internet IPS</w:t>
      </w:r>
      <w:r>
        <w:t xml:space="preserve"> and APS</w:t>
      </w:r>
      <w:r w:rsidRPr="00E21617">
        <w:t xml:space="preserve"> Baseline interview</w:t>
      </w:r>
      <w:r>
        <w:t>s</w:t>
      </w:r>
      <w:r w:rsidRPr="00E21617">
        <w:t>.  We also revised the text of two questions in the IPS</w:t>
      </w:r>
      <w:r>
        <w:t xml:space="preserve"> and APS</w:t>
      </w:r>
      <w:r w:rsidRPr="00E21617">
        <w:t xml:space="preserve"> Baseline to indicate that “or union dues” will be filled in only as appropriate.</w:t>
      </w:r>
    </w:p>
  </w:footnote>
  <w:footnote w:id="14">
    <w:p w14:paraId="247157AC" w14:textId="7A501E67" w:rsidR="00080F1D" w:rsidRDefault="00080F1D" w:rsidP="001846F5">
      <w:pPr>
        <w:pStyle w:val="FootnoteText"/>
      </w:pPr>
      <w:r>
        <w:rPr>
          <w:rStyle w:val="FootnoteReference"/>
        </w:rPr>
        <w:footnoteRef/>
      </w:r>
      <w:r>
        <w:t xml:space="preserve"> </w:t>
      </w:r>
      <w:r w:rsidRPr="001846F5">
        <w:t>In addition to aforementioned problems with March CPS reports of retirement plan participation, n</w:t>
      </w:r>
      <w:r>
        <w:t>ote that, after many years of interviews, the Investment Company Institute redesigned its annual mutual fund shareholder survey in 2013, noting, “</w:t>
      </w:r>
      <w:r w:rsidRPr="00034552">
        <w:t>The order of the account type choices in the question regarding ownership of retirement and other savings accounts was changed in 2013. This change, which moved 401(k) and other DC plan accounts to be first on the list, primarily was made to avoid possible confusion between individual accounts in 401(k) and other DC plans versus IRAs.</w:t>
      </w:r>
      <w:r>
        <w:t xml:space="preserve">” See page 2 of Investment Company Institute (2013).  Another prime example can be found in HRS, where </w:t>
      </w:r>
      <w:proofErr w:type="spellStart"/>
      <w:r>
        <w:t>Gustman</w:t>
      </w:r>
      <w:proofErr w:type="spellEnd"/>
      <w:r>
        <w:t xml:space="preserve"> and </w:t>
      </w:r>
      <w:proofErr w:type="spellStart"/>
      <w:r>
        <w:t>Steinmeier</w:t>
      </w:r>
      <w:proofErr w:type="spellEnd"/>
      <w:r>
        <w:t xml:space="preserve"> (2004) </w:t>
      </w:r>
      <w:r w:rsidRPr="006E218B">
        <w:t xml:space="preserve">estimate that less than two-thirds </w:t>
      </w:r>
      <w:r>
        <w:t xml:space="preserve">of </w:t>
      </w:r>
      <w:r w:rsidRPr="006E218B">
        <w:t xml:space="preserve">respondents correctly identified </w:t>
      </w:r>
      <w:r>
        <w:t xml:space="preserve">defined benefit or defined contribution </w:t>
      </w:r>
      <w:r w:rsidRPr="006E218B">
        <w:t xml:space="preserve">plan type </w:t>
      </w:r>
      <w:r>
        <w:t>in the 1992 interviews.</w:t>
      </w:r>
    </w:p>
  </w:footnote>
  <w:footnote w:id="15">
    <w:p w14:paraId="19BB9785" w14:textId="366A55AE" w:rsidR="00080F1D" w:rsidRDefault="00080F1D">
      <w:pPr>
        <w:pStyle w:val="FootnoteText"/>
      </w:pPr>
      <w:r>
        <w:rPr>
          <w:rStyle w:val="FootnoteReference"/>
        </w:rPr>
        <w:footnoteRef/>
      </w:r>
      <w:r>
        <w:t xml:space="preserve"> The question reads as follows: “</w:t>
      </w:r>
      <w:r w:rsidRPr="001977BD">
        <w:t>I1. Which category represents the total combined income of all members of your family (living here) during the year 2015? This includes money from jobs, net income from business, farm or rent, pensions, dividends, interest, Social Security payments and any other money income received by members of your family who are 15 years of age or older.</w:t>
      </w:r>
      <w:r>
        <w:t>”</w:t>
      </w:r>
    </w:p>
  </w:footnote>
  <w:footnote w:id="16">
    <w:p w14:paraId="11ABEDEA" w14:textId="639DA31D" w:rsidR="00080F1D" w:rsidRDefault="00080F1D" w:rsidP="007849ED">
      <w:pPr>
        <w:pStyle w:val="FootnoteText"/>
      </w:pPr>
      <w:r>
        <w:rPr>
          <w:rStyle w:val="FootnoteReference"/>
        </w:rPr>
        <w:footnoteRef/>
      </w:r>
      <w:r>
        <w:t xml:space="preserve"> </w:t>
      </w:r>
      <w:r w:rsidRPr="00B0207F">
        <w:t>We also foll</w:t>
      </w:r>
      <w:r>
        <w:t xml:space="preserve">owed </w:t>
      </w:r>
      <w:r w:rsidRPr="00B0207F">
        <w:t>recommendation</w:t>
      </w:r>
      <w:r>
        <w:t>s</w:t>
      </w:r>
      <w:r w:rsidRPr="00B0207F">
        <w:t xml:space="preserve"> to add “Determining amount to withdraw from an IRA or DC plan account</w:t>
      </w:r>
      <w:r>
        <w:t>,</w:t>
      </w:r>
      <w:r w:rsidRPr="00B0207F">
        <w:t>”</w:t>
      </w:r>
      <w:r>
        <w:t xml:space="preserve"> “Determining whether to take a lump-sum distribution from a Defined Benefit retirement plan,” and “Deciding when to start claiming Social Security benefits”</w:t>
      </w:r>
      <w:r w:rsidRPr="00B0207F">
        <w:t xml:space="preserve"> to </w:t>
      </w:r>
      <w:r>
        <w:t xml:space="preserve">the </w:t>
      </w:r>
      <w:r w:rsidRPr="00B0207F">
        <w:t>lists of possible types of information sought or received</w:t>
      </w:r>
      <w:r>
        <w:t>.</w:t>
      </w:r>
    </w:p>
  </w:footnote>
  <w:footnote w:id="17">
    <w:p w14:paraId="6A37874D" w14:textId="37F80185" w:rsidR="00080F1D" w:rsidRDefault="00080F1D" w:rsidP="00952445">
      <w:pPr>
        <w:pStyle w:val="FootnoteText"/>
      </w:pPr>
      <w:r>
        <w:rPr>
          <w:rStyle w:val="FootnoteReference"/>
        </w:rPr>
        <w:footnoteRef/>
      </w:r>
      <w:r>
        <w:t xml:space="preserve"> </w:t>
      </w:r>
      <w:r w:rsidRPr="008C029E">
        <w:t xml:space="preserve">We have </w:t>
      </w:r>
      <w:r>
        <w:t xml:space="preserve">also </w:t>
      </w:r>
      <w:r w:rsidRPr="008C029E">
        <w:t xml:space="preserve">followed a recommendation to revise the order of four questions on the Internet IPS </w:t>
      </w:r>
      <w:r>
        <w:t xml:space="preserve">and APS </w:t>
      </w:r>
      <w:r w:rsidRPr="008C029E">
        <w:t>Follow-Up interview</w:t>
      </w:r>
      <w:r>
        <w:t>s</w:t>
      </w:r>
      <w:r w:rsidRPr="008C029E">
        <w:t xml:space="preserve"> about the hypothetical response to posit</w:t>
      </w:r>
      <w:r>
        <w:t xml:space="preserve">ive or negative shocks.  We </w:t>
      </w:r>
      <w:r w:rsidRPr="008C029E">
        <w:t>also added question branching to skip out retired households from two of these questions that concern hypothetical changes to how much would be saved for retirement next year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5CE05" w14:textId="77777777" w:rsidR="00080F1D" w:rsidRDefault="00080F1D" w:rsidP="001B678D">
    <w:pPr>
      <w:rPr>
        <w:b/>
        <w:sz w:val="24"/>
      </w:rPr>
    </w:pPr>
    <w:r>
      <w:rPr>
        <w:b/>
        <w:sz w:val="24"/>
      </w:rPr>
      <w:t xml:space="preserve">On the </w:t>
    </w:r>
    <w:r w:rsidRPr="0070512D">
      <w:rPr>
        <w:b/>
        <w:sz w:val="24"/>
      </w:rPr>
      <w:t>Road to Retirement Surveys: Investigating Retirement Planning Decision-Making and the Evolution of Individuals’ Retirement Planning Decisions over Time</w:t>
    </w:r>
  </w:p>
  <w:p w14:paraId="57BD92B9" w14:textId="77777777" w:rsidR="00080F1D" w:rsidRDefault="00080F1D" w:rsidP="001B678D">
    <w:pPr>
      <w:rPr>
        <w:b/>
        <w:sz w:val="24"/>
      </w:rPr>
    </w:pPr>
    <w:r>
      <w:rPr>
        <w:b/>
        <w:sz w:val="24"/>
      </w:rPr>
      <w:t>ICR Reference Number: 201509-1225-001</w:t>
    </w:r>
  </w:p>
  <w:p w14:paraId="32152254" w14:textId="1EB29542" w:rsidR="00080F1D" w:rsidRDefault="00080F1D" w:rsidP="001B678D">
    <w:pPr>
      <w:pStyle w:val="Header"/>
      <w:rPr>
        <w:b/>
      </w:rPr>
    </w:pPr>
    <w:r>
      <w:rPr>
        <w:b/>
      </w:rPr>
      <w:t>April 2017</w:t>
    </w:r>
  </w:p>
  <w:p w14:paraId="35BE0AFB" w14:textId="77777777" w:rsidR="00080F1D" w:rsidRDefault="00080F1D" w:rsidP="001B6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1E9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A2736E"/>
    <w:multiLevelType w:val="hybridMultilevel"/>
    <w:tmpl w:val="3C5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943DB"/>
    <w:multiLevelType w:val="hybridMultilevel"/>
    <w:tmpl w:val="BE0C8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F110B2"/>
    <w:multiLevelType w:val="hybridMultilevel"/>
    <w:tmpl w:val="8B244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A3994"/>
    <w:multiLevelType w:val="hybridMultilevel"/>
    <w:tmpl w:val="1D0A49B6"/>
    <w:lvl w:ilvl="0" w:tplc="F73E913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604F4"/>
    <w:multiLevelType w:val="singleLevel"/>
    <w:tmpl w:val="4790BC0E"/>
    <w:lvl w:ilvl="0">
      <w:start w:val="1"/>
      <w:numFmt w:val="upperLetter"/>
      <w:lvlText w:val="%1."/>
      <w:lvlJc w:val="left"/>
      <w:pPr>
        <w:tabs>
          <w:tab w:val="num" w:pos="360"/>
        </w:tabs>
        <w:ind w:left="360" w:hanging="360"/>
      </w:pPr>
      <w:rPr>
        <w:rFonts w:hint="default"/>
      </w:rPr>
    </w:lvl>
  </w:abstractNum>
  <w:abstractNum w:abstractNumId="7">
    <w:nsid w:val="06176237"/>
    <w:multiLevelType w:val="hybridMultilevel"/>
    <w:tmpl w:val="913E67F8"/>
    <w:lvl w:ilvl="0" w:tplc="04090019">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8">
    <w:nsid w:val="06DC5DD2"/>
    <w:multiLevelType w:val="hybridMultilevel"/>
    <w:tmpl w:val="276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B32045"/>
    <w:multiLevelType w:val="hybridMultilevel"/>
    <w:tmpl w:val="4BF0C7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08C46A58"/>
    <w:multiLevelType w:val="hybridMultilevel"/>
    <w:tmpl w:val="E140D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CB6298"/>
    <w:multiLevelType w:val="hybridMultilevel"/>
    <w:tmpl w:val="3DA8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13661A"/>
    <w:multiLevelType w:val="hybridMultilevel"/>
    <w:tmpl w:val="663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564DDF"/>
    <w:multiLevelType w:val="hybridMultilevel"/>
    <w:tmpl w:val="EEACDADE"/>
    <w:lvl w:ilvl="0" w:tplc="1020E822">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F316E0D"/>
    <w:multiLevelType w:val="hybridMultilevel"/>
    <w:tmpl w:val="55285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3A080D"/>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2AA3BDC"/>
    <w:multiLevelType w:val="hybridMultilevel"/>
    <w:tmpl w:val="46466614"/>
    <w:lvl w:ilvl="0" w:tplc="8482EC32">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39F682E"/>
    <w:multiLevelType w:val="hybridMultilevel"/>
    <w:tmpl w:val="D230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2B4A3F"/>
    <w:multiLevelType w:val="hybridMultilevel"/>
    <w:tmpl w:val="A120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5B9147E"/>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66D170C"/>
    <w:multiLevelType w:val="hybridMultilevel"/>
    <w:tmpl w:val="2AF436A4"/>
    <w:lvl w:ilvl="0" w:tplc="A6FEDE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4319F4"/>
    <w:multiLevelType w:val="hybridMultilevel"/>
    <w:tmpl w:val="6DC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754344F"/>
    <w:multiLevelType w:val="hybridMultilevel"/>
    <w:tmpl w:val="1C1244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19994B0C"/>
    <w:multiLevelType w:val="hybridMultilevel"/>
    <w:tmpl w:val="39D63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B431776"/>
    <w:multiLevelType w:val="hybridMultilevel"/>
    <w:tmpl w:val="50183FBC"/>
    <w:lvl w:ilvl="0" w:tplc="E1D8C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E140F1"/>
    <w:multiLevelType w:val="hybridMultilevel"/>
    <w:tmpl w:val="53A660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D3B07A5"/>
    <w:multiLevelType w:val="hybridMultilevel"/>
    <w:tmpl w:val="EC9CDF9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1EF43491"/>
    <w:multiLevelType w:val="hybridMultilevel"/>
    <w:tmpl w:val="C3680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203C46CA"/>
    <w:multiLevelType w:val="hybridMultilevel"/>
    <w:tmpl w:val="DE864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2111D73"/>
    <w:multiLevelType w:val="hybridMultilevel"/>
    <w:tmpl w:val="F2380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33A23FC"/>
    <w:multiLevelType w:val="hybridMultilevel"/>
    <w:tmpl w:val="A60A5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36E5FF3"/>
    <w:multiLevelType w:val="hybridMultilevel"/>
    <w:tmpl w:val="7C6A87D2"/>
    <w:lvl w:ilvl="0" w:tplc="04090005">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32">
    <w:nsid w:val="2566009D"/>
    <w:multiLevelType w:val="hybridMultilevel"/>
    <w:tmpl w:val="63A0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441E88"/>
    <w:multiLevelType w:val="hybridMultilevel"/>
    <w:tmpl w:val="0E9E4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28057882"/>
    <w:multiLevelType w:val="multilevel"/>
    <w:tmpl w:val="BA46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293A47E8"/>
    <w:multiLevelType w:val="hybridMultilevel"/>
    <w:tmpl w:val="917C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B5456B"/>
    <w:multiLevelType w:val="hybridMultilevel"/>
    <w:tmpl w:val="DCF2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217F8C"/>
    <w:multiLevelType w:val="hybridMultilevel"/>
    <w:tmpl w:val="2AC29E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2D7800E4"/>
    <w:multiLevelType w:val="hybridMultilevel"/>
    <w:tmpl w:val="AA005AEC"/>
    <w:lvl w:ilvl="0" w:tplc="00010409">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3044685C"/>
    <w:multiLevelType w:val="hybridMultilevel"/>
    <w:tmpl w:val="AB5C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8D5727"/>
    <w:multiLevelType w:val="hybridMultilevel"/>
    <w:tmpl w:val="80BA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746D58"/>
    <w:multiLevelType w:val="hybridMultilevel"/>
    <w:tmpl w:val="2BB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24E0C07"/>
    <w:multiLevelType w:val="hybridMultilevel"/>
    <w:tmpl w:val="B39259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25B7B08"/>
    <w:multiLevelType w:val="hybridMultilevel"/>
    <w:tmpl w:val="7B062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32F059C6"/>
    <w:multiLevelType w:val="hybridMultilevel"/>
    <w:tmpl w:val="B5F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627A40"/>
    <w:multiLevelType w:val="hybridMultilevel"/>
    <w:tmpl w:val="79C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6B559C"/>
    <w:multiLevelType w:val="hybridMultilevel"/>
    <w:tmpl w:val="90E63576"/>
    <w:lvl w:ilvl="0" w:tplc="43021734">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33F04A34"/>
    <w:multiLevelType w:val="hybridMultilevel"/>
    <w:tmpl w:val="B4584094"/>
    <w:lvl w:ilvl="0" w:tplc="B78862DE">
      <w:start w:val="1"/>
      <w:numFmt w:val="bullet"/>
      <w:lvlText w:val=""/>
      <w:lvlJc w:val="left"/>
      <w:pPr>
        <w:ind w:left="2160" w:hanging="360"/>
      </w:pPr>
      <w:rPr>
        <w:rFonts w:ascii="Wingdings" w:hAnsi="Wingdings"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3536086B"/>
    <w:multiLevelType w:val="hybridMultilevel"/>
    <w:tmpl w:val="7CF4089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9">
    <w:nsid w:val="36D53D94"/>
    <w:multiLevelType w:val="hybridMultilevel"/>
    <w:tmpl w:val="4948B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7267395"/>
    <w:multiLevelType w:val="hybridMultilevel"/>
    <w:tmpl w:val="F71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C47BCC"/>
    <w:multiLevelType w:val="hybridMultilevel"/>
    <w:tmpl w:val="1F6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9983B9A"/>
    <w:multiLevelType w:val="hybridMultilevel"/>
    <w:tmpl w:val="AB4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9A93DAC"/>
    <w:multiLevelType w:val="hybridMultilevel"/>
    <w:tmpl w:val="E62235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3A7E3844"/>
    <w:multiLevelType w:val="hybridMultilevel"/>
    <w:tmpl w:val="FA36796E"/>
    <w:lvl w:ilvl="0" w:tplc="615CA00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AA3B1B"/>
    <w:multiLevelType w:val="hybridMultilevel"/>
    <w:tmpl w:val="61B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4C792B"/>
    <w:multiLevelType w:val="hybridMultilevel"/>
    <w:tmpl w:val="8B38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0287612"/>
    <w:multiLevelType w:val="hybridMultilevel"/>
    <w:tmpl w:val="AEEAF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16C1A82"/>
    <w:multiLevelType w:val="hybridMultilevel"/>
    <w:tmpl w:val="5CA4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2A91FBA"/>
    <w:multiLevelType w:val="hybridMultilevel"/>
    <w:tmpl w:val="8EE6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2AA2EA8"/>
    <w:multiLevelType w:val="hybridMultilevel"/>
    <w:tmpl w:val="E8828728"/>
    <w:lvl w:ilvl="0" w:tplc="3124E3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BC2158"/>
    <w:multiLevelType w:val="hybridMultilevel"/>
    <w:tmpl w:val="D178927E"/>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nsid w:val="46684061"/>
    <w:multiLevelType w:val="hybridMultilevel"/>
    <w:tmpl w:val="033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8150016"/>
    <w:multiLevelType w:val="hybridMultilevel"/>
    <w:tmpl w:val="17A80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484F3642"/>
    <w:multiLevelType w:val="hybridMultilevel"/>
    <w:tmpl w:val="CE0E9F08"/>
    <w:lvl w:ilvl="0" w:tplc="BF248220">
      <w:start w:val="10"/>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870618"/>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684049"/>
    <w:multiLevelType w:val="hybridMultilevel"/>
    <w:tmpl w:val="CE7CF81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B677077"/>
    <w:multiLevelType w:val="hybridMultilevel"/>
    <w:tmpl w:val="845E7E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C0524AD"/>
    <w:multiLevelType w:val="hybridMultilevel"/>
    <w:tmpl w:val="38C0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C15149D"/>
    <w:multiLevelType w:val="hybridMultilevel"/>
    <w:tmpl w:val="E86C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E583ED7"/>
    <w:multiLevelType w:val="hybridMultilevel"/>
    <w:tmpl w:val="2012A6FA"/>
    <w:lvl w:ilvl="0" w:tplc="6A3858F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A72CD0"/>
    <w:multiLevelType w:val="hybridMultilevel"/>
    <w:tmpl w:val="BBA07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4EEA28FB"/>
    <w:multiLevelType w:val="hybridMultilevel"/>
    <w:tmpl w:val="BA365C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
    <w:nsid w:val="4F000192"/>
    <w:multiLevelType w:val="hybridMultilevel"/>
    <w:tmpl w:val="F57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3C7661"/>
    <w:multiLevelType w:val="hybridMultilevel"/>
    <w:tmpl w:val="57C6DB5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5">
    <w:nsid w:val="4FB21B1E"/>
    <w:multiLevelType w:val="multilevel"/>
    <w:tmpl w:val="152C9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nsid w:val="4FD971B8"/>
    <w:multiLevelType w:val="hybridMultilevel"/>
    <w:tmpl w:val="D3F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0D259F1"/>
    <w:multiLevelType w:val="hybridMultilevel"/>
    <w:tmpl w:val="6406BD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1B42762"/>
    <w:multiLevelType w:val="hybridMultilevel"/>
    <w:tmpl w:val="4088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530119C0"/>
    <w:multiLevelType w:val="hybridMultilevel"/>
    <w:tmpl w:val="3AA099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555F54B7"/>
    <w:multiLevelType w:val="hybridMultilevel"/>
    <w:tmpl w:val="53FC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5FF5C8F"/>
    <w:multiLevelType w:val="hybridMultilevel"/>
    <w:tmpl w:val="4D5633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2">
    <w:nsid w:val="56E31975"/>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B911B06"/>
    <w:multiLevelType w:val="hybridMultilevel"/>
    <w:tmpl w:val="FC3ACD7A"/>
    <w:lvl w:ilvl="0" w:tplc="B4D84374">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DA71AF"/>
    <w:multiLevelType w:val="hybridMultilevel"/>
    <w:tmpl w:val="3FFAA7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5C550568"/>
    <w:multiLevelType w:val="hybridMultilevel"/>
    <w:tmpl w:val="9BB62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5C573C34"/>
    <w:multiLevelType w:val="hybridMultilevel"/>
    <w:tmpl w:val="FA56829A"/>
    <w:lvl w:ilvl="0" w:tplc="BF549304">
      <w:start w:val="5"/>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A6781A"/>
    <w:multiLevelType w:val="hybridMultilevel"/>
    <w:tmpl w:val="AB08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F657C31"/>
    <w:multiLevelType w:val="hybridMultilevel"/>
    <w:tmpl w:val="0CA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6A3E1C"/>
    <w:multiLevelType w:val="hybridMultilevel"/>
    <w:tmpl w:val="913E67F8"/>
    <w:lvl w:ilvl="0" w:tplc="04090019">
      <w:start w:val="1"/>
      <w:numFmt w:val="lowerLetter"/>
      <w:lvlText w:val="%1."/>
      <w:lvlJc w:val="left"/>
      <w:pPr>
        <w:ind w:left="582" w:hanging="360"/>
      </w:pPr>
      <w:rPr>
        <w:rFonts w:hint="default"/>
      </w:rPr>
    </w:lvl>
    <w:lvl w:ilvl="1" w:tplc="04090019">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90">
    <w:nsid w:val="5FD00177"/>
    <w:multiLevelType w:val="hybridMultilevel"/>
    <w:tmpl w:val="AC9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09B6E3E"/>
    <w:multiLevelType w:val="hybridMultilevel"/>
    <w:tmpl w:val="34F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41458C"/>
    <w:multiLevelType w:val="hybridMultilevel"/>
    <w:tmpl w:val="D360C34C"/>
    <w:lvl w:ilvl="0" w:tplc="F56860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15C4C57"/>
    <w:multiLevelType w:val="hybridMultilevel"/>
    <w:tmpl w:val="D912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4252229"/>
    <w:multiLevelType w:val="hybridMultilevel"/>
    <w:tmpl w:val="5336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74E60E4"/>
    <w:multiLevelType w:val="hybridMultilevel"/>
    <w:tmpl w:val="CDF0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8C3438C"/>
    <w:multiLevelType w:val="hybridMultilevel"/>
    <w:tmpl w:val="16B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A9526B5"/>
    <w:multiLevelType w:val="multilevel"/>
    <w:tmpl w:val="36BAF4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6B4C2396"/>
    <w:multiLevelType w:val="hybridMultilevel"/>
    <w:tmpl w:val="C7942D7A"/>
    <w:lvl w:ilvl="0" w:tplc="7C6A70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C71799F"/>
    <w:multiLevelType w:val="hybridMultilevel"/>
    <w:tmpl w:val="35903A72"/>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6CAC612A"/>
    <w:multiLevelType w:val="multilevel"/>
    <w:tmpl w:val="B0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DD30B94"/>
    <w:multiLevelType w:val="hybridMultilevel"/>
    <w:tmpl w:val="ADB0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E62055F"/>
    <w:multiLevelType w:val="hybridMultilevel"/>
    <w:tmpl w:val="A8648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nsid w:val="6F071F15"/>
    <w:multiLevelType w:val="hybridMultilevel"/>
    <w:tmpl w:val="2982D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F1C4CAB"/>
    <w:multiLevelType w:val="hybridMultilevel"/>
    <w:tmpl w:val="3DC416EE"/>
    <w:lvl w:ilvl="0" w:tplc="F09E616C">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FA97DDC"/>
    <w:multiLevelType w:val="hybridMultilevel"/>
    <w:tmpl w:val="6406BD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7042727C"/>
    <w:multiLevelType w:val="hybridMultilevel"/>
    <w:tmpl w:val="4678E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0905E3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097126C"/>
    <w:multiLevelType w:val="hybridMultilevel"/>
    <w:tmpl w:val="CF2C4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0DE4F8F"/>
    <w:multiLevelType w:val="hybridMultilevel"/>
    <w:tmpl w:val="E3F8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1D12881"/>
    <w:multiLevelType w:val="hybridMultilevel"/>
    <w:tmpl w:val="0D164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1D66D94"/>
    <w:multiLevelType w:val="hybridMultilevel"/>
    <w:tmpl w:val="B164F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1DC61CC"/>
    <w:multiLevelType w:val="hybridMultilevel"/>
    <w:tmpl w:val="A1826EEC"/>
    <w:lvl w:ilvl="0" w:tplc="04090001">
      <w:start w:val="1"/>
      <w:numFmt w:val="bullet"/>
      <w:lvlText w:val=""/>
      <w:lvlJc w:val="left"/>
      <w:pPr>
        <w:tabs>
          <w:tab w:val="num" w:pos="720"/>
        </w:tabs>
        <w:ind w:left="720" w:hanging="360"/>
      </w:pPr>
      <w:rPr>
        <w:rFonts w:ascii="Symbol" w:hAnsi="Symbol" w:hint="default"/>
      </w:rPr>
    </w:lvl>
    <w:lvl w:ilvl="1" w:tplc="D57C82F8">
      <w:start w:val="1"/>
      <w:numFmt w:val="bullet"/>
      <w:lvlText w:val="o"/>
      <w:lvlJc w:val="left"/>
      <w:pPr>
        <w:tabs>
          <w:tab w:val="num" w:pos="1440"/>
        </w:tabs>
        <w:ind w:left="1440" w:hanging="360"/>
      </w:pPr>
      <w:rPr>
        <w:rFonts w:ascii="Courier New" w:hAnsi="Courier New" w:hint="default"/>
        <w:sz w:val="24"/>
        <w:szCs w:val="24"/>
      </w:rPr>
    </w:lvl>
    <w:lvl w:ilvl="2" w:tplc="D4B46540">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1E538EF"/>
    <w:multiLevelType w:val="hybridMultilevel"/>
    <w:tmpl w:val="C55253F8"/>
    <w:lvl w:ilvl="0" w:tplc="005ABA9E">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7D45299"/>
    <w:multiLevelType w:val="hybridMultilevel"/>
    <w:tmpl w:val="F23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8FE04FC"/>
    <w:multiLevelType w:val="multilevel"/>
    <w:tmpl w:val="BB74C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nsid w:val="79C36D74"/>
    <w:multiLevelType w:val="hybridMultilevel"/>
    <w:tmpl w:val="90C8C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nsid w:val="7AF14A4F"/>
    <w:multiLevelType w:val="hybridMultilevel"/>
    <w:tmpl w:val="00146DF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7">
    <w:nsid w:val="7B327B15"/>
    <w:multiLevelType w:val="hybridMultilevel"/>
    <w:tmpl w:val="030C3716"/>
    <w:lvl w:ilvl="0" w:tplc="0336806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nsid w:val="7BC03814"/>
    <w:multiLevelType w:val="hybridMultilevel"/>
    <w:tmpl w:val="50600A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F7E5E52"/>
    <w:multiLevelType w:val="hybridMultilevel"/>
    <w:tmpl w:val="5D76D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0"/>
  </w:num>
  <w:num w:numId="3">
    <w:abstractNumId w:val="99"/>
  </w:num>
  <w:num w:numId="4">
    <w:abstractNumId w:val="75"/>
  </w:num>
  <w:num w:numId="5">
    <w:abstractNumId w:val="114"/>
  </w:num>
  <w:num w:numId="6">
    <w:abstractNumId w:val="34"/>
  </w:num>
  <w:num w:numId="7">
    <w:abstractNumId w:val="48"/>
  </w:num>
  <w:num w:numId="8">
    <w:abstractNumId w:val="7"/>
  </w:num>
  <w:num w:numId="9">
    <w:abstractNumId w:val="16"/>
  </w:num>
  <w:num w:numId="10">
    <w:abstractNumId w:val="24"/>
  </w:num>
  <w:num w:numId="11">
    <w:abstractNumId w:val="5"/>
  </w:num>
  <w:num w:numId="12">
    <w:abstractNumId w:val="119"/>
  </w:num>
  <w:num w:numId="13">
    <w:abstractNumId w:val="67"/>
  </w:num>
  <w:num w:numId="14">
    <w:abstractNumId w:val="106"/>
  </w:num>
  <w:num w:numId="15">
    <w:abstractNumId w:val="20"/>
  </w:num>
  <w:num w:numId="16">
    <w:abstractNumId w:val="57"/>
  </w:num>
  <w:num w:numId="17">
    <w:abstractNumId w:val="104"/>
  </w:num>
  <w:num w:numId="18">
    <w:abstractNumId w:val="100"/>
  </w:num>
  <w:num w:numId="19">
    <w:abstractNumId w:val="27"/>
  </w:num>
  <w:num w:numId="20">
    <w:abstractNumId w:val="77"/>
  </w:num>
  <w:num w:numId="21">
    <w:abstractNumId w:val="54"/>
  </w:num>
  <w:num w:numId="22">
    <w:abstractNumId w:val="66"/>
  </w:num>
  <w:num w:numId="23">
    <w:abstractNumId w:val="58"/>
  </w:num>
  <w:num w:numId="24">
    <w:abstractNumId w:val="71"/>
  </w:num>
  <w:num w:numId="25">
    <w:abstractNumId w:val="28"/>
  </w:num>
  <w:num w:numId="26">
    <w:abstractNumId w:val="39"/>
  </w:num>
  <w:num w:numId="27">
    <w:abstractNumId w:val="72"/>
  </w:num>
  <w:num w:numId="28">
    <w:abstractNumId w:val="12"/>
  </w:num>
  <w:num w:numId="29">
    <w:abstractNumId w:val="96"/>
  </w:num>
  <w:num w:numId="30">
    <w:abstractNumId w:val="115"/>
  </w:num>
  <w:num w:numId="31">
    <w:abstractNumId w:val="53"/>
  </w:num>
  <w:num w:numId="32">
    <w:abstractNumId w:val="85"/>
  </w:num>
  <w:num w:numId="33">
    <w:abstractNumId w:val="37"/>
  </w:num>
  <w:num w:numId="34">
    <w:abstractNumId w:val="68"/>
  </w:num>
  <w:num w:numId="35">
    <w:abstractNumId w:val="21"/>
  </w:num>
  <w:num w:numId="36">
    <w:abstractNumId w:val="18"/>
  </w:num>
  <w:num w:numId="37">
    <w:abstractNumId w:val="55"/>
  </w:num>
  <w:num w:numId="38">
    <w:abstractNumId w:val="17"/>
  </w:num>
  <w:num w:numId="39">
    <w:abstractNumId w:val="8"/>
  </w:num>
  <w:num w:numId="40">
    <w:abstractNumId w:val="45"/>
  </w:num>
  <w:num w:numId="41">
    <w:abstractNumId w:val="95"/>
  </w:num>
  <w:num w:numId="42">
    <w:abstractNumId w:val="80"/>
  </w:num>
  <w:num w:numId="43">
    <w:abstractNumId w:val="35"/>
  </w:num>
  <w:num w:numId="44">
    <w:abstractNumId w:val="11"/>
  </w:num>
  <w:num w:numId="45">
    <w:abstractNumId w:val="22"/>
  </w:num>
  <w:num w:numId="46">
    <w:abstractNumId w:val="116"/>
  </w:num>
  <w:num w:numId="47">
    <w:abstractNumId w:val="36"/>
  </w:num>
  <w:num w:numId="48">
    <w:abstractNumId w:val="113"/>
  </w:num>
  <w:num w:numId="49">
    <w:abstractNumId w:val="51"/>
  </w:num>
  <w:num w:numId="50">
    <w:abstractNumId w:val="78"/>
  </w:num>
  <w:num w:numId="51">
    <w:abstractNumId w:val="9"/>
  </w:num>
  <w:num w:numId="52">
    <w:abstractNumId w:val="61"/>
  </w:num>
  <w:num w:numId="53">
    <w:abstractNumId w:val="118"/>
  </w:num>
  <w:num w:numId="54">
    <w:abstractNumId w:val="32"/>
  </w:num>
  <w:num w:numId="55">
    <w:abstractNumId w:val="89"/>
  </w:num>
  <w:num w:numId="56">
    <w:abstractNumId w:val="105"/>
  </w:num>
  <w:num w:numId="57">
    <w:abstractNumId w:val="84"/>
  </w:num>
  <w:num w:numId="58">
    <w:abstractNumId w:val="94"/>
  </w:num>
  <w:num w:numId="59">
    <w:abstractNumId w:val="87"/>
  </w:num>
  <w:num w:numId="60">
    <w:abstractNumId w:val="81"/>
  </w:num>
  <w:num w:numId="61">
    <w:abstractNumId w:val="110"/>
  </w:num>
  <w:num w:numId="62">
    <w:abstractNumId w:val="29"/>
  </w:num>
  <w:num w:numId="63">
    <w:abstractNumId w:val="109"/>
  </w:num>
  <w:num w:numId="64">
    <w:abstractNumId w:val="33"/>
  </w:num>
  <w:num w:numId="65">
    <w:abstractNumId w:val="102"/>
  </w:num>
  <w:num w:numId="66">
    <w:abstractNumId w:val="30"/>
  </w:num>
  <w:num w:numId="67">
    <w:abstractNumId w:val="41"/>
  </w:num>
  <w:num w:numId="68">
    <w:abstractNumId w:val="10"/>
  </w:num>
  <w:num w:numId="69">
    <w:abstractNumId w:val="101"/>
  </w:num>
  <w:num w:numId="70">
    <w:abstractNumId w:val="93"/>
  </w:num>
  <w:num w:numId="71">
    <w:abstractNumId w:val="40"/>
  </w:num>
  <w:num w:numId="72">
    <w:abstractNumId w:val="73"/>
  </w:num>
  <w:num w:numId="73">
    <w:abstractNumId w:val="26"/>
  </w:num>
  <w:num w:numId="74">
    <w:abstractNumId w:val="69"/>
  </w:num>
  <w:num w:numId="75">
    <w:abstractNumId w:val="19"/>
  </w:num>
  <w:num w:numId="76">
    <w:abstractNumId w:val="15"/>
  </w:num>
  <w:num w:numId="77">
    <w:abstractNumId w:val="14"/>
  </w:num>
  <w:num w:numId="78">
    <w:abstractNumId w:val="103"/>
  </w:num>
  <w:num w:numId="79">
    <w:abstractNumId w:val="4"/>
  </w:num>
  <w:num w:numId="80">
    <w:abstractNumId w:val="108"/>
  </w:num>
  <w:num w:numId="81">
    <w:abstractNumId w:val="59"/>
  </w:num>
  <w:num w:numId="82">
    <w:abstractNumId w:val="91"/>
  </w:num>
  <w:num w:numId="83">
    <w:abstractNumId w:val="56"/>
  </w:num>
  <w:num w:numId="84">
    <w:abstractNumId w:val="76"/>
  </w:num>
  <w:num w:numId="85">
    <w:abstractNumId w:val="111"/>
  </w:num>
  <w:num w:numId="86">
    <w:abstractNumId w:val="13"/>
  </w:num>
  <w:num w:numId="87">
    <w:abstractNumId w:val="3"/>
  </w:num>
  <w:num w:numId="88">
    <w:abstractNumId w:val="47"/>
  </w:num>
  <w:num w:numId="89">
    <w:abstractNumId w:val="46"/>
  </w:num>
  <w:num w:numId="90">
    <w:abstractNumId w:val="117"/>
  </w:num>
  <w:num w:numId="91">
    <w:abstractNumId w:val="62"/>
  </w:num>
  <w:num w:numId="92">
    <w:abstractNumId w:val="97"/>
  </w:num>
  <w:num w:numId="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2"/>
  </w:num>
  <w:num w:numId="105">
    <w:abstractNumId w:val="23"/>
  </w:num>
  <w:num w:numId="106">
    <w:abstractNumId w:val="86"/>
  </w:num>
  <w:num w:numId="107">
    <w:abstractNumId w:val="64"/>
  </w:num>
  <w:num w:numId="108">
    <w:abstractNumId w:val="90"/>
  </w:num>
  <w:num w:numId="109">
    <w:abstractNumId w:val="82"/>
  </w:num>
  <w:num w:numId="110">
    <w:abstractNumId w:val="38"/>
  </w:num>
  <w:num w:numId="111">
    <w:abstractNumId w:val="6"/>
  </w:num>
  <w:num w:numId="112">
    <w:abstractNumId w:val="65"/>
  </w:num>
  <w:num w:numId="113">
    <w:abstractNumId w:val="74"/>
  </w:num>
  <w:num w:numId="114">
    <w:abstractNumId w:val="63"/>
  </w:num>
  <w:num w:numId="115">
    <w:abstractNumId w:val="31"/>
  </w:num>
  <w:num w:numId="116">
    <w:abstractNumId w:val="83"/>
  </w:num>
  <w:num w:numId="117">
    <w:abstractNumId w:val="70"/>
  </w:num>
  <w:num w:numId="118">
    <w:abstractNumId w:val="112"/>
  </w:num>
  <w:num w:numId="119">
    <w:abstractNumId w:val="98"/>
  </w:num>
  <w:num w:numId="120">
    <w:abstractNumId w:val="43"/>
  </w:num>
  <w:num w:numId="121">
    <w:abstractNumId w:val="0"/>
  </w:num>
  <w:num w:numId="122">
    <w:abstractNumId w:val="2"/>
  </w:num>
  <w:num w:numId="123">
    <w:abstractNumId w:val="44"/>
  </w:num>
  <w:num w:numId="124">
    <w:abstractNumId w:val="52"/>
  </w:num>
  <w:num w:numId="125">
    <w:abstractNumId w:val="50"/>
  </w:num>
  <w:num w:numId="126">
    <w:abstractNumId w:val="49"/>
  </w:num>
  <w:num w:numId="127">
    <w:abstractNumId w:val="88"/>
  </w:num>
  <w:num w:numId="128">
    <w:abstractNumId w:val="25"/>
  </w:num>
  <w:num w:numId="129">
    <w:abstractNumId w:val="79"/>
  </w:num>
  <w:num w:numId="130">
    <w:abstractNumId w:val="107"/>
  </w:num>
  <w:num w:numId="131">
    <w:abstractNumId w:val="9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86"/>
    <w:rsid w:val="00000B3F"/>
    <w:rsid w:val="00000DD9"/>
    <w:rsid w:val="00001360"/>
    <w:rsid w:val="0000440A"/>
    <w:rsid w:val="00004FFD"/>
    <w:rsid w:val="00005E8E"/>
    <w:rsid w:val="000063C8"/>
    <w:rsid w:val="000069D2"/>
    <w:rsid w:val="0001124F"/>
    <w:rsid w:val="00011645"/>
    <w:rsid w:val="00013AB2"/>
    <w:rsid w:val="00014EB6"/>
    <w:rsid w:val="00015448"/>
    <w:rsid w:val="00015EF2"/>
    <w:rsid w:val="0001658A"/>
    <w:rsid w:val="000205AA"/>
    <w:rsid w:val="00020D05"/>
    <w:rsid w:val="00021B1E"/>
    <w:rsid w:val="00022220"/>
    <w:rsid w:val="00022253"/>
    <w:rsid w:val="000224BA"/>
    <w:rsid w:val="000233D7"/>
    <w:rsid w:val="00023CBD"/>
    <w:rsid w:val="00024019"/>
    <w:rsid w:val="000244B0"/>
    <w:rsid w:val="00027157"/>
    <w:rsid w:val="000300D6"/>
    <w:rsid w:val="000300E1"/>
    <w:rsid w:val="00030138"/>
    <w:rsid w:val="00030630"/>
    <w:rsid w:val="00030936"/>
    <w:rsid w:val="000309E1"/>
    <w:rsid w:val="00031087"/>
    <w:rsid w:val="00031B3D"/>
    <w:rsid w:val="00032584"/>
    <w:rsid w:val="00034613"/>
    <w:rsid w:val="000372A6"/>
    <w:rsid w:val="00041168"/>
    <w:rsid w:val="00041316"/>
    <w:rsid w:val="000424A0"/>
    <w:rsid w:val="000434C6"/>
    <w:rsid w:val="00043C45"/>
    <w:rsid w:val="000440BF"/>
    <w:rsid w:val="000444C2"/>
    <w:rsid w:val="00044544"/>
    <w:rsid w:val="000463E1"/>
    <w:rsid w:val="00047131"/>
    <w:rsid w:val="000473D5"/>
    <w:rsid w:val="0004776A"/>
    <w:rsid w:val="00050490"/>
    <w:rsid w:val="00052D00"/>
    <w:rsid w:val="0005317D"/>
    <w:rsid w:val="00055C87"/>
    <w:rsid w:val="00056C80"/>
    <w:rsid w:val="00056FE4"/>
    <w:rsid w:val="000601C8"/>
    <w:rsid w:val="00060F0A"/>
    <w:rsid w:val="00061F63"/>
    <w:rsid w:val="00063BFB"/>
    <w:rsid w:val="0006508F"/>
    <w:rsid w:val="00065863"/>
    <w:rsid w:val="000663BD"/>
    <w:rsid w:val="00071C27"/>
    <w:rsid w:val="000720DF"/>
    <w:rsid w:val="0007225B"/>
    <w:rsid w:val="000725A8"/>
    <w:rsid w:val="00073CF4"/>
    <w:rsid w:val="0007437C"/>
    <w:rsid w:val="00076DA6"/>
    <w:rsid w:val="00080098"/>
    <w:rsid w:val="00080F1D"/>
    <w:rsid w:val="000834C8"/>
    <w:rsid w:val="000837D8"/>
    <w:rsid w:val="000839A6"/>
    <w:rsid w:val="00085F4E"/>
    <w:rsid w:val="00086745"/>
    <w:rsid w:val="00092ABC"/>
    <w:rsid w:val="00092B2B"/>
    <w:rsid w:val="00092C87"/>
    <w:rsid w:val="0009310F"/>
    <w:rsid w:val="000936DE"/>
    <w:rsid w:val="00094FF7"/>
    <w:rsid w:val="0009539C"/>
    <w:rsid w:val="000A02E2"/>
    <w:rsid w:val="000A13E0"/>
    <w:rsid w:val="000A1ADA"/>
    <w:rsid w:val="000A2202"/>
    <w:rsid w:val="000A3580"/>
    <w:rsid w:val="000A386D"/>
    <w:rsid w:val="000A44C3"/>
    <w:rsid w:val="000A74F5"/>
    <w:rsid w:val="000B0FA8"/>
    <w:rsid w:val="000B15A1"/>
    <w:rsid w:val="000B17C7"/>
    <w:rsid w:val="000B303B"/>
    <w:rsid w:val="000B3040"/>
    <w:rsid w:val="000B316C"/>
    <w:rsid w:val="000B4314"/>
    <w:rsid w:val="000B5113"/>
    <w:rsid w:val="000B5E18"/>
    <w:rsid w:val="000B684E"/>
    <w:rsid w:val="000B68BB"/>
    <w:rsid w:val="000B6EC5"/>
    <w:rsid w:val="000B7D29"/>
    <w:rsid w:val="000C1235"/>
    <w:rsid w:val="000C55F8"/>
    <w:rsid w:val="000C5715"/>
    <w:rsid w:val="000C66A6"/>
    <w:rsid w:val="000C6CD9"/>
    <w:rsid w:val="000C7C77"/>
    <w:rsid w:val="000D1EEE"/>
    <w:rsid w:val="000D379F"/>
    <w:rsid w:val="000D38C2"/>
    <w:rsid w:val="000D5233"/>
    <w:rsid w:val="000D5B86"/>
    <w:rsid w:val="000E0159"/>
    <w:rsid w:val="000E0B10"/>
    <w:rsid w:val="000E20EB"/>
    <w:rsid w:val="000E2261"/>
    <w:rsid w:val="000E3938"/>
    <w:rsid w:val="000E45DE"/>
    <w:rsid w:val="000E4A05"/>
    <w:rsid w:val="000E5345"/>
    <w:rsid w:val="000E64F5"/>
    <w:rsid w:val="000E7329"/>
    <w:rsid w:val="000F019F"/>
    <w:rsid w:val="000F0385"/>
    <w:rsid w:val="000F09C6"/>
    <w:rsid w:val="000F0D5D"/>
    <w:rsid w:val="000F185C"/>
    <w:rsid w:val="000F1C6F"/>
    <w:rsid w:val="000F1F0B"/>
    <w:rsid w:val="000F3659"/>
    <w:rsid w:val="000F4F54"/>
    <w:rsid w:val="000F508D"/>
    <w:rsid w:val="000F724E"/>
    <w:rsid w:val="000F7516"/>
    <w:rsid w:val="0010007E"/>
    <w:rsid w:val="00101606"/>
    <w:rsid w:val="0010363D"/>
    <w:rsid w:val="0010374C"/>
    <w:rsid w:val="00103AE5"/>
    <w:rsid w:val="0010661E"/>
    <w:rsid w:val="0010770E"/>
    <w:rsid w:val="00107B30"/>
    <w:rsid w:val="00110EEF"/>
    <w:rsid w:val="0011104F"/>
    <w:rsid w:val="00113C1E"/>
    <w:rsid w:val="001168E9"/>
    <w:rsid w:val="00116A1B"/>
    <w:rsid w:val="00116DE8"/>
    <w:rsid w:val="001212A9"/>
    <w:rsid w:val="00121619"/>
    <w:rsid w:val="001219B2"/>
    <w:rsid w:val="00124475"/>
    <w:rsid w:val="001249AF"/>
    <w:rsid w:val="00124F4A"/>
    <w:rsid w:val="0012585F"/>
    <w:rsid w:val="00127E7A"/>
    <w:rsid w:val="00130567"/>
    <w:rsid w:val="001315BA"/>
    <w:rsid w:val="00131EC0"/>
    <w:rsid w:val="00132C11"/>
    <w:rsid w:val="00132C62"/>
    <w:rsid w:val="00134AFB"/>
    <w:rsid w:val="00135D5A"/>
    <w:rsid w:val="001373D4"/>
    <w:rsid w:val="00140D39"/>
    <w:rsid w:val="00142718"/>
    <w:rsid w:val="00143117"/>
    <w:rsid w:val="00144055"/>
    <w:rsid w:val="0014546F"/>
    <w:rsid w:val="00146325"/>
    <w:rsid w:val="00146F7D"/>
    <w:rsid w:val="00147F7F"/>
    <w:rsid w:val="0015054D"/>
    <w:rsid w:val="00150C4B"/>
    <w:rsid w:val="001533E5"/>
    <w:rsid w:val="001558F5"/>
    <w:rsid w:val="00155C85"/>
    <w:rsid w:val="00155D26"/>
    <w:rsid w:val="001579AA"/>
    <w:rsid w:val="00161D5C"/>
    <w:rsid w:val="00162210"/>
    <w:rsid w:val="00163D89"/>
    <w:rsid w:val="00165215"/>
    <w:rsid w:val="00165CB5"/>
    <w:rsid w:val="00170580"/>
    <w:rsid w:val="00171CC6"/>
    <w:rsid w:val="00172D3F"/>
    <w:rsid w:val="00174392"/>
    <w:rsid w:val="001760CB"/>
    <w:rsid w:val="001765CD"/>
    <w:rsid w:val="00177C80"/>
    <w:rsid w:val="00180E16"/>
    <w:rsid w:val="00181D9C"/>
    <w:rsid w:val="00181E3B"/>
    <w:rsid w:val="00181FA4"/>
    <w:rsid w:val="0018333F"/>
    <w:rsid w:val="00183F4F"/>
    <w:rsid w:val="0018458B"/>
    <w:rsid w:val="001846F5"/>
    <w:rsid w:val="001857AA"/>
    <w:rsid w:val="0018733C"/>
    <w:rsid w:val="001877A0"/>
    <w:rsid w:val="0019006C"/>
    <w:rsid w:val="001937AD"/>
    <w:rsid w:val="00194AED"/>
    <w:rsid w:val="00194DC4"/>
    <w:rsid w:val="001951D3"/>
    <w:rsid w:val="00196872"/>
    <w:rsid w:val="00197681"/>
    <w:rsid w:val="001977BD"/>
    <w:rsid w:val="00197B9A"/>
    <w:rsid w:val="00197E63"/>
    <w:rsid w:val="001A3E8C"/>
    <w:rsid w:val="001A5355"/>
    <w:rsid w:val="001A6B52"/>
    <w:rsid w:val="001A7775"/>
    <w:rsid w:val="001B059B"/>
    <w:rsid w:val="001B0797"/>
    <w:rsid w:val="001B09E2"/>
    <w:rsid w:val="001B24F3"/>
    <w:rsid w:val="001B2EE7"/>
    <w:rsid w:val="001B3D71"/>
    <w:rsid w:val="001B4C1F"/>
    <w:rsid w:val="001B5E31"/>
    <w:rsid w:val="001B65DB"/>
    <w:rsid w:val="001B678D"/>
    <w:rsid w:val="001B6BFD"/>
    <w:rsid w:val="001B6EF5"/>
    <w:rsid w:val="001B7CBB"/>
    <w:rsid w:val="001C004C"/>
    <w:rsid w:val="001C1DCB"/>
    <w:rsid w:val="001C235C"/>
    <w:rsid w:val="001C268A"/>
    <w:rsid w:val="001C6A43"/>
    <w:rsid w:val="001C7171"/>
    <w:rsid w:val="001D02E7"/>
    <w:rsid w:val="001D1CD5"/>
    <w:rsid w:val="001D34B7"/>
    <w:rsid w:val="001D36D5"/>
    <w:rsid w:val="001E046C"/>
    <w:rsid w:val="001E18F2"/>
    <w:rsid w:val="001E36CC"/>
    <w:rsid w:val="001E3DB9"/>
    <w:rsid w:val="001E5AD0"/>
    <w:rsid w:val="001E5E82"/>
    <w:rsid w:val="001E7FCC"/>
    <w:rsid w:val="001F0D1D"/>
    <w:rsid w:val="001F1C6D"/>
    <w:rsid w:val="001F2F52"/>
    <w:rsid w:val="001F41D4"/>
    <w:rsid w:val="001F42E7"/>
    <w:rsid w:val="001F4C12"/>
    <w:rsid w:val="001F6518"/>
    <w:rsid w:val="001F6F65"/>
    <w:rsid w:val="00200B7B"/>
    <w:rsid w:val="00200DA9"/>
    <w:rsid w:val="002013C1"/>
    <w:rsid w:val="0020217B"/>
    <w:rsid w:val="002021D3"/>
    <w:rsid w:val="002037B8"/>
    <w:rsid w:val="002038D3"/>
    <w:rsid w:val="00204752"/>
    <w:rsid w:val="002047D4"/>
    <w:rsid w:val="00206A61"/>
    <w:rsid w:val="00212445"/>
    <w:rsid w:val="0021302A"/>
    <w:rsid w:val="00214995"/>
    <w:rsid w:val="00217BB1"/>
    <w:rsid w:val="00217F53"/>
    <w:rsid w:val="00220B16"/>
    <w:rsid w:val="00222ADE"/>
    <w:rsid w:val="00224876"/>
    <w:rsid w:val="00224E0D"/>
    <w:rsid w:val="002307A2"/>
    <w:rsid w:val="00232E3B"/>
    <w:rsid w:val="00233A6C"/>
    <w:rsid w:val="0023444A"/>
    <w:rsid w:val="00234D16"/>
    <w:rsid w:val="002351CA"/>
    <w:rsid w:val="00235293"/>
    <w:rsid w:val="00235BFD"/>
    <w:rsid w:val="00236B1A"/>
    <w:rsid w:val="00241D8D"/>
    <w:rsid w:val="00242F8A"/>
    <w:rsid w:val="002448AF"/>
    <w:rsid w:val="00250993"/>
    <w:rsid w:val="00251D5F"/>
    <w:rsid w:val="00251D8E"/>
    <w:rsid w:val="0025233D"/>
    <w:rsid w:val="0025275F"/>
    <w:rsid w:val="00253EC8"/>
    <w:rsid w:val="002542DA"/>
    <w:rsid w:val="0025651B"/>
    <w:rsid w:val="00257C22"/>
    <w:rsid w:val="0026055B"/>
    <w:rsid w:val="0026094A"/>
    <w:rsid w:val="002609E1"/>
    <w:rsid w:val="00262D52"/>
    <w:rsid w:val="002630BE"/>
    <w:rsid w:val="00264F35"/>
    <w:rsid w:val="00264F82"/>
    <w:rsid w:val="0026575F"/>
    <w:rsid w:val="00265FEA"/>
    <w:rsid w:val="002665D4"/>
    <w:rsid w:val="002666A4"/>
    <w:rsid w:val="00271523"/>
    <w:rsid w:val="00271A65"/>
    <w:rsid w:val="002723C8"/>
    <w:rsid w:val="00273DDB"/>
    <w:rsid w:val="00274151"/>
    <w:rsid w:val="002755E8"/>
    <w:rsid w:val="00276743"/>
    <w:rsid w:val="00277E7B"/>
    <w:rsid w:val="00282D0D"/>
    <w:rsid w:val="00284E8D"/>
    <w:rsid w:val="00286409"/>
    <w:rsid w:val="00286644"/>
    <w:rsid w:val="00286D15"/>
    <w:rsid w:val="00287B82"/>
    <w:rsid w:val="00287CBB"/>
    <w:rsid w:val="002900CE"/>
    <w:rsid w:val="00291695"/>
    <w:rsid w:val="0029204C"/>
    <w:rsid w:val="0029427D"/>
    <w:rsid w:val="00294416"/>
    <w:rsid w:val="002A1AD0"/>
    <w:rsid w:val="002A23AD"/>
    <w:rsid w:val="002A240E"/>
    <w:rsid w:val="002A2A88"/>
    <w:rsid w:val="002A4230"/>
    <w:rsid w:val="002A4E8D"/>
    <w:rsid w:val="002A54D3"/>
    <w:rsid w:val="002A578C"/>
    <w:rsid w:val="002A6B23"/>
    <w:rsid w:val="002A78A5"/>
    <w:rsid w:val="002B1012"/>
    <w:rsid w:val="002B102D"/>
    <w:rsid w:val="002B1724"/>
    <w:rsid w:val="002B4A99"/>
    <w:rsid w:val="002B56A6"/>
    <w:rsid w:val="002B56F8"/>
    <w:rsid w:val="002B59BA"/>
    <w:rsid w:val="002B6545"/>
    <w:rsid w:val="002B7058"/>
    <w:rsid w:val="002B70BA"/>
    <w:rsid w:val="002C070E"/>
    <w:rsid w:val="002C1F89"/>
    <w:rsid w:val="002C248B"/>
    <w:rsid w:val="002C2A34"/>
    <w:rsid w:val="002C40CF"/>
    <w:rsid w:val="002C477D"/>
    <w:rsid w:val="002C61F4"/>
    <w:rsid w:val="002D03DE"/>
    <w:rsid w:val="002D04B4"/>
    <w:rsid w:val="002D21DB"/>
    <w:rsid w:val="002D3338"/>
    <w:rsid w:val="002D3991"/>
    <w:rsid w:val="002D490E"/>
    <w:rsid w:val="002D5073"/>
    <w:rsid w:val="002D615B"/>
    <w:rsid w:val="002D771D"/>
    <w:rsid w:val="002D7792"/>
    <w:rsid w:val="002D7C5D"/>
    <w:rsid w:val="002E1A72"/>
    <w:rsid w:val="002E2B53"/>
    <w:rsid w:val="002E3BB6"/>
    <w:rsid w:val="002E3E2B"/>
    <w:rsid w:val="002E4554"/>
    <w:rsid w:val="002E5AE9"/>
    <w:rsid w:val="002E6009"/>
    <w:rsid w:val="002E6611"/>
    <w:rsid w:val="002E7004"/>
    <w:rsid w:val="002F2280"/>
    <w:rsid w:val="002F270A"/>
    <w:rsid w:val="002F4289"/>
    <w:rsid w:val="002F4D80"/>
    <w:rsid w:val="002F5886"/>
    <w:rsid w:val="003005CA"/>
    <w:rsid w:val="003016B2"/>
    <w:rsid w:val="00302A26"/>
    <w:rsid w:val="00303A7D"/>
    <w:rsid w:val="00303C22"/>
    <w:rsid w:val="00303D8B"/>
    <w:rsid w:val="003045E1"/>
    <w:rsid w:val="00304A0C"/>
    <w:rsid w:val="00305623"/>
    <w:rsid w:val="00305DDC"/>
    <w:rsid w:val="003068F9"/>
    <w:rsid w:val="00310F54"/>
    <w:rsid w:val="00312EE4"/>
    <w:rsid w:val="00313686"/>
    <w:rsid w:val="0031371F"/>
    <w:rsid w:val="003143A7"/>
    <w:rsid w:val="0031450C"/>
    <w:rsid w:val="003149E0"/>
    <w:rsid w:val="00314E8D"/>
    <w:rsid w:val="00315329"/>
    <w:rsid w:val="0031593F"/>
    <w:rsid w:val="00316B2E"/>
    <w:rsid w:val="0031710D"/>
    <w:rsid w:val="00321167"/>
    <w:rsid w:val="003222BB"/>
    <w:rsid w:val="00322793"/>
    <w:rsid w:val="003257EE"/>
    <w:rsid w:val="003261CF"/>
    <w:rsid w:val="00330BFB"/>
    <w:rsid w:val="003310D6"/>
    <w:rsid w:val="00332BEA"/>
    <w:rsid w:val="00333037"/>
    <w:rsid w:val="0033400D"/>
    <w:rsid w:val="003349C6"/>
    <w:rsid w:val="00335604"/>
    <w:rsid w:val="003401B3"/>
    <w:rsid w:val="00340BD4"/>
    <w:rsid w:val="00340E48"/>
    <w:rsid w:val="0034401C"/>
    <w:rsid w:val="00344025"/>
    <w:rsid w:val="00346350"/>
    <w:rsid w:val="0034667B"/>
    <w:rsid w:val="003470E2"/>
    <w:rsid w:val="003517F5"/>
    <w:rsid w:val="003523FC"/>
    <w:rsid w:val="0035240B"/>
    <w:rsid w:val="00352C78"/>
    <w:rsid w:val="00353110"/>
    <w:rsid w:val="0035413A"/>
    <w:rsid w:val="00354273"/>
    <w:rsid w:val="003547F3"/>
    <w:rsid w:val="00354C8B"/>
    <w:rsid w:val="00354E5C"/>
    <w:rsid w:val="003553CA"/>
    <w:rsid w:val="00356567"/>
    <w:rsid w:val="00356B39"/>
    <w:rsid w:val="00357FBE"/>
    <w:rsid w:val="00360BB9"/>
    <w:rsid w:val="00361F59"/>
    <w:rsid w:val="00362329"/>
    <w:rsid w:val="00363829"/>
    <w:rsid w:val="00364C52"/>
    <w:rsid w:val="00365CD6"/>
    <w:rsid w:val="00366CD3"/>
    <w:rsid w:val="003671E7"/>
    <w:rsid w:val="003678CA"/>
    <w:rsid w:val="00371372"/>
    <w:rsid w:val="003740CF"/>
    <w:rsid w:val="0037640B"/>
    <w:rsid w:val="00376E4D"/>
    <w:rsid w:val="00377085"/>
    <w:rsid w:val="003779E4"/>
    <w:rsid w:val="00386514"/>
    <w:rsid w:val="00386D05"/>
    <w:rsid w:val="003917BB"/>
    <w:rsid w:val="00391887"/>
    <w:rsid w:val="0039231B"/>
    <w:rsid w:val="003924B4"/>
    <w:rsid w:val="00393F2A"/>
    <w:rsid w:val="00394696"/>
    <w:rsid w:val="0039517C"/>
    <w:rsid w:val="00396B57"/>
    <w:rsid w:val="00396E96"/>
    <w:rsid w:val="00397BF5"/>
    <w:rsid w:val="003A0EBF"/>
    <w:rsid w:val="003A3350"/>
    <w:rsid w:val="003A66BE"/>
    <w:rsid w:val="003A7A06"/>
    <w:rsid w:val="003A7E5A"/>
    <w:rsid w:val="003B123D"/>
    <w:rsid w:val="003B26C0"/>
    <w:rsid w:val="003B3000"/>
    <w:rsid w:val="003B449F"/>
    <w:rsid w:val="003B4BA6"/>
    <w:rsid w:val="003B53AE"/>
    <w:rsid w:val="003B55C3"/>
    <w:rsid w:val="003B6558"/>
    <w:rsid w:val="003B68D2"/>
    <w:rsid w:val="003B7975"/>
    <w:rsid w:val="003C0A99"/>
    <w:rsid w:val="003C20D5"/>
    <w:rsid w:val="003C2224"/>
    <w:rsid w:val="003C27DF"/>
    <w:rsid w:val="003C39F6"/>
    <w:rsid w:val="003C414B"/>
    <w:rsid w:val="003C4FC6"/>
    <w:rsid w:val="003C5E4F"/>
    <w:rsid w:val="003C670F"/>
    <w:rsid w:val="003D0856"/>
    <w:rsid w:val="003D2079"/>
    <w:rsid w:val="003D40F4"/>
    <w:rsid w:val="003D576B"/>
    <w:rsid w:val="003D5855"/>
    <w:rsid w:val="003D5FEF"/>
    <w:rsid w:val="003D7521"/>
    <w:rsid w:val="003D7BE0"/>
    <w:rsid w:val="003E015A"/>
    <w:rsid w:val="003E273F"/>
    <w:rsid w:val="003E28AC"/>
    <w:rsid w:val="003E3C60"/>
    <w:rsid w:val="003E4B26"/>
    <w:rsid w:val="003E5DA5"/>
    <w:rsid w:val="003E5FE3"/>
    <w:rsid w:val="003E7385"/>
    <w:rsid w:val="003F0488"/>
    <w:rsid w:val="003F07E0"/>
    <w:rsid w:val="003F1C77"/>
    <w:rsid w:val="003F4A49"/>
    <w:rsid w:val="003F513A"/>
    <w:rsid w:val="003F618F"/>
    <w:rsid w:val="003F6A4D"/>
    <w:rsid w:val="003F7AF9"/>
    <w:rsid w:val="0040062B"/>
    <w:rsid w:val="00400B66"/>
    <w:rsid w:val="00401C90"/>
    <w:rsid w:val="0040253E"/>
    <w:rsid w:val="00402FF7"/>
    <w:rsid w:val="0040479C"/>
    <w:rsid w:val="004064DC"/>
    <w:rsid w:val="004077F3"/>
    <w:rsid w:val="00407ED4"/>
    <w:rsid w:val="00411CB4"/>
    <w:rsid w:val="004122BF"/>
    <w:rsid w:val="004131E3"/>
    <w:rsid w:val="00414446"/>
    <w:rsid w:val="0041508F"/>
    <w:rsid w:val="0041690C"/>
    <w:rsid w:val="00420007"/>
    <w:rsid w:val="004200E6"/>
    <w:rsid w:val="004241C7"/>
    <w:rsid w:val="00424E27"/>
    <w:rsid w:val="00425912"/>
    <w:rsid w:val="00427723"/>
    <w:rsid w:val="004301F5"/>
    <w:rsid w:val="00432605"/>
    <w:rsid w:val="00432CA9"/>
    <w:rsid w:val="00433486"/>
    <w:rsid w:val="00433589"/>
    <w:rsid w:val="00433807"/>
    <w:rsid w:val="0043752D"/>
    <w:rsid w:val="004379F8"/>
    <w:rsid w:val="004405B5"/>
    <w:rsid w:val="00440ED2"/>
    <w:rsid w:val="00444A58"/>
    <w:rsid w:val="004454B7"/>
    <w:rsid w:val="00447389"/>
    <w:rsid w:val="004475B5"/>
    <w:rsid w:val="00450F7B"/>
    <w:rsid w:val="00450FB3"/>
    <w:rsid w:val="00451342"/>
    <w:rsid w:val="00451D17"/>
    <w:rsid w:val="00452E97"/>
    <w:rsid w:val="00453A9E"/>
    <w:rsid w:val="00453C4A"/>
    <w:rsid w:val="004540B5"/>
    <w:rsid w:val="004543B5"/>
    <w:rsid w:val="00454EFF"/>
    <w:rsid w:val="00460423"/>
    <w:rsid w:val="00460D56"/>
    <w:rsid w:val="004628F4"/>
    <w:rsid w:val="0046399C"/>
    <w:rsid w:val="004645FC"/>
    <w:rsid w:val="00466019"/>
    <w:rsid w:val="00470CD2"/>
    <w:rsid w:val="0047203C"/>
    <w:rsid w:val="004723D5"/>
    <w:rsid w:val="00473B2E"/>
    <w:rsid w:val="0047424F"/>
    <w:rsid w:val="004743E7"/>
    <w:rsid w:val="004746AD"/>
    <w:rsid w:val="004747C7"/>
    <w:rsid w:val="00474A9D"/>
    <w:rsid w:val="00476A58"/>
    <w:rsid w:val="0047703E"/>
    <w:rsid w:val="004800AF"/>
    <w:rsid w:val="004807F8"/>
    <w:rsid w:val="004808D2"/>
    <w:rsid w:val="00480B1E"/>
    <w:rsid w:val="00481329"/>
    <w:rsid w:val="0048137D"/>
    <w:rsid w:val="0048150E"/>
    <w:rsid w:val="00482A8D"/>
    <w:rsid w:val="00484487"/>
    <w:rsid w:val="00484AB5"/>
    <w:rsid w:val="00486A55"/>
    <w:rsid w:val="004870D9"/>
    <w:rsid w:val="00487206"/>
    <w:rsid w:val="00490229"/>
    <w:rsid w:val="004914D9"/>
    <w:rsid w:val="00492779"/>
    <w:rsid w:val="00493472"/>
    <w:rsid w:val="0049388B"/>
    <w:rsid w:val="00493D91"/>
    <w:rsid w:val="00494609"/>
    <w:rsid w:val="00495789"/>
    <w:rsid w:val="004957AB"/>
    <w:rsid w:val="00496CEC"/>
    <w:rsid w:val="004979C9"/>
    <w:rsid w:val="004A0682"/>
    <w:rsid w:val="004A0B1D"/>
    <w:rsid w:val="004A115B"/>
    <w:rsid w:val="004A4C21"/>
    <w:rsid w:val="004A525D"/>
    <w:rsid w:val="004A5CB2"/>
    <w:rsid w:val="004B005C"/>
    <w:rsid w:val="004B0BD7"/>
    <w:rsid w:val="004B1B84"/>
    <w:rsid w:val="004B5884"/>
    <w:rsid w:val="004B5C6E"/>
    <w:rsid w:val="004B5F8B"/>
    <w:rsid w:val="004C0B7B"/>
    <w:rsid w:val="004C15AB"/>
    <w:rsid w:val="004C31C9"/>
    <w:rsid w:val="004C45C0"/>
    <w:rsid w:val="004C531C"/>
    <w:rsid w:val="004C6131"/>
    <w:rsid w:val="004C62A9"/>
    <w:rsid w:val="004C755B"/>
    <w:rsid w:val="004C76AA"/>
    <w:rsid w:val="004D0F07"/>
    <w:rsid w:val="004D136D"/>
    <w:rsid w:val="004D2B2D"/>
    <w:rsid w:val="004D3469"/>
    <w:rsid w:val="004D35A3"/>
    <w:rsid w:val="004D3A3A"/>
    <w:rsid w:val="004D434D"/>
    <w:rsid w:val="004D5A7E"/>
    <w:rsid w:val="004D5C6C"/>
    <w:rsid w:val="004D5F60"/>
    <w:rsid w:val="004D6632"/>
    <w:rsid w:val="004E64B8"/>
    <w:rsid w:val="004E78B9"/>
    <w:rsid w:val="004F198A"/>
    <w:rsid w:val="004F2CB6"/>
    <w:rsid w:val="004F3932"/>
    <w:rsid w:val="004F3A3D"/>
    <w:rsid w:val="004F6952"/>
    <w:rsid w:val="0050156E"/>
    <w:rsid w:val="005021DC"/>
    <w:rsid w:val="005024F1"/>
    <w:rsid w:val="00502686"/>
    <w:rsid w:val="005028E5"/>
    <w:rsid w:val="00502A53"/>
    <w:rsid w:val="00503E4B"/>
    <w:rsid w:val="00504F52"/>
    <w:rsid w:val="0050657E"/>
    <w:rsid w:val="00507DA5"/>
    <w:rsid w:val="00510092"/>
    <w:rsid w:val="0051050D"/>
    <w:rsid w:val="005114F8"/>
    <w:rsid w:val="00511B69"/>
    <w:rsid w:val="00512343"/>
    <w:rsid w:val="005124C5"/>
    <w:rsid w:val="00516081"/>
    <w:rsid w:val="005175BC"/>
    <w:rsid w:val="005225E5"/>
    <w:rsid w:val="005262E6"/>
    <w:rsid w:val="005304EA"/>
    <w:rsid w:val="005324FF"/>
    <w:rsid w:val="00533D12"/>
    <w:rsid w:val="005344D4"/>
    <w:rsid w:val="005359DC"/>
    <w:rsid w:val="00537000"/>
    <w:rsid w:val="005370BB"/>
    <w:rsid w:val="005375AD"/>
    <w:rsid w:val="005400D0"/>
    <w:rsid w:val="00540C4B"/>
    <w:rsid w:val="005418B3"/>
    <w:rsid w:val="0054506D"/>
    <w:rsid w:val="0054577F"/>
    <w:rsid w:val="005467D1"/>
    <w:rsid w:val="00546E7D"/>
    <w:rsid w:val="00550AC4"/>
    <w:rsid w:val="00550F0D"/>
    <w:rsid w:val="00551FDE"/>
    <w:rsid w:val="00552536"/>
    <w:rsid w:val="00552993"/>
    <w:rsid w:val="005534F1"/>
    <w:rsid w:val="00554E99"/>
    <w:rsid w:val="00554FBA"/>
    <w:rsid w:val="00554FF5"/>
    <w:rsid w:val="00555974"/>
    <w:rsid w:val="00555F5E"/>
    <w:rsid w:val="00556BDB"/>
    <w:rsid w:val="00557C4F"/>
    <w:rsid w:val="005601CA"/>
    <w:rsid w:val="005617A7"/>
    <w:rsid w:val="0056240C"/>
    <w:rsid w:val="00563AA1"/>
    <w:rsid w:val="005650EC"/>
    <w:rsid w:val="00566A9D"/>
    <w:rsid w:val="00567B10"/>
    <w:rsid w:val="00570BD3"/>
    <w:rsid w:val="00570EAC"/>
    <w:rsid w:val="00571A9A"/>
    <w:rsid w:val="00572111"/>
    <w:rsid w:val="00572269"/>
    <w:rsid w:val="00572536"/>
    <w:rsid w:val="005731A3"/>
    <w:rsid w:val="00573462"/>
    <w:rsid w:val="00573938"/>
    <w:rsid w:val="00573B48"/>
    <w:rsid w:val="00574F44"/>
    <w:rsid w:val="005757C4"/>
    <w:rsid w:val="00575A30"/>
    <w:rsid w:val="00576136"/>
    <w:rsid w:val="00576DC7"/>
    <w:rsid w:val="0057777A"/>
    <w:rsid w:val="00577FA3"/>
    <w:rsid w:val="0058010A"/>
    <w:rsid w:val="0058013B"/>
    <w:rsid w:val="0058227B"/>
    <w:rsid w:val="00583D5F"/>
    <w:rsid w:val="00585FE5"/>
    <w:rsid w:val="0059055F"/>
    <w:rsid w:val="005919B6"/>
    <w:rsid w:val="005924F1"/>
    <w:rsid w:val="00592FE8"/>
    <w:rsid w:val="00594299"/>
    <w:rsid w:val="0059438B"/>
    <w:rsid w:val="00595396"/>
    <w:rsid w:val="0059645F"/>
    <w:rsid w:val="00596A51"/>
    <w:rsid w:val="00597DAD"/>
    <w:rsid w:val="005A0EA6"/>
    <w:rsid w:val="005A1311"/>
    <w:rsid w:val="005A1E82"/>
    <w:rsid w:val="005A35A8"/>
    <w:rsid w:val="005A3B79"/>
    <w:rsid w:val="005A3ED0"/>
    <w:rsid w:val="005A47F3"/>
    <w:rsid w:val="005A4808"/>
    <w:rsid w:val="005A56C0"/>
    <w:rsid w:val="005A573A"/>
    <w:rsid w:val="005A788C"/>
    <w:rsid w:val="005A7F0A"/>
    <w:rsid w:val="005B0D80"/>
    <w:rsid w:val="005B1721"/>
    <w:rsid w:val="005B196F"/>
    <w:rsid w:val="005B2F9C"/>
    <w:rsid w:val="005B3541"/>
    <w:rsid w:val="005B3DCA"/>
    <w:rsid w:val="005B5CE4"/>
    <w:rsid w:val="005C19EA"/>
    <w:rsid w:val="005C2A53"/>
    <w:rsid w:val="005C3368"/>
    <w:rsid w:val="005C39D4"/>
    <w:rsid w:val="005C50F6"/>
    <w:rsid w:val="005C5708"/>
    <w:rsid w:val="005C59CB"/>
    <w:rsid w:val="005C5EDD"/>
    <w:rsid w:val="005C6F29"/>
    <w:rsid w:val="005D0282"/>
    <w:rsid w:val="005D1669"/>
    <w:rsid w:val="005D1B68"/>
    <w:rsid w:val="005D237F"/>
    <w:rsid w:val="005D256B"/>
    <w:rsid w:val="005D284D"/>
    <w:rsid w:val="005D2CC4"/>
    <w:rsid w:val="005D40DD"/>
    <w:rsid w:val="005D4506"/>
    <w:rsid w:val="005D4965"/>
    <w:rsid w:val="005D61FC"/>
    <w:rsid w:val="005D6987"/>
    <w:rsid w:val="005E0C30"/>
    <w:rsid w:val="005E4A68"/>
    <w:rsid w:val="005E5618"/>
    <w:rsid w:val="005E56C6"/>
    <w:rsid w:val="005E57E4"/>
    <w:rsid w:val="005E5C0C"/>
    <w:rsid w:val="005E7592"/>
    <w:rsid w:val="005E79B3"/>
    <w:rsid w:val="005F048A"/>
    <w:rsid w:val="005F08BA"/>
    <w:rsid w:val="005F0E8A"/>
    <w:rsid w:val="005F1116"/>
    <w:rsid w:val="005F64C3"/>
    <w:rsid w:val="005F6559"/>
    <w:rsid w:val="005F67A3"/>
    <w:rsid w:val="006002D8"/>
    <w:rsid w:val="00602ADF"/>
    <w:rsid w:val="00602F60"/>
    <w:rsid w:val="00603C3A"/>
    <w:rsid w:val="006047BA"/>
    <w:rsid w:val="00604910"/>
    <w:rsid w:val="00605736"/>
    <w:rsid w:val="00606404"/>
    <w:rsid w:val="006071D8"/>
    <w:rsid w:val="006075C9"/>
    <w:rsid w:val="006079E7"/>
    <w:rsid w:val="00607F1A"/>
    <w:rsid w:val="006106C9"/>
    <w:rsid w:val="00611C9A"/>
    <w:rsid w:val="0061224E"/>
    <w:rsid w:val="0061287B"/>
    <w:rsid w:val="00612E1F"/>
    <w:rsid w:val="006150A9"/>
    <w:rsid w:val="006157D1"/>
    <w:rsid w:val="0062016C"/>
    <w:rsid w:val="00620DC4"/>
    <w:rsid w:val="0062369F"/>
    <w:rsid w:val="006238AE"/>
    <w:rsid w:val="006279EC"/>
    <w:rsid w:val="0063060D"/>
    <w:rsid w:val="00631B7B"/>
    <w:rsid w:val="00632CD0"/>
    <w:rsid w:val="006342D4"/>
    <w:rsid w:val="00635176"/>
    <w:rsid w:val="00635647"/>
    <w:rsid w:val="0063629C"/>
    <w:rsid w:val="00636E27"/>
    <w:rsid w:val="006370CB"/>
    <w:rsid w:val="006375DE"/>
    <w:rsid w:val="006407F0"/>
    <w:rsid w:val="0064136F"/>
    <w:rsid w:val="00642688"/>
    <w:rsid w:val="0064393A"/>
    <w:rsid w:val="00645581"/>
    <w:rsid w:val="006464FA"/>
    <w:rsid w:val="006465FF"/>
    <w:rsid w:val="006468C5"/>
    <w:rsid w:val="00646C7B"/>
    <w:rsid w:val="00646F6C"/>
    <w:rsid w:val="00647626"/>
    <w:rsid w:val="00651005"/>
    <w:rsid w:val="00651500"/>
    <w:rsid w:val="00651FCC"/>
    <w:rsid w:val="0065241B"/>
    <w:rsid w:val="00653409"/>
    <w:rsid w:val="00655E9E"/>
    <w:rsid w:val="00656D22"/>
    <w:rsid w:val="00656E35"/>
    <w:rsid w:val="00657E8C"/>
    <w:rsid w:val="006601F6"/>
    <w:rsid w:val="00661A11"/>
    <w:rsid w:val="00663797"/>
    <w:rsid w:val="00663B42"/>
    <w:rsid w:val="0066552C"/>
    <w:rsid w:val="00665EC3"/>
    <w:rsid w:val="00666ABB"/>
    <w:rsid w:val="00671952"/>
    <w:rsid w:val="00672F0D"/>
    <w:rsid w:val="006768FE"/>
    <w:rsid w:val="0067782A"/>
    <w:rsid w:val="00680705"/>
    <w:rsid w:val="00680B07"/>
    <w:rsid w:val="006829AC"/>
    <w:rsid w:val="0068372F"/>
    <w:rsid w:val="0068394F"/>
    <w:rsid w:val="00683C8A"/>
    <w:rsid w:val="00683F1D"/>
    <w:rsid w:val="00684580"/>
    <w:rsid w:val="00684CB9"/>
    <w:rsid w:val="00685091"/>
    <w:rsid w:val="006861BD"/>
    <w:rsid w:val="006875C6"/>
    <w:rsid w:val="006909E1"/>
    <w:rsid w:val="006A0C80"/>
    <w:rsid w:val="006A14C9"/>
    <w:rsid w:val="006A1EA9"/>
    <w:rsid w:val="006A1F73"/>
    <w:rsid w:val="006A3BB5"/>
    <w:rsid w:val="006A60B2"/>
    <w:rsid w:val="006A76A9"/>
    <w:rsid w:val="006B008B"/>
    <w:rsid w:val="006B115E"/>
    <w:rsid w:val="006B272C"/>
    <w:rsid w:val="006B3167"/>
    <w:rsid w:val="006B341F"/>
    <w:rsid w:val="006B597A"/>
    <w:rsid w:val="006B7070"/>
    <w:rsid w:val="006B7BFA"/>
    <w:rsid w:val="006C11DC"/>
    <w:rsid w:val="006C2DFC"/>
    <w:rsid w:val="006C66DF"/>
    <w:rsid w:val="006C7BF4"/>
    <w:rsid w:val="006D06AD"/>
    <w:rsid w:val="006D0762"/>
    <w:rsid w:val="006D0936"/>
    <w:rsid w:val="006D0BFD"/>
    <w:rsid w:val="006D37DF"/>
    <w:rsid w:val="006D4144"/>
    <w:rsid w:val="006D41FB"/>
    <w:rsid w:val="006D59C3"/>
    <w:rsid w:val="006D66DF"/>
    <w:rsid w:val="006D67E0"/>
    <w:rsid w:val="006E16BB"/>
    <w:rsid w:val="006E20E9"/>
    <w:rsid w:val="006E241D"/>
    <w:rsid w:val="006E3DE8"/>
    <w:rsid w:val="006E4951"/>
    <w:rsid w:val="006E4EF7"/>
    <w:rsid w:val="006E5822"/>
    <w:rsid w:val="006E66DF"/>
    <w:rsid w:val="006E7444"/>
    <w:rsid w:val="006F036D"/>
    <w:rsid w:val="006F2BB7"/>
    <w:rsid w:val="006F2BEB"/>
    <w:rsid w:val="006F35C0"/>
    <w:rsid w:val="006F3CDD"/>
    <w:rsid w:val="006F65A6"/>
    <w:rsid w:val="006F6A35"/>
    <w:rsid w:val="006F6BCC"/>
    <w:rsid w:val="006F779D"/>
    <w:rsid w:val="00701A27"/>
    <w:rsid w:val="00701C45"/>
    <w:rsid w:val="007042AA"/>
    <w:rsid w:val="00704E73"/>
    <w:rsid w:val="0070535D"/>
    <w:rsid w:val="0070587F"/>
    <w:rsid w:val="00710122"/>
    <w:rsid w:val="007114D7"/>
    <w:rsid w:val="007129BD"/>
    <w:rsid w:val="0071310B"/>
    <w:rsid w:val="007142BA"/>
    <w:rsid w:val="0071451C"/>
    <w:rsid w:val="00714AA5"/>
    <w:rsid w:val="00715D95"/>
    <w:rsid w:val="0071716E"/>
    <w:rsid w:val="00720028"/>
    <w:rsid w:val="00721372"/>
    <w:rsid w:val="007221B6"/>
    <w:rsid w:val="00722E59"/>
    <w:rsid w:val="00723479"/>
    <w:rsid w:val="00723A96"/>
    <w:rsid w:val="00724821"/>
    <w:rsid w:val="00724E17"/>
    <w:rsid w:val="00726BE6"/>
    <w:rsid w:val="00727E2E"/>
    <w:rsid w:val="007315B5"/>
    <w:rsid w:val="00731831"/>
    <w:rsid w:val="00733874"/>
    <w:rsid w:val="00733FB8"/>
    <w:rsid w:val="00734C9F"/>
    <w:rsid w:val="007366E9"/>
    <w:rsid w:val="00736AB1"/>
    <w:rsid w:val="00737612"/>
    <w:rsid w:val="00741A16"/>
    <w:rsid w:val="00741C4B"/>
    <w:rsid w:val="00742439"/>
    <w:rsid w:val="00742791"/>
    <w:rsid w:val="00743EC2"/>
    <w:rsid w:val="00744599"/>
    <w:rsid w:val="00745644"/>
    <w:rsid w:val="00747B8D"/>
    <w:rsid w:val="00750CC7"/>
    <w:rsid w:val="00754656"/>
    <w:rsid w:val="007546F8"/>
    <w:rsid w:val="007571CC"/>
    <w:rsid w:val="00757D5F"/>
    <w:rsid w:val="00760AE3"/>
    <w:rsid w:val="0076175E"/>
    <w:rsid w:val="00762A40"/>
    <w:rsid w:val="00763B05"/>
    <w:rsid w:val="00764C0A"/>
    <w:rsid w:val="007652CE"/>
    <w:rsid w:val="007660A2"/>
    <w:rsid w:val="00766130"/>
    <w:rsid w:val="00766F6C"/>
    <w:rsid w:val="0077233C"/>
    <w:rsid w:val="007724D6"/>
    <w:rsid w:val="00773139"/>
    <w:rsid w:val="007747DC"/>
    <w:rsid w:val="00774D15"/>
    <w:rsid w:val="00776389"/>
    <w:rsid w:val="00776C7A"/>
    <w:rsid w:val="00777388"/>
    <w:rsid w:val="00781717"/>
    <w:rsid w:val="007820F5"/>
    <w:rsid w:val="00782C1D"/>
    <w:rsid w:val="00782C99"/>
    <w:rsid w:val="00784408"/>
    <w:rsid w:val="007849ED"/>
    <w:rsid w:val="00784AE2"/>
    <w:rsid w:val="0078502C"/>
    <w:rsid w:val="00785150"/>
    <w:rsid w:val="0078546A"/>
    <w:rsid w:val="007859D0"/>
    <w:rsid w:val="00785E73"/>
    <w:rsid w:val="00786FF5"/>
    <w:rsid w:val="00787A4A"/>
    <w:rsid w:val="00787E2A"/>
    <w:rsid w:val="00790BCB"/>
    <w:rsid w:val="007917A6"/>
    <w:rsid w:val="007949F1"/>
    <w:rsid w:val="00794A0A"/>
    <w:rsid w:val="00795A99"/>
    <w:rsid w:val="00796AA9"/>
    <w:rsid w:val="00797E69"/>
    <w:rsid w:val="007A1575"/>
    <w:rsid w:val="007A15CA"/>
    <w:rsid w:val="007A18CC"/>
    <w:rsid w:val="007A3B48"/>
    <w:rsid w:val="007A5050"/>
    <w:rsid w:val="007A66EC"/>
    <w:rsid w:val="007A6A63"/>
    <w:rsid w:val="007A72C5"/>
    <w:rsid w:val="007B0DB7"/>
    <w:rsid w:val="007B269F"/>
    <w:rsid w:val="007B2CC9"/>
    <w:rsid w:val="007B3C77"/>
    <w:rsid w:val="007B4AF4"/>
    <w:rsid w:val="007B652C"/>
    <w:rsid w:val="007B6CA2"/>
    <w:rsid w:val="007B7831"/>
    <w:rsid w:val="007B7CAC"/>
    <w:rsid w:val="007C08AD"/>
    <w:rsid w:val="007C08C3"/>
    <w:rsid w:val="007C1653"/>
    <w:rsid w:val="007C2B7A"/>
    <w:rsid w:val="007C3EE9"/>
    <w:rsid w:val="007C45C0"/>
    <w:rsid w:val="007C476C"/>
    <w:rsid w:val="007C5120"/>
    <w:rsid w:val="007D21F9"/>
    <w:rsid w:val="007D22A1"/>
    <w:rsid w:val="007D4BAD"/>
    <w:rsid w:val="007D5908"/>
    <w:rsid w:val="007D599D"/>
    <w:rsid w:val="007D5F04"/>
    <w:rsid w:val="007D653A"/>
    <w:rsid w:val="007D679C"/>
    <w:rsid w:val="007E04E5"/>
    <w:rsid w:val="007E09BB"/>
    <w:rsid w:val="007E14CD"/>
    <w:rsid w:val="007E1E68"/>
    <w:rsid w:val="007E3585"/>
    <w:rsid w:val="007E48E4"/>
    <w:rsid w:val="007E5741"/>
    <w:rsid w:val="007E6419"/>
    <w:rsid w:val="007E6832"/>
    <w:rsid w:val="007E7550"/>
    <w:rsid w:val="007E7959"/>
    <w:rsid w:val="007F037A"/>
    <w:rsid w:val="007F0C94"/>
    <w:rsid w:val="007F19C6"/>
    <w:rsid w:val="007F4939"/>
    <w:rsid w:val="007F5AFE"/>
    <w:rsid w:val="007F5F0D"/>
    <w:rsid w:val="007F636D"/>
    <w:rsid w:val="00801C13"/>
    <w:rsid w:val="00801FBA"/>
    <w:rsid w:val="00803232"/>
    <w:rsid w:val="00803E3D"/>
    <w:rsid w:val="0080406F"/>
    <w:rsid w:val="0080511B"/>
    <w:rsid w:val="00810A4F"/>
    <w:rsid w:val="00810C31"/>
    <w:rsid w:val="00810F58"/>
    <w:rsid w:val="00812A74"/>
    <w:rsid w:val="0081411A"/>
    <w:rsid w:val="00815B3D"/>
    <w:rsid w:val="00816DD9"/>
    <w:rsid w:val="00817800"/>
    <w:rsid w:val="00817A00"/>
    <w:rsid w:val="008203DE"/>
    <w:rsid w:val="00821923"/>
    <w:rsid w:val="0082197E"/>
    <w:rsid w:val="00821A2E"/>
    <w:rsid w:val="00822C6C"/>
    <w:rsid w:val="0082343C"/>
    <w:rsid w:val="0082432F"/>
    <w:rsid w:val="00824D4F"/>
    <w:rsid w:val="008251E2"/>
    <w:rsid w:val="00827245"/>
    <w:rsid w:val="00830C4C"/>
    <w:rsid w:val="00830E35"/>
    <w:rsid w:val="00830E6C"/>
    <w:rsid w:val="008324DA"/>
    <w:rsid w:val="00834A5F"/>
    <w:rsid w:val="00836170"/>
    <w:rsid w:val="00840335"/>
    <w:rsid w:val="0084118A"/>
    <w:rsid w:val="0084179C"/>
    <w:rsid w:val="00842BCD"/>
    <w:rsid w:val="00843517"/>
    <w:rsid w:val="008436DF"/>
    <w:rsid w:val="008446E2"/>
    <w:rsid w:val="008448DF"/>
    <w:rsid w:val="00844B99"/>
    <w:rsid w:val="00844D70"/>
    <w:rsid w:val="00845792"/>
    <w:rsid w:val="00845814"/>
    <w:rsid w:val="00847ED6"/>
    <w:rsid w:val="00852146"/>
    <w:rsid w:val="008534E4"/>
    <w:rsid w:val="00854D5F"/>
    <w:rsid w:val="00855ABA"/>
    <w:rsid w:val="00855FF3"/>
    <w:rsid w:val="00856ABC"/>
    <w:rsid w:val="00857811"/>
    <w:rsid w:val="00857D92"/>
    <w:rsid w:val="008605B9"/>
    <w:rsid w:val="00861927"/>
    <w:rsid w:val="00861CF4"/>
    <w:rsid w:val="00865A37"/>
    <w:rsid w:val="00865D39"/>
    <w:rsid w:val="00870920"/>
    <w:rsid w:val="00870CC2"/>
    <w:rsid w:val="00870ED4"/>
    <w:rsid w:val="008715CE"/>
    <w:rsid w:val="008715FB"/>
    <w:rsid w:val="00871909"/>
    <w:rsid w:val="00872ACD"/>
    <w:rsid w:val="0087302E"/>
    <w:rsid w:val="00873421"/>
    <w:rsid w:val="00873E3B"/>
    <w:rsid w:val="00877167"/>
    <w:rsid w:val="0088022C"/>
    <w:rsid w:val="00883E29"/>
    <w:rsid w:val="008840DC"/>
    <w:rsid w:val="00884D6F"/>
    <w:rsid w:val="00886A82"/>
    <w:rsid w:val="00890BAD"/>
    <w:rsid w:val="00892502"/>
    <w:rsid w:val="00892EEB"/>
    <w:rsid w:val="00892FC1"/>
    <w:rsid w:val="00893904"/>
    <w:rsid w:val="00895141"/>
    <w:rsid w:val="008951C8"/>
    <w:rsid w:val="008952D3"/>
    <w:rsid w:val="00896A3C"/>
    <w:rsid w:val="0089712E"/>
    <w:rsid w:val="00897454"/>
    <w:rsid w:val="00897BE0"/>
    <w:rsid w:val="008A00CF"/>
    <w:rsid w:val="008A08E5"/>
    <w:rsid w:val="008A0E2A"/>
    <w:rsid w:val="008A0F20"/>
    <w:rsid w:val="008A299C"/>
    <w:rsid w:val="008A410E"/>
    <w:rsid w:val="008A5307"/>
    <w:rsid w:val="008A5A39"/>
    <w:rsid w:val="008A5AFC"/>
    <w:rsid w:val="008A670B"/>
    <w:rsid w:val="008A67B3"/>
    <w:rsid w:val="008A7CF4"/>
    <w:rsid w:val="008A7F86"/>
    <w:rsid w:val="008B099A"/>
    <w:rsid w:val="008B0CCF"/>
    <w:rsid w:val="008B1016"/>
    <w:rsid w:val="008B2371"/>
    <w:rsid w:val="008B2480"/>
    <w:rsid w:val="008B29C6"/>
    <w:rsid w:val="008B29ED"/>
    <w:rsid w:val="008B438C"/>
    <w:rsid w:val="008B7930"/>
    <w:rsid w:val="008C029E"/>
    <w:rsid w:val="008C11F8"/>
    <w:rsid w:val="008C130B"/>
    <w:rsid w:val="008C1374"/>
    <w:rsid w:val="008C1EAD"/>
    <w:rsid w:val="008C268D"/>
    <w:rsid w:val="008C2E30"/>
    <w:rsid w:val="008C55D0"/>
    <w:rsid w:val="008C5EF5"/>
    <w:rsid w:val="008C6C76"/>
    <w:rsid w:val="008C783A"/>
    <w:rsid w:val="008D151C"/>
    <w:rsid w:val="008D2C77"/>
    <w:rsid w:val="008D2FAB"/>
    <w:rsid w:val="008D32F2"/>
    <w:rsid w:val="008D36AE"/>
    <w:rsid w:val="008D3D6B"/>
    <w:rsid w:val="008D6204"/>
    <w:rsid w:val="008D673B"/>
    <w:rsid w:val="008D7014"/>
    <w:rsid w:val="008E0ABA"/>
    <w:rsid w:val="008E1080"/>
    <w:rsid w:val="008E3EDC"/>
    <w:rsid w:val="008E495D"/>
    <w:rsid w:val="008E51AB"/>
    <w:rsid w:val="008E54FF"/>
    <w:rsid w:val="008E702E"/>
    <w:rsid w:val="008E7118"/>
    <w:rsid w:val="008E7226"/>
    <w:rsid w:val="008E7871"/>
    <w:rsid w:val="008E7C6B"/>
    <w:rsid w:val="008F0AF8"/>
    <w:rsid w:val="008F0E1E"/>
    <w:rsid w:val="008F17E1"/>
    <w:rsid w:val="008F2E45"/>
    <w:rsid w:val="008F3A15"/>
    <w:rsid w:val="008F498F"/>
    <w:rsid w:val="008F49E5"/>
    <w:rsid w:val="008F5EEE"/>
    <w:rsid w:val="008F5FAA"/>
    <w:rsid w:val="008F6642"/>
    <w:rsid w:val="008F6FC2"/>
    <w:rsid w:val="008F7644"/>
    <w:rsid w:val="00901F00"/>
    <w:rsid w:val="00903DD2"/>
    <w:rsid w:val="0090539A"/>
    <w:rsid w:val="0090550D"/>
    <w:rsid w:val="00906F83"/>
    <w:rsid w:val="00907BDB"/>
    <w:rsid w:val="00907F66"/>
    <w:rsid w:val="009111E1"/>
    <w:rsid w:val="0091778A"/>
    <w:rsid w:val="00917F09"/>
    <w:rsid w:val="00925132"/>
    <w:rsid w:val="00925CBB"/>
    <w:rsid w:val="0092659D"/>
    <w:rsid w:val="00926892"/>
    <w:rsid w:val="00927475"/>
    <w:rsid w:val="0093091D"/>
    <w:rsid w:val="00932D08"/>
    <w:rsid w:val="00933444"/>
    <w:rsid w:val="0093505F"/>
    <w:rsid w:val="00937AF8"/>
    <w:rsid w:val="00937DE2"/>
    <w:rsid w:val="00944BA9"/>
    <w:rsid w:val="00944E1A"/>
    <w:rsid w:val="009468A7"/>
    <w:rsid w:val="00947935"/>
    <w:rsid w:val="00950279"/>
    <w:rsid w:val="009505C9"/>
    <w:rsid w:val="00951B08"/>
    <w:rsid w:val="00952445"/>
    <w:rsid w:val="009526E3"/>
    <w:rsid w:val="00952F86"/>
    <w:rsid w:val="009533FA"/>
    <w:rsid w:val="00954B98"/>
    <w:rsid w:val="00954C7B"/>
    <w:rsid w:val="00954ECA"/>
    <w:rsid w:val="00955196"/>
    <w:rsid w:val="00956ACE"/>
    <w:rsid w:val="00960011"/>
    <w:rsid w:val="009615BE"/>
    <w:rsid w:val="009619BA"/>
    <w:rsid w:val="00961D8E"/>
    <w:rsid w:val="00962999"/>
    <w:rsid w:val="00962FF5"/>
    <w:rsid w:val="00963EF5"/>
    <w:rsid w:val="00964282"/>
    <w:rsid w:val="00966A6C"/>
    <w:rsid w:val="00966A74"/>
    <w:rsid w:val="00967C73"/>
    <w:rsid w:val="00967ED1"/>
    <w:rsid w:val="00970166"/>
    <w:rsid w:val="009704E3"/>
    <w:rsid w:val="009714C9"/>
    <w:rsid w:val="00971B4C"/>
    <w:rsid w:val="00971DA9"/>
    <w:rsid w:val="009745E6"/>
    <w:rsid w:val="00974E9F"/>
    <w:rsid w:val="00975638"/>
    <w:rsid w:val="009764EC"/>
    <w:rsid w:val="009804FE"/>
    <w:rsid w:val="009815E9"/>
    <w:rsid w:val="0098216F"/>
    <w:rsid w:val="00983335"/>
    <w:rsid w:val="00983479"/>
    <w:rsid w:val="00983F58"/>
    <w:rsid w:val="00984645"/>
    <w:rsid w:val="00984649"/>
    <w:rsid w:val="009848B9"/>
    <w:rsid w:val="00985A80"/>
    <w:rsid w:val="009863F5"/>
    <w:rsid w:val="00986736"/>
    <w:rsid w:val="00986ACB"/>
    <w:rsid w:val="00987D8A"/>
    <w:rsid w:val="009928D3"/>
    <w:rsid w:val="00992C52"/>
    <w:rsid w:val="009939C3"/>
    <w:rsid w:val="00994ECF"/>
    <w:rsid w:val="0099639A"/>
    <w:rsid w:val="00996EFC"/>
    <w:rsid w:val="00997755"/>
    <w:rsid w:val="009A1491"/>
    <w:rsid w:val="009A191C"/>
    <w:rsid w:val="009A22F3"/>
    <w:rsid w:val="009A2AA5"/>
    <w:rsid w:val="009A4B9D"/>
    <w:rsid w:val="009A5500"/>
    <w:rsid w:val="009A575D"/>
    <w:rsid w:val="009A5AE8"/>
    <w:rsid w:val="009A6735"/>
    <w:rsid w:val="009A677F"/>
    <w:rsid w:val="009A734A"/>
    <w:rsid w:val="009A7F57"/>
    <w:rsid w:val="009B10A8"/>
    <w:rsid w:val="009B1A28"/>
    <w:rsid w:val="009B2DBE"/>
    <w:rsid w:val="009B64BC"/>
    <w:rsid w:val="009B7030"/>
    <w:rsid w:val="009C01E8"/>
    <w:rsid w:val="009C02C6"/>
    <w:rsid w:val="009C02D8"/>
    <w:rsid w:val="009C361C"/>
    <w:rsid w:val="009C395E"/>
    <w:rsid w:val="009C46F8"/>
    <w:rsid w:val="009C4961"/>
    <w:rsid w:val="009C6D23"/>
    <w:rsid w:val="009C6DB9"/>
    <w:rsid w:val="009C7031"/>
    <w:rsid w:val="009C78DE"/>
    <w:rsid w:val="009D095E"/>
    <w:rsid w:val="009D0CEF"/>
    <w:rsid w:val="009D1496"/>
    <w:rsid w:val="009D19A8"/>
    <w:rsid w:val="009D2E33"/>
    <w:rsid w:val="009D407A"/>
    <w:rsid w:val="009D52F0"/>
    <w:rsid w:val="009D7053"/>
    <w:rsid w:val="009D7F44"/>
    <w:rsid w:val="009E1684"/>
    <w:rsid w:val="009E343A"/>
    <w:rsid w:val="009E4086"/>
    <w:rsid w:val="009E451B"/>
    <w:rsid w:val="009E65F7"/>
    <w:rsid w:val="009E6987"/>
    <w:rsid w:val="009E6E0A"/>
    <w:rsid w:val="009E7AD2"/>
    <w:rsid w:val="009F007E"/>
    <w:rsid w:val="009F16BB"/>
    <w:rsid w:val="009F1836"/>
    <w:rsid w:val="009F28C0"/>
    <w:rsid w:val="009F7820"/>
    <w:rsid w:val="00A01547"/>
    <w:rsid w:val="00A01AFE"/>
    <w:rsid w:val="00A02889"/>
    <w:rsid w:val="00A0291C"/>
    <w:rsid w:val="00A03F9B"/>
    <w:rsid w:val="00A0711C"/>
    <w:rsid w:val="00A07615"/>
    <w:rsid w:val="00A0796F"/>
    <w:rsid w:val="00A07A0B"/>
    <w:rsid w:val="00A07C8C"/>
    <w:rsid w:val="00A1011F"/>
    <w:rsid w:val="00A10A97"/>
    <w:rsid w:val="00A13A67"/>
    <w:rsid w:val="00A1454D"/>
    <w:rsid w:val="00A14F72"/>
    <w:rsid w:val="00A1630E"/>
    <w:rsid w:val="00A21506"/>
    <w:rsid w:val="00A23127"/>
    <w:rsid w:val="00A23808"/>
    <w:rsid w:val="00A248C0"/>
    <w:rsid w:val="00A24D89"/>
    <w:rsid w:val="00A27869"/>
    <w:rsid w:val="00A30474"/>
    <w:rsid w:val="00A30EBE"/>
    <w:rsid w:val="00A31EDA"/>
    <w:rsid w:val="00A320A9"/>
    <w:rsid w:val="00A331C4"/>
    <w:rsid w:val="00A34218"/>
    <w:rsid w:val="00A379E2"/>
    <w:rsid w:val="00A405DF"/>
    <w:rsid w:val="00A43407"/>
    <w:rsid w:val="00A43F97"/>
    <w:rsid w:val="00A4414B"/>
    <w:rsid w:val="00A443DC"/>
    <w:rsid w:val="00A46369"/>
    <w:rsid w:val="00A4644C"/>
    <w:rsid w:val="00A4700C"/>
    <w:rsid w:val="00A504EC"/>
    <w:rsid w:val="00A507FB"/>
    <w:rsid w:val="00A51143"/>
    <w:rsid w:val="00A51F6D"/>
    <w:rsid w:val="00A52693"/>
    <w:rsid w:val="00A52DA6"/>
    <w:rsid w:val="00A535BD"/>
    <w:rsid w:val="00A53DAC"/>
    <w:rsid w:val="00A563B8"/>
    <w:rsid w:val="00A56835"/>
    <w:rsid w:val="00A56A9A"/>
    <w:rsid w:val="00A56F6A"/>
    <w:rsid w:val="00A5775B"/>
    <w:rsid w:val="00A603DA"/>
    <w:rsid w:val="00A60BAD"/>
    <w:rsid w:val="00A60DC8"/>
    <w:rsid w:val="00A611B3"/>
    <w:rsid w:val="00A640E4"/>
    <w:rsid w:val="00A6433E"/>
    <w:rsid w:val="00A651CF"/>
    <w:rsid w:val="00A652E9"/>
    <w:rsid w:val="00A66BAB"/>
    <w:rsid w:val="00A676B4"/>
    <w:rsid w:val="00A678F7"/>
    <w:rsid w:val="00A714FF"/>
    <w:rsid w:val="00A7414A"/>
    <w:rsid w:val="00A74752"/>
    <w:rsid w:val="00A76C2E"/>
    <w:rsid w:val="00A8061B"/>
    <w:rsid w:val="00A81229"/>
    <w:rsid w:val="00A815BF"/>
    <w:rsid w:val="00A82AB6"/>
    <w:rsid w:val="00A8379E"/>
    <w:rsid w:val="00A85656"/>
    <w:rsid w:val="00A85BB4"/>
    <w:rsid w:val="00A86ACD"/>
    <w:rsid w:val="00A87BD0"/>
    <w:rsid w:val="00A9135D"/>
    <w:rsid w:val="00A91A52"/>
    <w:rsid w:val="00A959AD"/>
    <w:rsid w:val="00A95CEA"/>
    <w:rsid w:val="00A972C9"/>
    <w:rsid w:val="00AA103C"/>
    <w:rsid w:val="00AA33A9"/>
    <w:rsid w:val="00AA3CA4"/>
    <w:rsid w:val="00AA46BC"/>
    <w:rsid w:val="00AA4A94"/>
    <w:rsid w:val="00AA5AD8"/>
    <w:rsid w:val="00AA682C"/>
    <w:rsid w:val="00AA7578"/>
    <w:rsid w:val="00AA7CE6"/>
    <w:rsid w:val="00AB1251"/>
    <w:rsid w:val="00AB2492"/>
    <w:rsid w:val="00AB2C4F"/>
    <w:rsid w:val="00AB34D3"/>
    <w:rsid w:val="00AB4348"/>
    <w:rsid w:val="00AB4657"/>
    <w:rsid w:val="00AC15EC"/>
    <w:rsid w:val="00AC1B50"/>
    <w:rsid w:val="00AC35A7"/>
    <w:rsid w:val="00AC3617"/>
    <w:rsid w:val="00AC3DEC"/>
    <w:rsid w:val="00AC70D0"/>
    <w:rsid w:val="00AC7705"/>
    <w:rsid w:val="00AD0CE1"/>
    <w:rsid w:val="00AD3ADC"/>
    <w:rsid w:val="00AD4F4A"/>
    <w:rsid w:val="00AD5A55"/>
    <w:rsid w:val="00AD63C6"/>
    <w:rsid w:val="00AD6624"/>
    <w:rsid w:val="00AD67C2"/>
    <w:rsid w:val="00AD7724"/>
    <w:rsid w:val="00AD7802"/>
    <w:rsid w:val="00AE0360"/>
    <w:rsid w:val="00AE045E"/>
    <w:rsid w:val="00AE1183"/>
    <w:rsid w:val="00AE1BD0"/>
    <w:rsid w:val="00AE2963"/>
    <w:rsid w:val="00AE2A04"/>
    <w:rsid w:val="00AE40CF"/>
    <w:rsid w:val="00AE6C6E"/>
    <w:rsid w:val="00AE7CFB"/>
    <w:rsid w:val="00AF025A"/>
    <w:rsid w:val="00AF0331"/>
    <w:rsid w:val="00AF0D01"/>
    <w:rsid w:val="00AF17C8"/>
    <w:rsid w:val="00AF218A"/>
    <w:rsid w:val="00AF2238"/>
    <w:rsid w:val="00AF2D94"/>
    <w:rsid w:val="00AF36B6"/>
    <w:rsid w:val="00AF3A0C"/>
    <w:rsid w:val="00AF3A9E"/>
    <w:rsid w:val="00AF3AB4"/>
    <w:rsid w:val="00AF6211"/>
    <w:rsid w:val="00AF73BB"/>
    <w:rsid w:val="00B012A6"/>
    <w:rsid w:val="00B0197F"/>
    <w:rsid w:val="00B0207F"/>
    <w:rsid w:val="00B02625"/>
    <w:rsid w:val="00B027C6"/>
    <w:rsid w:val="00B037EA"/>
    <w:rsid w:val="00B045B3"/>
    <w:rsid w:val="00B0504B"/>
    <w:rsid w:val="00B052D1"/>
    <w:rsid w:val="00B072D6"/>
    <w:rsid w:val="00B100DE"/>
    <w:rsid w:val="00B10F4F"/>
    <w:rsid w:val="00B1134B"/>
    <w:rsid w:val="00B1140B"/>
    <w:rsid w:val="00B1225E"/>
    <w:rsid w:val="00B12AF1"/>
    <w:rsid w:val="00B13052"/>
    <w:rsid w:val="00B145A8"/>
    <w:rsid w:val="00B14667"/>
    <w:rsid w:val="00B14A8A"/>
    <w:rsid w:val="00B1516C"/>
    <w:rsid w:val="00B15888"/>
    <w:rsid w:val="00B16A96"/>
    <w:rsid w:val="00B16B11"/>
    <w:rsid w:val="00B17FB2"/>
    <w:rsid w:val="00B2010A"/>
    <w:rsid w:val="00B20584"/>
    <w:rsid w:val="00B20587"/>
    <w:rsid w:val="00B20AB0"/>
    <w:rsid w:val="00B22461"/>
    <w:rsid w:val="00B22C89"/>
    <w:rsid w:val="00B22D2D"/>
    <w:rsid w:val="00B232F8"/>
    <w:rsid w:val="00B23DD2"/>
    <w:rsid w:val="00B25564"/>
    <w:rsid w:val="00B25910"/>
    <w:rsid w:val="00B25F8A"/>
    <w:rsid w:val="00B27C67"/>
    <w:rsid w:val="00B300CC"/>
    <w:rsid w:val="00B33499"/>
    <w:rsid w:val="00B3634F"/>
    <w:rsid w:val="00B37C53"/>
    <w:rsid w:val="00B40296"/>
    <w:rsid w:val="00B41935"/>
    <w:rsid w:val="00B41A0D"/>
    <w:rsid w:val="00B41D15"/>
    <w:rsid w:val="00B41EC6"/>
    <w:rsid w:val="00B432FB"/>
    <w:rsid w:val="00B452B0"/>
    <w:rsid w:val="00B4534A"/>
    <w:rsid w:val="00B46C65"/>
    <w:rsid w:val="00B474A7"/>
    <w:rsid w:val="00B47BA9"/>
    <w:rsid w:val="00B51B33"/>
    <w:rsid w:val="00B51EBD"/>
    <w:rsid w:val="00B52250"/>
    <w:rsid w:val="00B52802"/>
    <w:rsid w:val="00B53504"/>
    <w:rsid w:val="00B56A50"/>
    <w:rsid w:val="00B56F9B"/>
    <w:rsid w:val="00B60B9A"/>
    <w:rsid w:val="00B61509"/>
    <w:rsid w:val="00B62452"/>
    <w:rsid w:val="00B633BD"/>
    <w:rsid w:val="00B633E6"/>
    <w:rsid w:val="00B64163"/>
    <w:rsid w:val="00B66A9B"/>
    <w:rsid w:val="00B700FC"/>
    <w:rsid w:val="00B72D0D"/>
    <w:rsid w:val="00B73D58"/>
    <w:rsid w:val="00B74C1C"/>
    <w:rsid w:val="00B75AB3"/>
    <w:rsid w:val="00B75DBB"/>
    <w:rsid w:val="00B76E64"/>
    <w:rsid w:val="00B774F0"/>
    <w:rsid w:val="00B77828"/>
    <w:rsid w:val="00B77E66"/>
    <w:rsid w:val="00B77EB7"/>
    <w:rsid w:val="00B80DE4"/>
    <w:rsid w:val="00B836EC"/>
    <w:rsid w:val="00B83E00"/>
    <w:rsid w:val="00B8403B"/>
    <w:rsid w:val="00B84705"/>
    <w:rsid w:val="00B87149"/>
    <w:rsid w:val="00B8749A"/>
    <w:rsid w:val="00B90330"/>
    <w:rsid w:val="00B90C0E"/>
    <w:rsid w:val="00B92AA1"/>
    <w:rsid w:val="00B93498"/>
    <w:rsid w:val="00B94C6D"/>
    <w:rsid w:val="00B962FB"/>
    <w:rsid w:val="00B96CA2"/>
    <w:rsid w:val="00BA176E"/>
    <w:rsid w:val="00BA2004"/>
    <w:rsid w:val="00BA203A"/>
    <w:rsid w:val="00BA34F2"/>
    <w:rsid w:val="00BA3B6D"/>
    <w:rsid w:val="00BA4145"/>
    <w:rsid w:val="00BB0082"/>
    <w:rsid w:val="00BB0212"/>
    <w:rsid w:val="00BB02B2"/>
    <w:rsid w:val="00BB159B"/>
    <w:rsid w:val="00BB185A"/>
    <w:rsid w:val="00BB33EC"/>
    <w:rsid w:val="00BB381E"/>
    <w:rsid w:val="00BB3CDA"/>
    <w:rsid w:val="00BB3F61"/>
    <w:rsid w:val="00BB4130"/>
    <w:rsid w:val="00BB4EFC"/>
    <w:rsid w:val="00BB6B79"/>
    <w:rsid w:val="00BC015F"/>
    <w:rsid w:val="00BC0335"/>
    <w:rsid w:val="00BC118F"/>
    <w:rsid w:val="00BC21DB"/>
    <w:rsid w:val="00BC2C37"/>
    <w:rsid w:val="00BC33B8"/>
    <w:rsid w:val="00BC3D33"/>
    <w:rsid w:val="00BC49CB"/>
    <w:rsid w:val="00BC5734"/>
    <w:rsid w:val="00BC6A70"/>
    <w:rsid w:val="00BC7E14"/>
    <w:rsid w:val="00BD00F2"/>
    <w:rsid w:val="00BD0CF2"/>
    <w:rsid w:val="00BD1512"/>
    <w:rsid w:val="00BD2341"/>
    <w:rsid w:val="00BD304F"/>
    <w:rsid w:val="00BD5AFD"/>
    <w:rsid w:val="00BD668D"/>
    <w:rsid w:val="00BD7BDF"/>
    <w:rsid w:val="00BD7BE7"/>
    <w:rsid w:val="00BD7DA2"/>
    <w:rsid w:val="00BD7E31"/>
    <w:rsid w:val="00BE0339"/>
    <w:rsid w:val="00BE152F"/>
    <w:rsid w:val="00BE16FF"/>
    <w:rsid w:val="00BE2E19"/>
    <w:rsid w:val="00BE49BF"/>
    <w:rsid w:val="00BE5485"/>
    <w:rsid w:val="00BE5934"/>
    <w:rsid w:val="00BE690F"/>
    <w:rsid w:val="00BF0A6D"/>
    <w:rsid w:val="00BF0F9A"/>
    <w:rsid w:val="00BF20A9"/>
    <w:rsid w:val="00BF73F1"/>
    <w:rsid w:val="00BF7922"/>
    <w:rsid w:val="00C004F0"/>
    <w:rsid w:val="00C0299A"/>
    <w:rsid w:val="00C02D57"/>
    <w:rsid w:val="00C038B8"/>
    <w:rsid w:val="00C03AAF"/>
    <w:rsid w:val="00C04E7A"/>
    <w:rsid w:val="00C05F7B"/>
    <w:rsid w:val="00C1002C"/>
    <w:rsid w:val="00C10790"/>
    <w:rsid w:val="00C1088C"/>
    <w:rsid w:val="00C115F6"/>
    <w:rsid w:val="00C1594A"/>
    <w:rsid w:val="00C15DF9"/>
    <w:rsid w:val="00C16FC4"/>
    <w:rsid w:val="00C175DF"/>
    <w:rsid w:val="00C20D2B"/>
    <w:rsid w:val="00C2250F"/>
    <w:rsid w:val="00C242E2"/>
    <w:rsid w:val="00C24560"/>
    <w:rsid w:val="00C2474D"/>
    <w:rsid w:val="00C257B7"/>
    <w:rsid w:val="00C27503"/>
    <w:rsid w:val="00C2790D"/>
    <w:rsid w:val="00C279BF"/>
    <w:rsid w:val="00C303FB"/>
    <w:rsid w:val="00C31DCF"/>
    <w:rsid w:val="00C33567"/>
    <w:rsid w:val="00C336B1"/>
    <w:rsid w:val="00C33E17"/>
    <w:rsid w:val="00C35850"/>
    <w:rsid w:val="00C35DA4"/>
    <w:rsid w:val="00C41605"/>
    <w:rsid w:val="00C416E9"/>
    <w:rsid w:val="00C4238D"/>
    <w:rsid w:val="00C42397"/>
    <w:rsid w:val="00C435AF"/>
    <w:rsid w:val="00C444D5"/>
    <w:rsid w:val="00C45499"/>
    <w:rsid w:val="00C45AF6"/>
    <w:rsid w:val="00C4628C"/>
    <w:rsid w:val="00C50A6A"/>
    <w:rsid w:val="00C51847"/>
    <w:rsid w:val="00C51C39"/>
    <w:rsid w:val="00C52000"/>
    <w:rsid w:val="00C522D2"/>
    <w:rsid w:val="00C53F5F"/>
    <w:rsid w:val="00C54E16"/>
    <w:rsid w:val="00C560AE"/>
    <w:rsid w:val="00C57C6E"/>
    <w:rsid w:val="00C6102D"/>
    <w:rsid w:val="00C617F2"/>
    <w:rsid w:val="00C61C18"/>
    <w:rsid w:val="00C627D7"/>
    <w:rsid w:val="00C62B25"/>
    <w:rsid w:val="00C62D58"/>
    <w:rsid w:val="00C62DEB"/>
    <w:rsid w:val="00C64EC5"/>
    <w:rsid w:val="00C64EFE"/>
    <w:rsid w:val="00C64F37"/>
    <w:rsid w:val="00C65383"/>
    <w:rsid w:val="00C65F86"/>
    <w:rsid w:val="00C669F7"/>
    <w:rsid w:val="00C66B73"/>
    <w:rsid w:val="00C67F95"/>
    <w:rsid w:val="00C70C44"/>
    <w:rsid w:val="00C71D5B"/>
    <w:rsid w:val="00C72CD6"/>
    <w:rsid w:val="00C73845"/>
    <w:rsid w:val="00C739A9"/>
    <w:rsid w:val="00C739BC"/>
    <w:rsid w:val="00C75DC0"/>
    <w:rsid w:val="00C774A7"/>
    <w:rsid w:val="00C81F5C"/>
    <w:rsid w:val="00C824A2"/>
    <w:rsid w:val="00C83BDB"/>
    <w:rsid w:val="00C845CF"/>
    <w:rsid w:val="00C86B92"/>
    <w:rsid w:val="00C87630"/>
    <w:rsid w:val="00C9054C"/>
    <w:rsid w:val="00C905CF"/>
    <w:rsid w:val="00C909A6"/>
    <w:rsid w:val="00C90D83"/>
    <w:rsid w:val="00C91A19"/>
    <w:rsid w:val="00C921A5"/>
    <w:rsid w:val="00C94B8F"/>
    <w:rsid w:val="00C952EF"/>
    <w:rsid w:val="00C957F1"/>
    <w:rsid w:val="00CA09CE"/>
    <w:rsid w:val="00CA365B"/>
    <w:rsid w:val="00CA457A"/>
    <w:rsid w:val="00CA5680"/>
    <w:rsid w:val="00CA6EBB"/>
    <w:rsid w:val="00CB030D"/>
    <w:rsid w:val="00CB3155"/>
    <w:rsid w:val="00CB3BF9"/>
    <w:rsid w:val="00CB4A93"/>
    <w:rsid w:val="00CB5136"/>
    <w:rsid w:val="00CB5CA6"/>
    <w:rsid w:val="00CB6EAB"/>
    <w:rsid w:val="00CC129C"/>
    <w:rsid w:val="00CC2466"/>
    <w:rsid w:val="00CC43AE"/>
    <w:rsid w:val="00CC516A"/>
    <w:rsid w:val="00CC5566"/>
    <w:rsid w:val="00CC7332"/>
    <w:rsid w:val="00CD0A20"/>
    <w:rsid w:val="00CD358A"/>
    <w:rsid w:val="00CD35AD"/>
    <w:rsid w:val="00CD3B64"/>
    <w:rsid w:val="00CD4261"/>
    <w:rsid w:val="00CD7F14"/>
    <w:rsid w:val="00CE0825"/>
    <w:rsid w:val="00CE15B3"/>
    <w:rsid w:val="00CE2E47"/>
    <w:rsid w:val="00CE433C"/>
    <w:rsid w:val="00CE4BD4"/>
    <w:rsid w:val="00CE4F2B"/>
    <w:rsid w:val="00CE5AB2"/>
    <w:rsid w:val="00CE62EA"/>
    <w:rsid w:val="00CE739D"/>
    <w:rsid w:val="00CE7FAF"/>
    <w:rsid w:val="00CF04ED"/>
    <w:rsid w:val="00CF0EFD"/>
    <w:rsid w:val="00CF11BB"/>
    <w:rsid w:val="00CF2013"/>
    <w:rsid w:val="00CF2D57"/>
    <w:rsid w:val="00CF3623"/>
    <w:rsid w:val="00CF4B82"/>
    <w:rsid w:val="00CF4CC9"/>
    <w:rsid w:val="00CF5C6B"/>
    <w:rsid w:val="00CF63D3"/>
    <w:rsid w:val="00D01652"/>
    <w:rsid w:val="00D05CDE"/>
    <w:rsid w:val="00D07695"/>
    <w:rsid w:val="00D07DA2"/>
    <w:rsid w:val="00D12689"/>
    <w:rsid w:val="00D12974"/>
    <w:rsid w:val="00D12F9B"/>
    <w:rsid w:val="00D14009"/>
    <w:rsid w:val="00D1496C"/>
    <w:rsid w:val="00D15CC0"/>
    <w:rsid w:val="00D167A2"/>
    <w:rsid w:val="00D17AFF"/>
    <w:rsid w:val="00D218F2"/>
    <w:rsid w:val="00D219FF"/>
    <w:rsid w:val="00D21D82"/>
    <w:rsid w:val="00D22D48"/>
    <w:rsid w:val="00D23109"/>
    <w:rsid w:val="00D23F47"/>
    <w:rsid w:val="00D26876"/>
    <w:rsid w:val="00D26F75"/>
    <w:rsid w:val="00D2704A"/>
    <w:rsid w:val="00D3048E"/>
    <w:rsid w:val="00D31378"/>
    <w:rsid w:val="00D33018"/>
    <w:rsid w:val="00D335B9"/>
    <w:rsid w:val="00D33F3B"/>
    <w:rsid w:val="00D343CC"/>
    <w:rsid w:val="00D34D4B"/>
    <w:rsid w:val="00D35D81"/>
    <w:rsid w:val="00D3699E"/>
    <w:rsid w:val="00D4017F"/>
    <w:rsid w:val="00D402EF"/>
    <w:rsid w:val="00D40BF3"/>
    <w:rsid w:val="00D41815"/>
    <w:rsid w:val="00D41F24"/>
    <w:rsid w:val="00D429B8"/>
    <w:rsid w:val="00D42A86"/>
    <w:rsid w:val="00D42F4C"/>
    <w:rsid w:val="00D44F34"/>
    <w:rsid w:val="00D45E3D"/>
    <w:rsid w:val="00D46538"/>
    <w:rsid w:val="00D47F03"/>
    <w:rsid w:val="00D50872"/>
    <w:rsid w:val="00D509BC"/>
    <w:rsid w:val="00D515F2"/>
    <w:rsid w:val="00D523E1"/>
    <w:rsid w:val="00D5309E"/>
    <w:rsid w:val="00D53183"/>
    <w:rsid w:val="00D54C5C"/>
    <w:rsid w:val="00D54D13"/>
    <w:rsid w:val="00D55D07"/>
    <w:rsid w:val="00D601EF"/>
    <w:rsid w:val="00D62C42"/>
    <w:rsid w:val="00D64177"/>
    <w:rsid w:val="00D6711E"/>
    <w:rsid w:val="00D70E56"/>
    <w:rsid w:val="00D7267F"/>
    <w:rsid w:val="00D73215"/>
    <w:rsid w:val="00D743A5"/>
    <w:rsid w:val="00D74BDD"/>
    <w:rsid w:val="00D757C9"/>
    <w:rsid w:val="00D76027"/>
    <w:rsid w:val="00D76799"/>
    <w:rsid w:val="00D774B5"/>
    <w:rsid w:val="00D82025"/>
    <w:rsid w:val="00D83ACA"/>
    <w:rsid w:val="00D84A81"/>
    <w:rsid w:val="00D857C9"/>
    <w:rsid w:val="00D870A4"/>
    <w:rsid w:val="00D872AF"/>
    <w:rsid w:val="00D90612"/>
    <w:rsid w:val="00D90798"/>
    <w:rsid w:val="00D908F6"/>
    <w:rsid w:val="00D92072"/>
    <w:rsid w:val="00D92AC3"/>
    <w:rsid w:val="00D92F7F"/>
    <w:rsid w:val="00D93737"/>
    <w:rsid w:val="00D948E6"/>
    <w:rsid w:val="00D9548D"/>
    <w:rsid w:val="00D95DCD"/>
    <w:rsid w:val="00D964C0"/>
    <w:rsid w:val="00D972DE"/>
    <w:rsid w:val="00DA0339"/>
    <w:rsid w:val="00DA2400"/>
    <w:rsid w:val="00DA25CD"/>
    <w:rsid w:val="00DA29B0"/>
    <w:rsid w:val="00DA359D"/>
    <w:rsid w:val="00DA4944"/>
    <w:rsid w:val="00DA57CA"/>
    <w:rsid w:val="00DB0DE7"/>
    <w:rsid w:val="00DB10A0"/>
    <w:rsid w:val="00DB1223"/>
    <w:rsid w:val="00DB16FF"/>
    <w:rsid w:val="00DB2155"/>
    <w:rsid w:val="00DB28A5"/>
    <w:rsid w:val="00DB29BA"/>
    <w:rsid w:val="00DB2ECF"/>
    <w:rsid w:val="00DB2F85"/>
    <w:rsid w:val="00DB30BA"/>
    <w:rsid w:val="00DB5A3D"/>
    <w:rsid w:val="00DB5C67"/>
    <w:rsid w:val="00DB61FA"/>
    <w:rsid w:val="00DB7271"/>
    <w:rsid w:val="00DB7C5F"/>
    <w:rsid w:val="00DC0CF2"/>
    <w:rsid w:val="00DC0EF3"/>
    <w:rsid w:val="00DC1412"/>
    <w:rsid w:val="00DC3A98"/>
    <w:rsid w:val="00DC4417"/>
    <w:rsid w:val="00DC503A"/>
    <w:rsid w:val="00DC5549"/>
    <w:rsid w:val="00DD13CF"/>
    <w:rsid w:val="00DD22FD"/>
    <w:rsid w:val="00DD2615"/>
    <w:rsid w:val="00DD3537"/>
    <w:rsid w:val="00DD4412"/>
    <w:rsid w:val="00DD638E"/>
    <w:rsid w:val="00DD6830"/>
    <w:rsid w:val="00DD7A3C"/>
    <w:rsid w:val="00DD7EDA"/>
    <w:rsid w:val="00DE0620"/>
    <w:rsid w:val="00DE23E4"/>
    <w:rsid w:val="00DE2E22"/>
    <w:rsid w:val="00DE3CFC"/>
    <w:rsid w:val="00DE5FA2"/>
    <w:rsid w:val="00DE7807"/>
    <w:rsid w:val="00DF104D"/>
    <w:rsid w:val="00DF31F8"/>
    <w:rsid w:val="00DF3A79"/>
    <w:rsid w:val="00DF3CE7"/>
    <w:rsid w:val="00DF4069"/>
    <w:rsid w:val="00DF4F83"/>
    <w:rsid w:val="00DF5197"/>
    <w:rsid w:val="00DF569C"/>
    <w:rsid w:val="00DF6E72"/>
    <w:rsid w:val="00DF783E"/>
    <w:rsid w:val="00DF7B4B"/>
    <w:rsid w:val="00DF7C48"/>
    <w:rsid w:val="00E020FC"/>
    <w:rsid w:val="00E03287"/>
    <w:rsid w:val="00E04D8F"/>
    <w:rsid w:val="00E059C2"/>
    <w:rsid w:val="00E05DD6"/>
    <w:rsid w:val="00E0617F"/>
    <w:rsid w:val="00E06555"/>
    <w:rsid w:val="00E065B9"/>
    <w:rsid w:val="00E10961"/>
    <w:rsid w:val="00E110BD"/>
    <w:rsid w:val="00E11DA7"/>
    <w:rsid w:val="00E1406B"/>
    <w:rsid w:val="00E16887"/>
    <w:rsid w:val="00E170D9"/>
    <w:rsid w:val="00E21184"/>
    <w:rsid w:val="00E21617"/>
    <w:rsid w:val="00E21BAF"/>
    <w:rsid w:val="00E2228F"/>
    <w:rsid w:val="00E2242A"/>
    <w:rsid w:val="00E22CAD"/>
    <w:rsid w:val="00E235A1"/>
    <w:rsid w:val="00E253A0"/>
    <w:rsid w:val="00E325E5"/>
    <w:rsid w:val="00E32A6C"/>
    <w:rsid w:val="00E32A95"/>
    <w:rsid w:val="00E3325D"/>
    <w:rsid w:val="00E33599"/>
    <w:rsid w:val="00E33D0A"/>
    <w:rsid w:val="00E33EC4"/>
    <w:rsid w:val="00E34DFC"/>
    <w:rsid w:val="00E3598E"/>
    <w:rsid w:val="00E37300"/>
    <w:rsid w:val="00E407AF"/>
    <w:rsid w:val="00E412EE"/>
    <w:rsid w:val="00E418B9"/>
    <w:rsid w:val="00E4232D"/>
    <w:rsid w:val="00E43647"/>
    <w:rsid w:val="00E4456E"/>
    <w:rsid w:val="00E4502B"/>
    <w:rsid w:val="00E464C7"/>
    <w:rsid w:val="00E46636"/>
    <w:rsid w:val="00E46992"/>
    <w:rsid w:val="00E46A9D"/>
    <w:rsid w:val="00E47792"/>
    <w:rsid w:val="00E50D8A"/>
    <w:rsid w:val="00E50DAC"/>
    <w:rsid w:val="00E51A18"/>
    <w:rsid w:val="00E51DC1"/>
    <w:rsid w:val="00E53D24"/>
    <w:rsid w:val="00E544DA"/>
    <w:rsid w:val="00E5508D"/>
    <w:rsid w:val="00E56E23"/>
    <w:rsid w:val="00E570B9"/>
    <w:rsid w:val="00E60471"/>
    <w:rsid w:val="00E60F7E"/>
    <w:rsid w:val="00E64CB5"/>
    <w:rsid w:val="00E64CE6"/>
    <w:rsid w:val="00E674D7"/>
    <w:rsid w:val="00E70B47"/>
    <w:rsid w:val="00E72D38"/>
    <w:rsid w:val="00E7380D"/>
    <w:rsid w:val="00E73FB5"/>
    <w:rsid w:val="00E75000"/>
    <w:rsid w:val="00E7517B"/>
    <w:rsid w:val="00E7595A"/>
    <w:rsid w:val="00E75D1B"/>
    <w:rsid w:val="00E763CB"/>
    <w:rsid w:val="00E76DDF"/>
    <w:rsid w:val="00E77087"/>
    <w:rsid w:val="00E82917"/>
    <w:rsid w:val="00E83C60"/>
    <w:rsid w:val="00E84629"/>
    <w:rsid w:val="00E846C8"/>
    <w:rsid w:val="00E84AB1"/>
    <w:rsid w:val="00E86100"/>
    <w:rsid w:val="00E869A6"/>
    <w:rsid w:val="00E86BFC"/>
    <w:rsid w:val="00E86EC6"/>
    <w:rsid w:val="00E92110"/>
    <w:rsid w:val="00E9280E"/>
    <w:rsid w:val="00E93BDA"/>
    <w:rsid w:val="00E94023"/>
    <w:rsid w:val="00E947FA"/>
    <w:rsid w:val="00E94CA5"/>
    <w:rsid w:val="00E9589A"/>
    <w:rsid w:val="00E95A4A"/>
    <w:rsid w:val="00E97C73"/>
    <w:rsid w:val="00EA02A4"/>
    <w:rsid w:val="00EA06EC"/>
    <w:rsid w:val="00EA18B6"/>
    <w:rsid w:val="00EA1DA0"/>
    <w:rsid w:val="00EA203A"/>
    <w:rsid w:val="00EA50EE"/>
    <w:rsid w:val="00EA5917"/>
    <w:rsid w:val="00EA6764"/>
    <w:rsid w:val="00EB0B65"/>
    <w:rsid w:val="00EB2722"/>
    <w:rsid w:val="00EB272B"/>
    <w:rsid w:val="00EB3A12"/>
    <w:rsid w:val="00EB3EF0"/>
    <w:rsid w:val="00EB4899"/>
    <w:rsid w:val="00EB5197"/>
    <w:rsid w:val="00EB555F"/>
    <w:rsid w:val="00EB7E16"/>
    <w:rsid w:val="00EB7F8C"/>
    <w:rsid w:val="00EC0AB4"/>
    <w:rsid w:val="00EC14D2"/>
    <w:rsid w:val="00EC15F2"/>
    <w:rsid w:val="00EC4290"/>
    <w:rsid w:val="00EC6718"/>
    <w:rsid w:val="00EC6D44"/>
    <w:rsid w:val="00ED0363"/>
    <w:rsid w:val="00ED10D4"/>
    <w:rsid w:val="00ED1EC7"/>
    <w:rsid w:val="00ED2B71"/>
    <w:rsid w:val="00ED2CEE"/>
    <w:rsid w:val="00ED34CF"/>
    <w:rsid w:val="00ED5A54"/>
    <w:rsid w:val="00ED5B60"/>
    <w:rsid w:val="00ED62EC"/>
    <w:rsid w:val="00ED6645"/>
    <w:rsid w:val="00EE1177"/>
    <w:rsid w:val="00EE19CB"/>
    <w:rsid w:val="00EE23B2"/>
    <w:rsid w:val="00EE3188"/>
    <w:rsid w:val="00EE357B"/>
    <w:rsid w:val="00EE44CB"/>
    <w:rsid w:val="00EE452D"/>
    <w:rsid w:val="00EE4C21"/>
    <w:rsid w:val="00EE59B7"/>
    <w:rsid w:val="00EE72D6"/>
    <w:rsid w:val="00EE7A55"/>
    <w:rsid w:val="00EE7FCF"/>
    <w:rsid w:val="00EF01C8"/>
    <w:rsid w:val="00EF0FBD"/>
    <w:rsid w:val="00EF1C90"/>
    <w:rsid w:val="00EF292B"/>
    <w:rsid w:val="00EF36E8"/>
    <w:rsid w:val="00EF5640"/>
    <w:rsid w:val="00EF5DF1"/>
    <w:rsid w:val="00EF6ECB"/>
    <w:rsid w:val="00EF7A54"/>
    <w:rsid w:val="00F01BF3"/>
    <w:rsid w:val="00F035B4"/>
    <w:rsid w:val="00F053E2"/>
    <w:rsid w:val="00F05409"/>
    <w:rsid w:val="00F058EF"/>
    <w:rsid w:val="00F0631A"/>
    <w:rsid w:val="00F07C08"/>
    <w:rsid w:val="00F10E6D"/>
    <w:rsid w:val="00F11C40"/>
    <w:rsid w:val="00F11D13"/>
    <w:rsid w:val="00F12F4F"/>
    <w:rsid w:val="00F13648"/>
    <w:rsid w:val="00F13890"/>
    <w:rsid w:val="00F13DB9"/>
    <w:rsid w:val="00F13E88"/>
    <w:rsid w:val="00F14252"/>
    <w:rsid w:val="00F14E8F"/>
    <w:rsid w:val="00F15534"/>
    <w:rsid w:val="00F15C64"/>
    <w:rsid w:val="00F15F89"/>
    <w:rsid w:val="00F1668F"/>
    <w:rsid w:val="00F169DA"/>
    <w:rsid w:val="00F178CA"/>
    <w:rsid w:val="00F221F0"/>
    <w:rsid w:val="00F224AA"/>
    <w:rsid w:val="00F22B02"/>
    <w:rsid w:val="00F2344E"/>
    <w:rsid w:val="00F23F06"/>
    <w:rsid w:val="00F2432C"/>
    <w:rsid w:val="00F26C22"/>
    <w:rsid w:val="00F26CEF"/>
    <w:rsid w:val="00F2748C"/>
    <w:rsid w:val="00F3018C"/>
    <w:rsid w:val="00F30257"/>
    <w:rsid w:val="00F310B2"/>
    <w:rsid w:val="00F32636"/>
    <w:rsid w:val="00F3264D"/>
    <w:rsid w:val="00F32C37"/>
    <w:rsid w:val="00F32D8A"/>
    <w:rsid w:val="00F33A34"/>
    <w:rsid w:val="00F34294"/>
    <w:rsid w:val="00F34EE9"/>
    <w:rsid w:val="00F352AB"/>
    <w:rsid w:val="00F37394"/>
    <w:rsid w:val="00F415A5"/>
    <w:rsid w:val="00F41782"/>
    <w:rsid w:val="00F42987"/>
    <w:rsid w:val="00F43835"/>
    <w:rsid w:val="00F4384A"/>
    <w:rsid w:val="00F43B65"/>
    <w:rsid w:val="00F45404"/>
    <w:rsid w:val="00F45B90"/>
    <w:rsid w:val="00F46AE8"/>
    <w:rsid w:val="00F47BD3"/>
    <w:rsid w:val="00F47C0B"/>
    <w:rsid w:val="00F514FB"/>
    <w:rsid w:val="00F52120"/>
    <w:rsid w:val="00F5228F"/>
    <w:rsid w:val="00F533E2"/>
    <w:rsid w:val="00F5375D"/>
    <w:rsid w:val="00F53CB1"/>
    <w:rsid w:val="00F54575"/>
    <w:rsid w:val="00F548A8"/>
    <w:rsid w:val="00F54AB2"/>
    <w:rsid w:val="00F5776D"/>
    <w:rsid w:val="00F605FB"/>
    <w:rsid w:val="00F612D7"/>
    <w:rsid w:val="00F6327C"/>
    <w:rsid w:val="00F64B8D"/>
    <w:rsid w:val="00F65951"/>
    <w:rsid w:val="00F67206"/>
    <w:rsid w:val="00F72BC2"/>
    <w:rsid w:val="00F73C4A"/>
    <w:rsid w:val="00F74209"/>
    <w:rsid w:val="00F74B80"/>
    <w:rsid w:val="00F75C88"/>
    <w:rsid w:val="00F76136"/>
    <w:rsid w:val="00F76BFA"/>
    <w:rsid w:val="00F76EBE"/>
    <w:rsid w:val="00F77313"/>
    <w:rsid w:val="00F80E88"/>
    <w:rsid w:val="00F814B0"/>
    <w:rsid w:val="00F82067"/>
    <w:rsid w:val="00F853A5"/>
    <w:rsid w:val="00F85C61"/>
    <w:rsid w:val="00F86461"/>
    <w:rsid w:val="00F87A2B"/>
    <w:rsid w:val="00F94A0A"/>
    <w:rsid w:val="00F963D9"/>
    <w:rsid w:val="00F968D2"/>
    <w:rsid w:val="00F97B55"/>
    <w:rsid w:val="00FA1185"/>
    <w:rsid w:val="00FA1FCE"/>
    <w:rsid w:val="00FA3056"/>
    <w:rsid w:val="00FA34D1"/>
    <w:rsid w:val="00FA4072"/>
    <w:rsid w:val="00FA4E21"/>
    <w:rsid w:val="00FA5729"/>
    <w:rsid w:val="00FA5FED"/>
    <w:rsid w:val="00FB0153"/>
    <w:rsid w:val="00FB0E9F"/>
    <w:rsid w:val="00FB1DCE"/>
    <w:rsid w:val="00FB26BD"/>
    <w:rsid w:val="00FB29BE"/>
    <w:rsid w:val="00FB4F16"/>
    <w:rsid w:val="00FB5D5F"/>
    <w:rsid w:val="00FB65FE"/>
    <w:rsid w:val="00FB6D5E"/>
    <w:rsid w:val="00FB7172"/>
    <w:rsid w:val="00FC01F9"/>
    <w:rsid w:val="00FC029D"/>
    <w:rsid w:val="00FC0C72"/>
    <w:rsid w:val="00FC129A"/>
    <w:rsid w:val="00FC1B9B"/>
    <w:rsid w:val="00FC3AD1"/>
    <w:rsid w:val="00FC6DBA"/>
    <w:rsid w:val="00FC7E26"/>
    <w:rsid w:val="00FD110E"/>
    <w:rsid w:val="00FD27D8"/>
    <w:rsid w:val="00FD3B33"/>
    <w:rsid w:val="00FD5C52"/>
    <w:rsid w:val="00FD747E"/>
    <w:rsid w:val="00FD7728"/>
    <w:rsid w:val="00FD77C3"/>
    <w:rsid w:val="00FE08A8"/>
    <w:rsid w:val="00FE0F51"/>
    <w:rsid w:val="00FE22E1"/>
    <w:rsid w:val="00FE5644"/>
    <w:rsid w:val="00FE7196"/>
    <w:rsid w:val="00FE74A7"/>
    <w:rsid w:val="00FE7774"/>
    <w:rsid w:val="00FF1C6E"/>
    <w:rsid w:val="00FF29AD"/>
    <w:rsid w:val="00FF2D40"/>
    <w:rsid w:val="00FF3D33"/>
    <w:rsid w:val="00FF40AF"/>
    <w:rsid w:val="00FF6DD3"/>
    <w:rsid w:val="00FF7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85B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149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uiPriority w:val="99"/>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F41782"/>
    <w:pPr>
      <w:widowControl/>
      <w:tabs>
        <w:tab w:val="left" w:pos="440"/>
        <w:tab w:val="right" w:leader="dot" w:pos="9350"/>
      </w:tabs>
      <w:autoSpaceDE/>
      <w:autoSpaceDN/>
      <w:adjustRightInd/>
      <w:spacing w:before="120"/>
    </w:pPr>
    <w:rPr>
      <w:bCs/>
      <w:noProof/>
      <w:sz w:val="24"/>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uiPriority w:val="99"/>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2630BE"/>
    <w:pPr>
      <w:tabs>
        <w:tab w:val="right" w:leader="dot" w:pos="9350"/>
      </w:tabs>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149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uiPriority w:val="99"/>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F41782"/>
    <w:pPr>
      <w:widowControl/>
      <w:tabs>
        <w:tab w:val="left" w:pos="440"/>
        <w:tab w:val="right" w:leader="dot" w:pos="9350"/>
      </w:tabs>
      <w:autoSpaceDE/>
      <w:autoSpaceDN/>
      <w:adjustRightInd/>
      <w:spacing w:before="120"/>
    </w:pPr>
    <w:rPr>
      <w:bCs/>
      <w:noProof/>
      <w:sz w:val="24"/>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uiPriority w:val="99"/>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2630BE"/>
    <w:pPr>
      <w:tabs>
        <w:tab w:val="right" w:leader="dot" w:pos="9350"/>
      </w:tabs>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7512">
      <w:bodyDiv w:val="1"/>
      <w:marLeft w:val="0"/>
      <w:marRight w:val="0"/>
      <w:marTop w:val="0"/>
      <w:marBottom w:val="0"/>
      <w:divBdr>
        <w:top w:val="none" w:sz="0" w:space="0" w:color="auto"/>
        <w:left w:val="none" w:sz="0" w:space="0" w:color="auto"/>
        <w:bottom w:val="none" w:sz="0" w:space="0" w:color="auto"/>
        <w:right w:val="none" w:sz="0" w:space="0" w:color="auto"/>
      </w:divBdr>
    </w:div>
    <w:div w:id="56631331">
      <w:bodyDiv w:val="1"/>
      <w:marLeft w:val="0"/>
      <w:marRight w:val="0"/>
      <w:marTop w:val="0"/>
      <w:marBottom w:val="0"/>
      <w:divBdr>
        <w:top w:val="none" w:sz="0" w:space="0" w:color="auto"/>
        <w:left w:val="none" w:sz="0" w:space="0" w:color="auto"/>
        <w:bottom w:val="none" w:sz="0" w:space="0" w:color="auto"/>
        <w:right w:val="none" w:sz="0" w:space="0" w:color="auto"/>
      </w:divBdr>
    </w:div>
    <w:div w:id="107117324">
      <w:bodyDiv w:val="1"/>
      <w:marLeft w:val="0"/>
      <w:marRight w:val="0"/>
      <w:marTop w:val="0"/>
      <w:marBottom w:val="0"/>
      <w:divBdr>
        <w:top w:val="none" w:sz="0" w:space="0" w:color="auto"/>
        <w:left w:val="none" w:sz="0" w:space="0" w:color="auto"/>
        <w:bottom w:val="none" w:sz="0" w:space="0" w:color="auto"/>
        <w:right w:val="none" w:sz="0" w:space="0" w:color="auto"/>
      </w:divBdr>
    </w:div>
    <w:div w:id="223567866">
      <w:bodyDiv w:val="1"/>
      <w:marLeft w:val="0"/>
      <w:marRight w:val="0"/>
      <w:marTop w:val="0"/>
      <w:marBottom w:val="0"/>
      <w:divBdr>
        <w:top w:val="none" w:sz="0" w:space="0" w:color="auto"/>
        <w:left w:val="none" w:sz="0" w:space="0" w:color="auto"/>
        <w:bottom w:val="none" w:sz="0" w:space="0" w:color="auto"/>
        <w:right w:val="none" w:sz="0" w:space="0" w:color="auto"/>
      </w:divBdr>
    </w:div>
    <w:div w:id="246040423">
      <w:bodyDiv w:val="1"/>
      <w:marLeft w:val="0"/>
      <w:marRight w:val="0"/>
      <w:marTop w:val="0"/>
      <w:marBottom w:val="0"/>
      <w:divBdr>
        <w:top w:val="none" w:sz="0" w:space="0" w:color="auto"/>
        <w:left w:val="none" w:sz="0" w:space="0" w:color="auto"/>
        <w:bottom w:val="none" w:sz="0" w:space="0" w:color="auto"/>
        <w:right w:val="none" w:sz="0" w:space="0" w:color="auto"/>
      </w:divBdr>
    </w:div>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468472813">
      <w:bodyDiv w:val="1"/>
      <w:marLeft w:val="0"/>
      <w:marRight w:val="0"/>
      <w:marTop w:val="0"/>
      <w:marBottom w:val="0"/>
      <w:divBdr>
        <w:top w:val="none" w:sz="0" w:space="0" w:color="auto"/>
        <w:left w:val="none" w:sz="0" w:space="0" w:color="auto"/>
        <w:bottom w:val="none" w:sz="0" w:space="0" w:color="auto"/>
        <w:right w:val="none" w:sz="0" w:space="0" w:color="auto"/>
      </w:divBdr>
    </w:div>
    <w:div w:id="503664094">
      <w:bodyDiv w:val="1"/>
      <w:marLeft w:val="0"/>
      <w:marRight w:val="0"/>
      <w:marTop w:val="0"/>
      <w:marBottom w:val="0"/>
      <w:divBdr>
        <w:top w:val="none" w:sz="0" w:space="0" w:color="auto"/>
        <w:left w:val="none" w:sz="0" w:space="0" w:color="auto"/>
        <w:bottom w:val="none" w:sz="0" w:space="0" w:color="auto"/>
        <w:right w:val="none" w:sz="0" w:space="0" w:color="auto"/>
      </w:divBdr>
    </w:div>
    <w:div w:id="600841814">
      <w:bodyDiv w:val="1"/>
      <w:marLeft w:val="0"/>
      <w:marRight w:val="0"/>
      <w:marTop w:val="0"/>
      <w:marBottom w:val="0"/>
      <w:divBdr>
        <w:top w:val="none" w:sz="0" w:space="0" w:color="auto"/>
        <w:left w:val="none" w:sz="0" w:space="0" w:color="auto"/>
        <w:bottom w:val="none" w:sz="0" w:space="0" w:color="auto"/>
        <w:right w:val="none" w:sz="0" w:space="0" w:color="auto"/>
      </w:divBdr>
    </w:div>
    <w:div w:id="735280575">
      <w:bodyDiv w:val="1"/>
      <w:marLeft w:val="0"/>
      <w:marRight w:val="0"/>
      <w:marTop w:val="0"/>
      <w:marBottom w:val="0"/>
      <w:divBdr>
        <w:top w:val="none" w:sz="0" w:space="0" w:color="auto"/>
        <w:left w:val="none" w:sz="0" w:space="0" w:color="auto"/>
        <w:bottom w:val="none" w:sz="0" w:space="0" w:color="auto"/>
        <w:right w:val="none" w:sz="0" w:space="0" w:color="auto"/>
      </w:divBdr>
    </w:div>
    <w:div w:id="808863847">
      <w:bodyDiv w:val="1"/>
      <w:marLeft w:val="0"/>
      <w:marRight w:val="0"/>
      <w:marTop w:val="0"/>
      <w:marBottom w:val="0"/>
      <w:divBdr>
        <w:top w:val="none" w:sz="0" w:space="0" w:color="auto"/>
        <w:left w:val="none" w:sz="0" w:space="0" w:color="auto"/>
        <w:bottom w:val="none" w:sz="0" w:space="0" w:color="auto"/>
        <w:right w:val="none" w:sz="0" w:space="0" w:color="auto"/>
      </w:divBdr>
    </w:div>
    <w:div w:id="976104227">
      <w:bodyDiv w:val="1"/>
      <w:marLeft w:val="0"/>
      <w:marRight w:val="0"/>
      <w:marTop w:val="0"/>
      <w:marBottom w:val="0"/>
      <w:divBdr>
        <w:top w:val="none" w:sz="0" w:space="0" w:color="auto"/>
        <w:left w:val="none" w:sz="0" w:space="0" w:color="auto"/>
        <w:bottom w:val="none" w:sz="0" w:space="0" w:color="auto"/>
        <w:right w:val="none" w:sz="0" w:space="0" w:color="auto"/>
      </w:divBdr>
    </w:div>
    <w:div w:id="1027484696">
      <w:bodyDiv w:val="1"/>
      <w:marLeft w:val="0"/>
      <w:marRight w:val="0"/>
      <w:marTop w:val="0"/>
      <w:marBottom w:val="0"/>
      <w:divBdr>
        <w:top w:val="none" w:sz="0" w:space="0" w:color="auto"/>
        <w:left w:val="none" w:sz="0" w:space="0" w:color="auto"/>
        <w:bottom w:val="none" w:sz="0" w:space="0" w:color="auto"/>
        <w:right w:val="none" w:sz="0" w:space="0" w:color="auto"/>
      </w:divBdr>
    </w:div>
    <w:div w:id="1048798600">
      <w:bodyDiv w:val="1"/>
      <w:marLeft w:val="0"/>
      <w:marRight w:val="0"/>
      <w:marTop w:val="0"/>
      <w:marBottom w:val="0"/>
      <w:divBdr>
        <w:top w:val="none" w:sz="0" w:space="0" w:color="auto"/>
        <w:left w:val="none" w:sz="0" w:space="0" w:color="auto"/>
        <w:bottom w:val="none" w:sz="0" w:space="0" w:color="auto"/>
        <w:right w:val="none" w:sz="0" w:space="0" w:color="auto"/>
      </w:divBdr>
    </w:div>
    <w:div w:id="1057046701">
      <w:bodyDiv w:val="1"/>
      <w:marLeft w:val="0"/>
      <w:marRight w:val="0"/>
      <w:marTop w:val="0"/>
      <w:marBottom w:val="0"/>
      <w:divBdr>
        <w:top w:val="none" w:sz="0" w:space="0" w:color="auto"/>
        <w:left w:val="none" w:sz="0" w:space="0" w:color="auto"/>
        <w:bottom w:val="none" w:sz="0" w:space="0" w:color="auto"/>
        <w:right w:val="none" w:sz="0" w:space="0" w:color="auto"/>
      </w:divBdr>
    </w:div>
    <w:div w:id="1059666638">
      <w:bodyDiv w:val="1"/>
      <w:marLeft w:val="0"/>
      <w:marRight w:val="0"/>
      <w:marTop w:val="0"/>
      <w:marBottom w:val="0"/>
      <w:divBdr>
        <w:top w:val="none" w:sz="0" w:space="0" w:color="auto"/>
        <w:left w:val="none" w:sz="0" w:space="0" w:color="auto"/>
        <w:bottom w:val="none" w:sz="0" w:space="0" w:color="auto"/>
        <w:right w:val="none" w:sz="0" w:space="0" w:color="auto"/>
      </w:divBdr>
    </w:div>
    <w:div w:id="1101728234">
      <w:bodyDiv w:val="1"/>
      <w:marLeft w:val="0"/>
      <w:marRight w:val="0"/>
      <w:marTop w:val="0"/>
      <w:marBottom w:val="0"/>
      <w:divBdr>
        <w:top w:val="none" w:sz="0" w:space="0" w:color="auto"/>
        <w:left w:val="none" w:sz="0" w:space="0" w:color="auto"/>
        <w:bottom w:val="none" w:sz="0" w:space="0" w:color="auto"/>
        <w:right w:val="none" w:sz="0" w:space="0" w:color="auto"/>
      </w:divBdr>
    </w:div>
    <w:div w:id="1112629755">
      <w:bodyDiv w:val="1"/>
      <w:marLeft w:val="0"/>
      <w:marRight w:val="0"/>
      <w:marTop w:val="0"/>
      <w:marBottom w:val="0"/>
      <w:divBdr>
        <w:top w:val="none" w:sz="0" w:space="0" w:color="auto"/>
        <w:left w:val="none" w:sz="0" w:space="0" w:color="auto"/>
        <w:bottom w:val="none" w:sz="0" w:space="0" w:color="auto"/>
        <w:right w:val="none" w:sz="0" w:space="0" w:color="auto"/>
      </w:divBdr>
    </w:div>
    <w:div w:id="1239823848">
      <w:bodyDiv w:val="1"/>
      <w:marLeft w:val="0"/>
      <w:marRight w:val="0"/>
      <w:marTop w:val="0"/>
      <w:marBottom w:val="0"/>
      <w:divBdr>
        <w:top w:val="none" w:sz="0" w:space="0" w:color="auto"/>
        <w:left w:val="none" w:sz="0" w:space="0" w:color="auto"/>
        <w:bottom w:val="none" w:sz="0" w:space="0" w:color="auto"/>
        <w:right w:val="none" w:sz="0" w:space="0" w:color="auto"/>
      </w:divBdr>
    </w:div>
    <w:div w:id="1243831431">
      <w:bodyDiv w:val="1"/>
      <w:marLeft w:val="0"/>
      <w:marRight w:val="0"/>
      <w:marTop w:val="0"/>
      <w:marBottom w:val="0"/>
      <w:divBdr>
        <w:top w:val="none" w:sz="0" w:space="0" w:color="auto"/>
        <w:left w:val="none" w:sz="0" w:space="0" w:color="auto"/>
        <w:bottom w:val="none" w:sz="0" w:space="0" w:color="auto"/>
        <w:right w:val="none" w:sz="0" w:space="0" w:color="auto"/>
      </w:divBdr>
    </w:div>
    <w:div w:id="1373965810">
      <w:bodyDiv w:val="1"/>
      <w:marLeft w:val="0"/>
      <w:marRight w:val="0"/>
      <w:marTop w:val="0"/>
      <w:marBottom w:val="0"/>
      <w:divBdr>
        <w:top w:val="none" w:sz="0" w:space="0" w:color="auto"/>
        <w:left w:val="none" w:sz="0" w:space="0" w:color="auto"/>
        <w:bottom w:val="none" w:sz="0" w:space="0" w:color="auto"/>
        <w:right w:val="none" w:sz="0" w:space="0" w:color="auto"/>
      </w:divBdr>
    </w:div>
    <w:div w:id="1401564243">
      <w:bodyDiv w:val="1"/>
      <w:marLeft w:val="0"/>
      <w:marRight w:val="0"/>
      <w:marTop w:val="0"/>
      <w:marBottom w:val="0"/>
      <w:divBdr>
        <w:top w:val="none" w:sz="0" w:space="0" w:color="auto"/>
        <w:left w:val="none" w:sz="0" w:space="0" w:color="auto"/>
        <w:bottom w:val="none" w:sz="0" w:space="0" w:color="auto"/>
        <w:right w:val="none" w:sz="0" w:space="0" w:color="auto"/>
      </w:divBdr>
    </w:div>
    <w:div w:id="1494373480">
      <w:bodyDiv w:val="1"/>
      <w:marLeft w:val="0"/>
      <w:marRight w:val="0"/>
      <w:marTop w:val="0"/>
      <w:marBottom w:val="0"/>
      <w:divBdr>
        <w:top w:val="none" w:sz="0" w:space="0" w:color="auto"/>
        <w:left w:val="none" w:sz="0" w:space="0" w:color="auto"/>
        <w:bottom w:val="none" w:sz="0" w:space="0" w:color="auto"/>
        <w:right w:val="none" w:sz="0" w:space="0" w:color="auto"/>
      </w:divBdr>
    </w:div>
    <w:div w:id="1495756178">
      <w:bodyDiv w:val="1"/>
      <w:marLeft w:val="0"/>
      <w:marRight w:val="0"/>
      <w:marTop w:val="0"/>
      <w:marBottom w:val="0"/>
      <w:divBdr>
        <w:top w:val="none" w:sz="0" w:space="0" w:color="auto"/>
        <w:left w:val="none" w:sz="0" w:space="0" w:color="auto"/>
        <w:bottom w:val="none" w:sz="0" w:space="0" w:color="auto"/>
        <w:right w:val="none" w:sz="0" w:space="0" w:color="auto"/>
      </w:divBdr>
    </w:div>
    <w:div w:id="1514109011">
      <w:bodyDiv w:val="1"/>
      <w:marLeft w:val="0"/>
      <w:marRight w:val="0"/>
      <w:marTop w:val="0"/>
      <w:marBottom w:val="0"/>
      <w:divBdr>
        <w:top w:val="none" w:sz="0" w:space="0" w:color="auto"/>
        <w:left w:val="none" w:sz="0" w:space="0" w:color="auto"/>
        <w:bottom w:val="none" w:sz="0" w:space="0" w:color="auto"/>
        <w:right w:val="none" w:sz="0" w:space="0" w:color="auto"/>
      </w:divBdr>
    </w:div>
    <w:div w:id="1627154706">
      <w:bodyDiv w:val="1"/>
      <w:marLeft w:val="0"/>
      <w:marRight w:val="0"/>
      <w:marTop w:val="0"/>
      <w:marBottom w:val="0"/>
      <w:divBdr>
        <w:top w:val="none" w:sz="0" w:space="0" w:color="auto"/>
        <w:left w:val="none" w:sz="0" w:space="0" w:color="auto"/>
        <w:bottom w:val="none" w:sz="0" w:space="0" w:color="auto"/>
        <w:right w:val="none" w:sz="0" w:space="0" w:color="auto"/>
      </w:divBdr>
    </w:div>
    <w:div w:id="1655647612">
      <w:bodyDiv w:val="1"/>
      <w:marLeft w:val="0"/>
      <w:marRight w:val="0"/>
      <w:marTop w:val="0"/>
      <w:marBottom w:val="0"/>
      <w:divBdr>
        <w:top w:val="none" w:sz="0" w:space="0" w:color="auto"/>
        <w:left w:val="none" w:sz="0" w:space="0" w:color="auto"/>
        <w:bottom w:val="none" w:sz="0" w:space="0" w:color="auto"/>
        <w:right w:val="none" w:sz="0" w:space="0" w:color="auto"/>
      </w:divBdr>
    </w:div>
    <w:div w:id="1663385536">
      <w:bodyDiv w:val="1"/>
      <w:marLeft w:val="0"/>
      <w:marRight w:val="0"/>
      <w:marTop w:val="0"/>
      <w:marBottom w:val="0"/>
      <w:divBdr>
        <w:top w:val="none" w:sz="0" w:space="0" w:color="auto"/>
        <w:left w:val="none" w:sz="0" w:space="0" w:color="auto"/>
        <w:bottom w:val="none" w:sz="0" w:space="0" w:color="auto"/>
        <w:right w:val="none" w:sz="0" w:space="0" w:color="auto"/>
      </w:divBdr>
    </w:div>
    <w:div w:id="1666782779">
      <w:bodyDiv w:val="1"/>
      <w:marLeft w:val="0"/>
      <w:marRight w:val="0"/>
      <w:marTop w:val="0"/>
      <w:marBottom w:val="0"/>
      <w:divBdr>
        <w:top w:val="none" w:sz="0" w:space="0" w:color="auto"/>
        <w:left w:val="none" w:sz="0" w:space="0" w:color="auto"/>
        <w:bottom w:val="none" w:sz="0" w:space="0" w:color="auto"/>
        <w:right w:val="none" w:sz="0" w:space="0" w:color="auto"/>
      </w:divBdr>
    </w:div>
    <w:div w:id="1670215437">
      <w:bodyDiv w:val="1"/>
      <w:marLeft w:val="0"/>
      <w:marRight w:val="0"/>
      <w:marTop w:val="0"/>
      <w:marBottom w:val="0"/>
      <w:divBdr>
        <w:top w:val="none" w:sz="0" w:space="0" w:color="auto"/>
        <w:left w:val="none" w:sz="0" w:space="0" w:color="auto"/>
        <w:bottom w:val="none" w:sz="0" w:space="0" w:color="auto"/>
        <w:right w:val="none" w:sz="0" w:space="0" w:color="auto"/>
      </w:divBdr>
    </w:div>
    <w:div w:id="1681468047">
      <w:bodyDiv w:val="1"/>
      <w:marLeft w:val="0"/>
      <w:marRight w:val="0"/>
      <w:marTop w:val="0"/>
      <w:marBottom w:val="0"/>
      <w:divBdr>
        <w:top w:val="none" w:sz="0" w:space="0" w:color="auto"/>
        <w:left w:val="none" w:sz="0" w:space="0" w:color="auto"/>
        <w:bottom w:val="none" w:sz="0" w:space="0" w:color="auto"/>
        <w:right w:val="none" w:sz="0" w:space="0" w:color="auto"/>
      </w:divBdr>
    </w:div>
    <w:div w:id="1722092194">
      <w:bodyDiv w:val="1"/>
      <w:marLeft w:val="0"/>
      <w:marRight w:val="0"/>
      <w:marTop w:val="0"/>
      <w:marBottom w:val="0"/>
      <w:divBdr>
        <w:top w:val="none" w:sz="0" w:space="0" w:color="auto"/>
        <w:left w:val="none" w:sz="0" w:space="0" w:color="auto"/>
        <w:bottom w:val="none" w:sz="0" w:space="0" w:color="auto"/>
        <w:right w:val="none" w:sz="0" w:space="0" w:color="auto"/>
      </w:divBdr>
    </w:div>
    <w:div w:id="1799494773">
      <w:bodyDiv w:val="1"/>
      <w:marLeft w:val="0"/>
      <w:marRight w:val="0"/>
      <w:marTop w:val="0"/>
      <w:marBottom w:val="0"/>
      <w:divBdr>
        <w:top w:val="none" w:sz="0" w:space="0" w:color="auto"/>
        <w:left w:val="none" w:sz="0" w:space="0" w:color="auto"/>
        <w:bottom w:val="none" w:sz="0" w:space="0" w:color="auto"/>
        <w:right w:val="none" w:sz="0" w:space="0" w:color="auto"/>
      </w:divBdr>
    </w:div>
    <w:div w:id="1850170946">
      <w:bodyDiv w:val="1"/>
      <w:marLeft w:val="0"/>
      <w:marRight w:val="0"/>
      <w:marTop w:val="0"/>
      <w:marBottom w:val="0"/>
      <w:divBdr>
        <w:top w:val="none" w:sz="0" w:space="0" w:color="auto"/>
        <w:left w:val="none" w:sz="0" w:space="0" w:color="auto"/>
        <w:bottom w:val="none" w:sz="0" w:space="0" w:color="auto"/>
        <w:right w:val="none" w:sz="0" w:space="0" w:color="auto"/>
      </w:divBdr>
    </w:div>
    <w:div w:id="1894003731">
      <w:bodyDiv w:val="1"/>
      <w:marLeft w:val="0"/>
      <w:marRight w:val="0"/>
      <w:marTop w:val="0"/>
      <w:marBottom w:val="0"/>
      <w:divBdr>
        <w:top w:val="none" w:sz="0" w:space="0" w:color="auto"/>
        <w:left w:val="none" w:sz="0" w:space="0" w:color="auto"/>
        <w:bottom w:val="none" w:sz="0" w:space="0" w:color="auto"/>
        <w:right w:val="none" w:sz="0" w:space="0" w:color="auto"/>
      </w:divBdr>
    </w:div>
    <w:div w:id="21412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i.org/pdf/per19-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i.org/pdf/ppr_16_dc_plan_savin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ri.org/publications/notes/index.cfm?fa=notesDisp&amp;content_id=329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ederalreserve.gov/econresdata/2014-report-economic-well-being-us-households-201505.pdf" TargetMode="Externa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5/DCB_h.pdf" TargetMode="External"/><Relationship Id="rId14" Type="http://schemas.openxmlformats.org/officeDocument/2006/relationships/hyperlink" Target="http://www.tandfonline.com/doi/abs/10.1080/00031305.2016.115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288D8-6253-44C1-AFB7-7F2B1F3F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31</Pages>
  <Words>9928</Words>
  <Characters>58345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68137</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Johnson, Lynn - EBSA</cp:lastModifiedBy>
  <cp:revision>50</cp:revision>
  <cp:lastPrinted>2015-10-06T18:05:00Z</cp:lastPrinted>
  <dcterms:created xsi:type="dcterms:W3CDTF">2017-04-10T00:44:00Z</dcterms:created>
  <dcterms:modified xsi:type="dcterms:W3CDTF">2017-04-24T17:14:00Z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