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638D2" w14:textId="77777777" w:rsidR="00855ABA" w:rsidRPr="00891591" w:rsidRDefault="00855ABA" w:rsidP="00FF1C6E">
      <w:pPr>
        <w:tabs>
          <w:tab w:val="left" w:pos="5220"/>
        </w:tabs>
        <w:rPr>
          <w:b/>
          <w:sz w:val="22"/>
          <w:szCs w:val="28"/>
        </w:rPr>
      </w:pPr>
      <w:bookmarkStart w:id="0" w:name="_GoBack"/>
      <w:bookmarkEnd w:id="0"/>
    </w:p>
    <w:p w14:paraId="47A14D15" w14:textId="77777777" w:rsidR="00D77D23" w:rsidRDefault="00D77D23" w:rsidP="00C64EFE">
      <w:pPr>
        <w:jc w:val="center"/>
        <w:rPr>
          <w:b/>
          <w:bCs/>
          <w:sz w:val="23"/>
          <w:szCs w:val="23"/>
        </w:rPr>
      </w:pPr>
    </w:p>
    <w:p w14:paraId="1216EA9C" w14:textId="77777777" w:rsidR="00D77D23" w:rsidRDefault="00D77D23" w:rsidP="00C64EFE">
      <w:pPr>
        <w:jc w:val="center"/>
        <w:rPr>
          <w:b/>
          <w:bCs/>
          <w:sz w:val="23"/>
          <w:szCs w:val="23"/>
        </w:rPr>
      </w:pPr>
    </w:p>
    <w:p w14:paraId="3068BE03" w14:textId="77777777" w:rsidR="00C3713C" w:rsidRDefault="00C3713C" w:rsidP="00C64EFE">
      <w:pPr>
        <w:jc w:val="center"/>
        <w:rPr>
          <w:b/>
          <w:bCs/>
          <w:sz w:val="23"/>
          <w:szCs w:val="23"/>
        </w:rPr>
      </w:pPr>
    </w:p>
    <w:p w14:paraId="29027977" w14:textId="77777777" w:rsidR="008534E4" w:rsidRPr="001B678D" w:rsidRDefault="00855ABA" w:rsidP="00C64EFE">
      <w:pPr>
        <w:jc w:val="center"/>
        <w:rPr>
          <w:b/>
          <w:bCs/>
          <w:sz w:val="23"/>
          <w:szCs w:val="23"/>
        </w:rPr>
      </w:pPr>
      <w:r w:rsidRPr="001B678D">
        <w:rPr>
          <w:b/>
          <w:bCs/>
          <w:sz w:val="23"/>
          <w:szCs w:val="23"/>
        </w:rPr>
        <w:t>Supporting Statement</w:t>
      </w:r>
    </w:p>
    <w:p w14:paraId="562A3CCE" w14:textId="31AA217A" w:rsidR="008534E4" w:rsidRPr="001B678D" w:rsidRDefault="00651005" w:rsidP="001B678D">
      <w:pPr>
        <w:jc w:val="center"/>
        <w:rPr>
          <w:b/>
          <w:sz w:val="23"/>
          <w:szCs w:val="23"/>
        </w:rPr>
      </w:pPr>
      <w:r w:rsidRPr="001B678D">
        <w:rPr>
          <w:b/>
          <w:sz w:val="23"/>
          <w:szCs w:val="23"/>
        </w:rPr>
        <w:t>On the Road to Retirement Surveys</w:t>
      </w:r>
      <w:r w:rsidR="008534E4" w:rsidRPr="001B678D">
        <w:rPr>
          <w:b/>
          <w:sz w:val="23"/>
          <w:szCs w:val="23"/>
        </w:rPr>
        <w:t>:</w:t>
      </w:r>
      <w:r w:rsidR="001B678D">
        <w:rPr>
          <w:b/>
          <w:sz w:val="23"/>
          <w:szCs w:val="23"/>
        </w:rPr>
        <w:t xml:space="preserve"> </w:t>
      </w:r>
      <w:r w:rsidR="004301F5" w:rsidRPr="001B678D">
        <w:rPr>
          <w:b/>
          <w:sz w:val="23"/>
          <w:szCs w:val="23"/>
        </w:rPr>
        <w:t>Investigating Retirement Planning Decision-Making</w:t>
      </w:r>
      <w:r w:rsidR="00FA4E21" w:rsidRPr="001B678D">
        <w:rPr>
          <w:b/>
          <w:sz w:val="23"/>
          <w:szCs w:val="23"/>
        </w:rPr>
        <w:t xml:space="preserve"> and</w:t>
      </w:r>
      <w:r w:rsidR="001B678D">
        <w:rPr>
          <w:b/>
          <w:sz w:val="23"/>
          <w:szCs w:val="23"/>
        </w:rPr>
        <w:t xml:space="preserve"> </w:t>
      </w:r>
      <w:r w:rsidR="004301F5" w:rsidRPr="001B678D">
        <w:rPr>
          <w:b/>
          <w:sz w:val="23"/>
          <w:szCs w:val="23"/>
        </w:rPr>
        <w:t>the Evolution of Individuals’ Retirement Planning Decisions over Time</w:t>
      </w:r>
    </w:p>
    <w:p w14:paraId="2D6B9C81" w14:textId="77777777" w:rsidR="008534E4" w:rsidRDefault="008534E4" w:rsidP="00FF1C6E">
      <w:pPr>
        <w:rPr>
          <w:b/>
          <w:sz w:val="23"/>
          <w:szCs w:val="23"/>
        </w:rPr>
      </w:pPr>
    </w:p>
    <w:p w14:paraId="14331D32" w14:textId="77777777" w:rsidR="00D77D23" w:rsidRDefault="00D77D23" w:rsidP="00FF1C6E">
      <w:pPr>
        <w:rPr>
          <w:b/>
          <w:sz w:val="23"/>
          <w:szCs w:val="23"/>
        </w:rPr>
      </w:pPr>
    </w:p>
    <w:p w14:paraId="55598E26" w14:textId="77777777" w:rsidR="00D77D23" w:rsidRDefault="00D77D23" w:rsidP="00FF1C6E">
      <w:pPr>
        <w:rPr>
          <w:b/>
          <w:sz w:val="23"/>
          <w:szCs w:val="23"/>
        </w:rPr>
      </w:pPr>
    </w:p>
    <w:p w14:paraId="2CAC61B9" w14:textId="77777777" w:rsidR="00C3713C" w:rsidRDefault="00C3713C" w:rsidP="00FF1C6E">
      <w:pPr>
        <w:rPr>
          <w:b/>
          <w:sz w:val="23"/>
          <w:szCs w:val="23"/>
        </w:rPr>
      </w:pPr>
    </w:p>
    <w:p w14:paraId="6C2DB43F" w14:textId="77777777" w:rsidR="00C3713C" w:rsidRPr="001B678D" w:rsidRDefault="00C3713C" w:rsidP="00FF1C6E">
      <w:pPr>
        <w:rPr>
          <w:b/>
          <w:sz w:val="23"/>
          <w:szCs w:val="23"/>
        </w:rPr>
      </w:pPr>
    </w:p>
    <w:p w14:paraId="4B5F0CF8" w14:textId="77777777" w:rsidR="00855ABA" w:rsidRPr="00C3713C" w:rsidRDefault="00855ABA" w:rsidP="00FF1C6E">
      <w:pPr>
        <w:rPr>
          <w:b/>
          <w:sz w:val="24"/>
        </w:rPr>
      </w:pPr>
      <w:r w:rsidRPr="00C3713C">
        <w:rPr>
          <w:b/>
          <w:sz w:val="24"/>
        </w:rPr>
        <w:t xml:space="preserve">Table of </w:t>
      </w:r>
      <w:r w:rsidR="004301F5" w:rsidRPr="00C3713C">
        <w:rPr>
          <w:b/>
          <w:sz w:val="24"/>
        </w:rPr>
        <w:t>C</w:t>
      </w:r>
      <w:r w:rsidRPr="00C3713C">
        <w:rPr>
          <w:b/>
          <w:sz w:val="24"/>
        </w:rPr>
        <w:t>ontents</w:t>
      </w:r>
    </w:p>
    <w:p w14:paraId="16B42EBF" w14:textId="77777777" w:rsidR="004A1DB6" w:rsidRPr="001B678D" w:rsidRDefault="004A1DB6" w:rsidP="00FF1C6E">
      <w:pPr>
        <w:rPr>
          <w:b/>
          <w:sz w:val="23"/>
          <w:szCs w:val="23"/>
        </w:rPr>
      </w:pPr>
    </w:p>
    <w:p w14:paraId="21E32B97" w14:textId="4A966C3F" w:rsidR="004A1DB6" w:rsidRPr="00C3713C" w:rsidRDefault="002307A2" w:rsidP="00C3713C">
      <w:pPr>
        <w:pStyle w:val="TOC2"/>
        <w:rPr>
          <w:rFonts w:asciiTheme="minorHAnsi" w:eastAsiaTheme="minorEastAsia" w:hAnsiTheme="minorHAnsi" w:cstheme="minorBidi"/>
          <w:noProof/>
          <w:szCs w:val="20"/>
        </w:rPr>
      </w:pPr>
      <w:r w:rsidRPr="00C3713C">
        <w:fldChar w:fldCharType="begin"/>
      </w:r>
      <w:r w:rsidR="00855ABA" w:rsidRPr="00C3713C">
        <w:instrText xml:space="preserve"> TOC \o "1-3" \h \z \u </w:instrText>
      </w:r>
      <w:r w:rsidRPr="00C3713C">
        <w:fldChar w:fldCharType="separate"/>
      </w:r>
      <w:hyperlink w:anchor="_Toc479599181" w:history="1">
        <w:r w:rsidR="004A1DB6" w:rsidRPr="00C3713C">
          <w:rPr>
            <w:rStyle w:val="Hyperlink"/>
            <w:noProof/>
            <w:szCs w:val="20"/>
          </w:rPr>
          <w:t>B.</w:t>
        </w:r>
        <w:r w:rsidR="004A1DB6" w:rsidRPr="00C3713C">
          <w:rPr>
            <w:rFonts w:asciiTheme="minorHAnsi" w:eastAsiaTheme="minorEastAsia" w:hAnsiTheme="minorHAnsi" w:cstheme="minorBidi"/>
            <w:noProof/>
            <w:szCs w:val="20"/>
          </w:rPr>
          <w:t xml:space="preserve">    </w:t>
        </w:r>
        <w:r w:rsidR="004A1DB6" w:rsidRPr="00C3713C">
          <w:rPr>
            <w:rStyle w:val="Hyperlink"/>
            <w:noProof/>
            <w:szCs w:val="20"/>
          </w:rPr>
          <w:t>Collection of Information Employing Statistical Methods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_Toc479599181 \h </w:instrText>
        </w:r>
        <w:r w:rsidR="004A1DB6" w:rsidRPr="00C3713C">
          <w:rPr>
            <w:noProof/>
            <w:webHidden/>
            <w:szCs w:val="20"/>
          </w:rPr>
        </w:r>
        <w:r w:rsidR="004A1DB6" w:rsidRPr="00C3713C">
          <w:rPr>
            <w:noProof/>
            <w:webHidden/>
            <w:szCs w:val="20"/>
          </w:rPr>
          <w:fldChar w:fldCharType="separate"/>
        </w:r>
        <w:r w:rsidR="005439F6">
          <w:rPr>
            <w:noProof/>
            <w:webHidden/>
            <w:szCs w:val="20"/>
          </w:rPr>
          <w:t>2</w:t>
        </w:r>
        <w:r w:rsidR="004A1DB6" w:rsidRPr="00C3713C">
          <w:rPr>
            <w:noProof/>
            <w:webHidden/>
            <w:szCs w:val="20"/>
          </w:rPr>
          <w:fldChar w:fldCharType="end"/>
        </w:r>
      </w:hyperlink>
    </w:p>
    <w:p w14:paraId="230BF6DB" w14:textId="77777777" w:rsidR="004A1DB6" w:rsidRPr="00C3713C" w:rsidRDefault="00447F4B" w:rsidP="00C3713C">
      <w:pPr>
        <w:pStyle w:val="TOC2"/>
        <w:rPr>
          <w:rFonts w:asciiTheme="minorHAnsi" w:eastAsiaTheme="minorEastAsia" w:hAnsiTheme="minorHAnsi" w:cstheme="minorBidi"/>
          <w:noProof/>
          <w:szCs w:val="20"/>
        </w:rPr>
      </w:pPr>
      <w:hyperlink w:anchor="_Toc479599182" w:history="1">
        <w:r w:rsidR="004A1DB6" w:rsidRPr="00C3713C">
          <w:rPr>
            <w:rStyle w:val="Hyperlink"/>
            <w:noProof/>
            <w:szCs w:val="20"/>
          </w:rPr>
          <w:t>B.1. Respondent universe and sampling methods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_Toc479599182 \h </w:instrText>
        </w:r>
        <w:r w:rsidR="004A1DB6" w:rsidRPr="00C3713C">
          <w:rPr>
            <w:noProof/>
            <w:webHidden/>
            <w:szCs w:val="20"/>
          </w:rPr>
        </w:r>
        <w:r w:rsidR="004A1DB6" w:rsidRPr="00C3713C">
          <w:rPr>
            <w:noProof/>
            <w:webHidden/>
            <w:szCs w:val="20"/>
          </w:rPr>
          <w:fldChar w:fldCharType="separate"/>
        </w:r>
        <w:r w:rsidR="005439F6">
          <w:rPr>
            <w:noProof/>
            <w:webHidden/>
            <w:szCs w:val="20"/>
          </w:rPr>
          <w:t>2</w:t>
        </w:r>
        <w:r w:rsidR="004A1DB6" w:rsidRPr="00C3713C">
          <w:rPr>
            <w:noProof/>
            <w:webHidden/>
            <w:szCs w:val="20"/>
          </w:rPr>
          <w:fldChar w:fldCharType="end"/>
        </w:r>
      </w:hyperlink>
    </w:p>
    <w:p w14:paraId="1D09EF7A"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83" w:history="1">
        <w:r w:rsidR="004A1DB6" w:rsidRPr="00C3713C">
          <w:rPr>
            <w:rStyle w:val="Hyperlink"/>
            <w:noProof/>
            <w:szCs w:val="20"/>
          </w:rPr>
          <w:t>B.1.a. Respondent universe and selection methods for pretests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_Toc479599183 \h </w:instrText>
        </w:r>
        <w:r w:rsidR="004A1DB6" w:rsidRPr="00C3713C">
          <w:rPr>
            <w:noProof/>
            <w:webHidden/>
            <w:szCs w:val="20"/>
          </w:rPr>
        </w:r>
        <w:r w:rsidR="004A1DB6" w:rsidRPr="00C3713C">
          <w:rPr>
            <w:noProof/>
            <w:webHidden/>
            <w:szCs w:val="20"/>
          </w:rPr>
          <w:fldChar w:fldCharType="separate"/>
        </w:r>
        <w:r w:rsidR="005439F6">
          <w:rPr>
            <w:noProof/>
            <w:webHidden/>
            <w:szCs w:val="20"/>
          </w:rPr>
          <w:t>2</w:t>
        </w:r>
        <w:r w:rsidR="004A1DB6" w:rsidRPr="00C3713C">
          <w:rPr>
            <w:noProof/>
            <w:webHidden/>
            <w:szCs w:val="20"/>
          </w:rPr>
          <w:fldChar w:fldCharType="end"/>
        </w:r>
      </w:hyperlink>
    </w:p>
    <w:p w14:paraId="2134CC7A"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84" w:history="1">
        <w:r w:rsidR="004A1DB6" w:rsidRPr="00C3713C">
          <w:rPr>
            <w:rStyle w:val="Hyperlink"/>
            <w:noProof/>
            <w:szCs w:val="20"/>
          </w:rPr>
          <w:t>B.1.b. Respondent universe and selection methods for On the Road to Retirement panel</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_Toc479599184 \h </w:instrText>
        </w:r>
        <w:r w:rsidR="004A1DB6" w:rsidRPr="00C3713C">
          <w:rPr>
            <w:noProof/>
            <w:webHidden/>
            <w:szCs w:val="20"/>
          </w:rPr>
        </w:r>
        <w:r w:rsidR="004A1DB6" w:rsidRPr="00C3713C">
          <w:rPr>
            <w:noProof/>
            <w:webHidden/>
            <w:szCs w:val="20"/>
          </w:rPr>
          <w:fldChar w:fldCharType="separate"/>
        </w:r>
        <w:r w:rsidR="005439F6">
          <w:rPr>
            <w:noProof/>
            <w:webHidden/>
            <w:szCs w:val="20"/>
          </w:rPr>
          <w:t>8</w:t>
        </w:r>
        <w:r w:rsidR="004A1DB6" w:rsidRPr="00C3713C">
          <w:rPr>
            <w:noProof/>
            <w:webHidden/>
            <w:szCs w:val="20"/>
          </w:rPr>
          <w:fldChar w:fldCharType="end"/>
        </w:r>
      </w:hyperlink>
    </w:p>
    <w:p w14:paraId="01951DCB" w14:textId="77777777" w:rsidR="004A1DB6" w:rsidRPr="00C3713C" w:rsidRDefault="00447F4B" w:rsidP="00C3713C">
      <w:pPr>
        <w:pStyle w:val="TOC2"/>
        <w:rPr>
          <w:rFonts w:asciiTheme="minorHAnsi" w:eastAsiaTheme="minorEastAsia" w:hAnsiTheme="minorHAnsi" w:cstheme="minorBidi"/>
          <w:noProof/>
          <w:szCs w:val="20"/>
        </w:rPr>
      </w:pPr>
      <w:hyperlink w:anchor="_Toc479599185" w:history="1">
        <w:r w:rsidR="004A1DB6" w:rsidRPr="00C3713C">
          <w:rPr>
            <w:rStyle w:val="Hyperlink"/>
            <w:noProof/>
            <w:szCs w:val="20"/>
          </w:rPr>
          <w:t>B.2. Procedures for the Collection of Information from the On the Road to Retirement Panel</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_Toc479599185 \h </w:instrText>
        </w:r>
        <w:r w:rsidR="004A1DB6" w:rsidRPr="00C3713C">
          <w:rPr>
            <w:noProof/>
            <w:webHidden/>
            <w:szCs w:val="20"/>
          </w:rPr>
        </w:r>
        <w:r w:rsidR="004A1DB6" w:rsidRPr="00C3713C">
          <w:rPr>
            <w:noProof/>
            <w:webHidden/>
            <w:szCs w:val="20"/>
          </w:rPr>
          <w:fldChar w:fldCharType="separate"/>
        </w:r>
        <w:r w:rsidR="005439F6">
          <w:rPr>
            <w:noProof/>
            <w:webHidden/>
            <w:szCs w:val="20"/>
          </w:rPr>
          <w:t>12</w:t>
        </w:r>
        <w:r w:rsidR="004A1DB6" w:rsidRPr="00C3713C">
          <w:rPr>
            <w:noProof/>
            <w:webHidden/>
            <w:szCs w:val="20"/>
          </w:rPr>
          <w:fldChar w:fldCharType="end"/>
        </w:r>
      </w:hyperlink>
    </w:p>
    <w:p w14:paraId="50A4B46F"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86" w:history="1">
        <w:r w:rsidR="004A1DB6" w:rsidRPr="00C3713C">
          <w:rPr>
            <w:rStyle w:val="Hyperlink"/>
            <w:noProof/>
            <w:szCs w:val="20"/>
          </w:rPr>
          <w:t>B.2.a. Pre-Survey</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_Toc479599186 \h </w:instrText>
        </w:r>
        <w:r w:rsidR="004A1DB6" w:rsidRPr="00C3713C">
          <w:rPr>
            <w:noProof/>
            <w:webHidden/>
            <w:szCs w:val="20"/>
          </w:rPr>
        </w:r>
        <w:r w:rsidR="004A1DB6" w:rsidRPr="00C3713C">
          <w:rPr>
            <w:noProof/>
            <w:webHidden/>
            <w:szCs w:val="20"/>
          </w:rPr>
          <w:fldChar w:fldCharType="separate"/>
        </w:r>
        <w:r w:rsidR="005439F6">
          <w:rPr>
            <w:noProof/>
            <w:webHidden/>
            <w:szCs w:val="20"/>
          </w:rPr>
          <w:t>12</w:t>
        </w:r>
        <w:r w:rsidR="004A1DB6" w:rsidRPr="00C3713C">
          <w:rPr>
            <w:noProof/>
            <w:webHidden/>
            <w:szCs w:val="20"/>
          </w:rPr>
          <w:fldChar w:fldCharType="end"/>
        </w:r>
      </w:hyperlink>
    </w:p>
    <w:p w14:paraId="0DAB2E46"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88" w:history="1">
        <w:r w:rsidR="004A1DB6" w:rsidRPr="00C3713C">
          <w:rPr>
            <w:rStyle w:val="Hyperlink"/>
            <w:noProof/>
            <w:szCs w:val="20"/>
          </w:rPr>
          <w:t>B.2.b. Initial Participant Survey (IPS)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_Toc479599188 \h </w:instrText>
        </w:r>
        <w:r w:rsidR="004A1DB6" w:rsidRPr="00C3713C">
          <w:rPr>
            <w:noProof/>
            <w:webHidden/>
            <w:szCs w:val="20"/>
          </w:rPr>
        </w:r>
        <w:r w:rsidR="004A1DB6" w:rsidRPr="00C3713C">
          <w:rPr>
            <w:noProof/>
            <w:webHidden/>
            <w:szCs w:val="20"/>
          </w:rPr>
          <w:fldChar w:fldCharType="separate"/>
        </w:r>
        <w:r w:rsidR="005439F6">
          <w:rPr>
            <w:noProof/>
            <w:webHidden/>
            <w:szCs w:val="20"/>
          </w:rPr>
          <w:t>15</w:t>
        </w:r>
        <w:r w:rsidR="004A1DB6" w:rsidRPr="00C3713C">
          <w:rPr>
            <w:noProof/>
            <w:webHidden/>
            <w:szCs w:val="20"/>
          </w:rPr>
          <w:fldChar w:fldCharType="end"/>
        </w:r>
      </w:hyperlink>
    </w:p>
    <w:p w14:paraId="7B1AE9F9"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89" w:history="1">
        <w:r w:rsidR="004A1DB6" w:rsidRPr="00C3713C">
          <w:rPr>
            <w:rStyle w:val="Hyperlink"/>
            <w:noProof/>
            <w:szCs w:val="20"/>
          </w:rPr>
          <w:t>B.2.c. Advice Interaction Survey – Year 1 (AIS1)</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_Toc479599189 \h </w:instrText>
        </w:r>
        <w:r w:rsidR="004A1DB6" w:rsidRPr="00C3713C">
          <w:rPr>
            <w:noProof/>
            <w:webHidden/>
            <w:szCs w:val="20"/>
          </w:rPr>
        </w:r>
        <w:r w:rsidR="004A1DB6" w:rsidRPr="00C3713C">
          <w:rPr>
            <w:noProof/>
            <w:webHidden/>
            <w:szCs w:val="20"/>
          </w:rPr>
          <w:fldChar w:fldCharType="separate"/>
        </w:r>
        <w:r w:rsidR="005439F6">
          <w:rPr>
            <w:noProof/>
            <w:webHidden/>
            <w:szCs w:val="20"/>
          </w:rPr>
          <w:t>18</w:t>
        </w:r>
        <w:r w:rsidR="004A1DB6" w:rsidRPr="00C3713C">
          <w:rPr>
            <w:noProof/>
            <w:webHidden/>
            <w:szCs w:val="20"/>
          </w:rPr>
          <w:fldChar w:fldCharType="end"/>
        </w:r>
      </w:hyperlink>
    </w:p>
    <w:p w14:paraId="528EFEA6"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0" w:history="1">
        <w:r w:rsidR="004A1DB6" w:rsidRPr="00C3713C">
          <w:rPr>
            <w:rStyle w:val="Hyperlink"/>
            <w:noProof/>
            <w:szCs w:val="20"/>
          </w:rPr>
          <w:t>B.2.d. Annual Participant Survey (APS)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_Toc479599190 \h </w:instrText>
        </w:r>
        <w:r w:rsidR="004A1DB6" w:rsidRPr="00C3713C">
          <w:rPr>
            <w:noProof/>
            <w:webHidden/>
            <w:szCs w:val="20"/>
          </w:rPr>
        </w:r>
        <w:r w:rsidR="004A1DB6" w:rsidRPr="00C3713C">
          <w:rPr>
            <w:noProof/>
            <w:webHidden/>
            <w:szCs w:val="20"/>
          </w:rPr>
          <w:fldChar w:fldCharType="separate"/>
        </w:r>
        <w:r w:rsidR="005439F6">
          <w:rPr>
            <w:noProof/>
            <w:webHidden/>
            <w:szCs w:val="20"/>
          </w:rPr>
          <w:t>18</w:t>
        </w:r>
        <w:r w:rsidR="004A1DB6" w:rsidRPr="00C3713C">
          <w:rPr>
            <w:noProof/>
            <w:webHidden/>
            <w:szCs w:val="20"/>
          </w:rPr>
          <w:fldChar w:fldCharType="end"/>
        </w:r>
      </w:hyperlink>
    </w:p>
    <w:p w14:paraId="52CC169F"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1" w:history="1">
        <w:r w:rsidR="004A1DB6" w:rsidRPr="00C3713C">
          <w:rPr>
            <w:rStyle w:val="Hyperlink"/>
            <w:noProof/>
            <w:szCs w:val="20"/>
          </w:rPr>
          <w:t>B.2.e. Advice Interaction Survey – Year 2 (AIS2)</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_Toc479599191 \h </w:instrText>
        </w:r>
        <w:r w:rsidR="004A1DB6" w:rsidRPr="00C3713C">
          <w:rPr>
            <w:noProof/>
            <w:webHidden/>
            <w:szCs w:val="20"/>
          </w:rPr>
        </w:r>
        <w:r w:rsidR="004A1DB6" w:rsidRPr="00C3713C">
          <w:rPr>
            <w:noProof/>
            <w:webHidden/>
            <w:szCs w:val="20"/>
          </w:rPr>
          <w:fldChar w:fldCharType="separate"/>
        </w:r>
        <w:r w:rsidR="005439F6">
          <w:rPr>
            <w:noProof/>
            <w:webHidden/>
            <w:szCs w:val="20"/>
          </w:rPr>
          <w:t>18</w:t>
        </w:r>
        <w:r w:rsidR="004A1DB6" w:rsidRPr="00C3713C">
          <w:rPr>
            <w:noProof/>
            <w:webHidden/>
            <w:szCs w:val="20"/>
          </w:rPr>
          <w:fldChar w:fldCharType="end"/>
        </w:r>
      </w:hyperlink>
    </w:p>
    <w:p w14:paraId="7A8CB650" w14:textId="77777777" w:rsidR="004A1DB6" w:rsidRPr="00C3713C" w:rsidRDefault="00447F4B" w:rsidP="00C3713C">
      <w:pPr>
        <w:pStyle w:val="TOC2"/>
        <w:rPr>
          <w:rFonts w:asciiTheme="minorHAnsi" w:eastAsiaTheme="minorEastAsia" w:hAnsiTheme="minorHAnsi" w:cstheme="minorBidi"/>
          <w:noProof/>
          <w:szCs w:val="20"/>
        </w:rPr>
      </w:pPr>
      <w:hyperlink w:anchor="_Toc479599192" w:history="1">
        <w:r w:rsidR="004A1DB6" w:rsidRPr="00C3713C">
          <w:rPr>
            <w:rStyle w:val="Hyperlink"/>
            <w:noProof/>
            <w:szCs w:val="20"/>
          </w:rPr>
          <w:t>B.3. Methods to Maximize Response Rates and Deal with Nonresponse</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_Toc479599192 \h </w:instrText>
        </w:r>
        <w:r w:rsidR="004A1DB6" w:rsidRPr="00C3713C">
          <w:rPr>
            <w:noProof/>
            <w:webHidden/>
            <w:szCs w:val="20"/>
          </w:rPr>
        </w:r>
        <w:r w:rsidR="004A1DB6" w:rsidRPr="00C3713C">
          <w:rPr>
            <w:noProof/>
            <w:webHidden/>
            <w:szCs w:val="20"/>
          </w:rPr>
          <w:fldChar w:fldCharType="separate"/>
        </w:r>
        <w:r w:rsidR="005439F6">
          <w:rPr>
            <w:noProof/>
            <w:webHidden/>
            <w:szCs w:val="20"/>
          </w:rPr>
          <w:t>19</w:t>
        </w:r>
        <w:r w:rsidR="004A1DB6" w:rsidRPr="00C3713C">
          <w:rPr>
            <w:noProof/>
            <w:webHidden/>
            <w:szCs w:val="20"/>
          </w:rPr>
          <w:fldChar w:fldCharType="end"/>
        </w:r>
      </w:hyperlink>
    </w:p>
    <w:p w14:paraId="033B1221" w14:textId="77777777" w:rsidR="004A1DB6" w:rsidRPr="00C3713C" w:rsidRDefault="00447F4B" w:rsidP="00C3713C">
      <w:pPr>
        <w:pStyle w:val="TOC2"/>
        <w:rPr>
          <w:rFonts w:asciiTheme="minorHAnsi" w:eastAsiaTheme="minorEastAsia" w:hAnsiTheme="minorHAnsi" w:cstheme="minorBidi"/>
          <w:noProof/>
          <w:szCs w:val="20"/>
        </w:rPr>
      </w:pPr>
      <w:hyperlink w:anchor="_Toc479599193" w:history="1">
        <w:r w:rsidR="004A1DB6" w:rsidRPr="00C3713C">
          <w:rPr>
            <w:rStyle w:val="Hyperlink"/>
            <w:noProof/>
            <w:szCs w:val="20"/>
          </w:rPr>
          <w:t>B.4. Tests of Procedures or Methods to be Undertaken</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_Toc479599193 \h </w:instrText>
        </w:r>
        <w:r w:rsidR="004A1DB6" w:rsidRPr="00C3713C">
          <w:rPr>
            <w:noProof/>
            <w:webHidden/>
            <w:szCs w:val="20"/>
          </w:rPr>
        </w:r>
        <w:r w:rsidR="004A1DB6" w:rsidRPr="00C3713C">
          <w:rPr>
            <w:noProof/>
            <w:webHidden/>
            <w:szCs w:val="20"/>
          </w:rPr>
          <w:fldChar w:fldCharType="separate"/>
        </w:r>
        <w:r w:rsidR="005439F6">
          <w:rPr>
            <w:noProof/>
            <w:webHidden/>
            <w:szCs w:val="20"/>
          </w:rPr>
          <w:t>25</w:t>
        </w:r>
        <w:r w:rsidR="004A1DB6" w:rsidRPr="00C3713C">
          <w:rPr>
            <w:noProof/>
            <w:webHidden/>
            <w:szCs w:val="20"/>
          </w:rPr>
          <w:fldChar w:fldCharType="end"/>
        </w:r>
      </w:hyperlink>
    </w:p>
    <w:p w14:paraId="0C33213B"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4" w:history="1">
        <w:r w:rsidR="004A1DB6" w:rsidRPr="00C3713C">
          <w:rPr>
            <w:rStyle w:val="Hyperlink"/>
            <w:noProof/>
            <w:szCs w:val="20"/>
          </w:rPr>
          <w:t>B.4.a Pretesting</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_Toc479599194 \h </w:instrText>
        </w:r>
        <w:r w:rsidR="004A1DB6" w:rsidRPr="00C3713C">
          <w:rPr>
            <w:noProof/>
            <w:webHidden/>
            <w:szCs w:val="20"/>
          </w:rPr>
        </w:r>
        <w:r w:rsidR="004A1DB6" w:rsidRPr="00C3713C">
          <w:rPr>
            <w:noProof/>
            <w:webHidden/>
            <w:szCs w:val="20"/>
          </w:rPr>
          <w:fldChar w:fldCharType="separate"/>
        </w:r>
        <w:r w:rsidR="005439F6">
          <w:rPr>
            <w:noProof/>
            <w:webHidden/>
            <w:szCs w:val="20"/>
          </w:rPr>
          <w:t>25</w:t>
        </w:r>
        <w:r w:rsidR="004A1DB6" w:rsidRPr="00C3713C">
          <w:rPr>
            <w:noProof/>
            <w:webHidden/>
            <w:szCs w:val="20"/>
          </w:rPr>
          <w:fldChar w:fldCharType="end"/>
        </w:r>
      </w:hyperlink>
    </w:p>
    <w:p w14:paraId="208E927B"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5" w:history="1">
        <w:r w:rsidR="004A1DB6" w:rsidRPr="00C3713C">
          <w:rPr>
            <w:rStyle w:val="Hyperlink"/>
            <w:noProof/>
            <w:szCs w:val="20"/>
          </w:rPr>
          <w:t>B.4.b. Sample Weights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_Toc479599195 \h </w:instrText>
        </w:r>
        <w:r w:rsidR="004A1DB6" w:rsidRPr="00C3713C">
          <w:rPr>
            <w:noProof/>
            <w:webHidden/>
            <w:szCs w:val="20"/>
          </w:rPr>
        </w:r>
        <w:r w:rsidR="004A1DB6" w:rsidRPr="00C3713C">
          <w:rPr>
            <w:noProof/>
            <w:webHidden/>
            <w:szCs w:val="20"/>
          </w:rPr>
          <w:fldChar w:fldCharType="separate"/>
        </w:r>
        <w:r w:rsidR="005439F6">
          <w:rPr>
            <w:noProof/>
            <w:webHidden/>
            <w:szCs w:val="20"/>
          </w:rPr>
          <w:t>27</w:t>
        </w:r>
        <w:r w:rsidR="004A1DB6" w:rsidRPr="00C3713C">
          <w:rPr>
            <w:noProof/>
            <w:webHidden/>
            <w:szCs w:val="20"/>
          </w:rPr>
          <w:fldChar w:fldCharType="end"/>
        </w:r>
      </w:hyperlink>
    </w:p>
    <w:p w14:paraId="18962C14"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6" w:history="1">
        <w:r w:rsidR="004A1DB6" w:rsidRPr="00C3713C">
          <w:rPr>
            <w:rStyle w:val="Hyperlink"/>
            <w:noProof/>
            <w:szCs w:val="20"/>
          </w:rPr>
          <w:t>B.4.c. Imputations and Interval Estimates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_Toc479599196 \h </w:instrText>
        </w:r>
        <w:r w:rsidR="004A1DB6" w:rsidRPr="00C3713C">
          <w:rPr>
            <w:noProof/>
            <w:webHidden/>
            <w:szCs w:val="20"/>
          </w:rPr>
        </w:r>
        <w:r w:rsidR="004A1DB6" w:rsidRPr="00C3713C">
          <w:rPr>
            <w:noProof/>
            <w:webHidden/>
            <w:szCs w:val="20"/>
          </w:rPr>
          <w:fldChar w:fldCharType="separate"/>
        </w:r>
        <w:r w:rsidR="005439F6">
          <w:rPr>
            <w:noProof/>
            <w:webHidden/>
            <w:szCs w:val="20"/>
          </w:rPr>
          <w:t>30</w:t>
        </w:r>
        <w:r w:rsidR="004A1DB6" w:rsidRPr="00C3713C">
          <w:rPr>
            <w:noProof/>
            <w:webHidden/>
            <w:szCs w:val="20"/>
          </w:rPr>
          <w:fldChar w:fldCharType="end"/>
        </w:r>
      </w:hyperlink>
    </w:p>
    <w:p w14:paraId="5425B6B8" w14:textId="77777777" w:rsidR="004A1DB6" w:rsidRPr="00C3713C" w:rsidRDefault="00447F4B" w:rsidP="00C3713C">
      <w:pPr>
        <w:pStyle w:val="TOC2"/>
        <w:rPr>
          <w:rFonts w:asciiTheme="minorHAnsi" w:eastAsiaTheme="minorEastAsia" w:hAnsiTheme="minorHAnsi" w:cstheme="minorBidi"/>
          <w:noProof/>
          <w:szCs w:val="20"/>
        </w:rPr>
      </w:pPr>
      <w:hyperlink w:anchor="_Toc479599197" w:history="1">
        <w:r w:rsidR="004A1DB6" w:rsidRPr="00C3713C">
          <w:rPr>
            <w:rStyle w:val="Hyperlink"/>
            <w:noProof/>
            <w:szCs w:val="20"/>
          </w:rPr>
          <w:t>B.5. Analysis Plan</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_Toc479599197 \h </w:instrText>
        </w:r>
        <w:r w:rsidR="004A1DB6" w:rsidRPr="00C3713C">
          <w:rPr>
            <w:noProof/>
            <w:webHidden/>
            <w:szCs w:val="20"/>
          </w:rPr>
        </w:r>
        <w:r w:rsidR="004A1DB6" w:rsidRPr="00C3713C">
          <w:rPr>
            <w:noProof/>
            <w:webHidden/>
            <w:szCs w:val="20"/>
          </w:rPr>
          <w:fldChar w:fldCharType="separate"/>
        </w:r>
        <w:r w:rsidR="005439F6">
          <w:rPr>
            <w:noProof/>
            <w:webHidden/>
            <w:szCs w:val="20"/>
          </w:rPr>
          <w:t>30</w:t>
        </w:r>
        <w:r w:rsidR="004A1DB6" w:rsidRPr="00C3713C">
          <w:rPr>
            <w:noProof/>
            <w:webHidden/>
            <w:szCs w:val="20"/>
          </w:rPr>
          <w:fldChar w:fldCharType="end"/>
        </w:r>
      </w:hyperlink>
    </w:p>
    <w:p w14:paraId="45DFA2EC"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8" w:history="1">
        <w:r w:rsidR="004A1DB6" w:rsidRPr="00C3713C">
          <w:rPr>
            <w:rStyle w:val="Hyperlink"/>
            <w:noProof/>
            <w:szCs w:val="20"/>
          </w:rPr>
          <w:t>B.5.a. Pretesting</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_Toc479599198 \h </w:instrText>
        </w:r>
        <w:r w:rsidR="004A1DB6" w:rsidRPr="00C3713C">
          <w:rPr>
            <w:noProof/>
            <w:webHidden/>
            <w:szCs w:val="20"/>
          </w:rPr>
        </w:r>
        <w:r w:rsidR="004A1DB6" w:rsidRPr="00C3713C">
          <w:rPr>
            <w:noProof/>
            <w:webHidden/>
            <w:szCs w:val="20"/>
          </w:rPr>
          <w:fldChar w:fldCharType="separate"/>
        </w:r>
        <w:r w:rsidR="005439F6">
          <w:rPr>
            <w:noProof/>
            <w:webHidden/>
            <w:szCs w:val="20"/>
          </w:rPr>
          <w:t>30</w:t>
        </w:r>
        <w:r w:rsidR="004A1DB6" w:rsidRPr="00C3713C">
          <w:rPr>
            <w:noProof/>
            <w:webHidden/>
            <w:szCs w:val="20"/>
          </w:rPr>
          <w:fldChar w:fldCharType="end"/>
        </w:r>
      </w:hyperlink>
    </w:p>
    <w:p w14:paraId="2F7A1373"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199" w:history="1">
        <w:r w:rsidR="004A1DB6" w:rsidRPr="00C3713C">
          <w:rPr>
            <w:rStyle w:val="Hyperlink"/>
            <w:noProof/>
            <w:szCs w:val="20"/>
          </w:rPr>
          <w:t>B.5.b. Pre-Survey</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_Toc479599199 \h </w:instrText>
        </w:r>
        <w:r w:rsidR="004A1DB6" w:rsidRPr="00C3713C">
          <w:rPr>
            <w:noProof/>
            <w:webHidden/>
            <w:szCs w:val="20"/>
          </w:rPr>
        </w:r>
        <w:r w:rsidR="004A1DB6" w:rsidRPr="00C3713C">
          <w:rPr>
            <w:noProof/>
            <w:webHidden/>
            <w:szCs w:val="20"/>
          </w:rPr>
          <w:fldChar w:fldCharType="separate"/>
        </w:r>
        <w:r w:rsidR="005439F6">
          <w:rPr>
            <w:noProof/>
            <w:webHidden/>
            <w:szCs w:val="20"/>
          </w:rPr>
          <w:t>31</w:t>
        </w:r>
        <w:r w:rsidR="004A1DB6" w:rsidRPr="00C3713C">
          <w:rPr>
            <w:noProof/>
            <w:webHidden/>
            <w:szCs w:val="20"/>
          </w:rPr>
          <w:fldChar w:fldCharType="end"/>
        </w:r>
      </w:hyperlink>
    </w:p>
    <w:p w14:paraId="7948E2D6"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200" w:history="1">
        <w:r w:rsidR="004A1DB6" w:rsidRPr="00C3713C">
          <w:rPr>
            <w:rStyle w:val="Hyperlink"/>
            <w:noProof/>
            <w:szCs w:val="20"/>
          </w:rPr>
          <w:t>B.5.c. Initial Participant Survey</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_Toc479599200 \h </w:instrText>
        </w:r>
        <w:r w:rsidR="004A1DB6" w:rsidRPr="00C3713C">
          <w:rPr>
            <w:noProof/>
            <w:webHidden/>
            <w:szCs w:val="20"/>
          </w:rPr>
        </w:r>
        <w:r w:rsidR="004A1DB6" w:rsidRPr="00C3713C">
          <w:rPr>
            <w:noProof/>
            <w:webHidden/>
            <w:szCs w:val="20"/>
          </w:rPr>
          <w:fldChar w:fldCharType="separate"/>
        </w:r>
        <w:r w:rsidR="005439F6">
          <w:rPr>
            <w:noProof/>
            <w:webHidden/>
            <w:szCs w:val="20"/>
          </w:rPr>
          <w:t>32</w:t>
        </w:r>
        <w:r w:rsidR="004A1DB6" w:rsidRPr="00C3713C">
          <w:rPr>
            <w:noProof/>
            <w:webHidden/>
            <w:szCs w:val="20"/>
          </w:rPr>
          <w:fldChar w:fldCharType="end"/>
        </w:r>
      </w:hyperlink>
    </w:p>
    <w:p w14:paraId="7C33378E"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201" w:history="1">
        <w:r w:rsidR="004A1DB6" w:rsidRPr="00C3713C">
          <w:rPr>
            <w:rStyle w:val="Hyperlink"/>
            <w:noProof/>
            <w:szCs w:val="20"/>
          </w:rPr>
          <w:t>B.5.d. Advice Interaction Survey—Year 1</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_Toc479599201 \h </w:instrText>
        </w:r>
        <w:r w:rsidR="004A1DB6" w:rsidRPr="00C3713C">
          <w:rPr>
            <w:noProof/>
            <w:webHidden/>
            <w:szCs w:val="20"/>
          </w:rPr>
        </w:r>
        <w:r w:rsidR="004A1DB6" w:rsidRPr="00C3713C">
          <w:rPr>
            <w:noProof/>
            <w:webHidden/>
            <w:szCs w:val="20"/>
          </w:rPr>
          <w:fldChar w:fldCharType="separate"/>
        </w:r>
        <w:r w:rsidR="005439F6">
          <w:rPr>
            <w:noProof/>
            <w:webHidden/>
            <w:szCs w:val="20"/>
          </w:rPr>
          <w:t>32</w:t>
        </w:r>
        <w:r w:rsidR="004A1DB6" w:rsidRPr="00C3713C">
          <w:rPr>
            <w:noProof/>
            <w:webHidden/>
            <w:szCs w:val="20"/>
          </w:rPr>
          <w:fldChar w:fldCharType="end"/>
        </w:r>
      </w:hyperlink>
    </w:p>
    <w:p w14:paraId="53E7408A"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202" w:history="1">
        <w:r w:rsidR="004A1DB6" w:rsidRPr="00C3713C">
          <w:rPr>
            <w:rStyle w:val="Hyperlink"/>
            <w:noProof/>
            <w:szCs w:val="20"/>
          </w:rPr>
          <w:t>B.5.e. Annual Participant Survey</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_Toc479599202 \h </w:instrText>
        </w:r>
        <w:r w:rsidR="004A1DB6" w:rsidRPr="00C3713C">
          <w:rPr>
            <w:noProof/>
            <w:webHidden/>
            <w:szCs w:val="20"/>
          </w:rPr>
        </w:r>
        <w:r w:rsidR="004A1DB6" w:rsidRPr="00C3713C">
          <w:rPr>
            <w:noProof/>
            <w:webHidden/>
            <w:szCs w:val="20"/>
          </w:rPr>
          <w:fldChar w:fldCharType="separate"/>
        </w:r>
        <w:r w:rsidR="005439F6">
          <w:rPr>
            <w:noProof/>
            <w:webHidden/>
            <w:szCs w:val="20"/>
          </w:rPr>
          <w:t>33</w:t>
        </w:r>
        <w:r w:rsidR="004A1DB6" w:rsidRPr="00C3713C">
          <w:rPr>
            <w:noProof/>
            <w:webHidden/>
            <w:szCs w:val="20"/>
          </w:rPr>
          <w:fldChar w:fldCharType="end"/>
        </w:r>
      </w:hyperlink>
    </w:p>
    <w:p w14:paraId="69A3D502" w14:textId="77777777" w:rsidR="004A1DB6" w:rsidRPr="00C3713C" w:rsidRDefault="00447F4B" w:rsidP="00C3713C">
      <w:pPr>
        <w:pStyle w:val="TOC3"/>
        <w:tabs>
          <w:tab w:val="right" w:leader="dot" w:pos="9350"/>
        </w:tabs>
        <w:rPr>
          <w:rFonts w:asciiTheme="minorHAnsi" w:eastAsiaTheme="minorEastAsia" w:hAnsiTheme="minorHAnsi" w:cstheme="minorBidi"/>
          <w:noProof/>
          <w:szCs w:val="20"/>
        </w:rPr>
      </w:pPr>
      <w:hyperlink w:anchor="_Toc479599203" w:history="1">
        <w:r w:rsidR="004A1DB6" w:rsidRPr="00C3713C">
          <w:rPr>
            <w:rStyle w:val="Hyperlink"/>
            <w:noProof/>
            <w:szCs w:val="20"/>
          </w:rPr>
          <w:t>B.5.f. Advice Interaction Survey—Year 2</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_Toc479599203 \h </w:instrText>
        </w:r>
        <w:r w:rsidR="004A1DB6" w:rsidRPr="00C3713C">
          <w:rPr>
            <w:noProof/>
            <w:webHidden/>
            <w:szCs w:val="20"/>
          </w:rPr>
        </w:r>
        <w:r w:rsidR="004A1DB6" w:rsidRPr="00C3713C">
          <w:rPr>
            <w:noProof/>
            <w:webHidden/>
            <w:szCs w:val="20"/>
          </w:rPr>
          <w:fldChar w:fldCharType="separate"/>
        </w:r>
        <w:r w:rsidR="005439F6">
          <w:rPr>
            <w:noProof/>
            <w:webHidden/>
            <w:szCs w:val="20"/>
          </w:rPr>
          <w:t>34</w:t>
        </w:r>
        <w:r w:rsidR="004A1DB6" w:rsidRPr="00C3713C">
          <w:rPr>
            <w:noProof/>
            <w:webHidden/>
            <w:szCs w:val="20"/>
          </w:rPr>
          <w:fldChar w:fldCharType="end"/>
        </w:r>
      </w:hyperlink>
    </w:p>
    <w:p w14:paraId="4D2F96A0" w14:textId="77777777" w:rsidR="004A1DB6" w:rsidRPr="00C3713C" w:rsidRDefault="00447F4B" w:rsidP="00C3713C">
      <w:pPr>
        <w:pStyle w:val="TOC2"/>
        <w:rPr>
          <w:rFonts w:asciiTheme="minorHAnsi" w:eastAsiaTheme="minorEastAsia" w:hAnsiTheme="minorHAnsi" w:cstheme="minorBidi"/>
          <w:noProof/>
          <w:szCs w:val="20"/>
        </w:rPr>
      </w:pPr>
      <w:hyperlink w:anchor="_Toc479599204" w:history="1">
        <w:r w:rsidR="004A1DB6" w:rsidRPr="00C3713C">
          <w:rPr>
            <w:rStyle w:val="Hyperlink"/>
            <w:noProof/>
            <w:szCs w:val="20"/>
          </w:rPr>
          <w:t>B.6. Individuals Consulted on Statistical Aspects and Individuals Collecting and/or Analyzing Data</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_Toc479599204 \h </w:instrText>
        </w:r>
        <w:r w:rsidR="004A1DB6" w:rsidRPr="00C3713C">
          <w:rPr>
            <w:noProof/>
            <w:webHidden/>
            <w:szCs w:val="20"/>
          </w:rPr>
        </w:r>
        <w:r w:rsidR="004A1DB6" w:rsidRPr="00C3713C">
          <w:rPr>
            <w:noProof/>
            <w:webHidden/>
            <w:szCs w:val="20"/>
          </w:rPr>
          <w:fldChar w:fldCharType="separate"/>
        </w:r>
        <w:r w:rsidR="005439F6">
          <w:rPr>
            <w:noProof/>
            <w:webHidden/>
            <w:szCs w:val="20"/>
          </w:rPr>
          <w:t>35</w:t>
        </w:r>
        <w:r w:rsidR="004A1DB6" w:rsidRPr="00C3713C">
          <w:rPr>
            <w:noProof/>
            <w:webHidden/>
            <w:szCs w:val="20"/>
          </w:rPr>
          <w:fldChar w:fldCharType="end"/>
        </w:r>
      </w:hyperlink>
    </w:p>
    <w:p w14:paraId="35B25D5B" w14:textId="77777777" w:rsidR="004A1DB6" w:rsidRPr="00C3713C" w:rsidRDefault="00447F4B" w:rsidP="00C3713C">
      <w:pPr>
        <w:pStyle w:val="TOC2"/>
        <w:rPr>
          <w:rFonts w:asciiTheme="minorHAnsi" w:eastAsiaTheme="minorEastAsia" w:hAnsiTheme="minorHAnsi" w:cstheme="minorBidi"/>
          <w:noProof/>
          <w:szCs w:val="20"/>
        </w:rPr>
      </w:pPr>
      <w:hyperlink w:anchor="_Toc479599205" w:history="1">
        <w:r w:rsidR="004A1DB6" w:rsidRPr="00C3713C">
          <w:rPr>
            <w:rStyle w:val="Hyperlink"/>
            <w:b/>
            <w:noProof/>
            <w:szCs w:val="20"/>
          </w:rPr>
          <w:t>References</w:t>
        </w:r>
        <w:r w:rsidR="004A1DB6" w:rsidRPr="00C3713C">
          <w:rPr>
            <w:noProof/>
            <w:webHidden/>
            <w:szCs w:val="20"/>
          </w:rPr>
          <w:tab/>
        </w:r>
        <w:r w:rsidR="004A1DB6" w:rsidRPr="00C3713C">
          <w:rPr>
            <w:noProof/>
            <w:webHidden/>
            <w:szCs w:val="20"/>
          </w:rPr>
          <w:fldChar w:fldCharType="begin"/>
        </w:r>
        <w:r w:rsidR="004A1DB6" w:rsidRPr="00C3713C">
          <w:rPr>
            <w:noProof/>
            <w:webHidden/>
            <w:szCs w:val="20"/>
          </w:rPr>
          <w:instrText xml:space="preserve"> PAGEREF _Toc479599205 \h </w:instrText>
        </w:r>
        <w:r w:rsidR="004A1DB6" w:rsidRPr="00C3713C">
          <w:rPr>
            <w:noProof/>
            <w:webHidden/>
            <w:szCs w:val="20"/>
          </w:rPr>
        </w:r>
        <w:r w:rsidR="004A1DB6" w:rsidRPr="00C3713C">
          <w:rPr>
            <w:noProof/>
            <w:webHidden/>
            <w:szCs w:val="20"/>
          </w:rPr>
          <w:fldChar w:fldCharType="separate"/>
        </w:r>
        <w:r w:rsidR="005439F6">
          <w:rPr>
            <w:noProof/>
            <w:webHidden/>
            <w:szCs w:val="20"/>
          </w:rPr>
          <w:t>36</w:t>
        </w:r>
        <w:r w:rsidR="004A1DB6" w:rsidRPr="00C3713C">
          <w:rPr>
            <w:noProof/>
            <w:webHidden/>
            <w:szCs w:val="20"/>
          </w:rPr>
          <w:fldChar w:fldCharType="end"/>
        </w:r>
      </w:hyperlink>
    </w:p>
    <w:p w14:paraId="1288AB11" w14:textId="63D1CD67" w:rsidR="00D77D23" w:rsidRDefault="002307A2" w:rsidP="00D77D23">
      <w:pPr>
        <w:rPr>
          <w:b/>
          <w:bCs/>
          <w:sz w:val="28"/>
        </w:rPr>
      </w:pPr>
      <w:r w:rsidRPr="00C3713C">
        <w:rPr>
          <w:bCs/>
          <w:noProof/>
          <w:sz w:val="24"/>
        </w:rPr>
        <w:fldChar w:fldCharType="end"/>
      </w:r>
      <w:bookmarkStart w:id="1" w:name="_Toc362604579"/>
      <w:r w:rsidR="00D77D23">
        <w:rPr>
          <w:b/>
          <w:bCs/>
          <w:sz w:val="28"/>
        </w:rPr>
        <w:br w:type="page"/>
      </w:r>
    </w:p>
    <w:p w14:paraId="201777E8" w14:textId="77777777" w:rsidR="00D77D23" w:rsidRDefault="00D77D23" w:rsidP="0028348B">
      <w:pPr>
        <w:widowControl/>
        <w:autoSpaceDE/>
        <w:autoSpaceDN/>
        <w:adjustRightInd/>
        <w:rPr>
          <w:b/>
          <w:bCs/>
          <w:sz w:val="28"/>
        </w:rPr>
      </w:pPr>
    </w:p>
    <w:p w14:paraId="35AD64A2" w14:textId="2EFA25FD" w:rsidR="004A1DB6" w:rsidRPr="004A1DB6" w:rsidRDefault="004A1DB6" w:rsidP="004A1DB6">
      <w:pPr>
        <w:keepNext/>
        <w:spacing w:before="240" w:after="60"/>
        <w:outlineLvl w:val="1"/>
        <w:rPr>
          <w:b/>
          <w:sz w:val="28"/>
          <w:szCs w:val="28"/>
        </w:rPr>
      </w:pPr>
      <w:bookmarkStart w:id="2" w:name="_Toc479599181"/>
      <w:bookmarkStart w:id="3" w:name="_Toc362604580"/>
      <w:bookmarkEnd w:id="1"/>
      <w:r w:rsidRPr="004A1DB6">
        <w:rPr>
          <w:b/>
          <w:sz w:val="28"/>
          <w:szCs w:val="28"/>
        </w:rPr>
        <w:t>B.</w:t>
      </w:r>
      <w:r w:rsidRPr="004A1DB6">
        <w:rPr>
          <w:b/>
          <w:sz w:val="28"/>
          <w:szCs w:val="28"/>
        </w:rPr>
        <w:tab/>
        <w:t>Collection of Information Employing Statistical Methods</w:t>
      </w:r>
      <w:bookmarkEnd w:id="2"/>
    </w:p>
    <w:p w14:paraId="31CF1D53" w14:textId="77777777" w:rsidR="00C1088C" w:rsidRPr="00C1088C" w:rsidRDefault="00C1088C" w:rsidP="00C1088C">
      <w:pPr>
        <w:keepNext/>
        <w:spacing w:before="240" w:after="60"/>
        <w:outlineLvl w:val="1"/>
        <w:rPr>
          <w:b/>
          <w:sz w:val="24"/>
          <w:szCs w:val="22"/>
        </w:rPr>
      </w:pPr>
      <w:bookmarkStart w:id="4" w:name="_Toc479599182"/>
      <w:r w:rsidRPr="00C1088C">
        <w:rPr>
          <w:b/>
          <w:sz w:val="24"/>
          <w:szCs w:val="22"/>
        </w:rPr>
        <w:t>B.1. Respondent universe and sampling methods</w:t>
      </w:r>
      <w:bookmarkEnd w:id="3"/>
      <w:bookmarkEnd w:id="4"/>
    </w:p>
    <w:p w14:paraId="71A4CF04" w14:textId="77777777" w:rsidR="00C1088C" w:rsidRPr="00C1088C" w:rsidRDefault="00C1088C" w:rsidP="00C1088C">
      <w:pPr>
        <w:rPr>
          <w:sz w:val="24"/>
        </w:rPr>
      </w:pPr>
      <w:bookmarkStart w:id="5" w:name="_Toc282521289"/>
      <w:r w:rsidRPr="00C1088C">
        <w:rPr>
          <w:sz w:val="24"/>
        </w:rPr>
        <w:t xml:space="preserve">Retirement research lacks adequate data on how people make planning and financial decisions before and during retirement. This study proposes to undertake a long-term research study to develop a panel that will track U. S. households over several years in order to collect data and answer important research questions on how retirement planning strategies, decisions, and outcomes evolve over time.   </w:t>
      </w:r>
    </w:p>
    <w:p w14:paraId="5AA6D2CC" w14:textId="77777777" w:rsidR="00C1088C" w:rsidRPr="00C1088C" w:rsidRDefault="00C1088C" w:rsidP="00C1088C">
      <w:pPr>
        <w:rPr>
          <w:sz w:val="24"/>
        </w:rPr>
      </w:pPr>
    </w:p>
    <w:p w14:paraId="4CF1D02C" w14:textId="77777777" w:rsidR="00C1088C" w:rsidRPr="00C1088C" w:rsidRDefault="00C1088C" w:rsidP="00C1088C">
      <w:pPr>
        <w:rPr>
          <w:sz w:val="24"/>
        </w:rPr>
      </w:pPr>
      <w:r w:rsidRPr="00C1088C">
        <w:rPr>
          <w:sz w:val="24"/>
        </w:rPr>
        <w:t>The steps in the data collection process are as follows:</w:t>
      </w:r>
    </w:p>
    <w:p w14:paraId="73CC0FAF" w14:textId="77777777" w:rsidR="00C1088C" w:rsidRPr="00C1088C" w:rsidRDefault="00C1088C" w:rsidP="00C1088C">
      <w:pPr>
        <w:rPr>
          <w:sz w:val="24"/>
        </w:rPr>
      </w:pPr>
    </w:p>
    <w:p w14:paraId="76829565" w14:textId="77777777" w:rsidR="00C1088C" w:rsidRPr="002047D4" w:rsidRDefault="00C1088C" w:rsidP="00E020FC">
      <w:pPr>
        <w:widowControl/>
        <w:numPr>
          <w:ilvl w:val="0"/>
          <w:numId w:val="37"/>
        </w:numPr>
        <w:autoSpaceDE/>
        <w:autoSpaceDN/>
        <w:adjustRightInd/>
        <w:rPr>
          <w:rFonts w:ascii="Times" w:hAnsi="Times"/>
          <w:sz w:val="24"/>
        </w:rPr>
      </w:pPr>
      <w:r w:rsidRPr="002047D4">
        <w:rPr>
          <w:rFonts w:ascii="Times" w:hAnsi="Times"/>
          <w:b/>
          <w:sz w:val="24"/>
        </w:rPr>
        <w:t>Pretesting</w:t>
      </w:r>
      <w:r w:rsidRPr="002047D4">
        <w:rPr>
          <w:rFonts w:ascii="Times" w:hAnsi="Times"/>
          <w:sz w:val="24"/>
        </w:rPr>
        <w:t xml:space="preserve"> - Survey pretesting utilizing cognitive interviews, pilot surveys, </w:t>
      </w:r>
      <w:r w:rsidR="003005CA">
        <w:rPr>
          <w:rFonts w:ascii="Times" w:hAnsi="Times"/>
          <w:sz w:val="24"/>
        </w:rPr>
        <w:t xml:space="preserve">and </w:t>
      </w:r>
      <w:r w:rsidRPr="002047D4">
        <w:rPr>
          <w:rFonts w:ascii="Times" w:hAnsi="Times"/>
          <w:sz w:val="24"/>
        </w:rPr>
        <w:t>debriefing of respondents to the pilot surveys.</w:t>
      </w:r>
      <w:r w:rsidR="00A82AB6" w:rsidRPr="002047D4">
        <w:rPr>
          <w:rFonts w:ascii="Times" w:hAnsi="Times"/>
          <w:sz w:val="24"/>
        </w:rPr>
        <w:t xml:space="preserve"> The</w:t>
      </w:r>
      <w:r w:rsidR="00566A9D" w:rsidRPr="002047D4">
        <w:rPr>
          <w:rFonts w:ascii="Times" w:hAnsi="Times"/>
          <w:sz w:val="24"/>
        </w:rPr>
        <w:t xml:space="preserve"> data generated by these pretests will be used solely for the purpose of assessing and improving the quality of the survey instruments.</w:t>
      </w:r>
    </w:p>
    <w:p w14:paraId="0AAA4865" w14:textId="77777777" w:rsidR="00C1088C" w:rsidRPr="00C1088C" w:rsidRDefault="00E33599" w:rsidP="00E020FC">
      <w:pPr>
        <w:widowControl/>
        <w:numPr>
          <w:ilvl w:val="0"/>
          <w:numId w:val="37"/>
        </w:numPr>
        <w:autoSpaceDE/>
        <w:autoSpaceDN/>
        <w:adjustRightInd/>
        <w:rPr>
          <w:rFonts w:ascii="Times" w:hAnsi="Times"/>
          <w:sz w:val="24"/>
        </w:rPr>
      </w:pPr>
      <w:r>
        <w:rPr>
          <w:rFonts w:ascii="Times" w:hAnsi="Times"/>
          <w:b/>
          <w:sz w:val="24"/>
        </w:rPr>
        <w:t>Pre-Survey</w:t>
      </w:r>
      <w:r w:rsidR="00C1088C" w:rsidRPr="00C1088C">
        <w:rPr>
          <w:rFonts w:ascii="Times" w:hAnsi="Times"/>
          <w:sz w:val="24"/>
        </w:rPr>
        <w:t xml:space="preserve"> - A mailed-out survey to recruit sample members for the Initial Participant Survey, with follow-up contacts by mail and telephone, as well as phone interviews.</w:t>
      </w:r>
    </w:p>
    <w:p w14:paraId="41A7F22E" w14:textId="77777777" w:rsidR="00C1088C" w:rsidRPr="00C1088C" w:rsidRDefault="00C1088C" w:rsidP="00E020FC">
      <w:pPr>
        <w:widowControl/>
        <w:numPr>
          <w:ilvl w:val="0"/>
          <w:numId w:val="37"/>
        </w:numPr>
        <w:autoSpaceDE/>
        <w:autoSpaceDN/>
        <w:adjustRightInd/>
        <w:rPr>
          <w:rFonts w:ascii="Times" w:hAnsi="Times"/>
          <w:sz w:val="24"/>
        </w:rPr>
      </w:pPr>
      <w:r w:rsidRPr="00C1088C">
        <w:rPr>
          <w:rFonts w:ascii="Times" w:hAnsi="Times"/>
          <w:b/>
          <w:sz w:val="24"/>
        </w:rPr>
        <w:t>Initial Participant Survey</w:t>
      </w:r>
      <w:r w:rsidRPr="00C1088C">
        <w:rPr>
          <w:rFonts w:ascii="Times" w:hAnsi="Times"/>
          <w:sz w:val="24"/>
        </w:rPr>
        <w:t xml:space="preserve"> (IPS) questionnaires administered via Internet, mail, and telephone.</w:t>
      </w:r>
    </w:p>
    <w:p w14:paraId="63029DFC" w14:textId="77777777" w:rsidR="00C1088C" w:rsidRPr="00C1088C" w:rsidRDefault="00C1088C" w:rsidP="00E020FC">
      <w:pPr>
        <w:widowControl/>
        <w:numPr>
          <w:ilvl w:val="0"/>
          <w:numId w:val="37"/>
        </w:numPr>
        <w:autoSpaceDE/>
        <w:autoSpaceDN/>
        <w:adjustRightInd/>
        <w:rPr>
          <w:rFonts w:ascii="Times" w:hAnsi="Times"/>
          <w:sz w:val="24"/>
        </w:rPr>
      </w:pPr>
      <w:r w:rsidRPr="00C1088C">
        <w:rPr>
          <w:rFonts w:ascii="Times" w:hAnsi="Times"/>
          <w:b/>
          <w:sz w:val="24"/>
        </w:rPr>
        <w:t>Advice Interaction Survey</w:t>
      </w:r>
      <w:r w:rsidRPr="00C1088C">
        <w:rPr>
          <w:rFonts w:ascii="Times" w:hAnsi="Times"/>
          <w:sz w:val="24"/>
        </w:rPr>
        <w:t xml:space="preserve"> (AIS) questionnaires administered quarterly via Internet, mail, and telephone.</w:t>
      </w:r>
    </w:p>
    <w:p w14:paraId="7673AD20" w14:textId="77777777" w:rsidR="00C1088C" w:rsidRPr="00C1088C" w:rsidRDefault="00C1088C" w:rsidP="00E020FC">
      <w:pPr>
        <w:widowControl/>
        <w:numPr>
          <w:ilvl w:val="0"/>
          <w:numId w:val="37"/>
        </w:numPr>
        <w:autoSpaceDE/>
        <w:autoSpaceDN/>
        <w:adjustRightInd/>
        <w:rPr>
          <w:rFonts w:ascii="Times" w:hAnsi="Times"/>
          <w:sz w:val="24"/>
        </w:rPr>
      </w:pPr>
      <w:r w:rsidRPr="00C1088C">
        <w:rPr>
          <w:rFonts w:ascii="Times" w:hAnsi="Times"/>
          <w:b/>
          <w:sz w:val="24"/>
        </w:rPr>
        <w:t>Annual Participant Survey</w:t>
      </w:r>
      <w:r w:rsidRPr="00C1088C">
        <w:rPr>
          <w:rFonts w:ascii="Times" w:hAnsi="Times"/>
          <w:sz w:val="24"/>
        </w:rPr>
        <w:t xml:space="preserve"> (APS) questionnaires administered annually via Internet, mail, and telephone. </w:t>
      </w:r>
    </w:p>
    <w:p w14:paraId="4EC5A9FF" w14:textId="77777777" w:rsidR="00C1088C" w:rsidRPr="00C1088C" w:rsidRDefault="00C1088C" w:rsidP="00C1088C">
      <w:pPr>
        <w:widowControl/>
        <w:autoSpaceDE/>
        <w:autoSpaceDN/>
        <w:adjustRightInd/>
        <w:rPr>
          <w:rFonts w:ascii="Times" w:hAnsi="Times"/>
          <w:sz w:val="22"/>
          <w:szCs w:val="22"/>
        </w:rPr>
      </w:pPr>
    </w:p>
    <w:p w14:paraId="101781C4" w14:textId="77777777" w:rsidR="00954ECA" w:rsidRPr="00EE452D" w:rsidRDefault="00954ECA" w:rsidP="00954ECA">
      <w:pPr>
        <w:keepNext/>
        <w:spacing w:before="240" w:after="60"/>
        <w:ind w:left="720"/>
        <w:outlineLvl w:val="2"/>
        <w:rPr>
          <w:b/>
          <w:sz w:val="24"/>
          <w:highlight w:val="yellow"/>
        </w:rPr>
      </w:pPr>
      <w:bookmarkStart w:id="6" w:name="_Toc479599183"/>
      <w:r w:rsidRPr="00EE452D">
        <w:rPr>
          <w:b/>
          <w:sz w:val="24"/>
        </w:rPr>
        <w:t>B.1.a. Respondent universe and selection methods for pretests</w:t>
      </w:r>
      <w:bookmarkEnd w:id="6"/>
    </w:p>
    <w:p w14:paraId="70DA05C8" w14:textId="77777777" w:rsidR="00954ECA" w:rsidRDefault="00954ECA" w:rsidP="00C1088C">
      <w:pPr>
        <w:rPr>
          <w:sz w:val="24"/>
          <w:highlight w:val="yellow"/>
        </w:rPr>
      </w:pPr>
    </w:p>
    <w:p w14:paraId="771CB1BB" w14:textId="77777777" w:rsidR="00F77313" w:rsidRDefault="00174392" w:rsidP="00C1088C">
      <w:pPr>
        <w:rPr>
          <w:sz w:val="24"/>
        </w:rPr>
      </w:pPr>
      <w:r w:rsidRPr="005F048A">
        <w:rPr>
          <w:sz w:val="24"/>
        </w:rPr>
        <w:t>Pretests will be conducted to assess and improve the quality of the survey i</w:t>
      </w:r>
      <w:r w:rsidR="00683F1D" w:rsidRPr="005F048A">
        <w:rPr>
          <w:sz w:val="24"/>
        </w:rPr>
        <w:t xml:space="preserve">nstruments.  </w:t>
      </w:r>
      <w:r w:rsidR="00F77313">
        <w:rPr>
          <w:sz w:val="24"/>
        </w:rPr>
        <w:t xml:space="preserve">The pretesting will </w:t>
      </w:r>
      <w:r w:rsidR="00F77313" w:rsidRPr="00F77313">
        <w:rPr>
          <w:sz w:val="24"/>
        </w:rPr>
        <w:t>utiliz</w:t>
      </w:r>
      <w:r w:rsidR="00F77313">
        <w:rPr>
          <w:sz w:val="24"/>
        </w:rPr>
        <w:t>e</w:t>
      </w:r>
      <w:r w:rsidR="00F77313" w:rsidRPr="00F77313">
        <w:rPr>
          <w:sz w:val="24"/>
        </w:rPr>
        <w:t xml:space="preserve"> cognitive interviews, pilot surveys, </w:t>
      </w:r>
      <w:r w:rsidR="00D07DA2">
        <w:rPr>
          <w:sz w:val="24"/>
        </w:rPr>
        <w:t xml:space="preserve">and </w:t>
      </w:r>
      <w:r w:rsidR="00F77313" w:rsidRPr="00F77313">
        <w:rPr>
          <w:sz w:val="24"/>
        </w:rPr>
        <w:t>debriefing of respondents to the pilot surveys.</w:t>
      </w:r>
      <w:r w:rsidR="00F77313">
        <w:rPr>
          <w:sz w:val="24"/>
        </w:rPr>
        <w:t xml:space="preserve"> </w:t>
      </w:r>
    </w:p>
    <w:p w14:paraId="22DB3850" w14:textId="77777777" w:rsidR="00F77313" w:rsidRDefault="00F77313" w:rsidP="00C1088C">
      <w:pPr>
        <w:rPr>
          <w:sz w:val="24"/>
        </w:rPr>
      </w:pPr>
    </w:p>
    <w:p w14:paraId="4F0C25C2" w14:textId="77777777" w:rsidR="00B17FB2" w:rsidRDefault="00F77313" w:rsidP="00C1088C">
      <w:pPr>
        <w:rPr>
          <w:sz w:val="24"/>
        </w:rPr>
      </w:pPr>
      <w:r>
        <w:rPr>
          <w:sz w:val="24"/>
        </w:rPr>
        <w:t>A total of 30 individuals will participate in cognitive interviews.  At least 360 additional individuals will re</w:t>
      </w:r>
      <w:r w:rsidR="005C6F29">
        <w:rPr>
          <w:sz w:val="24"/>
        </w:rPr>
        <w:t>spond to pilot surveys.</w:t>
      </w:r>
      <w:r w:rsidRPr="00F77313">
        <w:rPr>
          <w:sz w:val="24"/>
        </w:rPr>
        <w:t xml:space="preserve"> </w:t>
      </w:r>
      <w:r>
        <w:rPr>
          <w:sz w:val="24"/>
        </w:rPr>
        <w:t xml:space="preserve"> </w:t>
      </w:r>
      <w:r w:rsidR="00B17FB2" w:rsidRPr="00B17FB2">
        <w:rPr>
          <w:sz w:val="24"/>
        </w:rPr>
        <w:t xml:space="preserve">In all, </w:t>
      </w:r>
      <w:r w:rsidR="008715FB">
        <w:rPr>
          <w:sz w:val="24"/>
        </w:rPr>
        <w:t>five</w:t>
      </w:r>
      <w:r w:rsidR="00B17FB2" w:rsidRPr="00B17FB2">
        <w:rPr>
          <w:sz w:val="24"/>
        </w:rPr>
        <w:t xml:space="preserve"> different survey questionnaires will be pretested: (1) Internet IPS Baseline, (2) Internet IPS Follow-Up, (3) Mail/Telephone IP</w:t>
      </w:r>
      <w:r>
        <w:rPr>
          <w:sz w:val="24"/>
        </w:rPr>
        <w:t xml:space="preserve">S, (4) Internet </w:t>
      </w:r>
      <w:r w:rsidR="00B17FB2" w:rsidRPr="00B17FB2">
        <w:rPr>
          <w:sz w:val="24"/>
        </w:rPr>
        <w:t>AIS, and (</w:t>
      </w:r>
      <w:r w:rsidR="008715FB">
        <w:rPr>
          <w:sz w:val="24"/>
        </w:rPr>
        <w:t>5</w:t>
      </w:r>
      <w:r w:rsidR="00B17FB2" w:rsidRPr="00B17FB2">
        <w:rPr>
          <w:sz w:val="24"/>
        </w:rPr>
        <w:t xml:space="preserve">) Mail/Telephone AIS.  Each pilot survey respondent will be asked to complete either the </w:t>
      </w:r>
      <w:r w:rsidR="00A13A67">
        <w:rPr>
          <w:sz w:val="24"/>
        </w:rPr>
        <w:t>three</w:t>
      </w:r>
      <w:r w:rsidR="00B17FB2" w:rsidRPr="00B17FB2">
        <w:rPr>
          <w:sz w:val="24"/>
        </w:rPr>
        <w:t xml:space="preserve"> questionnaires administered via Internet or the two surveys administered via mail and/or telephone. A</w:t>
      </w:r>
      <w:r w:rsidR="00C73845">
        <w:rPr>
          <w:sz w:val="24"/>
        </w:rPr>
        <w:t>lmost</w:t>
      </w:r>
      <w:r w:rsidR="00B17FB2" w:rsidRPr="00B17FB2">
        <w:rPr>
          <w:sz w:val="24"/>
        </w:rPr>
        <w:t xml:space="preserve"> one-third of these respondents will be selected to participate in debriefi</w:t>
      </w:r>
      <w:r>
        <w:rPr>
          <w:sz w:val="24"/>
        </w:rPr>
        <w:t>ng interviews.</w:t>
      </w:r>
    </w:p>
    <w:p w14:paraId="2011755F" w14:textId="77777777" w:rsidR="00B17FB2" w:rsidRDefault="00B17FB2" w:rsidP="00C1088C">
      <w:pPr>
        <w:rPr>
          <w:sz w:val="24"/>
        </w:rPr>
      </w:pPr>
    </w:p>
    <w:p w14:paraId="58D07495" w14:textId="77777777" w:rsidR="00954ECA" w:rsidRPr="005F048A" w:rsidRDefault="00683F1D" w:rsidP="00C1088C">
      <w:pPr>
        <w:rPr>
          <w:sz w:val="24"/>
        </w:rPr>
      </w:pPr>
      <w:r w:rsidRPr="005F048A">
        <w:rPr>
          <w:sz w:val="24"/>
        </w:rPr>
        <w:t>Here we describe</w:t>
      </w:r>
      <w:r w:rsidR="00174392" w:rsidRPr="005F048A">
        <w:rPr>
          <w:sz w:val="24"/>
        </w:rPr>
        <w:t xml:space="preserve"> the methods for selection of participants in the cognitive interviews, pilot survey interviews, and debriefing interviews. </w:t>
      </w:r>
      <w:r w:rsidRPr="005F048A">
        <w:rPr>
          <w:sz w:val="24"/>
        </w:rPr>
        <w:t>We describe the pretest</w:t>
      </w:r>
      <w:r w:rsidR="005C6F29" w:rsidRPr="005F048A">
        <w:rPr>
          <w:sz w:val="24"/>
        </w:rPr>
        <w:t xml:space="preserve"> procedures</w:t>
      </w:r>
      <w:r w:rsidRPr="005F048A">
        <w:rPr>
          <w:sz w:val="24"/>
        </w:rPr>
        <w:t xml:space="preserve"> in Section B.4 (“Tests of Procedures or Methods to be Undertaken”) and the methods for analyzing the </w:t>
      </w:r>
      <w:r w:rsidR="005C6F29" w:rsidRPr="005F048A">
        <w:rPr>
          <w:sz w:val="24"/>
        </w:rPr>
        <w:t xml:space="preserve">pretest </w:t>
      </w:r>
      <w:r w:rsidRPr="005F048A">
        <w:rPr>
          <w:sz w:val="24"/>
        </w:rPr>
        <w:t>results in Section B.5 (“Analysis Plan”).</w:t>
      </w:r>
    </w:p>
    <w:p w14:paraId="50156560" w14:textId="77777777" w:rsidR="00954ECA" w:rsidRDefault="00954ECA" w:rsidP="00C1088C">
      <w:pPr>
        <w:rPr>
          <w:sz w:val="24"/>
          <w:highlight w:val="yellow"/>
        </w:rPr>
      </w:pPr>
    </w:p>
    <w:p w14:paraId="5FDEE745" w14:textId="77777777" w:rsidR="00AC35A7" w:rsidRPr="00EE452D" w:rsidRDefault="00AC35A7" w:rsidP="00EE452D">
      <w:pPr>
        <w:keepNext/>
        <w:widowControl/>
        <w:tabs>
          <w:tab w:val="num" w:pos="864"/>
        </w:tabs>
        <w:autoSpaceDE/>
        <w:autoSpaceDN/>
        <w:adjustRightInd/>
        <w:spacing w:before="240" w:after="60"/>
        <w:ind w:left="864" w:hanging="864"/>
        <w:outlineLvl w:val="3"/>
        <w:rPr>
          <w:bCs/>
          <w:i/>
          <w:sz w:val="24"/>
        </w:rPr>
      </w:pPr>
      <w:r w:rsidRPr="00EE452D">
        <w:rPr>
          <w:bCs/>
          <w:i/>
          <w:sz w:val="24"/>
        </w:rPr>
        <w:t xml:space="preserve">Cognitive Interviews </w:t>
      </w:r>
    </w:p>
    <w:p w14:paraId="055B2247" w14:textId="77777777" w:rsidR="00AC35A7" w:rsidRPr="006A09F8" w:rsidRDefault="00AC35A7" w:rsidP="00AC35A7">
      <w:pPr>
        <w:rPr>
          <w:b/>
          <w:sz w:val="24"/>
        </w:rPr>
      </w:pPr>
    </w:p>
    <w:p w14:paraId="143EB9F7" w14:textId="77777777" w:rsidR="00AC35A7" w:rsidRDefault="00AC35A7" w:rsidP="00AC35A7">
      <w:pPr>
        <w:rPr>
          <w:sz w:val="24"/>
        </w:rPr>
      </w:pPr>
      <w:r w:rsidRPr="006A09F8">
        <w:rPr>
          <w:sz w:val="24"/>
        </w:rPr>
        <w:t xml:space="preserve">We will conduct a total of 30 cognitive interviews.  </w:t>
      </w:r>
      <w:r w:rsidRPr="00874F58">
        <w:rPr>
          <w:sz w:val="24"/>
        </w:rPr>
        <w:t xml:space="preserve">Participants will be recruited </w:t>
      </w:r>
      <w:r>
        <w:rPr>
          <w:sz w:val="24"/>
        </w:rPr>
        <w:t>by a</w:t>
      </w:r>
      <w:r w:rsidRPr="00874F58">
        <w:rPr>
          <w:sz w:val="24"/>
        </w:rPr>
        <w:t xml:space="preserve"> commercial vendor that keep</w:t>
      </w:r>
      <w:r>
        <w:rPr>
          <w:sz w:val="24"/>
        </w:rPr>
        <w:t>s</w:t>
      </w:r>
      <w:r w:rsidRPr="00874F58">
        <w:rPr>
          <w:sz w:val="24"/>
        </w:rPr>
        <w:t xml:space="preserve"> lists of individuals who have previously agreed to be contacted regarding participation in interviews</w:t>
      </w:r>
      <w:r>
        <w:rPr>
          <w:sz w:val="24"/>
        </w:rPr>
        <w:t>.</w:t>
      </w:r>
      <w:r w:rsidRPr="00874F58">
        <w:rPr>
          <w:sz w:val="24"/>
        </w:rPr>
        <w:t xml:space="preserve"> </w:t>
      </w:r>
      <w:r>
        <w:rPr>
          <w:sz w:val="24"/>
        </w:rPr>
        <w:t xml:space="preserve"> </w:t>
      </w:r>
      <w:r w:rsidRPr="006A09F8">
        <w:rPr>
          <w:sz w:val="24"/>
        </w:rPr>
        <w:t xml:space="preserve">Cognitive </w:t>
      </w:r>
      <w:r>
        <w:rPr>
          <w:sz w:val="24"/>
        </w:rPr>
        <w:t>interviews</w:t>
      </w:r>
      <w:r w:rsidRPr="006A09F8">
        <w:rPr>
          <w:sz w:val="24"/>
        </w:rPr>
        <w:t xml:space="preserve"> will be conducted in Washington, DC</w:t>
      </w:r>
      <w:r>
        <w:rPr>
          <w:sz w:val="24"/>
        </w:rPr>
        <w:t>,</w:t>
      </w:r>
      <w:r w:rsidRPr="006A09F8">
        <w:rPr>
          <w:sz w:val="24"/>
        </w:rPr>
        <w:t xml:space="preserve"> drawing respondents from the District of Columbia</w:t>
      </w:r>
      <w:r>
        <w:rPr>
          <w:sz w:val="24"/>
        </w:rPr>
        <w:t>, Maryland,</w:t>
      </w:r>
      <w:r w:rsidRPr="006A09F8">
        <w:rPr>
          <w:sz w:val="24"/>
        </w:rPr>
        <w:t xml:space="preserve"> and Virginia</w:t>
      </w:r>
      <w:r>
        <w:rPr>
          <w:sz w:val="24"/>
        </w:rPr>
        <w:t xml:space="preserve"> who live and/or work in the Washington metropolitan area</w:t>
      </w:r>
      <w:r w:rsidRPr="006A09F8">
        <w:rPr>
          <w:sz w:val="24"/>
        </w:rPr>
        <w:t xml:space="preserve">. </w:t>
      </w:r>
      <w:r>
        <w:rPr>
          <w:sz w:val="24"/>
        </w:rPr>
        <w:t xml:space="preserve"> The list of potential participants has been compiled over many years by the vendor.  It includes individuals who have participated in prior</w:t>
      </w:r>
      <w:r w:rsidRPr="00933731">
        <w:rPr>
          <w:sz w:val="24"/>
        </w:rPr>
        <w:t xml:space="preserve"> </w:t>
      </w:r>
      <w:r>
        <w:rPr>
          <w:sz w:val="24"/>
        </w:rPr>
        <w:t>studies, as well as individuals who have not yet participated but have previously expressed interest in doing so in response to recruitment efforts for market research studies and/or after learning about the opportunity through word-of-mouth.</w:t>
      </w:r>
    </w:p>
    <w:p w14:paraId="4570E6BD" w14:textId="77777777" w:rsidR="00AC35A7" w:rsidRDefault="00AC35A7" w:rsidP="00AC35A7">
      <w:pPr>
        <w:rPr>
          <w:sz w:val="24"/>
        </w:rPr>
      </w:pPr>
    </w:p>
    <w:p w14:paraId="1750A85F" w14:textId="4AA48D7B" w:rsidR="00AC35A7" w:rsidRDefault="00AC35A7" w:rsidP="00AC35A7">
      <w:pPr>
        <w:rPr>
          <w:sz w:val="24"/>
        </w:rPr>
      </w:pPr>
      <w:r>
        <w:rPr>
          <w:sz w:val="24"/>
        </w:rPr>
        <w:t xml:space="preserve">To recruit a </w:t>
      </w:r>
      <w:r w:rsidRPr="00CF0F6D">
        <w:rPr>
          <w:sz w:val="24"/>
        </w:rPr>
        <w:t xml:space="preserve">nonprobability quota sample </w:t>
      </w:r>
      <w:r>
        <w:rPr>
          <w:sz w:val="24"/>
        </w:rPr>
        <w:t>of participants, the vendor will attempt via telephone to contact individuals on a call list.  The recruiter will administer a brief questionnaire to determine eligibility for the cognitive interviews.  This questionnaire—the “Recruitment Scr</w:t>
      </w:r>
      <w:r w:rsidR="00EB4899">
        <w:rPr>
          <w:sz w:val="24"/>
        </w:rPr>
        <w:t xml:space="preserve">eener”—is attached as Appendix </w:t>
      </w:r>
      <w:r w:rsidR="004038BF">
        <w:rPr>
          <w:sz w:val="24"/>
        </w:rPr>
        <w:t>2</w:t>
      </w:r>
      <w:r>
        <w:rPr>
          <w:sz w:val="24"/>
        </w:rPr>
        <w:t xml:space="preserve">. </w:t>
      </w:r>
    </w:p>
    <w:p w14:paraId="0C57F179" w14:textId="77777777" w:rsidR="00AC35A7" w:rsidRDefault="00AC35A7" w:rsidP="00AC35A7">
      <w:pPr>
        <w:rPr>
          <w:sz w:val="24"/>
        </w:rPr>
      </w:pPr>
    </w:p>
    <w:p w14:paraId="24D761D6" w14:textId="77777777" w:rsidR="00AC35A7" w:rsidRDefault="00AC35A7" w:rsidP="00AC35A7">
      <w:pPr>
        <w:rPr>
          <w:sz w:val="24"/>
        </w:rPr>
      </w:pPr>
      <w:r>
        <w:rPr>
          <w:sz w:val="24"/>
        </w:rPr>
        <w:t xml:space="preserve">Individuals must be </w:t>
      </w:r>
      <w:r w:rsidRPr="006A09F8">
        <w:rPr>
          <w:sz w:val="24"/>
        </w:rPr>
        <w:t>at least 25 years old</w:t>
      </w:r>
      <w:r>
        <w:rPr>
          <w:sz w:val="24"/>
        </w:rPr>
        <w:t xml:space="preserve"> in order to participate. We have set </w:t>
      </w:r>
      <w:r w:rsidRPr="006A09F8">
        <w:rPr>
          <w:sz w:val="24"/>
        </w:rPr>
        <w:t xml:space="preserve">recruitment targets </w:t>
      </w:r>
      <w:r>
        <w:rPr>
          <w:sz w:val="24"/>
        </w:rPr>
        <w:t xml:space="preserve">based on the participant’s retirement plan(s), financial advising, household financial responsibilities, labor force status, age, gender, </w:t>
      </w:r>
      <w:r w:rsidRPr="006A09F8">
        <w:rPr>
          <w:sz w:val="24"/>
        </w:rPr>
        <w:t>race/ethnicity</w:t>
      </w:r>
      <w:r>
        <w:rPr>
          <w:sz w:val="24"/>
        </w:rPr>
        <w:t>, and educational attainment as follows:</w:t>
      </w:r>
    </w:p>
    <w:p w14:paraId="75D10F07" w14:textId="77777777" w:rsidR="00AC35A7" w:rsidRDefault="00AC35A7" w:rsidP="005F048A">
      <w:pPr>
        <w:widowControl/>
        <w:numPr>
          <w:ilvl w:val="1"/>
          <w:numId w:val="85"/>
        </w:numPr>
        <w:autoSpaceDE/>
        <w:autoSpaceDN/>
        <w:adjustRightInd/>
        <w:rPr>
          <w:sz w:val="24"/>
          <w:lang w:bidi="x-none"/>
        </w:rPr>
      </w:pPr>
      <w:r>
        <w:rPr>
          <w:sz w:val="24"/>
          <w:lang w:bidi="x-none"/>
        </w:rPr>
        <w:t xml:space="preserve">Retirement Plans and Advising: </w:t>
      </w:r>
    </w:p>
    <w:p w14:paraId="703A79E6" w14:textId="2507753D" w:rsidR="00AC35A7" w:rsidRPr="00FC21E5" w:rsidRDefault="00AC35A7" w:rsidP="005F048A">
      <w:pPr>
        <w:widowControl/>
        <w:numPr>
          <w:ilvl w:val="0"/>
          <w:numId w:val="90"/>
        </w:numPr>
        <w:autoSpaceDE/>
        <w:autoSpaceDN/>
        <w:adjustRightInd/>
        <w:rPr>
          <w:sz w:val="24"/>
          <w:lang w:bidi="x-none"/>
        </w:rPr>
      </w:pPr>
      <w:r w:rsidRPr="00FC21E5">
        <w:rPr>
          <w:sz w:val="24"/>
          <w:lang w:bidi="x-none"/>
        </w:rPr>
        <w:t xml:space="preserve">At </w:t>
      </w:r>
      <w:r>
        <w:rPr>
          <w:sz w:val="24"/>
          <w:lang w:bidi="x-none"/>
        </w:rPr>
        <w:t xml:space="preserve">least 4/5 </w:t>
      </w:r>
      <w:r w:rsidRPr="00FC21E5">
        <w:rPr>
          <w:sz w:val="24"/>
          <w:lang w:bidi="x-none"/>
        </w:rPr>
        <w:t xml:space="preserve">have an account in </w:t>
      </w:r>
      <w:r>
        <w:rPr>
          <w:sz w:val="24"/>
          <w:lang w:bidi="x-none"/>
        </w:rPr>
        <w:t xml:space="preserve">an </w:t>
      </w:r>
      <w:r w:rsidRPr="00FC21E5">
        <w:rPr>
          <w:sz w:val="24"/>
          <w:lang w:bidi="x-none"/>
        </w:rPr>
        <w:t xml:space="preserve">employer-sponsored defined contribution </w:t>
      </w:r>
      <w:r>
        <w:rPr>
          <w:sz w:val="24"/>
          <w:lang w:bidi="x-none"/>
        </w:rPr>
        <w:t xml:space="preserve">(DC) </w:t>
      </w:r>
      <w:r w:rsidRPr="00FC21E5">
        <w:rPr>
          <w:sz w:val="24"/>
          <w:lang w:bidi="x-none"/>
        </w:rPr>
        <w:t>retirement plan</w:t>
      </w:r>
      <w:r>
        <w:rPr>
          <w:sz w:val="24"/>
          <w:lang w:bidi="x-none"/>
        </w:rPr>
        <w:t xml:space="preserve">, hold an IRA, and/or use a financial </w:t>
      </w:r>
      <w:r w:rsidR="00407ED4">
        <w:rPr>
          <w:sz w:val="24"/>
          <w:lang w:bidi="x-none"/>
        </w:rPr>
        <w:t>adviser</w:t>
      </w:r>
      <w:r>
        <w:rPr>
          <w:sz w:val="24"/>
          <w:lang w:bidi="x-none"/>
        </w:rPr>
        <w:t xml:space="preserve"> for retirement planning.</w:t>
      </w:r>
    </w:p>
    <w:p w14:paraId="0E635E39" w14:textId="77777777" w:rsidR="00AC35A7" w:rsidRDefault="00AC35A7" w:rsidP="005F048A">
      <w:pPr>
        <w:widowControl/>
        <w:numPr>
          <w:ilvl w:val="0"/>
          <w:numId w:val="87"/>
        </w:numPr>
        <w:autoSpaceDE/>
        <w:autoSpaceDN/>
        <w:adjustRightInd/>
        <w:rPr>
          <w:sz w:val="24"/>
          <w:lang w:bidi="x-none"/>
        </w:rPr>
      </w:pPr>
      <w:r w:rsidRPr="003C7EDC">
        <w:rPr>
          <w:sz w:val="24"/>
          <w:lang w:bidi="x-none"/>
        </w:rPr>
        <w:t>Ret</w:t>
      </w:r>
      <w:r>
        <w:rPr>
          <w:sz w:val="24"/>
          <w:lang w:bidi="x-none"/>
        </w:rPr>
        <w:t>irement Plans:</w:t>
      </w:r>
    </w:p>
    <w:p w14:paraId="15227951" w14:textId="2A295CFC" w:rsidR="00AC35A7" w:rsidRDefault="00155C85" w:rsidP="005F048A">
      <w:pPr>
        <w:widowControl/>
        <w:numPr>
          <w:ilvl w:val="0"/>
          <w:numId w:val="88"/>
        </w:numPr>
        <w:autoSpaceDE/>
        <w:autoSpaceDN/>
        <w:adjustRightInd/>
        <w:rPr>
          <w:sz w:val="24"/>
          <w:lang w:bidi="x-none"/>
        </w:rPr>
      </w:pPr>
      <w:r>
        <w:rPr>
          <w:sz w:val="24"/>
          <w:lang w:bidi="x-none"/>
        </w:rPr>
        <w:t>A</w:t>
      </w:r>
      <w:r w:rsidR="00AC35A7">
        <w:rPr>
          <w:sz w:val="24"/>
          <w:lang w:bidi="x-none"/>
        </w:rPr>
        <w:t>t least 2/5 have an account in an employer-sponsored defined contribution retirement plan.</w:t>
      </w:r>
    </w:p>
    <w:p w14:paraId="6694CC46" w14:textId="0FE0EF64" w:rsidR="00AC35A7" w:rsidRPr="00684940" w:rsidRDefault="00155C85" w:rsidP="005F048A">
      <w:pPr>
        <w:widowControl/>
        <w:numPr>
          <w:ilvl w:val="0"/>
          <w:numId w:val="88"/>
        </w:numPr>
        <w:autoSpaceDE/>
        <w:autoSpaceDN/>
        <w:adjustRightInd/>
        <w:rPr>
          <w:sz w:val="24"/>
          <w:lang w:bidi="x-none"/>
        </w:rPr>
      </w:pPr>
      <w:r>
        <w:rPr>
          <w:sz w:val="24"/>
          <w:lang w:bidi="x-none"/>
        </w:rPr>
        <w:t>A</w:t>
      </w:r>
      <w:r w:rsidR="00AC35A7">
        <w:rPr>
          <w:sz w:val="24"/>
          <w:lang w:bidi="x-none"/>
        </w:rPr>
        <w:t>t least 2/5 hold an IRA</w:t>
      </w:r>
    </w:p>
    <w:p w14:paraId="756D8DF1" w14:textId="434C7983" w:rsidR="00AC35A7" w:rsidRPr="003C7EDC" w:rsidRDefault="00AC35A7" w:rsidP="005F048A">
      <w:pPr>
        <w:widowControl/>
        <w:numPr>
          <w:ilvl w:val="0"/>
          <w:numId w:val="87"/>
        </w:numPr>
        <w:autoSpaceDE/>
        <w:autoSpaceDN/>
        <w:adjustRightInd/>
        <w:rPr>
          <w:lang w:bidi="x-none"/>
        </w:rPr>
      </w:pPr>
      <w:r>
        <w:rPr>
          <w:sz w:val="24"/>
          <w:lang w:bidi="x-none"/>
        </w:rPr>
        <w:t xml:space="preserve">Financial </w:t>
      </w:r>
      <w:r w:rsidR="00407ED4">
        <w:rPr>
          <w:sz w:val="24"/>
          <w:lang w:bidi="x-none"/>
        </w:rPr>
        <w:t>Adviser</w:t>
      </w:r>
      <w:r>
        <w:rPr>
          <w:sz w:val="24"/>
          <w:lang w:bidi="x-none"/>
        </w:rPr>
        <w:t>:</w:t>
      </w:r>
    </w:p>
    <w:p w14:paraId="06EB41B4" w14:textId="5D100C2C" w:rsidR="00AC35A7" w:rsidRPr="00684940" w:rsidRDefault="00155C85" w:rsidP="005F048A">
      <w:pPr>
        <w:widowControl/>
        <w:numPr>
          <w:ilvl w:val="0"/>
          <w:numId w:val="89"/>
        </w:numPr>
        <w:autoSpaceDE/>
        <w:autoSpaceDN/>
        <w:adjustRightInd/>
        <w:rPr>
          <w:sz w:val="24"/>
          <w:lang w:bidi="x-none"/>
        </w:rPr>
      </w:pPr>
      <w:r>
        <w:rPr>
          <w:sz w:val="24"/>
          <w:lang w:bidi="x-none"/>
        </w:rPr>
        <w:t>A</w:t>
      </w:r>
      <w:r w:rsidR="00AC35A7" w:rsidRPr="003C7EDC">
        <w:rPr>
          <w:sz w:val="24"/>
          <w:lang w:bidi="x-none"/>
        </w:rPr>
        <w:t xml:space="preserve">t least </w:t>
      </w:r>
      <w:r w:rsidR="00AC35A7">
        <w:rPr>
          <w:sz w:val="24"/>
          <w:lang w:bidi="x-none"/>
        </w:rPr>
        <w:t xml:space="preserve">1/3 use a financial </w:t>
      </w:r>
      <w:r w:rsidR="00407ED4">
        <w:rPr>
          <w:sz w:val="24"/>
          <w:lang w:bidi="x-none"/>
        </w:rPr>
        <w:t>adviser</w:t>
      </w:r>
      <w:r w:rsidR="00AC35A7">
        <w:rPr>
          <w:sz w:val="24"/>
          <w:lang w:bidi="x-none"/>
        </w:rPr>
        <w:t xml:space="preserve"> for retirement planning.</w:t>
      </w:r>
    </w:p>
    <w:p w14:paraId="0A444047" w14:textId="77777777" w:rsidR="00AC35A7" w:rsidRPr="00FC21E5" w:rsidRDefault="00AC35A7" w:rsidP="005F048A">
      <w:pPr>
        <w:widowControl/>
        <w:numPr>
          <w:ilvl w:val="0"/>
          <w:numId w:val="87"/>
        </w:numPr>
        <w:autoSpaceDE/>
        <w:autoSpaceDN/>
        <w:adjustRightInd/>
        <w:rPr>
          <w:sz w:val="24"/>
          <w:lang w:bidi="x-none"/>
        </w:rPr>
      </w:pPr>
      <w:r>
        <w:rPr>
          <w:sz w:val="24"/>
          <w:lang w:bidi="x-none"/>
        </w:rPr>
        <w:t xml:space="preserve">Household </w:t>
      </w:r>
      <w:r w:rsidRPr="00B55691">
        <w:rPr>
          <w:sz w:val="24"/>
          <w:lang w:bidi="x-none"/>
        </w:rPr>
        <w:t xml:space="preserve">Financial Responsibilities: </w:t>
      </w:r>
      <w:r>
        <w:rPr>
          <w:sz w:val="24"/>
          <w:lang w:bidi="x-none"/>
        </w:rPr>
        <w:t xml:space="preserve">at least 2/3 with some responsibility for </w:t>
      </w:r>
      <w:r w:rsidRPr="00104695">
        <w:rPr>
          <w:sz w:val="24"/>
          <w:lang w:bidi="x-none"/>
        </w:rPr>
        <w:t>making long-term saving and investment plans</w:t>
      </w:r>
      <w:r>
        <w:rPr>
          <w:sz w:val="24"/>
          <w:lang w:bidi="x-none"/>
        </w:rPr>
        <w:t>.</w:t>
      </w:r>
    </w:p>
    <w:p w14:paraId="50D4B304" w14:textId="77777777" w:rsidR="00F06DF4" w:rsidRDefault="00F06DF4">
      <w:pPr>
        <w:widowControl/>
        <w:autoSpaceDE/>
        <w:autoSpaceDN/>
        <w:adjustRightInd/>
        <w:rPr>
          <w:sz w:val="24"/>
          <w:lang w:bidi="x-none"/>
        </w:rPr>
      </w:pPr>
      <w:r>
        <w:rPr>
          <w:sz w:val="24"/>
          <w:lang w:bidi="x-none"/>
        </w:rPr>
        <w:br w:type="page"/>
      </w:r>
    </w:p>
    <w:p w14:paraId="7762ABDF" w14:textId="494756AB" w:rsidR="00AC35A7" w:rsidRPr="00B55691" w:rsidRDefault="00AC35A7" w:rsidP="005F048A">
      <w:pPr>
        <w:widowControl/>
        <w:numPr>
          <w:ilvl w:val="1"/>
          <w:numId w:val="85"/>
        </w:numPr>
        <w:autoSpaceDE/>
        <w:autoSpaceDN/>
        <w:adjustRightInd/>
        <w:rPr>
          <w:lang w:bidi="x-none"/>
        </w:rPr>
      </w:pPr>
      <w:r w:rsidRPr="00B55691">
        <w:rPr>
          <w:sz w:val="24"/>
          <w:lang w:bidi="x-none"/>
        </w:rPr>
        <w:lastRenderedPageBreak/>
        <w:t xml:space="preserve">Labor Force Status: </w:t>
      </w:r>
    </w:p>
    <w:p w14:paraId="1F68802D" w14:textId="4BAFE07B" w:rsidR="00AC35A7" w:rsidRPr="00B55691" w:rsidRDefault="00155C85" w:rsidP="005F048A">
      <w:pPr>
        <w:widowControl/>
        <w:numPr>
          <w:ilvl w:val="0"/>
          <w:numId w:val="86"/>
        </w:numPr>
        <w:autoSpaceDE/>
        <w:autoSpaceDN/>
        <w:adjustRightInd/>
        <w:rPr>
          <w:lang w:bidi="x-none"/>
        </w:rPr>
      </w:pPr>
      <w:r>
        <w:rPr>
          <w:sz w:val="24"/>
          <w:lang w:bidi="x-none"/>
        </w:rPr>
        <w:t>N</w:t>
      </w:r>
      <w:r w:rsidR="00AC35A7" w:rsidRPr="00B55691">
        <w:rPr>
          <w:sz w:val="24"/>
          <w:lang w:bidi="x-none"/>
        </w:rPr>
        <w:t>o more than 1/5 retired.</w:t>
      </w:r>
    </w:p>
    <w:p w14:paraId="070A0310" w14:textId="3543A91F" w:rsidR="00AC35A7" w:rsidRPr="00B55691" w:rsidRDefault="00155C85" w:rsidP="005F048A">
      <w:pPr>
        <w:widowControl/>
        <w:numPr>
          <w:ilvl w:val="0"/>
          <w:numId w:val="86"/>
        </w:numPr>
        <w:autoSpaceDE/>
        <w:autoSpaceDN/>
        <w:adjustRightInd/>
        <w:rPr>
          <w:lang w:bidi="x-none"/>
        </w:rPr>
      </w:pPr>
      <w:r>
        <w:rPr>
          <w:sz w:val="24"/>
          <w:lang w:bidi="x-none"/>
        </w:rPr>
        <w:t>N</w:t>
      </w:r>
      <w:r w:rsidR="00AC35A7" w:rsidRPr="00B55691">
        <w:rPr>
          <w:sz w:val="24"/>
          <w:lang w:bidi="x-none"/>
        </w:rPr>
        <w:t xml:space="preserve">o more than 1/5 self-employed. </w:t>
      </w:r>
    </w:p>
    <w:p w14:paraId="26241F95" w14:textId="7FBBED50" w:rsidR="00AC35A7" w:rsidRPr="00B55691" w:rsidRDefault="00155C85" w:rsidP="005F048A">
      <w:pPr>
        <w:widowControl/>
        <w:numPr>
          <w:ilvl w:val="0"/>
          <w:numId w:val="86"/>
        </w:numPr>
        <w:autoSpaceDE/>
        <w:autoSpaceDN/>
        <w:adjustRightInd/>
        <w:rPr>
          <w:lang w:bidi="x-none"/>
        </w:rPr>
      </w:pPr>
      <w:r>
        <w:rPr>
          <w:sz w:val="24"/>
          <w:lang w:bidi="x-none"/>
        </w:rPr>
        <w:t>A</w:t>
      </w:r>
      <w:r w:rsidR="00AC35A7" w:rsidRPr="00B55691">
        <w:rPr>
          <w:sz w:val="24"/>
          <w:lang w:bidi="x-none"/>
        </w:rPr>
        <w:t xml:space="preserve">t least </w:t>
      </w:r>
      <w:r w:rsidR="00AC35A7">
        <w:rPr>
          <w:sz w:val="24"/>
          <w:lang w:bidi="x-none"/>
        </w:rPr>
        <w:t>1/2</w:t>
      </w:r>
      <w:r w:rsidR="00AC35A7" w:rsidRPr="00B55691">
        <w:rPr>
          <w:sz w:val="24"/>
          <w:lang w:bidi="x-none"/>
        </w:rPr>
        <w:t xml:space="preserve"> working for someone else</w:t>
      </w:r>
      <w:r w:rsidR="00AC35A7">
        <w:rPr>
          <w:sz w:val="24"/>
          <w:lang w:bidi="x-none"/>
        </w:rPr>
        <w:t>.</w:t>
      </w:r>
    </w:p>
    <w:p w14:paraId="52DC5565" w14:textId="678C1B35" w:rsidR="00AC35A7" w:rsidRPr="004E3787" w:rsidRDefault="00AC35A7" w:rsidP="005F048A">
      <w:pPr>
        <w:widowControl/>
        <w:numPr>
          <w:ilvl w:val="1"/>
          <w:numId w:val="85"/>
        </w:numPr>
        <w:autoSpaceDE/>
        <w:autoSpaceDN/>
        <w:adjustRightInd/>
        <w:rPr>
          <w:sz w:val="24"/>
        </w:rPr>
      </w:pPr>
      <w:r w:rsidRPr="004E3787">
        <w:rPr>
          <w:sz w:val="24"/>
          <w:lang w:bidi="x-none"/>
        </w:rPr>
        <w:t>Age</w:t>
      </w:r>
      <w:r>
        <w:rPr>
          <w:sz w:val="24"/>
          <w:lang w:bidi="x-none"/>
        </w:rPr>
        <w:t xml:space="preserve">: </w:t>
      </w:r>
      <w:r w:rsidR="00155C85">
        <w:rPr>
          <w:sz w:val="24"/>
          <w:lang w:bidi="x-none"/>
        </w:rPr>
        <w:t>A</w:t>
      </w:r>
      <w:r>
        <w:rPr>
          <w:sz w:val="24"/>
          <w:lang w:bidi="x-none"/>
        </w:rPr>
        <w:t>t least 1/4 in each of three categories—25-40, 41-55, 56+.</w:t>
      </w:r>
    </w:p>
    <w:p w14:paraId="69C4DB5B" w14:textId="04FCB7EB" w:rsidR="00AC35A7" w:rsidRPr="00B55691" w:rsidRDefault="00AC35A7" w:rsidP="005F048A">
      <w:pPr>
        <w:widowControl/>
        <w:numPr>
          <w:ilvl w:val="1"/>
          <w:numId w:val="85"/>
        </w:numPr>
        <w:autoSpaceDE/>
        <w:autoSpaceDN/>
        <w:adjustRightInd/>
        <w:rPr>
          <w:lang w:bidi="x-none"/>
        </w:rPr>
      </w:pPr>
      <w:r w:rsidRPr="00B55691">
        <w:rPr>
          <w:sz w:val="24"/>
        </w:rPr>
        <w:t>G</w:t>
      </w:r>
      <w:r w:rsidRPr="00B55691">
        <w:rPr>
          <w:sz w:val="24"/>
          <w:lang w:bidi="x-none"/>
        </w:rPr>
        <w:t xml:space="preserve">ender: </w:t>
      </w:r>
      <w:r w:rsidR="00155C85">
        <w:rPr>
          <w:sz w:val="24"/>
          <w:lang w:bidi="x-none"/>
        </w:rPr>
        <w:t>A</w:t>
      </w:r>
      <w:r w:rsidRPr="00B55691">
        <w:rPr>
          <w:sz w:val="24"/>
          <w:lang w:bidi="x-none"/>
        </w:rPr>
        <w:t>t least 1/3 women, but no more than 2/3</w:t>
      </w:r>
    </w:p>
    <w:p w14:paraId="40201FD4" w14:textId="6E2868EB" w:rsidR="00AC35A7" w:rsidRDefault="00AC35A7" w:rsidP="005F048A">
      <w:pPr>
        <w:widowControl/>
        <w:numPr>
          <w:ilvl w:val="1"/>
          <w:numId w:val="85"/>
        </w:numPr>
        <w:autoSpaceDE/>
        <w:autoSpaceDN/>
        <w:adjustRightInd/>
        <w:rPr>
          <w:lang w:bidi="x-none"/>
        </w:rPr>
      </w:pPr>
      <w:r w:rsidRPr="00B55691">
        <w:rPr>
          <w:sz w:val="24"/>
          <w:lang w:bidi="x-none"/>
        </w:rPr>
        <w:t xml:space="preserve">Race: </w:t>
      </w:r>
      <w:r w:rsidR="00155C85">
        <w:rPr>
          <w:sz w:val="24"/>
          <w:lang w:bidi="x-none"/>
        </w:rPr>
        <w:t>A</w:t>
      </w:r>
      <w:r w:rsidRPr="00B55691">
        <w:rPr>
          <w:sz w:val="24"/>
          <w:lang w:bidi="x-none"/>
        </w:rPr>
        <w:t>t least 1/3 white, non-Hispanic, but no more than 4/5</w:t>
      </w:r>
      <w:r>
        <w:rPr>
          <w:sz w:val="24"/>
          <w:lang w:bidi="x-none"/>
        </w:rPr>
        <w:t>.</w:t>
      </w:r>
      <w:r w:rsidRPr="00B55691">
        <w:rPr>
          <w:sz w:val="24"/>
          <w:lang w:bidi="x-none"/>
        </w:rPr>
        <w:t xml:space="preserve"> </w:t>
      </w:r>
    </w:p>
    <w:p w14:paraId="2B71E5D4" w14:textId="1F4DE234" w:rsidR="00AC35A7" w:rsidRPr="004E3787" w:rsidRDefault="00AC35A7" w:rsidP="005F048A">
      <w:pPr>
        <w:widowControl/>
        <w:numPr>
          <w:ilvl w:val="1"/>
          <w:numId w:val="85"/>
        </w:numPr>
        <w:autoSpaceDE/>
        <w:autoSpaceDN/>
        <w:adjustRightInd/>
        <w:rPr>
          <w:sz w:val="24"/>
          <w:lang w:bidi="x-none"/>
        </w:rPr>
      </w:pPr>
      <w:r w:rsidRPr="00B55691">
        <w:rPr>
          <w:sz w:val="24"/>
          <w:lang w:bidi="x-none"/>
        </w:rPr>
        <w:t xml:space="preserve">Education: </w:t>
      </w:r>
      <w:r w:rsidR="00155C85">
        <w:rPr>
          <w:sz w:val="24"/>
          <w:lang w:bidi="x-none"/>
        </w:rPr>
        <w:t>A</w:t>
      </w:r>
      <w:r w:rsidRPr="00B55691">
        <w:rPr>
          <w:sz w:val="24"/>
          <w:lang w:bidi="x-none"/>
        </w:rPr>
        <w:t>t least 1/5 “Bachelor’s degree” or higher, but no more than 4/5</w:t>
      </w:r>
      <w:r>
        <w:rPr>
          <w:sz w:val="24"/>
          <w:lang w:bidi="x-none"/>
        </w:rPr>
        <w:t>.</w:t>
      </w:r>
    </w:p>
    <w:p w14:paraId="4B8AB960" w14:textId="77777777" w:rsidR="00AC35A7" w:rsidRPr="00B55691" w:rsidRDefault="00AC35A7" w:rsidP="00AC35A7">
      <w:pPr>
        <w:ind w:left="720"/>
        <w:rPr>
          <w:lang w:bidi="x-none"/>
        </w:rPr>
      </w:pPr>
    </w:p>
    <w:p w14:paraId="23F67D08" w14:textId="77777777" w:rsidR="00AC35A7" w:rsidRPr="00426990" w:rsidRDefault="00AC35A7" w:rsidP="00AC35A7">
      <w:pPr>
        <w:rPr>
          <w:sz w:val="24"/>
        </w:rPr>
      </w:pPr>
      <w:r>
        <w:rPr>
          <w:sz w:val="24"/>
        </w:rPr>
        <w:t xml:space="preserve">The responses to the recruitment screening questionnaire will be used to track progress toward meeting these targets and to determine when any targets have been reached.  Best efforts will be made to reach each of these targets in order to obtain a collection of 30 participants with a wide range of experiences and backgrounds that may lead to differences in how they interpret and how well they understand the key concepts and terminology of interest in the On the Road to Retirement Study surveys.  These surveys will be administered to U.S. households that include at least one individual who is at least 25 years of age. </w:t>
      </w:r>
    </w:p>
    <w:p w14:paraId="422757A0" w14:textId="77777777" w:rsidR="00AC35A7" w:rsidRDefault="00AC35A7" w:rsidP="00AC35A7">
      <w:pPr>
        <w:rPr>
          <w:sz w:val="24"/>
        </w:rPr>
      </w:pPr>
    </w:p>
    <w:p w14:paraId="7A59660B" w14:textId="77777777" w:rsidR="00B17FB2" w:rsidRDefault="00B17FB2" w:rsidP="00B17FB2">
      <w:pPr>
        <w:rPr>
          <w:sz w:val="24"/>
        </w:rPr>
      </w:pPr>
      <w:r w:rsidRPr="006A09F8">
        <w:rPr>
          <w:sz w:val="24"/>
        </w:rPr>
        <w:t xml:space="preserve">Participants will be offered a financial incentive of $40 to be paid upon completion of the </w:t>
      </w:r>
      <w:r w:rsidR="00EB3A12">
        <w:rPr>
          <w:sz w:val="24"/>
        </w:rPr>
        <w:t xml:space="preserve">cognitive </w:t>
      </w:r>
      <w:r w:rsidRPr="006A09F8">
        <w:rPr>
          <w:sz w:val="24"/>
        </w:rPr>
        <w:t>interview.</w:t>
      </w:r>
      <w:r>
        <w:rPr>
          <w:sz w:val="24"/>
        </w:rPr>
        <w:t xml:space="preserve">  Based on our prior experience recruiting for focus groups and individual interviews, as well as discussions with potential vendors, we believe that intensive efforts will be required in order to recruit 30 participants with a $40 incentive.  We anticipate a participation rate of less than 5% among eligible individuals who are contacted by a recruiter.</w:t>
      </w:r>
    </w:p>
    <w:p w14:paraId="52ACBACB" w14:textId="77777777" w:rsidR="00B17FB2" w:rsidRDefault="00B17FB2" w:rsidP="00AC35A7">
      <w:pPr>
        <w:rPr>
          <w:sz w:val="24"/>
        </w:rPr>
      </w:pPr>
    </w:p>
    <w:p w14:paraId="4786CEE5" w14:textId="09EBAED9" w:rsidR="00AC35A7" w:rsidRDefault="00AC35A7" w:rsidP="00AC35A7">
      <w:pPr>
        <w:rPr>
          <w:sz w:val="24"/>
        </w:rPr>
      </w:pPr>
      <w:r>
        <w:rPr>
          <w:sz w:val="24"/>
        </w:rPr>
        <w:t xml:space="preserve">The findings from the cognitive interviews will be qualitative in nature and will only be applied to the sample of participants.  The selection mechanism will not obtain a representative sample of a broader population, and it has not been designed to do so.  Rather, a range of participant backgrounds is desired in order to increase the likelihood of identifying areas of concern that would arise when the surveys are administered to thousands of On the Road to Retirement Study households across the United States.  However, another key factor in determining the targets is the desire to include participants </w:t>
      </w:r>
      <w:r w:rsidR="00830E6C">
        <w:rPr>
          <w:sz w:val="24"/>
        </w:rPr>
        <w:t>who have</w:t>
      </w:r>
      <w:r>
        <w:rPr>
          <w:sz w:val="24"/>
        </w:rPr>
        <w:t xml:space="preserve"> some familiarity with the central behaviors of interest that distinguish this study from others, such as participation in an employer-sponsored DC plan, use of a financial </w:t>
      </w:r>
      <w:r w:rsidR="00407ED4">
        <w:rPr>
          <w:sz w:val="24"/>
        </w:rPr>
        <w:t>adviser</w:t>
      </w:r>
      <w:r>
        <w:rPr>
          <w:sz w:val="24"/>
        </w:rPr>
        <w:t xml:space="preserve"> for retirement planning, and personal responsibility for making long-term saving and investment plans.</w:t>
      </w:r>
    </w:p>
    <w:p w14:paraId="19BBF62B" w14:textId="77777777" w:rsidR="00AC35A7" w:rsidRDefault="00AC35A7" w:rsidP="00AC35A7">
      <w:pPr>
        <w:rPr>
          <w:sz w:val="24"/>
        </w:rPr>
      </w:pPr>
    </w:p>
    <w:p w14:paraId="5ADF9454" w14:textId="77777777" w:rsidR="00AC35A7" w:rsidRPr="00EE452D" w:rsidRDefault="00AC35A7" w:rsidP="00EE452D">
      <w:pPr>
        <w:keepNext/>
        <w:widowControl/>
        <w:tabs>
          <w:tab w:val="num" w:pos="864"/>
        </w:tabs>
        <w:autoSpaceDE/>
        <w:autoSpaceDN/>
        <w:adjustRightInd/>
        <w:spacing w:before="240" w:after="60"/>
        <w:ind w:left="864" w:hanging="864"/>
        <w:outlineLvl w:val="3"/>
        <w:rPr>
          <w:bCs/>
          <w:i/>
          <w:sz w:val="24"/>
        </w:rPr>
      </w:pPr>
      <w:r w:rsidRPr="00EE452D">
        <w:rPr>
          <w:bCs/>
          <w:i/>
          <w:sz w:val="24"/>
        </w:rPr>
        <w:t xml:space="preserve">Pilot Surveys and Respondent Debriefing </w:t>
      </w:r>
    </w:p>
    <w:p w14:paraId="4E4A4A02" w14:textId="77777777" w:rsidR="00AC35A7" w:rsidRPr="006A09F8" w:rsidRDefault="00AC35A7" w:rsidP="00AC35A7">
      <w:pPr>
        <w:rPr>
          <w:b/>
          <w:sz w:val="24"/>
        </w:rPr>
      </w:pPr>
    </w:p>
    <w:p w14:paraId="6B2161B9" w14:textId="790C4E3C" w:rsidR="00AC35A7" w:rsidRDefault="00AC35A7" w:rsidP="00AC35A7">
      <w:pPr>
        <w:rPr>
          <w:sz w:val="24"/>
        </w:rPr>
      </w:pPr>
      <w:r w:rsidRPr="006A09F8">
        <w:rPr>
          <w:sz w:val="24"/>
        </w:rPr>
        <w:t xml:space="preserve">Potential respondents to the pilot surveys will be selected from </w:t>
      </w:r>
      <w:r>
        <w:rPr>
          <w:sz w:val="24"/>
        </w:rPr>
        <w:t xml:space="preserve">among </w:t>
      </w:r>
      <w:r w:rsidRPr="006A09F8">
        <w:rPr>
          <w:sz w:val="24"/>
        </w:rPr>
        <w:t>all</w:t>
      </w:r>
      <w:r>
        <w:rPr>
          <w:sz w:val="24"/>
        </w:rPr>
        <w:t xml:space="preserve"> active</w:t>
      </w:r>
      <w:r w:rsidR="000E0B10">
        <w:rPr>
          <w:sz w:val="24"/>
        </w:rPr>
        <w:t xml:space="preserve"> respondents to the RAND</w:t>
      </w:r>
      <w:r w:rsidRPr="006A09F8">
        <w:rPr>
          <w:sz w:val="24"/>
        </w:rPr>
        <w:t xml:space="preserve"> American Life Panel (ALP)</w:t>
      </w:r>
      <w:r w:rsidR="007B652C">
        <w:rPr>
          <w:sz w:val="24"/>
        </w:rPr>
        <w:t xml:space="preserve"> (see </w:t>
      </w:r>
      <w:r w:rsidR="007B652C" w:rsidRPr="007B652C">
        <w:rPr>
          <w:sz w:val="24"/>
        </w:rPr>
        <w:t>https://mmicdata.rand.org/alp/</w:t>
      </w:r>
      <w:r w:rsidR="007B652C">
        <w:rPr>
          <w:sz w:val="24"/>
        </w:rPr>
        <w:t>)</w:t>
      </w:r>
      <w:r w:rsidRPr="006A09F8">
        <w:rPr>
          <w:sz w:val="24"/>
        </w:rPr>
        <w:t>.  We will attempt to survey 4</w:t>
      </w:r>
      <w:r>
        <w:rPr>
          <w:sz w:val="24"/>
        </w:rPr>
        <w:t>6</w:t>
      </w:r>
      <w:r w:rsidRPr="006A09F8">
        <w:rPr>
          <w:sz w:val="24"/>
        </w:rPr>
        <w:t>5 ALP panel members from 16 different strata defined by the respondent’s age, living situation, and employment status</w:t>
      </w:r>
      <w:r w:rsidR="00235293">
        <w:rPr>
          <w:sz w:val="24"/>
        </w:rPr>
        <w:t xml:space="preserve">.  </w:t>
      </w:r>
      <w:r w:rsidRPr="00115B05">
        <w:rPr>
          <w:sz w:val="24"/>
        </w:rPr>
        <w:t xml:space="preserve">Of the 465 attempted surveys, 375 will be Internet surveys </w:t>
      </w:r>
      <w:r w:rsidRPr="00115B05">
        <w:rPr>
          <w:sz w:val="24"/>
        </w:rPr>
        <w:lastRenderedPageBreak/>
        <w:t xml:space="preserve">and 90 will be mail-out </w:t>
      </w:r>
      <w:r>
        <w:rPr>
          <w:sz w:val="24"/>
        </w:rPr>
        <w:t xml:space="preserve">surveys, as described in Table </w:t>
      </w:r>
      <w:r w:rsidR="0021302A">
        <w:rPr>
          <w:sz w:val="24"/>
        </w:rPr>
        <w:t>6</w:t>
      </w:r>
      <w:r w:rsidRPr="00115B05">
        <w:rPr>
          <w:sz w:val="24"/>
        </w:rPr>
        <w:t>.</w:t>
      </w:r>
      <w:r w:rsidR="00235293">
        <w:rPr>
          <w:sz w:val="24"/>
        </w:rPr>
        <w:t xml:space="preserve">  Appendix </w:t>
      </w:r>
      <w:r w:rsidR="004038BF">
        <w:rPr>
          <w:sz w:val="24"/>
        </w:rPr>
        <w:t>3</w:t>
      </w:r>
      <w:r w:rsidR="00235293">
        <w:rPr>
          <w:sz w:val="24"/>
        </w:rPr>
        <w:t xml:space="preserve"> contains</w:t>
      </w:r>
      <w:r w:rsidR="00A443DC">
        <w:rPr>
          <w:sz w:val="24"/>
        </w:rPr>
        <w:t xml:space="preserve"> drafts of</w:t>
      </w:r>
      <w:r w:rsidR="00235293">
        <w:rPr>
          <w:sz w:val="24"/>
        </w:rPr>
        <w:t xml:space="preserve"> cover letters and email messages to be sent to potential participants.  </w:t>
      </w:r>
    </w:p>
    <w:p w14:paraId="7AAEE3F9" w14:textId="0AE47294" w:rsidR="00F853A5" w:rsidRDefault="00F853A5">
      <w:pPr>
        <w:widowControl/>
        <w:autoSpaceDE/>
        <w:autoSpaceDN/>
        <w:adjustRightInd/>
        <w:rPr>
          <w:b/>
          <w:bCs/>
          <w:color w:val="000000"/>
          <w:szCs w:val="21"/>
        </w:rPr>
      </w:pPr>
    </w:p>
    <w:p w14:paraId="226CCBB5" w14:textId="77777777" w:rsidR="00AC35A7" w:rsidRDefault="00AC35A7" w:rsidP="00AC35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14:paraId="42CFA928" w14:textId="77777777" w:rsidR="00F853A5" w:rsidRDefault="00F853A5" w:rsidP="00AC35A7">
      <w:pPr>
        <w:rPr>
          <w:sz w:val="24"/>
        </w:rPr>
      </w:pPr>
      <w:r>
        <w:rPr>
          <w:sz w:val="24"/>
        </w:rPr>
        <w:t>Table 6. Breakdown of Sample by Survey Mode</w:t>
      </w:r>
    </w:p>
    <w:p w14:paraId="33994B88" w14:textId="77777777" w:rsidR="00F853A5" w:rsidRDefault="00F853A5" w:rsidP="00AC35A7">
      <w:pPr>
        <w:rPr>
          <w:sz w:val="24"/>
        </w:rPr>
      </w:pPr>
    </w:p>
    <w:tbl>
      <w:tblPr>
        <w:tblW w:w="9260" w:type="dxa"/>
        <w:tblInd w:w="93" w:type="dxa"/>
        <w:tblLook w:val="04A0" w:firstRow="1" w:lastRow="0" w:firstColumn="1" w:lastColumn="0" w:noHBand="0" w:noVBand="1"/>
      </w:tblPr>
      <w:tblGrid>
        <w:gridCol w:w="1404"/>
        <w:gridCol w:w="1280"/>
        <w:gridCol w:w="925"/>
        <w:gridCol w:w="900"/>
        <w:gridCol w:w="823"/>
        <w:gridCol w:w="1280"/>
        <w:gridCol w:w="925"/>
        <w:gridCol w:w="900"/>
        <w:gridCol w:w="823"/>
      </w:tblGrid>
      <w:tr w:rsidR="00F853A5" w:rsidRPr="00F853A5" w14:paraId="103FA300" w14:textId="77777777" w:rsidTr="00F853A5">
        <w:trPr>
          <w:trHeight w:val="300"/>
        </w:trPr>
        <w:tc>
          <w:tcPr>
            <w:tcW w:w="18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AF37EBE"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Respondent Living Situation and Age</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A520CCD"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INTERNET SURVEYS</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8C1DCC8"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MAIL-OUT SURVEYS</w:t>
            </w:r>
          </w:p>
        </w:tc>
      </w:tr>
      <w:tr w:rsidR="00F853A5" w:rsidRPr="00F853A5" w14:paraId="4CA7FA5E" w14:textId="77777777" w:rsidTr="00F853A5">
        <w:trPr>
          <w:trHeight w:val="300"/>
        </w:trPr>
        <w:tc>
          <w:tcPr>
            <w:tcW w:w="1820" w:type="dxa"/>
            <w:vMerge/>
            <w:tcBorders>
              <w:top w:val="single" w:sz="8" w:space="0" w:color="auto"/>
              <w:left w:val="single" w:sz="8" w:space="0" w:color="auto"/>
              <w:bottom w:val="single" w:sz="8" w:space="0" w:color="000000"/>
              <w:right w:val="single" w:sz="8" w:space="0" w:color="auto"/>
            </w:tcBorders>
            <w:vAlign w:val="center"/>
            <w:hideMark/>
          </w:tcPr>
          <w:p w14:paraId="745CEF45" w14:textId="77777777" w:rsidR="00F853A5" w:rsidRPr="003F513A" w:rsidRDefault="00F853A5" w:rsidP="00F853A5">
            <w:pPr>
              <w:widowControl/>
              <w:autoSpaceDE/>
              <w:autoSpaceDN/>
              <w:adjustRightInd/>
              <w:rPr>
                <w:b/>
                <w:bCs/>
                <w:color w:val="000000"/>
                <w:sz w:val="22"/>
                <w:szCs w:val="22"/>
              </w:rPr>
            </w:pPr>
          </w:p>
        </w:tc>
        <w:tc>
          <w:tcPr>
            <w:tcW w:w="3020" w:type="dxa"/>
            <w:gridSpan w:val="3"/>
            <w:tcBorders>
              <w:top w:val="single" w:sz="8" w:space="0" w:color="auto"/>
              <w:left w:val="nil"/>
              <w:bottom w:val="single" w:sz="8" w:space="0" w:color="auto"/>
              <w:right w:val="nil"/>
            </w:tcBorders>
            <w:shd w:val="clear" w:color="auto" w:fill="auto"/>
            <w:vAlign w:val="bottom"/>
            <w:hideMark/>
          </w:tcPr>
          <w:p w14:paraId="2C5413B8"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Respondent Labor Force Status</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hideMark/>
          </w:tcPr>
          <w:p w14:paraId="308531D1"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Total</w:t>
            </w:r>
          </w:p>
        </w:tc>
        <w:tc>
          <w:tcPr>
            <w:tcW w:w="3020" w:type="dxa"/>
            <w:gridSpan w:val="3"/>
            <w:tcBorders>
              <w:top w:val="single" w:sz="8" w:space="0" w:color="auto"/>
              <w:left w:val="nil"/>
              <w:bottom w:val="single" w:sz="8" w:space="0" w:color="auto"/>
              <w:right w:val="nil"/>
            </w:tcBorders>
            <w:shd w:val="clear" w:color="auto" w:fill="auto"/>
            <w:vAlign w:val="bottom"/>
            <w:hideMark/>
          </w:tcPr>
          <w:p w14:paraId="00D4ECB5"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Respondent Labor Force Status</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hideMark/>
          </w:tcPr>
          <w:p w14:paraId="03897DB3"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Total</w:t>
            </w:r>
          </w:p>
        </w:tc>
      </w:tr>
      <w:tr w:rsidR="00F853A5" w:rsidRPr="00F853A5" w14:paraId="44004F75" w14:textId="77777777" w:rsidTr="003F513A">
        <w:trPr>
          <w:trHeight w:val="732"/>
        </w:trPr>
        <w:tc>
          <w:tcPr>
            <w:tcW w:w="1820" w:type="dxa"/>
            <w:tcBorders>
              <w:top w:val="nil"/>
              <w:left w:val="single" w:sz="8" w:space="0" w:color="auto"/>
              <w:bottom w:val="single" w:sz="8" w:space="0" w:color="auto"/>
              <w:right w:val="single" w:sz="8" w:space="0" w:color="auto"/>
            </w:tcBorders>
            <w:shd w:val="clear" w:color="auto" w:fill="auto"/>
            <w:vAlign w:val="bottom"/>
            <w:hideMark/>
          </w:tcPr>
          <w:p w14:paraId="633CD247"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Living with a spouse or partner</w:t>
            </w:r>
          </w:p>
        </w:tc>
        <w:tc>
          <w:tcPr>
            <w:tcW w:w="1220" w:type="dxa"/>
            <w:tcBorders>
              <w:top w:val="nil"/>
              <w:left w:val="nil"/>
              <w:bottom w:val="single" w:sz="8" w:space="0" w:color="auto"/>
              <w:right w:val="nil"/>
            </w:tcBorders>
            <w:shd w:val="clear" w:color="auto" w:fill="auto"/>
            <w:vAlign w:val="bottom"/>
            <w:hideMark/>
          </w:tcPr>
          <w:p w14:paraId="2F5BDE7D"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72731C14"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45090DB9"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Other</w:t>
            </w:r>
          </w:p>
        </w:tc>
        <w:tc>
          <w:tcPr>
            <w:tcW w:w="700" w:type="dxa"/>
            <w:vMerge/>
            <w:tcBorders>
              <w:top w:val="nil"/>
              <w:left w:val="single" w:sz="8" w:space="0" w:color="auto"/>
              <w:bottom w:val="single" w:sz="8" w:space="0" w:color="000000"/>
              <w:right w:val="single" w:sz="8" w:space="0" w:color="auto"/>
            </w:tcBorders>
            <w:vAlign w:val="center"/>
            <w:hideMark/>
          </w:tcPr>
          <w:p w14:paraId="07603FC3" w14:textId="77777777" w:rsidR="00F853A5" w:rsidRPr="003F513A" w:rsidRDefault="00F853A5" w:rsidP="00F853A5">
            <w:pPr>
              <w:widowControl/>
              <w:autoSpaceDE/>
              <w:autoSpaceDN/>
              <w:adjustRightInd/>
              <w:rPr>
                <w:b/>
                <w:bCs/>
                <w:color w:val="000000"/>
                <w:sz w:val="22"/>
                <w:szCs w:val="22"/>
              </w:rPr>
            </w:pPr>
          </w:p>
        </w:tc>
        <w:tc>
          <w:tcPr>
            <w:tcW w:w="1220" w:type="dxa"/>
            <w:tcBorders>
              <w:top w:val="nil"/>
              <w:left w:val="nil"/>
              <w:bottom w:val="single" w:sz="8" w:space="0" w:color="auto"/>
              <w:right w:val="nil"/>
            </w:tcBorders>
            <w:shd w:val="clear" w:color="auto" w:fill="auto"/>
            <w:vAlign w:val="bottom"/>
            <w:hideMark/>
          </w:tcPr>
          <w:p w14:paraId="127ACF3E"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0C6D483B"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5778B694"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Other</w:t>
            </w:r>
          </w:p>
        </w:tc>
        <w:tc>
          <w:tcPr>
            <w:tcW w:w="700" w:type="dxa"/>
            <w:vMerge/>
            <w:tcBorders>
              <w:top w:val="nil"/>
              <w:left w:val="single" w:sz="8" w:space="0" w:color="auto"/>
              <w:bottom w:val="single" w:sz="8" w:space="0" w:color="000000"/>
              <w:right w:val="single" w:sz="8" w:space="0" w:color="auto"/>
            </w:tcBorders>
            <w:vAlign w:val="center"/>
            <w:hideMark/>
          </w:tcPr>
          <w:p w14:paraId="4D013FFB" w14:textId="77777777" w:rsidR="00F853A5" w:rsidRPr="003F513A" w:rsidRDefault="00F853A5" w:rsidP="00F853A5">
            <w:pPr>
              <w:widowControl/>
              <w:autoSpaceDE/>
              <w:autoSpaceDN/>
              <w:adjustRightInd/>
              <w:rPr>
                <w:b/>
                <w:bCs/>
                <w:color w:val="000000"/>
                <w:sz w:val="22"/>
                <w:szCs w:val="22"/>
              </w:rPr>
            </w:pPr>
          </w:p>
        </w:tc>
      </w:tr>
      <w:tr w:rsidR="00F853A5" w:rsidRPr="00F853A5" w14:paraId="4324BACD" w14:textId="77777777" w:rsidTr="003F513A">
        <w:trPr>
          <w:trHeight w:val="288"/>
        </w:trPr>
        <w:tc>
          <w:tcPr>
            <w:tcW w:w="1820" w:type="dxa"/>
            <w:tcBorders>
              <w:top w:val="nil"/>
              <w:left w:val="single" w:sz="8" w:space="0" w:color="auto"/>
              <w:bottom w:val="nil"/>
              <w:right w:val="single" w:sz="8" w:space="0" w:color="auto"/>
            </w:tcBorders>
            <w:shd w:val="clear" w:color="auto" w:fill="auto"/>
            <w:vAlign w:val="bottom"/>
            <w:hideMark/>
          </w:tcPr>
          <w:p w14:paraId="5AF51C16" w14:textId="77777777" w:rsidR="00F853A5" w:rsidRPr="003F513A" w:rsidRDefault="00F853A5" w:rsidP="00F853A5">
            <w:pPr>
              <w:widowControl/>
              <w:autoSpaceDE/>
              <w:autoSpaceDN/>
              <w:adjustRightInd/>
              <w:jc w:val="center"/>
              <w:rPr>
                <w:color w:val="000000"/>
                <w:sz w:val="24"/>
              </w:rPr>
            </w:pPr>
            <w:r w:rsidRPr="003F513A">
              <w:rPr>
                <w:color w:val="000000"/>
                <w:sz w:val="24"/>
              </w:rPr>
              <w:t>Age 25-40</w:t>
            </w:r>
          </w:p>
        </w:tc>
        <w:tc>
          <w:tcPr>
            <w:tcW w:w="1220" w:type="dxa"/>
            <w:tcBorders>
              <w:top w:val="nil"/>
              <w:left w:val="nil"/>
              <w:bottom w:val="nil"/>
              <w:right w:val="nil"/>
            </w:tcBorders>
            <w:shd w:val="clear" w:color="auto" w:fill="auto"/>
            <w:noWrap/>
            <w:vAlign w:val="bottom"/>
            <w:hideMark/>
          </w:tcPr>
          <w:p w14:paraId="08435701" w14:textId="77777777" w:rsidR="00F853A5" w:rsidRPr="003F513A" w:rsidRDefault="00F853A5" w:rsidP="00F853A5">
            <w:pPr>
              <w:widowControl/>
              <w:autoSpaceDE/>
              <w:autoSpaceDN/>
              <w:adjustRightInd/>
              <w:jc w:val="center"/>
              <w:rPr>
                <w:color w:val="000000"/>
                <w:sz w:val="24"/>
              </w:rPr>
            </w:pPr>
            <w:r w:rsidRPr="003F513A">
              <w:rPr>
                <w:color w:val="000000"/>
                <w:sz w:val="24"/>
              </w:rPr>
              <w:t>62</w:t>
            </w:r>
          </w:p>
        </w:tc>
        <w:tc>
          <w:tcPr>
            <w:tcW w:w="900" w:type="dxa"/>
            <w:tcBorders>
              <w:top w:val="nil"/>
              <w:left w:val="single" w:sz="4" w:space="0" w:color="auto"/>
              <w:bottom w:val="nil"/>
              <w:right w:val="single" w:sz="4" w:space="0" w:color="auto"/>
            </w:tcBorders>
            <w:shd w:val="clear" w:color="auto" w:fill="auto"/>
            <w:noWrap/>
            <w:vAlign w:val="bottom"/>
            <w:hideMark/>
          </w:tcPr>
          <w:p w14:paraId="1A6D8121" w14:textId="77777777" w:rsidR="00F853A5" w:rsidRPr="003F513A" w:rsidRDefault="00F853A5" w:rsidP="00F853A5">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nil"/>
            </w:tcBorders>
            <w:shd w:val="clear" w:color="auto" w:fill="auto"/>
            <w:noWrap/>
            <w:vAlign w:val="bottom"/>
            <w:hideMark/>
          </w:tcPr>
          <w:p w14:paraId="75FF9891" w14:textId="77777777" w:rsidR="00F853A5" w:rsidRPr="003F513A" w:rsidRDefault="00F853A5" w:rsidP="00F853A5">
            <w:pPr>
              <w:widowControl/>
              <w:autoSpaceDE/>
              <w:autoSpaceDN/>
              <w:adjustRightInd/>
              <w:jc w:val="center"/>
              <w:rPr>
                <w:color w:val="000000"/>
                <w:sz w:val="24"/>
              </w:rPr>
            </w:pPr>
            <w:r w:rsidRPr="003F513A">
              <w:rPr>
                <w:color w:val="000000"/>
                <w:sz w:val="24"/>
              </w:rPr>
              <w:t>13</w:t>
            </w:r>
          </w:p>
        </w:tc>
        <w:tc>
          <w:tcPr>
            <w:tcW w:w="700" w:type="dxa"/>
            <w:tcBorders>
              <w:top w:val="nil"/>
              <w:left w:val="single" w:sz="8" w:space="0" w:color="auto"/>
              <w:bottom w:val="nil"/>
              <w:right w:val="single" w:sz="8" w:space="0" w:color="auto"/>
            </w:tcBorders>
            <w:shd w:val="clear" w:color="auto" w:fill="auto"/>
            <w:noWrap/>
            <w:vAlign w:val="bottom"/>
            <w:hideMark/>
          </w:tcPr>
          <w:p w14:paraId="698CDAC0" w14:textId="77777777" w:rsidR="00F853A5" w:rsidRPr="003F513A" w:rsidRDefault="00F853A5" w:rsidP="00F853A5">
            <w:pPr>
              <w:widowControl/>
              <w:autoSpaceDE/>
              <w:autoSpaceDN/>
              <w:adjustRightInd/>
              <w:jc w:val="center"/>
              <w:rPr>
                <w:color w:val="000000"/>
                <w:sz w:val="24"/>
              </w:rPr>
            </w:pPr>
            <w:r w:rsidRPr="003F513A">
              <w:rPr>
                <w:color w:val="000000"/>
                <w:sz w:val="24"/>
              </w:rPr>
              <w:t>75</w:t>
            </w:r>
          </w:p>
        </w:tc>
        <w:tc>
          <w:tcPr>
            <w:tcW w:w="1220" w:type="dxa"/>
            <w:tcBorders>
              <w:top w:val="nil"/>
              <w:left w:val="nil"/>
              <w:bottom w:val="nil"/>
              <w:right w:val="nil"/>
            </w:tcBorders>
            <w:shd w:val="clear" w:color="auto" w:fill="auto"/>
            <w:noWrap/>
            <w:vAlign w:val="bottom"/>
            <w:hideMark/>
          </w:tcPr>
          <w:p w14:paraId="5BB0DD20" w14:textId="77777777" w:rsidR="00F853A5" w:rsidRPr="003F513A" w:rsidRDefault="00F853A5" w:rsidP="00F853A5">
            <w:pPr>
              <w:widowControl/>
              <w:autoSpaceDE/>
              <w:autoSpaceDN/>
              <w:adjustRightInd/>
              <w:jc w:val="center"/>
              <w:rPr>
                <w:color w:val="000000"/>
                <w:sz w:val="24"/>
              </w:rPr>
            </w:pPr>
            <w:r w:rsidRPr="003F513A">
              <w:rPr>
                <w:color w:val="000000"/>
                <w:sz w:val="24"/>
              </w:rPr>
              <w:t>11</w:t>
            </w:r>
          </w:p>
        </w:tc>
        <w:tc>
          <w:tcPr>
            <w:tcW w:w="900" w:type="dxa"/>
            <w:tcBorders>
              <w:top w:val="nil"/>
              <w:left w:val="single" w:sz="4" w:space="0" w:color="auto"/>
              <w:bottom w:val="nil"/>
              <w:right w:val="single" w:sz="4" w:space="0" w:color="auto"/>
            </w:tcBorders>
            <w:shd w:val="clear" w:color="auto" w:fill="auto"/>
            <w:noWrap/>
            <w:vAlign w:val="bottom"/>
            <w:hideMark/>
          </w:tcPr>
          <w:p w14:paraId="2B200B9D" w14:textId="77777777" w:rsidR="00F853A5" w:rsidRPr="003F513A" w:rsidRDefault="00F853A5" w:rsidP="00F853A5">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single" w:sz="8" w:space="0" w:color="auto"/>
            </w:tcBorders>
            <w:shd w:val="clear" w:color="auto" w:fill="auto"/>
            <w:noWrap/>
            <w:vAlign w:val="bottom"/>
            <w:hideMark/>
          </w:tcPr>
          <w:p w14:paraId="076A4A99"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700" w:type="dxa"/>
            <w:tcBorders>
              <w:top w:val="nil"/>
              <w:left w:val="nil"/>
              <w:bottom w:val="nil"/>
              <w:right w:val="single" w:sz="8" w:space="0" w:color="auto"/>
            </w:tcBorders>
            <w:shd w:val="clear" w:color="auto" w:fill="auto"/>
            <w:noWrap/>
            <w:vAlign w:val="bottom"/>
            <w:hideMark/>
          </w:tcPr>
          <w:p w14:paraId="13BC8AC7" w14:textId="77777777" w:rsidR="00F853A5" w:rsidRPr="003F513A" w:rsidRDefault="00F853A5" w:rsidP="00F853A5">
            <w:pPr>
              <w:widowControl/>
              <w:autoSpaceDE/>
              <w:autoSpaceDN/>
              <w:adjustRightInd/>
              <w:jc w:val="center"/>
              <w:rPr>
                <w:color w:val="000000"/>
                <w:sz w:val="24"/>
              </w:rPr>
            </w:pPr>
            <w:r w:rsidRPr="003F513A">
              <w:rPr>
                <w:color w:val="000000"/>
                <w:sz w:val="24"/>
              </w:rPr>
              <w:t>14</w:t>
            </w:r>
          </w:p>
        </w:tc>
      </w:tr>
      <w:tr w:rsidR="00F853A5" w:rsidRPr="00F853A5" w14:paraId="51E6161F" w14:textId="77777777" w:rsidTr="003F513A">
        <w:trPr>
          <w:trHeight w:val="288"/>
        </w:trPr>
        <w:tc>
          <w:tcPr>
            <w:tcW w:w="1820" w:type="dxa"/>
            <w:tcBorders>
              <w:top w:val="nil"/>
              <w:left w:val="single" w:sz="8" w:space="0" w:color="auto"/>
              <w:bottom w:val="nil"/>
              <w:right w:val="single" w:sz="8" w:space="0" w:color="auto"/>
            </w:tcBorders>
            <w:shd w:val="clear" w:color="auto" w:fill="auto"/>
            <w:vAlign w:val="bottom"/>
            <w:hideMark/>
          </w:tcPr>
          <w:p w14:paraId="731F2163" w14:textId="77777777" w:rsidR="00F853A5" w:rsidRPr="003F513A" w:rsidRDefault="00F853A5" w:rsidP="00F853A5">
            <w:pPr>
              <w:widowControl/>
              <w:autoSpaceDE/>
              <w:autoSpaceDN/>
              <w:adjustRightInd/>
              <w:jc w:val="center"/>
              <w:rPr>
                <w:color w:val="000000"/>
                <w:sz w:val="24"/>
              </w:rPr>
            </w:pPr>
            <w:r w:rsidRPr="003F513A">
              <w:rPr>
                <w:color w:val="000000"/>
                <w:sz w:val="24"/>
              </w:rPr>
              <w:t>Age 41-55</w:t>
            </w:r>
          </w:p>
        </w:tc>
        <w:tc>
          <w:tcPr>
            <w:tcW w:w="1220" w:type="dxa"/>
            <w:tcBorders>
              <w:top w:val="nil"/>
              <w:left w:val="nil"/>
              <w:bottom w:val="nil"/>
              <w:right w:val="nil"/>
            </w:tcBorders>
            <w:shd w:val="clear" w:color="auto" w:fill="auto"/>
            <w:noWrap/>
            <w:vAlign w:val="bottom"/>
            <w:hideMark/>
          </w:tcPr>
          <w:p w14:paraId="0C50C7C8" w14:textId="77777777" w:rsidR="00F853A5" w:rsidRPr="003F513A" w:rsidRDefault="00F853A5" w:rsidP="00F853A5">
            <w:pPr>
              <w:widowControl/>
              <w:autoSpaceDE/>
              <w:autoSpaceDN/>
              <w:adjustRightInd/>
              <w:jc w:val="center"/>
              <w:rPr>
                <w:color w:val="000000"/>
                <w:sz w:val="24"/>
              </w:rPr>
            </w:pPr>
            <w:r w:rsidRPr="003F513A">
              <w:rPr>
                <w:color w:val="000000"/>
                <w:sz w:val="24"/>
              </w:rPr>
              <w:t>62</w:t>
            </w:r>
          </w:p>
        </w:tc>
        <w:tc>
          <w:tcPr>
            <w:tcW w:w="900" w:type="dxa"/>
            <w:tcBorders>
              <w:top w:val="nil"/>
              <w:left w:val="single" w:sz="4" w:space="0" w:color="auto"/>
              <w:bottom w:val="nil"/>
              <w:right w:val="single" w:sz="4" w:space="0" w:color="auto"/>
            </w:tcBorders>
            <w:shd w:val="clear" w:color="auto" w:fill="auto"/>
            <w:noWrap/>
            <w:vAlign w:val="bottom"/>
            <w:hideMark/>
          </w:tcPr>
          <w:p w14:paraId="120CFE07" w14:textId="77777777" w:rsidR="00F853A5" w:rsidRPr="003F513A" w:rsidRDefault="00F853A5" w:rsidP="00F853A5">
            <w:pPr>
              <w:widowControl/>
              <w:autoSpaceDE/>
              <w:autoSpaceDN/>
              <w:adjustRightInd/>
              <w:jc w:val="center"/>
              <w:rPr>
                <w:color w:val="000000"/>
                <w:sz w:val="24"/>
              </w:rPr>
            </w:pPr>
            <w:r w:rsidRPr="003F513A">
              <w:rPr>
                <w:color w:val="000000"/>
                <w:sz w:val="24"/>
              </w:rPr>
              <w:t>4</w:t>
            </w:r>
          </w:p>
        </w:tc>
        <w:tc>
          <w:tcPr>
            <w:tcW w:w="900" w:type="dxa"/>
            <w:tcBorders>
              <w:top w:val="nil"/>
              <w:left w:val="nil"/>
              <w:bottom w:val="nil"/>
              <w:right w:val="nil"/>
            </w:tcBorders>
            <w:shd w:val="clear" w:color="auto" w:fill="auto"/>
            <w:noWrap/>
            <w:vAlign w:val="bottom"/>
            <w:hideMark/>
          </w:tcPr>
          <w:p w14:paraId="177A1921" w14:textId="77777777" w:rsidR="00F853A5" w:rsidRPr="003F513A" w:rsidRDefault="00F853A5" w:rsidP="00F853A5">
            <w:pPr>
              <w:widowControl/>
              <w:autoSpaceDE/>
              <w:autoSpaceDN/>
              <w:adjustRightInd/>
              <w:jc w:val="center"/>
              <w:rPr>
                <w:color w:val="000000"/>
                <w:sz w:val="24"/>
              </w:rPr>
            </w:pPr>
            <w:r w:rsidRPr="003F513A">
              <w:rPr>
                <w:color w:val="000000"/>
                <w:sz w:val="24"/>
              </w:rPr>
              <w:t>13</w:t>
            </w:r>
          </w:p>
        </w:tc>
        <w:tc>
          <w:tcPr>
            <w:tcW w:w="700" w:type="dxa"/>
            <w:tcBorders>
              <w:top w:val="nil"/>
              <w:left w:val="single" w:sz="8" w:space="0" w:color="auto"/>
              <w:bottom w:val="nil"/>
              <w:right w:val="single" w:sz="8" w:space="0" w:color="auto"/>
            </w:tcBorders>
            <w:shd w:val="clear" w:color="auto" w:fill="auto"/>
            <w:noWrap/>
            <w:vAlign w:val="bottom"/>
            <w:hideMark/>
          </w:tcPr>
          <w:p w14:paraId="4222BE83" w14:textId="77777777" w:rsidR="00F853A5" w:rsidRPr="003F513A" w:rsidRDefault="00F853A5" w:rsidP="00F853A5">
            <w:pPr>
              <w:widowControl/>
              <w:autoSpaceDE/>
              <w:autoSpaceDN/>
              <w:adjustRightInd/>
              <w:jc w:val="center"/>
              <w:rPr>
                <w:color w:val="000000"/>
                <w:sz w:val="24"/>
              </w:rPr>
            </w:pPr>
            <w:r w:rsidRPr="003F513A">
              <w:rPr>
                <w:color w:val="000000"/>
                <w:sz w:val="24"/>
              </w:rPr>
              <w:t>79</w:t>
            </w:r>
          </w:p>
        </w:tc>
        <w:tc>
          <w:tcPr>
            <w:tcW w:w="1220" w:type="dxa"/>
            <w:tcBorders>
              <w:top w:val="nil"/>
              <w:left w:val="nil"/>
              <w:bottom w:val="nil"/>
              <w:right w:val="nil"/>
            </w:tcBorders>
            <w:shd w:val="clear" w:color="auto" w:fill="auto"/>
            <w:noWrap/>
            <w:vAlign w:val="bottom"/>
            <w:hideMark/>
          </w:tcPr>
          <w:p w14:paraId="49F371EB" w14:textId="77777777" w:rsidR="00F853A5" w:rsidRPr="003F513A" w:rsidRDefault="00F853A5" w:rsidP="00F853A5">
            <w:pPr>
              <w:widowControl/>
              <w:autoSpaceDE/>
              <w:autoSpaceDN/>
              <w:adjustRightInd/>
              <w:jc w:val="center"/>
              <w:rPr>
                <w:color w:val="000000"/>
                <w:sz w:val="24"/>
              </w:rPr>
            </w:pPr>
            <w:r w:rsidRPr="003F513A">
              <w:rPr>
                <w:color w:val="000000"/>
                <w:sz w:val="24"/>
              </w:rPr>
              <w:t>11</w:t>
            </w:r>
          </w:p>
        </w:tc>
        <w:tc>
          <w:tcPr>
            <w:tcW w:w="900" w:type="dxa"/>
            <w:tcBorders>
              <w:top w:val="nil"/>
              <w:left w:val="single" w:sz="4" w:space="0" w:color="auto"/>
              <w:bottom w:val="nil"/>
              <w:right w:val="single" w:sz="4" w:space="0" w:color="auto"/>
            </w:tcBorders>
            <w:shd w:val="clear" w:color="auto" w:fill="auto"/>
            <w:noWrap/>
            <w:vAlign w:val="bottom"/>
            <w:hideMark/>
          </w:tcPr>
          <w:p w14:paraId="1B662568" w14:textId="77777777" w:rsidR="00F853A5" w:rsidRPr="003F513A" w:rsidRDefault="00F853A5" w:rsidP="00F853A5">
            <w:pPr>
              <w:widowControl/>
              <w:autoSpaceDE/>
              <w:autoSpaceDN/>
              <w:adjustRightInd/>
              <w:jc w:val="center"/>
              <w:rPr>
                <w:color w:val="000000"/>
                <w:sz w:val="24"/>
              </w:rPr>
            </w:pPr>
            <w:r w:rsidRPr="003F513A">
              <w:rPr>
                <w:color w:val="000000"/>
                <w:sz w:val="24"/>
              </w:rPr>
              <w:t>4</w:t>
            </w:r>
          </w:p>
        </w:tc>
        <w:tc>
          <w:tcPr>
            <w:tcW w:w="900" w:type="dxa"/>
            <w:tcBorders>
              <w:top w:val="nil"/>
              <w:left w:val="nil"/>
              <w:bottom w:val="nil"/>
              <w:right w:val="single" w:sz="8" w:space="0" w:color="auto"/>
            </w:tcBorders>
            <w:shd w:val="clear" w:color="auto" w:fill="auto"/>
            <w:noWrap/>
            <w:vAlign w:val="bottom"/>
            <w:hideMark/>
          </w:tcPr>
          <w:p w14:paraId="38B5C2E0"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700" w:type="dxa"/>
            <w:tcBorders>
              <w:top w:val="nil"/>
              <w:left w:val="nil"/>
              <w:bottom w:val="nil"/>
              <w:right w:val="single" w:sz="8" w:space="0" w:color="auto"/>
            </w:tcBorders>
            <w:shd w:val="clear" w:color="auto" w:fill="auto"/>
            <w:noWrap/>
            <w:vAlign w:val="bottom"/>
            <w:hideMark/>
          </w:tcPr>
          <w:p w14:paraId="3001D8C7" w14:textId="77777777" w:rsidR="00F853A5" w:rsidRPr="003F513A" w:rsidRDefault="00F853A5" w:rsidP="00F853A5">
            <w:pPr>
              <w:widowControl/>
              <w:autoSpaceDE/>
              <w:autoSpaceDN/>
              <w:adjustRightInd/>
              <w:jc w:val="center"/>
              <w:rPr>
                <w:color w:val="000000"/>
                <w:sz w:val="24"/>
              </w:rPr>
            </w:pPr>
            <w:r w:rsidRPr="003F513A">
              <w:rPr>
                <w:color w:val="000000"/>
                <w:sz w:val="24"/>
              </w:rPr>
              <w:t>18</w:t>
            </w:r>
          </w:p>
        </w:tc>
      </w:tr>
      <w:tr w:rsidR="00F853A5" w:rsidRPr="00F853A5" w14:paraId="21E4CE34" w14:textId="77777777" w:rsidTr="003F513A">
        <w:trPr>
          <w:trHeight w:val="300"/>
        </w:trPr>
        <w:tc>
          <w:tcPr>
            <w:tcW w:w="1820" w:type="dxa"/>
            <w:tcBorders>
              <w:top w:val="nil"/>
              <w:left w:val="single" w:sz="8" w:space="0" w:color="auto"/>
              <w:bottom w:val="nil"/>
              <w:right w:val="single" w:sz="8" w:space="0" w:color="auto"/>
            </w:tcBorders>
            <w:shd w:val="clear" w:color="auto" w:fill="auto"/>
            <w:vAlign w:val="bottom"/>
            <w:hideMark/>
          </w:tcPr>
          <w:p w14:paraId="02EB7636" w14:textId="77777777" w:rsidR="00F853A5" w:rsidRPr="003F513A" w:rsidRDefault="00F853A5" w:rsidP="00F853A5">
            <w:pPr>
              <w:widowControl/>
              <w:autoSpaceDE/>
              <w:autoSpaceDN/>
              <w:adjustRightInd/>
              <w:jc w:val="center"/>
              <w:rPr>
                <w:color w:val="000000"/>
                <w:sz w:val="24"/>
              </w:rPr>
            </w:pPr>
            <w:r w:rsidRPr="003F513A">
              <w:rPr>
                <w:color w:val="000000"/>
                <w:sz w:val="24"/>
              </w:rPr>
              <w:t>Age 56+</w:t>
            </w:r>
          </w:p>
        </w:tc>
        <w:tc>
          <w:tcPr>
            <w:tcW w:w="1220" w:type="dxa"/>
            <w:tcBorders>
              <w:top w:val="nil"/>
              <w:left w:val="nil"/>
              <w:bottom w:val="single" w:sz="8" w:space="0" w:color="auto"/>
              <w:right w:val="nil"/>
            </w:tcBorders>
            <w:shd w:val="clear" w:color="auto" w:fill="auto"/>
            <w:noWrap/>
            <w:vAlign w:val="bottom"/>
            <w:hideMark/>
          </w:tcPr>
          <w:p w14:paraId="1E22AC04" w14:textId="77777777" w:rsidR="00F853A5" w:rsidRPr="003F513A" w:rsidRDefault="00F853A5" w:rsidP="00F853A5">
            <w:pPr>
              <w:widowControl/>
              <w:autoSpaceDE/>
              <w:autoSpaceDN/>
              <w:adjustRightInd/>
              <w:jc w:val="center"/>
              <w:rPr>
                <w:color w:val="000000"/>
                <w:sz w:val="24"/>
              </w:rPr>
            </w:pPr>
            <w:r w:rsidRPr="003F513A">
              <w:rPr>
                <w:color w:val="000000"/>
                <w:sz w:val="24"/>
              </w:rPr>
              <w:t>38</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332DEA5A" w14:textId="77777777" w:rsidR="00F853A5" w:rsidRPr="003F513A" w:rsidRDefault="00F853A5" w:rsidP="00F853A5">
            <w:pPr>
              <w:widowControl/>
              <w:autoSpaceDE/>
              <w:autoSpaceDN/>
              <w:adjustRightInd/>
              <w:jc w:val="center"/>
              <w:rPr>
                <w:color w:val="000000"/>
                <w:sz w:val="24"/>
              </w:rPr>
            </w:pPr>
            <w:r w:rsidRPr="003F513A">
              <w:rPr>
                <w:color w:val="000000"/>
                <w:sz w:val="24"/>
              </w:rPr>
              <w:t>31</w:t>
            </w:r>
          </w:p>
        </w:tc>
        <w:tc>
          <w:tcPr>
            <w:tcW w:w="900" w:type="dxa"/>
            <w:tcBorders>
              <w:top w:val="nil"/>
              <w:left w:val="nil"/>
              <w:bottom w:val="single" w:sz="8" w:space="0" w:color="auto"/>
              <w:right w:val="nil"/>
            </w:tcBorders>
            <w:shd w:val="clear" w:color="auto" w:fill="auto"/>
            <w:noWrap/>
            <w:vAlign w:val="bottom"/>
            <w:hideMark/>
          </w:tcPr>
          <w:p w14:paraId="03844176" w14:textId="77777777" w:rsidR="00F853A5" w:rsidRPr="003F513A" w:rsidRDefault="00F853A5" w:rsidP="00F853A5">
            <w:pPr>
              <w:widowControl/>
              <w:autoSpaceDE/>
              <w:autoSpaceDN/>
              <w:adjustRightInd/>
              <w:jc w:val="center"/>
              <w:rPr>
                <w:color w:val="000000"/>
                <w:sz w:val="24"/>
              </w:rPr>
            </w:pPr>
            <w:r w:rsidRPr="003F513A">
              <w:rPr>
                <w:color w:val="000000"/>
                <w:sz w:val="24"/>
              </w:rPr>
              <w:t>13</w:t>
            </w:r>
          </w:p>
        </w:tc>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03CFF947" w14:textId="77777777" w:rsidR="00F853A5" w:rsidRPr="003F513A" w:rsidRDefault="00F853A5" w:rsidP="00F853A5">
            <w:pPr>
              <w:widowControl/>
              <w:autoSpaceDE/>
              <w:autoSpaceDN/>
              <w:adjustRightInd/>
              <w:jc w:val="center"/>
              <w:rPr>
                <w:color w:val="000000"/>
                <w:sz w:val="24"/>
              </w:rPr>
            </w:pPr>
            <w:r w:rsidRPr="003F513A">
              <w:rPr>
                <w:color w:val="000000"/>
                <w:sz w:val="24"/>
              </w:rPr>
              <w:t>82</w:t>
            </w:r>
          </w:p>
        </w:tc>
        <w:tc>
          <w:tcPr>
            <w:tcW w:w="1220" w:type="dxa"/>
            <w:tcBorders>
              <w:top w:val="nil"/>
              <w:left w:val="nil"/>
              <w:bottom w:val="single" w:sz="8" w:space="0" w:color="auto"/>
              <w:right w:val="nil"/>
            </w:tcBorders>
            <w:shd w:val="clear" w:color="auto" w:fill="auto"/>
            <w:noWrap/>
            <w:vAlign w:val="bottom"/>
            <w:hideMark/>
          </w:tcPr>
          <w:p w14:paraId="5C9ACF1D" w14:textId="77777777" w:rsidR="00F853A5" w:rsidRPr="003F513A" w:rsidRDefault="00F853A5" w:rsidP="00F853A5">
            <w:pPr>
              <w:widowControl/>
              <w:autoSpaceDE/>
              <w:autoSpaceDN/>
              <w:adjustRightInd/>
              <w:jc w:val="center"/>
              <w:rPr>
                <w:color w:val="000000"/>
                <w:sz w:val="24"/>
              </w:rPr>
            </w:pPr>
            <w:r w:rsidRPr="003F513A">
              <w:rPr>
                <w:color w:val="000000"/>
                <w:sz w:val="24"/>
              </w:rPr>
              <w:t>11</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3A087FD3" w14:textId="77777777" w:rsidR="00F853A5" w:rsidRPr="003F513A" w:rsidRDefault="00F853A5" w:rsidP="00F853A5">
            <w:pPr>
              <w:widowControl/>
              <w:autoSpaceDE/>
              <w:autoSpaceDN/>
              <w:adjustRightInd/>
              <w:jc w:val="center"/>
              <w:rPr>
                <w:color w:val="000000"/>
                <w:sz w:val="24"/>
              </w:rPr>
            </w:pPr>
            <w:r w:rsidRPr="003F513A">
              <w:rPr>
                <w:color w:val="000000"/>
                <w:sz w:val="24"/>
              </w:rPr>
              <w:t>11</w:t>
            </w:r>
          </w:p>
        </w:tc>
        <w:tc>
          <w:tcPr>
            <w:tcW w:w="900" w:type="dxa"/>
            <w:tcBorders>
              <w:top w:val="nil"/>
              <w:left w:val="nil"/>
              <w:bottom w:val="single" w:sz="8" w:space="0" w:color="auto"/>
              <w:right w:val="single" w:sz="8" w:space="0" w:color="auto"/>
            </w:tcBorders>
            <w:shd w:val="clear" w:color="auto" w:fill="auto"/>
            <w:noWrap/>
            <w:vAlign w:val="bottom"/>
            <w:hideMark/>
          </w:tcPr>
          <w:p w14:paraId="731C97E4"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700" w:type="dxa"/>
            <w:tcBorders>
              <w:top w:val="nil"/>
              <w:left w:val="nil"/>
              <w:bottom w:val="single" w:sz="8" w:space="0" w:color="auto"/>
              <w:right w:val="single" w:sz="8" w:space="0" w:color="auto"/>
            </w:tcBorders>
            <w:shd w:val="clear" w:color="auto" w:fill="auto"/>
            <w:noWrap/>
            <w:vAlign w:val="bottom"/>
            <w:hideMark/>
          </w:tcPr>
          <w:p w14:paraId="2AFC08A8" w14:textId="77777777" w:rsidR="00F853A5" w:rsidRPr="003F513A" w:rsidRDefault="00F853A5" w:rsidP="00F853A5">
            <w:pPr>
              <w:widowControl/>
              <w:autoSpaceDE/>
              <w:autoSpaceDN/>
              <w:adjustRightInd/>
              <w:jc w:val="center"/>
              <w:rPr>
                <w:color w:val="000000"/>
                <w:sz w:val="24"/>
              </w:rPr>
            </w:pPr>
            <w:r w:rsidRPr="003F513A">
              <w:rPr>
                <w:color w:val="000000"/>
                <w:sz w:val="24"/>
              </w:rPr>
              <w:t>25</w:t>
            </w:r>
          </w:p>
        </w:tc>
      </w:tr>
      <w:tr w:rsidR="00F853A5" w:rsidRPr="00F853A5" w14:paraId="0C3B5AC7" w14:textId="77777777" w:rsidTr="003F513A">
        <w:trPr>
          <w:trHeight w:val="732"/>
        </w:trPr>
        <w:tc>
          <w:tcPr>
            <w:tcW w:w="18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1C76B11"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Not living with a spouse or partner</w:t>
            </w:r>
          </w:p>
        </w:tc>
        <w:tc>
          <w:tcPr>
            <w:tcW w:w="1220" w:type="dxa"/>
            <w:tcBorders>
              <w:top w:val="nil"/>
              <w:left w:val="nil"/>
              <w:bottom w:val="single" w:sz="8" w:space="0" w:color="auto"/>
              <w:right w:val="nil"/>
            </w:tcBorders>
            <w:shd w:val="clear" w:color="auto" w:fill="auto"/>
            <w:vAlign w:val="bottom"/>
            <w:hideMark/>
          </w:tcPr>
          <w:p w14:paraId="3A6364A3"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1218858D"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51C83EE0"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Other</w:t>
            </w:r>
          </w:p>
        </w:tc>
        <w:tc>
          <w:tcPr>
            <w:tcW w:w="700" w:type="dxa"/>
            <w:tcBorders>
              <w:top w:val="nil"/>
              <w:left w:val="single" w:sz="8" w:space="0" w:color="auto"/>
              <w:bottom w:val="single" w:sz="8" w:space="0" w:color="auto"/>
              <w:right w:val="single" w:sz="8" w:space="0" w:color="auto"/>
            </w:tcBorders>
            <w:shd w:val="clear" w:color="auto" w:fill="auto"/>
            <w:vAlign w:val="bottom"/>
            <w:hideMark/>
          </w:tcPr>
          <w:p w14:paraId="0A20EA40" w14:textId="77777777" w:rsidR="00F853A5" w:rsidRPr="003F513A" w:rsidRDefault="00BB6B79" w:rsidP="00F853A5">
            <w:pPr>
              <w:widowControl/>
              <w:autoSpaceDE/>
              <w:autoSpaceDN/>
              <w:adjustRightInd/>
              <w:jc w:val="center"/>
              <w:rPr>
                <w:b/>
                <w:bCs/>
                <w:color w:val="000000"/>
                <w:sz w:val="24"/>
              </w:rPr>
            </w:pPr>
            <w:r w:rsidRPr="003F513A">
              <w:rPr>
                <w:b/>
                <w:bCs/>
                <w:color w:val="000000"/>
                <w:sz w:val="24"/>
              </w:rPr>
              <w:t>Total</w:t>
            </w:r>
            <w:r w:rsidR="00F853A5" w:rsidRPr="003F513A">
              <w:rPr>
                <w:b/>
                <w:bCs/>
                <w:color w:val="000000"/>
                <w:sz w:val="24"/>
              </w:rPr>
              <w:t> </w:t>
            </w:r>
          </w:p>
        </w:tc>
        <w:tc>
          <w:tcPr>
            <w:tcW w:w="1220" w:type="dxa"/>
            <w:tcBorders>
              <w:top w:val="nil"/>
              <w:left w:val="nil"/>
              <w:bottom w:val="single" w:sz="8" w:space="0" w:color="auto"/>
              <w:right w:val="nil"/>
            </w:tcBorders>
            <w:shd w:val="clear" w:color="auto" w:fill="auto"/>
            <w:vAlign w:val="bottom"/>
            <w:hideMark/>
          </w:tcPr>
          <w:p w14:paraId="2BC748AE"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173C143B"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76E0C6D0" w14:textId="77777777" w:rsidR="00F853A5" w:rsidRPr="003F513A" w:rsidRDefault="00F853A5" w:rsidP="00F853A5">
            <w:pPr>
              <w:widowControl/>
              <w:autoSpaceDE/>
              <w:autoSpaceDN/>
              <w:adjustRightInd/>
              <w:jc w:val="center"/>
              <w:rPr>
                <w:b/>
                <w:bCs/>
                <w:color w:val="000000"/>
                <w:sz w:val="22"/>
                <w:szCs w:val="22"/>
              </w:rPr>
            </w:pPr>
            <w:r w:rsidRPr="003F513A">
              <w:rPr>
                <w:b/>
                <w:bCs/>
                <w:color w:val="000000"/>
                <w:sz w:val="22"/>
                <w:szCs w:val="22"/>
              </w:rPr>
              <w:t>Other</w:t>
            </w:r>
          </w:p>
        </w:tc>
        <w:tc>
          <w:tcPr>
            <w:tcW w:w="700" w:type="dxa"/>
            <w:tcBorders>
              <w:top w:val="nil"/>
              <w:left w:val="single" w:sz="8" w:space="0" w:color="auto"/>
              <w:bottom w:val="single" w:sz="8" w:space="0" w:color="auto"/>
              <w:right w:val="single" w:sz="8" w:space="0" w:color="auto"/>
            </w:tcBorders>
            <w:shd w:val="clear" w:color="auto" w:fill="auto"/>
            <w:vAlign w:val="bottom"/>
            <w:hideMark/>
          </w:tcPr>
          <w:p w14:paraId="28382049" w14:textId="77777777" w:rsidR="00F853A5" w:rsidRPr="003F513A" w:rsidRDefault="00BB6B79" w:rsidP="00F853A5">
            <w:pPr>
              <w:widowControl/>
              <w:autoSpaceDE/>
              <w:autoSpaceDN/>
              <w:adjustRightInd/>
              <w:jc w:val="center"/>
              <w:rPr>
                <w:b/>
                <w:bCs/>
                <w:color w:val="000000"/>
                <w:sz w:val="24"/>
              </w:rPr>
            </w:pPr>
            <w:r w:rsidRPr="003F513A">
              <w:rPr>
                <w:b/>
                <w:bCs/>
                <w:color w:val="000000"/>
                <w:sz w:val="24"/>
              </w:rPr>
              <w:t>Total</w:t>
            </w:r>
            <w:r w:rsidR="00F853A5" w:rsidRPr="003F513A">
              <w:rPr>
                <w:b/>
                <w:bCs/>
                <w:color w:val="000000"/>
                <w:sz w:val="24"/>
              </w:rPr>
              <w:t> </w:t>
            </w:r>
          </w:p>
        </w:tc>
      </w:tr>
      <w:tr w:rsidR="00F853A5" w:rsidRPr="00F853A5" w14:paraId="57DEED4B" w14:textId="77777777" w:rsidTr="003F513A">
        <w:trPr>
          <w:trHeight w:val="288"/>
        </w:trPr>
        <w:tc>
          <w:tcPr>
            <w:tcW w:w="1820" w:type="dxa"/>
            <w:tcBorders>
              <w:top w:val="nil"/>
              <w:left w:val="single" w:sz="8" w:space="0" w:color="auto"/>
              <w:bottom w:val="nil"/>
              <w:right w:val="single" w:sz="8" w:space="0" w:color="auto"/>
            </w:tcBorders>
            <w:shd w:val="clear" w:color="auto" w:fill="auto"/>
            <w:vAlign w:val="bottom"/>
            <w:hideMark/>
          </w:tcPr>
          <w:p w14:paraId="5C1637FE" w14:textId="77777777" w:rsidR="00F853A5" w:rsidRPr="003F513A" w:rsidRDefault="00F853A5" w:rsidP="00F853A5">
            <w:pPr>
              <w:widowControl/>
              <w:autoSpaceDE/>
              <w:autoSpaceDN/>
              <w:adjustRightInd/>
              <w:jc w:val="center"/>
              <w:rPr>
                <w:color w:val="000000"/>
                <w:sz w:val="24"/>
              </w:rPr>
            </w:pPr>
            <w:r w:rsidRPr="003F513A">
              <w:rPr>
                <w:color w:val="000000"/>
                <w:sz w:val="24"/>
              </w:rPr>
              <w:t>Age 25-40</w:t>
            </w:r>
          </w:p>
        </w:tc>
        <w:tc>
          <w:tcPr>
            <w:tcW w:w="1220" w:type="dxa"/>
            <w:tcBorders>
              <w:top w:val="nil"/>
              <w:left w:val="nil"/>
              <w:bottom w:val="nil"/>
              <w:right w:val="nil"/>
            </w:tcBorders>
            <w:shd w:val="clear" w:color="auto" w:fill="auto"/>
            <w:noWrap/>
            <w:vAlign w:val="bottom"/>
            <w:hideMark/>
          </w:tcPr>
          <w:p w14:paraId="5B6EF1D9" w14:textId="77777777" w:rsidR="00F853A5" w:rsidRPr="003F513A" w:rsidRDefault="00F853A5" w:rsidP="00F853A5">
            <w:pPr>
              <w:widowControl/>
              <w:autoSpaceDE/>
              <w:autoSpaceDN/>
              <w:adjustRightInd/>
              <w:jc w:val="center"/>
              <w:rPr>
                <w:color w:val="000000"/>
                <w:sz w:val="24"/>
              </w:rPr>
            </w:pPr>
            <w:r w:rsidRPr="003F513A">
              <w:rPr>
                <w:color w:val="000000"/>
                <w:sz w:val="24"/>
              </w:rPr>
              <w:t>31</w:t>
            </w:r>
          </w:p>
        </w:tc>
        <w:tc>
          <w:tcPr>
            <w:tcW w:w="900" w:type="dxa"/>
            <w:tcBorders>
              <w:top w:val="nil"/>
              <w:left w:val="single" w:sz="4" w:space="0" w:color="auto"/>
              <w:bottom w:val="nil"/>
              <w:right w:val="single" w:sz="4" w:space="0" w:color="auto"/>
            </w:tcBorders>
            <w:shd w:val="clear" w:color="auto" w:fill="auto"/>
            <w:noWrap/>
            <w:vAlign w:val="bottom"/>
            <w:hideMark/>
          </w:tcPr>
          <w:p w14:paraId="4A410539" w14:textId="77777777" w:rsidR="00F853A5" w:rsidRPr="003F513A" w:rsidRDefault="00F853A5" w:rsidP="00F853A5">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single" w:sz="8" w:space="0" w:color="auto"/>
            </w:tcBorders>
            <w:shd w:val="clear" w:color="auto" w:fill="auto"/>
            <w:noWrap/>
            <w:vAlign w:val="bottom"/>
            <w:hideMark/>
          </w:tcPr>
          <w:p w14:paraId="3B722B0F"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700" w:type="dxa"/>
            <w:tcBorders>
              <w:top w:val="nil"/>
              <w:left w:val="nil"/>
              <w:bottom w:val="nil"/>
              <w:right w:val="single" w:sz="8" w:space="0" w:color="auto"/>
            </w:tcBorders>
            <w:shd w:val="clear" w:color="auto" w:fill="auto"/>
            <w:noWrap/>
            <w:vAlign w:val="bottom"/>
            <w:hideMark/>
          </w:tcPr>
          <w:p w14:paraId="25EA9FA4" w14:textId="77777777" w:rsidR="00F853A5" w:rsidRPr="003F513A" w:rsidRDefault="00F853A5" w:rsidP="00F853A5">
            <w:pPr>
              <w:widowControl/>
              <w:autoSpaceDE/>
              <w:autoSpaceDN/>
              <w:adjustRightInd/>
              <w:jc w:val="center"/>
              <w:rPr>
                <w:color w:val="000000"/>
                <w:sz w:val="24"/>
              </w:rPr>
            </w:pPr>
            <w:r w:rsidRPr="003F513A">
              <w:rPr>
                <w:color w:val="000000"/>
                <w:sz w:val="24"/>
              </w:rPr>
              <w:t>37</w:t>
            </w:r>
          </w:p>
        </w:tc>
        <w:tc>
          <w:tcPr>
            <w:tcW w:w="1220" w:type="dxa"/>
            <w:tcBorders>
              <w:top w:val="nil"/>
              <w:left w:val="nil"/>
              <w:bottom w:val="nil"/>
              <w:right w:val="nil"/>
            </w:tcBorders>
            <w:shd w:val="clear" w:color="auto" w:fill="auto"/>
            <w:noWrap/>
            <w:vAlign w:val="bottom"/>
            <w:hideMark/>
          </w:tcPr>
          <w:p w14:paraId="34FB0B1B"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900" w:type="dxa"/>
            <w:tcBorders>
              <w:top w:val="nil"/>
              <w:left w:val="single" w:sz="4" w:space="0" w:color="auto"/>
              <w:bottom w:val="nil"/>
              <w:right w:val="single" w:sz="4" w:space="0" w:color="auto"/>
            </w:tcBorders>
            <w:shd w:val="clear" w:color="auto" w:fill="auto"/>
            <w:noWrap/>
            <w:vAlign w:val="bottom"/>
            <w:hideMark/>
          </w:tcPr>
          <w:p w14:paraId="1DE5CAF3" w14:textId="77777777" w:rsidR="00F853A5" w:rsidRPr="003F513A" w:rsidRDefault="00F853A5" w:rsidP="00F853A5">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single" w:sz="8" w:space="0" w:color="auto"/>
            </w:tcBorders>
            <w:shd w:val="clear" w:color="auto" w:fill="auto"/>
            <w:noWrap/>
            <w:vAlign w:val="bottom"/>
            <w:hideMark/>
          </w:tcPr>
          <w:p w14:paraId="13A79257" w14:textId="77777777" w:rsidR="00F853A5" w:rsidRPr="003F513A" w:rsidRDefault="00F853A5" w:rsidP="00F853A5">
            <w:pPr>
              <w:widowControl/>
              <w:autoSpaceDE/>
              <w:autoSpaceDN/>
              <w:adjustRightInd/>
              <w:jc w:val="center"/>
              <w:rPr>
                <w:color w:val="000000"/>
                <w:sz w:val="24"/>
              </w:rPr>
            </w:pPr>
            <w:r w:rsidRPr="003F513A">
              <w:rPr>
                <w:color w:val="000000"/>
                <w:sz w:val="24"/>
              </w:rPr>
              <w:t>2</w:t>
            </w:r>
          </w:p>
        </w:tc>
        <w:tc>
          <w:tcPr>
            <w:tcW w:w="700" w:type="dxa"/>
            <w:tcBorders>
              <w:top w:val="nil"/>
              <w:left w:val="nil"/>
              <w:bottom w:val="nil"/>
              <w:right w:val="single" w:sz="8" w:space="0" w:color="auto"/>
            </w:tcBorders>
            <w:shd w:val="clear" w:color="auto" w:fill="auto"/>
            <w:noWrap/>
            <w:vAlign w:val="bottom"/>
            <w:hideMark/>
          </w:tcPr>
          <w:p w14:paraId="1EA5C0B7" w14:textId="77777777" w:rsidR="00F853A5" w:rsidRPr="003F513A" w:rsidRDefault="00F853A5" w:rsidP="00F853A5">
            <w:pPr>
              <w:widowControl/>
              <w:autoSpaceDE/>
              <w:autoSpaceDN/>
              <w:adjustRightInd/>
              <w:jc w:val="center"/>
              <w:rPr>
                <w:color w:val="000000"/>
                <w:sz w:val="24"/>
              </w:rPr>
            </w:pPr>
            <w:r w:rsidRPr="003F513A">
              <w:rPr>
                <w:color w:val="000000"/>
                <w:sz w:val="24"/>
              </w:rPr>
              <w:t>8</w:t>
            </w:r>
          </w:p>
        </w:tc>
      </w:tr>
      <w:tr w:rsidR="00F853A5" w:rsidRPr="00F853A5" w14:paraId="49F818BA" w14:textId="77777777" w:rsidTr="003F513A">
        <w:trPr>
          <w:trHeight w:val="288"/>
        </w:trPr>
        <w:tc>
          <w:tcPr>
            <w:tcW w:w="1820" w:type="dxa"/>
            <w:tcBorders>
              <w:top w:val="nil"/>
              <w:left w:val="single" w:sz="8" w:space="0" w:color="auto"/>
              <w:bottom w:val="nil"/>
              <w:right w:val="single" w:sz="8" w:space="0" w:color="auto"/>
            </w:tcBorders>
            <w:shd w:val="clear" w:color="auto" w:fill="auto"/>
            <w:vAlign w:val="bottom"/>
            <w:hideMark/>
          </w:tcPr>
          <w:p w14:paraId="1E4234A8" w14:textId="77777777" w:rsidR="00F853A5" w:rsidRPr="003F513A" w:rsidRDefault="00F853A5" w:rsidP="00F853A5">
            <w:pPr>
              <w:widowControl/>
              <w:autoSpaceDE/>
              <w:autoSpaceDN/>
              <w:adjustRightInd/>
              <w:jc w:val="center"/>
              <w:rPr>
                <w:color w:val="000000"/>
                <w:sz w:val="24"/>
              </w:rPr>
            </w:pPr>
            <w:r w:rsidRPr="003F513A">
              <w:rPr>
                <w:color w:val="000000"/>
                <w:sz w:val="24"/>
              </w:rPr>
              <w:t>Age 41-55</w:t>
            </w:r>
          </w:p>
        </w:tc>
        <w:tc>
          <w:tcPr>
            <w:tcW w:w="1220" w:type="dxa"/>
            <w:tcBorders>
              <w:top w:val="nil"/>
              <w:left w:val="nil"/>
              <w:bottom w:val="nil"/>
              <w:right w:val="nil"/>
            </w:tcBorders>
            <w:shd w:val="clear" w:color="auto" w:fill="auto"/>
            <w:noWrap/>
            <w:vAlign w:val="bottom"/>
            <w:hideMark/>
          </w:tcPr>
          <w:p w14:paraId="6CEAE5C6" w14:textId="77777777" w:rsidR="00F853A5" w:rsidRPr="003F513A" w:rsidRDefault="00F853A5" w:rsidP="00F853A5">
            <w:pPr>
              <w:widowControl/>
              <w:autoSpaceDE/>
              <w:autoSpaceDN/>
              <w:adjustRightInd/>
              <w:jc w:val="center"/>
              <w:rPr>
                <w:color w:val="000000"/>
                <w:sz w:val="24"/>
              </w:rPr>
            </w:pPr>
            <w:r w:rsidRPr="003F513A">
              <w:rPr>
                <w:color w:val="000000"/>
                <w:sz w:val="24"/>
              </w:rPr>
              <w:t>31</w:t>
            </w:r>
          </w:p>
        </w:tc>
        <w:tc>
          <w:tcPr>
            <w:tcW w:w="900" w:type="dxa"/>
            <w:tcBorders>
              <w:top w:val="nil"/>
              <w:left w:val="single" w:sz="4" w:space="0" w:color="auto"/>
              <w:bottom w:val="nil"/>
              <w:right w:val="single" w:sz="4" w:space="0" w:color="auto"/>
            </w:tcBorders>
            <w:shd w:val="clear" w:color="auto" w:fill="auto"/>
            <w:noWrap/>
            <w:vAlign w:val="bottom"/>
            <w:hideMark/>
          </w:tcPr>
          <w:p w14:paraId="0A7DC77B"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900" w:type="dxa"/>
            <w:tcBorders>
              <w:top w:val="nil"/>
              <w:left w:val="nil"/>
              <w:bottom w:val="nil"/>
              <w:right w:val="single" w:sz="8" w:space="0" w:color="auto"/>
            </w:tcBorders>
            <w:shd w:val="clear" w:color="auto" w:fill="auto"/>
            <w:noWrap/>
            <w:vAlign w:val="bottom"/>
            <w:hideMark/>
          </w:tcPr>
          <w:p w14:paraId="165A788D"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700" w:type="dxa"/>
            <w:tcBorders>
              <w:top w:val="nil"/>
              <w:left w:val="nil"/>
              <w:bottom w:val="nil"/>
              <w:right w:val="single" w:sz="8" w:space="0" w:color="auto"/>
            </w:tcBorders>
            <w:shd w:val="clear" w:color="auto" w:fill="auto"/>
            <w:noWrap/>
            <w:vAlign w:val="bottom"/>
            <w:hideMark/>
          </w:tcPr>
          <w:p w14:paraId="27CF7BE9" w14:textId="77777777" w:rsidR="00F853A5" w:rsidRPr="003F513A" w:rsidRDefault="00F853A5" w:rsidP="00F853A5">
            <w:pPr>
              <w:widowControl/>
              <w:autoSpaceDE/>
              <w:autoSpaceDN/>
              <w:adjustRightInd/>
              <w:jc w:val="center"/>
              <w:rPr>
                <w:color w:val="000000"/>
                <w:sz w:val="24"/>
              </w:rPr>
            </w:pPr>
            <w:r w:rsidRPr="003F513A">
              <w:rPr>
                <w:color w:val="000000"/>
                <w:sz w:val="24"/>
              </w:rPr>
              <w:t>40</w:t>
            </w:r>
          </w:p>
        </w:tc>
        <w:tc>
          <w:tcPr>
            <w:tcW w:w="1220" w:type="dxa"/>
            <w:tcBorders>
              <w:top w:val="nil"/>
              <w:left w:val="nil"/>
              <w:bottom w:val="nil"/>
              <w:right w:val="nil"/>
            </w:tcBorders>
            <w:shd w:val="clear" w:color="auto" w:fill="auto"/>
            <w:noWrap/>
            <w:vAlign w:val="bottom"/>
            <w:hideMark/>
          </w:tcPr>
          <w:p w14:paraId="5DD16672"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900" w:type="dxa"/>
            <w:tcBorders>
              <w:top w:val="nil"/>
              <w:left w:val="single" w:sz="4" w:space="0" w:color="auto"/>
              <w:bottom w:val="nil"/>
              <w:right w:val="single" w:sz="4" w:space="0" w:color="auto"/>
            </w:tcBorders>
            <w:shd w:val="clear" w:color="auto" w:fill="auto"/>
            <w:noWrap/>
            <w:vAlign w:val="bottom"/>
            <w:hideMark/>
          </w:tcPr>
          <w:p w14:paraId="45540439" w14:textId="77777777" w:rsidR="00F853A5" w:rsidRPr="003F513A" w:rsidRDefault="00F853A5" w:rsidP="00F853A5">
            <w:pPr>
              <w:widowControl/>
              <w:autoSpaceDE/>
              <w:autoSpaceDN/>
              <w:adjustRightInd/>
              <w:jc w:val="center"/>
              <w:rPr>
                <w:color w:val="000000"/>
                <w:sz w:val="24"/>
              </w:rPr>
            </w:pPr>
            <w:r w:rsidRPr="003F513A">
              <w:rPr>
                <w:color w:val="000000"/>
                <w:sz w:val="24"/>
              </w:rPr>
              <w:t>2</w:t>
            </w:r>
          </w:p>
        </w:tc>
        <w:tc>
          <w:tcPr>
            <w:tcW w:w="900" w:type="dxa"/>
            <w:tcBorders>
              <w:top w:val="nil"/>
              <w:left w:val="nil"/>
              <w:bottom w:val="nil"/>
              <w:right w:val="single" w:sz="8" w:space="0" w:color="auto"/>
            </w:tcBorders>
            <w:shd w:val="clear" w:color="auto" w:fill="auto"/>
            <w:noWrap/>
            <w:vAlign w:val="bottom"/>
            <w:hideMark/>
          </w:tcPr>
          <w:p w14:paraId="4332CC42"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700" w:type="dxa"/>
            <w:tcBorders>
              <w:top w:val="nil"/>
              <w:left w:val="nil"/>
              <w:bottom w:val="nil"/>
              <w:right w:val="single" w:sz="8" w:space="0" w:color="auto"/>
            </w:tcBorders>
            <w:shd w:val="clear" w:color="auto" w:fill="auto"/>
            <w:noWrap/>
            <w:vAlign w:val="bottom"/>
            <w:hideMark/>
          </w:tcPr>
          <w:p w14:paraId="0ED2D9BE" w14:textId="77777777" w:rsidR="00F853A5" w:rsidRPr="003F513A" w:rsidRDefault="00F853A5" w:rsidP="00F853A5">
            <w:pPr>
              <w:widowControl/>
              <w:autoSpaceDE/>
              <w:autoSpaceDN/>
              <w:adjustRightInd/>
              <w:jc w:val="center"/>
              <w:rPr>
                <w:color w:val="000000"/>
                <w:sz w:val="24"/>
              </w:rPr>
            </w:pPr>
            <w:r w:rsidRPr="003F513A">
              <w:rPr>
                <w:color w:val="000000"/>
                <w:sz w:val="24"/>
              </w:rPr>
              <w:t>11</w:t>
            </w:r>
          </w:p>
        </w:tc>
      </w:tr>
      <w:tr w:rsidR="00F853A5" w:rsidRPr="00F853A5" w14:paraId="78F6303D" w14:textId="77777777" w:rsidTr="003F513A">
        <w:trPr>
          <w:trHeight w:val="300"/>
        </w:trPr>
        <w:tc>
          <w:tcPr>
            <w:tcW w:w="1820" w:type="dxa"/>
            <w:tcBorders>
              <w:top w:val="nil"/>
              <w:left w:val="single" w:sz="8" w:space="0" w:color="auto"/>
              <w:bottom w:val="nil"/>
              <w:right w:val="single" w:sz="8" w:space="0" w:color="auto"/>
            </w:tcBorders>
            <w:shd w:val="clear" w:color="auto" w:fill="auto"/>
            <w:vAlign w:val="bottom"/>
            <w:hideMark/>
          </w:tcPr>
          <w:p w14:paraId="4DD97515" w14:textId="77777777" w:rsidR="00F853A5" w:rsidRPr="003F513A" w:rsidRDefault="00F853A5" w:rsidP="00F853A5">
            <w:pPr>
              <w:widowControl/>
              <w:autoSpaceDE/>
              <w:autoSpaceDN/>
              <w:adjustRightInd/>
              <w:jc w:val="center"/>
              <w:rPr>
                <w:color w:val="000000"/>
                <w:sz w:val="24"/>
              </w:rPr>
            </w:pPr>
            <w:r w:rsidRPr="003F513A">
              <w:rPr>
                <w:color w:val="000000"/>
                <w:sz w:val="24"/>
              </w:rPr>
              <w:t>Age 56+</w:t>
            </w:r>
          </w:p>
        </w:tc>
        <w:tc>
          <w:tcPr>
            <w:tcW w:w="1220" w:type="dxa"/>
            <w:tcBorders>
              <w:top w:val="nil"/>
              <w:left w:val="nil"/>
              <w:bottom w:val="single" w:sz="8" w:space="0" w:color="auto"/>
              <w:right w:val="nil"/>
            </w:tcBorders>
            <w:shd w:val="clear" w:color="auto" w:fill="auto"/>
            <w:noWrap/>
            <w:vAlign w:val="bottom"/>
            <w:hideMark/>
          </w:tcPr>
          <w:p w14:paraId="2A6D747B" w14:textId="77777777" w:rsidR="00F853A5" w:rsidRPr="003F513A" w:rsidRDefault="00F853A5" w:rsidP="00F853A5">
            <w:pPr>
              <w:widowControl/>
              <w:autoSpaceDE/>
              <w:autoSpaceDN/>
              <w:adjustRightInd/>
              <w:jc w:val="center"/>
              <w:rPr>
                <w:color w:val="000000"/>
                <w:sz w:val="24"/>
              </w:rPr>
            </w:pPr>
            <w:r w:rsidRPr="003F513A">
              <w:rPr>
                <w:color w:val="000000"/>
                <w:sz w:val="24"/>
              </w:rPr>
              <w:t>25</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441A61F5" w14:textId="77777777" w:rsidR="00F853A5" w:rsidRPr="003F513A" w:rsidRDefault="00F853A5" w:rsidP="00F853A5">
            <w:pPr>
              <w:widowControl/>
              <w:autoSpaceDE/>
              <w:autoSpaceDN/>
              <w:adjustRightInd/>
              <w:jc w:val="center"/>
              <w:rPr>
                <w:color w:val="000000"/>
                <w:sz w:val="24"/>
              </w:rPr>
            </w:pPr>
            <w:r w:rsidRPr="003F513A">
              <w:rPr>
                <w:color w:val="000000"/>
                <w:sz w:val="24"/>
              </w:rPr>
              <w:t>31</w:t>
            </w:r>
          </w:p>
        </w:tc>
        <w:tc>
          <w:tcPr>
            <w:tcW w:w="900" w:type="dxa"/>
            <w:tcBorders>
              <w:top w:val="nil"/>
              <w:left w:val="nil"/>
              <w:bottom w:val="single" w:sz="8" w:space="0" w:color="auto"/>
              <w:right w:val="single" w:sz="8" w:space="0" w:color="auto"/>
            </w:tcBorders>
            <w:shd w:val="clear" w:color="auto" w:fill="auto"/>
            <w:noWrap/>
            <w:vAlign w:val="bottom"/>
            <w:hideMark/>
          </w:tcPr>
          <w:p w14:paraId="432CD496"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700" w:type="dxa"/>
            <w:tcBorders>
              <w:top w:val="nil"/>
              <w:left w:val="nil"/>
              <w:bottom w:val="single" w:sz="8" w:space="0" w:color="auto"/>
              <w:right w:val="single" w:sz="8" w:space="0" w:color="auto"/>
            </w:tcBorders>
            <w:shd w:val="clear" w:color="auto" w:fill="auto"/>
            <w:noWrap/>
            <w:vAlign w:val="bottom"/>
            <w:hideMark/>
          </w:tcPr>
          <w:p w14:paraId="29E45D81" w14:textId="77777777" w:rsidR="00F853A5" w:rsidRPr="003F513A" w:rsidRDefault="00F853A5" w:rsidP="00F853A5">
            <w:pPr>
              <w:widowControl/>
              <w:autoSpaceDE/>
              <w:autoSpaceDN/>
              <w:adjustRightInd/>
              <w:jc w:val="center"/>
              <w:rPr>
                <w:color w:val="000000"/>
                <w:sz w:val="24"/>
              </w:rPr>
            </w:pPr>
            <w:r w:rsidRPr="003F513A">
              <w:rPr>
                <w:color w:val="000000"/>
                <w:sz w:val="24"/>
              </w:rPr>
              <w:t>62</w:t>
            </w:r>
          </w:p>
        </w:tc>
        <w:tc>
          <w:tcPr>
            <w:tcW w:w="1220" w:type="dxa"/>
            <w:tcBorders>
              <w:top w:val="nil"/>
              <w:left w:val="nil"/>
              <w:bottom w:val="single" w:sz="8" w:space="0" w:color="auto"/>
              <w:right w:val="nil"/>
            </w:tcBorders>
            <w:shd w:val="clear" w:color="auto" w:fill="auto"/>
            <w:noWrap/>
            <w:vAlign w:val="bottom"/>
            <w:hideMark/>
          </w:tcPr>
          <w:p w14:paraId="38E3DDA1" w14:textId="77777777" w:rsidR="00F853A5" w:rsidRPr="003F513A" w:rsidRDefault="00F853A5" w:rsidP="00F853A5">
            <w:pPr>
              <w:widowControl/>
              <w:autoSpaceDE/>
              <w:autoSpaceDN/>
              <w:adjustRightInd/>
              <w:jc w:val="center"/>
              <w:rPr>
                <w:color w:val="000000"/>
                <w:sz w:val="24"/>
              </w:rPr>
            </w:pPr>
            <w:r w:rsidRPr="003F513A">
              <w:rPr>
                <w:color w:val="000000"/>
                <w:sz w:val="24"/>
              </w:rPr>
              <w:t>6</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18BA3312" w14:textId="77777777" w:rsidR="00F853A5" w:rsidRPr="003F513A" w:rsidRDefault="00F853A5" w:rsidP="00F853A5">
            <w:pPr>
              <w:widowControl/>
              <w:autoSpaceDE/>
              <w:autoSpaceDN/>
              <w:adjustRightInd/>
              <w:jc w:val="center"/>
              <w:rPr>
                <w:color w:val="000000"/>
                <w:sz w:val="24"/>
              </w:rPr>
            </w:pPr>
            <w:r w:rsidRPr="003F513A">
              <w:rPr>
                <w:color w:val="000000"/>
                <w:sz w:val="24"/>
              </w:rPr>
              <w:t>5</w:t>
            </w:r>
          </w:p>
        </w:tc>
        <w:tc>
          <w:tcPr>
            <w:tcW w:w="900" w:type="dxa"/>
            <w:tcBorders>
              <w:top w:val="nil"/>
              <w:left w:val="nil"/>
              <w:bottom w:val="single" w:sz="8" w:space="0" w:color="auto"/>
              <w:right w:val="single" w:sz="8" w:space="0" w:color="auto"/>
            </w:tcBorders>
            <w:shd w:val="clear" w:color="auto" w:fill="auto"/>
            <w:noWrap/>
            <w:vAlign w:val="bottom"/>
            <w:hideMark/>
          </w:tcPr>
          <w:p w14:paraId="3A45FB40" w14:textId="77777777" w:rsidR="00F853A5" w:rsidRPr="003F513A" w:rsidRDefault="00F853A5" w:rsidP="00F853A5">
            <w:pPr>
              <w:widowControl/>
              <w:autoSpaceDE/>
              <w:autoSpaceDN/>
              <w:adjustRightInd/>
              <w:jc w:val="center"/>
              <w:rPr>
                <w:color w:val="000000"/>
                <w:sz w:val="24"/>
              </w:rPr>
            </w:pPr>
            <w:r w:rsidRPr="003F513A">
              <w:rPr>
                <w:color w:val="000000"/>
                <w:sz w:val="24"/>
              </w:rPr>
              <w:t>3</w:t>
            </w:r>
          </w:p>
        </w:tc>
        <w:tc>
          <w:tcPr>
            <w:tcW w:w="700" w:type="dxa"/>
            <w:tcBorders>
              <w:top w:val="nil"/>
              <w:left w:val="nil"/>
              <w:bottom w:val="single" w:sz="8" w:space="0" w:color="auto"/>
              <w:right w:val="single" w:sz="8" w:space="0" w:color="auto"/>
            </w:tcBorders>
            <w:shd w:val="clear" w:color="auto" w:fill="auto"/>
            <w:noWrap/>
            <w:vAlign w:val="bottom"/>
            <w:hideMark/>
          </w:tcPr>
          <w:p w14:paraId="29C4AB8E" w14:textId="77777777" w:rsidR="00F853A5" w:rsidRPr="003F513A" w:rsidRDefault="00F853A5" w:rsidP="00F853A5">
            <w:pPr>
              <w:widowControl/>
              <w:autoSpaceDE/>
              <w:autoSpaceDN/>
              <w:adjustRightInd/>
              <w:jc w:val="center"/>
              <w:rPr>
                <w:color w:val="000000"/>
                <w:sz w:val="24"/>
              </w:rPr>
            </w:pPr>
            <w:r w:rsidRPr="003F513A">
              <w:rPr>
                <w:color w:val="000000"/>
                <w:sz w:val="24"/>
              </w:rPr>
              <w:t>14</w:t>
            </w:r>
          </w:p>
        </w:tc>
      </w:tr>
      <w:tr w:rsidR="00F853A5" w:rsidRPr="00F853A5" w14:paraId="74CC2717" w14:textId="77777777" w:rsidTr="003F513A">
        <w:trPr>
          <w:trHeight w:val="300"/>
        </w:trPr>
        <w:tc>
          <w:tcPr>
            <w:tcW w:w="18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7A58335"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TOTAL</w:t>
            </w:r>
          </w:p>
        </w:tc>
        <w:tc>
          <w:tcPr>
            <w:tcW w:w="1220" w:type="dxa"/>
            <w:tcBorders>
              <w:top w:val="nil"/>
              <w:left w:val="nil"/>
              <w:bottom w:val="single" w:sz="8" w:space="0" w:color="auto"/>
              <w:right w:val="nil"/>
            </w:tcBorders>
            <w:shd w:val="clear" w:color="auto" w:fill="auto"/>
            <w:noWrap/>
            <w:vAlign w:val="bottom"/>
            <w:hideMark/>
          </w:tcPr>
          <w:p w14:paraId="43A74339" w14:textId="77777777" w:rsidR="00F853A5" w:rsidRPr="003F513A" w:rsidRDefault="00F853A5" w:rsidP="00F853A5">
            <w:pPr>
              <w:widowControl/>
              <w:autoSpaceDE/>
              <w:autoSpaceDN/>
              <w:adjustRightInd/>
              <w:jc w:val="center"/>
              <w:rPr>
                <w:color w:val="000000"/>
                <w:sz w:val="24"/>
              </w:rPr>
            </w:pPr>
            <w:r w:rsidRPr="003F513A">
              <w:rPr>
                <w:color w:val="000000"/>
                <w:sz w:val="24"/>
              </w:rPr>
              <w:t>249</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02CAB9AD" w14:textId="77777777" w:rsidR="00F853A5" w:rsidRPr="003F513A" w:rsidRDefault="00F853A5" w:rsidP="00F853A5">
            <w:pPr>
              <w:widowControl/>
              <w:autoSpaceDE/>
              <w:autoSpaceDN/>
              <w:adjustRightInd/>
              <w:jc w:val="center"/>
              <w:rPr>
                <w:color w:val="000000"/>
                <w:sz w:val="24"/>
              </w:rPr>
            </w:pPr>
            <w:r w:rsidRPr="003F513A">
              <w:rPr>
                <w:color w:val="000000"/>
                <w:sz w:val="24"/>
              </w:rPr>
              <w:t>69</w:t>
            </w:r>
          </w:p>
        </w:tc>
        <w:tc>
          <w:tcPr>
            <w:tcW w:w="900" w:type="dxa"/>
            <w:tcBorders>
              <w:top w:val="nil"/>
              <w:left w:val="nil"/>
              <w:bottom w:val="single" w:sz="8" w:space="0" w:color="auto"/>
              <w:right w:val="single" w:sz="8" w:space="0" w:color="auto"/>
            </w:tcBorders>
            <w:shd w:val="clear" w:color="auto" w:fill="auto"/>
            <w:noWrap/>
            <w:vAlign w:val="bottom"/>
            <w:hideMark/>
          </w:tcPr>
          <w:p w14:paraId="3641DEC4" w14:textId="77777777" w:rsidR="00F853A5" w:rsidRPr="003F513A" w:rsidRDefault="00F853A5" w:rsidP="00F853A5">
            <w:pPr>
              <w:widowControl/>
              <w:autoSpaceDE/>
              <w:autoSpaceDN/>
              <w:adjustRightInd/>
              <w:jc w:val="center"/>
              <w:rPr>
                <w:color w:val="000000"/>
                <w:sz w:val="24"/>
              </w:rPr>
            </w:pPr>
            <w:r w:rsidRPr="003F513A">
              <w:rPr>
                <w:color w:val="000000"/>
                <w:sz w:val="24"/>
              </w:rPr>
              <w:t>57</w:t>
            </w:r>
          </w:p>
        </w:tc>
        <w:tc>
          <w:tcPr>
            <w:tcW w:w="700" w:type="dxa"/>
            <w:tcBorders>
              <w:top w:val="nil"/>
              <w:left w:val="nil"/>
              <w:bottom w:val="single" w:sz="8" w:space="0" w:color="auto"/>
              <w:right w:val="single" w:sz="8" w:space="0" w:color="auto"/>
            </w:tcBorders>
            <w:shd w:val="clear" w:color="auto" w:fill="auto"/>
            <w:noWrap/>
            <w:vAlign w:val="bottom"/>
            <w:hideMark/>
          </w:tcPr>
          <w:p w14:paraId="180BD289"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375</w:t>
            </w:r>
          </w:p>
        </w:tc>
        <w:tc>
          <w:tcPr>
            <w:tcW w:w="1220" w:type="dxa"/>
            <w:tcBorders>
              <w:top w:val="nil"/>
              <w:left w:val="nil"/>
              <w:bottom w:val="single" w:sz="8" w:space="0" w:color="auto"/>
              <w:right w:val="nil"/>
            </w:tcBorders>
            <w:shd w:val="clear" w:color="auto" w:fill="auto"/>
            <w:noWrap/>
            <w:vAlign w:val="bottom"/>
            <w:hideMark/>
          </w:tcPr>
          <w:p w14:paraId="18988745" w14:textId="77777777" w:rsidR="00F853A5" w:rsidRPr="003F513A" w:rsidRDefault="00F853A5" w:rsidP="00F853A5">
            <w:pPr>
              <w:widowControl/>
              <w:autoSpaceDE/>
              <w:autoSpaceDN/>
              <w:adjustRightInd/>
              <w:jc w:val="center"/>
              <w:rPr>
                <w:color w:val="000000"/>
                <w:sz w:val="24"/>
              </w:rPr>
            </w:pPr>
            <w:r w:rsidRPr="003F513A">
              <w:rPr>
                <w:color w:val="000000"/>
                <w:sz w:val="24"/>
              </w:rPr>
              <w:t>51</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2E8A3011" w14:textId="77777777" w:rsidR="00F853A5" w:rsidRPr="003F513A" w:rsidRDefault="00F853A5" w:rsidP="00F853A5">
            <w:pPr>
              <w:widowControl/>
              <w:autoSpaceDE/>
              <w:autoSpaceDN/>
              <w:adjustRightInd/>
              <w:jc w:val="center"/>
              <w:rPr>
                <w:color w:val="000000"/>
                <w:sz w:val="24"/>
              </w:rPr>
            </w:pPr>
            <w:r w:rsidRPr="003F513A">
              <w:rPr>
                <w:color w:val="000000"/>
                <w:sz w:val="24"/>
              </w:rPr>
              <w:t>22</w:t>
            </w:r>
          </w:p>
        </w:tc>
        <w:tc>
          <w:tcPr>
            <w:tcW w:w="900" w:type="dxa"/>
            <w:tcBorders>
              <w:top w:val="nil"/>
              <w:left w:val="nil"/>
              <w:bottom w:val="single" w:sz="8" w:space="0" w:color="auto"/>
              <w:right w:val="single" w:sz="8" w:space="0" w:color="auto"/>
            </w:tcBorders>
            <w:shd w:val="clear" w:color="auto" w:fill="auto"/>
            <w:noWrap/>
            <w:vAlign w:val="bottom"/>
            <w:hideMark/>
          </w:tcPr>
          <w:p w14:paraId="0662D964" w14:textId="77777777" w:rsidR="00F853A5" w:rsidRPr="003F513A" w:rsidRDefault="00F853A5" w:rsidP="00F853A5">
            <w:pPr>
              <w:widowControl/>
              <w:autoSpaceDE/>
              <w:autoSpaceDN/>
              <w:adjustRightInd/>
              <w:jc w:val="center"/>
              <w:rPr>
                <w:color w:val="000000"/>
                <w:sz w:val="24"/>
              </w:rPr>
            </w:pPr>
            <w:r w:rsidRPr="003F513A">
              <w:rPr>
                <w:color w:val="000000"/>
                <w:sz w:val="24"/>
              </w:rPr>
              <w:t>17</w:t>
            </w:r>
          </w:p>
        </w:tc>
        <w:tc>
          <w:tcPr>
            <w:tcW w:w="700" w:type="dxa"/>
            <w:tcBorders>
              <w:top w:val="nil"/>
              <w:left w:val="nil"/>
              <w:bottom w:val="single" w:sz="8" w:space="0" w:color="auto"/>
              <w:right w:val="single" w:sz="8" w:space="0" w:color="auto"/>
            </w:tcBorders>
            <w:shd w:val="clear" w:color="auto" w:fill="auto"/>
            <w:noWrap/>
            <w:vAlign w:val="bottom"/>
            <w:hideMark/>
          </w:tcPr>
          <w:p w14:paraId="193A834F" w14:textId="77777777" w:rsidR="00F853A5" w:rsidRPr="003F513A" w:rsidRDefault="00F853A5" w:rsidP="00F853A5">
            <w:pPr>
              <w:widowControl/>
              <w:autoSpaceDE/>
              <w:autoSpaceDN/>
              <w:adjustRightInd/>
              <w:jc w:val="center"/>
              <w:rPr>
                <w:b/>
                <w:bCs/>
                <w:color w:val="000000"/>
                <w:sz w:val="24"/>
              </w:rPr>
            </w:pPr>
            <w:r w:rsidRPr="003F513A">
              <w:rPr>
                <w:b/>
                <w:bCs/>
                <w:color w:val="000000"/>
                <w:sz w:val="24"/>
              </w:rPr>
              <w:t>90</w:t>
            </w:r>
          </w:p>
        </w:tc>
      </w:tr>
    </w:tbl>
    <w:p w14:paraId="5704A2CD" w14:textId="77777777" w:rsidR="00F853A5" w:rsidRDefault="00F853A5" w:rsidP="00AC35A7">
      <w:pPr>
        <w:rPr>
          <w:sz w:val="24"/>
        </w:rPr>
      </w:pPr>
    </w:p>
    <w:p w14:paraId="67E67FA4" w14:textId="77777777" w:rsidR="00AC35A7" w:rsidRDefault="00AC35A7" w:rsidP="00AC35A7">
      <w:pPr>
        <w:rPr>
          <w:sz w:val="24"/>
        </w:rPr>
      </w:pPr>
      <w:r>
        <w:rPr>
          <w:sz w:val="24"/>
        </w:rPr>
        <w:t xml:space="preserve">Findings from the analysis of ALP survey responses will generally be qualitative in nature and will only be applied to the </w:t>
      </w:r>
      <w:r w:rsidRPr="00CF0F6D">
        <w:rPr>
          <w:sz w:val="24"/>
        </w:rPr>
        <w:t xml:space="preserve">sample </w:t>
      </w:r>
      <w:r>
        <w:rPr>
          <w:sz w:val="24"/>
        </w:rPr>
        <w:t xml:space="preserve">of participants.  A </w:t>
      </w:r>
      <w:r w:rsidRPr="00605986">
        <w:rPr>
          <w:sz w:val="24"/>
        </w:rPr>
        <w:t xml:space="preserve">range of participant backgrounds is desired in order to increase the likelihood of identifying areas of concern that would arise when the </w:t>
      </w:r>
      <w:r w:rsidR="00B41A0D">
        <w:rPr>
          <w:sz w:val="24"/>
        </w:rPr>
        <w:t xml:space="preserve">On the Road to Retirement </w:t>
      </w:r>
      <w:r w:rsidRPr="00605986">
        <w:rPr>
          <w:sz w:val="24"/>
        </w:rPr>
        <w:t>surveys are administered to thousands of households across the United States.</w:t>
      </w:r>
      <w:r>
        <w:rPr>
          <w:sz w:val="24"/>
        </w:rPr>
        <w:t xml:space="preserve">  Even with hundreds of pretest participants, simple random sampling from the list of over 5</w:t>
      </w:r>
      <w:r w:rsidR="004C531C">
        <w:rPr>
          <w:sz w:val="24"/>
        </w:rPr>
        <w:t>,</w:t>
      </w:r>
      <w:r>
        <w:rPr>
          <w:sz w:val="24"/>
        </w:rPr>
        <w:t xml:space="preserve">300 ALP panel members who are age 25 and older may not suffice to achieve this objective.  Table </w:t>
      </w:r>
      <w:r w:rsidR="0021302A">
        <w:rPr>
          <w:sz w:val="24"/>
        </w:rPr>
        <w:t>7</w:t>
      </w:r>
      <w:r>
        <w:rPr>
          <w:sz w:val="24"/>
        </w:rPr>
        <w:t xml:space="preserve"> compares the proposed stratification of the pretest sample to the universe of active ALP respondents.  The pretest sample will be randomly selected from within each stratum of </w:t>
      </w:r>
      <w:r w:rsidRPr="00556E48">
        <w:rPr>
          <w:sz w:val="24"/>
        </w:rPr>
        <w:t>ALP respondents</w:t>
      </w:r>
      <w:r>
        <w:rPr>
          <w:sz w:val="24"/>
        </w:rPr>
        <w:t>.</w:t>
      </w:r>
    </w:p>
    <w:p w14:paraId="3E39ABEC" w14:textId="77777777" w:rsidR="00F06DF4" w:rsidRDefault="00F06DF4" w:rsidP="00AC35A7">
      <w:pPr>
        <w:rPr>
          <w:sz w:val="24"/>
        </w:rPr>
      </w:pPr>
    </w:p>
    <w:p w14:paraId="10BBA95F" w14:textId="45855513" w:rsidR="00F06DF4" w:rsidRDefault="00F06DF4">
      <w:pPr>
        <w:widowControl/>
        <w:autoSpaceDE/>
        <w:autoSpaceDN/>
        <w:adjustRightInd/>
        <w:rPr>
          <w:sz w:val="24"/>
        </w:rPr>
      </w:pPr>
      <w:r>
        <w:rPr>
          <w:sz w:val="24"/>
        </w:rPr>
        <w:br w:type="page"/>
      </w:r>
    </w:p>
    <w:p w14:paraId="271D99AA" w14:textId="77777777" w:rsidR="008C1EAD" w:rsidRDefault="008C1EAD">
      <w:pPr>
        <w:widowControl/>
        <w:autoSpaceDE/>
        <w:autoSpaceDN/>
        <w:adjustRightInd/>
        <w:rPr>
          <w:sz w:val="24"/>
        </w:rPr>
      </w:pPr>
    </w:p>
    <w:p w14:paraId="0A5D5F7B" w14:textId="77777777" w:rsidR="00AC35A7" w:rsidRDefault="008C1EAD" w:rsidP="00AC35A7">
      <w:pPr>
        <w:rPr>
          <w:sz w:val="24"/>
        </w:rPr>
      </w:pPr>
      <w:r>
        <w:rPr>
          <w:sz w:val="24"/>
        </w:rPr>
        <w:t>Table 7. Proposed Sample and Universe Covered</w:t>
      </w:r>
    </w:p>
    <w:p w14:paraId="3B24AD7A" w14:textId="77777777" w:rsidR="008C1EAD" w:rsidRDefault="008C1EAD" w:rsidP="00AC35A7">
      <w:pPr>
        <w:rPr>
          <w:sz w:val="24"/>
        </w:rPr>
      </w:pPr>
    </w:p>
    <w:tbl>
      <w:tblPr>
        <w:tblW w:w="9260" w:type="dxa"/>
        <w:tblInd w:w="93" w:type="dxa"/>
        <w:tblLook w:val="04A0" w:firstRow="1" w:lastRow="0" w:firstColumn="1" w:lastColumn="0" w:noHBand="0" w:noVBand="1"/>
      </w:tblPr>
      <w:tblGrid>
        <w:gridCol w:w="1524"/>
        <w:gridCol w:w="1280"/>
        <w:gridCol w:w="925"/>
        <w:gridCol w:w="900"/>
        <w:gridCol w:w="763"/>
        <w:gridCol w:w="1280"/>
        <w:gridCol w:w="925"/>
        <w:gridCol w:w="900"/>
        <w:gridCol w:w="763"/>
      </w:tblGrid>
      <w:tr w:rsidR="008C1EAD" w:rsidRPr="008C1EAD" w14:paraId="19100622" w14:textId="77777777" w:rsidTr="008C1EAD">
        <w:trPr>
          <w:trHeight w:val="312"/>
        </w:trPr>
        <w:tc>
          <w:tcPr>
            <w:tcW w:w="18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91FF937"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Respondent Living Situation and Age</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AA868EE"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PROPOSED SAMPLE</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9CE43E9"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UNIVERSE COVERED</w:t>
            </w:r>
          </w:p>
        </w:tc>
      </w:tr>
      <w:tr w:rsidR="008C1EAD" w:rsidRPr="008C1EAD" w14:paraId="7DF9DEC4" w14:textId="77777777" w:rsidTr="008C1EAD">
        <w:trPr>
          <w:trHeight w:val="312"/>
        </w:trPr>
        <w:tc>
          <w:tcPr>
            <w:tcW w:w="1820" w:type="dxa"/>
            <w:vMerge/>
            <w:tcBorders>
              <w:top w:val="single" w:sz="8" w:space="0" w:color="auto"/>
              <w:left w:val="single" w:sz="8" w:space="0" w:color="auto"/>
              <w:bottom w:val="single" w:sz="8" w:space="0" w:color="000000"/>
              <w:right w:val="single" w:sz="8" w:space="0" w:color="auto"/>
            </w:tcBorders>
            <w:vAlign w:val="center"/>
            <w:hideMark/>
          </w:tcPr>
          <w:p w14:paraId="16C7FA94" w14:textId="77777777" w:rsidR="008C1EAD" w:rsidRPr="003F513A" w:rsidRDefault="008C1EAD" w:rsidP="008C1EAD">
            <w:pPr>
              <w:widowControl/>
              <w:autoSpaceDE/>
              <w:autoSpaceDN/>
              <w:adjustRightInd/>
              <w:rPr>
                <w:b/>
                <w:bCs/>
                <w:color w:val="000000"/>
                <w:sz w:val="22"/>
                <w:szCs w:val="22"/>
              </w:rPr>
            </w:pP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0E4CA66"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Internet + Mail-Out Surveys</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4355B3C"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All Active ALP Respondents</w:t>
            </w:r>
          </w:p>
        </w:tc>
      </w:tr>
      <w:tr w:rsidR="008C1EAD" w:rsidRPr="008C1EAD" w14:paraId="49B85584" w14:textId="77777777" w:rsidTr="008C1EAD">
        <w:trPr>
          <w:trHeight w:val="300"/>
        </w:trPr>
        <w:tc>
          <w:tcPr>
            <w:tcW w:w="1820" w:type="dxa"/>
            <w:vMerge/>
            <w:tcBorders>
              <w:top w:val="single" w:sz="8" w:space="0" w:color="auto"/>
              <w:left w:val="single" w:sz="8" w:space="0" w:color="auto"/>
              <w:bottom w:val="single" w:sz="8" w:space="0" w:color="000000"/>
              <w:right w:val="single" w:sz="8" w:space="0" w:color="auto"/>
            </w:tcBorders>
            <w:vAlign w:val="center"/>
            <w:hideMark/>
          </w:tcPr>
          <w:p w14:paraId="75E3FA77" w14:textId="77777777" w:rsidR="008C1EAD" w:rsidRPr="003F513A" w:rsidRDefault="008C1EAD" w:rsidP="008C1EAD">
            <w:pPr>
              <w:widowControl/>
              <w:autoSpaceDE/>
              <w:autoSpaceDN/>
              <w:adjustRightInd/>
              <w:rPr>
                <w:b/>
                <w:bCs/>
                <w:color w:val="000000"/>
                <w:sz w:val="22"/>
                <w:szCs w:val="22"/>
              </w:rPr>
            </w:pPr>
          </w:p>
        </w:tc>
        <w:tc>
          <w:tcPr>
            <w:tcW w:w="3020" w:type="dxa"/>
            <w:gridSpan w:val="3"/>
            <w:tcBorders>
              <w:top w:val="single" w:sz="8" w:space="0" w:color="auto"/>
              <w:left w:val="nil"/>
              <w:bottom w:val="single" w:sz="8" w:space="0" w:color="auto"/>
              <w:right w:val="nil"/>
            </w:tcBorders>
            <w:shd w:val="clear" w:color="auto" w:fill="auto"/>
            <w:vAlign w:val="bottom"/>
            <w:hideMark/>
          </w:tcPr>
          <w:p w14:paraId="460C8B69"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Respondent Labor Force Status</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hideMark/>
          </w:tcPr>
          <w:p w14:paraId="6A4D0F70"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Total</w:t>
            </w:r>
          </w:p>
        </w:tc>
        <w:tc>
          <w:tcPr>
            <w:tcW w:w="3020" w:type="dxa"/>
            <w:gridSpan w:val="3"/>
            <w:tcBorders>
              <w:top w:val="single" w:sz="8" w:space="0" w:color="auto"/>
              <w:left w:val="nil"/>
              <w:bottom w:val="single" w:sz="8" w:space="0" w:color="auto"/>
              <w:right w:val="nil"/>
            </w:tcBorders>
            <w:shd w:val="clear" w:color="auto" w:fill="auto"/>
            <w:vAlign w:val="bottom"/>
            <w:hideMark/>
          </w:tcPr>
          <w:p w14:paraId="295622CA"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Respondent Labor Force Status</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hideMark/>
          </w:tcPr>
          <w:p w14:paraId="688176D2"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Total</w:t>
            </w:r>
          </w:p>
        </w:tc>
      </w:tr>
      <w:tr w:rsidR="008C1EAD" w:rsidRPr="008C1EAD" w14:paraId="771107AF" w14:textId="77777777" w:rsidTr="008C1EAD">
        <w:trPr>
          <w:trHeight w:val="588"/>
        </w:trPr>
        <w:tc>
          <w:tcPr>
            <w:tcW w:w="1820" w:type="dxa"/>
            <w:tcBorders>
              <w:top w:val="nil"/>
              <w:left w:val="single" w:sz="8" w:space="0" w:color="auto"/>
              <w:bottom w:val="single" w:sz="8" w:space="0" w:color="auto"/>
              <w:right w:val="single" w:sz="8" w:space="0" w:color="auto"/>
            </w:tcBorders>
            <w:shd w:val="clear" w:color="auto" w:fill="auto"/>
            <w:vAlign w:val="bottom"/>
            <w:hideMark/>
          </w:tcPr>
          <w:p w14:paraId="3FB59320"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Living with a spouse or partner</w:t>
            </w:r>
          </w:p>
        </w:tc>
        <w:tc>
          <w:tcPr>
            <w:tcW w:w="1220" w:type="dxa"/>
            <w:tcBorders>
              <w:top w:val="nil"/>
              <w:left w:val="nil"/>
              <w:bottom w:val="single" w:sz="8" w:space="0" w:color="auto"/>
              <w:right w:val="nil"/>
            </w:tcBorders>
            <w:shd w:val="clear" w:color="auto" w:fill="auto"/>
            <w:vAlign w:val="bottom"/>
            <w:hideMark/>
          </w:tcPr>
          <w:p w14:paraId="33DA1B3A"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5153496D"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0334ADC6"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Other</w:t>
            </w:r>
          </w:p>
        </w:tc>
        <w:tc>
          <w:tcPr>
            <w:tcW w:w="700" w:type="dxa"/>
            <w:vMerge/>
            <w:tcBorders>
              <w:top w:val="nil"/>
              <w:left w:val="single" w:sz="8" w:space="0" w:color="auto"/>
              <w:bottom w:val="single" w:sz="8" w:space="0" w:color="000000"/>
              <w:right w:val="single" w:sz="8" w:space="0" w:color="auto"/>
            </w:tcBorders>
            <w:vAlign w:val="center"/>
            <w:hideMark/>
          </w:tcPr>
          <w:p w14:paraId="16FB29DF" w14:textId="77777777" w:rsidR="008C1EAD" w:rsidRPr="003F513A" w:rsidRDefault="008C1EAD" w:rsidP="008C1EAD">
            <w:pPr>
              <w:widowControl/>
              <w:autoSpaceDE/>
              <w:autoSpaceDN/>
              <w:adjustRightInd/>
              <w:rPr>
                <w:b/>
                <w:bCs/>
                <w:color w:val="000000"/>
                <w:sz w:val="22"/>
                <w:szCs w:val="22"/>
              </w:rPr>
            </w:pPr>
          </w:p>
        </w:tc>
        <w:tc>
          <w:tcPr>
            <w:tcW w:w="1220" w:type="dxa"/>
            <w:tcBorders>
              <w:top w:val="nil"/>
              <w:left w:val="nil"/>
              <w:bottom w:val="single" w:sz="8" w:space="0" w:color="auto"/>
              <w:right w:val="nil"/>
            </w:tcBorders>
            <w:shd w:val="clear" w:color="auto" w:fill="auto"/>
            <w:vAlign w:val="bottom"/>
            <w:hideMark/>
          </w:tcPr>
          <w:p w14:paraId="3C82188C"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65F476BE"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6E7C4697"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Other</w:t>
            </w:r>
          </w:p>
        </w:tc>
        <w:tc>
          <w:tcPr>
            <w:tcW w:w="700" w:type="dxa"/>
            <w:vMerge/>
            <w:tcBorders>
              <w:top w:val="nil"/>
              <w:left w:val="single" w:sz="8" w:space="0" w:color="auto"/>
              <w:bottom w:val="single" w:sz="8" w:space="0" w:color="000000"/>
              <w:right w:val="single" w:sz="8" w:space="0" w:color="auto"/>
            </w:tcBorders>
            <w:vAlign w:val="center"/>
            <w:hideMark/>
          </w:tcPr>
          <w:p w14:paraId="30ACFA74" w14:textId="77777777" w:rsidR="008C1EAD" w:rsidRPr="003F513A" w:rsidRDefault="008C1EAD" w:rsidP="008C1EAD">
            <w:pPr>
              <w:widowControl/>
              <w:autoSpaceDE/>
              <w:autoSpaceDN/>
              <w:adjustRightInd/>
              <w:rPr>
                <w:b/>
                <w:bCs/>
                <w:color w:val="000000"/>
                <w:sz w:val="22"/>
                <w:szCs w:val="22"/>
              </w:rPr>
            </w:pPr>
          </w:p>
        </w:tc>
      </w:tr>
      <w:tr w:rsidR="008C1EAD" w:rsidRPr="008C1EAD" w14:paraId="70CFF5F1" w14:textId="77777777" w:rsidTr="008C1EAD">
        <w:trPr>
          <w:trHeight w:val="288"/>
        </w:trPr>
        <w:tc>
          <w:tcPr>
            <w:tcW w:w="1820" w:type="dxa"/>
            <w:tcBorders>
              <w:top w:val="nil"/>
              <w:left w:val="single" w:sz="8" w:space="0" w:color="auto"/>
              <w:bottom w:val="nil"/>
              <w:right w:val="single" w:sz="8" w:space="0" w:color="auto"/>
            </w:tcBorders>
            <w:shd w:val="clear" w:color="auto" w:fill="auto"/>
            <w:vAlign w:val="bottom"/>
            <w:hideMark/>
          </w:tcPr>
          <w:p w14:paraId="6360B2B8" w14:textId="77777777" w:rsidR="008C1EAD" w:rsidRPr="003F513A" w:rsidRDefault="008C1EAD" w:rsidP="008C1EAD">
            <w:pPr>
              <w:widowControl/>
              <w:autoSpaceDE/>
              <w:autoSpaceDN/>
              <w:adjustRightInd/>
              <w:jc w:val="center"/>
              <w:rPr>
                <w:color w:val="000000"/>
                <w:sz w:val="24"/>
              </w:rPr>
            </w:pPr>
            <w:r w:rsidRPr="003F513A">
              <w:rPr>
                <w:color w:val="000000"/>
                <w:sz w:val="24"/>
              </w:rPr>
              <w:t>Age 25-40</w:t>
            </w:r>
          </w:p>
        </w:tc>
        <w:tc>
          <w:tcPr>
            <w:tcW w:w="1220" w:type="dxa"/>
            <w:tcBorders>
              <w:top w:val="nil"/>
              <w:left w:val="nil"/>
              <w:bottom w:val="nil"/>
              <w:right w:val="nil"/>
            </w:tcBorders>
            <w:shd w:val="clear" w:color="auto" w:fill="auto"/>
            <w:noWrap/>
            <w:vAlign w:val="bottom"/>
            <w:hideMark/>
          </w:tcPr>
          <w:p w14:paraId="0FB51749" w14:textId="77777777" w:rsidR="008C1EAD" w:rsidRPr="003F513A" w:rsidRDefault="008C1EAD" w:rsidP="008C1EAD">
            <w:pPr>
              <w:widowControl/>
              <w:autoSpaceDE/>
              <w:autoSpaceDN/>
              <w:adjustRightInd/>
              <w:jc w:val="center"/>
              <w:rPr>
                <w:color w:val="000000"/>
                <w:sz w:val="24"/>
              </w:rPr>
            </w:pPr>
            <w:r w:rsidRPr="003F513A">
              <w:rPr>
                <w:color w:val="000000"/>
                <w:sz w:val="24"/>
              </w:rPr>
              <w:t>73</w:t>
            </w:r>
          </w:p>
        </w:tc>
        <w:tc>
          <w:tcPr>
            <w:tcW w:w="900" w:type="dxa"/>
            <w:tcBorders>
              <w:top w:val="nil"/>
              <w:left w:val="single" w:sz="4" w:space="0" w:color="auto"/>
              <w:bottom w:val="nil"/>
              <w:right w:val="single" w:sz="4" w:space="0" w:color="auto"/>
            </w:tcBorders>
            <w:shd w:val="clear" w:color="auto" w:fill="auto"/>
            <w:noWrap/>
            <w:vAlign w:val="bottom"/>
            <w:hideMark/>
          </w:tcPr>
          <w:p w14:paraId="314B0836" w14:textId="77777777" w:rsidR="008C1EAD" w:rsidRPr="003F513A" w:rsidRDefault="008C1EAD" w:rsidP="008C1EAD">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nil"/>
            </w:tcBorders>
            <w:shd w:val="clear" w:color="auto" w:fill="auto"/>
            <w:noWrap/>
            <w:vAlign w:val="bottom"/>
            <w:hideMark/>
          </w:tcPr>
          <w:p w14:paraId="2686DE67" w14:textId="77777777" w:rsidR="008C1EAD" w:rsidRPr="003F513A" w:rsidRDefault="008C1EAD" w:rsidP="008C1EAD">
            <w:pPr>
              <w:widowControl/>
              <w:autoSpaceDE/>
              <w:autoSpaceDN/>
              <w:adjustRightInd/>
              <w:jc w:val="center"/>
              <w:rPr>
                <w:color w:val="000000"/>
                <w:sz w:val="24"/>
              </w:rPr>
            </w:pPr>
            <w:r w:rsidRPr="003F513A">
              <w:rPr>
                <w:color w:val="000000"/>
                <w:sz w:val="24"/>
              </w:rPr>
              <w:t>16</w:t>
            </w:r>
          </w:p>
        </w:tc>
        <w:tc>
          <w:tcPr>
            <w:tcW w:w="700" w:type="dxa"/>
            <w:tcBorders>
              <w:top w:val="nil"/>
              <w:left w:val="single" w:sz="8" w:space="0" w:color="auto"/>
              <w:bottom w:val="nil"/>
              <w:right w:val="single" w:sz="8" w:space="0" w:color="auto"/>
            </w:tcBorders>
            <w:shd w:val="clear" w:color="auto" w:fill="auto"/>
            <w:noWrap/>
            <w:vAlign w:val="bottom"/>
            <w:hideMark/>
          </w:tcPr>
          <w:p w14:paraId="1F0EE6A4" w14:textId="77777777" w:rsidR="008C1EAD" w:rsidRPr="003F513A" w:rsidRDefault="008C1EAD" w:rsidP="008C1EAD">
            <w:pPr>
              <w:widowControl/>
              <w:autoSpaceDE/>
              <w:autoSpaceDN/>
              <w:adjustRightInd/>
              <w:jc w:val="center"/>
              <w:rPr>
                <w:color w:val="000000"/>
                <w:sz w:val="24"/>
              </w:rPr>
            </w:pPr>
            <w:r w:rsidRPr="003F513A">
              <w:rPr>
                <w:color w:val="000000"/>
                <w:sz w:val="24"/>
              </w:rPr>
              <w:t>89</w:t>
            </w:r>
          </w:p>
        </w:tc>
        <w:tc>
          <w:tcPr>
            <w:tcW w:w="1220" w:type="dxa"/>
            <w:tcBorders>
              <w:top w:val="nil"/>
              <w:left w:val="nil"/>
              <w:bottom w:val="nil"/>
              <w:right w:val="nil"/>
            </w:tcBorders>
            <w:shd w:val="clear" w:color="auto" w:fill="auto"/>
            <w:noWrap/>
            <w:vAlign w:val="bottom"/>
            <w:hideMark/>
          </w:tcPr>
          <w:p w14:paraId="19B2F786" w14:textId="77777777" w:rsidR="008C1EAD" w:rsidRPr="003F513A" w:rsidRDefault="008C1EAD" w:rsidP="008C1EAD">
            <w:pPr>
              <w:widowControl/>
              <w:autoSpaceDE/>
              <w:autoSpaceDN/>
              <w:adjustRightInd/>
              <w:jc w:val="center"/>
              <w:rPr>
                <w:color w:val="000000"/>
                <w:sz w:val="24"/>
              </w:rPr>
            </w:pPr>
            <w:r w:rsidRPr="003F513A">
              <w:rPr>
                <w:color w:val="000000"/>
                <w:sz w:val="24"/>
              </w:rPr>
              <w:t>827</w:t>
            </w:r>
          </w:p>
        </w:tc>
        <w:tc>
          <w:tcPr>
            <w:tcW w:w="900" w:type="dxa"/>
            <w:tcBorders>
              <w:top w:val="nil"/>
              <w:left w:val="single" w:sz="4" w:space="0" w:color="auto"/>
              <w:bottom w:val="nil"/>
              <w:right w:val="single" w:sz="4" w:space="0" w:color="auto"/>
            </w:tcBorders>
            <w:shd w:val="clear" w:color="auto" w:fill="auto"/>
            <w:noWrap/>
            <w:vAlign w:val="bottom"/>
            <w:hideMark/>
          </w:tcPr>
          <w:p w14:paraId="01CE9046" w14:textId="77777777" w:rsidR="008C1EAD" w:rsidRPr="003F513A" w:rsidRDefault="008C1EAD" w:rsidP="008C1EAD">
            <w:pPr>
              <w:widowControl/>
              <w:autoSpaceDE/>
              <w:autoSpaceDN/>
              <w:adjustRightInd/>
              <w:jc w:val="center"/>
              <w:rPr>
                <w:color w:val="000000"/>
                <w:sz w:val="24"/>
              </w:rPr>
            </w:pPr>
            <w:r w:rsidRPr="003F513A">
              <w:rPr>
                <w:color w:val="000000"/>
                <w:sz w:val="24"/>
              </w:rPr>
              <w:t>1</w:t>
            </w:r>
          </w:p>
        </w:tc>
        <w:tc>
          <w:tcPr>
            <w:tcW w:w="900" w:type="dxa"/>
            <w:tcBorders>
              <w:top w:val="nil"/>
              <w:left w:val="nil"/>
              <w:bottom w:val="nil"/>
              <w:right w:val="single" w:sz="8" w:space="0" w:color="auto"/>
            </w:tcBorders>
            <w:shd w:val="clear" w:color="auto" w:fill="auto"/>
            <w:noWrap/>
            <w:vAlign w:val="bottom"/>
            <w:hideMark/>
          </w:tcPr>
          <w:p w14:paraId="6C817092" w14:textId="77777777" w:rsidR="008C1EAD" w:rsidRPr="003F513A" w:rsidRDefault="008C1EAD" w:rsidP="008C1EAD">
            <w:pPr>
              <w:widowControl/>
              <w:autoSpaceDE/>
              <w:autoSpaceDN/>
              <w:adjustRightInd/>
              <w:jc w:val="center"/>
              <w:rPr>
                <w:color w:val="000000"/>
                <w:sz w:val="24"/>
              </w:rPr>
            </w:pPr>
            <w:r w:rsidRPr="003F513A">
              <w:rPr>
                <w:color w:val="000000"/>
                <w:sz w:val="24"/>
              </w:rPr>
              <w:t>177</w:t>
            </w:r>
          </w:p>
        </w:tc>
        <w:tc>
          <w:tcPr>
            <w:tcW w:w="700" w:type="dxa"/>
            <w:tcBorders>
              <w:top w:val="nil"/>
              <w:left w:val="nil"/>
              <w:bottom w:val="nil"/>
              <w:right w:val="single" w:sz="8" w:space="0" w:color="auto"/>
            </w:tcBorders>
            <w:shd w:val="clear" w:color="auto" w:fill="auto"/>
            <w:noWrap/>
            <w:vAlign w:val="bottom"/>
            <w:hideMark/>
          </w:tcPr>
          <w:p w14:paraId="3CC87226" w14:textId="77777777" w:rsidR="008C1EAD" w:rsidRPr="003F513A" w:rsidRDefault="008C1EAD" w:rsidP="008C1EAD">
            <w:pPr>
              <w:widowControl/>
              <w:autoSpaceDE/>
              <w:autoSpaceDN/>
              <w:adjustRightInd/>
              <w:jc w:val="center"/>
              <w:rPr>
                <w:color w:val="000000"/>
                <w:sz w:val="24"/>
              </w:rPr>
            </w:pPr>
            <w:r w:rsidRPr="003F513A">
              <w:rPr>
                <w:color w:val="000000"/>
                <w:sz w:val="24"/>
              </w:rPr>
              <w:t>1</w:t>
            </w:r>
            <w:r w:rsidR="003517F5" w:rsidRPr="003F513A">
              <w:rPr>
                <w:color w:val="000000"/>
                <w:sz w:val="24"/>
              </w:rPr>
              <w:t>,</w:t>
            </w:r>
            <w:r w:rsidRPr="003F513A">
              <w:rPr>
                <w:color w:val="000000"/>
                <w:sz w:val="24"/>
              </w:rPr>
              <w:t>005</w:t>
            </w:r>
          </w:p>
        </w:tc>
      </w:tr>
      <w:tr w:rsidR="008C1EAD" w:rsidRPr="008C1EAD" w14:paraId="6DA9870E" w14:textId="77777777" w:rsidTr="008C1EAD">
        <w:trPr>
          <w:trHeight w:val="288"/>
        </w:trPr>
        <w:tc>
          <w:tcPr>
            <w:tcW w:w="1820" w:type="dxa"/>
            <w:tcBorders>
              <w:top w:val="nil"/>
              <w:left w:val="single" w:sz="8" w:space="0" w:color="auto"/>
              <w:bottom w:val="nil"/>
              <w:right w:val="single" w:sz="8" w:space="0" w:color="auto"/>
            </w:tcBorders>
            <w:shd w:val="clear" w:color="auto" w:fill="auto"/>
            <w:vAlign w:val="bottom"/>
            <w:hideMark/>
          </w:tcPr>
          <w:p w14:paraId="751B0C18" w14:textId="77777777" w:rsidR="008C1EAD" w:rsidRPr="003F513A" w:rsidRDefault="008C1EAD" w:rsidP="008C1EAD">
            <w:pPr>
              <w:widowControl/>
              <w:autoSpaceDE/>
              <w:autoSpaceDN/>
              <w:adjustRightInd/>
              <w:jc w:val="center"/>
              <w:rPr>
                <w:color w:val="000000"/>
                <w:sz w:val="24"/>
              </w:rPr>
            </w:pPr>
            <w:r w:rsidRPr="003F513A">
              <w:rPr>
                <w:color w:val="000000"/>
                <w:sz w:val="24"/>
              </w:rPr>
              <w:t>Age 41-55</w:t>
            </w:r>
          </w:p>
        </w:tc>
        <w:tc>
          <w:tcPr>
            <w:tcW w:w="1220" w:type="dxa"/>
            <w:tcBorders>
              <w:top w:val="nil"/>
              <w:left w:val="nil"/>
              <w:bottom w:val="nil"/>
              <w:right w:val="nil"/>
            </w:tcBorders>
            <w:shd w:val="clear" w:color="auto" w:fill="auto"/>
            <w:noWrap/>
            <w:vAlign w:val="bottom"/>
            <w:hideMark/>
          </w:tcPr>
          <w:p w14:paraId="29ABE424" w14:textId="77777777" w:rsidR="008C1EAD" w:rsidRPr="003F513A" w:rsidRDefault="008C1EAD" w:rsidP="008C1EAD">
            <w:pPr>
              <w:widowControl/>
              <w:autoSpaceDE/>
              <w:autoSpaceDN/>
              <w:adjustRightInd/>
              <w:jc w:val="center"/>
              <w:rPr>
                <w:color w:val="000000"/>
                <w:sz w:val="24"/>
              </w:rPr>
            </w:pPr>
            <w:r w:rsidRPr="003F513A">
              <w:rPr>
                <w:color w:val="000000"/>
                <w:sz w:val="24"/>
              </w:rPr>
              <w:t>73</w:t>
            </w:r>
          </w:p>
        </w:tc>
        <w:tc>
          <w:tcPr>
            <w:tcW w:w="900" w:type="dxa"/>
            <w:tcBorders>
              <w:top w:val="nil"/>
              <w:left w:val="single" w:sz="4" w:space="0" w:color="auto"/>
              <w:bottom w:val="nil"/>
              <w:right w:val="single" w:sz="4" w:space="0" w:color="auto"/>
            </w:tcBorders>
            <w:shd w:val="clear" w:color="auto" w:fill="auto"/>
            <w:noWrap/>
            <w:vAlign w:val="bottom"/>
            <w:hideMark/>
          </w:tcPr>
          <w:p w14:paraId="425BF073" w14:textId="77777777" w:rsidR="008C1EAD" w:rsidRPr="003F513A" w:rsidRDefault="008C1EAD" w:rsidP="008C1EAD">
            <w:pPr>
              <w:widowControl/>
              <w:autoSpaceDE/>
              <w:autoSpaceDN/>
              <w:adjustRightInd/>
              <w:jc w:val="center"/>
              <w:rPr>
                <w:color w:val="000000"/>
                <w:sz w:val="24"/>
              </w:rPr>
            </w:pPr>
            <w:r w:rsidRPr="003F513A">
              <w:rPr>
                <w:color w:val="000000"/>
                <w:sz w:val="24"/>
              </w:rPr>
              <w:t>8</w:t>
            </w:r>
          </w:p>
        </w:tc>
        <w:tc>
          <w:tcPr>
            <w:tcW w:w="900" w:type="dxa"/>
            <w:tcBorders>
              <w:top w:val="nil"/>
              <w:left w:val="nil"/>
              <w:bottom w:val="nil"/>
              <w:right w:val="nil"/>
            </w:tcBorders>
            <w:shd w:val="clear" w:color="auto" w:fill="auto"/>
            <w:noWrap/>
            <w:vAlign w:val="bottom"/>
            <w:hideMark/>
          </w:tcPr>
          <w:p w14:paraId="5C244E88" w14:textId="77777777" w:rsidR="008C1EAD" w:rsidRPr="003F513A" w:rsidRDefault="008C1EAD" w:rsidP="008C1EAD">
            <w:pPr>
              <w:widowControl/>
              <w:autoSpaceDE/>
              <w:autoSpaceDN/>
              <w:adjustRightInd/>
              <w:jc w:val="center"/>
              <w:rPr>
                <w:color w:val="000000"/>
                <w:sz w:val="24"/>
              </w:rPr>
            </w:pPr>
            <w:r w:rsidRPr="003F513A">
              <w:rPr>
                <w:color w:val="000000"/>
                <w:sz w:val="24"/>
              </w:rPr>
              <w:t>16</w:t>
            </w:r>
          </w:p>
        </w:tc>
        <w:tc>
          <w:tcPr>
            <w:tcW w:w="700" w:type="dxa"/>
            <w:tcBorders>
              <w:top w:val="nil"/>
              <w:left w:val="single" w:sz="8" w:space="0" w:color="auto"/>
              <w:bottom w:val="nil"/>
              <w:right w:val="single" w:sz="8" w:space="0" w:color="auto"/>
            </w:tcBorders>
            <w:shd w:val="clear" w:color="auto" w:fill="auto"/>
            <w:noWrap/>
            <w:vAlign w:val="bottom"/>
            <w:hideMark/>
          </w:tcPr>
          <w:p w14:paraId="77E5A0AD" w14:textId="77777777" w:rsidR="008C1EAD" w:rsidRPr="003F513A" w:rsidRDefault="008C1EAD" w:rsidP="008C1EAD">
            <w:pPr>
              <w:widowControl/>
              <w:autoSpaceDE/>
              <w:autoSpaceDN/>
              <w:adjustRightInd/>
              <w:jc w:val="center"/>
              <w:rPr>
                <w:color w:val="000000"/>
                <w:sz w:val="24"/>
              </w:rPr>
            </w:pPr>
            <w:r w:rsidRPr="003F513A">
              <w:rPr>
                <w:color w:val="000000"/>
                <w:sz w:val="24"/>
              </w:rPr>
              <w:t>97</w:t>
            </w:r>
          </w:p>
        </w:tc>
        <w:tc>
          <w:tcPr>
            <w:tcW w:w="1220" w:type="dxa"/>
            <w:tcBorders>
              <w:top w:val="nil"/>
              <w:left w:val="nil"/>
              <w:bottom w:val="nil"/>
              <w:right w:val="nil"/>
            </w:tcBorders>
            <w:shd w:val="clear" w:color="auto" w:fill="auto"/>
            <w:noWrap/>
            <w:vAlign w:val="bottom"/>
            <w:hideMark/>
          </w:tcPr>
          <w:p w14:paraId="3F5214EB" w14:textId="77777777" w:rsidR="008C1EAD" w:rsidRPr="003F513A" w:rsidRDefault="008C1EAD" w:rsidP="008C1EAD">
            <w:pPr>
              <w:widowControl/>
              <w:autoSpaceDE/>
              <w:autoSpaceDN/>
              <w:adjustRightInd/>
              <w:jc w:val="center"/>
              <w:rPr>
                <w:color w:val="000000"/>
                <w:sz w:val="24"/>
              </w:rPr>
            </w:pPr>
            <w:r w:rsidRPr="003F513A">
              <w:rPr>
                <w:color w:val="000000"/>
                <w:sz w:val="24"/>
              </w:rPr>
              <w:t>843</w:t>
            </w:r>
          </w:p>
        </w:tc>
        <w:tc>
          <w:tcPr>
            <w:tcW w:w="900" w:type="dxa"/>
            <w:tcBorders>
              <w:top w:val="nil"/>
              <w:left w:val="single" w:sz="4" w:space="0" w:color="auto"/>
              <w:bottom w:val="nil"/>
              <w:right w:val="single" w:sz="4" w:space="0" w:color="auto"/>
            </w:tcBorders>
            <w:shd w:val="clear" w:color="auto" w:fill="auto"/>
            <w:noWrap/>
            <w:vAlign w:val="bottom"/>
            <w:hideMark/>
          </w:tcPr>
          <w:p w14:paraId="4AF94FD1" w14:textId="77777777" w:rsidR="008C1EAD" w:rsidRPr="003F513A" w:rsidRDefault="008C1EAD" w:rsidP="008C1EAD">
            <w:pPr>
              <w:widowControl/>
              <w:autoSpaceDE/>
              <w:autoSpaceDN/>
              <w:adjustRightInd/>
              <w:jc w:val="center"/>
              <w:rPr>
                <w:color w:val="000000"/>
                <w:sz w:val="24"/>
              </w:rPr>
            </w:pPr>
            <w:r w:rsidRPr="003F513A">
              <w:rPr>
                <w:color w:val="000000"/>
                <w:sz w:val="24"/>
              </w:rPr>
              <w:t>19</w:t>
            </w:r>
          </w:p>
        </w:tc>
        <w:tc>
          <w:tcPr>
            <w:tcW w:w="900" w:type="dxa"/>
            <w:tcBorders>
              <w:top w:val="nil"/>
              <w:left w:val="nil"/>
              <w:bottom w:val="nil"/>
              <w:right w:val="single" w:sz="8" w:space="0" w:color="auto"/>
            </w:tcBorders>
            <w:shd w:val="clear" w:color="auto" w:fill="auto"/>
            <w:noWrap/>
            <w:vAlign w:val="bottom"/>
            <w:hideMark/>
          </w:tcPr>
          <w:p w14:paraId="5977D399" w14:textId="77777777" w:rsidR="008C1EAD" w:rsidRPr="003F513A" w:rsidRDefault="008C1EAD" w:rsidP="008C1EAD">
            <w:pPr>
              <w:widowControl/>
              <w:autoSpaceDE/>
              <w:autoSpaceDN/>
              <w:adjustRightInd/>
              <w:jc w:val="center"/>
              <w:rPr>
                <w:color w:val="000000"/>
                <w:sz w:val="24"/>
              </w:rPr>
            </w:pPr>
            <w:r w:rsidRPr="003F513A">
              <w:rPr>
                <w:color w:val="000000"/>
                <w:sz w:val="24"/>
              </w:rPr>
              <w:t>180</w:t>
            </w:r>
          </w:p>
        </w:tc>
        <w:tc>
          <w:tcPr>
            <w:tcW w:w="700" w:type="dxa"/>
            <w:tcBorders>
              <w:top w:val="nil"/>
              <w:left w:val="nil"/>
              <w:bottom w:val="nil"/>
              <w:right w:val="single" w:sz="8" w:space="0" w:color="auto"/>
            </w:tcBorders>
            <w:shd w:val="clear" w:color="auto" w:fill="auto"/>
            <w:noWrap/>
            <w:vAlign w:val="bottom"/>
            <w:hideMark/>
          </w:tcPr>
          <w:p w14:paraId="64FD8A25" w14:textId="77777777" w:rsidR="008C1EAD" w:rsidRPr="003F513A" w:rsidRDefault="008C1EAD" w:rsidP="008C1EAD">
            <w:pPr>
              <w:widowControl/>
              <w:autoSpaceDE/>
              <w:autoSpaceDN/>
              <w:adjustRightInd/>
              <w:jc w:val="center"/>
              <w:rPr>
                <w:color w:val="000000"/>
                <w:sz w:val="24"/>
              </w:rPr>
            </w:pPr>
            <w:r w:rsidRPr="003F513A">
              <w:rPr>
                <w:color w:val="000000"/>
                <w:sz w:val="24"/>
              </w:rPr>
              <w:t>1</w:t>
            </w:r>
            <w:r w:rsidR="003517F5" w:rsidRPr="003F513A">
              <w:rPr>
                <w:color w:val="000000"/>
                <w:sz w:val="24"/>
              </w:rPr>
              <w:t>,</w:t>
            </w:r>
            <w:r w:rsidRPr="003F513A">
              <w:rPr>
                <w:color w:val="000000"/>
                <w:sz w:val="24"/>
              </w:rPr>
              <w:t>042</w:t>
            </w:r>
          </w:p>
        </w:tc>
      </w:tr>
      <w:tr w:rsidR="008C1EAD" w:rsidRPr="008C1EAD" w14:paraId="3017FA26" w14:textId="77777777" w:rsidTr="008C1EAD">
        <w:trPr>
          <w:trHeight w:val="300"/>
        </w:trPr>
        <w:tc>
          <w:tcPr>
            <w:tcW w:w="1820" w:type="dxa"/>
            <w:tcBorders>
              <w:top w:val="nil"/>
              <w:left w:val="single" w:sz="8" w:space="0" w:color="auto"/>
              <w:bottom w:val="nil"/>
              <w:right w:val="single" w:sz="8" w:space="0" w:color="auto"/>
            </w:tcBorders>
            <w:shd w:val="clear" w:color="auto" w:fill="auto"/>
            <w:vAlign w:val="bottom"/>
            <w:hideMark/>
          </w:tcPr>
          <w:p w14:paraId="1BAF0738" w14:textId="77777777" w:rsidR="008C1EAD" w:rsidRPr="003F513A" w:rsidRDefault="008C1EAD" w:rsidP="008C1EAD">
            <w:pPr>
              <w:widowControl/>
              <w:autoSpaceDE/>
              <w:autoSpaceDN/>
              <w:adjustRightInd/>
              <w:jc w:val="center"/>
              <w:rPr>
                <w:color w:val="000000"/>
                <w:sz w:val="24"/>
              </w:rPr>
            </w:pPr>
            <w:r w:rsidRPr="003F513A">
              <w:rPr>
                <w:color w:val="000000"/>
                <w:sz w:val="24"/>
              </w:rPr>
              <w:t>Age 56+</w:t>
            </w:r>
          </w:p>
        </w:tc>
        <w:tc>
          <w:tcPr>
            <w:tcW w:w="1220" w:type="dxa"/>
            <w:tcBorders>
              <w:top w:val="nil"/>
              <w:left w:val="nil"/>
              <w:bottom w:val="single" w:sz="8" w:space="0" w:color="auto"/>
              <w:right w:val="nil"/>
            </w:tcBorders>
            <w:shd w:val="clear" w:color="auto" w:fill="auto"/>
            <w:noWrap/>
            <w:vAlign w:val="bottom"/>
            <w:hideMark/>
          </w:tcPr>
          <w:p w14:paraId="24B4AECF" w14:textId="77777777" w:rsidR="008C1EAD" w:rsidRPr="003F513A" w:rsidRDefault="008C1EAD" w:rsidP="008C1EAD">
            <w:pPr>
              <w:widowControl/>
              <w:autoSpaceDE/>
              <w:autoSpaceDN/>
              <w:adjustRightInd/>
              <w:jc w:val="center"/>
              <w:rPr>
                <w:color w:val="000000"/>
                <w:sz w:val="24"/>
              </w:rPr>
            </w:pPr>
            <w:r w:rsidRPr="003F513A">
              <w:rPr>
                <w:color w:val="000000"/>
                <w:sz w:val="24"/>
              </w:rPr>
              <w:t>49</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42A30F45" w14:textId="77777777" w:rsidR="008C1EAD" w:rsidRPr="003F513A" w:rsidRDefault="008C1EAD" w:rsidP="008C1EAD">
            <w:pPr>
              <w:widowControl/>
              <w:autoSpaceDE/>
              <w:autoSpaceDN/>
              <w:adjustRightInd/>
              <w:jc w:val="center"/>
              <w:rPr>
                <w:color w:val="000000"/>
                <w:sz w:val="24"/>
              </w:rPr>
            </w:pPr>
            <w:r w:rsidRPr="003F513A">
              <w:rPr>
                <w:color w:val="000000"/>
                <w:sz w:val="24"/>
              </w:rPr>
              <w:t>42</w:t>
            </w:r>
          </w:p>
        </w:tc>
        <w:tc>
          <w:tcPr>
            <w:tcW w:w="900" w:type="dxa"/>
            <w:tcBorders>
              <w:top w:val="nil"/>
              <w:left w:val="nil"/>
              <w:bottom w:val="single" w:sz="8" w:space="0" w:color="auto"/>
              <w:right w:val="nil"/>
            </w:tcBorders>
            <w:shd w:val="clear" w:color="auto" w:fill="auto"/>
            <w:noWrap/>
            <w:vAlign w:val="bottom"/>
            <w:hideMark/>
          </w:tcPr>
          <w:p w14:paraId="048D9C44" w14:textId="77777777" w:rsidR="008C1EAD" w:rsidRPr="003F513A" w:rsidRDefault="008C1EAD" w:rsidP="008C1EAD">
            <w:pPr>
              <w:widowControl/>
              <w:autoSpaceDE/>
              <w:autoSpaceDN/>
              <w:adjustRightInd/>
              <w:jc w:val="center"/>
              <w:rPr>
                <w:color w:val="000000"/>
                <w:sz w:val="24"/>
              </w:rPr>
            </w:pPr>
            <w:r w:rsidRPr="003F513A">
              <w:rPr>
                <w:color w:val="000000"/>
                <w:sz w:val="24"/>
              </w:rPr>
              <w:t>16</w:t>
            </w:r>
          </w:p>
        </w:tc>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47B09A25" w14:textId="77777777" w:rsidR="008C1EAD" w:rsidRPr="003F513A" w:rsidRDefault="008C1EAD" w:rsidP="008C1EAD">
            <w:pPr>
              <w:widowControl/>
              <w:autoSpaceDE/>
              <w:autoSpaceDN/>
              <w:adjustRightInd/>
              <w:jc w:val="center"/>
              <w:rPr>
                <w:color w:val="000000"/>
                <w:sz w:val="24"/>
              </w:rPr>
            </w:pPr>
            <w:r w:rsidRPr="003F513A">
              <w:rPr>
                <w:color w:val="000000"/>
                <w:sz w:val="24"/>
              </w:rPr>
              <w:t>107</w:t>
            </w:r>
          </w:p>
        </w:tc>
        <w:tc>
          <w:tcPr>
            <w:tcW w:w="1220" w:type="dxa"/>
            <w:tcBorders>
              <w:top w:val="nil"/>
              <w:left w:val="nil"/>
              <w:bottom w:val="single" w:sz="8" w:space="0" w:color="auto"/>
              <w:right w:val="nil"/>
            </w:tcBorders>
            <w:shd w:val="clear" w:color="auto" w:fill="auto"/>
            <w:noWrap/>
            <w:vAlign w:val="bottom"/>
            <w:hideMark/>
          </w:tcPr>
          <w:p w14:paraId="5D16552E" w14:textId="77777777" w:rsidR="008C1EAD" w:rsidRPr="003F513A" w:rsidRDefault="008C1EAD" w:rsidP="008C1EAD">
            <w:pPr>
              <w:widowControl/>
              <w:autoSpaceDE/>
              <w:autoSpaceDN/>
              <w:adjustRightInd/>
              <w:jc w:val="center"/>
              <w:rPr>
                <w:color w:val="000000"/>
                <w:sz w:val="24"/>
              </w:rPr>
            </w:pPr>
            <w:r w:rsidRPr="003F513A">
              <w:rPr>
                <w:color w:val="000000"/>
                <w:sz w:val="24"/>
              </w:rPr>
              <w:t>530</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3CCEBA73" w14:textId="77777777" w:rsidR="008C1EAD" w:rsidRPr="003F513A" w:rsidRDefault="008C1EAD" w:rsidP="008C1EAD">
            <w:pPr>
              <w:widowControl/>
              <w:autoSpaceDE/>
              <w:autoSpaceDN/>
              <w:adjustRightInd/>
              <w:jc w:val="center"/>
              <w:rPr>
                <w:color w:val="000000"/>
                <w:sz w:val="24"/>
              </w:rPr>
            </w:pPr>
            <w:r w:rsidRPr="003F513A">
              <w:rPr>
                <w:color w:val="000000"/>
                <w:sz w:val="24"/>
              </w:rPr>
              <w:t>529</w:t>
            </w:r>
          </w:p>
        </w:tc>
        <w:tc>
          <w:tcPr>
            <w:tcW w:w="900" w:type="dxa"/>
            <w:tcBorders>
              <w:top w:val="nil"/>
              <w:left w:val="nil"/>
              <w:bottom w:val="single" w:sz="8" w:space="0" w:color="auto"/>
              <w:right w:val="single" w:sz="8" w:space="0" w:color="auto"/>
            </w:tcBorders>
            <w:shd w:val="clear" w:color="auto" w:fill="auto"/>
            <w:noWrap/>
            <w:vAlign w:val="bottom"/>
            <w:hideMark/>
          </w:tcPr>
          <w:p w14:paraId="61D3A777" w14:textId="77777777" w:rsidR="008C1EAD" w:rsidRPr="003F513A" w:rsidRDefault="008C1EAD" w:rsidP="008C1EAD">
            <w:pPr>
              <w:widowControl/>
              <w:autoSpaceDE/>
              <w:autoSpaceDN/>
              <w:adjustRightInd/>
              <w:jc w:val="center"/>
              <w:rPr>
                <w:color w:val="000000"/>
                <w:sz w:val="24"/>
              </w:rPr>
            </w:pPr>
            <w:r w:rsidRPr="003F513A">
              <w:rPr>
                <w:color w:val="000000"/>
                <w:sz w:val="24"/>
              </w:rPr>
              <w:t>121</w:t>
            </w:r>
          </w:p>
        </w:tc>
        <w:tc>
          <w:tcPr>
            <w:tcW w:w="700" w:type="dxa"/>
            <w:tcBorders>
              <w:top w:val="nil"/>
              <w:left w:val="nil"/>
              <w:bottom w:val="single" w:sz="8" w:space="0" w:color="auto"/>
              <w:right w:val="single" w:sz="8" w:space="0" w:color="auto"/>
            </w:tcBorders>
            <w:shd w:val="clear" w:color="auto" w:fill="auto"/>
            <w:noWrap/>
            <w:vAlign w:val="bottom"/>
            <w:hideMark/>
          </w:tcPr>
          <w:p w14:paraId="0FCC6A55" w14:textId="77777777" w:rsidR="008C1EAD" w:rsidRPr="003F513A" w:rsidRDefault="008C1EAD" w:rsidP="008C1EAD">
            <w:pPr>
              <w:widowControl/>
              <w:autoSpaceDE/>
              <w:autoSpaceDN/>
              <w:adjustRightInd/>
              <w:jc w:val="center"/>
              <w:rPr>
                <w:color w:val="000000"/>
                <w:sz w:val="24"/>
              </w:rPr>
            </w:pPr>
            <w:r w:rsidRPr="003F513A">
              <w:rPr>
                <w:color w:val="000000"/>
                <w:sz w:val="24"/>
              </w:rPr>
              <w:t>1</w:t>
            </w:r>
            <w:r w:rsidR="003517F5" w:rsidRPr="003F513A">
              <w:rPr>
                <w:color w:val="000000"/>
                <w:sz w:val="24"/>
              </w:rPr>
              <w:t>,</w:t>
            </w:r>
            <w:r w:rsidRPr="003F513A">
              <w:rPr>
                <w:color w:val="000000"/>
                <w:sz w:val="24"/>
              </w:rPr>
              <w:t>180</w:t>
            </w:r>
          </w:p>
        </w:tc>
      </w:tr>
      <w:tr w:rsidR="008C1EAD" w:rsidRPr="008C1EAD" w14:paraId="31691BAC" w14:textId="77777777" w:rsidTr="008C1EAD">
        <w:trPr>
          <w:trHeight w:val="588"/>
        </w:trPr>
        <w:tc>
          <w:tcPr>
            <w:tcW w:w="18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2E45148"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Not living with a spouse or partner</w:t>
            </w:r>
          </w:p>
        </w:tc>
        <w:tc>
          <w:tcPr>
            <w:tcW w:w="1220" w:type="dxa"/>
            <w:tcBorders>
              <w:top w:val="nil"/>
              <w:left w:val="nil"/>
              <w:bottom w:val="single" w:sz="8" w:space="0" w:color="auto"/>
              <w:right w:val="nil"/>
            </w:tcBorders>
            <w:shd w:val="clear" w:color="auto" w:fill="auto"/>
            <w:vAlign w:val="bottom"/>
            <w:hideMark/>
          </w:tcPr>
          <w:p w14:paraId="2C0F09F4"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57FDA477"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389B465E"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Other</w:t>
            </w:r>
          </w:p>
        </w:tc>
        <w:tc>
          <w:tcPr>
            <w:tcW w:w="700" w:type="dxa"/>
            <w:tcBorders>
              <w:top w:val="nil"/>
              <w:left w:val="single" w:sz="8" w:space="0" w:color="auto"/>
              <w:bottom w:val="single" w:sz="8" w:space="0" w:color="auto"/>
              <w:right w:val="single" w:sz="8" w:space="0" w:color="auto"/>
            </w:tcBorders>
            <w:shd w:val="clear" w:color="auto" w:fill="auto"/>
            <w:vAlign w:val="bottom"/>
            <w:hideMark/>
          </w:tcPr>
          <w:p w14:paraId="37E75585"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Total</w:t>
            </w:r>
          </w:p>
        </w:tc>
        <w:tc>
          <w:tcPr>
            <w:tcW w:w="1220" w:type="dxa"/>
            <w:tcBorders>
              <w:top w:val="nil"/>
              <w:left w:val="nil"/>
              <w:bottom w:val="single" w:sz="8" w:space="0" w:color="auto"/>
              <w:right w:val="nil"/>
            </w:tcBorders>
            <w:shd w:val="clear" w:color="auto" w:fill="auto"/>
            <w:vAlign w:val="bottom"/>
            <w:hideMark/>
          </w:tcPr>
          <w:p w14:paraId="40C8B332"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Labor Force Participant</w:t>
            </w:r>
          </w:p>
        </w:tc>
        <w:tc>
          <w:tcPr>
            <w:tcW w:w="900" w:type="dxa"/>
            <w:tcBorders>
              <w:top w:val="nil"/>
              <w:left w:val="single" w:sz="4" w:space="0" w:color="auto"/>
              <w:bottom w:val="single" w:sz="8" w:space="0" w:color="auto"/>
              <w:right w:val="single" w:sz="4" w:space="0" w:color="auto"/>
            </w:tcBorders>
            <w:shd w:val="clear" w:color="auto" w:fill="auto"/>
            <w:vAlign w:val="bottom"/>
            <w:hideMark/>
          </w:tcPr>
          <w:p w14:paraId="6E8F63DF"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Retired</w:t>
            </w:r>
          </w:p>
        </w:tc>
        <w:tc>
          <w:tcPr>
            <w:tcW w:w="900" w:type="dxa"/>
            <w:tcBorders>
              <w:top w:val="nil"/>
              <w:left w:val="nil"/>
              <w:bottom w:val="single" w:sz="8" w:space="0" w:color="auto"/>
              <w:right w:val="nil"/>
            </w:tcBorders>
            <w:shd w:val="clear" w:color="auto" w:fill="auto"/>
            <w:vAlign w:val="bottom"/>
            <w:hideMark/>
          </w:tcPr>
          <w:p w14:paraId="0DF752A2" w14:textId="77777777" w:rsidR="008C1EAD" w:rsidRPr="003F513A" w:rsidRDefault="008C1EAD" w:rsidP="008C1EAD">
            <w:pPr>
              <w:widowControl/>
              <w:autoSpaceDE/>
              <w:autoSpaceDN/>
              <w:adjustRightInd/>
              <w:jc w:val="center"/>
              <w:rPr>
                <w:b/>
                <w:bCs/>
                <w:color w:val="000000"/>
                <w:sz w:val="22"/>
                <w:szCs w:val="22"/>
              </w:rPr>
            </w:pPr>
            <w:r w:rsidRPr="003F513A">
              <w:rPr>
                <w:b/>
                <w:bCs/>
                <w:color w:val="000000"/>
                <w:sz w:val="22"/>
                <w:szCs w:val="22"/>
              </w:rPr>
              <w:t>Other</w:t>
            </w:r>
          </w:p>
        </w:tc>
        <w:tc>
          <w:tcPr>
            <w:tcW w:w="700" w:type="dxa"/>
            <w:tcBorders>
              <w:top w:val="nil"/>
              <w:left w:val="single" w:sz="8" w:space="0" w:color="auto"/>
              <w:bottom w:val="single" w:sz="8" w:space="0" w:color="auto"/>
              <w:right w:val="single" w:sz="8" w:space="0" w:color="auto"/>
            </w:tcBorders>
            <w:shd w:val="clear" w:color="auto" w:fill="auto"/>
            <w:vAlign w:val="bottom"/>
            <w:hideMark/>
          </w:tcPr>
          <w:p w14:paraId="6429C4A0"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Total</w:t>
            </w:r>
          </w:p>
        </w:tc>
      </w:tr>
      <w:tr w:rsidR="008C1EAD" w:rsidRPr="008C1EAD" w14:paraId="64B53480" w14:textId="77777777" w:rsidTr="008C1EAD">
        <w:trPr>
          <w:trHeight w:val="288"/>
        </w:trPr>
        <w:tc>
          <w:tcPr>
            <w:tcW w:w="1820" w:type="dxa"/>
            <w:tcBorders>
              <w:top w:val="nil"/>
              <w:left w:val="single" w:sz="8" w:space="0" w:color="auto"/>
              <w:bottom w:val="nil"/>
              <w:right w:val="single" w:sz="8" w:space="0" w:color="auto"/>
            </w:tcBorders>
            <w:shd w:val="clear" w:color="auto" w:fill="auto"/>
            <w:vAlign w:val="bottom"/>
            <w:hideMark/>
          </w:tcPr>
          <w:p w14:paraId="28575E64" w14:textId="77777777" w:rsidR="008C1EAD" w:rsidRPr="003F513A" w:rsidRDefault="008C1EAD" w:rsidP="008C1EAD">
            <w:pPr>
              <w:widowControl/>
              <w:autoSpaceDE/>
              <w:autoSpaceDN/>
              <w:adjustRightInd/>
              <w:jc w:val="center"/>
              <w:rPr>
                <w:color w:val="000000"/>
                <w:sz w:val="24"/>
              </w:rPr>
            </w:pPr>
            <w:r w:rsidRPr="003F513A">
              <w:rPr>
                <w:color w:val="000000"/>
                <w:sz w:val="24"/>
              </w:rPr>
              <w:t>Age 25-40</w:t>
            </w:r>
          </w:p>
        </w:tc>
        <w:tc>
          <w:tcPr>
            <w:tcW w:w="1220" w:type="dxa"/>
            <w:tcBorders>
              <w:top w:val="nil"/>
              <w:left w:val="nil"/>
              <w:bottom w:val="nil"/>
              <w:right w:val="nil"/>
            </w:tcBorders>
            <w:shd w:val="clear" w:color="auto" w:fill="auto"/>
            <w:noWrap/>
            <w:vAlign w:val="bottom"/>
            <w:hideMark/>
          </w:tcPr>
          <w:p w14:paraId="3ACCF20D" w14:textId="77777777" w:rsidR="008C1EAD" w:rsidRPr="003F513A" w:rsidRDefault="008C1EAD" w:rsidP="008C1EAD">
            <w:pPr>
              <w:widowControl/>
              <w:autoSpaceDE/>
              <w:autoSpaceDN/>
              <w:adjustRightInd/>
              <w:jc w:val="center"/>
              <w:rPr>
                <w:color w:val="000000"/>
                <w:sz w:val="24"/>
              </w:rPr>
            </w:pPr>
            <w:r w:rsidRPr="003F513A">
              <w:rPr>
                <w:color w:val="000000"/>
                <w:sz w:val="24"/>
              </w:rPr>
              <w:t>37</w:t>
            </w:r>
          </w:p>
        </w:tc>
        <w:tc>
          <w:tcPr>
            <w:tcW w:w="900" w:type="dxa"/>
            <w:tcBorders>
              <w:top w:val="nil"/>
              <w:left w:val="single" w:sz="4" w:space="0" w:color="auto"/>
              <w:bottom w:val="nil"/>
              <w:right w:val="single" w:sz="4" w:space="0" w:color="auto"/>
            </w:tcBorders>
            <w:shd w:val="clear" w:color="auto" w:fill="auto"/>
            <w:noWrap/>
            <w:vAlign w:val="bottom"/>
            <w:hideMark/>
          </w:tcPr>
          <w:p w14:paraId="636EC0C0" w14:textId="77777777" w:rsidR="008C1EAD" w:rsidRPr="003F513A" w:rsidRDefault="008C1EAD" w:rsidP="008C1EAD">
            <w:pPr>
              <w:widowControl/>
              <w:autoSpaceDE/>
              <w:autoSpaceDN/>
              <w:adjustRightInd/>
              <w:jc w:val="center"/>
              <w:rPr>
                <w:color w:val="000000"/>
                <w:sz w:val="24"/>
              </w:rPr>
            </w:pPr>
            <w:r w:rsidRPr="003F513A">
              <w:rPr>
                <w:color w:val="000000"/>
                <w:sz w:val="24"/>
              </w:rPr>
              <w:t>0</w:t>
            </w:r>
          </w:p>
        </w:tc>
        <w:tc>
          <w:tcPr>
            <w:tcW w:w="900" w:type="dxa"/>
            <w:tcBorders>
              <w:top w:val="nil"/>
              <w:left w:val="nil"/>
              <w:bottom w:val="nil"/>
              <w:right w:val="single" w:sz="8" w:space="0" w:color="auto"/>
            </w:tcBorders>
            <w:shd w:val="clear" w:color="auto" w:fill="auto"/>
            <w:noWrap/>
            <w:vAlign w:val="bottom"/>
            <w:hideMark/>
          </w:tcPr>
          <w:p w14:paraId="2AE57266" w14:textId="77777777" w:rsidR="008C1EAD" w:rsidRPr="003F513A" w:rsidRDefault="008C1EAD" w:rsidP="008C1EAD">
            <w:pPr>
              <w:widowControl/>
              <w:autoSpaceDE/>
              <w:autoSpaceDN/>
              <w:adjustRightInd/>
              <w:jc w:val="center"/>
              <w:rPr>
                <w:color w:val="000000"/>
                <w:sz w:val="24"/>
              </w:rPr>
            </w:pPr>
            <w:r w:rsidRPr="003F513A">
              <w:rPr>
                <w:color w:val="000000"/>
                <w:sz w:val="24"/>
              </w:rPr>
              <w:t>8</w:t>
            </w:r>
          </w:p>
        </w:tc>
        <w:tc>
          <w:tcPr>
            <w:tcW w:w="700" w:type="dxa"/>
            <w:tcBorders>
              <w:top w:val="nil"/>
              <w:left w:val="nil"/>
              <w:bottom w:val="nil"/>
              <w:right w:val="single" w:sz="8" w:space="0" w:color="auto"/>
            </w:tcBorders>
            <w:shd w:val="clear" w:color="auto" w:fill="auto"/>
            <w:noWrap/>
            <w:vAlign w:val="bottom"/>
            <w:hideMark/>
          </w:tcPr>
          <w:p w14:paraId="3F627511" w14:textId="77777777" w:rsidR="008C1EAD" w:rsidRPr="003F513A" w:rsidRDefault="008C1EAD" w:rsidP="008C1EAD">
            <w:pPr>
              <w:widowControl/>
              <w:autoSpaceDE/>
              <w:autoSpaceDN/>
              <w:adjustRightInd/>
              <w:jc w:val="center"/>
              <w:rPr>
                <w:color w:val="000000"/>
                <w:sz w:val="24"/>
              </w:rPr>
            </w:pPr>
            <w:r w:rsidRPr="003F513A">
              <w:rPr>
                <w:color w:val="000000"/>
                <w:sz w:val="24"/>
              </w:rPr>
              <w:t>45</w:t>
            </w:r>
          </w:p>
        </w:tc>
        <w:tc>
          <w:tcPr>
            <w:tcW w:w="1220" w:type="dxa"/>
            <w:tcBorders>
              <w:top w:val="nil"/>
              <w:left w:val="nil"/>
              <w:bottom w:val="nil"/>
              <w:right w:val="nil"/>
            </w:tcBorders>
            <w:shd w:val="clear" w:color="auto" w:fill="auto"/>
            <w:noWrap/>
            <w:vAlign w:val="bottom"/>
            <w:hideMark/>
          </w:tcPr>
          <w:p w14:paraId="3F31E7FD" w14:textId="77777777" w:rsidR="008C1EAD" w:rsidRPr="003F513A" w:rsidRDefault="008C1EAD" w:rsidP="008C1EAD">
            <w:pPr>
              <w:widowControl/>
              <w:autoSpaceDE/>
              <w:autoSpaceDN/>
              <w:adjustRightInd/>
              <w:jc w:val="center"/>
              <w:rPr>
                <w:color w:val="000000"/>
                <w:sz w:val="24"/>
              </w:rPr>
            </w:pPr>
            <w:r w:rsidRPr="003F513A">
              <w:rPr>
                <w:color w:val="000000"/>
                <w:sz w:val="24"/>
              </w:rPr>
              <w:t>569</w:t>
            </w:r>
          </w:p>
        </w:tc>
        <w:tc>
          <w:tcPr>
            <w:tcW w:w="900" w:type="dxa"/>
            <w:tcBorders>
              <w:top w:val="nil"/>
              <w:left w:val="single" w:sz="4" w:space="0" w:color="auto"/>
              <w:bottom w:val="nil"/>
              <w:right w:val="single" w:sz="4" w:space="0" w:color="auto"/>
            </w:tcBorders>
            <w:shd w:val="clear" w:color="auto" w:fill="auto"/>
            <w:noWrap/>
            <w:vAlign w:val="bottom"/>
            <w:hideMark/>
          </w:tcPr>
          <w:p w14:paraId="789DB471" w14:textId="77777777" w:rsidR="008C1EAD" w:rsidRPr="003F513A" w:rsidRDefault="008C1EAD" w:rsidP="008C1EAD">
            <w:pPr>
              <w:widowControl/>
              <w:autoSpaceDE/>
              <w:autoSpaceDN/>
              <w:adjustRightInd/>
              <w:jc w:val="center"/>
              <w:rPr>
                <w:color w:val="000000"/>
                <w:sz w:val="24"/>
              </w:rPr>
            </w:pPr>
            <w:r w:rsidRPr="003F513A">
              <w:rPr>
                <w:color w:val="000000"/>
                <w:sz w:val="24"/>
              </w:rPr>
              <w:t>1</w:t>
            </w:r>
          </w:p>
        </w:tc>
        <w:tc>
          <w:tcPr>
            <w:tcW w:w="900" w:type="dxa"/>
            <w:tcBorders>
              <w:top w:val="nil"/>
              <w:left w:val="nil"/>
              <w:bottom w:val="nil"/>
              <w:right w:val="single" w:sz="8" w:space="0" w:color="auto"/>
            </w:tcBorders>
            <w:shd w:val="clear" w:color="auto" w:fill="auto"/>
            <w:noWrap/>
            <w:vAlign w:val="bottom"/>
            <w:hideMark/>
          </w:tcPr>
          <w:p w14:paraId="55204398" w14:textId="77777777" w:rsidR="008C1EAD" w:rsidRPr="003F513A" w:rsidRDefault="008C1EAD" w:rsidP="008C1EAD">
            <w:pPr>
              <w:widowControl/>
              <w:autoSpaceDE/>
              <w:autoSpaceDN/>
              <w:adjustRightInd/>
              <w:jc w:val="center"/>
              <w:rPr>
                <w:color w:val="000000"/>
                <w:sz w:val="24"/>
              </w:rPr>
            </w:pPr>
            <w:r w:rsidRPr="003F513A">
              <w:rPr>
                <w:color w:val="000000"/>
                <w:sz w:val="24"/>
              </w:rPr>
              <w:t>64</w:t>
            </w:r>
          </w:p>
        </w:tc>
        <w:tc>
          <w:tcPr>
            <w:tcW w:w="700" w:type="dxa"/>
            <w:tcBorders>
              <w:top w:val="nil"/>
              <w:left w:val="nil"/>
              <w:bottom w:val="nil"/>
              <w:right w:val="single" w:sz="8" w:space="0" w:color="auto"/>
            </w:tcBorders>
            <w:shd w:val="clear" w:color="auto" w:fill="auto"/>
            <w:noWrap/>
            <w:vAlign w:val="bottom"/>
            <w:hideMark/>
          </w:tcPr>
          <w:p w14:paraId="51CDF177" w14:textId="77777777" w:rsidR="008C1EAD" w:rsidRPr="003F513A" w:rsidRDefault="008C1EAD" w:rsidP="008C1EAD">
            <w:pPr>
              <w:widowControl/>
              <w:autoSpaceDE/>
              <w:autoSpaceDN/>
              <w:adjustRightInd/>
              <w:jc w:val="center"/>
              <w:rPr>
                <w:color w:val="000000"/>
                <w:sz w:val="24"/>
              </w:rPr>
            </w:pPr>
            <w:r w:rsidRPr="003F513A">
              <w:rPr>
                <w:color w:val="000000"/>
                <w:sz w:val="24"/>
              </w:rPr>
              <w:t>634</w:t>
            </w:r>
          </w:p>
        </w:tc>
      </w:tr>
      <w:tr w:rsidR="008C1EAD" w:rsidRPr="008C1EAD" w14:paraId="55386C69" w14:textId="77777777" w:rsidTr="008C1EAD">
        <w:trPr>
          <w:trHeight w:val="288"/>
        </w:trPr>
        <w:tc>
          <w:tcPr>
            <w:tcW w:w="1820" w:type="dxa"/>
            <w:tcBorders>
              <w:top w:val="nil"/>
              <w:left w:val="single" w:sz="8" w:space="0" w:color="auto"/>
              <w:bottom w:val="nil"/>
              <w:right w:val="single" w:sz="8" w:space="0" w:color="auto"/>
            </w:tcBorders>
            <w:shd w:val="clear" w:color="auto" w:fill="auto"/>
            <w:vAlign w:val="bottom"/>
            <w:hideMark/>
          </w:tcPr>
          <w:p w14:paraId="16ABFD47" w14:textId="77777777" w:rsidR="008C1EAD" w:rsidRPr="003F513A" w:rsidRDefault="008C1EAD" w:rsidP="008C1EAD">
            <w:pPr>
              <w:widowControl/>
              <w:autoSpaceDE/>
              <w:autoSpaceDN/>
              <w:adjustRightInd/>
              <w:jc w:val="center"/>
              <w:rPr>
                <w:color w:val="000000"/>
                <w:sz w:val="24"/>
              </w:rPr>
            </w:pPr>
            <w:r w:rsidRPr="003F513A">
              <w:rPr>
                <w:color w:val="000000"/>
                <w:sz w:val="24"/>
              </w:rPr>
              <w:t>Age 41-55</w:t>
            </w:r>
          </w:p>
        </w:tc>
        <w:tc>
          <w:tcPr>
            <w:tcW w:w="1220" w:type="dxa"/>
            <w:tcBorders>
              <w:top w:val="nil"/>
              <w:left w:val="nil"/>
              <w:bottom w:val="nil"/>
              <w:right w:val="nil"/>
            </w:tcBorders>
            <w:shd w:val="clear" w:color="auto" w:fill="auto"/>
            <w:noWrap/>
            <w:vAlign w:val="bottom"/>
            <w:hideMark/>
          </w:tcPr>
          <w:p w14:paraId="5F203A0C" w14:textId="77777777" w:rsidR="008C1EAD" w:rsidRPr="003F513A" w:rsidRDefault="008C1EAD" w:rsidP="008C1EAD">
            <w:pPr>
              <w:widowControl/>
              <w:autoSpaceDE/>
              <w:autoSpaceDN/>
              <w:adjustRightInd/>
              <w:jc w:val="center"/>
              <w:rPr>
                <w:color w:val="000000"/>
                <w:sz w:val="24"/>
              </w:rPr>
            </w:pPr>
            <w:r w:rsidRPr="003F513A">
              <w:rPr>
                <w:color w:val="000000"/>
                <w:sz w:val="24"/>
              </w:rPr>
              <w:t>37</w:t>
            </w:r>
          </w:p>
        </w:tc>
        <w:tc>
          <w:tcPr>
            <w:tcW w:w="900" w:type="dxa"/>
            <w:tcBorders>
              <w:top w:val="nil"/>
              <w:left w:val="single" w:sz="4" w:space="0" w:color="auto"/>
              <w:bottom w:val="nil"/>
              <w:right w:val="single" w:sz="4" w:space="0" w:color="auto"/>
            </w:tcBorders>
            <w:shd w:val="clear" w:color="auto" w:fill="auto"/>
            <w:noWrap/>
            <w:vAlign w:val="bottom"/>
            <w:hideMark/>
          </w:tcPr>
          <w:p w14:paraId="725FD378" w14:textId="77777777" w:rsidR="008C1EAD" w:rsidRPr="003F513A" w:rsidRDefault="008C1EAD" w:rsidP="008C1EAD">
            <w:pPr>
              <w:widowControl/>
              <w:autoSpaceDE/>
              <w:autoSpaceDN/>
              <w:adjustRightInd/>
              <w:jc w:val="center"/>
              <w:rPr>
                <w:color w:val="000000"/>
                <w:sz w:val="24"/>
              </w:rPr>
            </w:pPr>
            <w:r w:rsidRPr="003F513A">
              <w:rPr>
                <w:color w:val="000000"/>
                <w:sz w:val="24"/>
              </w:rPr>
              <w:t>5</w:t>
            </w:r>
          </w:p>
        </w:tc>
        <w:tc>
          <w:tcPr>
            <w:tcW w:w="900" w:type="dxa"/>
            <w:tcBorders>
              <w:top w:val="nil"/>
              <w:left w:val="nil"/>
              <w:bottom w:val="nil"/>
              <w:right w:val="single" w:sz="8" w:space="0" w:color="auto"/>
            </w:tcBorders>
            <w:shd w:val="clear" w:color="auto" w:fill="auto"/>
            <w:noWrap/>
            <w:vAlign w:val="bottom"/>
            <w:hideMark/>
          </w:tcPr>
          <w:p w14:paraId="61409F1F" w14:textId="77777777" w:rsidR="008C1EAD" w:rsidRPr="003F513A" w:rsidRDefault="008C1EAD" w:rsidP="008C1EAD">
            <w:pPr>
              <w:widowControl/>
              <w:autoSpaceDE/>
              <w:autoSpaceDN/>
              <w:adjustRightInd/>
              <w:jc w:val="center"/>
              <w:rPr>
                <w:color w:val="000000"/>
                <w:sz w:val="24"/>
              </w:rPr>
            </w:pPr>
            <w:r w:rsidRPr="003F513A">
              <w:rPr>
                <w:color w:val="000000"/>
                <w:sz w:val="24"/>
              </w:rPr>
              <w:t>9</w:t>
            </w:r>
          </w:p>
        </w:tc>
        <w:tc>
          <w:tcPr>
            <w:tcW w:w="700" w:type="dxa"/>
            <w:tcBorders>
              <w:top w:val="nil"/>
              <w:left w:val="nil"/>
              <w:bottom w:val="nil"/>
              <w:right w:val="single" w:sz="8" w:space="0" w:color="auto"/>
            </w:tcBorders>
            <w:shd w:val="clear" w:color="auto" w:fill="auto"/>
            <w:noWrap/>
            <w:vAlign w:val="bottom"/>
            <w:hideMark/>
          </w:tcPr>
          <w:p w14:paraId="07256446" w14:textId="77777777" w:rsidR="008C1EAD" w:rsidRPr="003F513A" w:rsidRDefault="008C1EAD" w:rsidP="008C1EAD">
            <w:pPr>
              <w:widowControl/>
              <w:autoSpaceDE/>
              <w:autoSpaceDN/>
              <w:adjustRightInd/>
              <w:jc w:val="center"/>
              <w:rPr>
                <w:color w:val="000000"/>
                <w:sz w:val="24"/>
              </w:rPr>
            </w:pPr>
            <w:r w:rsidRPr="003F513A">
              <w:rPr>
                <w:color w:val="000000"/>
                <w:sz w:val="24"/>
              </w:rPr>
              <w:t>51</w:t>
            </w:r>
          </w:p>
        </w:tc>
        <w:tc>
          <w:tcPr>
            <w:tcW w:w="1220" w:type="dxa"/>
            <w:tcBorders>
              <w:top w:val="nil"/>
              <w:left w:val="nil"/>
              <w:bottom w:val="nil"/>
              <w:right w:val="nil"/>
            </w:tcBorders>
            <w:shd w:val="clear" w:color="auto" w:fill="auto"/>
            <w:noWrap/>
            <w:vAlign w:val="bottom"/>
            <w:hideMark/>
          </w:tcPr>
          <w:p w14:paraId="40847625" w14:textId="77777777" w:rsidR="008C1EAD" w:rsidRPr="003F513A" w:rsidRDefault="008C1EAD" w:rsidP="008C1EAD">
            <w:pPr>
              <w:widowControl/>
              <w:autoSpaceDE/>
              <w:autoSpaceDN/>
              <w:adjustRightInd/>
              <w:jc w:val="center"/>
              <w:rPr>
                <w:color w:val="000000"/>
                <w:sz w:val="24"/>
              </w:rPr>
            </w:pPr>
            <w:r w:rsidRPr="003F513A">
              <w:rPr>
                <w:color w:val="000000"/>
                <w:sz w:val="24"/>
              </w:rPr>
              <w:t>508</w:t>
            </w:r>
          </w:p>
        </w:tc>
        <w:tc>
          <w:tcPr>
            <w:tcW w:w="900" w:type="dxa"/>
            <w:tcBorders>
              <w:top w:val="nil"/>
              <w:left w:val="single" w:sz="4" w:space="0" w:color="auto"/>
              <w:bottom w:val="nil"/>
              <w:right w:val="single" w:sz="4" w:space="0" w:color="auto"/>
            </w:tcBorders>
            <w:shd w:val="clear" w:color="auto" w:fill="auto"/>
            <w:noWrap/>
            <w:vAlign w:val="bottom"/>
            <w:hideMark/>
          </w:tcPr>
          <w:p w14:paraId="34B5436E" w14:textId="77777777" w:rsidR="008C1EAD" w:rsidRPr="003F513A" w:rsidRDefault="008C1EAD" w:rsidP="008C1EAD">
            <w:pPr>
              <w:widowControl/>
              <w:autoSpaceDE/>
              <w:autoSpaceDN/>
              <w:adjustRightInd/>
              <w:jc w:val="center"/>
              <w:rPr>
                <w:color w:val="000000"/>
                <w:sz w:val="24"/>
              </w:rPr>
            </w:pPr>
            <w:r w:rsidRPr="003F513A">
              <w:rPr>
                <w:color w:val="000000"/>
                <w:sz w:val="24"/>
              </w:rPr>
              <w:t>10</w:t>
            </w:r>
          </w:p>
        </w:tc>
        <w:tc>
          <w:tcPr>
            <w:tcW w:w="900" w:type="dxa"/>
            <w:tcBorders>
              <w:top w:val="nil"/>
              <w:left w:val="nil"/>
              <w:bottom w:val="nil"/>
              <w:right w:val="single" w:sz="8" w:space="0" w:color="auto"/>
            </w:tcBorders>
            <w:shd w:val="clear" w:color="auto" w:fill="auto"/>
            <w:noWrap/>
            <w:vAlign w:val="bottom"/>
            <w:hideMark/>
          </w:tcPr>
          <w:p w14:paraId="28E8B292" w14:textId="77777777" w:rsidR="008C1EAD" w:rsidRPr="003F513A" w:rsidRDefault="008C1EAD" w:rsidP="008C1EAD">
            <w:pPr>
              <w:widowControl/>
              <w:autoSpaceDE/>
              <w:autoSpaceDN/>
              <w:adjustRightInd/>
              <w:jc w:val="center"/>
              <w:rPr>
                <w:color w:val="000000"/>
                <w:sz w:val="24"/>
              </w:rPr>
            </w:pPr>
            <w:r w:rsidRPr="003F513A">
              <w:rPr>
                <w:color w:val="000000"/>
                <w:sz w:val="24"/>
              </w:rPr>
              <w:t>126</w:t>
            </w:r>
          </w:p>
        </w:tc>
        <w:tc>
          <w:tcPr>
            <w:tcW w:w="700" w:type="dxa"/>
            <w:tcBorders>
              <w:top w:val="nil"/>
              <w:left w:val="nil"/>
              <w:bottom w:val="nil"/>
              <w:right w:val="single" w:sz="8" w:space="0" w:color="auto"/>
            </w:tcBorders>
            <w:shd w:val="clear" w:color="auto" w:fill="auto"/>
            <w:noWrap/>
            <w:vAlign w:val="bottom"/>
            <w:hideMark/>
          </w:tcPr>
          <w:p w14:paraId="02175C31" w14:textId="77777777" w:rsidR="008C1EAD" w:rsidRPr="003F513A" w:rsidRDefault="008C1EAD" w:rsidP="008C1EAD">
            <w:pPr>
              <w:widowControl/>
              <w:autoSpaceDE/>
              <w:autoSpaceDN/>
              <w:adjustRightInd/>
              <w:jc w:val="center"/>
              <w:rPr>
                <w:color w:val="000000"/>
                <w:sz w:val="24"/>
              </w:rPr>
            </w:pPr>
            <w:r w:rsidRPr="003F513A">
              <w:rPr>
                <w:color w:val="000000"/>
                <w:sz w:val="24"/>
              </w:rPr>
              <w:t>644</w:t>
            </w:r>
          </w:p>
        </w:tc>
      </w:tr>
      <w:tr w:rsidR="008C1EAD" w:rsidRPr="008C1EAD" w14:paraId="4B8E72EC" w14:textId="77777777" w:rsidTr="008C1EAD">
        <w:trPr>
          <w:trHeight w:val="300"/>
        </w:trPr>
        <w:tc>
          <w:tcPr>
            <w:tcW w:w="1820" w:type="dxa"/>
            <w:tcBorders>
              <w:top w:val="nil"/>
              <w:left w:val="single" w:sz="8" w:space="0" w:color="auto"/>
              <w:bottom w:val="nil"/>
              <w:right w:val="single" w:sz="8" w:space="0" w:color="auto"/>
            </w:tcBorders>
            <w:shd w:val="clear" w:color="auto" w:fill="auto"/>
            <w:vAlign w:val="bottom"/>
            <w:hideMark/>
          </w:tcPr>
          <w:p w14:paraId="70A3E337" w14:textId="77777777" w:rsidR="008C1EAD" w:rsidRPr="003F513A" w:rsidRDefault="008C1EAD" w:rsidP="008C1EAD">
            <w:pPr>
              <w:widowControl/>
              <w:autoSpaceDE/>
              <w:autoSpaceDN/>
              <w:adjustRightInd/>
              <w:jc w:val="center"/>
              <w:rPr>
                <w:color w:val="000000"/>
                <w:sz w:val="24"/>
              </w:rPr>
            </w:pPr>
            <w:r w:rsidRPr="003F513A">
              <w:rPr>
                <w:color w:val="000000"/>
                <w:sz w:val="24"/>
              </w:rPr>
              <w:t>Age 56+</w:t>
            </w:r>
          </w:p>
        </w:tc>
        <w:tc>
          <w:tcPr>
            <w:tcW w:w="1220" w:type="dxa"/>
            <w:tcBorders>
              <w:top w:val="nil"/>
              <w:left w:val="nil"/>
              <w:bottom w:val="single" w:sz="8" w:space="0" w:color="auto"/>
              <w:right w:val="nil"/>
            </w:tcBorders>
            <w:shd w:val="clear" w:color="auto" w:fill="auto"/>
            <w:noWrap/>
            <w:vAlign w:val="bottom"/>
            <w:hideMark/>
          </w:tcPr>
          <w:p w14:paraId="5A50BB7A" w14:textId="77777777" w:rsidR="008C1EAD" w:rsidRPr="003F513A" w:rsidRDefault="008C1EAD" w:rsidP="008C1EAD">
            <w:pPr>
              <w:widowControl/>
              <w:autoSpaceDE/>
              <w:autoSpaceDN/>
              <w:adjustRightInd/>
              <w:jc w:val="center"/>
              <w:rPr>
                <w:color w:val="000000"/>
                <w:sz w:val="24"/>
              </w:rPr>
            </w:pPr>
            <w:r w:rsidRPr="003F513A">
              <w:rPr>
                <w:color w:val="000000"/>
                <w:sz w:val="24"/>
              </w:rPr>
              <w:t>31</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663512F5" w14:textId="77777777" w:rsidR="008C1EAD" w:rsidRPr="003F513A" w:rsidRDefault="008C1EAD" w:rsidP="008C1EAD">
            <w:pPr>
              <w:widowControl/>
              <w:autoSpaceDE/>
              <w:autoSpaceDN/>
              <w:adjustRightInd/>
              <w:jc w:val="center"/>
              <w:rPr>
                <w:color w:val="000000"/>
                <w:sz w:val="24"/>
              </w:rPr>
            </w:pPr>
            <w:r w:rsidRPr="003F513A">
              <w:rPr>
                <w:color w:val="000000"/>
                <w:sz w:val="24"/>
              </w:rPr>
              <w:t>36</w:t>
            </w:r>
          </w:p>
        </w:tc>
        <w:tc>
          <w:tcPr>
            <w:tcW w:w="900" w:type="dxa"/>
            <w:tcBorders>
              <w:top w:val="nil"/>
              <w:left w:val="nil"/>
              <w:bottom w:val="single" w:sz="8" w:space="0" w:color="auto"/>
              <w:right w:val="single" w:sz="8" w:space="0" w:color="auto"/>
            </w:tcBorders>
            <w:shd w:val="clear" w:color="auto" w:fill="auto"/>
            <w:noWrap/>
            <w:vAlign w:val="bottom"/>
            <w:hideMark/>
          </w:tcPr>
          <w:p w14:paraId="1D252077" w14:textId="77777777" w:rsidR="008C1EAD" w:rsidRPr="003F513A" w:rsidRDefault="008C1EAD" w:rsidP="008C1EAD">
            <w:pPr>
              <w:widowControl/>
              <w:autoSpaceDE/>
              <w:autoSpaceDN/>
              <w:adjustRightInd/>
              <w:jc w:val="center"/>
              <w:rPr>
                <w:color w:val="000000"/>
                <w:sz w:val="24"/>
              </w:rPr>
            </w:pPr>
            <w:r w:rsidRPr="003F513A">
              <w:rPr>
                <w:color w:val="000000"/>
                <w:sz w:val="24"/>
              </w:rPr>
              <w:t>9</w:t>
            </w:r>
          </w:p>
        </w:tc>
        <w:tc>
          <w:tcPr>
            <w:tcW w:w="700" w:type="dxa"/>
            <w:tcBorders>
              <w:top w:val="nil"/>
              <w:left w:val="nil"/>
              <w:bottom w:val="single" w:sz="8" w:space="0" w:color="auto"/>
              <w:right w:val="single" w:sz="8" w:space="0" w:color="auto"/>
            </w:tcBorders>
            <w:shd w:val="clear" w:color="auto" w:fill="auto"/>
            <w:noWrap/>
            <w:vAlign w:val="bottom"/>
            <w:hideMark/>
          </w:tcPr>
          <w:p w14:paraId="345B3871" w14:textId="77777777" w:rsidR="008C1EAD" w:rsidRPr="003F513A" w:rsidRDefault="008C1EAD" w:rsidP="008C1EAD">
            <w:pPr>
              <w:widowControl/>
              <w:autoSpaceDE/>
              <w:autoSpaceDN/>
              <w:adjustRightInd/>
              <w:jc w:val="center"/>
              <w:rPr>
                <w:color w:val="000000"/>
                <w:sz w:val="24"/>
              </w:rPr>
            </w:pPr>
            <w:r w:rsidRPr="003F513A">
              <w:rPr>
                <w:color w:val="000000"/>
                <w:sz w:val="24"/>
              </w:rPr>
              <w:t>76</w:t>
            </w:r>
          </w:p>
        </w:tc>
        <w:tc>
          <w:tcPr>
            <w:tcW w:w="1220" w:type="dxa"/>
            <w:tcBorders>
              <w:top w:val="nil"/>
              <w:left w:val="nil"/>
              <w:bottom w:val="single" w:sz="8" w:space="0" w:color="auto"/>
              <w:right w:val="nil"/>
            </w:tcBorders>
            <w:shd w:val="clear" w:color="auto" w:fill="auto"/>
            <w:noWrap/>
            <w:vAlign w:val="bottom"/>
            <w:hideMark/>
          </w:tcPr>
          <w:p w14:paraId="2A911E45" w14:textId="77777777" w:rsidR="008C1EAD" w:rsidRPr="003F513A" w:rsidRDefault="008C1EAD" w:rsidP="008C1EAD">
            <w:pPr>
              <w:widowControl/>
              <w:autoSpaceDE/>
              <w:autoSpaceDN/>
              <w:adjustRightInd/>
              <w:jc w:val="center"/>
              <w:rPr>
                <w:color w:val="000000"/>
                <w:sz w:val="24"/>
              </w:rPr>
            </w:pPr>
            <w:r w:rsidRPr="003F513A">
              <w:rPr>
                <w:color w:val="000000"/>
                <w:sz w:val="24"/>
              </w:rPr>
              <w:t>333</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1C430107" w14:textId="77777777" w:rsidR="008C1EAD" w:rsidRPr="003F513A" w:rsidRDefault="008C1EAD" w:rsidP="008C1EAD">
            <w:pPr>
              <w:widowControl/>
              <w:autoSpaceDE/>
              <w:autoSpaceDN/>
              <w:adjustRightInd/>
              <w:jc w:val="center"/>
              <w:rPr>
                <w:color w:val="000000"/>
                <w:sz w:val="24"/>
              </w:rPr>
            </w:pPr>
            <w:r w:rsidRPr="003F513A">
              <w:rPr>
                <w:color w:val="000000"/>
                <w:sz w:val="24"/>
              </w:rPr>
              <w:t>372</w:t>
            </w:r>
          </w:p>
        </w:tc>
        <w:tc>
          <w:tcPr>
            <w:tcW w:w="900" w:type="dxa"/>
            <w:tcBorders>
              <w:top w:val="nil"/>
              <w:left w:val="nil"/>
              <w:bottom w:val="single" w:sz="8" w:space="0" w:color="auto"/>
              <w:right w:val="single" w:sz="8" w:space="0" w:color="auto"/>
            </w:tcBorders>
            <w:shd w:val="clear" w:color="auto" w:fill="auto"/>
            <w:noWrap/>
            <w:vAlign w:val="bottom"/>
            <w:hideMark/>
          </w:tcPr>
          <w:p w14:paraId="518B39B7" w14:textId="77777777" w:rsidR="008C1EAD" w:rsidRPr="003F513A" w:rsidRDefault="008C1EAD" w:rsidP="008C1EAD">
            <w:pPr>
              <w:widowControl/>
              <w:autoSpaceDE/>
              <w:autoSpaceDN/>
              <w:adjustRightInd/>
              <w:jc w:val="center"/>
              <w:rPr>
                <w:color w:val="000000"/>
                <w:sz w:val="24"/>
              </w:rPr>
            </w:pPr>
            <w:r w:rsidRPr="003F513A">
              <w:rPr>
                <w:color w:val="000000"/>
                <w:sz w:val="24"/>
              </w:rPr>
              <w:t>121</w:t>
            </w:r>
          </w:p>
        </w:tc>
        <w:tc>
          <w:tcPr>
            <w:tcW w:w="700" w:type="dxa"/>
            <w:tcBorders>
              <w:top w:val="nil"/>
              <w:left w:val="nil"/>
              <w:bottom w:val="single" w:sz="8" w:space="0" w:color="auto"/>
              <w:right w:val="single" w:sz="8" w:space="0" w:color="auto"/>
            </w:tcBorders>
            <w:shd w:val="clear" w:color="auto" w:fill="auto"/>
            <w:noWrap/>
            <w:vAlign w:val="bottom"/>
            <w:hideMark/>
          </w:tcPr>
          <w:p w14:paraId="653208F4" w14:textId="77777777" w:rsidR="008C1EAD" w:rsidRPr="003F513A" w:rsidRDefault="008C1EAD" w:rsidP="008C1EAD">
            <w:pPr>
              <w:widowControl/>
              <w:autoSpaceDE/>
              <w:autoSpaceDN/>
              <w:adjustRightInd/>
              <w:jc w:val="center"/>
              <w:rPr>
                <w:color w:val="000000"/>
                <w:sz w:val="24"/>
              </w:rPr>
            </w:pPr>
            <w:r w:rsidRPr="003F513A">
              <w:rPr>
                <w:color w:val="000000"/>
                <w:sz w:val="24"/>
              </w:rPr>
              <w:t>826</w:t>
            </w:r>
          </w:p>
        </w:tc>
      </w:tr>
      <w:tr w:rsidR="008C1EAD" w:rsidRPr="008C1EAD" w14:paraId="262F6BF2" w14:textId="77777777" w:rsidTr="008C1EAD">
        <w:trPr>
          <w:trHeight w:val="300"/>
        </w:trPr>
        <w:tc>
          <w:tcPr>
            <w:tcW w:w="18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2DBB25C"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TOTAL</w:t>
            </w:r>
          </w:p>
        </w:tc>
        <w:tc>
          <w:tcPr>
            <w:tcW w:w="1220" w:type="dxa"/>
            <w:tcBorders>
              <w:top w:val="nil"/>
              <w:left w:val="nil"/>
              <w:bottom w:val="single" w:sz="8" w:space="0" w:color="auto"/>
              <w:right w:val="nil"/>
            </w:tcBorders>
            <w:shd w:val="clear" w:color="auto" w:fill="auto"/>
            <w:noWrap/>
            <w:vAlign w:val="bottom"/>
            <w:hideMark/>
          </w:tcPr>
          <w:p w14:paraId="3156391B" w14:textId="77777777" w:rsidR="008C1EAD" w:rsidRPr="003F513A" w:rsidRDefault="008C1EAD" w:rsidP="008C1EAD">
            <w:pPr>
              <w:widowControl/>
              <w:autoSpaceDE/>
              <w:autoSpaceDN/>
              <w:adjustRightInd/>
              <w:jc w:val="center"/>
              <w:rPr>
                <w:color w:val="000000"/>
                <w:sz w:val="24"/>
              </w:rPr>
            </w:pPr>
            <w:r w:rsidRPr="003F513A">
              <w:rPr>
                <w:color w:val="000000"/>
                <w:sz w:val="24"/>
              </w:rPr>
              <w:t>300</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53D997CD" w14:textId="77777777" w:rsidR="008C1EAD" w:rsidRPr="003F513A" w:rsidRDefault="008C1EAD" w:rsidP="008C1EAD">
            <w:pPr>
              <w:widowControl/>
              <w:autoSpaceDE/>
              <w:autoSpaceDN/>
              <w:adjustRightInd/>
              <w:jc w:val="center"/>
              <w:rPr>
                <w:color w:val="000000"/>
                <w:sz w:val="24"/>
              </w:rPr>
            </w:pPr>
            <w:r w:rsidRPr="003F513A">
              <w:rPr>
                <w:color w:val="000000"/>
                <w:sz w:val="24"/>
              </w:rPr>
              <w:t>91</w:t>
            </w:r>
          </w:p>
        </w:tc>
        <w:tc>
          <w:tcPr>
            <w:tcW w:w="900" w:type="dxa"/>
            <w:tcBorders>
              <w:top w:val="nil"/>
              <w:left w:val="nil"/>
              <w:bottom w:val="single" w:sz="8" w:space="0" w:color="auto"/>
              <w:right w:val="single" w:sz="8" w:space="0" w:color="auto"/>
            </w:tcBorders>
            <w:shd w:val="clear" w:color="auto" w:fill="auto"/>
            <w:noWrap/>
            <w:vAlign w:val="bottom"/>
            <w:hideMark/>
          </w:tcPr>
          <w:p w14:paraId="5DA168E4" w14:textId="77777777" w:rsidR="008C1EAD" w:rsidRPr="003F513A" w:rsidRDefault="008C1EAD" w:rsidP="008C1EAD">
            <w:pPr>
              <w:widowControl/>
              <w:autoSpaceDE/>
              <w:autoSpaceDN/>
              <w:adjustRightInd/>
              <w:jc w:val="center"/>
              <w:rPr>
                <w:color w:val="000000"/>
                <w:sz w:val="24"/>
              </w:rPr>
            </w:pPr>
            <w:r w:rsidRPr="003F513A">
              <w:rPr>
                <w:color w:val="000000"/>
                <w:sz w:val="24"/>
              </w:rPr>
              <w:t>74</w:t>
            </w:r>
          </w:p>
        </w:tc>
        <w:tc>
          <w:tcPr>
            <w:tcW w:w="700" w:type="dxa"/>
            <w:tcBorders>
              <w:top w:val="nil"/>
              <w:left w:val="nil"/>
              <w:bottom w:val="single" w:sz="8" w:space="0" w:color="auto"/>
              <w:right w:val="single" w:sz="8" w:space="0" w:color="auto"/>
            </w:tcBorders>
            <w:shd w:val="clear" w:color="auto" w:fill="auto"/>
            <w:noWrap/>
            <w:vAlign w:val="bottom"/>
            <w:hideMark/>
          </w:tcPr>
          <w:p w14:paraId="1441CF5E"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465</w:t>
            </w:r>
          </w:p>
        </w:tc>
        <w:tc>
          <w:tcPr>
            <w:tcW w:w="1220" w:type="dxa"/>
            <w:tcBorders>
              <w:top w:val="nil"/>
              <w:left w:val="nil"/>
              <w:bottom w:val="single" w:sz="8" w:space="0" w:color="auto"/>
              <w:right w:val="nil"/>
            </w:tcBorders>
            <w:shd w:val="clear" w:color="auto" w:fill="auto"/>
            <w:noWrap/>
            <w:vAlign w:val="bottom"/>
            <w:hideMark/>
          </w:tcPr>
          <w:p w14:paraId="3BBD0923" w14:textId="77777777" w:rsidR="008C1EAD" w:rsidRPr="003F513A" w:rsidRDefault="008C1EAD" w:rsidP="008C1EAD">
            <w:pPr>
              <w:widowControl/>
              <w:autoSpaceDE/>
              <w:autoSpaceDN/>
              <w:adjustRightInd/>
              <w:jc w:val="center"/>
              <w:rPr>
                <w:color w:val="000000"/>
                <w:sz w:val="24"/>
              </w:rPr>
            </w:pPr>
            <w:r w:rsidRPr="003F513A">
              <w:rPr>
                <w:color w:val="000000"/>
                <w:sz w:val="24"/>
              </w:rPr>
              <w:t>3</w:t>
            </w:r>
            <w:r w:rsidR="003517F5" w:rsidRPr="003F513A">
              <w:rPr>
                <w:color w:val="000000"/>
                <w:sz w:val="24"/>
              </w:rPr>
              <w:t>,</w:t>
            </w:r>
            <w:r w:rsidRPr="003F513A">
              <w:rPr>
                <w:color w:val="000000"/>
                <w:sz w:val="24"/>
              </w:rPr>
              <w:t>610</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14:paraId="5E146233" w14:textId="77777777" w:rsidR="008C1EAD" w:rsidRPr="003F513A" w:rsidRDefault="008C1EAD" w:rsidP="008C1EAD">
            <w:pPr>
              <w:widowControl/>
              <w:autoSpaceDE/>
              <w:autoSpaceDN/>
              <w:adjustRightInd/>
              <w:jc w:val="center"/>
              <w:rPr>
                <w:color w:val="000000"/>
                <w:sz w:val="24"/>
              </w:rPr>
            </w:pPr>
            <w:r w:rsidRPr="003F513A">
              <w:rPr>
                <w:color w:val="000000"/>
                <w:sz w:val="24"/>
              </w:rPr>
              <w:t>932</w:t>
            </w:r>
          </w:p>
        </w:tc>
        <w:tc>
          <w:tcPr>
            <w:tcW w:w="900" w:type="dxa"/>
            <w:tcBorders>
              <w:top w:val="nil"/>
              <w:left w:val="nil"/>
              <w:bottom w:val="single" w:sz="8" w:space="0" w:color="auto"/>
              <w:right w:val="single" w:sz="8" w:space="0" w:color="auto"/>
            </w:tcBorders>
            <w:shd w:val="clear" w:color="auto" w:fill="auto"/>
            <w:noWrap/>
            <w:vAlign w:val="bottom"/>
            <w:hideMark/>
          </w:tcPr>
          <w:p w14:paraId="4F081A3D" w14:textId="77777777" w:rsidR="008C1EAD" w:rsidRPr="003F513A" w:rsidRDefault="008C1EAD" w:rsidP="008C1EAD">
            <w:pPr>
              <w:widowControl/>
              <w:autoSpaceDE/>
              <w:autoSpaceDN/>
              <w:adjustRightInd/>
              <w:jc w:val="center"/>
              <w:rPr>
                <w:color w:val="000000"/>
                <w:sz w:val="24"/>
              </w:rPr>
            </w:pPr>
            <w:r w:rsidRPr="003F513A">
              <w:rPr>
                <w:color w:val="000000"/>
                <w:sz w:val="24"/>
              </w:rPr>
              <w:t>789</w:t>
            </w:r>
          </w:p>
        </w:tc>
        <w:tc>
          <w:tcPr>
            <w:tcW w:w="700" w:type="dxa"/>
            <w:tcBorders>
              <w:top w:val="nil"/>
              <w:left w:val="nil"/>
              <w:bottom w:val="single" w:sz="8" w:space="0" w:color="auto"/>
              <w:right w:val="single" w:sz="8" w:space="0" w:color="auto"/>
            </w:tcBorders>
            <w:shd w:val="clear" w:color="auto" w:fill="auto"/>
            <w:noWrap/>
            <w:vAlign w:val="bottom"/>
            <w:hideMark/>
          </w:tcPr>
          <w:p w14:paraId="04E37C97" w14:textId="77777777" w:rsidR="008C1EAD" w:rsidRPr="003F513A" w:rsidRDefault="008C1EAD" w:rsidP="008C1EAD">
            <w:pPr>
              <w:widowControl/>
              <w:autoSpaceDE/>
              <w:autoSpaceDN/>
              <w:adjustRightInd/>
              <w:jc w:val="center"/>
              <w:rPr>
                <w:b/>
                <w:bCs/>
                <w:color w:val="000000"/>
                <w:sz w:val="24"/>
              </w:rPr>
            </w:pPr>
            <w:r w:rsidRPr="003F513A">
              <w:rPr>
                <w:b/>
                <w:bCs/>
                <w:color w:val="000000"/>
                <w:sz w:val="24"/>
              </w:rPr>
              <w:t>5</w:t>
            </w:r>
            <w:r w:rsidR="003517F5" w:rsidRPr="003F513A">
              <w:rPr>
                <w:b/>
                <w:bCs/>
                <w:color w:val="000000"/>
                <w:sz w:val="24"/>
              </w:rPr>
              <w:t>,</w:t>
            </w:r>
            <w:r w:rsidRPr="003F513A">
              <w:rPr>
                <w:b/>
                <w:bCs/>
                <w:color w:val="000000"/>
                <w:sz w:val="24"/>
              </w:rPr>
              <w:t>331</w:t>
            </w:r>
          </w:p>
        </w:tc>
      </w:tr>
    </w:tbl>
    <w:p w14:paraId="044CFA82" w14:textId="77777777" w:rsidR="00AC35A7" w:rsidRDefault="00AC35A7" w:rsidP="00AC35A7">
      <w:pPr>
        <w:rPr>
          <w:sz w:val="24"/>
        </w:rPr>
      </w:pPr>
    </w:p>
    <w:p w14:paraId="18330DAB" w14:textId="77777777" w:rsidR="00AC35A7" w:rsidRDefault="00AC35A7" w:rsidP="00AC35A7">
      <w:pPr>
        <w:rPr>
          <w:sz w:val="24"/>
        </w:rPr>
      </w:pPr>
      <w:r>
        <w:rPr>
          <w:sz w:val="24"/>
        </w:rPr>
        <w:t xml:space="preserve">The content of the On the Road to Retirement surveys varies considerably depending on the respondent’s living situation and labor force participation status.  The sampling strata and sampling rates were designed to ensure that </w:t>
      </w:r>
      <w:r w:rsidR="00FE7196">
        <w:rPr>
          <w:sz w:val="24"/>
        </w:rPr>
        <w:t xml:space="preserve">respondents </w:t>
      </w:r>
      <w:r>
        <w:rPr>
          <w:sz w:val="24"/>
        </w:rPr>
        <w:t>will be selected from the smaller strata among those not participating in the labor force, while about two-thirds of survey pretest</w:t>
      </w:r>
      <w:r w:rsidR="00FE7196">
        <w:rPr>
          <w:sz w:val="24"/>
        </w:rPr>
        <w:t xml:space="preserve"> respondents </w:t>
      </w:r>
      <w:r>
        <w:rPr>
          <w:sz w:val="24"/>
        </w:rPr>
        <w:t>will be labor force participants at different points on the road to retirement.  About 20 percent of participants will be retirees.</w:t>
      </w:r>
    </w:p>
    <w:p w14:paraId="79A014B0" w14:textId="77777777" w:rsidR="00AC35A7" w:rsidRDefault="00AC35A7" w:rsidP="00AC35A7">
      <w:pPr>
        <w:rPr>
          <w:sz w:val="24"/>
        </w:rPr>
      </w:pPr>
    </w:p>
    <w:p w14:paraId="0D468D4A" w14:textId="77777777" w:rsidR="001B2EE7" w:rsidRDefault="001B2EE7" w:rsidP="001B2EE7">
      <w:pPr>
        <w:rPr>
          <w:sz w:val="24"/>
        </w:rPr>
      </w:pPr>
      <w:r w:rsidRPr="00F01BF3">
        <w:rPr>
          <w:sz w:val="24"/>
        </w:rPr>
        <w:t>Participants will be offered a financial incentive of $20 to be paid upon completion of each survey.  This amount is consistent with standard ALP practice for similar surveys. This level is also roughly equivalent to the incentives provided by the Health and Retirement Study and the Panel Study of Income Dynamics for comparable survey interview time.</w:t>
      </w:r>
      <w:r>
        <w:rPr>
          <w:sz w:val="24"/>
        </w:rPr>
        <w:t xml:space="preserve"> </w:t>
      </w:r>
    </w:p>
    <w:p w14:paraId="66A71258" w14:textId="77777777" w:rsidR="001B2EE7" w:rsidRDefault="001B2EE7" w:rsidP="001B2EE7">
      <w:pPr>
        <w:rPr>
          <w:sz w:val="24"/>
        </w:rPr>
      </w:pPr>
    </w:p>
    <w:p w14:paraId="3277983B" w14:textId="77777777" w:rsidR="001B2EE7" w:rsidRDefault="001B2EE7" w:rsidP="001B2EE7">
      <w:pPr>
        <w:rPr>
          <w:sz w:val="24"/>
        </w:rPr>
      </w:pPr>
      <w:r w:rsidRPr="006A09F8">
        <w:rPr>
          <w:sz w:val="24"/>
        </w:rPr>
        <w:t>We will utilize the standard protocol of automated follow-up contacts for ALP Internet interviews to maximize the response rate, which we expect to be at least 80%</w:t>
      </w:r>
      <w:r w:rsidR="00A331C4">
        <w:rPr>
          <w:sz w:val="24"/>
        </w:rPr>
        <w:t>, yielding a total of at least 300 respondents</w:t>
      </w:r>
      <w:r w:rsidRPr="006A09F8">
        <w:rPr>
          <w:sz w:val="24"/>
        </w:rPr>
        <w:t xml:space="preserve">. </w:t>
      </w:r>
      <w:r>
        <w:rPr>
          <w:sz w:val="24"/>
        </w:rPr>
        <w:t xml:space="preserve">  The standard protocol includes a weekly e-mail reminder.  For surveys that are more time-sensitive, such as these pretests, the protocol adds a second weekly reminder that specifies the forthcoming date at which the survey will be “closed.” </w:t>
      </w:r>
      <w:r w:rsidRPr="006A09F8">
        <w:rPr>
          <w:sz w:val="24"/>
        </w:rPr>
        <w:t xml:space="preserve"> </w:t>
      </w:r>
    </w:p>
    <w:p w14:paraId="3117D63E" w14:textId="1D9B5153" w:rsidR="00195353" w:rsidRDefault="00195353">
      <w:pPr>
        <w:widowControl/>
        <w:autoSpaceDE/>
        <w:autoSpaceDN/>
        <w:adjustRightInd/>
        <w:rPr>
          <w:sz w:val="24"/>
        </w:rPr>
      </w:pPr>
      <w:r>
        <w:rPr>
          <w:sz w:val="24"/>
        </w:rPr>
        <w:br w:type="page"/>
      </w:r>
    </w:p>
    <w:p w14:paraId="6A8BADD9" w14:textId="77777777" w:rsidR="001B2EE7" w:rsidRDefault="001B2EE7" w:rsidP="001B2EE7">
      <w:pPr>
        <w:rPr>
          <w:sz w:val="24"/>
        </w:rPr>
      </w:pPr>
    </w:p>
    <w:p w14:paraId="7A82D4F2" w14:textId="77777777" w:rsidR="001B2EE7" w:rsidRDefault="001B2EE7" w:rsidP="001B2EE7">
      <w:pPr>
        <w:rPr>
          <w:sz w:val="24"/>
        </w:rPr>
      </w:pPr>
      <w:r w:rsidRPr="006A09F8">
        <w:rPr>
          <w:sz w:val="24"/>
        </w:rPr>
        <w:t xml:space="preserve">For the mail-out surveys, the panel manager will also contact potential respondents via phone and/or e-mail with personal messages to encourage participation.  </w:t>
      </w:r>
      <w:r>
        <w:rPr>
          <w:sz w:val="24"/>
        </w:rPr>
        <w:t xml:space="preserve">Phone calls will begin three weeks after the surveys are mailed out.  </w:t>
      </w:r>
      <w:r w:rsidRPr="006A09F8">
        <w:rPr>
          <w:sz w:val="24"/>
        </w:rPr>
        <w:t>This extra effort will be utilized for the mail-out surveys, because ALP respondents typically complete surveys</w:t>
      </w:r>
      <w:r>
        <w:rPr>
          <w:sz w:val="24"/>
        </w:rPr>
        <w:t xml:space="preserve"> only</w:t>
      </w:r>
      <w:r w:rsidRPr="006A09F8">
        <w:rPr>
          <w:sz w:val="24"/>
        </w:rPr>
        <w:t xml:space="preserve"> via Internet.  </w:t>
      </w:r>
      <w:r>
        <w:rPr>
          <w:sz w:val="24"/>
        </w:rPr>
        <w:t>T</w:t>
      </w:r>
      <w:r w:rsidRPr="006A09F8">
        <w:rPr>
          <w:sz w:val="24"/>
        </w:rPr>
        <w:t>elephone interviews will be available as an option to those who receive the mail-out surveys, as will be the case when the surveys are ultimately fielded for</w:t>
      </w:r>
      <w:r w:rsidR="00A331C4">
        <w:rPr>
          <w:sz w:val="24"/>
        </w:rPr>
        <w:t xml:space="preserve"> the On the Road to Retirement s</w:t>
      </w:r>
      <w:r w:rsidRPr="006A09F8">
        <w:rPr>
          <w:sz w:val="24"/>
        </w:rPr>
        <w:t xml:space="preserve">tudy.  </w:t>
      </w:r>
    </w:p>
    <w:p w14:paraId="0830529C" w14:textId="77777777" w:rsidR="001B2EE7" w:rsidRDefault="001B2EE7" w:rsidP="001B2EE7">
      <w:pPr>
        <w:rPr>
          <w:sz w:val="24"/>
        </w:rPr>
      </w:pPr>
    </w:p>
    <w:p w14:paraId="40DDE68A" w14:textId="77777777" w:rsidR="00AC35A7" w:rsidRDefault="00AC35A7" w:rsidP="00AC35A7">
      <w:pPr>
        <w:rPr>
          <w:sz w:val="24"/>
        </w:rPr>
      </w:pPr>
      <w:r>
        <w:rPr>
          <w:sz w:val="24"/>
        </w:rPr>
        <w:t>We anticipate a response rate of about</w:t>
      </w:r>
      <w:r w:rsidRPr="006A09F8">
        <w:rPr>
          <w:sz w:val="24"/>
        </w:rPr>
        <w:t xml:space="preserve"> 67% for the mail-out surveys, yielding a total of approximately 60 completed mail-out surveys. </w:t>
      </w:r>
      <w:r>
        <w:rPr>
          <w:sz w:val="24"/>
        </w:rPr>
        <w:t xml:space="preserve"> ALP surveys are rarely mailed out, so this rate is much more uncertain than the response rate to the surveys that will be administered via Internet.  However, a recent example should be instructive.  Most ALP panel members have participated in the Survey of Consumer Payment Choice (SCPC), sponsored by the Federal Reserve Bank of Boston.  SCPC respondents have been asked to complete a diary of financial expenditures over a three-day period.   In 2011, the diaries were mailed out to respondents, and 318 survey respondents were asked to return the completed forms.  More than 80% (264 out of 318) did so.</w:t>
      </w:r>
    </w:p>
    <w:p w14:paraId="1BE21AFF" w14:textId="77777777" w:rsidR="00AC35A7" w:rsidRDefault="00AC35A7" w:rsidP="00AC35A7">
      <w:pPr>
        <w:rPr>
          <w:sz w:val="24"/>
        </w:rPr>
      </w:pPr>
    </w:p>
    <w:p w14:paraId="4C325A77" w14:textId="77777777" w:rsidR="00AC35A7" w:rsidRDefault="00AC35A7" w:rsidP="00AC35A7">
      <w:pPr>
        <w:rPr>
          <w:sz w:val="24"/>
        </w:rPr>
      </w:pPr>
      <w:r w:rsidRPr="006A09F8">
        <w:rPr>
          <w:sz w:val="24"/>
        </w:rPr>
        <w:t xml:space="preserve">We will attempt to conduct debriefing interviews with </w:t>
      </w:r>
      <w:r w:rsidR="00C73845">
        <w:rPr>
          <w:sz w:val="24"/>
        </w:rPr>
        <w:t>almost</w:t>
      </w:r>
      <w:r w:rsidRPr="006A09F8">
        <w:rPr>
          <w:sz w:val="24"/>
        </w:rPr>
        <w:t xml:space="preserve"> </w:t>
      </w:r>
      <w:r>
        <w:rPr>
          <w:sz w:val="24"/>
        </w:rPr>
        <w:t>one-</w:t>
      </w:r>
      <w:r w:rsidRPr="006A09F8">
        <w:rPr>
          <w:sz w:val="24"/>
        </w:rPr>
        <w:t>third of the survey respondents</w:t>
      </w:r>
      <w:r w:rsidR="006B3167">
        <w:rPr>
          <w:sz w:val="24"/>
        </w:rPr>
        <w:t xml:space="preserve">—20 from each of the </w:t>
      </w:r>
      <w:r w:rsidR="00C73845">
        <w:rPr>
          <w:sz w:val="24"/>
        </w:rPr>
        <w:t>five</w:t>
      </w:r>
      <w:r w:rsidR="006B3167">
        <w:rPr>
          <w:sz w:val="24"/>
        </w:rPr>
        <w:t xml:space="preserve"> questionnaires</w:t>
      </w:r>
      <w:r w:rsidRPr="006A09F8">
        <w:rPr>
          <w:sz w:val="24"/>
        </w:rPr>
        <w:t>.</w:t>
      </w:r>
      <w:r>
        <w:rPr>
          <w:sz w:val="24"/>
        </w:rPr>
        <w:t xml:space="preserve">   Potential participants will be randomly selected from among those who are eligible for each survey and who have not yet participated in one of the debriefing interviews for an earlier survey.  If necessary, the latter requirement will be relaxed to meet the target of 20 debriefing interviews for each survey.   We expect a participation rate of better than 50%.  This estimate is also based on a recent study for the SCPC.  In particular, 45 ALP panel members were asked to participate in telephone interviews in December of 2013, and 25 agreed to do so within two weeks of the initial request.  Only 15 interviews were required, and therefore 15 of the 25 were subsequently interviewed.</w:t>
      </w:r>
    </w:p>
    <w:p w14:paraId="42C5590D" w14:textId="77777777" w:rsidR="00954ECA" w:rsidRDefault="00954ECA" w:rsidP="00C1088C">
      <w:pPr>
        <w:rPr>
          <w:color w:val="FF0000"/>
          <w:sz w:val="24"/>
        </w:rPr>
      </w:pPr>
    </w:p>
    <w:p w14:paraId="27F62F0D" w14:textId="77777777" w:rsidR="001B2EE7" w:rsidRDefault="001B2EE7" w:rsidP="001B2EE7">
      <w:pPr>
        <w:rPr>
          <w:sz w:val="24"/>
        </w:rPr>
      </w:pPr>
      <w:r w:rsidRPr="006A09F8">
        <w:rPr>
          <w:sz w:val="24"/>
        </w:rPr>
        <w:t>We will encourage</w:t>
      </w:r>
      <w:r>
        <w:rPr>
          <w:sz w:val="24"/>
        </w:rPr>
        <w:t xml:space="preserve"> </w:t>
      </w:r>
      <w:r w:rsidRPr="00CB41A1">
        <w:rPr>
          <w:sz w:val="24"/>
        </w:rPr>
        <w:t>a representative sample of pilot survey</w:t>
      </w:r>
      <w:r>
        <w:rPr>
          <w:sz w:val="24"/>
        </w:rPr>
        <w:t xml:space="preserve"> </w:t>
      </w:r>
      <w:r w:rsidRPr="006A09F8">
        <w:rPr>
          <w:sz w:val="24"/>
        </w:rPr>
        <w:t>respondents to participate in the debriefing</w:t>
      </w:r>
      <w:r>
        <w:rPr>
          <w:sz w:val="24"/>
        </w:rPr>
        <w:t>s</w:t>
      </w:r>
      <w:r w:rsidRPr="006A09F8">
        <w:rPr>
          <w:sz w:val="24"/>
        </w:rPr>
        <w:t xml:space="preserve"> by highlighting the importance of their role in determining the success of th</w:t>
      </w:r>
      <w:r w:rsidR="00AE0360">
        <w:rPr>
          <w:sz w:val="24"/>
        </w:rPr>
        <w:t>is</w:t>
      </w:r>
      <w:r w:rsidRPr="006A09F8">
        <w:rPr>
          <w:sz w:val="24"/>
        </w:rPr>
        <w:t xml:space="preserve"> important study.  In addition, participants will be offered a financial incentive of $30 to be paid upon completion of the debriefing.</w:t>
      </w:r>
      <w:r>
        <w:rPr>
          <w:sz w:val="24"/>
        </w:rPr>
        <w:t xml:space="preserve">  The debriefing interviews will typically require no more than 30 minutes to complete, but some </w:t>
      </w:r>
      <w:r w:rsidRPr="00DE74C5">
        <w:rPr>
          <w:sz w:val="24"/>
        </w:rPr>
        <w:t xml:space="preserve">interviews </w:t>
      </w:r>
      <w:r>
        <w:rPr>
          <w:sz w:val="24"/>
        </w:rPr>
        <w:t xml:space="preserve">may </w:t>
      </w:r>
      <w:r w:rsidRPr="00DE74C5">
        <w:rPr>
          <w:sz w:val="24"/>
        </w:rPr>
        <w:t>extend well beyond 30 minutes</w:t>
      </w:r>
      <w:r>
        <w:rPr>
          <w:sz w:val="24"/>
        </w:rPr>
        <w:t xml:space="preserve">.  Further, </w:t>
      </w:r>
      <w:r w:rsidRPr="00DE74C5">
        <w:rPr>
          <w:sz w:val="24"/>
        </w:rPr>
        <w:t>extra effort</w:t>
      </w:r>
      <w:r>
        <w:rPr>
          <w:sz w:val="24"/>
        </w:rPr>
        <w:t xml:space="preserve"> is</w:t>
      </w:r>
      <w:r w:rsidRPr="00DE74C5">
        <w:rPr>
          <w:sz w:val="24"/>
        </w:rPr>
        <w:t xml:space="preserve"> required to set up and complete the telephone interviews as opposed to</w:t>
      </w:r>
      <w:r>
        <w:rPr>
          <w:sz w:val="24"/>
        </w:rPr>
        <w:t xml:space="preserve"> the</w:t>
      </w:r>
      <w:r w:rsidRPr="00DE74C5">
        <w:rPr>
          <w:sz w:val="24"/>
        </w:rPr>
        <w:t xml:space="preserve"> Internet interviews</w:t>
      </w:r>
      <w:r>
        <w:rPr>
          <w:sz w:val="24"/>
        </w:rPr>
        <w:t xml:space="preserve"> that ALP panel members typically complete.  The </w:t>
      </w:r>
      <w:r w:rsidRPr="00DE74C5">
        <w:rPr>
          <w:sz w:val="24"/>
        </w:rPr>
        <w:t>incentive level of $30 was chosen to ensure that w</w:t>
      </w:r>
      <w:r w:rsidRPr="000A386D">
        <w:rPr>
          <w:sz w:val="24"/>
        </w:rPr>
        <w:t xml:space="preserve">e </w:t>
      </w:r>
      <w:r>
        <w:rPr>
          <w:sz w:val="24"/>
        </w:rPr>
        <w:t xml:space="preserve">obtain a sufficient number of participants in a relatively short time frame with a relatively small pool of eligible individuals in some cases, such as the mail-out surveys.  </w:t>
      </w:r>
    </w:p>
    <w:p w14:paraId="0B994FBA" w14:textId="1C6629B3" w:rsidR="00195353" w:rsidRDefault="00195353">
      <w:pPr>
        <w:widowControl/>
        <w:autoSpaceDE/>
        <w:autoSpaceDN/>
        <w:adjustRightInd/>
        <w:rPr>
          <w:sz w:val="24"/>
        </w:rPr>
      </w:pPr>
      <w:r>
        <w:rPr>
          <w:sz w:val="24"/>
        </w:rPr>
        <w:br w:type="page"/>
      </w:r>
    </w:p>
    <w:p w14:paraId="165A86B4" w14:textId="77777777" w:rsidR="00195353" w:rsidRDefault="00195353" w:rsidP="001B2EE7">
      <w:pPr>
        <w:rPr>
          <w:sz w:val="24"/>
        </w:rPr>
      </w:pPr>
    </w:p>
    <w:p w14:paraId="50CEAB41" w14:textId="77777777" w:rsidR="00A405DF" w:rsidRPr="00EE452D" w:rsidRDefault="00A405DF" w:rsidP="00A405DF">
      <w:pPr>
        <w:keepNext/>
        <w:spacing w:before="240" w:after="60"/>
        <w:ind w:left="720"/>
        <w:outlineLvl w:val="2"/>
        <w:rPr>
          <w:b/>
          <w:sz w:val="24"/>
          <w:highlight w:val="yellow"/>
        </w:rPr>
      </w:pPr>
      <w:bookmarkStart w:id="7" w:name="_Toc479599184"/>
      <w:r w:rsidRPr="00EE452D">
        <w:rPr>
          <w:b/>
          <w:sz w:val="24"/>
        </w:rPr>
        <w:t>B.1.</w:t>
      </w:r>
      <w:r w:rsidR="00DD13CF" w:rsidRPr="00EE452D">
        <w:rPr>
          <w:b/>
          <w:sz w:val="24"/>
        </w:rPr>
        <w:t>b</w:t>
      </w:r>
      <w:r w:rsidRPr="00EE452D">
        <w:rPr>
          <w:b/>
          <w:sz w:val="24"/>
        </w:rPr>
        <w:t>. Respondent universe and selection methods for On the Road to Retirement panel</w:t>
      </w:r>
      <w:bookmarkEnd w:id="7"/>
    </w:p>
    <w:p w14:paraId="238CC7EA" w14:textId="77777777" w:rsidR="00A405DF" w:rsidRDefault="00A405DF" w:rsidP="00A405DF">
      <w:pPr>
        <w:rPr>
          <w:sz w:val="24"/>
          <w:highlight w:val="yellow"/>
        </w:rPr>
      </w:pPr>
    </w:p>
    <w:p w14:paraId="6ADE13AD" w14:textId="77777777" w:rsidR="00C1088C" w:rsidRPr="00C1088C" w:rsidRDefault="00C1088C" w:rsidP="00C1088C">
      <w:pPr>
        <w:rPr>
          <w:sz w:val="24"/>
        </w:rPr>
      </w:pPr>
    </w:p>
    <w:p w14:paraId="64A5D279" w14:textId="77777777" w:rsidR="00C1088C" w:rsidRPr="00C1088C" w:rsidRDefault="00C1088C" w:rsidP="00C1088C">
      <w:pPr>
        <w:rPr>
          <w:sz w:val="24"/>
        </w:rPr>
      </w:pPr>
      <w:r w:rsidRPr="00C1088C">
        <w:rPr>
          <w:sz w:val="24"/>
        </w:rPr>
        <w:t>The target population for the Initial Participant Survey will be households in the United States with at least one household member who is age 25 or older.  Sampling from this population will take part in two stages: (1) administration of a “</w:t>
      </w:r>
      <w:r w:rsidR="00E33599">
        <w:rPr>
          <w:sz w:val="24"/>
        </w:rPr>
        <w:t>Pre-Survey</w:t>
      </w:r>
      <w:r w:rsidRPr="00C1088C">
        <w:rPr>
          <w:sz w:val="24"/>
        </w:rPr>
        <w:t xml:space="preserve">” of an address-based sample from the general population to determine eligibility for participation in the study and (2) stratified sampling of </w:t>
      </w:r>
      <w:r w:rsidR="00E33599">
        <w:rPr>
          <w:sz w:val="24"/>
        </w:rPr>
        <w:t>Pre-Survey</w:t>
      </w:r>
      <w:r w:rsidRPr="00C1088C">
        <w:rPr>
          <w:sz w:val="24"/>
        </w:rPr>
        <w:t xml:space="preserve"> respondents who </w:t>
      </w:r>
      <w:r w:rsidR="00566A9D">
        <w:rPr>
          <w:sz w:val="24"/>
        </w:rPr>
        <w:t>are eligible to partic</w:t>
      </w:r>
      <w:r w:rsidR="009A575D">
        <w:rPr>
          <w:sz w:val="24"/>
        </w:rPr>
        <w:t>ipate in the study—i.e., respondents who reside in a household that include</w:t>
      </w:r>
      <w:r w:rsidR="00E9280E">
        <w:rPr>
          <w:sz w:val="24"/>
        </w:rPr>
        <w:t>s</w:t>
      </w:r>
      <w:r w:rsidR="00FF29AD">
        <w:rPr>
          <w:sz w:val="24"/>
        </w:rPr>
        <w:t xml:space="preserve"> at leas</w:t>
      </w:r>
      <w:r w:rsidR="009A575D">
        <w:rPr>
          <w:sz w:val="24"/>
        </w:rPr>
        <w:t>t one member who is age</w:t>
      </w:r>
      <w:r w:rsidR="00183F4F">
        <w:rPr>
          <w:sz w:val="24"/>
        </w:rPr>
        <w:t xml:space="preserve"> 25 or older</w:t>
      </w:r>
      <w:r w:rsidR="009A575D">
        <w:rPr>
          <w:sz w:val="24"/>
        </w:rPr>
        <w:t xml:space="preserve">. </w:t>
      </w:r>
    </w:p>
    <w:p w14:paraId="48886B43" w14:textId="77777777" w:rsidR="00C1088C" w:rsidRPr="00C1088C" w:rsidRDefault="00C1088C" w:rsidP="00C1088C">
      <w:pPr>
        <w:rPr>
          <w:sz w:val="24"/>
        </w:rPr>
      </w:pPr>
    </w:p>
    <w:p w14:paraId="3487B41F" w14:textId="77777777" w:rsidR="007E09BB" w:rsidRDefault="00C1088C" w:rsidP="00C1088C">
      <w:pPr>
        <w:rPr>
          <w:sz w:val="24"/>
        </w:rPr>
      </w:pPr>
      <w:r w:rsidRPr="00C1088C">
        <w:rPr>
          <w:sz w:val="24"/>
        </w:rPr>
        <w:t xml:space="preserve">We expect to obtain completed surveys from approximately 10,000 </w:t>
      </w:r>
      <w:r w:rsidR="00AC1B50">
        <w:rPr>
          <w:sz w:val="24"/>
        </w:rPr>
        <w:t>households</w:t>
      </w:r>
      <w:r w:rsidR="009A575D">
        <w:rPr>
          <w:sz w:val="24"/>
        </w:rPr>
        <w:t xml:space="preserve"> out of the 25,000 households included in the address-based sample.</w:t>
      </w:r>
      <w:r w:rsidR="0082197E" w:rsidRPr="00D07695">
        <w:rPr>
          <w:rStyle w:val="FootnoteReference"/>
          <w:rFonts w:ascii="Times" w:hAnsi="Times" w:cs="Tahoma"/>
          <w:sz w:val="24"/>
          <w:vertAlign w:val="superscript"/>
        </w:rPr>
        <w:footnoteReference w:id="1"/>
      </w:r>
      <w:r w:rsidR="0082197E">
        <w:rPr>
          <w:sz w:val="24"/>
        </w:rPr>
        <w:t xml:space="preserve">  Of these 10,000 respondents, we expect that at least 9,500 of these households will be eligible to participate in the study.</w:t>
      </w:r>
      <w:r w:rsidR="0082197E" w:rsidRPr="00D07695">
        <w:rPr>
          <w:rStyle w:val="FootnoteReference"/>
          <w:rFonts w:ascii="Times" w:hAnsi="Times" w:cs="Tahoma"/>
          <w:sz w:val="24"/>
          <w:vertAlign w:val="superscript"/>
        </w:rPr>
        <w:footnoteReference w:id="2"/>
      </w:r>
      <w:r w:rsidR="0082197E" w:rsidRPr="00D07695">
        <w:rPr>
          <w:rFonts w:ascii="Times" w:hAnsi="Times" w:cs="Tahoma"/>
          <w:sz w:val="24"/>
        </w:rPr>
        <w:t xml:space="preserve"> </w:t>
      </w:r>
      <w:r w:rsidRPr="00C1088C">
        <w:rPr>
          <w:sz w:val="24"/>
        </w:rPr>
        <w:t xml:space="preserve"> With a target sample size of 4,500 for the Initial Participant Survey, </w:t>
      </w:r>
      <w:r w:rsidR="00013AB2">
        <w:rPr>
          <w:sz w:val="24"/>
        </w:rPr>
        <w:t xml:space="preserve">RAND’s experience with the ALP indicates that </w:t>
      </w:r>
      <w:r w:rsidRPr="00C1088C">
        <w:rPr>
          <w:sz w:val="24"/>
        </w:rPr>
        <w:t xml:space="preserve">we may not need to attempt to contact every member of this pool.  With a larger pool than necessary, we can stratify and oversample certain groups—e.g., individuals in their 50s and 60s—to be better able to address the key topics of interest—e.g., decision making during the transition to retirement.  </w:t>
      </w:r>
      <w:r w:rsidR="00183F4F">
        <w:rPr>
          <w:sz w:val="24"/>
        </w:rPr>
        <w:t xml:space="preserve">In particular, we will aim for target samples sizes based on the age of the </w:t>
      </w:r>
      <w:r w:rsidR="00DD3537">
        <w:rPr>
          <w:sz w:val="24"/>
        </w:rPr>
        <w:t>oldest member of the household</w:t>
      </w:r>
      <w:r w:rsidR="00183F4F">
        <w:rPr>
          <w:sz w:val="24"/>
        </w:rPr>
        <w:t xml:space="preserve">, as </w:t>
      </w:r>
      <w:r w:rsidR="00EE23B2">
        <w:rPr>
          <w:sz w:val="24"/>
        </w:rPr>
        <w:t xml:space="preserve">reported in the </w:t>
      </w:r>
      <w:r w:rsidR="00E33599">
        <w:rPr>
          <w:sz w:val="24"/>
        </w:rPr>
        <w:t>Pre-Survey</w:t>
      </w:r>
      <w:r w:rsidR="007E09BB">
        <w:rPr>
          <w:sz w:val="24"/>
        </w:rPr>
        <w:t xml:space="preserve">.  </w:t>
      </w:r>
      <w:r w:rsidR="00A405DF">
        <w:rPr>
          <w:sz w:val="24"/>
        </w:rPr>
        <w:t xml:space="preserve">Table </w:t>
      </w:r>
      <w:r w:rsidR="0021302A">
        <w:rPr>
          <w:sz w:val="24"/>
        </w:rPr>
        <w:t>8</w:t>
      </w:r>
      <w:r w:rsidR="009505C9">
        <w:rPr>
          <w:sz w:val="24"/>
        </w:rPr>
        <w:t xml:space="preserve"> lists the t</w:t>
      </w:r>
      <w:r w:rsidR="007E09BB">
        <w:rPr>
          <w:sz w:val="24"/>
        </w:rPr>
        <w:t>argets</w:t>
      </w:r>
      <w:r w:rsidR="009505C9">
        <w:rPr>
          <w:sz w:val="24"/>
        </w:rPr>
        <w:t>.</w:t>
      </w:r>
    </w:p>
    <w:p w14:paraId="29EE7697" w14:textId="77777777" w:rsidR="00195353" w:rsidRDefault="00195353" w:rsidP="00C1088C">
      <w:pPr>
        <w:rPr>
          <w:sz w:val="24"/>
        </w:rPr>
      </w:pPr>
    </w:p>
    <w:p w14:paraId="5515C760" w14:textId="3C485878" w:rsidR="00195353" w:rsidRDefault="00195353">
      <w:pPr>
        <w:widowControl/>
        <w:autoSpaceDE/>
        <w:autoSpaceDN/>
        <w:adjustRightInd/>
        <w:rPr>
          <w:sz w:val="24"/>
        </w:rPr>
      </w:pPr>
      <w:r>
        <w:rPr>
          <w:sz w:val="24"/>
        </w:rPr>
        <w:br w:type="page"/>
      </w:r>
    </w:p>
    <w:p w14:paraId="3E76D6B9" w14:textId="77777777" w:rsidR="007E09BB" w:rsidRDefault="007E09BB" w:rsidP="00C1088C">
      <w:pPr>
        <w:rPr>
          <w:sz w:val="24"/>
        </w:rPr>
      </w:pPr>
    </w:p>
    <w:p w14:paraId="3F8E9DF8" w14:textId="77777777" w:rsidR="00183F4F" w:rsidRDefault="00A405DF" w:rsidP="00C1088C">
      <w:pPr>
        <w:rPr>
          <w:sz w:val="24"/>
        </w:rPr>
      </w:pPr>
      <w:r>
        <w:rPr>
          <w:sz w:val="24"/>
        </w:rPr>
        <w:t>Table</w:t>
      </w:r>
      <w:r w:rsidR="007E09BB">
        <w:rPr>
          <w:sz w:val="24"/>
        </w:rPr>
        <w:t xml:space="preserve"> </w:t>
      </w:r>
      <w:r w:rsidR="0021302A">
        <w:rPr>
          <w:sz w:val="24"/>
        </w:rPr>
        <w:t>8</w:t>
      </w:r>
      <w:r w:rsidR="007E09BB">
        <w:rPr>
          <w:sz w:val="24"/>
        </w:rPr>
        <w:t>. Target Sample Size</w:t>
      </w:r>
      <w:r w:rsidR="00FF40AF">
        <w:rPr>
          <w:sz w:val="24"/>
        </w:rPr>
        <w:t>s</w:t>
      </w:r>
      <w:r w:rsidR="00262D52">
        <w:rPr>
          <w:sz w:val="24"/>
        </w:rPr>
        <w:t>,</w:t>
      </w:r>
      <w:r w:rsidR="007E09BB">
        <w:rPr>
          <w:sz w:val="24"/>
        </w:rPr>
        <w:t xml:space="preserve"> by Age</w:t>
      </w:r>
      <w:r w:rsidR="00790BCB">
        <w:rPr>
          <w:sz w:val="24"/>
        </w:rPr>
        <w:t xml:space="preserve">: </w:t>
      </w:r>
      <w:r>
        <w:rPr>
          <w:sz w:val="24"/>
        </w:rPr>
        <w:t>On the Road to Retirement Panel</w:t>
      </w:r>
      <w:r w:rsidR="00183F4F">
        <w:rPr>
          <w:sz w:val="24"/>
        </w:rPr>
        <w:t xml:space="preserve"> </w:t>
      </w:r>
    </w:p>
    <w:p w14:paraId="5D4F02BE" w14:textId="77777777" w:rsidR="009C46F8" w:rsidRDefault="009C46F8" w:rsidP="00C1088C">
      <w:pPr>
        <w:rPr>
          <w:sz w:val="24"/>
        </w:rPr>
      </w:pPr>
    </w:p>
    <w:tbl>
      <w:tblPr>
        <w:tblW w:w="7650" w:type="dxa"/>
        <w:tblInd w:w="738" w:type="dxa"/>
        <w:tblLook w:val="04A0" w:firstRow="1" w:lastRow="0" w:firstColumn="1" w:lastColumn="0" w:noHBand="0" w:noVBand="1"/>
      </w:tblPr>
      <w:tblGrid>
        <w:gridCol w:w="4502"/>
        <w:gridCol w:w="3148"/>
      </w:tblGrid>
      <w:tr w:rsidR="009C46F8" w:rsidRPr="009C46F8" w14:paraId="074598B2" w14:textId="77777777" w:rsidTr="00262D52">
        <w:trPr>
          <w:trHeight w:val="291"/>
        </w:trPr>
        <w:tc>
          <w:tcPr>
            <w:tcW w:w="4502" w:type="dxa"/>
            <w:tcBorders>
              <w:top w:val="single" w:sz="4" w:space="0" w:color="auto"/>
              <w:left w:val="single" w:sz="4" w:space="0" w:color="auto"/>
              <w:bottom w:val="nil"/>
              <w:right w:val="nil"/>
            </w:tcBorders>
            <w:shd w:val="clear" w:color="auto" w:fill="auto"/>
            <w:noWrap/>
            <w:vAlign w:val="bottom"/>
            <w:hideMark/>
          </w:tcPr>
          <w:p w14:paraId="3B291016" w14:textId="77777777" w:rsidR="009C46F8" w:rsidRPr="009C46F8" w:rsidRDefault="009C46F8" w:rsidP="00262D52">
            <w:pPr>
              <w:jc w:val="center"/>
              <w:rPr>
                <w:b/>
                <w:bCs/>
                <w:sz w:val="24"/>
              </w:rPr>
            </w:pPr>
            <w:r w:rsidRPr="009C46F8">
              <w:rPr>
                <w:b/>
                <w:bCs/>
                <w:sz w:val="24"/>
              </w:rPr>
              <w:t>Age of Oldest Member of the Household</w:t>
            </w:r>
          </w:p>
        </w:tc>
        <w:tc>
          <w:tcPr>
            <w:tcW w:w="3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AE666" w14:textId="77777777" w:rsidR="009C46F8" w:rsidRPr="009C46F8" w:rsidRDefault="009C46F8" w:rsidP="00262D52">
            <w:pPr>
              <w:jc w:val="center"/>
              <w:rPr>
                <w:b/>
                <w:bCs/>
                <w:sz w:val="24"/>
              </w:rPr>
            </w:pPr>
            <w:r w:rsidRPr="009C46F8">
              <w:rPr>
                <w:b/>
                <w:bCs/>
                <w:sz w:val="24"/>
              </w:rPr>
              <w:t>Target Sample Size</w:t>
            </w:r>
          </w:p>
        </w:tc>
      </w:tr>
      <w:tr w:rsidR="009C46F8" w:rsidRPr="009C46F8" w14:paraId="4C326694" w14:textId="77777777" w:rsidTr="00262D52">
        <w:trPr>
          <w:trHeight w:val="291"/>
        </w:trPr>
        <w:tc>
          <w:tcPr>
            <w:tcW w:w="4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F9CA3" w14:textId="77777777" w:rsidR="009C46F8" w:rsidRPr="009C46F8" w:rsidRDefault="009C46F8" w:rsidP="00262D52">
            <w:pPr>
              <w:jc w:val="center"/>
              <w:rPr>
                <w:sz w:val="24"/>
              </w:rPr>
            </w:pPr>
            <w:r w:rsidRPr="009C46F8">
              <w:rPr>
                <w:sz w:val="24"/>
              </w:rPr>
              <w:t>25-34</w:t>
            </w:r>
          </w:p>
        </w:tc>
        <w:tc>
          <w:tcPr>
            <w:tcW w:w="3148" w:type="dxa"/>
            <w:tcBorders>
              <w:top w:val="nil"/>
              <w:left w:val="nil"/>
              <w:bottom w:val="single" w:sz="4" w:space="0" w:color="auto"/>
              <w:right w:val="single" w:sz="4" w:space="0" w:color="auto"/>
            </w:tcBorders>
            <w:shd w:val="clear" w:color="auto" w:fill="auto"/>
            <w:noWrap/>
            <w:vAlign w:val="bottom"/>
            <w:hideMark/>
          </w:tcPr>
          <w:p w14:paraId="5028E6FD" w14:textId="77777777" w:rsidR="009C46F8" w:rsidRPr="009C46F8" w:rsidRDefault="009C46F8" w:rsidP="00262D52">
            <w:pPr>
              <w:jc w:val="center"/>
              <w:rPr>
                <w:sz w:val="24"/>
              </w:rPr>
            </w:pPr>
            <w:r w:rsidRPr="009C46F8">
              <w:rPr>
                <w:sz w:val="24"/>
              </w:rPr>
              <w:t>700</w:t>
            </w:r>
          </w:p>
        </w:tc>
      </w:tr>
      <w:tr w:rsidR="009C46F8" w:rsidRPr="009C46F8" w14:paraId="1925ECB9" w14:textId="77777777" w:rsidTr="00262D52">
        <w:trPr>
          <w:trHeight w:val="291"/>
        </w:trPr>
        <w:tc>
          <w:tcPr>
            <w:tcW w:w="4502" w:type="dxa"/>
            <w:tcBorders>
              <w:top w:val="nil"/>
              <w:left w:val="single" w:sz="4" w:space="0" w:color="auto"/>
              <w:bottom w:val="single" w:sz="4" w:space="0" w:color="auto"/>
              <w:right w:val="single" w:sz="4" w:space="0" w:color="auto"/>
            </w:tcBorders>
            <w:shd w:val="clear" w:color="auto" w:fill="auto"/>
            <w:noWrap/>
            <w:vAlign w:val="bottom"/>
            <w:hideMark/>
          </w:tcPr>
          <w:p w14:paraId="44962078" w14:textId="77777777" w:rsidR="009C46F8" w:rsidRPr="009C46F8" w:rsidRDefault="009C46F8" w:rsidP="00262D52">
            <w:pPr>
              <w:jc w:val="center"/>
              <w:rPr>
                <w:sz w:val="24"/>
              </w:rPr>
            </w:pPr>
            <w:r w:rsidRPr="009C46F8">
              <w:rPr>
                <w:sz w:val="24"/>
              </w:rPr>
              <w:t>35-44</w:t>
            </w:r>
          </w:p>
        </w:tc>
        <w:tc>
          <w:tcPr>
            <w:tcW w:w="3148" w:type="dxa"/>
            <w:tcBorders>
              <w:top w:val="nil"/>
              <w:left w:val="nil"/>
              <w:bottom w:val="single" w:sz="4" w:space="0" w:color="auto"/>
              <w:right w:val="single" w:sz="4" w:space="0" w:color="auto"/>
            </w:tcBorders>
            <w:shd w:val="clear" w:color="auto" w:fill="auto"/>
            <w:noWrap/>
            <w:vAlign w:val="bottom"/>
            <w:hideMark/>
          </w:tcPr>
          <w:p w14:paraId="4E687A3A" w14:textId="77777777" w:rsidR="009C46F8" w:rsidRPr="009C46F8" w:rsidRDefault="009C46F8" w:rsidP="00262D52">
            <w:pPr>
              <w:jc w:val="center"/>
              <w:rPr>
                <w:sz w:val="24"/>
              </w:rPr>
            </w:pPr>
            <w:r w:rsidRPr="009C46F8">
              <w:rPr>
                <w:sz w:val="24"/>
              </w:rPr>
              <w:t>850</w:t>
            </w:r>
          </w:p>
        </w:tc>
      </w:tr>
      <w:tr w:rsidR="009C46F8" w:rsidRPr="009C46F8" w14:paraId="2071AEF0" w14:textId="77777777" w:rsidTr="00262D52">
        <w:trPr>
          <w:trHeight w:val="291"/>
        </w:trPr>
        <w:tc>
          <w:tcPr>
            <w:tcW w:w="4502" w:type="dxa"/>
            <w:tcBorders>
              <w:top w:val="nil"/>
              <w:left w:val="single" w:sz="4" w:space="0" w:color="auto"/>
              <w:bottom w:val="single" w:sz="4" w:space="0" w:color="auto"/>
              <w:right w:val="single" w:sz="4" w:space="0" w:color="auto"/>
            </w:tcBorders>
            <w:shd w:val="clear" w:color="auto" w:fill="auto"/>
            <w:noWrap/>
            <w:vAlign w:val="bottom"/>
            <w:hideMark/>
          </w:tcPr>
          <w:p w14:paraId="5EF72D07" w14:textId="77777777" w:rsidR="009C46F8" w:rsidRPr="009C46F8" w:rsidRDefault="009C46F8" w:rsidP="00262D52">
            <w:pPr>
              <w:jc w:val="center"/>
              <w:rPr>
                <w:sz w:val="24"/>
              </w:rPr>
            </w:pPr>
            <w:r w:rsidRPr="009C46F8">
              <w:rPr>
                <w:sz w:val="24"/>
              </w:rPr>
              <w:t>45-54</w:t>
            </w:r>
          </w:p>
        </w:tc>
        <w:tc>
          <w:tcPr>
            <w:tcW w:w="3148" w:type="dxa"/>
            <w:tcBorders>
              <w:top w:val="nil"/>
              <w:left w:val="nil"/>
              <w:bottom w:val="single" w:sz="4" w:space="0" w:color="auto"/>
              <w:right w:val="single" w:sz="4" w:space="0" w:color="auto"/>
            </w:tcBorders>
            <w:shd w:val="clear" w:color="auto" w:fill="auto"/>
            <w:noWrap/>
            <w:vAlign w:val="bottom"/>
            <w:hideMark/>
          </w:tcPr>
          <w:p w14:paraId="4B874BBF" w14:textId="77777777" w:rsidR="009C46F8" w:rsidRPr="009C46F8" w:rsidRDefault="009C46F8" w:rsidP="00262D52">
            <w:pPr>
              <w:jc w:val="center"/>
              <w:rPr>
                <w:sz w:val="24"/>
              </w:rPr>
            </w:pPr>
            <w:r w:rsidRPr="009C46F8">
              <w:rPr>
                <w:sz w:val="24"/>
              </w:rPr>
              <w:t>1,050</w:t>
            </w:r>
          </w:p>
        </w:tc>
      </w:tr>
      <w:tr w:rsidR="009C46F8" w:rsidRPr="009C46F8" w14:paraId="472A4B97" w14:textId="77777777" w:rsidTr="00262D52">
        <w:trPr>
          <w:trHeight w:val="291"/>
        </w:trPr>
        <w:tc>
          <w:tcPr>
            <w:tcW w:w="4502" w:type="dxa"/>
            <w:tcBorders>
              <w:top w:val="nil"/>
              <w:left w:val="single" w:sz="4" w:space="0" w:color="auto"/>
              <w:bottom w:val="single" w:sz="4" w:space="0" w:color="auto"/>
              <w:right w:val="single" w:sz="4" w:space="0" w:color="auto"/>
            </w:tcBorders>
            <w:shd w:val="clear" w:color="auto" w:fill="auto"/>
            <w:noWrap/>
            <w:vAlign w:val="bottom"/>
            <w:hideMark/>
          </w:tcPr>
          <w:p w14:paraId="4450EAC7" w14:textId="77777777" w:rsidR="009C46F8" w:rsidRPr="009C46F8" w:rsidRDefault="009C46F8" w:rsidP="00262D52">
            <w:pPr>
              <w:jc w:val="center"/>
              <w:rPr>
                <w:sz w:val="24"/>
              </w:rPr>
            </w:pPr>
            <w:r w:rsidRPr="009C46F8">
              <w:rPr>
                <w:sz w:val="24"/>
              </w:rPr>
              <w:t>55-64</w:t>
            </w:r>
          </w:p>
        </w:tc>
        <w:tc>
          <w:tcPr>
            <w:tcW w:w="3148" w:type="dxa"/>
            <w:tcBorders>
              <w:top w:val="nil"/>
              <w:left w:val="nil"/>
              <w:bottom w:val="single" w:sz="4" w:space="0" w:color="auto"/>
              <w:right w:val="single" w:sz="4" w:space="0" w:color="auto"/>
            </w:tcBorders>
            <w:shd w:val="clear" w:color="auto" w:fill="auto"/>
            <w:noWrap/>
            <w:vAlign w:val="bottom"/>
            <w:hideMark/>
          </w:tcPr>
          <w:p w14:paraId="6F4BB9F8" w14:textId="77777777" w:rsidR="009C46F8" w:rsidRPr="009C46F8" w:rsidRDefault="009C46F8" w:rsidP="00262D52">
            <w:pPr>
              <w:jc w:val="center"/>
              <w:rPr>
                <w:sz w:val="24"/>
              </w:rPr>
            </w:pPr>
            <w:r w:rsidRPr="009C46F8">
              <w:rPr>
                <w:sz w:val="24"/>
              </w:rPr>
              <w:t>1,050</w:t>
            </w:r>
          </w:p>
        </w:tc>
      </w:tr>
      <w:tr w:rsidR="009C46F8" w:rsidRPr="009C46F8" w14:paraId="0CB212C3" w14:textId="77777777" w:rsidTr="00262D52">
        <w:trPr>
          <w:trHeight w:val="291"/>
        </w:trPr>
        <w:tc>
          <w:tcPr>
            <w:tcW w:w="4502" w:type="dxa"/>
            <w:tcBorders>
              <w:top w:val="nil"/>
              <w:left w:val="single" w:sz="4" w:space="0" w:color="auto"/>
              <w:bottom w:val="single" w:sz="4" w:space="0" w:color="auto"/>
              <w:right w:val="single" w:sz="4" w:space="0" w:color="auto"/>
            </w:tcBorders>
            <w:shd w:val="clear" w:color="auto" w:fill="auto"/>
            <w:noWrap/>
            <w:vAlign w:val="bottom"/>
            <w:hideMark/>
          </w:tcPr>
          <w:p w14:paraId="3CA2BA4B" w14:textId="77777777" w:rsidR="009C46F8" w:rsidRPr="009C46F8" w:rsidRDefault="009C46F8" w:rsidP="00262D52">
            <w:pPr>
              <w:jc w:val="center"/>
              <w:rPr>
                <w:sz w:val="24"/>
              </w:rPr>
            </w:pPr>
            <w:r w:rsidRPr="009C46F8">
              <w:rPr>
                <w:sz w:val="24"/>
              </w:rPr>
              <w:t>65 or older</w:t>
            </w:r>
          </w:p>
        </w:tc>
        <w:tc>
          <w:tcPr>
            <w:tcW w:w="3148" w:type="dxa"/>
            <w:tcBorders>
              <w:top w:val="nil"/>
              <w:left w:val="nil"/>
              <w:bottom w:val="single" w:sz="4" w:space="0" w:color="auto"/>
              <w:right w:val="single" w:sz="4" w:space="0" w:color="auto"/>
            </w:tcBorders>
            <w:shd w:val="clear" w:color="auto" w:fill="auto"/>
            <w:noWrap/>
            <w:vAlign w:val="bottom"/>
            <w:hideMark/>
          </w:tcPr>
          <w:p w14:paraId="49D1B24D" w14:textId="77777777" w:rsidR="009C46F8" w:rsidRPr="009C46F8" w:rsidRDefault="009C46F8" w:rsidP="00262D52">
            <w:pPr>
              <w:jc w:val="center"/>
              <w:rPr>
                <w:sz w:val="24"/>
              </w:rPr>
            </w:pPr>
            <w:r w:rsidRPr="009C46F8">
              <w:rPr>
                <w:sz w:val="24"/>
              </w:rPr>
              <w:t>850</w:t>
            </w:r>
          </w:p>
        </w:tc>
      </w:tr>
      <w:tr w:rsidR="009C46F8" w:rsidRPr="009C46F8" w14:paraId="2C8EAE0C" w14:textId="77777777" w:rsidTr="00262D52">
        <w:trPr>
          <w:trHeight w:val="291"/>
        </w:trPr>
        <w:tc>
          <w:tcPr>
            <w:tcW w:w="4502" w:type="dxa"/>
            <w:tcBorders>
              <w:top w:val="nil"/>
              <w:left w:val="single" w:sz="4" w:space="0" w:color="auto"/>
              <w:bottom w:val="single" w:sz="4" w:space="0" w:color="auto"/>
              <w:right w:val="nil"/>
            </w:tcBorders>
            <w:shd w:val="clear" w:color="auto" w:fill="auto"/>
            <w:noWrap/>
            <w:vAlign w:val="bottom"/>
            <w:hideMark/>
          </w:tcPr>
          <w:p w14:paraId="26866DB3" w14:textId="77777777" w:rsidR="009C46F8" w:rsidRPr="009C46F8" w:rsidRDefault="009C46F8" w:rsidP="00262D52">
            <w:pPr>
              <w:jc w:val="center"/>
              <w:rPr>
                <w:b/>
                <w:bCs/>
                <w:sz w:val="24"/>
              </w:rPr>
            </w:pPr>
            <w:r w:rsidRPr="009C46F8">
              <w:rPr>
                <w:b/>
                <w:bCs/>
                <w:sz w:val="24"/>
              </w:rPr>
              <w:t>Total</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14:paraId="0E2B41F9" w14:textId="77777777" w:rsidR="009C46F8" w:rsidRPr="009C46F8" w:rsidRDefault="009C46F8" w:rsidP="00262D52">
            <w:pPr>
              <w:jc w:val="center"/>
              <w:rPr>
                <w:b/>
                <w:bCs/>
                <w:sz w:val="24"/>
              </w:rPr>
            </w:pPr>
            <w:r w:rsidRPr="009C46F8">
              <w:rPr>
                <w:b/>
                <w:bCs/>
                <w:sz w:val="24"/>
              </w:rPr>
              <w:t>4,500</w:t>
            </w:r>
          </w:p>
        </w:tc>
      </w:tr>
    </w:tbl>
    <w:p w14:paraId="78B7CBDC" w14:textId="77777777" w:rsidR="009C46F8" w:rsidRDefault="009C46F8" w:rsidP="00C1088C">
      <w:pPr>
        <w:rPr>
          <w:sz w:val="24"/>
        </w:rPr>
      </w:pPr>
    </w:p>
    <w:p w14:paraId="3E14BE65" w14:textId="77777777" w:rsidR="00C1088C" w:rsidRPr="00C1088C" w:rsidRDefault="00C1088C" w:rsidP="00C1088C">
      <w:pPr>
        <w:rPr>
          <w:sz w:val="24"/>
        </w:rPr>
      </w:pPr>
      <w:r w:rsidRPr="00C1088C">
        <w:rPr>
          <w:sz w:val="24"/>
        </w:rPr>
        <w:t xml:space="preserve">All IPS households will be eligible to complete AIS interviews to be administered quarterly. All IPS households will also be eligible to complete the Annual Participant Survey to be administered each year following the IPS.  </w:t>
      </w:r>
      <w:r w:rsidR="00D31378">
        <w:rPr>
          <w:sz w:val="24"/>
        </w:rPr>
        <w:t>Table</w:t>
      </w:r>
      <w:r w:rsidRPr="00C1088C">
        <w:rPr>
          <w:sz w:val="24"/>
        </w:rPr>
        <w:t xml:space="preserve"> </w:t>
      </w:r>
      <w:r w:rsidR="0021302A">
        <w:rPr>
          <w:sz w:val="24"/>
        </w:rPr>
        <w:t>9</w:t>
      </w:r>
      <w:r w:rsidR="00C90D83">
        <w:rPr>
          <w:sz w:val="24"/>
        </w:rPr>
        <w:t xml:space="preserve"> </w:t>
      </w:r>
      <w:r w:rsidRPr="00C1088C">
        <w:rPr>
          <w:sz w:val="24"/>
        </w:rPr>
        <w:t>lists each data collection effort and the expected response rate.</w:t>
      </w:r>
    </w:p>
    <w:p w14:paraId="68D91464" w14:textId="70185CF5" w:rsidR="00424E27" w:rsidRDefault="00424E27">
      <w:pPr>
        <w:widowControl/>
        <w:autoSpaceDE/>
        <w:autoSpaceDN/>
        <w:adjustRightInd/>
        <w:rPr>
          <w:sz w:val="24"/>
        </w:rPr>
      </w:pPr>
    </w:p>
    <w:p w14:paraId="71B31677" w14:textId="77777777" w:rsidR="00195353" w:rsidRDefault="00195353">
      <w:pPr>
        <w:widowControl/>
        <w:autoSpaceDE/>
        <w:autoSpaceDN/>
        <w:adjustRightInd/>
        <w:rPr>
          <w:sz w:val="24"/>
        </w:rPr>
      </w:pPr>
    </w:p>
    <w:p w14:paraId="6AF032E4" w14:textId="77777777" w:rsidR="00C1088C" w:rsidRPr="00C1088C" w:rsidRDefault="00A405DF" w:rsidP="00C1088C">
      <w:pPr>
        <w:rPr>
          <w:sz w:val="24"/>
        </w:rPr>
      </w:pPr>
      <w:r w:rsidRPr="00A91A52">
        <w:rPr>
          <w:sz w:val="24"/>
        </w:rPr>
        <w:t xml:space="preserve">Table </w:t>
      </w:r>
      <w:r w:rsidR="0021302A" w:rsidRPr="00A91A52">
        <w:rPr>
          <w:sz w:val="24"/>
        </w:rPr>
        <w:t>9</w:t>
      </w:r>
      <w:r w:rsidR="00C1088C" w:rsidRPr="00A91A52">
        <w:rPr>
          <w:sz w:val="24"/>
        </w:rPr>
        <w:t>. Respondent Universe and Expected Response Rates</w:t>
      </w:r>
      <w:r w:rsidRPr="00A91A52">
        <w:rPr>
          <w:sz w:val="24"/>
        </w:rPr>
        <w:t xml:space="preserve">: On the Road to Retirement </w:t>
      </w:r>
      <w:r w:rsidR="0040479C" w:rsidRPr="00A91A52">
        <w:rPr>
          <w:sz w:val="24"/>
        </w:rPr>
        <w:t>Panel</w:t>
      </w:r>
    </w:p>
    <w:p w14:paraId="1BDD4A9E" w14:textId="77777777" w:rsidR="00C1088C" w:rsidRPr="00C1088C" w:rsidRDefault="00C1088C" w:rsidP="00C1088C">
      <w:pPr>
        <w:rPr>
          <w:sz w:val="24"/>
        </w:rPr>
      </w:pPr>
    </w:p>
    <w:tbl>
      <w:tblPr>
        <w:tblW w:w="8165" w:type="dxa"/>
        <w:tblInd w:w="93" w:type="dxa"/>
        <w:tblLook w:val="04A0" w:firstRow="1" w:lastRow="0" w:firstColumn="1" w:lastColumn="0" w:noHBand="0" w:noVBand="1"/>
      </w:tblPr>
      <w:tblGrid>
        <w:gridCol w:w="2360"/>
        <w:gridCol w:w="1435"/>
        <w:gridCol w:w="1430"/>
        <w:gridCol w:w="1470"/>
        <w:gridCol w:w="1470"/>
      </w:tblGrid>
      <w:tr w:rsidR="00C1088C" w:rsidRPr="00C1088C" w14:paraId="726A808E" w14:textId="77777777" w:rsidTr="00A91A52">
        <w:trPr>
          <w:trHeight w:val="948"/>
        </w:trPr>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84578F" w14:textId="77777777" w:rsidR="00C1088C" w:rsidRPr="003F513A" w:rsidRDefault="00C1088C" w:rsidP="00C1088C">
            <w:pPr>
              <w:widowControl/>
              <w:autoSpaceDE/>
              <w:autoSpaceDN/>
              <w:adjustRightInd/>
              <w:rPr>
                <w:b/>
                <w:bCs/>
                <w:color w:val="000000"/>
                <w:sz w:val="24"/>
              </w:rPr>
            </w:pPr>
            <w:r w:rsidRPr="003F513A">
              <w:rPr>
                <w:b/>
                <w:bCs/>
                <w:color w:val="000000"/>
                <w:sz w:val="24"/>
              </w:rPr>
              <w:t>Data Collection Effort</w:t>
            </w:r>
          </w:p>
        </w:tc>
        <w:tc>
          <w:tcPr>
            <w:tcW w:w="1435" w:type="dxa"/>
            <w:tcBorders>
              <w:top w:val="single" w:sz="8" w:space="0" w:color="auto"/>
              <w:left w:val="nil"/>
              <w:bottom w:val="single" w:sz="8" w:space="0" w:color="auto"/>
              <w:right w:val="single" w:sz="8" w:space="0" w:color="auto"/>
            </w:tcBorders>
            <w:shd w:val="clear" w:color="auto" w:fill="auto"/>
            <w:vAlign w:val="center"/>
            <w:hideMark/>
          </w:tcPr>
          <w:p w14:paraId="571FB95A" w14:textId="77777777" w:rsidR="00C1088C" w:rsidRPr="003F513A" w:rsidRDefault="00C1088C" w:rsidP="00C1088C">
            <w:pPr>
              <w:widowControl/>
              <w:autoSpaceDE/>
              <w:autoSpaceDN/>
              <w:adjustRightInd/>
              <w:rPr>
                <w:b/>
                <w:bCs/>
                <w:color w:val="000000"/>
                <w:sz w:val="24"/>
              </w:rPr>
            </w:pPr>
            <w:r w:rsidRPr="003F513A">
              <w:rPr>
                <w:b/>
                <w:bCs/>
                <w:color w:val="000000"/>
                <w:sz w:val="24"/>
              </w:rPr>
              <w:t>Respondent Universe</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14:paraId="77169892" w14:textId="77777777" w:rsidR="00C1088C" w:rsidRPr="003F513A" w:rsidRDefault="00C1088C" w:rsidP="00C1088C">
            <w:pPr>
              <w:widowControl/>
              <w:autoSpaceDE/>
              <w:autoSpaceDN/>
              <w:adjustRightInd/>
              <w:rPr>
                <w:b/>
                <w:bCs/>
                <w:color w:val="000000"/>
                <w:sz w:val="24"/>
              </w:rPr>
            </w:pPr>
            <w:r w:rsidRPr="003F513A">
              <w:rPr>
                <w:b/>
                <w:bCs/>
                <w:color w:val="000000"/>
                <w:sz w:val="24"/>
              </w:rPr>
              <w:t>Expected Response Rate</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14:paraId="38E801F0" w14:textId="77777777" w:rsidR="00C1088C" w:rsidRPr="003F513A" w:rsidRDefault="00C1088C" w:rsidP="00C1088C">
            <w:pPr>
              <w:widowControl/>
              <w:autoSpaceDE/>
              <w:autoSpaceDN/>
              <w:adjustRightInd/>
              <w:rPr>
                <w:b/>
                <w:bCs/>
                <w:color w:val="000000"/>
                <w:sz w:val="24"/>
              </w:rPr>
            </w:pPr>
            <w:r w:rsidRPr="003F513A">
              <w:rPr>
                <w:b/>
                <w:bCs/>
                <w:color w:val="000000"/>
                <w:sz w:val="24"/>
              </w:rPr>
              <w:t>Expected Number of Participants</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14:paraId="379F396B" w14:textId="77777777" w:rsidR="00C1088C" w:rsidRPr="003F513A" w:rsidRDefault="00C1088C" w:rsidP="00C1088C">
            <w:pPr>
              <w:widowControl/>
              <w:autoSpaceDE/>
              <w:autoSpaceDN/>
              <w:adjustRightInd/>
              <w:rPr>
                <w:b/>
                <w:bCs/>
                <w:color w:val="000000"/>
                <w:sz w:val="24"/>
              </w:rPr>
            </w:pPr>
            <w:r w:rsidRPr="003F513A">
              <w:rPr>
                <w:b/>
                <w:bCs/>
                <w:color w:val="000000"/>
                <w:sz w:val="24"/>
              </w:rPr>
              <w:t>Eligible Participants</w:t>
            </w:r>
          </w:p>
        </w:tc>
      </w:tr>
      <w:tr w:rsidR="00C1088C" w:rsidRPr="00C1088C" w14:paraId="48A99CF2" w14:textId="77777777" w:rsidTr="00A91A52">
        <w:trPr>
          <w:trHeight w:val="30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7AD2BABF" w14:textId="77777777" w:rsidR="00C1088C" w:rsidRPr="003F513A" w:rsidRDefault="00C1088C" w:rsidP="00C1088C">
            <w:pPr>
              <w:widowControl/>
              <w:autoSpaceDE/>
              <w:autoSpaceDN/>
              <w:adjustRightInd/>
              <w:rPr>
                <w:color w:val="000000"/>
                <w:sz w:val="24"/>
              </w:rPr>
            </w:pPr>
            <w:r w:rsidRPr="003F513A">
              <w:rPr>
                <w:color w:val="000000"/>
                <w:sz w:val="24"/>
              </w:rPr>
              <w:t>Pre-</w:t>
            </w:r>
            <w:r w:rsidR="00D31378" w:rsidRPr="003F513A">
              <w:rPr>
                <w:color w:val="000000"/>
                <w:sz w:val="24"/>
              </w:rPr>
              <w:t>S</w:t>
            </w:r>
            <w:r w:rsidRPr="003F513A">
              <w:rPr>
                <w:color w:val="000000"/>
                <w:sz w:val="24"/>
              </w:rPr>
              <w:t>urvey</w:t>
            </w:r>
          </w:p>
        </w:tc>
        <w:tc>
          <w:tcPr>
            <w:tcW w:w="1435" w:type="dxa"/>
            <w:tcBorders>
              <w:top w:val="nil"/>
              <w:left w:val="nil"/>
              <w:bottom w:val="single" w:sz="8" w:space="0" w:color="auto"/>
              <w:right w:val="single" w:sz="8" w:space="0" w:color="auto"/>
            </w:tcBorders>
            <w:shd w:val="clear" w:color="auto" w:fill="auto"/>
            <w:noWrap/>
            <w:vAlign w:val="center"/>
            <w:hideMark/>
          </w:tcPr>
          <w:p w14:paraId="015338A3" w14:textId="77777777" w:rsidR="00C1088C" w:rsidRPr="003F513A" w:rsidRDefault="00C1088C" w:rsidP="00C1088C">
            <w:pPr>
              <w:widowControl/>
              <w:autoSpaceDE/>
              <w:autoSpaceDN/>
              <w:adjustRightInd/>
              <w:jc w:val="right"/>
              <w:rPr>
                <w:color w:val="000000"/>
                <w:sz w:val="24"/>
              </w:rPr>
            </w:pPr>
            <w:r w:rsidRPr="003F513A">
              <w:rPr>
                <w:color w:val="000000"/>
                <w:sz w:val="24"/>
              </w:rPr>
              <w:t>25,000</w:t>
            </w:r>
          </w:p>
        </w:tc>
        <w:tc>
          <w:tcPr>
            <w:tcW w:w="1430" w:type="dxa"/>
            <w:tcBorders>
              <w:top w:val="nil"/>
              <w:left w:val="nil"/>
              <w:bottom w:val="single" w:sz="8" w:space="0" w:color="auto"/>
              <w:right w:val="single" w:sz="8" w:space="0" w:color="auto"/>
            </w:tcBorders>
            <w:shd w:val="clear" w:color="auto" w:fill="auto"/>
            <w:noWrap/>
            <w:vAlign w:val="center"/>
            <w:hideMark/>
          </w:tcPr>
          <w:p w14:paraId="70B07371" w14:textId="77777777" w:rsidR="00C1088C" w:rsidRPr="003F513A" w:rsidRDefault="00C1088C" w:rsidP="00C1088C">
            <w:pPr>
              <w:widowControl/>
              <w:autoSpaceDE/>
              <w:autoSpaceDN/>
              <w:adjustRightInd/>
              <w:jc w:val="right"/>
              <w:rPr>
                <w:color w:val="000000"/>
                <w:sz w:val="24"/>
              </w:rPr>
            </w:pPr>
            <w:r w:rsidRPr="003F513A">
              <w:rPr>
                <w:color w:val="000000"/>
                <w:sz w:val="24"/>
              </w:rPr>
              <w:t>40%</w:t>
            </w:r>
          </w:p>
        </w:tc>
        <w:tc>
          <w:tcPr>
            <w:tcW w:w="1470" w:type="dxa"/>
            <w:tcBorders>
              <w:top w:val="nil"/>
              <w:left w:val="nil"/>
              <w:bottom w:val="single" w:sz="8" w:space="0" w:color="auto"/>
              <w:right w:val="single" w:sz="8" w:space="0" w:color="auto"/>
            </w:tcBorders>
            <w:shd w:val="clear" w:color="auto" w:fill="auto"/>
            <w:noWrap/>
            <w:vAlign w:val="center"/>
            <w:hideMark/>
          </w:tcPr>
          <w:p w14:paraId="3C49B907" w14:textId="77777777" w:rsidR="00C1088C" w:rsidRPr="003F513A" w:rsidRDefault="00C1088C" w:rsidP="00C1088C">
            <w:pPr>
              <w:widowControl/>
              <w:autoSpaceDE/>
              <w:autoSpaceDN/>
              <w:adjustRightInd/>
              <w:jc w:val="right"/>
              <w:rPr>
                <w:color w:val="000000"/>
                <w:sz w:val="24"/>
              </w:rPr>
            </w:pPr>
            <w:r w:rsidRPr="003F513A">
              <w:rPr>
                <w:color w:val="000000"/>
                <w:sz w:val="24"/>
              </w:rPr>
              <w:t>10</w:t>
            </w:r>
            <w:r w:rsidR="006F6A35" w:rsidRPr="003F513A">
              <w:rPr>
                <w:color w:val="000000"/>
                <w:sz w:val="24"/>
              </w:rPr>
              <w:t>,</w:t>
            </w:r>
            <w:r w:rsidRPr="003F513A">
              <w:rPr>
                <w:color w:val="000000"/>
                <w:sz w:val="24"/>
              </w:rPr>
              <w:t>000</w:t>
            </w:r>
          </w:p>
        </w:tc>
        <w:tc>
          <w:tcPr>
            <w:tcW w:w="1470" w:type="dxa"/>
            <w:tcBorders>
              <w:top w:val="nil"/>
              <w:left w:val="nil"/>
              <w:bottom w:val="single" w:sz="8" w:space="0" w:color="auto"/>
              <w:right w:val="single" w:sz="8" w:space="0" w:color="auto"/>
            </w:tcBorders>
            <w:shd w:val="clear" w:color="auto" w:fill="auto"/>
            <w:noWrap/>
            <w:vAlign w:val="center"/>
            <w:hideMark/>
          </w:tcPr>
          <w:p w14:paraId="734C1409" w14:textId="77777777" w:rsidR="00C1088C" w:rsidRPr="003F513A" w:rsidRDefault="00C1088C" w:rsidP="00C1088C">
            <w:pPr>
              <w:widowControl/>
              <w:autoSpaceDE/>
              <w:autoSpaceDN/>
              <w:adjustRightInd/>
              <w:jc w:val="right"/>
              <w:rPr>
                <w:color w:val="000000"/>
                <w:sz w:val="24"/>
              </w:rPr>
            </w:pPr>
            <w:r w:rsidRPr="003F513A">
              <w:rPr>
                <w:color w:val="000000"/>
                <w:sz w:val="24"/>
              </w:rPr>
              <w:t>9</w:t>
            </w:r>
            <w:r w:rsidR="006F6A35" w:rsidRPr="003F513A">
              <w:rPr>
                <w:color w:val="000000"/>
                <w:sz w:val="24"/>
              </w:rPr>
              <w:t>,</w:t>
            </w:r>
            <w:r w:rsidR="0082197E" w:rsidRPr="003F513A">
              <w:rPr>
                <w:color w:val="000000"/>
                <w:sz w:val="24"/>
              </w:rPr>
              <w:t>5</w:t>
            </w:r>
            <w:r w:rsidRPr="003F513A">
              <w:rPr>
                <w:color w:val="000000"/>
                <w:sz w:val="24"/>
              </w:rPr>
              <w:t>00</w:t>
            </w:r>
          </w:p>
        </w:tc>
      </w:tr>
      <w:tr w:rsidR="00C1088C" w:rsidRPr="00C1088C" w14:paraId="60E7E1DF" w14:textId="77777777" w:rsidTr="00A91A52">
        <w:trPr>
          <w:trHeight w:val="30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2DF6DD89" w14:textId="77777777" w:rsidR="00C1088C" w:rsidRPr="003F513A" w:rsidRDefault="00C1088C" w:rsidP="00C1088C">
            <w:pPr>
              <w:widowControl/>
              <w:autoSpaceDE/>
              <w:autoSpaceDN/>
              <w:adjustRightInd/>
              <w:rPr>
                <w:color w:val="000000"/>
                <w:sz w:val="24"/>
              </w:rPr>
            </w:pPr>
            <w:r w:rsidRPr="003F513A">
              <w:rPr>
                <w:color w:val="000000"/>
                <w:sz w:val="24"/>
              </w:rPr>
              <w:t>Initial Participant Survey (IPS)</w:t>
            </w:r>
          </w:p>
        </w:tc>
        <w:tc>
          <w:tcPr>
            <w:tcW w:w="1435" w:type="dxa"/>
            <w:tcBorders>
              <w:top w:val="nil"/>
              <w:left w:val="nil"/>
              <w:bottom w:val="single" w:sz="8" w:space="0" w:color="auto"/>
              <w:right w:val="single" w:sz="8" w:space="0" w:color="auto"/>
            </w:tcBorders>
            <w:shd w:val="clear" w:color="auto" w:fill="auto"/>
            <w:noWrap/>
            <w:vAlign w:val="center"/>
            <w:hideMark/>
          </w:tcPr>
          <w:p w14:paraId="729DA0A4" w14:textId="77777777" w:rsidR="00C1088C" w:rsidRPr="003F513A" w:rsidRDefault="002B102D" w:rsidP="002B102D">
            <w:pPr>
              <w:widowControl/>
              <w:autoSpaceDE/>
              <w:autoSpaceDN/>
              <w:adjustRightInd/>
              <w:jc w:val="right"/>
              <w:rPr>
                <w:color w:val="000000"/>
                <w:sz w:val="24"/>
              </w:rPr>
            </w:pPr>
            <w:r w:rsidRPr="003F513A">
              <w:rPr>
                <w:color w:val="000000"/>
                <w:sz w:val="24"/>
              </w:rPr>
              <w:t>9,500</w:t>
            </w:r>
          </w:p>
        </w:tc>
        <w:tc>
          <w:tcPr>
            <w:tcW w:w="1430" w:type="dxa"/>
            <w:tcBorders>
              <w:top w:val="nil"/>
              <w:left w:val="nil"/>
              <w:bottom w:val="single" w:sz="8" w:space="0" w:color="auto"/>
              <w:right w:val="single" w:sz="8" w:space="0" w:color="auto"/>
            </w:tcBorders>
            <w:shd w:val="clear" w:color="auto" w:fill="auto"/>
            <w:noWrap/>
            <w:vAlign w:val="center"/>
            <w:hideMark/>
          </w:tcPr>
          <w:p w14:paraId="2428A58C" w14:textId="77777777" w:rsidR="00C1088C" w:rsidRPr="003F513A" w:rsidRDefault="00F65951" w:rsidP="00C1088C">
            <w:pPr>
              <w:widowControl/>
              <w:autoSpaceDE/>
              <w:autoSpaceDN/>
              <w:adjustRightInd/>
              <w:jc w:val="right"/>
              <w:rPr>
                <w:color w:val="000000"/>
                <w:sz w:val="24"/>
              </w:rPr>
            </w:pPr>
            <w:r w:rsidRPr="003F513A">
              <w:rPr>
                <w:color w:val="000000"/>
                <w:sz w:val="24"/>
              </w:rPr>
              <w:t>47</w:t>
            </w:r>
            <w:r w:rsidR="00C1088C" w:rsidRPr="003F513A">
              <w:rPr>
                <w:color w:val="000000"/>
                <w:sz w:val="24"/>
              </w:rPr>
              <w:t>%</w:t>
            </w:r>
          </w:p>
        </w:tc>
        <w:tc>
          <w:tcPr>
            <w:tcW w:w="1470" w:type="dxa"/>
            <w:tcBorders>
              <w:top w:val="nil"/>
              <w:left w:val="nil"/>
              <w:bottom w:val="single" w:sz="8" w:space="0" w:color="auto"/>
              <w:right w:val="single" w:sz="8" w:space="0" w:color="auto"/>
            </w:tcBorders>
            <w:shd w:val="clear" w:color="auto" w:fill="auto"/>
            <w:noWrap/>
            <w:vAlign w:val="center"/>
            <w:hideMark/>
          </w:tcPr>
          <w:p w14:paraId="4663A9FA"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Pr="003F513A">
              <w:rPr>
                <w:color w:val="000000"/>
                <w:sz w:val="24"/>
              </w:rPr>
              <w:t>500</w:t>
            </w:r>
          </w:p>
        </w:tc>
        <w:tc>
          <w:tcPr>
            <w:tcW w:w="1470" w:type="dxa"/>
            <w:tcBorders>
              <w:top w:val="nil"/>
              <w:left w:val="nil"/>
              <w:bottom w:val="single" w:sz="8" w:space="0" w:color="auto"/>
              <w:right w:val="single" w:sz="8" w:space="0" w:color="auto"/>
            </w:tcBorders>
            <w:shd w:val="clear" w:color="auto" w:fill="auto"/>
            <w:noWrap/>
            <w:vAlign w:val="center"/>
            <w:hideMark/>
          </w:tcPr>
          <w:p w14:paraId="787CA58C"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Pr="003F513A">
              <w:rPr>
                <w:color w:val="000000"/>
                <w:sz w:val="24"/>
              </w:rPr>
              <w:t>500</w:t>
            </w:r>
          </w:p>
        </w:tc>
      </w:tr>
      <w:tr w:rsidR="00C1088C" w:rsidRPr="00C1088C" w14:paraId="4A3CAD99" w14:textId="77777777" w:rsidTr="00A91A52">
        <w:trPr>
          <w:trHeight w:val="30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3AD10526" w14:textId="77777777" w:rsidR="00C1088C" w:rsidRPr="003F513A" w:rsidRDefault="00C1088C" w:rsidP="00C1088C">
            <w:pPr>
              <w:widowControl/>
              <w:autoSpaceDE/>
              <w:autoSpaceDN/>
              <w:adjustRightInd/>
              <w:rPr>
                <w:color w:val="000000"/>
                <w:sz w:val="24"/>
              </w:rPr>
            </w:pPr>
            <w:r w:rsidRPr="003F513A">
              <w:rPr>
                <w:color w:val="000000"/>
                <w:sz w:val="24"/>
              </w:rPr>
              <w:t>Advice Interaction Surveys Year 1 (AIS1)</w:t>
            </w:r>
          </w:p>
        </w:tc>
        <w:tc>
          <w:tcPr>
            <w:tcW w:w="1435" w:type="dxa"/>
            <w:tcBorders>
              <w:top w:val="nil"/>
              <w:left w:val="nil"/>
              <w:bottom w:val="single" w:sz="8" w:space="0" w:color="auto"/>
              <w:right w:val="single" w:sz="8" w:space="0" w:color="auto"/>
            </w:tcBorders>
            <w:shd w:val="clear" w:color="auto" w:fill="auto"/>
            <w:noWrap/>
            <w:vAlign w:val="center"/>
            <w:hideMark/>
          </w:tcPr>
          <w:p w14:paraId="7FBF542C" w14:textId="77777777" w:rsidR="00C1088C" w:rsidRPr="003F513A" w:rsidRDefault="00C1088C" w:rsidP="00C1088C">
            <w:pPr>
              <w:widowControl/>
              <w:autoSpaceDE/>
              <w:autoSpaceDN/>
              <w:adjustRightInd/>
              <w:jc w:val="right"/>
              <w:rPr>
                <w:color w:val="000000"/>
                <w:sz w:val="24"/>
              </w:rPr>
            </w:pPr>
            <w:r w:rsidRPr="003F513A">
              <w:rPr>
                <w:color w:val="000000"/>
                <w:sz w:val="24"/>
              </w:rPr>
              <w:t>4,500</w:t>
            </w:r>
          </w:p>
        </w:tc>
        <w:tc>
          <w:tcPr>
            <w:tcW w:w="1430" w:type="dxa"/>
            <w:tcBorders>
              <w:top w:val="nil"/>
              <w:left w:val="nil"/>
              <w:bottom w:val="single" w:sz="8" w:space="0" w:color="auto"/>
              <w:right w:val="single" w:sz="8" w:space="0" w:color="auto"/>
            </w:tcBorders>
            <w:shd w:val="clear" w:color="auto" w:fill="auto"/>
            <w:noWrap/>
            <w:vAlign w:val="center"/>
            <w:hideMark/>
          </w:tcPr>
          <w:p w14:paraId="6A0D263A" w14:textId="77777777" w:rsidR="00C1088C" w:rsidRPr="003F513A" w:rsidRDefault="00C1088C" w:rsidP="00C1088C">
            <w:pPr>
              <w:widowControl/>
              <w:autoSpaceDE/>
              <w:autoSpaceDN/>
              <w:adjustRightInd/>
              <w:jc w:val="right"/>
              <w:rPr>
                <w:color w:val="000000"/>
                <w:sz w:val="24"/>
              </w:rPr>
            </w:pPr>
            <w:r w:rsidRPr="003F513A">
              <w:rPr>
                <w:color w:val="000000"/>
                <w:sz w:val="24"/>
              </w:rPr>
              <w:t>94%</w:t>
            </w:r>
          </w:p>
        </w:tc>
        <w:tc>
          <w:tcPr>
            <w:tcW w:w="1470" w:type="dxa"/>
            <w:tcBorders>
              <w:top w:val="nil"/>
              <w:left w:val="nil"/>
              <w:bottom w:val="single" w:sz="8" w:space="0" w:color="auto"/>
              <w:right w:val="single" w:sz="8" w:space="0" w:color="auto"/>
            </w:tcBorders>
            <w:shd w:val="clear" w:color="auto" w:fill="auto"/>
            <w:noWrap/>
            <w:vAlign w:val="center"/>
            <w:hideMark/>
          </w:tcPr>
          <w:p w14:paraId="15805DDC"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Pr="003F513A">
              <w:rPr>
                <w:color w:val="000000"/>
                <w:sz w:val="24"/>
              </w:rPr>
              <w:t>250</w:t>
            </w:r>
          </w:p>
        </w:tc>
        <w:tc>
          <w:tcPr>
            <w:tcW w:w="1470" w:type="dxa"/>
            <w:tcBorders>
              <w:top w:val="nil"/>
              <w:left w:val="nil"/>
              <w:bottom w:val="single" w:sz="8" w:space="0" w:color="auto"/>
              <w:right w:val="single" w:sz="8" w:space="0" w:color="auto"/>
            </w:tcBorders>
            <w:shd w:val="clear" w:color="auto" w:fill="auto"/>
            <w:noWrap/>
            <w:vAlign w:val="center"/>
            <w:hideMark/>
          </w:tcPr>
          <w:p w14:paraId="789D6BC7"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Pr="003F513A">
              <w:rPr>
                <w:color w:val="000000"/>
                <w:sz w:val="24"/>
              </w:rPr>
              <w:t>250</w:t>
            </w:r>
          </w:p>
        </w:tc>
      </w:tr>
      <w:tr w:rsidR="00C1088C" w:rsidRPr="00C1088C" w14:paraId="5D683269" w14:textId="77777777" w:rsidTr="00A91A52">
        <w:trPr>
          <w:trHeight w:val="30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14DCAD9D" w14:textId="77777777" w:rsidR="00C1088C" w:rsidRPr="003F513A" w:rsidRDefault="00C1088C" w:rsidP="00C1088C">
            <w:pPr>
              <w:widowControl/>
              <w:autoSpaceDE/>
              <w:autoSpaceDN/>
              <w:adjustRightInd/>
              <w:rPr>
                <w:color w:val="000000"/>
                <w:sz w:val="24"/>
              </w:rPr>
            </w:pPr>
            <w:r w:rsidRPr="003F513A">
              <w:rPr>
                <w:color w:val="000000"/>
                <w:sz w:val="24"/>
              </w:rPr>
              <w:t>Annual Participant Survey (APS)</w:t>
            </w:r>
          </w:p>
        </w:tc>
        <w:tc>
          <w:tcPr>
            <w:tcW w:w="1435" w:type="dxa"/>
            <w:tcBorders>
              <w:top w:val="nil"/>
              <w:left w:val="nil"/>
              <w:bottom w:val="single" w:sz="8" w:space="0" w:color="auto"/>
              <w:right w:val="single" w:sz="8" w:space="0" w:color="auto"/>
            </w:tcBorders>
            <w:shd w:val="clear" w:color="auto" w:fill="auto"/>
            <w:noWrap/>
            <w:vAlign w:val="center"/>
            <w:hideMark/>
          </w:tcPr>
          <w:p w14:paraId="70FD0A24" w14:textId="77777777" w:rsidR="00C1088C" w:rsidRPr="003F513A" w:rsidRDefault="00C1088C" w:rsidP="00C1088C">
            <w:pPr>
              <w:widowControl/>
              <w:autoSpaceDE/>
              <w:autoSpaceDN/>
              <w:adjustRightInd/>
              <w:jc w:val="right"/>
              <w:rPr>
                <w:color w:val="000000"/>
                <w:sz w:val="24"/>
              </w:rPr>
            </w:pPr>
            <w:r w:rsidRPr="003F513A">
              <w:rPr>
                <w:color w:val="000000"/>
                <w:sz w:val="24"/>
              </w:rPr>
              <w:t>4,500</w:t>
            </w:r>
          </w:p>
        </w:tc>
        <w:tc>
          <w:tcPr>
            <w:tcW w:w="1430" w:type="dxa"/>
            <w:tcBorders>
              <w:top w:val="nil"/>
              <w:left w:val="nil"/>
              <w:bottom w:val="single" w:sz="8" w:space="0" w:color="auto"/>
              <w:right w:val="single" w:sz="8" w:space="0" w:color="auto"/>
            </w:tcBorders>
            <w:shd w:val="clear" w:color="auto" w:fill="auto"/>
            <w:noWrap/>
            <w:vAlign w:val="center"/>
            <w:hideMark/>
          </w:tcPr>
          <w:p w14:paraId="367B0A6E" w14:textId="77777777" w:rsidR="00C1088C" w:rsidRPr="003F513A" w:rsidRDefault="00C1088C">
            <w:pPr>
              <w:widowControl/>
              <w:autoSpaceDE/>
              <w:autoSpaceDN/>
              <w:adjustRightInd/>
              <w:jc w:val="right"/>
              <w:rPr>
                <w:color w:val="000000"/>
                <w:sz w:val="24"/>
              </w:rPr>
            </w:pPr>
            <w:r w:rsidRPr="003F513A">
              <w:rPr>
                <w:color w:val="000000"/>
                <w:sz w:val="24"/>
              </w:rPr>
              <w:t>9</w:t>
            </w:r>
            <w:r w:rsidR="001B5E31" w:rsidRPr="003F513A">
              <w:rPr>
                <w:color w:val="000000"/>
                <w:sz w:val="24"/>
              </w:rPr>
              <w:t>1</w:t>
            </w:r>
            <w:r w:rsidRPr="003F513A">
              <w:rPr>
                <w:color w:val="000000"/>
                <w:sz w:val="24"/>
              </w:rPr>
              <w:t>%</w:t>
            </w:r>
          </w:p>
        </w:tc>
        <w:tc>
          <w:tcPr>
            <w:tcW w:w="1470" w:type="dxa"/>
            <w:tcBorders>
              <w:top w:val="nil"/>
              <w:left w:val="nil"/>
              <w:bottom w:val="single" w:sz="8" w:space="0" w:color="auto"/>
              <w:right w:val="single" w:sz="8" w:space="0" w:color="auto"/>
            </w:tcBorders>
            <w:shd w:val="clear" w:color="auto" w:fill="auto"/>
            <w:noWrap/>
            <w:vAlign w:val="center"/>
            <w:hideMark/>
          </w:tcPr>
          <w:p w14:paraId="294BE179" w14:textId="77777777" w:rsidR="00C1088C" w:rsidRPr="003F513A" w:rsidRDefault="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00612E1F" w:rsidRPr="003F513A">
              <w:rPr>
                <w:color w:val="000000"/>
                <w:sz w:val="24"/>
              </w:rPr>
              <w:t>075</w:t>
            </w:r>
          </w:p>
        </w:tc>
        <w:tc>
          <w:tcPr>
            <w:tcW w:w="1470" w:type="dxa"/>
            <w:tcBorders>
              <w:top w:val="nil"/>
              <w:left w:val="nil"/>
              <w:bottom w:val="single" w:sz="8" w:space="0" w:color="auto"/>
              <w:right w:val="single" w:sz="8" w:space="0" w:color="auto"/>
            </w:tcBorders>
            <w:shd w:val="clear" w:color="auto" w:fill="auto"/>
            <w:noWrap/>
            <w:vAlign w:val="center"/>
            <w:hideMark/>
          </w:tcPr>
          <w:p w14:paraId="5F15ABAF" w14:textId="77777777" w:rsidR="00C1088C" w:rsidRPr="003F513A" w:rsidRDefault="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00612E1F" w:rsidRPr="003F513A">
              <w:rPr>
                <w:color w:val="000000"/>
                <w:sz w:val="24"/>
              </w:rPr>
              <w:t>075</w:t>
            </w:r>
          </w:p>
        </w:tc>
      </w:tr>
      <w:tr w:rsidR="00C1088C" w:rsidRPr="00C1088C" w14:paraId="051D5DDF" w14:textId="77777777" w:rsidTr="00A91A52">
        <w:trPr>
          <w:trHeight w:val="300"/>
        </w:trPr>
        <w:tc>
          <w:tcPr>
            <w:tcW w:w="2360" w:type="dxa"/>
            <w:tcBorders>
              <w:top w:val="nil"/>
              <w:left w:val="single" w:sz="8" w:space="0" w:color="auto"/>
              <w:bottom w:val="single" w:sz="8" w:space="0" w:color="auto"/>
              <w:right w:val="single" w:sz="8" w:space="0" w:color="auto"/>
            </w:tcBorders>
            <w:shd w:val="clear" w:color="auto" w:fill="auto"/>
            <w:noWrap/>
            <w:vAlign w:val="center"/>
          </w:tcPr>
          <w:p w14:paraId="0162DE2F" w14:textId="77777777" w:rsidR="00C1088C" w:rsidRPr="003F513A" w:rsidRDefault="00C1088C" w:rsidP="00C1088C">
            <w:pPr>
              <w:widowControl/>
              <w:autoSpaceDE/>
              <w:autoSpaceDN/>
              <w:adjustRightInd/>
              <w:rPr>
                <w:color w:val="000000"/>
                <w:sz w:val="24"/>
              </w:rPr>
            </w:pPr>
            <w:r w:rsidRPr="003F513A">
              <w:rPr>
                <w:color w:val="000000"/>
                <w:sz w:val="24"/>
              </w:rPr>
              <w:t>Advice Interaction Surveys Year 2 (AIS2)</w:t>
            </w:r>
          </w:p>
        </w:tc>
        <w:tc>
          <w:tcPr>
            <w:tcW w:w="1435" w:type="dxa"/>
            <w:tcBorders>
              <w:top w:val="nil"/>
              <w:left w:val="nil"/>
              <w:bottom w:val="single" w:sz="8" w:space="0" w:color="auto"/>
              <w:right w:val="single" w:sz="8" w:space="0" w:color="auto"/>
            </w:tcBorders>
            <w:shd w:val="clear" w:color="auto" w:fill="auto"/>
            <w:noWrap/>
            <w:vAlign w:val="center"/>
          </w:tcPr>
          <w:p w14:paraId="48F2641A" w14:textId="77777777" w:rsidR="00C1088C" w:rsidRPr="003F513A" w:rsidRDefault="00C1088C" w:rsidP="00C1088C">
            <w:pPr>
              <w:widowControl/>
              <w:autoSpaceDE/>
              <w:autoSpaceDN/>
              <w:adjustRightInd/>
              <w:jc w:val="right"/>
              <w:rPr>
                <w:color w:val="000000"/>
                <w:sz w:val="24"/>
              </w:rPr>
            </w:pPr>
            <w:r w:rsidRPr="003F513A">
              <w:rPr>
                <w:color w:val="000000"/>
                <w:sz w:val="24"/>
              </w:rPr>
              <w:t>4,500</w:t>
            </w:r>
          </w:p>
        </w:tc>
        <w:tc>
          <w:tcPr>
            <w:tcW w:w="1430" w:type="dxa"/>
            <w:tcBorders>
              <w:top w:val="nil"/>
              <w:left w:val="nil"/>
              <w:bottom w:val="single" w:sz="8" w:space="0" w:color="auto"/>
              <w:right w:val="single" w:sz="8" w:space="0" w:color="auto"/>
            </w:tcBorders>
            <w:shd w:val="clear" w:color="auto" w:fill="auto"/>
            <w:noWrap/>
            <w:vAlign w:val="center"/>
          </w:tcPr>
          <w:p w14:paraId="15F707AD" w14:textId="77777777" w:rsidR="00C1088C" w:rsidRPr="003F513A" w:rsidRDefault="00C1088C" w:rsidP="00C1088C">
            <w:pPr>
              <w:widowControl/>
              <w:autoSpaceDE/>
              <w:autoSpaceDN/>
              <w:adjustRightInd/>
              <w:jc w:val="right"/>
              <w:rPr>
                <w:color w:val="000000"/>
                <w:sz w:val="24"/>
              </w:rPr>
            </w:pPr>
            <w:r w:rsidRPr="003F513A">
              <w:rPr>
                <w:color w:val="000000"/>
                <w:sz w:val="24"/>
              </w:rPr>
              <w:t>9</w:t>
            </w:r>
            <w:r w:rsidR="001B5E31" w:rsidRPr="003F513A">
              <w:rPr>
                <w:color w:val="000000"/>
                <w:sz w:val="24"/>
              </w:rPr>
              <w:t>0</w:t>
            </w:r>
            <w:r w:rsidRPr="003F513A">
              <w:rPr>
                <w:color w:val="000000"/>
                <w:sz w:val="24"/>
              </w:rPr>
              <w:t>%</w:t>
            </w:r>
          </w:p>
        </w:tc>
        <w:tc>
          <w:tcPr>
            <w:tcW w:w="1470" w:type="dxa"/>
            <w:tcBorders>
              <w:top w:val="nil"/>
              <w:left w:val="nil"/>
              <w:bottom w:val="single" w:sz="8" w:space="0" w:color="auto"/>
              <w:right w:val="single" w:sz="8" w:space="0" w:color="auto"/>
            </w:tcBorders>
            <w:shd w:val="clear" w:color="auto" w:fill="auto"/>
            <w:noWrap/>
            <w:vAlign w:val="center"/>
          </w:tcPr>
          <w:p w14:paraId="40EE28B4"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00612E1F" w:rsidRPr="003F513A">
              <w:rPr>
                <w:color w:val="000000"/>
                <w:sz w:val="24"/>
              </w:rPr>
              <w:t>035</w:t>
            </w:r>
          </w:p>
        </w:tc>
        <w:tc>
          <w:tcPr>
            <w:tcW w:w="1470" w:type="dxa"/>
            <w:tcBorders>
              <w:top w:val="nil"/>
              <w:left w:val="nil"/>
              <w:bottom w:val="single" w:sz="8" w:space="0" w:color="auto"/>
              <w:right w:val="single" w:sz="8" w:space="0" w:color="auto"/>
            </w:tcBorders>
            <w:shd w:val="clear" w:color="auto" w:fill="auto"/>
            <w:noWrap/>
            <w:vAlign w:val="center"/>
          </w:tcPr>
          <w:p w14:paraId="0B9C455B" w14:textId="77777777" w:rsidR="00C1088C" w:rsidRPr="003F513A" w:rsidRDefault="00C1088C" w:rsidP="00C1088C">
            <w:pPr>
              <w:widowControl/>
              <w:autoSpaceDE/>
              <w:autoSpaceDN/>
              <w:adjustRightInd/>
              <w:jc w:val="right"/>
              <w:rPr>
                <w:color w:val="000000"/>
                <w:sz w:val="24"/>
              </w:rPr>
            </w:pPr>
            <w:r w:rsidRPr="003F513A">
              <w:rPr>
                <w:color w:val="000000"/>
                <w:sz w:val="24"/>
              </w:rPr>
              <w:t>4</w:t>
            </w:r>
            <w:r w:rsidR="006F6A35" w:rsidRPr="003F513A">
              <w:rPr>
                <w:color w:val="000000"/>
                <w:sz w:val="24"/>
              </w:rPr>
              <w:t>,</w:t>
            </w:r>
            <w:r w:rsidR="00612E1F" w:rsidRPr="003F513A">
              <w:rPr>
                <w:color w:val="000000"/>
                <w:sz w:val="24"/>
              </w:rPr>
              <w:t>035</w:t>
            </w:r>
          </w:p>
        </w:tc>
      </w:tr>
    </w:tbl>
    <w:p w14:paraId="52A6F520" w14:textId="77777777" w:rsidR="00C1088C" w:rsidRPr="00C1088C" w:rsidRDefault="00C1088C" w:rsidP="00C1088C">
      <w:pPr>
        <w:rPr>
          <w:sz w:val="24"/>
        </w:rPr>
      </w:pPr>
    </w:p>
    <w:p w14:paraId="6A16A08B" w14:textId="77777777" w:rsidR="00C1088C" w:rsidRPr="00C1088C" w:rsidRDefault="00C1088C" w:rsidP="00C1088C">
      <w:pPr>
        <w:rPr>
          <w:sz w:val="24"/>
        </w:rPr>
      </w:pPr>
      <w:r w:rsidRPr="00C1088C">
        <w:rPr>
          <w:sz w:val="24"/>
        </w:rPr>
        <w:t xml:space="preserve">As described above, On the Road to Retirement sample recruitment begins with a sample of 25,000 households, the “Respondent Universe” for the </w:t>
      </w:r>
      <w:r w:rsidR="00E33599">
        <w:rPr>
          <w:sz w:val="24"/>
        </w:rPr>
        <w:t>Pre-Survey</w:t>
      </w:r>
      <w:r w:rsidRPr="00C1088C">
        <w:rPr>
          <w:sz w:val="24"/>
        </w:rPr>
        <w:t>.  We expect to receive completed questionnaires from 10,000 of these households, approximately 9</w:t>
      </w:r>
      <w:r w:rsidR="002B102D">
        <w:rPr>
          <w:sz w:val="24"/>
        </w:rPr>
        <w:t>5</w:t>
      </w:r>
      <w:r w:rsidRPr="00C1088C">
        <w:rPr>
          <w:sz w:val="24"/>
        </w:rPr>
        <w:t xml:space="preserve">% of which will </w:t>
      </w:r>
      <w:r w:rsidR="00FF40AF">
        <w:rPr>
          <w:sz w:val="24"/>
        </w:rPr>
        <w:t xml:space="preserve">be </w:t>
      </w:r>
      <w:r w:rsidR="002B102D">
        <w:rPr>
          <w:sz w:val="24"/>
        </w:rPr>
        <w:t>eligible</w:t>
      </w:r>
      <w:r w:rsidR="008B29C6">
        <w:rPr>
          <w:sz w:val="24"/>
        </w:rPr>
        <w:t xml:space="preserve"> </w:t>
      </w:r>
      <w:r w:rsidRPr="00C1088C">
        <w:rPr>
          <w:sz w:val="24"/>
        </w:rPr>
        <w:t>for the study</w:t>
      </w:r>
      <w:r w:rsidR="008B29C6">
        <w:rPr>
          <w:sz w:val="24"/>
        </w:rPr>
        <w:t xml:space="preserve"> (i.e., living in households with at least one member who 25 years of age or older</w:t>
      </w:r>
      <w:r w:rsidR="00FF40AF">
        <w:rPr>
          <w:sz w:val="24"/>
        </w:rPr>
        <w:t>)</w:t>
      </w:r>
      <w:r w:rsidRPr="00C1088C">
        <w:rPr>
          <w:sz w:val="24"/>
        </w:rPr>
        <w:t xml:space="preserve">. </w:t>
      </w:r>
      <w:r w:rsidR="00094FF7">
        <w:rPr>
          <w:sz w:val="24"/>
        </w:rPr>
        <w:t xml:space="preserve"> Table </w:t>
      </w:r>
      <w:r w:rsidR="003C20D5">
        <w:rPr>
          <w:sz w:val="24"/>
        </w:rPr>
        <w:t>9</w:t>
      </w:r>
      <w:r w:rsidR="004957AB" w:rsidRPr="00C1088C">
        <w:rPr>
          <w:sz w:val="24"/>
        </w:rPr>
        <w:t xml:space="preserve"> </w:t>
      </w:r>
      <w:r w:rsidRPr="00C1088C">
        <w:rPr>
          <w:sz w:val="24"/>
        </w:rPr>
        <w:t xml:space="preserve">reports the original sample of 25,000 households as the “Respondent Universe” </w:t>
      </w:r>
      <w:r w:rsidRPr="00C1088C">
        <w:rPr>
          <w:sz w:val="24"/>
        </w:rPr>
        <w:lastRenderedPageBreak/>
        <w:t>for the IPS, with a target sample size of 4,500.  Only IPS respondent households are eligible for subsequent survey</w:t>
      </w:r>
      <w:r w:rsidR="007D653A">
        <w:rPr>
          <w:sz w:val="24"/>
        </w:rPr>
        <w:t>s</w:t>
      </w:r>
      <w:r w:rsidRPr="00C1088C">
        <w:rPr>
          <w:sz w:val="24"/>
        </w:rPr>
        <w:t>.  Therefore,</w:t>
      </w:r>
      <w:r w:rsidR="00094FF7">
        <w:rPr>
          <w:sz w:val="24"/>
        </w:rPr>
        <w:t xml:space="preserve"> Table </w:t>
      </w:r>
      <w:r w:rsidR="003C20D5">
        <w:rPr>
          <w:sz w:val="24"/>
        </w:rPr>
        <w:t>9</w:t>
      </w:r>
      <w:r w:rsidRPr="00C1088C">
        <w:rPr>
          <w:sz w:val="24"/>
        </w:rPr>
        <w:t xml:space="preserve"> uses the 4,500 IPS households as the “Respondent Universe” for these subsequent interviews. </w:t>
      </w:r>
    </w:p>
    <w:p w14:paraId="0119DF20" w14:textId="77777777" w:rsidR="00C1088C" w:rsidRPr="00C1088C" w:rsidRDefault="00C1088C" w:rsidP="00C1088C">
      <w:pPr>
        <w:rPr>
          <w:sz w:val="24"/>
        </w:rPr>
      </w:pPr>
    </w:p>
    <w:p w14:paraId="58916DF2" w14:textId="77777777" w:rsidR="008B438C" w:rsidRDefault="00C038B8" w:rsidP="008B438C">
      <w:pPr>
        <w:rPr>
          <w:sz w:val="24"/>
        </w:rPr>
      </w:pPr>
      <w:r>
        <w:rPr>
          <w:sz w:val="24"/>
        </w:rPr>
        <w:t>The expected resp</w:t>
      </w:r>
      <w:r w:rsidR="004957AB">
        <w:rPr>
          <w:sz w:val="24"/>
        </w:rPr>
        <w:t xml:space="preserve">onse rates reported in </w:t>
      </w:r>
      <w:r w:rsidR="00401C90">
        <w:rPr>
          <w:sz w:val="24"/>
        </w:rPr>
        <w:t>Table</w:t>
      </w:r>
      <w:r w:rsidR="004957AB">
        <w:rPr>
          <w:sz w:val="24"/>
        </w:rPr>
        <w:t xml:space="preserve"> </w:t>
      </w:r>
      <w:r w:rsidR="003C20D5">
        <w:rPr>
          <w:sz w:val="24"/>
        </w:rPr>
        <w:t>9</w:t>
      </w:r>
      <w:r>
        <w:rPr>
          <w:sz w:val="24"/>
        </w:rPr>
        <w:t xml:space="preserve"> reflect </w:t>
      </w:r>
      <w:r w:rsidR="008B438C" w:rsidRPr="00C038B8">
        <w:rPr>
          <w:sz w:val="24"/>
        </w:rPr>
        <w:t>annual attrition rates o</w:t>
      </w:r>
      <w:r w:rsidR="00401C90">
        <w:rPr>
          <w:sz w:val="24"/>
        </w:rPr>
        <w:t>f less than 10%</w:t>
      </w:r>
      <w:r w:rsidR="008B438C" w:rsidRPr="00C038B8">
        <w:rPr>
          <w:sz w:val="24"/>
        </w:rPr>
        <w:t>. This low attrition rate, which RAND has achieved in the ALP, is undoubtedly related to the relatively generous incentive to respond—$20 after completion of a 30-minute interview—that will be adopted in the present study as well.</w:t>
      </w:r>
      <w:r w:rsidR="008B438C" w:rsidRPr="00C1088C">
        <w:rPr>
          <w:sz w:val="24"/>
        </w:rPr>
        <w:t xml:space="preserve">  </w:t>
      </w:r>
    </w:p>
    <w:p w14:paraId="5E33B3E8" w14:textId="77777777" w:rsidR="00FC029D" w:rsidRDefault="00FC029D" w:rsidP="008B438C">
      <w:pPr>
        <w:rPr>
          <w:sz w:val="24"/>
        </w:rPr>
      </w:pPr>
    </w:p>
    <w:p w14:paraId="0089AC2B" w14:textId="77777777" w:rsidR="000936DE" w:rsidRDefault="004C31C9" w:rsidP="00FC029D">
      <w:pPr>
        <w:rPr>
          <w:sz w:val="24"/>
        </w:rPr>
      </w:pPr>
      <w:r>
        <w:rPr>
          <w:sz w:val="24"/>
        </w:rPr>
        <w:t>Table 10</w:t>
      </w:r>
      <w:r w:rsidR="00FC029D" w:rsidRPr="00FC029D">
        <w:rPr>
          <w:sz w:val="24"/>
        </w:rPr>
        <w:t xml:space="preserve"> </w:t>
      </w:r>
      <w:r w:rsidR="000936DE">
        <w:rPr>
          <w:sz w:val="24"/>
        </w:rPr>
        <w:t xml:space="preserve">below </w:t>
      </w:r>
      <w:r w:rsidR="00FC029D" w:rsidRPr="00FC029D">
        <w:rPr>
          <w:sz w:val="24"/>
        </w:rPr>
        <w:t>provide</w:t>
      </w:r>
      <w:r w:rsidR="00FC029D">
        <w:rPr>
          <w:sz w:val="24"/>
        </w:rPr>
        <w:t>s</w:t>
      </w:r>
      <w:r w:rsidR="00FC029D" w:rsidRPr="00FC029D">
        <w:rPr>
          <w:sz w:val="24"/>
        </w:rPr>
        <w:t xml:space="preserve"> power calculations</w:t>
      </w:r>
      <w:r w:rsidR="00197B9A">
        <w:rPr>
          <w:sz w:val="24"/>
        </w:rPr>
        <w:t xml:space="preserve"> for the On the Road to Retirement panel</w:t>
      </w:r>
      <w:r w:rsidR="00FC029D" w:rsidRPr="00FC029D">
        <w:rPr>
          <w:sz w:val="24"/>
        </w:rPr>
        <w:t>.  For si</w:t>
      </w:r>
      <w:r w:rsidR="00F15F89">
        <w:rPr>
          <w:sz w:val="24"/>
        </w:rPr>
        <w:t>mplicity, the calculations</w:t>
      </w:r>
      <w:r w:rsidR="00FC029D" w:rsidRPr="00FC029D">
        <w:rPr>
          <w:sz w:val="24"/>
        </w:rPr>
        <w:t xml:space="preserve"> </w:t>
      </w:r>
      <w:r w:rsidR="005B1721">
        <w:rPr>
          <w:sz w:val="24"/>
        </w:rPr>
        <w:t>pertain to one-</w:t>
      </w:r>
      <w:r w:rsidR="00FC029D" w:rsidRPr="00FC029D">
        <w:rPr>
          <w:sz w:val="24"/>
        </w:rPr>
        <w:t>sample proportion tests examining our ability to test a hypothesis that a certain fraction of the sampled population features some characteristic, such as mutual fund ownership.  T</w:t>
      </w:r>
      <w:r>
        <w:rPr>
          <w:sz w:val="24"/>
        </w:rPr>
        <w:t xml:space="preserve">o be conservative, </w:t>
      </w:r>
      <w:r w:rsidR="00F15F89">
        <w:rPr>
          <w:sz w:val="24"/>
        </w:rPr>
        <w:t>each calculation utilizes a null hypothesis of 0.5 for the population proportion of interest.</w:t>
      </w:r>
      <w:r w:rsidR="00FC029D" w:rsidRPr="00FC029D">
        <w:rPr>
          <w:sz w:val="24"/>
        </w:rPr>
        <w:t xml:space="preserve">  For proportions hypothesized to be closer to zero or one, </w:t>
      </w:r>
      <w:r w:rsidR="00F15F89">
        <w:rPr>
          <w:sz w:val="24"/>
        </w:rPr>
        <w:t>smaller effects would be detected</w:t>
      </w:r>
      <w:r w:rsidR="00FC029D">
        <w:rPr>
          <w:sz w:val="24"/>
        </w:rPr>
        <w:t xml:space="preserve">.  </w:t>
      </w:r>
    </w:p>
    <w:p w14:paraId="3C9E9BC7" w14:textId="77777777" w:rsidR="000936DE" w:rsidRDefault="000936DE" w:rsidP="00FC029D">
      <w:pPr>
        <w:rPr>
          <w:sz w:val="24"/>
        </w:rPr>
      </w:pPr>
    </w:p>
    <w:p w14:paraId="2BCAF6F0" w14:textId="77777777" w:rsidR="00FC029D" w:rsidRDefault="00FC029D" w:rsidP="00FC029D">
      <w:pPr>
        <w:rPr>
          <w:sz w:val="24"/>
        </w:rPr>
      </w:pPr>
      <w:r>
        <w:rPr>
          <w:sz w:val="24"/>
        </w:rPr>
        <w:t>The first three columns of entries in Table 10 contain</w:t>
      </w:r>
      <w:r w:rsidRPr="00FC029D">
        <w:rPr>
          <w:sz w:val="24"/>
        </w:rPr>
        <w:t xml:space="preserve"> calculations for </w:t>
      </w:r>
      <w:r w:rsidR="004C31C9">
        <w:rPr>
          <w:sz w:val="24"/>
        </w:rPr>
        <w:t>the full sample</w:t>
      </w:r>
      <w:r w:rsidR="000936DE">
        <w:rPr>
          <w:sz w:val="24"/>
        </w:rPr>
        <w:t xml:space="preserve"> of households.  T</w:t>
      </w:r>
      <w:r w:rsidR="004C31C9">
        <w:rPr>
          <w:sz w:val="24"/>
        </w:rPr>
        <w:t>he</w:t>
      </w:r>
      <w:r w:rsidR="000936DE">
        <w:rPr>
          <w:sz w:val="24"/>
        </w:rPr>
        <w:t xml:space="preserve"> </w:t>
      </w:r>
      <w:r>
        <w:rPr>
          <w:sz w:val="24"/>
        </w:rPr>
        <w:t xml:space="preserve">next three columns contain </w:t>
      </w:r>
      <w:r w:rsidR="005A1E82">
        <w:rPr>
          <w:sz w:val="24"/>
        </w:rPr>
        <w:t xml:space="preserve">calculations for </w:t>
      </w:r>
      <w:r w:rsidR="000936DE">
        <w:rPr>
          <w:sz w:val="24"/>
        </w:rPr>
        <w:t xml:space="preserve">households </w:t>
      </w:r>
      <w:r w:rsidR="005A1E82">
        <w:rPr>
          <w:sz w:val="24"/>
        </w:rPr>
        <w:t xml:space="preserve">in which </w:t>
      </w:r>
      <w:r w:rsidR="009D407A">
        <w:rPr>
          <w:sz w:val="24"/>
        </w:rPr>
        <w:t>a</w:t>
      </w:r>
      <w:r w:rsidR="005A1E82">
        <w:rPr>
          <w:sz w:val="24"/>
        </w:rPr>
        <w:t xml:space="preserve"> member or members </w:t>
      </w:r>
      <w:r w:rsidR="000936DE">
        <w:rPr>
          <w:sz w:val="24"/>
        </w:rPr>
        <w:t>own assets in a dedicated retirement account</w:t>
      </w:r>
      <w:r w:rsidR="003149E0">
        <w:rPr>
          <w:sz w:val="24"/>
        </w:rPr>
        <w:t xml:space="preserve">, such as </w:t>
      </w:r>
      <w:r w:rsidR="00E7595A">
        <w:rPr>
          <w:sz w:val="24"/>
        </w:rPr>
        <w:t xml:space="preserve">an </w:t>
      </w:r>
      <w:r w:rsidR="000936DE">
        <w:rPr>
          <w:sz w:val="24"/>
        </w:rPr>
        <w:t xml:space="preserve">employer-sponsored </w:t>
      </w:r>
      <w:r w:rsidR="005A1E82">
        <w:rPr>
          <w:sz w:val="24"/>
        </w:rPr>
        <w:t xml:space="preserve">DC plan or </w:t>
      </w:r>
      <w:r w:rsidR="003149E0">
        <w:rPr>
          <w:sz w:val="24"/>
        </w:rPr>
        <w:t>an IRA.</w:t>
      </w:r>
      <w:r w:rsidRPr="00FC029D">
        <w:rPr>
          <w:sz w:val="24"/>
        </w:rPr>
        <w:t xml:space="preserve"> </w:t>
      </w:r>
      <w:r w:rsidR="005A1E82">
        <w:rPr>
          <w:sz w:val="24"/>
        </w:rPr>
        <w:t xml:space="preserve"> A recent analysis of data from the Survey of Consumer Finances</w:t>
      </w:r>
      <w:r w:rsidR="00EF6ECB">
        <w:rPr>
          <w:sz w:val="24"/>
        </w:rPr>
        <w:t xml:space="preserve"> (SCF)</w:t>
      </w:r>
      <w:r w:rsidR="005A1E82">
        <w:rPr>
          <w:sz w:val="24"/>
        </w:rPr>
        <w:t xml:space="preserve"> indicates that about </w:t>
      </w:r>
      <w:r w:rsidR="00E94CA5">
        <w:rPr>
          <w:sz w:val="24"/>
        </w:rPr>
        <w:t>half of all</w:t>
      </w:r>
      <w:r w:rsidR="000B4314">
        <w:rPr>
          <w:sz w:val="24"/>
        </w:rPr>
        <w:t xml:space="preserve"> U.S. families</w:t>
      </w:r>
      <w:r w:rsidR="00E94CA5">
        <w:rPr>
          <w:sz w:val="24"/>
        </w:rPr>
        <w:t xml:space="preserve"> </w:t>
      </w:r>
      <w:r w:rsidR="005A1E82">
        <w:rPr>
          <w:sz w:val="24"/>
        </w:rPr>
        <w:t>own assets in</w:t>
      </w:r>
      <w:r w:rsidR="00D95DCD">
        <w:rPr>
          <w:sz w:val="24"/>
        </w:rPr>
        <w:t xml:space="preserve"> such</w:t>
      </w:r>
      <w:r w:rsidR="005A1E82">
        <w:rPr>
          <w:sz w:val="24"/>
        </w:rPr>
        <w:t xml:space="preserve"> a retirement account</w:t>
      </w:r>
      <w:r w:rsidR="009D407A">
        <w:rPr>
          <w:sz w:val="24"/>
        </w:rPr>
        <w:t xml:space="preserve"> (Bricker </w:t>
      </w:r>
      <w:r w:rsidR="009D407A" w:rsidRPr="00701C45">
        <w:rPr>
          <w:i/>
          <w:sz w:val="24"/>
        </w:rPr>
        <w:t>et al</w:t>
      </w:r>
      <w:r w:rsidR="009D407A">
        <w:rPr>
          <w:sz w:val="24"/>
        </w:rPr>
        <w:t>.</w:t>
      </w:r>
      <w:r w:rsidR="005A1E82">
        <w:rPr>
          <w:sz w:val="24"/>
        </w:rPr>
        <w:t xml:space="preserve">, </w:t>
      </w:r>
      <w:r w:rsidR="00701C45">
        <w:rPr>
          <w:sz w:val="24"/>
        </w:rPr>
        <w:t>2014</w:t>
      </w:r>
      <w:r w:rsidR="005A1E82">
        <w:rPr>
          <w:sz w:val="24"/>
        </w:rPr>
        <w:t>).</w:t>
      </w:r>
      <w:r w:rsidR="005A1E82" w:rsidRPr="00D07695">
        <w:rPr>
          <w:rStyle w:val="FootnoteReference"/>
          <w:rFonts w:ascii="Times" w:hAnsi="Times" w:cs="Tahoma"/>
          <w:sz w:val="24"/>
          <w:vertAlign w:val="superscript"/>
        </w:rPr>
        <w:footnoteReference w:id="3"/>
      </w:r>
      <w:r w:rsidR="005A1E82">
        <w:rPr>
          <w:sz w:val="24"/>
        </w:rPr>
        <w:t xml:space="preserve"> </w:t>
      </w:r>
      <w:r w:rsidR="00E16887">
        <w:rPr>
          <w:sz w:val="24"/>
        </w:rPr>
        <w:t xml:space="preserve"> Based on differences in the definition between “family” and “household,” as well as the broader sampling frame of the SCF, </w:t>
      </w:r>
      <w:r w:rsidR="000B4314">
        <w:rPr>
          <w:sz w:val="24"/>
        </w:rPr>
        <w:t xml:space="preserve">it is likely </w:t>
      </w:r>
      <w:r w:rsidR="00E16887">
        <w:rPr>
          <w:sz w:val="24"/>
        </w:rPr>
        <w:t xml:space="preserve">that more than half of </w:t>
      </w:r>
      <w:r w:rsidR="007C1653">
        <w:rPr>
          <w:sz w:val="24"/>
        </w:rPr>
        <w:t xml:space="preserve">the </w:t>
      </w:r>
      <w:r w:rsidR="00E16887">
        <w:rPr>
          <w:sz w:val="24"/>
        </w:rPr>
        <w:t xml:space="preserve">Road to Retirement panel households will own retirement account assets.  To be conservative, however, the calculations below are made under the assumption that </w:t>
      </w:r>
      <w:r w:rsidR="00742791">
        <w:rPr>
          <w:sz w:val="24"/>
        </w:rPr>
        <w:t>half of panel households own</w:t>
      </w:r>
      <w:r w:rsidR="00E16887">
        <w:rPr>
          <w:sz w:val="24"/>
        </w:rPr>
        <w:t xml:space="preserve"> </w:t>
      </w:r>
      <w:r w:rsidR="00742791">
        <w:rPr>
          <w:sz w:val="24"/>
        </w:rPr>
        <w:t xml:space="preserve">such assets.  </w:t>
      </w:r>
      <w:r w:rsidR="00197B9A">
        <w:rPr>
          <w:sz w:val="24"/>
        </w:rPr>
        <w:t xml:space="preserve">Note that no </w:t>
      </w:r>
      <w:r w:rsidR="00967ED1">
        <w:rPr>
          <w:sz w:val="24"/>
        </w:rPr>
        <w:t>power calculations have been made for</w:t>
      </w:r>
      <w:r w:rsidR="005B1721">
        <w:rPr>
          <w:sz w:val="24"/>
        </w:rPr>
        <w:t xml:space="preserve"> this subgroup</w:t>
      </w:r>
      <w:r w:rsidR="00967ED1">
        <w:rPr>
          <w:sz w:val="24"/>
        </w:rPr>
        <w:t xml:space="preserve"> of</w:t>
      </w:r>
      <w:r w:rsidR="00197B9A">
        <w:rPr>
          <w:sz w:val="24"/>
        </w:rPr>
        <w:t xml:space="preserve"> Pre-Survey respondents, because </w:t>
      </w:r>
      <w:r w:rsidR="007114D7">
        <w:rPr>
          <w:sz w:val="24"/>
        </w:rPr>
        <w:t>this questionnaire</w:t>
      </w:r>
      <w:r w:rsidR="00197B9A">
        <w:rPr>
          <w:sz w:val="24"/>
        </w:rPr>
        <w:t xml:space="preserve"> will not elicit</w:t>
      </w:r>
      <w:r w:rsidR="00967ED1">
        <w:rPr>
          <w:sz w:val="24"/>
        </w:rPr>
        <w:t xml:space="preserve"> responses concerning retirement account assets.</w:t>
      </w:r>
    </w:p>
    <w:p w14:paraId="24702BBB" w14:textId="7E71CFFC" w:rsidR="00195353" w:rsidRDefault="00195353">
      <w:pPr>
        <w:widowControl/>
        <w:autoSpaceDE/>
        <w:autoSpaceDN/>
        <w:adjustRightInd/>
        <w:rPr>
          <w:sz w:val="24"/>
        </w:rPr>
      </w:pPr>
      <w:r>
        <w:rPr>
          <w:sz w:val="24"/>
        </w:rPr>
        <w:br w:type="page"/>
      </w:r>
    </w:p>
    <w:p w14:paraId="6F44E104" w14:textId="77777777" w:rsidR="00763B05" w:rsidRDefault="00763B05" w:rsidP="00C1088C">
      <w:pPr>
        <w:rPr>
          <w:sz w:val="24"/>
        </w:rPr>
      </w:pPr>
    </w:p>
    <w:p w14:paraId="7E4A76E7" w14:textId="77777777" w:rsidR="00857D92" w:rsidRPr="00C1088C" w:rsidRDefault="00857D92" w:rsidP="00857D92">
      <w:pPr>
        <w:rPr>
          <w:sz w:val="24"/>
        </w:rPr>
      </w:pPr>
      <w:r w:rsidRPr="00A91A52">
        <w:rPr>
          <w:sz w:val="24"/>
        </w:rPr>
        <w:t xml:space="preserve">Table </w:t>
      </w:r>
      <w:r>
        <w:rPr>
          <w:sz w:val="24"/>
        </w:rPr>
        <w:t>10</w:t>
      </w:r>
      <w:r w:rsidRPr="00A91A52">
        <w:rPr>
          <w:sz w:val="24"/>
        </w:rPr>
        <w:t xml:space="preserve">. </w:t>
      </w:r>
      <w:r>
        <w:rPr>
          <w:sz w:val="24"/>
        </w:rPr>
        <w:t>Minimal S</w:t>
      </w:r>
      <w:r w:rsidRPr="00857D92">
        <w:rPr>
          <w:sz w:val="24"/>
        </w:rPr>
        <w:t xml:space="preserve">ubstantively </w:t>
      </w:r>
      <w:r>
        <w:rPr>
          <w:sz w:val="24"/>
        </w:rPr>
        <w:t>S</w:t>
      </w:r>
      <w:r w:rsidRPr="00857D92">
        <w:rPr>
          <w:sz w:val="24"/>
        </w:rPr>
        <w:t xml:space="preserve">ignificant </w:t>
      </w:r>
      <w:r>
        <w:rPr>
          <w:sz w:val="24"/>
        </w:rPr>
        <w:t>Effect S</w:t>
      </w:r>
      <w:r w:rsidRPr="00857D92">
        <w:rPr>
          <w:sz w:val="24"/>
        </w:rPr>
        <w:t>izes</w:t>
      </w:r>
      <w:r w:rsidRPr="00A91A52">
        <w:rPr>
          <w:sz w:val="24"/>
        </w:rPr>
        <w:t xml:space="preserve">: </w:t>
      </w:r>
      <w:r w:rsidR="005B1721">
        <w:rPr>
          <w:sz w:val="24"/>
        </w:rPr>
        <w:t>One-</w:t>
      </w:r>
      <w:r w:rsidR="00C45499">
        <w:rPr>
          <w:sz w:val="24"/>
        </w:rPr>
        <w:t>Sample Test</w:t>
      </w:r>
      <w:r w:rsidR="00C004F0">
        <w:rPr>
          <w:sz w:val="24"/>
        </w:rPr>
        <w:t>s</w:t>
      </w:r>
      <w:r w:rsidR="00C45499">
        <w:rPr>
          <w:sz w:val="24"/>
        </w:rPr>
        <w:t xml:space="preserve"> of Proportions</w:t>
      </w:r>
    </w:p>
    <w:p w14:paraId="09C0712F" w14:textId="77777777" w:rsidR="00E763CB" w:rsidRDefault="00E763CB" w:rsidP="00C1088C">
      <w:pPr>
        <w:rPr>
          <w:sz w:val="24"/>
        </w:rPr>
      </w:pPr>
    </w:p>
    <w:tbl>
      <w:tblPr>
        <w:tblStyle w:val="TableGrid"/>
        <w:tblW w:w="0" w:type="auto"/>
        <w:tblLook w:val="04A0" w:firstRow="1" w:lastRow="0" w:firstColumn="1" w:lastColumn="0" w:noHBand="0" w:noVBand="1"/>
      </w:tblPr>
      <w:tblGrid>
        <w:gridCol w:w="1650"/>
        <w:gridCol w:w="1163"/>
        <w:gridCol w:w="1400"/>
        <w:gridCol w:w="1400"/>
        <w:gridCol w:w="1163"/>
        <w:gridCol w:w="1400"/>
        <w:gridCol w:w="1400"/>
      </w:tblGrid>
      <w:tr w:rsidR="00F533E2" w:rsidRPr="00F533E2" w14:paraId="7BCAE31B" w14:textId="77777777" w:rsidTr="00F533E2">
        <w:trPr>
          <w:trHeight w:val="660"/>
        </w:trPr>
        <w:tc>
          <w:tcPr>
            <w:tcW w:w="1900" w:type="dxa"/>
            <w:vMerge w:val="restart"/>
            <w:hideMark/>
          </w:tcPr>
          <w:p w14:paraId="36C2D5E4" w14:textId="77777777" w:rsidR="00F533E2" w:rsidRDefault="00F533E2" w:rsidP="00F533E2">
            <w:pPr>
              <w:rPr>
                <w:b/>
                <w:bCs/>
                <w:sz w:val="24"/>
              </w:rPr>
            </w:pPr>
          </w:p>
          <w:p w14:paraId="6B94600C" w14:textId="77777777" w:rsidR="00F533E2" w:rsidRDefault="00F533E2" w:rsidP="00F533E2">
            <w:pPr>
              <w:rPr>
                <w:b/>
                <w:bCs/>
                <w:sz w:val="24"/>
              </w:rPr>
            </w:pPr>
          </w:p>
          <w:p w14:paraId="36358C7E" w14:textId="77777777" w:rsidR="00F533E2" w:rsidRDefault="00F533E2" w:rsidP="00F533E2">
            <w:pPr>
              <w:rPr>
                <w:b/>
                <w:bCs/>
                <w:sz w:val="24"/>
              </w:rPr>
            </w:pPr>
          </w:p>
          <w:p w14:paraId="3F5B9969" w14:textId="77777777" w:rsidR="00F533E2" w:rsidRPr="00F533E2" w:rsidRDefault="00F533E2" w:rsidP="00F533E2">
            <w:pPr>
              <w:rPr>
                <w:b/>
                <w:bCs/>
                <w:sz w:val="24"/>
              </w:rPr>
            </w:pPr>
            <w:r w:rsidRPr="00F533E2">
              <w:rPr>
                <w:b/>
                <w:bCs/>
                <w:sz w:val="24"/>
              </w:rPr>
              <w:t>Data Collection Effort</w:t>
            </w:r>
          </w:p>
        </w:tc>
        <w:tc>
          <w:tcPr>
            <w:tcW w:w="3820" w:type="dxa"/>
            <w:gridSpan w:val="3"/>
            <w:noWrap/>
            <w:hideMark/>
          </w:tcPr>
          <w:p w14:paraId="3819309B" w14:textId="77777777" w:rsidR="00F533E2" w:rsidRDefault="00F533E2" w:rsidP="00F533E2">
            <w:pPr>
              <w:jc w:val="center"/>
              <w:rPr>
                <w:b/>
                <w:bCs/>
                <w:sz w:val="24"/>
              </w:rPr>
            </w:pPr>
          </w:p>
          <w:p w14:paraId="396A6D85" w14:textId="77777777" w:rsidR="00F533E2" w:rsidRPr="00F533E2" w:rsidRDefault="00F533E2" w:rsidP="00F533E2">
            <w:pPr>
              <w:jc w:val="center"/>
              <w:rPr>
                <w:b/>
                <w:bCs/>
                <w:sz w:val="24"/>
              </w:rPr>
            </w:pPr>
            <w:r w:rsidRPr="00F533E2">
              <w:rPr>
                <w:b/>
                <w:bCs/>
                <w:sz w:val="24"/>
              </w:rPr>
              <w:t>All Households</w:t>
            </w:r>
          </w:p>
        </w:tc>
        <w:tc>
          <w:tcPr>
            <w:tcW w:w="3820" w:type="dxa"/>
            <w:gridSpan w:val="3"/>
            <w:hideMark/>
          </w:tcPr>
          <w:p w14:paraId="42F85E88" w14:textId="77777777" w:rsidR="00F533E2" w:rsidRDefault="00F533E2" w:rsidP="00F533E2">
            <w:pPr>
              <w:jc w:val="center"/>
              <w:rPr>
                <w:b/>
                <w:bCs/>
                <w:sz w:val="24"/>
              </w:rPr>
            </w:pPr>
            <w:r w:rsidRPr="00F533E2">
              <w:rPr>
                <w:b/>
                <w:bCs/>
                <w:sz w:val="24"/>
              </w:rPr>
              <w:t xml:space="preserve">Households with Assets </w:t>
            </w:r>
          </w:p>
          <w:p w14:paraId="4D4F71BB" w14:textId="77777777" w:rsidR="00F533E2" w:rsidRPr="00F533E2" w:rsidRDefault="00F533E2" w:rsidP="00F533E2">
            <w:pPr>
              <w:jc w:val="center"/>
              <w:rPr>
                <w:b/>
                <w:bCs/>
                <w:sz w:val="24"/>
              </w:rPr>
            </w:pPr>
            <w:r w:rsidRPr="00F533E2">
              <w:rPr>
                <w:b/>
                <w:bCs/>
                <w:sz w:val="24"/>
              </w:rPr>
              <w:t>in a Retirement Account</w:t>
            </w:r>
          </w:p>
        </w:tc>
      </w:tr>
      <w:tr w:rsidR="00F533E2" w:rsidRPr="00F533E2" w14:paraId="2279E893" w14:textId="77777777" w:rsidTr="00F533E2">
        <w:trPr>
          <w:trHeight w:val="1260"/>
        </w:trPr>
        <w:tc>
          <w:tcPr>
            <w:tcW w:w="1900" w:type="dxa"/>
            <w:vMerge/>
            <w:hideMark/>
          </w:tcPr>
          <w:p w14:paraId="31776A49" w14:textId="77777777" w:rsidR="00F533E2" w:rsidRPr="00F533E2" w:rsidRDefault="00F533E2">
            <w:pPr>
              <w:rPr>
                <w:b/>
                <w:bCs/>
                <w:sz w:val="24"/>
              </w:rPr>
            </w:pPr>
          </w:p>
        </w:tc>
        <w:tc>
          <w:tcPr>
            <w:tcW w:w="1020" w:type="dxa"/>
            <w:hideMark/>
          </w:tcPr>
          <w:p w14:paraId="4D354683" w14:textId="77777777" w:rsidR="00F533E2" w:rsidRDefault="00F533E2" w:rsidP="0078546A">
            <w:pPr>
              <w:jc w:val="center"/>
              <w:rPr>
                <w:b/>
                <w:bCs/>
                <w:sz w:val="24"/>
              </w:rPr>
            </w:pPr>
          </w:p>
          <w:p w14:paraId="0FDF012F" w14:textId="77777777" w:rsidR="00F533E2" w:rsidRPr="00F533E2" w:rsidRDefault="00F533E2" w:rsidP="0078546A">
            <w:pPr>
              <w:jc w:val="center"/>
              <w:rPr>
                <w:b/>
                <w:bCs/>
                <w:sz w:val="24"/>
              </w:rPr>
            </w:pPr>
            <w:r w:rsidRPr="00F533E2">
              <w:rPr>
                <w:b/>
                <w:bCs/>
                <w:sz w:val="24"/>
              </w:rPr>
              <w:t>Expected Sample Size</w:t>
            </w:r>
          </w:p>
        </w:tc>
        <w:tc>
          <w:tcPr>
            <w:tcW w:w="1400" w:type="dxa"/>
            <w:hideMark/>
          </w:tcPr>
          <w:p w14:paraId="793D29A2" w14:textId="77777777" w:rsidR="00F533E2" w:rsidRPr="00F533E2" w:rsidRDefault="00F533E2" w:rsidP="0078546A">
            <w:pPr>
              <w:jc w:val="center"/>
              <w:rPr>
                <w:b/>
                <w:bCs/>
                <w:sz w:val="24"/>
              </w:rPr>
            </w:pPr>
            <w:r w:rsidRPr="00F533E2">
              <w:rPr>
                <w:b/>
                <w:bCs/>
                <w:sz w:val="24"/>
              </w:rPr>
              <w:t xml:space="preserve">Minimum Detectable </w:t>
            </w:r>
            <w:r w:rsidRPr="00F533E2">
              <w:rPr>
                <w:b/>
                <w:bCs/>
                <w:sz w:val="24"/>
              </w:rPr>
              <w:br/>
              <w:t>Effect Size</w:t>
            </w:r>
            <w:r w:rsidRPr="00F533E2">
              <w:rPr>
                <w:b/>
                <w:bCs/>
                <w:sz w:val="24"/>
              </w:rPr>
              <w:br/>
              <w:t>(.8 power)</w:t>
            </w:r>
          </w:p>
        </w:tc>
        <w:tc>
          <w:tcPr>
            <w:tcW w:w="1400" w:type="dxa"/>
            <w:hideMark/>
          </w:tcPr>
          <w:p w14:paraId="3A732995" w14:textId="77777777" w:rsidR="00F533E2" w:rsidRPr="00F533E2" w:rsidRDefault="00F533E2" w:rsidP="0078546A">
            <w:pPr>
              <w:jc w:val="center"/>
              <w:rPr>
                <w:b/>
                <w:bCs/>
                <w:sz w:val="24"/>
              </w:rPr>
            </w:pPr>
            <w:r w:rsidRPr="00F533E2">
              <w:rPr>
                <w:b/>
                <w:bCs/>
                <w:sz w:val="24"/>
              </w:rPr>
              <w:t xml:space="preserve">Minimum Detectable </w:t>
            </w:r>
            <w:r w:rsidRPr="00F533E2">
              <w:rPr>
                <w:b/>
                <w:bCs/>
                <w:sz w:val="24"/>
              </w:rPr>
              <w:br/>
              <w:t>Effect Size</w:t>
            </w:r>
            <w:r w:rsidRPr="00F533E2">
              <w:rPr>
                <w:b/>
                <w:bCs/>
                <w:sz w:val="24"/>
              </w:rPr>
              <w:br/>
              <w:t>(.9 power)</w:t>
            </w:r>
          </w:p>
        </w:tc>
        <w:tc>
          <w:tcPr>
            <w:tcW w:w="1020" w:type="dxa"/>
            <w:hideMark/>
          </w:tcPr>
          <w:p w14:paraId="6F0F0B2C" w14:textId="77777777" w:rsidR="00F533E2" w:rsidRDefault="00F533E2" w:rsidP="00F533E2">
            <w:pPr>
              <w:jc w:val="center"/>
              <w:rPr>
                <w:b/>
                <w:bCs/>
                <w:sz w:val="24"/>
              </w:rPr>
            </w:pPr>
          </w:p>
          <w:p w14:paraId="2F2C9338" w14:textId="77777777" w:rsidR="00F533E2" w:rsidRPr="00F533E2" w:rsidRDefault="00F533E2" w:rsidP="00F533E2">
            <w:pPr>
              <w:jc w:val="center"/>
              <w:rPr>
                <w:b/>
                <w:bCs/>
                <w:sz w:val="24"/>
              </w:rPr>
            </w:pPr>
            <w:r w:rsidRPr="00F533E2">
              <w:rPr>
                <w:b/>
                <w:bCs/>
                <w:sz w:val="24"/>
              </w:rPr>
              <w:t>Expected Sample Size</w:t>
            </w:r>
          </w:p>
        </w:tc>
        <w:tc>
          <w:tcPr>
            <w:tcW w:w="1400" w:type="dxa"/>
            <w:hideMark/>
          </w:tcPr>
          <w:p w14:paraId="5C18851D" w14:textId="77777777" w:rsidR="00F533E2" w:rsidRPr="00F533E2" w:rsidRDefault="00F533E2" w:rsidP="00F533E2">
            <w:pPr>
              <w:jc w:val="center"/>
              <w:rPr>
                <w:b/>
                <w:bCs/>
                <w:sz w:val="24"/>
              </w:rPr>
            </w:pPr>
            <w:r w:rsidRPr="00F533E2">
              <w:rPr>
                <w:b/>
                <w:bCs/>
                <w:sz w:val="24"/>
              </w:rPr>
              <w:t xml:space="preserve">Minimum Detectable </w:t>
            </w:r>
            <w:r w:rsidRPr="00F533E2">
              <w:rPr>
                <w:b/>
                <w:bCs/>
                <w:sz w:val="24"/>
              </w:rPr>
              <w:br/>
              <w:t>Effect Size</w:t>
            </w:r>
            <w:r w:rsidRPr="00F533E2">
              <w:rPr>
                <w:b/>
                <w:bCs/>
                <w:sz w:val="24"/>
              </w:rPr>
              <w:br/>
              <w:t>(.8 power)</w:t>
            </w:r>
          </w:p>
        </w:tc>
        <w:tc>
          <w:tcPr>
            <w:tcW w:w="1400" w:type="dxa"/>
            <w:hideMark/>
          </w:tcPr>
          <w:p w14:paraId="33B78519" w14:textId="77777777" w:rsidR="00F533E2" w:rsidRPr="00F533E2" w:rsidRDefault="00F533E2" w:rsidP="00F533E2">
            <w:pPr>
              <w:jc w:val="center"/>
              <w:rPr>
                <w:b/>
                <w:bCs/>
                <w:sz w:val="24"/>
              </w:rPr>
            </w:pPr>
            <w:r w:rsidRPr="00F533E2">
              <w:rPr>
                <w:b/>
                <w:bCs/>
                <w:sz w:val="24"/>
              </w:rPr>
              <w:t xml:space="preserve">Minimum Detectable </w:t>
            </w:r>
            <w:r w:rsidRPr="00F533E2">
              <w:rPr>
                <w:b/>
                <w:bCs/>
                <w:sz w:val="24"/>
              </w:rPr>
              <w:br/>
              <w:t>Effect Size</w:t>
            </w:r>
            <w:r w:rsidRPr="00F533E2">
              <w:rPr>
                <w:b/>
                <w:bCs/>
                <w:sz w:val="24"/>
              </w:rPr>
              <w:br/>
              <w:t>(.9 power)</w:t>
            </w:r>
          </w:p>
        </w:tc>
      </w:tr>
      <w:tr w:rsidR="00F533E2" w:rsidRPr="00F533E2" w14:paraId="2A99D97D" w14:textId="77777777" w:rsidTr="00F533E2">
        <w:trPr>
          <w:trHeight w:val="360"/>
        </w:trPr>
        <w:tc>
          <w:tcPr>
            <w:tcW w:w="1900" w:type="dxa"/>
            <w:hideMark/>
          </w:tcPr>
          <w:p w14:paraId="39DC16BC" w14:textId="77777777" w:rsidR="00F533E2" w:rsidRPr="00F533E2" w:rsidRDefault="00F533E2">
            <w:pPr>
              <w:rPr>
                <w:sz w:val="24"/>
              </w:rPr>
            </w:pPr>
            <w:r w:rsidRPr="00F533E2">
              <w:rPr>
                <w:sz w:val="24"/>
              </w:rPr>
              <w:t>Pre-Survey</w:t>
            </w:r>
          </w:p>
        </w:tc>
        <w:tc>
          <w:tcPr>
            <w:tcW w:w="1020" w:type="dxa"/>
            <w:hideMark/>
          </w:tcPr>
          <w:p w14:paraId="4B610123" w14:textId="77777777" w:rsidR="00F533E2" w:rsidRPr="00F533E2" w:rsidRDefault="00830E35" w:rsidP="00830E35">
            <w:pPr>
              <w:jc w:val="right"/>
              <w:rPr>
                <w:sz w:val="24"/>
              </w:rPr>
            </w:pPr>
            <w:r>
              <w:rPr>
                <w:sz w:val="24"/>
              </w:rPr>
              <w:t>9,5</w:t>
            </w:r>
            <w:r w:rsidR="00F533E2" w:rsidRPr="00F533E2">
              <w:rPr>
                <w:sz w:val="24"/>
              </w:rPr>
              <w:t>00</w:t>
            </w:r>
          </w:p>
        </w:tc>
        <w:tc>
          <w:tcPr>
            <w:tcW w:w="1400" w:type="dxa"/>
            <w:hideMark/>
          </w:tcPr>
          <w:p w14:paraId="6375898F" w14:textId="77777777" w:rsidR="00F533E2" w:rsidRPr="00F533E2" w:rsidRDefault="00F533E2" w:rsidP="00830E35">
            <w:pPr>
              <w:jc w:val="right"/>
              <w:rPr>
                <w:sz w:val="24"/>
              </w:rPr>
            </w:pPr>
            <w:r w:rsidRPr="00F533E2">
              <w:rPr>
                <w:sz w:val="24"/>
              </w:rPr>
              <w:t>1.4%</w:t>
            </w:r>
          </w:p>
        </w:tc>
        <w:tc>
          <w:tcPr>
            <w:tcW w:w="1400" w:type="dxa"/>
            <w:hideMark/>
          </w:tcPr>
          <w:p w14:paraId="2F2B17BB" w14:textId="77777777" w:rsidR="00F533E2" w:rsidRPr="00F533E2" w:rsidRDefault="00830E35" w:rsidP="00830E35">
            <w:pPr>
              <w:jc w:val="right"/>
              <w:rPr>
                <w:sz w:val="24"/>
              </w:rPr>
            </w:pPr>
            <w:r>
              <w:rPr>
                <w:sz w:val="24"/>
              </w:rPr>
              <w:t>1.7</w:t>
            </w:r>
            <w:r w:rsidR="00F533E2" w:rsidRPr="00F533E2">
              <w:rPr>
                <w:sz w:val="24"/>
              </w:rPr>
              <w:t>%</w:t>
            </w:r>
          </w:p>
        </w:tc>
        <w:tc>
          <w:tcPr>
            <w:tcW w:w="1020" w:type="dxa"/>
            <w:hideMark/>
          </w:tcPr>
          <w:p w14:paraId="233A202D" w14:textId="77777777" w:rsidR="00F533E2" w:rsidRPr="00F533E2" w:rsidRDefault="00F533E2" w:rsidP="00830E35">
            <w:pPr>
              <w:jc w:val="right"/>
              <w:rPr>
                <w:sz w:val="24"/>
              </w:rPr>
            </w:pPr>
            <w:r w:rsidRPr="00F533E2">
              <w:rPr>
                <w:sz w:val="24"/>
              </w:rPr>
              <w:t>N/A</w:t>
            </w:r>
          </w:p>
        </w:tc>
        <w:tc>
          <w:tcPr>
            <w:tcW w:w="1400" w:type="dxa"/>
            <w:hideMark/>
          </w:tcPr>
          <w:p w14:paraId="07F11D84" w14:textId="77777777" w:rsidR="00F533E2" w:rsidRPr="00F533E2" w:rsidRDefault="00F533E2" w:rsidP="00830E35">
            <w:pPr>
              <w:jc w:val="right"/>
              <w:rPr>
                <w:sz w:val="24"/>
              </w:rPr>
            </w:pPr>
            <w:r w:rsidRPr="00F533E2">
              <w:rPr>
                <w:sz w:val="24"/>
              </w:rPr>
              <w:t>N/A</w:t>
            </w:r>
          </w:p>
        </w:tc>
        <w:tc>
          <w:tcPr>
            <w:tcW w:w="1400" w:type="dxa"/>
            <w:hideMark/>
          </w:tcPr>
          <w:p w14:paraId="48060926" w14:textId="77777777" w:rsidR="00F533E2" w:rsidRPr="00F533E2" w:rsidRDefault="00F533E2" w:rsidP="00830E35">
            <w:pPr>
              <w:jc w:val="right"/>
              <w:rPr>
                <w:sz w:val="24"/>
              </w:rPr>
            </w:pPr>
            <w:r w:rsidRPr="00F533E2">
              <w:rPr>
                <w:sz w:val="24"/>
              </w:rPr>
              <w:t>N/A</w:t>
            </w:r>
          </w:p>
        </w:tc>
      </w:tr>
      <w:tr w:rsidR="00F533E2" w:rsidRPr="00F533E2" w14:paraId="5C735354" w14:textId="77777777" w:rsidTr="00F533E2">
        <w:trPr>
          <w:trHeight w:val="615"/>
        </w:trPr>
        <w:tc>
          <w:tcPr>
            <w:tcW w:w="1900" w:type="dxa"/>
            <w:hideMark/>
          </w:tcPr>
          <w:p w14:paraId="6B394C5A" w14:textId="77777777" w:rsidR="00F533E2" w:rsidRPr="00F533E2" w:rsidRDefault="00F533E2">
            <w:pPr>
              <w:rPr>
                <w:sz w:val="24"/>
              </w:rPr>
            </w:pPr>
            <w:r w:rsidRPr="00F533E2">
              <w:rPr>
                <w:sz w:val="24"/>
              </w:rPr>
              <w:t>Initial Participant Survey (IPS)</w:t>
            </w:r>
          </w:p>
        </w:tc>
        <w:tc>
          <w:tcPr>
            <w:tcW w:w="1020" w:type="dxa"/>
            <w:noWrap/>
            <w:hideMark/>
          </w:tcPr>
          <w:p w14:paraId="1032FE87" w14:textId="77777777" w:rsidR="00F533E2" w:rsidRDefault="00F533E2" w:rsidP="00830E35">
            <w:pPr>
              <w:jc w:val="right"/>
              <w:rPr>
                <w:sz w:val="24"/>
              </w:rPr>
            </w:pPr>
          </w:p>
          <w:p w14:paraId="0F5B2ED4" w14:textId="77777777" w:rsidR="00F533E2" w:rsidRDefault="00F533E2" w:rsidP="00830E35">
            <w:pPr>
              <w:jc w:val="right"/>
              <w:rPr>
                <w:sz w:val="24"/>
              </w:rPr>
            </w:pPr>
          </w:p>
          <w:p w14:paraId="38202DD1" w14:textId="77777777" w:rsidR="00F533E2" w:rsidRPr="00F533E2" w:rsidRDefault="00F533E2" w:rsidP="00830E35">
            <w:pPr>
              <w:jc w:val="right"/>
              <w:rPr>
                <w:sz w:val="24"/>
              </w:rPr>
            </w:pPr>
            <w:r w:rsidRPr="00F533E2">
              <w:rPr>
                <w:sz w:val="24"/>
              </w:rPr>
              <w:t>4,500</w:t>
            </w:r>
          </w:p>
        </w:tc>
        <w:tc>
          <w:tcPr>
            <w:tcW w:w="1400" w:type="dxa"/>
            <w:noWrap/>
            <w:hideMark/>
          </w:tcPr>
          <w:p w14:paraId="458A8A9C" w14:textId="77777777" w:rsidR="00F533E2" w:rsidRDefault="00F533E2" w:rsidP="00830E35">
            <w:pPr>
              <w:jc w:val="right"/>
              <w:rPr>
                <w:sz w:val="24"/>
              </w:rPr>
            </w:pPr>
          </w:p>
          <w:p w14:paraId="6EF45AC9" w14:textId="77777777" w:rsidR="00F533E2" w:rsidRDefault="00F533E2" w:rsidP="00830E35">
            <w:pPr>
              <w:jc w:val="right"/>
              <w:rPr>
                <w:sz w:val="24"/>
              </w:rPr>
            </w:pPr>
          </w:p>
          <w:p w14:paraId="2F4BC23D" w14:textId="77777777" w:rsidR="00F533E2" w:rsidRPr="00F533E2" w:rsidRDefault="00F533E2" w:rsidP="00830E35">
            <w:pPr>
              <w:jc w:val="right"/>
              <w:rPr>
                <w:sz w:val="24"/>
              </w:rPr>
            </w:pPr>
            <w:r w:rsidRPr="00F533E2">
              <w:rPr>
                <w:sz w:val="24"/>
              </w:rPr>
              <w:t>2.1%</w:t>
            </w:r>
          </w:p>
        </w:tc>
        <w:tc>
          <w:tcPr>
            <w:tcW w:w="1400" w:type="dxa"/>
            <w:noWrap/>
            <w:hideMark/>
          </w:tcPr>
          <w:p w14:paraId="08676353" w14:textId="77777777" w:rsidR="00F533E2" w:rsidRDefault="00F533E2" w:rsidP="00830E35">
            <w:pPr>
              <w:jc w:val="right"/>
              <w:rPr>
                <w:sz w:val="24"/>
              </w:rPr>
            </w:pPr>
          </w:p>
          <w:p w14:paraId="015A0D5F" w14:textId="77777777" w:rsidR="00F533E2" w:rsidRDefault="00F533E2" w:rsidP="00830E35">
            <w:pPr>
              <w:jc w:val="right"/>
              <w:rPr>
                <w:sz w:val="24"/>
              </w:rPr>
            </w:pPr>
          </w:p>
          <w:p w14:paraId="76BF9B0C" w14:textId="77777777" w:rsidR="00F533E2" w:rsidRPr="00F533E2" w:rsidRDefault="00F533E2" w:rsidP="00830E35">
            <w:pPr>
              <w:jc w:val="right"/>
              <w:rPr>
                <w:sz w:val="24"/>
              </w:rPr>
            </w:pPr>
            <w:r w:rsidRPr="00F533E2">
              <w:rPr>
                <w:sz w:val="24"/>
              </w:rPr>
              <w:t>2.4%</w:t>
            </w:r>
          </w:p>
        </w:tc>
        <w:tc>
          <w:tcPr>
            <w:tcW w:w="1020" w:type="dxa"/>
            <w:noWrap/>
            <w:hideMark/>
          </w:tcPr>
          <w:p w14:paraId="2FAC1BA4" w14:textId="77777777" w:rsidR="00F533E2" w:rsidRDefault="00F533E2" w:rsidP="00830E35">
            <w:pPr>
              <w:jc w:val="right"/>
              <w:rPr>
                <w:sz w:val="24"/>
              </w:rPr>
            </w:pPr>
          </w:p>
          <w:p w14:paraId="78AD2064" w14:textId="77777777" w:rsidR="00F533E2" w:rsidRDefault="00F533E2" w:rsidP="00830E35">
            <w:pPr>
              <w:jc w:val="right"/>
              <w:rPr>
                <w:sz w:val="24"/>
              </w:rPr>
            </w:pPr>
          </w:p>
          <w:p w14:paraId="24C096EA" w14:textId="77777777" w:rsidR="00F533E2" w:rsidRPr="00F533E2" w:rsidRDefault="00F533E2" w:rsidP="00830E35">
            <w:pPr>
              <w:jc w:val="right"/>
              <w:rPr>
                <w:sz w:val="24"/>
              </w:rPr>
            </w:pPr>
            <w:r w:rsidRPr="00F533E2">
              <w:rPr>
                <w:sz w:val="24"/>
              </w:rPr>
              <w:t>2,250</w:t>
            </w:r>
          </w:p>
        </w:tc>
        <w:tc>
          <w:tcPr>
            <w:tcW w:w="1400" w:type="dxa"/>
            <w:noWrap/>
            <w:hideMark/>
          </w:tcPr>
          <w:p w14:paraId="0B6A48C8" w14:textId="77777777" w:rsidR="00F533E2" w:rsidRDefault="00F533E2" w:rsidP="00830E35">
            <w:pPr>
              <w:jc w:val="right"/>
              <w:rPr>
                <w:sz w:val="24"/>
              </w:rPr>
            </w:pPr>
          </w:p>
          <w:p w14:paraId="0776D5DC" w14:textId="77777777" w:rsidR="00F533E2" w:rsidRDefault="00F533E2" w:rsidP="00830E35">
            <w:pPr>
              <w:jc w:val="right"/>
              <w:rPr>
                <w:sz w:val="24"/>
              </w:rPr>
            </w:pPr>
          </w:p>
          <w:p w14:paraId="74F70B0C" w14:textId="77777777" w:rsidR="00F533E2" w:rsidRPr="00F533E2" w:rsidRDefault="00F533E2" w:rsidP="00830E35">
            <w:pPr>
              <w:jc w:val="right"/>
              <w:rPr>
                <w:sz w:val="24"/>
              </w:rPr>
            </w:pPr>
            <w:r w:rsidRPr="00F533E2">
              <w:rPr>
                <w:sz w:val="24"/>
              </w:rPr>
              <w:t>3.0%</w:t>
            </w:r>
          </w:p>
        </w:tc>
        <w:tc>
          <w:tcPr>
            <w:tcW w:w="1400" w:type="dxa"/>
            <w:noWrap/>
            <w:hideMark/>
          </w:tcPr>
          <w:p w14:paraId="446FB90E" w14:textId="77777777" w:rsidR="00F533E2" w:rsidRDefault="00F533E2" w:rsidP="00830E35">
            <w:pPr>
              <w:jc w:val="right"/>
              <w:rPr>
                <w:sz w:val="24"/>
              </w:rPr>
            </w:pPr>
          </w:p>
          <w:p w14:paraId="0D1B24EE" w14:textId="77777777" w:rsidR="00F533E2" w:rsidRDefault="00F533E2" w:rsidP="00830E35">
            <w:pPr>
              <w:jc w:val="right"/>
              <w:rPr>
                <w:sz w:val="24"/>
              </w:rPr>
            </w:pPr>
          </w:p>
          <w:p w14:paraId="656485F1" w14:textId="77777777" w:rsidR="00F533E2" w:rsidRPr="00F533E2" w:rsidRDefault="00F533E2" w:rsidP="00830E35">
            <w:pPr>
              <w:jc w:val="right"/>
              <w:rPr>
                <w:sz w:val="24"/>
              </w:rPr>
            </w:pPr>
            <w:r w:rsidRPr="00F533E2">
              <w:rPr>
                <w:sz w:val="24"/>
              </w:rPr>
              <w:t>3.4%</w:t>
            </w:r>
          </w:p>
        </w:tc>
      </w:tr>
      <w:tr w:rsidR="00F533E2" w:rsidRPr="00F533E2" w14:paraId="1E5F326C" w14:textId="77777777" w:rsidTr="00F533E2">
        <w:trPr>
          <w:trHeight w:val="915"/>
        </w:trPr>
        <w:tc>
          <w:tcPr>
            <w:tcW w:w="1900" w:type="dxa"/>
            <w:hideMark/>
          </w:tcPr>
          <w:p w14:paraId="4F50A31E" w14:textId="77777777" w:rsidR="00F533E2" w:rsidRPr="00F533E2" w:rsidRDefault="00F533E2">
            <w:pPr>
              <w:rPr>
                <w:sz w:val="24"/>
              </w:rPr>
            </w:pPr>
            <w:r w:rsidRPr="00F533E2">
              <w:rPr>
                <w:sz w:val="24"/>
              </w:rPr>
              <w:t>Advice Interaction Surveys Year 1 (AIS1)</w:t>
            </w:r>
          </w:p>
        </w:tc>
        <w:tc>
          <w:tcPr>
            <w:tcW w:w="1020" w:type="dxa"/>
            <w:noWrap/>
            <w:hideMark/>
          </w:tcPr>
          <w:p w14:paraId="638E9B6D" w14:textId="77777777" w:rsidR="00F533E2" w:rsidRDefault="00F533E2" w:rsidP="00830E35">
            <w:pPr>
              <w:jc w:val="right"/>
              <w:rPr>
                <w:sz w:val="24"/>
              </w:rPr>
            </w:pPr>
          </w:p>
          <w:p w14:paraId="70ED8328" w14:textId="77777777" w:rsidR="00F533E2" w:rsidRDefault="00F533E2" w:rsidP="00830E35">
            <w:pPr>
              <w:jc w:val="right"/>
              <w:rPr>
                <w:sz w:val="24"/>
              </w:rPr>
            </w:pPr>
          </w:p>
          <w:p w14:paraId="62CD7836" w14:textId="77777777" w:rsidR="00F533E2" w:rsidRPr="00F533E2" w:rsidRDefault="00F533E2" w:rsidP="00830E35">
            <w:pPr>
              <w:jc w:val="right"/>
              <w:rPr>
                <w:sz w:val="24"/>
              </w:rPr>
            </w:pPr>
            <w:r w:rsidRPr="00F533E2">
              <w:rPr>
                <w:sz w:val="24"/>
              </w:rPr>
              <w:t>4,250</w:t>
            </w:r>
          </w:p>
        </w:tc>
        <w:tc>
          <w:tcPr>
            <w:tcW w:w="1400" w:type="dxa"/>
            <w:noWrap/>
            <w:hideMark/>
          </w:tcPr>
          <w:p w14:paraId="7F8991FF" w14:textId="77777777" w:rsidR="00F533E2" w:rsidRDefault="00F533E2" w:rsidP="00830E35">
            <w:pPr>
              <w:jc w:val="right"/>
              <w:rPr>
                <w:sz w:val="24"/>
              </w:rPr>
            </w:pPr>
          </w:p>
          <w:p w14:paraId="5BB2D06E" w14:textId="77777777" w:rsidR="00F533E2" w:rsidRDefault="00F533E2" w:rsidP="00830E35">
            <w:pPr>
              <w:jc w:val="right"/>
              <w:rPr>
                <w:sz w:val="24"/>
              </w:rPr>
            </w:pPr>
          </w:p>
          <w:p w14:paraId="75F30245" w14:textId="77777777" w:rsidR="00F533E2" w:rsidRPr="00F533E2" w:rsidRDefault="00F533E2" w:rsidP="00830E35">
            <w:pPr>
              <w:jc w:val="right"/>
              <w:rPr>
                <w:sz w:val="24"/>
              </w:rPr>
            </w:pPr>
            <w:r w:rsidRPr="00F533E2">
              <w:rPr>
                <w:sz w:val="24"/>
              </w:rPr>
              <w:t>2.1%</w:t>
            </w:r>
          </w:p>
        </w:tc>
        <w:tc>
          <w:tcPr>
            <w:tcW w:w="1400" w:type="dxa"/>
            <w:noWrap/>
            <w:hideMark/>
          </w:tcPr>
          <w:p w14:paraId="06AB0A01" w14:textId="77777777" w:rsidR="00F533E2" w:rsidRDefault="00F533E2" w:rsidP="00830E35">
            <w:pPr>
              <w:jc w:val="right"/>
              <w:rPr>
                <w:sz w:val="24"/>
              </w:rPr>
            </w:pPr>
          </w:p>
          <w:p w14:paraId="6AAB826E" w14:textId="77777777" w:rsidR="00F533E2" w:rsidRDefault="00F533E2" w:rsidP="00830E35">
            <w:pPr>
              <w:jc w:val="right"/>
              <w:rPr>
                <w:sz w:val="24"/>
              </w:rPr>
            </w:pPr>
          </w:p>
          <w:p w14:paraId="50B7AD65" w14:textId="77777777" w:rsidR="00F533E2" w:rsidRPr="00F533E2" w:rsidRDefault="00F533E2" w:rsidP="00830E35">
            <w:pPr>
              <w:jc w:val="right"/>
              <w:rPr>
                <w:sz w:val="24"/>
              </w:rPr>
            </w:pPr>
            <w:r w:rsidRPr="00F533E2">
              <w:rPr>
                <w:sz w:val="24"/>
              </w:rPr>
              <w:t>2.5%</w:t>
            </w:r>
          </w:p>
        </w:tc>
        <w:tc>
          <w:tcPr>
            <w:tcW w:w="1020" w:type="dxa"/>
            <w:noWrap/>
            <w:hideMark/>
          </w:tcPr>
          <w:p w14:paraId="3183EA10" w14:textId="77777777" w:rsidR="00F533E2" w:rsidRDefault="00F533E2" w:rsidP="00830E35">
            <w:pPr>
              <w:jc w:val="right"/>
              <w:rPr>
                <w:sz w:val="24"/>
              </w:rPr>
            </w:pPr>
          </w:p>
          <w:p w14:paraId="2CB730A5" w14:textId="77777777" w:rsidR="00F533E2" w:rsidRDefault="00F533E2" w:rsidP="00830E35">
            <w:pPr>
              <w:jc w:val="right"/>
              <w:rPr>
                <w:sz w:val="24"/>
              </w:rPr>
            </w:pPr>
          </w:p>
          <w:p w14:paraId="0AD1F2B3" w14:textId="77777777" w:rsidR="00F533E2" w:rsidRPr="00F533E2" w:rsidRDefault="00F533E2" w:rsidP="00830E35">
            <w:pPr>
              <w:jc w:val="right"/>
              <w:rPr>
                <w:sz w:val="24"/>
              </w:rPr>
            </w:pPr>
            <w:r w:rsidRPr="00F533E2">
              <w:rPr>
                <w:sz w:val="24"/>
              </w:rPr>
              <w:t>2,125</w:t>
            </w:r>
          </w:p>
        </w:tc>
        <w:tc>
          <w:tcPr>
            <w:tcW w:w="1400" w:type="dxa"/>
            <w:noWrap/>
            <w:hideMark/>
          </w:tcPr>
          <w:p w14:paraId="33587ED1" w14:textId="77777777" w:rsidR="00F533E2" w:rsidRDefault="00F533E2" w:rsidP="00830E35">
            <w:pPr>
              <w:jc w:val="right"/>
              <w:rPr>
                <w:sz w:val="24"/>
              </w:rPr>
            </w:pPr>
          </w:p>
          <w:p w14:paraId="6505DDD5" w14:textId="77777777" w:rsidR="00F533E2" w:rsidRDefault="00F533E2" w:rsidP="00830E35">
            <w:pPr>
              <w:jc w:val="right"/>
              <w:rPr>
                <w:sz w:val="24"/>
              </w:rPr>
            </w:pPr>
          </w:p>
          <w:p w14:paraId="2D1C2047" w14:textId="77777777" w:rsidR="00F533E2" w:rsidRPr="00F533E2" w:rsidRDefault="00F533E2" w:rsidP="00830E35">
            <w:pPr>
              <w:jc w:val="right"/>
              <w:rPr>
                <w:sz w:val="24"/>
              </w:rPr>
            </w:pPr>
            <w:r w:rsidRPr="00F533E2">
              <w:rPr>
                <w:sz w:val="24"/>
              </w:rPr>
              <w:t>3.0%</w:t>
            </w:r>
          </w:p>
        </w:tc>
        <w:tc>
          <w:tcPr>
            <w:tcW w:w="1400" w:type="dxa"/>
            <w:noWrap/>
            <w:hideMark/>
          </w:tcPr>
          <w:p w14:paraId="2B0F0CDA" w14:textId="77777777" w:rsidR="00F533E2" w:rsidRDefault="00F533E2" w:rsidP="00830E35">
            <w:pPr>
              <w:jc w:val="right"/>
              <w:rPr>
                <w:sz w:val="24"/>
              </w:rPr>
            </w:pPr>
          </w:p>
          <w:p w14:paraId="7B6CBE7D" w14:textId="77777777" w:rsidR="00F533E2" w:rsidRDefault="00F533E2" w:rsidP="00830E35">
            <w:pPr>
              <w:jc w:val="right"/>
              <w:rPr>
                <w:sz w:val="24"/>
              </w:rPr>
            </w:pPr>
          </w:p>
          <w:p w14:paraId="15D4C390" w14:textId="77777777" w:rsidR="00F533E2" w:rsidRPr="00F533E2" w:rsidRDefault="00F533E2" w:rsidP="00830E35">
            <w:pPr>
              <w:jc w:val="right"/>
              <w:rPr>
                <w:sz w:val="24"/>
              </w:rPr>
            </w:pPr>
            <w:r w:rsidRPr="00F533E2">
              <w:rPr>
                <w:sz w:val="24"/>
              </w:rPr>
              <w:t>3.5%</w:t>
            </w:r>
          </w:p>
        </w:tc>
      </w:tr>
      <w:tr w:rsidR="00F533E2" w:rsidRPr="00F533E2" w14:paraId="775F2A83" w14:textId="77777777" w:rsidTr="00F533E2">
        <w:trPr>
          <w:trHeight w:val="615"/>
        </w:trPr>
        <w:tc>
          <w:tcPr>
            <w:tcW w:w="1900" w:type="dxa"/>
            <w:hideMark/>
          </w:tcPr>
          <w:p w14:paraId="451E1B2C" w14:textId="77777777" w:rsidR="00F533E2" w:rsidRPr="00F533E2" w:rsidRDefault="00F533E2">
            <w:pPr>
              <w:rPr>
                <w:sz w:val="24"/>
              </w:rPr>
            </w:pPr>
            <w:r w:rsidRPr="00F533E2">
              <w:rPr>
                <w:sz w:val="24"/>
              </w:rPr>
              <w:t>Annual Participant Survey (APS)</w:t>
            </w:r>
          </w:p>
        </w:tc>
        <w:tc>
          <w:tcPr>
            <w:tcW w:w="1020" w:type="dxa"/>
            <w:noWrap/>
            <w:hideMark/>
          </w:tcPr>
          <w:p w14:paraId="2F053AD5" w14:textId="77777777" w:rsidR="00F533E2" w:rsidRDefault="00F533E2" w:rsidP="00830E35">
            <w:pPr>
              <w:jc w:val="right"/>
              <w:rPr>
                <w:sz w:val="24"/>
              </w:rPr>
            </w:pPr>
          </w:p>
          <w:p w14:paraId="76AEBAAB" w14:textId="77777777" w:rsidR="00F533E2" w:rsidRDefault="00F533E2" w:rsidP="00830E35">
            <w:pPr>
              <w:jc w:val="right"/>
              <w:rPr>
                <w:sz w:val="24"/>
              </w:rPr>
            </w:pPr>
          </w:p>
          <w:p w14:paraId="283C224A" w14:textId="77777777" w:rsidR="00F533E2" w:rsidRPr="00F533E2" w:rsidRDefault="00F533E2" w:rsidP="00830E35">
            <w:pPr>
              <w:jc w:val="right"/>
              <w:rPr>
                <w:sz w:val="24"/>
              </w:rPr>
            </w:pPr>
            <w:r w:rsidRPr="00F533E2">
              <w:rPr>
                <w:sz w:val="24"/>
              </w:rPr>
              <w:t>4,075</w:t>
            </w:r>
          </w:p>
        </w:tc>
        <w:tc>
          <w:tcPr>
            <w:tcW w:w="1400" w:type="dxa"/>
            <w:noWrap/>
            <w:hideMark/>
          </w:tcPr>
          <w:p w14:paraId="25FC4794" w14:textId="77777777" w:rsidR="00F533E2" w:rsidRDefault="00F533E2" w:rsidP="00830E35">
            <w:pPr>
              <w:jc w:val="right"/>
              <w:rPr>
                <w:sz w:val="24"/>
              </w:rPr>
            </w:pPr>
          </w:p>
          <w:p w14:paraId="5A52B24F" w14:textId="77777777" w:rsidR="00F533E2" w:rsidRDefault="00F533E2" w:rsidP="00830E35">
            <w:pPr>
              <w:jc w:val="right"/>
              <w:rPr>
                <w:sz w:val="24"/>
              </w:rPr>
            </w:pPr>
          </w:p>
          <w:p w14:paraId="318F6DB9" w14:textId="77777777" w:rsidR="00F533E2" w:rsidRPr="00F533E2" w:rsidRDefault="00F533E2" w:rsidP="00830E35">
            <w:pPr>
              <w:jc w:val="right"/>
              <w:rPr>
                <w:sz w:val="24"/>
              </w:rPr>
            </w:pPr>
            <w:r w:rsidRPr="00F533E2">
              <w:rPr>
                <w:sz w:val="24"/>
              </w:rPr>
              <w:t>2.2%</w:t>
            </w:r>
          </w:p>
        </w:tc>
        <w:tc>
          <w:tcPr>
            <w:tcW w:w="1400" w:type="dxa"/>
            <w:noWrap/>
            <w:hideMark/>
          </w:tcPr>
          <w:p w14:paraId="667110B2" w14:textId="77777777" w:rsidR="00F533E2" w:rsidRDefault="00F533E2" w:rsidP="00830E35">
            <w:pPr>
              <w:jc w:val="right"/>
              <w:rPr>
                <w:sz w:val="24"/>
              </w:rPr>
            </w:pPr>
          </w:p>
          <w:p w14:paraId="1A9A693D" w14:textId="77777777" w:rsidR="00F533E2" w:rsidRDefault="00F533E2" w:rsidP="00830E35">
            <w:pPr>
              <w:jc w:val="right"/>
              <w:rPr>
                <w:sz w:val="24"/>
              </w:rPr>
            </w:pPr>
          </w:p>
          <w:p w14:paraId="30C40434" w14:textId="77777777" w:rsidR="00F533E2" w:rsidRPr="00F533E2" w:rsidRDefault="00F533E2" w:rsidP="00830E35">
            <w:pPr>
              <w:jc w:val="right"/>
              <w:rPr>
                <w:sz w:val="24"/>
              </w:rPr>
            </w:pPr>
            <w:r w:rsidRPr="00F533E2">
              <w:rPr>
                <w:sz w:val="24"/>
              </w:rPr>
              <w:t>2.5%</w:t>
            </w:r>
          </w:p>
        </w:tc>
        <w:tc>
          <w:tcPr>
            <w:tcW w:w="1020" w:type="dxa"/>
            <w:noWrap/>
            <w:hideMark/>
          </w:tcPr>
          <w:p w14:paraId="6AE21DD3" w14:textId="77777777" w:rsidR="00F533E2" w:rsidRDefault="00F533E2" w:rsidP="00830E35">
            <w:pPr>
              <w:jc w:val="right"/>
              <w:rPr>
                <w:sz w:val="24"/>
              </w:rPr>
            </w:pPr>
          </w:p>
          <w:p w14:paraId="7F9F06CF" w14:textId="77777777" w:rsidR="00F533E2" w:rsidRDefault="00F533E2" w:rsidP="00830E35">
            <w:pPr>
              <w:jc w:val="right"/>
              <w:rPr>
                <w:sz w:val="24"/>
              </w:rPr>
            </w:pPr>
          </w:p>
          <w:p w14:paraId="12D5276B" w14:textId="77777777" w:rsidR="00F533E2" w:rsidRPr="00F533E2" w:rsidRDefault="00F533E2" w:rsidP="00830E35">
            <w:pPr>
              <w:jc w:val="right"/>
              <w:rPr>
                <w:sz w:val="24"/>
              </w:rPr>
            </w:pPr>
            <w:r w:rsidRPr="00F533E2">
              <w:rPr>
                <w:sz w:val="24"/>
              </w:rPr>
              <w:t>2,038</w:t>
            </w:r>
          </w:p>
        </w:tc>
        <w:tc>
          <w:tcPr>
            <w:tcW w:w="1400" w:type="dxa"/>
            <w:noWrap/>
            <w:hideMark/>
          </w:tcPr>
          <w:p w14:paraId="1655DCDC" w14:textId="77777777" w:rsidR="00F533E2" w:rsidRDefault="00F533E2" w:rsidP="00830E35">
            <w:pPr>
              <w:jc w:val="right"/>
              <w:rPr>
                <w:sz w:val="24"/>
              </w:rPr>
            </w:pPr>
          </w:p>
          <w:p w14:paraId="7706A51B" w14:textId="77777777" w:rsidR="00F533E2" w:rsidRDefault="00F533E2" w:rsidP="00830E35">
            <w:pPr>
              <w:jc w:val="right"/>
              <w:rPr>
                <w:sz w:val="24"/>
              </w:rPr>
            </w:pPr>
          </w:p>
          <w:p w14:paraId="54F8FE0F" w14:textId="77777777" w:rsidR="00F533E2" w:rsidRPr="00F533E2" w:rsidRDefault="00F533E2" w:rsidP="00830E35">
            <w:pPr>
              <w:jc w:val="right"/>
              <w:rPr>
                <w:sz w:val="24"/>
              </w:rPr>
            </w:pPr>
            <w:r w:rsidRPr="00F533E2">
              <w:rPr>
                <w:sz w:val="24"/>
              </w:rPr>
              <w:t>3.1%</w:t>
            </w:r>
          </w:p>
        </w:tc>
        <w:tc>
          <w:tcPr>
            <w:tcW w:w="1400" w:type="dxa"/>
            <w:noWrap/>
            <w:hideMark/>
          </w:tcPr>
          <w:p w14:paraId="6F376C06" w14:textId="77777777" w:rsidR="00F533E2" w:rsidRDefault="00F533E2" w:rsidP="00830E35">
            <w:pPr>
              <w:jc w:val="right"/>
              <w:rPr>
                <w:sz w:val="24"/>
              </w:rPr>
            </w:pPr>
          </w:p>
          <w:p w14:paraId="3C381592" w14:textId="77777777" w:rsidR="00F533E2" w:rsidRDefault="00F533E2" w:rsidP="00830E35">
            <w:pPr>
              <w:jc w:val="right"/>
              <w:rPr>
                <w:sz w:val="24"/>
              </w:rPr>
            </w:pPr>
          </w:p>
          <w:p w14:paraId="4EA05163" w14:textId="77777777" w:rsidR="00F533E2" w:rsidRPr="00F533E2" w:rsidRDefault="00F533E2" w:rsidP="00830E35">
            <w:pPr>
              <w:jc w:val="right"/>
              <w:rPr>
                <w:sz w:val="24"/>
              </w:rPr>
            </w:pPr>
            <w:r w:rsidRPr="00F533E2">
              <w:rPr>
                <w:sz w:val="24"/>
              </w:rPr>
              <w:t>3.6%</w:t>
            </w:r>
          </w:p>
        </w:tc>
      </w:tr>
      <w:tr w:rsidR="00F533E2" w:rsidRPr="00F533E2" w14:paraId="108BC3A5" w14:textId="77777777" w:rsidTr="00F533E2">
        <w:trPr>
          <w:trHeight w:val="915"/>
        </w:trPr>
        <w:tc>
          <w:tcPr>
            <w:tcW w:w="1900" w:type="dxa"/>
            <w:hideMark/>
          </w:tcPr>
          <w:p w14:paraId="18EEE4D8" w14:textId="77777777" w:rsidR="00F533E2" w:rsidRPr="00F533E2" w:rsidRDefault="00F533E2">
            <w:pPr>
              <w:rPr>
                <w:sz w:val="24"/>
              </w:rPr>
            </w:pPr>
            <w:r w:rsidRPr="00F533E2">
              <w:rPr>
                <w:sz w:val="24"/>
              </w:rPr>
              <w:t>Advice Interaction Surveys Year 2 (AIS2)</w:t>
            </w:r>
          </w:p>
        </w:tc>
        <w:tc>
          <w:tcPr>
            <w:tcW w:w="1020" w:type="dxa"/>
            <w:noWrap/>
            <w:hideMark/>
          </w:tcPr>
          <w:p w14:paraId="1FCDF2AF" w14:textId="77777777" w:rsidR="00F533E2" w:rsidRDefault="00F533E2" w:rsidP="00830E35">
            <w:pPr>
              <w:jc w:val="right"/>
              <w:rPr>
                <w:sz w:val="24"/>
              </w:rPr>
            </w:pPr>
          </w:p>
          <w:p w14:paraId="3AE3F09A" w14:textId="77777777" w:rsidR="00F533E2" w:rsidRDefault="00F533E2" w:rsidP="00830E35">
            <w:pPr>
              <w:jc w:val="right"/>
              <w:rPr>
                <w:sz w:val="24"/>
              </w:rPr>
            </w:pPr>
          </w:p>
          <w:p w14:paraId="5592134B" w14:textId="77777777" w:rsidR="00F533E2" w:rsidRPr="00F533E2" w:rsidRDefault="00F533E2" w:rsidP="00830E35">
            <w:pPr>
              <w:jc w:val="right"/>
              <w:rPr>
                <w:sz w:val="24"/>
              </w:rPr>
            </w:pPr>
            <w:r w:rsidRPr="00F533E2">
              <w:rPr>
                <w:sz w:val="24"/>
              </w:rPr>
              <w:t>4,035</w:t>
            </w:r>
          </w:p>
        </w:tc>
        <w:tc>
          <w:tcPr>
            <w:tcW w:w="1400" w:type="dxa"/>
            <w:noWrap/>
            <w:hideMark/>
          </w:tcPr>
          <w:p w14:paraId="5FFB0BCC" w14:textId="77777777" w:rsidR="00F533E2" w:rsidRDefault="00F533E2" w:rsidP="00830E35">
            <w:pPr>
              <w:jc w:val="right"/>
              <w:rPr>
                <w:sz w:val="24"/>
              </w:rPr>
            </w:pPr>
          </w:p>
          <w:p w14:paraId="3D006BFF" w14:textId="77777777" w:rsidR="00F533E2" w:rsidRDefault="00F533E2" w:rsidP="00830E35">
            <w:pPr>
              <w:jc w:val="right"/>
              <w:rPr>
                <w:sz w:val="24"/>
              </w:rPr>
            </w:pPr>
          </w:p>
          <w:p w14:paraId="543BFC23" w14:textId="77777777" w:rsidR="00F533E2" w:rsidRPr="00F533E2" w:rsidRDefault="00F533E2" w:rsidP="00830E35">
            <w:pPr>
              <w:jc w:val="right"/>
              <w:rPr>
                <w:sz w:val="24"/>
              </w:rPr>
            </w:pPr>
            <w:r w:rsidRPr="00F533E2">
              <w:rPr>
                <w:sz w:val="24"/>
              </w:rPr>
              <w:t>2.2%</w:t>
            </w:r>
          </w:p>
        </w:tc>
        <w:tc>
          <w:tcPr>
            <w:tcW w:w="1400" w:type="dxa"/>
            <w:noWrap/>
            <w:hideMark/>
          </w:tcPr>
          <w:p w14:paraId="1C44B723" w14:textId="77777777" w:rsidR="00F533E2" w:rsidRDefault="00F533E2" w:rsidP="00830E35">
            <w:pPr>
              <w:jc w:val="right"/>
              <w:rPr>
                <w:sz w:val="24"/>
              </w:rPr>
            </w:pPr>
          </w:p>
          <w:p w14:paraId="13328D30" w14:textId="77777777" w:rsidR="00F533E2" w:rsidRDefault="00F533E2" w:rsidP="00830E35">
            <w:pPr>
              <w:jc w:val="right"/>
              <w:rPr>
                <w:sz w:val="24"/>
              </w:rPr>
            </w:pPr>
          </w:p>
          <w:p w14:paraId="155F2B41" w14:textId="77777777" w:rsidR="00F533E2" w:rsidRPr="00F533E2" w:rsidRDefault="00F533E2" w:rsidP="00830E35">
            <w:pPr>
              <w:jc w:val="right"/>
              <w:rPr>
                <w:sz w:val="24"/>
              </w:rPr>
            </w:pPr>
            <w:r w:rsidRPr="00F533E2">
              <w:rPr>
                <w:sz w:val="24"/>
              </w:rPr>
              <w:t>2.6%</w:t>
            </w:r>
          </w:p>
        </w:tc>
        <w:tc>
          <w:tcPr>
            <w:tcW w:w="1020" w:type="dxa"/>
            <w:noWrap/>
            <w:hideMark/>
          </w:tcPr>
          <w:p w14:paraId="7F0B14A8" w14:textId="77777777" w:rsidR="00F533E2" w:rsidRDefault="00F533E2" w:rsidP="00830E35">
            <w:pPr>
              <w:jc w:val="right"/>
              <w:rPr>
                <w:sz w:val="24"/>
              </w:rPr>
            </w:pPr>
          </w:p>
          <w:p w14:paraId="67246C23" w14:textId="77777777" w:rsidR="00F533E2" w:rsidRDefault="00F533E2" w:rsidP="00830E35">
            <w:pPr>
              <w:jc w:val="right"/>
              <w:rPr>
                <w:sz w:val="24"/>
              </w:rPr>
            </w:pPr>
          </w:p>
          <w:p w14:paraId="7B556556" w14:textId="77777777" w:rsidR="00F533E2" w:rsidRPr="00F533E2" w:rsidRDefault="00F533E2" w:rsidP="00830E35">
            <w:pPr>
              <w:jc w:val="right"/>
              <w:rPr>
                <w:sz w:val="24"/>
              </w:rPr>
            </w:pPr>
            <w:r w:rsidRPr="00F533E2">
              <w:rPr>
                <w:sz w:val="24"/>
              </w:rPr>
              <w:t>2,018</w:t>
            </w:r>
          </w:p>
        </w:tc>
        <w:tc>
          <w:tcPr>
            <w:tcW w:w="1400" w:type="dxa"/>
            <w:noWrap/>
            <w:hideMark/>
          </w:tcPr>
          <w:p w14:paraId="161D804B" w14:textId="77777777" w:rsidR="00F533E2" w:rsidRDefault="00F533E2" w:rsidP="00830E35">
            <w:pPr>
              <w:jc w:val="right"/>
              <w:rPr>
                <w:sz w:val="24"/>
              </w:rPr>
            </w:pPr>
          </w:p>
          <w:p w14:paraId="04CF6E07" w14:textId="77777777" w:rsidR="00F533E2" w:rsidRDefault="00F533E2" w:rsidP="00830E35">
            <w:pPr>
              <w:jc w:val="right"/>
              <w:rPr>
                <w:sz w:val="24"/>
              </w:rPr>
            </w:pPr>
          </w:p>
          <w:p w14:paraId="24BCBF89" w14:textId="77777777" w:rsidR="00F533E2" w:rsidRPr="00F533E2" w:rsidRDefault="00F533E2" w:rsidP="00830E35">
            <w:pPr>
              <w:jc w:val="right"/>
              <w:rPr>
                <w:sz w:val="24"/>
              </w:rPr>
            </w:pPr>
            <w:r w:rsidRPr="00F533E2">
              <w:rPr>
                <w:sz w:val="24"/>
              </w:rPr>
              <w:t>3.1%</w:t>
            </w:r>
          </w:p>
        </w:tc>
        <w:tc>
          <w:tcPr>
            <w:tcW w:w="1400" w:type="dxa"/>
            <w:noWrap/>
            <w:hideMark/>
          </w:tcPr>
          <w:p w14:paraId="780CBF10" w14:textId="77777777" w:rsidR="00F533E2" w:rsidRDefault="00F533E2" w:rsidP="00830E35">
            <w:pPr>
              <w:jc w:val="right"/>
              <w:rPr>
                <w:sz w:val="24"/>
              </w:rPr>
            </w:pPr>
          </w:p>
          <w:p w14:paraId="1C0AAFEB" w14:textId="77777777" w:rsidR="00F533E2" w:rsidRDefault="00F533E2" w:rsidP="00830E35">
            <w:pPr>
              <w:jc w:val="right"/>
              <w:rPr>
                <w:sz w:val="24"/>
              </w:rPr>
            </w:pPr>
          </w:p>
          <w:p w14:paraId="610B7B73" w14:textId="77777777" w:rsidR="00F533E2" w:rsidRPr="00F533E2" w:rsidRDefault="00F533E2" w:rsidP="00830E35">
            <w:pPr>
              <w:jc w:val="right"/>
              <w:rPr>
                <w:sz w:val="24"/>
              </w:rPr>
            </w:pPr>
            <w:r w:rsidRPr="00F533E2">
              <w:rPr>
                <w:sz w:val="24"/>
              </w:rPr>
              <w:t>3.6%</w:t>
            </w:r>
          </w:p>
        </w:tc>
      </w:tr>
    </w:tbl>
    <w:p w14:paraId="5CDD54C0" w14:textId="77777777" w:rsidR="00C45499" w:rsidRDefault="00C45499" w:rsidP="00C1088C">
      <w:pPr>
        <w:rPr>
          <w:sz w:val="24"/>
        </w:rPr>
      </w:pPr>
    </w:p>
    <w:p w14:paraId="3209325A" w14:textId="77777777" w:rsidR="00F533E2" w:rsidRDefault="00F533E2" w:rsidP="00C1088C">
      <w:pPr>
        <w:rPr>
          <w:sz w:val="24"/>
        </w:rPr>
      </w:pPr>
    </w:p>
    <w:p w14:paraId="25DD700D" w14:textId="77777777" w:rsidR="00FC029D" w:rsidRDefault="00FC029D" w:rsidP="00C1088C">
      <w:pPr>
        <w:rPr>
          <w:sz w:val="24"/>
        </w:rPr>
      </w:pPr>
      <w:r>
        <w:rPr>
          <w:sz w:val="24"/>
        </w:rPr>
        <w:t xml:space="preserve">These calculations are made using </w:t>
      </w:r>
      <w:r w:rsidR="00D12689">
        <w:rPr>
          <w:sz w:val="24"/>
        </w:rPr>
        <w:t>customary</w:t>
      </w:r>
      <w:r>
        <w:rPr>
          <w:sz w:val="24"/>
        </w:rPr>
        <w:t xml:space="preserve"> methods for power calculations based on the asymptotically normal distribution </w:t>
      </w:r>
      <w:r w:rsidR="00425912">
        <w:rPr>
          <w:sz w:val="24"/>
        </w:rPr>
        <w:t>of</w:t>
      </w:r>
      <w:r>
        <w:rPr>
          <w:sz w:val="24"/>
        </w:rPr>
        <w:t xml:space="preserve"> the </w:t>
      </w:r>
      <w:r w:rsidR="00F533E2">
        <w:rPr>
          <w:sz w:val="24"/>
        </w:rPr>
        <w:t xml:space="preserve">following </w:t>
      </w:r>
      <w:r>
        <w:rPr>
          <w:sz w:val="24"/>
        </w:rPr>
        <w:t>test statistic</w:t>
      </w:r>
      <w:r w:rsidR="00F533E2">
        <w:rPr>
          <w:sz w:val="24"/>
        </w:rPr>
        <w:t>:</w:t>
      </w:r>
      <w:r>
        <w:rPr>
          <w:sz w:val="24"/>
        </w:rPr>
        <w:t xml:space="preserve"> </w:t>
      </w:r>
    </w:p>
    <w:p w14:paraId="3B2075E5" w14:textId="77777777" w:rsidR="00FC029D" w:rsidRDefault="00FC029D" w:rsidP="00C1088C">
      <w:pPr>
        <w:rPr>
          <w:sz w:val="24"/>
        </w:rPr>
      </w:pPr>
      <m:oMathPara>
        <m:oMath>
          <m:r>
            <w:rPr>
              <w:rFonts w:ascii="Cambria Math" w:hAnsi="Cambria Math"/>
              <w:sz w:val="24"/>
            </w:rPr>
            <m:t>z=</m:t>
          </m:r>
          <m:f>
            <m:fPr>
              <m:ctrlPr>
                <w:rPr>
                  <w:rFonts w:ascii="Cambria Math" w:hAnsi="Cambria Math"/>
                  <w:i/>
                  <w:sz w:val="24"/>
                </w:rPr>
              </m:ctrlPr>
            </m:fPr>
            <m:num>
              <m:acc>
                <m:accPr>
                  <m:ctrlPr>
                    <w:rPr>
                      <w:rFonts w:ascii="Cambria Math" w:hAnsi="Cambria Math"/>
                      <w:i/>
                      <w:sz w:val="24"/>
                    </w:rPr>
                  </m:ctrlPr>
                </m:accPr>
                <m:e>
                  <m:r>
                    <w:rPr>
                      <w:rFonts w:ascii="Cambria Math" w:hAnsi="Cambria Math"/>
                      <w:sz w:val="24"/>
                    </w:rPr>
                    <m:t>p</m:t>
                  </m:r>
                </m:e>
              </m:acc>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num>
            <m:den>
              <m:r>
                <w:rPr>
                  <w:rFonts w:ascii="Cambria Math" w:hAnsi="Cambria Math"/>
                  <w:sz w:val="24"/>
                </w:rPr>
                <m:t>√</m:t>
              </m:r>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d>
                        <m:dPr>
                          <m:ctrlPr>
                            <w:rPr>
                              <w:rFonts w:ascii="Cambria Math" w:hAnsi="Cambria Math"/>
                              <w:i/>
                              <w:sz w:val="24"/>
                            </w:rPr>
                          </m:ctrlPr>
                        </m:dPr>
                        <m:e>
                          <m:r>
                            <w:rPr>
                              <w:rFonts w:ascii="Cambria Math" w:hAnsi="Cambria Math"/>
                              <w:sz w:val="24"/>
                            </w:rPr>
                            <m:t>1-</m:t>
                          </m:r>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e>
                      </m:d>
                    </m:num>
                    <m:den>
                      <m:r>
                        <w:rPr>
                          <w:rFonts w:ascii="Cambria Math" w:hAnsi="Cambria Math"/>
                          <w:sz w:val="24"/>
                        </w:rPr>
                        <m:t>n</m:t>
                      </m:r>
                    </m:den>
                  </m:f>
                </m:e>
              </m:d>
            </m:den>
          </m:f>
        </m:oMath>
      </m:oMathPara>
    </w:p>
    <w:p w14:paraId="67579D7E" w14:textId="77777777" w:rsidR="00FC029D" w:rsidRDefault="00E22CAD" w:rsidP="00C1088C">
      <w:pPr>
        <w:rPr>
          <w:sz w:val="24"/>
        </w:rPr>
      </w:pPr>
      <w:r>
        <w:rPr>
          <w:sz w:val="24"/>
        </w:rPr>
        <w:t>where</w:t>
      </w:r>
      <w:r w:rsidR="00425912">
        <w:rPr>
          <w:sz w:val="24"/>
        </w:rPr>
        <w:t xml:space="preserve"> </w:t>
      </w:r>
      <m:oMath>
        <m:acc>
          <m:accPr>
            <m:ctrlPr>
              <w:rPr>
                <w:rFonts w:ascii="Cambria Math" w:hAnsi="Cambria Math"/>
                <w:i/>
                <w:sz w:val="24"/>
              </w:rPr>
            </m:ctrlPr>
          </m:accPr>
          <m:e>
            <m:r>
              <w:rPr>
                <w:rFonts w:ascii="Cambria Math" w:hAnsi="Cambria Math"/>
                <w:sz w:val="24"/>
              </w:rPr>
              <m:t>p</m:t>
            </m:r>
          </m:e>
        </m:acc>
      </m:oMath>
      <w:r w:rsidR="00425912">
        <w:rPr>
          <w:sz w:val="24"/>
        </w:rPr>
        <w:t xml:space="preserve"> </w:t>
      </w:r>
      <w:r w:rsidR="002D03DE">
        <w:rPr>
          <w:sz w:val="24"/>
        </w:rPr>
        <w:t>is</w:t>
      </w:r>
      <w:r w:rsidR="00C81F5C">
        <w:rPr>
          <w:sz w:val="24"/>
        </w:rPr>
        <w:t xml:space="preserve"> the sample proportion and</w:t>
      </w:r>
      <w:r w:rsidR="00425912">
        <w:rPr>
          <w:sz w:val="24"/>
        </w:rPr>
        <w:t xml:space="preserv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oMath>
      <w:r w:rsidR="002D03DE">
        <w:rPr>
          <w:sz w:val="24"/>
        </w:rPr>
        <w:t xml:space="preserve"> is</w:t>
      </w:r>
      <w:r w:rsidR="00425912">
        <w:rPr>
          <w:sz w:val="24"/>
        </w:rPr>
        <w:t xml:space="preserve"> the hypothesized proportion</w:t>
      </w:r>
      <w:r w:rsidR="00C81F5C">
        <w:rPr>
          <w:sz w:val="24"/>
        </w:rPr>
        <w:t xml:space="preserve">—i.e., </w:t>
      </w:r>
      <m:oMath>
        <m:d>
          <m:dPr>
            <m:begChr m:val="|"/>
            <m:endChr m:val="|"/>
            <m:ctrlPr>
              <w:rPr>
                <w:rFonts w:ascii="Cambria Math" w:hAnsi="Cambria Math"/>
                <w:i/>
                <w:sz w:val="24"/>
              </w:rPr>
            </m:ctrlPr>
          </m:dPr>
          <m:e>
            <m:acc>
              <m:accPr>
                <m:ctrlPr>
                  <w:rPr>
                    <w:rFonts w:ascii="Cambria Math" w:hAnsi="Cambria Math"/>
                    <w:i/>
                    <w:sz w:val="24"/>
                  </w:rPr>
                </m:ctrlPr>
              </m:accPr>
              <m:e>
                <m:r>
                  <w:rPr>
                    <w:rFonts w:ascii="Cambria Math" w:hAnsi="Cambria Math"/>
                    <w:sz w:val="24"/>
                  </w:rPr>
                  <m:t>p</m:t>
                </m:r>
              </m:e>
            </m:acc>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e>
        </m:d>
      </m:oMath>
      <w:r w:rsidR="00C81F5C">
        <w:rPr>
          <w:sz w:val="24"/>
        </w:rPr>
        <w:t xml:space="preserve"> is the “effect size”—an</w:t>
      </w:r>
      <w:r w:rsidR="00425912">
        <w:rPr>
          <w:sz w:val="24"/>
        </w:rPr>
        <w:t xml:space="preserve">d </w:t>
      </w:r>
      <m:oMath>
        <m:r>
          <w:rPr>
            <w:rFonts w:ascii="Cambria Math" w:hAnsi="Cambria Math"/>
            <w:sz w:val="24"/>
          </w:rPr>
          <m:t>n</m:t>
        </m:r>
      </m:oMath>
      <w:r w:rsidR="00425912">
        <w:rPr>
          <w:sz w:val="24"/>
        </w:rPr>
        <w:t xml:space="preserve"> is the sample size.   </w:t>
      </w:r>
      <w:r w:rsidR="00985A80">
        <w:rPr>
          <w:sz w:val="24"/>
        </w:rPr>
        <w:t>The calculations set</w:t>
      </w:r>
      <w:r w:rsidR="002D03DE">
        <w:rPr>
          <w:sz w:val="24"/>
        </w:rPr>
        <w:t xml:space="preserv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oMath>
      <w:r w:rsidR="00985A80">
        <w:rPr>
          <w:sz w:val="24"/>
        </w:rPr>
        <w:t xml:space="preserve"> equal to</w:t>
      </w:r>
      <w:r w:rsidR="002D03DE">
        <w:rPr>
          <w:sz w:val="24"/>
        </w:rPr>
        <w:t xml:space="preserve"> 0.5</w:t>
      </w:r>
      <w:r w:rsidR="00985A80">
        <w:rPr>
          <w:sz w:val="24"/>
        </w:rPr>
        <w:t xml:space="preserve"> and use</w:t>
      </w:r>
      <w:r w:rsidR="002D03DE">
        <w:rPr>
          <w:sz w:val="24"/>
        </w:rPr>
        <w:t xml:space="preserve"> the critical value of about 1.96 corresponding to a two-tailed hypothesis test at the 5% signi</w:t>
      </w:r>
      <w:r w:rsidR="00B53504">
        <w:rPr>
          <w:sz w:val="24"/>
        </w:rPr>
        <w:t>ficance level.  Then</w:t>
      </w:r>
      <w:r w:rsidR="002D03DE">
        <w:rPr>
          <w:sz w:val="24"/>
        </w:rPr>
        <w:t>,</w:t>
      </w:r>
    </w:p>
    <w:p w14:paraId="2741D9AB" w14:textId="77777777" w:rsidR="002D03DE" w:rsidRPr="002D03DE" w:rsidRDefault="002D03DE" w:rsidP="00C1088C">
      <w:pPr>
        <w:rPr>
          <w:sz w:val="24"/>
        </w:rPr>
      </w:pPr>
      <m:oMathPara>
        <m:oMath>
          <m:r>
            <w:rPr>
              <w:rFonts w:ascii="Cambria Math" w:hAnsi="Cambria Math"/>
              <w:sz w:val="24"/>
            </w:rPr>
            <m:t>Power=</m:t>
          </m:r>
          <m:r>
            <w:rPr>
              <w:rFonts w:ascii="Cambria Math" w:hAnsi="Cambria Math"/>
              <w:i/>
              <w:sz w:val="24"/>
            </w:rPr>
            <w:sym w:font="Symbol" w:char="F046"/>
          </m:r>
          <m:r>
            <w:rPr>
              <w:rFonts w:ascii="Cambria Math" w:hAnsi="Cambria Math"/>
              <w:sz w:val="24"/>
            </w:rPr>
            <m:t>(</m:t>
          </m:r>
          <m:d>
            <m:dPr>
              <m:begChr m:val="|"/>
              <m:endChr m:val="|"/>
              <m:ctrlPr>
                <w:rPr>
                  <w:rFonts w:ascii="Cambria Math" w:hAnsi="Cambria Math"/>
                  <w:i/>
                  <w:sz w:val="24"/>
                </w:rPr>
              </m:ctrlPr>
            </m:dPr>
            <m:e>
              <m:r>
                <w:rPr>
                  <w:rFonts w:ascii="Cambria Math" w:hAnsi="Cambria Math"/>
                  <w:sz w:val="24"/>
                </w:rPr>
                <m:t>z</m:t>
              </m:r>
            </m:e>
          </m:d>
          <m:r>
            <w:rPr>
              <w:rFonts w:ascii="Cambria Math" w:hAnsi="Cambria Math"/>
              <w:sz w:val="24"/>
            </w:rPr>
            <m:t>-1.96)</m:t>
          </m:r>
        </m:oMath>
      </m:oMathPara>
    </w:p>
    <w:p w14:paraId="2448485E" w14:textId="77777777" w:rsidR="002D03DE" w:rsidRDefault="002D03DE" w:rsidP="00C1088C">
      <w:pPr>
        <w:rPr>
          <w:sz w:val="24"/>
        </w:rPr>
      </w:pPr>
      <w:r>
        <w:rPr>
          <w:sz w:val="24"/>
        </w:rPr>
        <w:t xml:space="preserve">where </w:t>
      </w:r>
      <w:r>
        <w:rPr>
          <w:sz w:val="24"/>
        </w:rPr>
        <w:sym w:font="Symbol" w:char="F046"/>
      </w:r>
      <w:r>
        <w:rPr>
          <w:sz w:val="24"/>
        </w:rPr>
        <w:t>(.) is the standard normal cumulative distribution function.</w:t>
      </w:r>
    </w:p>
    <w:p w14:paraId="040D106C" w14:textId="01FEC18A" w:rsidR="00195353" w:rsidRDefault="00195353">
      <w:pPr>
        <w:widowControl/>
        <w:autoSpaceDE/>
        <w:autoSpaceDN/>
        <w:adjustRightInd/>
        <w:rPr>
          <w:sz w:val="24"/>
        </w:rPr>
      </w:pPr>
      <w:r>
        <w:rPr>
          <w:sz w:val="24"/>
        </w:rPr>
        <w:br w:type="page"/>
      </w:r>
    </w:p>
    <w:p w14:paraId="25536E5A" w14:textId="77777777" w:rsidR="00AF36B6" w:rsidRDefault="00AF36B6" w:rsidP="00C1088C">
      <w:pPr>
        <w:rPr>
          <w:sz w:val="24"/>
        </w:rPr>
      </w:pPr>
    </w:p>
    <w:p w14:paraId="043BC3A6" w14:textId="77777777" w:rsidR="00AF36B6" w:rsidRDefault="00985A80" w:rsidP="00C1088C">
      <w:pPr>
        <w:rPr>
          <w:sz w:val="24"/>
        </w:rPr>
      </w:pPr>
      <w:r>
        <w:rPr>
          <w:sz w:val="24"/>
        </w:rPr>
        <w:t>T</w:t>
      </w:r>
      <w:r w:rsidR="00AF36B6">
        <w:rPr>
          <w:sz w:val="24"/>
        </w:rPr>
        <w:t>he</w:t>
      </w:r>
      <w:r w:rsidR="00A02889">
        <w:rPr>
          <w:sz w:val="24"/>
        </w:rPr>
        <w:t xml:space="preserve"> estimated</w:t>
      </w:r>
      <w:r w:rsidR="00AF36B6">
        <w:rPr>
          <w:sz w:val="24"/>
        </w:rPr>
        <w:t xml:space="preserve"> minimum substantively significant effect size</w:t>
      </w:r>
      <w:r w:rsidR="00647626">
        <w:rPr>
          <w:sz w:val="24"/>
        </w:rPr>
        <w:t>s</w:t>
      </w:r>
      <w:r w:rsidR="00D05CDE">
        <w:rPr>
          <w:sz w:val="24"/>
        </w:rPr>
        <w:t xml:space="preserve"> for the full sample of households</w:t>
      </w:r>
      <w:r w:rsidR="00AF36B6">
        <w:rPr>
          <w:sz w:val="24"/>
        </w:rPr>
        <w:t>, at the 5% level</w:t>
      </w:r>
      <w:r w:rsidR="00A02889">
        <w:rPr>
          <w:sz w:val="24"/>
        </w:rPr>
        <w:t xml:space="preserve"> and power</w:t>
      </w:r>
      <w:r w:rsidR="00B16A96">
        <w:rPr>
          <w:sz w:val="24"/>
        </w:rPr>
        <w:t>s</w:t>
      </w:r>
      <w:r w:rsidR="00A02889">
        <w:rPr>
          <w:sz w:val="24"/>
        </w:rPr>
        <w:t xml:space="preserve"> of 0.8 </w:t>
      </w:r>
      <w:r w:rsidR="00B16A96">
        <w:rPr>
          <w:sz w:val="24"/>
        </w:rPr>
        <w:t>and</w:t>
      </w:r>
      <w:r w:rsidR="00A02889">
        <w:rPr>
          <w:sz w:val="24"/>
        </w:rPr>
        <w:t xml:space="preserve"> 0.9</w:t>
      </w:r>
      <w:r w:rsidR="00AF36B6">
        <w:rPr>
          <w:sz w:val="24"/>
        </w:rPr>
        <w:t xml:space="preserve">, </w:t>
      </w:r>
      <w:r w:rsidR="00647626">
        <w:rPr>
          <w:sz w:val="24"/>
        </w:rPr>
        <w:t xml:space="preserve">are 1.4 percent and 1.7 percent, respectively, for the Pre-Survey, </w:t>
      </w:r>
      <w:r w:rsidR="00B16A96">
        <w:rPr>
          <w:sz w:val="24"/>
        </w:rPr>
        <w:t>and</w:t>
      </w:r>
      <w:r w:rsidR="00647626">
        <w:rPr>
          <w:sz w:val="24"/>
        </w:rPr>
        <w:t xml:space="preserve"> </w:t>
      </w:r>
      <w:r w:rsidR="00A02889">
        <w:rPr>
          <w:sz w:val="24"/>
        </w:rPr>
        <w:t>range</w:t>
      </w:r>
      <w:r w:rsidR="00647626">
        <w:rPr>
          <w:sz w:val="24"/>
        </w:rPr>
        <w:t xml:space="preserve"> from</w:t>
      </w:r>
      <w:r w:rsidR="00A02889">
        <w:rPr>
          <w:sz w:val="24"/>
        </w:rPr>
        <w:t xml:space="preserve"> 2</w:t>
      </w:r>
      <w:r w:rsidR="00647626">
        <w:rPr>
          <w:sz w:val="24"/>
        </w:rPr>
        <w:t>.1</w:t>
      </w:r>
      <w:r w:rsidR="00A02889">
        <w:rPr>
          <w:sz w:val="24"/>
        </w:rPr>
        <w:t xml:space="preserve"> to </w:t>
      </w:r>
      <w:r w:rsidR="00D05CDE">
        <w:rPr>
          <w:sz w:val="24"/>
        </w:rPr>
        <w:t>2.</w:t>
      </w:r>
      <w:r w:rsidR="00647626">
        <w:rPr>
          <w:sz w:val="24"/>
        </w:rPr>
        <w:t>6</w:t>
      </w:r>
      <w:r w:rsidR="00A02889">
        <w:rPr>
          <w:sz w:val="24"/>
        </w:rPr>
        <w:t xml:space="preserve"> percent over the course of the panel study beginning with the Initial Participant Survey.  </w:t>
      </w:r>
      <w:r w:rsidR="00D05CDE">
        <w:rPr>
          <w:sz w:val="24"/>
        </w:rPr>
        <w:t xml:space="preserve">The </w:t>
      </w:r>
      <w:r w:rsidR="00647626">
        <w:rPr>
          <w:sz w:val="24"/>
        </w:rPr>
        <w:t xml:space="preserve">reported </w:t>
      </w:r>
      <w:r w:rsidR="00D05CDE">
        <w:rPr>
          <w:sz w:val="24"/>
        </w:rPr>
        <w:t>estimate</w:t>
      </w:r>
      <w:r>
        <w:rPr>
          <w:sz w:val="24"/>
        </w:rPr>
        <w:t>s</w:t>
      </w:r>
      <w:r w:rsidR="00D5309E">
        <w:rPr>
          <w:sz w:val="24"/>
        </w:rPr>
        <w:t xml:space="preserve"> increase by about </w:t>
      </w:r>
      <w:r>
        <w:rPr>
          <w:sz w:val="24"/>
        </w:rPr>
        <w:t>one</w:t>
      </w:r>
      <w:r w:rsidR="00D5309E">
        <w:rPr>
          <w:sz w:val="24"/>
        </w:rPr>
        <w:t xml:space="preserve"> percentage point</w:t>
      </w:r>
      <w:r w:rsidR="00D05CDE">
        <w:rPr>
          <w:sz w:val="24"/>
        </w:rPr>
        <w:t xml:space="preserve"> when attention is res</w:t>
      </w:r>
      <w:r w:rsidR="00D5309E">
        <w:rPr>
          <w:sz w:val="24"/>
        </w:rPr>
        <w:t xml:space="preserve">tricted to </w:t>
      </w:r>
      <w:r w:rsidR="00D05CDE">
        <w:rPr>
          <w:sz w:val="24"/>
        </w:rPr>
        <w:t>households with retirement account assets</w:t>
      </w:r>
      <w:r w:rsidR="00647626">
        <w:rPr>
          <w:sz w:val="24"/>
        </w:rPr>
        <w:t>, ranging from 3.0 to 3.6 percent</w:t>
      </w:r>
      <w:r w:rsidR="00D05CDE">
        <w:rPr>
          <w:sz w:val="24"/>
        </w:rPr>
        <w:t>.</w:t>
      </w:r>
    </w:p>
    <w:p w14:paraId="03CD6491" w14:textId="77777777" w:rsidR="00A02889" w:rsidRPr="00C1088C" w:rsidRDefault="00A02889" w:rsidP="00C1088C">
      <w:pPr>
        <w:rPr>
          <w:sz w:val="24"/>
        </w:rPr>
      </w:pPr>
    </w:p>
    <w:p w14:paraId="7997B70F" w14:textId="77777777" w:rsidR="00C1088C" w:rsidRPr="00C1088C" w:rsidRDefault="00C1088C" w:rsidP="00C1088C">
      <w:pPr>
        <w:keepNext/>
        <w:spacing w:before="240" w:after="60"/>
        <w:outlineLvl w:val="1"/>
        <w:rPr>
          <w:b/>
          <w:sz w:val="24"/>
          <w:szCs w:val="22"/>
        </w:rPr>
      </w:pPr>
      <w:bookmarkStart w:id="8" w:name="_Toc362604581"/>
      <w:bookmarkStart w:id="9" w:name="_Toc479599185"/>
      <w:bookmarkEnd w:id="5"/>
      <w:r w:rsidRPr="00C1088C">
        <w:rPr>
          <w:b/>
          <w:sz w:val="24"/>
          <w:szCs w:val="22"/>
        </w:rPr>
        <w:t>B.2. Procedures for the Collection of Information</w:t>
      </w:r>
      <w:bookmarkEnd w:id="8"/>
      <w:r w:rsidR="006D06AD">
        <w:rPr>
          <w:b/>
          <w:sz w:val="24"/>
          <w:szCs w:val="22"/>
        </w:rPr>
        <w:t xml:space="preserve"> from the On the Road to Retirement Panel</w:t>
      </w:r>
      <w:bookmarkEnd w:id="9"/>
    </w:p>
    <w:p w14:paraId="4C56B6FB" w14:textId="77777777" w:rsidR="00C1088C" w:rsidRPr="00EE452D" w:rsidRDefault="00C1088C" w:rsidP="00C1088C">
      <w:pPr>
        <w:keepNext/>
        <w:spacing w:before="240" w:after="60"/>
        <w:ind w:left="720"/>
        <w:outlineLvl w:val="2"/>
        <w:rPr>
          <w:b/>
          <w:sz w:val="24"/>
        </w:rPr>
      </w:pPr>
      <w:bookmarkStart w:id="10" w:name="_Toc479599186"/>
      <w:bookmarkStart w:id="11" w:name="_Toc362604582"/>
      <w:r w:rsidRPr="00EE452D">
        <w:rPr>
          <w:b/>
          <w:sz w:val="24"/>
        </w:rPr>
        <w:t xml:space="preserve">B.2.a. </w:t>
      </w:r>
      <w:r w:rsidR="0040479C" w:rsidRPr="00EE452D">
        <w:rPr>
          <w:b/>
          <w:sz w:val="24"/>
        </w:rPr>
        <w:t>Pre-Survey</w:t>
      </w:r>
      <w:bookmarkEnd w:id="10"/>
      <w:r w:rsidR="0040479C" w:rsidRPr="00EE452D">
        <w:rPr>
          <w:b/>
          <w:sz w:val="24"/>
        </w:rPr>
        <w:t xml:space="preserve"> </w:t>
      </w:r>
      <w:bookmarkEnd w:id="11"/>
    </w:p>
    <w:p w14:paraId="35B690D4" w14:textId="77777777" w:rsidR="00C1088C" w:rsidRPr="00C1088C" w:rsidRDefault="00C1088C" w:rsidP="00C1088C">
      <w:pPr>
        <w:rPr>
          <w:sz w:val="22"/>
          <w:szCs w:val="22"/>
          <w:highlight w:val="yellow"/>
        </w:rPr>
      </w:pPr>
    </w:p>
    <w:p w14:paraId="37DEE018" w14:textId="77777777" w:rsidR="00C1088C" w:rsidRPr="00C1088C" w:rsidRDefault="00C1088C" w:rsidP="00C1088C">
      <w:pPr>
        <w:rPr>
          <w:sz w:val="24"/>
        </w:rPr>
      </w:pPr>
      <w:r w:rsidRPr="00C1088C">
        <w:rPr>
          <w:sz w:val="24"/>
        </w:rPr>
        <w:t xml:space="preserve">In the first stage of IPS respondent recruitment, we will select a sample </w:t>
      </w:r>
      <w:r w:rsidR="00AA3CA4">
        <w:rPr>
          <w:sz w:val="24"/>
        </w:rPr>
        <w:t>size of</w:t>
      </w:r>
      <w:r w:rsidRPr="00C1088C">
        <w:rPr>
          <w:sz w:val="24"/>
        </w:rPr>
        <w:t xml:space="preserve"> 25,000 from post office delivery sequence files provided by a commercial vendor.  This sample frame has essentially universal coverage of the U.S. population.  Many of the sampled addresses will include the name of a resident, in which case the </w:t>
      </w:r>
      <w:r w:rsidR="00E33599">
        <w:rPr>
          <w:sz w:val="24"/>
        </w:rPr>
        <w:t>Pre-Survey</w:t>
      </w:r>
      <w:r w:rsidRPr="00C1088C">
        <w:rPr>
          <w:sz w:val="24"/>
        </w:rPr>
        <w:t xml:space="preserve"> will be addressed to that individual’s household.  The others will be addressed to “Household Residing At.”  The </w:t>
      </w:r>
      <w:r w:rsidR="00E33599">
        <w:rPr>
          <w:sz w:val="24"/>
        </w:rPr>
        <w:t>Pre-Survey</w:t>
      </w:r>
      <w:r w:rsidRPr="00C1088C">
        <w:rPr>
          <w:sz w:val="24"/>
        </w:rPr>
        <w:t xml:space="preserve"> cover letter</w:t>
      </w:r>
      <w:r w:rsidR="00E75D1B">
        <w:rPr>
          <w:sz w:val="24"/>
        </w:rPr>
        <w:t xml:space="preserve"> </w:t>
      </w:r>
      <w:r w:rsidRPr="00C1088C">
        <w:rPr>
          <w:sz w:val="24"/>
        </w:rPr>
        <w:t>instructs the recipient to complete the questionnaire, unless another member of the household is much better able to answer questions about the household’s finances, in which case that other household member should complete the questionnaire.  DataStat, Inc., of Ann Arbor, Michigan (</w:t>
      </w:r>
      <w:r w:rsidR="006F6A35">
        <w:rPr>
          <w:sz w:val="24"/>
        </w:rPr>
        <w:t>http://</w:t>
      </w:r>
      <w:r w:rsidRPr="00C1088C">
        <w:rPr>
          <w:sz w:val="24"/>
        </w:rPr>
        <w:t xml:space="preserve">www.datastat.com) will administer the </w:t>
      </w:r>
      <w:r w:rsidR="00B76E64">
        <w:rPr>
          <w:sz w:val="24"/>
        </w:rPr>
        <w:t>P</w:t>
      </w:r>
      <w:r w:rsidRPr="00C1088C">
        <w:rPr>
          <w:sz w:val="24"/>
        </w:rPr>
        <w:t>re-</w:t>
      </w:r>
      <w:r w:rsidR="00B76E64">
        <w:rPr>
          <w:sz w:val="24"/>
        </w:rPr>
        <w:t>S</w:t>
      </w:r>
      <w:r w:rsidRPr="00C1088C">
        <w:rPr>
          <w:sz w:val="24"/>
        </w:rPr>
        <w:t>urvey.</w:t>
      </w:r>
    </w:p>
    <w:p w14:paraId="7C47D2B4" w14:textId="77777777" w:rsidR="00C1088C" w:rsidRPr="00C1088C" w:rsidRDefault="00C1088C" w:rsidP="00C1088C">
      <w:pPr>
        <w:rPr>
          <w:i/>
          <w:sz w:val="24"/>
        </w:rPr>
      </w:pPr>
    </w:p>
    <w:p w14:paraId="6A6B495C" w14:textId="77777777" w:rsidR="00C1088C" w:rsidRDefault="00C1088C" w:rsidP="00C1088C">
      <w:pPr>
        <w:rPr>
          <w:i/>
          <w:sz w:val="24"/>
        </w:rPr>
      </w:pPr>
      <w:r w:rsidRPr="00C1088C">
        <w:rPr>
          <w:i/>
          <w:sz w:val="24"/>
        </w:rPr>
        <w:t>IPS Recruitment</w:t>
      </w:r>
    </w:p>
    <w:p w14:paraId="30EA45EF" w14:textId="77777777" w:rsidR="00B84705" w:rsidRPr="00C1088C" w:rsidRDefault="00B84705" w:rsidP="00C1088C">
      <w:pPr>
        <w:rPr>
          <w:i/>
          <w:sz w:val="24"/>
        </w:rPr>
      </w:pPr>
    </w:p>
    <w:p w14:paraId="2689B0CD" w14:textId="77777777" w:rsidR="00C1088C" w:rsidRPr="00C1088C" w:rsidRDefault="00C1088C" w:rsidP="00C1088C">
      <w:pPr>
        <w:rPr>
          <w:sz w:val="24"/>
        </w:rPr>
      </w:pPr>
      <w:r w:rsidRPr="00C1088C">
        <w:rPr>
          <w:sz w:val="24"/>
        </w:rPr>
        <w:t xml:space="preserve">The recruitment process will involve a number of steps to determine eligibility for and interest in participating in the panel: (1) initial notification letter concerning a brief survey forthcoming by mail in the week ahead; (2) </w:t>
      </w:r>
      <w:r w:rsidR="00B76E64">
        <w:rPr>
          <w:sz w:val="24"/>
        </w:rPr>
        <w:t>P</w:t>
      </w:r>
      <w:r w:rsidRPr="00C1088C">
        <w:rPr>
          <w:sz w:val="24"/>
        </w:rPr>
        <w:t>re-</w:t>
      </w:r>
      <w:r w:rsidR="00B76E64">
        <w:rPr>
          <w:sz w:val="24"/>
        </w:rPr>
        <w:t>S</w:t>
      </w:r>
      <w:r w:rsidRPr="00C1088C">
        <w:rPr>
          <w:sz w:val="24"/>
        </w:rPr>
        <w:t xml:space="preserve">urvey packet with a cover letter, a brief questionnaire, a financial incentive, and a postage-paid return envelope; (3) </w:t>
      </w:r>
      <w:r w:rsidR="00E170D9">
        <w:rPr>
          <w:sz w:val="24"/>
        </w:rPr>
        <w:t>nonrespondent</w:t>
      </w:r>
      <w:r w:rsidRPr="00C1088C">
        <w:rPr>
          <w:sz w:val="24"/>
        </w:rPr>
        <w:t xml:space="preserve"> follow-up contacts via mail; and (4) </w:t>
      </w:r>
      <w:r w:rsidR="00E170D9">
        <w:rPr>
          <w:sz w:val="24"/>
        </w:rPr>
        <w:t>nonrespondent</w:t>
      </w:r>
      <w:r w:rsidRPr="00C1088C">
        <w:rPr>
          <w:sz w:val="24"/>
        </w:rPr>
        <w:t xml:space="preserve"> follow-up contacts via telephone.  Respondents who return a completed questionnaire will receive a financial incentive.  </w:t>
      </w:r>
    </w:p>
    <w:p w14:paraId="0B506D2F" w14:textId="77777777" w:rsidR="00C1088C" w:rsidRPr="00C1088C" w:rsidRDefault="00C1088C" w:rsidP="00C1088C">
      <w:pPr>
        <w:rPr>
          <w:sz w:val="24"/>
        </w:rPr>
      </w:pPr>
    </w:p>
    <w:p w14:paraId="27796D35" w14:textId="77777777" w:rsidR="00C1088C" w:rsidRDefault="00C1088C" w:rsidP="00C1088C">
      <w:pPr>
        <w:rPr>
          <w:sz w:val="24"/>
        </w:rPr>
      </w:pPr>
      <w:r w:rsidRPr="00C1088C">
        <w:rPr>
          <w:i/>
          <w:sz w:val="24"/>
        </w:rPr>
        <w:t>Initial Notification Letter</w:t>
      </w:r>
      <w:r w:rsidRPr="00C1088C">
        <w:rPr>
          <w:sz w:val="24"/>
        </w:rPr>
        <w:t xml:space="preserve"> </w:t>
      </w:r>
    </w:p>
    <w:p w14:paraId="785F4884" w14:textId="77777777" w:rsidR="00B84705" w:rsidRPr="00C1088C" w:rsidRDefault="00B84705" w:rsidP="00C1088C">
      <w:pPr>
        <w:rPr>
          <w:sz w:val="24"/>
        </w:rPr>
      </w:pPr>
    </w:p>
    <w:p w14:paraId="7A6DEDFB" w14:textId="03E66EE6" w:rsidR="00C1088C" w:rsidRPr="00C1088C" w:rsidRDefault="00C1088C" w:rsidP="00C1088C">
      <w:pPr>
        <w:rPr>
          <w:sz w:val="24"/>
        </w:rPr>
      </w:pPr>
      <w:r w:rsidRPr="00C1088C">
        <w:rPr>
          <w:sz w:val="24"/>
        </w:rPr>
        <w:t xml:space="preserve">A draft of the notification letter is included as Appendix </w:t>
      </w:r>
      <w:r w:rsidR="004038BF">
        <w:rPr>
          <w:sz w:val="24"/>
        </w:rPr>
        <w:t>4</w:t>
      </w:r>
      <w:r w:rsidRPr="00C1088C">
        <w:rPr>
          <w:sz w:val="24"/>
        </w:rPr>
        <w:t>. The letter will be printed in English with Department of Labor letterhead and signed by Joseph Piacentini, Director of Policy and Research at the Employee Benefits Security Administration. The first paragraph of the letter notifies the recipient that he or she will be receiving a brief questionnaire “in a few days</w:t>
      </w:r>
      <w:r w:rsidRPr="00E33599">
        <w:rPr>
          <w:sz w:val="24"/>
        </w:rPr>
        <w:t>.”  It describes the $5 compensation to be paid in advance and the $10 check that will be mailed after a completed survey has been returned to DataStat.  The</w:t>
      </w:r>
      <w:r w:rsidRPr="00C1088C">
        <w:rPr>
          <w:sz w:val="24"/>
        </w:rPr>
        <w:t xml:space="preserve"> paragraph concludes by describing the </w:t>
      </w:r>
      <w:r w:rsidRPr="00C1088C">
        <w:rPr>
          <w:sz w:val="24"/>
        </w:rPr>
        <w:lastRenderedPageBreak/>
        <w:t>purpose of the study: “to collect information on how households make important decisions</w:t>
      </w:r>
      <w:r w:rsidR="000C55F8" w:rsidRPr="000C55F8">
        <w:rPr>
          <w:sz w:val="24"/>
        </w:rPr>
        <w:t xml:space="preserve"> from early in their working lives all the way into retirement</w:t>
      </w:r>
      <w:r w:rsidRPr="00C1088C">
        <w:rPr>
          <w:sz w:val="24"/>
        </w:rPr>
        <w:t xml:space="preserve">.”  The results of the study are described as providing “valuable information to understand and improve the situation of individuals and families in the United States.”  </w:t>
      </w:r>
    </w:p>
    <w:p w14:paraId="664FA41A" w14:textId="77777777" w:rsidR="00C1088C" w:rsidRPr="00C1088C" w:rsidRDefault="00C1088C" w:rsidP="00C1088C">
      <w:pPr>
        <w:rPr>
          <w:sz w:val="24"/>
        </w:rPr>
      </w:pPr>
    </w:p>
    <w:p w14:paraId="18576545" w14:textId="77777777" w:rsidR="00C1088C" w:rsidRPr="00C1088C" w:rsidRDefault="00C1088C" w:rsidP="00C1088C">
      <w:pPr>
        <w:rPr>
          <w:sz w:val="24"/>
        </w:rPr>
      </w:pPr>
      <w:r w:rsidRPr="00C1088C">
        <w:rPr>
          <w:sz w:val="24"/>
        </w:rPr>
        <w:t>The second paragraph of the letter explains that the household was selected randomly. It notes that “the accuracy of the results depends on getting answers from your household and other households like yours that were selected for this survey.”</w:t>
      </w:r>
    </w:p>
    <w:p w14:paraId="6BD4CA27" w14:textId="77777777" w:rsidR="00C1088C" w:rsidRPr="00C1088C" w:rsidRDefault="00C1088C" w:rsidP="00C1088C">
      <w:pPr>
        <w:rPr>
          <w:sz w:val="24"/>
        </w:rPr>
      </w:pPr>
    </w:p>
    <w:p w14:paraId="5D5C1BF3" w14:textId="482E6FF1" w:rsidR="00C1088C" w:rsidRPr="00C1088C" w:rsidRDefault="00C1088C" w:rsidP="00C1088C">
      <w:pPr>
        <w:rPr>
          <w:sz w:val="24"/>
        </w:rPr>
      </w:pPr>
      <w:r w:rsidRPr="00C1088C">
        <w:rPr>
          <w:sz w:val="24"/>
        </w:rPr>
        <w:t xml:space="preserve">The </w:t>
      </w:r>
      <w:r w:rsidR="000C55F8">
        <w:rPr>
          <w:sz w:val="24"/>
        </w:rPr>
        <w:t xml:space="preserve">subsequent paragraphs </w:t>
      </w:r>
      <w:r w:rsidRPr="00C1088C">
        <w:rPr>
          <w:sz w:val="24"/>
        </w:rPr>
        <w:t xml:space="preserve">offer information about </w:t>
      </w:r>
      <w:r w:rsidR="000C55F8">
        <w:rPr>
          <w:sz w:val="24"/>
        </w:rPr>
        <w:t>the public release of data, data-sharing arrangements, and</w:t>
      </w:r>
      <w:r w:rsidR="000C55F8" w:rsidRPr="00C1088C">
        <w:rPr>
          <w:sz w:val="24"/>
        </w:rPr>
        <w:t xml:space="preserve"> </w:t>
      </w:r>
      <w:r w:rsidRPr="00C1088C">
        <w:rPr>
          <w:sz w:val="24"/>
        </w:rPr>
        <w:t xml:space="preserve">household participation.  In particular, </w:t>
      </w:r>
      <w:r w:rsidR="000C55F8">
        <w:rPr>
          <w:sz w:val="24"/>
        </w:rPr>
        <w:t>the letter</w:t>
      </w:r>
      <w:r w:rsidRPr="00C1088C">
        <w:rPr>
          <w:sz w:val="24"/>
        </w:rPr>
        <w:t xml:space="preserve"> states:</w:t>
      </w:r>
    </w:p>
    <w:p w14:paraId="31A914C4" w14:textId="77777777" w:rsidR="00C1088C" w:rsidRPr="00C1088C" w:rsidRDefault="00C1088C" w:rsidP="00C1088C">
      <w:pPr>
        <w:rPr>
          <w:sz w:val="24"/>
        </w:rPr>
      </w:pPr>
    </w:p>
    <w:p w14:paraId="3E8E74BA" w14:textId="3BD9CF2A" w:rsidR="00C1088C" w:rsidRPr="00C1088C" w:rsidRDefault="00C1088C" w:rsidP="00C1088C">
      <w:pPr>
        <w:ind w:left="720" w:right="720"/>
        <w:rPr>
          <w:sz w:val="24"/>
        </w:rPr>
      </w:pPr>
      <w:r w:rsidRPr="00C1088C">
        <w:rPr>
          <w:sz w:val="24"/>
        </w:rPr>
        <w:t>“</w:t>
      </w:r>
      <w:r w:rsidR="000C55F8" w:rsidRPr="000C55F8">
        <w:rPr>
          <w:sz w:val="24"/>
        </w:rPr>
        <w:t xml:space="preserve">Your survey responses will be used for research and statistical purposes by the Department of Labor and contractors and researchers working with us on this study.  </w:t>
      </w:r>
      <w:r w:rsidR="004038BF" w:rsidRPr="004038BF">
        <w:rPr>
          <w:sz w:val="24"/>
        </w:rPr>
        <w:t xml:space="preserve">We will keep your identity private to the extent permitted by law.  </w:t>
      </w:r>
      <w:r w:rsidR="000C55F8" w:rsidRPr="000C55F8">
        <w:rPr>
          <w:sz w:val="24"/>
        </w:rPr>
        <w:t>The Department</w:t>
      </w:r>
      <w:r w:rsidR="004038BF">
        <w:rPr>
          <w:sz w:val="24"/>
        </w:rPr>
        <w:t xml:space="preserve"> of Labor</w:t>
      </w:r>
      <w:r w:rsidR="000C55F8" w:rsidRPr="000C55F8">
        <w:rPr>
          <w:sz w:val="24"/>
        </w:rPr>
        <w:t xml:space="preserve"> intends to release </w:t>
      </w:r>
      <w:r w:rsidR="004038BF">
        <w:rPr>
          <w:sz w:val="24"/>
        </w:rPr>
        <w:t xml:space="preserve">a public </w:t>
      </w:r>
      <w:r w:rsidR="000C55F8" w:rsidRPr="000C55F8">
        <w:rPr>
          <w:sz w:val="24"/>
        </w:rPr>
        <w:t xml:space="preserve">data </w:t>
      </w:r>
      <w:r w:rsidR="004038BF">
        <w:rPr>
          <w:sz w:val="24"/>
        </w:rPr>
        <w:t xml:space="preserve">file with information </w:t>
      </w:r>
      <w:r w:rsidR="000C55F8" w:rsidRPr="000C55F8">
        <w:rPr>
          <w:sz w:val="24"/>
        </w:rPr>
        <w:t xml:space="preserve">obtained from this survey, but will </w:t>
      </w:r>
      <w:r w:rsidR="004038BF" w:rsidRPr="004038BF">
        <w:rPr>
          <w:sz w:val="24"/>
        </w:rPr>
        <w:t xml:space="preserve">do so in in a way that protects the privacy of individual respondents. For example, released data will not include any </w:t>
      </w:r>
      <w:r w:rsidR="000C55F8" w:rsidRPr="000C55F8">
        <w:rPr>
          <w:sz w:val="24"/>
        </w:rPr>
        <w:t>personally identifying information, such as your name and address.  The project team includes researchers from DataStat, Resolution Economics Group LLC, the University of Southern California, and RAND Corporation, a non-profit research organization.</w:t>
      </w:r>
      <w:r w:rsidRPr="00C1088C">
        <w:rPr>
          <w:sz w:val="24"/>
        </w:rPr>
        <w:t xml:space="preserve"> </w:t>
      </w:r>
    </w:p>
    <w:p w14:paraId="7A20CF05" w14:textId="77777777" w:rsidR="00C1088C" w:rsidRPr="00C1088C" w:rsidRDefault="00C1088C" w:rsidP="00C1088C">
      <w:pPr>
        <w:ind w:left="720" w:right="720"/>
        <w:rPr>
          <w:sz w:val="24"/>
        </w:rPr>
      </w:pPr>
    </w:p>
    <w:p w14:paraId="57B2EFA5" w14:textId="02E40515" w:rsidR="00C1088C" w:rsidRPr="00C1088C" w:rsidRDefault="00C1088C" w:rsidP="00C1088C">
      <w:pPr>
        <w:ind w:left="720" w:right="720"/>
        <w:rPr>
          <w:sz w:val="24"/>
        </w:rPr>
      </w:pPr>
      <w:r w:rsidRPr="00C1088C">
        <w:rPr>
          <w:sz w:val="24"/>
        </w:rPr>
        <w:t>Your participation is voluntary, and your decision to participate or not to participate will not affect you</w:t>
      </w:r>
      <w:r w:rsidR="004038BF" w:rsidRPr="004038BF">
        <w:rPr>
          <w:sz w:val="24"/>
        </w:rPr>
        <w:t>r standing or relationship with the U.S. Department of Labor</w:t>
      </w:r>
      <w:r w:rsidRPr="00C1088C">
        <w:rPr>
          <w:sz w:val="24"/>
        </w:rPr>
        <w:t xml:space="preserve"> in any way.  Your experiences and opinions will provide policy makers with valuable information</w:t>
      </w:r>
      <w:r w:rsidR="004038BF">
        <w:rPr>
          <w:sz w:val="24"/>
        </w:rPr>
        <w:t>; therefore</w:t>
      </w:r>
      <w:r w:rsidRPr="00C1088C">
        <w:rPr>
          <w:sz w:val="24"/>
        </w:rPr>
        <w:t>, we hope you will choose to participate.”</w:t>
      </w:r>
    </w:p>
    <w:p w14:paraId="06A07E76" w14:textId="77777777" w:rsidR="00C1088C" w:rsidRPr="00C1088C" w:rsidRDefault="00C1088C" w:rsidP="00C1088C">
      <w:pPr>
        <w:rPr>
          <w:sz w:val="24"/>
        </w:rPr>
      </w:pPr>
    </w:p>
    <w:p w14:paraId="56202F76" w14:textId="77777777" w:rsidR="00C1088C" w:rsidRPr="00C1088C" w:rsidRDefault="00C1088C" w:rsidP="00C1088C">
      <w:pPr>
        <w:rPr>
          <w:sz w:val="24"/>
        </w:rPr>
      </w:pPr>
      <w:r w:rsidRPr="00C1088C">
        <w:rPr>
          <w:sz w:val="24"/>
        </w:rPr>
        <w:t xml:space="preserve">The letter concludes by providing a toll-free phone number for questions about the study. </w:t>
      </w:r>
    </w:p>
    <w:p w14:paraId="2BC99D5B" w14:textId="77777777" w:rsidR="00C1088C" w:rsidRPr="00C1088C" w:rsidRDefault="00C1088C" w:rsidP="00C1088C">
      <w:pPr>
        <w:rPr>
          <w:sz w:val="24"/>
        </w:rPr>
      </w:pPr>
    </w:p>
    <w:p w14:paraId="70A67D94" w14:textId="77777777" w:rsidR="00C1088C" w:rsidRDefault="00C1088C" w:rsidP="00C1088C">
      <w:pPr>
        <w:rPr>
          <w:i/>
          <w:sz w:val="24"/>
        </w:rPr>
      </w:pPr>
      <w:r w:rsidRPr="00C1088C">
        <w:rPr>
          <w:i/>
          <w:sz w:val="24"/>
        </w:rPr>
        <w:t>Pre-Survey Packet: Cover Letter</w:t>
      </w:r>
    </w:p>
    <w:p w14:paraId="3E2C8895" w14:textId="77777777" w:rsidR="00B84705" w:rsidRPr="00C1088C" w:rsidRDefault="00B84705" w:rsidP="00C1088C">
      <w:pPr>
        <w:rPr>
          <w:i/>
          <w:sz w:val="24"/>
        </w:rPr>
      </w:pPr>
    </w:p>
    <w:p w14:paraId="4D8092AC" w14:textId="00A39774" w:rsidR="00C1088C" w:rsidRPr="00C1088C" w:rsidRDefault="00C1088C" w:rsidP="00C1088C">
      <w:pPr>
        <w:rPr>
          <w:sz w:val="24"/>
        </w:rPr>
      </w:pPr>
      <w:r w:rsidRPr="00C1088C">
        <w:rPr>
          <w:sz w:val="24"/>
        </w:rPr>
        <w:t xml:space="preserve">A draft of the </w:t>
      </w:r>
      <w:r w:rsidR="00E33599">
        <w:rPr>
          <w:sz w:val="24"/>
        </w:rPr>
        <w:t>Pre-Survey</w:t>
      </w:r>
      <w:r w:rsidRPr="00C1088C">
        <w:rPr>
          <w:sz w:val="24"/>
        </w:rPr>
        <w:t xml:space="preserve"> cover letter is included as Appendix </w:t>
      </w:r>
      <w:r w:rsidR="004038BF">
        <w:rPr>
          <w:sz w:val="24"/>
        </w:rPr>
        <w:t>5</w:t>
      </w:r>
      <w:r w:rsidRPr="00C1088C">
        <w:rPr>
          <w:sz w:val="24"/>
        </w:rPr>
        <w:t xml:space="preserve">. </w:t>
      </w:r>
      <w:r w:rsidR="00E83C60">
        <w:rPr>
          <w:sz w:val="24"/>
        </w:rPr>
        <w:t xml:space="preserve"> </w:t>
      </w:r>
      <w:r w:rsidRPr="00C1088C">
        <w:rPr>
          <w:sz w:val="24"/>
        </w:rPr>
        <w:t xml:space="preserve">This letter will also use Department of Labor letterhead and be signed by Joseph Piacentini.  The first paragraph of the letter reminds the recipient of the notification letter.  It also describes the purpose of the study using the same language as is found in the notification letter. </w:t>
      </w:r>
    </w:p>
    <w:p w14:paraId="5887A274" w14:textId="77777777" w:rsidR="00C1088C" w:rsidRPr="00C1088C" w:rsidRDefault="00C1088C" w:rsidP="00C1088C">
      <w:pPr>
        <w:rPr>
          <w:sz w:val="24"/>
        </w:rPr>
      </w:pPr>
    </w:p>
    <w:p w14:paraId="66703167" w14:textId="77777777" w:rsidR="00C1088C" w:rsidRPr="00C1088C" w:rsidRDefault="00C1088C" w:rsidP="00C1088C">
      <w:pPr>
        <w:rPr>
          <w:sz w:val="24"/>
        </w:rPr>
      </w:pPr>
      <w:r w:rsidRPr="00C1088C">
        <w:rPr>
          <w:sz w:val="24"/>
        </w:rPr>
        <w:t>The second paragraph explains that the household was selected randomly and appeals to the recipient for assistance using the same language as is found in the notification letter.  The questionnaire is described as taking “probably 10 minutes</w:t>
      </w:r>
      <w:r w:rsidR="0078502C">
        <w:rPr>
          <w:sz w:val="24"/>
        </w:rPr>
        <w:t xml:space="preserve"> or less</w:t>
      </w:r>
      <w:r w:rsidRPr="00C1088C">
        <w:rPr>
          <w:sz w:val="24"/>
        </w:rPr>
        <w:t xml:space="preserve">” to fill out.  The recipient is instructed to ask another member of the household to complete the questionnaire if he or she “is </w:t>
      </w:r>
      <w:r w:rsidRPr="00C1088C">
        <w:rPr>
          <w:sz w:val="24"/>
        </w:rPr>
        <w:lastRenderedPageBreak/>
        <w:t xml:space="preserve">much better able to answer questions about your household’s finances.” </w:t>
      </w:r>
    </w:p>
    <w:p w14:paraId="79242085" w14:textId="77777777" w:rsidR="00C1088C" w:rsidRPr="00C1088C" w:rsidRDefault="00C1088C" w:rsidP="00C1088C">
      <w:pPr>
        <w:rPr>
          <w:sz w:val="24"/>
        </w:rPr>
      </w:pPr>
    </w:p>
    <w:p w14:paraId="7A0081ED" w14:textId="04BCDB06" w:rsidR="00C1088C" w:rsidRPr="00C1088C" w:rsidRDefault="00C1088C" w:rsidP="00C1088C">
      <w:pPr>
        <w:rPr>
          <w:sz w:val="24"/>
        </w:rPr>
      </w:pPr>
      <w:r w:rsidRPr="00C1088C">
        <w:rPr>
          <w:sz w:val="24"/>
        </w:rPr>
        <w:t xml:space="preserve">The third paragraph begins by describing the financial compensation, both the enclosed $5 bill and the $10 check that will be sent after the completed questionnaire is returned in the enclosed, postage-paid envelope.  This information is followed in the fourth paragraph by a description of </w:t>
      </w:r>
      <w:r w:rsidR="000C55F8">
        <w:rPr>
          <w:sz w:val="24"/>
        </w:rPr>
        <w:t xml:space="preserve">the data to be publicly released and of </w:t>
      </w:r>
      <w:r w:rsidRPr="00C1088C">
        <w:rPr>
          <w:sz w:val="24"/>
        </w:rPr>
        <w:t>the data-sharing arrangement within the “project team” using the same language as in the notification letter.  The subsequent paragraph describes the voluntary nature of participation, followed by another appeal for assistance. The letter concludes by providing the toll-free phone questions about the questionnaire.</w:t>
      </w:r>
    </w:p>
    <w:p w14:paraId="00856BCB" w14:textId="77777777" w:rsidR="00C1088C" w:rsidRPr="00C1088C" w:rsidRDefault="00C1088C" w:rsidP="00C1088C">
      <w:pPr>
        <w:rPr>
          <w:sz w:val="24"/>
          <w:highlight w:val="yellow"/>
        </w:rPr>
      </w:pPr>
    </w:p>
    <w:p w14:paraId="1985069E" w14:textId="77777777" w:rsidR="00C1088C" w:rsidRDefault="00C1088C" w:rsidP="00C1088C">
      <w:pPr>
        <w:rPr>
          <w:i/>
          <w:sz w:val="24"/>
        </w:rPr>
      </w:pPr>
      <w:r w:rsidRPr="00C1088C">
        <w:rPr>
          <w:i/>
          <w:sz w:val="24"/>
        </w:rPr>
        <w:t>Pre-Survey Packet: Questionnaire</w:t>
      </w:r>
    </w:p>
    <w:p w14:paraId="1F5B93E6" w14:textId="77777777" w:rsidR="00B84705" w:rsidRPr="00C1088C" w:rsidRDefault="00B84705" w:rsidP="00C1088C">
      <w:pPr>
        <w:rPr>
          <w:i/>
          <w:sz w:val="24"/>
        </w:rPr>
      </w:pPr>
    </w:p>
    <w:p w14:paraId="17459BE3" w14:textId="1EF5DFB0" w:rsidR="00C1088C" w:rsidRPr="00C1088C" w:rsidRDefault="00C1088C" w:rsidP="00C1088C">
      <w:pPr>
        <w:rPr>
          <w:sz w:val="24"/>
        </w:rPr>
      </w:pPr>
      <w:r w:rsidRPr="00C1088C">
        <w:rPr>
          <w:sz w:val="24"/>
        </w:rPr>
        <w:t xml:space="preserve">The </w:t>
      </w:r>
      <w:r w:rsidR="00E33599">
        <w:rPr>
          <w:sz w:val="24"/>
        </w:rPr>
        <w:t>Pre-Survey</w:t>
      </w:r>
      <w:r w:rsidRPr="00C1088C">
        <w:rPr>
          <w:sz w:val="24"/>
        </w:rPr>
        <w:t xml:space="preserve"> will collect information about household composition, housing, and respondent attributes, including age, sex, race, ethnicity, language, and employment status</w:t>
      </w:r>
      <w:r w:rsidR="001373D4">
        <w:rPr>
          <w:sz w:val="24"/>
        </w:rPr>
        <w:t xml:space="preserve"> (</w:t>
      </w:r>
      <w:r w:rsidR="00284E8D">
        <w:rPr>
          <w:sz w:val="24"/>
        </w:rPr>
        <w:t>s</w:t>
      </w:r>
      <w:r w:rsidR="008A0E2A">
        <w:rPr>
          <w:sz w:val="24"/>
        </w:rPr>
        <w:t xml:space="preserve">ee Appendix </w:t>
      </w:r>
      <w:r w:rsidR="004038BF">
        <w:rPr>
          <w:sz w:val="24"/>
        </w:rPr>
        <w:t>7</w:t>
      </w:r>
      <w:r w:rsidR="001373D4">
        <w:rPr>
          <w:sz w:val="24"/>
        </w:rPr>
        <w:t>)</w:t>
      </w:r>
      <w:r w:rsidR="008A0E2A">
        <w:rPr>
          <w:sz w:val="24"/>
        </w:rPr>
        <w:t xml:space="preserve">. </w:t>
      </w:r>
      <w:r w:rsidRPr="00C1088C">
        <w:rPr>
          <w:sz w:val="24"/>
        </w:rPr>
        <w:t xml:space="preserve">Many of these questions are taken directly from the 2013 American Community Survey administered by the U.S. Census Bureau.  The responses to the questions will be useful for the purpose of assessing the representativeness of the </w:t>
      </w:r>
      <w:r w:rsidR="00E33599">
        <w:rPr>
          <w:sz w:val="24"/>
        </w:rPr>
        <w:t>Pre-Survey</w:t>
      </w:r>
      <w:r w:rsidRPr="00C1088C">
        <w:rPr>
          <w:sz w:val="24"/>
        </w:rPr>
        <w:t xml:space="preserve"> sample and for constructing sample weights.  Some of the baseline information will also be pre-loaded into future questionnaires to determine question-wording and question-branching algorithms.  For example, future question text or the sequence of questions may vary depending on whether the respondent is living alone or living with a spouse or with a partner.  The subsequent questionnaires will include a request to review this pre-loaded information for accuracy and changes.</w:t>
      </w:r>
    </w:p>
    <w:p w14:paraId="647A0D92" w14:textId="77777777" w:rsidR="00C1088C" w:rsidRPr="00C1088C" w:rsidRDefault="00C1088C" w:rsidP="00C1088C">
      <w:pPr>
        <w:rPr>
          <w:sz w:val="24"/>
        </w:rPr>
      </w:pPr>
    </w:p>
    <w:p w14:paraId="396781C7" w14:textId="77777777" w:rsidR="00C1088C" w:rsidRPr="00C1088C" w:rsidRDefault="00C1088C" w:rsidP="00C1088C">
      <w:pPr>
        <w:rPr>
          <w:sz w:val="24"/>
        </w:rPr>
      </w:pPr>
      <w:r w:rsidRPr="00C1088C">
        <w:rPr>
          <w:sz w:val="24"/>
        </w:rPr>
        <w:t xml:space="preserve">The </w:t>
      </w:r>
      <w:r w:rsidR="00E33599">
        <w:rPr>
          <w:sz w:val="24"/>
        </w:rPr>
        <w:t>Pre-Survey</w:t>
      </w:r>
      <w:r w:rsidRPr="00C1088C">
        <w:rPr>
          <w:sz w:val="24"/>
        </w:rPr>
        <w:t xml:space="preserve"> also includes a few questions concerning knowledge of household finances, financial decision making, and financial advice. This information will be used to determine whether the respondent is the most appropriate member of the household to participate in future interviews.  If not, efforts will be made to recruit the more appropriate respondent in future interviews. However, no household will be dropped from the sample based on whether or not the respondent is deemed to be the “more appropriate respondent.”  This information will also be valuable for assessing the effects of unit nonresponse to the IPS, which focuses on questions about household financial decision making and financial advice.</w:t>
      </w:r>
    </w:p>
    <w:p w14:paraId="52EA8875" w14:textId="77777777" w:rsidR="00C1088C" w:rsidRPr="00C1088C" w:rsidRDefault="00C1088C" w:rsidP="00C1088C">
      <w:pPr>
        <w:rPr>
          <w:sz w:val="24"/>
        </w:rPr>
      </w:pPr>
    </w:p>
    <w:p w14:paraId="0A81D031" w14:textId="77777777" w:rsidR="00C1088C" w:rsidRPr="00C1088C" w:rsidRDefault="00C1088C" w:rsidP="00C1088C">
      <w:pPr>
        <w:rPr>
          <w:sz w:val="24"/>
        </w:rPr>
      </w:pPr>
      <w:r w:rsidRPr="00C1088C">
        <w:rPr>
          <w:sz w:val="24"/>
        </w:rPr>
        <w:t xml:space="preserve">Finally, </w:t>
      </w:r>
      <w:r w:rsidR="00E33599">
        <w:rPr>
          <w:sz w:val="24"/>
        </w:rPr>
        <w:t>Pre-Survey</w:t>
      </w:r>
      <w:r w:rsidRPr="00C1088C">
        <w:rPr>
          <w:sz w:val="24"/>
        </w:rPr>
        <w:t xml:space="preserve"> respondents will be asked to indicate whether they are willing to be contacted again to participate in future surveys, as well as to provide email and telephone contact information.  This information will be used to determine how the</w:t>
      </w:r>
      <w:r w:rsidR="00021B1E">
        <w:rPr>
          <w:sz w:val="24"/>
        </w:rPr>
        <w:t xml:space="preserve"> Initial Participant Survey</w:t>
      </w:r>
      <w:r w:rsidRPr="00C1088C">
        <w:rPr>
          <w:sz w:val="24"/>
        </w:rPr>
        <w:t xml:space="preserve"> contact</w:t>
      </w:r>
      <w:r w:rsidR="00021B1E">
        <w:rPr>
          <w:sz w:val="24"/>
        </w:rPr>
        <w:t xml:space="preserve"> effort</w:t>
      </w:r>
      <w:r w:rsidRPr="00C1088C">
        <w:rPr>
          <w:sz w:val="24"/>
        </w:rPr>
        <w:t>s will be made (i.e., by regular, email, and/or phone).</w:t>
      </w:r>
    </w:p>
    <w:p w14:paraId="311C998E" w14:textId="77777777" w:rsidR="00C1088C" w:rsidRPr="00C1088C" w:rsidRDefault="00C1088C" w:rsidP="00C1088C">
      <w:pPr>
        <w:rPr>
          <w:i/>
          <w:sz w:val="24"/>
        </w:rPr>
      </w:pPr>
    </w:p>
    <w:p w14:paraId="313BA771" w14:textId="77777777" w:rsidR="00C1088C" w:rsidRDefault="00E170D9" w:rsidP="00C1088C">
      <w:pPr>
        <w:rPr>
          <w:i/>
          <w:sz w:val="24"/>
        </w:rPr>
      </w:pPr>
      <w:r>
        <w:rPr>
          <w:i/>
          <w:sz w:val="24"/>
        </w:rPr>
        <w:t>Nonrespondent</w:t>
      </w:r>
      <w:r w:rsidR="00C1088C" w:rsidRPr="00C1088C">
        <w:rPr>
          <w:i/>
          <w:sz w:val="24"/>
        </w:rPr>
        <w:t xml:space="preserve"> Follow-Up Contacts</w:t>
      </w:r>
    </w:p>
    <w:p w14:paraId="58935F22" w14:textId="77777777" w:rsidR="00B84705" w:rsidRPr="00C1088C" w:rsidRDefault="00B84705" w:rsidP="00C1088C">
      <w:pPr>
        <w:rPr>
          <w:i/>
          <w:sz w:val="24"/>
        </w:rPr>
      </w:pPr>
    </w:p>
    <w:p w14:paraId="28B58753" w14:textId="77777777" w:rsidR="00C1088C" w:rsidRPr="00C1088C" w:rsidRDefault="00C1088C" w:rsidP="00C1088C">
      <w:pPr>
        <w:rPr>
          <w:sz w:val="24"/>
        </w:rPr>
      </w:pPr>
      <w:r w:rsidRPr="00C1088C">
        <w:rPr>
          <w:sz w:val="24"/>
        </w:rPr>
        <w:t xml:space="preserve">Approximately two weeks after the survey mailing, </w:t>
      </w:r>
      <w:r w:rsidR="00E170D9">
        <w:rPr>
          <w:sz w:val="24"/>
        </w:rPr>
        <w:t>nonrespondent</w:t>
      </w:r>
      <w:r w:rsidRPr="00C1088C">
        <w:rPr>
          <w:sz w:val="24"/>
        </w:rPr>
        <w:t xml:space="preserve">s will be mailed a reminder postcard.  Approximately two weeks after the reminder postcard is mailed, a second copy of the </w:t>
      </w:r>
      <w:r w:rsidR="00E33599">
        <w:rPr>
          <w:sz w:val="24"/>
        </w:rPr>
        <w:lastRenderedPageBreak/>
        <w:t>Pre-Survey</w:t>
      </w:r>
      <w:r w:rsidRPr="00C1088C">
        <w:rPr>
          <w:sz w:val="24"/>
        </w:rPr>
        <w:t xml:space="preserve"> will be mailed to all sample members who have not yet returned a completed survey.</w:t>
      </w:r>
    </w:p>
    <w:p w14:paraId="57154B2D" w14:textId="77777777" w:rsidR="00C1088C" w:rsidRPr="00C1088C" w:rsidRDefault="00C1088C" w:rsidP="00C1088C">
      <w:pPr>
        <w:rPr>
          <w:sz w:val="24"/>
        </w:rPr>
      </w:pPr>
      <w:r w:rsidRPr="00C1088C">
        <w:rPr>
          <w:sz w:val="24"/>
        </w:rPr>
        <w:t xml:space="preserve">Approximately three weeks after the second copy of the </w:t>
      </w:r>
      <w:r w:rsidR="00E33599">
        <w:rPr>
          <w:sz w:val="24"/>
        </w:rPr>
        <w:t>Pre-Survey</w:t>
      </w:r>
      <w:r w:rsidRPr="00C1088C">
        <w:rPr>
          <w:sz w:val="24"/>
        </w:rPr>
        <w:t xml:space="preserve"> is mailed, DataStat will initiate telephone follow-up contact efforts to all sample members who have not yet returned a completed survey and for whom we have a telephone number.  Respondents will be given the opportunity to complete the questionnaire over the phone.  Telephone calls will follow a very thorough protocol that includes a minimum of eight callback attempts at systematically varied times of day and days of the week to the available telephone numbers until final disposition.  In addition, interviewers will make one attempt to “convert refusals into completions”—i.e., attempt to convince sample members to complete the questionnaire after initially declining to do so.  </w:t>
      </w:r>
    </w:p>
    <w:p w14:paraId="66F1D6E3" w14:textId="77777777" w:rsidR="00C1088C" w:rsidRPr="00C1088C" w:rsidRDefault="00C1088C" w:rsidP="00C1088C">
      <w:pPr>
        <w:rPr>
          <w:sz w:val="24"/>
        </w:rPr>
      </w:pPr>
    </w:p>
    <w:p w14:paraId="66CD9EA0" w14:textId="77777777" w:rsidR="00C1088C" w:rsidRPr="00C1088C" w:rsidRDefault="00C1088C" w:rsidP="00C1088C">
      <w:pPr>
        <w:rPr>
          <w:sz w:val="24"/>
        </w:rPr>
      </w:pPr>
      <w:r w:rsidRPr="00C1088C">
        <w:rPr>
          <w:sz w:val="24"/>
        </w:rPr>
        <w:t xml:space="preserve">We expect that telephone numbers will be available for about half of the sample.  These numbers will be primarily, if not exclusively, for landline phones. </w:t>
      </w:r>
    </w:p>
    <w:p w14:paraId="794B49FF" w14:textId="77777777" w:rsidR="00C1088C" w:rsidRPr="00C1088C" w:rsidRDefault="00C1088C" w:rsidP="00C1088C">
      <w:pPr>
        <w:rPr>
          <w:i/>
          <w:sz w:val="24"/>
        </w:rPr>
      </w:pPr>
    </w:p>
    <w:p w14:paraId="5862AEBA" w14:textId="77777777" w:rsidR="00C1088C" w:rsidRPr="00C1088C" w:rsidRDefault="00C1088C" w:rsidP="00C1088C">
      <w:pPr>
        <w:rPr>
          <w:i/>
          <w:sz w:val="24"/>
        </w:rPr>
      </w:pPr>
      <w:r w:rsidRPr="00C1088C">
        <w:rPr>
          <w:i/>
          <w:sz w:val="24"/>
        </w:rPr>
        <w:t>Respondent Payments</w:t>
      </w:r>
    </w:p>
    <w:p w14:paraId="5CD5EF68" w14:textId="77777777" w:rsidR="0029204C" w:rsidRDefault="00C1088C" w:rsidP="005D0282">
      <w:pPr>
        <w:keepNext/>
        <w:spacing w:before="240" w:after="120"/>
        <w:outlineLvl w:val="1"/>
        <w:rPr>
          <w:sz w:val="24"/>
        </w:rPr>
      </w:pPr>
      <w:bookmarkStart w:id="12" w:name="_Toc389150371"/>
      <w:bookmarkStart w:id="13" w:name="_Toc389223186"/>
      <w:bookmarkStart w:id="14" w:name="_Toc389229487"/>
      <w:bookmarkStart w:id="15" w:name="_Toc390085831"/>
      <w:bookmarkStart w:id="16" w:name="_Toc399230030"/>
      <w:bookmarkStart w:id="17" w:name="_Toc458458255"/>
      <w:bookmarkStart w:id="18" w:name="_Toc479523320"/>
      <w:bookmarkStart w:id="19" w:name="_Toc479599187"/>
      <w:r w:rsidRPr="00C1088C">
        <w:rPr>
          <w:sz w:val="24"/>
        </w:rPr>
        <w:t>Individuals who send in the completed questionnaire will be mailed a check for $10 as a thank you for completing the survey.</w:t>
      </w:r>
      <w:bookmarkEnd w:id="12"/>
      <w:bookmarkEnd w:id="13"/>
      <w:bookmarkEnd w:id="14"/>
      <w:bookmarkEnd w:id="15"/>
      <w:bookmarkEnd w:id="16"/>
      <w:bookmarkEnd w:id="17"/>
      <w:bookmarkEnd w:id="18"/>
      <w:bookmarkEnd w:id="19"/>
      <w:r w:rsidRPr="00C1088C">
        <w:rPr>
          <w:sz w:val="24"/>
        </w:rPr>
        <w:t xml:space="preserve">  </w:t>
      </w:r>
    </w:p>
    <w:p w14:paraId="164E60D2" w14:textId="77777777" w:rsidR="00BE152F" w:rsidRDefault="000B7D29" w:rsidP="00AC7705">
      <w:pPr>
        <w:keepNext/>
        <w:spacing w:before="240" w:after="240"/>
        <w:ind w:left="720"/>
        <w:outlineLvl w:val="2"/>
        <w:rPr>
          <w:b/>
          <w:sz w:val="24"/>
        </w:rPr>
      </w:pPr>
      <w:bookmarkStart w:id="20" w:name="_Toc479599188"/>
      <w:r w:rsidRPr="00EE452D">
        <w:rPr>
          <w:b/>
          <w:sz w:val="24"/>
        </w:rPr>
        <w:t>B.2.b. Initial Participant Survey (IPS)</w:t>
      </w:r>
      <w:bookmarkEnd w:id="20"/>
      <w:r w:rsidRPr="00EE452D">
        <w:rPr>
          <w:b/>
          <w:sz w:val="24"/>
        </w:rPr>
        <w:t xml:space="preserve"> </w:t>
      </w:r>
    </w:p>
    <w:p w14:paraId="57E50B50" w14:textId="77777777" w:rsidR="00C1088C" w:rsidRPr="00C1088C" w:rsidRDefault="00C1088C" w:rsidP="00C1088C">
      <w:pPr>
        <w:rPr>
          <w:sz w:val="24"/>
        </w:rPr>
      </w:pPr>
      <w:r w:rsidRPr="00C1088C">
        <w:rPr>
          <w:sz w:val="24"/>
        </w:rPr>
        <w:t xml:space="preserve">The </w:t>
      </w:r>
      <w:r w:rsidR="00E33599">
        <w:rPr>
          <w:sz w:val="24"/>
        </w:rPr>
        <w:t>Pre-Survey</w:t>
      </w:r>
      <w:r w:rsidRPr="00C1088C">
        <w:rPr>
          <w:sz w:val="24"/>
        </w:rPr>
        <w:t xml:space="preserve"> </w:t>
      </w:r>
      <w:r w:rsidR="00E9280E" w:rsidRPr="00C1088C">
        <w:rPr>
          <w:sz w:val="24"/>
        </w:rPr>
        <w:t>respondent</w:t>
      </w:r>
      <w:r w:rsidR="00E9280E">
        <w:rPr>
          <w:sz w:val="24"/>
        </w:rPr>
        <w:t xml:space="preserve"> households that</w:t>
      </w:r>
      <w:r w:rsidRPr="00C1088C">
        <w:rPr>
          <w:sz w:val="24"/>
        </w:rPr>
        <w:t xml:space="preserve"> are found to be </w:t>
      </w:r>
      <w:r w:rsidR="00E9280E">
        <w:rPr>
          <w:sz w:val="24"/>
        </w:rPr>
        <w:t>age-</w:t>
      </w:r>
      <w:r w:rsidRPr="00C1088C">
        <w:rPr>
          <w:sz w:val="24"/>
        </w:rPr>
        <w:t>eligible</w:t>
      </w:r>
      <w:r w:rsidR="00E9280E">
        <w:rPr>
          <w:sz w:val="24"/>
        </w:rPr>
        <w:t xml:space="preserve"> to participate in the study</w:t>
      </w:r>
      <w:r w:rsidRPr="00C1088C">
        <w:rPr>
          <w:sz w:val="24"/>
        </w:rPr>
        <w:t xml:space="preserve"> will be sent a welcome packet for the Initial Participant Survey.  The welcome packet will include information on how to securely log in to the panel study website and to sign in to complete the IPS interview via Internet.  Log-in information will also be emailed to those individuals who provided an e-mail address.</w:t>
      </w:r>
    </w:p>
    <w:p w14:paraId="08EFF0A8" w14:textId="77777777" w:rsidR="00C1088C" w:rsidRPr="00C1088C" w:rsidRDefault="00C1088C" w:rsidP="00C1088C">
      <w:pPr>
        <w:rPr>
          <w:sz w:val="24"/>
        </w:rPr>
      </w:pPr>
    </w:p>
    <w:p w14:paraId="77F0026B" w14:textId="5C2B2E0D" w:rsidR="00C1088C" w:rsidRPr="00C1088C" w:rsidRDefault="00C1088C" w:rsidP="00C1088C">
      <w:pPr>
        <w:rPr>
          <w:sz w:val="24"/>
        </w:rPr>
      </w:pPr>
      <w:r w:rsidRPr="00C1088C">
        <w:rPr>
          <w:sz w:val="24"/>
        </w:rPr>
        <w:t xml:space="preserve">The Internet interviews will include the Internet </w:t>
      </w:r>
      <w:r w:rsidR="00B46C65">
        <w:rPr>
          <w:sz w:val="24"/>
        </w:rPr>
        <w:t xml:space="preserve">IPS </w:t>
      </w:r>
      <w:r w:rsidRPr="00C1088C">
        <w:rPr>
          <w:sz w:val="24"/>
        </w:rPr>
        <w:t xml:space="preserve">Baseline and the Internet </w:t>
      </w:r>
      <w:r w:rsidR="00B46C65">
        <w:rPr>
          <w:sz w:val="24"/>
        </w:rPr>
        <w:t xml:space="preserve">IPS </w:t>
      </w:r>
      <w:r w:rsidRPr="00C1088C">
        <w:rPr>
          <w:sz w:val="24"/>
        </w:rPr>
        <w:t xml:space="preserve">Follow-Up about two weeks later.  The baseline interview will collect a range of information of central interest to this study, including questions regarding (a) eligibility for and participation in retirement plans, (b) use of a professional financial </w:t>
      </w:r>
      <w:r w:rsidR="00407ED4">
        <w:rPr>
          <w:sz w:val="24"/>
        </w:rPr>
        <w:t>adviser</w:t>
      </w:r>
      <w:r w:rsidRPr="00C1088C">
        <w:rPr>
          <w:sz w:val="24"/>
        </w:rPr>
        <w:t xml:space="preserve">, and (c) holding of IRAs. The follow-up interview will address issues of central interest to this study that are likely of increased sensitivity.  </w:t>
      </w:r>
      <w:r w:rsidR="003A7E5A">
        <w:rPr>
          <w:sz w:val="24"/>
        </w:rPr>
        <w:t xml:space="preserve">In the process </w:t>
      </w:r>
      <w:r w:rsidR="00E75000">
        <w:rPr>
          <w:sz w:val="24"/>
        </w:rPr>
        <w:t>of conducti</w:t>
      </w:r>
      <w:r w:rsidR="003A7E5A">
        <w:rPr>
          <w:sz w:val="24"/>
        </w:rPr>
        <w:t>n</w:t>
      </w:r>
      <w:r w:rsidR="00E75000">
        <w:rPr>
          <w:sz w:val="24"/>
        </w:rPr>
        <w:t>g</w:t>
      </w:r>
      <w:r w:rsidR="003A7E5A">
        <w:rPr>
          <w:sz w:val="24"/>
        </w:rPr>
        <w:t xml:space="preserve"> multiple interviews over time</w:t>
      </w:r>
      <w:r w:rsidRPr="00C1088C">
        <w:rPr>
          <w:sz w:val="24"/>
        </w:rPr>
        <w:t xml:space="preserve">, we hope to build some trust with the respondents and hence increase response rates while also serving to maintain contact in order to reduce attrition, as we have found to be the case with the American Life Panel.  Further, by breaking down the questionnaire into smaller modules administered at different points in time, we reduce the burden placed on respondents on any one day.  </w:t>
      </w:r>
    </w:p>
    <w:p w14:paraId="4D99B536" w14:textId="77777777" w:rsidR="00C1088C" w:rsidRPr="00C1088C" w:rsidRDefault="00C1088C" w:rsidP="00C1088C">
      <w:pPr>
        <w:rPr>
          <w:sz w:val="24"/>
        </w:rPr>
      </w:pPr>
    </w:p>
    <w:p w14:paraId="1CC9B9A7" w14:textId="77777777" w:rsidR="00C1088C" w:rsidRPr="00C1088C" w:rsidRDefault="00C1088C" w:rsidP="00C1088C">
      <w:pPr>
        <w:rPr>
          <w:sz w:val="24"/>
        </w:rPr>
      </w:pPr>
      <w:r w:rsidRPr="00C1088C">
        <w:rPr>
          <w:sz w:val="24"/>
        </w:rPr>
        <w:t xml:space="preserve">However, the benefits of conducting multiple interviews are not quite as apparent when we consider mail and telephone interview modes, and the costs to administer such surveys will be considerably greater.  Therefore, we have developed a single, comprehensive questionnaire for </w:t>
      </w:r>
      <w:r w:rsidRPr="00C1088C">
        <w:rPr>
          <w:sz w:val="24"/>
        </w:rPr>
        <w:lastRenderedPageBreak/>
        <w:t xml:space="preserve">the Mail/Telephone IPS interviews. </w:t>
      </w:r>
    </w:p>
    <w:p w14:paraId="01E3F7C4" w14:textId="77777777" w:rsidR="00C1088C" w:rsidRPr="00C1088C" w:rsidRDefault="00C1088C" w:rsidP="00C1088C">
      <w:pPr>
        <w:rPr>
          <w:sz w:val="24"/>
        </w:rPr>
      </w:pPr>
    </w:p>
    <w:p w14:paraId="21A4C13E" w14:textId="77777777" w:rsidR="00C1088C" w:rsidRDefault="00C1088C" w:rsidP="00C1088C">
      <w:pPr>
        <w:rPr>
          <w:i/>
          <w:sz w:val="24"/>
        </w:rPr>
      </w:pPr>
      <w:r w:rsidRPr="00C1088C">
        <w:rPr>
          <w:i/>
          <w:sz w:val="24"/>
        </w:rPr>
        <w:t>Welcome Packet</w:t>
      </w:r>
    </w:p>
    <w:p w14:paraId="4896335A" w14:textId="77777777" w:rsidR="00EE1177" w:rsidRPr="00C1088C" w:rsidRDefault="00EE1177" w:rsidP="00C1088C">
      <w:pPr>
        <w:rPr>
          <w:i/>
          <w:sz w:val="24"/>
        </w:rPr>
      </w:pPr>
    </w:p>
    <w:p w14:paraId="453CEDA5" w14:textId="5993234B" w:rsidR="00C1088C" w:rsidRPr="00C1088C" w:rsidRDefault="00C1088C" w:rsidP="00C1088C">
      <w:pPr>
        <w:rPr>
          <w:sz w:val="24"/>
        </w:rPr>
      </w:pPr>
      <w:r w:rsidRPr="00C1088C">
        <w:rPr>
          <w:sz w:val="24"/>
        </w:rPr>
        <w:t xml:space="preserve">The welcome packet will include a letter printed in English with DOL letterhead and signed by Joseph Piacentini.  A draft of the cover letter for potential respondents to the Mail/Telephone IPS is included as Appendix </w:t>
      </w:r>
      <w:r w:rsidR="004038BF">
        <w:rPr>
          <w:sz w:val="24"/>
        </w:rPr>
        <w:t>6</w:t>
      </w:r>
      <w:r w:rsidRPr="00C1088C">
        <w:rPr>
          <w:sz w:val="24"/>
        </w:rPr>
        <w:t xml:space="preserve">.  It will be addressed to the respondent who completed the </w:t>
      </w:r>
      <w:r w:rsidR="00E33599">
        <w:rPr>
          <w:sz w:val="24"/>
        </w:rPr>
        <w:t>Pre-Survey</w:t>
      </w:r>
      <w:r w:rsidRPr="00C1088C">
        <w:rPr>
          <w:sz w:val="24"/>
        </w:rPr>
        <w:t>.</w:t>
      </w:r>
    </w:p>
    <w:p w14:paraId="4D75A6A3" w14:textId="77777777" w:rsidR="00C1088C" w:rsidRPr="00C1088C" w:rsidRDefault="00C1088C" w:rsidP="00C1088C">
      <w:pPr>
        <w:rPr>
          <w:sz w:val="24"/>
        </w:rPr>
      </w:pPr>
    </w:p>
    <w:p w14:paraId="358690EF" w14:textId="77777777" w:rsidR="00C1088C" w:rsidRPr="00C1088C" w:rsidRDefault="00C1088C" w:rsidP="00C1088C">
      <w:pPr>
        <w:rPr>
          <w:sz w:val="24"/>
        </w:rPr>
      </w:pPr>
      <w:r w:rsidRPr="00C1088C">
        <w:rPr>
          <w:sz w:val="24"/>
        </w:rPr>
        <w:t xml:space="preserve">The letter begins by thanking the recipient for completing the </w:t>
      </w:r>
      <w:r w:rsidR="00E33599">
        <w:rPr>
          <w:sz w:val="24"/>
        </w:rPr>
        <w:t>Pre-Survey</w:t>
      </w:r>
      <w:r w:rsidRPr="00C1088C">
        <w:rPr>
          <w:sz w:val="24"/>
        </w:rPr>
        <w:t xml:space="preserve"> and for agreeing to being contacted again.</w:t>
      </w:r>
      <w:r w:rsidR="00986ACB" w:rsidRPr="00D07695">
        <w:rPr>
          <w:rStyle w:val="FootnoteReference"/>
          <w:rFonts w:ascii="Times" w:hAnsi="Times" w:cs="Tahoma"/>
          <w:sz w:val="24"/>
          <w:vertAlign w:val="superscript"/>
        </w:rPr>
        <w:footnoteReference w:id="4"/>
      </w:r>
      <w:r w:rsidRPr="00C1088C">
        <w:rPr>
          <w:sz w:val="24"/>
        </w:rPr>
        <w:t xml:space="preserve">  It then describes the goals and structure of the On the Road to Retirement Study, including the schedule of interviews “for the next two years or more” and the financial compensation to be paid for completing interviews. Much of the rest of the content of the letter closely resembles the content of the </w:t>
      </w:r>
      <w:r w:rsidR="00E33599">
        <w:rPr>
          <w:sz w:val="24"/>
        </w:rPr>
        <w:t>Pre-Survey</w:t>
      </w:r>
      <w:r w:rsidRPr="00C1088C">
        <w:rPr>
          <w:sz w:val="24"/>
        </w:rPr>
        <w:t xml:space="preserve"> cover letter, including the discussion of the purpose of the study, how the household was selected, the voluntary nature of participation, and how the data will be used and shared.</w:t>
      </w:r>
    </w:p>
    <w:p w14:paraId="0672F2E0" w14:textId="77777777" w:rsidR="00C1088C" w:rsidRPr="00C1088C" w:rsidRDefault="00C1088C" w:rsidP="00C1088C">
      <w:pPr>
        <w:rPr>
          <w:sz w:val="24"/>
        </w:rPr>
      </w:pPr>
    </w:p>
    <w:p w14:paraId="02DC2AE2" w14:textId="77777777" w:rsidR="00C1088C" w:rsidRPr="00C1088C" w:rsidRDefault="00C1088C" w:rsidP="00C1088C">
      <w:pPr>
        <w:rPr>
          <w:sz w:val="24"/>
        </w:rPr>
      </w:pPr>
      <w:r w:rsidRPr="00C1088C">
        <w:rPr>
          <w:sz w:val="24"/>
        </w:rPr>
        <w:t xml:space="preserve">The recipient is instructed to ask another member of the household to complete the questionnaire if he or she “is much better able to answer questions about your household’s finances.”  If responses to the </w:t>
      </w:r>
      <w:r w:rsidR="00E33599">
        <w:rPr>
          <w:sz w:val="24"/>
        </w:rPr>
        <w:t>Pre-Survey</w:t>
      </w:r>
      <w:r w:rsidRPr="00C1088C">
        <w:rPr>
          <w:sz w:val="24"/>
        </w:rPr>
        <w:t xml:space="preserve"> indicate that another household member is the more appropriate respondent, then the letter will ask that this other household member complete the questionnaire.  However: “If that is not possible, we would still welcome and greatly appreciate your participation.”</w:t>
      </w:r>
      <w:r w:rsidRPr="00C1088C" w:rsidDel="008A33F0">
        <w:rPr>
          <w:sz w:val="24"/>
        </w:rPr>
        <w:t xml:space="preserve"> </w:t>
      </w:r>
      <w:r w:rsidRPr="00C1088C">
        <w:rPr>
          <w:sz w:val="24"/>
        </w:rPr>
        <w:t xml:space="preserve"> </w:t>
      </w:r>
    </w:p>
    <w:p w14:paraId="5365D9B8" w14:textId="77777777" w:rsidR="00C1088C" w:rsidRPr="00C1088C" w:rsidRDefault="00C1088C" w:rsidP="00C1088C">
      <w:pPr>
        <w:rPr>
          <w:sz w:val="24"/>
        </w:rPr>
      </w:pPr>
    </w:p>
    <w:p w14:paraId="055E5BD7" w14:textId="77777777" w:rsidR="00C1088C" w:rsidRPr="00C1088C" w:rsidRDefault="00C1088C" w:rsidP="00C1088C">
      <w:pPr>
        <w:rPr>
          <w:sz w:val="24"/>
        </w:rPr>
      </w:pPr>
      <w:r w:rsidRPr="00C1088C">
        <w:rPr>
          <w:sz w:val="24"/>
        </w:rPr>
        <w:t>The letter reports that “the survey is estimated to require an average of 30 minutes to complete” and notes that a $20 check will be sent after the questionnaire is returned.  The letter concludes by mentioning the possibility of completing the interview via Internet, and provides the web address, username, and password in order to do so.</w:t>
      </w:r>
    </w:p>
    <w:p w14:paraId="0FF5F21E" w14:textId="77777777" w:rsidR="00C1088C" w:rsidRPr="00C1088C" w:rsidRDefault="00C1088C" w:rsidP="00C1088C">
      <w:pPr>
        <w:rPr>
          <w:sz w:val="24"/>
        </w:rPr>
      </w:pPr>
    </w:p>
    <w:p w14:paraId="6956266A" w14:textId="77777777" w:rsidR="00C1088C" w:rsidRPr="00C1088C" w:rsidRDefault="00C1088C" w:rsidP="00C1088C">
      <w:pPr>
        <w:rPr>
          <w:i/>
          <w:sz w:val="24"/>
        </w:rPr>
      </w:pPr>
      <w:r w:rsidRPr="00C1088C">
        <w:rPr>
          <w:i/>
          <w:sz w:val="24"/>
        </w:rPr>
        <w:t xml:space="preserve">Internet </w:t>
      </w:r>
      <w:r w:rsidR="00B90C0E">
        <w:rPr>
          <w:i/>
          <w:sz w:val="24"/>
        </w:rPr>
        <w:t xml:space="preserve">IPS </w:t>
      </w:r>
      <w:r w:rsidRPr="00C1088C">
        <w:rPr>
          <w:i/>
          <w:sz w:val="24"/>
        </w:rPr>
        <w:t xml:space="preserve">Baseline Interview </w:t>
      </w:r>
    </w:p>
    <w:p w14:paraId="290C8F38" w14:textId="77777777" w:rsidR="00C1088C" w:rsidRPr="00C1088C" w:rsidRDefault="00C1088C" w:rsidP="00C1088C">
      <w:pPr>
        <w:rPr>
          <w:i/>
          <w:sz w:val="24"/>
        </w:rPr>
      </w:pPr>
    </w:p>
    <w:p w14:paraId="61DF2199" w14:textId="7CBDE26D" w:rsidR="00C1088C" w:rsidRDefault="00C1088C" w:rsidP="00C1088C">
      <w:pPr>
        <w:rPr>
          <w:sz w:val="24"/>
        </w:rPr>
      </w:pPr>
      <w:r w:rsidRPr="00C1088C">
        <w:rPr>
          <w:sz w:val="24"/>
        </w:rPr>
        <w:t xml:space="preserve">The </w:t>
      </w:r>
      <w:r w:rsidR="00AF17C8" w:rsidRPr="00C1088C">
        <w:rPr>
          <w:sz w:val="24"/>
        </w:rPr>
        <w:t>Internet</w:t>
      </w:r>
      <w:r w:rsidR="00AF17C8">
        <w:rPr>
          <w:sz w:val="24"/>
        </w:rPr>
        <w:t xml:space="preserve"> IPS </w:t>
      </w:r>
      <w:r w:rsidRPr="00C1088C">
        <w:rPr>
          <w:sz w:val="24"/>
        </w:rPr>
        <w:t>Baseline interview will require approximately 2</w:t>
      </w:r>
      <w:r w:rsidR="00C627D7">
        <w:rPr>
          <w:sz w:val="24"/>
        </w:rPr>
        <w:t>5</w:t>
      </w:r>
      <w:r w:rsidRPr="00C1088C">
        <w:rPr>
          <w:sz w:val="24"/>
        </w:rPr>
        <w:t>-3</w:t>
      </w:r>
      <w:r w:rsidR="00C627D7">
        <w:rPr>
          <w:sz w:val="24"/>
        </w:rPr>
        <w:t>5</w:t>
      </w:r>
      <w:r w:rsidRPr="00C1088C">
        <w:rPr>
          <w:sz w:val="24"/>
        </w:rPr>
        <w:t xml:space="preserve"> minutes to complete.  Respondents will be paid $20 for a completed interview.  Included among the questions will be sections on retirement savings behavior and on financial advice</w:t>
      </w:r>
      <w:r w:rsidR="00284E8D">
        <w:rPr>
          <w:sz w:val="24"/>
        </w:rPr>
        <w:t xml:space="preserve"> (s</w:t>
      </w:r>
      <w:r w:rsidR="00305DDC">
        <w:rPr>
          <w:sz w:val="24"/>
        </w:rPr>
        <w:t xml:space="preserve">ee Appendix </w:t>
      </w:r>
      <w:r w:rsidR="004038BF">
        <w:rPr>
          <w:sz w:val="24"/>
        </w:rPr>
        <w:t>8</w:t>
      </w:r>
      <w:r w:rsidR="00284E8D">
        <w:rPr>
          <w:sz w:val="24"/>
        </w:rPr>
        <w:t>)</w:t>
      </w:r>
      <w:r w:rsidR="00305DDC">
        <w:rPr>
          <w:sz w:val="24"/>
        </w:rPr>
        <w:t>.</w:t>
      </w:r>
    </w:p>
    <w:p w14:paraId="2A345C3E" w14:textId="77777777" w:rsidR="000E1309" w:rsidRPr="00C1088C" w:rsidRDefault="000E1309" w:rsidP="00C1088C">
      <w:pPr>
        <w:rPr>
          <w:sz w:val="24"/>
        </w:rPr>
      </w:pPr>
    </w:p>
    <w:p w14:paraId="4818C4A5" w14:textId="7C8032FA" w:rsidR="000E1309" w:rsidRDefault="000E1309">
      <w:pPr>
        <w:widowControl/>
        <w:autoSpaceDE/>
        <w:autoSpaceDN/>
        <w:adjustRightInd/>
        <w:rPr>
          <w:sz w:val="24"/>
          <w:highlight w:val="yellow"/>
        </w:rPr>
      </w:pPr>
      <w:r>
        <w:rPr>
          <w:sz w:val="24"/>
          <w:highlight w:val="yellow"/>
        </w:rPr>
        <w:br w:type="page"/>
      </w:r>
    </w:p>
    <w:p w14:paraId="5D308A3E" w14:textId="77777777" w:rsidR="00C1088C" w:rsidRPr="00C1088C" w:rsidRDefault="00C1088C" w:rsidP="00C1088C">
      <w:pPr>
        <w:rPr>
          <w:sz w:val="24"/>
          <w:highlight w:val="yellow"/>
        </w:rPr>
      </w:pPr>
    </w:p>
    <w:p w14:paraId="793CD484" w14:textId="77777777" w:rsidR="00C1088C" w:rsidRPr="00C1088C" w:rsidRDefault="00C1088C" w:rsidP="00C1088C">
      <w:pPr>
        <w:rPr>
          <w:i/>
          <w:sz w:val="24"/>
        </w:rPr>
      </w:pPr>
      <w:r w:rsidRPr="00C1088C">
        <w:rPr>
          <w:i/>
          <w:sz w:val="24"/>
        </w:rPr>
        <w:t xml:space="preserve">Internet </w:t>
      </w:r>
      <w:r w:rsidR="00B90C0E">
        <w:rPr>
          <w:i/>
          <w:sz w:val="24"/>
        </w:rPr>
        <w:t xml:space="preserve">IPS </w:t>
      </w:r>
      <w:r w:rsidRPr="00C1088C">
        <w:rPr>
          <w:i/>
          <w:sz w:val="24"/>
        </w:rPr>
        <w:t>Follow-Up Interview</w:t>
      </w:r>
    </w:p>
    <w:p w14:paraId="2DB1BF58" w14:textId="77777777" w:rsidR="00C1088C" w:rsidRPr="00C1088C" w:rsidRDefault="00C1088C" w:rsidP="00C1088C">
      <w:pPr>
        <w:rPr>
          <w:sz w:val="24"/>
        </w:rPr>
      </w:pPr>
    </w:p>
    <w:p w14:paraId="17066252" w14:textId="1BA46098" w:rsidR="00C1088C" w:rsidRPr="00C1088C" w:rsidRDefault="00C1088C" w:rsidP="00C1088C">
      <w:pPr>
        <w:rPr>
          <w:sz w:val="24"/>
        </w:rPr>
      </w:pPr>
      <w:r w:rsidRPr="00C1088C">
        <w:rPr>
          <w:sz w:val="24"/>
        </w:rPr>
        <w:t xml:space="preserve">The Internet </w:t>
      </w:r>
      <w:r w:rsidR="00AF17C8">
        <w:rPr>
          <w:sz w:val="24"/>
        </w:rPr>
        <w:t xml:space="preserve">IPS </w:t>
      </w:r>
      <w:r w:rsidRPr="00C1088C">
        <w:rPr>
          <w:sz w:val="24"/>
        </w:rPr>
        <w:t>Follow-Up</w:t>
      </w:r>
      <w:r w:rsidR="00AF17C8">
        <w:rPr>
          <w:sz w:val="24"/>
        </w:rPr>
        <w:t xml:space="preserve"> </w:t>
      </w:r>
      <w:r w:rsidRPr="00C1088C">
        <w:rPr>
          <w:sz w:val="24"/>
        </w:rPr>
        <w:t xml:space="preserve">interview will occur approximately two weeks after the </w:t>
      </w:r>
      <w:r w:rsidR="0059055F">
        <w:rPr>
          <w:sz w:val="24"/>
        </w:rPr>
        <w:t xml:space="preserve">IPS </w:t>
      </w:r>
      <w:r w:rsidRPr="00C1088C">
        <w:rPr>
          <w:sz w:val="24"/>
        </w:rPr>
        <w:t>Baseline interview and will require approximately 15-25 minutes to complete</w:t>
      </w:r>
      <w:r w:rsidR="00284E8D">
        <w:rPr>
          <w:sz w:val="24"/>
        </w:rPr>
        <w:t xml:space="preserve"> (s</w:t>
      </w:r>
      <w:r w:rsidR="00305DDC">
        <w:rPr>
          <w:sz w:val="24"/>
        </w:rPr>
        <w:t xml:space="preserve">ee Appendix </w:t>
      </w:r>
      <w:r w:rsidR="004038BF">
        <w:rPr>
          <w:sz w:val="24"/>
        </w:rPr>
        <w:t>9</w:t>
      </w:r>
      <w:r w:rsidR="00284E8D">
        <w:rPr>
          <w:sz w:val="24"/>
        </w:rPr>
        <w:t>)</w:t>
      </w:r>
      <w:r w:rsidR="000E0B10">
        <w:rPr>
          <w:sz w:val="24"/>
        </w:rPr>
        <w:t>.</w:t>
      </w:r>
      <w:r w:rsidR="00305DDC" w:rsidRPr="00C1088C">
        <w:rPr>
          <w:sz w:val="24"/>
        </w:rPr>
        <w:t xml:space="preserve"> </w:t>
      </w:r>
      <w:r w:rsidRPr="00C1088C">
        <w:rPr>
          <w:sz w:val="24"/>
        </w:rPr>
        <w:t>Respondents will be paid $15 for a completed interview.</w:t>
      </w:r>
    </w:p>
    <w:p w14:paraId="6AF6A4F9" w14:textId="77777777" w:rsidR="00C1088C" w:rsidRPr="00C1088C" w:rsidRDefault="00C1088C" w:rsidP="00C1088C">
      <w:pPr>
        <w:rPr>
          <w:sz w:val="24"/>
        </w:rPr>
      </w:pPr>
    </w:p>
    <w:p w14:paraId="1323E5B6" w14:textId="77777777" w:rsidR="00C1088C" w:rsidRPr="00C1088C" w:rsidRDefault="00C1088C" w:rsidP="00C1088C">
      <w:pPr>
        <w:rPr>
          <w:i/>
          <w:sz w:val="24"/>
        </w:rPr>
      </w:pPr>
      <w:r w:rsidRPr="00C1088C">
        <w:rPr>
          <w:i/>
          <w:sz w:val="24"/>
        </w:rPr>
        <w:t>Mail/Telephone IPS Interview</w:t>
      </w:r>
    </w:p>
    <w:p w14:paraId="63303754" w14:textId="77777777" w:rsidR="00EE1177" w:rsidRDefault="00EE1177" w:rsidP="00C1088C">
      <w:pPr>
        <w:rPr>
          <w:sz w:val="24"/>
        </w:rPr>
      </w:pPr>
    </w:p>
    <w:p w14:paraId="4BC784E8" w14:textId="0C1A5767" w:rsidR="00C1088C" w:rsidRPr="00C1088C" w:rsidRDefault="00C1088C" w:rsidP="00C1088C">
      <w:pPr>
        <w:rPr>
          <w:sz w:val="24"/>
        </w:rPr>
      </w:pPr>
      <w:r w:rsidRPr="00C1088C">
        <w:rPr>
          <w:sz w:val="24"/>
        </w:rPr>
        <w:t>The</w:t>
      </w:r>
      <w:r w:rsidR="005E5618">
        <w:rPr>
          <w:sz w:val="24"/>
        </w:rPr>
        <w:t xml:space="preserve"> mail-out</w:t>
      </w:r>
      <w:r w:rsidRPr="00C1088C">
        <w:rPr>
          <w:sz w:val="24"/>
        </w:rPr>
        <w:t xml:space="preserve"> IPS Interview will be wholly contained in one packet, unlike the Internet interview that is divided into a baseline and a follow-up interview.  The Mail/Telephone IPS interview will require approximately 25-35 minutes to complete.  The survey includes the questions asked in the Internet IPS Baseline interview</w:t>
      </w:r>
      <w:r w:rsidR="00284E8D">
        <w:rPr>
          <w:sz w:val="24"/>
        </w:rPr>
        <w:t xml:space="preserve"> (s</w:t>
      </w:r>
      <w:r w:rsidR="00305DDC">
        <w:rPr>
          <w:sz w:val="24"/>
        </w:rPr>
        <w:t xml:space="preserve">ee Appendix </w:t>
      </w:r>
      <w:r w:rsidR="004038BF">
        <w:rPr>
          <w:sz w:val="24"/>
        </w:rPr>
        <w:t>10</w:t>
      </w:r>
      <w:r w:rsidR="00284E8D">
        <w:rPr>
          <w:sz w:val="24"/>
        </w:rPr>
        <w:t>)</w:t>
      </w:r>
      <w:r w:rsidR="00305DDC">
        <w:rPr>
          <w:sz w:val="24"/>
        </w:rPr>
        <w:t xml:space="preserve">. </w:t>
      </w:r>
      <w:r w:rsidR="001C1DCB">
        <w:rPr>
          <w:sz w:val="24"/>
        </w:rPr>
        <w:t xml:space="preserve"> </w:t>
      </w:r>
      <w:r w:rsidRPr="00C1088C">
        <w:rPr>
          <w:sz w:val="24"/>
        </w:rPr>
        <w:t>Respondents will be paid $20 for a completed interview.</w:t>
      </w:r>
    </w:p>
    <w:p w14:paraId="404287A1" w14:textId="77777777" w:rsidR="00C1088C" w:rsidRPr="00C1088C" w:rsidRDefault="00C1088C" w:rsidP="00C1088C">
      <w:pPr>
        <w:rPr>
          <w:sz w:val="24"/>
        </w:rPr>
      </w:pPr>
    </w:p>
    <w:p w14:paraId="535A130A" w14:textId="77777777" w:rsidR="00C1088C" w:rsidRPr="00C1088C" w:rsidRDefault="00C1088C" w:rsidP="00C1088C">
      <w:pPr>
        <w:rPr>
          <w:sz w:val="24"/>
        </w:rPr>
      </w:pPr>
      <w:r w:rsidRPr="00C1088C">
        <w:rPr>
          <w:sz w:val="24"/>
        </w:rPr>
        <w:t>As noted above, the Mail/Telephone IPS cover letter offers the option to instead complete the interview via Internet. In addition, the letter provides a contact telephone number to reach an interviewer who will offer to conduct the interview on the phone while the respondent looks at, and perhaps fills in, the hard-copy mail</w:t>
      </w:r>
      <w:r w:rsidR="007D599D">
        <w:rPr>
          <w:sz w:val="24"/>
        </w:rPr>
        <w:t>-out</w:t>
      </w:r>
      <w:r w:rsidRPr="00C1088C">
        <w:rPr>
          <w:sz w:val="24"/>
        </w:rPr>
        <w:t xml:space="preserve"> questionnaire. After completing the Mail/Telephone IPS Interview, households may </w:t>
      </w:r>
      <w:r w:rsidR="007D599D">
        <w:rPr>
          <w:sz w:val="24"/>
        </w:rPr>
        <w:t xml:space="preserve">later </w:t>
      </w:r>
      <w:r w:rsidRPr="00C1088C">
        <w:rPr>
          <w:sz w:val="24"/>
        </w:rPr>
        <w:t xml:space="preserve">choose to participate via Internet and would be eligible to complete the Internet IPS Follow-Up Interview or any subsequent interview that has not already been completed via mail or phone. </w:t>
      </w:r>
    </w:p>
    <w:p w14:paraId="41994185" w14:textId="77777777" w:rsidR="00C1088C" w:rsidRPr="00C1088C" w:rsidRDefault="00C1088C" w:rsidP="00C1088C">
      <w:pPr>
        <w:rPr>
          <w:sz w:val="24"/>
        </w:rPr>
      </w:pPr>
    </w:p>
    <w:p w14:paraId="2F7371D2" w14:textId="6997B606" w:rsidR="00C1088C" w:rsidRPr="00C1088C" w:rsidRDefault="00C1088C" w:rsidP="00C1088C">
      <w:pPr>
        <w:rPr>
          <w:sz w:val="24"/>
        </w:rPr>
      </w:pPr>
      <w:r w:rsidRPr="00C1088C">
        <w:rPr>
          <w:sz w:val="24"/>
        </w:rPr>
        <w:t xml:space="preserve">The text of the Telephone IPS Interview will adhere as closely as possible to the text of the Mail IPS Interview, and will also be a single interview.  </w:t>
      </w:r>
      <w:r w:rsidR="00F43835">
        <w:rPr>
          <w:sz w:val="24"/>
        </w:rPr>
        <w:t xml:space="preserve">As is described in Appendix </w:t>
      </w:r>
      <w:r w:rsidR="004038BF">
        <w:rPr>
          <w:sz w:val="24"/>
        </w:rPr>
        <w:t>10</w:t>
      </w:r>
      <w:r w:rsidR="00F43835">
        <w:rPr>
          <w:sz w:val="24"/>
        </w:rPr>
        <w:t>, th</w:t>
      </w:r>
      <w:r w:rsidR="00937AF8">
        <w:rPr>
          <w:sz w:val="24"/>
        </w:rPr>
        <w:t>e</w:t>
      </w:r>
      <w:r w:rsidR="00F43835">
        <w:rPr>
          <w:sz w:val="24"/>
        </w:rPr>
        <w:t xml:space="preserve"> Mail/Telephone IPS interview will include much of </w:t>
      </w:r>
      <w:r w:rsidRPr="00C1088C">
        <w:rPr>
          <w:sz w:val="24"/>
        </w:rPr>
        <w:t xml:space="preserve">the content from the Internet IPS </w:t>
      </w:r>
      <w:r w:rsidR="008F5EEE">
        <w:rPr>
          <w:sz w:val="24"/>
        </w:rPr>
        <w:t>B</w:t>
      </w:r>
      <w:r w:rsidRPr="00C1088C">
        <w:rPr>
          <w:sz w:val="24"/>
        </w:rPr>
        <w:t>aseline questionnaire</w:t>
      </w:r>
      <w:r w:rsidR="00F43835">
        <w:rPr>
          <w:sz w:val="24"/>
        </w:rPr>
        <w:t xml:space="preserve"> plus Internet IPS Follow-Up </w:t>
      </w:r>
      <w:r w:rsidRPr="00C1088C">
        <w:rPr>
          <w:sz w:val="24"/>
        </w:rPr>
        <w:t>questions about</w:t>
      </w:r>
      <w:r w:rsidR="00F43835">
        <w:rPr>
          <w:sz w:val="24"/>
        </w:rPr>
        <w:t xml:space="preserve"> health insurance and long-term care insurance, as well as</w:t>
      </w:r>
      <w:r w:rsidRPr="00C1088C">
        <w:rPr>
          <w:sz w:val="24"/>
        </w:rPr>
        <w:t xml:space="preserve"> </w:t>
      </w:r>
      <w:r w:rsidR="00F43835">
        <w:rPr>
          <w:sz w:val="24"/>
        </w:rPr>
        <w:t xml:space="preserve">about hypothetical </w:t>
      </w:r>
      <w:r w:rsidRPr="00C1088C">
        <w:rPr>
          <w:sz w:val="24"/>
        </w:rPr>
        <w:t xml:space="preserve">willingness to provide documents related to IRAs or DC plans. </w:t>
      </w:r>
    </w:p>
    <w:p w14:paraId="7AE24B58" w14:textId="77777777" w:rsidR="00C1088C" w:rsidRPr="00C1088C" w:rsidRDefault="00C1088C" w:rsidP="00C1088C">
      <w:pPr>
        <w:rPr>
          <w:sz w:val="24"/>
        </w:rPr>
      </w:pPr>
    </w:p>
    <w:p w14:paraId="567168CD" w14:textId="77777777" w:rsidR="00C1088C" w:rsidRPr="00C1088C" w:rsidRDefault="00E170D9" w:rsidP="00C1088C">
      <w:pPr>
        <w:rPr>
          <w:i/>
          <w:sz w:val="24"/>
        </w:rPr>
      </w:pPr>
      <w:r>
        <w:rPr>
          <w:i/>
          <w:sz w:val="24"/>
        </w:rPr>
        <w:t>Nonrespondent</w:t>
      </w:r>
      <w:r w:rsidR="00C1088C" w:rsidRPr="00C1088C">
        <w:rPr>
          <w:i/>
          <w:sz w:val="24"/>
        </w:rPr>
        <w:t xml:space="preserve"> Follow-Up Contacts </w:t>
      </w:r>
    </w:p>
    <w:p w14:paraId="57CE67CC" w14:textId="77777777" w:rsidR="00EE1177" w:rsidRDefault="00EE1177" w:rsidP="00C1088C">
      <w:pPr>
        <w:rPr>
          <w:sz w:val="24"/>
        </w:rPr>
      </w:pPr>
    </w:p>
    <w:p w14:paraId="2470E975" w14:textId="77777777" w:rsidR="00C1088C" w:rsidRPr="00C1088C" w:rsidRDefault="00C1088C" w:rsidP="00C1088C">
      <w:pPr>
        <w:rPr>
          <w:sz w:val="24"/>
        </w:rPr>
      </w:pPr>
      <w:r w:rsidRPr="00C1088C">
        <w:rPr>
          <w:sz w:val="24"/>
        </w:rPr>
        <w:t xml:space="preserve">Several days after the welcome packets have been mailed, a welcome email will be sent to </w:t>
      </w:r>
      <w:r w:rsidR="00E33599">
        <w:rPr>
          <w:sz w:val="24"/>
        </w:rPr>
        <w:t>Pre-Survey</w:t>
      </w:r>
      <w:r w:rsidRPr="00C1088C">
        <w:rPr>
          <w:sz w:val="24"/>
        </w:rPr>
        <w:t xml:space="preserve"> respondents who provided email addresses but have not yet logged in to the study.  Much of the information will be identical to that provided in the welcome packet, which will be referenced in the email.  A hyperlink to the log-in site will be provided.</w:t>
      </w:r>
    </w:p>
    <w:p w14:paraId="1AB8FA02" w14:textId="77777777" w:rsidR="00C1088C" w:rsidRPr="00C1088C" w:rsidRDefault="00C1088C" w:rsidP="00C1088C">
      <w:pPr>
        <w:rPr>
          <w:sz w:val="24"/>
        </w:rPr>
      </w:pPr>
    </w:p>
    <w:p w14:paraId="455BE3A9" w14:textId="77777777" w:rsidR="00C1088C" w:rsidRPr="00C1088C" w:rsidRDefault="00C1088C" w:rsidP="00C1088C">
      <w:pPr>
        <w:rPr>
          <w:sz w:val="24"/>
        </w:rPr>
      </w:pPr>
      <w:r w:rsidRPr="00C1088C">
        <w:rPr>
          <w:sz w:val="24"/>
        </w:rPr>
        <w:t>A protocol of reminder emails, mailed postcards, and phone calls will be developed to reach the desired response rate.</w:t>
      </w:r>
      <w:r w:rsidRPr="00C1088C">
        <w:rPr>
          <w:b/>
          <w:sz w:val="24"/>
        </w:rPr>
        <w:t xml:space="preserve"> </w:t>
      </w:r>
      <w:r w:rsidRPr="00C1088C">
        <w:rPr>
          <w:sz w:val="24"/>
        </w:rPr>
        <w:t xml:space="preserve">Included in this protocol will be the opportunity for the recipient to request to be </w:t>
      </w:r>
      <w:r w:rsidR="00BC5734">
        <w:rPr>
          <w:sz w:val="24"/>
        </w:rPr>
        <w:t>mailed</w:t>
      </w:r>
      <w:r w:rsidRPr="00C1088C">
        <w:rPr>
          <w:sz w:val="24"/>
        </w:rPr>
        <w:t xml:space="preserve"> a hard copy of the survey and/or to complete the survey via telephone.  This protocol will also include an unsolicited mailing of a hard copy of the survey to </w:t>
      </w:r>
      <w:r w:rsidR="00E170D9">
        <w:rPr>
          <w:sz w:val="24"/>
        </w:rPr>
        <w:t>nonrespondent</w:t>
      </w:r>
      <w:r w:rsidRPr="00C1088C">
        <w:rPr>
          <w:sz w:val="24"/>
        </w:rPr>
        <w:t xml:space="preserve">s </w:t>
      </w:r>
      <w:r w:rsidRPr="00C1088C">
        <w:rPr>
          <w:sz w:val="24"/>
        </w:rPr>
        <w:lastRenderedPageBreak/>
        <w:t xml:space="preserve">who provided usable email addresses.  </w:t>
      </w:r>
    </w:p>
    <w:p w14:paraId="7139A86D" w14:textId="77777777" w:rsidR="00C1088C" w:rsidRPr="00C1088C" w:rsidRDefault="00C1088C" w:rsidP="00C1088C">
      <w:pPr>
        <w:rPr>
          <w:sz w:val="24"/>
        </w:rPr>
      </w:pPr>
    </w:p>
    <w:p w14:paraId="4BFF5C3A" w14:textId="77777777" w:rsidR="00C1088C" w:rsidRPr="00C1088C" w:rsidRDefault="00C1088C" w:rsidP="00C1088C">
      <w:pPr>
        <w:rPr>
          <w:sz w:val="24"/>
        </w:rPr>
      </w:pPr>
      <w:r w:rsidRPr="00C1088C">
        <w:rPr>
          <w:sz w:val="24"/>
        </w:rPr>
        <w:t xml:space="preserve">For those </w:t>
      </w:r>
      <w:r w:rsidR="00E33599">
        <w:rPr>
          <w:sz w:val="24"/>
        </w:rPr>
        <w:t>Pre-Survey</w:t>
      </w:r>
      <w:r w:rsidRPr="00C1088C">
        <w:rPr>
          <w:sz w:val="24"/>
        </w:rPr>
        <w:t xml:space="preserve"> respondents who did not provide an email address (or whose “welcome email” bounced back) and who have not yet logged in to the study within three weeks of the welcome packet mailing, a hard-copy questionnaire will be sent to the home address.  In follow-up phone calls to </w:t>
      </w:r>
      <w:r w:rsidR="00E170D9">
        <w:rPr>
          <w:sz w:val="24"/>
        </w:rPr>
        <w:t>nonrespondent</w:t>
      </w:r>
      <w:r w:rsidRPr="00C1088C">
        <w:rPr>
          <w:sz w:val="24"/>
        </w:rPr>
        <w:t xml:space="preserve">s who have been mailed a hard-copy questionnaire, the interviewer will offer the opportunity to conduct the interview on the phone while the respondent looks at, and perhaps fills in, the hard-copy or Internet questionnaire. </w:t>
      </w:r>
    </w:p>
    <w:p w14:paraId="1E81F603" w14:textId="77777777" w:rsidR="00C1088C" w:rsidRPr="00C1088C" w:rsidRDefault="00C1088C" w:rsidP="00C1088C">
      <w:pPr>
        <w:rPr>
          <w:sz w:val="24"/>
        </w:rPr>
      </w:pPr>
    </w:p>
    <w:p w14:paraId="7AC79BDD" w14:textId="77777777" w:rsidR="0040479C" w:rsidRPr="00C1088C" w:rsidRDefault="000720DF" w:rsidP="00AC7705">
      <w:pPr>
        <w:keepNext/>
        <w:spacing w:before="240" w:after="60"/>
        <w:ind w:left="720"/>
        <w:outlineLvl w:val="2"/>
        <w:rPr>
          <w:b/>
          <w:sz w:val="24"/>
          <w:szCs w:val="22"/>
        </w:rPr>
      </w:pPr>
      <w:bookmarkStart w:id="21" w:name="_Toc479599189"/>
      <w:r w:rsidRPr="00EE452D">
        <w:rPr>
          <w:b/>
          <w:sz w:val="24"/>
        </w:rPr>
        <w:t>B.2.c</w:t>
      </w:r>
      <w:r w:rsidR="000B7D29" w:rsidRPr="00EE452D">
        <w:rPr>
          <w:b/>
          <w:sz w:val="24"/>
        </w:rPr>
        <w:t>. Advice Interaction Survey – Year 1 (AIS1)</w:t>
      </w:r>
      <w:bookmarkEnd w:id="21"/>
      <w:r w:rsidR="000B7D29" w:rsidRPr="00EE452D">
        <w:rPr>
          <w:b/>
          <w:sz w:val="24"/>
        </w:rPr>
        <w:t xml:space="preserve"> </w:t>
      </w:r>
    </w:p>
    <w:p w14:paraId="56B37820" w14:textId="7C2EF970" w:rsidR="00C1088C" w:rsidRPr="00C1088C" w:rsidRDefault="00C1088C" w:rsidP="00A91A52">
      <w:pPr>
        <w:spacing w:before="240"/>
        <w:rPr>
          <w:sz w:val="24"/>
        </w:rPr>
      </w:pPr>
      <w:r w:rsidRPr="00C1088C">
        <w:rPr>
          <w:sz w:val="24"/>
        </w:rPr>
        <w:t xml:space="preserve">Approximately </w:t>
      </w:r>
      <w:r w:rsidR="00803232">
        <w:rPr>
          <w:sz w:val="24"/>
        </w:rPr>
        <w:t>two</w:t>
      </w:r>
      <w:r w:rsidR="00E95A4A">
        <w:rPr>
          <w:sz w:val="24"/>
        </w:rPr>
        <w:t xml:space="preserve"> months</w:t>
      </w:r>
      <w:r w:rsidRPr="00C1088C">
        <w:rPr>
          <w:sz w:val="24"/>
        </w:rPr>
        <w:t xml:space="preserve"> after the Internet </w:t>
      </w:r>
      <w:r w:rsidR="00803232">
        <w:rPr>
          <w:sz w:val="24"/>
        </w:rPr>
        <w:t xml:space="preserve">IPS </w:t>
      </w:r>
      <w:r w:rsidRPr="00C1088C">
        <w:rPr>
          <w:sz w:val="24"/>
        </w:rPr>
        <w:t>Baseline interview, we will attempt to conduct an Internet AIS1 interview of every Internet IPS respondent</w:t>
      </w:r>
      <w:r w:rsidR="00284E8D">
        <w:rPr>
          <w:sz w:val="24"/>
        </w:rPr>
        <w:t xml:space="preserve"> (s</w:t>
      </w:r>
      <w:r w:rsidR="003523FC">
        <w:rPr>
          <w:sz w:val="24"/>
        </w:rPr>
        <w:t xml:space="preserve">ee Appendix </w:t>
      </w:r>
      <w:r w:rsidR="004038BF">
        <w:rPr>
          <w:sz w:val="24"/>
        </w:rPr>
        <w:t>11</w:t>
      </w:r>
      <w:r w:rsidR="00284E8D">
        <w:rPr>
          <w:sz w:val="24"/>
        </w:rPr>
        <w:t>)</w:t>
      </w:r>
      <w:r w:rsidR="003523FC">
        <w:rPr>
          <w:sz w:val="24"/>
        </w:rPr>
        <w:t xml:space="preserve">. </w:t>
      </w:r>
      <w:r w:rsidRPr="00C1088C">
        <w:rPr>
          <w:sz w:val="24"/>
        </w:rPr>
        <w:t xml:space="preserve"> We will attempt to conduct three follow-up </w:t>
      </w:r>
      <w:r w:rsidR="00A9135D">
        <w:rPr>
          <w:sz w:val="24"/>
        </w:rPr>
        <w:t xml:space="preserve">Internet </w:t>
      </w:r>
      <w:r w:rsidRPr="00C1088C">
        <w:rPr>
          <w:sz w:val="24"/>
        </w:rPr>
        <w:t xml:space="preserve">AIS1 interviews during the first year of AIS interviews. </w:t>
      </w:r>
    </w:p>
    <w:p w14:paraId="3E1453CB" w14:textId="77777777" w:rsidR="00C1088C" w:rsidRPr="00C1088C" w:rsidRDefault="00C1088C" w:rsidP="00C1088C">
      <w:pPr>
        <w:rPr>
          <w:sz w:val="24"/>
        </w:rPr>
      </w:pPr>
    </w:p>
    <w:p w14:paraId="2CDF695D" w14:textId="31244828" w:rsidR="00C1088C" w:rsidRPr="00C1088C" w:rsidRDefault="00C1088C" w:rsidP="005E57E4">
      <w:pPr>
        <w:rPr>
          <w:sz w:val="24"/>
        </w:rPr>
      </w:pPr>
      <w:r w:rsidRPr="00C1088C">
        <w:rPr>
          <w:sz w:val="24"/>
        </w:rPr>
        <w:t xml:space="preserve">We will attempt to conduct a Mail/Telephone AIS1 interview approximately </w:t>
      </w:r>
      <w:r w:rsidR="00516081">
        <w:rPr>
          <w:sz w:val="24"/>
        </w:rPr>
        <w:t>two</w:t>
      </w:r>
      <w:r w:rsidR="007F5F0D">
        <w:rPr>
          <w:sz w:val="24"/>
        </w:rPr>
        <w:t xml:space="preserve"> months</w:t>
      </w:r>
      <w:r w:rsidRPr="00C1088C">
        <w:rPr>
          <w:sz w:val="24"/>
        </w:rPr>
        <w:t xml:space="preserve"> after the Mail/Telephone IPS interview.  This interview will include almost all of the questions from the Internet AIS1 survey </w:t>
      </w:r>
      <w:r w:rsidR="00284E8D">
        <w:rPr>
          <w:sz w:val="24"/>
        </w:rPr>
        <w:t>(s</w:t>
      </w:r>
      <w:r w:rsidR="007F5F0D">
        <w:rPr>
          <w:sz w:val="24"/>
        </w:rPr>
        <w:t xml:space="preserve">ee Appendix </w:t>
      </w:r>
      <w:r w:rsidR="004038BF">
        <w:rPr>
          <w:sz w:val="24"/>
        </w:rPr>
        <w:t>12</w:t>
      </w:r>
      <w:r w:rsidR="00284E8D">
        <w:rPr>
          <w:sz w:val="24"/>
        </w:rPr>
        <w:t>)</w:t>
      </w:r>
      <w:r w:rsidR="007F5F0D">
        <w:rPr>
          <w:sz w:val="24"/>
        </w:rPr>
        <w:t xml:space="preserve">.  </w:t>
      </w:r>
      <w:r w:rsidRPr="00C1088C">
        <w:rPr>
          <w:sz w:val="24"/>
        </w:rPr>
        <w:t xml:space="preserve">The omitted questions from the </w:t>
      </w:r>
      <w:r w:rsidR="00A9135D">
        <w:rPr>
          <w:sz w:val="24"/>
        </w:rPr>
        <w:t>Internet AIS1</w:t>
      </w:r>
      <w:r w:rsidRPr="00C1088C">
        <w:rPr>
          <w:sz w:val="24"/>
        </w:rPr>
        <w:t xml:space="preserve"> survey will be those questions eliciting details to changes since the preceding interview in the household’s living situation and employment status</w:t>
      </w:r>
      <w:r w:rsidR="007F19C6">
        <w:rPr>
          <w:sz w:val="24"/>
        </w:rPr>
        <w:t xml:space="preserve">, </w:t>
      </w:r>
      <w:r w:rsidR="005E57E4" w:rsidRPr="005E57E4">
        <w:rPr>
          <w:sz w:val="24"/>
        </w:rPr>
        <w:t>several follow-up questions concerning retirement finances and financial information or advice</w:t>
      </w:r>
      <w:r w:rsidR="005E57E4">
        <w:rPr>
          <w:sz w:val="24"/>
        </w:rPr>
        <w:t xml:space="preserve">, </w:t>
      </w:r>
      <w:r w:rsidR="007F19C6">
        <w:rPr>
          <w:sz w:val="24"/>
        </w:rPr>
        <w:t xml:space="preserve">as well </w:t>
      </w:r>
      <w:r w:rsidR="007F19C6" w:rsidRPr="007F19C6">
        <w:rPr>
          <w:sz w:val="24"/>
        </w:rPr>
        <w:t xml:space="preserve">as </w:t>
      </w:r>
      <w:r w:rsidR="007F19C6">
        <w:rPr>
          <w:sz w:val="24"/>
        </w:rPr>
        <w:t>a</w:t>
      </w:r>
      <w:r w:rsidR="007F19C6" w:rsidRPr="007F19C6">
        <w:rPr>
          <w:sz w:val="24"/>
        </w:rPr>
        <w:t xml:space="preserve"> second series of questions about advice related to retirement received from a professional in the past three months</w:t>
      </w:r>
      <w:r w:rsidRPr="00C1088C">
        <w:rPr>
          <w:sz w:val="24"/>
        </w:rPr>
        <w:t>.  We will also send out quarterly follow-up AIS1 questionnaires by mail to these respondents.</w:t>
      </w:r>
    </w:p>
    <w:p w14:paraId="11D9EDBA" w14:textId="77777777" w:rsidR="00FA5FED" w:rsidRPr="00EE452D" w:rsidRDefault="00FA5FED" w:rsidP="00FA5FED">
      <w:pPr>
        <w:keepNext/>
        <w:spacing w:before="240" w:after="60"/>
        <w:ind w:left="720"/>
        <w:outlineLvl w:val="2"/>
        <w:rPr>
          <w:b/>
          <w:sz w:val="24"/>
        </w:rPr>
      </w:pPr>
      <w:bookmarkStart w:id="22" w:name="_Toc479599190"/>
      <w:r w:rsidRPr="00EE452D">
        <w:rPr>
          <w:b/>
          <w:sz w:val="24"/>
        </w:rPr>
        <w:t>B.2.d. Annual Participant Survey (APS)</w:t>
      </w:r>
      <w:bookmarkEnd w:id="22"/>
      <w:r w:rsidRPr="00EE452D">
        <w:rPr>
          <w:b/>
          <w:sz w:val="24"/>
        </w:rPr>
        <w:t xml:space="preserve"> </w:t>
      </w:r>
    </w:p>
    <w:p w14:paraId="7081C359" w14:textId="77777777" w:rsidR="009764EC" w:rsidRPr="00C1088C" w:rsidRDefault="009764EC" w:rsidP="00C1088C">
      <w:pPr>
        <w:rPr>
          <w:sz w:val="24"/>
        </w:rPr>
      </w:pPr>
    </w:p>
    <w:p w14:paraId="3D3011D0" w14:textId="6A85F373" w:rsidR="009764EC" w:rsidRDefault="00C1088C" w:rsidP="00C1088C">
      <w:pPr>
        <w:rPr>
          <w:sz w:val="24"/>
        </w:rPr>
      </w:pPr>
      <w:r w:rsidRPr="00C1088C">
        <w:rPr>
          <w:sz w:val="24"/>
        </w:rPr>
        <w:t xml:space="preserve">The APS will closely mirror the Initial Participant Survey.  The </w:t>
      </w:r>
      <w:r w:rsidR="00A714FF">
        <w:rPr>
          <w:sz w:val="24"/>
        </w:rPr>
        <w:t xml:space="preserve">Internet survey </w:t>
      </w:r>
      <w:r w:rsidRPr="00C1088C">
        <w:rPr>
          <w:sz w:val="24"/>
        </w:rPr>
        <w:t>instrument will incorporate pre-loaded information from the Initial Participant Survey</w:t>
      </w:r>
      <w:r w:rsidR="00A5775B">
        <w:rPr>
          <w:sz w:val="24"/>
        </w:rPr>
        <w:t xml:space="preserve"> and</w:t>
      </w:r>
      <w:r w:rsidRPr="00C1088C">
        <w:rPr>
          <w:sz w:val="24"/>
        </w:rPr>
        <w:t xml:space="preserve"> the Advice Interaction Survey.  This information may be used to reduce the burden on the respondent, to prompt respondents and therefore improve data quality, and to systematically identify potential errors in the data.  </w:t>
      </w:r>
      <w:r w:rsidR="002E6009">
        <w:rPr>
          <w:sz w:val="24"/>
        </w:rPr>
        <w:t>S</w:t>
      </w:r>
      <w:r w:rsidR="00CB3BF9">
        <w:rPr>
          <w:sz w:val="24"/>
        </w:rPr>
        <w:t>ee Appendi</w:t>
      </w:r>
      <w:r w:rsidR="00284E8D">
        <w:rPr>
          <w:sz w:val="24"/>
        </w:rPr>
        <w:t>ces</w:t>
      </w:r>
      <w:r w:rsidR="00CB3BF9">
        <w:rPr>
          <w:sz w:val="24"/>
        </w:rPr>
        <w:t xml:space="preserve"> </w:t>
      </w:r>
      <w:r w:rsidR="00A5775B">
        <w:rPr>
          <w:sz w:val="24"/>
        </w:rPr>
        <w:t>L</w:t>
      </w:r>
      <w:r w:rsidR="00A714FF">
        <w:rPr>
          <w:sz w:val="24"/>
        </w:rPr>
        <w:t xml:space="preserve">, </w:t>
      </w:r>
      <w:r w:rsidR="00A5775B">
        <w:rPr>
          <w:sz w:val="24"/>
        </w:rPr>
        <w:t>M</w:t>
      </w:r>
      <w:r w:rsidR="00A714FF">
        <w:rPr>
          <w:sz w:val="24"/>
        </w:rPr>
        <w:t xml:space="preserve">, and </w:t>
      </w:r>
      <w:r w:rsidR="00A5775B">
        <w:rPr>
          <w:sz w:val="24"/>
        </w:rPr>
        <w:t>N</w:t>
      </w:r>
      <w:r w:rsidR="00611C9A">
        <w:rPr>
          <w:sz w:val="24"/>
        </w:rPr>
        <w:t>.</w:t>
      </w:r>
    </w:p>
    <w:p w14:paraId="7828225D" w14:textId="77777777" w:rsidR="00FA5FED" w:rsidRPr="00EE452D" w:rsidRDefault="00FA5FED" w:rsidP="00FA5FED">
      <w:pPr>
        <w:keepNext/>
        <w:spacing w:before="240" w:after="60"/>
        <w:ind w:left="720"/>
        <w:outlineLvl w:val="2"/>
        <w:rPr>
          <w:b/>
          <w:sz w:val="24"/>
        </w:rPr>
      </w:pPr>
      <w:bookmarkStart w:id="23" w:name="_Toc479599191"/>
      <w:r w:rsidRPr="00EE452D">
        <w:rPr>
          <w:b/>
          <w:sz w:val="24"/>
        </w:rPr>
        <w:t>B.2.e. Advice Interaction Survey – Year 2 (AIS2)</w:t>
      </w:r>
      <w:bookmarkEnd w:id="23"/>
      <w:r w:rsidRPr="00EE452D">
        <w:rPr>
          <w:b/>
          <w:sz w:val="24"/>
        </w:rPr>
        <w:t xml:space="preserve"> </w:t>
      </w:r>
    </w:p>
    <w:p w14:paraId="36BB46C4" w14:textId="77777777" w:rsidR="009764EC" w:rsidRPr="00C1088C" w:rsidRDefault="009764EC" w:rsidP="00C1088C">
      <w:pPr>
        <w:rPr>
          <w:sz w:val="24"/>
        </w:rPr>
      </w:pPr>
    </w:p>
    <w:p w14:paraId="4996A625" w14:textId="77777777" w:rsidR="004807F8" w:rsidRDefault="00C1088C" w:rsidP="00C1088C">
      <w:pPr>
        <w:rPr>
          <w:sz w:val="24"/>
        </w:rPr>
      </w:pPr>
      <w:r w:rsidRPr="00C1088C">
        <w:rPr>
          <w:sz w:val="24"/>
        </w:rPr>
        <w:t>The AIS2 interviews will be identical in design to the AIS1 interviews described above.</w:t>
      </w:r>
    </w:p>
    <w:p w14:paraId="3AE022E8" w14:textId="43A7F3C6" w:rsidR="00DD5EE6" w:rsidRDefault="00DD5EE6">
      <w:pPr>
        <w:widowControl/>
        <w:autoSpaceDE/>
        <w:autoSpaceDN/>
        <w:adjustRightInd/>
        <w:rPr>
          <w:sz w:val="24"/>
        </w:rPr>
      </w:pPr>
      <w:r>
        <w:rPr>
          <w:sz w:val="24"/>
        </w:rPr>
        <w:br w:type="page"/>
      </w:r>
    </w:p>
    <w:p w14:paraId="1D3FD670" w14:textId="77777777" w:rsidR="00DD5EE6" w:rsidRDefault="00DD5EE6" w:rsidP="00C1088C">
      <w:pPr>
        <w:rPr>
          <w:sz w:val="24"/>
        </w:rPr>
      </w:pPr>
    </w:p>
    <w:p w14:paraId="0358DCD4" w14:textId="77777777" w:rsidR="00C1088C" w:rsidRPr="00C1088C" w:rsidRDefault="00C1088C" w:rsidP="00C1088C">
      <w:pPr>
        <w:keepNext/>
        <w:spacing w:before="240" w:after="60"/>
        <w:outlineLvl w:val="1"/>
        <w:rPr>
          <w:b/>
          <w:sz w:val="24"/>
          <w:szCs w:val="22"/>
        </w:rPr>
      </w:pPr>
      <w:bookmarkStart w:id="24" w:name="_Toc362604588"/>
      <w:bookmarkStart w:id="25" w:name="_Toc479599192"/>
      <w:r w:rsidRPr="00C1088C">
        <w:rPr>
          <w:b/>
          <w:sz w:val="24"/>
          <w:szCs w:val="22"/>
        </w:rPr>
        <w:t>B.3. Methods to Maximize Response Rates and Deal with Nonresponse</w:t>
      </w:r>
      <w:bookmarkEnd w:id="24"/>
      <w:bookmarkEnd w:id="25"/>
    </w:p>
    <w:p w14:paraId="031C5463" w14:textId="77777777" w:rsidR="00C1088C" w:rsidRPr="00C1088C" w:rsidRDefault="00C1088C" w:rsidP="00C1088C">
      <w:pPr>
        <w:rPr>
          <w:sz w:val="24"/>
        </w:rPr>
      </w:pPr>
    </w:p>
    <w:p w14:paraId="70DE033F" w14:textId="77777777" w:rsidR="00C1088C" w:rsidRPr="00C1088C" w:rsidRDefault="00C1088C" w:rsidP="00C1088C">
      <w:pPr>
        <w:rPr>
          <w:sz w:val="22"/>
          <w:szCs w:val="22"/>
        </w:rPr>
      </w:pPr>
      <w:r w:rsidRPr="00E76DDF">
        <w:rPr>
          <w:sz w:val="24"/>
        </w:rPr>
        <w:t>The primary methods to maximize response rates and deal with nonresponse will be (1) following best practices in panel recruitment and maintenance as determined based on survey research findings and the project team’s extensive experience leading national panel surveys and (2) paying participants a</w:t>
      </w:r>
      <w:r w:rsidR="00047131" w:rsidRPr="005F048A">
        <w:rPr>
          <w:sz w:val="24"/>
        </w:rPr>
        <w:t xml:space="preserve"> financial </w:t>
      </w:r>
      <w:r w:rsidRPr="00E76DDF">
        <w:rPr>
          <w:sz w:val="24"/>
        </w:rPr>
        <w:t xml:space="preserve">incentive. The extensive, systematic efforts to recruit </w:t>
      </w:r>
      <w:r w:rsidR="004808D2" w:rsidRPr="005F048A">
        <w:rPr>
          <w:sz w:val="24"/>
        </w:rPr>
        <w:t xml:space="preserve">On the Road to Retirement Panel </w:t>
      </w:r>
      <w:r w:rsidRPr="00E76DDF">
        <w:rPr>
          <w:sz w:val="24"/>
        </w:rPr>
        <w:t xml:space="preserve">members are described above in Section B.2. We believe that financial incentives are </w:t>
      </w:r>
      <w:r w:rsidR="00AD67C2">
        <w:rPr>
          <w:sz w:val="24"/>
        </w:rPr>
        <w:t xml:space="preserve">a </w:t>
      </w:r>
      <w:r w:rsidRPr="00E76DDF">
        <w:rPr>
          <w:sz w:val="24"/>
        </w:rPr>
        <w:t>crucial component of these efforts to obtain acceptable rates of participation in this panel study, both in terms of the initial recruitment of respondents and in terms of attrition.  Providing incentives in panels is a best practice and there is ample evidence that this practice helps to limit attrition (see e.g., Göritz, 2006; Millar and Dillman, 2011). Moreover, evidence suggests that incentives have a positive effect on representativeness and data quality (see, e.g., Mack et al., 1998).  The incentives that we plan to offer for the IPS, AIS, and APS interviews</w:t>
      </w:r>
      <w:r w:rsidR="00047131" w:rsidRPr="005F048A">
        <w:rPr>
          <w:sz w:val="24"/>
        </w:rPr>
        <w:t xml:space="preserve"> </w:t>
      </w:r>
      <w:r w:rsidRPr="00E76DDF">
        <w:rPr>
          <w:sz w:val="24"/>
        </w:rPr>
        <w:t>are in line what we have used for ALP interviews.</w:t>
      </w:r>
      <w:r w:rsidRPr="00E76DDF">
        <w:rPr>
          <w:szCs w:val="20"/>
          <w:vertAlign w:val="superscript"/>
        </w:rPr>
        <w:footnoteReference w:id="5"/>
      </w:r>
    </w:p>
    <w:p w14:paraId="102F8B51" w14:textId="77777777" w:rsidR="00C1088C" w:rsidRPr="00C1088C" w:rsidRDefault="00C1088C" w:rsidP="00C1088C">
      <w:pPr>
        <w:rPr>
          <w:sz w:val="24"/>
        </w:rPr>
      </w:pPr>
      <w:r w:rsidRPr="00C1088C">
        <w:rPr>
          <w:sz w:val="24"/>
        </w:rPr>
        <w:t xml:space="preserve"> </w:t>
      </w:r>
    </w:p>
    <w:p w14:paraId="0B005D8C" w14:textId="77777777" w:rsidR="00C1088C" w:rsidRPr="00C1088C" w:rsidRDefault="00C1088C" w:rsidP="00C1088C">
      <w:pPr>
        <w:rPr>
          <w:sz w:val="24"/>
        </w:rPr>
      </w:pPr>
      <w:r w:rsidRPr="00C1088C">
        <w:rPr>
          <w:sz w:val="24"/>
        </w:rPr>
        <w:t>Our project team has extensive experience with recruiting and maintaining panels of respondents. The most relevant experience is our work with the RAND</w:t>
      </w:r>
      <w:r w:rsidR="000E0B10">
        <w:rPr>
          <w:sz w:val="24"/>
        </w:rPr>
        <w:t xml:space="preserve"> </w:t>
      </w:r>
      <w:r w:rsidRPr="00C1088C">
        <w:rPr>
          <w:sz w:val="24"/>
        </w:rPr>
        <w:t>A</w:t>
      </w:r>
      <w:r w:rsidR="000E0B10">
        <w:rPr>
          <w:sz w:val="24"/>
        </w:rPr>
        <w:t xml:space="preserve">merican </w:t>
      </w:r>
      <w:r w:rsidRPr="00C1088C">
        <w:rPr>
          <w:sz w:val="24"/>
        </w:rPr>
        <w:t>L</w:t>
      </w:r>
      <w:r w:rsidR="000E0B10">
        <w:rPr>
          <w:sz w:val="24"/>
        </w:rPr>
        <w:t xml:space="preserve">ife </w:t>
      </w:r>
      <w:r w:rsidRPr="00C1088C">
        <w:rPr>
          <w:sz w:val="24"/>
        </w:rPr>
        <w:t>P</w:t>
      </w:r>
      <w:r w:rsidR="000E0B10">
        <w:rPr>
          <w:sz w:val="24"/>
        </w:rPr>
        <w:t>anel</w:t>
      </w:r>
      <w:r w:rsidRPr="00C1088C">
        <w:rPr>
          <w:sz w:val="24"/>
        </w:rPr>
        <w:t xml:space="preserve">.  Panel management includes a helpdesk using a sample management system that stores contact information of panel members, the surveys they have completed, and payments for surveys they have received.  Data in the sample management system are stored encrypted on a secure server. Answers given to the survey interviews are stored on a different server, separate from the data in the sample management system. The sample management system keeps track of the current status of respondents and rules that determine the selection of a respondent for an interview. The system includes custom reports on respondent participation, a system to send out survey reminders and a callback scheduler to follow up by phone with respondents who did not respond to a survey. </w:t>
      </w:r>
    </w:p>
    <w:p w14:paraId="28118366" w14:textId="77777777" w:rsidR="00C1088C" w:rsidRPr="00C1088C" w:rsidRDefault="00C1088C" w:rsidP="00C1088C">
      <w:pPr>
        <w:rPr>
          <w:sz w:val="24"/>
        </w:rPr>
      </w:pPr>
    </w:p>
    <w:p w14:paraId="42EABB18" w14:textId="77777777" w:rsidR="00C1088C" w:rsidRPr="0026094A" w:rsidRDefault="00C1088C" w:rsidP="00C1088C">
      <w:pPr>
        <w:rPr>
          <w:sz w:val="24"/>
        </w:rPr>
      </w:pPr>
      <w:r w:rsidRPr="0026094A">
        <w:rPr>
          <w:sz w:val="24"/>
        </w:rPr>
        <w:t xml:space="preserve">As described above, sample recruitment will begin with a </w:t>
      </w:r>
      <w:r w:rsidR="00E33599" w:rsidRPr="005F048A">
        <w:rPr>
          <w:sz w:val="24"/>
        </w:rPr>
        <w:t>Pre-Survey</w:t>
      </w:r>
      <w:r w:rsidRPr="0026094A">
        <w:rPr>
          <w:sz w:val="24"/>
        </w:rPr>
        <w:t xml:space="preserve"> that includes a $5 payment in advance and a $10 payment following submission of the completed questionnaire.  </w:t>
      </w:r>
      <w:r w:rsidR="00F612D7">
        <w:rPr>
          <w:color w:val="000000"/>
          <w:sz w:val="24"/>
        </w:rPr>
        <w:t xml:space="preserve">In a meta-analysis of mail surveys, </w:t>
      </w:r>
      <w:r w:rsidR="00F612D7" w:rsidRPr="003759BA">
        <w:rPr>
          <w:color w:val="000000"/>
          <w:sz w:val="24"/>
        </w:rPr>
        <w:t>Church (1993)</w:t>
      </w:r>
      <w:r w:rsidR="00F612D7" w:rsidRPr="00B55BDB">
        <w:rPr>
          <w:color w:val="000000"/>
          <w:sz w:val="24"/>
        </w:rPr>
        <w:t xml:space="preserve"> found that </w:t>
      </w:r>
      <w:r w:rsidR="00F612D7" w:rsidRPr="003759BA">
        <w:rPr>
          <w:color w:val="000000"/>
          <w:sz w:val="24"/>
        </w:rPr>
        <w:t>prepaid monetary incentives yielded an average increase in response rate of 19.1</w:t>
      </w:r>
      <w:r w:rsidR="00F612D7" w:rsidRPr="00B55BDB">
        <w:rPr>
          <w:color w:val="000000"/>
          <w:sz w:val="24"/>
        </w:rPr>
        <w:t xml:space="preserve"> percentage points</w:t>
      </w:r>
      <w:r w:rsidR="00F6327C">
        <w:rPr>
          <w:color w:val="000000"/>
          <w:sz w:val="24"/>
        </w:rPr>
        <w:t xml:space="preserve"> over the rate obtained with a comparison group given no incentive</w:t>
      </w:r>
      <w:r w:rsidR="00F612D7" w:rsidRPr="00B55BDB">
        <w:rPr>
          <w:color w:val="000000"/>
          <w:sz w:val="24"/>
        </w:rPr>
        <w:t xml:space="preserve">. </w:t>
      </w:r>
      <w:r w:rsidR="00F6327C">
        <w:rPr>
          <w:color w:val="000000"/>
          <w:sz w:val="24"/>
        </w:rPr>
        <w:t xml:space="preserve"> Other forms of incentives—nonmonetary and/or postpaid—yielded </w:t>
      </w:r>
      <w:r w:rsidR="00877167">
        <w:rPr>
          <w:color w:val="000000"/>
          <w:sz w:val="24"/>
        </w:rPr>
        <w:t xml:space="preserve">much </w:t>
      </w:r>
      <w:r w:rsidR="00F6327C">
        <w:rPr>
          <w:color w:val="000000"/>
          <w:sz w:val="24"/>
        </w:rPr>
        <w:t xml:space="preserve">smaller increases. </w:t>
      </w:r>
      <w:r w:rsidR="00877167">
        <w:rPr>
          <w:color w:val="000000"/>
          <w:sz w:val="24"/>
        </w:rPr>
        <w:t xml:space="preserve"> </w:t>
      </w:r>
      <w:r w:rsidR="00F612D7" w:rsidRPr="00B55BDB">
        <w:rPr>
          <w:color w:val="000000"/>
          <w:sz w:val="24"/>
        </w:rPr>
        <w:t>He conclude</w:t>
      </w:r>
      <w:r w:rsidR="00F612D7">
        <w:rPr>
          <w:color w:val="000000"/>
          <w:sz w:val="24"/>
        </w:rPr>
        <w:t>d</w:t>
      </w:r>
      <w:r w:rsidR="00F612D7" w:rsidRPr="003759BA">
        <w:rPr>
          <w:color w:val="000000"/>
          <w:sz w:val="24"/>
        </w:rPr>
        <w:t xml:space="preserve"> that “monetary incentives included in the initial mailing</w:t>
      </w:r>
      <w:r w:rsidR="00F612D7">
        <w:rPr>
          <w:color w:val="000000"/>
          <w:sz w:val="24"/>
        </w:rPr>
        <w:t xml:space="preserve"> (MI) </w:t>
      </w:r>
      <w:r w:rsidR="00F612D7" w:rsidRPr="003759BA">
        <w:rPr>
          <w:color w:val="000000"/>
          <w:sz w:val="24"/>
        </w:rPr>
        <w:t>should be the method of choice for improving respondent return rates” (</w:t>
      </w:r>
      <w:r w:rsidR="00F612D7">
        <w:rPr>
          <w:color w:val="000000"/>
          <w:sz w:val="24"/>
        </w:rPr>
        <w:t>Church, 1993,</w:t>
      </w:r>
      <w:r w:rsidR="00F612D7" w:rsidRPr="00B75317">
        <w:rPr>
          <w:color w:val="000000"/>
          <w:sz w:val="24"/>
        </w:rPr>
        <w:t xml:space="preserve"> </w:t>
      </w:r>
      <w:r w:rsidR="00F612D7" w:rsidRPr="003759BA">
        <w:rPr>
          <w:color w:val="000000"/>
          <w:sz w:val="24"/>
        </w:rPr>
        <w:t>p. 75).  One decade later, Edwards et al. (2002) reviewed 292 studies and concluded that response rates</w:t>
      </w:r>
      <w:r w:rsidR="000B17C7">
        <w:rPr>
          <w:color w:val="000000"/>
          <w:sz w:val="24"/>
        </w:rPr>
        <w:t xml:space="preserve"> to mail surveys</w:t>
      </w:r>
      <w:r w:rsidR="00F612D7" w:rsidRPr="003759BA">
        <w:rPr>
          <w:color w:val="000000"/>
          <w:sz w:val="24"/>
        </w:rPr>
        <w:t xml:space="preserve"> with monetary incentives more than doubled the rates obtained without incentives, with prepaid incentives yielding almost double the response </w:t>
      </w:r>
      <w:r w:rsidR="00F612D7" w:rsidRPr="003759BA">
        <w:rPr>
          <w:color w:val="000000"/>
          <w:sz w:val="24"/>
        </w:rPr>
        <w:lastRenderedPageBreak/>
        <w:t xml:space="preserve">rate </w:t>
      </w:r>
      <w:r w:rsidR="00F612D7" w:rsidRPr="00B55BDB">
        <w:rPr>
          <w:color w:val="000000"/>
          <w:sz w:val="24"/>
        </w:rPr>
        <w:t>generated with equivalent</w:t>
      </w:r>
      <w:r w:rsidR="00F612D7" w:rsidRPr="003759BA">
        <w:rPr>
          <w:color w:val="000000"/>
          <w:sz w:val="24"/>
        </w:rPr>
        <w:t xml:space="preserve"> incentives to be paid upon completion of the survey.  Finally, Singer and Ye (20</w:t>
      </w:r>
      <w:r w:rsidR="00F612D7">
        <w:rPr>
          <w:color w:val="000000"/>
          <w:sz w:val="24"/>
        </w:rPr>
        <w:t>13</w:t>
      </w:r>
      <w:r w:rsidR="00F612D7" w:rsidRPr="003759BA">
        <w:rPr>
          <w:color w:val="000000"/>
          <w:sz w:val="24"/>
        </w:rPr>
        <w:t>) examined evidence on the effects of incentives in mail surveys produced over the subsequent decade and concluded that, in general, the results of these studies “are consistent with the conclusions reported by Church (1993) and Edwards et al. (2002).”</w:t>
      </w:r>
    </w:p>
    <w:p w14:paraId="421855CB" w14:textId="77777777" w:rsidR="00C1088C" w:rsidRPr="0026094A" w:rsidRDefault="00C1088C" w:rsidP="00C1088C">
      <w:pPr>
        <w:rPr>
          <w:sz w:val="24"/>
        </w:rPr>
      </w:pPr>
    </w:p>
    <w:p w14:paraId="3AA030ED" w14:textId="77777777" w:rsidR="00C1088C" w:rsidRPr="00C1088C" w:rsidRDefault="00C1088C" w:rsidP="00C1088C">
      <w:pPr>
        <w:rPr>
          <w:sz w:val="24"/>
        </w:rPr>
      </w:pPr>
      <w:r w:rsidRPr="0026094A">
        <w:rPr>
          <w:sz w:val="24"/>
        </w:rPr>
        <w:t xml:space="preserve">For panel retention, incentives are equally important, but it is less clear </w:t>
      </w:r>
      <w:r w:rsidR="00F612D7" w:rsidRPr="00B55BDB">
        <w:rPr>
          <w:sz w:val="24"/>
        </w:rPr>
        <w:t xml:space="preserve">from the available evidence </w:t>
      </w:r>
      <w:r w:rsidRPr="0026094A">
        <w:rPr>
          <w:sz w:val="24"/>
        </w:rPr>
        <w:t xml:space="preserve">that these incentives need to be prepaid as well. We expect that annual attrition rates will be </w:t>
      </w:r>
      <w:r w:rsidR="000D379F" w:rsidRPr="005F048A">
        <w:rPr>
          <w:sz w:val="24"/>
        </w:rPr>
        <w:t>less than</w:t>
      </w:r>
      <w:r w:rsidRPr="0026094A">
        <w:rPr>
          <w:sz w:val="24"/>
        </w:rPr>
        <w:t xml:space="preserve"> </w:t>
      </w:r>
      <w:r w:rsidR="000D379F" w:rsidRPr="005F048A">
        <w:rPr>
          <w:sz w:val="24"/>
        </w:rPr>
        <w:t>10</w:t>
      </w:r>
      <w:r w:rsidRPr="0026094A">
        <w:rPr>
          <w:sz w:val="24"/>
        </w:rPr>
        <w:t xml:space="preserve">%. This low attrition rate, which RAND has achieved in the ALP, is undoubtedly related to the relatively generous incentive to respond—$20 after completion of a 30-minute interview—that will be adopted in the </w:t>
      </w:r>
      <w:r w:rsidR="00F612D7">
        <w:rPr>
          <w:sz w:val="24"/>
        </w:rPr>
        <w:t xml:space="preserve">On the Road to Retirement panel </w:t>
      </w:r>
      <w:r w:rsidRPr="0026094A">
        <w:rPr>
          <w:sz w:val="24"/>
        </w:rPr>
        <w:t>study as well.</w:t>
      </w:r>
      <w:r w:rsidRPr="00C1088C">
        <w:rPr>
          <w:sz w:val="24"/>
        </w:rPr>
        <w:t xml:space="preserve">  </w:t>
      </w:r>
    </w:p>
    <w:p w14:paraId="2E81C852" w14:textId="77777777" w:rsidR="00C1088C" w:rsidRDefault="00C1088C" w:rsidP="00C1088C">
      <w:pPr>
        <w:rPr>
          <w:sz w:val="24"/>
        </w:rPr>
      </w:pPr>
    </w:p>
    <w:p w14:paraId="43EEAB8F" w14:textId="77777777" w:rsidR="00F612D7" w:rsidRPr="00B75317" w:rsidRDefault="00F612D7" w:rsidP="00F612D7">
      <w:pPr>
        <w:rPr>
          <w:sz w:val="24"/>
        </w:rPr>
      </w:pPr>
      <w:r w:rsidRPr="00B55BDB">
        <w:rPr>
          <w:sz w:val="24"/>
        </w:rPr>
        <w:t xml:space="preserve">In the </w:t>
      </w:r>
      <w:r>
        <w:rPr>
          <w:sz w:val="24"/>
        </w:rPr>
        <w:t>summary of</w:t>
      </w:r>
      <w:r w:rsidRPr="00B55BDB">
        <w:rPr>
          <w:sz w:val="24"/>
        </w:rPr>
        <w:t xml:space="preserve"> their review, Singer and Ye </w:t>
      </w:r>
      <w:r>
        <w:rPr>
          <w:sz w:val="24"/>
        </w:rPr>
        <w:t xml:space="preserve">(2013) </w:t>
      </w:r>
      <w:r w:rsidRPr="00B55BDB">
        <w:rPr>
          <w:sz w:val="24"/>
        </w:rPr>
        <w:t>report three main conclusions regarding the effect of monetary incentives on response rates, as follows:</w:t>
      </w:r>
    </w:p>
    <w:p w14:paraId="36386883" w14:textId="77777777" w:rsidR="00F612D7" w:rsidRPr="00B55BDB" w:rsidRDefault="00F612D7" w:rsidP="00F612D7">
      <w:pPr>
        <w:ind w:left="720"/>
        <w:rPr>
          <w:sz w:val="24"/>
        </w:rPr>
      </w:pPr>
      <w:r w:rsidRPr="00B55BDB">
        <w:rPr>
          <w:sz w:val="24"/>
        </w:rPr>
        <w:t>“1. Incentives increase response rates to surveys in all modes, including the Web, and in cross-sectional and panel studies.</w:t>
      </w:r>
    </w:p>
    <w:p w14:paraId="2D0E4215" w14:textId="77777777" w:rsidR="00F612D7" w:rsidRPr="00B55BDB" w:rsidRDefault="00F612D7" w:rsidP="00F612D7">
      <w:pPr>
        <w:ind w:left="720"/>
        <w:rPr>
          <w:sz w:val="24"/>
        </w:rPr>
      </w:pPr>
      <w:r w:rsidRPr="00B55BDB">
        <w:rPr>
          <w:sz w:val="24"/>
        </w:rPr>
        <w:t>2. Monetary incentives increase response rates more than gifts, and prepaid incentives increase them more than promised incentives or lotteries, though they are difficult to implement in Web surveys.</w:t>
      </w:r>
    </w:p>
    <w:p w14:paraId="1709E6F7" w14:textId="77777777" w:rsidR="00F612D7" w:rsidRPr="00B75317" w:rsidRDefault="00F612D7" w:rsidP="00F612D7">
      <w:pPr>
        <w:ind w:left="720"/>
        <w:rPr>
          <w:sz w:val="24"/>
        </w:rPr>
      </w:pPr>
      <w:r w:rsidRPr="00B55BDB">
        <w:rPr>
          <w:sz w:val="24"/>
        </w:rPr>
        <w:t>3. There is no good evidence for how large an incentive should be. In general, though response rates increase as the size of the incentive increases, they do so at a declining rate” (Singer and Ye</w:t>
      </w:r>
      <w:r>
        <w:rPr>
          <w:sz w:val="24"/>
        </w:rPr>
        <w:t>, 2013</w:t>
      </w:r>
      <w:r w:rsidRPr="00B55BDB">
        <w:rPr>
          <w:sz w:val="24"/>
        </w:rPr>
        <w:t>, p. 134).</w:t>
      </w:r>
    </w:p>
    <w:p w14:paraId="71EE4235" w14:textId="77777777" w:rsidR="00F612D7" w:rsidRPr="00B55BDB" w:rsidRDefault="00F612D7" w:rsidP="00F612D7">
      <w:pPr>
        <w:ind w:left="720"/>
        <w:rPr>
          <w:sz w:val="24"/>
        </w:rPr>
      </w:pPr>
    </w:p>
    <w:p w14:paraId="5C6ED919" w14:textId="77777777" w:rsidR="00F612D7" w:rsidRDefault="00F612D7" w:rsidP="00F612D7">
      <w:pPr>
        <w:rPr>
          <w:sz w:val="24"/>
        </w:rPr>
      </w:pPr>
      <w:r w:rsidRPr="00B55BDB">
        <w:rPr>
          <w:sz w:val="24"/>
        </w:rPr>
        <w:t xml:space="preserve">Following the recommendations </w:t>
      </w:r>
      <w:r>
        <w:rPr>
          <w:sz w:val="24"/>
        </w:rPr>
        <w:t xml:space="preserve">made </w:t>
      </w:r>
      <w:r w:rsidRPr="00B75317">
        <w:rPr>
          <w:sz w:val="24"/>
        </w:rPr>
        <w:t>in these s</w:t>
      </w:r>
      <w:r w:rsidR="00B77828">
        <w:rPr>
          <w:sz w:val="24"/>
        </w:rPr>
        <w:t>tudies and what has</w:t>
      </w:r>
      <w:r w:rsidRPr="00B75317">
        <w:rPr>
          <w:sz w:val="24"/>
        </w:rPr>
        <w:t xml:space="preserve"> become standard, best practices</w:t>
      </w:r>
      <w:r>
        <w:rPr>
          <w:sz w:val="24"/>
        </w:rPr>
        <w:t xml:space="preserve"> in survey research</w:t>
      </w:r>
      <w:r w:rsidRPr="00B75317">
        <w:rPr>
          <w:sz w:val="24"/>
        </w:rPr>
        <w:t xml:space="preserve">, our proposed protocol for initial sample recruitment includes a prepaid incentive </w:t>
      </w:r>
      <w:r w:rsidRPr="00B55BDB">
        <w:rPr>
          <w:sz w:val="24"/>
        </w:rPr>
        <w:t>and a postpaid incentive, as well as other procedures that have been shown to increase response rates</w:t>
      </w:r>
      <w:r>
        <w:rPr>
          <w:sz w:val="24"/>
        </w:rPr>
        <w:t>,</w:t>
      </w:r>
      <w:r w:rsidRPr="00B75317">
        <w:rPr>
          <w:sz w:val="24"/>
        </w:rPr>
        <w:t xml:space="preserve"> </w:t>
      </w:r>
      <w:r>
        <w:rPr>
          <w:sz w:val="24"/>
        </w:rPr>
        <w:t>including</w:t>
      </w:r>
      <w:r w:rsidRPr="00B75317">
        <w:rPr>
          <w:sz w:val="24"/>
        </w:rPr>
        <w:t xml:space="preserve"> pre-notification letters, follow-up contacts, and mail</w:t>
      </w:r>
      <w:r>
        <w:rPr>
          <w:sz w:val="24"/>
        </w:rPr>
        <w:t>ing</w:t>
      </w:r>
      <w:r w:rsidRPr="00B75317">
        <w:rPr>
          <w:sz w:val="24"/>
        </w:rPr>
        <w:t xml:space="preserve"> of a second questionnaire</w:t>
      </w:r>
      <w:r>
        <w:rPr>
          <w:sz w:val="24"/>
        </w:rPr>
        <w:t xml:space="preserve"> to </w:t>
      </w:r>
      <w:r w:rsidR="00E170D9">
        <w:rPr>
          <w:sz w:val="24"/>
        </w:rPr>
        <w:t>nonrespondent</w:t>
      </w:r>
      <w:r>
        <w:rPr>
          <w:sz w:val="24"/>
        </w:rPr>
        <w:t>s</w:t>
      </w:r>
      <w:r w:rsidRPr="00B75317">
        <w:rPr>
          <w:sz w:val="24"/>
        </w:rPr>
        <w:t>—see, for example, Edwards et al. (2002).  With this protocol, we anticipate a response rate of 40</w:t>
      </w:r>
      <w:r>
        <w:rPr>
          <w:sz w:val="24"/>
        </w:rPr>
        <w:t>%</w:t>
      </w:r>
      <w:r w:rsidRPr="00B55BDB">
        <w:rPr>
          <w:sz w:val="24"/>
        </w:rPr>
        <w:t xml:space="preserve">—10,000 out of 25,000.  The total amount of the </w:t>
      </w:r>
      <w:r w:rsidR="008E495D">
        <w:rPr>
          <w:sz w:val="24"/>
        </w:rPr>
        <w:t xml:space="preserve">Pre-Survey </w:t>
      </w:r>
      <w:r w:rsidRPr="00B55BDB">
        <w:rPr>
          <w:sz w:val="24"/>
        </w:rPr>
        <w:t xml:space="preserve">monetary incentives would </w:t>
      </w:r>
      <w:r>
        <w:rPr>
          <w:sz w:val="24"/>
        </w:rPr>
        <w:t xml:space="preserve">then be no more than </w:t>
      </w:r>
      <w:r w:rsidRPr="00B75317">
        <w:rPr>
          <w:sz w:val="24"/>
        </w:rPr>
        <w:t xml:space="preserve">$225,000, with $150,000 paid out to 10,000 Pre-Survey respondents ($5 prepaid plus $10 postpaid) and </w:t>
      </w:r>
      <w:r>
        <w:rPr>
          <w:sz w:val="24"/>
        </w:rPr>
        <w:t>no more than</w:t>
      </w:r>
      <w:r w:rsidRPr="00B75317">
        <w:rPr>
          <w:sz w:val="24"/>
        </w:rPr>
        <w:t xml:space="preserve"> $75,000 paid out to </w:t>
      </w:r>
      <w:r w:rsidRPr="00B55BDB">
        <w:rPr>
          <w:sz w:val="24"/>
        </w:rPr>
        <w:t xml:space="preserve">15,000 </w:t>
      </w:r>
      <w:r w:rsidR="008E495D">
        <w:rPr>
          <w:sz w:val="24"/>
        </w:rPr>
        <w:t xml:space="preserve">Pre-Survey </w:t>
      </w:r>
      <w:r w:rsidR="00E170D9">
        <w:rPr>
          <w:sz w:val="24"/>
        </w:rPr>
        <w:t>nonrespondent</w:t>
      </w:r>
      <w:r w:rsidRPr="00B55BDB">
        <w:rPr>
          <w:sz w:val="24"/>
        </w:rPr>
        <w:t>s</w:t>
      </w:r>
      <w:r>
        <w:rPr>
          <w:sz w:val="24"/>
        </w:rPr>
        <w:t>.</w:t>
      </w:r>
      <w:r w:rsidRPr="00D07695">
        <w:rPr>
          <w:rStyle w:val="FootnoteReference"/>
          <w:rFonts w:ascii="Times" w:hAnsi="Times" w:cs="Tahoma"/>
          <w:sz w:val="24"/>
          <w:vertAlign w:val="superscript"/>
        </w:rPr>
        <w:footnoteReference w:id="6"/>
      </w:r>
    </w:p>
    <w:p w14:paraId="238B7903" w14:textId="77777777" w:rsidR="00F612D7" w:rsidRDefault="00F612D7" w:rsidP="00F612D7">
      <w:pPr>
        <w:rPr>
          <w:sz w:val="24"/>
        </w:rPr>
      </w:pPr>
    </w:p>
    <w:p w14:paraId="38AE3544" w14:textId="77777777" w:rsidR="00E846C8" w:rsidRDefault="00F612D7" w:rsidP="00F612D7">
      <w:pPr>
        <w:rPr>
          <w:sz w:val="24"/>
        </w:rPr>
      </w:pPr>
      <w:r>
        <w:rPr>
          <w:sz w:val="24"/>
        </w:rPr>
        <w:t>T</w:t>
      </w:r>
      <w:r w:rsidRPr="00B75317">
        <w:rPr>
          <w:sz w:val="24"/>
        </w:rPr>
        <w:t xml:space="preserve">he prepaid incentive </w:t>
      </w:r>
      <w:r w:rsidRPr="00B55BDB">
        <w:rPr>
          <w:sz w:val="24"/>
        </w:rPr>
        <w:t xml:space="preserve">of $5 is a key component of the protocol.  </w:t>
      </w:r>
      <w:r>
        <w:rPr>
          <w:sz w:val="24"/>
        </w:rPr>
        <w:t>Without the prepaid incentive</w:t>
      </w:r>
      <w:r w:rsidRPr="00B75317">
        <w:rPr>
          <w:sz w:val="24"/>
        </w:rPr>
        <w:t>,</w:t>
      </w:r>
      <w:r w:rsidRPr="00B55BDB">
        <w:rPr>
          <w:sz w:val="24"/>
        </w:rPr>
        <w:t xml:space="preserve"> the available evidence indicates that the response rate would fall substantially, even if we were to increase the postpaid incentive by $5</w:t>
      </w:r>
      <w:r>
        <w:rPr>
          <w:sz w:val="24"/>
        </w:rPr>
        <w:t xml:space="preserve"> to a total of $15 in order to compensate</w:t>
      </w:r>
      <w:r w:rsidRPr="00B75317">
        <w:rPr>
          <w:sz w:val="24"/>
        </w:rPr>
        <w:t xml:space="preserve">.  With such a revision to the protocol, </w:t>
      </w:r>
      <w:r w:rsidRPr="00B55BDB">
        <w:rPr>
          <w:sz w:val="24"/>
        </w:rPr>
        <w:t>the response rate would likely fall by at least 10 percentage points.  Such a revision would save a substantial amount of money on the front end, but other recruitment</w:t>
      </w:r>
      <w:r>
        <w:rPr>
          <w:sz w:val="24"/>
        </w:rPr>
        <w:t xml:space="preserve"> costs would</w:t>
      </w:r>
      <w:r w:rsidRPr="00B75317">
        <w:rPr>
          <w:sz w:val="24"/>
        </w:rPr>
        <w:t xml:space="preserve"> increase </w:t>
      </w:r>
      <w:r w:rsidRPr="00B55BDB">
        <w:rPr>
          <w:sz w:val="24"/>
        </w:rPr>
        <w:t>substantially as many additional follow-up con</w:t>
      </w:r>
      <w:r>
        <w:rPr>
          <w:sz w:val="24"/>
        </w:rPr>
        <w:t xml:space="preserve">tacts via mail and telephone would </w:t>
      </w:r>
      <w:r w:rsidRPr="00B75317">
        <w:rPr>
          <w:sz w:val="24"/>
        </w:rPr>
        <w:t>be required.</w:t>
      </w:r>
      <w:r w:rsidRPr="00B55BDB">
        <w:rPr>
          <w:sz w:val="24"/>
        </w:rPr>
        <w:t xml:space="preserve">   </w:t>
      </w:r>
    </w:p>
    <w:p w14:paraId="0E3E4EFE" w14:textId="77777777" w:rsidR="00F612D7" w:rsidRPr="00B55BDB" w:rsidRDefault="00F612D7" w:rsidP="00F612D7">
      <w:pPr>
        <w:rPr>
          <w:sz w:val="24"/>
        </w:rPr>
      </w:pPr>
    </w:p>
    <w:p w14:paraId="07691F39" w14:textId="77777777" w:rsidR="003E7385" w:rsidRDefault="00F612D7" w:rsidP="00F612D7">
      <w:pPr>
        <w:rPr>
          <w:sz w:val="24"/>
        </w:rPr>
      </w:pPr>
      <w:r w:rsidRPr="00B55BDB">
        <w:rPr>
          <w:sz w:val="24"/>
        </w:rPr>
        <w:t>One alternative</w:t>
      </w:r>
      <w:r>
        <w:rPr>
          <w:sz w:val="24"/>
        </w:rPr>
        <w:t xml:space="preserve"> recruitment protocol</w:t>
      </w:r>
      <w:r w:rsidRPr="00B55BDB">
        <w:rPr>
          <w:sz w:val="24"/>
        </w:rPr>
        <w:t xml:space="preserve"> </w:t>
      </w:r>
      <w:r>
        <w:rPr>
          <w:sz w:val="24"/>
        </w:rPr>
        <w:t xml:space="preserve">to consider </w:t>
      </w:r>
      <w:r w:rsidRPr="00B55BDB">
        <w:rPr>
          <w:sz w:val="24"/>
        </w:rPr>
        <w:t xml:space="preserve">would be to </w:t>
      </w:r>
      <w:r>
        <w:rPr>
          <w:sz w:val="24"/>
        </w:rPr>
        <w:t>use the monetary savings obtained by dropping the prepaid incentive to increase the amount of the post</w:t>
      </w:r>
      <w:r w:rsidRPr="00B55BDB">
        <w:rPr>
          <w:sz w:val="24"/>
        </w:rPr>
        <w:t>paid incentive by more than just the offsetting $5.  While it is difficult to know what it would take, there must be some dollar amount of</w:t>
      </w:r>
      <w:r>
        <w:rPr>
          <w:sz w:val="24"/>
        </w:rPr>
        <w:t xml:space="preserve"> a postpaid incentive that would</w:t>
      </w:r>
      <w:r w:rsidRPr="00B75317">
        <w:rPr>
          <w:sz w:val="24"/>
        </w:rPr>
        <w:t xml:space="preserve"> generate a 40% response r</w:t>
      </w:r>
      <w:r>
        <w:rPr>
          <w:sz w:val="24"/>
        </w:rPr>
        <w:t>ate with no pre</w:t>
      </w:r>
      <w:r w:rsidRPr="00B55BDB">
        <w:rPr>
          <w:sz w:val="24"/>
        </w:rPr>
        <w:t>paid incentive</w:t>
      </w:r>
      <w:r>
        <w:rPr>
          <w:sz w:val="24"/>
        </w:rPr>
        <w:t xml:space="preserve"> but with the remainder of our </w:t>
      </w:r>
      <w:r w:rsidRPr="00B55BDB">
        <w:rPr>
          <w:sz w:val="24"/>
        </w:rPr>
        <w:t xml:space="preserve">protocol in place. </w:t>
      </w:r>
      <w:r>
        <w:rPr>
          <w:sz w:val="24"/>
        </w:rPr>
        <w:t xml:space="preserve"> Th</w:t>
      </w:r>
      <w:r w:rsidRPr="00B75317">
        <w:rPr>
          <w:sz w:val="24"/>
        </w:rPr>
        <w:t xml:space="preserve">e required </w:t>
      </w:r>
      <w:r w:rsidRPr="00B55BDB">
        <w:rPr>
          <w:sz w:val="24"/>
        </w:rPr>
        <w:t>increase</w:t>
      </w:r>
      <w:r>
        <w:rPr>
          <w:sz w:val="24"/>
        </w:rPr>
        <w:t xml:space="preserve"> in the postpaid</w:t>
      </w:r>
      <w:r w:rsidRPr="00B75317">
        <w:rPr>
          <w:sz w:val="24"/>
        </w:rPr>
        <w:t xml:space="preserve"> </w:t>
      </w:r>
      <w:r>
        <w:rPr>
          <w:sz w:val="24"/>
        </w:rPr>
        <w:t xml:space="preserve">incentive </w:t>
      </w:r>
      <w:r w:rsidRPr="00B75317">
        <w:rPr>
          <w:sz w:val="24"/>
        </w:rPr>
        <w:t xml:space="preserve">would </w:t>
      </w:r>
      <w:r w:rsidRPr="00B55BDB">
        <w:rPr>
          <w:sz w:val="24"/>
        </w:rPr>
        <w:t>likely be more than</w:t>
      </w:r>
      <w:r>
        <w:rPr>
          <w:sz w:val="24"/>
        </w:rPr>
        <w:t xml:space="preserve"> another</w:t>
      </w:r>
      <w:r w:rsidRPr="00B75317">
        <w:rPr>
          <w:sz w:val="24"/>
        </w:rPr>
        <w:t xml:space="preserve"> $7.50</w:t>
      </w:r>
      <w:r w:rsidR="00AF0331" w:rsidRPr="00AF0331">
        <w:rPr>
          <w:sz w:val="24"/>
        </w:rPr>
        <w:t xml:space="preserve">—i.e., a total postpaid incentive of </w:t>
      </w:r>
      <w:r w:rsidR="00840335">
        <w:rPr>
          <w:sz w:val="24"/>
        </w:rPr>
        <w:t xml:space="preserve">more than </w:t>
      </w:r>
      <w:r w:rsidR="00AF0331" w:rsidRPr="00AF0331">
        <w:rPr>
          <w:sz w:val="24"/>
        </w:rPr>
        <w:t>$22.50—</w:t>
      </w:r>
      <w:r w:rsidRPr="00B75317">
        <w:rPr>
          <w:sz w:val="24"/>
        </w:rPr>
        <w:t xml:space="preserve"> </w:t>
      </w:r>
      <w:r w:rsidRPr="00B55BDB">
        <w:rPr>
          <w:sz w:val="24"/>
        </w:rPr>
        <w:t>in which case th</w:t>
      </w:r>
      <w:r>
        <w:rPr>
          <w:sz w:val="24"/>
        </w:rPr>
        <w:t>is</w:t>
      </w:r>
      <w:r w:rsidRPr="00B75317">
        <w:rPr>
          <w:sz w:val="24"/>
        </w:rPr>
        <w:t xml:space="preserve"> revi</w:t>
      </w:r>
      <w:r>
        <w:rPr>
          <w:sz w:val="24"/>
        </w:rPr>
        <w:t>sed protocol</w:t>
      </w:r>
      <w:r w:rsidRPr="00B75317">
        <w:rPr>
          <w:sz w:val="24"/>
        </w:rPr>
        <w:t xml:space="preserve"> would necessarily increase the </w:t>
      </w:r>
      <w:r w:rsidRPr="00B55BDB">
        <w:rPr>
          <w:sz w:val="24"/>
        </w:rPr>
        <w:t>total amount of monetary incentives paid out for sample recruitment</w:t>
      </w:r>
      <w:r>
        <w:rPr>
          <w:sz w:val="24"/>
        </w:rPr>
        <w:t xml:space="preserve">.  </w:t>
      </w:r>
    </w:p>
    <w:p w14:paraId="66DF82FB" w14:textId="77777777" w:rsidR="003E7385" w:rsidRDefault="003E7385" w:rsidP="00F612D7">
      <w:pPr>
        <w:rPr>
          <w:sz w:val="24"/>
        </w:rPr>
      </w:pPr>
    </w:p>
    <w:p w14:paraId="27B0B6A5" w14:textId="77777777" w:rsidR="00F612D7" w:rsidRPr="00B55BDB" w:rsidRDefault="00362329" w:rsidP="00F612D7">
      <w:pPr>
        <w:rPr>
          <w:sz w:val="24"/>
        </w:rPr>
      </w:pPr>
      <w:r w:rsidRPr="00362329">
        <w:rPr>
          <w:sz w:val="24"/>
        </w:rPr>
        <w:t>For example</w:t>
      </w:r>
      <w:r w:rsidR="00411CB4">
        <w:rPr>
          <w:sz w:val="24"/>
        </w:rPr>
        <w:t>,</w:t>
      </w:r>
      <w:r w:rsidRPr="00362329">
        <w:rPr>
          <w:sz w:val="24"/>
        </w:rPr>
        <w:t xml:space="preserve"> a postpaid incentive of $25 might suffice, but then the amount of monetary incentives paid for the Pre-Survey would total $250,000, for an increase of $25,000.</w:t>
      </w:r>
      <w:r>
        <w:rPr>
          <w:sz w:val="24"/>
        </w:rPr>
        <w:t xml:space="preserve">  </w:t>
      </w:r>
      <w:r w:rsidR="00F612D7">
        <w:rPr>
          <w:sz w:val="24"/>
        </w:rPr>
        <w:t>Further,  a</w:t>
      </w:r>
      <w:r w:rsidR="00F612D7" w:rsidRPr="00B75317">
        <w:rPr>
          <w:sz w:val="24"/>
        </w:rPr>
        <w:t xml:space="preserve"> postpaid</w:t>
      </w:r>
      <w:r w:rsidR="00F612D7">
        <w:rPr>
          <w:sz w:val="24"/>
        </w:rPr>
        <w:t xml:space="preserve"> incentive of more than $2</w:t>
      </w:r>
      <w:r>
        <w:rPr>
          <w:sz w:val="24"/>
        </w:rPr>
        <w:t>0</w:t>
      </w:r>
      <w:r w:rsidR="00F612D7" w:rsidRPr="00B75317">
        <w:rPr>
          <w:sz w:val="24"/>
        </w:rPr>
        <w:t xml:space="preserve"> for</w:t>
      </w:r>
      <w:r w:rsidR="00F612D7" w:rsidRPr="00B55BDB">
        <w:rPr>
          <w:sz w:val="24"/>
        </w:rPr>
        <w:t xml:space="preserve"> completion of a less</w:t>
      </w:r>
      <w:r w:rsidR="00F612D7">
        <w:rPr>
          <w:sz w:val="24"/>
        </w:rPr>
        <w:t>-</w:t>
      </w:r>
      <w:r w:rsidR="00F612D7" w:rsidRPr="00B75317">
        <w:rPr>
          <w:sz w:val="24"/>
        </w:rPr>
        <w:t>than</w:t>
      </w:r>
      <w:r w:rsidR="00F612D7">
        <w:rPr>
          <w:sz w:val="24"/>
        </w:rPr>
        <w:t>-</w:t>
      </w:r>
      <w:r w:rsidR="00F612D7" w:rsidRPr="00B75317">
        <w:rPr>
          <w:sz w:val="24"/>
        </w:rPr>
        <w:t>10 minute</w:t>
      </w:r>
      <w:r w:rsidR="00F612D7">
        <w:rPr>
          <w:sz w:val="24"/>
        </w:rPr>
        <w:t xml:space="preserve"> </w:t>
      </w:r>
      <w:r w:rsidR="00F612D7" w:rsidRPr="00B75317">
        <w:rPr>
          <w:sz w:val="24"/>
        </w:rPr>
        <w:t>s</w:t>
      </w:r>
      <w:r w:rsidR="00F612D7">
        <w:rPr>
          <w:sz w:val="24"/>
        </w:rPr>
        <w:t>urvey</w:t>
      </w:r>
      <w:r w:rsidR="00F612D7" w:rsidRPr="00B75317">
        <w:rPr>
          <w:sz w:val="24"/>
        </w:rPr>
        <w:t xml:space="preserve"> </w:t>
      </w:r>
      <w:r>
        <w:rPr>
          <w:sz w:val="24"/>
        </w:rPr>
        <w:t>w</w:t>
      </w:r>
      <w:r w:rsidR="00F612D7" w:rsidRPr="00B75317">
        <w:rPr>
          <w:sz w:val="24"/>
        </w:rPr>
        <w:t xml:space="preserve">ould </w:t>
      </w:r>
      <w:r>
        <w:rPr>
          <w:sz w:val="24"/>
        </w:rPr>
        <w:t xml:space="preserve">likely </w:t>
      </w:r>
      <w:r w:rsidR="00F612D7" w:rsidRPr="00B75317">
        <w:rPr>
          <w:sz w:val="24"/>
        </w:rPr>
        <w:t xml:space="preserve">have a deleterious effect on attrition, because the incentives </w:t>
      </w:r>
      <w:r w:rsidR="00F612D7" w:rsidRPr="00B55BDB">
        <w:rPr>
          <w:sz w:val="24"/>
        </w:rPr>
        <w:t>paid upon completion of subsequent interviews—$20 after completion of a 30-minute interview—would become relatively less generous.</w:t>
      </w:r>
      <w:r>
        <w:rPr>
          <w:sz w:val="24"/>
        </w:rPr>
        <w:t xml:space="preserve">  </w:t>
      </w:r>
      <w:r w:rsidRPr="00362329">
        <w:rPr>
          <w:sz w:val="24"/>
        </w:rPr>
        <w:t>We would then likely be required to increase the incentives paid for subsequent interviews in order to obtain the desired response rates.</w:t>
      </w:r>
      <w:r w:rsidR="003E7385">
        <w:rPr>
          <w:sz w:val="24"/>
        </w:rPr>
        <w:t xml:space="preserve">  </w:t>
      </w:r>
      <w:r w:rsidR="003E7385" w:rsidRPr="003E7385">
        <w:rPr>
          <w:sz w:val="24"/>
        </w:rPr>
        <w:t>With more than 20,000 separate interviews to be conducted each year, the annual amount of incentives paid would increase by more than $100,000 even if would only needed to increase the per interview payment by $5 as a result of the change in protocol.</w:t>
      </w:r>
    </w:p>
    <w:p w14:paraId="415B9B27" w14:textId="77777777" w:rsidR="00AF0331" w:rsidRPr="00C1088C" w:rsidRDefault="00AF0331" w:rsidP="00C1088C">
      <w:pPr>
        <w:rPr>
          <w:sz w:val="24"/>
        </w:rPr>
      </w:pPr>
    </w:p>
    <w:p w14:paraId="725BFE62" w14:textId="77777777" w:rsidR="00685091" w:rsidRDefault="00C1088C" w:rsidP="00C1088C">
      <w:pPr>
        <w:rPr>
          <w:sz w:val="24"/>
        </w:rPr>
      </w:pPr>
      <w:r w:rsidRPr="00C1088C">
        <w:rPr>
          <w:sz w:val="24"/>
        </w:rPr>
        <w:t xml:space="preserve">Of course, even with our best efforts to recruit and retain respondents, we must be concerned about nonresponse.  Questions about respondent demographics and household composition included in the </w:t>
      </w:r>
      <w:r w:rsidR="00E33599">
        <w:rPr>
          <w:sz w:val="24"/>
        </w:rPr>
        <w:t>Pre-Survey</w:t>
      </w:r>
      <w:r w:rsidRPr="00C1088C">
        <w:rPr>
          <w:sz w:val="24"/>
        </w:rPr>
        <w:t xml:space="preserve"> allow us to directly assess the impact of </w:t>
      </w:r>
      <w:r w:rsidR="00E33599">
        <w:rPr>
          <w:sz w:val="24"/>
        </w:rPr>
        <w:t>Pre-Survey</w:t>
      </w:r>
      <w:r w:rsidRPr="00C1088C">
        <w:rPr>
          <w:sz w:val="24"/>
        </w:rPr>
        <w:t xml:space="preserve"> nonresponse on the representativeness of the sample, by comparing sample statistics to benchmark national estimates from larger surveys.  </w:t>
      </w:r>
    </w:p>
    <w:p w14:paraId="4E3ADFED" w14:textId="77777777" w:rsidR="00685091" w:rsidRDefault="00685091" w:rsidP="00C1088C">
      <w:pPr>
        <w:rPr>
          <w:sz w:val="24"/>
        </w:rPr>
      </w:pPr>
    </w:p>
    <w:p w14:paraId="43AD5759" w14:textId="77777777" w:rsidR="00FE5644" w:rsidRDefault="00220B16" w:rsidP="00C1088C">
      <w:pPr>
        <w:rPr>
          <w:sz w:val="24"/>
        </w:rPr>
      </w:pPr>
      <w:r>
        <w:rPr>
          <w:sz w:val="24"/>
        </w:rPr>
        <w:t xml:space="preserve">In particular, we will </w:t>
      </w:r>
      <w:r w:rsidR="00FE5644">
        <w:rPr>
          <w:sz w:val="24"/>
        </w:rPr>
        <w:t>compare sample statistics on</w:t>
      </w:r>
      <w:r w:rsidR="005D237F">
        <w:rPr>
          <w:sz w:val="24"/>
        </w:rPr>
        <w:t xml:space="preserve"> the respondent’s</w:t>
      </w:r>
      <w:r w:rsidR="00FE5644">
        <w:rPr>
          <w:sz w:val="24"/>
        </w:rPr>
        <w:t xml:space="preserve"> age, gender, race, ethnicity, marital status,</w:t>
      </w:r>
      <w:r w:rsidR="005D237F">
        <w:rPr>
          <w:sz w:val="24"/>
        </w:rPr>
        <w:t xml:space="preserve"> and current employment status, as well as </w:t>
      </w:r>
      <w:r w:rsidR="00FE5644">
        <w:rPr>
          <w:sz w:val="24"/>
        </w:rPr>
        <w:t>household composition</w:t>
      </w:r>
      <w:r w:rsidR="005D237F">
        <w:rPr>
          <w:sz w:val="24"/>
        </w:rPr>
        <w:t xml:space="preserve"> and location, </w:t>
      </w:r>
      <w:r w:rsidR="00FE5644">
        <w:rPr>
          <w:sz w:val="24"/>
        </w:rPr>
        <w:t xml:space="preserve">to the most comparable national estimates available from the American Community Survey </w:t>
      </w:r>
      <w:r w:rsidR="00A86ACD">
        <w:rPr>
          <w:sz w:val="24"/>
        </w:rPr>
        <w:t xml:space="preserve">(ACS) </w:t>
      </w:r>
      <w:r w:rsidR="00FE5644">
        <w:rPr>
          <w:sz w:val="24"/>
        </w:rPr>
        <w:t>and the Current Population Survey</w:t>
      </w:r>
      <w:r w:rsidR="00A86ACD">
        <w:rPr>
          <w:sz w:val="24"/>
        </w:rPr>
        <w:t xml:space="preserve"> (CPS)</w:t>
      </w:r>
      <w:r w:rsidR="00DB2ECF">
        <w:rPr>
          <w:sz w:val="24"/>
        </w:rPr>
        <w:t xml:space="preserve">.  </w:t>
      </w:r>
      <w:r w:rsidR="005D237F">
        <w:rPr>
          <w:sz w:val="24"/>
        </w:rPr>
        <w:t xml:space="preserve">To assess the impact of nonresponse on the socioeconomic composition of the Pre-Survey sample of respondents, we will utilize </w:t>
      </w:r>
      <w:r w:rsidR="005225E5">
        <w:rPr>
          <w:sz w:val="24"/>
        </w:rPr>
        <w:t xml:space="preserve">Census </w:t>
      </w:r>
      <w:r w:rsidR="005D237F">
        <w:rPr>
          <w:sz w:val="24"/>
        </w:rPr>
        <w:t xml:space="preserve">estimates of education, income, and occupational distribution by geographic area—e.g., </w:t>
      </w:r>
      <w:r w:rsidR="00DB2ECF">
        <w:rPr>
          <w:sz w:val="24"/>
        </w:rPr>
        <w:t xml:space="preserve">defined by </w:t>
      </w:r>
      <w:r w:rsidR="005D237F">
        <w:rPr>
          <w:sz w:val="24"/>
        </w:rPr>
        <w:t>zip</w:t>
      </w:r>
      <w:r w:rsidR="00F3018C">
        <w:rPr>
          <w:sz w:val="24"/>
        </w:rPr>
        <w:t xml:space="preserve"> </w:t>
      </w:r>
      <w:r w:rsidR="005D237F">
        <w:rPr>
          <w:sz w:val="24"/>
        </w:rPr>
        <w:t xml:space="preserve">code—to </w:t>
      </w:r>
      <w:r w:rsidR="00F3018C">
        <w:rPr>
          <w:sz w:val="24"/>
        </w:rPr>
        <w:t>compare respondents to non</w:t>
      </w:r>
      <w:r w:rsidR="005D237F">
        <w:rPr>
          <w:sz w:val="24"/>
        </w:rPr>
        <w:t>respondents.</w:t>
      </w:r>
    </w:p>
    <w:p w14:paraId="6BFCB969" w14:textId="77777777" w:rsidR="00FE5644" w:rsidRDefault="00FE5644" w:rsidP="00C1088C">
      <w:pPr>
        <w:rPr>
          <w:sz w:val="24"/>
        </w:rPr>
      </w:pPr>
      <w:r>
        <w:rPr>
          <w:sz w:val="24"/>
        </w:rPr>
        <w:t xml:space="preserve">   </w:t>
      </w:r>
    </w:p>
    <w:p w14:paraId="5961E74E" w14:textId="77777777" w:rsidR="0058010A" w:rsidRDefault="00C1088C" w:rsidP="00C1088C">
      <w:pPr>
        <w:rPr>
          <w:sz w:val="24"/>
        </w:rPr>
      </w:pPr>
      <w:r w:rsidRPr="00C1088C">
        <w:rPr>
          <w:sz w:val="24"/>
        </w:rPr>
        <w:t xml:space="preserve">We will report on our analysis of nonresponse to the </w:t>
      </w:r>
      <w:r w:rsidR="00E33599">
        <w:rPr>
          <w:sz w:val="24"/>
        </w:rPr>
        <w:t>Pre-Survey</w:t>
      </w:r>
      <w:r w:rsidRPr="00C1088C">
        <w:rPr>
          <w:sz w:val="24"/>
        </w:rPr>
        <w:t xml:space="preserve">—both unit nonresponse and item nonresponse—in the Initial Participant Survey Report.  This report will also include an analysis of nonresponse to the IPS, including both nonresponse to the IPS interview conditional on response to the </w:t>
      </w:r>
      <w:r w:rsidR="00E33599">
        <w:rPr>
          <w:sz w:val="24"/>
        </w:rPr>
        <w:t>Pre-Survey</w:t>
      </w:r>
      <w:r w:rsidRPr="00C1088C">
        <w:rPr>
          <w:sz w:val="24"/>
        </w:rPr>
        <w:t xml:space="preserve"> and the cumulative nonresponse over the two stages. </w:t>
      </w:r>
      <w:r w:rsidR="0058010A">
        <w:rPr>
          <w:sz w:val="24"/>
        </w:rPr>
        <w:t xml:space="preserve"> </w:t>
      </w:r>
      <w:r w:rsidR="00A86ACD">
        <w:rPr>
          <w:sz w:val="24"/>
        </w:rPr>
        <w:t>Our a</w:t>
      </w:r>
      <w:r w:rsidR="0058010A">
        <w:rPr>
          <w:sz w:val="24"/>
        </w:rPr>
        <w:t>nalysis of the second stage of nonresponse—i.e., nonresponse to the IPS interview conditional on response to the Pre-Survey—</w:t>
      </w:r>
      <w:r w:rsidR="00A86ACD">
        <w:rPr>
          <w:sz w:val="24"/>
        </w:rPr>
        <w:t xml:space="preserve">will focus on a </w:t>
      </w:r>
      <w:r w:rsidR="0058010A">
        <w:rPr>
          <w:sz w:val="24"/>
        </w:rPr>
        <w:t xml:space="preserve">direct comparison of respondents to nonrespondents </w:t>
      </w:r>
      <w:r w:rsidR="00A86ACD">
        <w:rPr>
          <w:sz w:val="24"/>
        </w:rPr>
        <w:lastRenderedPageBreak/>
        <w:t>in terms of the</w:t>
      </w:r>
      <w:r w:rsidR="0058010A">
        <w:rPr>
          <w:sz w:val="24"/>
        </w:rPr>
        <w:t xml:space="preserve"> information reported in the Pre-Survey.  </w:t>
      </w:r>
      <w:r w:rsidR="00A86ACD">
        <w:rPr>
          <w:sz w:val="24"/>
        </w:rPr>
        <w:t xml:space="preserve">Our analysis of cumulative nonresponse over the two stages will compare sample statistics from the IPS to external benchmarks from the ACS and CPS.  </w:t>
      </w:r>
      <w:r w:rsidR="008E7C6B">
        <w:rPr>
          <w:sz w:val="24"/>
        </w:rPr>
        <w:t xml:space="preserve">In this case, unlike the Pre-Survey analysis of nonresponse, we will have extensive socioeconomic and household financial information </w:t>
      </w:r>
      <w:r w:rsidR="00952F86">
        <w:rPr>
          <w:sz w:val="24"/>
        </w:rPr>
        <w:t xml:space="preserve">reported in the IPS </w:t>
      </w:r>
      <w:r w:rsidR="008E7C6B">
        <w:rPr>
          <w:sz w:val="24"/>
        </w:rPr>
        <w:t>with which to compare respondent households to the national benchmarks.</w:t>
      </w:r>
      <w:r w:rsidR="00F32C37">
        <w:rPr>
          <w:sz w:val="24"/>
        </w:rPr>
        <w:t xml:space="preserve">  We will therefore look to additional </w:t>
      </w:r>
      <w:r w:rsidR="00827245">
        <w:rPr>
          <w:sz w:val="24"/>
        </w:rPr>
        <w:t xml:space="preserve">data </w:t>
      </w:r>
      <w:r w:rsidR="00F32C37">
        <w:rPr>
          <w:sz w:val="24"/>
        </w:rPr>
        <w:t>sources, especially the Federal Reserve Board’s S</w:t>
      </w:r>
      <w:r w:rsidR="00502A53">
        <w:rPr>
          <w:sz w:val="24"/>
        </w:rPr>
        <w:t>urvey of Consumer Finances,</w:t>
      </w:r>
      <w:r w:rsidR="00F32C37">
        <w:rPr>
          <w:sz w:val="24"/>
        </w:rPr>
        <w:t xml:space="preserve"> to provide these benchmarks.</w:t>
      </w:r>
    </w:p>
    <w:p w14:paraId="1BF38669" w14:textId="77777777" w:rsidR="0058010A" w:rsidRDefault="0058010A" w:rsidP="00C1088C">
      <w:pPr>
        <w:rPr>
          <w:sz w:val="24"/>
        </w:rPr>
      </w:pPr>
    </w:p>
    <w:p w14:paraId="68783346" w14:textId="77777777" w:rsidR="00C1088C" w:rsidRPr="00C1088C" w:rsidRDefault="00C1088C" w:rsidP="00C1088C">
      <w:pPr>
        <w:rPr>
          <w:sz w:val="24"/>
        </w:rPr>
      </w:pPr>
      <w:r w:rsidRPr="00C1088C">
        <w:rPr>
          <w:sz w:val="24"/>
        </w:rPr>
        <w:t xml:space="preserve">We will also construct sample weights that may be applied to sample data to allow for generalization to the population it intends to represent (see Section B.4 for further discussion). </w:t>
      </w:r>
      <w:r w:rsidR="003678CA">
        <w:rPr>
          <w:sz w:val="24"/>
        </w:rPr>
        <w:t xml:space="preserve">  These weights will b</w:t>
      </w:r>
      <w:r w:rsidR="00B94C6D">
        <w:rPr>
          <w:sz w:val="24"/>
        </w:rPr>
        <w:t>e constructed to account for nonresponse probabilities estimated based on the national benchmarks.  Thus, the weighted data</w:t>
      </w:r>
      <w:r w:rsidR="004746AD">
        <w:rPr>
          <w:sz w:val="24"/>
        </w:rPr>
        <w:t xml:space="preserve"> on respondents</w:t>
      </w:r>
      <w:r w:rsidR="00B94C6D">
        <w:rPr>
          <w:sz w:val="24"/>
        </w:rPr>
        <w:t xml:space="preserve"> will match up to the national benchmarks from the ACS and/or CPS for those household attribute</w:t>
      </w:r>
      <w:r w:rsidR="00AC15EC">
        <w:rPr>
          <w:sz w:val="24"/>
        </w:rPr>
        <w:t>s on which the weights are based</w:t>
      </w:r>
      <w:r w:rsidR="00B94C6D">
        <w:rPr>
          <w:sz w:val="24"/>
        </w:rPr>
        <w:t>.</w:t>
      </w:r>
    </w:p>
    <w:p w14:paraId="6653E90E" w14:textId="77777777" w:rsidR="00C1088C" w:rsidRPr="00C1088C" w:rsidRDefault="00C1088C" w:rsidP="00C1088C">
      <w:pPr>
        <w:rPr>
          <w:sz w:val="24"/>
        </w:rPr>
      </w:pPr>
    </w:p>
    <w:p w14:paraId="3C20BC1E" w14:textId="77777777" w:rsidR="00C1088C" w:rsidRPr="00C1088C" w:rsidRDefault="00C1088C" w:rsidP="00C1088C">
      <w:pPr>
        <w:rPr>
          <w:sz w:val="24"/>
        </w:rPr>
      </w:pPr>
      <w:r w:rsidRPr="00C1088C">
        <w:rPr>
          <w:sz w:val="24"/>
        </w:rPr>
        <w:t xml:space="preserve">In addition to reports of respondent demographics and household composition, the </w:t>
      </w:r>
      <w:r w:rsidR="00E33599">
        <w:rPr>
          <w:sz w:val="24"/>
        </w:rPr>
        <w:t>Pre-Survey</w:t>
      </w:r>
      <w:r w:rsidRPr="00C1088C">
        <w:rPr>
          <w:sz w:val="24"/>
        </w:rPr>
        <w:t xml:space="preserve"> includes a few questions concerning household financial knowledge and decision making.  Given this project’s central focus of this issue, the Initial Participant Survey Report will include a detailed assessment of how </w:t>
      </w:r>
      <w:r w:rsidR="00E170D9">
        <w:rPr>
          <w:sz w:val="24"/>
        </w:rPr>
        <w:t>nonrespondent</w:t>
      </w:r>
      <w:r w:rsidRPr="00C1088C">
        <w:rPr>
          <w:sz w:val="24"/>
        </w:rPr>
        <w:t xml:space="preserve">s to the IPS answered these questions in the </w:t>
      </w:r>
      <w:r w:rsidR="00E33599">
        <w:rPr>
          <w:sz w:val="24"/>
        </w:rPr>
        <w:t>Pre-Survey</w:t>
      </w:r>
      <w:r w:rsidRPr="00C1088C">
        <w:rPr>
          <w:sz w:val="24"/>
        </w:rPr>
        <w:t>.  An assessment of cumulative nonresponse is more difficult, however, because we have no benchmark estimates with which to compare the sample statistics.  Many of the questions in the IPS concerning financial capabilities have been asked in other national surveys—e.g., Lusardi and Mitchell (2006)—so we may compare response patterns to assess the potential impact of nonresponse on the composition of the sample.</w:t>
      </w:r>
    </w:p>
    <w:p w14:paraId="4EDD924E" w14:textId="77777777" w:rsidR="00C1088C" w:rsidRPr="00C1088C" w:rsidRDefault="00C1088C" w:rsidP="00C1088C">
      <w:pPr>
        <w:rPr>
          <w:sz w:val="24"/>
        </w:rPr>
      </w:pPr>
    </w:p>
    <w:p w14:paraId="25429826" w14:textId="77777777" w:rsidR="00C1088C" w:rsidRDefault="00C1088C" w:rsidP="00C1088C">
      <w:pPr>
        <w:rPr>
          <w:sz w:val="24"/>
        </w:rPr>
      </w:pPr>
      <w:r w:rsidRPr="00C1088C">
        <w:rPr>
          <w:sz w:val="24"/>
        </w:rPr>
        <w:t xml:space="preserve">As with any panel, attrition can greatly affect the representativeness of the sample over time, even if the attrition rate </w:t>
      </w:r>
      <w:r w:rsidR="001D34B7">
        <w:rPr>
          <w:sz w:val="24"/>
        </w:rPr>
        <w:t xml:space="preserve">is </w:t>
      </w:r>
      <w:r w:rsidR="000D379F">
        <w:rPr>
          <w:sz w:val="24"/>
        </w:rPr>
        <w:t>less than 10%</w:t>
      </w:r>
      <w:r w:rsidRPr="00C1088C">
        <w:rPr>
          <w:sz w:val="24"/>
        </w:rPr>
        <w:t xml:space="preserve">.  In addition to calculating sample weights at each stage of the panel, we will routinely assess the patterns of nonresponse over time and report on our findings in Advice </w:t>
      </w:r>
      <w:r w:rsidR="00801C13">
        <w:rPr>
          <w:sz w:val="24"/>
        </w:rPr>
        <w:t>Interaction</w:t>
      </w:r>
      <w:r w:rsidRPr="00C1088C">
        <w:rPr>
          <w:sz w:val="24"/>
        </w:rPr>
        <w:t xml:space="preserve"> Survey Analysis reports and Annual Participant Survey reports.  </w:t>
      </w:r>
      <w:r w:rsidR="0084118A">
        <w:rPr>
          <w:sz w:val="24"/>
        </w:rPr>
        <w:t>Each analysis will be structured in a similar manner to the analysis of nonresponse to the IPS, and the results of these analyses will be reported in comparable formats.  W</w:t>
      </w:r>
      <w:r w:rsidRPr="00C1088C">
        <w:rPr>
          <w:sz w:val="24"/>
        </w:rPr>
        <w:t>e will use these findings to assess and improve ou</w:t>
      </w:r>
      <w:r w:rsidR="00AD67C2">
        <w:rPr>
          <w:sz w:val="24"/>
        </w:rPr>
        <w:t>r</w:t>
      </w:r>
      <w:r w:rsidRPr="00C1088C">
        <w:rPr>
          <w:sz w:val="24"/>
        </w:rPr>
        <w:t xml:space="preserve"> panel maintenance efforts over the course of the study.</w:t>
      </w:r>
    </w:p>
    <w:p w14:paraId="06D3AD2B" w14:textId="77777777" w:rsidR="00C35DA4" w:rsidRDefault="00C35DA4" w:rsidP="00C35DA4">
      <w:pPr>
        <w:rPr>
          <w:sz w:val="24"/>
        </w:rPr>
      </w:pPr>
    </w:p>
    <w:p w14:paraId="01A7096A" w14:textId="77777777" w:rsidR="00C35DA4" w:rsidRDefault="00C35DA4" w:rsidP="00C35DA4">
      <w:pPr>
        <w:rPr>
          <w:sz w:val="24"/>
        </w:rPr>
      </w:pPr>
      <w:r>
        <w:rPr>
          <w:sz w:val="24"/>
        </w:rPr>
        <w:t xml:space="preserve">As noted above, </w:t>
      </w:r>
      <w:r w:rsidR="00745644">
        <w:rPr>
          <w:sz w:val="24"/>
        </w:rPr>
        <w:t>w</w:t>
      </w:r>
      <w:r w:rsidRPr="00C35DA4">
        <w:rPr>
          <w:sz w:val="24"/>
        </w:rPr>
        <w:t xml:space="preserve">e believe that financial incentives are a crucial component of these efforts to obtain acceptable rates of participation in this panel study, both in terms of the initial recruitment of respondents and in terms of attrition.  </w:t>
      </w:r>
      <w:r w:rsidR="00607F1A">
        <w:rPr>
          <w:sz w:val="24"/>
        </w:rPr>
        <w:t xml:space="preserve">It has been observed that </w:t>
      </w:r>
      <w:r>
        <w:rPr>
          <w:sz w:val="24"/>
        </w:rPr>
        <w:t xml:space="preserve">higher response rates need not generate a more representative sample and, in turn, reduce biases arising from nonresponse.  Singer and Ye (2013) </w:t>
      </w:r>
      <w:r w:rsidR="00607F1A">
        <w:rPr>
          <w:sz w:val="24"/>
        </w:rPr>
        <w:t>r</w:t>
      </w:r>
      <w:r>
        <w:rPr>
          <w:sz w:val="24"/>
        </w:rPr>
        <w:t>each the following conclusion in their review of survey research:</w:t>
      </w:r>
    </w:p>
    <w:p w14:paraId="3512428E" w14:textId="77777777" w:rsidR="00DD5EE6" w:rsidRDefault="00DD5EE6" w:rsidP="00C35DA4">
      <w:pPr>
        <w:rPr>
          <w:sz w:val="24"/>
        </w:rPr>
      </w:pPr>
    </w:p>
    <w:p w14:paraId="0020E33B" w14:textId="77777777" w:rsidR="00C35DA4" w:rsidRDefault="00C35DA4" w:rsidP="006079E7">
      <w:pPr>
        <w:ind w:left="720"/>
        <w:rPr>
          <w:sz w:val="24"/>
        </w:rPr>
      </w:pPr>
      <w:r>
        <w:rPr>
          <w:sz w:val="24"/>
        </w:rPr>
        <w:t>“</w:t>
      </w:r>
      <w:r w:rsidRPr="00C35DA4">
        <w:rPr>
          <w:sz w:val="24"/>
        </w:rPr>
        <w:t xml:space="preserve">Maximizing the response rate is not always the best way to secure sample representativeness. Much better information about the mechanisms by which nonresponse </w:t>
      </w:r>
      <w:r w:rsidRPr="00C35DA4">
        <w:rPr>
          <w:sz w:val="24"/>
        </w:rPr>
        <w:lastRenderedPageBreak/>
        <w:t>bias comes about, and the likely impact of incentives on those mechanisms, is needed if incentives are to be used to targ</w:t>
      </w:r>
      <w:r w:rsidR="00222ADE">
        <w:rPr>
          <w:sz w:val="24"/>
        </w:rPr>
        <w:t>et nonresponse bias effectively</w:t>
      </w:r>
      <w:r w:rsidRPr="00C35DA4">
        <w:rPr>
          <w:sz w:val="24"/>
        </w:rPr>
        <w:t>"</w:t>
      </w:r>
      <w:r w:rsidR="00222ADE">
        <w:rPr>
          <w:sz w:val="24"/>
        </w:rPr>
        <w:t xml:space="preserve"> (Singer and Ye, 2013, p. 134).</w:t>
      </w:r>
    </w:p>
    <w:p w14:paraId="08B9F8FF" w14:textId="77777777" w:rsidR="00C35DA4" w:rsidRDefault="00C35DA4" w:rsidP="00C35DA4">
      <w:pPr>
        <w:rPr>
          <w:sz w:val="24"/>
        </w:rPr>
      </w:pPr>
    </w:p>
    <w:p w14:paraId="61921434" w14:textId="77777777" w:rsidR="00607F1A" w:rsidRDefault="00607F1A" w:rsidP="00C35DA4">
      <w:pPr>
        <w:rPr>
          <w:sz w:val="24"/>
        </w:rPr>
      </w:pPr>
      <w:r>
        <w:rPr>
          <w:sz w:val="24"/>
        </w:rPr>
        <w:t xml:space="preserve">However, </w:t>
      </w:r>
      <w:r w:rsidR="00222ADE">
        <w:rPr>
          <w:sz w:val="24"/>
        </w:rPr>
        <w:t>higher responses rates necessarily</w:t>
      </w:r>
      <w:r w:rsidR="003D7521">
        <w:rPr>
          <w:sz w:val="24"/>
        </w:rPr>
        <w:t xml:space="preserve"> reduce uncertainty about</w:t>
      </w:r>
      <w:r w:rsidR="00222ADE">
        <w:rPr>
          <w:sz w:val="24"/>
        </w:rPr>
        <w:t xml:space="preserve"> potential bias</w:t>
      </w:r>
      <w:r w:rsidR="00A60DC8">
        <w:rPr>
          <w:sz w:val="24"/>
        </w:rPr>
        <w:t>.</w:t>
      </w:r>
    </w:p>
    <w:p w14:paraId="3C1E00DB" w14:textId="77777777" w:rsidR="009E343A" w:rsidRDefault="009E343A" w:rsidP="00C35DA4">
      <w:pPr>
        <w:rPr>
          <w:sz w:val="24"/>
        </w:rPr>
      </w:pPr>
    </w:p>
    <w:p w14:paraId="6613B5F6" w14:textId="77777777" w:rsidR="005A4808" w:rsidRDefault="00A60DC8" w:rsidP="009E343A">
      <w:pPr>
        <w:rPr>
          <w:sz w:val="24"/>
        </w:rPr>
      </w:pPr>
      <w:r>
        <w:rPr>
          <w:sz w:val="24"/>
        </w:rPr>
        <w:t>To clarify the</w:t>
      </w:r>
      <w:r w:rsidR="00607F1A">
        <w:rPr>
          <w:sz w:val="24"/>
        </w:rPr>
        <w:t xml:space="preserve"> distinction between actual bias and potential bias, </w:t>
      </w:r>
      <w:r>
        <w:rPr>
          <w:sz w:val="24"/>
        </w:rPr>
        <w:t xml:space="preserve">consider the simple case of a population proportion, such as the proportion of U.S. households </w:t>
      </w:r>
      <w:r w:rsidR="00DF4069">
        <w:rPr>
          <w:sz w:val="24"/>
        </w:rPr>
        <w:t xml:space="preserve">who </w:t>
      </w:r>
      <w:r>
        <w:rPr>
          <w:sz w:val="24"/>
        </w:rPr>
        <w:t>rec</w:t>
      </w:r>
      <w:r w:rsidR="003D7521">
        <w:rPr>
          <w:sz w:val="24"/>
        </w:rPr>
        <w:t>eived financial advice related to</w:t>
      </w:r>
      <w:r>
        <w:rPr>
          <w:sz w:val="24"/>
        </w:rPr>
        <w:t xml:space="preserve"> retirement during the preceding year.  Let</w:t>
      </w:r>
      <w:r w:rsidR="00222ADE">
        <w:rPr>
          <w:sz w:val="24"/>
        </w:rPr>
        <w:t xml:space="preserve"> y denote the </w:t>
      </w:r>
      <w:r>
        <w:rPr>
          <w:sz w:val="24"/>
        </w:rPr>
        <w:t xml:space="preserve">survey </w:t>
      </w:r>
      <w:r w:rsidR="00222ADE">
        <w:rPr>
          <w:sz w:val="24"/>
        </w:rPr>
        <w:t xml:space="preserve">variable of </w:t>
      </w:r>
      <w:r>
        <w:rPr>
          <w:sz w:val="24"/>
        </w:rPr>
        <w:t>interest</w:t>
      </w:r>
      <w:r w:rsidR="005A4808">
        <w:rPr>
          <w:sz w:val="24"/>
        </w:rPr>
        <w:t>,</w:t>
      </w:r>
      <w:r>
        <w:rPr>
          <w:sz w:val="24"/>
        </w:rPr>
        <w:t xml:space="preserve"> which takes the value “Yes” or “No.”  Let z be another binary variable indicat</w:t>
      </w:r>
      <w:r w:rsidR="00607F1A">
        <w:rPr>
          <w:sz w:val="24"/>
        </w:rPr>
        <w:t>ing</w:t>
      </w:r>
      <w:r>
        <w:rPr>
          <w:sz w:val="24"/>
        </w:rPr>
        <w:t xml:space="preserve"> whether a sampled member of the population responds (z=1) or does not respond (z=0).  We are interested in estimating Pr(</w:t>
      </w:r>
      <w:r w:rsidR="003D7521">
        <w:rPr>
          <w:sz w:val="24"/>
        </w:rPr>
        <w:t>y=“</w:t>
      </w:r>
      <w:r>
        <w:rPr>
          <w:sz w:val="24"/>
        </w:rPr>
        <w:t>Yes</w:t>
      </w:r>
      <w:r w:rsidR="00DF4069">
        <w:rPr>
          <w:sz w:val="24"/>
        </w:rPr>
        <w:t>”)</w:t>
      </w:r>
      <w:r w:rsidR="00DF4069" w:rsidRPr="00DF4069">
        <w:rPr>
          <w:sz w:val="24"/>
        </w:rPr>
        <w:t xml:space="preserve"> </w:t>
      </w:r>
      <w:r w:rsidR="00DF4069">
        <w:rPr>
          <w:sz w:val="24"/>
        </w:rPr>
        <w:t>the population proportion who received financial advice</w:t>
      </w:r>
      <w:r>
        <w:rPr>
          <w:sz w:val="24"/>
        </w:rPr>
        <w:t>, but the sample of survey respondents only provide</w:t>
      </w:r>
      <w:r w:rsidR="00607F1A">
        <w:rPr>
          <w:sz w:val="24"/>
        </w:rPr>
        <w:t>s</w:t>
      </w:r>
      <w:r>
        <w:rPr>
          <w:sz w:val="24"/>
        </w:rPr>
        <w:t xml:space="preserve"> </w:t>
      </w:r>
      <w:r w:rsidR="00607F1A">
        <w:rPr>
          <w:sz w:val="24"/>
        </w:rPr>
        <w:t>a consistent</w:t>
      </w:r>
      <w:r w:rsidR="00DF4069">
        <w:rPr>
          <w:sz w:val="24"/>
        </w:rPr>
        <w:t xml:space="preserve"> estimate of </w:t>
      </w:r>
      <w:r>
        <w:rPr>
          <w:sz w:val="24"/>
        </w:rPr>
        <w:t>Pr(y=</w:t>
      </w:r>
      <w:r w:rsidR="003D7521">
        <w:rPr>
          <w:sz w:val="24"/>
        </w:rPr>
        <w:t>“</w:t>
      </w:r>
      <w:r>
        <w:rPr>
          <w:sz w:val="24"/>
        </w:rPr>
        <w:t>Yes”|</w:t>
      </w:r>
      <w:r w:rsidR="00DF4069">
        <w:rPr>
          <w:sz w:val="24"/>
        </w:rPr>
        <w:t>z=1)</w:t>
      </w:r>
      <w:r w:rsidR="00607F1A">
        <w:rPr>
          <w:sz w:val="24"/>
        </w:rPr>
        <w:t>,</w:t>
      </w:r>
      <w:r w:rsidR="00DF4069">
        <w:rPr>
          <w:sz w:val="24"/>
        </w:rPr>
        <w:t xml:space="preserve"> the population proportion who received advice among those who would choose to respond to our survey if asked to do so.   </w:t>
      </w:r>
      <w:r w:rsidR="00B962FB">
        <w:rPr>
          <w:sz w:val="24"/>
        </w:rPr>
        <w:t>N</w:t>
      </w:r>
      <w:r>
        <w:rPr>
          <w:sz w:val="24"/>
        </w:rPr>
        <w:t xml:space="preserve">onresponse bias </w:t>
      </w:r>
      <w:r w:rsidR="00B962FB">
        <w:rPr>
          <w:sz w:val="24"/>
        </w:rPr>
        <w:t>using this estimate is</w:t>
      </w:r>
    </w:p>
    <w:p w14:paraId="1D38877E" w14:textId="77777777" w:rsidR="00A60DC8" w:rsidRDefault="00A60DC8" w:rsidP="009E343A">
      <w:pPr>
        <w:rPr>
          <w:sz w:val="24"/>
        </w:rPr>
      </w:pPr>
    </w:p>
    <w:p w14:paraId="1CB2C08C" w14:textId="77777777" w:rsidR="00A60DC8" w:rsidRDefault="00A60DC8" w:rsidP="006079E7">
      <w:pPr>
        <w:jc w:val="center"/>
        <w:rPr>
          <w:sz w:val="24"/>
        </w:rPr>
      </w:pPr>
      <w:r>
        <w:rPr>
          <w:sz w:val="24"/>
        </w:rPr>
        <w:t>Bias</w:t>
      </w:r>
      <w:r w:rsidR="005A4808">
        <w:rPr>
          <w:sz w:val="24"/>
        </w:rPr>
        <w:t xml:space="preserve"> </w:t>
      </w:r>
      <w:r>
        <w:rPr>
          <w:sz w:val="24"/>
        </w:rPr>
        <w:t>=</w:t>
      </w:r>
      <w:r w:rsidR="004122BF" w:rsidRPr="004122BF">
        <w:rPr>
          <w:sz w:val="24"/>
        </w:rPr>
        <w:t xml:space="preserve"> </w:t>
      </w:r>
      <w:r w:rsidR="004122BF">
        <w:rPr>
          <w:sz w:val="24"/>
        </w:rPr>
        <w:t>Pr(y=</w:t>
      </w:r>
      <w:r w:rsidR="003D7521">
        <w:rPr>
          <w:sz w:val="24"/>
        </w:rPr>
        <w:t>“</w:t>
      </w:r>
      <w:r w:rsidR="004122BF">
        <w:rPr>
          <w:sz w:val="24"/>
        </w:rPr>
        <w:t>Yes”|z=1)</w:t>
      </w:r>
      <w:r w:rsidR="005A4808">
        <w:rPr>
          <w:sz w:val="24"/>
        </w:rPr>
        <w:t xml:space="preserve"> </w:t>
      </w:r>
      <w:r w:rsidR="004122BF">
        <w:rPr>
          <w:sz w:val="24"/>
        </w:rPr>
        <w:t>-</w:t>
      </w:r>
      <w:r w:rsidR="005A4808">
        <w:rPr>
          <w:sz w:val="24"/>
        </w:rPr>
        <w:t xml:space="preserve"> </w:t>
      </w:r>
      <w:r>
        <w:rPr>
          <w:sz w:val="24"/>
        </w:rPr>
        <w:t>Pr(y=</w:t>
      </w:r>
      <w:r w:rsidR="003D7521">
        <w:rPr>
          <w:sz w:val="24"/>
        </w:rPr>
        <w:t>“</w:t>
      </w:r>
      <w:r>
        <w:rPr>
          <w:sz w:val="24"/>
        </w:rPr>
        <w:t xml:space="preserve">Yes”)  </w:t>
      </w:r>
    </w:p>
    <w:p w14:paraId="10917130" w14:textId="77777777" w:rsidR="00A60DC8" w:rsidRDefault="00A60DC8" w:rsidP="00C35DA4">
      <w:pPr>
        <w:rPr>
          <w:sz w:val="24"/>
        </w:rPr>
      </w:pPr>
    </w:p>
    <w:p w14:paraId="36AFE600" w14:textId="77777777" w:rsidR="00A60DC8" w:rsidRDefault="00DF4069" w:rsidP="00C35DA4">
      <w:pPr>
        <w:rPr>
          <w:sz w:val="24"/>
        </w:rPr>
      </w:pPr>
      <w:r>
        <w:rPr>
          <w:sz w:val="24"/>
        </w:rPr>
        <w:t>To see how bias relates to response</w:t>
      </w:r>
      <w:r w:rsidR="006079E7">
        <w:rPr>
          <w:sz w:val="24"/>
        </w:rPr>
        <w:t xml:space="preserve"> rates</w:t>
      </w:r>
      <w:r>
        <w:rPr>
          <w:sz w:val="24"/>
        </w:rPr>
        <w:t>, we may use the Law of Total Probability to write:</w:t>
      </w:r>
    </w:p>
    <w:p w14:paraId="1517643F" w14:textId="77777777" w:rsidR="005A4808" w:rsidRDefault="005A4808" w:rsidP="00C35DA4">
      <w:pPr>
        <w:rPr>
          <w:sz w:val="24"/>
        </w:rPr>
      </w:pPr>
    </w:p>
    <w:p w14:paraId="3D6D7AFC" w14:textId="77777777" w:rsidR="00DF4069" w:rsidRDefault="00DF4069" w:rsidP="006079E7">
      <w:pPr>
        <w:jc w:val="center"/>
        <w:rPr>
          <w:sz w:val="24"/>
        </w:rPr>
      </w:pPr>
      <w:r>
        <w:rPr>
          <w:sz w:val="24"/>
        </w:rPr>
        <w:t>Pr(y=</w:t>
      </w:r>
      <w:r w:rsidR="003D7521">
        <w:rPr>
          <w:sz w:val="24"/>
        </w:rPr>
        <w:t>“</w:t>
      </w:r>
      <w:r>
        <w:rPr>
          <w:sz w:val="24"/>
        </w:rPr>
        <w:t>Yes”) = Pr(y=</w:t>
      </w:r>
      <w:r w:rsidR="003D7521">
        <w:rPr>
          <w:sz w:val="24"/>
        </w:rPr>
        <w:t>“</w:t>
      </w:r>
      <w:r>
        <w:rPr>
          <w:sz w:val="24"/>
        </w:rPr>
        <w:t xml:space="preserve">Yes”|z=1)Pr(z=1) </w:t>
      </w:r>
      <w:r w:rsidR="007F4939">
        <w:rPr>
          <w:sz w:val="24"/>
        </w:rPr>
        <w:t>+</w:t>
      </w:r>
      <w:r>
        <w:rPr>
          <w:sz w:val="24"/>
        </w:rPr>
        <w:t xml:space="preserve"> Pr(y=</w:t>
      </w:r>
      <w:r w:rsidR="003D7521">
        <w:rPr>
          <w:sz w:val="24"/>
        </w:rPr>
        <w:t>“Y</w:t>
      </w:r>
      <w:r>
        <w:rPr>
          <w:sz w:val="24"/>
        </w:rPr>
        <w:t>es”|z=0)Pr(z=0).</w:t>
      </w:r>
    </w:p>
    <w:p w14:paraId="2C13F4EF" w14:textId="77777777" w:rsidR="006079E7" w:rsidRDefault="006079E7" w:rsidP="006079E7">
      <w:pPr>
        <w:jc w:val="center"/>
        <w:rPr>
          <w:sz w:val="24"/>
        </w:rPr>
      </w:pPr>
    </w:p>
    <w:p w14:paraId="14A83112" w14:textId="77777777" w:rsidR="006079E7" w:rsidRDefault="006079E7" w:rsidP="006079E7">
      <w:pPr>
        <w:rPr>
          <w:sz w:val="24"/>
        </w:rPr>
      </w:pPr>
      <w:r>
        <w:rPr>
          <w:sz w:val="24"/>
        </w:rPr>
        <w:t>Thus:</w:t>
      </w:r>
    </w:p>
    <w:p w14:paraId="136F3484" w14:textId="77777777" w:rsidR="006079E7" w:rsidRDefault="006079E7" w:rsidP="006079E7">
      <w:pPr>
        <w:jc w:val="center"/>
        <w:rPr>
          <w:sz w:val="24"/>
        </w:rPr>
      </w:pPr>
      <w:r>
        <w:rPr>
          <w:sz w:val="24"/>
        </w:rPr>
        <w:t>Bias</w:t>
      </w:r>
      <w:r w:rsidR="00F05409">
        <w:rPr>
          <w:sz w:val="24"/>
        </w:rPr>
        <w:t xml:space="preserve"> </w:t>
      </w:r>
      <w:r>
        <w:rPr>
          <w:sz w:val="24"/>
        </w:rPr>
        <w:t>=</w:t>
      </w:r>
      <w:r w:rsidRPr="006079E7">
        <w:rPr>
          <w:sz w:val="24"/>
        </w:rPr>
        <w:t xml:space="preserve"> </w:t>
      </w:r>
      <w:r>
        <w:rPr>
          <w:sz w:val="24"/>
        </w:rPr>
        <w:t>Pr(y=</w:t>
      </w:r>
      <w:r w:rsidR="003D7521">
        <w:rPr>
          <w:sz w:val="24"/>
        </w:rPr>
        <w:t>“</w:t>
      </w:r>
      <w:r>
        <w:rPr>
          <w:sz w:val="24"/>
        </w:rPr>
        <w:t>Yes”|z=1)</w:t>
      </w:r>
      <w:r w:rsidR="00F05409">
        <w:rPr>
          <w:sz w:val="24"/>
        </w:rPr>
        <w:t xml:space="preserve"> </w:t>
      </w:r>
      <w:r>
        <w:rPr>
          <w:sz w:val="24"/>
        </w:rPr>
        <w:t>-</w:t>
      </w:r>
      <w:r w:rsidRPr="006079E7">
        <w:t xml:space="preserve"> </w:t>
      </w:r>
      <w:r>
        <w:rPr>
          <w:sz w:val="24"/>
        </w:rPr>
        <w:t xml:space="preserve"> [</w:t>
      </w:r>
      <w:r w:rsidRPr="006079E7">
        <w:rPr>
          <w:sz w:val="24"/>
        </w:rPr>
        <w:t>Pr(y=</w:t>
      </w:r>
      <w:r w:rsidR="003D7521">
        <w:rPr>
          <w:sz w:val="24"/>
        </w:rPr>
        <w:t>“</w:t>
      </w:r>
      <w:r w:rsidRPr="006079E7">
        <w:rPr>
          <w:sz w:val="24"/>
        </w:rPr>
        <w:t>Yes”|z=1)Pr(z=1) + Pr(y=</w:t>
      </w:r>
      <w:r w:rsidR="003D7521">
        <w:rPr>
          <w:sz w:val="24"/>
        </w:rPr>
        <w:t>“Y</w:t>
      </w:r>
      <w:r w:rsidRPr="006079E7">
        <w:rPr>
          <w:sz w:val="24"/>
        </w:rPr>
        <w:t>es”|z=0)Pr(z=0</w:t>
      </w:r>
      <w:r>
        <w:rPr>
          <w:sz w:val="24"/>
        </w:rPr>
        <w:t>)]</w:t>
      </w:r>
    </w:p>
    <w:p w14:paraId="2C3E6F8A" w14:textId="77777777" w:rsidR="00B962FB" w:rsidRDefault="00B962FB" w:rsidP="006079E7">
      <w:pPr>
        <w:jc w:val="center"/>
        <w:rPr>
          <w:sz w:val="24"/>
        </w:rPr>
      </w:pPr>
    </w:p>
    <w:p w14:paraId="7249D4D3" w14:textId="77777777" w:rsidR="00B962FB" w:rsidRDefault="00B962FB" w:rsidP="00B962FB">
      <w:pPr>
        <w:jc w:val="center"/>
        <w:rPr>
          <w:sz w:val="24"/>
        </w:rPr>
      </w:pPr>
      <w:r>
        <w:rPr>
          <w:sz w:val="24"/>
        </w:rPr>
        <w:t>=</w:t>
      </w:r>
      <w:r w:rsidRPr="006079E7">
        <w:rPr>
          <w:sz w:val="24"/>
        </w:rPr>
        <w:t xml:space="preserve"> </w:t>
      </w:r>
      <w:r>
        <w:rPr>
          <w:sz w:val="24"/>
        </w:rPr>
        <w:t>[Pr(y=</w:t>
      </w:r>
      <w:r w:rsidR="003D7521">
        <w:rPr>
          <w:sz w:val="24"/>
        </w:rPr>
        <w:t>“</w:t>
      </w:r>
      <w:r>
        <w:rPr>
          <w:sz w:val="24"/>
        </w:rPr>
        <w:t>Yes”|z=1)</w:t>
      </w:r>
      <w:r w:rsidR="00F05409">
        <w:rPr>
          <w:sz w:val="24"/>
        </w:rPr>
        <w:t xml:space="preserve"> </w:t>
      </w:r>
      <w:r>
        <w:rPr>
          <w:sz w:val="24"/>
        </w:rPr>
        <w:t>- Pr(y=</w:t>
      </w:r>
      <w:r w:rsidR="003D7521">
        <w:rPr>
          <w:sz w:val="24"/>
        </w:rPr>
        <w:t>“</w:t>
      </w:r>
      <w:r>
        <w:rPr>
          <w:sz w:val="24"/>
        </w:rPr>
        <w:t>Y</w:t>
      </w:r>
      <w:r w:rsidRPr="006079E7">
        <w:rPr>
          <w:sz w:val="24"/>
        </w:rPr>
        <w:t>es”|z=0)</w:t>
      </w:r>
      <w:r>
        <w:rPr>
          <w:sz w:val="24"/>
        </w:rPr>
        <w:t>] ×</w:t>
      </w:r>
      <w:r w:rsidR="00F22B02">
        <w:rPr>
          <w:sz w:val="24"/>
        </w:rPr>
        <w:t xml:space="preserve"> </w:t>
      </w:r>
      <w:r>
        <w:rPr>
          <w:sz w:val="24"/>
        </w:rPr>
        <w:t>P</w:t>
      </w:r>
      <w:r w:rsidRPr="006079E7">
        <w:rPr>
          <w:sz w:val="24"/>
        </w:rPr>
        <w:t>r(z=0</w:t>
      </w:r>
      <w:r>
        <w:rPr>
          <w:sz w:val="24"/>
        </w:rPr>
        <w:t>)</w:t>
      </w:r>
      <w:r w:rsidR="00F05409">
        <w:rPr>
          <w:sz w:val="24"/>
        </w:rPr>
        <w:t>.</w:t>
      </w:r>
    </w:p>
    <w:p w14:paraId="15769EBD" w14:textId="77777777" w:rsidR="00B962FB" w:rsidRDefault="00B962FB" w:rsidP="001A3E8C">
      <w:pPr>
        <w:jc w:val="center"/>
        <w:rPr>
          <w:sz w:val="24"/>
        </w:rPr>
      </w:pPr>
    </w:p>
    <w:p w14:paraId="02B46459" w14:textId="77777777" w:rsidR="004122BF" w:rsidRDefault="00DF4069" w:rsidP="00C35DA4">
      <w:pPr>
        <w:rPr>
          <w:sz w:val="24"/>
        </w:rPr>
      </w:pPr>
      <w:r>
        <w:rPr>
          <w:sz w:val="24"/>
        </w:rPr>
        <w:t>The sample of survey respondents provide</w:t>
      </w:r>
      <w:r w:rsidR="00B962FB">
        <w:rPr>
          <w:sz w:val="24"/>
        </w:rPr>
        <w:t>s</w:t>
      </w:r>
      <w:r>
        <w:rPr>
          <w:sz w:val="24"/>
        </w:rPr>
        <w:t xml:space="preserve"> </w:t>
      </w:r>
      <w:r w:rsidR="00B962FB">
        <w:rPr>
          <w:sz w:val="24"/>
        </w:rPr>
        <w:t xml:space="preserve">consistent </w:t>
      </w:r>
      <w:r>
        <w:rPr>
          <w:sz w:val="24"/>
        </w:rPr>
        <w:t xml:space="preserve">estimates of each of the </w:t>
      </w:r>
      <w:r w:rsidR="004122BF">
        <w:rPr>
          <w:sz w:val="24"/>
        </w:rPr>
        <w:t xml:space="preserve">right-hand-side </w:t>
      </w:r>
      <w:r>
        <w:rPr>
          <w:sz w:val="24"/>
        </w:rPr>
        <w:t>probabilities but one, Pr(y=</w:t>
      </w:r>
      <w:r w:rsidR="003D7521">
        <w:rPr>
          <w:sz w:val="24"/>
        </w:rPr>
        <w:t>“Y</w:t>
      </w:r>
      <w:r>
        <w:rPr>
          <w:sz w:val="24"/>
        </w:rPr>
        <w:t>es”|z=0)</w:t>
      </w:r>
      <w:r w:rsidR="00A51143">
        <w:rPr>
          <w:sz w:val="24"/>
        </w:rPr>
        <w:t>,</w:t>
      </w:r>
      <w:r>
        <w:rPr>
          <w:sz w:val="24"/>
        </w:rPr>
        <w:t xml:space="preserve"> the population proportion who received advice among those who would choose </w:t>
      </w:r>
      <w:r w:rsidR="00B962FB">
        <w:rPr>
          <w:sz w:val="24"/>
        </w:rPr>
        <w:t xml:space="preserve">not </w:t>
      </w:r>
      <w:r>
        <w:rPr>
          <w:sz w:val="24"/>
        </w:rPr>
        <w:t xml:space="preserve">to respond to our survey if asked to do so. </w:t>
      </w:r>
    </w:p>
    <w:p w14:paraId="5D7A59D6" w14:textId="77777777" w:rsidR="004122BF" w:rsidRDefault="004122BF" w:rsidP="00C35DA4">
      <w:pPr>
        <w:rPr>
          <w:sz w:val="24"/>
        </w:rPr>
      </w:pPr>
    </w:p>
    <w:p w14:paraId="39D546BA" w14:textId="77777777" w:rsidR="006079E7" w:rsidRDefault="00DF4069" w:rsidP="00C35DA4">
      <w:pPr>
        <w:rPr>
          <w:sz w:val="24"/>
        </w:rPr>
      </w:pPr>
      <w:r>
        <w:rPr>
          <w:sz w:val="24"/>
        </w:rPr>
        <w:t>Without supplemental information on the population of nonrespondents</w:t>
      </w:r>
      <w:r w:rsidR="007F4939">
        <w:rPr>
          <w:sz w:val="24"/>
        </w:rPr>
        <w:t>, we know nothing about Pr(y=</w:t>
      </w:r>
      <w:r w:rsidR="003D7521">
        <w:rPr>
          <w:sz w:val="24"/>
        </w:rPr>
        <w:t>“Y</w:t>
      </w:r>
      <w:r w:rsidR="007F4939">
        <w:rPr>
          <w:sz w:val="24"/>
        </w:rPr>
        <w:t xml:space="preserve">es”|z=0) other than that it is bounded between 0 and 1. </w:t>
      </w:r>
      <w:r w:rsidR="00861CF4">
        <w:rPr>
          <w:sz w:val="24"/>
        </w:rPr>
        <w:t xml:space="preserve"> </w:t>
      </w:r>
      <w:r w:rsidR="00B962FB">
        <w:rPr>
          <w:sz w:val="24"/>
        </w:rPr>
        <w:t xml:space="preserve">This </w:t>
      </w:r>
      <w:r w:rsidR="007F4939">
        <w:rPr>
          <w:sz w:val="24"/>
        </w:rPr>
        <w:t>information is sufficient to generate sharp bounds on the population proportion of interest Pr(y=</w:t>
      </w:r>
      <w:r w:rsidR="003D7521">
        <w:rPr>
          <w:sz w:val="24"/>
        </w:rPr>
        <w:t>“</w:t>
      </w:r>
      <w:r w:rsidR="007F4939">
        <w:rPr>
          <w:sz w:val="24"/>
        </w:rPr>
        <w:t>Yes”)</w:t>
      </w:r>
      <w:r w:rsidR="006079E7">
        <w:rPr>
          <w:sz w:val="24"/>
        </w:rPr>
        <w:t xml:space="preserve"> and, in turn, nonresponse bias</w:t>
      </w:r>
      <w:r w:rsidR="00861CF4">
        <w:rPr>
          <w:sz w:val="24"/>
        </w:rPr>
        <w:t xml:space="preserve">. </w:t>
      </w:r>
    </w:p>
    <w:p w14:paraId="46073233" w14:textId="77777777" w:rsidR="006079E7" w:rsidRDefault="006079E7" w:rsidP="00C35DA4">
      <w:pPr>
        <w:rPr>
          <w:sz w:val="24"/>
        </w:rPr>
      </w:pPr>
    </w:p>
    <w:p w14:paraId="1D1DA632" w14:textId="77777777" w:rsidR="00DF4069" w:rsidRDefault="00861CF4" w:rsidP="00C35DA4">
      <w:pPr>
        <w:rPr>
          <w:sz w:val="24"/>
        </w:rPr>
      </w:pPr>
      <w:r>
        <w:rPr>
          <w:sz w:val="24"/>
        </w:rPr>
        <w:t>In particular, suppose that none of the nonrespondents received financial advice</w:t>
      </w:r>
      <w:r w:rsidR="006C2DFC">
        <w:rPr>
          <w:sz w:val="24"/>
        </w:rPr>
        <w:t>.</w:t>
      </w:r>
      <w:r>
        <w:rPr>
          <w:sz w:val="24"/>
        </w:rPr>
        <w:t xml:space="preserve"> </w:t>
      </w:r>
      <w:r w:rsidR="006C2DFC">
        <w:rPr>
          <w:sz w:val="24"/>
        </w:rPr>
        <w:t xml:space="preserve"> T</w:t>
      </w:r>
      <w:r>
        <w:rPr>
          <w:sz w:val="24"/>
        </w:rPr>
        <w:t>hen Pr(y=</w:t>
      </w:r>
      <w:r w:rsidR="003D7521">
        <w:rPr>
          <w:sz w:val="24"/>
        </w:rPr>
        <w:t>“</w:t>
      </w:r>
      <w:r w:rsidR="00620DC4">
        <w:rPr>
          <w:sz w:val="24"/>
        </w:rPr>
        <w:t>Y</w:t>
      </w:r>
      <w:r>
        <w:rPr>
          <w:sz w:val="24"/>
        </w:rPr>
        <w:t>es”|z=0)=0 and we have our lower bound</w:t>
      </w:r>
      <w:r w:rsidR="006079E7">
        <w:rPr>
          <w:sz w:val="24"/>
        </w:rPr>
        <w:t xml:space="preserve"> on the population proportion</w:t>
      </w:r>
      <w:r w:rsidR="00620DC4">
        <w:rPr>
          <w:sz w:val="24"/>
        </w:rPr>
        <w:t xml:space="preserve"> who received advice</w:t>
      </w:r>
      <w:r>
        <w:rPr>
          <w:sz w:val="24"/>
        </w:rPr>
        <w:t>:</w:t>
      </w:r>
    </w:p>
    <w:p w14:paraId="157D9393" w14:textId="77777777" w:rsidR="00F05409" w:rsidRDefault="00F05409" w:rsidP="00C35DA4">
      <w:pPr>
        <w:rPr>
          <w:sz w:val="24"/>
        </w:rPr>
      </w:pPr>
    </w:p>
    <w:p w14:paraId="0D9325DA" w14:textId="77777777" w:rsidR="007F4939" w:rsidRDefault="007F4939" w:rsidP="006079E7">
      <w:pPr>
        <w:jc w:val="center"/>
        <w:rPr>
          <w:sz w:val="24"/>
        </w:rPr>
      </w:pPr>
      <w:r>
        <w:rPr>
          <w:sz w:val="24"/>
        </w:rPr>
        <w:t>Pr(y=</w:t>
      </w:r>
      <w:r w:rsidR="00620DC4">
        <w:rPr>
          <w:sz w:val="24"/>
        </w:rPr>
        <w:t>“</w:t>
      </w:r>
      <w:r>
        <w:rPr>
          <w:sz w:val="24"/>
        </w:rPr>
        <w:t xml:space="preserve">Yes”) </w:t>
      </w:r>
      <w:r w:rsidR="00F05409">
        <w:rPr>
          <w:sz w:val="24"/>
        </w:rPr>
        <w:t xml:space="preserve"> </w:t>
      </w:r>
      <w:r w:rsidR="006079E7">
        <w:rPr>
          <w:sz w:val="24"/>
        </w:rPr>
        <w:t>≥</w:t>
      </w:r>
      <w:r w:rsidR="00F05409">
        <w:rPr>
          <w:sz w:val="24"/>
        </w:rPr>
        <w:t xml:space="preserve"> </w:t>
      </w:r>
      <w:r>
        <w:rPr>
          <w:sz w:val="24"/>
        </w:rPr>
        <w:t xml:space="preserve"> Pr(y=</w:t>
      </w:r>
      <w:r w:rsidR="00620DC4">
        <w:rPr>
          <w:sz w:val="24"/>
        </w:rPr>
        <w:t>“</w:t>
      </w:r>
      <w:r>
        <w:rPr>
          <w:sz w:val="24"/>
        </w:rPr>
        <w:t>Yes”|z=1)Pr(z=1)</w:t>
      </w:r>
      <w:r w:rsidR="00861CF4">
        <w:rPr>
          <w:sz w:val="24"/>
        </w:rPr>
        <w:t>.</w:t>
      </w:r>
    </w:p>
    <w:p w14:paraId="611FDF8E" w14:textId="77777777" w:rsidR="00F05409" w:rsidRDefault="00F05409" w:rsidP="006079E7">
      <w:pPr>
        <w:jc w:val="center"/>
        <w:rPr>
          <w:sz w:val="24"/>
        </w:rPr>
      </w:pPr>
    </w:p>
    <w:p w14:paraId="1ED02FBE" w14:textId="77777777" w:rsidR="00861CF4" w:rsidRDefault="00861CF4" w:rsidP="00861CF4">
      <w:pPr>
        <w:rPr>
          <w:sz w:val="24"/>
        </w:rPr>
      </w:pPr>
      <w:r>
        <w:rPr>
          <w:sz w:val="24"/>
        </w:rPr>
        <w:t xml:space="preserve">On the other hand, suppose </w:t>
      </w:r>
      <w:r w:rsidR="00F05409">
        <w:rPr>
          <w:sz w:val="24"/>
        </w:rPr>
        <w:t xml:space="preserve">that </w:t>
      </w:r>
      <w:r>
        <w:rPr>
          <w:sz w:val="24"/>
        </w:rPr>
        <w:t>all</w:t>
      </w:r>
      <w:r w:rsidR="00620DC4">
        <w:rPr>
          <w:sz w:val="24"/>
        </w:rPr>
        <w:t xml:space="preserve"> of the</w:t>
      </w:r>
      <w:r>
        <w:rPr>
          <w:sz w:val="24"/>
        </w:rPr>
        <w:t xml:space="preserve"> nonrespondents received financial advice</w:t>
      </w:r>
      <w:r w:rsidR="006C2DFC">
        <w:rPr>
          <w:sz w:val="24"/>
        </w:rPr>
        <w:t>.  T</w:t>
      </w:r>
      <w:r>
        <w:rPr>
          <w:sz w:val="24"/>
        </w:rPr>
        <w:t>hen Pr(y=</w:t>
      </w:r>
      <w:r w:rsidR="00620DC4">
        <w:rPr>
          <w:sz w:val="24"/>
        </w:rPr>
        <w:t>“Y</w:t>
      </w:r>
      <w:r>
        <w:rPr>
          <w:sz w:val="24"/>
        </w:rPr>
        <w:t>es”|z=0)=1 and we have our upper bound</w:t>
      </w:r>
      <w:r w:rsidR="00A51143">
        <w:rPr>
          <w:sz w:val="24"/>
        </w:rPr>
        <w:t>:</w:t>
      </w:r>
    </w:p>
    <w:p w14:paraId="33C447BE" w14:textId="77777777" w:rsidR="00F05409" w:rsidRDefault="00F05409" w:rsidP="00861CF4">
      <w:pPr>
        <w:rPr>
          <w:sz w:val="24"/>
        </w:rPr>
      </w:pPr>
    </w:p>
    <w:p w14:paraId="0C0114F3" w14:textId="77777777" w:rsidR="007F4939" w:rsidRDefault="007F4939" w:rsidP="006079E7">
      <w:pPr>
        <w:jc w:val="center"/>
        <w:rPr>
          <w:sz w:val="24"/>
        </w:rPr>
      </w:pPr>
      <w:r>
        <w:rPr>
          <w:sz w:val="24"/>
        </w:rPr>
        <w:t>Pr(y=</w:t>
      </w:r>
      <w:r w:rsidR="00620DC4">
        <w:rPr>
          <w:sz w:val="24"/>
        </w:rPr>
        <w:t>“</w:t>
      </w:r>
      <w:r>
        <w:rPr>
          <w:sz w:val="24"/>
        </w:rPr>
        <w:t xml:space="preserve">Yes”) </w:t>
      </w:r>
      <w:r w:rsidR="00F05409">
        <w:rPr>
          <w:sz w:val="24"/>
        </w:rPr>
        <w:t xml:space="preserve"> </w:t>
      </w:r>
      <w:r w:rsidR="006079E7">
        <w:rPr>
          <w:sz w:val="24"/>
        </w:rPr>
        <w:t>≤</w:t>
      </w:r>
      <w:r>
        <w:rPr>
          <w:sz w:val="24"/>
        </w:rPr>
        <w:t xml:space="preserve"> </w:t>
      </w:r>
      <w:r w:rsidR="00F05409">
        <w:rPr>
          <w:sz w:val="24"/>
        </w:rPr>
        <w:t xml:space="preserve"> </w:t>
      </w:r>
      <w:r>
        <w:rPr>
          <w:sz w:val="24"/>
        </w:rPr>
        <w:t>Pr(y=</w:t>
      </w:r>
      <w:r w:rsidR="00620DC4">
        <w:rPr>
          <w:sz w:val="24"/>
        </w:rPr>
        <w:t>“</w:t>
      </w:r>
      <w:r>
        <w:rPr>
          <w:sz w:val="24"/>
        </w:rPr>
        <w:t>Yes”|z=1)Pr(z=1)</w:t>
      </w:r>
      <w:r w:rsidR="00F05409">
        <w:rPr>
          <w:sz w:val="24"/>
        </w:rPr>
        <w:t xml:space="preserve"> </w:t>
      </w:r>
      <w:r>
        <w:rPr>
          <w:sz w:val="24"/>
        </w:rPr>
        <w:t>+</w:t>
      </w:r>
      <w:r w:rsidR="00F05409">
        <w:rPr>
          <w:sz w:val="24"/>
        </w:rPr>
        <w:t xml:space="preserve"> </w:t>
      </w:r>
      <w:r>
        <w:rPr>
          <w:sz w:val="24"/>
        </w:rPr>
        <w:t>Pr(z=0)</w:t>
      </w:r>
      <w:r w:rsidR="00861CF4">
        <w:rPr>
          <w:sz w:val="24"/>
        </w:rPr>
        <w:t>.</w:t>
      </w:r>
    </w:p>
    <w:p w14:paraId="208D6859" w14:textId="77777777" w:rsidR="00F05409" w:rsidRDefault="00F05409" w:rsidP="00861CF4">
      <w:pPr>
        <w:rPr>
          <w:sz w:val="24"/>
        </w:rPr>
      </w:pPr>
    </w:p>
    <w:p w14:paraId="6BE8EF67" w14:textId="77777777" w:rsidR="00861CF4" w:rsidRDefault="004122BF" w:rsidP="00861CF4">
      <w:pPr>
        <w:rPr>
          <w:sz w:val="24"/>
        </w:rPr>
      </w:pPr>
      <w:r>
        <w:rPr>
          <w:sz w:val="24"/>
        </w:rPr>
        <w:t xml:space="preserve">Each right-hand-side probability of the upper and lower bounds may be estimated using the available survey data.  Thus, the survey responses may be used to generate </w:t>
      </w:r>
      <w:r w:rsidR="00F05409">
        <w:rPr>
          <w:sz w:val="24"/>
        </w:rPr>
        <w:t xml:space="preserve">a </w:t>
      </w:r>
      <w:r w:rsidR="006C2DFC">
        <w:rPr>
          <w:sz w:val="24"/>
        </w:rPr>
        <w:t>consistent</w:t>
      </w:r>
      <w:r w:rsidR="00F05409">
        <w:rPr>
          <w:sz w:val="24"/>
        </w:rPr>
        <w:t xml:space="preserve"> </w:t>
      </w:r>
      <w:r>
        <w:rPr>
          <w:sz w:val="24"/>
        </w:rPr>
        <w:t>interval estimate of the population proportion Pr(y=</w:t>
      </w:r>
      <w:r w:rsidR="00620DC4">
        <w:rPr>
          <w:sz w:val="24"/>
        </w:rPr>
        <w:t>“</w:t>
      </w:r>
      <w:r>
        <w:rPr>
          <w:sz w:val="24"/>
        </w:rPr>
        <w:t>Yes”)</w:t>
      </w:r>
      <w:r w:rsidR="006C2DFC">
        <w:rPr>
          <w:sz w:val="24"/>
        </w:rPr>
        <w:t>.  Observe that</w:t>
      </w:r>
      <w:r>
        <w:rPr>
          <w:sz w:val="24"/>
        </w:rPr>
        <w:t xml:space="preserve"> the distance between the upper and lower bound of the interval is just the rate of nonresponse</w:t>
      </w:r>
      <w:r w:rsidR="004914D9">
        <w:rPr>
          <w:sz w:val="24"/>
        </w:rPr>
        <w:t xml:space="preserve">.  Thus, </w:t>
      </w:r>
      <w:r w:rsidR="006C2DFC">
        <w:rPr>
          <w:sz w:val="24"/>
        </w:rPr>
        <w:t xml:space="preserve">the </w:t>
      </w:r>
      <w:r w:rsidR="004914D9">
        <w:rPr>
          <w:sz w:val="24"/>
        </w:rPr>
        <w:t xml:space="preserve">lower is </w:t>
      </w:r>
      <w:r w:rsidR="006C2DFC">
        <w:rPr>
          <w:sz w:val="24"/>
        </w:rPr>
        <w:t xml:space="preserve">the </w:t>
      </w:r>
      <w:r w:rsidR="004914D9">
        <w:rPr>
          <w:sz w:val="24"/>
        </w:rPr>
        <w:t xml:space="preserve">nonresponse rate, the tighter </w:t>
      </w:r>
      <w:r w:rsidR="006C2DFC">
        <w:rPr>
          <w:sz w:val="24"/>
        </w:rPr>
        <w:t xml:space="preserve">is </w:t>
      </w:r>
      <w:r w:rsidR="004914D9">
        <w:rPr>
          <w:sz w:val="24"/>
        </w:rPr>
        <w:t xml:space="preserve">the bound.  </w:t>
      </w:r>
    </w:p>
    <w:p w14:paraId="623530C9" w14:textId="77777777" w:rsidR="00F05409" w:rsidRDefault="00F05409" w:rsidP="00861CF4">
      <w:pPr>
        <w:rPr>
          <w:sz w:val="24"/>
        </w:rPr>
      </w:pPr>
    </w:p>
    <w:p w14:paraId="2D9D7E4A" w14:textId="77777777" w:rsidR="00F05409" w:rsidRDefault="00F05409" w:rsidP="00861CF4">
      <w:pPr>
        <w:rPr>
          <w:sz w:val="24"/>
        </w:rPr>
      </w:pPr>
      <w:r>
        <w:rPr>
          <w:sz w:val="24"/>
        </w:rPr>
        <w:t>The above shows that any efforts made to successfully increase the response rate will necessarily reduce the width of the bound on Pr(y=</w:t>
      </w:r>
      <w:r w:rsidR="00620DC4">
        <w:rPr>
          <w:sz w:val="24"/>
        </w:rPr>
        <w:t>“</w:t>
      </w:r>
      <w:r>
        <w:rPr>
          <w:sz w:val="24"/>
        </w:rPr>
        <w:t>Yes”).  Furthermore, it can be shown that the new, narrower interval is fully contained within the prior, wider one.</w:t>
      </w:r>
    </w:p>
    <w:p w14:paraId="0E02AC9C" w14:textId="77777777" w:rsidR="004914D9" w:rsidRDefault="004914D9" w:rsidP="00861CF4">
      <w:pPr>
        <w:rPr>
          <w:sz w:val="24"/>
        </w:rPr>
      </w:pPr>
    </w:p>
    <w:p w14:paraId="17A49A57" w14:textId="77777777" w:rsidR="004914D9" w:rsidRDefault="004914D9" w:rsidP="00861CF4">
      <w:pPr>
        <w:rPr>
          <w:sz w:val="24"/>
        </w:rPr>
      </w:pPr>
      <w:r>
        <w:rPr>
          <w:sz w:val="24"/>
        </w:rPr>
        <w:t xml:space="preserve">This relationship carries over directly when we focus on nonresponse bias.  That is, plugging in the upper bound on the population proportion, we get the following </w:t>
      </w:r>
      <w:r w:rsidR="00F05409">
        <w:rPr>
          <w:sz w:val="24"/>
        </w:rPr>
        <w:t xml:space="preserve">negative </w:t>
      </w:r>
      <w:r>
        <w:rPr>
          <w:sz w:val="24"/>
        </w:rPr>
        <w:t>lower bound on bias:</w:t>
      </w:r>
    </w:p>
    <w:p w14:paraId="20C1C1E4" w14:textId="77777777" w:rsidR="004914D9" w:rsidRDefault="006079E7" w:rsidP="006079E7">
      <w:pPr>
        <w:jc w:val="center"/>
        <w:rPr>
          <w:sz w:val="24"/>
        </w:rPr>
      </w:pPr>
      <w:r>
        <w:rPr>
          <w:sz w:val="24"/>
        </w:rPr>
        <w:t xml:space="preserve">Bias </w:t>
      </w:r>
      <w:r w:rsidR="00F05409">
        <w:rPr>
          <w:sz w:val="24"/>
        </w:rPr>
        <w:t xml:space="preserve"> </w:t>
      </w:r>
      <w:r>
        <w:rPr>
          <w:sz w:val="24"/>
        </w:rPr>
        <w:t xml:space="preserve">≥ </w:t>
      </w:r>
      <w:r w:rsidR="00F05409">
        <w:rPr>
          <w:sz w:val="24"/>
        </w:rPr>
        <w:t xml:space="preserve"> </w:t>
      </w:r>
      <w:r w:rsidR="006C2DFC">
        <w:rPr>
          <w:sz w:val="24"/>
        </w:rPr>
        <w:t>[</w:t>
      </w:r>
      <w:r w:rsidR="004914D9">
        <w:rPr>
          <w:sz w:val="24"/>
        </w:rPr>
        <w:t>Pr(y=</w:t>
      </w:r>
      <w:r w:rsidR="00AF025A">
        <w:rPr>
          <w:sz w:val="24"/>
        </w:rPr>
        <w:t>“</w:t>
      </w:r>
      <w:r w:rsidR="004914D9">
        <w:rPr>
          <w:sz w:val="24"/>
        </w:rPr>
        <w:t>Yes”|z=1)</w:t>
      </w:r>
      <w:r w:rsidR="00F22B02">
        <w:rPr>
          <w:sz w:val="24"/>
        </w:rPr>
        <w:t xml:space="preserve"> – 1]</w:t>
      </w:r>
      <w:r w:rsidR="00F05409">
        <w:rPr>
          <w:sz w:val="24"/>
        </w:rPr>
        <w:t xml:space="preserve"> </w:t>
      </w:r>
      <w:r w:rsidR="00020D05">
        <w:rPr>
          <w:sz w:val="24"/>
        </w:rPr>
        <w:t>×</w:t>
      </w:r>
      <w:r w:rsidR="00F22B02">
        <w:rPr>
          <w:sz w:val="24"/>
        </w:rPr>
        <w:t xml:space="preserve"> </w:t>
      </w:r>
      <w:r w:rsidR="004914D9">
        <w:rPr>
          <w:sz w:val="24"/>
        </w:rPr>
        <w:t>Pr(z=0)</w:t>
      </w:r>
      <w:r w:rsidR="00F05409">
        <w:rPr>
          <w:sz w:val="24"/>
        </w:rPr>
        <w:t>.</w:t>
      </w:r>
    </w:p>
    <w:p w14:paraId="443809D7" w14:textId="77777777" w:rsidR="00861CF4" w:rsidRDefault="00861CF4" w:rsidP="00861CF4">
      <w:pPr>
        <w:rPr>
          <w:sz w:val="24"/>
        </w:rPr>
      </w:pPr>
    </w:p>
    <w:p w14:paraId="34DE57EB" w14:textId="77777777" w:rsidR="004914D9" w:rsidRDefault="004914D9" w:rsidP="00861CF4">
      <w:pPr>
        <w:rPr>
          <w:sz w:val="24"/>
        </w:rPr>
      </w:pPr>
    </w:p>
    <w:p w14:paraId="50DFB1E7" w14:textId="77777777" w:rsidR="004914D9" w:rsidRDefault="004914D9" w:rsidP="00861CF4">
      <w:pPr>
        <w:rPr>
          <w:sz w:val="24"/>
        </w:rPr>
      </w:pPr>
      <w:r>
        <w:rPr>
          <w:sz w:val="24"/>
        </w:rPr>
        <w:t xml:space="preserve">The </w:t>
      </w:r>
      <w:r w:rsidR="00F05409">
        <w:rPr>
          <w:sz w:val="24"/>
        </w:rPr>
        <w:t xml:space="preserve">positive </w:t>
      </w:r>
      <w:r>
        <w:rPr>
          <w:sz w:val="24"/>
        </w:rPr>
        <w:t>upper bound on the bias is obtained by plugging in the lower bound on the population proportion, as follows:</w:t>
      </w:r>
    </w:p>
    <w:p w14:paraId="30B8DB76" w14:textId="77777777" w:rsidR="004914D9" w:rsidRDefault="004914D9" w:rsidP="00861CF4">
      <w:pPr>
        <w:rPr>
          <w:sz w:val="24"/>
        </w:rPr>
      </w:pPr>
    </w:p>
    <w:p w14:paraId="3EC810F7" w14:textId="77777777" w:rsidR="00E674D7" w:rsidRDefault="006079E7" w:rsidP="00E674D7">
      <w:pPr>
        <w:jc w:val="center"/>
        <w:rPr>
          <w:sz w:val="24"/>
        </w:rPr>
      </w:pPr>
      <w:r>
        <w:rPr>
          <w:sz w:val="24"/>
        </w:rPr>
        <w:t xml:space="preserve">Bias </w:t>
      </w:r>
      <w:r w:rsidR="00F05409">
        <w:rPr>
          <w:sz w:val="24"/>
        </w:rPr>
        <w:t xml:space="preserve"> </w:t>
      </w:r>
      <w:r>
        <w:rPr>
          <w:sz w:val="24"/>
        </w:rPr>
        <w:t>≤</w:t>
      </w:r>
      <w:r w:rsidR="00F22B02">
        <w:rPr>
          <w:sz w:val="24"/>
        </w:rPr>
        <w:t xml:space="preserve"> </w:t>
      </w:r>
      <w:r w:rsidR="00F05409">
        <w:rPr>
          <w:sz w:val="24"/>
        </w:rPr>
        <w:t xml:space="preserve"> </w:t>
      </w:r>
      <w:r w:rsidR="004914D9">
        <w:rPr>
          <w:sz w:val="24"/>
        </w:rPr>
        <w:t>Pr(y=</w:t>
      </w:r>
      <w:r w:rsidR="00AF025A">
        <w:rPr>
          <w:sz w:val="24"/>
        </w:rPr>
        <w:t xml:space="preserve"> “</w:t>
      </w:r>
      <w:r w:rsidR="004914D9">
        <w:rPr>
          <w:sz w:val="24"/>
        </w:rPr>
        <w:t>Yes”|z=1)</w:t>
      </w:r>
      <w:r w:rsidR="00F22B02">
        <w:rPr>
          <w:sz w:val="24"/>
        </w:rPr>
        <w:t xml:space="preserve"> </w:t>
      </w:r>
      <w:r w:rsidR="00020D05">
        <w:rPr>
          <w:sz w:val="24"/>
        </w:rPr>
        <w:t>×</w:t>
      </w:r>
      <w:r w:rsidR="00F22B02">
        <w:rPr>
          <w:sz w:val="24"/>
        </w:rPr>
        <w:t xml:space="preserve"> </w:t>
      </w:r>
      <w:r w:rsidR="004914D9">
        <w:rPr>
          <w:sz w:val="24"/>
        </w:rPr>
        <w:t>Pr(z=</w:t>
      </w:r>
      <w:r w:rsidR="00F22B02">
        <w:rPr>
          <w:sz w:val="24"/>
        </w:rPr>
        <w:t>0</w:t>
      </w:r>
      <w:r w:rsidR="004914D9">
        <w:rPr>
          <w:sz w:val="24"/>
        </w:rPr>
        <w:t>)</w:t>
      </w:r>
      <w:r w:rsidR="00F05409">
        <w:rPr>
          <w:sz w:val="24"/>
        </w:rPr>
        <w:t>.</w:t>
      </w:r>
    </w:p>
    <w:p w14:paraId="1C3F9811" w14:textId="77777777" w:rsidR="00861CF4" w:rsidRDefault="00861CF4" w:rsidP="006079E7">
      <w:pPr>
        <w:jc w:val="center"/>
        <w:rPr>
          <w:sz w:val="24"/>
        </w:rPr>
      </w:pPr>
    </w:p>
    <w:p w14:paraId="4EB990D4" w14:textId="77777777" w:rsidR="00E64CB5" w:rsidRDefault="00AF025A" w:rsidP="00C35DA4">
      <w:pPr>
        <w:rPr>
          <w:sz w:val="24"/>
        </w:rPr>
      </w:pPr>
      <w:r>
        <w:rPr>
          <w:sz w:val="24"/>
        </w:rPr>
        <w:t>We can characterize our uncertainty</w:t>
      </w:r>
      <w:r w:rsidR="0082432F">
        <w:rPr>
          <w:sz w:val="24"/>
        </w:rPr>
        <w:t xml:space="preserve"> about</w:t>
      </w:r>
      <w:r>
        <w:rPr>
          <w:sz w:val="24"/>
        </w:rPr>
        <w:t xml:space="preserve"> potential nonresponse bias by the distance between the bounds on the bias, and, once again,</w:t>
      </w:r>
      <w:r w:rsidR="004914D9">
        <w:rPr>
          <w:sz w:val="24"/>
        </w:rPr>
        <w:t xml:space="preserve"> the distance between the lower and upper bound is just the nonre</w:t>
      </w:r>
      <w:r w:rsidR="007E7550">
        <w:rPr>
          <w:sz w:val="24"/>
        </w:rPr>
        <w:t>sponse rate</w:t>
      </w:r>
      <w:r>
        <w:rPr>
          <w:sz w:val="24"/>
        </w:rPr>
        <w:t xml:space="preserve">.  </w:t>
      </w:r>
      <w:r w:rsidR="007E7550">
        <w:rPr>
          <w:sz w:val="24"/>
        </w:rPr>
        <w:t>Thus, any efforts made to successfully increase the response rate will necessarily reduce the width of the bounds</w:t>
      </w:r>
      <w:r>
        <w:rPr>
          <w:sz w:val="24"/>
        </w:rPr>
        <w:t xml:space="preserve"> and, in turn, the uncertainty about </w:t>
      </w:r>
      <w:r w:rsidR="007E6832">
        <w:rPr>
          <w:sz w:val="24"/>
        </w:rPr>
        <w:t>potential bias</w:t>
      </w:r>
      <w:r w:rsidR="007E7550">
        <w:rPr>
          <w:sz w:val="24"/>
        </w:rPr>
        <w:t xml:space="preserve">. </w:t>
      </w:r>
      <w:r w:rsidR="007E7550" w:rsidRPr="007E7550">
        <w:rPr>
          <w:sz w:val="24"/>
        </w:rPr>
        <w:t xml:space="preserve"> </w:t>
      </w:r>
    </w:p>
    <w:p w14:paraId="3FF5E7E3" w14:textId="77777777" w:rsidR="00E64CB5" w:rsidRDefault="00E64CB5" w:rsidP="00C35DA4">
      <w:pPr>
        <w:rPr>
          <w:sz w:val="24"/>
        </w:rPr>
      </w:pPr>
    </w:p>
    <w:p w14:paraId="57CDC542" w14:textId="77777777" w:rsidR="00DF4069" w:rsidRDefault="004914D9" w:rsidP="00C35DA4">
      <w:pPr>
        <w:rPr>
          <w:sz w:val="24"/>
        </w:rPr>
      </w:pPr>
      <w:r>
        <w:rPr>
          <w:sz w:val="24"/>
        </w:rPr>
        <w:t>Following a sim</w:t>
      </w:r>
      <w:r w:rsidR="00E64CB5">
        <w:rPr>
          <w:sz w:val="24"/>
        </w:rPr>
        <w:t xml:space="preserve">ilar analytical approach 60 years ago, an American Statistical </w:t>
      </w:r>
      <w:r w:rsidR="001E046C">
        <w:rPr>
          <w:sz w:val="24"/>
        </w:rPr>
        <w:t>Association c</w:t>
      </w:r>
      <w:r w:rsidR="00E64CB5">
        <w:rPr>
          <w:sz w:val="24"/>
        </w:rPr>
        <w:t>ommittee assessing the statistical methodology of the Kinsey report on male sexual behavior reached the follow conclusion regarding the benefits of decreased rates of nonresponse as opposed to increase</w:t>
      </w:r>
      <w:r w:rsidR="001E046C">
        <w:rPr>
          <w:sz w:val="24"/>
        </w:rPr>
        <w:t>d</w:t>
      </w:r>
      <w:r w:rsidR="00E64CB5">
        <w:rPr>
          <w:sz w:val="24"/>
        </w:rPr>
        <w:t xml:space="preserve"> sample size: </w:t>
      </w:r>
    </w:p>
    <w:p w14:paraId="0C154DFF" w14:textId="77777777" w:rsidR="00E64CB5" w:rsidRDefault="00E64CB5" w:rsidP="006079E7">
      <w:pPr>
        <w:ind w:left="720"/>
        <w:rPr>
          <w:sz w:val="24"/>
        </w:rPr>
      </w:pPr>
      <w:r>
        <w:rPr>
          <w:sz w:val="24"/>
        </w:rPr>
        <w:t>“Very much greater expenditure of time and money is warranted to obtain an interview from one refusal than to obtain an interview from a new</w:t>
      </w:r>
      <w:r w:rsidR="00B1140B">
        <w:rPr>
          <w:sz w:val="24"/>
        </w:rPr>
        <w:t xml:space="preserve"> subject” (Cochrane, Mosteller </w:t>
      </w:r>
      <w:r>
        <w:rPr>
          <w:sz w:val="24"/>
        </w:rPr>
        <w:t>and Tukey, 1954, p. 282).</w:t>
      </w:r>
    </w:p>
    <w:p w14:paraId="285DDB06" w14:textId="18902073" w:rsidR="00DD5EE6" w:rsidRDefault="00DD5EE6">
      <w:pPr>
        <w:widowControl/>
        <w:autoSpaceDE/>
        <w:autoSpaceDN/>
        <w:adjustRightInd/>
        <w:rPr>
          <w:sz w:val="24"/>
        </w:rPr>
      </w:pPr>
      <w:r>
        <w:rPr>
          <w:sz w:val="24"/>
        </w:rPr>
        <w:br w:type="page"/>
      </w:r>
    </w:p>
    <w:p w14:paraId="6C398D9A" w14:textId="77777777" w:rsidR="00E64CB5" w:rsidRDefault="00E64CB5" w:rsidP="00C35DA4">
      <w:pPr>
        <w:rPr>
          <w:sz w:val="24"/>
        </w:rPr>
      </w:pPr>
    </w:p>
    <w:p w14:paraId="33A82F2D" w14:textId="77777777" w:rsidR="00E64CB5" w:rsidRDefault="00E64CB5" w:rsidP="00C35DA4">
      <w:pPr>
        <w:rPr>
          <w:sz w:val="24"/>
        </w:rPr>
      </w:pPr>
      <w:r>
        <w:rPr>
          <w:sz w:val="24"/>
        </w:rPr>
        <w:t xml:space="preserve">More recently, Manski </w:t>
      </w:r>
      <w:r w:rsidR="00CF5C6B">
        <w:rPr>
          <w:sz w:val="24"/>
        </w:rPr>
        <w:t xml:space="preserve">(2003, 2007, 2014) </w:t>
      </w:r>
      <w:r>
        <w:rPr>
          <w:sz w:val="24"/>
        </w:rPr>
        <w:t xml:space="preserve">has led the development of a growing literature on partial identification and interval estimation that we will </w:t>
      </w:r>
      <w:r w:rsidR="00CF3623">
        <w:rPr>
          <w:sz w:val="24"/>
        </w:rPr>
        <w:t>incorporate to deal with nonrespon</w:t>
      </w:r>
      <w:r>
        <w:rPr>
          <w:sz w:val="24"/>
        </w:rPr>
        <w:t>se in this study,</w:t>
      </w:r>
      <w:r w:rsidR="00CF3623">
        <w:rPr>
          <w:sz w:val="24"/>
        </w:rPr>
        <w:t xml:space="preserve"> as described below in Sections B.4 and B.5. </w:t>
      </w:r>
    </w:p>
    <w:p w14:paraId="56269B73" w14:textId="77777777" w:rsidR="00CF3623" w:rsidRDefault="00CF3623" w:rsidP="00C35DA4">
      <w:pPr>
        <w:rPr>
          <w:sz w:val="24"/>
        </w:rPr>
      </w:pPr>
    </w:p>
    <w:p w14:paraId="22267D45" w14:textId="77777777" w:rsidR="00A51143" w:rsidRDefault="00CF3623" w:rsidP="00F72BC2">
      <w:pPr>
        <w:rPr>
          <w:sz w:val="24"/>
        </w:rPr>
      </w:pPr>
      <w:r>
        <w:rPr>
          <w:sz w:val="24"/>
        </w:rPr>
        <w:t xml:space="preserve">The bounds presented </w:t>
      </w:r>
      <w:r w:rsidR="005C39D4">
        <w:rPr>
          <w:sz w:val="24"/>
        </w:rPr>
        <w:t xml:space="preserve">above </w:t>
      </w:r>
      <w:r>
        <w:rPr>
          <w:sz w:val="24"/>
        </w:rPr>
        <w:t>are identified without any information on nonrespondents</w:t>
      </w:r>
      <w:r w:rsidR="001E046C">
        <w:rPr>
          <w:sz w:val="24"/>
        </w:rPr>
        <w:t xml:space="preserve">.   A </w:t>
      </w:r>
      <w:r>
        <w:rPr>
          <w:sz w:val="24"/>
        </w:rPr>
        <w:t>number of studies have obtained supplemental information on nonrespondents with which to compare them to survey respondents.  Singer and Ye (2013) review</w:t>
      </w:r>
      <w:r w:rsidR="00AF025A">
        <w:rPr>
          <w:sz w:val="24"/>
        </w:rPr>
        <w:t xml:space="preserve"> this literature and</w:t>
      </w:r>
      <w:r>
        <w:rPr>
          <w:sz w:val="24"/>
        </w:rPr>
        <w:t xml:space="preserve"> conc</w:t>
      </w:r>
      <w:r w:rsidR="00AF025A">
        <w:rPr>
          <w:sz w:val="24"/>
        </w:rPr>
        <w:t>lud</w:t>
      </w:r>
      <w:r w:rsidR="00A51143">
        <w:rPr>
          <w:sz w:val="24"/>
        </w:rPr>
        <w:t>e</w:t>
      </w:r>
      <w:r>
        <w:rPr>
          <w:sz w:val="24"/>
        </w:rPr>
        <w:t xml:space="preserve"> that financial incentives may reduce or exacerbate nonresponse biases.  </w:t>
      </w:r>
    </w:p>
    <w:p w14:paraId="39A08886" w14:textId="77777777" w:rsidR="00A51143" w:rsidRDefault="00A51143" w:rsidP="000E64F5">
      <w:pPr>
        <w:rPr>
          <w:sz w:val="24"/>
        </w:rPr>
      </w:pPr>
    </w:p>
    <w:p w14:paraId="5EA248F5" w14:textId="2FD96A54" w:rsidR="00A51143" w:rsidRDefault="00CF3623">
      <w:pPr>
        <w:rPr>
          <w:sz w:val="24"/>
        </w:rPr>
      </w:pPr>
      <w:r>
        <w:rPr>
          <w:sz w:val="24"/>
        </w:rPr>
        <w:t>The meta-analysis of Groves and Pey</w:t>
      </w:r>
      <w:r w:rsidR="00155C85">
        <w:rPr>
          <w:sz w:val="24"/>
        </w:rPr>
        <w:t>t</w:t>
      </w:r>
      <w:r>
        <w:rPr>
          <w:sz w:val="24"/>
        </w:rPr>
        <w:t xml:space="preserve">cheva </w:t>
      </w:r>
      <w:r w:rsidR="007E7550">
        <w:rPr>
          <w:sz w:val="24"/>
        </w:rPr>
        <w:t xml:space="preserve">(2008) appears to be an </w:t>
      </w:r>
      <w:r>
        <w:rPr>
          <w:sz w:val="24"/>
        </w:rPr>
        <w:t>i</w:t>
      </w:r>
      <w:r w:rsidR="007E7550">
        <w:rPr>
          <w:sz w:val="24"/>
        </w:rPr>
        <w:t>mportant</w:t>
      </w:r>
      <w:r>
        <w:rPr>
          <w:sz w:val="24"/>
        </w:rPr>
        <w:t xml:space="preserve"> component of this literature.  It should be noted, however, </w:t>
      </w:r>
      <w:r w:rsidR="007E7550">
        <w:rPr>
          <w:sz w:val="24"/>
        </w:rPr>
        <w:t>that the bulk of their analysis focuses</w:t>
      </w:r>
      <w:r w:rsidR="00110EEF">
        <w:rPr>
          <w:sz w:val="24"/>
        </w:rPr>
        <w:t xml:space="preserve"> on differences between </w:t>
      </w:r>
      <w:r w:rsidR="007E7550">
        <w:rPr>
          <w:sz w:val="24"/>
        </w:rPr>
        <w:t>respondents and nonrespondents—e.g., P</w:t>
      </w:r>
      <w:r w:rsidR="002C1F89">
        <w:rPr>
          <w:sz w:val="24"/>
        </w:rPr>
        <w:t>r</w:t>
      </w:r>
      <w:r w:rsidR="007E7550">
        <w:rPr>
          <w:sz w:val="24"/>
        </w:rPr>
        <w:t>[y</w:t>
      </w:r>
      <w:r w:rsidR="002C1F89">
        <w:rPr>
          <w:sz w:val="24"/>
        </w:rPr>
        <w:t>=”Yes”</w:t>
      </w:r>
      <w:r w:rsidR="007E7550">
        <w:rPr>
          <w:sz w:val="24"/>
        </w:rPr>
        <w:t>|z=1]-P</w:t>
      </w:r>
      <w:r w:rsidR="002C1F89">
        <w:rPr>
          <w:sz w:val="24"/>
        </w:rPr>
        <w:t>r</w:t>
      </w:r>
      <w:r w:rsidR="007E7550">
        <w:rPr>
          <w:sz w:val="24"/>
        </w:rPr>
        <w:t>[y</w:t>
      </w:r>
      <w:r w:rsidR="002C1F89">
        <w:rPr>
          <w:sz w:val="24"/>
        </w:rPr>
        <w:t>=”Yes”</w:t>
      </w:r>
      <w:r w:rsidR="007E7550">
        <w:rPr>
          <w:sz w:val="24"/>
        </w:rPr>
        <w:t>|z=0]</w:t>
      </w:r>
      <w:r w:rsidR="002C1F89">
        <w:rPr>
          <w:sz w:val="24"/>
        </w:rPr>
        <w:t>—rather than differences between respondents and the general population—e.g., Pr[y”Yes”|z=1]-Pr[y=”Yes”</w:t>
      </w:r>
      <w:r w:rsidR="006079E7">
        <w:rPr>
          <w:sz w:val="24"/>
        </w:rPr>
        <w:t xml:space="preserve">].  Looking again at the </w:t>
      </w:r>
      <w:r w:rsidR="00A51143">
        <w:rPr>
          <w:sz w:val="24"/>
        </w:rPr>
        <w:t>components of nonresponse bias</w:t>
      </w:r>
    </w:p>
    <w:p w14:paraId="12D5B566" w14:textId="77777777" w:rsidR="00A51143" w:rsidRDefault="00A51143">
      <w:pPr>
        <w:rPr>
          <w:sz w:val="24"/>
        </w:rPr>
      </w:pPr>
    </w:p>
    <w:p w14:paraId="2B9CCE17" w14:textId="77777777" w:rsidR="00A51143" w:rsidRDefault="00A51143" w:rsidP="00A51143">
      <w:pPr>
        <w:jc w:val="center"/>
        <w:rPr>
          <w:sz w:val="24"/>
        </w:rPr>
      </w:pPr>
      <w:r>
        <w:rPr>
          <w:sz w:val="24"/>
        </w:rPr>
        <w:t>Bias =</w:t>
      </w:r>
      <w:r w:rsidRPr="006079E7">
        <w:rPr>
          <w:sz w:val="24"/>
        </w:rPr>
        <w:t xml:space="preserve"> </w:t>
      </w:r>
      <w:r>
        <w:rPr>
          <w:sz w:val="24"/>
        </w:rPr>
        <w:t>[Pr(y=“Yes”|z=1) - Pr(y=“Y</w:t>
      </w:r>
      <w:r w:rsidRPr="006079E7">
        <w:rPr>
          <w:sz w:val="24"/>
        </w:rPr>
        <w:t>es”|z=0)</w:t>
      </w:r>
      <w:r>
        <w:rPr>
          <w:sz w:val="24"/>
        </w:rPr>
        <w:t>] × P</w:t>
      </w:r>
      <w:r w:rsidRPr="006079E7">
        <w:rPr>
          <w:sz w:val="24"/>
        </w:rPr>
        <w:t>r(z=0</w:t>
      </w:r>
      <w:r>
        <w:rPr>
          <w:sz w:val="24"/>
        </w:rPr>
        <w:t>),</w:t>
      </w:r>
    </w:p>
    <w:p w14:paraId="399B1F7F" w14:textId="77777777" w:rsidR="00A51143" w:rsidRDefault="00A51143" w:rsidP="00F72BC2">
      <w:pPr>
        <w:rPr>
          <w:sz w:val="24"/>
        </w:rPr>
      </w:pPr>
    </w:p>
    <w:p w14:paraId="0F142E7F" w14:textId="77777777" w:rsidR="00CF3623" w:rsidRDefault="006079E7" w:rsidP="00C35DA4">
      <w:pPr>
        <w:rPr>
          <w:sz w:val="24"/>
        </w:rPr>
      </w:pPr>
      <w:r>
        <w:rPr>
          <w:sz w:val="24"/>
        </w:rPr>
        <w:t xml:space="preserve">we see that the bigger is the difference between respondents and nonrespondents, the greater is the bias, </w:t>
      </w:r>
      <w:r w:rsidRPr="006079E7">
        <w:rPr>
          <w:i/>
          <w:sz w:val="24"/>
        </w:rPr>
        <w:t xml:space="preserve">holding the </w:t>
      </w:r>
      <w:r w:rsidR="006B7070">
        <w:rPr>
          <w:i/>
          <w:sz w:val="24"/>
        </w:rPr>
        <w:t>non</w:t>
      </w:r>
      <w:r w:rsidRPr="006079E7">
        <w:rPr>
          <w:i/>
          <w:sz w:val="24"/>
        </w:rPr>
        <w:t>response rate constant</w:t>
      </w:r>
      <w:r>
        <w:rPr>
          <w:sz w:val="24"/>
        </w:rPr>
        <w:t>.  However,</w:t>
      </w:r>
      <w:r w:rsidR="006B7070">
        <w:rPr>
          <w:sz w:val="24"/>
        </w:rPr>
        <w:t xml:space="preserve"> as the nonresponse rate</w:t>
      </w:r>
      <w:r w:rsidR="005C39D4">
        <w:rPr>
          <w:sz w:val="24"/>
        </w:rPr>
        <w:t xml:space="preserve"> falls</w:t>
      </w:r>
      <w:r w:rsidR="006B7070">
        <w:rPr>
          <w:sz w:val="24"/>
        </w:rPr>
        <w:t xml:space="preserve">, the impact of this differential is muted. </w:t>
      </w:r>
      <w:r w:rsidR="005C39D4">
        <w:rPr>
          <w:sz w:val="24"/>
        </w:rPr>
        <w:t xml:space="preserve"> </w:t>
      </w:r>
      <w:r w:rsidR="006B7070">
        <w:rPr>
          <w:sz w:val="24"/>
        </w:rPr>
        <w:t>Prior studies have offered mixed evidence on how the differential between respondents and nonrespondents varies with the nonresponse rate, which is not surprising given the range of the studies and the range of the outcomes measured across</w:t>
      </w:r>
      <w:r w:rsidR="004454B7">
        <w:rPr>
          <w:sz w:val="24"/>
        </w:rPr>
        <w:t xml:space="preserve"> and with</w:t>
      </w:r>
      <w:r w:rsidR="00165215">
        <w:rPr>
          <w:sz w:val="24"/>
        </w:rPr>
        <w:t>in</w:t>
      </w:r>
      <w:r w:rsidR="006B7070">
        <w:rPr>
          <w:sz w:val="24"/>
        </w:rPr>
        <w:t xml:space="preserve"> studies</w:t>
      </w:r>
      <w:r w:rsidR="005C39D4">
        <w:rPr>
          <w:sz w:val="24"/>
        </w:rPr>
        <w:t xml:space="preserve">.  For example, </w:t>
      </w:r>
      <w:r w:rsidR="004454B7">
        <w:rPr>
          <w:sz w:val="24"/>
        </w:rPr>
        <w:t>Groves and Peytcheva look at 959 measures arising from 59 different studies</w:t>
      </w:r>
      <w:r w:rsidR="006B7070">
        <w:rPr>
          <w:sz w:val="24"/>
        </w:rPr>
        <w:t>.  What is not in dispute, however</w:t>
      </w:r>
      <w:r w:rsidR="004454B7">
        <w:rPr>
          <w:sz w:val="24"/>
        </w:rPr>
        <w:t>,</w:t>
      </w:r>
      <w:r w:rsidR="006B7070">
        <w:rPr>
          <w:sz w:val="24"/>
        </w:rPr>
        <w:t xml:space="preserve"> is </w:t>
      </w:r>
      <w:r w:rsidR="005C39D4">
        <w:rPr>
          <w:sz w:val="24"/>
        </w:rPr>
        <w:t xml:space="preserve">that </w:t>
      </w:r>
      <w:r w:rsidR="004454B7">
        <w:rPr>
          <w:sz w:val="24"/>
        </w:rPr>
        <w:t xml:space="preserve">any </w:t>
      </w:r>
      <w:r w:rsidR="006B7070">
        <w:rPr>
          <w:sz w:val="24"/>
        </w:rPr>
        <w:t xml:space="preserve">reduction in the nonresponse rate </w:t>
      </w:r>
      <w:r w:rsidR="004454B7">
        <w:rPr>
          <w:sz w:val="24"/>
        </w:rPr>
        <w:t>will reduce</w:t>
      </w:r>
      <w:r w:rsidR="006B7070">
        <w:rPr>
          <w:sz w:val="24"/>
        </w:rPr>
        <w:t xml:space="preserve"> </w:t>
      </w:r>
      <w:r w:rsidR="00A51143">
        <w:rPr>
          <w:sz w:val="24"/>
        </w:rPr>
        <w:t>both</w:t>
      </w:r>
      <w:r w:rsidR="00E674D7">
        <w:rPr>
          <w:sz w:val="24"/>
        </w:rPr>
        <w:t xml:space="preserve"> </w:t>
      </w:r>
      <w:r w:rsidR="006B7070">
        <w:rPr>
          <w:sz w:val="24"/>
        </w:rPr>
        <w:t xml:space="preserve">(i) </w:t>
      </w:r>
      <w:r w:rsidR="00A51143">
        <w:rPr>
          <w:sz w:val="24"/>
        </w:rPr>
        <w:t xml:space="preserve">uncertainty about </w:t>
      </w:r>
      <w:r w:rsidR="006B7070">
        <w:rPr>
          <w:sz w:val="24"/>
        </w:rPr>
        <w:t>potential bias and (ii) the impact of any given differential between respondents and nonrespondents on the</w:t>
      </w:r>
      <w:r w:rsidR="004454B7">
        <w:rPr>
          <w:sz w:val="24"/>
        </w:rPr>
        <w:t xml:space="preserve"> actual bias arising from nonresponse.</w:t>
      </w:r>
      <w:r w:rsidR="006B7070">
        <w:rPr>
          <w:sz w:val="24"/>
        </w:rPr>
        <w:t xml:space="preserve">  </w:t>
      </w:r>
    </w:p>
    <w:p w14:paraId="76FA4521" w14:textId="77777777" w:rsidR="00DD5EE6" w:rsidRDefault="00DD5EE6" w:rsidP="00C1088C">
      <w:pPr>
        <w:keepNext/>
        <w:spacing w:before="240" w:after="60"/>
        <w:outlineLvl w:val="1"/>
        <w:rPr>
          <w:b/>
          <w:sz w:val="24"/>
          <w:szCs w:val="22"/>
        </w:rPr>
      </w:pPr>
      <w:bookmarkStart w:id="26" w:name="_Toc362604589"/>
      <w:bookmarkStart w:id="27" w:name="_Toc479599193"/>
    </w:p>
    <w:p w14:paraId="14486C12" w14:textId="77777777" w:rsidR="00C1088C" w:rsidRPr="00C1088C" w:rsidRDefault="00C1088C" w:rsidP="00C1088C">
      <w:pPr>
        <w:keepNext/>
        <w:spacing w:before="240" w:after="60"/>
        <w:outlineLvl w:val="1"/>
        <w:rPr>
          <w:b/>
          <w:sz w:val="24"/>
          <w:szCs w:val="22"/>
        </w:rPr>
      </w:pPr>
      <w:r w:rsidRPr="00C1088C">
        <w:rPr>
          <w:b/>
          <w:sz w:val="24"/>
          <w:szCs w:val="22"/>
        </w:rPr>
        <w:t xml:space="preserve">B.4. Tests of Procedures or Methods to be </w:t>
      </w:r>
      <w:r w:rsidR="00683F1D">
        <w:rPr>
          <w:b/>
          <w:sz w:val="24"/>
          <w:szCs w:val="22"/>
        </w:rPr>
        <w:t>U</w:t>
      </w:r>
      <w:r w:rsidRPr="00C1088C">
        <w:rPr>
          <w:b/>
          <w:sz w:val="24"/>
          <w:szCs w:val="22"/>
        </w:rPr>
        <w:t>ndertaken</w:t>
      </w:r>
      <w:bookmarkEnd w:id="26"/>
      <w:bookmarkEnd w:id="27"/>
    </w:p>
    <w:p w14:paraId="3966AF47" w14:textId="77777777" w:rsidR="00C1088C" w:rsidRPr="00EE452D" w:rsidRDefault="00C1088C" w:rsidP="00C1088C">
      <w:pPr>
        <w:keepNext/>
        <w:spacing w:before="240" w:after="60"/>
        <w:ind w:left="720"/>
        <w:outlineLvl w:val="2"/>
        <w:rPr>
          <w:b/>
          <w:sz w:val="24"/>
        </w:rPr>
      </w:pPr>
      <w:bookmarkStart w:id="28" w:name="_Toc362604590"/>
      <w:bookmarkStart w:id="29" w:name="_Toc479599194"/>
      <w:r w:rsidRPr="00EE452D">
        <w:rPr>
          <w:b/>
          <w:sz w:val="24"/>
        </w:rPr>
        <w:t>B.4.a Pretesting</w:t>
      </w:r>
      <w:bookmarkEnd w:id="28"/>
      <w:bookmarkEnd w:id="29"/>
    </w:p>
    <w:p w14:paraId="335F0E3C" w14:textId="77777777" w:rsidR="00B17FB2" w:rsidRDefault="00B17FB2" w:rsidP="00B17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14:paraId="60B1ECA9" w14:textId="57F0F3C8" w:rsidR="00B17FB2" w:rsidRPr="006A09F8" w:rsidRDefault="00B17FB2" w:rsidP="00B17FB2">
      <w:pPr>
        <w:rPr>
          <w:sz w:val="24"/>
        </w:rPr>
      </w:pPr>
      <w:r w:rsidRPr="006A09F8">
        <w:rPr>
          <w:sz w:val="24"/>
        </w:rPr>
        <w:t xml:space="preserve">The cognitive </w:t>
      </w:r>
      <w:r>
        <w:rPr>
          <w:sz w:val="24"/>
        </w:rPr>
        <w:t>interviews</w:t>
      </w:r>
      <w:r w:rsidRPr="006A09F8">
        <w:rPr>
          <w:sz w:val="24"/>
        </w:rPr>
        <w:t xml:space="preserve"> will inform the content and item wording of the </w:t>
      </w:r>
      <w:r w:rsidR="00271A65">
        <w:rPr>
          <w:sz w:val="24"/>
        </w:rPr>
        <w:t xml:space="preserve">On the Road to Retirement </w:t>
      </w:r>
      <w:r w:rsidRPr="006A09F8">
        <w:rPr>
          <w:sz w:val="24"/>
        </w:rPr>
        <w:t>survey</w:t>
      </w:r>
      <w:r w:rsidR="00271A65">
        <w:rPr>
          <w:sz w:val="24"/>
        </w:rPr>
        <w:t>s</w:t>
      </w:r>
      <w:r w:rsidRPr="006A09F8">
        <w:rPr>
          <w:sz w:val="24"/>
        </w:rPr>
        <w:t xml:space="preserve">. </w:t>
      </w:r>
      <w:r w:rsidR="00271A65">
        <w:rPr>
          <w:sz w:val="24"/>
        </w:rPr>
        <w:t xml:space="preserve"> </w:t>
      </w:r>
      <w:r w:rsidRPr="006A09F8">
        <w:rPr>
          <w:sz w:val="24"/>
        </w:rPr>
        <w:t>Cognitive interviews will be conducted to test survey content and to assess context effects, specifically how the order and flow of survey topics influences participant comprehension and interpretation.  For each interview, the cognitive interviewer will use an annotated version of the survey that specifies the objectives of each item to be tested</w:t>
      </w:r>
      <w:r>
        <w:rPr>
          <w:sz w:val="24"/>
        </w:rPr>
        <w:t xml:space="preserve">. </w:t>
      </w:r>
      <w:r w:rsidR="00933444">
        <w:rPr>
          <w:sz w:val="24"/>
        </w:rPr>
        <w:t xml:space="preserve"> </w:t>
      </w:r>
      <w:r>
        <w:rPr>
          <w:sz w:val="24"/>
        </w:rPr>
        <w:t>Interviewer scripts will include</w:t>
      </w:r>
      <w:r w:rsidRPr="006A09F8">
        <w:rPr>
          <w:sz w:val="24"/>
        </w:rPr>
        <w:t xml:space="preserve"> probes to be used for each item to be tested. </w:t>
      </w:r>
      <w:r w:rsidR="00933444">
        <w:rPr>
          <w:sz w:val="24"/>
        </w:rPr>
        <w:t xml:space="preserve">See the discussion guide in Appendix </w:t>
      </w:r>
      <w:r w:rsidR="004038BF">
        <w:rPr>
          <w:sz w:val="24"/>
        </w:rPr>
        <w:t>17</w:t>
      </w:r>
      <w:r w:rsidR="00933444">
        <w:rPr>
          <w:sz w:val="24"/>
        </w:rPr>
        <w:t xml:space="preserve">.  </w:t>
      </w:r>
      <w:r w:rsidRPr="006A09F8">
        <w:rPr>
          <w:sz w:val="24"/>
        </w:rPr>
        <w:t>The probes will assess</w:t>
      </w:r>
      <w:r>
        <w:rPr>
          <w:sz w:val="24"/>
        </w:rPr>
        <w:t xml:space="preserve"> the following</w:t>
      </w:r>
      <w:r w:rsidRPr="006A09F8">
        <w:rPr>
          <w:sz w:val="24"/>
        </w:rPr>
        <w:t>:</w:t>
      </w:r>
    </w:p>
    <w:p w14:paraId="24D0F992" w14:textId="77777777" w:rsidR="00B17FB2" w:rsidRPr="006A09F8" w:rsidRDefault="00B17FB2" w:rsidP="005F048A">
      <w:pPr>
        <w:widowControl/>
        <w:numPr>
          <w:ilvl w:val="0"/>
          <w:numId w:val="91"/>
        </w:numPr>
        <w:autoSpaceDE/>
        <w:autoSpaceDN/>
        <w:adjustRightInd/>
        <w:rPr>
          <w:sz w:val="24"/>
        </w:rPr>
      </w:pPr>
      <w:r w:rsidRPr="006A09F8">
        <w:rPr>
          <w:sz w:val="24"/>
        </w:rPr>
        <w:lastRenderedPageBreak/>
        <w:t>Item comprehension or interpretation (“What does the term “xxx” mean to you?” or “Can you repeat the question I just asked in your own words?” or “How did you decide on your answer?”);</w:t>
      </w:r>
    </w:p>
    <w:p w14:paraId="00031848" w14:textId="77777777" w:rsidR="00B17FB2" w:rsidRPr="006A09F8" w:rsidRDefault="00B17FB2" w:rsidP="005F048A">
      <w:pPr>
        <w:widowControl/>
        <w:numPr>
          <w:ilvl w:val="0"/>
          <w:numId w:val="91"/>
        </w:numPr>
        <w:autoSpaceDE/>
        <w:autoSpaceDN/>
        <w:adjustRightInd/>
        <w:rPr>
          <w:sz w:val="24"/>
        </w:rPr>
      </w:pPr>
      <w:r w:rsidRPr="006A09F8">
        <w:rPr>
          <w:sz w:val="24"/>
        </w:rPr>
        <w:t>Participant confidence in their response or judgment (“How sure are you about …?”);</w:t>
      </w:r>
    </w:p>
    <w:p w14:paraId="11C72527" w14:textId="77777777" w:rsidR="00B17FB2" w:rsidRPr="006A09F8" w:rsidRDefault="00B17FB2" w:rsidP="005F048A">
      <w:pPr>
        <w:widowControl/>
        <w:numPr>
          <w:ilvl w:val="0"/>
          <w:numId w:val="91"/>
        </w:numPr>
        <w:autoSpaceDE/>
        <w:autoSpaceDN/>
        <w:adjustRightInd/>
        <w:rPr>
          <w:sz w:val="24"/>
        </w:rPr>
      </w:pPr>
      <w:r w:rsidRPr="006A09F8">
        <w:rPr>
          <w:sz w:val="24"/>
        </w:rPr>
        <w:t>Participant recall (“How do you remember that …?”).</w:t>
      </w:r>
    </w:p>
    <w:p w14:paraId="7A3AEA50" w14:textId="77777777" w:rsidR="00DD5EE6" w:rsidRDefault="00DD5EE6" w:rsidP="00B17FB2">
      <w:pPr>
        <w:rPr>
          <w:sz w:val="24"/>
        </w:rPr>
      </w:pPr>
    </w:p>
    <w:p w14:paraId="1FE8F5FB" w14:textId="77777777" w:rsidR="00B17FB2" w:rsidRPr="006A09F8" w:rsidRDefault="00B17FB2" w:rsidP="00B17FB2">
      <w:r w:rsidRPr="006A09F8">
        <w:rPr>
          <w:sz w:val="24"/>
        </w:rPr>
        <w:t>In addition, the protocol will document participant errors in survey navigation (e.g., errors in following skip instructions, marking multiple responses to a “mark one” item</w:t>
      </w:r>
      <w:r>
        <w:rPr>
          <w:sz w:val="24"/>
        </w:rPr>
        <w:t>, etc.</w:t>
      </w:r>
      <w:r w:rsidRPr="006A09F8">
        <w:t xml:space="preserve">). </w:t>
      </w:r>
    </w:p>
    <w:p w14:paraId="473150F3" w14:textId="77777777" w:rsidR="00B17FB2" w:rsidRPr="006A09F8" w:rsidRDefault="00B17FB2" w:rsidP="00B17FB2">
      <w:pPr>
        <w:rPr>
          <w:sz w:val="24"/>
        </w:rPr>
      </w:pPr>
      <w:r w:rsidRPr="006A09F8">
        <w:tab/>
      </w:r>
    </w:p>
    <w:p w14:paraId="49FB434B" w14:textId="51C523E9" w:rsidR="00B17FB2" w:rsidRPr="006A09F8" w:rsidRDefault="00B17FB2" w:rsidP="00B17FB2">
      <w:pPr>
        <w:rPr>
          <w:sz w:val="24"/>
        </w:rPr>
      </w:pPr>
      <w:r w:rsidRPr="006A09F8">
        <w:rPr>
          <w:sz w:val="24"/>
        </w:rPr>
        <w:t>The cognitive interviews will be the first test of the survey instruments.  We will then invite a sample of ALP members to take the survey to further refine it before it is fielded more broadly.  We will conduct debriefing interviews with</w:t>
      </w:r>
      <w:r w:rsidRPr="006A09F8">
        <w:t xml:space="preserve"> </w:t>
      </w:r>
      <w:r>
        <w:rPr>
          <w:sz w:val="24"/>
        </w:rPr>
        <w:t>about one-third</w:t>
      </w:r>
      <w:r w:rsidRPr="006A09F8">
        <w:rPr>
          <w:sz w:val="24"/>
        </w:rPr>
        <w:t xml:space="preserve"> </w:t>
      </w:r>
      <w:r>
        <w:rPr>
          <w:sz w:val="24"/>
        </w:rPr>
        <w:t xml:space="preserve">of </w:t>
      </w:r>
      <w:r w:rsidR="00493D91">
        <w:rPr>
          <w:sz w:val="24"/>
        </w:rPr>
        <w:t xml:space="preserve">pilot </w:t>
      </w:r>
      <w:r w:rsidRPr="006A09F8">
        <w:rPr>
          <w:sz w:val="24"/>
        </w:rPr>
        <w:t xml:space="preserve">survey </w:t>
      </w:r>
      <w:r w:rsidR="00493D91">
        <w:rPr>
          <w:sz w:val="24"/>
        </w:rPr>
        <w:t xml:space="preserve">respondents </w:t>
      </w:r>
      <w:r w:rsidRPr="006A09F8">
        <w:rPr>
          <w:sz w:val="24"/>
        </w:rPr>
        <w:t xml:space="preserve">using a similar method </w:t>
      </w:r>
      <w:r>
        <w:rPr>
          <w:sz w:val="24"/>
        </w:rPr>
        <w:t>to the one</w:t>
      </w:r>
      <w:r w:rsidRPr="006A09F8">
        <w:rPr>
          <w:sz w:val="24"/>
        </w:rPr>
        <w:t xml:space="preserve"> describe</w:t>
      </w:r>
      <w:r>
        <w:rPr>
          <w:sz w:val="24"/>
        </w:rPr>
        <w:t>d</w:t>
      </w:r>
      <w:r w:rsidRPr="006A09F8">
        <w:rPr>
          <w:sz w:val="24"/>
        </w:rPr>
        <w:t xml:space="preserve"> above for the cognitive interviews</w:t>
      </w:r>
      <w:r w:rsidR="0057777A">
        <w:rPr>
          <w:sz w:val="24"/>
        </w:rPr>
        <w:t xml:space="preserve"> </w:t>
      </w:r>
      <w:r w:rsidR="00284E8D">
        <w:rPr>
          <w:sz w:val="24"/>
        </w:rPr>
        <w:t>(s</w:t>
      </w:r>
      <w:r w:rsidR="00933444">
        <w:rPr>
          <w:sz w:val="24"/>
        </w:rPr>
        <w:t xml:space="preserve">ee Appendix </w:t>
      </w:r>
      <w:r w:rsidR="004038BF">
        <w:rPr>
          <w:sz w:val="24"/>
        </w:rPr>
        <w:t>16</w:t>
      </w:r>
      <w:r w:rsidR="00284E8D">
        <w:rPr>
          <w:sz w:val="24"/>
        </w:rPr>
        <w:t>)</w:t>
      </w:r>
      <w:r w:rsidR="00933444">
        <w:rPr>
          <w:sz w:val="24"/>
        </w:rPr>
        <w:t xml:space="preserve">. </w:t>
      </w:r>
      <w:r w:rsidRPr="006A09F8">
        <w:rPr>
          <w:sz w:val="24"/>
        </w:rPr>
        <w:t xml:space="preserve"> A surveyor will go through the instrument with the respondent probing on issues such as comprehension and interpretation. We will </w:t>
      </w:r>
      <w:r>
        <w:rPr>
          <w:sz w:val="24"/>
        </w:rPr>
        <w:t xml:space="preserve">report on proposed </w:t>
      </w:r>
      <w:r w:rsidRPr="006A09F8">
        <w:rPr>
          <w:sz w:val="24"/>
        </w:rPr>
        <w:t xml:space="preserve">adjustments to the survey based on </w:t>
      </w:r>
      <w:r>
        <w:rPr>
          <w:sz w:val="24"/>
        </w:rPr>
        <w:t xml:space="preserve">the cognitive interviews, the </w:t>
      </w:r>
      <w:r w:rsidRPr="006A09F8">
        <w:rPr>
          <w:sz w:val="24"/>
        </w:rPr>
        <w:t>survey results</w:t>
      </w:r>
      <w:r>
        <w:rPr>
          <w:sz w:val="24"/>
        </w:rPr>
        <w:t xml:space="preserve">, </w:t>
      </w:r>
      <w:r w:rsidRPr="006A09F8">
        <w:rPr>
          <w:sz w:val="24"/>
        </w:rPr>
        <w:t>and the debriefing interviews.</w:t>
      </w:r>
    </w:p>
    <w:p w14:paraId="475181A4" w14:textId="77777777" w:rsidR="00B17FB2" w:rsidRDefault="00B17FB2" w:rsidP="00B17FB2">
      <w:pPr>
        <w:rPr>
          <w:sz w:val="24"/>
        </w:rPr>
      </w:pPr>
    </w:p>
    <w:p w14:paraId="1CE751EA" w14:textId="77777777" w:rsidR="00B17FB2" w:rsidRPr="006A09F8" w:rsidRDefault="00B17FB2" w:rsidP="00B17FB2">
      <w:pPr>
        <w:rPr>
          <w:sz w:val="24"/>
        </w:rPr>
      </w:pPr>
      <w:r>
        <w:rPr>
          <w:i/>
          <w:sz w:val="24"/>
        </w:rPr>
        <w:t>Initial Participant Survey</w:t>
      </w:r>
    </w:p>
    <w:p w14:paraId="713E2F9C" w14:textId="77777777" w:rsidR="00EE1177" w:rsidRDefault="00EE1177" w:rsidP="00B17FB2">
      <w:pPr>
        <w:rPr>
          <w:sz w:val="24"/>
        </w:rPr>
      </w:pPr>
    </w:p>
    <w:p w14:paraId="79B556F3" w14:textId="6E64D363" w:rsidR="00D14009" w:rsidRDefault="00B17FB2" w:rsidP="00B17FB2">
      <w:pPr>
        <w:rPr>
          <w:sz w:val="24"/>
        </w:rPr>
      </w:pPr>
      <w:r w:rsidRPr="006A09F8">
        <w:rPr>
          <w:sz w:val="24"/>
        </w:rPr>
        <w:t xml:space="preserve">We will begin by inviting 375 ALP respondents to complete the Internet IPS Baseline survey and another </w:t>
      </w:r>
      <w:r>
        <w:rPr>
          <w:sz w:val="24"/>
        </w:rPr>
        <w:t>9</w:t>
      </w:r>
      <w:r w:rsidRPr="006A09F8">
        <w:rPr>
          <w:sz w:val="24"/>
        </w:rPr>
        <w:t xml:space="preserve">0 ALP respondents to complete the </w:t>
      </w:r>
      <w:r>
        <w:rPr>
          <w:sz w:val="24"/>
        </w:rPr>
        <w:t>m</w:t>
      </w:r>
      <w:r w:rsidRPr="006A09F8">
        <w:rPr>
          <w:sz w:val="24"/>
        </w:rPr>
        <w:t xml:space="preserve">ail-out IPS survey.  </w:t>
      </w:r>
      <w:r w:rsidR="00D14009">
        <w:rPr>
          <w:sz w:val="24"/>
        </w:rPr>
        <w:t>The</w:t>
      </w:r>
      <w:r w:rsidR="00A1630E">
        <w:rPr>
          <w:sz w:val="24"/>
        </w:rPr>
        <w:t xml:space="preserve"> pretest</w:t>
      </w:r>
      <w:r w:rsidR="00D14009">
        <w:rPr>
          <w:sz w:val="24"/>
        </w:rPr>
        <w:t xml:space="preserve"> </w:t>
      </w:r>
      <w:r w:rsidR="005B196F">
        <w:rPr>
          <w:sz w:val="24"/>
        </w:rPr>
        <w:t>instruments</w:t>
      </w:r>
      <w:r w:rsidR="005B196F" w:rsidRPr="005B196F">
        <w:rPr>
          <w:sz w:val="24"/>
        </w:rPr>
        <w:t xml:space="preserve"> exclude a number of questions from the Internet IPS Baseline questionnaire eliciting household demographics</w:t>
      </w:r>
      <w:r w:rsidR="005B196F">
        <w:rPr>
          <w:sz w:val="24"/>
        </w:rPr>
        <w:t xml:space="preserve">, as described in Appendix </w:t>
      </w:r>
      <w:r w:rsidR="004038BF">
        <w:rPr>
          <w:sz w:val="24"/>
        </w:rPr>
        <w:t>8</w:t>
      </w:r>
      <w:r w:rsidR="005B196F" w:rsidRPr="005B196F">
        <w:rPr>
          <w:sz w:val="24"/>
        </w:rPr>
        <w:t xml:space="preserve">.  In particular, the questions excluded from the instruments to be pretested are as follows: DHC3, DHC4, DHC5, DHC6, DHC7, </w:t>
      </w:r>
      <w:r w:rsidR="005B196F">
        <w:rPr>
          <w:sz w:val="24"/>
        </w:rPr>
        <w:t xml:space="preserve">DHC9, DHC10, DHC13a, and DHC13c.  The mail-out IPS survey to be pretested is included in Appendix </w:t>
      </w:r>
      <w:r w:rsidR="004038BF">
        <w:rPr>
          <w:sz w:val="24"/>
        </w:rPr>
        <w:t>10</w:t>
      </w:r>
      <w:r w:rsidR="005B196F">
        <w:rPr>
          <w:sz w:val="24"/>
        </w:rPr>
        <w:t>.</w:t>
      </w:r>
    </w:p>
    <w:p w14:paraId="3CD59C0B" w14:textId="77777777" w:rsidR="00D14009" w:rsidRDefault="00D14009" w:rsidP="00B17FB2">
      <w:pPr>
        <w:rPr>
          <w:sz w:val="24"/>
        </w:rPr>
      </w:pPr>
    </w:p>
    <w:p w14:paraId="69D01DE5" w14:textId="77777777" w:rsidR="00B17FB2" w:rsidRPr="006A09F8" w:rsidRDefault="00B17FB2" w:rsidP="00B17FB2">
      <w:pPr>
        <w:rPr>
          <w:sz w:val="24"/>
        </w:rPr>
      </w:pPr>
      <w:r>
        <w:rPr>
          <w:sz w:val="24"/>
        </w:rPr>
        <w:t>After completing the</w:t>
      </w:r>
      <w:r w:rsidR="005B196F">
        <w:rPr>
          <w:sz w:val="24"/>
        </w:rPr>
        <w:t>se</w:t>
      </w:r>
      <w:r>
        <w:rPr>
          <w:sz w:val="24"/>
        </w:rPr>
        <w:t xml:space="preserve"> survey</w:t>
      </w:r>
      <w:r w:rsidR="005B196F">
        <w:rPr>
          <w:sz w:val="24"/>
        </w:rPr>
        <w:t>s</w:t>
      </w:r>
      <w:r w:rsidRPr="00574A0A">
        <w:rPr>
          <w:sz w:val="24"/>
        </w:rPr>
        <w:t xml:space="preserve">, </w:t>
      </w:r>
      <w:r>
        <w:rPr>
          <w:sz w:val="24"/>
        </w:rPr>
        <w:t>40 of the</w:t>
      </w:r>
      <w:r w:rsidRPr="00574A0A">
        <w:rPr>
          <w:sz w:val="24"/>
        </w:rPr>
        <w:t xml:space="preserve"> IPS respondents</w:t>
      </w:r>
      <w:r>
        <w:rPr>
          <w:sz w:val="24"/>
        </w:rPr>
        <w:t>—20 from the Internet surveys and 20 from the mail-out surveys—w</w:t>
      </w:r>
      <w:r w:rsidRPr="00574A0A">
        <w:rPr>
          <w:sz w:val="24"/>
        </w:rPr>
        <w:t xml:space="preserve">ill be selected to participate in </w:t>
      </w:r>
      <w:r>
        <w:rPr>
          <w:sz w:val="24"/>
        </w:rPr>
        <w:t>debriefing interviews</w:t>
      </w:r>
      <w:r w:rsidRPr="00574A0A">
        <w:rPr>
          <w:sz w:val="24"/>
        </w:rPr>
        <w:t xml:space="preserve">.  </w:t>
      </w:r>
      <w:r w:rsidRPr="006A09F8">
        <w:rPr>
          <w:sz w:val="24"/>
        </w:rPr>
        <w:t xml:space="preserve">Those who complete the Internet IPS Baseline survey will be asked </w:t>
      </w:r>
      <w:r>
        <w:rPr>
          <w:sz w:val="24"/>
        </w:rPr>
        <w:t>one</w:t>
      </w:r>
      <w:r w:rsidRPr="006A09F8">
        <w:rPr>
          <w:sz w:val="24"/>
        </w:rPr>
        <w:t xml:space="preserve"> week later to complete the Internet IPS Follow-Up survey.  </w:t>
      </w:r>
      <w:r>
        <w:rPr>
          <w:sz w:val="24"/>
        </w:rPr>
        <w:t xml:space="preserve">About </w:t>
      </w:r>
      <w:r w:rsidRPr="006A09F8">
        <w:rPr>
          <w:sz w:val="24"/>
        </w:rPr>
        <w:t xml:space="preserve">20 respondents to </w:t>
      </w:r>
      <w:r>
        <w:rPr>
          <w:sz w:val="24"/>
        </w:rPr>
        <w:t xml:space="preserve">the </w:t>
      </w:r>
      <w:r w:rsidRPr="006A09F8">
        <w:rPr>
          <w:sz w:val="24"/>
        </w:rPr>
        <w:t>Internet IPS Follow-</w:t>
      </w:r>
      <w:r>
        <w:rPr>
          <w:sz w:val="24"/>
        </w:rPr>
        <w:t>U</w:t>
      </w:r>
      <w:r w:rsidRPr="006A09F8">
        <w:rPr>
          <w:sz w:val="24"/>
        </w:rPr>
        <w:t>p</w:t>
      </w:r>
      <w:r>
        <w:rPr>
          <w:sz w:val="24"/>
        </w:rPr>
        <w:t xml:space="preserve"> survey will participate in debriefing interviews</w:t>
      </w:r>
      <w:r w:rsidRPr="006A09F8">
        <w:rPr>
          <w:sz w:val="24"/>
        </w:rPr>
        <w:t xml:space="preserve">. </w:t>
      </w:r>
    </w:p>
    <w:p w14:paraId="69D197A5" w14:textId="77777777" w:rsidR="007366E9" w:rsidRDefault="007366E9" w:rsidP="00B17FB2">
      <w:pPr>
        <w:rPr>
          <w:i/>
          <w:sz w:val="24"/>
        </w:rPr>
      </w:pPr>
    </w:p>
    <w:p w14:paraId="28B37F6B" w14:textId="77777777" w:rsidR="00B17FB2" w:rsidRPr="00AE3E00" w:rsidRDefault="00B17FB2" w:rsidP="00B17FB2">
      <w:pPr>
        <w:rPr>
          <w:sz w:val="24"/>
        </w:rPr>
      </w:pPr>
      <w:r>
        <w:rPr>
          <w:i/>
          <w:sz w:val="24"/>
        </w:rPr>
        <w:t>Advice Interaction Survey</w:t>
      </w:r>
    </w:p>
    <w:p w14:paraId="092BE39F" w14:textId="77777777" w:rsidR="00EE1177" w:rsidRDefault="00EE1177" w:rsidP="00B17FB2">
      <w:pPr>
        <w:rPr>
          <w:sz w:val="24"/>
        </w:rPr>
      </w:pPr>
    </w:p>
    <w:p w14:paraId="73C803A1" w14:textId="77777777" w:rsidR="00B17FB2" w:rsidRDefault="00B17FB2" w:rsidP="00B17FB2">
      <w:pPr>
        <w:rPr>
          <w:sz w:val="24"/>
        </w:rPr>
      </w:pPr>
      <w:r w:rsidRPr="006A09F8">
        <w:rPr>
          <w:sz w:val="24"/>
        </w:rPr>
        <w:t xml:space="preserve">About </w:t>
      </w:r>
      <w:r>
        <w:rPr>
          <w:sz w:val="24"/>
        </w:rPr>
        <w:t>one</w:t>
      </w:r>
      <w:r w:rsidRPr="006A09F8">
        <w:rPr>
          <w:sz w:val="24"/>
        </w:rPr>
        <w:t xml:space="preserve"> month after the </w:t>
      </w:r>
      <w:r w:rsidRPr="00574A0A">
        <w:rPr>
          <w:sz w:val="24"/>
        </w:rPr>
        <w:t>Internet IPS Baseline</w:t>
      </w:r>
      <w:r w:rsidRPr="006A09F8">
        <w:rPr>
          <w:sz w:val="24"/>
        </w:rPr>
        <w:t> surveys are administered, we will invite all respondents to complete the Internet AIS survey.  We will also invite all respondents to the </w:t>
      </w:r>
      <w:r>
        <w:rPr>
          <w:sz w:val="24"/>
        </w:rPr>
        <w:t>m</w:t>
      </w:r>
      <w:r w:rsidRPr="006A09F8">
        <w:rPr>
          <w:sz w:val="24"/>
        </w:rPr>
        <w:t xml:space="preserve">ail-out IPS to complete the </w:t>
      </w:r>
      <w:r>
        <w:rPr>
          <w:sz w:val="24"/>
        </w:rPr>
        <w:t>m</w:t>
      </w:r>
      <w:r w:rsidRPr="006A09F8">
        <w:rPr>
          <w:sz w:val="24"/>
        </w:rPr>
        <w:t xml:space="preserve">ail-out AIS survey.  We will conduct debriefing interviews with </w:t>
      </w:r>
      <w:r>
        <w:rPr>
          <w:sz w:val="24"/>
        </w:rPr>
        <w:t>2</w:t>
      </w:r>
      <w:r w:rsidRPr="006A09F8">
        <w:rPr>
          <w:sz w:val="24"/>
        </w:rPr>
        <w:t xml:space="preserve">0 respondents to the Internet AIS survey and 20 respondents to the </w:t>
      </w:r>
      <w:r>
        <w:rPr>
          <w:sz w:val="24"/>
        </w:rPr>
        <w:t>m</w:t>
      </w:r>
      <w:r w:rsidRPr="006A09F8">
        <w:rPr>
          <w:sz w:val="24"/>
        </w:rPr>
        <w:t xml:space="preserve">ail-out AIS survey. </w:t>
      </w:r>
      <w:r>
        <w:rPr>
          <w:sz w:val="24"/>
        </w:rPr>
        <w:t xml:space="preserve"> </w:t>
      </w:r>
    </w:p>
    <w:p w14:paraId="5B403285" w14:textId="77777777" w:rsidR="00B17FB2" w:rsidRDefault="00B17FB2" w:rsidP="00B17FB2">
      <w:pPr>
        <w:rPr>
          <w:sz w:val="24"/>
        </w:rPr>
      </w:pPr>
    </w:p>
    <w:p w14:paraId="48DEFC0C" w14:textId="77777777" w:rsidR="00DA0339" w:rsidRPr="00EE452D" w:rsidRDefault="00C1088C" w:rsidP="00C1088C">
      <w:pPr>
        <w:keepNext/>
        <w:spacing w:before="240" w:after="60"/>
        <w:ind w:left="720"/>
        <w:outlineLvl w:val="2"/>
        <w:rPr>
          <w:b/>
          <w:sz w:val="24"/>
        </w:rPr>
      </w:pPr>
      <w:bookmarkStart w:id="30" w:name="_Toc362604591"/>
      <w:bookmarkStart w:id="31" w:name="_Toc479599195"/>
      <w:r w:rsidRPr="00EE452D">
        <w:rPr>
          <w:b/>
          <w:sz w:val="24"/>
        </w:rPr>
        <w:lastRenderedPageBreak/>
        <w:t>B.4.b. Sample Weights</w:t>
      </w:r>
      <w:bookmarkEnd w:id="30"/>
      <w:bookmarkEnd w:id="31"/>
    </w:p>
    <w:p w14:paraId="2D782922" w14:textId="77777777" w:rsidR="00DA0339" w:rsidRDefault="00DA0339" w:rsidP="00AC7705">
      <w:pPr>
        <w:rPr>
          <w:sz w:val="24"/>
        </w:rPr>
      </w:pPr>
    </w:p>
    <w:p w14:paraId="75CECFD8" w14:textId="77777777" w:rsidR="00C1088C" w:rsidRPr="00C1088C" w:rsidRDefault="00C1088C" w:rsidP="00C1088C">
      <w:pPr>
        <w:spacing w:after="100" w:afterAutospacing="1"/>
        <w:rPr>
          <w:sz w:val="24"/>
        </w:rPr>
      </w:pPr>
      <w:r w:rsidRPr="00C1088C">
        <w:rPr>
          <w:sz w:val="24"/>
        </w:rPr>
        <w:t>Sample weights will be generated to allow for the generalization of sample statistics to the population it intends to represent—i.e., households in the United States with at least one household member who is age 25 or older</w:t>
      </w:r>
      <w:r w:rsidR="00F34EE9">
        <w:rPr>
          <w:sz w:val="24"/>
        </w:rPr>
        <w:t>—under the assumption th</w:t>
      </w:r>
      <w:r w:rsidR="00AA4A94">
        <w:rPr>
          <w:sz w:val="24"/>
        </w:rPr>
        <w:t xml:space="preserve">at </w:t>
      </w:r>
      <w:r w:rsidR="00552993">
        <w:rPr>
          <w:sz w:val="24"/>
        </w:rPr>
        <w:t xml:space="preserve">unit </w:t>
      </w:r>
      <w:r w:rsidR="00AA4A94">
        <w:rPr>
          <w:sz w:val="24"/>
        </w:rPr>
        <w:t xml:space="preserve">nonresponse is </w:t>
      </w:r>
      <w:r w:rsidR="00F34EE9">
        <w:rPr>
          <w:sz w:val="24"/>
        </w:rPr>
        <w:t>random</w:t>
      </w:r>
      <w:r w:rsidR="00AA4A94">
        <w:rPr>
          <w:sz w:val="24"/>
        </w:rPr>
        <w:t xml:space="preserve"> conditional on specified covariates</w:t>
      </w:r>
      <w:r w:rsidRPr="00C1088C">
        <w:rPr>
          <w:sz w:val="24"/>
        </w:rPr>
        <w:t>. The benchmark distributions against which RAND ALP surveys are weighted are derived from the Current Population Survey Annual Social and Economic Supplement (administered in March of each year). This choice follows common practice in other social science surveys, such as the Health and Retirement Study.  We anticipate following a similar approach to the one described below for the ALP.</w:t>
      </w:r>
      <w:r w:rsidR="00E170D9">
        <w:rPr>
          <w:sz w:val="24"/>
        </w:rPr>
        <w:t xml:space="preserve">  The calculations will be performed using the STATA software package.</w:t>
      </w:r>
    </w:p>
    <w:p w14:paraId="1A089126" w14:textId="77777777" w:rsidR="00C1088C" w:rsidRPr="00C1088C" w:rsidRDefault="00C1088C" w:rsidP="00C1088C">
      <w:pPr>
        <w:spacing w:after="100" w:afterAutospacing="1"/>
        <w:rPr>
          <w:sz w:val="24"/>
        </w:rPr>
      </w:pPr>
      <w:r w:rsidRPr="00C1088C">
        <w:rPr>
          <w:sz w:val="24"/>
        </w:rPr>
        <w:t xml:space="preserve">Three weighting methods have been implemented for the ALP: cell-based post stratification, logistic regression, and raking. After experimentation over time, raking has been found to give the best results among these different methods. It allows finer categorizations of variables of interest (in particular, age and income) than cell-based post-stratification does, while still matching benchmark distributions of such variables exactly. </w:t>
      </w:r>
    </w:p>
    <w:p w14:paraId="55B5260F" w14:textId="77777777" w:rsidR="00C1088C" w:rsidRDefault="00C1088C" w:rsidP="00C1088C">
      <w:pPr>
        <w:spacing w:after="100" w:afterAutospacing="1"/>
        <w:rPr>
          <w:sz w:val="24"/>
        </w:rPr>
      </w:pPr>
      <w:r w:rsidRPr="00C1088C">
        <w:rPr>
          <w:sz w:val="24"/>
        </w:rPr>
        <w:t xml:space="preserve">The </w:t>
      </w:r>
      <w:r w:rsidR="00502686">
        <w:rPr>
          <w:sz w:val="24"/>
        </w:rPr>
        <w:t xml:space="preserve">ALP </w:t>
      </w:r>
      <w:r w:rsidRPr="00C1088C">
        <w:rPr>
          <w:sz w:val="24"/>
        </w:rPr>
        <w:t xml:space="preserve">weighting procedure consists of two steps. In the first one, individual demographics from the CPS are mapped onto those available in the ALP and selected weighting variables are recoded into strata (or categories). Such re-categorization, which applies to both CPS and ALP variables, </w:t>
      </w:r>
      <w:r w:rsidRPr="00C1088C">
        <w:rPr>
          <w:rFonts w:ascii="Times" w:hAnsi="Times" w:cstheme="minorHAnsi"/>
          <w:sz w:val="24"/>
        </w:rPr>
        <w:t xml:space="preserve">is required particularly when </w:t>
      </w:r>
      <w:r w:rsidRPr="00C1088C">
        <w:rPr>
          <w:sz w:val="24"/>
        </w:rPr>
        <w:t>weighting variables are continuous (e.g., income) or take values in a finite, but relatively large set (e.g., age). In the second step, the raking algorithm is implemented and sample weights are generated by matching the proportions of pre-defined strata in the ALP to those in the CPS. More precisely, the weighting algorithm is performed on the following set of two-way marginals:</w:t>
      </w:r>
    </w:p>
    <w:p w14:paraId="218203B0" w14:textId="77777777" w:rsidR="00C1088C" w:rsidRPr="00C1088C" w:rsidRDefault="00C1088C" w:rsidP="00E020FC">
      <w:pPr>
        <w:widowControl/>
        <w:numPr>
          <w:ilvl w:val="0"/>
          <w:numId w:val="4"/>
        </w:numPr>
        <w:autoSpaceDE/>
        <w:autoSpaceDN/>
        <w:adjustRightInd/>
        <w:spacing w:line="276" w:lineRule="auto"/>
        <w:rPr>
          <w:sz w:val="24"/>
        </w:rPr>
      </w:pPr>
      <w:r w:rsidRPr="00C1088C">
        <w:rPr>
          <w:b/>
          <w:sz w:val="24"/>
        </w:rPr>
        <w:t xml:space="preserve">Gender </w:t>
      </w:r>
      <w:r w:rsidRPr="00C1088C">
        <w:rPr>
          <w:sz w:val="24"/>
        </w:rPr>
        <w:t>×</w:t>
      </w:r>
      <w:r w:rsidRPr="00C1088C">
        <w:rPr>
          <w:b/>
          <w:sz w:val="24"/>
        </w:rPr>
        <w:t>Age</w:t>
      </w:r>
      <w:r w:rsidRPr="00C1088C">
        <w:rPr>
          <w:sz w:val="24"/>
        </w:rPr>
        <w:t xml:space="preserve"> </w:t>
      </w:r>
    </w:p>
    <w:p w14:paraId="13D4428B" w14:textId="77777777" w:rsidR="00C1088C" w:rsidRDefault="00C1088C" w:rsidP="00C1088C">
      <w:pPr>
        <w:widowControl/>
        <w:autoSpaceDE/>
        <w:autoSpaceDN/>
        <w:adjustRightInd/>
        <w:spacing w:line="276" w:lineRule="auto"/>
        <w:ind w:left="360"/>
        <w:rPr>
          <w:sz w:val="24"/>
        </w:rPr>
      </w:pPr>
      <w:r w:rsidRPr="00C1088C">
        <w:rPr>
          <w:sz w:val="24"/>
        </w:rPr>
        <w:t xml:space="preserve">with twelve categories: (1) male, 18-30; (2) male, 31-40; (3) male, 41-50; (4) male, 51-60; (5) male, 61-74; (6) male, 75+; (7) female, 18-30; (8) female, 31-40; (9) female, 41-50; (10) female, 51-60; (11) female, 61-74; (12) female, 75+. </w:t>
      </w:r>
    </w:p>
    <w:p w14:paraId="51098C89" w14:textId="77777777" w:rsidR="00C1088C" w:rsidRPr="00C1088C" w:rsidRDefault="00C1088C" w:rsidP="00E020FC">
      <w:pPr>
        <w:widowControl/>
        <w:numPr>
          <w:ilvl w:val="0"/>
          <w:numId w:val="5"/>
        </w:numPr>
        <w:autoSpaceDE/>
        <w:autoSpaceDN/>
        <w:adjustRightInd/>
        <w:spacing w:line="276" w:lineRule="auto"/>
        <w:rPr>
          <w:sz w:val="24"/>
        </w:rPr>
      </w:pPr>
      <w:r w:rsidRPr="00C1088C">
        <w:rPr>
          <w:b/>
          <w:sz w:val="24"/>
        </w:rPr>
        <w:t>Gender × Ethnicity</w:t>
      </w:r>
    </w:p>
    <w:p w14:paraId="76614CE4" w14:textId="77777777" w:rsidR="00C1088C" w:rsidRDefault="00C1088C" w:rsidP="00C1088C">
      <w:pPr>
        <w:widowControl/>
        <w:autoSpaceDE/>
        <w:autoSpaceDN/>
        <w:adjustRightInd/>
        <w:spacing w:line="276" w:lineRule="auto"/>
        <w:ind w:left="360"/>
        <w:rPr>
          <w:sz w:val="24"/>
        </w:rPr>
      </w:pPr>
      <w:r w:rsidRPr="00C1088C">
        <w:rPr>
          <w:sz w:val="24"/>
        </w:rPr>
        <w:t>with six categories: (1) male, non-Hispanic White; (2) male, non-Hispanic African American; (3) male, Hispanic or Other; (4) female, non-Hispanic White; (5) female, non-Hispanic African American; (6) female, Hispanic or Other.</w:t>
      </w:r>
    </w:p>
    <w:p w14:paraId="0DCFC0F7" w14:textId="72C10F06" w:rsidR="00651DF2" w:rsidRDefault="00651DF2">
      <w:pPr>
        <w:widowControl/>
        <w:autoSpaceDE/>
        <w:autoSpaceDN/>
        <w:adjustRightInd/>
        <w:rPr>
          <w:sz w:val="24"/>
        </w:rPr>
      </w:pPr>
      <w:r>
        <w:rPr>
          <w:sz w:val="24"/>
        </w:rPr>
        <w:br w:type="page"/>
      </w:r>
    </w:p>
    <w:p w14:paraId="736A5003" w14:textId="77777777" w:rsidR="00E70B47" w:rsidRDefault="00E70B47" w:rsidP="00C1088C">
      <w:pPr>
        <w:widowControl/>
        <w:autoSpaceDE/>
        <w:autoSpaceDN/>
        <w:adjustRightInd/>
        <w:spacing w:line="276" w:lineRule="auto"/>
        <w:ind w:left="360"/>
        <w:rPr>
          <w:sz w:val="24"/>
        </w:rPr>
      </w:pPr>
    </w:p>
    <w:p w14:paraId="762A7A33" w14:textId="77777777" w:rsidR="00C1088C" w:rsidRPr="00C1088C" w:rsidRDefault="00C1088C" w:rsidP="00E020FC">
      <w:pPr>
        <w:widowControl/>
        <w:numPr>
          <w:ilvl w:val="0"/>
          <w:numId w:val="6"/>
        </w:numPr>
        <w:autoSpaceDE/>
        <w:autoSpaceDN/>
        <w:adjustRightInd/>
        <w:spacing w:line="276" w:lineRule="auto"/>
        <w:rPr>
          <w:sz w:val="24"/>
        </w:rPr>
      </w:pPr>
      <w:r w:rsidRPr="00C1088C">
        <w:rPr>
          <w:b/>
          <w:sz w:val="24"/>
        </w:rPr>
        <w:t xml:space="preserve">Gender </w:t>
      </w:r>
      <w:r w:rsidRPr="00C1088C">
        <w:rPr>
          <w:sz w:val="24"/>
        </w:rPr>
        <w:t>×</w:t>
      </w:r>
      <w:r w:rsidRPr="00C1088C">
        <w:rPr>
          <w:b/>
          <w:sz w:val="24"/>
        </w:rPr>
        <w:t xml:space="preserve"> Education</w:t>
      </w:r>
      <w:r w:rsidRPr="00C1088C">
        <w:rPr>
          <w:sz w:val="24"/>
        </w:rPr>
        <w:t xml:space="preserve"> </w:t>
      </w:r>
    </w:p>
    <w:p w14:paraId="569EF8C0" w14:textId="77777777" w:rsidR="00C1088C" w:rsidRPr="00C1088C" w:rsidRDefault="00C1088C" w:rsidP="00C1088C">
      <w:pPr>
        <w:widowControl/>
        <w:autoSpaceDE/>
        <w:autoSpaceDN/>
        <w:adjustRightInd/>
        <w:spacing w:line="276" w:lineRule="auto"/>
        <w:ind w:left="360"/>
        <w:rPr>
          <w:sz w:val="24"/>
        </w:rPr>
      </w:pPr>
      <w:r w:rsidRPr="00C1088C">
        <w:rPr>
          <w:sz w:val="24"/>
        </w:rPr>
        <w:t xml:space="preserve">with six categories: (1) male, high school or less; (2) male, some college or a bachelor’s degree; (3) male, more than a bachelor’s degree; (4) female, high school or less; (5) female, some college or a bachelor’s degree; (6) female, more than a bachelor’s degree.  </w:t>
      </w:r>
    </w:p>
    <w:p w14:paraId="2BB9D244" w14:textId="77777777" w:rsidR="00C1088C" w:rsidRPr="00C1088C" w:rsidRDefault="00C1088C" w:rsidP="00E020FC">
      <w:pPr>
        <w:widowControl/>
        <w:numPr>
          <w:ilvl w:val="0"/>
          <w:numId w:val="6"/>
        </w:numPr>
        <w:autoSpaceDE/>
        <w:autoSpaceDN/>
        <w:adjustRightInd/>
        <w:spacing w:line="276" w:lineRule="auto"/>
        <w:rPr>
          <w:sz w:val="24"/>
        </w:rPr>
      </w:pPr>
      <w:r w:rsidRPr="00C1088C">
        <w:rPr>
          <w:b/>
          <w:sz w:val="24"/>
        </w:rPr>
        <w:t xml:space="preserve">Gender </w:t>
      </w:r>
      <w:r w:rsidRPr="00C1088C">
        <w:rPr>
          <w:sz w:val="24"/>
        </w:rPr>
        <w:t xml:space="preserve">× </w:t>
      </w:r>
      <w:r w:rsidRPr="00C1088C">
        <w:rPr>
          <w:b/>
          <w:sz w:val="24"/>
        </w:rPr>
        <w:t>Household Income</w:t>
      </w:r>
      <w:r w:rsidRPr="00C1088C">
        <w:rPr>
          <w:sz w:val="24"/>
        </w:rPr>
        <w:t xml:space="preserve"> </w:t>
      </w:r>
    </w:p>
    <w:p w14:paraId="12C43F7E" w14:textId="77777777" w:rsidR="00C1088C" w:rsidRPr="00C1088C" w:rsidRDefault="00C1088C" w:rsidP="00C1088C">
      <w:pPr>
        <w:widowControl/>
        <w:autoSpaceDE/>
        <w:autoSpaceDN/>
        <w:adjustRightInd/>
        <w:spacing w:line="276" w:lineRule="auto"/>
        <w:ind w:left="360"/>
        <w:rPr>
          <w:sz w:val="24"/>
        </w:rPr>
      </w:pPr>
      <w:r w:rsidRPr="00C1088C">
        <w:rPr>
          <w:sz w:val="24"/>
        </w:rPr>
        <w:t>with eight categories: (1) male, &lt;$35,000; (2) male, $35,000-$59,999; (3) male, $60,000-$99,999; (4) male, $100,000+; (5) female, &lt;$35,000; (6) female, $35,000-$59,999; (7) female, $60,000-$99,999; (8) female, $100,000+.</w:t>
      </w:r>
    </w:p>
    <w:p w14:paraId="0DC46E83" w14:textId="77777777" w:rsidR="00C1088C" w:rsidRPr="00C1088C" w:rsidRDefault="00C1088C" w:rsidP="00E020FC">
      <w:pPr>
        <w:widowControl/>
        <w:numPr>
          <w:ilvl w:val="0"/>
          <w:numId w:val="6"/>
        </w:numPr>
        <w:autoSpaceDE/>
        <w:autoSpaceDN/>
        <w:adjustRightInd/>
        <w:spacing w:line="276" w:lineRule="auto"/>
        <w:rPr>
          <w:sz w:val="24"/>
        </w:rPr>
      </w:pPr>
      <w:r w:rsidRPr="00C1088C">
        <w:rPr>
          <w:sz w:val="24"/>
        </w:rPr>
        <w:t xml:space="preserve"> </w:t>
      </w:r>
      <w:r w:rsidRPr="00C1088C">
        <w:rPr>
          <w:b/>
          <w:sz w:val="24"/>
        </w:rPr>
        <w:t xml:space="preserve">Household Income </w:t>
      </w:r>
      <w:r w:rsidRPr="00C1088C">
        <w:rPr>
          <w:sz w:val="24"/>
        </w:rPr>
        <w:t xml:space="preserve">× </w:t>
      </w:r>
      <w:r w:rsidRPr="00C1088C">
        <w:rPr>
          <w:b/>
          <w:sz w:val="24"/>
        </w:rPr>
        <w:t>Number of Household Members</w:t>
      </w:r>
      <w:r w:rsidRPr="00C1088C">
        <w:rPr>
          <w:sz w:val="24"/>
        </w:rPr>
        <w:t xml:space="preserve"> </w:t>
      </w:r>
    </w:p>
    <w:p w14:paraId="43D051BC" w14:textId="77777777" w:rsidR="00C1088C" w:rsidRPr="00C1088C" w:rsidRDefault="00C1088C" w:rsidP="00C1088C">
      <w:pPr>
        <w:widowControl/>
        <w:autoSpaceDE/>
        <w:autoSpaceDN/>
        <w:adjustRightInd/>
        <w:spacing w:line="276" w:lineRule="auto"/>
        <w:ind w:left="360"/>
        <w:rPr>
          <w:sz w:val="24"/>
        </w:rPr>
      </w:pPr>
      <w:r w:rsidRPr="00C1088C">
        <w:rPr>
          <w:sz w:val="24"/>
        </w:rPr>
        <w:t>with six categories: (1) single, &lt;$60,000; (2) single, $60,000+; (3) couple, &lt;$60,000; (4) couple, $60,000+; (5) 3+ members, &lt;$60,000; (6) 3+ members, $60,000+.</w:t>
      </w:r>
    </w:p>
    <w:p w14:paraId="29DC7157" w14:textId="77777777" w:rsidR="00C1088C" w:rsidRPr="00C1088C" w:rsidRDefault="00C1088C" w:rsidP="00C1088C">
      <w:pPr>
        <w:widowControl/>
        <w:autoSpaceDE/>
        <w:autoSpaceDN/>
        <w:adjustRightInd/>
        <w:spacing w:line="276" w:lineRule="auto"/>
        <w:rPr>
          <w:sz w:val="24"/>
        </w:rPr>
      </w:pPr>
    </w:p>
    <w:p w14:paraId="08F4DA7F" w14:textId="77777777" w:rsidR="00C1088C" w:rsidRPr="00C1088C" w:rsidRDefault="00C1088C" w:rsidP="00C1088C">
      <w:pPr>
        <w:rPr>
          <w:sz w:val="24"/>
        </w:rPr>
      </w:pPr>
      <w:r w:rsidRPr="00C1088C">
        <w:rPr>
          <w:sz w:val="24"/>
        </w:rPr>
        <w:t xml:space="preserve">The above strata are defined such that none of them contains less than 5% of the ALP sample. This rule of thumb is commonly adopted (DeBell and Krosnick, 2009) in post-stratification weighting. It aims at preventing very small cell sizes and, therefore, extremely high weights. </w:t>
      </w:r>
    </w:p>
    <w:p w14:paraId="346EDCFB" w14:textId="77777777" w:rsidR="00C1088C" w:rsidRPr="00C1088C" w:rsidRDefault="00C1088C" w:rsidP="00C1088C">
      <w:pPr>
        <w:rPr>
          <w:sz w:val="24"/>
        </w:rPr>
      </w:pPr>
    </w:p>
    <w:p w14:paraId="1C204E6B" w14:textId="77777777" w:rsidR="00856ABC" w:rsidRDefault="00A1011F" w:rsidP="005A1311">
      <w:pPr>
        <w:rPr>
          <w:sz w:val="24"/>
        </w:rPr>
      </w:pPr>
      <w:r>
        <w:rPr>
          <w:sz w:val="24"/>
        </w:rPr>
        <w:t>We will take a similar approach to the ALP for constructing sample weights under the assumption of conditionally random nonresponse, but we must also account for the age-based variation in sampling probabilities</w:t>
      </w:r>
      <w:r w:rsidR="005024F1">
        <w:rPr>
          <w:sz w:val="24"/>
        </w:rPr>
        <w:t xml:space="preserve"> described in Section </w:t>
      </w:r>
      <w:r w:rsidR="00A74752">
        <w:rPr>
          <w:sz w:val="24"/>
        </w:rPr>
        <w:t>B.1</w:t>
      </w:r>
      <w:r>
        <w:rPr>
          <w:sz w:val="24"/>
        </w:rPr>
        <w:t xml:space="preserve">.  In fact, we will construct two sets of weights: one that accounts </w:t>
      </w:r>
      <w:r w:rsidR="007F636D">
        <w:rPr>
          <w:sz w:val="24"/>
        </w:rPr>
        <w:t xml:space="preserve">only </w:t>
      </w:r>
      <w:r>
        <w:rPr>
          <w:sz w:val="24"/>
        </w:rPr>
        <w:t>for the</w:t>
      </w:r>
      <w:r w:rsidR="0047703E">
        <w:rPr>
          <w:sz w:val="24"/>
        </w:rPr>
        <w:t xml:space="preserve"> known probability of sampling from among the </w:t>
      </w:r>
      <w:r w:rsidR="00E33599">
        <w:rPr>
          <w:sz w:val="24"/>
        </w:rPr>
        <w:t>Pre-Survey</w:t>
      </w:r>
      <w:r w:rsidR="0047703E">
        <w:rPr>
          <w:sz w:val="24"/>
        </w:rPr>
        <w:t xml:space="preserve"> respondents </w:t>
      </w:r>
      <w:r>
        <w:rPr>
          <w:sz w:val="24"/>
        </w:rPr>
        <w:t>and another that is intended</w:t>
      </w:r>
      <w:r w:rsidR="00B27C67">
        <w:rPr>
          <w:sz w:val="24"/>
        </w:rPr>
        <w:t xml:space="preserve"> to reflect both</w:t>
      </w:r>
      <w:r w:rsidR="007F636D">
        <w:rPr>
          <w:sz w:val="24"/>
        </w:rPr>
        <w:t xml:space="preserve"> this </w:t>
      </w:r>
      <w:r>
        <w:rPr>
          <w:sz w:val="24"/>
        </w:rPr>
        <w:t>stratification</w:t>
      </w:r>
      <w:r w:rsidR="00B27C67">
        <w:rPr>
          <w:sz w:val="24"/>
        </w:rPr>
        <w:t xml:space="preserve"> by age</w:t>
      </w:r>
      <w:r>
        <w:rPr>
          <w:sz w:val="24"/>
        </w:rPr>
        <w:t xml:space="preserve"> and the unit nonresponse at each stage of the panel beginning with the </w:t>
      </w:r>
      <w:r w:rsidR="00E33599">
        <w:rPr>
          <w:sz w:val="24"/>
        </w:rPr>
        <w:t>Pre-Survey</w:t>
      </w:r>
      <w:r>
        <w:rPr>
          <w:sz w:val="24"/>
        </w:rPr>
        <w:t>.  Both approaches can be interpreted as inverse probability weighting, as</w:t>
      </w:r>
      <w:r w:rsidR="0081411A">
        <w:rPr>
          <w:sz w:val="24"/>
        </w:rPr>
        <w:t xml:space="preserve"> described by Wooldridge (2002). </w:t>
      </w:r>
      <w:r w:rsidR="00B27C67">
        <w:rPr>
          <w:sz w:val="24"/>
        </w:rPr>
        <w:t xml:space="preserve"> S</w:t>
      </w:r>
      <w:r w:rsidR="00B27C67" w:rsidRPr="00B27C67">
        <w:rPr>
          <w:sz w:val="24"/>
        </w:rPr>
        <w:t>tatistical software pack</w:t>
      </w:r>
      <w:r w:rsidR="00B27C67">
        <w:rPr>
          <w:sz w:val="24"/>
        </w:rPr>
        <w:t>ages typically accommodate such</w:t>
      </w:r>
      <w:r w:rsidR="00B27C67" w:rsidRPr="00B27C67">
        <w:rPr>
          <w:sz w:val="24"/>
        </w:rPr>
        <w:t xml:space="preserve"> weights for calculation of means, variances, lin</w:t>
      </w:r>
      <w:r w:rsidR="00B27C67">
        <w:rPr>
          <w:sz w:val="24"/>
        </w:rPr>
        <w:t>ear regression coefficients, and</w:t>
      </w:r>
      <w:r w:rsidR="00140D39">
        <w:rPr>
          <w:sz w:val="24"/>
        </w:rPr>
        <w:t xml:space="preserve"> other</w:t>
      </w:r>
      <w:r w:rsidR="004D5A7E">
        <w:rPr>
          <w:sz w:val="24"/>
        </w:rPr>
        <w:t xml:space="preserve"> parameters </w:t>
      </w:r>
      <w:r w:rsidR="00140D39">
        <w:rPr>
          <w:sz w:val="24"/>
        </w:rPr>
        <w:t>of interest</w:t>
      </w:r>
      <w:r w:rsidR="005124C5">
        <w:rPr>
          <w:sz w:val="24"/>
        </w:rPr>
        <w:t>, and, in turn, for the calculation of confidence intervals or “margins of error.”</w:t>
      </w:r>
      <w:r w:rsidR="00B27C67">
        <w:rPr>
          <w:sz w:val="24"/>
        </w:rPr>
        <w:t xml:space="preserve">  </w:t>
      </w:r>
      <w:r w:rsidR="00856ABC">
        <w:rPr>
          <w:sz w:val="24"/>
        </w:rPr>
        <w:t xml:space="preserve">For instance, the STATA </w:t>
      </w:r>
      <w:r w:rsidR="00856ABC" w:rsidRPr="00856ABC">
        <w:rPr>
          <w:sz w:val="24"/>
        </w:rPr>
        <w:t>“pweights, or sampling weights, are weights that denote the inverse of the probability that the observation is included because of the sampling design,” as described in the STATA 12.1 electronic help manual</w:t>
      </w:r>
      <w:r w:rsidR="00856ABC">
        <w:rPr>
          <w:sz w:val="24"/>
        </w:rPr>
        <w:t>.</w:t>
      </w:r>
    </w:p>
    <w:p w14:paraId="1E6D326B" w14:textId="77777777" w:rsidR="00856ABC" w:rsidRDefault="00856ABC" w:rsidP="005A1311">
      <w:pPr>
        <w:rPr>
          <w:sz w:val="24"/>
        </w:rPr>
      </w:pPr>
    </w:p>
    <w:p w14:paraId="5E33FAA7" w14:textId="77777777" w:rsidR="00A1011F" w:rsidRDefault="00B27C67" w:rsidP="005A1311">
      <w:pPr>
        <w:rPr>
          <w:sz w:val="24"/>
        </w:rPr>
      </w:pPr>
      <w:r>
        <w:rPr>
          <w:sz w:val="24"/>
        </w:rPr>
        <w:t>In his text, Wooldridge d</w:t>
      </w:r>
      <w:r w:rsidR="006002D8">
        <w:rPr>
          <w:sz w:val="24"/>
        </w:rPr>
        <w:t>efines a broad class of</w:t>
      </w:r>
      <w:r>
        <w:rPr>
          <w:sz w:val="24"/>
        </w:rPr>
        <w:t xml:space="preserve"> estimators</w:t>
      </w:r>
      <w:r w:rsidR="006002D8">
        <w:rPr>
          <w:sz w:val="24"/>
        </w:rPr>
        <w:t xml:space="preserve"> that incorporate these weights</w:t>
      </w:r>
      <w:r w:rsidR="00480B1E">
        <w:rPr>
          <w:sz w:val="24"/>
        </w:rPr>
        <w:t>—the weighted-M estimator</w:t>
      </w:r>
      <w:r>
        <w:rPr>
          <w:sz w:val="24"/>
        </w:rPr>
        <w:t>—and presents the analytical solution</w:t>
      </w:r>
      <w:r w:rsidR="00480B1E">
        <w:rPr>
          <w:sz w:val="24"/>
        </w:rPr>
        <w:t xml:space="preserve"> for the</w:t>
      </w:r>
      <w:r>
        <w:rPr>
          <w:sz w:val="24"/>
        </w:rPr>
        <w:t xml:space="preserve"> variance-covariance matrix</w:t>
      </w:r>
      <w:r w:rsidR="00480B1E">
        <w:rPr>
          <w:sz w:val="24"/>
        </w:rPr>
        <w:t xml:space="preserve"> “which looks like the standard formula for a robust variance matrix estimator except for the presence of the sampling probab</w:t>
      </w:r>
      <w:r w:rsidR="00856ABC">
        <w:rPr>
          <w:sz w:val="24"/>
        </w:rPr>
        <w:t>ilities</w:t>
      </w:r>
      <w:r w:rsidR="00480B1E">
        <w:rPr>
          <w:sz w:val="24"/>
        </w:rPr>
        <w:t>”</w:t>
      </w:r>
      <w:r w:rsidR="00856ABC">
        <w:rPr>
          <w:sz w:val="24"/>
        </w:rPr>
        <w:t xml:space="preserve"> (Wooldridge, 2002, p. 594).</w:t>
      </w:r>
      <w:r w:rsidR="00063BFB">
        <w:rPr>
          <w:sz w:val="24"/>
        </w:rPr>
        <w:t xml:space="preserve"> </w:t>
      </w:r>
      <w:r w:rsidR="00856ABC">
        <w:rPr>
          <w:sz w:val="24"/>
        </w:rPr>
        <w:t xml:space="preserve"> </w:t>
      </w:r>
      <w:r w:rsidR="00856ABC" w:rsidRPr="00856ABC">
        <w:rPr>
          <w:sz w:val="24"/>
        </w:rPr>
        <w:t>In fact, in the context of the linear regression model estimated by (</w:t>
      </w:r>
      <w:r w:rsidR="00A4414B">
        <w:rPr>
          <w:sz w:val="24"/>
        </w:rPr>
        <w:t>inverse</w:t>
      </w:r>
      <w:r w:rsidR="00856ABC" w:rsidRPr="00856ABC">
        <w:rPr>
          <w:sz w:val="24"/>
        </w:rPr>
        <w:t>-</w:t>
      </w:r>
      <w:r w:rsidR="005A1311">
        <w:rPr>
          <w:sz w:val="24"/>
        </w:rPr>
        <w:t>probability</w:t>
      </w:r>
      <w:r w:rsidR="00856ABC" w:rsidRPr="00856ABC">
        <w:rPr>
          <w:sz w:val="24"/>
        </w:rPr>
        <w:t>) weighted least squares, the estimators coincide.</w:t>
      </w:r>
      <w:r w:rsidR="00C824A2">
        <w:rPr>
          <w:sz w:val="24"/>
        </w:rPr>
        <w:t xml:space="preserve">  </w:t>
      </w:r>
      <w:r w:rsidR="00A56835">
        <w:rPr>
          <w:sz w:val="24"/>
        </w:rPr>
        <w:t>Relatedly, a</w:t>
      </w:r>
      <w:r w:rsidR="00856ABC" w:rsidRPr="00856ABC">
        <w:rPr>
          <w:sz w:val="24"/>
        </w:rPr>
        <w:t xml:space="preserve">ccording </w:t>
      </w:r>
      <w:r w:rsidR="00856ABC">
        <w:rPr>
          <w:sz w:val="24"/>
        </w:rPr>
        <w:t xml:space="preserve">to </w:t>
      </w:r>
      <w:r w:rsidR="00856ABC" w:rsidRPr="00856ABC">
        <w:rPr>
          <w:sz w:val="24"/>
        </w:rPr>
        <w:t xml:space="preserve">the STATA 12.1 electronic help manual, “If the </w:t>
      </w:r>
      <w:r w:rsidR="00856ABC">
        <w:rPr>
          <w:sz w:val="24"/>
        </w:rPr>
        <w:t xml:space="preserve">command allows pweights and you </w:t>
      </w:r>
      <w:r w:rsidR="00856ABC" w:rsidRPr="00856ABC">
        <w:rPr>
          <w:sz w:val="24"/>
        </w:rPr>
        <w:t>specify</w:t>
      </w:r>
      <w:r w:rsidR="00856ABC">
        <w:rPr>
          <w:sz w:val="24"/>
        </w:rPr>
        <w:t xml:space="preserve"> </w:t>
      </w:r>
      <w:r w:rsidR="00856ABC" w:rsidRPr="00856ABC">
        <w:rPr>
          <w:sz w:val="24"/>
        </w:rPr>
        <w:t>them,</w:t>
      </w:r>
      <w:r w:rsidR="00856ABC">
        <w:rPr>
          <w:sz w:val="24"/>
        </w:rPr>
        <w:t xml:space="preserve"> vce(robust) </w:t>
      </w:r>
      <w:r w:rsidR="00A56835">
        <w:rPr>
          <w:sz w:val="24"/>
        </w:rPr>
        <w:t>is implied.</w:t>
      </w:r>
      <w:r w:rsidR="00856ABC" w:rsidRPr="00856ABC">
        <w:rPr>
          <w:sz w:val="24"/>
        </w:rPr>
        <w:t>”</w:t>
      </w:r>
    </w:p>
    <w:p w14:paraId="1C6E51A2" w14:textId="4F3E66E1" w:rsidR="00651DF2" w:rsidRDefault="00651DF2">
      <w:pPr>
        <w:widowControl/>
        <w:autoSpaceDE/>
        <w:autoSpaceDN/>
        <w:adjustRightInd/>
        <w:rPr>
          <w:sz w:val="24"/>
        </w:rPr>
      </w:pPr>
      <w:r>
        <w:rPr>
          <w:sz w:val="24"/>
        </w:rPr>
        <w:br w:type="page"/>
      </w:r>
    </w:p>
    <w:p w14:paraId="27FD93F7" w14:textId="77777777" w:rsidR="00651DF2" w:rsidRDefault="00651DF2" w:rsidP="005A1311">
      <w:pPr>
        <w:rPr>
          <w:sz w:val="24"/>
        </w:rPr>
      </w:pPr>
    </w:p>
    <w:p w14:paraId="7395361F" w14:textId="77777777" w:rsidR="00172D3F" w:rsidRDefault="005A1311" w:rsidP="005A1311">
      <w:pPr>
        <w:rPr>
          <w:sz w:val="24"/>
        </w:rPr>
      </w:pPr>
      <w:r>
        <w:rPr>
          <w:sz w:val="24"/>
        </w:rPr>
        <w:t xml:space="preserve">The calculation of variances, standard errors, and confidence </w:t>
      </w:r>
      <w:r w:rsidR="00172D3F">
        <w:rPr>
          <w:sz w:val="24"/>
        </w:rPr>
        <w:t xml:space="preserve">intervals are straightforward when one uses </w:t>
      </w:r>
      <w:r w:rsidR="00A4414B">
        <w:rPr>
          <w:sz w:val="24"/>
        </w:rPr>
        <w:t>(inverse</w:t>
      </w:r>
      <w:r>
        <w:rPr>
          <w:sz w:val="24"/>
        </w:rPr>
        <w:t>-probability</w:t>
      </w:r>
      <w:r w:rsidR="00A4414B">
        <w:rPr>
          <w:sz w:val="24"/>
        </w:rPr>
        <w:t xml:space="preserve">) </w:t>
      </w:r>
      <w:r>
        <w:rPr>
          <w:sz w:val="24"/>
        </w:rPr>
        <w:t xml:space="preserve">weighted </w:t>
      </w:r>
      <w:r w:rsidR="0037640B">
        <w:rPr>
          <w:sz w:val="24"/>
        </w:rPr>
        <w:t xml:space="preserve">sample </w:t>
      </w:r>
      <w:r w:rsidR="00172D3F">
        <w:rPr>
          <w:sz w:val="24"/>
        </w:rPr>
        <w:t xml:space="preserve">statistics as estimators of their population analogs.  </w:t>
      </w:r>
      <w:r w:rsidR="00502686">
        <w:rPr>
          <w:sz w:val="24"/>
        </w:rPr>
        <w:t xml:space="preserve">To illustrate, we will </w:t>
      </w:r>
      <w:r w:rsidR="00D26876">
        <w:rPr>
          <w:sz w:val="24"/>
        </w:rPr>
        <w:t>focus on</w:t>
      </w:r>
      <w:r w:rsidR="00502686">
        <w:rPr>
          <w:sz w:val="24"/>
        </w:rPr>
        <w:t xml:space="preserve"> sample weights based on age</w:t>
      </w:r>
      <w:r w:rsidR="005324FF">
        <w:rPr>
          <w:sz w:val="24"/>
        </w:rPr>
        <w:t xml:space="preserve"> group</w:t>
      </w:r>
      <w:r w:rsidR="00502686">
        <w:rPr>
          <w:sz w:val="24"/>
        </w:rPr>
        <w:t>.</w:t>
      </w:r>
      <w:r w:rsidR="00D26876">
        <w:rPr>
          <w:sz w:val="24"/>
        </w:rPr>
        <w:t xml:space="preserve">  </w:t>
      </w:r>
      <w:r w:rsidR="00172D3F" w:rsidRPr="00172D3F">
        <w:rPr>
          <w:szCs w:val="20"/>
          <w:vertAlign w:val="superscript"/>
        </w:rPr>
        <w:t xml:space="preserve"> </w:t>
      </w:r>
      <w:r w:rsidR="00502686">
        <w:rPr>
          <w:sz w:val="24"/>
        </w:rPr>
        <w:t>L</w:t>
      </w:r>
      <w:r w:rsidR="00A4414B">
        <w:rPr>
          <w:sz w:val="24"/>
        </w:rPr>
        <w:t xml:space="preserve">et </w:t>
      </w:r>
      <w:r w:rsidR="00A4414B" w:rsidRPr="00944E1A">
        <w:rPr>
          <w:i/>
          <w:sz w:val="24"/>
        </w:rPr>
        <w:t>h=1,…,</w:t>
      </w:r>
      <w:r w:rsidR="00502686">
        <w:rPr>
          <w:i/>
          <w:sz w:val="24"/>
        </w:rPr>
        <w:t>5</w:t>
      </w:r>
      <w:r w:rsidR="00A4414B">
        <w:rPr>
          <w:sz w:val="24"/>
        </w:rPr>
        <w:t xml:space="preserve"> denote the</w:t>
      </w:r>
      <w:r w:rsidR="00502686">
        <w:rPr>
          <w:sz w:val="24"/>
        </w:rPr>
        <w:t xml:space="preserve"> five</w:t>
      </w:r>
      <w:r w:rsidR="00A4414B" w:rsidRPr="00944E1A">
        <w:rPr>
          <w:i/>
          <w:sz w:val="24"/>
        </w:rPr>
        <w:t xml:space="preserve"> </w:t>
      </w:r>
      <w:r w:rsidR="00502686">
        <w:rPr>
          <w:sz w:val="24"/>
        </w:rPr>
        <w:t xml:space="preserve">age strata, and let </w:t>
      </w:r>
      <w:r w:rsidR="00502686" w:rsidRPr="00944E1A">
        <w:rPr>
          <w:i/>
          <w:sz w:val="24"/>
        </w:rPr>
        <w:t>w</w:t>
      </w:r>
      <w:r w:rsidR="00502686" w:rsidRPr="00944E1A">
        <w:rPr>
          <w:i/>
          <w:sz w:val="24"/>
          <w:vertAlign w:val="subscript"/>
        </w:rPr>
        <w:t>hi</w:t>
      </w:r>
      <w:r w:rsidR="00502686" w:rsidRPr="00944E1A">
        <w:rPr>
          <w:sz w:val="24"/>
          <w:vertAlign w:val="subscript"/>
        </w:rPr>
        <w:t xml:space="preserve"> </w:t>
      </w:r>
      <w:r w:rsidR="00502686" w:rsidRPr="00502686">
        <w:rPr>
          <w:sz w:val="24"/>
        </w:rPr>
        <w:t xml:space="preserve">denote the </w:t>
      </w:r>
      <w:r w:rsidR="00502686">
        <w:rPr>
          <w:sz w:val="24"/>
        </w:rPr>
        <w:t>sample weight for</w:t>
      </w:r>
      <w:r w:rsidR="005324FF">
        <w:rPr>
          <w:sz w:val="24"/>
        </w:rPr>
        <w:t xml:space="preserve"> the</w:t>
      </w:r>
      <w:r w:rsidR="00502686">
        <w:rPr>
          <w:sz w:val="24"/>
        </w:rPr>
        <w:t xml:space="preserve"> </w:t>
      </w:r>
      <w:r w:rsidR="005324FF" w:rsidRPr="008F07C1">
        <w:rPr>
          <w:i/>
          <w:sz w:val="24"/>
        </w:rPr>
        <w:t>i</w:t>
      </w:r>
      <w:r w:rsidR="005324FF">
        <w:rPr>
          <w:sz w:val="24"/>
        </w:rPr>
        <w:t xml:space="preserve">th out of </w:t>
      </w:r>
      <w:r w:rsidR="00D26876">
        <w:rPr>
          <w:sz w:val="24"/>
        </w:rPr>
        <w:t xml:space="preserve">the </w:t>
      </w:r>
      <w:r w:rsidR="005324FF">
        <w:rPr>
          <w:i/>
          <w:sz w:val="24"/>
        </w:rPr>
        <w:t>n</w:t>
      </w:r>
      <w:r w:rsidR="005324FF" w:rsidRPr="008F07C1">
        <w:rPr>
          <w:i/>
          <w:sz w:val="24"/>
          <w:vertAlign w:val="subscript"/>
        </w:rPr>
        <w:t>h</w:t>
      </w:r>
      <w:r w:rsidR="005324FF">
        <w:rPr>
          <w:sz w:val="24"/>
        </w:rPr>
        <w:t xml:space="preserve"> </w:t>
      </w:r>
      <w:r w:rsidR="00502686">
        <w:rPr>
          <w:sz w:val="24"/>
        </w:rPr>
        <w:t>household</w:t>
      </w:r>
      <w:r w:rsidR="005324FF">
        <w:rPr>
          <w:sz w:val="24"/>
        </w:rPr>
        <w:t xml:space="preserve">s in stratum </w:t>
      </w:r>
      <w:r w:rsidR="005324FF" w:rsidRPr="00944E1A">
        <w:rPr>
          <w:i/>
          <w:sz w:val="24"/>
        </w:rPr>
        <w:t>h</w:t>
      </w:r>
      <w:r w:rsidR="00502686">
        <w:rPr>
          <w:sz w:val="24"/>
        </w:rPr>
        <w:t>.</w:t>
      </w:r>
      <w:r w:rsidR="00A4414B">
        <w:rPr>
          <w:sz w:val="24"/>
        </w:rPr>
        <w:t xml:space="preserve"> </w:t>
      </w:r>
      <w:r w:rsidR="00502686">
        <w:rPr>
          <w:sz w:val="24"/>
        </w:rPr>
        <w:t xml:space="preserve"> </w:t>
      </w:r>
      <w:r w:rsidR="00172D3F">
        <w:rPr>
          <w:sz w:val="24"/>
        </w:rPr>
        <w:t xml:space="preserve">In the case of a simple random sample, the weights </w:t>
      </w:r>
      <w:r w:rsidR="005324FF">
        <w:rPr>
          <w:sz w:val="24"/>
        </w:rPr>
        <w:t>would be</w:t>
      </w:r>
      <w:r w:rsidR="00361F59">
        <w:rPr>
          <w:sz w:val="24"/>
        </w:rPr>
        <w:t xml:space="preserve"> </w:t>
      </w:r>
      <w:r w:rsidR="00172D3F">
        <w:rPr>
          <w:sz w:val="24"/>
        </w:rPr>
        <w:t xml:space="preserve">equal </w:t>
      </w:r>
      <w:r w:rsidR="00361F59">
        <w:rPr>
          <w:sz w:val="24"/>
        </w:rPr>
        <w:t>across all households</w:t>
      </w:r>
      <w:r w:rsidR="00172D3F">
        <w:rPr>
          <w:sz w:val="24"/>
        </w:rPr>
        <w:t xml:space="preserve">.  Here, with stratified sampling based on age </w:t>
      </w:r>
      <w:r w:rsidR="00821923">
        <w:rPr>
          <w:sz w:val="24"/>
        </w:rPr>
        <w:t xml:space="preserve">group </w:t>
      </w:r>
      <w:r w:rsidR="00172D3F">
        <w:rPr>
          <w:sz w:val="24"/>
        </w:rPr>
        <w:t>and sampling weights determined solely by age</w:t>
      </w:r>
      <w:r w:rsidR="00821923">
        <w:rPr>
          <w:sz w:val="24"/>
        </w:rPr>
        <w:t xml:space="preserve"> group</w:t>
      </w:r>
      <w:r w:rsidR="00172D3F">
        <w:rPr>
          <w:sz w:val="24"/>
        </w:rPr>
        <w:t>, the weights vary across strata but are all equal within strata</w:t>
      </w:r>
      <w:r w:rsidR="005324FF">
        <w:rPr>
          <w:sz w:val="24"/>
        </w:rPr>
        <w:t>.  T</w:t>
      </w:r>
      <w:r w:rsidR="00172D3F">
        <w:rPr>
          <w:sz w:val="24"/>
        </w:rPr>
        <w:t xml:space="preserve">hat is, </w:t>
      </w:r>
      <w:r w:rsidR="005324FF">
        <w:rPr>
          <w:sz w:val="24"/>
        </w:rPr>
        <w:t xml:space="preserve"> </w:t>
      </w:r>
      <m:oMath>
        <m:sSub>
          <m:sSubPr>
            <m:ctrlPr>
              <w:rPr>
                <w:rFonts w:ascii="Cambria Math" w:hAnsi="Cambria Math"/>
                <w:i/>
                <w:sz w:val="24"/>
              </w:rPr>
            </m:ctrlPr>
          </m:sSubPr>
          <m:e>
            <m:r>
              <w:rPr>
                <w:rFonts w:ascii="Cambria Math" w:hAnsi="Cambria Math"/>
                <w:sz w:val="24"/>
              </w:rPr>
              <m:t>w</m:t>
            </m:r>
          </m:e>
          <m:sub>
            <m:r>
              <w:rPr>
                <w:rFonts w:ascii="Cambria Math" w:hAnsi="Cambria Math"/>
                <w:sz w:val="24"/>
              </w:rPr>
              <m:t>hi</m:t>
            </m: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e>
          <m:sub>
            <m:r>
              <w:rPr>
                <w:rFonts w:ascii="Cambria Math" w:hAnsi="Cambria Math"/>
                <w:sz w:val="24"/>
              </w:rPr>
              <m:t>h</m:t>
            </m:r>
          </m:sub>
        </m:sSub>
      </m:oMath>
      <w:r w:rsidR="005324FF">
        <w:rPr>
          <w:sz w:val="24"/>
        </w:rPr>
        <w:t xml:space="preserve"> for all </w:t>
      </w:r>
      <w:r w:rsidR="005324FF" w:rsidRPr="00944E1A">
        <w:rPr>
          <w:i/>
          <w:sz w:val="24"/>
        </w:rPr>
        <w:t>i</w:t>
      </w:r>
      <w:r w:rsidR="005324FF">
        <w:rPr>
          <w:sz w:val="24"/>
        </w:rPr>
        <w:t xml:space="preserve"> and </w:t>
      </w:r>
      <w:r w:rsidR="005324FF" w:rsidRPr="00944E1A">
        <w:rPr>
          <w:i/>
          <w:sz w:val="24"/>
        </w:rPr>
        <w:t>h</w:t>
      </w:r>
      <w:r w:rsidR="005324FF">
        <w:rPr>
          <w:sz w:val="24"/>
        </w:rPr>
        <w:t>.  Th</w:t>
      </w:r>
      <w:r w:rsidR="009C02D8">
        <w:rPr>
          <w:sz w:val="24"/>
        </w:rPr>
        <w:t xml:space="preserve">e five values of </w:t>
      </w:r>
      <w:r w:rsidR="009C02D8">
        <w:rPr>
          <w:i/>
          <w:sz w:val="24"/>
        </w:rPr>
        <w:t>w</w:t>
      </w:r>
      <w:r w:rsidR="009C02D8" w:rsidRPr="00944E1A">
        <w:rPr>
          <w:i/>
          <w:sz w:val="24"/>
          <w:vertAlign w:val="subscript"/>
        </w:rPr>
        <w:t>h</w:t>
      </w:r>
      <w:r w:rsidR="005324FF">
        <w:rPr>
          <w:sz w:val="24"/>
        </w:rPr>
        <w:t xml:space="preserve"> would</w:t>
      </w:r>
      <w:r w:rsidR="009C02D8">
        <w:rPr>
          <w:sz w:val="24"/>
        </w:rPr>
        <w:t xml:space="preserve"> be estimated based on </w:t>
      </w:r>
      <w:r w:rsidR="005324FF">
        <w:rPr>
          <w:sz w:val="24"/>
        </w:rPr>
        <w:t xml:space="preserve">the </w:t>
      </w:r>
      <w:r w:rsidR="009C02D8">
        <w:rPr>
          <w:sz w:val="24"/>
        </w:rPr>
        <w:t xml:space="preserve">population proportions found for each age group in U.S. Census data.  Note that this approach </w:t>
      </w:r>
      <w:r w:rsidR="005324FF">
        <w:rPr>
          <w:sz w:val="24"/>
        </w:rPr>
        <w:t xml:space="preserve">can </w:t>
      </w:r>
      <w:r w:rsidR="009C02D8">
        <w:rPr>
          <w:sz w:val="24"/>
        </w:rPr>
        <w:t>be applied to estimate population parameters under the assumption of simple random sampling within strata with nonresponse</w:t>
      </w:r>
      <w:r w:rsidR="00821923">
        <w:rPr>
          <w:sz w:val="24"/>
        </w:rPr>
        <w:t xml:space="preserve"> that is random conditional on age group</w:t>
      </w:r>
      <w:r w:rsidR="009C02D8">
        <w:rPr>
          <w:sz w:val="24"/>
        </w:rPr>
        <w:t>.</w:t>
      </w:r>
      <w:r w:rsidR="00821923" w:rsidRPr="00821923">
        <w:t xml:space="preserve"> </w:t>
      </w:r>
      <w:r w:rsidR="00821923">
        <w:t xml:space="preserve"> </w:t>
      </w:r>
      <w:r w:rsidR="00821923" w:rsidRPr="00821923">
        <w:rPr>
          <w:sz w:val="24"/>
        </w:rPr>
        <w:t xml:space="preserve">Should nonresponse </w:t>
      </w:r>
      <w:r w:rsidR="00821923">
        <w:rPr>
          <w:sz w:val="24"/>
        </w:rPr>
        <w:t xml:space="preserve">instead </w:t>
      </w:r>
      <w:r w:rsidR="00821923" w:rsidRPr="00821923">
        <w:rPr>
          <w:sz w:val="24"/>
        </w:rPr>
        <w:t xml:space="preserve">be modeled </w:t>
      </w:r>
      <w:r w:rsidR="00821923">
        <w:rPr>
          <w:sz w:val="24"/>
        </w:rPr>
        <w:t xml:space="preserve">as </w:t>
      </w:r>
      <w:r w:rsidR="00E570B9">
        <w:rPr>
          <w:sz w:val="24"/>
        </w:rPr>
        <w:t>random conditional on additional</w:t>
      </w:r>
      <w:r w:rsidR="00821923" w:rsidRPr="00821923">
        <w:rPr>
          <w:sz w:val="24"/>
        </w:rPr>
        <w:t xml:space="preserve"> covariates, </w:t>
      </w:r>
      <w:r w:rsidR="00B66A9B">
        <w:rPr>
          <w:sz w:val="24"/>
        </w:rPr>
        <w:t>such as in the case of</w:t>
      </w:r>
      <w:r w:rsidR="00D26876">
        <w:rPr>
          <w:sz w:val="24"/>
        </w:rPr>
        <w:t xml:space="preserve"> the</w:t>
      </w:r>
      <w:r w:rsidR="00B66A9B">
        <w:rPr>
          <w:sz w:val="24"/>
        </w:rPr>
        <w:t xml:space="preserve"> ALP sample weights, </w:t>
      </w:r>
      <w:r w:rsidR="00821923" w:rsidRPr="00821923">
        <w:rPr>
          <w:sz w:val="24"/>
        </w:rPr>
        <w:t xml:space="preserve">then the weights will vary </w:t>
      </w:r>
      <w:r w:rsidR="00821923">
        <w:rPr>
          <w:sz w:val="24"/>
        </w:rPr>
        <w:t xml:space="preserve">across households </w:t>
      </w:r>
      <w:r w:rsidR="00821923" w:rsidRPr="00821923">
        <w:rPr>
          <w:sz w:val="24"/>
        </w:rPr>
        <w:t xml:space="preserve">within </w:t>
      </w:r>
      <w:r w:rsidR="00821923">
        <w:rPr>
          <w:sz w:val="24"/>
        </w:rPr>
        <w:t xml:space="preserve">each </w:t>
      </w:r>
      <w:r w:rsidR="00821923" w:rsidRPr="00821923">
        <w:rPr>
          <w:sz w:val="24"/>
        </w:rPr>
        <w:t>strat</w:t>
      </w:r>
      <w:r w:rsidR="00821923">
        <w:rPr>
          <w:sz w:val="24"/>
        </w:rPr>
        <w:t>um</w:t>
      </w:r>
      <w:r w:rsidR="00821923" w:rsidRPr="00821923">
        <w:rPr>
          <w:sz w:val="24"/>
        </w:rPr>
        <w:t>.</w:t>
      </w:r>
      <w:r w:rsidR="00821923" w:rsidRPr="00821923">
        <w:rPr>
          <w:szCs w:val="20"/>
          <w:vertAlign w:val="superscript"/>
        </w:rPr>
        <w:t xml:space="preserve"> </w:t>
      </w:r>
    </w:p>
    <w:p w14:paraId="3E4A2A4A" w14:textId="77777777" w:rsidR="00172D3F" w:rsidRDefault="00172D3F" w:rsidP="005A1311">
      <w:pPr>
        <w:rPr>
          <w:sz w:val="24"/>
        </w:rPr>
      </w:pPr>
    </w:p>
    <w:p w14:paraId="3E45296E" w14:textId="77777777" w:rsidR="005324FF" w:rsidRDefault="005324FF" w:rsidP="005A1311">
      <w:pPr>
        <w:rPr>
          <w:sz w:val="24"/>
        </w:rPr>
      </w:pPr>
      <w:r>
        <w:rPr>
          <w:sz w:val="24"/>
        </w:rPr>
        <w:t xml:space="preserve">Now consider estimation of the population total for the variable </w:t>
      </w:r>
      <w:r w:rsidRPr="00944E1A">
        <w:rPr>
          <w:i/>
          <w:sz w:val="24"/>
        </w:rPr>
        <w:t>Y</w:t>
      </w:r>
      <w:r>
        <w:rPr>
          <w:sz w:val="24"/>
        </w:rPr>
        <w:t>.</w:t>
      </w:r>
      <w:r w:rsidRPr="005324FF">
        <w:rPr>
          <w:szCs w:val="20"/>
          <w:vertAlign w:val="superscript"/>
        </w:rPr>
        <w:t xml:space="preserve"> </w:t>
      </w:r>
      <w:r w:rsidRPr="00C1088C">
        <w:rPr>
          <w:szCs w:val="20"/>
          <w:vertAlign w:val="superscript"/>
        </w:rPr>
        <w:footnoteReference w:id="7"/>
      </w:r>
      <w:r>
        <w:rPr>
          <w:sz w:val="24"/>
        </w:rPr>
        <w:t xml:space="preserve">  Let </w:t>
      </w:r>
      <w:r>
        <w:rPr>
          <w:i/>
          <w:sz w:val="24"/>
        </w:rPr>
        <w:t>y</w:t>
      </w:r>
      <w:r w:rsidRPr="001C18A9">
        <w:rPr>
          <w:i/>
          <w:sz w:val="24"/>
          <w:vertAlign w:val="subscript"/>
        </w:rPr>
        <w:t>hi</w:t>
      </w:r>
      <w:r w:rsidRPr="001C18A9">
        <w:rPr>
          <w:sz w:val="24"/>
          <w:vertAlign w:val="subscript"/>
        </w:rPr>
        <w:t xml:space="preserve"> </w:t>
      </w:r>
      <w:r>
        <w:rPr>
          <w:sz w:val="24"/>
        </w:rPr>
        <w:t xml:space="preserve">denote the value of </w:t>
      </w:r>
      <w:r w:rsidRPr="001C18A9">
        <w:rPr>
          <w:i/>
          <w:sz w:val="24"/>
        </w:rPr>
        <w:t>Y</w:t>
      </w:r>
      <w:r>
        <w:rPr>
          <w:sz w:val="24"/>
        </w:rPr>
        <w:t xml:space="preserve"> for the </w:t>
      </w:r>
      <w:r w:rsidR="00E570B9" w:rsidRPr="00944E1A">
        <w:rPr>
          <w:i/>
          <w:sz w:val="24"/>
        </w:rPr>
        <w:t>i</w:t>
      </w:r>
      <w:r w:rsidR="00E570B9">
        <w:rPr>
          <w:sz w:val="24"/>
        </w:rPr>
        <w:t xml:space="preserve">th </w:t>
      </w:r>
      <w:r>
        <w:rPr>
          <w:sz w:val="24"/>
        </w:rPr>
        <w:t xml:space="preserve">household in stratum </w:t>
      </w:r>
      <w:r w:rsidRPr="001C18A9">
        <w:rPr>
          <w:i/>
          <w:sz w:val="24"/>
        </w:rPr>
        <w:t>h</w:t>
      </w:r>
      <w:r>
        <w:rPr>
          <w:sz w:val="24"/>
        </w:rPr>
        <w:t xml:space="preserve">, </w:t>
      </w:r>
      <w:r w:rsidRPr="001C18A9">
        <w:rPr>
          <w:i/>
          <w:sz w:val="24"/>
        </w:rPr>
        <w:t>i=1,…</w:t>
      </w:r>
      <w:r w:rsidR="006F2BB7">
        <w:rPr>
          <w:i/>
          <w:sz w:val="24"/>
        </w:rPr>
        <w:t>,</w:t>
      </w:r>
      <w:r>
        <w:rPr>
          <w:i/>
          <w:sz w:val="24"/>
        </w:rPr>
        <w:t>n</w:t>
      </w:r>
      <w:r w:rsidRPr="001C18A9">
        <w:rPr>
          <w:i/>
          <w:sz w:val="24"/>
          <w:vertAlign w:val="subscript"/>
        </w:rPr>
        <w:t>h</w:t>
      </w:r>
      <w:r>
        <w:rPr>
          <w:sz w:val="24"/>
        </w:rPr>
        <w:t xml:space="preserve">.  </w:t>
      </w:r>
      <w:r w:rsidR="00E570B9">
        <w:rPr>
          <w:sz w:val="24"/>
        </w:rPr>
        <w:t xml:space="preserve"> The estimator for the population </w:t>
      </w:r>
      <w:r w:rsidR="00964282">
        <w:rPr>
          <w:sz w:val="24"/>
        </w:rPr>
        <w:t xml:space="preserve">total </w:t>
      </w:r>
      <w:r w:rsidR="00E570B9">
        <w:rPr>
          <w:sz w:val="24"/>
        </w:rPr>
        <w:t>of Y is</w:t>
      </w:r>
    </w:p>
    <w:p w14:paraId="7E5344E9" w14:textId="77777777" w:rsidR="00E570B9" w:rsidRDefault="00447F4B" w:rsidP="005A1311">
      <w:pPr>
        <w:rPr>
          <w:sz w:val="24"/>
        </w:rPr>
      </w:pPr>
      <m:oMathPara>
        <m:oMath>
          <m:acc>
            <m:accPr>
              <m:ctrlPr>
                <w:rPr>
                  <w:rFonts w:ascii="Cambria Math" w:hAnsi="Cambria Math"/>
                  <w:i/>
                  <w:sz w:val="24"/>
                </w:rPr>
              </m:ctrlPr>
            </m:accPr>
            <m:e>
              <m:r>
                <w:rPr>
                  <w:rFonts w:ascii="Cambria Math" w:hAnsi="Cambria Math"/>
                  <w:sz w:val="24"/>
                </w:rPr>
                <m:t>Y</m:t>
              </m:r>
            </m:e>
          </m:acc>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h=</m:t>
              </m:r>
              <m:r>
                <w:rPr>
                  <w:rFonts w:ascii="Cambria Math" w:hAnsi="Cambria Math"/>
                  <w:sz w:val="24"/>
                </w:rPr>
                <m:t>1</m:t>
              </m:r>
            </m:sub>
            <m:sup>
              <m:r>
                <w:rPr>
                  <w:rFonts w:ascii="Cambria Math" w:hAnsi="Cambria Math"/>
                  <w:sz w:val="24"/>
                </w:rPr>
                <m:t>5</m:t>
              </m:r>
            </m:sup>
            <m:e>
              <m:nary>
                <m:naryPr>
                  <m:chr m:val="∑"/>
                  <m:limLoc m:val="undOvr"/>
                  <m:ctrlPr>
                    <w:rPr>
                      <w:rFonts w:ascii="Cambria Math" w:hAnsi="Cambria Math"/>
                      <w:i/>
                      <w:sz w:val="24"/>
                    </w:rPr>
                  </m:ctrlPr>
                </m:naryPr>
                <m:sub>
                  <m:r>
                    <w:rPr>
                      <w:rFonts w:ascii="Cambria Math" w:hAnsi="Cambria Math"/>
                      <w:sz w:val="24"/>
                    </w:rPr>
                    <m:t>i=1</m:t>
                  </m:r>
                </m:sub>
                <m:sup>
                  <m:sSub>
                    <m:sSubPr>
                      <m:ctrlPr>
                        <w:rPr>
                          <w:rFonts w:ascii="Cambria Math" w:hAnsi="Cambria Math"/>
                          <w:i/>
                          <w:sz w:val="24"/>
                        </w:rPr>
                      </m:ctrlPr>
                    </m:sSubPr>
                    <m:e>
                      <m:r>
                        <w:rPr>
                          <w:rFonts w:ascii="Cambria Math" w:hAnsi="Cambria Math"/>
                          <w:sz w:val="24"/>
                        </w:rPr>
                        <m:t>n</m:t>
                      </m:r>
                    </m:e>
                    <m:sub>
                      <m:r>
                        <w:rPr>
                          <w:rFonts w:ascii="Cambria Math" w:hAnsi="Cambria Math"/>
                          <w:sz w:val="24"/>
                        </w:rPr>
                        <m:t>h</m:t>
                      </m:r>
                    </m:sub>
                  </m:sSub>
                </m:sup>
                <m:e>
                  <m:sSub>
                    <m:sSubPr>
                      <m:ctrlPr>
                        <w:rPr>
                          <w:rFonts w:ascii="Cambria Math" w:hAnsi="Cambria Math"/>
                          <w:i/>
                          <w:sz w:val="24"/>
                        </w:rPr>
                      </m:ctrlPr>
                    </m:sSubPr>
                    <m:e>
                      <m:r>
                        <w:rPr>
                          <w:rFonts w:ascii="Cambria Math" w:hAnsi="Cambria Math"/>
                          <w:sz w:val="24"/>
                        </w:rPr>
                        <m:t>w</m:t>
                      </m:r>
                    </m:e>
                    <m:sub>
                      <m:r>
                        <w:rPr>
                          <w:rFonts w:ascii="Cambria Math" w:hAnsi="Cambria Math"/>
                          <w:sz w:val="24"/>
                        </w:rPr>
                        <m:t>hi</m:t>
                      </m:r>
                    </m:sub>
                  </m:sSub>
                  <m:sSub>
                    <m:sSubPr>
                      <m:ctrlPr>
                        <w:rPr>
                          <w:rFonts w:ascii="Cambria Math" w:hAnsi="Cambria Math"/>
                          <w:i/>
                          <w:sz w:val="24"/>
                        </w:rPr>
                      </m:ctrlPr>
                    </m:sSubPr>
                    <m:e>
                      <m:r>
                        <w:rPr>
                          <w:rFonts w:ascii="Cambria Math" w:hAnsi="Cambria Math"/>
                          <w:sz w:val="24"/>
                        </w:rPr>
                        <m:t>y</m:t>
                      </m:r>
                    </m:e>
                    <m:sub>
                      <m:r>
                        <w:rPr>
                          <w:rFonts w:ascii="Cambria Math" w:hAnsi="Cambria Math"/>
                          <w:sz w:val="24"/>
                        </w:rPr>
                        <m:t>hi</m:t>
                      </m:r>
                    </m:sub>
                  </m:sSub>
                </m:e>
              </m:nary>
            </m:e>
          </m:nary>
        </m:oMath>
      </m:oMathPara>
    </w:p>
    <w:p w14:paraId="5B87AAAF" w14:textId="77777777" w:rsidR="00E570B9" w:rsidRDefault="006342D4" w:rsidP="005A1311">
      <w:pPr>
        <w:rPr>
          <w:sz w:val="24"/>
        </w:rPr>
      </w:pPr>
      <w:r>
        <w:rPr>
          <w:sz w:val="24"/>
        </w:rPr>
        <w:t xml:space="preserve">The estimator for the variance of </w:t>
      </w:r>
      <m:oMath>
        <m:acc>
          <m:accPr>
            <m:ctrlPr>
              <w:rPr>
                <w:rFonts w:ascii="Cambria Math" w:hAnsi="Cambria Math"/>
                <w:i/>
                <w:sz w:val="24"/>
              </w:rPr>
            </m:ctrlPr>
          </m:accPr>
          <m:e>
            <m:r>
              <w:rPr>
                <w:rFonts w:ascii="Cambria Math" w:hAnsi="Cambria Math"/>
                <w:sz w:val="24"/>
              </w:rPr>
              <m:t>Y</m:t>
            </m:r>
          </m:e>
        </m:acc>
      </m:oMath>
      <w:r>
        <w:rPr>
          <w:sz w:val="24"/>
        </w:rPr>
        <w:t xml:space="preserve"> is</w:t>
      </w:r>
    </w:p>
    <w:p w14:paraId="7EABE824" w14:textId="77777777" w:rsidR="006342D4" w:rsidRDefault="00447F4B" w:rsidP="005A1311">
      <w:pPr>
        <w:rPr>
          <w:sz w:val="24"/>
        </w:rPr>
      </w:pPr>
      <m:oMathPara>
        <m:oMath>
          <m:acc>
            <m:accPr>
              <m:ctrlPr>
                <w:rPr>
                  <w:rFonts w:ascii="Cambria Math" w:hAnsi="Cambria Math"/>
                  <w:i/>
                  <w:sz w:val="24"/>
                </w:rPr>
              </m:ctrlPr>
            </m:accPr>
            <m:e>
              <m:r>
                <w:rPr>
                  <w:rFonts w:ascii="Cambria Math" w:hAnsi="Cambria Math"/>
                  <w:sz w:val="24"/>
                </w:rPr>
                <m:t>V</m:t>
              </m:r>
            </m:e>
          </m:acc>
          <m:d>
            <m:dPr>
              <m:ctrlPr>
                <w:rPr>
                  <w:rFonts w:ascii="Cambria Math" w:hAnsi="Cambria Math"/>
                  <w:i/>
                  <w:sz w:val="24"/>
                </w:rPr>
              </m:ctrlPr>
            </m:dPr>
            <m:e>
              <m:acc>
                <m:accPr>
                  <m:ctrlPr>
                    <w:rPr>
                      <w:rFonts w:ascii="Cambria Math" w:hAnsi="Cambria Math"/>
                      <w:i/>
                      <w:sz w:val="24"/>
                    </w:rPr>
                  </m:ctrlPr>
                </m:accPr>
                <m:e>
                  <m:r>
                    <w:rPr>
                      <w:rFonts w:ascii="Cambria Math" w:hAnsi="Cambria Math"/>
                      <w:sz w:val="24"/>
                    </w:rPr>
                    <m:t>Y</m:t>
                  </m:r>
                </m:e>
              </m:acc>
            </m:e>
          </m:d>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h=</m:t>
              </m:r>
              <m:r>
                <w:rPr>
                  <w:rFonts w:ascii="Cambria Math" w:hAnsi="Cambria Math"/>
                  <w:sz w:val="24"/>
                </w:rPr>
                <m:t>1</m:t>
              </m:r>
            </m:sub>
            <m:sup>
              <m:r>
                <w:rPr>
                  <w:rFonts w:ascii="Cambria Math" w:hAnsi="Cambria Math"/>
                  <w:sz w:val="24"/>
                </w:rPr>
                <m:t>5</m:t>
              </m:r>
            </m:sup>
            <m:e>
              <m:d>
                <m:dPr>
                  <m:ctrlPr>
                    <w:rPr>
                      <w:rFonts w:ascii="Cambria Math" w:hAnsi="Cambria Math"/>
                      <w:i/>
                      <w:sz w:val="24"/>
                    </w:rPr>
                  </m:ctrlPr>
                </m:dPr>
                <m:e>
                  <m:r>
                    <w:rPr>
                      <w:rFonts w:ascii="Cambria Math" w:hAnsi="Cambria Math"/>
                      <w:sz w:val="24"/>
                    </w:rPr>
                    <m:t>1-</m:t>
                  </m:r>
                  <m:sSub>
                    <m:sSubPr>
                      <m:ctrlPr>
                        <w:rPr>
                          <w:rFonts w:ascii="Cambria Math" w:hAnsi="Cambria Math"/>
                          <w:i/>
                          <w:sz w:val="24"/>
                        </w:rPr>
                      </m:ctrlPr>
                    </m:sSubPr>
                    <m:e>
                      <m:r>
                        <w:rPr>
                          <w:rFonts w:ascii="Cambria Math" w:hAnsi="Cambria Math"/>
                          <w:sz w:val="24"/>
                        </w:rPr>
                        <m:t>f</m:t>
                      </m:r>
                    </m:e>
                    <m:sub>
                      <m:r>
                        <w:rPr>
                          <w:rFonts w:ascii="Cambria Math" w:hAnsi="Cambria Math"/>
                          <w:sz w:val="24"/>
                        </w:rPr>
                        <m:t>h</m:t>
                      </m:r>
                    </m:sub>
                  </m:sSub>
                </m:e>
              </m:d>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n</m:t>
                      </m:r>
                    </m:e>
                    <m:sub>
                      <m:r>
                        <w:rPr>
                          <w:rFonts w:ascii="Cambria Math" w:hAnsi="Cambria Math"/>
                          <w:sz w:val="24"/>
                        </w:rPr>
                        <m:t>h</m:t>
                      </m:r>
                    </m:sub>
                  </m:sSub>
                  <m:r>
                    <w:rPr>
                      <w:rFonts w:ascii="Cambria Math" w:hAnsi="Cambria Math"/>
                      <w:sz w:val="24"/>
                    </w:rPr>
                    <m:t>-1</m:t>
                  </m:r>
                </m:den>
              </m:f>
              <m:nary>
                <m:naryPr>
                  <m:chr m:val="∑"/>
                  <m:limLoc m:val="undOvr"/>
                  <m:ctrlPr>
                    <w:rPr>
                      <w:rFonts w:ascii="Cambria Math" w:hAnsi="Cambria Math"/>
                      <w:i/>
                      <w:sz w:val="24"/>
                    </w:rPr>
                  </m:ctrlPr>
                </m:naryPr>
                <m:sub>
                  <m:r>
                    <w:rPr>
                      <w:rFonts w:ascii="Cambria Math" w:hAnsi="Cambria Math"/>
                      <w:sz w:val="24"/>
                    </w:rPr>
                    <m:t>i=1</m:t>
                  </m:r>
                </m:sub>
                <m:sup>
                  <m:sSub>
                    <m:sSubPr>
                      <m:ctrlPr>
                        <w:rPr>
                          <w:rFonts w:ascii="Cambria Math" w:hAnsi="Cambria Math"/>
                          <w:i/>
                          <w:sz w:val="24"/>
                        </w:rPr>
                      </m:ctrlPr>
                    </m:sSubPr>
                    <m:e>
                      <m:r>
                        <w:rPr>
                          <w:rFonts w:ascii="Cambria Math" w:hAnsi="Cambria Math"/>
                          <w:sz w:val="24"/>
                        </w:rPr>
                        <m:t>n</m:t>
                      </m:r>
                    </m:e>
                    <m:sub>
                      <m:r>
                        <w:rPr>
                          <w:rFonts w:ascii="Cambria Math" w:hAnsi="Cambria Math"/>
                          <w:sz w:val="24"/>
                        </w:rPr>
                        <m:t>h</m:t>
                      </m:r>
                    </m:sub>
                  </m:sSub>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y</m:t>
                              </m:r>
                            </m:e>
                            <m:sub>
                              <m:r>
                                <w:rPr>
                                  <w:rFonts w:ascii="Cambria Math" w:hAnsi="Cambria Math"/>
                                  <w:sz w:val="24"/>
                                </w:rPr>
                                <m:t>hi</m:t>
                              </m:r>
                            </m:sub>
                          </m:sSub>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y</m:t>
                                  </m:r>
                                </m:e>
                                <m:sub>
                                  <m:r>
                                    <w:rPr>
                                      <w:rFonts w:ascii="Cambria Math" w:hAnsi="Cambria Math"/>
                                      <w:sz w:val="24"/>
                                    </w:rPr>
                                    <m:t>h</m:t>
                                  </m:r>
                                </m:sub>
                              </m:sSub>
                            </m:e>
                          </m:acc>
                        </m:e>
                      </m:d>
                    </m:e>
                    <m:sup>
                      <m:r>
                        <w:rPr>
                          <w:rFonts w:ascii="Cambria Math" w:hAnsi="Cambria Math"/>
                          <w:sz w:val="24"/>
                        </w:rPr>
                        <m:t>2</m:t>
                      </m:r>
                    </m:sup>
                  </m:sSup>
                </m:e>
              </m:nary>
            </m:e>
          </m:nary>
        </m:oMath>
      </m:oMathPara>
    </w:p>
    <w:p w14:paraId="23F5B4DA" w14:textId="77777777" w:rsidR="005324FF" w:rsidRDefault="005324FF" w:rsidP="005A1311">
      <w:pPr>
        <w:rPr>
          <w:sz w:val="24"/>
        </w:rPr>
      </w:pPr>
    </w:p>
    <w:p w14:paraId="2427C7C5" w14:textId="77777777" w:rsidR="006342D4" w:rsidRDefault="006342D4" w:rsidP="005A1311">
      <w:pPr>
        <w:rPr>
          <w:sz w:val="24"/>
        </w:rPr>
      </w:pPr>
      <w:r>
        <w:rPr>
          <w:sz w:val="24"/>
        </w:rPr>
        <w:t xml:space="preserve">where </w:t>
      </w: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y</m:t>
                </m:r>
              </m:e>
              <m:sub>
                <m:r>
                  <w:rPr>
                    <w:rFonts w:ascii="Cambria Math" w:hAnsi="Cambria Math"/>
                    <w:sz w:val="24"/>
                  </w:rPr>
                  <m:t>h</m:t>
                </m:r>
              </m:sub>
            </m:sSub>
          </m:e>
        </m:acc>
      </m:oMath>
      <w:r>
        <w:rPr>
          <w:sz w:val="24"/>
        </w:rPr>
        <w:t xml:space="preserve"> is the </w:t>
      </w:r>
      <w:r w:rsidR="00F97B55">
        <w:rPr>
          <w:sz w:val="24"/>
        </w:rPr>
        <w:t>weighted sample mean for</w:t>
      </w:r>
      <w:r>
        <w:rPr>
          <w:sz w:val="24"/>
        </w:rPr>
        <w:t xml:space="preserve"> stratum </w:t>
      </w:r>
      <w:r w:rsidRPr="00944E1A">
        <w:rPr>
          <w:i/>
          <w:sz w:val="24"/>
        </w:rPr>
        <w:t>h</w:t>
      </w:r>
      <w:r>
        <w:rPr>
          <w:sz w:val="24"/>
        </w:rPr>
        <w:t xml:space="preserve"> and </w:t>
      </w:r>
      <w:r w:rsidRPr="00944E1A">
        <w:rPr>
          <w:i/>
          <w:sz w:val="24"/>
        </w:rPr>
        <w:t>f</w:t>
      </w:r>
      <w:r w:rsidRPr="00944E1A">
        <w:rPr>
          <w:i/>
          <w:sz w:val="24"/>
          <w:vertAlign w:val="subscript"/>
        </w:rPr>
        <w:t>h</w:t>
      </w:r>
      <w:r>
        <w:rPr>
          <w:sz w:val="24"/>
        </w:rPr>
        <w:t xml:space="preserve"> is the stratum-</w:t>
      </w:r>
      <w:r w:rsidRPr="00944E1A">
        <w:rPr>
          <w:i/>
          <w:sz w:val="24"/>
        </w:rPr>
        <w:t>h</w:t>
      </w:r>
      <w:r>
        <w:rPr>
          <w:sz w:val="24"/>
        </w:rPr>
        <w:t xml:space="preserve"> sampling rate.  In our case, </w:t>
      </w:r>
      <w:r w:rsidRPr="00944E1A">
        <w:rPr>
          <w:i/>
          <w:sz w:val="24"/>
        </w:rPr>
        <w:t>f</w:t>
      </w:r>
      <w:r w:rsidRPr="00944E1A">
        <w:rPr>
          <w:i/>
          <w:sz w:val="24"/>
          <w:vertAlign w:val="subscript"/>
        </w:rPr>
        <w:t>h</w:t>
      </w:r>
      <w:r>
        <w:rPr>
          <w:sz w:val="24"/>
        </w:rPr>
        <w:t xml:space="preserve"> </w:t>
      </w:r>
      <w:r w:rsidR="00F97B55">
        <w:rPr>
          <w:sz w:val="24"/>
        </w:rPr>
        <w:t xml:space="preserve">is </w:t>
      </w:r>
      <w:r>
        <w:rPr>
          <w:sz w:val="24"/>
        </w:rPr>
        <w:t>close to 0 and this “finite population correction” (1-</w:t>
      </w:r>
      <w:r w:rsidRPr="006342D4">
        <w:rPr>
          <w:i/>
          <w:sz w:val="24"/>
        </w:rPr>
        <w:t xml:space="preserve"> </w:t>
      </w:r>
      <w:r w:rsidRPr="003F4266">
        <w:rPr>
          <w:i/>
          <w:sz w:val="24"/>
        </w:rPr>
        <w:t>f</w:t>
      </w:r>
      <w:r w:rsidRPr="003F4266">
        <w:rPr>
          <w:i/>
          <w:sz w:val="24"/>
          <w:vertAlign w:val="subscript"/>
        </w:rPr>
        <w:t>h</w:t>
      </w:r>
      <w:r>
        <w:rPr>
          <w:sz w:val="24"/>
        </w:rPr>
        <w:t>) may be ignored.</w:t>
      </w:r>
    </w:p>
    <w:p w14:paraId="2527895D" w14:textId="77777777" w:rsidR="006342D4" w:rsidRDefault="006342D4" w:rsidP="005A1311">
      <w:pPr>
        <w:rPr>
          <w:sz w:val="24"/>
        </w:rPr>
      </w:pPr>
    </w:p>
    <w:p w14:paraId="78CD827C" w14:textId="77777777" w:rsidR="005A1311" w:rsidRDefault="00F97B55" w:rsidP="005A1311">
      <w:pPr>
        <w:rPr>
          <w:sz w:val="24"/>
        </w:rPr>
      </w:pPr>
      <w:r w:rsidRPr="005A1311">
        <w:rPr>
          <w:sz w:val="24"/>
        </w:rPr>
        <w:t xml:space="preserve">Analogous formulas apply to other estimators, such as </w:t>
      </w:r>
      <w:r>
        <w:rPr>
          <w:sz w:val="24"/>
        </w:rPr>
        <w:t xml:space="preserve">sample means and </w:t>
      </w:r>
      <w:r w:rsidRPr="005A1311">
        <w:rPr>
          <w:sz w:val="24"/>
        </w:rPr>
        <w:t>regression coefficients</w:t>
      </w:r>
      <w:r w:rsidR="00B66A9B">
        <w:rPr>
          <w:sz w:val="24"/>
        </w:rPr>
        <w:t>.</w:t>
      </w:r>
      <w:r>
        <w:rPr>
          <w:sz w:val="24"/>
        </w:rPr>
        <w:t xml:space="preserve"> </w:t>
      </w:r>
      <w:r w:rsidR="00FE22E1">
        <w:rPr>
          <w:sz w:val="24"/>
        </w:rPr>
        <w:t>As noted above, s</w:t>
      </w:r>
      <w:r>
        <w:rPr>
          <w:sz w:val="24"/>
        </w:rPr>
        <w:t>ee Wooldridge (2002, p.594</w:t>
      </w:r>
      <w:r w:rsidR="00FE22E1">
        <w:rPr>
          <w:sz w:val="24"/>
        </w:rPr>
        <w:t>) for a</w:t>
      </w:r>
      <w:r>
        <w:rPr>
          <w:sz w:val="24"/>
        </w:rPr>
        <w:t xml:space="preserve"> representation of the variance-covariance matrix for weighted least squares regression coefficients.  To construct confidence intervals, one proceeds in the usual manner. </w:t>
      </w:r>
      <w:r w:rsidR="00FE22E1">
        <w:rPr>
          <w:sz w:val="24"/>
        </w:rPr>
        <w:t xml:space="preserve"> </w:t>
      </w:r>
      <w:r>
        <w:rPr>
          <w:sz w:val="24"/>
        </w:rPr>
        <w:t>For instance, a</w:t>
      </w:r>
      <w:r w:rsidR="005A1311" w:rsidRPr="005A1311">
        <w:rPr>
          <w:sz w:val="24"/>
        </w:rPr>
        <w:t>fter compu</w:t>
      </w:r>
      <w:r>
        <w:rPr>
          <w:sz w:val="24"/>
        </w:rPr>
        <w:t>ting the weighted sample mean</w:t>
      </w:r>
      <w:r w:rsidR="00B66A9B">
        <w:rPr>
          <w:sz w:val="24"/>
        </w:rPr>
        <w:t xml:space="preserve"> of the values </w:t>
      </w:r>
      <w:r w:rsidR="00B66A9B" w:rsidRPr="00944E1A">
        <w:rPr>
          <w:i/>
          <w:sz w:val="24"/>
        </w:rPr>
        <w:t>y</w:t>
      </w:r>
      <w:r w:rsidR="00B66A9B" w:rsidRPr="00944E1A">
        <w:rPr>
          <w:i/>
          <w:sz w:val="24"/>
          <w:vertAlign w:val="subscript"/>
        </w:rPr>
        <w:t>hi</w:t>
      </w:r>
      <w:r w:rsidR="00B66A9B">
        <w:rPr>
          <w:sz w:val="24"/>
        </w:rPr>
        <w:t xml:space="preserve">, denoted </w:t>
      </w:r>
      <m:oMath>
        <m:acc>
          <m:accPr>
            <m:ctrlPr>
              <w:rPr>
                <w:rFonts w:ascii="Cambria Math" w:hAnsi="Cambria Math"/>
                <w:i/>
                <w:sz w:val="24"/>
              </w:rPr>
            </m:ctrlPr>
          </m:accPr>
          <m:e>
            <m:r>
              <w:rPr>
                <w:rFonts w:ascii="Cambria Math" w:hAnsi="Cambria Math"/>
                <w:sz w:val="24"/>
              </w:rPr>
              <m:t>μ</m:t>
            </m:r>
          </m:e>
        </m:acc>
      </m:oMath>
      <w:r w:rsidR="00B66A9B">
        <w:rPr>
          <w:sz w:val="24"/>
        </w:rPr>
        <w:t xml:space="preserve">, </w:t>
      </w:r>
      <w:r w:rsidR="003257EE">
        <w:rPr>
          <w:sz w:val="24"/>
        </w:rPr>
        <w:t xml:space="preserve">then </w:t>
      </w:r>
      <w:r w:rsidR="00B66A9B">
        <w:rPr>
          <w:sz w:val="24"/>
        </w:rPr>
        <w:t>an approximate</w:t>
      </w:r>
      <w:r w:rsidR="005A1311" w:rsidRPr="005A1311">
        <w:rPr>
          <w:sz w:val="24"/>
        </w:rPr>
        <w:t xml:space="preserve"> 95%</w:t>
      </w:r>
      <w:r w:rsidR="003257EE">
        <w:rPr>
          <w:sz w:val="24"/>
        </w:rPr>
        <w:t>-</w:t>
      </w:r>
      <w:r w:rsidR="005A1311" w:rsidRPr="005A1311">
        <w:rPr>
          <w:sz w:val="24"/>
        </w:rPr>
        <w:t>confidence inter</w:t>
      </w:r>
      <w:r>
        <w:rPr>
          <w:sz w:val="24"/>
        </w:rPr>
        <w:t xml:space="preserve">val for the population mean of </w:t>
      </w:r>
      <w:r w:rsidR="00B66A9B">
        <w:rPr>
          <w:sz w:val="24"/>
        </w:rPr>
        <w:t>Y</w:t>
      </w:r>
      <w:r w:rsidR="005A1311" w:rsidRPr="005A1311">
        <w:rPr>
          <w:sz w:val="24"/>
        </w:rPr>
        <w:t xml:space="preserve"> will be given by:</w:t>
      </w:r>
      <w:r w:rsidR="00B66A9B">
        <w:rPr>
          <w:sz w:val="24"/>
        </w:rPr>
        <w:t xml:space="preserve"> </w:t>
      </w:r>
    </w:p>
    <w:p w14:paraId="7F13B6BE" w14:textId="77777777" w:rsidR="00B66A9B" w:rsidRPr="005A1311" w:rsidRDefault="00447F4B" w:rsidP="005A1311">
      <w:pPr>
        <w:rPr>
          <w:sz w:val="24"/>
        </w:rPr>
      </w:pPr>
      <m:oMathPara>
        <m:oMath>
          <m:acc>
            <m:accPr>
              <m:ctrlPr>
                <w:rPr>
                  <w:rFonts w:ascii="Cambria Math" w:hAnsi="Cambria Math"/>
                  <w:i/>
                  <w:sz w:val="24"/>
                </w:rPr>
              </m:ctrlPr>
            </m:accPr>
            <m:e>
              <m:r>
                <w:rPr>
                  <w:rFonts w:ascii="Cambria Math" w:hAnsi="Cambria Math"/>
                  <w:sz w:val="24"/>
                </w:rPr>
                <m:t>μ</m:t>
              </m:r>
            </m:e>
          </m:acc>
          <m:r>
            <w:rPr>
              <w:rFonts w:ascii="Cambria Math" w:hAnsi="Cambria Math"/>
              <w:sz w:val="24"/>
            </w:rPr>
            <m:t>±1.96∙</m:t>
          </m:r>
          <m:rad>
            <m:radPr>
              <m:degHide m:val="1"/>
              <m:ctrlPr>
                <w:rPr>
                  <w:rFonts w:ascii="Cambria Math" w:hAnsi="Cambria Math"/>
                  <w:i/>
                  <w:sz w:val="24"/>
                </w:rPr>
              </m:ctrlPr>
            </m:radPr>
            <m:deg/>
            <m:e>
              <m:acc>
                <m:accPr>
                  <m:ctrlPr>
                    <w:rPr>
                      <w:rFonts w:ascii="Cambria Math" w:hAnsi="Cambria Math"/>
                      <w:i/>
                      <w:sz w:val="24"/>
                    </w:rPr>
                  </m:ctrlPr>
                </m:accPr>
                <m:e>
                  <m:r>
                    <w:rPr>
                      <w:rFonts w:ascii="Cambria Math" w:hAnsi="Cambria Math"/>
                      <w:sz w:val="24"/>
                    </w:rPr>
                    <m:t>V</m:t>
                  </m:r>
                </m:e>
              </m:acc>
              <m:d>
                <m:dPr>
                  <m:ctrlPr>
                    <w:rPr>
                      <w:rFonts w:ascii="Cambria Math" w:hAnsi="Cambria Math"/>
                      <w:i/>
                      <w:sz w:val="24"/>
                    </w:rPr>
                  </m:ctrlPr>
                </m:dPr>
                <m:e>
                  <m:acc>
                    <m:accPr>
                      <m:ctrlPr>
                        <w:rPr>
                          <w:rFonts w:ascii="Cambria Math" w:hAnsi="Cambria Math"/>
                          <w:i/>
                          <w:sz w:val="24"/>
                        </w:rPr>
                      </m:ctrlPr>
                    </m:accPr>
                    <m:e>
                      <m:r>
                        <w:rPr>
                          <w:rFonts w:ascii="Cambria Math" w:hAnsi="Cambria Math"/>
                          <w:sz w:val="24"/>
                        </w:rPr>
                        <m:t>μ</m:t>
                      </m:r>
                    </m:e>
                  </m:acc>
                </m:e>
              </m:d>
            </m:e>
          </m:rad>
        </m:oMath>
      </m:oMathPara>
    </w:p>
    <w:p w14:paraId="3256A636" w14:textId="77777777" w:rsidR="005A1311" w:rsidRDefault="00B66A9B" w:rsidP="005A1311">
      <w:pPr>
        <w:rPr>
          <w:sz w:val="24"/>
        </w:rPr>
      </w:pPr>
      <w:r>
        <w:rPr>
          <w:sz w:val="24"/>
        </w:rPr>
        <w:t xml:space="preserve">where </w:t>
      </w:r>
      <m:oMath>
        <m:rad>
          <m:radPr>
            <m:degHide m:val="1"/>
            <m:ctrlPr>
              <w:rPr>
                <w:rFonts w:ascii="Cambria Math" w:hAnsi="Cambria Math"/>
                <w:i/>
                <w:sz w:val="24"/>
              </w:rPr>
            </m:ctrlPr>
          </m:radPr>
          <m:deg/>
          <m:e>
            <m:acc>
              <m:accPr>
                <m:ctrlPr>
                  <w:rPr>
                    <w:rFonts w:ascii="Cambria Math" w:hAnsi="Cambria Math"/>
                    <w:i/>
                    <w:sz w:val="24"/>
                  </w:rPr>
                </m:ctrlPr>
              </m:accPr>
              <m:e>
                <m:r>
                  <w:rPr>
                    <w:rFonts w:ascii="Cambria Math" w:hAnsi="Cambria Math"/>
                    <w:sz w:val="24"/>
                  </w:rPr>
                  <m:t>V</m:t>
                </m:r>
              </m:e>
            </m:acc>
            <m:d>
              <m:dPr>
                <m:ctrlPr>
                  <w:rPr>
                    <w:rFonts w:ascii="Cambria Math" w:hAnsi="Cambria Math"/>
                    <w:i/>
                    <w:sz w:val="24"/>
                  </w:rPr>
                </m:ctrlPr>
              </m:dPr>
              <m:e>
                <m:acc>
                  <m:accPr>
                    <m:ctrlPr>
                      <w:rPr>
                        <w:rFonts w:ascii="Cambria Math" w:hAnsi="Cambria Math"/>
                        <w:i/>
                        <w:sz w:val="24"/>
                      </w:rPr>
                    </m:ctrlPr>
                  </m:accPr>
                  <m:e>
                    <m:r>
                      <w:rPr>
                        <w:rFonts w:ascii="Cambria Math" w:hAnsi="Cambria Math"/>
                        <w:sz w:val="24"/>
                      </w:rPr>
                      <m:t>μ</m:t>
                    </m:r>
                  </m:e>
                </m:acc>
              </m:e>
            </m:d>
          </m:e>
        </m:rad>
      </m:oMath>
      <w:r>
        <w:rPr>
          <w:sz w:val="24"/>
        </w:rPr>
        <w:t xml:space="preserve"> is the estimated standard error of </w:t>
      </w:r>
      <m:oMath>
        <m:acc>
          <m:accPr>
            <m:ctrlPr>
              <w:rPr>
                <w:rFonts w:ascii="Cambria Math" w:hAnsi="Cambria Math"/>
                <w:i/>
                <w:sz w:val="24"/>
              </w:rPr>
            </m:ctrlPr>
          </m:accPr>
          <m:e>
            <m:r>
              <w:rPr>
                <w:rFonts w:ascii="Cambria Math" w:hAnsi="Cambria Math"/>
                <w:sz w:val="24"/>
              </w:rPr>
              <m:t>μ</m:t>
            </m:r>
          </m:e>
        </m:acc>
      </m:oMath>
      <w:r>
        <w:rPr>
          <w:sz w:val="24"/>
        </w:rPr>
        <w:t>.</w:t>
      </w:r>
    </w:p>
    <w:p w14:paraId="413343F4" w14:textId="77777777" w:rsidR="00555F5E" w:rsidRPr="00C1088C" w:rsidRDefault="00555F5E" w:rsidP="005A1311">
      <w:pPr>
        <w:rPr>
          <w:sz w:val="24"/>
        </w:rPr>
      </w:pPr>
    </w:p>
    <w:p w14:paraId="66C2B56A" w14:textId="77777777" w:rsidR="00217BB1" w:rsidRPr="00EE452D" w:rsidRDefault="00217BB1" w:rsidP="00A651CF">
      <w:pPr>
        <w:keepNext/>
        <w:spacing w:before="240" w:after="60"/>
        <w:ind w:left="720"/>
        <w:outlineLvl w:val="2"/>
        <w:rPr>
          <w:b/>
          <w:sz w:val="24"/>
        </w:rPr>
      </w:pPr>
      <w:bookmarkStart w:id="32" w:name="_Toc479599196"/>
      <w:r w:rsidRPr="00EE452D">
        <w:rPr>
          <w:b/>
          <w:sz w:val="24"/>
        </w:rPr>
        <w:t>B.4.c. Imputations and Interval Estimates</w:t>
      </w:r>
      <w:bookmarkEnd w:id="32"/>
    </w:p>
    <w:p w14:paraId="56B6922D" w14:textId="77777777" w:rsidR="00C1088C" w:rsidRDefault="00C1088C" w:rsidP="005A1311">
      <w:pPr>
        <w:rPr>
          <w:sz w:val="24"/>
        </w:rPr>
      </w:pPr>
    </w:p>
    <w:p w14:paraId="3512AD0D" w14:textId="77777777" w:rsidR="00ED5B60" w:rsidRDefault="00552993" w:rsidP="005A1311">
      <w:pPr>
        <w:rPr>
          <w:sz w:val="24"/>
        </w:rPr>
      </w:pPr>
      <w:r>
        <w:rPr>
          <w:sz w:val="24"/>
        </w:rPr>
        <w:t xml:space="preserve">The sample weights described above will be calculated under the assumption that unit nonresponse is random conditional on specified covariates.  Similarly, imputations may be made under the assumption that item nonresponse is </w:t>
      </w:r>
      <w:r w:rsidR="00C845CF">
        <w:rPr>
          <w:sz w:val="24"/>
        </w:rPr>
        <w:t xml:space="preserve">conditionally </w:t>
      </w:r>
      <w:r>
        <w:rPr>
          <w:sz w:val="24"/>
        </w:rPr>
        <w:t>random.</w:t>
      </w:r>
      <w:r w:rsidR="00EB7F8C">
        <w:rPr>
          <w:sz w:val="24"/>
        </w:rPr>
        <w:t xml:space="preserve">  Sample weights and imputations may then be used to calculate point estimates of population parameters of interest and to construct confidence intervals around these po</w:t>
      </w:r>
      <w:r w:rsidR="00C845CF">
        <w:rPr>
          <w:sz w:val="24"/>
        </w:rPr>
        <w:t>int estimates</w:t>
      </w:r>
      <w:r w:rsidR="00EB7F8C">
        <w:rPr>
          <w:sz w:val="24"/>
        </w:rPr>
        <w:t>.</w:t>
      </w:r>
      <w:r w:rsidR="00ED5B60">
        <w:rPr>
          <w:sz w:val="24"/>
        </w:rPr>
        <w:t xml:space="preserve">  However, these assumptions on unit and item nonresponse may lack credibility, as will the point estimates and confidence intervals that rely on these assumptions.</w:t>
      </w:r>
    </w:p>
    <w:p w14:paraId="2885AA5C" w14:textId="77777777" w:rsidR="00ED5B60" w:rsidRDefault="00ED5B60" w:rsidP="005A1311">
      <w:pPr>
        <w:rPr>
          <w:sz w:val="24"/>
        </w:rPr>
      </w:pPr>
    </w:p>
    <w:p w14:paraId="2AE54EB6" w14:textId="77777777" w:rsidR="00AA4A94" w:rsidRPr="00D17AFF" w:rsidRDefault="00ED5B60" w:rsidP="005A1311">
      <w:pPr>
        <w:rPr>
          <w:sz w:val="24"/>
        </w:rPr>
      </w:pPr>
      <w:r w:rsidRPr="00D17AFF">
        <w:rPr>
          <w:sz w:val="24"/>
        </w:rPr>
        <w:t>Interval estimates that place no assumptions on the values of missing data have maximal credibility.  Yet these interval estimates may be excessively conservative if something is known about the nature of nonresponse</w:t>
      </w:r>
      <w:r w:rsidR="00CB5136">
        <w:rPr>
          <w:sz w:val="24"/>
        </w:rPr>
        <w:t>.</w:t>
      </w:r>
      <w:r w:rsidR="00D17AFF" w:rsidRPr="00CB5136">
        <w:rPr>
          <w:sz w:val="24"/>
        </w:rPr>
        <w:t xml:space="preserve"> </w:t>
      </w:r>
      <w:r w:rsidR="00CB5136">
        <w:rPr>
          <w:sz w:val="24"/>
        </w:rPr>
        <w:t xml:space="preserve"> </w:t>
      </w:r>
      <w:r w:rsidR="00D17AFF" w:rsidRPr="00CB5136">
        <w:rPr>
          <w:sz w:val="24"/>
        </w:rPr>
        <w:t>As d</w:t>
      </w:r>
      <w:r w:rsidR="00D17AFF">
        <w:rPr>
          <w:sz w:val="24"/>
        </w:rPr>
        <w:t>escribed above in</w:t>
      </w:r>
      <w:r w:rsidR="00585FE5">
        <w:rPr>
          <w:sz w:val="24"/>
        </w:rPr>
        <w:t xml:space="preserve"> the discussion of the Initial Participant Survey Report in</w:t>
      </w:r>
      <w:r w:rsidR="00D17AFF">
        <w:rPr>
          <w:sz w:val="24"/>
        </w:rPr>
        <w:t xml:space="preserve"> Section B.2</w:t>
      </w:r>
      <w:r w:rsidR="00CB5136">
        <w:rPr>
          <w:sz w:val="24"/>
        </w:rPr>
        <w:t xml:space="preserve"> and, more thoroughly</w:t>
      </w:r>
      <w:r w:rsidR="00C845CF">
        <w:rPr>
          <w:sz w:val="24"/>
        </w:rPr>
        <w:t>,</w:t>
      </w:r>
      <w:r w:rsidR="00CB5136">
        <w:rPr>
          <w:sz w:val="24"/>
        </w:rPr>
        <w:t xml:space="preserve"> in Manski (2007, 2013)</w:t>
      </w:r>
      <w:r w:rsidR="00D17AFF">
        <w:rPr>
          <w:sz w:val="24"/>
        </w:rPr>
        <w:t xml:space="preserve">, </w:t>
      </w:r>
      <w:r w:rsidR="00D17AFF" w:rsidRPr="00D17AFF">
        <w:rPr>
          <w:sz w:val="24"/>
        </w:rPr>
        <w:t xml:space="preserve">we will assess the impact and discuss the credibility of assumptions that may be made about the values of missing data arising from unit and item nonresponse.  </w:t>
      </w:r>
      <w:r w:rsidR="00585FE5">
        <w:rPr>
          <w:sz w:val="24"/>
        </w:rPr>
        <w:t xml:space="preserve">This analysis will explore a </w:t>
      </w:r>
      <w:r w:rsidR="00CB5136">
        <w:rPr>
          <w:sz w:val="24"/>
        </w:rPr>
        <w:t>broad</w:t>
      </w:r>
      <w:r w:rsidR="00585FE5">
        <w:rPr>
          <w:sz w:val="24"/>
        </w:rPr>
        <w:t xml:space="preserve"> range of assumptions</w:t>
      </w:r>
      <w:r w:rsidR="00BA34F2">
        <w:rPr>
          <w:sz w:val="24"/>
        </w:rPr>
        <w:t xml:space="preserve"> on the data generating process</w:t>
      </w:r>
      <w:r w:rsidR="00585FE5">
        <w:rPr>
          <w:sz w:val="24"/>
        </w:rPr>
        <w:t>.  In so doing, we will produce imputed values for missing data under the assumption that item nonresponse is random cond</w:t>
      </w:r>
      <w:r w:rsidR="00B452B0">
        <w:rPr>
          <w:sz w:val="24"/>
        </w:rPr>
        <w:t xml:space="preserve">itional on specified covariates.  Where weaker assumptions are maintained and interval estimates are obtained, </w:t>
      </w:r>
      <w:r w:rsidR="00C845CF">
        <w:rPr>
          <w:sz w:val="24"/>
        </w:rPr>
        <w:t>confidence intervals may be c</w:t>
      </w:r>
      <w:r w:rsidR="00B452B0">
        <w:rPr>
          <w:sz w:val="24"/>
        </w:rPr>
        <w:t>alculate</w:t>
      </w:r>
      <w:r w:rsidR="00C845CF">
        <w:rPr>
          <w:sz w:val="24"/>
        </w:rPr>
        <w:t>d</w:t>
      </w:r>
      <w:r w:rsidR="00B452B0">
        <w:rPr>
          <w:sz w:val="24"/>
        </w:rPr>
        <w:t xml:space="preserve"> by</w:t>
      </w:r>
      <w:r w:rsidR="008B29ED">
        <w:rPr>
          <w:sz w:val="24"/>
        </w:rPr>
        <w:t xml:space="preserve"> a bootstrap method (e.g., H</w:t>
      </w:r>
      <w:r w:rsidR="00B452B0">
        <w:rPr>
          <w:sz w:val="24"/>
        </w:rPr>
        <w:t>orowitz and Manski</w:t>
      </w:r>
      <w:r w:rsidR="008B29ED">
        <w:rPr>
          <w:sz w:val="24"/>
        </w:rPr>
        <w:t>,</w:t>
      </w:r>
      <w:r w:rsidR="00B452B0">
        <w:rPr>
          <w:sz w:val="24"/>
        </w:rPr>
        <w:t xml:space="preserve"> </w:t>
      </w:r>
      <w:r w:rsidR="008B29ED">
        <w:rPr>
          <w:sz w:val="24"/>
        </w:rPr>
        <w:t>2</w:t>
      </w:r>
      <w:r w:rsidR="00B452B0">
        <w:rPr>
          <w:sz w:val="24"/>
        </w:rPr>
        <w:t>000) or</w:t>
      </w:r>
      <w:r w:rsidR="004A115B">
        <w:rPr>
          <w:sz w:val="24"/>
        </w:rPr>
        <w:t>, where applicable,</w:t>
      </w:r>
      <w:r w:rsidR="00B452B0">
        <w:rPr>
          <w:sz w:val="24"/>
        </w:rPr>
        <w:t xml:space="preserve"> by utilizing more recent analytical results</w:t>
      </w:r>
      <w:r w:rsidR="008B29ED">
        <w:rPr>
          <w:sz w:val="24"/>
        </w:rPr>
        <w:t xml:space="preserve"> (e.g., Imbens and Manski, 2004).</w:t>
      </w:r>
    </w:p>
    <w:p w14:paraId="3A0953F1" w14:textId="77777777" w:rsidR="000B15A1" w:rsidRDefault="000B15A1" w:rsidP="00C1088C">
      <w:pPr>
        <w:jc w:val="both"/>
        <w:rPr>
          <w:sz w:val="24"/>
        </w:rPr>
      </w:pPr>
    </w:p>
    <w:p w14:paraId="12E60465" w14:textId="77777777" w:rsidR="00EF1C90" w:rsidRDefault="00EF1C90" w:rsidP="00EF1C90">
      <w:pPr>
        <w:keepNext/>
        <w:spacing w:before="240" w:after="60"/>
        <w:ind w:left="540" w:hanging="540"/>
        <w:outlineLvl w:val="1"/>
        <w:rPr>
          <w:b/>
          <w:sz w:val="24"/>
          <w:szCs w:val="22"/>
        </w:rPr>
      </w:pPr>
      <w:bookmarkStart w:id="33" w:name="_Toc479599197"/>
      <w:r w:rsidRPr="00C1088C">
        <w:rPr>
          <w:b/>
          <w:sz w:val="24"/>
          <w:szCs w:val="22"/>
        </w:rPr>
        <w:t xml:space="preserve">B.5. </w:t>
      </w:r>
      <w:r>
        <w:rPr>
          <w:b/>
          <w:sz w:val="24"/>
          <w:szCs w:val="22"/>
        </w:rPr>
        <w:t>Analysis Plan</w:t>
      </w:r>
      <w:bookmarkEnd w:id="33"/>
    </w:p>
    <w:p w14:paraId="1D4340E1" w14:textId="77777777" w:rsidR="00EF1C90" w:rsidRDefault="00EF1C90" w:rsidP="00EF1C90">
      <w:pPr>
        <w:jc w:val="both"/>
        <w:rPr>
          <w:rFonts w:cs="Tahoma"/>
          <w:sz w:val="24"/>
        </w:rPr>
      </w:pPr>
    </w:p>
    <w:p w14:paraId="381CB555" w14:textId="77777777" w:rsidR="00A76C2E" w:rsidRDefault="00A76C2E" w:rsidP="001B2EE7">
      <w:pPr>
        <w:rPr>
          <w:sz w:val="24"/>
        </w:rPr>
      </w:pPr>
      <w:r>
        <w:rPr>
          <w:sz w:val="24"/>
        </w:rPr>
        <w:t>This section describes the plan for analysis of information collected from the On the Road to Retirement panel.  Statistical calculations will be performed using the STATA software package.</w:t>
      </w:r>
    </w:p>
    <w:p w14:paraId="40653D32" w14:textId="77777777" w:rsidR="00A76C2E" w:rsidRDefault="00A76C2E" w:rsidP="001B2EE7">
      <w:pPr>
        <w:rPr>
          <w:sz w:val="24"/>
        </w:rPr>
      </w:pPr>
    </w:p>
    <w:p w14:paraId="06E96D4D" w14:textId="77777777" w:rsidR="00A76C2E" w:rsidRPr="00EE452D" w:rsidRDefault="00A76C2E" w:rsidP="00A76C2E">
      <w:pPr>
        <w:keepNext/>
        <w:spacing w:before="240" w:after="60"/>
        <w:ind w:left="720"/>
        <w:outlineLvl w:val="2"/>
        <w:rPr>
          <w:b/>
          <w:sz w:val="24"/>
          <w:highlight w:val="yellow"/>
        </w:rPr>
      </w:pPr>
      <w:bookmarkStart w:id="34" w:name="_Toc479599198"/>
      <w:r w:rsidRPr="00EE452D">
        <w:rPr>
          <w:b/>
          <w:sz w:val="24"/>
        </w:rPr>
        <w:t>B.5.a. Pretesting</w:t>
      </w:r>
      <w:bookmarkEnd w:id="34"/>
    </w:p>
    <w:p w14:paraId="4412D70C" w14:textId="77777777" w:rsidR="00A76C2E" w:rsidRDefault="00A76C2E" w:rsidP="001B2EE7">
      <w:pPr>
        <w:rPr>
          <w:sz w:val="24"/>
        </w:rPr>
      </w:pPr>
    </w:p>
    <w:p w14:paraId="21D0CA6B" w14:textId="77777777" w:rsidR="000473D5" w:rsidRDefault="00CE5AB2" w:rsidP="001B2EE7">
      <w:pPr>
        <w:rPr>
          <w:sz w:val="24"/>
        </w:rPr>
      </w:pPr>
      <w:r>
        <w:rPr>
          <w:sz w:val="24"/>
        </w:rPr>
        <w:t>Findings from the pretests will be thoroughly document</w:t>
      </w:r>
      <w:r w:rsidR="008F0E1E">
        <w:rPr>
          <w:sz w:val="24"/>
        </w:rPr>
        <w:t>ed</w:t>
      </w:r>
      <w:r>
        <w:rPr>
          <w:sz w:val="24"/>
        </w:rPr>
        <w:t xml:space="preserve"> in the Report on Pretest Results.  </w:t>
      </w:r>
      <w:r w:rsidR="001B2EE7" w:rsidRPr="006A09F8">
        <w:rPr>
          <w:sz w:val="24"/>
        </w:rPr>
        <w:t xml:space="preserve">We will use standard </w:t>
      </w:r>
      <w:r w:rsidR="001B2EE7">
        <w:rPr>
          <w:sz w:val="24"/>
        </w:rPr>
        <w:t xml:space="preserve">empirical </w:t>
      </w:r>
      <w:r w:rsidR="001B2EE7" w:rsidRPr="006A09F8">
        <w:rPr>
          <w:sz w:val="24"/>
        </w:rPr>
        <w:t xml:space="preserve">methods to evaluate qualitative data produced in the cognitive interviews and respondent debriefings.  Pilot survey responses will be analyzed to identify problematic questionnaire items, as indicated by, for example, high rates of item nonresponse or response of “don’t know,” internally inconsistent responses, and responses that appear to be inconsistent with information provided in previous ALP interviews. </w:t>
      </w:r>
    </w:p>
    <w:p w14:paraId="61F2234A" w14:textId="77777777" w:rsidR="000473D5" w:rsidRDefault="000473D5" w:rsidP="001B2EE7">
      <w:pPr>
        <w:rPr>
          <w:sz w:val="24"/>
        </w:rPr>
      </w:pPr>
    </w:p>
    <w:p w14:paraId="2140C578" w14:textId="77777777" w:rsidR="009D1496" w:rsidRPr="00D07695" w:rsidRDefault="001B2EE7" w:rsidP="009D1496">
      <w:pPr>
        <w:rPr>
          <w:rFonts w:ascii="Times" w:hAnsi="Times"/>
          <w:sz w:val="24"/>
        </w:rPr>
      </w:pPr>
      <w:r w:rsidRPr="006A09F8">
        <w:rPr>
          <w:sz w:val="24"/>
        </w:rPr>
        <w:lastRenderedPageBreak/>
        <w:t>Information fr</w:t>
      </w:r>
      <w:r w:rsidR="009468A7">
        <w:rPr>
          <w:sz w:val="24"/>
        </w:rPr>
        <w:t>om</w:t>
      </w:r>
      <w:r w:rsidRPr="006A09F8">
        <w:rPr>
          <w:sz w:val="24"/>
        </w:rPr>
        <w:t xml:space="preserve"> the respondent debriefings will be used in conjunction with the data on response patterns to determine whether changes should be made to survey questionnaire content and/or layout.  </w:t>
      </w:r>
      <w:r w:rsidR="000473D5">
        <w:rPr>
          <w:rFonts w:ascii="Times" w:hAnsi="Times"/>
          <w:sz w:val="24"/>
        </w:rPr>
        <w:t xml:space="preserve">In particular, </w:t>
      </w:r>
      <w:r w:rsidR="009D1496" w:rsidRPr="00913FA8">
        <w:rPr>
          <w:rFonts w:ascii="Times" w:hAnsi="Times"/>
          <w:sz w:val="24"/>
        </w:rPr>
        <w:t>findings from the pretests will be used to make minor changes to wording of questions and could result in removal of questions if they are found to be confusing or more burdensome than anticipated.  The Department of Labor would seek to update the instruments by requesting that a nonmaterial change be approved by OMB.</w:t>
      </w:r>
    </w:p>
    <w:p w14:paraId="4CE46289" w14:textId="77777777" w:rsidR="00F42987" w:rsidRDefault="00F42987" w:rsidP="00F42987">
      <w:pPr>
        <w:widowControl/>
        <w:rPr>
          <w:sz w:val="24"/>
        </w:rPr>
      </w:pPr>
    </w:p>
    <w:p w14:paraId="70A508B8" w14:textId="77777777" w:rsidR="001B2EE7" w:rsidRPr="00EE452D" w:rsidRDefault="001B2EE7" w:rsidP="001B2EE7">
      <w:pPr>
        <w:keepNext/>
        <w:spacing w:before="240" w:after="60"/>
        <w:ind w:left="720"/>
        <w:outlineLvl w:val="2"/>
        <w:rPr>
          <w:b/>
          <w:sz w:val="24"/>
          <w:highlight w:val="yellow"/>
        </w:rPr>
      </w:pPr>
      <w:bookmarkStart w:id="35" w:name="_Toc479599199"/>
      <w:r w:rsidRPr="00EE452D">
        <w:rPr>
          <w:b/>
          <w:sz w:val="24"/>
        </w:rPr>
        <w:t>B.5</w:t>
      </w:r>
      <w:r w:rsidR="00AE40CF" w:rsidRPr="00EE452D">
        <w:rPr>
          <w:b/>
          <w:sz w:val="24"/>
        </w:rPr>
        <w:t>.b</w:t>
      </w:r>
      <w:r w:rsidRPr="00EE452D">
        <w:rPr>
          <w:b/>
          <w:sz w:val="24"/>
        </w:rPr>
        <w:t>. Pre-Survey</w:t>
      </w:r>
      <w:bookmarkEnd w:id="35"/>
    </w:p>
    <w:p w14:paraId="064C6AB7" w14:textId="77777777" w:rsidR="001B2EE7" w:rsidRDefault="001B2EE7" w:rsidP="001B2EE7">
      <w:pPr>
        <w:jc w:val="both"/>
        <w:rPr>
          <w:rFonts w:cs="Tahoma"/>
          <w:sz w:val="24"/>
        </w:rPr>
      </w:pPr>
    </w:p>
    <w:p w14:paraId="3CA6A94D" w14:textId="77777777" w:rsidR="001B2EE7" w:rsidRDefault="001B2EE7" w:rsidP="001B2EE7">
      <w:pPr>
        <w:widowControl/>
        <w:rPr>
          <w:sz w:val="24"/>
        </w:rPr>
      </w:pPr>
      <w:r>
        <w:rPr>
          <w:sz w:val="24"/>
        </w:rPr>
        <w:t xml:space="preserve">Analysis of the </w:t>
      </w:r>
      <w:r w:rsidR="00E33599">
        <w:rPr>
          <w:sz w:val="24"/>
        </w:rPr>
        <w:t>Pre-Survey</w:t>
      </w:r>
      <w:r>
        <w:rPr>
          <w:sz w:val="24"/>
        </w:rPr>
        <w:t xml:space="preserve"> data will be included in the Initial Participant Survey Report, which will provide detailed information on sample recruitment and response rates to the </w:t>
      </w:r>
      <w:r w:rsidR="00E33599">
        <w:rPr>
          <w:sz w:val="24"/>
        </w:rPr>
        <w:t>Pre-Survey</w:t>
      </w:r>
      <w:r>
        <w:rPr>
          <w:sz w:val="24"/>
        </w:rPr>
        <w:t xml:space="preserve">.  This component of the report will focus on comparisons of the sample of respondents relative to the population from which it was drawn, as described by publicly available data from the U.S. Census Bureau on household composition and home ownership and on individual respondent demographics (e.g., gender, age, and race/ethnicity) and employment status.   The report will also describe in detail the procedures for constructing sample weights for the </w:t>
      </w:r>
      <w:r w:rsidR="00E33599">
        <w:rPr>
          <w:sz w:val="24"/>
        </w:rPr>
        <w:t>Pre-Survey</w:t>
      </w:r>
      <w:r>
        <w:rPr>
          <w:sz w:val="24"/>
        </w:rPr>
        <w:t xml:space="preserve"> data and will compare the outcomes obtained utilizing alternative methods for doing so.  </w:t>
      </w:r>
    </w:p>
    <w:p w14:paraId="60B9B900" w14:textId="77777777" w:rsidR="001B2EE7" w:rsidRDefault="001B2EE7" w:rsidP="00F42987">
      <w:pPr>
        <w:widowControl/>
        <w:rPr>
          <w:sz w:val="24"/>
        </w:rPr>
      </w:pPr>
    </w:p>
    <w:p w14:paraId="4FFB2085" w14:textId="77777777" w:rsidR="00F42987" w:rsidRDefault="00F42987" w:rsidP="00F42987">
      <w:pPr>
        <w:widowControl/>
        <w:rPr>
          <w:sz w:val="24"/>
        </w:rPr>
      </w:pPr>
      <w:r>
        <w:rPr>
          <w:sz w:val="24"/>
        </w:rPr>
        <w:t xml:space="preserve">The </w:t>
      </w:r>
      <w:r w:rsidR="00E33599">
        <w:rPr>
          <w:sz w:val="24"/>
        </w:rPr>
        <w:t>Pre-Survey</w:t>
      </w:r>
      <w:r>
        <w:rPr>
          <w:sz w:val="24"/>
        </w:rPr>
        <w:t xml:space="preserve"> data will then be analyzed in conjunction with the Initial Participant Survey data to assess the patterns of nonresponse at this subsequent (IPS) stage of sampling with respect to reports on household financial decision making and internet access, as well as the household and respondent attributes listed above.   We will attempt in this analysis to identify and address concerns about the impact of patterns of nonresponse on the key substantive issues that this study intends to address, as detailed in Section A.2.  In particular, we will assess the impact and discuss the credibility of assumptions that may be made about the values of missing data arising from unit and item nonresponse.  </w:t>
      </w:r>
      <w:r w:rsidRPr="00B41EC6">
        <w:rPr>
          <w:sz w:val="24"/>
        </w:rPr>
        <w:t>In the absence of assumptions, one can obtain</w:t>
      </w:r>
      <w:r>
        <w:rPr>
          <w:sz w:val="24"/>
        </w:rPr>
        <w:t xml:space="preserve"> </w:t>
      </w:r>
      <w:r w:rsidRPr="00B41EC6">
        <w:rPr>
          <w:sz w:val="24"/>
        </w:rPr>
        <w:t>computable bounds on the population parameters</w:t>
      </w:r>
      <w:r>
        <w:rPr>
          <w:sz w:val="24"/>
        </w:rPr>
        <w:t xml:space="preserve"> of interest—e.g., population means, medians, and proportions.  We will</w:t>
      </w:r>
      <w:r w:rsidRPr="00B41EC6">
        <w:rPr>
          <w:sz w:val="24"/>
        </w:rPr>
        <w:t xml:space="preserve"> also</w:t>
      </w:r>
      <w:r>
        <w:rPr>
          <w:sz w:val="24"/>
        </w:rPr>
        <w:t xml:space="preserve"> </w:t>
      </w:r>
      <w:r w:rsidRPr="00B41EC6">
        <w:rPr>
          <w:sz w:val="24"/>
        </w:rPr>
        <w:t>explore the middle ground between interval estimation making no assumptions and traditional point</w:t>
      </w:r>
      <w:r>
        <w:rPr>
          <w:sz w:val="24"/>
        </w:rPr>
        <w:t xml:space="preserve"> </w:t>
      </w:r>
      <w:r w:rsidRPr="00B41EC6">
        <w:rPr>
          <w:sz w:val="24"/>
        </w:rPr>
        <w:t>estimation using weights and imputations to implement assumptions that nonresponse is</w:t>
      </w:r>
      <w:r>
        <w:rPr>
          <w:sz w:val="24"/>
        </w:rPr>
        <w:t xml:space="preserve"> </w:t>
      </w:r>
      <w:r w:rsidRPr="00B41EC6">
        <w:rPr>
          <w:sz w:val="24"/>
        </w:rPr>
        <w:t>random</w:t>
      </w:r>
      <w:r>
        <w:rPr>
          <w:sz w:val="24"/>
        </w:rPr>
        <w:t xml:space="preserve"> conditional on specified observed covariates</w:t>
      </w:r>
      <w:r w:rsidRPr="00B41EC6">
        <w:rPr>
          <w:sz w:val="24"/>
        </w:rPr>
        <w:t>.</w:t>
      </w:r>
      <w:r>
        <w:rPr>
          <w:sz w:val="24"/>
        </w:rPr>
        <w:t xml:space="preserve">   For further discussion of these issues and the reporting of official statistics, see Manski (201</w:t>
      </w:r>
      <w:r w:rsidR="003B55C3">
        <w:rPr>
          <w:sz w:val="24"/>
        </w:rPr>
        <w:t>4</w:t>
      </w:r>
      <w:r>
        <w:rPr>
          <w:sz w:val="24"/>
        </w:rPr>
        <w:t>).</w:t>
      </w:r>
      <w:r w:rsidRPr="00D07695">
        <w:rPr>
          <w:rStyle w:val="FootnoteReference"/>
          <w:rFonts w:ascii="Times" w:hAnsi="Times" w:cs="Tahoma"/>
          <w:sz w:val="24"/>
          <w:vertAlign w:val="superscript"/>
        </w:rPr>
        <w:footnoteReference w:id="8"/>
      </w:r>
      <w:r>
        <w:rPr>
          <w:sz w:val="24"/>
        </w:rPr>
        <w:t xml:space="preserve">  See also Kline and Santos (2013) for a potentially useful approach to determining </w:t>
      </w:r>
      <w:r w:rsidRPr="00F968D2">
        <w:rPr>
          <w:sz w:val="24"/>
        </w:rPr>
        <w:t xml:space="preserve">the level of nonignorable selection necessary to undermine conclusions regarding the </w:t>
      </w:r>
      <w:r>
        <w:rPr>
          <w:sz w:val="24"/>
        </w:rPr>
        <w:t>population parameters of interest that were obtained under the assumption that nonresponse is conditionally random</w:t>
      </w:r>
      <w:r w:rsidRPr="00F968D2">
        <w:rPr>
          <w:sz w:val="24"/>
        </w:rPr>
        <w:t>.</w:t>
      </w:r>
    </w:p>
    <w:p w14:paraId="701B8141" w14:textId="77777777" w:rsidR="007917A6" w:rsidRDefault="007917A6" w:rsidP="00EF1C90">
      <w:pPr>
        <w:jc w:val="both"/>
        <w:rPr>
          <w:rFonts w:cs="Tahoma"/>
          <w:sz w:val="24"/>
        </w:rPr>
      </w:pPr>
    </w:p>
    <w:p w14:paraId="6A3A8CE0" w14:textId="77777777" w:rsidR="007917A6" w:rsidRPr="00EE452D" w:rsidRDefault="007917A6" w:rsidP="007917A6">
      <w:pPr>
        <w:keepNext/>
        <w:spacing w:before="240" w:after="60"/>
        <w:ind w:left="720"/>
        <w:outlineLvl w:val="2"/>
        <w:rPr>
          <w:b/>
          <w:sz w:val="24"/>
          <w:highlight w:val="yellow"/>
        </w:rPr>
      </w:pPr>
      <w:bookmarkStart w:id="36" w:name="_Toc479599200"/>
      <w:r w:rsidRPr="00EE452D">
        <w:rPr>
          <w:b/>
          <w:sz w:val="24"/>
        </w:rPr>
        <w:lastRenderedPageBreak/>
        <w:t>B.5.</w:t>
      </w:r>
      <w:r w:rsidR="00AE40CF" w:rsidRPr="00EE452D">
        <w:rPr>
          <w:b/>
          <w:sz w:val="24"/>
        </w:rPr>
        <w:t>c</w:t>
      </w:r>
      <w:r w:rsidRPr="00EE452D">
        <w:rPr>
          <w:b/>
          <w:sz w:val="24"/>
        </w:rPr>
        <w:t>. I</w:t>
      </w:r>
      <w:r w:rsidR="000A44C3" w:rsidRPr="00EE452D">
        <w:rPr>
          <w:b/>
          <w:sz w:val="24"/>
        </w:rPr>
        <w:t xml:space="preserve">nitial </w:t>
      </w:r>
      <w:r w:rsidRPr="00EE452D">
        <w:rPr>
          <w:b/>
          <w:sz w:val="24"/>
        </w:rPr>
        <w:t>P</w:t>
      </w:r>
      <w:r w:rsidR="000A44C3" w:rsidRPr="00EE452D">
        <w:rPr>
          <w:b/>
          <w:sz w:val="24"/>
        </w:rPr>
        <w:t xml:space="preserve">articipant </w:t>
      </w:r>
      <w:r w:rsidRPr="00EE452D">
        <w:rPr>
          <w:b/>
          <w:sz w:val="24"/>
        </w:rPr>
        <w:t>S</w:t>
      </w:r>
      <w:r w:rsidR="000A44C3" w:rsidRPr="00EE452D">
        <w:rPr>
          <w:b/>
          <w:sz w:val="24"/>
        </w:rPr>
        <w:t>urvey</w:t>
      </w:r>
      <w:bookmarkEnd w:id="36"/>
    </w:p>
    <w:p w14:paraId="633B6DBA" w14:textId="77777777" w:rsidR="00015EF2" w:rsidRDefault="00015EF2" w:rsidP="00F42987">
      <w:pPr>
        <w:rPr>
          <w:sz w:val="24"/>
        </w:rPr>
      </w:pPr>
    </w:p>
    <w:p w14:paraId="79ED582D" w14:textId="77777777" w:rsidR="00F42987" w:rsidRPr="00E64CE6" w:rsidRDefault="00F42987" w:rsidP="00F42987">
      <w:pPr>
        <w:rPr>
          <w:sz w:val="24"/>
        </w:rPr>
      </w:pPr>
      <w:r w:rsidRPr="00E64CE6">
        <w:rPr>
          <w:sz w:val="24"/>
        </w:rPr>
        <w:t>The Initial Participant Survey Report will provide detailed information on sample recruitment,</w:t>
      </w:r>
      <w:r>
        <w:rPr>
          <w:sz w:val="24"/>
        </w:rPr>
        <w:t xml:space="preserve"> </w:t>
      </w:r>
      <w:r w:rsidRPr="00E64CE6">
        <w:rPr>
          <w:sz w:val="24"/>
        </w:rPr>
        <w:t>response rates to the Initial Participant Survey, and</w:t>
      </w:r>
      <w:r>
        <w:rPr>
          <w:sz w:val="24"/>
        </w:rPr>
        <w:t xml:space="preserve"> </w:t>
      </w:r>
      <w:r w:rsidRPr="00E64CE6">
        <w:rPr>
          <w:sz w:val="24"/>
        </w:rPr>
        <w:t>description of sample selection; the composition of the sample and its representativeness relative</w:t>
      </w:r>
      <w:r w:rsidR="007F19C6">
        <w:rPr>
          <w:sz w:val="24"/>
        </w:rPr>
        <w:t xml:space="preserve"> </w:t>
      </w:r>
      <w:r w:rsidRPr="00E64CE6">
        <w:rPr>
          <w:sz w:val="24"/>
        </w:rPr>
        <w:t xml:space="preserve">to national benchmarks with and without sampling weights; </w:t>
      </w:r>
      <w:r>
        <w:rPr>
          <w:sz w:val="24"/>
        </w:rPr>
        <w:t xml:space="preserve">comparisons of the household attributes and response patterns across interview modes (internet, phone, or mail); </w:t>
      </w:r>
      <w:r w:rsidRPr="00E64CE6">
        <w:rPr>
          <w:sz w:val="24"/>
        </w:rPr>
        <w:t>indicators of</w:t>
      </w:r>
      <w:r>
        <w:rPr>
          <w:sz w:val="24"/>
        </w:rPr>
        <w:t xml:space="preserve"> </w:t>
      </w:r>
      <w:r w:rsidRPr="00E64CE6">
        <w:rPr>
          <w:sz w:val="24"/>
        </w:rPr>
        <w:t>data quality; and</w:t>
      </w:r>
      <w:r>
        <w:rPr>
          <w:sz w:val="24"/>
        </w:rPr>
        <w:t xml:space="preserve"> </w:t>
      </w:r>
      <w:r w:rsidRPr="00E64CE6">
        <w:rPr>
          <w:sz w:val="24"/>
        </w:rPr>
        <w:t>baseline information regarding behavior, attitudes, and expectations to be</w:t>
      </w:r>
      <w:r>
        <w:rPr>
          <w:sz w:val="24"/>
        </w:rPr>
        <w:t xml:space="preserve"> </w:t>
      </w:r>
      <w:r w:rsidRPr="00E64CE6">
        <w:rPr>
          <w:sz w:val="24"/>
        </w:rPr>
        <w:t>further explored using</w:t>
      </w:r>
      <w:r>
        <w:rPr>
          <w:sz w:val="24"/>
        </w:rPr>
        <w:t xml:space="preserve"> </w:t>
      </w:r>
      <w:r w:rsidRPr="00E64CE6">
        <w:rPr>
          <w:sz w:val="24"/>
        </w:rPr>
        <w:t xml:space="preserve">information to be collected via Advice </w:t>
      </w:r>
      <w:r w:rsidR="00801C13">
        <w:rPr>
          <w:sz w:val="24"/>
        </w:rPr>
        <w:t>Interaction</w:t>
      </w:r>
      <w:r w:rsidRPr="00E64CE6">
        <w:rPr>
          <w:sz w:val="24"/>
        </w:rPr>
        <w:t xml:space="preserve"> Surveys and Annual Participant Surveys.</w:t>
      </w:r>
    </w:p>
    <w:p w14:paraId="215CADDC" w14:textId="77777777" w:rsidR="00F42987" w:rsidRDefault="00F42987" w:rsidP="00F42987">
      <w:pPr>
        <w:rPr>
          <w:sz w:val="24"/>
        </w:rPr>
      </w:pPr>
    </w:p>
    <w:p w14:paraId="7B869FF8" w14:textId="77777777" w:rsidR="00F42987" w:rsidRPr="00E64CE6" w:rsidRDefault="00F42987" w:rsidP="00F42987">
      <w:pPr>
        <w:rPr>
          <w:sz w:val="24"/>
        </w:rPr>
      </w:pPr>
      <w:r w:rsidRPr="00E64CE6">
        <w:rPr>
          <w:sz w:val="24"/>
        </w:rPr>
        <w:t>Details on the sample composition will include, at a minimum, summary statistics on</w:t>
      </w:r>
      <w:r w:rsidR="00C824A2">
        <w:rPr>
          <w:sz w:val="24"/>
        </w:rPr>
        <w:t xml:space="preserve"> h</w:t>
      </w:r>
      <w:r>
        <w:rPr>
          <w:sz w:val="24"/>
        </w:rPr>
        <w:t>ousehold demographics</w:t>
      </w:r>
      <w:r w:rsidRPr="00E64CE6">
        <w:rPr>
          <w:sz w:val="24"/>
        </w:rPr>
        <w:t>, household composition, employment, and financial</w:t>
      </w:r>
      <w:r>
        <w:rPr>
          <w:sz w:val="24"/>
        </w:rPr>
        <w:t xml:space="preserve"> characteristics</w:t>
      </w:r>
      <w:r w:rsidRPr="00E64CE6">
        <w:rPr>
          <w:sz w:val="24"/>
        </w:rPr>
        <w:t>. The key behavioral measures to be analyzed</w:t>
      </w:r>
      <w:r>
        <w:rPr>
          <w:sz w:val="24"/>
        </w:rPr>
        <w:t xml:space="preserve"> </w:t>
      </w:r>
      <w:r w:rsidRPr="00E64CE6">
        <w:rPr>
          <w:sz w:val="24"/>
        </w:rPr>
        <w:t>will include retirement savings and wealth outside of retirement plans; retirement planning and</w:t>
      </w:r>
      <w:r>
        <w:rPr>
          <w:sz w:val="24"/>
        </w:rPr>
        <w:t xml:space="preserve"> </w:t>
      </w:r>
      <w:r w:rsidRPr="00E64CE6">
        <w:rPr>
          <w:sz w:val="24"/>
        </w:rPr>
        <w:t>retirement strategies employed (if any); reliance upon advice (both professional and informal);</w:t>
      </w:r>
      <w:r>
        <w:rPr>
          <w:sz w:val="24"/>
        </w:rPr>
        <w:t xml:space="preserve"> </w:t>
      </w:r>
      <w:r w:rsidRPr="00E64CE6">
        <w:rPr>
          <w:sz w:val="24"/>
        </w:rPr>
        <w:t>expectations of retirement behavior; and indicators of cognitive capabilities, such as financial</w:t>
      </w:r>
      <w:r>
        <w:rPr>
          <w:sz w:val="24"/>
        </w:rPr>
        <w:t xml:space="preserve"> </w:t>
      </w:r>
      <w:r w:rsidRPr="00E64CE6">
        <w:rPr>
          <w:sz w:val="24"/>
        </w:rPr>
        <w:t>literacy and numeracy, that have been found to be of particular importance for household’s</w:t>
      </w:r>
      <w:r>
        <w:rPr>
          <w:sz w:val="24"/>
        </w:rPr>
        <w:t xml:space="preserve"> </w:t>
      </w:r>
      <w:r w:rsidRPr="00E64CE6">
        <w:rPr>
          <w:sz w:val="24"/>
        </w:rPr>
        <w:t>ability to plan ahead and make wise financial decisions.</w:t>
      </w:r>
    </w:p>
    <w:p w14:paraId="76B3DF22" w14:textId="77777777" w:rsidR="00F42987" w:rsidRDefault="00F42987" w:rsidP="00F42987">
      <w:pPr>
        <w:rPr>
          <w:sz w:val="24"/>
        </w:rPr>
      </w:pPr>
    </w:p>
    <w:p w14:paraId="6D8406DF" w14:textId="77777777" w:rsidR="00F42987" w:rsidRDefault="00F42987" w:rsidP="00F42987">
      <w:pPr>
        <w:rPr>
          <w:sz w:val="24"/>
        </w:rPr>
      </w:pPr>
      <w:r w:rsidRPr="00E64CE6">
        <w:rPr>
          <w:sz w:val="24"/>
        </w:rPr>
        <w:t xml:space="preserve">With our analysis of the Initial Participant Study data, we will </w:t>
      </w:r>
      <w:r>
        <w:rPr>
          <w:sz w:val="24"/>
        </w:rPr>
        <w:t xml:space="preserve">be </w:t>
      </w:r>
      <w:r w:rsidRPr="00E64CE6">
        <w:rPr>
          <w:sz w:val="24"/>
        </w:rPr>
        <w:t>able to make some progress</w:t>
      </w:r>
      <w:r>
        <w:rPr>
          <w:sz w:val="24"/>
        </w:rPr>
        <w:t xml:space="preserve"> on</w:t>
      </w:r>
      <w:r w:rsidRPr="00E64CE6">
        <w:rPr>
          <w:sz w:val="24"/>
        </w:rPr>
        <w:t xml:space="preserve"> the </w:t>
      </w:r>
      <w:r>
        <w:rPr>
          <w:sz w:val="24"/>
        </w:rPr>
        <w:t>research</w:t>
      </w:r>
      <w:r w:rsidRPr="00E64CE6">
        <w:rPr>
          <w:sz w:val="24"/>
        </w:rPr>
        <w:t xml:space="preserve"> questions listed in </w:t>
      </w:r>
      <w:r>
        <w:rPr>
          <w:sz w:val="24"/>
        </w:rPr>
        <w:t xml:space="preserve">Section A.2 above, including: </w:t>
      </w:r>
    </w:p>
    <w:p w14:paraId="7D088C06" w14:textId="77777777" w:rsidR="00F42987" w:rsidRDefault="00F42987" w:rsidP="00F42987">
      <w:pPr>
        <w:rPr>
          <w:sz w:val="24"/>
        </w:rPr>
      </w:pPr>
    </w:p>
    <w:p w14:paraId="4BF0BB7D" w14:textId="77777777" w:rsidR="00F42987" w:rsidRPr="00D07695" w:rsidRDefault="00F42987" w:rsidP="00F42987">
      <w:pPr>
        <w:ind w:left="720" w:hanging="720"/>
        <w:rPr>
          <w:rFonts w:ascii="Times" w:hAnsi="Times"/>
          <w:sz w:val="24"/>
        </w:rPr>
      </w:pPr>
      <w:r>
        <w:rPr>
          <w:rFonts w:ascii="Times" w:hAnsi="Times"/>
          <w:sz w:val="24"/>
        </w:rPr>
        <w:t>a)</w:t>
      </w:r>
      <w:r>
        <w:rPr>
          <w:rFonts w:ascii="Times" w:hAnsi="Times"/>
          <w:sz w:val="24"/>
        </w:rPr>
        <w:tab/>
      </w:r>
      <w:r w:rsidRPr="00D07695">
        <w:rPr>
          <w:rFonts w:ascii="Times" w:hAnsi="Times"/>
          <w:sz w:val="24"/>
        </w:rPr>
        <w:t>How do households</w:t>
      </w:r>
      <w:r>
        <w:rPr>
          <w:rFonts w:ascii="Times" w:hAnsi="Times"/>
          <w:sz w:val="24"/>
        </w:rPr>
        <w:t xml:space="preserve"> plan for retirement</w:t>
      </w:r>
      <w:r w:rsidRPr="00D07695">
        <w:rPr>
          <w:rFonts w:ascii="Times" w:hAnsi="Times"/>
          <w:sz w:val="24"/>
        </w:rPr>
        <w:t>?  What roles do retirement savings vehicles—especially, DC plans and IRAs—play in those plans?</w:t>
      </w:r>
    </w:p>
    <w:p w14:paraId="6D55873E" w14:textId="77777777" w:rsidR="00F42987" w:rsidRPr="00D07695" w:rsidRDefault="00F42987" w:rsidP="00F42987">
      <w:pPr>
        <w:ind w:left="720" w:hanging="720"/>
        <w:rPr>
          <w:rFonts w:ascii="Times" w:hAnsi="Times"/>
          <w:sz w:val="24"/>
        </w:rPr>
      </w:pPr>
    </w:p>
    <w:p w14:paraId="053257C1" w14:textId="77777777" w:rsidR="00F42987" w:rsidRDefault="00F42987" w:rsidP="00F42987">
      <w:pPr>
        <w:ind w:left="720" w:hanging="720"/>
        <w:rPr>
          <w:rFonts w:ascii="Times" w:hAnsi="Times"/>
          <w:sz w:val="24"/>
        </w:rPr>
      </w:pPr>
      <w:r>
        <w:rPr>
          <w:rFonts w:ascii="Times" w:hAnsi="Times"/>
          <w:sz w:val="24"/>
        </w:rPr>
        <w:t>b)</w:t>
      </w:r>
      <w:r w:rsidRPr="00D07695">
        <w:rPr>
          <w:rFonts w:ascii="Times" w:hAnsi="Times"/>
          <w:sz w:val="24"/>
        </w:rPr>
        <w:tab/>
        <w:t>How are savings and investment decisions inside and outside of retirement plans influenced both by the types of dedicated retirement savings plans that are available to the household and by the investment options that are available within those plans?</w:t>
      </w:r>
    </w:p>
    <w:p w14:paraId="775D2EE6" w14:textId="77777777" w:rsidR="007F19C6" w:rsidRPr="00D07695" w:rsidRDefault="007F19C6" w:rsidP="00F42987">
      <w:pPr>
        <w:ind w:left="720" w:hanging="720"/>
        <w:rPr>
          <w:rFonts w:ascii="Times" w:hAnsi="Times"/>
          <w:sz w:val="24"/>
        </w:rPr>
      </w:pPr>
    </w:p>
    <w:p w14:paraId="4CDD18B4" w14:textId="77777777" w:rsidR="00F42987" w:rsidRDefault="00F75C88" w:rsidP="00F42987">
      <w:pPr>
        <w:ind w:left="720" w:hanging="720"/>
        <w:rPr>
          <w:rFonts w:ascii="Times" w:hAnsi="Times"/>
          <w:sz w:val="24"/>
        </w:rPr>
      </w:pPr>
      <w:r>
        <w:rPr>
          <w:rFonts w:ascii="Times" w:hAnsi="Times"/>
          <w:sz w:val="24"/>
        </w:rPr>
        <w:t>c</w:t>
      </w:r>
      <w:r w:rsidR="00F42987">
        <w:rPr>
          <w:rFonts w:ascii="Times" w:hAnsi="Times"/>
          <w:sz w:val="24"/>
        </w:rPr>
        <w:t>)</w:t>
      </w:r>
      <w:r w:rsidR="00F42987" w:rsidRPr="00D07695">
        <w:rPr>
          <w:rFonts w:ascii="Times" w:hAnsi="Times"/>
          <w:sz w:val="24"/>
        </w:rPr>
        <w:tab/>
        <w:t>How should we measure such phenomena as financial capabilities, perceptions of retirement plan options, and retirement savings strategies?</w:t>
      </w:r>
    </w:p>
    <w:p w14:paraId="590981A3" w14:textId="77777777" w:rsidR="00F42987" w:rsidRPr="00D07695" w:rsidRDefault="00F42987" w:rsidP="00F42987">
      <w:pPr>
        <w:ind w:left="720" w:hanging="720"/>
        <w:rPr>
          <w:rFonts w:ascii="Times" w:hAnsi="Times"/>
          <w:sz w:val="24"/>
        </w:rPr>
      </w:pPr>
    </w:p>
    <w:p w14:paraId="5CBF38A8" w14:textId="77777777" w:rsidR="007917A6" w:rsidRPr="00EE452D" w:rsidRDefault="007917A6" w:rsidP="007917A6">
      <w:pPr>
        <w:keepNext/>
        <w:spacing w:before="240" w:after="60"/>
        <w:ind w:left="720"/>
        <w:outlineLvl w:val="2"/>
        <w:rPr>
          <w:b/>
          <w:sz w:val="24"/>
          <w:highlight w:val="yellow"/>
        </w:rPr>
      </w:pPr>
      <w:bookmarkStart w:id="37" w:name="_Toc479599201"/>
      <w:r w:rsidRPr="00EE452D">
        <w:rPr>
          <w:b/>
          <w:sz w:val="24"/>
        </w:rPr>
        <w:t>B.5.</w:t>
      </w:r>
      <w:r w:rsidR="00AE40CF" w:rsidRPr="00EE452D">
        <w:rPr>
          <w:b/>
          <w:sz w:val="24"/>
        </w:rPr>
        <w:t>d</w:t>
      </w:r>
      <w:r w:rsidRPr="00EE452D">
        <w:rPr>
          <w:b/>
          <w:sz w:val="24"/>
        </w:rPr>
        <w:t>. A</w:t>
      </w:r>
      <w:r w:rsidR="000A44C3" w:rsidRPr="00EE452D">
        <w:rPr>
          <w:b/>
          <w:sz w:val="24"/>
        </w:rPr>
        <w:t>dvice Interaction Survey—Year 1</w:t>
      </w:r>
      <w:bookmarkEnd w:id="37"/>
    </w:p>
    <w:p w14:paraId="2EED7B32" w14:textId="77777777" w:rsidR="00A23127" w:rsidRDefault="00A23127" w:rsidP="005A1311">
      <w:pPr>
        <w:rPr>
          <w:sz w:val="24"/>
        </w:rPr>
      </w:pPr>
    </w:p>
    <w:p w14:paraId="679BF1CC" w14:textId="77777777" w:rsidR="00C824A2" w:rsidRDefault="00A23127" w:rsidP="00C16FC4">
      <w:pPr>
        <w:rPr>
          <w:sz w:val="24"/>
        </w:rPr>
      </w:pPr>
      <w:r w:rsidRPr="00A23127">
        <w:rPr>
          <w:sz w:val="24"/>
        </w:rPr>
        <w:t xml:space="preserve">Findings from </w:t>
      </w:r>
      <w:r w:rsidR="00DF7C48">
        <w:rPr>
          <w:sz w:val="24"/>
        </w:rPr>
        <w:t xml:space="preserve">Year 1 of </w:t>
      </w:r>
      <w:r w:rsidRPr="00A23127">
        <w:rPr>
          <w:sz w:val="24"/>
        </w:rPr>
        <w:t xml:space="preserve">the Advice </w:t>
      </w:r>
      <w:r w:rsidR="00801C13">
        <w:rPr>
          <w:sz w:val="24"/>
        </w:rPr>
        <w:t>Interaction</w:t>
      </w:r>
      <w:r w:rsidRPr="00A23127">
        <w:rPr>
          <w:sz w:val="24"/>
        </w:rPr>
        <w:t xml:space="preserve"> Survey will be carefully and fully documented in the First Advice </w:t>
      </w:r>
      <w:r w:rsidR="00801C13">
        <w:rPr>
          <w:sz w:val="24"/>
        </w:rPr>
        <w:t>Interaction</w:t>
      </w:r>
      <w:r w:rsidRPr="00A23127">
        <w:rPr>
          <w:sz w:val="24"/>
        </w:rPr>
        <w:t xml:space="preserve"> Analysis Report.  The report will be structured in a very similar fashion to the Initial Participant Survey Report to allow for ease of comparability and continuity in project documentation.  </w:t>
      </w:r>
      <w:r w:rsidR="00C16FC4">
        <w:rPr>
          <w:sz w:val="24"/>
        </w:rPr>
        <w:t>Throughout the analysis, we will b</w:t>
      </w:r>
      <w:r w:rsidR="00C824A2">
        <w:rPr>
          <w:sz w:val="24"/>
        </w:rPr>
        <w:t xml:space="preserve">e sure to assess the impact of </w:t>
      </w:r>
      <w:r w:rsidR="00C16FC4">
        <w:rPr>
          <w:sz w:val="24"/>
        </w:rPr>
        <w:t>respondent selection issues</w:t>
      </w:r>
      <w:r w:rsidR="00C824A2">
        <w:rPr>
          <w:sz w:val="24"/>
        </w:rPr>
        <w:t xml:space="preserve"> arising from two types of decisions</w:t>
      </w:r>
      <w:r w:rsidR="00C16FC4">
        <w:rPr>
          <w:sz w:val="24"/>
        </w:rPr>
        <w:t xml:space="preserve">: the decision to respond to each component of the survey and the decision to obtain financial advice.  </w:t>
      </w:r>
    </w:p>
    <w:p w14:paraId="649807A2" w14:textId="77777777" w:rsidR="00C824A2" w:rsidRDefault="00C824A2" w:rsidP="00C16FC4">
      <w:pPr>
        <w:rPr>
          <w:sz w:val="24"/>
        </w:rPr>
      </w:pPr>
    </w:p>
    <w:p w14:paraId="3769BA9A" w14:textId="77777777" w:rsidR="00C16FC4" w:rsidRDefault="00C16FC4" w:rsidP="00C16FC4">
      <w:pPr>
        <w:rPr>
          <w:sz w:val="24"/>
        </w:rPr>
      </w:pPr>
      <w:r>
        <w:rPr>
          <w:sz w:val="24"/>
        </w:rPr>
        <w:t xml:space="preserve">Our methodology </w:t>
      </w:r>
      <w:r w:rsidR="00C824A2">
        <w:rPr>
          <w:sz w:val="24"/>
        </w:rPr>
        <w:t xml:space="preserve">to account for self-selection </w:t>
      </w:r>
      <w:r>
        <w:rPr>
          <w:sz w:val="24"/>
        </w:rPr>
        <w:t xml:space="preserve">will follow the approach taken in the analysis of the </w:t>
      </w:r>
      <w:r w:rsidR="00E33599">
        <w:rPr>
          <w:sz w:val="24"/>
        </w:rPr>
        <w:t>Pre-Survey</w:t>
      </w:r>
      <w:r>
        <w:rPr>
          <w:sz w:val="24"/>
        </w:rPr>
        <w:t xml:space="preserve"> and the IPS data.  For example, with respect to survey attrition, t</w:t>
      </w:r>
      <w:r w:rsidRPr="00552536">
        <w:rPr>
          <w:sz w:val="24"/>
        </w:rPr>
        <w:t>he report will describe in detail the procedures for constructing sample weights</w:t>
      </w:r>
      <w:r>
        <w:rPr>
          <w:sz w:val="24"/>
        </w:rPr>
        <w:t xml:space="preserve"> </w:t>
      </w:r>
      <w:r w:rsidRPr="00552536">
        <w:rPr>
          <w:sz w:val="24"/>
        </w:rPr>
        <w:t xml:space="preserve">and will compare the outcomes obtained utilizing alternative methods for doing so.  </w:t>
      </w:r>
      <w:r>
        <w:rPr>
          <w:sz w:val="24"/>
        </w:rPr>
        <w:t>W</w:t>
      </w:r>
      <w:r w:rsidRPr="00635176">
        <w:rPr>
          <w:sz w:val="24"/>
        </w:rPr>
        <w:t xml:space="preserve">e will </w:t>
      </w:r>
      <w:r>
        <w:rPr>
          <w:sz w:val="24"/>
        </w:rPr>
        <w:t xml:space="preserve">also </w:t>
      </w:r>
      <w:r w:rsidRPr="00635176">
        <w:rPr>
          <w:sz w:val="24"/>
        </w:rPr>
        <w:t>assess the impact and discuss the credibility of assumptions that may be made about the values of missing data arising from</w:t>
      </w:r>
      <w:r>
        <w:rPr>
          <w:sz w:val="24"/>
        </w:rPr>
        <w:t xml:space="preserve"> attrition and from incomplete submission of documents</w:t>
      </w:r>
      <w:r w:rsidRPr="00635176">
        <w:rPr>
          <w:sz w:val="24"/>
        </w:rPr>
        <w:t xml:space="preserve">.  </w:t>
      </w:r>
    </w:p>
    <w:p w14:paraId="6E287D3C" w14:textId="77777777" w:rsidR="00C16FC4" w:rsidRDefault="00C16FC4" w:rsidP="00C16FC4">
      <w:pPr>
        <w:rPr>
          <w:sz w:val="24"/>
        </w:rPr>
      </w:pPr>
    </w:p>
    <w:p w14:paraId="22595817" w14:textId="77777777" w:rsidR="00C16FC4" w:rsidRDefault="00C16FC4" w:rsidP="00C16FC4">
      <w:pPr>
        <w:rPr>
          <w:sz w:val="24"/>
        </w:rPr>
      </w:pPr>
      <w:r>
        <w:rPr>
          <w:sz w:val="24"/>
        </w:rPr>
        <w:t>The decision to obtain financial advice will be a central focus of our analysis.  We will use the information collected in the AIS</w:t>
      </w:r>
      <w:r w:rsidR="00844B99">
        <w:rPr>
          <w:sz w:val="24"/>
        </w:rPr>
        <w:t>,</w:t>
      </w:r>
      <w:r>
        <w:rPr>
          <w:sz w:val="24"/>
        </w:rPr>
        <w:t xml:space="preserve"> as well as the </w:t>
      </w:r>
      <w:r w:rsidR="00E33599">
        <w:rPr>
          <w:sz w:val="24"/>
        </w:rPr>
        <w:t>Pre-Survey</w:t>
      </w:r>
      <w:r>
        <w:rPr>
          <w:sz w:val="24"/>
        </w:rPr>
        <w:t xml:space="preserve"> and IPS interviews</w:t>
      </w:r>
      <w:r w:rsidR="00844B99">
        <w:rPr>
          <w:sz w:val="24"/>
        </w:rPr>
        <w:t>,</w:t>
      </w:r>
      <w:r>
        <w:rPr>
          <w:sz w:val="24"/>
        </w:rPr>
        <w:t xml:space="preserve"> to study who choose</w:t>
      </w:r>
      <w:r w:rsidR="00844B99">
        <w:rPr>
          <w:sz w:val="24"/>
        </w:rPr>
        <w:t>s to obtain</w:t>
      </w:r>
      <w:r>
        <w:rPr>
          <w:sz w:val="24"/>
        </w:rPr>
        <w:t xml:space="preserve"> professional advice.  In order to properly interpret findings regarding the type of advice that is given and how it is utilized, we will rigorously account for the household’s decision to obtain this advice using standard econometric methods and will assess and discuss the credibility of assumptions that must be made in order to produce these </w:t>
      </w:r>
      <w:r w:rsidR="009E4086">
        <w:rPr>
          <w:sz w:val="24"/>
        </w:rPr>
        <w:t>findings</w:t>
      </w:r>
      <w:r>
        <w:rPr>
          <w:sz w:val="24"/>
        </w:rPr>
        <w:t>.</w:t>
      </w:r>
    </w:p>
    <w:p w14:paraId="58953668" w14:textId="77777777" w:rsidR="00C16FC4" w:rsidRDefault="00C16FC4" w:rsidP="005A1311">
      <w:pPr>
        <w:rPr>
          <w:sz w:val="24"/>
        </w:rPr>
      </w:pPr>
    </w:p>
    <w:p w14:paraId="6F551BA1" w14:textId="77777777" w:rsidR="00C16FC4" w:rsidRDefault="00C16FC4" w:rsidP="00C16FC4">
      <w:pPr>
        <w:rPr>
          <w:sz w:val="24"/>
        </w:rPr>
      </w:pPr>
      <w:r w:rsidRPr="00E64CE6">
        <w:rPr>
          <w:sz w:val="24"/>
        </w:rPr>
        <w:t xml:space="preserve">With our analysis of the </w:t>
      </w:r>
      <w:r>
        <w:rPr>
          <w:sz w:val="24"/>
        </w:rPr>
        <w:t xml:space="preserve">AIS1 </w:t>
      </w:r>
      <w:r w:rsidRPr="00E64CE6">
        <w:rPr>
          <w:sz w:val="24"/>
        </w:rPr>
        <w:t xml:space="preserve">data, we will </w:t>
      </w:r>
      <w:r>
        <w:rPr>
          <w:sz w:val="24"/>
        </w:rPr>
        <w:t xml:space="preserve">be </w:t>
      </w:r>
      <w:r w:rsidRPr="00E64CE6">
        <w:rPr>
          <w:sz w:val="24"/>
        </w:rPr>
        <w:t>able to make some progress</w:t>
      </w:r>
      <w:r>
        <w:rPr>
          <w:sz w:val="24"/>
        </w:rPr>
        <w:t xml:space="preserve"> on</w:t>
      </w:r>
      <w:r w:rsidRPr="00E64CE6">
        <w:rPr>
          <w:sz w:val="24"/>
        </w:rPr>
        <w:t xml:space="preserve"> the </w:t>
      </w:r>
      <w:r>
        <w:rPr>
          <w:sz w:val="24"/>
        </w:rPr>
        <w:t>research</w:t>
      </w:r>
      <w:r w:rsidRPr="00E64CE6">
        <w:rPr>
          <w:sz w:val="24"/>
        </w:rPr>
        <w:t xml:space="preserve"> questions listed in </w:t>
      </w:r>
      <w:r>
        <w:rPr>
          <w:sz w:val="24"/>
        </w:rPr>
        <w:t xml:space="preserve">Section A.2 above, including: </w:t>
      </w:r>
    </w:p>
    <w:p w14:paraId="2F11E640" w14:textId="77777777" w:rsidR="00817800" w:rsidRPr="00817800" w:rsidRDefault="00817800" w:rsidP="00817800">
      <w:pPr>
        <w:rPr>
          <w:sz w:val="24"/>
        </w:rPr>
      </w:pPr>
    </w:p>
    <w:p w14:paraId="5CBAFB57" w14:textId="77777777" w:rsidR="00817800" w:rsidRPr="00817800" w:rsidRDefault="00817800" w:rsidP="00817800">
      <w:pPr>
        <w:rPr>
          <w:sz w:val="24"/>
        </w:rPr>
      </w:pPr>
      <w:r>
        <w:rPr>
          <w:sz w:val="24"/>
        </w:rPr>
        <w:t>a)</w:t>
      </w:r>
      <w:r>
        <w:rPr>
          <w:sz w:val="24"/>
        </w:rPr>
        <w:tab/>
      </w:r>
      <w:r w:rsidRPr="00817800">
        <w:rPr>
          <w:sz w:val="24"/>
        </w:rPr>
        <w:t>How do households plan for retirement and how do they act on those plans?  What kind of advice do they get to develop and act on those plans?  What roles do retirement savings vehicles—especially, DC plans and IRAs—play in those plans?</w:t>
      </w:r>
    </w:p>
    <w:p w14:paraId="0C492D7F" w14:textId="77777777" w:rsidR="00817800" w:rsidRPr="00817800" w:rsidRDefault="00817800" w:rsidP="00817800">
      <w:pPr>
        <w:rPr>
          <w:sz w:val="24"/>
        </w:rPr>
      </w:pPr>
    </w:p>
    <w:p w14:paraId="6E632266" w14:textId="42D0F367" w:rsidR="00817800" w:rsidRPr="00817800" w:rsidRDefault="00817800" w:rsidP="00817800">
      <w:pPr>
        <w:rPr>
          <w:sz w:val="24"/>
        </w:rPr>
      </w:pPr>
      <w:r>
        <w:rPr>
          <w:sz w:val="24"/>
        </w:rPr>
        <w:t>b)</w:t>
      </w:r>
      <w:r w:rsidRPr="00817800">
        <w:rPr>
          <w:sz w:val="24"/>
        </w:rPr>
        <w:tab/>
        <w:t xml:space="preserve">What financial, demographic, and retirement plan characteristics are associated with the use of a professional financial </w:t>
      </w:r>
      <w:r w:rsidR="00407ED4">
        <w:rPr>
          <w:sz w:val="24"/>
        </w:rPr>
        <w:t>adviser</w:t>
      </w:r>
      <w:r w:rsidRPr="00817800">
        <w:rPr>
          <w:sz w:val="24"/>
        </w:rPr>
        <w:t>?   How does retirement planning advice vary with these characteristics?</w:t>
      </w:r>
    </w:p>
    <w:p w14:paraId="6C2B84E9" w14:textId="77777777" w:rsidR="00817800" w:rsidRPr="00817800" w:rsidRDefault="00817800" w:rsidP="00817800">
      <w:pPr>
        <w:rPr>
          <w:sz w:val="24"/>
        </w:rPr>
      </w:pPr>
    </w:p>
    <w:p w14:paraId="5C96C12C" w14:textId="77777777" w:rsidR="00817800" w:rsidRPr="00817800" w:rsidRDefault="00817800" w:rsidP="00817800">
      <w:pPr>
        <w:rPr>
          <w:sz w:val="24"/>
        </w:rPr>
      </w:pPr>
      <w:r>
        <w:rPr>
          <w:sz w:val="24"/>
        </w:rPr>
        <w:t>c)</w:t>
      </w:r>
      <w:r w:rsidRPr="00817800">
        <w:rPr>
          <w:sz w:val="24"/>
        </w:rPr>
        <w:tab/>
        <w:t>What types of informal advice related to retirement—i.e., something other than advice from a professional financial services provider—do households rely on and to what extent? How do professional advice and informal advice interact with one another?</w:t>
      </w:r>
    </w:p>
    <w:p w14:paraId="1E7DAFCB" w14:textId="77777777" w:rsidR="00817800" w:rsidRPr="00817800" w:rsidRDefault="00817800" w:rsidP="00817800">
      <w:pPr>
        <w:rPr>
          <w:sz w:val="24"/>
        </w:rPr>
      </w:pPr>
    </w:p>
    <w:p w14:paraId="56CDCD6B" w14:textId="77777777" w:rsidR="00817800" w:rsidRPr="00817800" w:rsidRDefault="00817800" w:rsidP="00817800">
      <w:pPr>
        <w:rPr>
          <w:sz w:val="24"/>
        </w:rPr>
      </w:pPr>
      <w:r>
        <w:rPr>
          <w:sz w:val="24"/>
        </w:rPr>
        <w:t>d)</w:t>
      </w:r>
      <w:r w:rsidRPr="00817800">
        <w:rPr>
          <w:sz w:val="24"/>
        </w:rPr>
        <w:tab/>
      </w:r>
      <w:r w:rsidR="00F76BFA">
        <w:rPr>
          <w:sz w:val="24"/>
        </w:rPr>
        <w:t xml:space="preserve">What </w:t>
      </w:r>
      <w:r w:rsidR="00194DC4">
        <w:rPr>
          <w:sz w:val="24"/>
        </w:rPr>
        <w:t xml:space="preserve">types of </w:t>
      </w:r>
      <w:r w:rsidR="00F76BFA">
        <w:rPr>
          <w:sz w:val="24"/>
        </w:rPr>
        <w:t xml:space="preserve">advice </w:t>
      </w:r>
      <w:r w:rsidRPr="00817800">
        <w:rPr>
          <w:sz w:val="24"/>
        </w:rPr>
        <w:t xml:space="preserve">do DC plan participants and IRA holders receive in conjunction with their retirement plans?  Does this </w:t>
      </w:r>
      <w:r w:rsidR="00194DC4">
        <w:rPr>
          <w:sz w:val="24"/>
        </w:rPr>
        <w:t>advice</w:t>
      </w:r>
      <w:r w:rsidRPr="00817800">
        <w:rPr>
          <w:sz w:val="24"/>
        </w:rPr>
        <w:t xml:space="preserve"> enhance their financial capabilities?  </w:t>
      </w:r>
    </w:p>
    <w:p w14:paraId="304E776F" w14:textId="77777777" w:rsidR="00817800" w:rsidRPr="00817800" w:rsidRDefault="00817800" w:rsidP="00817800">
      <w:pPr>
        <w:rPr>
          <w:sz w:val="24"/>
        </w:rPr>
      </w:pPr>
    </w:p>
    <w:p w14:paraId="4D48B6F0" w14:textId="77777777" w:rsidR="00817800" w:rsidRPr="00817800" w:rsidRDefault="00817800" w:rsidP="00817800">
      <w:pPr>
        <w:rPr>
          <w:sz w:val="24"/>
        </w:rPr>
      </w:pPr>
      <w:r>
        <w:rPr>
          <w:sz w:val="24"/>
        </w:rPr>
        <w:t>e)</w:t>
      </w:r>
      <w:r w:rsidRPr="00817800">
        <w:rPr>
          <w:sz w:val="24"/>
        </w:rPr>
        <w:tab/>
        <w:t>How are decisions made during the transition to retirement or when changing jobs?</w:t>
      </w:r>
    </w:p>
    <w:p w14:paraId="799EF850" w14:textId="77777777" w:rsidR="00817800" w:rsidRDefault="00817800" w:rsidP="00817800">
      <w:pPr>
        <w:rPr>
          <w:sz w:val="24"/>
        </w:rPr>
      </w:pPr>
    </w:p>
    <w:p w14:paraId="62A9212D" w14:textId="77777777" w:rsidR="007917A6" w:rsidRPr="00EE452D" w:rsidRDefault="007917A6" w:rsidP="007917A6">
      <w:pPr>
        <w:keepNext/>
        <w:spacing w:before="240" w:after="60"/>
        <w:ind w:left="720"/>
        <w:outlineLvl w:val="2"/>
        <w:rPr>
          <w:b/>
          <w:sz w:val="24"/>
          <w:highlight w:val="yellow"/>
        </w:rPr>
      </w:pPr>
      <w:bookmarkStart w:id="38" w:name="_Toc479599202"/>
      <w:r w:rsidRPr="00EE452D">
        <w:rPr>
          <w:b/>
          <w:sz w:val="24"/>
        </w:rPr>
        <w:t>B.5.</w:t>
      </w:r>
      <w:r w:rsidR="00AE40CF" w:rsidRPr="00EE452D">
        <w:rPr>
          <w:b/>
          <w:sz w:val="24"/>
        </w:rPr>
        <w:t>e</w:t>
      </w:r>
      <w:r w:rsidRPr="00EE452D">
        <w:rPr>
          <w:b/>
          <w:sz w:val="24"/>
        </w:rPr>
        <w:t>. A</w:t>
      </w:r>
      <w:r w:rsidR="00147F7F" w:rsidRPr="00EE452D">
        <w:rPr>
          <w:b/>
          <w:sz w:val="24"/>
        </w:rPr>
        <w:t xml:space="preserve">nnual </w:t>
      </w:r>
      <w:r w:rsidRPr="00EE452D">
        <w:rPr>
          <w:b/>
          <w:sz w:val="24"/>
        </w:rPr>
        <w:t>P</w:t>
      </w:r>
      <w:r w:rsidR="00147F7F" w:rsidRPr="00EE452D">
        <w:rPr>
          <w:b/>
          <w:sz w:val="24"/>
        </w:rPr>
        <w:t xml:space="preserve">articipant </w:t>
      </w:r>
      <w:r w:rsidRPr="00EE452D">
        <w:rPr>
          <w:b/>
          <w:sz w:val="24"/>
        </w:rPr>
        <w:t>S</w:t>
      </w:r>
      <w:r w:rsidR="00147F7F" w:rsidRPr="00EE452D">
        <w:rPr>
          <w:b/>
          <w:sz w:val="24"/>
        </w:rPr>
        <w:t>urvey</w:t>
      </w:r>
      <w:bookmarkEnd w:id="38"/>
    </w:p>
    <w:p w14:paraId="0D6AAEF7" w14:textId="77777777" w:rsidR="00E82917" w:rsidRDefault="00E82917" w:rsidP="005A1311">
      <w:pPr>
        <w:rPr>
          <w:sz w:val="24"/>
        </w:rPr>
      </w:pPr>
    </w:p>
    <w:p w14:paraId="50C6F79F" w14:textId="77777777" w:rsidR="00E82917" w:rsidRPr="005A1311" w:rsidRDefault="00E82917" w:rsidP="005A1311">
      <w:pPr>
        <w:rPr>
          <w:sz w:val="24"/>
          <w:highlight w:val="yellow"/>
        </w:rPr>
      </w:pPr>
      <w:r w:rsidRPr="00E82917">
        <w:rPr>
          <w:sz w:val="24"/>
        </w:rPr>
        <w:t xml:space="preserve">Findings from the Annual Participant Survey will be </w:t>
      </w:r>
      <w:r w:rsidR="00C65383">
        <w:rPr>
          <w:sz w:val="24"/>
        </w:rPr>
        <w:t>carefully and fully documented</w:t>
      </w:r>
      <w:r w:rsidRPr="00E82917">
        <w:rPr>
          <w:sz w:val="24"/>
        </w:rPr>
        <w:t xml:space="preserve"> in the Annual Participant Survey Analysis report.  The report will be structured in a very similar fashion to the Initial Participant Survey Report to allow for ease of comparability and continuity </w:t>
      </w:r>
      <w:r w:rsidRPr="00E82917">
        <w:rPr>
          <w:sz w:val="24"/>
        </w:rPr>
        <w:lastRenderedPageBreak/>
        <w:t xml:space="preserve">in project documentation.  </w:t>
      </w:r>
      <w:r w:rsidR="007B0DB7">
        <w:rPr>
          <w:sz w:val="24"/>
        </w:rPr>
        <w:t xml:space="preserve">With </w:t>
      </w:r>
      <w:r w:rsidRPr="00E82917">
        <w:rPr>
          <w:sz w:val="24"/>
        </w:rPr>
        <w:t xml:space="preserve">data </w:t>
      </w:r>
      <w:r w:rsidR="007B0DB7">
        <w:rPr>
          <w:sz w:val="24"/>
        </w:rPr>
        <w:t>obtained over a one</w:t>
      </w:r>
      <w:r w:rsidR="00C65383">
        <w:rPr>
          <w:sz w:val="24"/>
        </w:rPr>
        <w:t>-</w:t>
      </w:r>
      <w:r w:rsidR="007B0DB7">
        <w:rPr>
          <w:sz w:val="24"/>
        </w:rPr>
        <w:t>year period, we</w:t>
      </w:r>
      <w:r w:rsidRPr="00E82917">
        <w:rPr>
          <w:sz w:val="24"/>
        </w:rPr>
        <w:t xml:space="preserve"> will be</w:t>
      </w:r>
      <w:r w:rsidR="007B0DB7">
        <w:rPr>
          <w:sz w:val="24"/>
        </w:rPr>
        <w:t xml:space="preserve">gin </w:t>
      </w:r>
      <w:r w:rsidRPr="00E82917">
        <w:rPr>
          <w:sz w:val="24"/>
        </w:rPr>
        <w:t>exploit</w:t>
      </w:r>
      <w:r w:rsidR="007B0DB7">
        <w:rPr>
          <w:sz w:val="24"/>
        </w:rPr>
        <w:t>ing</w:t>
      </w:r>
      <w:r w:rsidR="00C65383">
        <w:rPr>
          <w:sz w:val="24"/>
        </w:rPr>
        <w:t xml:space="preserve"> the longitudinal</w:t>
      </w:r>
      <w:r w:rsidRPr="00E82917">
        <w:rPr>
          <w:sz w:val="24"/>
        </w:rPr>
        <w:t xml:space="preserve"> nature of the s</w:t>
      </w:r>
      <w:r w:rsidR="00C65383">
        <w:rPr>
          <w:sz w:val="24"/>
        </w:rPr>
        <w:t>tudy</w:t>
      </w:r>
      <w:r w:rsidRPr="00E82917">
        <w:rPr>
          <w:sz w:val="24"/>
        </w:rPr>
        <w:t xml:space="preserve"> to address many of the questions of interest.  In addition to the key substantive questions, this report will pay special attention to methodological questions regarding sample retention and other survey design issues that must be addressed to ensure the long-term success of this study.</w:t>
      </w:r>
    </w:p>
    <w:p w14:paraId="7C1669F2" w14:textId="77777777" w:rsidR="00E82917" w:rsidRPr="00E82917" w:rsidRDefault="00E82917" w:rsidP="005A1311">
      <w:pPr>
        <w:rPr>
          <w:sz w:val="24"/>
        </w:rPr>
      </w:pPr>
    </w:p>
    <w:p w14:paraId="02EB6B4B" w14:textId="65169CEB" w:rsidR="00927475" w:rsidRPr="00E82917" w:rsidRDefault="00927475" w:rsidP="00927475">
      <w:pPr>
        <w:rPr>
          <w:sz w:val="24"/>
        </w:rPr>
      </w:pPr>
      <w:r w:rsidRPr="00E82917">
        <w:rPr>
          <w:sz w:val="24"/>
        </w:rPr>
        <w:t>The methodological approach to be employed will be tailored to the question to be investigated</w:t>
      </w:r>
      <w:r w:rsidR="00EB2722">
        <w:rPr>
          <w:sz w:val="24"/>
        </w:rPr>
        <w:t xml:space="preserve"> and</w:t>
      </w:r>
      <w:r w:rsidRPr="00E82917">
        <w:rPr>
          <w:sz w:val="24"/>
        </w:rPr>
        <w:t xml:space="preserve"> will exploit </w:t>
      </w:r>
      <w:r w:rsidR="00983335">
        <w:rPr>
          <w:sz w:val="24"/>
        </w:rPr>
        <w:t xml:space="preserve">the availability of </w:t>
      </w:r>
      <w:r w:rsidRPr="00E82917">
        <w:rPr>
          <w:sz w:val="24"/>
        </w:rPr>
        <w:t>repeated observations using the most appropriate econometric methods available.  For example, fixed-effect estimation can be used to control for respondent specific time-invariant unobserved factors that may influence the outcome under study.</w:t>
      </w:r>
      <w:r w:rsidR="00EB2722">
        <w:rPr>
          <w:sz w:val="24"/>
        </w:rPr>
        <w:t xml:space="preserve">  </w:t>
      </w:r>
      <w:r w:rsidRPr="00E82917">
        <w:rPr>
          <w:sz w:val="24"/>
        </w:rPr>
        <w:t xml:space="preserve">Alternatively, a simple difference-in-difference framework may be adopted to compare changes in identified groups (e.g., investors who visited a financial </w:t>
      </w:r>
      <w:r w:rsidR="00407ED4">
        <w:rPr>
          <w:sz w:val="24"/>
        </w:rPr>
        <w:t>adviser</w:t>
      </w:r>
      <w:r w:rsidRPr="00E82917">
        <w:rPr>
          <w:sz w:val="24"/>
        </w:rPr>
        <w:t xml:space="preserve"> in the past year and those who did not).  Propensity score matching methods may be used to improve comparability across groups if appropriate.  </w:t>
      </w:r>
      <w:r w:rsidR="00656D22">
        <w:rPr>
          <w:sz w:val="24"/>
        </w:rPr>
        <w:t xml:space="preserve">In each case, we will be sure to assess and </w:t>
      </w:r>
      <w:r w:rsidR="00656D22" w:rsidRPr="00927475">
        <w:rPr>
          <w:sz w:val="24"/>
        </w:rPr>
        <w:t xml:space="preserve">discuss the credibility of assumptions that </w:t>
      </w:r>
      <w:r w:rsidR="0025651B">
        <w:rPr>
          <w:sz w:val="24"/>
        </w:rPr>
        <w:t>must be made in order to produce</w:t>
      </w:r>
      <w:r w:rsidR="000424A0">
        <w:rPr>
          <w:sz w:val="24"/>
        </w:rPr>
        <w:t xml:space="preserve"> these findings</w:t>
      </w:r>
      <w:r w:rsidR="00656D22" w:rsidRPr="00927475">
        <w:rPr>
          <w:sz w:val="24"/>
        </w:rPr>
        <w:t>.</w:t>
      </w:r>
      <w:r w:rsidR="00656D22">
        <w:rPr>
          <w:sz w:val="24"/>
        </w:rPr>
        <w:t xml:space="preserve">  </w:t>
      </w:r>
      <w:r w:rsidRPr="00E82917">
        <w:rPr>
          <w:sz w:val="24"/>
        </w:rPr>
        <w:t xml:space="preserve">In addition to more sophisticated analyses, </w:t>
      </w:r>
      <w:r w:rsidR="0025651B">
        <w:rPr>
          <w:sz w:val="24"/>
        </w:rPr>
        <w:t>we will</w:t>
      </w:r>
      <w:r w:rsidRPr="00E82917">
        <w:rPr>
          <w:sz w:val="24"/>
        </w:rPr>
        <w:t xml:space="preserve"> provide simple descriptive statistics indicating how key variables of interest (e.g., fra</w:t>
      </w:r>
      <w:r w:rsidR="000424A0">
        <w:rPr>
          <w:sz w:val="24"/>
        </w:rPr>
        <w:t>ction of investors utilizing each type of</w:t>
      </w:r>
      <w:r w:rsidRPr="00E82917">
        <w:rPr>
          <w:sz w:val="24"/>
        </w:rPr>
        <w:t xml:space="preserve"> re</w:t>
      </w:r>
      <w:r w:rsidR="0025651B">
        <w:rPr>
          <w:sz w:val="24"/>
        </w:rPr>
        <w:t>tirement plan) evolve over time</w:t>
      </w:r>
      <w:r w:rsidR="000424A0">
        <w:rPr>
          <w:sz w:val="24"/>
        </w:rPr>
        <w:t>, while accounting</w:t>
      </w:r>
      <w:r w:rsidR="0025651B">
        <w:rPr>
          <w:sz w:val="24"/>
        </w:rPr>
        <w:t xml:space="preserve"> for sample selection issues.</w:t>
      </w:r>
    </w:p>
    <w:p w14:paraId="1C7FD1D3" w14:textId="77777777" w:rsidR="00927475" w:rsidRDefault="00927475" w:rsidP="005A1311">
      <w:pPr>
        <w:rPr>
          <w:sz w:val="24"/>
        </w:rPr>
      </w:pPr>
    </w:p>
    <w:p w14:paraId="6EA13A42" w14:textId="77777777" w:rsidR="0025651B" w:rsidRDefault="0025651B" w:rsidP="0025651B">
      <w:pPr>
        <w:rPr>
          <w:sz w:val="24"/>
        </w:rPr>
      </w:pPr>
      <w:r w:rsidRPr="00E64CE6">
        <w:rPr>
          <w:sz w:val="24"/>
        </w:rPr>
        <w:t xml:space="preserve">With our analysis of the </w:t>
      </w:r>
      <w:r>
        <w:rPr>
          <w:sz w:val="24"/>
        </w:rPr>
        <w:t xml:space="preserve">APS </w:t>
      </w:r>
      <w:r w:rsidRPr="00E64CE6">
        <w:rPr>
          <w:sz w:val="24"/>
        </w:rPr>
        <w:t xml:space="preserve">data, we will </w:t>
      </w:r>
      <w:r w:rsidR="0035413A">
        <w:rPr>
          <w:sz w:val="24"/>
        </w:rPr>
        <w:t xml:space="preserve">begin to make </w:t>
      </w:r>
      <w:r w:rsidRPr="00E64CE6">
        <w:rPr>
          <w:sz w:val="24"/>
        </w:rPr>
        <w:t>progress</w:t>
      </w:r>
      <w:r>
        <w:rPr>
          <w:sz w:val="24"/>
        </w:rPr>
        <w:t xml:space="preserve"> on</w:t>
      </w:r>
      <w:r w:rsidR="0035413A">
        <w:rPr>
          <w:sz w:val="24"/>
        </w:rPr>
        <w:t xml:space="preserve"> </w:t>
      </w:r>
      <w:r>
        <w:rPr>
          <w:sz w:val="24"/>
        </w:rPr>
        <w:t>research</w:t>
      </w:r>
      <w:r w:rsidRPr="00E64CE6">
        <w:rPr>
          <w:sz w:val="24"/>
        </w:rPr>
        <w:t xml:space="preserve"> questions listed in </w:t>
      </w:r>
      <w:r w:rsidR="0035413A">
        <w:rPr>
          <w:sz w:val="24"/>
        </w:rPr>
        <w:t>Section A.2 that require longitudinal data</w:t>
      </w:r>
      <w:r>
        <w:rPr>
          <w:sz w:val="24"/>
        </w:rPr>
        <w:t xml:space="preserve">, including: </w:t>
      </w:r>
    </w:p>
    <w:p w14:paraId="3A44E612" w14:textId="77777777" w:rsidR="0025651B" w:rsidRDefault="0025651B" w:rsidP="0025651B">
      <w:pPr>
        <w:rPr>
          <w:sz w:val="24"/>
        </w:rPr>
      </w:pPr>
    </w:p>
    <w:p w14:paraId="003B1031" w14:textId="77777777" w:rsidR="0035413A" w:rsidRPr="0035413A" w:rsidRDefault="0035413A" w:rsidP="0035413A">
      <w:pPr>
        <w:rPr>
          <w:sz w:val="24"/>
        </w:rPr>
      </w:pPr>
      <w:r>
        <w:rPr>
          <w:sz w:val="24"/>
        </w:rPr>
        <w:t>a)</w:t>
      </w:r>
      <w:r w:rsidRPr="0035413A">
        <w:rPr>
          <w:sz w:val="24"/>
        </w:rPr>
        <w:t xml:space="preserve"> </w:t>
      </w:r>
      <w:r w:rsidRPr="0035413A">
        <w:rPr>
          <w:sz w:val="24"/>
        </w:rPr>
        <w:tab/>
        <w:t>How frequently do households change retirement planning strategies?  What factors, such as market conditions or age of participant, predict a change in retirement planning strategy?</w:t>
      </w:r>
    </w:p>
    <w:p w14:paraId="74E8DE7F" w14:textId="77777777" w:rsidR="0035413A" w:rsidRPr="0035413A" w:rsidRDefault="0035413A" w:rsidP="0035413A">
      <w:pPr>
        <w:rPr>
          <w:sz w:val="24"/>
        </w:rPr>
      </w:pPr>
    </w:p>
    <w:p w14:paraId="24AC9EE8" w14:textId="77777777" w:rsidR="0035413A" w:rsidRPr="0035413A" w:rsidRDefault="0035413A" w:rsidP="0035413A">
      <w:pPr>
        <w:rPr>
          <w:sz w:val="24"/>
        </w:rPr>
      </w:pPr>
      <w:r>
        <w:rPr>
          <w:sz w:val="24"/>
        </w:rPr>
        <w:t>b)</w:t>
      </w:r>
      <w:r w:rsidRPr="0035413A">
        <w:rPr>
          <w:sz w:val="24"/>
        </w:rPr>
        <w:tab/>
        <w:t>How do retirement planning strategies and decisions evolve over time?</w:t>
      </w:r>
    </w:p>
    <w:p w14:paraId="0D58FA62" w14:textId="77777777" w:rsidR="0035413A" w:rsidRPr="0035413A" w:rsidRDefault="0035413A" w:rsidP="0035413A">
      <w:pPr>
        <w:rPr>
          <w:sz w:val="24"/>
        </w:rPr>
      </w:pPr>
    </w:p>
    <w:p w14:paraId="298A3BBF" w14:textId="77777777" w:rsidR="0035413A" w:rsidRPr="0035413A" w:rsidRDefault="0035413A" w:rsidP="0035413A">
      <w:pPr>
        <w:rPr>
          <w:sz w:val="24"/>
        </w:rPr>
      </w:pPr>
      <w:r>
        <w:rPr>
          <w:sz w:val="24"/>
        </w:rPr>
        <w:t>c)</w:t>
      </w:r>
      <w:r w:rsidRPr="0035413A">
        <w:rPr>
          <w:sz w:val="24"/>
        </w:rPr>
        <w:tab/>
      </w:r>
      <w:r>
        <w:rPr>
          <w:sz w:val="24"/>
        </w:rPr>
        <w:t xml:space="preserve">Are </w:t>
      </w:r>
      <w:r w:rsidRPr="0035413A">
        <w:rPr>
          <w:sz w:val="24"/>
        </w:rPr>
        <w:t xml:space="preserve">cognitive biases consistent over time for an individual or are they dependent on particular circumstances?  </w:t>
      </w:r>
    </w:p>
    <w:p w14:paraId="3722E66E" w14:textId="77777777" w:rsidR="0035413A" w:rsidRPr="0035413A" w:rsidRDefault="0035413A" w:rsidP="0035413A">
      <w:pPr>
        <w:rPr>
          <w:sz w:val="24"/>
        </w:rPr>
      </w:pPr>
    </w:p>
    <w:p w14:paraId="50EECDD8" w14:textId="77777777" w:rsidR="007917A6" w:rsidRPr="00EE452D" w:rsidRDefault="007917A6" w:rsidP="007917A6">
      <w:pPr>
        <w:keepNext/>
        <w:spacing w:before="240" w:after="60"/>
        <w:ind w:left="720"/>
        <w:outlineLvl w:val="2"/>
        <w:rPr>
          <w:b/>
          <w:sz w:val="24"/>
          <w:highlight w:val="yellow"/>
        </w:rPr>
      </w:pPr>
      <w:bookmarkStart w:id="39" w:name="_Toc479599203"/>
      <w:r w:rsidRPr="00EE452D">
        <w:rPr>
          <w:b/>
          <w:sz w:val="24"/>
        </w:rPr>
        <w:t>B.5.</w:t>
      </w:r>
      <w:r w:rsidR="00AE40CF" w:rsidRPr="00EE452D">
        <w:rPr>
          <w:b/>
          <w:sz w:val="24"/>
        </w:rPr>
        <w:t>f</w:t>
      </w:r>
      <w:r w:rsidRPr="00EE452D">
        <w:rPr>
          <w:b/>
          <w:sz w:val="24"/>
        </w:rPr>
        <w:t>. A</w:t>
      </w:r>
      <w:r w:rsidR="004B0BD7" w:rsidRPr="00EE452D">
        <w:rPr>
          <w:b/>
          <w:sz w:val="24"/>
        </w:rPr>
        <w:t>dvice Interaction Survey—Year 2</w:t>
      </w:r>
      <w:bookmarkEnd w:id="39"/>
    </w:p>
    <w:p w14:paraId="745BC709" w14:textId="77777777" w:rsidR="007917A6" w:rsidRDefault="007917A6" w:rsidP="005A1311">
      <w:pPr>
        <w:rPr>
          <w:sz w:val="24"/>
        </w:rPr>
      </w:pPr>
    </w:p>
    <w:p w14:paraId="7FEF8FDD" w14:textId="77777777" w:rsidR="00DF7C48" w:rsidRDefault="00DF7C48" w:rsidP="005A1311">
      <w:pPr>
        <w:rPr>
          <w:sz w:val="24"/>
        </w:rPr>
      </w:pPr>
      <w:r w:rsidRPr="00A23127">
        <w:rPr>
          <w:sz w:val="24"/>
        </w:rPr>
        <w:t xml:space="preserve">Findings from </w:t>
      </w:r>
      <w:r>
        <w:rPr>
          <w:sz w:val="24"/>
        </w:rPr>
        <w:t xml:space="preserve">Year 2 of </w:t>
      </w:r>
      <w:r w:rsidRPr="00A23127">
        <w:rPr>
          <w:sz w:val="24"/>
        </w:rPr>
        <w:t xml:space="preserve">the Advice </w:t>
      </w:r>
      <w:r w:rsidR="00801C13">
        <w:rPr>
          <w:sz w:val="24"/>
        </w:rPr>
        <w:t>Interaction</w:t>
      </w:r>
      <w:r w:rsidRPr="00A23127">
        <w:rPr>
          <w:sz w:val="24"/>
        </w:rPr>
        <w:t xml:space="preserve"> Survey will be carefully a</w:t>
      </w:r>
      <w:r>
        <w:rPr>
          <w:sz w:val="24"/>
        </w:rPr>
        <w:t>nd fully documented in the Second</w:t>
      </w:r>
      <w:r w:rsidRPr="00A23127">
        <w:rPr>
          <w:sz w:val="24"/>
        </w:rPr>
        <w:t xml:space="preserve"> Advice </w:t>
      </w:r>
      <w:r w:rsidR="00801C13">
        <w:rPr>
          <w:sz w:val="24"/>
        </w:rPr>
        <w:t>Interaction</w:t>
      </w:r>
      <w:r w:rsidRPr="00A23127">
        <w:rPr>
          <w:sz w:val="24"/>
        </w:rPr>
        <w:t xml:space="preserve"> Analysis Report.  </w:t>
      </w:r>
      <w:r w:rsidR="00983335">
        <w:rPr>
          <w:sz w:val="24"/>
        </w:rPr>
        <w:t xml:space="preserve">The format </w:t>
      </w:r>
      <w:r>
        <w:rPr>
          <w:sz w:val="24"/>
        </w:rPr>
        <w:t>of this r</w:t>
      </w:r>
      <w:r w:rsidR="003A3350">
        <w:rPr>
          <w:sz w:val="24"/>
        </w:rPr>
        <w:t>eport should be very similar</w:t>
      </w:r>
      <w:r>
        <w:rPr>
          <w:sz w:val="24"/>
        </w:rPr>
        <w:t xml:space="preserve"> to that of the First Advice </w:t>
      </w:r>
      <w:r w:rsidR="00801C13">
        <w:rPr>
          <w:sz w:val="24"/>
        </w:rPr>
        <w:t>Interaction</w:t>
      </w:r>
      <w:r w:rsidR="00983335">
        <w:rPr>
          <w:sz w:val="24"/>
        </w:rPr>
        <w:t xml:space="preserve"> Report</w:t>
      </w:r>
      <w:r w:rsidR="003A3350">
        <w:rPr>
          <w:sz w:val="24"/>
        </w:rPr>
        <w:t xml:space="preserve"> with respect to cross-sectional findings from the AIS2 data. </w:t>
      </w:r>
      <w:r w:rsidR="00BC6A70">
        <w:rPr>
          <w:sz w:val="24"/>
        </w:rPr>
        <w:t xml:space="preserve"> </w:t>
      </w:r>
      <w:r w:rsidR="003A3350">
        <w:rPr>
          <w:sz w:val="24"/>
        </w:rPr>
        <w:t xml:space="preserve">However, by combining the two years of </w:t>
      </w:r>
      <w:r w:rsidR="00BC6A70">
        <w:rPr>
          <w:sz w:val="24"/>
        </w:rPr>
        <w:t>data, we will begin to obtain a</w:t>
      </w:r>
      <w:r w:rsidR="00983335">
        <w:rPr>
          <w:sz w:val="24"/>
        </w:rPr>
        <w:t xml:space="preserve"> much fuller picture of who obtains financial advice, why they obtain this advice, and </w:t>
      </w:r>
      <w:r w:rsidR="004C755B">
        <w:rPr>
          <w:sz w:val="24"/>
        </w:rPr>
        <w:t xml:space="preserve">how </w:t>
      </w:r>
      <w:r w:rsidR="00BC6A70">
        <w:rPr>
          <w:sz w:val="24"/>
        </w:rPr>
        <w:t>beliefs and decisions</w:t>
      </w:r>
      <w:r w:rsidR="00194DC4">
        <w:rPr>
          <w:sz w:val="24"/>
        </w:rPr>
        <w:t xml:space="preserve"> evolve over time</w:t>
      </w:r>
      <w:r w:rsidR="00983335">
        <w:rPr>
          <w:sz w:val="24"/>
        </w:rPr>
        <w:t xml:space="preserve">.  As with the APS data, we will </w:t>
      </w:r>
      <w:r w:rsidR="00983335" w:rsidRPr="00983335">
        <w:rPr>
          <w:sz w:val="24"/>
        </w:rPr>
        <w:t>exploit the availability of repeated observations using the most appropriat</w:t>
      </w:r>
      <w:r w:rsidR="00983335">
        <w:rPr>
          <w:sz w:val="24"/>
        </w:rPr>
        <w:t>e econometric methods available, and</w:t>
      </w:r>
      <w:r w:rsidR="00983335" w:rsidRPr="00983335">
        <w:t xml:space="preserve"> </w:t>
      </w:r>
      <w:r w:rsidR="00983335" w:rsidRPr="00983335">
        <w:rPr>
          <w:sz w:val="24"/>
        </w:rPr>
        <w:t>we will be sure to assess and discuss the credibility of assumptions that must be made i</w:t>
      </w:r>
      <w:r w:rsidR="00DC4417">
        <w:rPr>
          <w:sz w:val="24"/>
        </w:rPr>
        <w:t xml:space="preserve">n order to produce these </w:t>
      </w:r>
      <w:r w:rsidR="00DC4417">
        <w:rPr>
          <w:sz w:val="24"/>
        </w:rPr>
        <w:lastRenderedPageBreak/>
        <w:t>findings</w:t>
      </w:r>
      <w:r w:rsidR="00983335">
        <w:rPr>
          <w:sz w:val="24"/>
        </w:rPr>
        <w:t>.</w:t>
      </w:r>
      <w:r w:rsidR="00983335" w:rsidRPr="00983335">
        <w:rPr>
          <w:sz w:val="24"/>
        </w:rPr>
        <w:t xml:space="preserve">   </w:t>
      </w:r>
    </w:p>
    <w:p w14:paraId="246F0B32" w14:textId="77777777" w:rsidR="007917A6" w:rsidRPr="00C1088C" w:rsidRDefault="007917A6" w:rsidP="005A1311">
      <w:pPr>
        <w:rPr>
          <w:sz w:val="24"/>
        </w:rPr>
      </w:pPr>
    </w:p>
    <w:p w14:paraId="530D4505" w14:textId="77777777" w:rsidR="00C1088C" w:rsidRPr="00C1088C" w:rsidRDefault="00C1088C" w:rsidP="00C1088C">
      <w:pPr>
        <w:keepNext/>
        <w:spacing w:before="240" w:after="60"/>
        <w:ind w:left="540" w:hanging="540"/>
        <w:outlineLvl w:val="1"/>
        <w:rPr>
          <w:b/>
          <w:sz w:val="24"/>
          <w:szCs w:val="22"/>
        </w:rPr>
      </w:pPr>
      <w:bookmarkStart w:id="40" w:name="_Toc362604592"/>
      <w:bookmarkStart w:id="41" w:name="_Toc479599204"/>
      <w:r w:rsidRPr="00C1088C">
        <w:rPr>
          <w:b/>
          <w:sz w:val="24"/>
          <w:szCs w:val="22"/>
        </w:rPr>
        <w:t>B.</w:t>
      </w:r>
      <w:r w:rsidR="00EF1C90">
        <w:rPr>
          <w:b/>
          <w:sz w:val="24"/>
          <w:szCs w:val="22"/>
        </w:rPr>
        <w:t>6</w:t>
      </w:r>
      <w:r w:rsidRPr="00C1088C">
        <w:rPr>
          <w:b/>
          <w:sz w:val="24"/>
          <w:szCs w:val="22"/>
        </w:rPr>
        <w:t>. Individuals Consulted on Statistical Aspects and Individuals Collecting and/or Analyzing Data</w:t>
      </w:r>
      <w:bookmarkEnd w:id="40"/>
      <w:bookmarkEnd w:id="41"/>
    </w:p>
    <w:p w14:paraId="3F1DB213" w14:textId="77777777" w:rsidR="00555F5E" w:rsidRDefault="00555F5E" w:rsidP="00C1088C">
      <w:pPr>
        <w:rPr>
          <w:sz w:val="24"/>
        </w:rPr>
      </w:pPr>
    </w:p>
    <w:p w14:paraId="714553E6" w14:textId="77777777" w:rsidR="00C1088C" w:rsidRPr="00C1088C" w:rsidRDefault="00C1088C" w:rsidP="00C1088C">
      <w:pPr>
        <w:rPr>
          <w:sz w:val="24"/>
        </w:rPr>
      </w:pPr>
      <w:r w:rsidRPr="00C1088C">
        <w:rPr>
          <w:sz w:val="24"/>
        </w:rPr>
        <w:t>DOL has contracted with the Resolution Economics Group, a small business that provides economic consulting services, to conduct this study</w:t>
      </w:r>
      <w:r w:rsidRPr="00C1088C">
        <w:rPr>
          <w:rFonts w:cs="Tahoma"/>
          <w:sz w:val="24"/>
        </w:rPr>
        <w:t xml:space="preserve">. The Resolution Economics Group Principal Investigator is Dr. Jeff Dominitz. </w:t>
      </w:r>
      <w:r w:rsidRPr="00C1088C">
        <w:rPr>
          <w:sz w:val="24"/>
        </w:rPr>
        <w:t>Other key members of the research team include Dr. Elaine Reardon from Resolution Economics Group, Dr. Angela Hung from the RAND Corporation, Dr. Arie Kapteyn from the University of Southern California</w:t>
      </w:r>
      <w:r w:rsidR="002D7C5D">
        <w:rPr>
          <w:sz w:val="24"/>
        </w:rPr>
        <w:t xml:space="preserve"> (USC)</w:t>
      </w:r>
      <w:r w:rsidRPr="00C1088C">
        <w:rPr>
          <w:sz w:val="24"/>
        </w:rPr>
        <w:t>, and Dr. Charles F. Manski from Northwestern University.</w:t>
      </w:r>
    </w:p>
    <w:p w14:paraId="31988D47" w14:textId="77777777" w:rsidR="00C26A98" w:rsidRDefault="00C26A98">
      <w:pPr>
        <w:widowControl/>
        <w:autoSpaceDE/>
        <w:autoSpaceDN/>
        <w:adjustRightInd/>
        <w:rPr>
          <w:sz w:val="24"/>
        </w:rPr>
      </w:pPr>
    </w:p>
    <w:p w14:paraId="17BF7C72" w14:textId="77777777" w:rsidR="00C26A98" w:rsidRDefault="00C26A98" w:rsidP="00C26A98">
      <w:pPr>
        <w:rPr>
          <w:sz w:val="24"/>
        </w:rPr>
      </w:pPr>
    </w:p>
    <w:p w14:paraId="2815EED1" w14:textId="77777777" w:rsidR="00C26A98" w:rsidRDefault="00C26A98" w:rsidP="00C26A98">
      <w:pPr>
        <w:rPr>
          <w:sz w:val="24"/>
        </w:rPr>
      </w:pPr>
      <w:r>
        <w:rPr>
          <w:sz w:val="24"/>
        </w:rPr>
        <w:t>Individuals Consulted on Statistical Aspects:</w:t>
      </w:r>
    </w:p>
    <w:p w14:paraId="6C7793C0" w14:textId="77777777" w:rsidR="00C26A98" w:rsidRDefault="00C26A98" w:rsidP="00C26A98">
      <w:pPr>
        <w:rPr>
          <w:sz w:val="24"/>
          <w:lang w:val="it-IT"/>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470"/>
        <w:gridCol w:w="2250"/>
      </w:tblGrid>
      <w:tr w:rsidR="00C26A98" w14:paraId="615E539A"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426C260F" w14:textId="77777777" w:rsidR="00C26A98" w:rsidRDefault="00C26A98">
            <w:pPr>
              <w:rPr>
                <w:b/>
                <w:sz w:val="24"/>
              </w:rPr>
            </w:pPr>
            <w:r>
              <w:rPr>
                <w:b/>
                <w:sz w:val="24"/>
              </w:rPr>
              <w:t>Name</w:t>
            </w:r>
          </w:p>
        </w:tc>
        <w:tc>
          <w:tcPr>
            <w:tcW w:w="3420" w:type="dxa"/>
            <w:tcBorders>
              <w:top w:val="single" w:sz="4" w:space="0" w:color="auto"/>
              <w:left w:val="single" w:sz="4" w:space="0" w:color="auto"/>
              <w:bottom w:val="single" w:sz="4" w:space="0" w:color="auto"/>
              <w:right w:val="single" w:sz="4" w:space="0" w:color="auto"/>
            </w:tcBorders>
            <w:hideMark/>
          </w:tcPr>
          <w:p w14:paraId="49FCEA49" w14:textId="77777777" w:rsidR="00C26A98" w:rsidRDefault="00C26A98">
            <w:pPr>
              <w:rPr>
                <w:b/>
                <w:sz w:val="24"/>
              </w:rPr>
            </w:pPr>
            <w:r>
              <w:rPr>
                <w:b/>
                <w:sz w:val="24"/>
              </w:rPr>
              <w:t>Agency/Company/Organization</w:t>
            </w:r>
          </w:p>
        </w:tc>
        <w:tc>
          <w:tcPr>
            <w:tcW w:w="2250" w:type="dxa"/>
            <w:tcBorders>
              <w:top w:val="single" w:sz="4" w:space="0" w:color="auto"/>
              <w:left w:val="single" w:sz="4" w:space="0" w:color="auto"/>
              <w:bottom w:val="single" w:sz="4" w:space="0" w:color="auto"/>
              <w:right w:val="single" w:sz="4" w:space="0" w:color="auto"/>
            </w:tcBorders>
            <w:hideMark/>
          </w:tcPr>
          <w:p w14:paraId="06B4CE63" w14:textId="77777777" w:rsidR="00C26A98" w:rsidRDefault="00C26A98">
            <w:pPr>
              <w:rPr>
                <w:b/>
                <w:sz w:val="24"/>
              </w:rPr>
            </w:pPr>
            <w:r>
              <w:rPr>
                <w:b/>
                <w:sz w:val="24"/>
              </w:rPr>
              <w:t>Telephone Number</w:t>
            </w:r>
          </w:p>
        </w:tc>
      </w:tr>
      <w:tr w:rsidR="00C26A98" w14:paraId="3E24A486"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ABA1827" w14:textId="77777777" w:rsidR="00C26A98" w:rsidRDefault="00C26A98">
            <w:pPr>
              <w:rPr>
                <w:sz w:val="24"/>
              </w:rPr>
            </w:pPr>
            <w:r>
              <w:rPr>
                <w:sz w:val="24"/>
              </w:rPr>
              <w:t>Jeff Dominitz</w:t>
            </w:r>
          </w:p>
        </w:tc>
        <w:tc>
          <w:tcPr>
            <w:tcW w:w="3420" w:type="dxa"/>
            <w:tcBorders>
              <w:top w:val="single" w:sz="4" w:space="0" w:color="auto"/>
              <w:left w:val="single" w:sz="4" w:space="0" w:color="auto"/>
              <w:bottom w:val="single" w:sz="4" w:space="0" w:color="auto"/>
              <w:right w:val="single" w:sz="4" w:space="0" w:color="auto"/>
            </w:tcBorders>
            <w:hideMark/>
          </w:tcPr>
          <w:p w14:paraId="503D8EDF" w14:textId="77777777" w:rsidR="00C26A98" w:rsidRDefault="00C26A98">
            <w:pPr>
              <w:rPr>
                <w:sz w:val="24"/>
              </w:rPr>
            </w:pPr>
            <w:r>
              <w:rPr>
                <w:sz w:val="24"/>
              </w:rPr>
              <w:t>Resolution Economics</w:t>
            </w:r>
          </w:p>
        </w:tc>
        <w:tc>
          <w:tcPr>
            <w:tcW w:w="2250" w:type="dxa"/>
            <w:tcBorders>
              <w:top w:val="single" w:sz="4" w:space="0" w:color="auto"/>
              <w:left w:val="single" w:sz="4" w:space="0" w:color="auto"/>
              <w:bottom w:val="single" w:sz="4" w:space="0" w:color="auto"/>
              <w:right w:val="single" w:sz="4" w:space="0" w:color="auto"/>
            </w:tcBorders>
            <w:hideMark/>
          </w:tcPr>
          <w:p w14:paraId="649EE0D8" w14:textId="77777777" w:rsidR="00C26A98" w:rsidRDefault="00C26A98">
            <w:pPr>
              <w:rPr>
                <w:sz w:val="24"/>
              </w:rPr>
            </w:pPr>
            <w:r>
              <w:rPr>
                <w:sz w:val="24"/>
              </w:rPr>
              <w:t>310-275-9137</w:t>
            </w:r>
          </w:p>
        </w:tc>
      </w:tr>
      <w:tr w:rsidR="00C26A98" w14:paraId="67459157"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1EC86B4B" w14:textId="77777777" w:rsidR="00C26A98" w:rsidRDefault="00C26A98">
            <w:pPr>
              <w:rPr>
                <w:sz w:val="24"/>
              </w:rPr>
            </w:pPr>
            <w:r>
              <w:rPr>
                <w:sz w:val="24"/>
              </w:rPr>
              <w:t>Angela Hung</w:t>
            </w:r>
          </w:p>
        </w:tc>
        <w:tc>
          <w:tcPr>
            <w:tcW w:w="3420" w:type="dxa"/>
            <w:tcBorders>
              <w:top w:val="single" w:sz="4" w:space="0" w:color="auto"/>
              <w:left w:val="single" w:sz="4" w:space="0" w:color="auto"/>
              <w:bottom w:val="single" w:sz="4" w:space="0" w:color="auto"/>
              <w:right w:val="single" w:sz="4" w:space="0" w:color="auto"/>
            </w:tcBorders>
            <w:hideMark/>
          </w:tcPr>
          <w:p w14:paraId="09C8E215"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7A95FE31" w14:textId="77777777" w:rsidR="00C26A98" w:rsidRDefault="00C26A98">
            <w:pPr>
              <w:rPr>
                <w:sz w:val="24"/>
              </w:rPr>
            </w:pPr>
            <w:r>
              <w:rPr>
                <w:sz w:val="24"/>
              </w:rPr>
              <w:t>310-393-0411 x6081</w:t>
            </w:r>
          </w:p>
        </w:tc>
      </w:tr>
      <w:tr w:rsidR="00C26A98" w14:paraId="6B2E873A"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2E593E3" w14:textId="77777777" w:rsidR="00C26A98" w:rsidRDefault="00C26A98">
            <w:pPr>
              <w:rPr>
                <w:sz w:val="24"/>
              </w:rPr>
            </w:pPr>
            <w:r>
              <w:rPr>
                <w:sz w:val="24"/>
              </w:rPr>
              <w:t>Arie Kapteyn</w:t>
            </w:r>
          </w:p>
        </w:tc>
        <w:tc>
          <w:tcPr>
            <w:tcW w:w="3420" w:type="dxa"/>
            <w:tcBorders>
              <w:top w:val="single" w:sz="4" w:space="0" w:color="auto"/>
              <w:left w:val="single" w:sz="4" w:space="0" w:color="auto"/>
              <w:bottom w:val="single" w:sz="4" w:space="0" w:color="auto"/>
              <w:right w:val="single" w:sz="4" w:space="0" w:color="auto"/>
            </w:tcBorders>
            <w:hideMark/>
          </w:tcPr>
          <w:p w14:paraId="6C677122" w14:textId="77777777" w:rsidR="00C26A98" w:rsidRDefault="00C26A98">
            <w:pPr>
              <w:rPr>
                <w:sz w:val="24"/>
              </w:rPr>
            </w:pPr>
            <w:r>
              <w:rPr>
                <w:sz w:val="24"/>
              </w:rPr>
              <w:t>USC</w:t>
            </w:r>
          </w:p>
        </w:tc>
        <w:tc>
          <w:tcPr>
            <w:tcW w:w="2250" w:type="dxa"/>
            <w:tcBorders>
              <w:top w:val="single" w:sz="4" w:space="0" w:color="auto"/>
              <w:left w:val="single" w:sz="4" w:space="0" w:color="auto"/>
              <w:bottom w:val="single" w:sz="4" w:space="0" w:color="auto"/>
              <w:right w:val="single" w:sz="4" w:space="0" w:color="auto"/>
            </w:tcBorders>
            <w:hideMark/>
          </w:tcPr>
          <w:p w14:paraId="576C275A" w14:textId="77777777" w:rsidR="00C26A98" w:rsidRDefault="00C26A98">
            <w:pPr>
              <w:rPr>
                <w:sz w:val="24"/>
              </w:rPr>
            </w:pPr>
            <w:r>
              <w:rPr>
                <w:sz w:val="24"/>
              </w:rPr>
              <w:t>310-448-0371</w:t>
            </w:r>
          </w:p>
        </w:tc>
      </w:tr>
      <w:tr w:rsidR="00C26A98" w14:paraId="1CCCFE76"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306AC9C" w14:textId="77777777" w:rsidR="00C26A98" w:rsidRDefault="00C26A98">
            <w:pPr>
              <w:rPr>
                <w:sz w:val="24"/>
              </w:rPr>
            </w:pPr>
            <w:r>
              <w:rPr>
                <w:sz w:val="24"/>
              </w:rPr>
              <w:t>Charles Manski</w:t>
            </w:r>
          </w:p>
        </w:tc>
        <w:tc>
          <w:tcPr>
            <w:tcW w:w="3420" w:type="dxa"/>
            <w:tcBorders>
              <w:top w:val="single" w:sz="4" w:space="0" w:color="auto"/>
              <w:left w:val="single" w:sz="4" w:space="0" w:color="auto"/>
              <w:bottom w:val="single" w:sz="4" w:space="0" w:color="auto"/>
              <w:right w:val="single" w:sz="4" w:space="0" w:color="auto"/>
            </w:tcBorders>
            <w:hideMark/>
          </w:tcPr>
          <w:p w14:paraId="6218D621" w14:textId="77777777" w:rsidR="00C26A98" w:rsidRDefault="00C26A98">
            <w:pPr>
              <w:rPr>
                <w:sz w:val="24"/>
              </w:rPr>
            </w:pPr>
            <w:r>
              <w:rPr>
                <w:sz w:val="24"/>
              </w:rPr>
              <w:t>Northwestern University</w:t>
            </w:r>
          </w:p>
        </w:tc>
        <w:tc>
          <w:tcPr>
            <w:tcW w:w="2250" w:type="dxa"/>
            <w:tcBorders>
              <w:top w:val="single" w:sz="4" w:space="0" w:color="auto"/>
              <w:left w:val="single" w:sz="4" w:space="0" w:color="auto"/>
              <w:bottom w:val="single" w:sz="4" w:space="0" w:color="auto"/>
              <w:right w:val="single" w:sz="4" w:space="0" w:color="auto"/>
            </w:tcBorders>
            <w:hideMark/>
          </w:tcPr>
          <w:p w14:paraId="6DDB9AC2" w14:textId="77777777" w:rsidR="00C26A98" w:rsidRDefault="00C26A98">
            <w:pPr>
              <w:rPr>
                <w:sz w:val="24"/>
              </w:rPr>
            </w:pPr>
            <w:r>
              <w:rPr>
                <w:sz w:val="24"/>
              </w:rPr>
              <w:t>847-491-8223</w:t>
            </w:r>
          </w:p>
        </w:tc>
      </w:tr>
    </w:tbl>
    <w:p w14:paraId="7F4AC39D" w14:textId="77777777" w:rsidR="00C26A98" w:rsidRDefault="00C26A98" w:rsidP="00C26A98">
      <w:pPr>
        <w:rPr>
          <w:sz w:val="24"/>
        </w:rPr>
      </w:pPr>
    </w:p>
    <w:p w14:paraId="723F5A90" w14:textId="77777777" w:rsidR="00C26A98" w:rsidRDefault="00C26A98" w:rsidP="00C26A98">
      <w:pPr>
        <w:rPr>
          <w:sz w:val="24"/>
        </w:rPr>
      </w:pPr>
    </w:p>
    <w:p w14:paraId="0382422C" w14:textId="77777777" w:rsidR="00C26A98" w:rsidRDefault="00C26A98" w:rsidP="00C26A98">
      <w:pPr>
        <w:rPr>
          <w:sz w:val="24"/>
        </w:rPr>
      </w:pPr>
      <w:r>
        <w:rPr>
          <w:sz w:val="24"/>
        </w:rPr>
        <w:t>Individuals Collecting and/or Analyzing Data:</w:t>
      </w:r>
    </w:p>
    <w:p w14:paraId="37314F34" w14:textId="77777777" w:rsidR="00C26A98" w:rsidRDefault="00C26A98" w:rsidP="00C26A98">
      <w:pPr>
        <w:rPr>
          <w:sz w:val="24"/>
          <w:lang w:val="it-IT"/>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470"/>
        <w:gridCol w:w="2250"/>
      </w:tblGrid>
      <w:tr w:rsidR="00C26A98" w14:paraId="59F0BBDF"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9B840B9" w14:textId="77777777" w:rsidR="00C26A98" w:rsidRDefault="00C26A98">
            <w:pPr>
              <w:rPr>
                <w:b/>
                <w:sz w:val="24"/>
              </w:rPr>
            </w:pPr>
            <w:r>
              <w:rPr>
                <w:b/>
                <w:sz w:val="24"/>
              </w:rPr>
              <w:t>Name</w:t>
            </w:r>
          </w:p>
        </w:tc>
        <w:tc>
          <w:tcPr>
            <w:tcW w:w="3420" w:type="dxa"/>
            <w:tcBorders>
              <w:top w:val="single" w:sz="4" w:space="0" w:color="auto"/>
              <w:left w:val="single" w:sz="4" w:space="0" w:color="auto"/>
              <w:bottom w:val="single" w:sz="4" w:space="0" w:color="auto"/>
              <w:right w:val="single" w:sz="4" w:space="0" w:color="auto"/>
            </w:tcBorders>
            <w:hideMark/>
          </w:tcPr>
          <w:p w14:paraId="2C97FA4F" w14:textId="77777777" w:rsidR="00C26A98" w:rsidRDefault="00C26A98">
            <w:pPr>
              <w:rPr>
                <w:b/>
                <w:sz w:val="24"/>
              </w:rPr>
            </w:pPr>
            <w:r>
              <w:rPr>
                <w:b/>
                <w:sz w:val="24"/>
              </w:rPr>
              <w:t>Agency/Company/Organization</w:t>
            </w:r>
          </w:p>
        </w:tc>
        <w:tc>
          <w:tcPr>
            <w:tcW w:w="2250" w:type="dxa"/>
            <w:tcBorders>
              <w:top w:val="single" w:sz="4" w:space="0" w:color="auto"/>
              <w:left w:val="single" w:sz="4" w:space="0" w:color="auto"/>
              <w:bottom w:val="single" w:sz="4" w:space="0" w:color="auto"/>
              <w:right w:val="single" w:sz="4" w:space="0" w:color="auto"/>
            </w:tcBorders>
            <w:hideMark/>
          </w:tcPr>
          <w:p w14:paraId="5D6A8157" w14:textId="77777777" w:rsidR="00C26A98" w:rsidRDefault="00C26A98">
            <w:pPr>
              <w:rPr>
                <w:b/>
                <w:sz w:val="24"/>
              </w:rPr>
            </w:pPr>
            <w:r>
              <w:rPr>
                <w:b/>
                <w:sz w:val="24"/>
              </w:rPr>
              <w:t>Telephone Number</w:t>
            </w:r>
          </w:p>
        </w:tc>
      </w:tr>
      <w:tr w:rsidR="00C26A98" w14:paraId="4E3BF842"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03644EFB" w14:textId="77777777" w:rsidR="00C26A98" w:rsidRDefault="00C26A98">
            <w:pPr>
              <w:rPr>
                <w:sz w:val="24"/>
              </w:rPr>
            </w:pPr>
            <w:r>
              <w:rPr>
                <w:sz w:val="24"/>
              </w:rPr>
              <w:t>Jeff Dominitz</w:t>
            </w:r>
          </w:p>
        </w:tc>
        <w:tc>
          <w:tcPr>
            <w:tcW w:w="3420" w:type="dxa"/>
            <w:tcBorders>
              <w:top w:val="single" w:sz="4" w:space="0" w:color="auto"/>
              <w:left w:val="single" w:sz="4" w:space="0" w:color="auto"/>
              <w:bottom w:val="single" w:sz="4" w:space="0" w:color="auto"/>
              <w:right w:val="single" w:sz="4" w:space="0" w:color="auto"/>
            </w:tcBorders>
            <w:hideMark/>
          </w:tcPr>
          <w:p w14:paraId="3A36950D" w14:textId="77777777" w:rsidR="00C26A98" w:rsidRDefault="00C26A98">
            <w:pPr>
              <w:rPr>
                <w:sz w:val="24"/>
              </w:rPr>
            </w:pPr>
            <w:r>
              <w:rPr>
                <w:sz w:val="24"/>
              </w:rPr>
              <w:t>Resolution Economics</w:t>
            </w:r>
          </w:p>
        </w:tc>
        <w:tc>
          <w:tcPr>
            <w:tcW w:w="2250" w:type="dxa"/>
            <w:tcBorders>
              <w:top w:val="single" w:sz="4" w:space="0" w:color="auto"/>
              <w:left w:val="single" w:sz="4" w:space="0" w:color="auto"/>
              <w:bottom w:val="single" w:sz="4" w:space="0" w:color="auto"/>
              <w:right w:val="single" w:sz="4" w:space="0" w:color="auto"/>
            </w:tcBorders>
            <w:hideMark/>
          </w:tcPr>
          <w:p w14:paraId="5B00F175" w14:textId="77777777" w:rsidR="00C26A98" w:rsidRDefault="00C26A98">
            <w:pPr>
              <w:rPr>
                <w:sz w:val="24"/>
              </w:rPr>
            </w:pPr>
            <w:r>
              <w:rPr>
                <w:sz w:val="24"/>
              </w:rPr>
              <w:t>310-275-9137</w:t>
            </w:r>
          </w:p>
        </w:tc>
      </w:tr>
      <w:tr w:rsidR="00C26A98" w14:paraId="08533A75"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6DAFE540" w14:textId="77777777" w:rsidR="00C26A98" w:rsidRDefault="00C26A98">
            <w:pPr>
              <w:rPr>
                <w:sz w:val="24"/>
              </w:rPr>
            </w:pPr>
            <w:r>
              <w:rPr>
                <w:sz w:val="24"/>
              </w:rPr>
              <w:t>Elaine Reardon</w:t>
            </w:r>
          </w:p>
        </w:tc>
        <w:tc>
          <w:tcPr>
            <w:tcW w:w="3420" w:type="dxa"/>
            <w:tcBorders>
              <w:top w:val="single" w:sz="4" w:space="0" w:color="auto"/>
              <w:left w:val="single" w:sz="4" w:space="0" w:color="auto"/>
              <w:bottom w:val="single" w:sz="4" w:space="0" w:color="auto"/>
              <w:right w:val="single" w:sz="4" w:space="0" w:color="auto"/>
            </w:tcBorders>
            <w:hideMark/>
          </w:tcPr>
          <w:p w14:paraId="0FFAA9F6" w14:textId="77777777" w:rsidR="00C26A98" w:rsidRDefault="00C26A98">
            <w:pPr>
              <w:rPr>
                <w:sz w:val="24"/>
              </w:rPr>
            </w:pPr>
            <w:r>
              <w:rPr>
                <w:sz w:val="24"/>
              </w:rPr>
              <w:t>Resolution Economics</w:t>
            </w:r>
          </w:p>
        </w:tc>
        <w:tc>
          <w:tcPr>
            <w:tcW w:w="2250" w:type="dxa"/>
            <w:tcBorders>
              <w:top w:val="single" w:sz="4" w:space="0" w:color="auto"/>
              <w:left w:val="single" w:sz="4" w:space="0" w:color="auto"/>
              <w:bottom w:val="single" w:sz="4" w:space="0" w:color="auto"/>
              <w:right w:val="single" w:sz="4" w:space="0" w:color="auto"/>
            </w:tcBorders>
            <w:hideMark/>
          </w:tcPr>
          <w:p w14:paraId="1E56F073" w14:textId="77777777" w:rsidR="00C26A98" w:rsidRDefault="00C26A98">
            <w:pPr>
              <w:rPr>
                <w:sz w:val="24"/>
              </w:rPr>
            </w:pPr>
            <w:r>
              <w:rPr>
                <w:sz w:val="24"/>
              </w:rPr>
              <w:t>310-275-9137</w:t>
            </w:r>
          </w:p>
        </w:tc>
      </w:tr>
      <w:tr w:rsidR="00C26A98" w14:paraId="64755CB5"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BF64356" w14:textId="77777777" w:rsidR="00C26A98" w:rsidRDefault="00C26A98">
            <w:pPr>
              <w:rPr>
                <w:sz w:val="24"/>
              </w:rPr>
            </w:pPr>
            <w:r>
              <w:rPr>
                <w:sz w:val="24"/>
              </w:rPr>
              <w:t>Angela Hung</w:t>
            </w:r>
          </w:p>
        </w:tc>
        <w:tc>
          <w:tcPr>
            <w:tcW w:w="3420" w:type="dxa"/>
            <w:tcBorders>
              <w:top w:val="single" w:sz="4" w:space="0" w:color="auto"/>
              <w:left w:val="single" w:sz="4" w:space="0" w:color="auto"/>
              <w:bottom w:val="single" w:sz="4" w:space="0" w:color="auto"/>
              <w:right w:val="single" w:sz="4" w:space="0" w:color="auto"/>
            </w:tcBorders>
            <w:hideMark/>
          </w:tcPr>
          <w:p w14:paraId="31823A39"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6C005979" w14:textId="77777777" w:rsidR="00C26A98" w:rsidRDefault="00C26A98">
            <w:pPr>
              <w:rPr>
                <w:sz w:val="24"/>
              </w:rPr>
            </w:pPr>
            <w:r>
              <w:rPr>
                <w:sz w:val="24"/>
              </w:rPr>
              <w:t>310-393-0411 x6081</w:t>
            </w:r>
          </w:p>
        </w:tc>
      </w:tr>
      <w:tr w:rsidR="00C26A98" w14:paraId="15031CEB"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05727F39" w14:textId="77777777" w:rsidR="00C26A98" w:rsidRDefault="00C26A98">
            <w:pPr>
              <w:rPr>
                <w:sz w:val="24"/>
              </w:rPr>
            </w:pPr>
            <w:r>
              <w:rPr>
                <w:sz w:val="24"/>
              </w:rPr>
              <w:t>Noreen Clancy</w:t>
            </w:r>
          </w:p>
        </w:tc>
        <w:tc>
          <w:tcPr>
            <w:tcW w:w="3420" w:type="dxa"/>
            <w:tcBorders>
              <w:top w:val="single" w:sz="4" w:space="0" w:color="auto"/>
              <w:left w:val="single" w:sz="4" w:space="0" w:color="auto"/>
              <w:bottom w:val="single" w:sz="4" w:space="0" w:color="auto"/>
              <w:right w:val="single" w:sz="4" w:space="0" w:color="auto"/>
            </w:tcBorders>
            <w:hideMark/>
          </w:tcPr>
          <w:p w14:paraId="14875DAA"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2820FFD3" w14:textId="77777777" w:rsidR="00C26A98" w:rsidRDefault="00C26A98">
            <w:pPr>
              <w:rPr>
                <w:sz w:val="24"/>
              </w:rPr>
            </w:pPr>
            <w:r>
              <w:rPr>
                <w:sz w:val="24"/>
              </w:rPr>
              <w:t>703-413-1100 x5272</w:t>
            </w:r>
          </w:p>
        </w:tc>
      </w:tr>
      <w:tr w:rsidR="00C26A98" w14:paraId="049D6E94"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33791FFD" w14:textId="77777777" w:rsidR="00C26A98" w:rsidRDefault="00C26A98">
            <w:pPr>
              <w:rPr>
                <w:sz w:val="24"/>
              </w:rPr>
            </w:pPr>
            <w:r>
              <w:rPr>
                <w:sz w:val="24"/>
              </w:rPr>
              <w:t>Melissa Bradley</w:t>
            </w:r>
          </w:p>
        </w:tc>
        <w:tc>
          <w:tcPr>
            <w:tcW w:w="3420" w:type="dxa"/>
            <w:tcBorders>
              <w:top w:val="single" w:sz="4" w:space="0" w:color="auto"/>
              <w:left w:val="single" w:sz="4" w:space="0" w:color="auto"/>
              <w:bottom w:val="single" w:sz="4" w:space="0" w:color="auto"/>
              <w:right w:val="single" w:sz="4" w:space="0" w:color="auto"/>
            </w:tcBorders>
            <w:hideMark/>
          </w:tcPr>
          <w:p w14:paraId="48CD04BA"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7C3B28E9" w14:textId="77777777" w:rsidR="00C26A98" w:rsidRDefault="00C26A98">
            <w:pPr>
              <w:rPr>
                <w:sz w:val="24"/>
              </w:rPr>
            </w:pPr>
            <w:r>
              <w:rPr>
                <w:sz w:val="24"/>
              </w:rPr>
              <w:t>703-413-1100</w:t>
            </w:r>
          </w:p>
        </w:tc>
      </w:tr>
      <w:tr w:rsidR="00C26A98" w14:paraId="63E46CD3"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26A7E7E1" w14:textId="77777777" w:rsidR="00C26A98" w:rsidRDefault="00C26A98">
            <w:pPr>
              <w:rPr>
                <w:sz w:val="24"/>
              </w:rPr>
            </w:pPr>
            <w:r>
              <w:rPr>
                <w:sz w:val="24"/>
              </w:rPr>
              <w:t>Emily Payne</w:t>
            </w:r>
          </w:p>
        </w:tc>
        <w:tc>
          <w:tcPr>
            <w:tcW w:w="3420" w:type="dxa"/>
            <w:tcBorders>
              <w:top w:val="single" w:sz="4" w:space="0" w:color="auto"/>
              <w:left w:val="single" w:sz="4" w:space="0" w:color="auto"/>
              <w:bottom w:val="single" w:sz="4" w:space="0" w:color="auto"/>
              <w:right w:val="single" w:sz="4" w:space="0" w:color="auto"/>
            </w:tcBorders>
            <w:hideMark/>
          </w:tcPr>
          <w:p w14:paraId="12775A7D"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07D72649" w14:textId="77777777" w:rsidR="00C26A98" w:rsidRDefault="00C26A98">
            <w:pPr>
              <w:rPr>
                <w:sz w:val="24"/>
              </w:rPr>
            </w:pPr>
            <w:r>
              <w:rPr>
                <w:sz w:val="24"/>
              </w:rPr>
              <w:t>310-393-0411</w:t>
            </w:r>
          </w:p>
        </w:tc>
      </w:tr>
      <w:tr w:rsidR="00C26A98" w14:paraId="75B8EC6B"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4D2FBE3B" w14:textId="77777777" w:rsidR="00C26A98" w:rsidRDefault="00C26A98">
            <w:pPr>
              <w:rPr>
                <w:sz w:val="24"/>
              </w:rPr>
            </w:pPr>
            <w:r>
              <w:rPr>
                <w:sz w:val="24"/>
              </w:rPr>
              <w:t>Diana Malouf</w:t>
            </w:r>
          </w:p>
        </w:tc>
        <w:tc>
          <w:tcPr>
            <w:tcW w:w="3420" w:type="dxa"/>
            <w:tcBorders>
              <w:top w:val="single" w:sz="4" w:space="0" w:color="auto"/>
              <w:left w:val="single" w:sz="4" w:space="0" w:color="auto"/>
              <w:bottom w:val="single" w:sz="4" w:space="0" w:color="auto"/>
              <w:right w:val="single" w:sz="4" w:space="0" w:color="auto"/>
            </w:tcBorders>
            <w:hideMark/>
          </w:tcPr>
          <w:p w14:paraId="3BA1C6A2" w14:textId="77777777" w:rsidR="00C26A98" w:rsidRDefault="00C26A98">
            <w:pPr>
              <w:rPr>
                <w:sz w:val="24"/>
              </w:rPr>
            </w:pPr>
            <w:r>
              <w:rPr>
                <w:sz w:val="24"/>
              </w:rPr>
              <w:t>RAND Corporation</w:t>
            </w:r>
          </w:p>
        </w:tc>
        <w:tc>
          <w:tcPr>
            <w:tcW w:w="2250" w:type="dxa"/>
            <w:tcBorders>
              <w:top w:val="single" w:sz="4" w:space="0" w:color="auto"/>
              <w:left w:val="single" w:sz="4" w:space="0" w:color="auto"/>
              <w:bottom w:val="single" w:sz="4" w:space="0" w:color="auto"/>
              <w:right w:val="single" w:sz="4" w:space="0" w:color="auto"/>
            </w:tcBorders>
            <w:hideMark/>
          </w:tcPr>
          <w:p w14:paraId="484E0F97" w14:textId="77777777" w:rsidR="00C26A98" w:rsidRDefault="00C26A98">
            <w:pPr>
              <w:rPr>
                <w:sz w:val="24"/>
              </w:rPr>
            </w:pPr>
            <w:r>
              <w:rPr>
                <w:sz w:val="24"/>
              </w:rPr>
              <w:t>310-393-0411</w:t>
            </w:r>
          </w:p>
        </w:tc>
      </w:tr>
      <w:tr w:rsidR="00C26A98" w14:paraId="60C917A2"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5252B989" w14:textId="77777777" w:rsidR="00C26A98" w:rsidRDefault="00C26A98">
            <w:pPr>
              <w:rPr>
                <w:sz w:val="24"/>
              </w:rPr>
            </w:pPr>
            <w:r>
              <w:rPr>
                <w:sz w:val="24"/>
              </w:rPr>
              <w:t>Arie Kapteyn</w:t>
            </w:r>
          </w:p>
        </w:tc>
        <w:tc>
          <w:tcPr>
            <w:tcW w:w="3420" w:type="dxa"/>
            <w:tcBorders>
              <w:top w:val="single" w:sz="4" w:space="0" w:color="auto"/>
              <w:left w:val="single" w:sz="4" w:space="0" w:color="auto"/>
              <w:bottom w:val="single" w:sz="4" w:space="0" w:color="auto"/>
              <w:right w:val="single" w:sz="4" w:space="0" w:color="auto"/>
            </w:tcBorders>
            <w:hideMark/>
          </w:tcPr>
          <w:p w14:paraId="4AA48F91" w14:textId="77777777" w:rsidR="00C26A98" w:rsidRDefault="00C26A98">
            <w:pPr>
              <w:rPr>
                <w:sz w:val="24"/>
              </w:rPr>
            </w:pPr>
            <w:r>
              <w:rPr>
                <w:sz w:val="24"/>
              </w:rPr>
              <w:t>USC</w:t>
            </w:r>
          </w:p>
        </w:tc>
        <w:tc>
          <w:tcPr>
            <w:tcW w:w="2250" w:type="dxa"/>
            <w:tcBorders>
              <w:top w:val="single" w:sz="4" w:space="0" w:color="auto"/>
              <w:left w:val="single" w:sz="4" w:space="0" w:color="auto"/>
              <w:bottom w:val="single" w:sz="4" w:space="0" w:color="auto"/>
              <w:right w:val="single" w:sz="4" w:space="0" w:color="auto"/>
            </w:tcBorders>
            <w:hideMark/>
          </w:tcPr>
          <w:p w14:paraId="26247C81" w14:textId="77777777" w:rsidR="00C26A98" w:rsidRDefault="00C26A98">
            <w:pPr>
              <w:rPr>
                <w:sz w:val="24"/>
              </w:rPr>
            </w:pPr>
            <w:r>
              <w:rPr>
                <w:sz w:val="24"/>
              </w:rPr>
              <w:t>310-448-0371</w:t>
            </w:r>
          </w:p>
        </w:tc>
      </w:tr>
      <w:tr w:rsidR="00C26A98" w14:paraId="0DB1EEF7"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1D9C9997" w14:textId="77777777" w:rsidR="00C26A98" w:rsidRDefault="00C26A98">
            <w:pPr>
              <w:rPr>
                <w:sz w:val="24"/>
              </w:rPr>
            </w:pPr>
            <w:r>
              <w:rPr>
                <w:sz w:val="24"/>
              </w:rPr>
              <w:t>Tania Gutsche</w:t>
            </w:r>
          </w:p>
        </w:tc>
        <w:tc>
          <w:tcPr>
            <w:tcW w:w="3420" w:type="dxa"/>
            <w:tcBorders>
              <w:top w:val="single" w:sz="4" w:space="0" w:color="auto"/>
              <w:left w:val="single" w:sz="4" w:space="0" w:color="auto"/>
              <w:bottom w:val="single" w:sz="4" w:space="0" w:color="auto"/>
              <w:right w:val="single" w:sz="4" w:space="0" w:color="auto"/>
            </w:tcBorders>
            <w:hideMark/>
          </w:tcPr>
          <w:p w14:paraId="1BBCF360" w14:textId="77777777" w:rsidR="00C26A98" w:rsidRDefault="00C26A98">
            <w:pPr>
              <w:rPr>
                <w:sz w:val="24"/>
              </w:rPr>
            </w:pPr>
            <w:r>
              <w:rPr>
                <w:sz w:val="24"/>
              </w:rPr>
              <w:t>USC</w:t>
            </w:r>
          </w:p>
        </w:tc>
        <w:tc>
          <w:tcPr>
            <w:tcW w:w="2250" w:type="dxa"/>
            <w:tcBorders>
              <w:top w:val="single" w:sz="4" w:space="0" w:color="auto"/>
              <w:left w:val="single" w:sz="4" w:space="0" w:color="auto"/>
              <w:bottom w:val="single" w:sz="4" w:space="0" w:color="auto"/>
              <w:right w:val="single" w:sz="4" w:space="0" w:color="auto"/>
            </w:tcBorders>
            <w:hideMark/>
          </w:tcPr>
          <w:p w14:paraId="3AD16239" w14:textId="77777777" w:rsidR="00C26A98" w:rsidRDefault="00C26A98">
            <w:pPr>
              <w:rPr>
                <w:sz w:val="24"/>
              </w:rPr>
            </w:pPr>
            <w:r>
              <w:rPr>
                <w:sz w:val="24"/>
              </w:rPr>
              <w:t>310-448-0371</w:t>
            </w:r>
          </w:p>
        </w:tc>
      </w:tr>
      <w:tr w:rsidR="00C26A98" w14:paraId="40E3561D" w14:textId="77777777" w:rsidTr="00C26A98">
        <w:tc>
          <w:tcPr>
            <w:tcW w:w="2358" w:type="dxa"/>
            <w:tcBorders>
              <w:top w:val="single" w:sz="4" w:space="0" w:color="auto"/>
              <w:left w:val="single" w:sz="4" w:space="0" w:color="auto"/>
              <w:bottom w:val="single" w:sz="4" w:space="0" w:color="auto"/>
              <w:right w:val="single" w:sz="4" w:space="0" w:color="auto"/>
            </w:tcBorders>
            <w:hideMark/>
          </w:tcPr>
          <w:p w14:paraId="7E292D6D" w14:textId="77777777" w:rsidR="00C26A98" w:rsidRDefault="00C26A98">
            <w:pPr>
              <w:rPr>
                <w:sz w:val="24"/>
              </w:rPr>
            </w:pPr>
            <w:r>
              <w:rPr>
                <w:sz w:val="24"/>
              </w:rPr>
              <w:t>Charles Manski</w:t>
            </w:r>
          </w:p>
        </w:tc>
        <w:tc>
          <w:tcPr>
            <w:tcW w:w="3420" w:type="dxa"/>
            <w:tcBorders>
              <w:top w:val="single" w:sz="4" w:space="0" w:color="auto"/>
              <w:left w:val="single" w:sz="4" w:space="0" w:color="auto"/>
              <w:bottom w:val="single" w:sz="4" w:space="0" w:color="auto"/>
              <w:right w:val="single" w:sz="4" w:space="0" w:color="auto"/>
            </w:tcBorders>
            <w:hideMark/>
          </w:tcPr>
          <w:p w14:paraId="0CC0BB8B" w14:textId="77777777" w:rsidR="00C26A98" w:rsidRDefault="00C26A98">
            <w:pPr>
              <w:rPr>
                <w:sz w:val="24"/>
              </w:rPr>
            </w:pPr>
            <w:r>
              <w:rPr>
                <w:sz w:val="24"/>
              </w:rPr>
              <w:t>Northwestern University</w:t>
            </w:r>
          </w:p>
        </w:tc>
        <w:tc>
          <w:tcPr>
            <w:tcW w:w="2250" w:type="dxa"/>
            <w:tcBorders>
              <w:top w:val="single" w:sz="4" w:space="0" w:color="auto"/>
              <w:left w:val="single" w:sz="4" w:space="0" w:color="auto"/>
              <w:bottom w:val="single" w:sz="4" w:space="0" w:color="auto"/>
              <w:right w:val="single" w:sz="4" w:space="0" w:color="auto"/>
            </w:tcBorders>
            <w:hideMark/>
          </w:tcPr>
          <w:p w14:paraId="58E76A3C" w14:textId="77777777" w:rsidR="00C26A98" w:rsidRDefault="00C26A98">
            <w:pPr>
              <w:rPr>
                <w:sz w:val="24"/>
              </w:rPr>
            </w:pPr>
            <w:r>
              <w:rPr>
                <w:sz w:val="24"/>
              </w:rPr>
              <w:t>847-491-8223</w:t>
            </w:r>
          </w:p>
        </w:tc>
      </w:tr>
    </w:tbl>
    <w:p w14:paraId="6C6B79F6" w14:textId="77777777" w:rsidR="00C26A98" w:rsidRDefault="00C26A98" w:rsidP="00C26A98">
      <w:pPr>
        <w:rPr>
          <w:sz w:val="24"/>
        </w:rPr>
      </w:pPr>
    </w:p>
    <w:p w14:paraId="7232D3FE" w14:textId="77777777" w:rsidR="00C26A98" w:rsidRDefault="00C26A98" w:rsidP="00C26A98">
      <w:pPr>
        <w:rPr>
          <w:sz w:val="24"/>
        </w:rPr>
      </w:pPr>
      <w:bookmarkStart w:id="42" w:name="_Toc458458273"/>
      <w:bookmarkEnd w:id="42"/>
    </w:p>
    <w:p w14:paraId="0BB085F6" w14:textId="5906DE85" w:rsidR="00936AB4" w:rsidRDefault="00936AB4">
      <w:pPr>
        <w:widowControl/>
        <w:autoSpaceDE/>
        <w:autoSpaceDN/>
        <w:adjustRightInd/>
        <w:rPr>
          <w:sz w:val="24"/>
        </w:rPr>
      </w:pPr>
      <w:r>
        <w:rPr>
          <w:sz w:val="24"/>
        </w:rPr>
        <w:br w:type="page"/>
      </w:r>
    </w:p>
    <w:p w14:paraId="779385C1" w14:textId="77777777" w:rsidR="00C1088C" w:rsidRDefault="00C1088C" w:rsidP="00C1088C">
      <w:pPr>
        <w:rPr>
          <w:sz w:val="24"/>
        </w:rPr>
      </w:pPr>
    </w:p>
    <w:p w14:paraId="66469980" w14:textId="7AF050E5" w:rsidR="00C1088C" w:rsidRPr="00C1088C" w:rsidRDefault="00C1088C" w:rsidP="00C1088C">
      <w:pPr>
        <w:keepNext/>
        <w:spacing w:before="240" w:after="60"/>
        <w:outlineLvl w:val="1"/>
        <w:rPr>
          <w:b/>
          <w:sz w:val="24"/>
          <w:szCs w:val="22"/>
        </w:rPr>
      </w:pPr>
      <w:bookmarkStart w:id="43" w:name="_Toc362604593"/>
      <w:bookmarkStart w:id="44" w:name="_Toc479599205"/>
      <w:r w:rsidRPr="00C1088C">
        <w:rPr>
          <w:b/>
          <w:sz w:val="24"/>
          <w:szCs w:val="22"/>
        </w:rPr>
        <w:t>References</w:t>
      </w:r>
      <w:bookmarkEnd w:id="43"/>
      <w:bookmarkEnd w:id="44"/>
    </w:p>
    <w:p w14:paraId="3D7BB0D2" w14:textId="77777777" w:rsidR="00C1088C" w:rsidRPr="00C1088C" w:rsidRDefault="00C1088C" w:rsidP="00C1088C">
      <w:pPr>
        <w:rPr>
          <w:sz w:val="22"/>
          <w:szCs w:val="22"/>
        </w:rPr>
      </w:pPr>
    </w:p>
    <w:p w14:paraId="4D3B42A7" w14:textId="21C68612" w:rsidR="00B22C89" w:rsidRDefault="00B22C89" w:rsidP="00B22C89">
      <w:pPr>
        <w:widowControl/>
        <w:autoSpaceDE/>
        <w:autoSpaceDN/>
        <w:adjustRightInd/>
        <w:ind w:left="720" w:hanging="720"/>
        <w:rPr>
          <w:sz w:val="24"/>
          <w:lang w:eastAsia="ja-JP" w:bidi="en-US"/>
        </w:rPr>
      </w:pPr>
      <w:r w:rsidRPr="00B22C89">
        <w:rPr>
          <w:sz w:val="24"/>
          <w:lang w:eastAsia="ja-JP" w:bidi="en-US"/>
        </w:rPr>
        <w:t>Bricker, J</w:t>
      </w:r>
      <w:r>
        <w:rPr>
          <w:sz w:val="24"/>
          <w:lang w:eastAsia="ja-JP" w:bidi="en-US"/>
        </w:rPr>
        <w:t>.</w:t>
      </w:r>
      <w:r w:rsidRPr="00B22C89">
        <w:rPr>
          <w:sz w:val="24"/>
          <w:lang w:eastAsia="ja-JP" w:bidi="en-US"/>
        </w:rPr>
        <w:t>, L</w:t>
      </w:r>
      <w:r>
        <w:rPr>
          <w:sz w:val="24"/>
          <w:lang w:eastAsia="ja-JP" w:bidi="en-US"/>
        </w:rPr>
        <w:t>.</w:t>
      </w:r>
      <w:r w:rsidRPr="00B22C89">
        <w:rPr>
          <w:sz w:val="24"/>
          <w:lang w:eastAsia="ja-JP" w:bidi="en-US"/>
        </w:rPr>
        <w:t xml:space="preserve"> Dettling, A</w:t>
      </w:r>
      <w:r>
        <w:rPr>
          <w:sz w:val="24"/>
          <w:lang w:eastAsia="ja-JP" w:bidi="en-US"/>
        </w:rPr>
        <w:t>.</w:t>
      </w:r>
      <w:r w:rsidRPr="00B22C89">
        <w:rPr>
          <w:sz w:val="24"/>
          <w:lang w:eastAsia="ja-JP" w:bidi="en-US"/>
        </w:rPr>
        <w:t xml:space="preserve"> Henriques,</w:t>
      </w:r>
      <w:r>
        <w:rPr>
          <w:sz w:val="24"/>
          <w:lang w:eastAsia="ja-JP" w:bidi="en-US"/>
        </w:rPr>
        <w:t xml:space="preserve"> J. Hsu, K. Moore, </w:t>
      </w:r>
      <w:r w:rsidRPr="00B22C89">
        <w:rPr>
          <w:sz w:val="24"/>
          <w:lang w:eastAsia="ja-JP" w:bidi="en-US"/>
        </w:rPr>
        <w:t>J</w:t>
      </w:r>
      <w:r>
        <w:rPr>
          <w:sz w:val="24"/>
          <w:lang w:eastAsia="ja-JP" w:bidi="en-US"/>
        </w:rPr>
        <w:t>.</w:t>
      </w:r>
      <w:r w:rsidRPr="00B22C89">
        <w:rPr>
          <w:sz w:val="24"/>
          <w:lang w:eastAsia="ja-JP" w:bidi="en-US"/>
        </w:rPr>
        <w:t xml:space="preserve"> Sabelhaus, J</w:t>
      </w:r>
      <w:r>
        <w:rPr>
          <w:sz w:val="24"/>
          <w:lang w:eastAsia="ja-JP" w:bidi="en-US"/>
        </w:rPr>
        <w:t>.</w:t>
      </w:r>
      <w:r w:rsidRPr="00B22C89">
        <w:rPr>
          <w:sz w:val="24"/>
          <w:lang w:eastAsia="ja-JP" w:bidi="en-US"/>
        </w:rPr>
        <w:t xml:space="preserve"> Thompson, and R</w:t>
      </w:r>
      <w:r>
        <w:rPr>
          <w:sz w:val="24"/>
          <w:lang w:eastAsia="ja-JP" w:bidi="en-US"/>
        </w:rPr>
        <w:t xml:space="preserve">. </w:t>
      </w:r>
      <w:r w:rsidRPr="00B22C89">
        <w:rPr>
          <w:sz w:val="24"/>
          <w:lang w:eastAsia="ja-JP" w:bidi="en-US"/>
        </w:rPr>
        <w:t>Windle</w:t>
      </w:r>
      <w:r>
        <w:rPr>
          <w:sz w:val="24"/>
          <w:lang w:eastAsia="ja-JP" w:bidi="en-US"/>
        </w:rPr>
        <w:t xml:space="preserve"> (2014), “Changes in U.S. Family </w:t>
      </w:r>
      <w:r w:rsidRPr="00B22C89">
        <w:rPr>
          <w:sz w:val="24"/>
          <w:lang w:eastAsia="ja-JP" w:bidi="en-US"/>
        </w:rPr>
        <w:t xml:space="preserve">Finances from 2010 to 2013: Evidence from the Survey of Consumer Finances,” </w:t>
      </w:r>
      <w:r w:rsidRPr="00B22C89">
        <w:rPr>
          <w:i/>
          <w:sz w:val="24"/>
          <w:lang w:eastAsia="ja-JP" w:bidi="en-US"/>
        </w:rPr>
        <w:t>Federal Reserve Bulletin</w:t>
      </w:r>
      <w:r>
        <w:rPr>
          <w:sz w:val="24"/>
          <w:lang w:eastAsia="ja-JP" w:bidi="en-US"/>
        </w:rPr>
        <w:t>, 100(4): 1-40.</w:t>
      </w:r>
    </w:p>
    <w:p w14:paraId="7578DCC0" w14:textId="77777777" w:rsidR="00865D39" w:rsidRDefault="00865D39" w:rsidP="00C1088C">
      <w:pPr>
        <w:widowControl/>
        <w:autoSpaceDE/>
        <w:autoSpaceDN/>
        <w:adjustRightInd/>
        <w:ind w:left="720" w:hanging="720"/>
        <w:rPr>
          <w:sz w:val="24"/>
          <w:lang w:eastAsia="ja-JP" w:bidi="en-US"/>
        </w:rPr>
      </w:pPr>
      <w:r w:rsidRPr="00082EA2">
        <w:rPr>
          <w:sz w:val="24"/>
          <w:lang w:eastAsia="ja-JP" w:bidi="en-US"/>
        </w:rPr>
        <w:t>Church, A. (1993</w:t>
      </w:r>
      <w:r w:rsidRPr="00865D39">
        <w:rPr>
          <w:sz w:val="24"/>
          <w:lang w:eastAsia="ja-JP" w:bidi="en-US"/>
        </w:rPr>
        <w:t xml:space="preserve">), “Estimating the Effect of Incentives on Mail Survey Response Rates: A Meta-Analysis,” </w:t>
      </w:r>
      <w:r w:rsidRPr="000E20EB">
        <w:rPr>
          <w:i/>
          <w:sz w:val="24"/>
          <w:lang w:eastAsia="ja-JP" w:bidi="en-US"/>
        </w:rPr>
        <w:t>Public Opinion Quarterly</w:t>
      </w:r>
      <w:r w:rsidRPr="00865D39">
        <w:rPr>
          <w:sz w:val="24"/>
          <w:lang w:eastAsia="ja-JP" w:bidi="en-US"/>
        </w:rPr>
        <w:t>, 57, 62-79.</w:t>
      </w:r>
    </w:p>
    <w:p w14:paraId="38B9BB05" w14:textId="77777777" w:rsidR="00F72BC2" w:rsidRDefault="00F72BC2" w:rsidP="00C1088C">
      <w:pPr>
        <w:widowControl/>
        <w:autoSpaceDE/>
        <w:autoSpaceDN/>
        <w:adjustRightInd/>
        <w:ind w:left="720" w:hanging="720"/>
        <w:rPr>
          <w:sz w:val="24"/>
        </w:rPr>
      </w:pPr>
      <w:r>
        <w:rPr>
          <w:sz w:val="24"/>
        </w:rPr>
        <w:t xml:space="preserve">Cochrane, </w:t>
      </w:r>
      <w:r w:rsidR="005262E6">
        <w:rPr>
          <w:sz w:val="24"/>
        </w:rPr>
        <w:t>W., F. Mosteller</w:t>
      </w:r>
      <w:r>
        <w:rPr>
          <w:sz w:val="24"/>
        </w:rPr>
        <w:t xml:space="preserve"> and </w:t>
      </w:r>
      <w:r w:rsidR="005262E6">
        <w:rPr>
          <w:sz w:val="24"/>
        </w:rPr>
        <w:t xml:space="preserve">J. </w:t>
      </w:r>
      <w:r>
        <w:rPr>
          <w:sz w:val="24"/>
        </w:rPr>
        <w:t>Tukey</w:t>
      </w:r>
      <w:r w:rsidR="005262E6">
        <w:rPr>
          <w:sz w:val="24"/>
        </w:rPr>
        <w:t xml:space="preserve"> (1954)</w:t>
      </w:r>
      <w:r w:rsidR="00020D05">
        <w:rPr>
          <w:sz w:val="24"/>
        </w:rPr>
        <w:t>,</w:t>
      </w:r>
      <w:r w:rsidR="005262E6">
        <w:rPr>
          <w:sz w:val="24"/>
        </w:rPr>
        <w:t xml:space="preserve"> </w:t>
      </w:r>
      <w:r w:rsidR="005262E6" w:rsidRPr="005262E6">
        <w:rPr>
          <w:i/>
          <w:sz w:val="24"/>
        </w:rPr>
        <w:t>Statistical Problems of the Kinsey Report on Sexual Behavior in the Human Male</w:t>
      </w:r>
      <w:r w:rsidR="005262E6">
        <w:rPr>
          <w:sz w:val="24"/>
        </w:rPr>
        <w:t>, Washington, D.C.: The American Statistical Association.</w:t>
      </w:r>
    </w:p>
    <w:p w14:paraId="7B30DE99" w14:textId="3E6D6D1E" w:rsidR="009F7820" w:rsidRDefault="009F7820" w:rsidP="007C5120">
      <w:pPr>
        <w:widowControl/>
        <w:autoSpaceDE/>
        <w:autoSpaceDN/>
        <w:adjustRightInd/>
        <w:ind w:left="720" w:hanging="720"/>
        <w:rPr>
          <w:sz w:val="24"/>
          <w:lang w:eastAsia="ja-JP" w:bidi="en-US"/>
        </w:rPr>
      </w:pPr>
      <w:r w:rsidRPr="009F7820">
        <w:rPr>
          <w:sz w:val="24"/>
          <w:lang w:eastAsia="ja-JP" w:bidi="en-US"/>
        </w:rPr>
        <w:t xml:space="preserve">DeBell, M. and J. Krosnick (2009), </w:t>
      </w:r>
      <w:r>
        <w:rPr>
          <w:sz w:val="24"/>
          <w:lang w:eastAsia="ja-JP" w:bidi="en-US"/>
        </w:rPr>
        <w:t>“</w:t>
      </w:r>
      <w:r w:rsidRPr="009F7820">
        <w:rPr>
          <w:sz w:val="24"/>
          <w:lang w:eastAsia="ja-JP" w:bidi="en-US"/>
        </w:rPr>
        <w:t>Computing Weights for American National Election Study Survey Data,</w:t>
      </w:r>
      <w:r>
        <w:rPr>
          <w:sz w:val="24"/>
          <w:lang w:eastAsia="ja-JP" w:bidi="en-US"/>
        </w:rPr>
        <w:t>”</w:t>
      </w:r>
      <w:r w:rsidRPr="009F7820">
        <w:rPr>
          <w:sz w:val="24"/>
          <w:lang w:eastAsia="ja-JP" w:bidi="en-US"/>
        </w:rPr>
        <w:t xml:space="preserve"> ANES Technical Report Series, No. nes012427.</w:t>
      </w:r>
    </w:p>
    <w:p w14:paraId="20567639" w14:textId="77777777" w:rsidR="00F612D7" w:rsidRPr="00F612D7" w:rsidRDefault="00F612D7" w:rsidP="00F612D7">
      <w:pPr>
        <w:widowControl/>
        <w:autoSpaceDE/>
        <w:autoSpaceDN/>
        <w:adjustRightInd/>
        <w:ind w:left="720" w:hanging="720"/>
        <w:rPr>
          <w:sz w:val="24"/>
          <w:lang w:eastAsia="ja-JP" w:bidi="en-US"/>
        </w:rPr>
      </w:pPr>
      <w:r w:rsidRPr="00082EA2">
        <w:rPr>
          <w:sz w:val="24"/>
          <w:lang w:eastAsia="ja-JP" w:bidi="en-US"/>
        </w:rPr>
        <w:t>Edwards, P., I. Roberts, M. Clarke,</w:t>
      </w:r>
      <w:r w:rsidRPr="00F612D7">
        <w:rPr>
          <w:sz w:val="24"/>
          <w:lang w:eastAsia="ja-JP" w:bidi="en-US"/>
        </w:rPr>
        <w:t xml:space="preserve"> C. DiGuiseppi, S. Pratap, R. Wentz, and I. Kwan (2002), “Increasing response rates to postal questionnaires: systematic review</w:t>
      </w:r>
      <w:r w:rsidR="00287CBB">
        <w:rPr>
          <w:sz w:val="24"/>
          <w:lang w:eastAsia="ja-JP" w:bidi="en-US"/>
        </w:rPr>
        <w:t>,</w:t>
      </w:r>
      <w:r w:rsidRPr="00F612D7">
        <w:rPr>
          <w:sz w:val="24"/>
          <w:lang w:eastAsia="ja-JP" w:bidi="en-US"/>
        </w:rPr>
        <w:t xml:space="preserve">”  </w:t>
      </w:r>
      <w:r w:rsidRPr="00F612D7">
        <w:rPr>
          <w:i/>
          <w:sz w:val="24"/>
          <w:lang w:eastAsia="ja-JP" w:bidi="en-US"/>
        </w:rPr>
        <w:t>British Medical Journal</w:t>
      </w:r>
      <w:r w:rsidRPr="00F612D7">
        <w:rPr>
          <w:sz w:val="24"/>
          <w:lang w:eastAsia="ja-JP" w:bidi="en-US"/>
        </w:rPr>
        <w:t>, 324: 1183–91.</w:t>
      </w:r>
    </w:p>
    <w:p w14:paraId="30023DE7" w14:textId="77777777" w:rsidR="00C1088C" w:rsidRDefault="00C1088C" w:rsidP="00C1088C">
      <w:pPr>
        <w:widowControl/>
        <w:autoSpaceDE/>
        <w:autoSpaceDN/>
        <w:adjustRightInd/>
        <w:ind w:left="720" w:hanging="720"/>
        <w:rPr>
          <w:sz w:val="24"/>
          <w:lang w:eastAsia="ja-JP" w:bidi="en-US"/>
        </w:rPr>
      </w:pPr>
      <w:r w:rsidRPr="00C1088C">
        <w:rPr>
          <w:sz w:val="24"/>
          <w:lang w:eastAsia="ja-JP" w:bidi="en-US"/>
        </w:rPr>
        <w:t xml:space="preserve">Göritz, A.S. (2006), </w:t>
      </w:r>
      <w:r w:rsidR="008A67B3">
        <w:rPr>
          <w:sz w:val="24"/>
          <w:lang w:eastAsia="ja-JP" w:bidi="en-US"/>
        </w:rPr>
        <w:t>“</w:t>
      </w:r>
      <w:r w:rsidRPr="00C1088C">
        <w:rPr>
          <w:sz w:val="24"/>
          <w:lang w:eastAsia="ja-JP" w:bidi="en-US"/>
        </w:rPr>
        <w:t>Incentives in Web Studies: Methodological Issues and a Review,</w:t>
      </w:r>
      <w:r w:rsidR="008A67B3">
        <w:rPr>
          <w:sz w:val="24"/>
          <w:lang w:eastAsia="ja-JP" w:bidi="en-US"/>
        </w:rPr>
        <w:t>”</w:t>
      </w:r>
      <w:r w:rsidRPr="00C1088C">
        <w:rPr>
          <w:sz w:val="24"/>
          <w:lang w:eastAsia="ja-JP" w:bidi="en-US"/>
        </w:rPr>
        <w:t xml:space="preserve"> </w:t>
      </w:r>
      <w:r w:rsidRPr="00C1088C">
        <w:rPr>
          <w:i/>
          <w:sz w:val="24"/>
          <w:lang w:eastAsia="ja-JP" w:bidi="en-US"/>
        </w:rPr>
        <w:t>International Journal of Internet Science</w:t>
      </w:r>
      <w:r w:rsidRPr="00C1088C">
        <w:rPr>
          <w:sz w:val="24"/>
          <w:lang w:eastAsia="ja-JP" w:bidi="en-US"/>
        </w:rPr>
        <w:t>, 1, pp. 58-70.</w:t>
      </w:r>
    </w:p>
    <w:p w14:paraId="610D8E8C" w14:textId="77777777" w:rsidR="00F72BC2" w:rsidRDefault="00F72BC2" w:rsidP="00C1088C">
      <w:pPr>
        <w:widowControl/>
        <w:autoSpaceDE/>
        <w:autoSpaceDN/>
        <w:adjustRightInd/>
        <w:ind w:left="720" w:hanging="720"/>
        <w:rPr>
          <w:sz w:val="24"/>
        </w:rPr>
      </w:pPr>
      <w:r>
        <w:rPr>
          <w:sz w:val="24"/>
        </w:rPr>
        <w:t>Groves</w:t>
      </w:r>
      <w:r w:rsidR="00D7267F">
        <w:rPr>
          <w:sz w:val="24"/>
        </w:rPr>
        <w:t>, R. and E. Pe</w:t>
      </w:r>
      <w:r>
        <w:rPr>
          <w:sz w:val="24"/>
        </w:rPr>
        <w:t>y</w:t>
      </w:r>
      <w:r w:rsidR="00D7267F">
        <w:rPr>
          <w:sz w:val="24"/>
        </w:rPr>
        <w:t>t</w:t>
      </w:r>
      <w:r>
        <w:rPr>
          <w:sz w:val="24"/>
        </w:rPr>
        <w:t>cheva (2008)</w:t>
      </w:r>
      <w:r w:rsidR="00D7267F">
        <w:rPr>
          <w:sz w:val="24"/>
        </w:rPr>
        <w:t xml:space="preserve">, “The Impact of Nonresponse Rates on Nonresponse Bias: A Meta-Analysis,” </w:t>
      </w:r>
      <w:r w:rsidR="00D7267F" w:rsidRPr="00D7267F">
        <w:rPr>
          <w:i/>
          <w:sz w:val="24"/>
        </w:rPr>
        <w:t>Public Opinion Quarterly</w:t>
      </w:r>
      <w:r w:rsidR="00D7267F">
        <w:rPr>
          <w:sz w:val="24"/>
        </w:rPr>
        <w:t>, 72, 167-189.</w:t>
      </w:r>
    </w:p>
    <w:p w14:paraId="60228393" w14:textId="77777777" w:rsidR="00873421" w:rsidRDefault="00873421" w:rsidP="00C1088C">
      <w:pPr>
        <w:widowControl/>
        <w:autoSpaceDE/>
        <w:autoSpaceDN/>
        <w:adjustRightInd/>
        <w:ind w:left="720" w:hanging="720"/>
        <w:rPr>
          <w:sz w:val="24"/>
          <w:lang w:eastAsia="ja-JP" w:bidi="en-US"/>
        </w:rPr>
      </w:pPr>
      <w:r>
        <w:rPr>
          <w:sz w:val="24"/>
          <w:lang w:eastAsia="ja-JP" w:bidi="en-US"/>
        </w:rPr>
        <w:t xml:space="preserve">Horowitz, J. and C. Manski (1998), “Censoring of Outcomes and Regressors due to Survey Nonresponse: Identification and Estimation Using Weights and Imputations,” </w:t>
      </w:r>
      <w:r w:rsidRPr="005A1311">
        <w:rPr>
          <w:i/>
          <w:sz w:val="24"/>
          <w:lang w:eastAsia="ja-JP" w:bidi="en-US"/>
        </w:rPr>
        <w:t>Journal of Econometrics</w:t>
      </w:r>
      <w:r>
        <w:rPr>
          <w:sz w:val="24"/>
          <w:lang w:eastAsia="ja-JP" w:bidi="en-US"/>
        </w:rPr>
        <w:t>, 84, 37-58.</w:t>
      </w:r>
    </w:p>
    <w:p w14:paraId="271E7BC4" w14:textId="77777777" w:rsidR="00873421" w:rsidRDefault="00873421" w:rsidP="00873421">
      <w:pPr>
        <w:widowControl/>
        <w:autoSpaceDE/>
        <w:autoSpaceDN/>
        <w:adjustRightInd/>
        <w:ind w:left="720" w:hanging="720"/>
        <w:rPr>
          <w:sz w:val="24"/>
          <w:lang w:eastAsia="ja-JP" w:bidi="en-US"/>
        </w:rPr>
      </w:pPr>
      <w:r>
        <w:rPr>
          <w:sz w:val="24"/>
          <w:lang w:eastAsia="ja-JP" w:bidi="en-US"/>
        </w:rPr>
        <w:t>Horowitz, J. and C. Manski (2000), “Nonparametic Analysis of Randomized Experiments with Missing Covariate and Outcome Data,” J</w:t>
      </w:r>
      <w:r w:rsidRPr="005A1311">
        <w:rPr>
          <w:i/>
          <w:sz w:val="24"/>
          <w:lang w:eastAsia="ja-JP" w:bidi="en-US"/>
        </w:rPr>
        <w:t>ournal of the American Statistical Association</w:t>
      </w:r>
      <w:r>
        <w:rPr>
          <w:sz w:val="24"/>
          <w:lang w:eastAsia="ja-JP" w:bidi="en-US"/>
        </w:rPr>
        <w:t>, 95, 77-84.</w:t>
      </w:r>
    </w:p>
    <w:p w14:paraId="577ECE1E" w14:textId="2FB77B3F" w:rsidR="00EA02A4" w:rsidRDefault="00EA02A4" w:rsidP="00EA02A4">
      <w:pPr>
        <w:widowControl/>
        <w:autoSpaceDE/>
        <w:autoSpaceDN/>
        <w:adjustRightInd/>
        <w:ind w:left="720" w:hanging="720"/>
        <w:rPr>
          <w:sz w:val="24"/>
          <w:lang w:eastAsia="ja-JP" w:bidi="en-US"/>
        </w:rPr>
      </w:pPr>
      <w:r w:rsidRPr="00EA02A4">
        <w:rPr>
          <w:sz w:val="24"/>
          <w:lang w:eastAsia="ja-JP" w:bidi="en-US"/>
        </w:rPr>
        <w:t>Hung, A., N. Clancy, J. Dominitz, E. Talley, C. Berrebi, F. Suvankulov</w:t>
      </w:r>
      <w:r>
        <w:rPr>
          <w:sz w:val="24"/>
          <w:lang w:eastAsia="ja-JP" w:bidi="en-US"/>
        </w:rPr>
        <w:t xml:space="preserve"> (2008)</w:t>
      </w:r>
      <w:r w:rsidRPr="00EA02A4">
        <w:rPr>
          <w:sz w:val="24"/>
          <w:lang w:eastAsia="ja-JP" w:bidi="en-US"/>
        </w:rPr>
        <w:t xml:space="preserve">, </w:t>
      </w:r>
      <w:r w:rsidRPr="005A1311">
        <w:rPr>
          <w:i/>
          <w:sz w:val="24"/>
          <w:lang w:eastAsia="ja-JP" w:bidi="en-US"/>
        </w:rPr>
        <w:t>Investor and Industry Perspectives on Investment Advisers and Broker-Dealers</w:t>
      </w:r>
      <w:r w:rsidRPr="00EA02A4">
        <w:rPr>
          <w:sz w:val="24"/>
          <w:lang w:eastAsia="ja-JP" w:bidi="en-US"/>
        </w:rPr>
        <w:t>. Santa Moni</w:t>
      </w:r>
      <w:r>
        <w:rPr>
          <w:sz w:val="24"/>
          <w:lang w:eastAsia="ja-JP" w:bidi="en-US"/>
        </w:rPr>
        <w:t>ca, CA: RAND, TR-556-USSEC, available at</w:t>
      </w:r>
      <w:r w:rsidR="00573462">
        <w:rPr>
          <w:sz w:val="24"/>
          <w:lang w:eastAsia="ja-JP" w:bidi="en-US"/>
        </w:rPr>
        <w:t xml:space="preserve">: </w:t>
      </w:r>
      <w:r>
        <w:rPr>
          <w:sz w:val="24"/>
          <w:lang w:eastAsia="ja-JP" w:bidi="en-US"/>
        </w:rPr>
        <w:t xml:space="preserve"> </w:t>
      </w:r>
      <w:hyperlink r:id="rId9" w:history="1">
        <w:r w:rsidR="00657E8C" w:rsidRPr="007B3C2F">
          <w:rPr>
            <w:rStyle w:val="Hyperlink"/>
            <w:sz w:val="24"/>
            <w:lang w:eastAsia="ja-JP" w:bidi="en-US"/>
          </w:rPr>
          <w:t>http://www.sec.gov/news/press/2008/2008-1_randiabdreport.pdf</w:t>
        </w:r>
      </w:hyperlink>
      <w:r w:rsidR="00573462">
        <w:rPr>
          <w:sz w:val="24"/>
          <w:lang w:eastAsia="ja-JP" w:bidi="en-US"/>
        </w:rPr>
        <w:t>.</w:t>
      </w:r>
    </w:p>
    <w:p w14:paraId="36B62C6A" w14:textId="77777777" w:rsidR="00B452B0" w:rsidRDefault="00A46369" w:rsidP="00873421">
      <w:pPr>
        <w:widowControl/>
        <w:autoSpaceDE/>
        <w:autoSpaceDN/>
        <w:adjustRightInd/>
        <w:ind w:left="720" w:hanging="720"/>
        <w:rPr>
          <w:sz w:val="24"/>
          <w:lang w:eastAsia="ja-JP" w:bidi="en-US"/>
        </w:rPr>
      </w:pPr>
      <w:r>
        <w:rPr>
          <w:sz w:val="24"/>
          <w:lang w:eastAsia="ja-JP" w:bidi="en-US"/>
        </w:rPr>
        <w:t>Imben</w:t>
      </w:r>
      <w:r w:rsidR="00B452B0">
        <w:rPr>
          <w:sz w:val="24"/>
          <w:lang w:eastAsia="ja-JP" w:bidi="en-US"/>
        </w:rPr>
        <w:t xml:space="preserve">s, G. and C. Manski (2004), “Confidence Intervals for Partially Identified Parameters,” </w:t>
      </w:r>
      <w:r w:rsidR="00B452B0" w:rsidRPr="005A1311">
        <w:rPr>
          <w:i/>
          <w:sz w:val="24"/>
          <w:lang w:eastAsia="ja-JP" w:bidi="en-US"/>
        </w:rPr>
        <w:t>Econometrica</w:t>
      </w:r>
      <w:r w:rsidR="00B452B0">
        <w:rPr>
          <w:sz w:val="24"/>
          <w:lang w:eastAsia="ja-JP" w:bidi="en-US"/>
        </w:rPr>
        <w:t>, 72, 1845-1857.</w:t>
      </w:r>
    </w:p>
    <w:p w14:paraId="05D2BE58" w14:textId="77777777" w:rsidR="002666A4" w:rsidRPr="00C1088C" w:rsidRDefault="002666A4" w:rsidP="002666A4">
      <w:pPr>
        <w:widowControl/>
        <w:autoSpaceDE/>
        <w:autoSpaceDN/>
        <w:adjustRightInd/>
        <w:ind w:left="720" w:hanging="720"/>
        <w:rPr>
          <w:sz w:val="24"/>
          <w:lang w:eastAsia="ja-JP" w:bidi="en-US"/>
        </w:rPr>
      </w:pPr>
      <w:r>
        <w:rPr>
          <w:sz w:val="24"/>
          <w:lang w:eastAsia="ja-JP" w:bidi="en-US"/>
        </w:rPr>
        <w:t xml:space="preserve">Kline, P. and A. Santos (2013), “Sensitivity to </w:t>
      </w:r>
      <w:r w:rsidR="00000B3F">
        <w:rPr>
          <w:sz w:val="24"/>
          <w:lang w:eastAsia="ja-JP" w:bidi="en-US"/>
        </w:rPr>
        <w:t>M</w:t>
      </w:r>
      <w:r>
        <w:rPr>
          <w:sz w:val="24"/>
          <w:lang w:eastAsia="ja-JP" w:bidi="en-US"/>
        </w:rPr>
        <w:t xml:space="preserve">issing </w:t>
      </w:r>
      <w:r w:rsidR="00000B3F">
        <w:rPr>
          <w:sz w:val="24"/>
          <w:lang w:eastAsia="ja-JP" w:bidi="en-US"/>
        </w:rPr>
        <w:t>D</w:t>
      </w:r>
      <w:r>
        <w:rPr>
          <w:sz w:val="24"/>
          <w:lang w:eastAsia="ja-JP" w:bidi="en-US"/>
        </w:rPr>
        <w:t xml:space="preserve">ata </w:t>
      </w:r>
      <w:r w:rsidR="00000B3F">
        <w:rPr>
          <w:sz w:val="24"/>
          <w:lang w:eastAsia="ja-JP" w:bidi="en-US"/>
        </w:rPr>
        <w:t>A</w:t>
      </w:r>
      <w:r>
        <w:rPr>
          <w:sz w:val="24"/>
          <w:lang w:eastAsia="ja-JP" w:bidi="en-US"/>
        </w:rPr>
        <w:t xml:space="preserve">ssumptions: Theory and </w:t>
      </w:r>
      <w:r w:rsidR="00000B3F">
        <w:rPr>
          <w:sz w:val="24"/>
          <w:lang w:eastAsia="ja-JP" w:bidi="en-US"/>
        </w:rPr>
        <w:t>E</w:t>
      </w:r>
      <w:r>
        <w:rPr>
          <w:sz w:val="24"/>
          <w:lang w:eastAsia="ja-JP" w:bidi="en-US"/>
        </w:rPr>
        <w:t xml:space="preserve">valuation of the U.S. </w:t>
      </w:r>
      <w:r w:rsidR="00000B3F">
        <w:rPr>
          <w:sz w:val="24"/>
          <w:lang w:eastAsia="ja-JP" w:bidi="en-US"/>
        </w:rPr>
        <w:t>W</w:t>
      </w:r>
      <w:r>
        <w:rPr>
          <w:sz w:val="24"/>
          <w:lang w:eastAsia="ja-JP" w:bidi="en-US"/>
        </w:rPr>
        <w:t xml:space="preserve">age </w:t>
      </w:r>
      <w:r w:rsidR="00000B3F">
        <w:rPr>
          <w:sz w:val="24"/>
          <w:lang w:eastAsia="ja-JP" w:bidi="en-US"/>
        </w:rPr>
        <w:t>S</w:t>
      </w:r>
      <w:r>
        <w:rPr>
          <w:sz w:val="24"/>
          <w:lang w:eastAsia="ja-JP" w:bidi="en-US"/>
        </w:rPr>
        <w:t xml:space="preserve">tructure,” </w:t>
      </w:r>
      <w:r w:rsidRPr="005A1311">
        <w:rPr>
          <w:i/>
          <w:sz w:val="24"/>
          <w:lang w:eastAsia="ja-JP" w:bidi="en-US"/>
        </w:rPr>
        <w:t>Quantitative Economics</w:t>
      </w:r>
      <w:r>
        <w:rPr>
          <w:sz w:val="24"/>
          <w:lang w:eastAsia="ja-JP" w:bidi="en-US"/>
        </w:rPr>
        <w:t>, 4, 231-267.</w:t>
      </w:r>
    </w:p>
    <w:p w14:paraId="00DCF5A9" w14:textId="77777777" w:rsidR="002666A4" w:rsidRDefault="002666A4" w:rsidP="00873421">
      <w:pPr>
        <w:widowControl/>
        <w:autoSpaceDE/>
        <w:autoSpaceDN/>
        <w:adjustRightInd/>
        <w:ind w:left="720" w:hanging="720"/>
        <w:rPr>
          <w:sz w:val="24"/>
          <w:lang w:eastAsia="ja-JP" w:bidi="en-US"/>
        </w:rPr>
      </w:pPr>
      <w:r w:rsidRPr="002666A4">
        <w:rPr>
          <w:sz w:val="24"/>
          <w:lang w:eastAsia="ja-JP" w:bidi="en-US"/>
        </w:rPr>
        <w:t>Laurie, H. and P. Lynn (2008), “The Use of Respondent Incentives on Longitudinal Surveys,” Working Paper 2008-42, Institute of Social and Economic Research, University of Essex.</w:t>
      </w:r>
    </w:p>
    <w:p w14:paraId="37C91702" w14:textId="77777777" w:rsidR="00C1088C" w:rsidRPr="00C1088C" w:rsidRDefault="00C1088C" w:rsidP="00C1088C">
      <w:pPr>
        <w:widowControl/>
        <w:autoSpaceDE/>
        <w:autoSpaceDN/>
        <w:adjustRightInd/>
        <w:ind w:left="720" w:hanging="720"/>
        <w:rPr>
          <w:sz w:val="24"/>
          <w:lang w:eastAsia="ja-JP" w:bidi="en-US"/>
        </w:rPr>
      </w:pPr>
      <w:r w:rsidRPr="00C1088C">
        <w:rPr>
          <w:sz w:val="24"/>
          <w:lang w:eastAsia="ja-JP" w:bidi="en-US"/>
        </w:rPr>
        <w:t>Lusardi, A</w:t>
      </w:r>
      <w:r w:rsidR="003924B4">
        <w:rPr>
          <w:sz w:val="24"/>
          <w:lang w:eastAsia="ja-JP" w:bidi="en-US"/>
        </w:rPr>
        <w:t>.</w:t>
      </w:r>
      <w:r w:rsidRPr="00C1088C">
        <w:rPr>
          <w:sz w:val="24"/>
          <w:lang w:eastAsia="ja-JP" w:bidi="en-US"/>
        </w:rPr>
        <w:t xml:space="preserve"> and O</w:t>
      </w:r>
      <w:r w:rsidR="003924B4">
        <w:rPr>
          <w:sz w:val="24"/>
          <w:lang w:eastAsia="ja-JP" w:bidi="en-US"/>
        </w:rPr>
        <w:t>.</w:t>
      </w:r>
      <w:r w:rsidRPr="00C1088C">
        <w:rPr>
          <w:sz w:val="24"/>
          <w:lang w:eastAsia="ja-JP" w:bidi="en-US"/>
        </w:rPr>
        <w:t xml:space="preserve"> Mitchell (2006), Financial Literacy and Planning: Implications for Retirement Well Being, Pension Research Council Working Paper n.1, Wharton School, University of Pennsylvania.</w:t>
      </w:r>
    </w:p>
    <w:p w14:paraId="38846D90" w14:textId="77777777" w:rsidR="00C1088C" w:rsidRDefault="00C1088C" w:rsidP="00C1088C">
      <w:pPr>
        <w:widowControl/>
        <w:autoSpaceDE/>
        <w:autoSpaceDN/>
        <w:adjustRightInd/>
        <w:ind w:left="720" w:hanging="720"/>
        <w:rPr>
          <w:sz w:val="24"/>
          <w:lang w:eastAsia="ja-JP" w:bidi="en-US"/>
        </w:rPr>
      </w:pPr>
      <w:r w:rsidRPr="00C1088C">
        <w:rPr>
          <w:sz w:val="24"/>
          <w:lang w:eastAsia="ja-JP" w:bidi="en-US"/>
        </w:rPr>
        <w:lastRenderedPageBreak/>
        <w:t xml:space="preserve">Mack, S., V. Huggins, D. Keathley, and M. Sunduckchi (1998), </w:t>
      </w:r>
      <w:r w:rsidR="008A67B3">
        <w:rPr>
          <w:sz w:val="24"/>
          <w:lang w:eastAsia="ja-JP" w:bidi="en-US"/>
        </w:rPr>
        <w:t>“</w:t>
      </w:r>
      <w:r w:rsidRPr="00C1088C">
        <w:rPr>
          <w:sz w:val="24"/>
          <w:lang w:eastAsia="ja-JP" w:bidi="en-US"/>
        </w:rPr>
        <w:t>Do Monetary Incentives Improve Response Rates in the Survey of Income and Program Participation?</w:t>
      </w:r>
      <w:r w:rsidR="008A67B3">
        <w:rPr>
          <w:sz w:val="24"/>
          <w:lang w:eastAsia="ja-JP" w:bidi="en-US"/>
        </w:rPr>
        <w:t>”</w:t>
      </w:r>
      <w:r w:rsidRPr="00C1088C">
        <w:rPr>
          <w:sz w:val="24"/>
          <w:lang w:eastAsia="ja-JP" w:bidi="en-US"/>
        </w:rPr>
        <w:t xml:space="preserve"> </w:t>
      </w:r>
      <w:r w:rsidRPr="00C1088C">
        <w:rPr>
          <w:i/>
          <w:sz w:val="24"/>
          <w:lang w:eastAsia="ja-JP" w:bidi="en-US"/>
        </w:rPr>
        <w:t>Proceedings of the Section of Survey Research Methods, American Statistical Association</w:t>
      </w:r>
      <w:r w:rsidRPr="00C1088C">
        <w:rPr>
          <w:sz w:val="24"/>
          <w:lang w:eastAsia="ja-JP" w:bidi="en-US"/>
        </w:rPr>
        <w:t>.</w:t>
      </w:r>
    </w:p>
    <w:p w14:paraId="4B6BF757" w14:textId="77777777" w:rsidR="00B41EC6" w:rsidRDefault="00873421" w:rsidP="00C1088C">
      <w:pPr>
        <w:widowControl/>
        <w:autoSpaceDE/>
        <w:autoSpaceDN/>
        <w:adjustRightInd/>
        <w:ind w:left="720" w:hanging="720"/>
        <w:rPr>
          <w:sz w:val="24"/>
          <w:lang w:eastAsia="ja-JP" w:bidi="en-US"/>
        </w:rPr>
      </w:pPr>
      <w:r>
        <w:rPr>
          <w:sz w:val="24"/>
          <w:lang w:eastAsia="ja-JP" w:bidi="en-US"/>
        </w:rPr>
        <w:t>Manski, C.</w:t>
      </w:r>
      <w:r w:rsidR="00B41EC6">
        <w:rPr>
          <w:sz w:val="24"/>
          <w:lang w:eastAsia="ja-JP" w:bidi="en-US"/>
        </w:rPr>
        <w:t xml:space="preserve"> (201</w:t>
      </w:r>
      <w:r w:rsidR="003B55C3">
        <w:rPr>
          <w:sz w:val="24"/>
          <w:lang w:eastAsia="ja-JP" w:bidi="en-US"/>
        </w:rPr>
        <w:t>4</w:t>
      </w:r>
      <w:r w:rsidR="00B41EC6">
        <w:rPr>
          <w:sz w:val="24"/>
          <w:lang w:eastAsia="ja-JP" w:bidi="en-US"/>
        </w:rPr>
        <w:t xml:space="preserve">), “Credible Interval Estimates for Official Statistics with Survey Nonresponse,” Department of Economics and Institute for Policy Research, Northwestern University, working paper, available at </w:t>
      </w:r>
      <w:r w:rsidR="00B41EC6" w:rsidRPr="00B41EC6">
        <w:rPr>
          <w:sz w:val="24"/>
          <w:lang w:eastAsia="ja-JP" w:bidi="en-US"/>
        </w:rPr>
        <w:t>http://faculty.wcas.northwestern.edu/~cfm754/credible_official_statistics.pdf</w:t>
      </w:r>
    </w:p>
    <w:p w14:paraId="07FCB022" w14:textId="77777777" w:rsidR="00963EF5" w:rsidRDefault="00963EF5" w:rsidP="00C1088C">
      <w:pPr>
        <w:widowControl/>
        <w:autoSpaceDE/>
        <w:autoSpaceDN/>
        <w:adjustRightInd/>
        <w:ind w:left="720" w:hanging="720"/>
        <w:rPr>
          <w:sz w:val="24"/>
        </w:rPr>
      </w:pPr>
      <w:r>
        <w:rPr>
          <w:sz w:val="24"/>
        </w:rPr>
        <w:t xml:space="preserve">Manski, C. (2007), </w:t>
      </w:r>
      <w:r w:rsidRPr="005A1311">
        <w:rPr>
          <w:i/>
          <w:sz w:val="24"/>
        </w:rPr>
        <w:t>Identification for Prediction and Decision</w:t>
      </w:r>
      <w:r w:rsidRPr="005A1311">
        <w:rPr>
          <w:sz w:val="24"/>
        </w:rPr>
        <w:t>, Cambridge: Harvard University Press</w:t>
      </w:r>
      <w:r>
        <w:rPr>
          <w:sz w:val="24"/>
        </w:rPr>
        <w:t>.</w:t>
      </w:r>
    </w:p>
    <w:p w14:paraId="03FDAE92" w14:textId="77777777" w:rsidR="00CF5C6B" w:rsidRDefault="00CF5C6B" w:rsidP="00C1088C">
      <w:pPr>
        <w:widowControl/>
        <w:autoSpaceDE/>
        <w:autoSpaceDN/>
        <w:adjustRightInd/>
        <w:ind w:left="720" w:hanging="720"/>
        <w:rPr>
          <w:sz w:val="24"/>
        </w:rPr>
      </w:pPr>
      <w:r>
        <w:rPr>
          <w:sz w:val="24"/>
        </w:rPr>
        <w:t xml:space="preserve">Manski, C. (2003), </w:t>
      </w:r>
      <w:r w:rsidRPr="003F513A">
        <w:rPr>
          <w:i/>
          <w:sz w:val="24"/>
        </w:rPr>
        <w:t>Partial Identification of Probability Distributions</w:t>
      </w:r>
      <w:r>
        <w:rPr>
          <w:sz w:val="24"/>
        </w:rPr>
        <w:t>, New York: Springer-Verlag.</w:t>
      </w:r>
    </w:p>
    <w:p w14:paraId="361EBC94" w14:textId="77777777" w:rsidR="00E46A9D" w:rsidRDefault="00C1088C" w:rsidP="00C1088C">
      <w:pPr>
        <w:widowControl/>
        <w:autoSpaceDE/>
        <w:autoSpaceDN/>
        <w:adjustRightInd/>
        <w:ind w:left="720" w:hanging="720"/>
        <w:rPr>
          <w:sz w:val="24"/>
          <w:lang w:eastAsia="ja-JP" w:bidi="en-US"/>
        </w:rPr>
      </w:pPr>
      <w:r w:rsidRPr="00C1088C">
        <w:rPr>
          <w:sz w:val="24"/>
          <w:lang w:eastAsia="ja-JP" w:bidi="en-US"/>
        </w:rPr>
        <w:t xml:space="preserve">Millar, M. and D. Dillman (2011), </w:t>
      </w:r>
      <w:r w:rsidR="008A67B3">
        <w:rPr>
          <w:sz w:val="24"/>
          <w:lang w:eastAsia="ja-JP" w:bidi="en-US"/>
        </w:rPr>
        <w:t>“</w:t>
      </w:r>
      <w:r w:rsidRPr="00C1088C">
        <w:rPr>
          <w:sz w:val="24"/>
          <w:lang w:eastAsia="ja-JP" w:bidi="en-US"/>
        </w:rPr>
        <w:t>Improving Response to Web and Mixed-Mode Surveys,</w:t>
      </w:r>
      <w:r w:rsidR="008A67B3">
        <w:rPr>
          <w:sz w:val="24"/>
          <w:lang w:eastAsia="ja-JP" w:bidi="en-US"/>
        </w:rPr>
        <w:t>”</w:t>
      </w:r>
      <w:r w:rsidRPr="00C1088C">
        <w:rPr>
          <w:sz w:val="24"/>
          <w:lang w:eastAsia="ja-JP" w:bidi="en-US"/>
        </w:rPr>
        <w:t xml:space="preserve"> </w:t>
      </w:r>
      <w:r w:rsidRPr="00C1088C">
        <w:rPr>
          <w:i/>
          <w:sz w:val="24"/>
          <w:lang w:eastAsia="ja-JP" w:bidi="en-US"/>
        </w:rPr>
        <w:t>Public Opinion Quarterly</w:t>
      </w:r>
      <w:r w:rsidRPr="00C1088C">
        <w:rPr>
          <w:sz w:val="24"/>
          <w:lang w:eastAsia="ja-JP" w:bidi="en-US"/>
        </w:rPr>
        <w:t>, 75 (2), pp. 249-269.</w:t>
      </w:r>
    </w:p>
    <w:p w14:paraId="543553AE" w14:textId="77777777" w:rsidR="00F612D7" w:rsidRDefault="00F612D7" w:rsidP="00F612D7">
      <w:pPr>
        <w:widowControl/>
        <w:autoSpaceDE/>
        <w:autoSpaceDN/>
        <w:adjustRightInd/>
        <w:ind w:left="720" w:hanging="720"/>
        <w:rPr>
          <w:sz w:val="24"/>
        </w:rPr>
      </w:pPr>
      <w:r w:rsidRPr="00F612D7">
        <w:rPr>
          <w:sz w:val="24"/>
        </w:rPr>
        <w:t>Singer, E. and C</w:t>
      </w:r>
      <w:r w:rsidR="00B75AB3">
        <w:rPr>
          <w:sz w:val="24"/>
        </w:rPr>
        <w:t>.</w:t>
      </w:r>
      <w:r w:rsidRPr="00F612D7">
        <w:rPr>
          <w:sz w:val="24"/>
        </w:rPr>
        <w:t xml:space="preserve"> Ye (2013), “The Use and Effects of Incentives in Surveys</w:t>
      </w:r>
      <w:r w:rsidR="00287CBB">
        <w:rPr>
          <w:sz w:val="24"/>
        </w:rPr>
        <w:t>,</w:t>
      </w:r>
      <w:r w:rsidRPr="00F612D7">
        <w:rPr>
          <w:sz w:val="24"/>
        </w:rPr>
        <w:t xml:space="preserve">” </w:t>
      </w:r>
      <w:r w:rsidRPr="00F612D7">
        <w:rPr>
          <w:i/>
          <w:sz w:val="24"/>
        </w:rPr>
        <w:t>The ANNALS of the American Academy of Political and Social Science</w:t>
      </w:r>
      <w:r w:rsidRPr="00F612D7">
        <w:rPr>
          <w:sz w:val="24"/>
        </w:rPr>
        <w:t>, 645: 112-141.</w:t>
      </w:r>
    </w:p>
    <w:p w14:paraId="28580A77" w14:textId="2F8ECFCB" w:rsidR="009E6987" w:rsidRDefault="00354E5C" w:rsidP="00454EFF">
      <w:pPr>
        <w:widowControl/>
        <w:autoSpaceDE/>
        <w:autoSpaceDN/>
        <w:adjustRightInd/>
        <w:ind w:left="720" w:hanging="720"/>
        <w:rPr>
          <w:rFonts w:ascii="Calibri" w:eastAsia="Calibri" w:hAnsi="Calibri"/>
          <w:b/>
          <w:sz w:val="22"/>
          <w:szCs w:val="22"/>
        </w:rPr>
      </w:pPr>
      <w:r w:rsidRPr="005A1311">
        <w:rPr>
          <w:sz w:val="24"/>
        </w:rPr>
        <w:t xml:space="preserve">Wooldridge, J. (2002), </w:t>
      </w:r>
      <w:r w:rsidRPr="005A1311">
        <w:rPr>
          <w:i/>
          <w:sz w:val="24"/>
        </w:rPr>
        <w:t>Econometric Analysis of Cross Section and Panel Data</w:t>
      </w:r>
      <w:r w:rsidRPr="005A1311">
        <w:rPr>
          <w:sz w:val="24"/>
        </w:rPr>
        <w:t>,</w:t>
      </w:r>
      <w:r w:rsidR="00DD7EDA" w:rsidRPr="005A1311">
        <w:rPr>
          <w:sz w:val="24"/>
        </w:rPr>
        <w:t xml:space="preserve"> Cambridge: MIT Press.</w:t>
      </w:r>
    </w:p>
    <w:sectPr w:rsidR="009E6987" w:rsidSect="003F513A">
      <w:headerReference w:type="default" r:id="rId10"/>
      <w:footerReference w:type="default" r:id="rId11"/>
      <w:endnotePr>
        <w:numFmt w:val="decimal"/>
      </w:endnotePr>
      <w:pgSz w:w="12240" w:h="15840"/>
      <w:pgMar w:top="1440" w:right="1440" w:bottom="1260" w:left="1440" w:header="1440" w:footer="110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22B6C" w14:textId="77777777" w:rsidR="00447F4B" w:rsidRDefault="00447F4B">
      <w:r>
        <w:separator/>
      </w:r>
    </w:p>
  </w:endnote>
  <w:endnote w:type="continuationSeparator" w:id="0">
    <w:p w14:paraId="7AF46C1B" w14:textId="77777777" w:rsidR="00447F4B" w:rsidRDefault="0044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41602"/>
      <w:docPartObj>
        <w:docPartGallery w:val="Page Numbers (Bottom of Page)"/>
        <w:docPartUnique/>
      </w:docPartObj>
    </w:sdtPr>
    <w:sdtEndPr>
      <w:rPr>
        <w:noProof/>
      </w:rPr>
    </w:sdtEndPr>
    <w:sdtContent>
      <w:p w14:paraId="5B1674C6" w14:textId="6D7D3DCA" w:rsidR="004A1DB6" w:rsidRDefault="004A1DB6">
        <w:pPr>
          <w:pStyle w:val="Footer"/>
          <w:jc w:val="center"/>
        </w:pPr>
        <w:r>
          <w:fldChar w:fldCharType="begin"/>
        </w:r>
        <w:r>
          <w:instrText xml:space="preserve"> PAGE   \* MERGEFORMAT </w:instrText>
        </w:r>
        <w:r>
          <w:fldChar w:fldCharType="separate"/>
        </w:r>
        <w:r w:rsidR="00112806">
          <w:rPr>
            <w:noProof/>
          </w:rPr>
          <w:t>1</w:t>
        </w:r>
        <w:r>
          <w:rPr>
            <w:noProof/>
          </w:rPr>
          <w:fldChar w:fldCharType="end"/>
        </w:r>
      </w:p>
    </w:sdtContent>
  </w:sdt>
  <w:p w14:paraId="363F07AA" w14:textId="77777777" w:rsidR="004A1DB6" w:rsidRDefault="004A1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CE2D" w14:textId="77777777" w:rsidR="00447F4B" w:rsidRDefault="00447F4B">
      <w:r>
        <w:separator/>
      </w:r>
    </w:p>
  </w:footnote>
  <w:footnote w:type="continuationSeparator" w:id="0">
    <w:p w14:paraId="19A947DB" w14:textId="77777777" w:rsidR="00447F4B" w:rsidRDefault="00447F4B">
      <w:r>
        <w:continuationSeparator/>
      </w:r>
    </w:p>
  </w:footnote>
  <w:footnote w:id="1">
    <w:p w14:paraId="41C6FE94" w14:textId="77777777" w:rsidR="004A1DB6" w:rsidRDefault="004A1DB6" w:rsidP="0082197E">
      <w:pPr>
        <w:pStyle w:val="FootnoteText"/>
      </w:pPr>
      <w:r>
        <w:rPr>
          <w:rStyle w:val="FootnoteReference"/>
        </w:rPr>
        <w:footnoteRef/>
      </w:r>
      <w:r>
        <w:t xml:space="preserve">  RAND utilized a similar sampling protocol </w:t>
      </w:r>
      <w:r w:rsidRPr="00B012A6">
        <w:t>to</w:t>
      </w:r>
      <w:r>
        <w:t xml:space="preserve"> expand the ALP </w:t>
      </w:r>
      <w:r w:rsidRPr="00B012A6">
        <w:t xml:space="preserve">to increase representation of vulnerable groups and minorities. </w:t>
      </w:r>
      <w:r>
        <w:t xml:space="preserve"> For this purpose, RAND</w:t>
      </w:r>
      <w:r w:rsidRPr="00B012A6">
        <w:t xml:space="preserve"> targeted ZIP-code areas that have disproportionately large numbers of minorities or lower-income persons.</w:t>
      </w:r>
      <w:r>
        <w:t xml:space="preserve">  This recruitment effort generated a pre-survey response rate of 29%, with approximately one-fifth of the nonrespondent addresses having been undeliverable mail.  We believe that the general population response rate will be substantially higher—in particular, 40%.  The Pre-Survey will be administered by DataStat, Inc.  Representatives from DataStat have agreed, based on their experience, that the target response rate of 40% can be achieved utilizing the IPS recruitment protocol described below in Section B.2.a.1. </w:t>
      </w:r>
    </w:p>
  </w:footnote>
  <w:footnote w:id="2">
    <w:p w14:paraId="0A214D15" w14:textId="77777777" w:rsidR="004A1DB6" w:rsidRDefault="004A1DB6" w:rsidP="0082197E">
      <w:pPr>
        <w:pStyle w:val="FootnoteText"/>
      </w:pPr>
      <w:r>
        <w:rPr>
          <w:rStyle w:val="FootnoteReference"/>
        </w:rPr>
        <w:footnoteRef/>
      </w:r>
      <w:r>
        <w:t xml:space="preserve">  Current Population Survey data from 2011 indicate that 5.2 percent of “householders,” defined by the U.S. Census Bureau</w:t>
      </w:r>
      <w:r w:rsidRPr="00AF6211">
        <w:t xml:space="preserve"> </w:t>
      </w:r>
      <w:r>
        <w:t>as “</w:t>
      </w:r>
      <w:r w:rsidRPr="00AF6211">
        <w:t xml:space="preserve">a person in whose name the </w:t>
      </w:r>
      <w:r>
        <w:t>housing unit is rented or owned” (</w:t>
      </w:r>
      <w:r w:rsidRPr="00AF6211">
        <w:t>http://www.census.gov/hhes/families/about/</w:t>
      </w:r>
      <w:r>
        <w:t>), are under age 25.  See “</w:t>
      </w:r>
      <w:r w:rsidRPr="0082197E">
        <w:t>Table 14. Households by Type and Age of Householder: 2011</w:t>
      </w:r>
      <w:r>
        <w:t xml:space="preserve">,” available at  </w:t>
      </w:r>
      <w:hyperlink r:id="rId1" w:history="1">
        <w:r w:rsidRPr="00B96A41">
          <w:rPr>
            <w:rStyle w:val="Hyperlink"/>
          </w:rPr>
          <w:t>http://www.census.gov/population/age/data/2011comp.html</w:t>
        </w:r>
      </w:hyperlink>
      <w:r>
        <w:t>.  Some of these householders live in households with an individual who is age 25 or older.</w:t>
      </w:r>
    </w:p>
  </w:footnote>
  <w:footnote w:id="3">
    <w:p w14:paraId="3A96E5E3" w14:textId="77777777" w:rsidR="004A1DB6" w:rsidRDefault="004A1DB6" w:rsidP="00EF6ECB">
      <w:pPr>
        <w:pStyle w:val="FootnoteText"/>
      </w:pPr>
      <w:r>
        <w:rPr>
          <w:rStyle w:val="FootnoteReference"/>
        </w:rPr>
        <w:footnoteRef/>
      </w:r>
      <w:r>
        <w:t xml:space="preserve"> Bricker </w:t>
      </w:r>
      <w:r w:rsidRPr="00830E35">
        <w:rPr>
          <w:i/>
        </w:rPr>
        <w:t>et al</w:t>
      </w:r>
      <w:r>
        <w:t xml:space="preserve">. (2014) define “retirement accounts” as follows: “Retirement accounts include IRAs, Keogh accounts, and certain employer-sponsored accounts, such as 401(k), 403(b), and thrift savings accounts from current or past jobs; other current job plans from which loans or withdrawals can be made; and accounts from past jobs from which the family expects to receive the account balance in the future” (p.33). </w:t>
      </w:r>
    </w:p>
  </w:footnote>
  <w:footnote w:id="4">
    <w:p w14:paraId="49FE0557" w14:textId="77777777" w:rsidR="004A1DB6" w:rsidRDefault="004A1DB6" w:rsidP="00986ACB">
      <w:pPr>
        <w:pStyle w:val="FootnoteText"/>
      </w:pPr>
      <w:r>
        <w:rPr>
          <w:rStyle w:val="FootnoteReference"/>
        </w:rPr>
        <w:footnoteRef/>
      </w:r>
      <w:r>
        <w:t xml:space="preserve">  For those Pre-Survey respondents who did not express interest in future surveys, the phrase “</w:t>
      </w:r>
      <w:r w:rsidRPr="00986ACB">
        <w:t>and we are very pleased that you agreed t</w:t>
      </w:r>
      <w:r>
        <w:t>o allow us to contact you again” will be replaced by the following text: “and we would like to invite you to participate in another survey.”</w:t>
      </w:r>
    </w:p>
  </w:footnote>
  <w:footnote w:id="5">
    <w:p w14:paraId="311FA636" w14:textId="77777777" w:rsidR="004A1DB6" w:rsidRPr="00354B9F" w:rsidRDefault="004A1DB6" w:rsidP="00C1088C">
      <w:pPr>
        <w:pStyle w:val="FootnoteText"/>
      </w:pPr>
      <w:r w:rsidRPr="00354B9F">
        <w:rPr>
          <w:rStyle w:val="FootnoteReference"/>
          <w:vertAlign w:val="superscript"/>
        </w:rPr>
        <w:footnoteRef/>
      </w:r>
      <w:r w:rsidRPr="00354B9F">
        <w:rPr>
          <w:vertAlign w:val="superscript"/>
        </w:rPr>
        <w:t xml:space="preserve"> </w:t>
      </w:r>
      <w:r>
        <w:t>See Laurie and Lynn (2008) for a summary of incentives paid in other surveys.</w:t>
      </w:r>
    </w:p>
  </w:footnote>
  <w:footnote w:id="6">
    <w:p w14:paraId="263823A9" w14:textId="77777777" w:rsidR="004A1DB6" w:rsidRDefault="004A1DB6" w:rsidP="00F612D7">
      <w:pPr>
        <w:pStyle w:val="FootnoteText"/>
      </w:pPr>
      <w:r>
        <w:rPr>
          <w:rStyle w:val="FootnoteReference"/>
        </w:rPr>
        <w:footnoteRef/>
      </w:r>
      <w:r>
        <w:t xml:space="preserve"> Some fraction of the 25,000 sample recruitment letters will be returned as undeliverable.</w:t>
      </w:r>
    </w:p>
  </w:footnote>
  <w:footnote w:id="7">
    <w:p w14:paraId="52BCCD28" w14:textId="77777777" w:rsidR="004A1DB6" w:rsidRPr="00354B9F" w:rsidRDefault="004A1DB6" w:rsidP="005324FF">
      <w:pPr>
        <w:pStyle w:val="FootnoteText"/>
      </w:pPr>
      <w:r w:rsidRPr="00354B9F">
        <w:rPr>
          <w:rStyle w:val="FootnoteReference"/>
          <w:vertAlign w:val="superscript"/>
        </w:rPr>
        <w:footnoteRef/>
      </w:r>
      <w:r w:rsidRPr="00354B9F">
        <w:rPr>
          <w:vertAlign w:val="superscript"/>
        </w:rPr>
        <w:t xml:space="preserve"> </w:t>
      </w:r>
      <w:r>
        <w:t>This discussion is adapted from the section of STATA 12.1 electronic help manual on variance estimation for survey data with a stratified single-stage design (pages 179-180 of svy.pdf).</w:t>
      </w:r>
    </w:p>
  </w:footnote>
  <w:footnote w:id="8">
    <w:p w14:paraId="30174B4D" w14:textId="77777777" w:rsidR="004A1DB6" w:rsidRPr="00963EF5" w:rsidRDefault="004A1DB6" w:rsidP="00F42987">
      <w:pPr>
        <w:pStyle w:val="FootnoteText"/>
      </w:pPr>
      <w:r w:rsidRPr="00963EF5">
        <w:rPr>
          <w:rStyle w:val="FootnoteReference"/>
        </w:rPr>
        <w:footnoteRef/>
      </w:r>
      <w:r w:rsidRPr="00963EF5">
        <w:t xml:space="preserve">  </w:t>
      </w:r>
      <w:r w:rsidRPr="00FB2BF0">
        <w:t>For a textbook exposition, see chapter 2 of Manski (2007)</w:t>
      </w:r>
      <w:r>
        <w:t>.  See also the original research in Horowitz and Manski (1998,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5CE05" w14:textId="77777777" w:rsidR="004A1DB6" w:rsidRDefault="004A1DB6" w:rsidP="001B678D">
    <w:pPr>
      <w:rPr>
        <w:b/>
        <w:sz w:val="24"/>
      </w:rPr>
    </w:pPr>
    <w:r>
      <w:rPr>
        <w:b/>
        <w:sz w:val="24"/>
      </w:rPr>
      <w:t xml:space="preserve">On the </w:t>
    </w:r>
    <w:r w:rsidRPr="0070512D">
      <w:rPr>
        <w:b/>
        <w:sz w:val="24"/>
      </w:rPr>
      <w:t>Road to Retirement Surveys: Investigating Retirement Planning Decision-Making and the Evolution of Individuals’ Retirement Planning Decisions over Time</w:t>
    </w:r>
  </w:p>
  <w:p w14:paraId="57BD92B9" w14:textId="77777777" w:rsidR="004A1DB6" w:rsidRDefault="004A1DB6" w:rsidP="001B678D">
    <w:pPr>
      <w:rPr>
        <w:b/>
        <w:sz w:val="24"/>
      </w:rPr>
    </w:pPr>
    <w:r>
      <w:rPr>
        <w:b/>
        <w:sz w:val="24"/>
      </w:rPr>
      <w:t>ICR Reference Number: 201509-1225-001</w:t>
    </w:r>
  </w:p>
  <w:p w14:paraId="32152254" w14:textId="1EB29542" w:rsidR="004A1DB6" w:rsidRDefault="004A1DB6" w:rsidP="001B678D">
    <w:pPr>
      <w:pStyle w:val="Header"/>
      <w:rPr>
        <w:b/>
      </w:rPr>
    </w:pPr>
    <w:r>
      <w:rPr>
        <w:b/>
      </w:rPr>
      <w:t>April 2017</w:t>
    </w:r>
  </w:p>
  <w:p w14:paraId="35BE0AFB" w14:textId="77777777" w:rsidR="004A1DB6" w:rsidRDefault="004A1DB6" w:rsidP="001B6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1E9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943DB"/>
    <w:multiLevelType w:val="hybridMultilevel"/>
    <w:tmpl w:val="BE0C8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A3994"/>
    <w:multiLevelType w:val="hybridMultilevel"/>
    <w:tmpl w:val="1D0A49B6"/>
    <w:lvl w:ilvl="0" w:tplc="F73E913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604F4"/>
    <w:multiLevelType w:val="singleLevel"/>
    <w:tmpl w:val="4790BC0E"/>
    <w:lvl w:ilvl="0">
      <w:start w:val="1"/>
      <w:numFmt w:val="upperLetter"/>
      <w:lvlText w:val="%1."/>
      <w:lvlJc w:val="left"/>
      <w:pPr>
        <w:tabs>
          <w:tab w:val="num" w:pos="360"/>
        </w:tabs>
        <w:ind w:left="360" w:hanging="360"/>
      </w:pPr>
      <w:rPr>
        <w:rFonts w:hint="default"/>
      </w:rPr>
    </w:lvl>
  </w:abstractNum>
  <w:abstractNum w:abstractNumId="7">
    <w:nsid w:val="06176237"/>
    <w:multiLevelType w:val="hybridMultilevel"/>
    <w:tmpl w:val="913E67F8"/>
    <w:lvl w:ilvl="0" w:tplc="04090019">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8">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564DDF"/>
    <w:multiLevelType w:val="hybridMultilevel"/>
    <w:tmpl w:val="EEACDADE"/>
    <w:lvl w:ilvl="0" w:tplc="1020E82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3A080D"/>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5B9147E"/>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66D170C"/>
    <w:multiLevelType w:val="hybridMultilevel"/>
    <w:tmpl w:val="2AF436A4"/>
    <w:lvl w:ilvl="0" w:tplc="A6FEDE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19994B0C"/>
    <w:multiLevelType w:val="hybridMultilevel"/>
    <w:tmpl w:val="39D63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B431776"/>
    <w:multiLevelType w:val="hybridMultilevel"/>
    <w:tmpl w:val="50183FBC"/>
    <w:lvl w:ilvl="0" w:tplc="E1D8C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E140F1"/>
    <w:multiLevelType w:val="hybridMultilevel"/>
    <w:tmpl w:val="53A66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D3B07A5"/>
    <w:multiLevelType w:val="hybridMultilevel"/>
    <w:tmpl w:val="EC9CDF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1EF43491"/>
    <w:multiLevelType w:val="hybridMultilevel"/>
    <w:tmpl w:val="C3680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2111D73"/>
    <w:multiLevelType w:val="hybridMultilevel"/>
    <w:tmpl w:val="F238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33A23FC"/>
    <w:multiLevelType w:val="hybridMultilevel"/>
    <w:tmpl w:val="A60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36E5FF3"/>
    <w:multiLevelType w:val="hybridMultilevel"/>
    <w:tmpl w:val="7C6A87D2"/>
    <w:lvl w:ilvl="0" w:tplc="04090005">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2">
    <w:nsid w:val="2566009D"/>
    <w:multiLevelType w:val="hybridMultilevel"/>
    <w:tmpl w:val="63A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2D7800E4"/>
    <w:multiLevelType w:val="hybridMultilevel"/>
    <w:tmpl w:val="AA005AEC"/>
    <w:lvl w:ilvl="0" w:tplc="00010409">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3044685C"/>
    <w:multiLevelType w:val="hybridMultilevel"/>
    <w:tmpl w:val="AB5C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25B7B08"/>
    <w:multiLevelType w:val="hybridMultilevel"/>
    <w:tmpl w:val="7B062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6B559C"/>
    <w:multiLevelType w:val="hybridMultilevel"/>
    <w:tmpl w:val="90E63576"/>
    <w:lvl w:ilvl="0" w:tplc="43021734">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33F04A34"/>
    <w:multiLevelType w:val="hybridMultilevel"/>
    <w:tmpl w:val="B4584094"/>
    <w:lvl w:ilvl="0" w:tplc="B78862DE">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9">
    <w:nsid w:val="36D53D94"/>
    <w:multiLevelType w:val="hybridMultilevel"/>
    <w:tmpl w:val="4948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7267395"/>
    <w:multiLevelType w:val="hybridMultilevel"/>
    <w:tmpl w:val="F71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4C792B"/>
    <w:multiLevelType w:val="hybridMultilevel"/>
    <w:tmpl w:val="8B38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6C1A82"/>
    <w:multiLevelType w:val="hybridMultilevel"/>
    <w:tmpl w:val="5CA4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2A91FBA"/>
    <w:multiLevelType w:val="hybridMultilevel"/>
    <w:tmpl w:val="8EE6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2AA2EA8"/>
    <w:multiLevelType w:val="hybridMultilevel"/>
    <w:tmpl w:val="E8828728"/>
    <w:lvl w:ilvl="0" w:tplc="3124E3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nsid w:val="46684061"/>
    <w:multiLevelType w:val="hybridMultilevel"/>
    <w:tmpl w:val="033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150016"/>
    <w:multiLevelType w:val="hybridMultilevel"/>
    <w:tmpl w:val="17A80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84F3642"/>
    <w:multiLevelType w:val="hybridMultilevel"/>
    <w:tmpl w:val="CE0E9F08"/>
    <w:lvl w:ilvl="0" w:tplc="BF248220">
      <w:start w:val="10"/>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870618"/>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684049"/>
    <w:multiLevelType w:val="hybridMultilevel"/>
    <w:tmpl w:val="CE7CF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B677077"/>
    <w:multiLevelType w:val="hybridMultilevel"/>
    <w:tmpl w:val="845E7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E583ED7"/>
    <w:multiLevelType w:val="hybridMultilevel"/>
    <w:tmpl w:val="2012A6FA"/>
    <w:lvl w:ilvl="0" w:tplc="6A3858F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3C7661"/>
    <w:multiLevelType w:val="hybridMultilevel"/>
    <w:tmpl w:val="57C6DB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nsid w:val="4FD971B8"/>
    <w:multiLevelType w:val="hybridMultilevel"/>
    <w:tmpl w:val="D3F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0D259F1"/>
    <w:multiLevelType w:val="hybridMultilevel"/>
    <w:tmpl w:val="6406B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530119C0"/>
    <w:multiLevelType w:val="hybridMultilevel"/>
    <w:tmpl w:val="3AA09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5FF5C8F"/>
    <w:multiLevelType w:val="hybridMultilevel"/>
    <w:tmpl w:val="4D5633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2">
    <w:nsid w:val="56E31975"/>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B911B06"/>
    <w:multiLevelType w:val="hybridMultilevel"/>
    <w:tmpl w:val="FC3ACD7A"/>
    <w:lvl w:ilvl="0" w:tplc="B4D84374">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DA71AF"/>
    <w:multiLevelType w:val="hybridMultilevel"/>
    <w:tmpl w:val="3FFAA7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5C573C34"/>
    <w:multiLevelType w:val="hybridMultilevel"/>
    <w:tmpl w:val="FA56829A"/>
    <w:lvl w:ilvl="0" w:tplc="BF549304">
      <w:start w:val="5"/>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F657C31"/>
    <w:multiLevelType w:val="hybridMultilevel"/>
    <w:tmpl w:val="0CA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6A3E1C"/>
    <w:multiLevelType w:val="hybridMultilevel"/>
    <w:tmpl w:val="913E67F8"/>
    <w:lvl w:ilvl="0" w:tplc="04090019">
      <w:start w:val="1"/>
      <w:numFmt w:val="lowerLetter"/>
      <w:lvlText w:val="%1."/>
      <w:lvlJc w:val="left"/>
      <w:pPr>
        <w:ind w:left="582" w:hanging="360"/>
      </w:pPr>
      <w:rPr>
        <w:rFonts w:hint="default"/>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90">
    <w:nsid w:val="5FD00177"/>
    <w:multiLevelType w:val="hybridMultilevel"/>
    <w:tmpl w:val="AC9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09B6E3E"/>
    <w:multiLevelType w:val="hybridMultilevel"/>
    <w:tmpl w:val="34F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41458C"/>
    <w:multiLevelType w:val="hybridMultilevel"/>
    <w:tmpl w:val="D360C34C"/>
    <w:lvl w:ilvl="0" w:tplc="F56860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4252229"/>
    <w:multiLevelType w:val="hybridMultilevel"/>
    <w:tmpl w:val="533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A9526B5"/>
    <w:multiLevelType w:val="multilevel"/>
    <w:tmpl w:val="36BAF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6B4C2396"/>
    <w:multiLevelType w:val="hybridMultilevel"/>
    <w:tmpl w:val="C7942D7A"/>
    <w:lvl w:ilvl="0" w:tplc="7C6A7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C71799F"/>
    <w:multiLevelType w:val="hybridMultilevel"/>
    <w:tmpl w:val="35903A7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1C4CAB"/>
    <w:multiLevelType w:val="hybridMultilevel"/>
    <w:tmpl w:val="3DC416EE"/>
    <w:lvl w:ilvl="0" w:tplc="F09E616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A97DDC"/>
    <w:multiLevelType w:val="hybridMultilevel"/>
    <w:tmpl w:val="6406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97126C"/>
    <w:multiLevelType w:val="hybridMultilevel"/>
    <w:tmpl w:val="CF2C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1D12881"/>
    <w:multiLevelType w:val="hybridMultilevel"/>
    <w:tmpl w:val="0D16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1DC61CC"/>
    <w:multiLevelType w:val="hybridMultilevel"/>
    <w:tmpl w:val="A1826EEC"/>
    <w:lvl w:ilvl="0" w:tplc="04090001">
      <w:start w:val="1"/>
      <w:numFmt w:val="bullet"/>
      <w:lvlText w:val=""/>
      <w:lvlJc w:val="left"/>
      <w:pPr>
        <w:tabs>
          <w:tab w:val="num" w:pos="720"/>
        </w:tabs>
        <w:ind w:left="720" w:hanging="360"/>
      </w:pPr>
      <w:rPr>
        <w:rFonts w:ascii="Symbol" w:hAnsi="Symbol" w:hint="default"/>
      </w:rPr>
    </w:lvl>
    <w:lvl w:ilvl="1" w:tplc="D57C82F8">
      <w:start w:val="1"/>
      <w:numFmt w:val="bullet"/>
      <w:lvlText w:val="o"/>
      <w:lvlJc w:val="left"/>
      <w:pPr>
        <w:tabs>
          <w:tab w:val="num" w:pos="1440"/>
        </w:tabs>
        <w:ind w:left="1440" w:hanging="360"/>
      </w:pPr>
      <w:rPr>
        <w:rFonts w:ascii="Courier New" w:hAnsi="Courier New" w:hint="default"/>
        <w:sz w:val="24"/>
        <w:szCs w:val="24"/>
      </w:rPr>
    </w:lvl>
    <w:lvl w:ilvl="2" w:tplc="D4B46540">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1E538EF"/>
    <w:multiLevelType w:val="hybridMultilevel"/>
    <w:tmpl w:val="C55253F8"/>
    <w:lvl w:ilvl="0" w:tplc="005ABA9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7">
    <w:nsid w:val="7B327B15"/>
    <w:multiLevelType w:val="hybridMultilevel"/>
    <w:tmpl w:val="030C3716"/>
    <w:lvl w:ilvl="0" w:tplc="0336806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0"/>
  </w:num>
  <w:num w:numId="3">
    <w:abstractNumId w:val="99"/>
  </w:num>
  <w:num w:numId="4">
    <w:abstractNumId w:val="75"/>
  </w:num>
  <w:num w:numId="5">
    <w:abstractNumId w:val="114"/>
  </w:num>
  <w:num w:numId="6">
    <w:abstractNumId w:val="34"/>
  </w:num>
  <w:num w:numId="7">
    <w:abstractNumId w:val="48"/>
  </w:num>
  <w:num w:numId="8">
    <w:abstractNumId w:val="7"/>
  </w:num>
  <w:num w:numId="9">
    <w:abstractNumId w:val="16"/>
  </w:num>
  <w:num w:numId="10">
    <w:abstractNumId w:val="24"/>
  </w:num>
  <w:num w:numId="11">
    <w:abstractNumId w:val="5"/>
  </w:num>
  <w:num w:numId="12">
    <w:abstractNumId w:val="119"/>
  </w:num>
  <w:num w:numId="13">
    <w:abstractNumId w:val="67"/>
  </w:num>
  <w:num w:numId="14">
    <w:abstractNumId w:val="106"/>
  </w:num>
  <w:num w:numId="15">
    <w:abstractNumId w:val="20"/>
  </w:num>
  <w:num w:numId="16">
    <w:abstractNumId w:val="57"/>
  </w:num>
  <w:num w:numId="17">
    <w:abstractNumId w:val="104"/>
  </w:num>
  <w:num w:numId="18">
    <w:abstractNumId w:val="100"/>
  </w:num>
  <w:num w:numId="19">
    <w:abstractNumId w:val="27"/>
  </w:num>
  <w:num w:numId="20">
    <w:abstractNumId w:val="77"/>
  </w:num>
  <w:num w:numId="21">
    <w:abstractNumId w:val="54"/>
  </w:num>
  <w:num w:numId="22">
    <w:abstractNumId w:val="66"/>
  </w:num>
  <w:num w:numId="23">
    <w:abstractNumId w:val="58"/>
  </w:num>
  <w:num w:numId="24">
    <w:abstractNumId w:val="71"/>
  </w:num>
  <w:num w:numId="25">
    <w:abstractNumId w:val="28"/>
  </w:num>
  <w:num w:numId="26">
    <w:abstractNumId w:val="39"/>
  </w:num>
  <w:num w:numId="27">
    <w:abstractNumId w:val="72"/>
  </w:num>
  <w:num w:numId="28">
    <w:abstractNumId w:val="12"/>
  </w:num>
  <w:num w:numId="29">
    <w:abstractNumId w:val="96"/>
  </w:num>
  <w:num w:numId="30">
    <w:abstractNumId w:val="115"/>
  </w:num>
  <w:num w:numId="31">
    <w:abstractNumId w:val="53"/>
  </w:num>
  <w:num w:numId="32">
    <w:abstractNumId w:val="85"/>
  </w:num>
  <w:num w:numId="33">
    <w:abstractNumId w:val="37"/>
  </w:num>
  <w:num w:numId="34">
    <w:abstractNumId w:val="68"/>
  </w:num>
  <w:num w:numId="35">
    <w:abstractNumId w:val="21"/>
  </w:num>
  <w:num w:numId="36">
    <w:abstractNumId w:val="18"/>
  </w:num>
  <w:num w:numId="37">
    <w:abstractNumId w:val="55"/>
  </w:num>
  <w:num w:numId="38">
    <w:abstractNumId w:val="17"/>
  </w:num>
  <w:num w:numId="39">
    <w:abstractNumId w:val="8"/>
  </w:num>
  <w:num w:numId="40">
    <w:abstractNumId w:val="45"/>
  </w:num>
  <w:num w:numId="41">
    <w:abstractNumId w:val="95"/>
  </w:num>
  <w:num w:numId="42">
    <w:abstractNumId w:val="80"/>
  </w:num>
  <w:num w:numId="43">
    <w:abstractNumId w:val="35"/>
  </w:num>
  <w:num w:numId="44">
    <w:abstractNumId w:val="11"/>
  </w:num>
  <w:num w:numId="45">
    <w:abstractNumId w:val="22"/>
  </w:num>
  <w:num w:numId="46">
    <w:abstractNumId w:val="116"/>
  </w:num>
  <w:num w:numId="47">
    <w:abstractNumId w:val="36"/>
  </w:num>
  <w:num w:numId="48">
    <w:abstractNumId w:val="113"/>
  </w:num>
  <w:num w:numId="49">
    <w:abstractNumId w:val="51"/>
  </w:num>
  <w:num w:numId="50">
    <w:abstractNumId w:val="78"/>
  </w:num>
  <w:num w:numId="51">
    <w:abstractNumId w:val="9"/>
  </w:num>
  <w:num w:numId="52">
    <w:abstractNumId w:val="61"/>
  </w:num>
  <w:num w:numId="53">
    <w:abstractNumId w:val="118"/>
  </w:num>
  <w:num w:numId="54">
    <w:abstractNumId w:val="32"/>
  </w:num>
  <w:num w:numId="55">
    <w:abstractNumId w:val="89"/>
  </w:num>
  <w:num w:numId="56">
    <w:abstractNumId w:val="105"/>
  </w:num>
  <w:num w:numId="57">
    <w:abstractNumId w:val="84"/>
  </w:num>
  <w:num w:numId="58">
    <w:abstractNumId w:val="94"/>
  </w:num>
  <w:num w:numId="59">
    <w:abstractNumId w:val="87"/>
  </w:num>
  <w:num w:numId="60">
    <w:abstractNumId w:val="81"/>
  </w:num>
  <w:num w:numId="61">
    <w:abstractNumId w:val="110"/>
  </w:num>
  <w:num w:numId="62">
    <w:abstractNumId w:val="29"/>
  </w:num>
  <w:num w:numId="63">
    <w:abstractNumId w:val="109"/>
  </w:num>
  <w:num w:numId="64">
    <w:abstractNumId w:val="33"/>
  </w:num>
  <w:num w:numId="65">
    <w:abstractNumId w:val="102"/>
  </w:num>
  <w:num w:numId="66">
    <w:abstractNumId w:val="30"/>
  </w:num>
  <w:num w:numId="67">
    <w:abstractNumId w:val="41"/>
  </w:num>
  <w:num w:numId="68">
    <w:abstractNumId w:val="10"/>
  </w:num>
  <w:num w:numId="69">
    <w:abstractNumId w:val="101"/>
  </w:num>
  <w:num w:numId="70">
    <w:abstractNumId w:val="93"/>
  </w:num>
  <w:num w:numId="71">
    <w:abstractNumId w:val="40"/>
  </w:num>
  <w:num w:numId="72">
    <w:abstractNumId w:val="73"/>
  </w:num>
  <w:num w:numId="73">
    <w:abstractNumId w:val="26"/>
  </w:num>
  <w:num w:numId="74">
    <w:abstractNumId w:val="69"/>
  </w:num>
  <w:num w:numId="75">
    <w:abstractNumId w:val="19"/>
  </w:num>
  <w:num w:numId="76">
    <w:abstractNumId w:val="15"/>
  </w:num>
  <w:num w:numId="77">
    <w:abstractNumId w:val="14"/>
  </w:num>
  <w:num w:numId="78">
    <w:abstractNumId w:val="103"/>
  </w:num>
  <w:num w:numId="79">
    <w:abstractNumId w:val="4"/>
  </w:num>
  <w:num w:numId="80">
    <w:abstractNumId w:val="108"/>
  </w:num>
  <w:num w:numId="81">
    <w:abstractNumId w:val="59"/>
  </w:num>
  <w:num w:numId="82">
    <w:abstractNumId w:val="91"/>
  </w:num>
  <w:num w:numId="83">
    <w:abstractNumId w:val="56"/>
  </w:num>
  <w:num w:numId="84">
    <w:abstractNumId w:val="76"/>
  </w:num>
  <w:num w:numId="85">
    <w:abstractNumId w:val="111"/>
  </w:num>
  <w:num w:numId="86">
    <w:abstractNumId w:val="13"/>
  </w:num>
  <w:num w:numId="87">
    <w:abstractNumId w:val="3"/>
  </w:num>
  <w:num w:numId="88">
    <w:abstractNumId w:val="47"/>
  </w:num>
  <w:num w:numId="89">
    <w:abstractNumId w:val="46"/>
  </w:num>
  <w:num w:numId="90">
    <w:abstractNumId w:val="117"/>
  </w:num>
  <w:num w:numId="91">
    <w:abstractNumId w:val="62"/>
  </w:num>
  <w:num w:numId="92">
    <w:abstractNumId w:val="97"/>
  </w:num>
  <w:num w:numId="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num>
  <w:num w:numId="105">
    <w:abstractNumId w:val="23"/>
  </w:num>
  <w:num w:numId="106">
    <w:abstractNumId w:val="86"/>
  </w:num>
  <w:num w:numId="107">
    <w:abstractNumId w:val="64"/>
  </w:num>
  <w:num w:numId="108">
    <w:abstractNumId w:val="90"/>
  </w:num>
  <w:num w:numId="109">
    <w:abstractNumId w:val="82"/>
  </w:num>
  <w:num w:numId="110">
    <w:abstractNumId w:val="38"/>
  </w:num>
  <w:num w:numId="111">
    <w:abstractNumId w:val="6"/>
  </w:num>
  <w:num w:numId="112">
    <w:abstractNumId w:val="65"/>
  </w:num>
  <w:num w:numId="113">
    <w:abstractNumId w:val="74"/>
  </w:num>
  <w:num w:numId="114">
    <w:abstractNumId w:val="63"/>
  </w:num>
  <w:num w:numId="115">
    <w:abstractNumId w:val="31"/>
  </w:num>
  <w:num w:numId="116">
    <w:abstractNumId w:val="83"/>
  </w:num>
  <w:num w:numId="117">
    <w:abstractNumId w:val="70"/>
  </w:num>
  <w:num w:numId="118">
    <w:abstractNumId w:val="112"/>
  </w:num>
  <w:num w:numId="119">
    <w:abstractNumId w:val="98"/>
  </w:num>
  <w:num w:numId="120">
    <w:abstractNumId w:val="43"/>
  </w:num>
  <w:num w:numId="121">
    <w:abstractNumId w:val="0"/>
  </w:num>
  <w:num w:numId="122">
    <w:abstractNumId w:val="2"/>
  </w:num>
  <w:num w:numId="123">
    <w:abstractNumId w:val="44"/>
  </w:num>
  <w:num w:numId="124">
    <w:abstractNumId w:val="52"/>
  </w:num>
  <w:num w:numId="125">
    <w:abstractNumId w:val="50"/>
  </w:num>
  <w:num w:numId="126">
    <w:abstractNumId w:val="49"/>
  </w:num>
  <w:num w:numId="127">
    <w:abstractNumId w:val="88"/>
  </w:num>
  <w:num w:numId="128">
    <w:abstractNumId w:val="25"/>
  </w:num>
  <w:num w:numId="129">
    <w:abstractNumId w:val="79"/>
  </w:num>
  <w:num w:numId="130">
    <w:abstractNumId w:val="107"/>
  </w:num>
  <w:num w:numId="131">
    <w:abstractNumId w:val="9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00B3F"/>
    <w:rsid w:val="00001360"/>
    <w:rsid w:val="00004FFD"/>
    <w:rsid w:val="00005E8E"/>
    <w:rsid w:val="000063C8"/>
    <w:rsid w:val="000069D2"/>
    <w:rsid w:val="0001124F"/>
    <w:rsid w:val="00011645"/>
    <w:rsid w:val="00013AB2"/>
    <w:rsid w:val="00014EB6"/>
    <w:rsid w:val="00015448"/>
    <w:rsid w:val="00015EF2"/>
    <w:rsid w:val="0001658A"/>
    <w:rsid w:val="00020D05"/>
    <w:rsid w:val="00021B1E"/>
    <w:rsid w:val="00022220"/>
    <w:rsid w:val="00022253"/>
    <w:rsid w:val="000224BA"/>
    <w:rsid w:val="000233D7"/>
    <w:rsid w:val="00023CBD"/>
    <w:rsid w:val="00024019"/>
    <w:rsid w:val="000244B0"/>
    <w:rsid w:val="00027157"/>
    <w:rsid w:val="000300D6"/>
    <w:rsid w:val="000300E1"/>
    <w:rsid w:val="00030138"/>
    <w:rsid w:val="00030630"/>
    <w:rsid w:val="00030936"/>
    <w:rsid w:val="00031087"/>
    <w:rsid w:val="00031B3D"/>
    <w:rsid w:val="00032584"/>
    <w:rsid w:val="00034613"/>
    <w:rsid w:val="000372A6"/>
    <w:rsid w:val="00041168"/>
    <w:rsid w:val="00041316"/>
    <w:rsid w:val="000424A0"/>
    <w:rsid w:val="000434C6"/>
    <w:rsid w:val="00043C45"/>
    <w:rsid w:val="000440BF"/>
    <w:rsid w:val="000444C2"/>
    <w:rsid w:val="00044544"/>
    <w:rsid w:val="000463E1"/>
    <w:rsid w:val="00047131"/>
    <w:rsid w:val="000473D5"/>
    <w:rsid w:val="0004776A"/>
    <w:rsid w:val="00050490"/>
    <w:rsid w:val="00051B6A"/>
    <w:rsid w:val="00052D00"/>
    <w:rsid w:val="0005317D"/>
    <w:rsid w:val="00055C87"/>
    <w:rsid w:val="00056C80"/>
    <w:rsid w:val="00056FE4"/>
    <w:rsid w:val="000601C8"/>
    <w:rsid w:val="00060F0A"/>
    <w:rsid w:val="00061F63"/>
    <w:rsid w:val="00063BFB"/>
    <w:rsid w:val="0006508F"/>
    <w:rsid w:val="00065863"/>
    <w:rsid w:val="000663BD"/>
    <w:rsid w:val="00071C27"/>
    <w:rsid w:val="000720DF"/>
    <w:rsid w:val="0007225B"/>
    <w:rsid w:val="00073CF4"/>
    <w:rsid w:val="0007437C"/>
    <w:rsid w:val="00076630"/>
    <w:rsid w:val="00076DA6"/>
    <w:rsid w:val="00080098"/>
    <w:rsid w:val="00082EA2"/>
    <w:rsid w:val="000834C8"/>
    <w:rsid w:val="000837D8"/>
    <w:rsid w:val="000839A6"/>
    <w:rsid w:val="00085F4E"/>
    <w:rsid w:val="00086745"/>
    <w:rsid w:val="00092ABC"/>
    <w:rsid w:val="00092B2B"/>
    <w:rsid w:val="00092C87"/>
    <w:rsid w:val="0009310F"/>
    <w:rsid w:val="000936DE"/>
    <w:rsid w:val="00094FF7"/>
    <w:rsid w:val="0009539C"/>
    <w:rsid w:val="000A02E2"/>
    <w:rsid w:val="000A13E0"/>
    <w:rsid w:val="000A1ADA"/>
    <w:rsid w:val="000A2202"/>
    <w:rsid w:val="000A3580"/>
    <w:rsid w:val="000A386D"/>
    <w:rsid w:val="000A44C3"/>
    <w:rsid w:val="000A74F5"/>
    <w:rsid w:val="000B0FA8"/>
    <w:rsid w:val="000B15A1"/>
    <w:rsid w:val="000B17C7"/>
    <w:rsid w:val="000B303B"/>
    <w:rsid w:val="000B3040"/>
    <w:rsid w:val="000B316C"/>
    <w:rsid w:val="000B4314"/>
    <w:rsid w:val="000B5113"/>
    <w:rsid w:val="000B5E18"/>
    <w:rsid w:val="000B684E"/>
    <w:rsid w:val="000B68BB"/>
    <w:rsid w:val="000B6EC5"/>
    <w:rsid w:val="000B7D29"/>
    <w:rsid w:val="000C55F8"/>
    <w:rsid w:val="000C5715"/>
    <w:rsid w:val="000C66A6"/>
    <w:rsid w:val="000C6CD9"/>
    <w:rsid w:val="000C7C77"/>
    <w:rsid w:val="000D1EEE"/>
    <w:rsid w:val="000D379F"/>
    <w:rsid w:val="000D38C2"/>
    <w:rsid w:val="000D5233"/>
    <w:rsid w:val="000D5B86"/>
    <w:rsid w:val="000E0159"/>
    <w:rsid w:val="000E0B10"/>
    <w:rsid w:val="000E1309"/>
    <w:rsid w:val="000E20EB"/>
    <w:rsid w:val="000E2261"/>
    <w:rsid w:val="000E3938"/>
    <w:rsid w:val="000E45DE"/>
    <w:rsid w:val="000E4A05"/>
    <w:rsid w:val="000E5345"/>
    <w:rsid w:val="000E64F5"/>
    <w:rsid w:val="000E7329"/>
    <w:rsid w:val="000F019F"/>
    <w:rsid w:val="000F0385"/>
    <w:rsid w:val="000F09C6"/>
    <w:rsid w:val="000F0D5D"/>
    <w:rsid w:val="000F185C"/>
    <w:rsid w:val="000F1C6F"/>
    <w:rsid w:val="000F1F0B"/>
    <w:rsid w:val="000F3659"/>
    <w:rsid w:val="000F4F54"/>
    <w:rsid w:val="000F508D"/>
    <w:rsid w:val="000F724E"/>
    <w:rsid w:val="000F7516"/>
    <w:rsid w:val="0010007E"/>
    <w:rsid w:val="00101606"/>
    <w:rsid w:val="0010363D"/>
    <w:rsid w:val="0010374C"/>
    <w:rsid w:val="00103AE5"/>
    <w:rsid w:val="0010661E"/>
    <w:rsid w:val="0010770E"/>
    <w:rsid w:val="00107B30"/>
    <w:rsid w:val="00110EEF"/>
    <w:rsid w:val="0011104F"/>
    <w:rsid w:val="00112806"/>
    <w:rsid w:val="00113C1E"/>
    <w:rsid w:val="001168E9"/>
    <w:rsid w:val="00116A1B"/>
    <w:rsid w:val="00116DE8"/>
    <w:rsid w:val="001212A9"/>
    <w:rsid w:val="00121619"/>
    <w:rsid w:val="001219B2"/>
    <w:rsid w:val="00124475"/>
    <w:rsid w:val="001249AF"/>
    <w:rsid w:val="00124F4A"/>
    <w:rsid w:val="0012585F"/>
    <w:rsid w:val="00127E7A"/>
    <w:rsid w:val="00130567"/>
    <w:rsid w:val="001315BA"/>
    <w:rsid w:val="00131EC0"/>
    <w:rsid w:val="00132C11"/>
    <w:rsid w:val="00132C62"/>
    <w:rsid w:val="00134AFB"/>
    <w:rsid w:val="00135D5A"/>
    <w:rsid w:val="001373D4"/>
    <w:rsid w:val="00140D39"/>
    <w:rsid w:val="00142718"/>
    <w:rsid w:val="00143117"/>
    <w:rsid w:val="00144055"/>
    <w:rsid w:val="0014546F"/>
    <w:rsid w:val="00146325"/>
    <w:rsid w:val="00146F7D"/>
    <w:rsid w:val="00147F7F"/>
    <w:rsid w:val="0015054D"/>
    <w:rsid w:val="00150C4B"/>
    <w:rsid w:val="001533E5"/>
    <w:rsid w:val="001558F5"/>
    <w:rsid w:val="00155C85"/>
    <w:rsid w:val="00155D26"/>
    <w:rsid w:val="001579AA"/>
    <w:rsid w:val="00161D5C"/>
    <w:rsid w:val="00162210"/>
    <w:rsid w:val="00163D89"/>
    <w:rsid w:val="00165215"/>
    <w:rsid w:val="00165CB5"/>
    <w:rsid w:val="00170580"/>
    <w:rsid w:val="00171CC6"/>
    <w:rsid w:val="00172D3F"/>
    <w:rsid w:val="00174392"/>
    <w:rsid w:val="001760CB"/>
    <w:rsid w:val="001765CD"/>
    <w:rsid w:val="00177C80"/>
    <w:rsid w:val="00180E16"/>
    <w:rsid w:val="00181D9C"/>
    <w:rsid w:val="00181E3B"/>
    <w:rsid w:val="00181FA4"/>
    <w:rsid w:val="0018333F"/>
    <w:rsid w:val="00183F4F"/>
    <w:rsid w:val="0018458B"/>
    <w:rsid w:val="001846F5"/>
    <w:rsid w:val="001857AA"/>
    <w:rsid w:val="0018733C"/>
    <w:rsid w:val="001877A0"/>
    <w:rsid w:val="0019006C"/>
    <w:rsid w:val="001937AD"/>
    <w:rsid w:val="00194AED"/>
    <w:rsid w:val="00194DC4"/>
    <w:rsid w:val="001951D3"/>
    <w:rsid w:val="00195353"/>
    <w:rsid w:val="00196872"/>
    <w:rsid w:val="00197681"/>
    <w:rsid w:val="001977BD"/>
    <w:rsid w:val="00197B9A"/>
    <w:rsid w:val="00197E63"/>
    <w:rsid w:val="001A3E8C"/>
    <w:rsid w:val="001A5355"/>
    <w:rsid w:val="001A6B52"/>
    <w:rsid w:val="001A7775"/>
    <w:rsid w:val="001B059B"/>
    <w:rsid w:val="001B0797"/>
    <w:rsid w:val="001B09E2"/>
    <w:rsid w:val="001B24F3"/>
    <w:rsid w:val="001B2EE7"/>
    <w:rsid w:val="001B3D71"/>
    <w:rsid w:val="001B4C1F"/>
    <w:rsid w:val="001B5E31"/>
    <w:rsid w:val="001B65DB"/>
    <w:rsid w:val="001B678D"/>
    <w:rsid w:val="001B6BFD"/>
    <w:rsid w:val="001B6EF5"/>
    <w:rsid w:val="001B7CBB"/>
    <w:rsid w:val="001C004C"/>
    <w:rsid w:val="001C1DCB"/>
    <w:rsid w:val="001C235C"/>
    <w:rsid w:val="001C268A"/>
    <w:rsid w:val="001C6A43"/>
    <w:rsid w:val="001C7171"/>
    <w:rsid w:val="001D02E7"/>
    <w:rsid w:val="001D1CD5"/>
    <w:rsid w:val="001D33CF"/>
    <w:rsid w:val="001D34B7"/>
    <w:rsid w:val="001D36D5"/>
    <w:rsid w:val="001E046C"/>
    <w:rsid w:val="001E18F2"/>
    <w:rsid w:val="001E36CC"/>
    <w:rsid w:val="001E3DB9"/>
    <w:rsid w:val="001E5AD0"/>
    <w:rsid w:val="001E5E82"/>
    <w:rsid w:val="001E7FCC"/>
    <w:rsid w:val="001F0D1D"/>
    <w:rsid w:val="001F1C6D"/>
    <w:rsid w:val="001F2F52"/>
    <w:rsid w:val="001F41D4"/>
    <w:rsid w:val="001F42E7"/>
    <w:rsid w:val="001F4C12"/>
    <w:rsid w:val="001F6518"/>
    <w:rsid w:val="001F6F65"/>
    <w:rsid w:val="00200B7B"/>
    <w:rsid w:val="00200DA9"/>
    <w:rsid w:val="002013C1"/>
    <w:rsid w:val="0020217B"/>
    <w:rsid w:val="002021D3"/>
    <w:rsid w:val="002037B8"/>
    <w:rsid w:val="002038D3"/>
    <w:rsid w:val="00204752"/>
    <w:rsid w:val="002047D4"/>
    <w:rsid w:val="00206A61"/>
    <w:rsid w:val="00212445"/>
    <w:rsid w:val="0021302A"/>
    <w:rsid w:val="00213F24"/>
    <w:rsid w:val="00214995"/>
    <w:rsid w:val="00217BB1"/>
    <w:rsid w:val="00217F53"/>
    <w:rsid w:val="00220B16"/>
    <w:rsid w:val="00222ADE"/>
    <w:rsid w:val="00224876"/>
    <w:rsid w:val="00224E0D"/>
    <w:rsid w:val="002307A2"/>
    <w:rsid w:val="00232E3B"/>
    <w:rsid w:val="00233A6C"/>
    <w:rsid w:val="0023444A"/>
    <w:rsid w:val="00234D16"/>
    <w:rsid w:val="002351CA"/>
    <w:rsid w:val="00235293"/>
    <w:rsid w:val="00235BFD"/>
    <w:rsid w:val="00242F8A"/>
    <w:rsid w:val="002448AF"/>
    <w:rsid w:val="00250993"/>
    <w:rsid w:val="00251D5F"/>
    <w:rsid w:val="00251D8E"/>
    <w:rsid w:val="0025233D"/>
    <w:rsid w:val="0025275F"/>
    <w:rsid w:val="00253EC8"/>
    <w:rsid w:val="002542DA"/>
    <w:rsid w:val="0025651B"/>
    <w:rsid w:val="00257C22"/>
    <w:rsid w:val="0026055B"/>
    <w:rsid w:val="0026094A"/>
    <w:rsid w:val="002609E1"/>
    <w:rsid w:val="00262D52"/>
    <w:rsid w:val="002630BE"/>
    <w:rsid w:val="00264F35"/>
    <w:rsid w:val="00264F82"/>
    <w:rsid w:val="0026575F"/>
    <w:rsid w:val="00265FEA"/>
    <w:rsid w:val="002665D4"/>
    <w:rsid w:val="002666A4"/>
    <w:rsid w:val="00271523"/>
    <w:rsid w:val="00271A65"/>
    <w:rsid w:val="002723C8"/>
    <w:rsid w:val="00274151"/>
    <w:rsid w:val="002755E8"/>
    <w:rsid w:val="00276743"/>
    <w:rsid w:val="00277E7B"/>
    <w:rsid w:val="00282D0D"/>
    <w:rsid w:val="0028348B"/>
    <w:rsid w:val="00284E8D"/>
    <w:rsid w:val="00286409"/>
    <w:rsid w:val="00286644"/>
    <w:rsid w:val="00286D15"/>
    <w:rsid w:val="00287B82"/>
    <w:rsid w:val="00287CBB"/>
    <w:rsid w:val="002900CE"/>
    <w:rsid w:val="00291695"/>
    <w:rsid w:val="0029204C"/>
    <w:rsid w:val="0029427D"/>
    <w:rsid w:val="00294416"/>
    <w:rsid w:val="002A1AD0"/>
    <w:rsid w:val="002A23AD"/>
    <w:rsid w:val="002A240E"/>
    <w:rsid w:val="002A2A88"/>
    <w:rsid w:val="002A4230"/>
    <w:rsid w:val="002A4E8D"/>
    <w:rsid w:val="002A54D3"/>
    <w:rsid w:val="002A578C"/>
    <w:rsid w:val="002A6B23"/>
    <w:rsid w:val="002A78A5"/>
    <w:rsid w:val="002B1012"/>
    <w:rsid w:val="002B102D"/>
    <w:rsid w:val="002B1724"/>
    <w:rsid w:val="002B4A99"/>
    <w:rsid w:val="002B56A6"/>
    <w:rsid w:val="002B56F8"/>
    <w:rsid w:val="002B59BA"/>
    <w:rsid w:val="002B6545"/>
    <w:rsid w:val="002B7058"/>
    <w:rsid w:val="002B70BA"/>
    <w:rsid w:val="002C070E"/>
    <w:rsid w:val="002C1F89"/>
    <w:rsid w:val="002C248B"/>
    <w:rsid w:val="002C2A34"/>
    <w:rsid w:val="002C40CF"/>
    <w:rsid w:val="002C477D"/>
    <w:rsid w:val="002C61F4"/>
    <w:rsid w:val="002D03DE"/>
    <w:rsid w:val="002D04B4"/>
    <w:rsid w:val="002D21DB"/>
    <w:rsid w:val="002D3338"/>
    <w:rsid w:val="002D3991"/>
    <w:rsid w:val="002D490E"/>
    <w:rsid w:val="002D5073"/>
    <w:rsid w:val="002D615B"/>
    <w:rsid w:val="002D771D"/>
    <w:rsid w:val="002D7792"/>
    <w:rsid w:val="002D7C5D"/>
    <w:rsid w:val="002E1A72"/>
    <w:rsid w:val="002E2B53"/>
    <w:rsid w:val="002E3BB6"/>
    <w:rsid w:val="002E3E2B"/>
    <w:rsid w:val="002E4554"/>
    <w:rsid w:val="002E5AE9"/>
    <w:rsid w:val="002E6009"/>
    <w:rsid w:val="002E6611"/>
    <w:rsid w:val="002E7004"/>
    <w:rsid w:val="002F270A"/>
    <w:rsid w:val="002F4289"/>
    <w:rsid w:val="002F4D80"/>
    <w:rsid w:val="002F5886"/>
    <w:rsid w:val="003005CA"/>
    <w:rsid w:val="003016B2"/>
    <w:rsid w:val="00302A26"/>
    <w:rsid w:val="00303A7D"/>
    <w:rsid w:val="00303C22"/>
    <w:rsid w:val="00303D8B"/>
    <w:rsid w:val="003045E1"/>
    <w:rsid w:val="00304A0C"/>
    <w:rsid w:val="00305623"/>
    <w:rsid w:val="00305DDC"/>
    <w:rsid w:val="003068F9"/>
    <w:rsid w:val="00310F54"/>
    <w:rsid w:val="00312EE4"/>
    <w:rsid w:val="00313686"/>
    <w:rsid w:val="0031371F"/>
    <w:rsid w:val="003143A7"/>
    <w:rsid w:val="0031450C"/>
    <w:rsid w:val="003149E0"/>
    <w:rsid w:val="00314E8D"/>
    <w:rsid w:val="00315329"/>
    <w:rsid w:val="00316B2E"/>
    <w:rsid w:val="0031710D"/>
    <w:rsid w:val="00321167"/>
    <w:rsid w:val="003222BB"/>
    <w:rsid w:val="00322793"/>
    <w:rsid w:val="003257EE"/>
    <w:rsid w:val="003261CF"/>
    <w:rsid w:val="00330BFB"/>
    <w:rsid w:val="003310D6"/>
    <w:rsid w:val="00332BEA"/>
    <w:rsid w:val="00333037"/>
    <w:rsid w:val="0033400D"/>
    <w:rsid w:val="003349C6"/>
    <w:rsid w:val="00335604"/>
    <w:rsid w:val="003401B3"/>
    <w:rsid w:val="00340BD4"/>
    <w:rsid w:val="00340E48"/>
    <w:rsid w:val="0034401C"/>
    <w:rsid w:val="00344025"/>
    <w:rsid w:val="00346350"/>
    <w:rsid w:val="0034667B"/>
    <w:rsid w:val="003470E2"/>
    <w:rsid w:val="003517F5"/>
    <w:rsid w:val="003523FC"/>
    <w:rsid w:val="0035240B"/>
    <w:rsid w:val="00352C78"/>
    <w:rsid w:val="00353110"/>
    <w:rsid w:val="0035413A"/>
    <w:rsid w:val="00354273"/>
    <w:rsid w:val="003547F3"/>
    <w:rsid w:val="00354C8B"/>
    <w:rsid w:val="00354E5C"/>
    <w:rsid w:val="003553CA"/>
    <w:rsid w:val="00356567"/>
    <w:rsid w:val="00360BB9"/>
    <w:rsid w:val="00361F59"/>
    <w:rsid w:val="00362329"/>
    <w:rsid w:val="00363829"/>
    <w:rsid w:val="00364C52"/>
    <w:rsid w:val="00365CD6"/>
    <w:rsid w:val="00366CD3"/>
    <w:rsid w:val="003671E7"/>
    <w:rsid w:val="003678CA"/>
    <w:rsid w:val="00371372"/>
    <w:rsid w:val="00371C90"/>
    <w:rsid w:val="003740CF"/>
    <w:rsid w:val="0037640B"/>
    <w:rsid w:val="00376E4D"/>
    <w:rsid w:val="00377085"/>
    <w:rsid w:val="003779E4"/>
    <w:rsid w:val="00386514"/>
    <w:rsid w:val="00386D05"/>
    <w:rsid w:val="003917BB"/>
    <w:rsid w:val="00391887"/>
    <w:rsid w:val="0039231B"/>
    <w:rsid w:val="003924B4"/>
    <w:rsid w:val="00393F2A"/>
    <w:rsid w:val="00394696"/>
    <w:rsid w:val="0039517C"/>
    <w:rsid w:val="00396B57"/>
    <w:rsid w:val="00396E96"/>
    <w:rsid w:val="00397BF5"/>
    <w:rsid w:val="003A0EBF"/>
    <w:rsid w:val="003A3350"/>
    <w:rsid w:val="003A66BE"/>
    <w:rsid w:val="003A7A06"/>
    <w:rsid w:val="003A7E5A"/>
    <w:rsid w:val="003B123D"/>
    <w:rsid w:val="003B26C0"/>
    <w:rsid w:val="003B3000"/>
    <w:rsid w:val="003B449F"/>
    <w:rsid w:val="003B53AE"/>
    <w:rsid w:val="003B55C3"/>
    <w:rsid w:val="003B6558"/>
    <w:rsid w:val="003B68D2"/>
    <w:rsid w:val="003B7975"/>
    <w:rsid w:val="003C0A99"/>
    <w:rsid w:val="003C20D5"/>
    <w:rsid w:val="003C2224"/>
    <w:rsid w:val="003C27DF"/>
    <w:rsid w:val="003C39F6"/>
    <w:rsid w:val="003C414B"/>
    <w:rsid w:val="003C4FC6"/>
    <w:rsid w:val="003C5E4F"/>
    <w:rsid w:val="003C670F"/>
    <w:rsid w:val="003D0856"/>
    <w:rsid w:val="003D2079"/>
    <w:rsid w:val="003D40F4"/>
    <w:rsid w:val="003D576B"/>
    <w:rsid w:val="003D5855"/>
    <w:rsid w:val="003D5FEF"/>
    <w:rsid w:val="003D7521"/>
    <w:rsid w:val="003D7BE0"/>
    <w:rsid w:val="003E015A"/>
    <w:rsid w:val="003E273F"/>
    <w:rsid w:val="003E28AC"/>
    <w:rsid w:val="003E3C60"/>
    <w:rsid w:val="003E4B26"/>
    <w:rsid w:val="003E5DA5"/>
    <w:rsid w:val="003E5FE3"/>
    <w:rsid w:val="003E7385"/>
    <w:rsid w:val="003F0488"/>
    <w:rsid w:val="003F07E0"/>
    <w:rsid w:val="003F1C77"/>
    <w:rsid w:val="003F4983"/>
    <w:rsid w:val="003F4A49"/>
    <w:rsid w:val="003F513A"/>
    <w:rsid w:val="003F618F"/>
    <w:rsid w:val="003F6A4D"/>
    <w:rsid w:val="0040062B"/>
    <w:rsid w:val="00400B66"/>
    <w:rsid w:val="00401C90"/>
    <w:rsid w:val="0040253E"/>
    <w:rsid w:val="00402FF7"/>
    <w:rsid w:val="004038BF"/>
    <w:rsid w:val="0040479C"/>
    <w:rsid w:val="004064DC"/>
    <w:rsid w:val="004077F3"/>
    <w:rsid w:val="00407ED4"/>
    <w:rsid w:val="00411CB4"/>
    <w:rsid w:val="004122BF"/>
    <w:rsid w:val="004131E3"/>
    <w:rsid w:val="00414446"/>
    <w:rsid w:val="0041508F"/>
    <w:rsid w:val="0041690C"/>
    <w:rsid w:val="00420007"/>
    <w:rsid w:val="004200E6"/>
    <w:rsid w:val="004241C7"/>
    <w:rsid w:val="00424E27"/>
    <w:rsid w:val="00425912"/>
    <w:rsid w:val="00427723"/>
    <w:rsid w:val="004301F5"/>
    <w:rsid w:val="00432605"/>
    <w:rsid w:val="00432CA9"/>
    <w:rsid w:val="00433486"/>
    <w:rsid w:val="00433589"/>
    <w:rsid w:val="00433807"/>
    <w:rsid w:val="0043752D"/>
    <w:rsid w:val="004379F8"/>
    <w:rsid w:val="004405B5"/>
    <w:rsid w:val="00440ED2"/>
    <w:rsid w:val="00444A58"/>
    <w:rsid w:val="004454B7"/>
    <w:rsid w:val="00447389"/>
    <w:rsid w:val="004475B5"/>
    <w:rsid w:val="0044792A"/>
    <w:rsid w:val="00447F4B"/>
    <w:rsid w:val="00450F7B"/>
    <w:rsid w:val="00450FB3"/>
    <w:rsid w:val="00451342"/>
    <w:rsid w:val="00452E97"/>
    <w:rsid w:val="00453A9E"/>
    <w:rsid w:val="00453C4A"/>
    <w:rsid w:val="004540B5"/>
    <w:rsid w:val="004543B5"/>
    <w:rsid w:val="00454EFF"/>
    <w:rsid w:val="00460423"/>
    <w:rsid w:val="00460D56"/>
    <w:rsid w:val="004628F4"/>
    <w:rsid w:val="0046399C"/>
    <w:rsid w:val="004645FC"/>
    <w:rsid w:val="00466019"/>
    <w:rsid w:val="00470CD2"/>
    <w:rsid w:val="0047203C"/>
    <w:rsid w:val="004723D5"/>
    <w:rsid w:val="00473B2E"/>
    <w:rsid w:val="0047424F"/>
    <w:rsid w:val="004743E7"/>
    <w:rsid w:val="004746AD"/>
    <w:rsid w:val="004747C7"/>
    <w:rsid w:val="00474A9D"/>
    <w:rsid w:val="00476A58"/>
    <w:rsid w:val="0047703E"/>
    <w:rsid w:val="004800AF"/>
    <w:rsid w:val="004807F8"/>
    <w:rsid w:val="004808D2"/>
    <w:rsid w:val="00480B1E"/>
    <w:rsid w:val="00481329"/>
    <w:rsid w:val="0048137D"/>
    <w:rsid w:val="0048150E"/>
    <w:rsid w:val="00484487"/>
    <w:rsid w:val="00484AB5"/>
    <w:rsid w:val="00486A55"/>
    <w:rsid w:val="004870D9"/>
    <w:rsid w:val="00487206"/>
    <w:rsid w:val="00490229"/>
    <w:rsid w:val="004914D9"/>
    <w:rsid w:val="00492779"/>
    <w:rsid w:val="00493D91"/>
    <w:rsid w:val="00494609"/>
    <w:rsid w:val="00495789"/>
    <w:rsid w:val="004957AB"/>
    <w:rsid w:val="00496CEC"/>
    <w:rsid w:val="004979C9"/>
    <w:rsid w:val="004A0682"/>
    <w:rsid w:val="004A0B1D"/>
    <w:rsid w:val="004A115B"/>
    <w:rsid w:val="004A1DB6"/>
    <w:rsid w:val="004A4C21"/>
    <w:rsid w:val="004A525D"/>
    <w:rsid w:val="004A5CB2"/>
    <w:rsid w:val="004B005C"/>
    <w:rsid w:val="004B0BD7"/>
    <w:rsid w:val="004B1B84"/>
    <w:rsid w:val="004B5884"/>
    <w:rsid w:val="004B5C6E"/>
    <w:rsid w:val="004B5F8B"/>
    <w:rsid w:val="004C0B7B"/>
    <w:rsid w:val="004C15AB"/>
    <w:rsid w:val="004C31C9"/>
    <w:rsid w:val="004C45C0"/>
    <w:rsid w:val="004C531C"/>
    <w:rsid w:val="004C6131"/>
    <w:rsid w:val="004C62A9"/>
    <w:rsid w:val="004C755B"/>
    <w:rsid w:val="004C76AA"/>
    <w:rsid w:val="004D0F07"/>
    <w:rsid w:val="004D136D"/>
    <w:rsid w:val="004D2B2D"/>
    <w:rsid w:val="004D3469"/>
    <w:rsid w:val="004D35A3"/>
    <w:rsid w:val="004D3A3A"/>
    <w:rsid w:val="004D5A7E"/>
    <w:rsid w:val="004D5C6C"/>
    <w:rsid w:val="004D5F60"/>
    <w:rsid w:val="004D6632"/>
    <w:rsid w:val="004E64B8"/>
    <w:rsid w:val="004E78B9"/>
    <w:rsid w:val="004F198A"/>
    <w:rsid w:val="004F2CB6"/>
    <w:rsid w:val="004F3932"/>
    <w:rsid w:val="004F3A3D"/>
    <w:rsid w:val="004F6952"/>
    <w:rsid w:val="0050156E"/>
    <w:rsid w:val="005021DC"/>
    <w:rsid w:val="005024F1"/>
    <w:rsid w:val="00502686"/>
    <w:rsid w:val="005028E5"/>
    <w:rsid w:val="00502A53"/>
    <w:rsid w:val="00503E4B"/>
    <w:rsid w:val="00504F52"/>
    <w:rsid w:val="0050657E"/>
    <w:rsid w:val="00507DA5"/>
    <w:rsid w:val="00510092"/>
    <w:rsid w:val="0051050D"/>
    <w:rsid w:val="005114F8"/>
    <w:rsid w:val="00511B69"/>
    <w:rsid w:val="00512343"/>
    <w:rsid w:val="005124C5"/>
    <w:rsid w:val="00516081"/>
    <w:rsid w:val="005175BC"/>
    <w:rsid w:val="005225E5"/>
    <w:rsid w:val="005262E6"/>
    <w:rsid w:val="00527F7A"/>
    <w:rsid w:val="005304EA"/>
    <w:rsid w:val="005324FF"/>
    <w:rsid w:val="00533D12"/>
    <w:rsid w:val="005344D4"/>
    <w:rsid w:val="005359DC"/>
    <w:rsid w:val="00537000"/>
    <w:rsid w:val="005370BB"/>
    <w:rsid w:val="005375AD"/>
    <w:rsid w:val="005400D0"/>
    <w:rsid w:val="00540C4B"/>
    <w:rsid w:val="005418B3"/>
    <w:rsid w:val="005439F6"/>
    <w:rsid w:val="0054506D"/>
    <w:rsid w:val="0054577F"/>
    <w:rsid w:val="005467D1"/>
    <w:rsid w:val="00546E7D"/>
    <w:rsid w:val="00550AC4"/>
    <w:rsid w:val="00550F0D"/>
    <w:rsid w:val="00551FDE"/>
    <w:rsid w:val="00552536"/>
    <w:rsid w:val="00552993"/>
    <w:rsid w:val="005534F1"/>
    <w:rsid w:val="00554E99"/>
    <w:rsid w:val="00554FBA"/>
    <w:rsid w:val="00554FF5"/>
    <w:rsid w:val="00555974"/>
    <w:rsid w:val="00555F5E"/>
    <w:rsid w:val="00556BDB"/>
    <w:rsid w:val="005601CA"/>
    <w:rsid w:val="005617A7"/>
    <w:rsid w:val="0056240C"/>
    <w:rsid w:val="00563AA1"/>
    <w:rsid w:val="005650EC"/>
    <w:rsid w:val="00566A9D"/>
    <w:rsid w:val="00567B10"/>
    <w:rsid w:val="00570BD3"/>
    <w:rsid w:val="00570EAC"/>
    <w:rsid w:val="00571A9A"/>
    <w:rsid w:val="00572111"/>
    <w:rsid w:val="00572269"/>
    <w:rsid w:val="00572536"/>
    <w:rsid w:val="005731A3"/>
    <w:rsid w:val="00573462"/>
    <w:rsid w:val="00573938"/>
    <w:rsid w:val="00573B48"/>
    <w:rsid w:val="00574F44"/>
    <w:rsid w:val="005757C4"/>
    <w:rsid w:val="00575A30"/>
    <w:rsid w:val="00576136"/>
    <w:rsid w:val="00576DC7"/>
    <w:rsid w:val="0057777A"/>
    <w:rsid w:val="00577FA3"/>
    <w:rsid w:val="0058010A"/>
    <w:rsid w:val="0058013B"/>
    <w:rsid w:val="0058227B"/>
    <w:rsid w:val="00583D5F"/>
    <w:rsid w:val="00585FE5"/>
    <w:rsid w:val="0059055F"/>
    <w:rsid w:val="005924F1"/>
    <w:rsid w:val="00592FE8"/>
    <w:rsid w:val="00594299"/>
    <w:rsid w:val="0059438B"/>
    <w:rsid w:val="0059645F"/>
    <w:rsid w:val="00596A51"/>
    <w:rsid w:val="00597DAD"/>
    <w:rsid w:val="005A0EA6"/>
    <w:rsid w:val="005A1311"/>
    <w:rsid w:val="005A1E82"/>
    <w:rsid w:val="005A35A8"/>
    <w:rsid w:val="005A384B"/>
    <w:rsid w:val="005A3B79"/>
    <w:rsid w:val="005A47F3"/>
    <w:rsid w:val="005A4808"/>
    <w:rsid w:val="005A56C0"/>
    <w:rsid w:val="005A573A"/>
    <w:rsid w:val="005A788C"/>
    <w:rsid w:val="005A7F0A"/>
    <w:rsid w:val="005B0D80"/>
    <w:rsid w:val="005B1721"/>
    <w:rsid w:val="005B196F"/>
    <w:rsid w:val="005B2F9C"/>
    <w:rsid w:val="005B3541"/>
    <w:rsid w:val="005B3DCA"/>
    <w:rsid w:val="005B5CE4"/>
    <w:rsid w:val="005C19EA"/>
    <w:rsid w:val="005C2A53"/>
    <w:rsid w:val="005C3368"/>
    <w:rsid w:val="005C39D4"/>
    <w:rsid w:val="005C50F6"/>
    <w:rsid w:val="005C5708"/>
    <w:rsid w:val="005C59CB"/>
    <w:rsid w:val="005C5EDD"/>
    <w:rsid w:val="005C6F29"/>
    <w:rsid w:val="005D0282"/>
    <w:rsid w:val="005D1669"/>
    <w:rsid w:val="005D1B68"/>
    <w:rsid w:val="005D237F"/>
    <w:rsid w:val="005D256B"/>
    <w:rsid w:val="005D284D"/>
    <w:rsid w:val="005D2CC4"/>
    <w:rsid w:val="005D40DD"/>
    <w:rsid w:val="005D4506"/>
    <w:rsid w:val="005D4965"/>
    <w:rsid w:val="005D61FC"/>
    <w:rsid w:val="005D6987"/>
    <w:rsid w:val="005E0C30"/>
    <w:rsid w:val="005E4A68"/>
    <w:rsid w:val="005E5618"/>
    <w:rsid w:val="005E56C6"/>
    <w:rsid w:val="005E57E4"/>
    <w:rsid w:val="005E5C0C"/>
    <w:rsid w:val="005E7592"/>
    <w:rsid w:val="005E79B3"/>
    <w:rsid w:val="005F048A"/>
    <w:rsid w:val="005F08BA"/>
    <w:rsid w:val="005F0E8A"/>
    <w:rsid w:val="005F1116"/>
    <w:rsid w:val="005F64C3"/>
    <w:rsid w:val="005F6559"/>
    <w:rsid w:val="005F67A3"/>
    <w:rsid w:val="006002D8"/>
    <w:rsid w:val="00602ADF"/>
    <w:rsid w:val="00602F60"/>
    <w:rsid w:val="00603C3A"/>
    <w:rsid w:val="006047BA"/>
    <w:rsid w:val="00604910"/>
    <w:rsid w:val="00605736"/>
    <w:rsid w:val="00606404"/>
    <w:rsid w:val="006071D8"/>
    <w:rsid w:val="006075C9"/>
    <w:rsid w:val="006079E7"/>
    <w:rsid w:val="00607F1A"/>
    <w:rsid w:val="006106C9"/>
    <w:rsid w:val="00611C9A"/>
    <w:rsid w:val="0061224E"/>
    <w:rsid w:val="0061287B"/>
    <w:rsid w:val="00612E1F"/>
    <w:rsid w:val="006150A9"/>
    <w:rsid w:val="006157D1"/>
    <w:rsid w:val="0062016C"/>
    <w:rsid w:val="00620DC4"/>
    <w:rsid w:val="0062369F"/>
    <w:rsid w:val="006238AE"/>
    <w:rsid w:val="006279EC"/>
    <w:rsid w:val="0063060D"/>
    <w:rsid w:val="00631B7B"/>
    <w:rsid w:val="00632CD0"/>
    <w:rsid w:val="006342D4"/>
    <w:rsid w:val="00635176"/>
    <w:rsid w:val="00635647"/>
    <w:rsid w:val="0063629C"/>
    <w:rsid w:val="00636E27"/>
    <w:rsid w:val="006370CB"/>
    <w:rsid w:val="006375DE"/>
    <w:rsid w:val="006407F0"/>
    <w:rsid w:val="0064136F"/>
    <w:rsid w:val="00642688"/>
    <w:rsid w:val="0064393A"/>
    <w:rsid w:val="00645581"/>
    <w:rsid w:val="006464FA"/>
    <w:rsid w:val="006465FF"/>
    <w:rsid w:val="00646C7B"/>
    <w:rsid w:val="00646F6C"/>
    <w:rsid w:val="00647626"/>
    <w:rsid w:val="00651005"/>
    <w:rsid w:val="00651500"/>
    <w:rsid w:val="00651DF2"/>
    <w:rsid w:val="00651FCC"/>
    <w:rsid w:val="0065241B"/>
    <w:rsid w:val="00653409"/>
    <w:rsid w:val="00655E9E"/>
    <w:rsid w:val="00656D22"/>
    <w:rsid w:val="00656E35"/>
    <w:rsid w:val="00657E8C"/>
    <w:rsid w:val="006601F6"/>
    <w:rsid w:val="00663797"/>
    <w:rsid w:val="00663B42"/>
    <w:rsid w:val="0066552C"/>
    <w:rsid w:val="00665EC3"/>
    <w:rsid w:val="00666ABB"/>
    <w:rsid w:val="00671952"/>
    <w:rsid w:val="00672F0D"/>
    <w:rsid w:val="006768FE"/>
    <w:rsid w:val="0067782A"/>
    <w:rsid w:val="00680705"/>
    <w:rsid w:val="00680B07"/>
    <w:rsid w:val="006829AC"/>
    <w:rsid w:val="0068372F"/>
    <w:rsid w:val="0068394F"/>
    <w:rsid w:val="00683F1D"/>
    <w:rsid w:val="00684580"/>
    <w:rsid w:val="00684CB9"/>
    <w:rsid w:val="00685091"/>
    <w:rsid w:val="006861BD"/>
    <w:rsid w:val="006875C6"/>
    <w:rsid w:val="006909E1"/>
    <w:rsid w:val="006A0C80"/>
    <w:rsid w:val="006A14C9"/>
    <w:rsid w:val="006A1F73"/>
    <w:rsid w:val="006A3BB5"/>
    <w:rsid w:val="006A60B2"/>
    <w:rsid w:val="006A76A9"/>
    <w:rsid w:val="006B008B"/>
    <w:rsid w:val="006B115E"/>
    <w:rsid w:val="006B272C"/>
    <w:rsid w:val="006B3167"/>
    <w:rsid w:val="006B341F"/>
    <w:rsid w:val="006B597A"/>
    <w:rsid w:val="006B7070"/>
    <w:rsid w:val="006B7BFA"/>
    <w:rsid w:val="006C11DC"/>
    <w:rsid w:val="006C2DFC"/>
    <w:rsid w:val="006C66DF"/>
    <w:rsid w:val="006C7BF4"/>
    <w:rsid w:val="006D06AD"/>
    <w:rsid w:val="006D0762"/>
    <w:rsid w:val="006D0936"/>
    <w:rsid w:val="006D0BFD"/>
    <w:rsid w:val="006D37DF"/>
    <w:rsid w:val="006D4144"/>
    <w:rsid w:val="006D41FB"/>
    <w:rsid w:val="006D59C3"/>
    <w:rsid w:val="006D66DF"/>
    <w:rsid w:val="006E16BB"/>
    <w:rsid w:val="006E20E9"/>
    <w:rsid w:val="006E241D"/>
    <w:rsid w:val="006E3DE8"/>
    <w:rsid w:val="006E4951"/>
    <w:rsid w:val="006E4EF7"/>
    <w:rsid w:val="006E5822"/>
    <w:rsid w:val="006E66DF"/>
    <w:rsid w:val="006E7444"/>
    <w:rsid w:val="006F036D"/>
    <w:rsid w:val="006F2BB7"/>
    <w:rsid w:val="006F2BEB"/>
    <w:rsid w:val="006F35C0"/>
    <w:rsid w:val="006F3CDD"/>
    <w:rsid w:val="006F65A6"/>
    <w:rsid w:val="006F6A35"/>
    <w:rsid w:val="006F6BCC"/>
    <w:rsid w:val="006F779D"/>
    <w:rsid w:val="00701A27"/>
    <w:rsid w:val="00701C45"/>
    <w:rsid w:val="007042AA"/>
    <w:rsid w:val="00704E73"/>
    <w:rsid w:val="0070587F"/>
    <w:rsid w:val="00710122"/>
    <w:rsid w:val="007114D7"/>
    <w:rsid w:val="007129BD"/>
    <w:rsid w:val="0071310B"/>
    <w:rsid w:val="007142BA"/>
    <w:rsid w:val="0071451C"/>
    <w:rsid w:val="00714AA5"/>
    <w:rsid w:val="00715D95"/>
    <w:rsid w:val="0071716E"/>
    <w:rsid w:val="00720028"/>
    <w:rsid w:val="00721372"/>
    <w:rsid w:val="007221B6"/>
    <w:rsid w:val="00722E59"/>
    <w:rsid w:val="00723479"/>
    <w:rsid w:val="00723A96"/>
    <w:rsid w:val="00724821"/>
    <w:rsid w:val="00724E17"/>
    <w:rsid w:val="00726BE6"/>
    <w:rsid w:val="00727E2E"/>
    <w:rsid w:val="007315B5"/>
    <w:rsid w:val="00731831"/>
    <w:rsid w:val="00733874"/>
    <w:rsid w:val="00733FB8"/>
    <w:rsid w:val="00734C9F"/>
    <w:rsid w:val="007366E9"/>
    <w:rsid w:val="00736AB1"/>
    <w:rsid w:val="00737612"/>
    <w:rsid w:val="00741A16"/>
    <w:rsid w:val="00741C4B"/>
    <w:rsid w:val="00742439"/>
    <w:rsid w:val="00742791"/>
    <w:rsid w:val="00743EC2"/>
    <w:rsid w:val="00744599"/>
    <w:rsid w:val="00745644"/>
    <w:rsid w:val="00750CC7"/>
    <w:rsid w:val="00754656"/>
    <w:rsid w:val="007546F8"/>
    <w:rsid w:val="007571CC"/>
    <w:rsid w:val="00757D5F"/>
    <w:rsid w:val="00760AE3"/>
    <w:rsid w:val="0076175E"/>
    <w:rsid w:val="00762A40"/>
    <w:rsid w:val="00763B05"/>
    <w:rsid w:val="00764C0A"/>
    <w:rsid w:val="007652CE"/>
    <w:rsid w:val="007660A2"/>
    <w:rsid w:val="00766130"/>
    <w:rsid w:val="00773139"/>
    <w:rsid w:val="007747DC"/>
    <w:rsid w:val="00774D15"/>
    <w:rsid w:val="00776C7A"/>
    <w:rsid w:val="00777388"/>
    <w:rsid w:val="00781717"/>
    <w:rsid w:val="007820F5"/>
    <w:rsid w:val="00782C99"/>
    <w:rsid w:val="00784408"/>
    <w:rsid w:val="007849ED"/>
    <w:rsid w:val="00784AE2"/>
    <w:rsid w:val="0078502C"/>
    <w:rsid w:val="00785150"/>
    <w:rsid w:val="0078546A"/>
    <w:rsid w:val="007859D0"/>
    <w:rsid w:val="00785E73"/>
    <w:rsid w:val="00786FF5"/>
    <w:rsid w:val="00787A4A"/>
    <w:rsid w:val="00787E2A"/>
    <w:rsid w:val="00790BCB"/>
    <w:rsid w:val="007917A6"/>
    <w:rsid w:val="007949F1"/>
    <w:rsid w:val="00794A0A"/>
    <w:rsid w:val="00795A99"/>
    <w:rsid w:val="00797E69"/>
    <w:rsid w:val="007A1575"/>
    <w:rsid w:val="007A15CA"/>
    <w:rsid w:val="007A18CC"/>
    <w:rsid w:val="007A3B48"/>
    <w:rsid w:val="007A5050"/>
    <w:rsid w:val="007A66EC"/>
    <w:rsid w:val="007A6A63"/>
    <w:rsid w:val="007A72C5"/>
    <w:rsid w:val="007B0DB7"/>
    <w:rsid w:val="007B269F"/>
    <w:rsid w:val="007B2CC9"/>
    <w:rsid w:val="007B3C77"/>
    <w:rsid w:val="007B4AF4"/>
    <w:rsid w:val="007B652C"/>
    <w:rsid w:val="007B6CA2"/>
    <w:rsid w:val="007B7831"/>
    <w:rsid w:val="007B7CAC"/>
    <w:rsid w:val="007C08AD"/>
    <w:rsid w:val="007C08C3"/>
    <w:rsid w:val="007C1653"/>
    <w:rsid w:val="007C2B7A"/>
    <w:rsid w:val="007C3EE9"/>
    <w:rsid w:val="007C45C0"/>
    <w:rsid w:val="007C5120"/>
    <w:rsid w:val="007D21F9"/>
    <w:rsid w:val="007D22A1"/>
    <w:rsid w:val="007D4BAD"/>
    <w:rsid w:val="007D5908"/>
    <w:rsid w:val="007D599D"/>
    <w:rsid w:val="007D5F04"/>
    <w:rsid w:val="007D653A"/>
    <w:rsid w:val="007D679C"/>
    <w:rsid w:val="007E04E5"/>
    <w:rsid w:val="007E09BB"/>
    <w:rsid w:val="007E14CD"/>
    <w:rsid w:val="007E1E68"/>
    <w:rsid w:val="007E3585"/>
    <w:rsid w:val="007E5741"/>
    <w:rsid w:val="007E6419"/>
    <w:rsid w:val="007E6832"/>
    <w:rsid w:val="007E7550"/>
    <w:rsid w:val="007E7959"/>
    <w:rsid w:val="007F037A"/>
    <w:rsid w:val="007F19C6"/>
    <w:rsid w:val="007F4939"/>
    <w:rsid w:val="007F5AFE"/>
    <w:rsid w:val="007F5F0D"/>
    <w:rsid w:val="007F636D"/>
    <w:rsid w:val="00801C13"/>
    <w:rsid w:val="00801FBA"/>
    <w:rsid w:val="00803232"/>
    <w:rsid w:val="00803E3D"/>
    <w:rsid w:val="0080406F"/>
    <w:rsid w:val="0080511B"/>
    <w:rsid w:val="00810A4F"/>
    <w:rsid w:val="00810C31"/>
    <w:rsid w:val="00810F58"/>
    <w:rsid w:val="00812A74"/>
    <w:rsid w:val="0081411A"/>
    <w:rsid w:val="00815B3D"/>
    <w:rsid w:val="00816DD9"/>
    <w:rsid w:val="00817800"/>
    <w:rsid w:val="00817A00"/>
    <w:rsid w:val="008203DE"/>
    <w:rsid w:val="00821923"/>
    <w:rsid w:val="0082197E"/>
    <w:rsid w:val="00821A2E"/>
    <w:rsid w:val="00822C6C"/>
    <w:rsid w:val="0082343C"/>
    <w:rsid w:val="0082432F"/>
    <w:rsid w:val="00824D4F"/>
    <w:rsid w:val="008251E2"/>
    <w:rsid w:val="00827245"/>
    <w:rsid w:val="00830C4C"/>
    <w:rsid w:val="00830E35"/>
    <w:rsid w:val="00830E6C"/>
    <w:rsid w:val="008324DA"/>
    <w:rsid w:val="00834A5F"/>
    <w:rsid w:val="00836170"/>
    <w:rsid w:val="00840335"/>
    <w:rsid w:val="0084118A"/>
    <w:rsid w:val="0084179C"/>
    <w:rsid w:val="00842BCD"/>
    <w:rsid w:val="00843517"/>
    <w:rsid w:val="008436DF"/>
    <w:rsid w:val="008446E2"/>
    <w:rsid w:val="008448DF"/>
    <w:rsid w:val="00844B99"/>
    <w:rsid w:val="00844D70"/>
    <w:rsid w:val="00845792"/>
    <w:rsid w:val="00845814"/>
    <w:rsid w:val="00847ED6"/>
    <w:rsid w:val="00852146"/>
    <w:rsid w:val="008534E4"/>
    <w:rsid w:val="00854D5F"/>
    <w:rsid w:val="00855ABA"/>
    <w:rsid w:val="00855FF3"/>
    <w:rsid w:val="00856ABC"/>
    <w:rsid w:val="00857811"/>
    <w:rsid w:val="00857D92"/>
    <w:rsid w:val="008605B9"/>
    <w:rsid w:val="00861927"/>
    <w:rsid w:val="00861CF4"/>
    <w:rsid w:val="00865A37"/>
    <w:rsid w:val="00865D39"/>
    <w:rsid w:val="00870920"/>
    <w:rsid w:val="00870CC2"/>
    <w:rsid w:val="00870ED4"/>
    <w:rsid w:val="008715FB"/>
    <w:rsid w:val="00871909"/>
    <w:rsid w:val="00872ACD"/>
    <w:rsid w:val="0087302E"/>
    <w:rsid w:val="00873421"/>
    <w:rsid w:val="00873E3B"/>
    <w:rsid w:val="00877167"/>
    <w:rsid w:val="0088022C"/>
    <w:rsid w:val="00883E29"/>
    <w:rsid w:val="008840DC"/>
    <w:rsid w:val="00884D6F"/>
    <w:rsid w:val="00886A82"/>
    <w:rsid w:val="00890BAD"/>
    <w:rsid w:val="00892502"/>
    <w:rsid w:val="00892EEB"/>
    <w:rsid w:val="00892FC1"/>
    <w:rsid w:val="00893904"/>
    <w:rsid w:val="00895141"/>
    <w:rsid w:val="008951C8"/>
    <w:rsid w:val="008952D3"/>
    <w:rsid w:val="00896A3C"/>
    <w:rsid w:val="00897454"/>
    <w:rsid w:val="00897BE0"/>
    <w:rsid w:val="008A00CF"/>
    <w:rsid w:val="008A08E5"/>
    <w:rsid w:val="008A0E2A"/>
    <w:rsid w:val="008A299C"/>
    <w:rsid w:val="008A410E"/>
    <w:rsid w:val="008A5307"/>
    <w:rsid w:val="008A5A39"/>
    <w:rsid w:val="008A5AFC"/>
    <w:rsid w:val="008A670B"/>
    <w:rsid w:val="008A67B3"/>
    <w:rsid w:val="008A7CF4"/>
    <w:rsid w:val="008A7F86"/>
    <w:rsid w:val="008B099A"/>
    <w:rsid w:val="008B0CCF"/>
    <w:rsid w:val="008B1016"/>
    <w:rsid w:val="008B2371"/>
    <w:rsid w:val="008B2480"/>
    <w:rsid w:val="008B29C6"/>
    <w:rsid w:val="008B29ED"/>
    <w:rsid w:val="008B438C"/>
    <w:rsid w:val="008B7930"/>
    <w:rsid w:val="008C029E"/>
    <w:rsid w:val="008C11F8"/>
    <w:rsid w:val="008C130B"/>
    <w:rsid w:val="008C1374"/>
    <w:rsid w:val="008C1EAD"/>
    <w:rsid w:val="008C268D"/>
    <w:rsid w:val="008C2E30"/>
    <w:rsid w:val="008C55D0"/>
    <w:rsid w:val="008C5EF5"/>
    <w:rsid w:val="008C6C76"/>
    <w:rsid w:val="008C783A"/>
    <w:rsid w:val="008D151C"/>
    <w:rsid w:val="008D2C77"/>
    <w:rsid w:val="008D2FAB"/>
    <w:rsid w:val="008D32F2"/>
    <w:rsid w:val="008D36AE"/>
    <w:rsid w:val="008D3D6B"/>
    <w:rsid w:val="008D6204"/>
    <w:rsid w:val="008D673B"/>
    <w:rsid w:val="008D7014"/>
    <w:rsid w:val="008E0ABA"/>
    <w:rsid w:val="008E1080"/>
    <w:rsid w:val="008E3EDC"/>
    <w:rsid w:val="008E495D"/>
    <w:rsid w:val="008E51AB"/>
    <w:rsid w:val="008E54FF"/>
    <w:rsid w:val="008E702E"/>
    <w:rsid w:val="008E7118"/>
    <w:rsid w:val="008E7226"/>
    <w:rsid w:val="008E7871"/>
    <w:rsid w:val="008E7C6B"/>
    <w:rsid w:val="008F0AF8"/>
    <w:rsid w:val="008F0E1E"/>
    <w:rsid w:val="008F17E1"/>
    <w:rsid w:val="008F2E45"/>
    <w:rsid w:val="008F3A15"/>
    <w:rsid w:val="008F498F"/>
    <w:rsid w:val="008F49E5"/>
    <w:rsid w:val="008F5EEE"/>
    <w:rsid w:val="008F5FAA"/>
    <w:rsid w:val="008F6642"/>
    <w:rsid w:val="008F6FC2"/>
    <w:rsid w:val="008F7644"/>
    <w:rsid w:val="00901F00"/>
    <w:rsid w:val="00903DD2"/>
    <w:rsid w:val="0090539A"/>
    <w:rsid w:val="0090550D"/>
    <w:rsid w:val="00906F83"/>
    <w:rsid w:val="00907BDB"/>
    <w:rsid w:val="00907F66"/>
    <w:rsid w:val="009111E1"/>
    <w:rsid w:val="0091778A"/>
    <w:rsid w:val="00917F09"/>
    <w:rsid w:val="00925132"/>
    <w:rsid w:val="00925CBB"/>
    <w:rsid w:val="0092659D"/>
    <w:rsid w:val="00926892"/>
    <w:rsid w:val="00927475"/>
    <w:rsid w:val="0093091D"/>
    <w:rsid w:val="00932D08"/>
    <w:rsid w:val="00933444"/>
    <w:rsid w:val="0093505F"/>
    <w:rsid w:val="00936AB4"/>
    <w:rsid w:val="00937AF8"/>
    <w:rsid w:val="00937DE2"/>
    <w:rsid w:val="00944BA9"/>
    <w:rsid w:val="00944E1A"/>
    <w:rsid w:val="009468A7"/>
    <w:rsid w:val="00947935"/>
    <w:rsid w:val="00950279"/>
    <w:rsid w:val="009505C9"/>
    <w:rsid w:val="00951B08"/>
    <w:rsid w:val="00952445"/>
    <w:rsid w:val="009526E3"/>
    <w:rsid w:val="00952F86"/>
    <w:rsid w:val="009533FA"/>
    <w:rsid w:val="00954B98"/>
    <w:rsid w:val="00954C7B"/>
    <w:rsid w:val="00954ECA"/>
    <w:rsid w:val="00955196"/>
    <w:rsid w:val="00956ACE"/>
    <w:rsid w:val="00960011"/>
    <w:rsid w:val="009615BE"/>
    <w:rsid w:val="009619BA"/>
    <w:rsid w:val="00961D8E"/>
    <w:rsid w:val="00962999"/>
    <w:rsid w:val="00962FF5"/>
    <w:rsid w:val="00963EF5"/>
    <w:rsid w:val="00964282"/>
    <w:rsid w:val="00966A6C"/>
    <w:rsid w:val="00966A74"/>
    <w:rsid w:val="00967C73"/>
    <w:rsid w:val="00967ED1"/>
    <w:rsid w:val="00970166"/>
    <w:rsid w:val="009704E3"/>
    <w:rsid w:val="009714C9"/>
    <w:rsid w:val="00971B4C"/>
    <w:rsid w:val="00971DA9"/>
    <w:rsid w:val="009745E6"/>
    <w:rsid w:val="00974E9F"/>
    <w:rsid w:val="00975638"/>
    <w:rsid w:val="009764EC"/>
    <w:rsid w:val="009804FE"/>
    <w:rsid w:val="009815E9"/>
    <w:rsid w:val="0098216F"/>
    <w:rsid w:val="00983335"/>
    <w:rsid w:val="00983479"/>
    <w:rsid w:val="00983F58"/>
    <w:rsid w:val="00984645"/>
    <w:rsid w:val="00984649"/>
    <w:rsid w:val="009848B9"/>
    <w:rsid w:val="00985A80"/>
    <w:rsid w:val="009863F5"/>
    <w:rsid w:val="00986736"/>
    <w:rsid w:val="00986ACB"/>
    <w:rsid w:val="00987D8A"/>
    <w:rsid w:val="009928D3"/>
    <w:rsid w:val="00992C52"/>
    <w:rsid w:val="009939C3"/>
    <w:rsid w:val="00994ECF"/>
    <w:rsid w:val="0099639A"/>
    <w:rsid w:val="00996EFC"/>
    <w:rsid w:val="00997755"/>
    <w:rsid w:val="009A1491"/>
    <w:rsid w:val="009A191C"/>
    <w:rsid w:val="009A2AA5"/>
    <w:rsid w:val="009A4B9D"/>
    <w:rsid w:val="009A5500"/>
    <w:rsid w:val="009A575D"/>
    <w:rsid w:val="009A5AE8"/>
    <w:rsid w:val="009A6735"/>
    <w:rsid w:val="009A734A"/>
    <w:rsid w:val="009A7F57"/>
    <w:rsid w:val="009B10A8"/>
    <w:rsid w:val="009B1A28"/>
    <w:rsid w:val="009B2DBE"/>
    <w:rsid w:val="009B64BC"/>
    <w:rsid w:val="009B7030"/>
    <w:rsid w:val="009C01E8"/>
    <w:rsid w:val="009C02C6"/>
    <w:rsid w:val="009C02D8"/>
    <w:rsid w:val="009C361C"/>
    <w:rsid w:val="009C395E"/>
    <w:rsid w:val="009C46F8"/>
    <w:rsid w:val="009C4961"/>
    <w:rsid w:val="009C6D23"/>
    <w:rsid w:val="009C6DB9"/>
    <w:rsid w:val="009C7031"/>
    <w:rsid w:val="009C78DE"/>
    <w:rsid w:val="009D095E"/>
    <w:rsid w:val="009D0CEF"/>
    <w:rsid w:val="009D1496"/>
    <w:rsid w:val="009D19A8"/>
    <w:rsid w:val="009D2E33"/>
    <w:rsid w:val="009D407A"/>
    <w:rsid w:val="009D52F0"/>
    <w:rsid w:val="009D7053"/>
    <w:rsid w:val="009D7F44"/>
    <w:rsid w:val="009E1684"/>
    <w:rsid w:val="009E343A"/>
    <w:rsid w:val="009E4086"/>
    <w:rsid w:val="009E451B"/>
    <w:rsid w:val="009E65F7"/>
    <w:rsid w:val="009E6987"/>
    <w:rsid w:val="009E6E0A"/>
    <w:rsid w:val="009E7AD2"/>
    <w:rsid w:val="009F007E"/>
    <w:rsid w:val="009F16BB"/>
    <w:rsid w:val="009F1836"/>
    <w:rsid w:val="009F28C0"/>
    <w:rsid w:val="009F7820"/>
    <w:rsid w:val="00A01547"/>
    <w:rsid w:val="00A01AFE"/>
    <w:rsid w:val="00A02889"/>
    <w:rsid w:val="00A0291C"/>
    <w:rsid w:val="00A03F9B"/>
    <w:rsid w:val="00A0711C"/>
    <w:rsid w:val="00A07615"/>
    <w:rsid w:val="00A0796F"/>
    <w:rsid w:val="00A07A0B"/>
    <w:rsid w:val="00A07C8C"/>
    <w:rsid w:val="00A1011F"/>
    <w:rsid w:val="00A10A97"/>
    <w:rsid w:val="00A13A67"/>
    <w:rsid w:val="00A1454D"/>
    <w:rsid w:val="00A14F72"/>
    <w:rsid w:val="00A1630E"/>
    <w:rsid w:val="00A21506"/>
    <w:rsid w:val="00A23127"/>
    <w:rsid w:val="00A23808"/>
    <w:rsid w:val="00A248C0"/>
    <w:rsid w:val="00A24D89"/>
    <w:rsid w:val="00A27869"/>
    <w:rsid w:val="00A30474"/>
    <w:rsid w:val="00A30EBE"/>
    <w:rsid w:val="00A31EDA"/>
    <w:rsid w:val="00A320A9"/>
    <w:rsid w:val="00A331C4"/>
    <w:rsid w:val="00A34218"/>
    <w:rsid w:val="00A379E2"/>
    <w:rsid w:val="00A405DF"/>
    <w:rsid w:val="00A43407"/>
    <w:rsid w:val="00A43F97"/>
    <w:rsid w:val="00A4414B"/>
    <w:rsid w:val="00A443DC"/>
    <w:rsid w:val="00A46369"/>
    <w:rsid w:val="00A4644C"/>
    <w:rsid w:val="00A4700C"/>
    <w:rsid w:val="00A504EC"/>
    <w:rsid w:val="00A507FB"/>
    <w:rsid w:val="00A51143"/>
    <w:rsid w:val="00A51D97"/>
    <w:rsid w:val="00A51F6D"/>
    <w:rsid w:val="00A52693"/>
    <w:rsid w:val="00A52DA6"/>
    <w:rsid w:val="00A535BD"/>
    <w:rsid w:val="00A53DAC"/>
    <w:rsid w:val="00A563B8"/>
    <w:rsid w:val="00A56835"/>
    <w:rsid w:val="00A56A9A"/>
    <w:rsid w:val="00A56F6A"/>
    <w:rsid w:val="00A5775B"/>
    <w:rsid w:val="00A603DA"/>
    <w:rsid w:val="00A60BAD"/>
    <w:rsid w:val="00A60DC8"/>
    <w:rsid w:val="00A611B3"/>
    <w:rsid w:val="00A640E4"/>
    <w:rsid w:val="00A6433E"/>
    <w:rsid w:val="00A651CF"/>
    <w:rsid w:val="00A652E9"/>
    <w:rsid w:val="00A66BAB"/>
    <w:rsid w:val="00A676B4"/>
    <w:rsid w:val="00A678F7"/>
    <w:rsid w:val="00A714FF"/>
    <w:rsid w:val="00A74752"/>
    <w:rsid w:val="00A76C2E"/>
    <w:rsid w:val="00A8061B"/>
    <w:rsid w:val="00A81229"/>
    <w:rsid w:val="00A815BF"/>
    <w:rsid w:val="00A82AB6"/>
    <w:rsid w:val="00A8379E"/>
    <w:rsid w:val="00A85656"/>
    <w:rsid w:val="00A85BB4"/>
    <w:rsid w:val="00A86ACD"/>
    <w:rsid w:val="00A87BD0"/>
    <w:rsid w:val="00A9135D"/>
    <w:rsid w:val="00A91A52"/>
    <w:rsid w:val="00A959AD"/>
    <w:rsid w:val="00A95CEA"/>
    <w:rsid w:val="00A972C9"/>
    <w:rsid w:val="00AA103C"/>
    <w:rsid w:val="00AA33A9"/>
    <w:rsid w:val="00AA3CA4"/>
    <w:rsid w:val="00AA46BC"/>
    <w:rsid w:val="00AA4A94"/>
    <w:rsid w:val="00AA5AD8"/>
    <w:rsid w:val="00AA682C"/>
    <w:rsid w:val="00AA7578"/>
    <w:rsid w:val="00AA7CE6"/>
    <w:rsid w:val="00AB1251"/>
    <w:rsid w:val="00AB2492"/>
    <w:rsid w:val="00AB2C4F"/>
    <w:rsid w:val="00AB34D3"/>
    <w:rsid w:val="00AB4348"/>
    <w:rsid w:val="00AB4657"/>
    <w:rsid w:val="00AC15EC"/>
    <w:rsid w:val="00AC1B50"/>
    <w:rsid w:val="00AC35A7"/>
    <w:rsid w:val="00AC3617"/>
    <w:rsid w:val="00AC3DEC"/>
    <w:rsid w:val="00AC70D0"/>
    <w:rsid w:val="00AC7705"/>
    <w:rsid w:val="00AD0CE1"/>
    <w:rsid w:val="00AD3ADC"/>
    <w:rsid w:val="00AD4F4A"/>
    <w:rsid w:val="00AD5A55"/>
    <w:rsid w:val="00AD63C6"/>
    <w:rsid w:val="00AD6624"/>
    <w:rsid w:val="00AD67C2"/>
    <w:rsid w:val="00AD7724"/>
    <w:rsid w:val="00AD7802"/>
    <w:rsid w:val="00AE0360"/>
    <w:rsid w:val="00AE045E"/>
    <w:rsid w:val="00AE1183"/>
    <w:rsid w:val="00AE1BD0"/>
    <w:rsid w:val="00AE2A04"/>
    <w:rsid w:val="00AE40CF"/>
    <w:rsid w:val="00AE6C6E"/>
    <w:rsid w:val="00AE7CFB"/>
    <w:rsid w:val="00AF025A"/>
    <w:rsid w:val="00AF0331"/>
    <w:rsid w:val="00AF0D01"/>
    <w:rsid w:val="00AF17C8"/>
    <w:rsid w:val="00AF218A"/>
    <w:rsid w:val="00AF2238"/>
    <w:rsid w:val="00AF2D94"/>
    <w:rsid w:val="00AF36B6"/>
    <w:rsid w:val="00AF3A0C"/>
    <w:rsid w:val="00AF3A9E"/>
    <w:rsid w:val="00AF3AB4"/>
    <w:rsid w:val="00AF6211"/>
    <w:rsid w:val="00AF73BB"/>
    <w:rsid w:val="00B012A6"/>
    <w:rsid w:val="00B0197F"/>
    <w:rsid w:val="00B0207F"/>
    <w:rsid w:val="00B02625"/>
    <w:rsid w:val="00B027C6"/>
    <w:rsid w:val="00B037EA"/>
    <w:rsid w:val="00B045B3"/>
    <w:rsid w:val="00B0504B"/>
    <w:rsid w:val="00B052D1"/>
    <w:rsid w:val="00B072D6"/>
    <w:rsid w:val="00B100DE"/>
    <w:rsid w:val="00B10F4F"/>
    <w:rsid w:val="00B1134B"/>
    <w:rsid w:val="00B1140B"/>
    <w:rsid w:val="00B12AF1"/>
    <w:rsid w:val="00B13052"/>
    <w:rsid w:val="00B145A8"/>
    <w:rsid w:val="00B14667"/>
    <w:rsid w:val="00B14A8A"/>
    <w:rsid w:val="00B1516C"/>
    <w:rsid w:val="00B15888"/>
    <w:rsid w:val="00B16A96"/>
    <w:rsid w:val="00B17FB2"/>
    <w:rsid w:val="00B2010A"/>
    <w:rsid w:val="00B20584"/>
    <w:rsid w:val="00B20587"/>
    <w:rsid w:val="00B20AB0"/>
    <w:rsid w:val="00B22461"/>
    <w:rsid w:val="00B22C89"/>
    <w:rsid w:val="00B22D2D"/>
    <w:rsid w:val="00B232F8"/>
    <w:rsid w:val="00B23DD2"/>
    <w:rsid w:val="00B25564"/>
    <w:rsid w:val="00B25910"/>
    <w:rsid w:val="00B25F8A"/>
    <w:rsid w:val="00B27C67"/>
    <w:rsid w:val="00B300CC"/>
    <w:rsid w:val="00B33499"/>
    <w:rsid w:val="00B3634F"/>
    <w:rsid w:val="00B37C53"/>
    <w:rsid w:val="00B40296"/>
    <w:rsid w:val="00B41935"/>
    <w:rsid w:val="00B41A0D"/>
    <w:rsid w:val="00B41D15"/>
    <w:rsid w:val="00B41EC6"/>
    <w:rsid w:val="00B432FB"/>
    <w:rsid w:val="00B452B0"/>
    <w:rsid w:val="00B4534A"/>
    <w:rsid w:val="00B46C65"/>
    <w:rsid w:val="00B474A7"/>
    <w:rsid w:val="00B47BA9"/>
    <w:rsid w:val="00B51B33"/>
    <w:rsid w:val="00B51EBD"/>
    <w:rsid w:val="00B52250"/>
    <w:rsid w:val="00B52802"/>
    <w:rsid w:val="00B53504"/>
    <w:rsid w:val="00B56A50"/>
    <w:rsid w:val="00B56F9B"/>
    <w:rsid w:val="00B60B9A"/>
    <w:rsid w:val="00B61509"/>
    <w:rsid w:val="00B62452"/>
    <w:rsid w:val="00B62F6F"/>
    <w:rsid w:val="00B633BD"/>
    <w:rsid w:val="00B633E6"/>
    <w:rsid w:val="00B64163"/>
    <w:rsid w:val="00B66A9B"/>
    <w:rsid w:val="00B700FC"/>
    <w:rsid w:val="00B72D0D"/>
    <w:rsid w:val="00B73D58"/>
    <w:rsid w:val="00B74C1C"/>
    <w:rsid w:val="00B75AB3"/>
    <w:rsid w:val="00B76E64"/>
    <w:rsid w:val="00B774F0"/>
    <w:rsid w:val="00B77828"/>
    <w:rsid w:val="00B77E66"/>
    <w:rsid w:val="00B77EB7"/>
    <w:rsid w:val="00B80DE4"/>
    <w:rsid w:val="00B836EC"/>
    <w:rsid w:val="00B83E00"/>
    <w:rsid w:val="00B8403B"/>
    <w:rsid w:val="00B84705"/>
    <w:rsid w:val="00B87149"/>
    <w:rsid w:val="00B8749A"/>
    <w:rsid w:val="00B90330"/>
    <w:rsid w:val="00B90C0E"/>
    <w:rsid w:val="00B92AA1"/>
    <w:rsid w:val="00B94C6D"/>
    <w:rsid w:val="00B962FB"/>
    <w:rsid w:val="00B96CA2"/>
    <w:rsid w:val="00BA176E"/>
    <w:rsid w:val="00BA2004"/>
    <w:rsid w:val="00BA34F2"/>
    <w:rsid w:val="00BA3B6D"/>
    <w:rsid w:val="00BA4145"/>
    <w:rsid w:val="00BB0082"/>
    <w:rsid w:val="00BB0212"/>
    <w:rsid w:val="00BB02B2"/>
    <w:rsid w:val="00BB159B"/>
    <w:rsid w:val="00BB185A"/>
    <w:rsid w:val="00BB33EC"/>
    <w:rsid w:val="00BB381E"/>
    <w:rsid w:val="00BB3F61"/>
    <w:rsid w:val="00BB4130"/>
    <w:rsid w:val="00BB4EFC"/>
    <w:rsid w:val="00BB6B79"/>
    <w:rsid w:val="00BC015F"/>
    <w:rsid w:val="00BC0335"/>
    <w:rsid w:val="00BC118F"/>
    <w:rsid w:val="00BC21DB"/>
    <w:rsid w:val="00BC2C37"/>
    <w:rsid w:val="00BC33B8"/>
    <w:rsid w:val="00BC3D33"/>
    <w:rsid w:val="00BC49CB"/>
    <w:rsid w:val="00BC5734"/>
    <w:rsid w:val="00BC6A70"/>
    <w:rsid w:val="00BC7E14"/>
    <w:rsid w:val="00BD00F2"/>
    <w:rsid w:val="00BD0CF2"/>
    <w:rsid w:val="00BD1512"/>
    <w:rsid w:val="00BD2341"/>
    <w:rsid w:val="00BD304F"/>
    <w:rsid w:val="00BD5AFD"/>
    <w:rsid w:val="00BD668D"/>
    <w:rsid w:val="00BD7BDF"/>
    <w:rsid w:val="00BD7BE7"/>
    <w:rsid w:val="00BD7DA2"/>
    <w:rsid w:val="00BD7E31"/>
    <w:rsid w:val="00BE0339"/>
    <w:rsid w:val="00BE152F"/>
    <w:rsid w:val="00BE16FF"/>
    <w:rsid w:val="00BE2E19"/>
    <w:rsid w:val="00BE49BF"/>
    <w:rsid w:val="00BE5485"/>
    <w:rsid w:val="00BE5934"/>
    <w:rsid w:val="00BE690F"/>
    <w:rsid w:val="00BF0A6D"/>
    <w:rsid w:val="00BF0F9A"/>
    <w:rsid w:val="00BF20A9"/>
    <w:rsid w:val="00BF73F1"/>
    <w:rsid w:val="00BF7922"/>
    <w:rsid w:val="00C004F0"/>
    <w:rsid w:val="00C0299A"/>
    <w:rsid w:val="00C02D57"/>
    <w:rsid w:val="00C038B8"/>
    <w:rsid w:val="00C04E7A"/>
    <w:rsid w:val="00C1002C"/>
    <w:rsid w:val="00C10790"/>
    <w:rsid w:val="00C1088C"/>
    <w:rsid w:val="00C115F6"/>
    <w:rsid w:val="00C1594A"/>
    <w:rsid w:val="00C15DF9"/>
    <w:rsid w:val="00C16FC4"/>
    <w:rsid w:val="00C175DF"/>
    <w:rsid w:val="00C20D2B"/>
    <w:rsid w:val="00C2250F"/>
    <w:rsid w:val="00C242E2"/>
    <w:rsid w:val="00C2474D"/>
    <w:rsid w:val="00C257B7"/>
    <w:rsid w:val="00C26A98"/>
    <w:rsid w:val="00C27503"/>
    <w:rsid w:val="00C279BF"/>
    <w:rsid w:val="00C303FB"/>
    <w:rsid w:val="00C33567"/>
    <w:rsid w:val="00C336B1"/>
    <w:rsid w:val="00C33E17"/>
    <w:rsid w:val="00C35850"/>
    <w:rsid w:val="00C35DA4"/>
    <w:rsid w:val="00C3713C"/>
    <w:rsid w:val="00C41605"/>
    <w:rsid w:val="00C416E9"/>
    <w:rsid w:val="00C4238D"/>
    <w:rsid w:val="00C42397"/>
    <w:rsid w:val="00C435AF"/>
    <w:rsid w:val="00C444D5"/>
    <w:rsid w:val="00C45499"/>
    <w:rsid w:val="00C45AF6"/>
    <w:rsid w:val="00C4628C"/>
    <w:rsid w:val="00C50A6A"/>
    <w:rsid w:val="00C51847"/>
    <w:rsid w:val="00C51C39"/>
    <w:rsid w:val="00C52000"/>
    <w:rsid w:val="00C522D2"/>
    <w:rsid w:val="00C53F5F"/>
    <w:rsid w:val="00C54E16"/>
    <w:rsid w:val="00C560AE"/>
    <w:rsid w:val="00C57C6E"/>
    <w:rsid w:val="00C6102D"/>
    <w:rsid w:val="00C617F2"/>
    <w:rsid w:val="00C61C18"/>
    <w:rsid w:val="00C627D7"/>
    <w:rsid w:val="00C62B25"/>
    <w:rsid w:val="00C62D58"/>
    <w:rsid w:val="00C62DEB"/>
    <w:rsid w:val="00C64EC5"/>
    <w:rsid w:val="00C64EFE"/>
    <w:rsid w:val="00C64F37"/>
    <w:rsid w:val="00C65383"/>
    <w:rsid w:val="00C65F86"/>
    <w:rsid w:val="00C669F7"/>
    <w:rsid w:val="00C66B73"/>
    <w:rsid w:val="00C67F95"/>
    <w:rsid w:val="00C70C44"/>
    <w:rsid w:val="00C71D5B"/>
    <w:rsid w:val="00C72CD6"/>
    <w:rsid w:val="00C73845"/>
    <w:rsid w:val="00C739A9"/>
    <w:rsid w:val="00C75DC0"/>
    <w:rsid w:val="00C774A7"/>
    <w:rsid w:val="00C81F5C"/>
    <w:rsid w:val="00C824A2"/>
    <w:rsid w:val="00C83BDB"/>
    <w:rsid w:val="00C845CF"/>
    <w:rsid w:val="00C87630"/>
    <w:rsid w:val="00C9054C"/>
    <w:rsid w:val="00C909A6"/>
    <w:rsid w:val="00C90D83"/>
    <w:rsid w:val="00C91A19"/>
    <w:rsid w:val="00C921A5"/>
    <w:rsid w:val="00C94B8F"/>
    <w:rsid w:val="00C952EF"/>
    <w:rsid w:val="00C957F1"/>
    <w:rsid w:val="00CA09CE"/>
    <w:rsid w:val="00CA365B"/>
    <w:rsid w:val="00CA457A"/>
    <w:rsid w:val="00CA6EBB"/>
    <w:rsid w:val="00CB030D"/>
    <w:rsid w:val="00CB3155"/>
    <w:rsid w:val="00CB3BF9"/>
    <w:rsid w:val="00CB4A93"/>
    <w:rsid w:val="00CB5136"/>
    <w:rsid w:val="00CB5CA6"/>
    <w:rsid w:val="00CB6EAB"/>
    <w:rsid w:val="00CC129C"/>
    <w:rsid w:val="00CC2466"/>
    <w:rsid w:val="00CC516A"/>
    <w:rsid w:val="00CC5566"/>
    <w:rsid w:val="00CC7332"/>
    <w:rsid w:val="00CD358A"/>
    <w:rsid w:val="00CD35AD"/>
    <w:rsid w:val="00CD3B64"/>
    <w:rsid w:val="00CD4261"/>
    <w:rsid w:val="00CD7F14"/>
    <w:rsid w:val="00CE0825"/>
    <w:rsid w:val="00CE15B3"/>
    <w:rsid w:val="00CE2E47"/>
    <w:rsid w:val="00CE433C"/>
    <w:rsid w:val="00CE4BD4"/>
    <w:rsid w:val="00CE4F2B"/>
    <w:rsid w:val="00CE5AB2"/>
    <w:rsid w:val="00CE62EA"/>
    <w:rsid w:val="00CE739D"/>
    <w:rsid w:val="00CE7FAF"/>
    <w:rsid w:val="00CF04ED"/>
    <w:rsid w:val="00CF0EFD"/>
    <w:rsid w:val="00CF11BB"/>
    <w:rsid w:val="00CF2013"/>
    <w:rsid w:val="00CF2D57"/>
    <w:rsid w:val="00CF3623"/>
    <w:rsid w:val="00CF4B82"/>
    <w:rsid w:val="00CF4CC9"/>
    <w:rsid w:val="00CF5C6B"/>
    <w:rsid w:val="00CF63D3"/>
    <w:rsid w:val="00D01652"/>
    <w:rsid w:val="00D043B0"/>
    <w:rsid w:val="00D05CDE"/>
    <w:rsid w:val="00D07695"/>
    <w:rsid w:val="00D07DA2"/>
    <w:rsid w:val="00D12689"/>
    <w:rsid w:val="00D12974"/>
    <w:rsid w:val="00D14009"/>
    <w:rsid w:val="00D1496C"/>
    <w:rsid w:val="00D15CC0"/>
    <w:rsid w:val="00D167A2"/>
    <w:rsid w:val="00D17498"/>
    <w:rsid w:val="00D17AFF"/>
    <w:rsid w:val="00D218F2"/>
    <w:rsid w:val="00D219FF"/>
    <w:rsid w:val="00D21D82"/>
    <w:rsid w:val="00D22D48"/>
    <w:rsid w:val="00D23109"/>
    <w:rsid w:val="00D23F47"/>
    <w:rsid w:val="00D26876"/>
    <w:rsid w:val="00D26F75"/>
    <w:rsid w:val="00D2704A"/>
    <w:rsid w:val="00D3048E"/>
    <w:rsid w:val="00D31378"/>
    <w:rsid w:val="00D33018"/>
    <w:rsid w:val="00D335B9"/>
    <w:rsid w:val="00D33F3B"/>
    <w:rsid w:val="00D343CC"/>
    <w:rsid w:val="00D34D4B"/>
    <w:rsid w:val="00D35D81"/>
    <w:rsid w:val="00D3699E"/>
    <w:rsid w:val="00D4017F"/>
    <w:rsid w:val="00D402EF"/>
    <w:rsid w:val="00D40BF3"/>
    <w:rsid w:val="00D41815"/>
    <w:rsid w:val="00D429B8"/>
    <w:rsid w:val="00D42F4C"/>
    <w:rsid w:val="00D44F34"/>
    <w:rsid w:val="00D46538"/>
    <w:rsid w:val="00D47F03"/>
    <w:rsid w:val="00D50872"/>
    <w:rsid w:val="00D509BC"/>
    <w:rsid w:val="00D515F2"/>
    <w:rsid w:val="00D523E1"/>
    <w:rsid w:val="00D5309E"/>
    <w:rsid w:val="00D53183"/>
    <w:rsid w:val="00D54C5C"/>
    <w:rsid w:val="00D54D13"/>
    <w:rsid w:val="00D55D07"/>
    <w:rsid w:val="00D601EF"/>
    <w:rsid w:val="00D62C42"/>
    <w:rsid w:val="00D64177"/>
    <w:rsid w:val="00D6711E"/>
    <w:rsid w:val="00D70E56"/>
    <w:rsid w:val="00D7267F"/>
    <w:rsid w:val="00D73215"/>
    <w:rsid w:val="00D743A5"/>
    <w:rsid w:val="00D74BDD"/>
    <w:rsid w:val="00D757C9"/>
    <w:rsid w:val="00D76027"/>
    <w:rsid w:val="00D76799"/>
    <w:rsid w:val="00D774B5"/>
    <w:rsid w:val="00D77D23"/>
    <w:rsid w:val="00D82025"/>
    <w:rsid w:val="00D83ACA"/>
    <w:rsid w:val="00D84A81"/>
    <w:rsid w:val="00D857C9"/>
    <w:rsid w:val="00D870A4"/>
    <w:rsid w:val="00D872AF"/>
    <w:rsid w:val="00D90612"/>
    <w:rsid w:val="00D90798"/>
    <w:rsid w:val="00D908F6"/>
    <w:rsid w:val="00D92072"/>
    <w:rsid w:val="00D92AC3"/>
    <w:rsid w:val="00D93737"/>
    <w:rsid w:val="00D948E6"/>
    <w:rsid w:val="00D9548D"/>
    <w:rsid w:val="00D95DCD"/>
    <w:rsid w:val="00D964C0"/>
    <w:rsid w:val="00D972DE"/>
    <w:rsid w:val="00DA0339"/>
    <w:rsid w:val="00DA2400"/>
    <w:rsid w:val="00DA25CD"/>
    <w:rsid w:val="00DA29B0"/>
    <w:rsid w:val="00DA359D"/>
    <w:rsid w:val="00DA57CA"/>
    <w:rsid w:val="00DB0DE7"/>
    <w:rsid w:val="00DB10A0"/>
    <w:rsid w:val="00DB1223"/>
    <w:rsid w:val="00DB16FF"/>
    <w:rsid w:val="00DB28A5"/>
    <w:rsid w:val="00DB29BA"/>
    <w:rsid w:val="00DB2ECF"/>
    <w:rsid w:val="00DB2F85"/>
    <w:rsid w:val="00DB5A3D"/>
    <w:rsid w:val="00DB5C67"/>
    <w:rsid w:val="00DB61FA"/>
    <w:rsid w:val="00DB7C5F"/>
    <w:rsid w:val="00DC0CF2"/>
    <w:rsid w:val="00DC0EF3"/>
    <w:rsid w:val="00DC1412"/>
    <w:rsid w:val="00DC3A98"/>
    <w:rsid w:val="00DC4417"/>
    <w:rsid w:val="00DC503A"/>
    <w:rsid w:val="00DC5549"/>
    <w:rsid w:val="00DD13CF"/>
    <w:rsid w:val="00DD22FD"/>
    <w:rsid w:val="00DD2615"/>
    <w:rsid w:val="00DD3537"/>
    <w:rsid w:val="00DD4412"/>
    <w:rsid w:val="00DD5EE6"/>
    <w:rsid w:val="00DD638E"/>
    <w:rsid w:val="00DD6830"/>
    <w:rsid w:val="00DD7A3C"/>
    <w:rsid w:val="00DD7EDA"/>
    <w:rsid w:val="00DE0620"/>
    <w:rsid w:val="00DE23E4"/>
    <w:rsid w:val="00DE2E22"/>
    <w:rsid w:val="00DE3CFC"/>
    <w:rsid w:val="00DE5FA2"/>
    <w:rsid w:val="00DE7807"/>
    <w:rsid w:val="00DF104D"/>
    <w:rsid w:val="00DF31F8"/>
    <w:rsid w:val="00DF3A79"/>
    <w:rsid w:val="00DF3CE7"/>
    <w:rsid w:val="00DF4069"/>
    <w:rsid w:val="00DF4F83"/>
    <w:rsid w:val="00DF5197"/>
    <w:rsid w:val="00DF569C"/>
    <w:rsid w:val="00DF6E72"/>
    <w:rsid w:val="00DF783E"/>
    <w:rsid w:val="00DF7B4B"/>
    <w:rsid w:val="00DF7C48"/>
    <w:rsid w:val="00E020FC"/>
    <w:rsid w:val="00E03287"/>
    <w:rsid w:val="00E04D8F"/>
    <w:rsid w:val="00E059C2"/>
    <w:rsid w:val="00E05DD6"/>
    <w:rsid w:val="00E0617F"/>
    <w:rsid w:val="00E06555"/>
    <w:rsid w:val="00E065B9"/>
    <w:rsid w:val="00E10961"/>
    <w:rsid w:val="00E110BD"/>
    <w:rsid w:val="00E11DA7"/>
    <w:rsid w:val="00E1406B"/>
    <w:rsid w:val="00E16887"/>
    <w:rsid w:val="00E170D9"/>
    <w:rsid w:val="00E21184"/>
    <w:rsid w:val="00E21617"/>
    <w:rsid w:val="00E21BAF"/>
    <w:rsid w:val="00E2228F"/>
    <w:rsid w:val="00E2242A"/>
    <w:rsid w:val="00E22CAD"/>
    <w:rsid w:val="00E235A1"/>
    <w:rsid w:val="00E253A0"/>
    <w:rsid w:val="00E325E5"/>
    <w:rsid w:val="00E32A6C"/>
    <w:rsid w:val="00E32A95"/>
    <w:rsid w:val="00E3325D"/>
    <w:rsid w:val="00E33599"/>
    <w:rsid w:val="00E33D0A"/>
    <w:rsid w:val="00E33EC4"/>
    <w:rsid w:val="00E34DFC"/>
    <w:rsid w:val="00E3598E"/>
    <w:rsid w:val="00E37300"/>
    <w:rsid w:val="00E407AF"/>
    <w:rsid w:val="00E412EE"/>
    <w:rsid w:val="00E418B9"/>
    <w:rsid w:val="00E4232D"/>
    <w:rsid w:val="00E43647"/>
    <w:rsid w:val="00E4456E"/>
    <w:rsid w:val="00E4502B"/>
    <w:rsid w:val="00E464C7"/>
    <w:rsid w:val="00E46636"/>
    <w:rsid w:val="00E46992"/>
    <w:rsid w:val="00E46A9D"/>
    <w:rsid w:val="00E47792"/>
    <w:rsid w:val="00E50D8A"/>
    <w:rsid w:val="00E50DAC"/>
    <w:rsid w:val="00E51A18"/>
    <w:rsid w:val="00E51DC1"/>
    <w:rsid w:val="00E53D24"/>
    <w:rsid w:val="00E544DA"/>
    <w:rsid w:val="00E5508D"/>
    <w:rsid w:val="00E56E23"/>
    <w:rsid w:val="00E570B9"/>
    <w:rsid w:val="00E60471"/>
    <w:rsid w:val="00E60F7E"/>
    <w:rsid w:val="00E64CB5"/>
    <w:rsid w:val="00E64CE6"/>
    <w:rsid w:val="00E674D7"/>
    <w:rsid w:val="00E70B47"/>
    <w:rsid w:val="00E72D38"/>
    <w:rsid w:val="00E7380D"/>
    <w:rsid w:val="00E73FB5"/>
    <w:rsid w:val="00E75000"/>
    <w:rsid w:val="00E7517B"/>
    <w:rsid w:val="00E7595A"/>
    <w:rsid w:val="00E75D1B"/>
    <w:rsid w:val="00E763CB"/>
    <w:rsid w:val="00E76DDF"/>
    <w:rsid w:val="00E77087"/>
    <w:rsid w:val="00E82917"/>
    <w:rsid w:val="00E83C60"/>
    <w:rsid w:val="00E84629"/>
    <w:rsid w:val="00E846C8"/>
    <w:rsid w:val="00E84AB1"/>
    <w:rsid w:val="00E86100"/>
    <w:rsid w:val="00E869A6"/>
    <w:rsid w:val="00E86BFC"/>
    <w:rsid w:val="00E86EC6"/>
    <w:rsid w:val="00E92110"/>
    <w:rsid w:val="00E9280E"/>
    <w:rsid w:val="00E93BDA"/>
    <w:rsid w:val="00E94023"/>
    <w:rsid w:val="00E947FA"/>
    <w:rsid w:val="00E94CA5"/>
    <w:rsid w:val="00E9589A"/>
    <w:rsid w:val="00E95A4A"/>
    <w:rsid w:val="00E9780E"/>
    <w:rsid w:val="00E97C73"/>
    <w:rsid w:val="00EA02A4"/>
    <w:rsid w:val="00EA06EC"/>
    <w:rsid w:val="00EA18B6"/>
    <w:rsid w:val="00EA1DA0"/>
    <w:rsid w:val="00EA203A"/>
    <w:rsid w:val="00EA50EE"/>
    <w:rsid w:val="00EA6764"/>
    <w:rsid w:val="00EB0B65"/>
    <w:rsid w:val="00EB2722"/>
    <w:rsid w:val="00EB272B"/>
    <w:rsid w:val="00EB3A12"/>
    <w:rsid w:val="00EB3EF0"/>
    <w:rsid w:val="00EB4899"/>
    <w:rsid w:val="00EB555F"/>
    <w:rsid w:val="00EB7E16"/>
    <w:rsid w:val="00EB7F8C"/>
    <w:rsid w:val="00EC0AB4"/>
    <w:rsid w:val="00EC14D2"/>
    <w:rsid w:val="00EC15F2"/>
    <w:rsid w:val="00EC4290"/>
    <w:rsid w:val="00EC6718"/>
    <w:rsid w:val="00EC6D44"/>
    <w:rsid w:val="00ED0363"/>
    <w:rsid w:val="00ED10D4"/>
    <w:rsid w:val="00ED2B71"/>
    <w:rsid w:val="00ED2CEE"/>
    <w:rsid w:val="00ED34CF"/>
    <w:rsid w:val="00ED5A54"/>
    <w:rsid w:val="00ED5B60"/>
    <w:rsid w:val="00ED62EC"/>
    <w:rsid w:val="00ED6645"/>
    <w:rsid w:val="00EE1177"/>
    <w:rsid w:val="00EE19CB"/>
    <w:rsid w:val="00EE23B2"/>
    <w:rsid w:val="00EE3188"/>
    <w:rsid w:val="00EE357B"/>
    <w:rsid w:val="00EE44CB"/>
    <w:rsid w:val="00EE452D"/>
    <w:rsid w:val="00EE4C21"/>
    <w:rsid w:val="00EE59B7"/>
    <w:rsid w:val="00EE72D6"/>
    <w:rsid w:val="00EE7A55"/>
    <w:rsid w:val="00EE7FCF"/>
    <w:rsid w:val="00EF01C8"/>
    <w:rsid w:val="00EF0FBD"/>
    <w:rsid w:val="00EF1C90"/>
    <w:rsid w:val="00EF292B"/>
    <w:rsid w:val="00EF36E8"/>
    <w:rsid w:val="00EF5640"/>
    <w:rsid w:val="00EF5DF1"/>
    <w:rsid w:val="00EF6ECB"/>
    <w:rsid w:val="00EF7A54"/>
    <w:rsid w:val="00F01BF3"/>
    <w:rsid w:val="00F035B4"/>
    <w:rsid w:val="00F053E2"/>
    <w:rsid w:val="00F05409"/>
    <w:rsid w:val="00F058EF"/>
    <w:rsid w:val="00F0631A"/>
    <w:rsid w:val="00F06DF4"/>
    <w:rsid w:val="00F07C08"/>
    <w:rsid w:val="00F10E6D"/>
    <w:rsid w:val="00F11C40"/>
    <w:rsid w:val="00F11D13"/>
    <w:rsid w:val="00F12F4F"/>
    <w:rsid w:val="00F13648"/>
    <w:rsid w:val="00F13890"/>
    <w:rsid w:val="00F13DB9"/>
    <w:rsid w:val="00F13E88"/>
    <w:rsid w:val="00F14252"/>
    <w:rsid w:val="00F14E8F"/>
    <w:rsid w:val="00F15534"/>
    <w:rsid w:val="00F15C64"/>
    <w:rsid w:val="00F15F89"/>
    <w:rsid w:val="00F1668F"/>
    <w:rsid w:val="00F169DA"/>
    <w:rsid w:val="00F178CA"/>
    <w:rsid w:val="00F221F0"/>
    <w:rsid w:val="00F224AA"/>
    <w:rsid w:val="00F22B02"/>
    <w:rsid w:val="00F2344E"/>
    <w:rsid w:val="00F23F06"/>
    <w:rsid w:val="00F2432C"/>
    <w:rsid w:val="00F26C22"/>
    <w:rsid w:val="00F26CEF"/>
    <w:rsid w:val="00F2748C"/>
    <w:rsid w:val="00F3018C"/>
    <w:rsid w:val="00F30257"/>
    <w:rsid w:val="00F310B2"/>
    <w:rsid w:val="00F32636"/>
    <w:rsid w:val="00F3264D"/>
    <w:rsid w:val="00F32C37"/>
    <w:rsid w:val="00F32D8A"/>
    <w:rsid w:val="00F33A34"/>
    <w:rsid w:val="00F34294"/>
    <w:rsid w:val="00F34EE9"/>
    <w:rsid w:val="00F352AB"/>
    <w:rsid w:val="00F37394"/>
    <w:rsid w:val="00F415A5"/>
    <w:rsid w:val="00F41782"/>
    <w:rsid w:val="00F42987"/>
    <w:rsid w:val="00F43835"/>
    <w:rsid w:val="00F4384A"/>
    <w:rsid w:val="00F43B65"/>
    <w:rsid w:val="00F45404"/>
    <w:rsid w:val="00F45B90"/>
    <w:rsid w:val="00F46AE8"/>
    <w:rsid w:val="00F47BD3"/>
    <w:rsid w:val="00F47C0B"/>
    <w:rsid w:val="00F514FB"/>
    <w:rsid w:val="00F52120"/>
    <w:rsid w:val="00F5228F"/>
    <w:rsid w:val="00F533E2"/>
    <w:rsid w:val="00F53CB1"/>
    <w:rsid w:val="00F54575"/>
    <w:rsid w:val="00F548A8"/>
    <w:rsid w:val="00F54AB2"/>
    <w:rsid w:val="00F5776D"/>
    <w:rsid w:val="00F605FB"/>
    <w:rsid w:val="00F612D7"/>
    <w:rsid w:val="00F6327C"/>
    <w:rsid w:val="00F64B8D"/>
    <w:rsid w:val="00F65951"/>
    <w:rsid w:val="00F67206"/>
    <w:rsid w:val="00F72BC2"/>
    <w:rsid w:val="00F73C4A"/>
    <w:rsid w:val="00F74209"/>
    <w:rsid w:val="00F74B80"/>
    <w:rsid w:val="00F75C88"/>
    <w:rsid w:val="00F76136"/>
    <w:rsid w:val="00F76BFA"/>
    <w:rsid w:val="00F76EBE"/>
    <w:rsid w:val="00F77313"/>
    <w:rsid w:val="00F80E88"/>
    <w:rsid w:val="00F814B0"/>
    <w:rsid w:val="00F82067"/>
    <w:rsid w:val="00F853A5"/>
    <w:rsid w:val="00F85C61"/>
    <w:rsid w:val="00F86461"/>
    <w:rsid w:val="00F87A2B"/>
    <w:rsid w:val="00F94A0A"/>
    <w:rsid w:val="00F963D9"/>
    <w:rsid w:val="00F968D2"/>
    <w:rsid w:val="00F97B55"/>
    <w:rsid w:val="00FA1185"/>
    <w:rsid w:val="00FA1FCE"/>
    <w:rsid w:val="00FA34D1"/>
    <w:rsid w:val="00FA4072"/>
    <w:rsid w:val="00FA4E21"/>
    <w:rsid w:val="00FA5729"/>
    <w:rsid w:val="00FA5FED"/>
    <w:rsid w:val="00FB0153"/>
    <w:rsid w:val="00FB0E9F"/>
    <w:rsid w:val="00FB1DCE"/>
    <w:rsid w:val="00FB26BD"/>
    <w:rsid w:val="00FB29BE"/>
    <w:rsid w:val="00FB4F16"/>
    <w:rsid w:val="00FB5D5F"/>
    <w:rsid w:val="00FB65FE"/>
    <w:rsid w:val="00FB6D5E"/>
    <w:rsid w:val="00FB7172"/>
    <w:rsid w:val="00FC01F9"/>
    <w:rsid w:val="00FC029D"/>
    <w:rsid w:val="00FC0C72"/>
    <w:rsid w:val="00FC129A"/>
    <w:rsid w:val="00FC1B9B"/>
    <w:rsid w:val="00FC3AD1"/>
    <w:rsid w:val="00FC6DBA"/>
    <w:rsid w:val="00FC7E26"/>
    <w:rsid w:val="00FD110E"/>
    <w:rsid w:val="00FD27D8"/>
    <w:rsid w:val="00FD3B33"/>
    <w:rsid w:val="00FD5C52"/>
    <w:rsid w:val="00FD747E"/>
    <w:rsid w:val="00FD7728"/>
    <w:rsid w:val="00FD77C3"/>
    <w:rsid w:val="00FE08A8"/>
    <w:rsid w:val="00FE0F51"/>
    <w:rsid w:val="00FE22E1"/>
    <w:rsid w:val="00FE5644"/>
    <w:rsid w:val="00FE7196"/>
    <w:rsid w:val="00FE74A7"/>
    <w:rsid w:val="00FE7774"/>
    <w:rsid w:val="00FF1C6E"/>
    <w:rsid w:val="00FF29AD"/>
    <w:rsid w:val="00FF2D40"/>
    <w:rsid w:val="00FF3D33"/>
    <w:rsid w:val="00FF4035"/>
    <w:rsid w:val="00FF40AF"/>
    <w:rsid w:val="00FF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5B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uiPriority w:val="99"/>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F41782"/>
    <w:pPr>
      <w:widowControl/>
      <w:tabs>
        <w:tab w:val="left" w:pos="440"/>
        <w:tab w:val="right" w:leader="dot" w:pos="9350"/>
      </w:tabs>
      <w:autoSpaceDE/>
      <w:autoSpaceDN/>
      <w:adjustRightInd/>
      <w:spacing w:before="120"/>
    </w:pPr>
    <w:rPr>
      <w:bCs/>
      <w:noProof/>
      <w:sz w:val="24"/>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uiPriority w:val="99"/>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C3713C"/>
    <w:pPr>
      <w:tabs>
        <w:tab w:val="left" w:pos="720"/>
        <w:tab w:val="right" w:leader="dot" w:pos="9350"/>
      </w:tabs>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uiPriority w:val="99"/>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F41782"/>
    <w:pPr>
      <w:widowControl/>
      <w:tabs>
        <w:tab w:val="left" w:pos="440"/>
        <w:tab w:val="right" w:leader="dot" w:pos="9350"/>
      </w:tabs>
      <w:autoSpaceDE/>
      <w:autoSpaceDN/>
      <w:adjustRightInd/>
      <w:spacing w:before="120"/>
    </w:pPr>
    <w:rPr>
      <w:bCs/>
      <w:noProof/>
      <w:sz w:val="24"/>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uiPriority w:val="99"/>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C3713C"/>
    <w:pPr>
      <w:tabs>
        <w:tab w:val="left" w:pos="720"/>
        <w:tab w:val="right" w:leader="dot" w:pos="9350"/>
      </w:tabs>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7512">
      <w:bodyDiv w:val="1"/>
      <w:marLeft w:val="0"/>
      <w:marRight w:val="0"/>
      <w:marTop w:val="0"/>
      <w:marBottom w:val="0"/>
      <w:divBdr>
        <w:top w:val="none" w:sz="0" w:space="0" w:color="auto"/>
        <w:left w:val="none" w:sz="0" w:space="0" w:color="auto"/>
        <w:bottom w:val="none" w:sz="0" w:space="0" w:color="auto"/>
        <w:right w:val="none" w:sz="0" w:space="0" w:color="auto"/>
      </w:divBdr>
    </w:div>
    <w:div w:id="56631331">
      <w:bodyDiv w:val="1"/>
      <w:marLeft w:val="0"/>
      <w:marRight w:val="0"/>
      <w:marTop w:val="0"/>
      <w:marBottom w:val="0"/>
      <w:divBdr>
        <w:top w:val="none" w:sz="0" w:space="0" w:color="auto"/>
        <w:left w:val="none" w:sz="0" w:space="0" w:color="auto"/>
        <w:bottom w:val="none" w:sz="0" w:space="0" w:color="auto"/>
        <w:right w:val="none" w:sz="0" w:space="0" w:color="auto"/>
      </w:divBdr>
    </w:div>
    <w:div w:id="107117324">
      <w:bodyDiv w:val="1"/>
      <w:marLeft w:val="0"/>
      <w:marRight w:val="0"/>
      <w:marTop w:val="0"/>
      <w:marBottom w:val="0"/>
      <w:divBdr>
        <w:top w:val="none" w:sz="0" w:space="0" w:color="auto"/>
        <w:left w:val="none" w:sz="0" w:space="0" w:color="auto"/>
        <w:bottom w:val="none" w:sz="0" w:space="0" w:color="auto"/>
        <w:right w:val="none" w:sz="0" w:space="0" w:color="auto"/>
      </w:divBdr>
    </w:div>
    <w:div w:id="223567866">
      <w:bodyDiv w:val="1"/>
      <w:marLeft w:val="0"/>
      <w:marRight w:val="0"/>
      <w:marTop w:val="0"/>
      <w:marBottom w:val="0"/>
      <w:divBdr>
        <w:top w:val="none" w:sz="0" w:space="0" w:color="auto"/>
        <w:left w:val="none" w:sz="0" w:space="0" w:color="auto"/>
        <w:bottom w:val="none" w:sz="0" w:space="0" w:color="auto"/>
        <w:right w:val="none" w:sz="0" w:space="0" w:color="auto"/>
      </w:divBdr>
    </w:div>
    <w:div w:id="246040423">
      <w:bodyDiv w:val="1"/>
      <w:marLeft w:val="0"/>
      <w:marRight w:val="0"/>
      <w:marTop w:val="0"/>
      <w:marBottom w:val="0"/>
      <w:divBdr>
        <w:top w:val="none" w:sz="0" w:space="0" w:color="auto"/>
        <w:left w:val="none" w:sz="0" w:space="0" w:color="auto"/>
        <w:bottom w:val="none" w:sz="0" w:space="0" w:color="auto"/>
        <w:right w:val="none" w:sz="0" w:space="0" w:color="auto"/>
      </w:divBdr>
    </w:div>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468472813">
      <w:bodyDiv w:val="1"/>
      <w:marLeft w:val="0"/>
      <w:marRight w:val="0"/>
      <w:marTop w:val="0"/>
      <w:marBottom w:val="0"/>
      <w:divBdr>
        <w:top w:val="none" w:sz="0" w:space="0" w:color="auto"/>
        <w:left w:val="none" w:sz="0" w:space="0" w:color="auto"/>
        <w:bottom w:val="none" w:sz="0" w:space="0" w:color="auto"/>
        <w:right w:val="none" w:sz="0" w:space="0" w:color="auto"/>
      </w:divBdr>
    </w:div>
    <w:div w:id="503664094">
      <w:bodyDiv w:val="1"/>
      <w:marLeft w:val="0"/>
      <w:marRight w:val="0"/>
      <w:marTop w:val="0"/>
      <w:marBottom w:val="0"/>
      <w:divBdr>
        <w:top w:val="none" w:sz="0" w:space="0" w:color="auto"/>
        <w:left w:val="none" w:sz="0" w:space="0" w:color="auto"/>
        <w:bottom w:val="none" w:sz="0" w:space="0" w:color="auto"/>
        <w:right w:val="none" w:sz="0" w:space="0" w:color="auto"/>
      </w:divBdr>
    </w:div>
    <w:div w:id="600841814">
      <w:bodyDiv w:val="1"/>
      <w:marLeft w:val="0"/>
      <w:marRight w:val="0"/>
      <w:marTop w:val="0"/>
      <w:marBottom w:val="0"/>
      <w:divBdr>
        <w:top w:val="none" w:sz="0" w:space="0" w:color="auto"/>
        <w:left w:val="none" w:sz="0" w:space="0" w:color="auto"/>
        <w:bottom w:val="none" w:sz="0" w:space="0" w:color="auto"/>
        <w:right w:val="none" w:sz="0" w:space="0" w:color="auto"/>
      </w:divBdr>
    </w:div>
    <w:div w:id="735280575">
      <w:bodyDiv w:val="1"/>
      <w:marLeft w:val="0"/>
      <w:marRight w:val="0"/>
      <w:marTop w:val="0"/>
      <w:marBottom w:val="0"/>
      <w:divBdr>
        <w:top w:val="none" w:sz="0" w:space="0" w:color="auto"/>
        <w:left w:val="none" w:sz="0" w:space="0" w:color="auto"/>
        <w:bottom w:val="none" w:sz="0" w:space="0" w:color="auto"/>
        <w:right w:val="none" w:sz="0" w:space="0" w:color="auto"/>
      </w:divBdr>
    </w:div>
    <w:div w:id="808863847">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27484696">
      <w:bodyDiv w:val="1"/>
      <w:marLeft w:val="0"/>
      <w:marRight w:val="0"/>
      <w:marTop w:val="0"/>
      <w:marBottom w:val="0"/>
      <w:divBdr>
        <w:top w:val="none" w:sz="0" w:space="0" w:color="auto"/>
        <w:left w:val="none" w:sz="0" w:space="0" w:color="auto"/>
        <w:bottom w:val="none" w:sz="0" w:space="0" w:color="auto"/>
        <w:right w:val="none" w:sz="0" w:space="0" w:color="auto"/>
      </w:divBdr>
    </w:div>
    <w:div w:id="1048798600">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059666638">
      <w:bodyDiv w:val="1"/>
      <w:marLeft w:val="0"/>
      <w:marRight w:val="0"/>
      <w:marTop w:val="0"/>
      <w:marBottom w:val="0"/>
      <w:divBdr>
        <w:top w:val="none" w:sz="0" w:space="0" w:color="auto"/>
        <w:left w:val="none" w:sz="0" w:space="0" w:color="auto"/>
        <w:bottom w:val="none" w:sz="0" w:space="0" w:color="auto"/>
        <w:right w:val="none" w:sz="0" w:space="0" w:color="auto"/>
      </w:divBdr>
    </w:div>
    <w:div w:id="1101728234">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243831431">
      <w:bodyDiv w:val="1"/>
      <w:marLeft w:val="0"/>
      <w:marRight w:val="0"/>
      <w:marTop w:val="0"/>
      <w:marBottom w:val="0"/>
      <w:divBdr>
        <w:top w:val="none" w:sz="0" w:space="0" w:color="auto"/>
        <w:left w:val="none" w:sz="0" w:space="0" w:color="auto"/>
        <w:bottom w:val="none" w:sz="0" w:space="0" w:color="auto"/>
        <w:right w:val="none" w:sz="0" w:space="0" w:color="auto"/>
      </w:divBdr>
    </w:div>
    <w:div w:id="1373965810">
      <w:bodyDiv w:val="1"/>
      <w:marLeft w:val="0"/>
      <w:marRight w:val="0"/>
      <w:marTop w:val="0"/>
      <w:marBottom w:val="0"/>
      <w:divBdr>
        <w:top w:val="none" w:sz="0" w:space="0" w:color="auto"/>
        <w:left w:val="none" w:sz="0" w:space="0" w:color="auto"/>
        <w:bottom w:val="none" w:sz="0" w:space="0" w:color="auto"/>
        <w:right w:val="none" w:sz="0" w:space="0" w:color="auto"/>
      </w:divBdr>
    </w:div>
    <w:div w:id="1401564243">
      <w:bodyDiv w:val="1"/>
      <w:marLeft w:val="0"/>
      <w:marRight w:val="0"/>
      <w:marTop w:val="0"/>
      <w:marBottom w:val="0"/>
      <w:divBdr>
        <w:top w:val="none" w:sz="0" w:space="0" w:color="auto"/>
        <w:left w:val="none" w:sz="0" w:space="0" w:color="auto"/>
        <w:bottom w:val="none" w:sz="0" w:space="0" w:color="auto"/>
        <w:right w:val="none" w:sz="0" w:space="0" w:color="auto"/>
      </w:divBdr>
    </w:div>
    <w:div w:id="1494373480">
      <w:bodyDiv w:val="1"/>
      <w:marLeft w:val="0"/>
      <w:marRight w:val="0"/>
      <w:marTop w:val="0"/>
      <w:marBottom w:val="0"/>
      <w:divBdr>
        <w:top w:val="none" w:sz="0" w:space="0" w:color="auto"/>
        <w:left w:val="none" w:sz="0" w:space="0" w:color="auto"/>
        <w:bottom w:val="none" w:sz="0" w:space="0" w:color="auto"/>
        <w:right w:val="none" w:sz="0" w:space="0" w:color="auto"/>
      </w:divBdr>
    </w:div>
    <w:div w:id="1495756178">
      <w:bodyDiv w:val="1"/>
      <w:marLeft w:val="0"/>
      <w:marRight w:val="0"/>
      <w:marTop w:val="0"/>
      <w:marBottom w:val="0"/>
      <w:divBdr>
        <w:top w:val="none" w:sz="0" w:space="0" w:color="auto"/>
        <w:left w:val="none" w:sz="0" w:space="0" w:color="auto"/>
        <w:bottom w:val="none" w:sz="0" w:space="0" w:color="auto"/>
        <w:right w:val="none" w:sz="0" w:space="0" w:color="auto"/>
      </w:divBdr>
    </w:div>
    <w:div w:id="1514109011">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55647612">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70215437">
      <w:bodyDiv w:val="1"/>
      <w:marLeft w:val="0"/>
      <w:marRight w:val="0"/>
      <w:marTop w:val="0"/>
      <w:marBottom w:val="0"/>
      <w:divBdr>
        <w:top w:val="none" w:sz="0" w:space="0" w:color="auto"/>
        <w:left w:val="none" w:sz="0" w:space="0" w:color="auto"/>
        <w:bottom w:val="none" w:sz="0" w:space="0" w:color="auto"/>
        <w:right w:val="none" w:sz="0" w:space="0" w:color="auto"/>
      </w:divBdr>
    </w:div>
    <w:div w:id="1673948785">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722092194">
      <w:bodyDiv w:val="1"/>
      <w:marLeft w:val="0"/>
      <w:marRight w:val="0"/>
      <w:marTop w:val="0"/>
      <w:marBottom w:val="0"/>
      <w:divBdr>
        <w:top w:val="none" w:sz="0" w:space="0" w:color="auto"/>
        <w:left w:val="none" w:sz="0" w:space="0" w:color="auto"/>
        <w:bottom w:val="none" w:sz="0" w:space="0" w:color="auto"/>
        <w:right w:val="none" w:sz="0" w:space="0" w:color="auto"/>
      </w:divBdr>
    </w:div>
    <w:div w:id="1799494773">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1894003731">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news/press/2008/2008-1_randiabd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population/age/data/2011co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384C5-5662-4B39-A960-E1DCC843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13277</Words>
  <Characters>75679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88779</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Beckmann, Allan - EBSA</cp:lastModifiedBy>
  <cp:revision>2</cp:revision>
  <cp:lastPrinted>2015-10-06T18:05:00Z</cp:lastPrinted>
  <dcterms:created xsi:type="dcterms:W3CDTF">2017-04-14T14:00:00Z</dcterms:created>
  <dcterms:modified xsi:type="dcterms:W3CDTF">2017-04-14T14:00:00Z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