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22663"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14:paraId="36079D80" w14:textId="2DC93F97" w:rsidR="00A96B65" w:rsidRDefault="00E864B3" w:rsidP="00570861">
      <w:pPr>
        <w:spacing w:after="0"/>
        <w:jc w:val="center"/>
        <w:rPr>
          <w:rFonts w:ascii="Times New Roman" w:hAnsi="Times New Roman" w:cs="Times New Roman"/>
          <w:b/>
          <w:sz w:val="24"/>
          <w:szCs w:val="24"/>
        </w:rPr>
      </w:pPr>
      <w:r>
        <w:rPr>
          <w:rFonts w:ascii="Times New Roman" w:hAnsi="Times New Roman" w:cs="Times New Roman"/>
          <w:b/>
          <w:sz w:val="24"/>
          <w:szCs w:val="24"/>
        </w:rPr>
        <w:t>FERC-725R</w:t>
      </w:r>
      <w:r w:rsidR="00570861">
        <w:rPr>
          <w:rFonts w:ascii="Times New Roman" w:hAnsi="Times New Roman" w:cs="Times New Roman"/>
          <w:b/>
          <w:sz w:val="24"/>
          <w:szCs w:val="24"/>
        </w:rPr>
        <w:t>, Mandatory Reliability Sta</w:t>
      </w:r>
      <w:r w:rsidR="00BD7446">
        <w:rPr>
          <w:rFonts w:ascii="Times New Roman" w:hAnsi="Times New Roman" w:cs="Times New Roman"/>
          <w:b/>
          <w:sz w:val="24"/>
          <w:szCs w:val="24"/>
        </w:rPr>
        <w:t>ndards for BAL-001-2</w:t>
      </w:r>
    </w:p>
    <w:p w14:paraId="5D3202CD" w14:textId="6930839E" w:rsidR="003B3B61" w:rsidRDefault="003B3B61" w:rsidP="003B3B61">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w:t>
      </w:r>
      <w:r w:rsidR="0002567F" w:rsidRPr="0002567F">
        <w:rPr>
          <w:rFonts w:ascii="Times New Roman" w:hAnsi="Times New Roman" w:cs="Times New Roman"/>
          <w:sz w:val="24"/>
          <w:szCs w:val="24"/>
        </w:rPr>
        <w:t xml:space="preserve">Notice of Proposed </w:t>
      </w:r>
      <w:r w:rsidR="0002567F" w:rsidRPr="00CE2CDA">
        <w:rPr>
          <w:rFonts w:ascii="Times New Roman" w:hAnsi="Times New Roman" w:cs="Times New Roman"/>
          <w:sz w:val="24"/>
          <w:szCs w:val="24"/>
        </w:rPr>
        <w:t xml:space="preserve">Rulemaking </w:t>
      </w:r>
      <w:r w:rsidR="00570861" w:rsidRPr="009430EF">
        <w:rPr>
          <w:rFonts w:ascii="Times New Roman" w:hAnsi="Times New Roman" w:cs="Times New Roman"/>
          <w:sz w:val="24"/>
          <w:szCs w:val="24"/>
        </w:rPr>
        <w:t>in</w:t>
      </w:r>
      <w:r w:rsidR="00BD7446">
        <w:rPr>
          <w:rFonts w:ascii="Times New Roman" w:hAnsi="Times New Roman" w:cs="Times New Roman"/>
          <w:sz w:val="24"/>
          <w:szCs w:val="24"/>
        </w:rPr>
        <w:t xml:space="preserve"> Docket Number RM14-10</w:t>
      </w:r>
      <w:r w:rsidR="00570861">
        <w:rPr>
          <w:rFonts w:ascii="Times New Roman" w:hAnsi="Times New Roman" w:cs="Times New Roman"/>
          <w:sz w:val="24"/>
          <w:szCs w:val="24"/>
        </w:rPr>
        <w:t>-000</w:t>
      </w:r>
      <w:r w:rsidR="00BD7446">
        <w:rPr>
          <w:rFonts w:ascii="Times New Roman" w:hAnsi="Times New Roman" w:cs="Times New Roman"/>
          <w:sz w:val="24"/>
          <w:szCs w:val="24"/>
        </w:rPr>
        <w:t xml:space="preserve"> (issued on 11/20</w:t>
      </w:r>
      <w:r>
        <w:rPr>
          <w:rFonts w:ascii="Times New Roman" w:hAnsi="Times New Roman" w:cs="Times New Roman"/>
          <w:sz w:val="24"/>
          <w:szCs w:val="24"/>
        </w:rPr>
        <w:t>/2014)</w:t>
      </w:r>
    </w:p>
    <w:p w14:paraId="62A2615D" w14:textId="77777777" w:rsidR="00FD66F1" w:rsidRDefault="00FD66F1" w:rsidP="00F8440A">
      <w:pPr>
        <w:spacing w:after="0"/>
        <w:rPr>
          <w:rFonts w:ascii="Times New Roman" w:hAnsi="Times New Roman" w:cs="Times New Roman"/>
          <w:sz w:val="24"/>
          <w:szCs w:val="24"/>
        </w:rPr>
      </w:pPr>
    </w:p>
    <w:p w14:paraId="0A7E2666" w14:textId="3E0346FD"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The Federal Energy Regulatory Commission (Commission or FERC) requests that the Office of Management a</w:t>
      </w:r>
      <w:r w:rsidR="00B27783">
        <w:rPr>
          <w:rFonts w:ascii="Times New Roman" w:hAnsi="Times New Roman" w:cs="Times New Roman"/>
          <w:sz w:val="24"/>
          <w:szCs w:val="24"/>
        </w:rPr>
        <w:t xml:space="preserve">nd Budget (OMB) review </w:t>
      </w:r>
      <w:r w:rsidR="00BD7446">
        <w:rPr>
          <w:rFonts w:ascii="Times New Roman" w:hAnsi="Times New Roman" w:cs="Times New Roman"/>
          <w:sz w:val="24"/>
          <w:szCs w:val="24"/>
        </w:rPr>
        <w:t>FERC-725R</w:t>
      </w:r>
      <w:r w:rsidR="00570861">
        <w:rPr>
          <w:rFonts w:ascii="Times New Roman" w:hAnsi="Times New Roman" w:cs="Times New Roman"/>
          <w:sz w:val="24"/>
          <w:szCs w:val="24"/>
        </w:rPr>
        <w:t xml:space="preserve"> (Mandatory Reliability Standard</w:t>
      </w:r>
      <w:r w:rsidR="008D6E39">
        <w:rPr>
          <w:rFonts w:ascii="Times New Roman" w:hAnsi="Times New Roman" w:cs="Times New Roman"/>
          <w:sz w:val="24"/>
          <w:szCs w:val="24"/>
        </w:rPr>
        <w:t>s for the Bulk-Power System: BAL</w:t>
      </w:r>
      <w:r w:rsidR="008D6E39" w:rsidRPr="005F0306">
        <w:rPr>
          <w:rStyle w:val="FootnoteReference"/>
          <w:rFonts w:ascii="Times New Roman" w:hAnsi="Times New Roman" w:cs="Times New Roman"/>
          <w:sz w:val="24"/>
          <w:szCs w:val="24"/>
          <w:vertAlign w:val="superscript"/>
        </w:rPr>
        <w:footnoteReference w:id="1"/>
      </w:r>
      <w:r w:rsidR="008D6E39">
        <w:rPr>
          <w:rFonts w:ascii="Times New Roman" w:hAnsi="Times New Roman" w:cs="Times New Roman"/>
          <w:sz w:val="24"/>
          <w:szCs w:val="24"/>
        </w:rPr>
        <w:t xml:space="preserve"> </w:t>
      </w:r>
      <w:r w:rsidR="00570861">
        <w:rPr>
          <w:rFonts w:ascii="Times New Roman" w:hAnsi="Times New Roman" w:cs="Times New Roman"/>
          <w:sz w:val="24"/>
          <w:szCs w:val="24"/>
        </w:rPr>
        <w:t>Reliability Standards</w:t>
      </w:r>
      <w:r w:rsidR="00B27783">
        <w:rPr>
          <w:rFonts w:ascii="Times New Roman" w:hAnsi="Times New Roman" w:cs="Times New Roman"/>
          <w:sz w:val="24"/>
          <w:szCs w:val="24"/>
        </w:rPr>
        <w:t>)</w:t>
      </w:r>
      <w:r w:rsidR="00570861">
        <w:rPr>
          <w:rFonts w:ascii="Times New Roman" w:hAnsi="Times New Roman" w:cs="Times New Roman"/>
          <w:sz w:val="24"/>
          <w:szCs w:val="24"/>
        </w:rPr>
        <w:t>.</w:t>
      </w:r>
      <w:r w:rsidRPr="00F8440A">
        <w:rPr>
          <w:rFonts w:ascii="Times New Roman" w:hAnsi="Times New Roman" w:cs="Times New Roman"/>
          <w:sz w:val="24"/>
          <w:szCs w:val="24"/>
        </w:rPr>
        <w:t xml:space="preserve"> </w:t>
      </w:r>
      <w:r w:rsidR="00570861">
        <w:rPr>
          <w:rFonts w:ascii="Times New Roman" w:hAnsi="Times New Roman" w:cs="Times New Roman"/>
          <w:sz w:val="24"/>
          <w:szCs w:val="24"/>
        </w:rPr>
        <w:t xml:space="preserve"> The requirements for this information collection are </w:t>
      </w:r>
      <w:r w:rsidR="00F55699">
        <w:rPr>
          <w:rFonts w:ascii="Times New Roman" w:hAnsi="Times New Roman" w:cs="Times New Roman"/>
          <w:sz w:val="24"/>
          <w:szCs w:val="24"/>
        </w:rPr>
        <w:t xml:space="preserve">referenced in </w:t>
      </w:r>
      <w:r w:rsidR="00570861">
        <w:rPr>
          <w:rFonts w:ascii="Times New Roman" w:hAnsi="Times New Roman" w:cs="Times New Roman"/>
          <w:sz w:val="24"/>
          <w:szCs w:val="24"/>
        </w:rPr>
        <w:t>the Commission’s regulations at 18 Code of Federal Regulations (CFR) Part 40.</w:t>
      </w:r>
    </w:p>
    <w:p w14:paraId="2493C2F7" w14:textId="77777777"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ab/>
      </w:r>
    </w:p>
    <w:p w14:paraId="53AB4224" w14:textId="78EE96E5" w:rsidR="00A72E7B" w:rsidRDefault="00657A47" w:rsidP="00F8440A">
      <w:pPr>
        <w:spacing w:after="0"/>
        <w:rPr>
          <w:rFonts w:ascii="Times New Roman" w:hAnsi="Times New Roman" w:cs="Times New Roman"/>
          <w:sz w:val="24"/>
          <w:szCs w:val="24"/>
        </w:rPr>
      </w:pPr>
      <w:r>
        <w:rPr>
          <w:rFonts w:ascii="Times New Roman" w:hAnsi="Times New Roman" w:cs="Times New Roman"/>
          <w:sz w:val="24"/>
          <w:szCs w:val="24"/>
        </w:rPr>
        <w:t>In this notice of proposed rulemaking (NOPR)</w:t>
      </w:r>
      <w:r w:rsidR="00F8440A" w:rsidRPr="00F8440A">
        <w:rPr>
          <w:rFonts w:ascii="Times New Roman" w:hAnsi="Times New Roman" w:cs="Times New Roman"/>
          <w:sz w:val="24"/>
          <w:szCs w:val="24"/>
        </w:rPr>
        <w:t>, the Commi</w:t>
      </w:r>
      <w:r>
        <w:rPr>
          <w:rFonts w:ascii="Times New Roman" w:hAnsi="Times New Roman" w:cs="Times New Roman"/>
          <w:sz w:val="24"/>
          <w:szCs w:val="24"/>
        </w:rPr>
        <w:t>ssion proposes</w:t>
      </w:r>
      <w:r w:rsidR="00F8440A" w:rsidRPr="00F8440A">
        <w:rPr>
          <w:rFonts w:ascii="Times New Roman" w:hAnsi="Times New Roman" w:cs="Times New Roman"/>
          <w:sz w:val="24"/>
          <w:szCs w:val="24"/>
        </w:rPr>
        <w:t xml:space="preserve"> </w:t>
      </w:r>
      <w:r w:rsidR="007849C5">
        <w:rPr>
          <w:rFonts w:ascii="Times New Roman" w:hAnsi="Times New Roman" w:cs="Times New Roman"/>
          <w:sz w:val="24"/>
          <w:szCs w:val="24"/>
        </w:rPr>
        <w:t xml:space="preserve">to </w:t>
      </w:r>
      <w:r w:rsidR="00BD7446" w:rsidRPr="00BD7446">
        <w:rPr>
          <w:rFonts w:ascii="Times New Roman" w:hAnsi="Times New Roman" w:cs="Times New Roman"/>
          <w:sz w:val="24"/>
          <w:szCs w:val="24"/>
        </w:rPr>
        <w:t xml:space="preserve">approve the Reliability Standard pertaining to requiring balancing authorities to operate such that its clock-minute average reporting </w:t>
      </w:r>
      <w:r w:rsidR="007849C5">
        <w:rPr>
          <w:rFonts w:ascii="Times New Roman" w:hAnsi="Times New Roman" w:cs="Times New Roman"/>
          <w:sz w:val="24"/>
          <w:szCs w:val="24"/>
        </w:rPr>
        <w:t>Area Contro</w:t>
      </w:r>
      <w:r w:rsidR="00967D28">
        <w:rPr>
          <w:rFonts w:ascii="Times New Roman" w:hAnsi="Times New Roman" w:cs="Times New Roman"/>
          <w:sz w:val="24"/>
          <w:szCs w:val="24"/>
        </w:rPr>
        <w:t>l</w:t>
      </w:r>
      <w:r w:rsidR="007849C5">
        <w:rPr>
          <w:rFonts w:ascii="Times New Roman" w:hAnsi="Times New Roman" w:cs="Times New Roman"/>
          <w:sz w:val="24"/>
          <w:szCs w:val="24"/>
        </w:rPr>
        <w:t xml:space="preserve"> Error (</w:t>
      </w:r>
      <w:r w:rsidR="00BD7446" w:rsidRPr="00BD7446">
        <w:rPr>
          <w:rFonts w:ascii="Times New Roman" w:hAnsi="Times New Roman" w:cs="Times New Roman"/>
          <w:sz w:val="24"/>
          <w:szCs w:val="24"/>
        </w:rPr>
        <w:t>ACE</w:t>
      </w:r>
      <w:r w:rsidR="007849C5">
        <w:rPr>
          <w:rFonts w:ascii="Times New Roman" w:hAnsi="Times New Roman" w:cs="Times New Roman"/>
          <w:sz w:val="24"/>
          <w:szCs w:val="24"/>
        </w:rPr>
        <w:t>)</w:t>
      </w:r>
      <w:r w:rsidR="00BD7446" w:rsidRPr="00BD7446">
        <w:rPr>
          <w:rFonts w:ascii="Times New Roman" w:hAnsi="Times New Roman" w:cs="Times New Roman"/>
          <w:sz w:val="24"/>
          <w:szCs w:val="24"/>
        </w:rPr>
        <w:t xml:space="preserve"> does not exceed its clock-minute Balancing Authority ACE Limits </w:t>
      </w:r>
      <w:r w:rsidR="007849C5">
        <w:rPr>
          <w:rFonts w:ascii="Times New Roman" w:hAnsi="Times New Roman" w:cs="Times New Roman"/>
          <w:sz w:val="24"/>
          <w:szCs w:val="24"/>
        </w:rPr>
        <w:t xml:space="preserve">(BAAL) </w:t>
      </w:r>
      <w:r w:rsidR="00BD7446" w:rsidRPr="00BD7446">
        <w:rPr>
          <w:rFonts w:ascii="Times New Roman" w:hAnsi="Times New Roman" w:cs="Times New Roman"/>
          <w:sz w:val="24"/>
          <w:szCs w:val="24"/>
        </w:rPr>
        <w:t xml:space="preserve">for more than 30 consecutive clock-minutes.  The proposed Reliability Standard Requirement R2 provides each balancing authority a dynamic ACE limit that is a function of Interconnection frequency.  The proposed Reliability Standard will provide dynamic limits that are balancing authority and Interconnection specific.  In addition, these ACE limits are based on identified Interconnection frequency limits to ensure the Interconnection </w:t>
      </w:r>
      <w:proofErr w:type="gramStart"/>
      <w:r w:rsidR="00BD7446" w:rsidRPr="00BD7446">
        <w:rPr>
          <w:rFonts w:ascii="Times New Roman" w:hAnsi="Times New Roman" w:cs="Times New Roman"/>
          <w:sz w:val="24"/>
          <w:szCs w:val="24"/>
        </w:rPr>
        <w:t>returns</w:t>
      </w:r>
      <w:proofErr w:type="gramEnd"/>
      <w:r w:rsidR="00BD7446" w:rsidRPr="00BD7446">
        <w:rPr>
          <w:rFonts w:ascii="Times New Roman" w:hAnsi="Times New Roman" w:cs="Times New Roman"/>
          <w:sz w:val="24"/>
          <w:szCs w:val="24"/>
        </w:rPr>
        <w:t xml:space="preserve"> to a reliable state when an individual balancing authority’s ACE or Interconnection frequency deviation contributes undue risk to the Interconnection</w:t>
      </w:r>
      <w:r>
        <w:rPr>
          <w:rFonts w:ascii="Times New Roman" w:hAnsi="Times New Roman" w:cs="Times New Roman"/>
          <w:sz w:val="24"/>
          <w:szCs w:val="24"/>
        </w:rPr>
        <w:t>.  The Commission submits th</w:t>
      </w:r>
      <w:r w:rsidR="00F707CA">
        <w:rPr>
          <w:rFonts w:ascii="Times New Roman" w:hAnsi="Times New Roman" w:cs="Times New Roman"/>
          <w:sz w:val="24"/>
          <w:szCs w:val="24"/>
        </w:rPr>
        <w:t>e changes due to the</w:t>
      </w:r>
      <w:r>
        <w:rPr>
          <w:rFonts w:ascii="Times New Roman" w:hAnsi="Times New Roman" w:cs="Times New Roman"/>
          <w:sz w:val="24"/>
          <w:szCs w:val="24"/>
        </w:rPr>
        <w:t xml:space="preserve"> </w:t>
      </w:r>
      <w:r w:rsidR="00F707CA">
        <w:rPr>
          <w:rFonts w:ascii="Times New Roman" w:hAnsi="Times New Roman" w:cs="Times New Roman"/>
          <w:sz w:val="24"/>
          <w:szCs w:val="24"/>
        </w:rPr>
        <w:t xml:space="preserve">NOPR in Docket No. </w:t>
      </w:r>
      <w:proofErr w:type="gramStart"/>
      <w:r w:rsidR="00BD7446">
        <w:rPr>
          <w:rFonts w:ascii="Times New Roman" w:hAnsi="Times New Roman" w:cs="Times New Roman"/>
          <w:sz w:val="24"/>
          <w:szCs w:val="24"/>
        </w:rPr>
        <w:t>RM14-10</w:t>
      </w:r>
      <w:r w:rsidR="00BB3B2C">
        <w:rPr>
          <w:rFonts w:ascii="Times New Roman" w:hAnsi="Times New Roman" w:cs="Times New Roman"/>
          <w:sz w:val="24"/>
          <w:szCs w:val="24"/>
        </w:rPr>
        <w:t xml:space="preserve">-000 </w:t>
      </w:r>
      <w:r w:rsidR="00BD7446">
        <w:rPr>
          <w:rFonts w:ascii="Times New Roman" w:hAnsi="Times New Roman" w:cs="Times New Roman"/>
          <w:sz w:val="24"/>
          <w:szCs w:val="24"/>
        </w:rPr>
        <w:t>under the FERC-725R</w:t>
      </w:r>
      <w:r>
        <w:rPr>
          <w:rFonts w:ascii="Times New Roman" w:hAnsi="Times New Roman" w:cs="Times New Roman"/>
          <w:sz w:val="24"/>
          <w:szCs w:val="24"/>
        </w:rPr>
        <w:t xml:space="preserve"> information colle</w:t>
      </w:r>
      <w:r w:rsidR="00BD7446">
        <w:rPr>
          <w:rFonts w:ascii="Times New Roman" w:hAnsi="Times New Roman" w:cs="Times New Roman"/>
          <w:sz w:val="24"/>
          <w:szCs w:val="24"/>
        </w:rPr>
        <w:t>ction (OMB Control No. 1902-0268</w:t>
      </w:r>
      <w:r>
        <w:rPr>
          <w:rFonts w:ascii="Times New Roman" w:hAnsi="Times New Roman" w:cs="Times New Roman"/>
          <w:sz w:val="24"/>
          <w:szCs w:val="24"/>
        </w:rPr>
        <w:t>).</w:t>
      </w:r>
      <w:proofErr w:type="gramEnd"/>
    </w:p>
    <w:p w14:paraId="6C1532B2" w14:textId="77777777" w:rsidR="0002242D" w:rsidRDefault="0002242D" w:rsidP="00FD66F1">
      <w:pPr>
        <w:spacing w:after="0"/>
        <w:rPr>
          <w:rFonts w:ascii="Times New Roman" w:hAnsi="Times New Roman" w:cs="Times New Roman"/>
          <w:sz w:val="24"/>
          <w:szCs w:val="24"/>
        </w:rPr>
      </w:pPr>
    </w:p>
    <w:p w14:paraId="0446CBC8"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2B046789" w14:textId="77777777" w:rsidR="00A72E7B" w:rsidRDefault="00A72E7B" w:rsidP="00EB3E6F">
      <w:pPr>
        <w:spacing w:after="0"/>
        <w:rPr>
          <w:rFonts w:ascii="Times New Roman" w:hAnsi="Times New Roman" w:cs="Times New Roman"/>
          <w:sz w:val="24"/>
          <w:szCs w:val="24"/>
        </w:rPr>
      </w:pPr>
    </w:p>
    <w:p w14:paraId="561F14BD" w14:textId="77777777" w:rsidR="00255F1F" w:rsidRPr="001B6A73" w:rsidRDefault="00255F1F" w:rsidP="00255F1F">
      <w:pPr>
        <w:spacing w:after="0"/>
        <w:rPr>
          <w:rFonts w:ascii="Times New Roman" w:hAnsi="Times New Roman" w:cs="Times New Roman"/>
          <w:sz w:val="24"/>
          <w:szCs w:val="24"/>
        </w:rPr>
      </w:pPr>
      <w:r w:rsidRPr="001B6A73">
        <w:rPr>
          <w:rFonts w:ascii="Times New Roman" w:hAnsi="Times New Roman" w:cs="Times New Roman"/>
          <w:sz w:val="24"/>
          <w:szCs w:val="24"/>
        </w:rPr>
        <w:t>On August 8, 2005, The Electricity Modernization Act of 2005, which is Title XII of the Energy Policy Act of 2005 (</w:t>
      </w:r>
      <w:proofErr w:type="spellStart"/>
      <w:r w:rsidRPr="001B6A73">
        <w:rPr>
          <w:rFonts w:ascii="Times New Roman" w:hAnsi="Times New Roman" w:cs="Times New Roman"/>
          <w:sz w:val="24"/>
          <w:szCs w:val="24"/>
        </w:rPr>
        <w:t>EPAct</w:t>
      </w:r>
      <w:proofErr w:type="spellEnd"/>
      <w:r w:rsidRPr="001B6A73">
        <w:rPr>
          <w:rFonts w:ascii="Times New Roman" w:hAnsi="Times New Roman" w:cs="Times New Roman"/>
          <w:sz w:val="24"/>
          <w:szCs w:val="24"/>
        </w:rPr>
        <w:t xml:space="preserve"> 2005), was enacted into law.  </w:t>
      </w:r>
      <w:proofErr w:type="spellStart"/>
      <w:r w:rsidRPr="001B6A73">
        <w:rPr>
          <w:rFonts w:ascii="Times New Roman" w:hAnsi="Times New Roman" w:cs="Times New Roman"/>
          <w:sz w:val="24"/>
          <w:szCs w:val="24"/>
        </w:rPr>
        <w:t>EPAct</w:t>
      </w:r>
      <w:proofErr w:type="spellEnd"/>
      <w:r w:rsidRPr="001B6A73">
        <w:rPr>
          <w:rFonts w:ascii="Times New Roman" w:hAnsi="Times New Roman" w:cs="Times New Roman"/>
          <w:sz w:val="24"/>
          <w:szCs w:val="24"/>
        </w:rPr>
        <w:t xml:space="preserve"> 2005 added a new section 215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w:t>
      </w:r>
    </w:p>
    <w:p w14:paraId="016B81BD" w14:textId="77777777" w:rsidR="00255F1F" w:rsidRPr="001B6A73" w:rsidRDefault="00255F1F" w:rsidP="00255F1F">
      <w:pPr>
        <w:spacing w:after="0"/>
        <w:rPr>
          <w:rFonts w:ascii="Times New Roman" w:hAnsi="Times New Roman" w:cs="Times New Roman"/>
          <w:sz w:val="24"/>
          <w:szCs w:val="24"/>
        </w:rPr>
      </w:pPr>
    </w:p>
    <w:p w14:paraId="2E71C8A1" w14:textId="57F80503" w:rsidR="00B837BA" w:rsidRDefault="00255F1F" w:rsidP="00B837BA">
      <w:pPr>
        <w:spacing w:after="0"/>
        <w:rPr>
          <w:rFonts w:ascii="Times New Roman" w:hAnsi="Times New Roman" w:cs="Times New Roman"/>
          <w:sz w:val="24"/>
          <w:szCs w:val="24"/>
        </w:rPr>
      </w:pPr>
      <w:r w:rsidRPr="001B6A73">
        <w:rPr>
          <w:rFonts w:ascii="Times New Roman" w:hAnsi="Times New Roman" w:cs="Times New Roman"/>
          <w:sz w:val="24"/>
          <w:szCs w:val="24"/>
        </w:rPr>
        <w:t>On March 16, 2007, in Order No. 693, pursuant to section 215(d) of the FPA, the Commission approved 83 of 107 proposed Reliability Standards, six of the eight proposed regional differences, and the North American Electric Reliability Corpor</w:t>
      </w:r>
      <w:r>
        <w:rPr>
          <w:rFonts w:ascii="Times New Roman" w:hAnsi="Times New Roman" w:cs="Times New Roman"/>
          <w:sz w:val="24"/>
          <w:szCs w:val="24"/>
        </w:rPr>
        <w:t>ation (NERC) Glossary of Terms u</w:t>
      </w:r>
      <w:r w:rsidRPr="001B6A73">
        <w:rPr>
          <w:rFonts w:ascii="Times New Roman" w:hAnsi="Times New Roman" w:cs="Times New Roman"/>
          <w:sz w:val="24"/>
          <w:szCs w:val="24"/>
        </w:rPr>
        <w:t>sed in Reliability Standards (NERC Glossary), including currently-effective BAL-00</w:t>
      </w:r>
      <w:r w:rsidR="00926EC5">
        <w:rPr>
          <w:rFonts w:ascii="Times New Roman" w:hAnsi="Times New Roman" w:cs="Times New Roman"/>
          <w:sz w:val="24"/>
          <w:szCs w:val="24"/>
        </w:rPr>
        <w:t>1</w:t>
      </w:r>
      <w:r w:rsidRPr="001B6A73">
        <w:rPr>
          <w:rFonts w:ascii="Times New Roman" w:hAnsi="Times New Roman" w:cs="Times New Roman"/>
          <w:sz w:val="24"/>
          <w:szCs w:val="24"/>
        </w:rPr>
        <w:t>-</w:t>
      </w:r>
      <w:r w:rsidR="000F24CD">
        <w:rPr>
          <w:rFonts w:ascii="Times New Roman" w:hAnsi="Times New Roman" w:cs="Times New Roman"/>
          <w:sz w:val="24"/>
          <w:szCs w:val="24"/>
        </w:rPr>
        <w:t>1</w:t>
      </w:r>
      <w:r w:rsidR="00926EC5">
        <w:rPr>
          <w:rFonts w:ascii="Times New Roman" w:hAnsi="Times New Roman" w:cs="Times New Roman"/>
          <w:sz w:val="24"/>
          <w:szCs w:val="24"/>
        </w:rPr>
        <w:t xml:space="preserve"> and a </w:t>
      </w:r>
      <w:r w:rsidR="00926EC5">
        <w:rPr>
          <w:rFonts w:ascii="Times New Roman" w:hAnsi="Times New Roman" w:cs="Times New Roman"/>
          <w:sz w:val="24"/>
          <w:szCs w:val="24"/>
        </w:rPr>
        <w:lastRenderedPageBreak/>
        <w:t>companion standard BAL-002-0</w:t>
      </w:r>
      <w:r w:rsidRPr="001B6A73">
        <w:rPr>
          <w:rFonts w:ascii="Times New Roman" w:hAnsi="Times New Roman" w:cs="Times New Roman"/>
          <w:sz w:val="24"/>
          <w:szCs w:val="24"/>
        </w:rPr>
        <w:t>.  In addition, pursuant to section 215(d</w:t>
      </w:r>
      <w:proofErr w:type="gramStart"/>
      <w:r w:rsidRPr="001B6A73">
        <w:rPr>
          <w:rFonts w:ascii="Times New Roman" w:hAnsi="Times New Roman" w:cs="Times New Roman"/>
          <w:sz w:val="24"/>
          <w:szCs w:val="24"/>
        </w:rPr>
        <w:t>)(</w:t>
      </w:r>
      <w:proofErr w:type="gramEnd"/>
      <w:r w:rsidRPr="001B6A73">
        <w:rPr>
          <w:rFonts w:ascii="Times New Roman" w:hAnsi="Times New Roman" w:cs="Times New Roman"/>
          <w:sz w:val="24"/>
          <w:szCs w:val="24"/>
        </w:rPr>
        <w:t xml:space="preserve">5) of the FPA, the Commission directed NERC, among other things, to develop modifications to </w:t>
      </w:r>
      <w:r w:rsidR="00926EC5" w:rsidRPr="00926EC5">
        <w:rPr>
          <w:rFonts w:ascii="Times New Roman" w:hAnsi="Times New Roman" w:cs="Times New Roman"/>
          <w:sz w:val="24"/>
          <w:szCs w:val="24"/>
        </w:rPr>
        <w:t>BAL-002-0</w:t>
      </w:r>
      <w:r w:rsidR="00926EC5">
        <w:rPr>
          <w:rFonts w:ascii="Times New Roman" w:hAnsi="Times New Roman" w:cs="Times New Roman"/>
          <w:sz w:val="24"/>
          <w:szCs w:val="24"/>
        </w:rPr>
        <w:t>.</w:t>
      </w:r>
      <w:r w:rsidR="00926EC5" w:rsidRPr="00926EC5">
        <w:rPr>
          <w:rFonts w:ascii="Times New Roman" w:hAnsi="Times New Roman" w:cs="Times New Roman"/>
          <w:sz w:val="24"/>
          <w:szCs w:val="24"/>
        </w:rPr>
        <w:t xml:space="preserve"> </w:t>
      </w:r>
      <w:r w:rsidR="00926EC5">
        <w:rPr>
          <w:rFonts w:ascii="Times New Roman" w:hAnsi="Times New Roman" w:cs="Times New Roman"/>
          <w:sz w:val="24"/>
          <w:szCs w:val="24"/>
        </w:rPr>
        <w:t>T</w:t>
      </w:r>
      <w:r w:rsidR="00926EC5" w:rsidRPr="00926EC5">
        <w:rPr>
          <w:rFonts w:ascii="Times New Roman" w:hAnsi="Times New Roman" w:cs="Times New Roman"/>
          <w:sz w:val="24"/>
          <w:szCs w:val="24"/>
        </w:rPr>
        <w:t>he Commission directed NERC “to modify this Reliability Standard to define a significant deviation and a reportable event, taking into account all events that have an impact on frequency, e.g., loss of supply, loss of load and significant scheduling problems, which can cause frequency disturbances and to address how balancing authorities should respond</w:t>
      </w:r>
      <w:r w:rsidR="00926EC5">
        <w:rPr>
          <w:rFonts w:ascii="Times New Roman" w:hAnsi="Times New Roman" w:cs="Times New Roman"/>
          <w:sz w:val="24"/>
          <w:szCs w:val="24"/>
        </w:rPr>
        <w:t>.</w:t>
      </w:r>
      <w:r w:rsidR="00296233">
        <w:rPr>
          <w:rFonts w:ascii="Times New Roman" w:hAnsi="Times New Roman" w:cs="Times New Roman"/>
          <w:sz w:val="24"/>
          <w:szCs w:val="24"/>
        </w:rPr>
        <w:t>”</w:t>
      </w:r>
    </w:p>
    <w:p w14:paraId="41ACC2B8" w14:textId="77777777" w:rsidR="00EF3400" w:rsidRDefault="00EF3400" w:rsidP="00B837BA">
      <w:pPr>
        <w:spacing w:after="0"/>
        <w:rPr>
          <w:rFonts w:ascii="Times New Roman" w:hAnsi="Times New Roman" w:cs="Times New Roman"/>
          <w:sz w:val="24"/>
          <w:szCs w:val="24"/>
        </w:rPr>
      </w:pPr>
    </w:p>
    <w:p w14:paraId="33F2B8F1" w14:textId="0F010946" w:rsidR="00926EC5" w:rsidRDefault="00926EC5" w:rsidP="00B837BA">
      <w:pPr>
        <w:spacing w:after="0"/>
        <w:rPr>
          <w:rFonts w:ascii="Times New Roman" w:hAnsi="Times New Roman" w:cs="Times New Roman"/>
          <w:sz w:val="24"/>
          <w:szCs w:val="24"/>
        </w:rPr>
      </w:pPr>
      <w:r w:rsidRPr="00926EC5">
        <w:rPr>
          <w:rFonts w:ascii="Times New Roman" w:hAnsi="Times New Roman" w:cs="Times New Roman"/>
          <w:sz w:val="24"/>
          <w:szCs w:val="24"/>
        </w:rPr>
        <w:t>On May 9, 2014, NERC submitted a supplemental filing (Supplemental Filing) to address the status of the Commission directive in Order No. 693 pertaining to Reliability Standard BAL-002-0 and update the Commission regarding the status of a field trial undertaken for proposed Reliability Standard BAL-001-2.  In its Supplemental Filing, NERC reiterates the importance of the proposed revision establishing dynamic limits for a balancing authority’s ACE as a function of the Interconnection frequency, stating that “[o]</w:t>
      </w:r>
      <w:proofErr w:type="spellStart"/>
      <w:r w:rsidRPr="00926EC5">
        <w:rPr>
          <w:rFonts w:ascii="Times New Roman" w:hAnsi="Times New Roman" w:cs="Times New Roman"/>
          <w:sz w:val="24"/>
          <w:szCs w:val="24"/>
        </w:rPr>
        <w:t>ne</w:t>
      </w:r>
      <w:proofErr w:type="spellEnd"/>
      <w:r w:rsidRPr="00926EC5">
        <w:rPr>
          <w:rFonts w:ascii="Times New Roman" w:hAnsi="Times New Roman" w:cs="Times New Roman"/>
          <w:sz w:val="24"/>
          <w:szCs w:val="24"/>
        </w:rPr>
        <w:t xml:space="preserve"> of the reliability benefits of the proposed Reliability Standard is that it allows Balancing Authorities to calculate their position within these boundaries on a real-time basis and take action to support reliability.”</w:t>
      </w:r>
      <w:r>
        <w:rPr>
          <w:rStyle w:val="FootnoteReference"/>
          <w:rFonts w:ascii="Times New Roman" w:hAnsi="Times New Roman" w:cs="Times New Roman"/>
          <w:sz w:val="24"/>
          <w:szCs w:val="24"/>
        </w:rPr>
        <w:footnoteReference w:id="2"/>
      </w:r>
    </w:p>
    <w:p w14:paraId="01ADB8D7" w14:textId="77777777" w:rsidR="00926EC5" w:rsidRDefault="00926EC5" w:rsidP="00B837BA">
      <w:pPr>
        <w:spacing w:after="0"/>
        <w:rPr>
          <w:rFonts w:ascii="Times New Roman" w:hAnsi="Times New Roman" w:cs="Times New Roman"/>
          <w:sz w:val="24"/>
          <w:szCs w:val="24"/>
        </w:rPr>
      </w:pPr>
    </w:p>
    <w:p w14:paraId="5E2A924B" w14:textId="29567F84" w:rsidR="00B837BA" w:rsidRDefault="00236674" w:rsidP="00B837BA">
      <w:pPr>
        <w:spacing w:after="0"/>
        <w:rPr>
          <w:rFonts w:ascii="Times New Roman" w:hAnsi="Times New Roman" w:cs="Times New Roman"/>
          <w:sz w:val="24"/>
          <w:szCs w:val="24"/>
        </w:rPr>
      </w:pPr>
      <w:r>
        <w:rPr>
          <w:rFonts w:ascii="Times New Roman" w:hAnsi="Times New Roman" w:cs="Times New Roman"/>
          <w:sz w:val="24"/>
          <w:szCs w:val="24"/>
        </w:rPr>
        <w:t>The NOPR proposes</w:t>
      </w:r>
      <w:r w:rsidR="00B837BA">
        <w:rPr>
          <w:rFonts w:ascii="Times New Roman" w:hAnsi="Times New Roman" w:cs="Times New Roman"/>
          <w:sz w:val="24"/>
          <w:szCs w:val="24"/>
        </w:rPr>
        <w:t xml:space="preserve"> to </w:t>
      </w:r>
      <w:r w:rsidR="005F0306">
        <w:rPr>
          <w:rFonts w:ascii="Times New Roman" w:hAnsi="Times New Roman" w:cs="Times New Roman"/>
          <w:sz w:val="24"/>
          <w:szCs w:val="24"/>
        </w:rPr>
        <w:t>replace t</w:t>
      </w:r>
      <w:r w:rsidR="00215F2D">
        <w:rPr>
          <w:rFonts w:ascii="Times New Roman" w:hAnsi="Times New Roman" w:cs="Times New Roman"/>
          <w:sz w:val="24"/>
          <w:szCs w:val="24"/>
        </w:rPr>
        <w:t>he Control Performance Standard</w:t>
      </w:r>
      <w:r w:rsidR="005F0306">
        <w:rPr>
          <w:rFonts w:ascii="Times New Roman" w:hAnsi="Times New Roman" w:cs="Times New Roman"/>
          <w:sz w:val="24"/>
          <w:szCs w:val="24"/>
        </w:rPr>
        <w:t xml:space="preserve"> 2 (CPS2) in the currently effective Requirement R2 with a new term, “Balancing Authority ACE</w:t>
      </w:r>
      <w:r w:rsidR="003A17AE">
        <w:rPr>
          <w:rFonts w:ascii="Times New Roman" w:hAnsi="Times New Roman" w:cs="Times New Roman"/>
          <w:sz w:val="24"/>
          <w:szCs w:val="24"/>
        </w:rPr>
        <w:t xml:space="preserve"> (Authority Control Error)</w:t>
      </w:r>
      <w:r w:rsidR="005F0306">
        <w:rPr>
          <w:rFonts w:ascii="Times New Roman" w:hAnsi="Times New Roman" w:cs="Times New Roman"/>
          <w:sz w:val="24"/>
          <w:szCs w:val="24"/>
        </w:rPr>
        <w:t xml:space="preserve"> Limit (BAAL)</w:t>
      </w:r>
      <w:r w:rsidR="001A4FC2">
        <w:rPr>
          <w:rFonts w:ascii="Times New Roman" w:hAnsi="Times New Roman" w:cs="Times New Roman"/>
          <w:sz w:val="24"/>
          <w:szCs w:val="24"/>
        </w:rPr>
        <w:t>”</w:t>
      </w:r>
      <w:r w:rsidR="005F0306">
        <w:rPr>
          <w:rFonts w:ascii="Times New Roman" w:hAnsi="Times New Roman" w:cs="Times New Roman"/>
          <w:sz w:val="24"/>
          <w:szCs w:val="24"/>
        </w:rPr>
        <w:t xml:space="preserve">. The BAAL contains dynamic limits as a function of Interconnection frequency and provides the basis for a balancing authority’s obligation to balance its resources and </w:t>
      </w:r>
      <w:r w:rsidR="001A4FC2">
        <w:rPr>
          <w:rFonts w:ascii="Times New Roman" w:hAnsi="Times New Roman" w:cs="Times New Roman"/>
          <w:sz w:val="24"/>
          <w:szCs w:val="24"/>
        </w:rPr>
        <w:t>demand</w:t>
      </w:r>
      <w:r w:rsidR="005F0306">
        <w:rPr>
          <w:rFonts w:ascii="Times New Roman" w:hAnsi="Times New Roman" w:cs="Times New Roman"/>
          <w:sz w:val="24"/>
          <w:szCs w:val="24"/>
        </w:rPr>
        <w:t xml:space="preserve"> in real-time.</w:t>
      </w:r>
    </w:p>
    <w:p w14:paraId="7DA5FEDD" w14:textId="77777777" w:rsidR="00EB3E6F" w:rsidRPr="00EB3E6F" w:rsidRDefault="00EB3E6F" w:rsidP="00EB3E6F">
      <w:pPr>
        <w:spacing w:after="0"/>
        <w:rPr>
          <w:rFonts w:ascii="Times New Roman" w:hAnsi="Times New Roman" w:cs="Times New Roman"/>
          <w:sz w:val="24"/>
          <w:szCs w:val="24"/>
        </w:rPr>
      </w:pPr>
    </w:p>
    <w:p w14:paraId="642F6157"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08B62698" w14:textId="77777777" w:rsidR="00EB3E6F" w:rsidRDefault="00EB3E6F" w:rsidP="00EB3E6F">
      <w:pPr>
        <w:spacing w:after="0"/>
        <w:rPr>
          <w:rFonts w:ascii="Times New Roman" w:hAnsi="Times New Roman" w:cs="Times New Roman"/>
          <w:sz w:val="24"/>
          <w:szCs w:val="24"/>
        </w:rPr>
      </w:pPr>
    </w:p>
    <w:p w14:paraId="059282DD" w14:textId="77777777" w:rsidR="00925502" w:rsidRDefault="00925502" w:rsidP="00EB3E6F">
      <w:pPr>
        <w:spacing w:after="0"/>
        <w:rPr>
          <w:rFonts w:ascii="Times New Roman" w:hAnsi="Times New Roman" w:cs="Times New Roman"/>
          <w:sz w:val="24"/>
          <w:szCs w:val="24"/>
        </w:rPr>
      </w:pPr>
      <w:r>
        <w:rPr>
          <w:rFonts w:ascii="Times New Roman" w:hAnsi="Times New Roman" w:cs="Times New Roman"/>
          <w:sz w:val="24"/>
          <w:szCs w:val="24"/>
        </w:rPr>
        <w:t xml:space="preserve">The proposed Reliability Standard BAL-001-2 has two requirements and two attachments containing the mathematical equations for calculating the Control Performance Standard 1 (CPS1) in Requirement R1, the Balancing Authority ACE Limit in Requirement R2, and associated measures.  </w:t>
      </w:r>
    </w:p>
    <w:p w14:paraId="50C87EA6" w14:textId="77777777" w:rsidR="00925502" w:rsidRDefault="00925502" w:rsidP="00EB3E6F">
      <w:pPr>
        <w:spacing w:after="0"/>
        <w:rPr>
          <w:rFonts w:ascii="Times New Roman" w:hAnsi="Times New Roman" w:cs="Times New Roman"/>
          <w:sz w:val="24"/>
          <w:szCs w:val="24"/>
        </w:rPr>
      </w:pPr>
    </w:p>
    <w:p w14:paraId="74E4B3F3" w14:textId="60B3120E" w:rsidR="003A17AE" w:rsidRDefault="003A17AE" w:rsidP="00EB3E6F">
      <w:pPr>
        <w:spacing w:after="0"/>
        <w:rPr>
          <w:rFonts w:ascii="Times New Roman" w:hAnsi="Times New Roman" w:cs="Times New Roman"/>
          <w:sz w:val="24"/>
          <w:szCs w:val="24"/>
        </w:rPr>
      </w:pPr>
      <w:r w:rsidRPr="003A17AE">
        <w:rPr>
          <w:rFonts w:ascii="Times New Roman" w:hAnsi="Times New Roman" w:cs="Times New Roman"/>
          <w:sz w:val="24"/>
          <w:szCs w:val="24"/>
          <w:u w:val="single"/>
        </w:rPr>
        <w:t>Requirement R1</w:t>
      </w:r>
      <w:r>
        <w:rPr>
          <w:rFonts w:ascii="Times New Roman" w:hAnsi="Times New Roman" w:cs="Times New Roman"/>
          <w:sz w:val="24"/>
          <w:szCs w:val="24"/>
        </w:rPr>
        <w:t>:</w:t>
      </w:r>
    </w:p>
    <w:p w14:paraId="0D9A9EB2" w14:textId="2DB66CAE" w:rsidR="009942F8" w:rsidRDefault="00AF19D9" w:rsidP="00EB3E6F">
      <w:pPr>
        <w:spacing w:after="0"/>
        <w:rPr>
          <w:rFonts w:ascii="Times New Roman" w:hAnsi="Times New Roman" w:cs="Times New Roman"/>
          <w:sz w:val="24"/>
          <w:szCs w:val="24"/>
        </w:rPr>
      </w:pPr>
      <w:r>
        <w:rPr>
          <w:rFonts w:ascii="Times New Roman" w:hAnsi="Times New Roman" w:cs="Times New Roman"/>
          <w:sz w:val="24"/>
          <w:szCs w:val="24"/>
        </w:rPr>
        <w:t>The only proposed change to Requirement R1 is to move the equation</w:t>
      </w:r>
      <w:r w:rsidR="003A17AE" w:rsidRPr="00B169FF">
        <w:rPr>
          <w:rStyle w:val="FootnoteReference"/>
          <w:rFonts w:ascii="Times New Roman" w:hAnsi="Times New Roman" w:cs="Times New Roman"/>
          <w:sz w:val="24"/>
          <w:szCs w:val="24"/>
          <w:vertAlign w:val="superscript"/>
        </w:rPr>
        <w:footnoteReference w:id="3"/>
      </w:r>
      <w:r>
        <w:rPr>
          <w:rFonts w:ascii="Times New Roman" w:hAnsi="Times New Roman" w:cs="Times New Roman"/>
          <w:sz w:val="24"/>
          <w:szCs w:val="24"/>
        </w:rPr>
        <w:t xml:space="preserve"> and explanation of the components of CPS1 to Attachment 1 of the same standard.</w:t>
      </w:r>
    </w:p>
    <w:p w14:paraId="66B07B95" w14:textId="77777777" w:rsidR="00AF19D9" w:rsidRDefault="00AF19D9" w:rsidP="00EB3E6F">
      <w:pPr>
        <w:spacing w:after="0"/>
        <w:rPr>
          <w:rFonts w:ascii="Times New Roman" w:hAnsi="Times New Roman" w:cs="Times New Roman"/>
          <w:sz w:val="24"/>
          <w:szCs w:val="24"/>
        </w:rPr>
      </w:pPr>
    </w:p>
    <w:p w14:paraId="5F88F7A0" w14:textId="10C1C37A" w:rsidR="00AF19D9" w:rsidRDefault="00AF19D9" w:rsidP="00EB3E6F">
      <w:pPr>
        <w:spacing w:after="0"/>
        <w:rPr>
          <w:rFonts w:ascii="Times New Roman" w:hAnsi="Times New Roman" w:cs="Times New Roman"/>
          <w:sz w:val="24"/>
          <w:szCs w:val="24"/>
        </w:rPr>
      </w:pPr>
      <w:r>
        <w:rPr>
          <w:rFonts w:ascii="Times New Roman" w:hAnsi="Times New Roman" w:cs="Times New Roman"/>
          <w:sz w:val="24"/>
          <w:szCs w:val="24"/>
        </w:rPr>
        <w:t xml:space="preserve">NERC intends the aforementioned proposal to clarify and </w:t>
      </w:r>
      <w:r w:rsidR="003A17AE">
        <w:rPr>
          <w:rFonts w:ascii="Times New Roman" w:hAnsi="Times New Roman" w:cs="Times New Roman"/>
          <w:sz w:val="24"/>
          <w:szCs w:val="24"/>
        </w:rPr>
        <w:t xml:space="preserve">to </w:t>
      </w:r>
      <w:r>
        <w:rPr>
          <w:rFonts w:ascii="Times New Roman" w:hAnsi="Times New Roman" w:cs="Times New Roman"/>
          <w:sz w:val="24"/>
          <w:szCs w:val="24"/>
        </w:rPr>
        <w:t>make more efficient the content of the Requirement.</w:t>
      </w:r>
      <w:r w:rsidR="003A17AE">
        <w:rPr>
          <w:rFonts w:ascii="Times New Roman" w:hAnsi="Times New Roman" w:cs="Times New Roman"/>
          <w:sz w:val="24"/>
          <w:szCs w:val="24"/>
        </w:rPr>
        <w:t xml:space="preserve">  The proposed changes have no effect on the performance aspect of Requirement R1 or entities’ ability to comply.</w:t>
      </w:r>
    </w:p>
    <w:p w14:paraId="3AB36F4D" w14:textId="77777777" w:rsidR="003A17AE" w:rsidRDefault="003A17AE" w:rsidP="00EB3E6F">
      <w:pPr>
        <w:spacing w:after="0"/>
        <w:rPr>
          <w:rFonts w:ascii="Times New Roman" w:hAnsi="Times New Roman" w:cs="Times New Roman"/>
          <w:sz w:val="24"/>
          <w:szCs w:val="24"/>
        </w:rPr>
      </w:pPr>
    </w:p>
    <w:p w14:paraId="788E83EB" w14:textId="1E440F85" w:rsidR="003A17AE" w:rsidRDefault="003A17AE" w:rsidP="00EB3E6F">
      <w:pPr>
        <w:spacing w:after="0"/>
        <w:rPr>
          <w:rFonts w:ascii="Times New Roman" w:hAnsi="Times New Roman" w:cs="Times New Roman"/>
          <w:sz w:val="24"/>
          <w:szCs w:val="24"/>
        </w:rPr>
      </w:pPr>
      <w:r w:rsidRPr="00EF3400">
        <w:rPr>
          <w:rFonts w:ascii="Times New Roman" w:hAnsi="Times New Roman" w:cs="Times New Roman"/>
          <w:sz w:val="24"/>
          <w:szCs w:val="24"/>
          <w:u w:val="single"/>
        </w:rPr>
        <w:t>Requirement R2</w:t>
      </w:r>
      <w:r>
        <w:rPr>
          <w:rFonts w:ascii="Times New Roman" w:hAnsi="Times New Roman" w:cs="Times New Roman"/>
          <w:sz w:val="24"/>
          <w:szCs w:val="24"/>
        </w:rPr>
        <w:t>:</w:t>
      </w:r>
    </w:p>
    <w:p w14:paraId="3EF6D487" w14:textId="3798B2B0" w:rsidR="003A17AE" w:rsidRDefault="003A17AE" w:rsidP="00EB3E6F">
      <w:pPr>
        <w:spacing w:after="0"/>
        <w:rPr>
          <w:rFonts w:ascii="Times New Roman" w:hAnsi="Times New Roman" w:cs="Times New Roman"/>
          <w:sz w:val="24"/>
          <w:szCs w:val="24"/>
        </w:rPr>
      </w:pPr>
      <w:r>
        <w:rPr>
          <w:rFonts w:ascii="Times New Roman" w:hAnsi="Times New Roman" w:cs="Times New Roman"/>
          <w:sz w:val="24"/>
          <w:szCs w:val="24"/>
        </w:rPr>
        <w:t xml:space="preserve">This proposed requirement is new </w:t>
      </w:r>
      <w:r w:rsidR="001A4FC2" w:rsidRPr="001A4FC2">
        <w:rPr>
          <w:rFonts w:ascii="Times New Roman" w:hAnsi="Times New Roman" w:cs="Times New Roman"/>
          <w:sz w:val="24"/>
          <w:szCs w:val="24"/>
        </w:rPr>
        <w:t>and replaces the existing Control Performance Standard 2 requirement</w:t>
      </w:r>
      <w:r w:rsidR="001A4FC2">
        <w:rPr>
          <w:rFonts w:ascii="Times New Roman" w:hAnsi="Times New Roman" w:cs="Times New Roman"/>
          <w:sz w:val="24"/>
          <w:szCs w:val="24"/>
        </w:rPr>
        <w:t>.</w:t>
      </w:r>
      <w:r w:rsidR="001A4FC2" w:rsidRPr="001A4FC2">
        <w:rPr>
          <w:rFonts w:ascii="Times New Roman" w:hAnsi="Times New Roman" w:cs="Times New Roman"/>
          <w:sz w:val="24"/>
          <w:szCs w:val="24"/>
        </w:rPr>
        <w:t xml:space="preserve"> </w:t>
      </w:r>
      <w:r w:rsidR="001A4FC2">
        <w:rPr>
          <w:rFonts w:ascii="Times New Roman" w:hAnsi="Times New Roman" w:cs="Times New Roman"/>
          <w:sz w:val="24"/>
          <w:szCs w:val="24"/>
        </w:rPr>
        <w:t xml:space="preserve"> </w:t>
      </w:r>
      <w:r w:rsidR="001A4FC2" w:rsidRPr="001A4FC2">
        <w:rPr>
          <w:rFonts w:ascii="Times New Roman" w:hAnsi="Times New Roman" w:cs="Times New Roman"/>
          <w:sz w:val="24"/>
          <w:szCs w:val="24"/>
        </w:rPr>
        <w:t>The current Reliability Standard BAL-001-1 Requirement R2 requires each balancing authority to operate such that for at least 90 percent of the ten-minute periods in a calendar month (using six non-overlapping periods per hour), the average area control error (ACE) must be within a sp</w:t>
      </w:r>
      <w:r w:rsidR="001A4FC2">
        <w:rPr>
          <w:rFonts w:ascii="Times New Roman" w:hAnsi="Times New Roman" w:cs="Times New Roman"/>
          <w:sz w:val="24"/>
          <w:szCs w:val="24"/>
        </w:rPr>
        <w:t>ecific limit, referred to as L</w:t>
      </w:r>
      <w:r w:rsidR="001A4FC2" w:rsidRPr="001A4FC2">
        <w:rPr>
          <w:rFonts w:ascii="Times New Roman" w:hAnsi="Times New Roman" w:cs="Times New Roman"/>
          <w:sz w:val="24"/>
          <w:szCs w:val="24"/>
          <w:vertAlign w:val="subscript"/>
        </w:rPr>
        <w:t>10</w:t>
      </w:r>
      <w:r w:rsidRPr="003A17AE">
        <w:rPr>
          <w:rStyle w:val="FootnoteReference"/>
          <w:rFonts w:ascii="Times New Roman" w:hAnsi="Times New Roman" w:cs="Times New Roman"/>
          <w:sz w:val="24"/>
          <w:szCs w:val="24"/>
          <w:vertAlign w:val="superscript"/>
        </w:rPr>
        <w:footnoteReference w:id="4"/>
      </w:r>
      <w:r>
        <w:rPr>
          <w:rFonts w:ascii="Times New Roman" w:hAnsi="Times New Roman" w:cs="Times New Roman"/>
          <w:sz w:val="24"/>
          <w:szCs w:val="24"/>
        </w:rPr>
        <w:t>.</w:t>
      </w:r>
      <w:r w:rsidR="001A4FC2">
        <w:rPr>
          <w:rFonts w:ascii="Times New Roman" w:hAnsi="Times New Roman" w:cs="Times New Roman"/>
          <w:sz w:val="24"/>
          <w:szCs w:val="24"/>
        </w:rPr>
        <w:t xml:space="preserve">  The new Requirement R2 of the proposed BAL-001-2 states: “</w:t>
      </w:r>
      <w:r w:rsidR="001A4FC2" w:rsidRPr="001A4FC2">
        <w:rPr>
          <w:rFonts w:ascii="Times New Roman" w:hAnsi="Times New Roman" w:cs="Times New Roman"/>
          <w:sz w:val="24"/>
          <w:szCs w:val="24"/>
        </w:rPr>
        <w:t>Balancing Authority shall operate such that its clock-minute average of Reporting ACE does not exceed its clock-minute Balancing Authority ACE Limit (BAAL) for more than 30 consecutive clock-minutes, calculated in accordance with Attachment 2, for the applicable Interconnection in which the Balancing Authority operates.</w:t>
      </w:r>
      <w:r w:rsidR="001A4FC2">
        <w:rPr>
          <w:rFonts w:ascii="Times New Roman" w:hAnsi="Times New Roman" w:cs="Times New Roman"/>
          <w:sz w:val="24"/>
          <w:szCs w:val="24"/>
        </w:rPr>
        <w:t>”</w:t>
      </w:r>
    </w:p>
    <w:p w14:paraId="61EA19E2" w14:textId="77777777" w:rsidR="003A17AE" w:rsidRDefault="003A17AE" w:rsidP="00EB3E6F">
      <w:pPr>
        <w:spacing w:after="0"/>
        <w:rPr>
          <w:rFonts w:ascii="Times New Roman" w:hAnsi="Times New Roman" w:cs="Times New Roman"/>
          <w:sz w:val="24"/>
          <w:szCs w:val="24"/>
        </w:rPr>
      </w:pPr>
    </w:p>
    <w:p w14:paraId="6CEFCC0A" w14:textId="60A61F73" w:rsidR="003A17AE" w:rsidRDefault="003A17AE" w:rsidP="00EB3E6F">
      <w:pPr>
        <w:spacing w:after="0"/>
        <w:rPr>
          <w:rFonts w:ascii="Times New Roman" w:hAnsi="Times New Roman" w:cs="Times New Roman"/>
          <w:sz w:val="24"/>
          <w:szCs w:val="24"/>
        </w:rPr>
      </w:pPr>
      <w:r>
        <w:rPr>
          <w:rFonts w:ascii="Times New Roman" w:hAnsi="Times New Roman" w:cs="Times New Roman"/>
          <w:sz w:val="24"/>
          <w:szCs w:val="24"/>
        </w:rPr>
        <w:t>B</w:t>
      </w:r>
      <w:r w:rsidR="00296233">
        <w:rPr>
          <w:rFonts w:ascii="Times New Roman" w:hAnsi="Times New Roman" w:cs="Times New Roman"/>
          <w:sz w:val="24"/>
          <w:szCs w:val="24"/>
        </w:rPr>
        <w:t>alancing Authority</w:t>
      </w:r>
      <w:r>
        <w:rPr>
          <w:rFonts w:ascii="Times New Roman" w:hAnsi="Times New Roman" w:cs="Times New Roman"/>
          <w:sz w:val="24"/>
          <w:szCs w:val="24"/>
        </w:rPr>
        <w:t xml:space="preserve"> ACE limits are unique to each </w:t>
      </w:r>
      <w:r w:rsidR="00296233">
        <w:rPr>
          <w:rFonts w:ascii="Times New Roman" w:hAnsi="Times New Roman" w:cs="Times New Roman"/>
          <w:sz w:val="24"/>
          <w:szCs w:val="24"/>
        </w:rPr>
        <w:t>balancing authority</w:t>
      </w:r>
      <w:r>
        <w:rPr>
          <w:rFonts w:ascii="Times New Roman" w:hAnsi="Times New Roman" w:cs="Times New Roman"/>
          <w:sz w:val="24"/>
          <w:szCs w:val="24"/>
        </w:rPr>
        <w:t xml:space="preserve"> and provide dynamic limits for the BA’s ACE value as a function of its interconnection frequency.  </w:t>
      </w:r>
      <w:r w:rsidR="00AF5F21">
        <w:rPr>
          <w:rFonts w:ascii="Times New Roman" w:hAnsi="Times New Roman" w:cs="Times New Roman"/>
          <w:sz w:val="24"/>
          <w:szCs w:val="24"/>
        </w:rPr>
        <w:t>The proposed Reliability Standard is intended to enhance the reliability of each interconnection by maintaining frequency within predefined limits under all conditions.  The proposed changes to Reliability Standard BAL-001-2 and the accompanying definitions include the benefits of the Automatic Time Error Correction (ATEC) equation in the WECC-spec</w:t>
      </w:r>
      <w:r w:rsidR="003410FA">
        <w:rPr>
          <w:rFonts w:ascii="Times New Roman" w:hAnsi="Times New Roman" w:cs="Times New Roman"/>
          <w:sz w:val="24"/>
          <w:szCs w:val="24"/>
        </w:rPr>
        <w:t>ific regional variance included in the previous version of the standard, namely BAL-001-1.</w:t>
      </w:r>
    </w:p>
    <w:p w14:paraId="0235C729" w14:textId="77777777" w:rsidR="003410FA" w:rsidRDefault="003410FA" w:rsidP="00EB3E6F">
      <w:pPr>
        <w:spacing w:after="0"/>
        <w:rPr>
          <w:rFonts w:ascii="Times New Roman" w:hAnsi="Times New Roman" w:cs="Times New Roman"/>
          <w:sz w:val="24"/>
          <w:szCs w:val="24"/>
        </w:rPr>
      </w:pPr>
    </w:p>
    <w:p w14:paraId="40AD652F" w14:textId="001B566B" w:rsidR="003410FA" w:rsidRDefault="003410FA" w:rsidP="00EB3E6F">
      <w:pPr>
        <w:spacing w:after="0"/>
        <w:rPr>
          <w:rFonts w:ascii="Times New Roman" w:hAnsi="Times New Roman" w:cs="Times New Roman"/>
          <w:sz w:val="24"/>
          <w:szCs w:val="24"/>
        </w:rPr>
      </w:pPr>
      <w:r>
        <w:rPr>
          <w:rFonts w:ascii="Times New Roman" w:hAnsi="Times New Roman" w:cs="Times New Roman"/>
          <w:sz w:val="24"/>
          <w:szCs w:val="24"/>
        </w:rPr>
        <w:t xml:space="preserve">Also, NERC proposes violation risk factors and violation severity levels for each requirement of the proposed Reliability Standard and an implementation plan along with applicable effective dates. NERC proposes an effective date for BAL-001-2 of the first day of the first calendar quarter that is twelve months after the date of Commission approval.  NERC asserts that the proposed implementation date will allow entities </w:t>
      </w:r>
      <w:r w:rsidR="00D87A60">
        <w:rPr>
          <w:rFonts w:ascii="Times New Roman" w:hAnsi="Times New Roman" w:cs="Times New Roman"/>
          <w:sz w:val="24"/>
          <w:szCs w:val="24"/>
        </w:rPr>
        <w:t>to make any software adjustment</w:t>
      </w:r>
      <w:r>
        <w:rPr>
          <w:rFonts w:ascii="Times New Roman" w:hAnsi="Times New Roman" w:cs="Times New Roman"/>
          <w:sz w:val="24"/>
          <w:szCs w:val="24"/>
        </w:rPr>
        <w:t xml:space="preserve"> that may be required to perform the BA ACE limit calculations.</w:t>
      </w:r>
    </w:p>
    <w:p w14:paraId="172F65F7" w14:textId="77777777" w:rsidR="004276A5" w:rsidRPr="00EB3E6F" w:rsidRDefault="004276A5" w:rsidP="004276A5">
      <w:pPr>
        <w:spacing w:after="0"/>
        <w:rPr>
          <w:rFonts w:ascii="Times New Roman" w:hAnsi="Times New Roman" w:cs="Times New Roman"/>
          <w:sz w:val="24"/>
          <w:szCs w:val="24"/>
        </w:rPr>
      </w:pPr>
    </w:p>
    <w:p w14:paraId="106770AD"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6B5A5C4F" w14:textId="77777777" w:rsidR="00EB3E6F" w:rsidRDefault="00EB3E6F" w:rsidP="00EB3E6F">
      <w:pPr>
        <w:spacing w:after="0"/>
        <w:rPr>
          <w:rFonts w:ascii="Times New Roman" w:hAnsi="Times New Roman" w:cs="Times New Roman"/>
          <w:sz w:val="24"/>
          <w:szCs w:val="24"/>
        </w:rPr>
      </w:pPr>
    </w:p>
    <w:p w14:paraId="04943D23" w14:textId="481C86B5" w:rsidR="0045480C" w:rsidRDefault="0045480C" w:rsidP="0045480C">
      <w:pPr>
        <w:spacing w:after="0"/>
        <w:rPr>
          <w:rFonts w:ascii="Times New Roman" w:hAnsi="Times New Roman" w:cs="Times New Roman"/>
          <w:sz w:val="24"/>
          <w:szCs w:val="24"/>
        </w:rPr>
      </w:pPr>
      <w:r w:rsidRPr="00AD5F12">
        <w:rPr>
          <w:rFonts w:ascii="Times New Roman" w:hAnsi="Times New Roman" w:cs="Times New Roman"/>
          <w:sz w:val="24"/>
          <w:szCs w:val="24"/>
        </w:rPr>
        <w:t xml:space="preserve">The use of current or improved technology and the medium are not covered in Reliability Standards, and are therefore left to the discretion of each </w:t>
      </w:r>
      <w:r>
        <w:rPr>
          <w:rFonts w:ascii="Times New Roman" w:hAnsi="Times New Roman" w:cs="Times New Roman"/>
          <w:sz w:val="24"/>
          <w:szCs w:val="24"/>
        </w:rPr>
        <w:t>respondent</w:t>
      </w:r>
      <w:r w:rsidRPr="00AD5F12">
        <w:rPr>
          <w:rFonts w:ascii="Times New Roman" w:hAnsi="Times New Roman" w:cs="Times New Roman"/>
          <w:sz w:val="24"/>
          <w:szCs w:val="24"/>
        </w:rPr>
        <w:t>.</w:t>
      </w:r>
    </w:p>
    <w:p w14:paraId="45FA13B3" w14:textId="77777777" w:rsidR="00466C57" w:rsidRPr="00EB3E6F" w:rsidRDefault="00466C57" w:rsidP="00EB3E6F">
      <w:pPr>
        <w:spacing w:after="0"/>
        <w:rPr>
          <w:rFonts w:ascii="Times New Roman" w:hAnsi="Times New Roman" w:cs="Times New Roman"/>
          <w:sz w:val="24"/>
          <w:szCs w:val="24"/>
        </w:rPr>
      </w:pPr>
    </w:p>
    <w:p w14:paraId="25D28568"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1854B648" w14:textId="77777777" w:rsidR="00EB3E6F" w:rsidRDefault="00EB3E6F" w:rsidP="00EB3E6F">
      <w:pPr>
        <w:spacing w:after="0"/>
        <w:rPr>
          <w:rFonts w:ascii="Times New Roman" w:hAnsi="Times New Roman" w:cs="Times New Roman"/>
          <w:sz w:val="24"/>
          <w:szCs w:val="24"/>
        </w:rPr>
      </w:pPr>
    </w:p>
    <w:p w14:paraId="04E1B749" w14:textId="37822617" w:rsidR="00EB3E6F" w:rsidRDefault="0045480C" w:rsidP="00EB3E6F">
      <w:pPr>
        <w:spacing w:after="0"/>
        <w:rPr>
          <w:rFonts w:ascii="Times New Roman" w:hAnsi="Times New Roman" w:cs="Times New Roman"/>
          <w:sz w:val="24"/>
          <w:szCs w:val="24"/>
        </w:rPr>
      </w:pPr>
      <w:r>
        <w:rPr>
          <w:rFonts w:ascii="Times New Roman" w:hAnsi="Times New Roman" w:cs="Times New Roman"/>
          <w:sz w:val="24"/>
          <w:szCs w:val="24"/>
        </w:rPr>
        <w:t xml:space="preserve">The Commission periodically reviews filing requirements concurrent with OMB review or as the Commission deems necessary to eliminate duplicative filing and to minimize the filing burden.  Under this proceeding, Reliability Standard </w:t>
      </w:r>
      <w:r w:rsidR="003410FA">
        <w:rPr>
          <w:rFonts w:ascii="Times New Roman" w:hAnsi="Times New Roman" w:cs="Times New Roman"/>
          <w:sz w:val="24"/>
          <w:szCs w:val="24"/>
        </w:rPr>
        <w:t>BAL-001-2</w:t>
      </w:r>
      <w:r w:rsidR="00731C22">
        <w:rPr>
          <w:rFonts w:ascii="Times New Roman" w:hAnsi="Times New Roman" w:cs="Times New Roman"/>
          <w:sz w:val="24"/>
          <w:szCs w:val="24"/>
        </w:rPr>
        <w:t xml:space="preserve"> does not duplicate any filing requirements since the NOPR </w:t>
      </w:r>
      <w:r w:rsidR="003410FA">
        <w:rPr>
          <w:rFonts w:ascii="Times New Roman" w:hAnsi="Times New Roman" w:cs="Times New Roman"/>
          <w:sz w:val="24"/>
          <w:szCs w:val="24"/>
        </w:rPr>
        <w:t xml:space="preserve">revises an existing standard </w:t>
      </w:r>
      <w:r w:rsidR="009A19ED">
        <w:rPr>
          <w:rFonts w:ascii="Times New Roman" w:hAnsi="Times New Roman" w:cs="Times New Roman"/>
          <w:sz w:val="24"/>
          <w:szCs w:val="24"/>
        </w:rPr>
        <w:t>to improve</w:t>
      </w:r>
      <w:r w:rsidR="003410FA">
        <w:rPr>
          <w:rFonts w:ascii="Times New Roman" w:hAnsi="Times New Roman" w:cs="Times New Roman"/>
          <w:sz w:val="24"/>
          <w:szCs w:val="24"/>
        </w:rPr>
        <w:t xml:space="preserve"> clarity and efficiency</w:t>
      </w:r>
      <w:r w:rsidR="00731C22">
        <w:rPr>
          <w:rFonts w:ascii="Times New Roman" w:hAnsi="Times New Roman" w:cs="Times New Roman"/>
          <w:sz w:val="24"/>
          <w:szCs w:val="24"/>
        </w:rPr>
        <w:t xml:space="preserve">.  </w:t>
      </w:r>
    </w:p>
    <w:p w14:paraId="624117CD" w14:textId="77777777" w:rsidR="00466C57" w:rsidRPr="00EB3E6F" w:rsidRDefault="00466C57" w:rsidP="00EB3E6F">
      <w:pPr>
        <w:spacing w:after="0"/>
        <w:rPr>
          <w:rFonts w:ascii="Times New Roman" w:hAnsi="Times New Roman" w:cs="Times New Roman"/>
          <w:sz w:val="24"/>
          <w:szCs w:val="24"/>
        </w:rPr>
      </w:pPr>
    </w:p>
    <w:p w14:paraId="763AFAB9"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4FB17096" w14:textId="77777777" w:rsidR="00EB3E6F" w:rsidRDefault="00EB3E6F" w:rsidP="00EB3E6F">
      <w:pPr>
        <w:spacing w:after="0"/>
        <w:rPr>
          <w:rFonts w:ascii="Times New Roman" w:hAnsi="Times New Roman" w:cs="Times New Roman"/>
          <w:sz w:val="24"/>
          <w:szCs w:val="24"/>
        </w:rPr>
      </w:pPr>
    </w:p>
    <w:p w14:paraId="6538FB30" w14:textId="0A3376DB" w:rsidR="00EB3E6F" w:rsidRDefault="001348AC" w:rsidP="00EB3E6F">
      <w:pPr>
        <w:spacing w:after="0"/>
        <w:rPr>
          <w:rFonts w:ascii="Times New Roman" w:hAnsi="Times New Roman" w:cs="Times New Roman"/>
          <w:sz w:val="24"/>
          <w:szCs w:val="24"/>
        </w:rPr>
      </w:pPr>
      <w:r w:rsidRPr="001348AC">
        <w:rPr>
          <w:rFonts w:ascii="Times New Roman" w:hAnsi="Times New Roman" w:cs="Times New Roman"/>
          <w:sz w:val="24"/>
          <w:szCs w:val="24"/>
        </w:rPr>
        <w:t>FE</w:t>
      </w:r>
      <w:r w:rsidR="00736047">
        <w:rPr>
          <w:rFonts w:ascii="Times New Roman" w:hAnsi="Times New Roman" w:cs="Times New Roman"/>
          <w:sz w:val="24"/>
          <w:szCs w:val="24"/>
        </w:rPr>
        <w:t>RC estimates that there are 2</w:t>
      </w:r>
      <w:r w:rsidR="003410FA">
        <w:rPr>
          <w:rFonts w:ascii="Times New Roman" w:hAnsi="Times New Roman" w:cs="Times New Roman"/>
          <w:sz w:val="24"/>
          <w:szCs w:val="24"/>
        </w:rPr>
        <w:t>3</w:t>
      </w:r>
      <w:r w:rsidR="00CF759C" w:rsidRPr="00CF759C">
        <w:rPr>
          <w:rStyle w:val="FootnoteReference"/>
          <w:rFonts w:ascii="Times New Roman" w:hAnsi="Times New Roman" w:cs="Times New Roman"/>
          <w:sz w:val="24"/>
          <w:szCs w:val="24"/>
          <w:vertAlign w:val="superscript"/>
        </w:rPr>
        <w:footnoteReference w:id="5"/>
      </w:r>
      <w:r w:rsidR="00736047">
        <w:rPr>
          <w:rFonts w:ascii="Times New Roman" w:hAnsi="Times New Roman" w:cs="Times New Roman"/>
          <w:sz w:val="24"/>
          <w:szCs w:val="24"/>
        </w:rPr>
        <w:t xml:space="preserve"> small entities</w:t>
      </w:r>
      <w:r w:rsidRPr="001348AC">
        <w:rPr>
          <w:rFonts w:ascii="Times New Roman" w:hAnsi="Times New Roman" w:cs="Times New Roman"/>
          <w:sz w:val="24"/>
          <w:szCs w:val="24"/>
        </w:rPr>
        <w:t xml:space="preserve"> applicable to this rule.  FERC considers the impact of the rule to be very minimal.  </w:t>
      </w:r>
      <w:r w:rsidR="00736047">
        <w:rPr>
          <w:rFonts w:ascii="Times New Roman" w:hAnsi="Times New Roman" w:cs="Times New Roman"/>
          <w:sz w:val="24"/>
          <w:szCs w:val="24"/>
        </w:rPr>
        <w:t>In general, small entities may reduce their burden by taking part in a joint registration organization or a coordinated functional registration.  These options allow a small entity to share the compliance burden with other entities and, thus, to minimize their own compliance burden.</w:t>
      </w:r>
      <w:r w:rsidR="0093102B">
        <w:rPr>
          <w:rFonts w:ascii="Times New Roman" w:hAnsi="Times New Roman" w:cs="Times New Roman"/>
          <w:sz w:val="24"/>
          <w:szCs w:val="24"/>
        </w:rPr>
        <w:t xml:space="preserve"> Detailed information regarding these options is available in NERC’s Rule of Procedure at Sections 507 and 508</w:t>
      </w:r>
      <w:r w:rsidR="0093102B" w:rsidRPr="00DD79FB">
        <w:rPr>
          <w:rStyle w:val="FootnoteReference"/>
          <w:rFonts w:ascii="Times New Roman" w:hAnsi="Times New Roman" w:cs="Times New Roman"/>
          <w:sz w:val="24"/>
          <w:szCs w:val="24"/>
          <w:vertAlign w:val="superscript"/>
        </w:rPr>
        <w:footnoteReference w:id="6"/>
      </w:r>
      <w:r w:rsidR="0093102B">
        <w:rPr>
          <w:rFonts w:ascii="Times New Roman" w:hAnsi="Times New Roman" w:cs="Times New Roman"/>
          <w:sz w:val="24"/>
          <w:szCs w:val="24"/>
        </w:rPr>
        <w:t>.</w:t>
      </w:r>
    </w:p>
    <w:p w14:paraId="56095254" w14:textId="77777777" w:rsidR="001348AC" w:rsidRPr="00EB3E6F" w:rsidRDefault="001348AC" w:rsidP="00EB3E6F">
      <w:pPr>
        <w:spacing w:after="0"/>
        <w:rPr>
          <w:rFonts w:ascii="Times New Roman" w:hAnsi="Times New Roman" w:cs="Times New Roman"/>
          <w:sz w:val="24"/>
          <w:szCs w:val="24"/>
        </w:rPr>
      </w:pPr>
    </w:p>
    <w:p w14:paraId="3EA83DF4"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575D8086" w14:textId="77777777" w:rsidR="00EB3E6F" w:rsidRDefault="00EB3E6F" w:rsidP="00EB3E6F">
      <w:pPr>
        <w:spacing w:after="0"/>
        <w:rPr>
          <w:rFonts w:ascii="Times New Roman" w:hAnsi="Times New Roman" w:cs="Times New Roman"/>
          <w:sz w:val="24"/>
          <w:szCs w:val="24"/>
        </w:rPr>
      </w:pPr>
    </w:p>
    <w:p w14:paraId="68FA1521" w14:textId="037FFE0D" w:rsidR="00937A89" w:rsidRDefault="00937A89" w:rsidP="00937A89">
      <w:pPr>
        <w:spacing w:after="0"/>
        <w:rPr>
          <w:rFonts w:ascii="Times New Roman" w:hAnsi="Times New Roman" w:cs="Times New Roman"/>
          <w:sz w:val="24"/>
          <w:szCs w:val="24"/>
        </w:rPr>
      </w:pPr>
      <w:r>
        <w:rPr>
          <w:rFonts w:ascii="Times New Roman" w:hAnsi="Times New Roman" w:cs="Times New Roman"/>
          <w:sz w:val="24"/>
          <w:szCs w:val="24"/>
        </w:rPr>
        <w:t xml:space="preserve">If the requirements of this standard (and its associated information collection requirements) were performed less frequently, </w:t>
      </w:r>
      <w:r w:rsidR="008A7624">
        <w:rPr>
          <w:rFonts w:ascii="Times New Roman" w:hAnsi="Times New Roman"/>
          <w:sz w:val="24"/>
          <w:szCs w:val="24"/>
        </w:rPr>
        <w:t>NERC would not be provided the necessary information to appropriately assess the compliance with calculating Control Performance Standard 1 (CPS1) and Balancing Authority ACE Limit (BAAL) and measurements on the Bulk Electric System.</w:t>
      </w:r>
    </w:p>
    <w:p w14:paraId="785D811B" w14:textId="77777777" w:rsidR="00297631" w:rsidRPr="00EB3E6F" w:rsidRDefault="00297631" w:rsidP="00EB3E6F">
      <w:pPr>
        <w:spacing w:after="0"/>
        <w:rPr>
          <w:rFonts w:ascii="Times New Roman" w:hAnsi="Times New Roman" w:cs="Times New Roman"/>
          <w:sz w:val="24"/>
          <w:szCs w:val="24"/>
        </w:rPr>
      </w:pPr>
    </w:p>
    <w:p w14:paraId="362EF1B4"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41FB5AD6" w14:textId="77777777" w:rsidR="00EB3E6F" w:rsidRDefault="00EB3E6F" w:rsidP="00EB3E6F">
      <w:pPr>
        <w:spacing w:after="0"/>
        <w:rPr>
          <w:rFonts w:ascii="Times New Roman" w:hAnsi="Times New Roman" w:cs="Times New Roman"/>
          <w:sz w:val="24"/>
          <w:szCs w:val="24"/>
        </w:rPr>
      </w:pPr>
    </w:p>
    <w:p w14:paraId="525887C9" w14:textId="77777777" w:rsidR="00E954EE" w:rsidRPr="009468C0" w:rsidRDefault="00E954EE" w:rsidP="00E954EE">
      <w:pPr>
        <w:spacing w:after="0" w:line="240" w:lineRule="auto"/>
        <w:rPr>
          <w:rFonts w:ascii="Times New Roman" w:hAnsi="Times New Roman"/>
          <w:sz w:val="24"/>
          <w:szCs w:val="24"/>
        </w:rPr>
      </w:pPr>
      <w:r w:rsidRPr="009468C0">
        <w:rPr>
          <w:rFonts w:ascii="Times New Roman" w:hAnsi="Times New Roman"/>
          <w:sz w:val="24"/>
          <w:szCs w:val="24"/>
        </w:rPr>
        <w:t xml:space="preserve">There </w:t>
      </w:r>
      <w:r>
        <w:rPr>
          <w:rFonts w:ascii="Times New Roman" w:hAnsi="Times New Roman"/>
          <w:sz w:val="24"/>
          <w:szCs w:val="24"/>
        </w:rPr>
        <w:t>is one</w:t>
      </w:r>
      <w:r w:rsidRPr="009468C0">
        <w:rPr>
          <w:rFonts w:ascii="Times New Roman" w:hAnsi="Times New Roman"/>
          <w:sz w:val="24"/>
          <w:szCs w:val="24"/>
        </w:rPr>
        <w:t xml:space="preserve"> special circumstances as described in 5 CFR 1320.5(d</w:t>
      </w:r>
      <w:proofErr w:type="gramStart"/>
      <w:r w:rsidRPr="009468C0">
        <w:rPr>
          <w:rFonts w:ascii="Times New Roman" w:hAnsi="Times New Roman"/>
          <w:sz w:val="24"/>
          <w:szCs w:val="24"/>
        </w:rPr>
        <w:t>)(</w:t>
      </w:r>
      <w:proofErr w:type="gramEnd"/>
      <w:r w:rsidRPr="009468C0">
        <w:rPr>
          <w:rFonts w:ascii="Times New Roman" w:hAnsi="Times New Roman"/>
          <w:sz w:val="24"/>
          <w:szCs w:val="24"/>
        </w:rPr>
        <w:t>2) related</w:t>
      </w:r>
      <w:r>
        <w:rPr>
          <w:rFonts w:ascii="Times New Roman" w:hAnsi="Times New Roman"/>
          <w:sz w:val="24"/>
          <w:szCs w:val="24"/>
        </w:rPr>
        <w:t xml:space="preserve"> to this information collection:</w:t>
      </w:r>
    </w:p>
    <w:p w14:paraId="295E0848" w14:textId="77777777" w:rsidR="00E954EE" w:rsidRPr="009468C0" w:rsidRDefault="00E954EE" w:rsidP="00E954EE">
      <w:pPr>
        <w:spacing w:after="0" w:line="240" w:lineRule="auto"/>
        <w:rPr>
          <w:rFonts w:ascii="Times New Roman" w:hAnsi="Times New Roman"/>
          <w:sz w:val="24"/>
          <w:szCs w:val="24"/>
        </w:rPr>
      </w:pPr>
    </w:p>
    <w:p w14:paraId="177078F7" w14:textId="12F292F0" w:rsidR="00E954EE" w:rsidRDefault="00E954EE" w:rsidP="00E954EE">
      <w:pPr>
        <w:spacing w:after="0" w:line="240" w:lineRule="auto"/>
        <w:rPr>
          <w:rFonts w:ascii="Times New Roman" w:hAnsi="Times New Roman"/>
          <w:sz w:val="24"/>
          <w:szCs w:val="24"/>
        </w:rPr>
      </w:pPr>
      <w:r>
        <w:rPr>
          <w:rFonts w:ascii="Times New Roman" w:hAnsi="Times New Roman"/>
          <w:sz w:val="24"/>
          <w:szCs w:val="24"/>
        </w:rPr>
        <w:t>The data retention requirement in the Reliability Standard BAL-001-2 says:</w:t>
      </w:r>
    </w:p>
    <w:p w14:paraId="50DD6828" w14:textId="77777777" w:rsidR="00E954EE" w:rsidRDefault="00E954EE" w:rsidP="00E954EE">
      <w:pPr>
        <w:spacing w:after="0" w:line="240" w:lineRule="auto"/>
        <w:rPr>
          <w:rFonts w:ascii="Times New Roman" w:hAnsi="Times New Roman"/>
          <w:sz w:val="24"/>
          <w:szCs w:val="24"/>
        </w:rPr>
      </w:pPr>
    </w:p>
    <w:p w14:paraId="58F1AADC" w14:textId="4E69CC54" w:rsidR="00E954EE" w:rsidRPr="009468C0" w:rsidRDefault="00E954EE" w:rsidP="00E954EE">
      <w:pPr>
        <w:autoSpaceDE w:val="0"/>
        <w:autoSpaceDN w:val="0"/>
        <w:adjustRightInd w:val="0"/>
        <w:spacing w:after="0" w:line="240" w:lineRule="auto"/>
        <w:ind w:left="720"/>
        <w:rPr>
          <w:rFonts w:ascii="Times New Roman" w:hAnsi="Times New Roman"/>
          <w:sz w:val="24"/>
          <w:szCs w:val="24"/>
        </w:rPr>
      </w:pPr>
      <w:r>
        <w:rPr>
          <w:rFonts w:ascii="Times New Roman" w:hAnsi="Times New Roman" w:cs="Times New Roman"/>
          <w:sz w:val="24"/>
          <w:szCs w:val="24"/>
        </w:rPr>
        <w:t>The Responsible Entity shall retain data or evidence to show compliance for the current year, plus three previous calendar years unless, directed by its Compliance Enforcement Authority, to retain specific evidence for a longer period of time as part of an investigation.  Data required for the calculation of Regulation Reserve Sharing Group Reporting ACE, or Reporting ACE, CPS1, and BAAL shall be retained in digital format at the same scan rate at which the Reporting ACE is calculated for the current year, plus three previous calendar years.</w:t>
      </w:r>
    </w:p>
    <w:p w14:paraId="4A349C14" w14:textId="77777777" w:rsidR="00E954EE" w:rsidRDefault="00E954EE" w:rsidP="00E954EE">
      <w:pPr>
        <w:spacing w:after="0" w:line="240" w:lineRule="auto"/>
        <w:rPr>
          <w:rFonts w:ascii="Times New Roman" w:hAnsi="Times New Roman"/>
          <w:sz w:val="24"/>
          <w:szCs w:val="24"/>
        </w:rPr>
      </w:pPr>
    </w:p>
    <w:p w14:paraId="5F548328" w14:textId="77777777" w:rsidR="00E954EE" w:rsidRDefault="00E954EE" w:rsidP="00E954EE">
      <w:pPr>
        <w:spacing w:after="0" w:line="240" w:lineRule="auto"/>
        <w:rPr>
          <w:rFonts w:ascii="Times New Roman" w:hAnsi="Times New Roman"/>
          <w:sz w:val="24"/>
          <w:szCs w:val="24"/>
        </w:rPr>
      </w:pPr>
      <w:r>
        <w:rPr>
          <w:rFonts w:ascii="Times New Roman" w:hAnsi="Times New Roman"/>
          <w:sz w:val="24"/>
          <w:szCs w:val="24"/>
        </w:rPr>
        <w:t>This is the language adopted by the standards drafted team and approved by industry representatives during the balloting process.  As such, this is the data retention period deemed necessary for the reliability purposes contained in this standard.</w:t>
      </w:r>
    </w:p>
    <w:p w14:paraId="2975E212" w14:textId="77777777" w:rsidR="008D310F" w:rsidRPr="00EB3E6F" w:rsidRDefault="008D310F" w:rsidP="00EB3E6F">
      <w:pPr>
        <w:spacing w:after="0"/>
        <w:rPr>
          <w:rFonts w:ascii="Times New Roman" w:hAnsi="Times New Roman" w:cs="Times New Roman"/>
          <w:sz w:val="24"/>
          <w:szCs w:val="24"/>
        </w:rPr>
      </w:pPr>
    </w:p>
    <w:p w14:paraId="2A6EA628"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71E9094C" w14:textId="77777777" w:rsidR="00EB3E6F" w:rsidRDefault="00EB3E6F" w:rsidP="00EB3E6F">
      <w:pPr>
        <w:spacing w:after="0"/>
        <w:rPr>
          <w:rFonts w:ascii="Times New Roman" w:hAnsi="Times New Roman" w:cs="Times New Roman"/>
          <w:sz w:val="24"/>
          <w:szCs w:val="24"/>
        </w:rPr>
      </w:pPr>
    </w:p>
    <w:p w14:paraId="14168E5D" w14:textId="1E10AEA4" w:rsidR="00EB3E6F" w:rsidRPr="00EB3E6F" w:rsidRDefault="002C1BFB" w:rsidP="00EB3E6F">
      <w:pPr>
        <w:spacing w:after="0"/>
        <w:rPr>
          <w:rFonts w:ascii="Times New Roman" w:hAnsi="Times New Roman" w:cs="Times New Roman"/>
          <w:sz w:val="24"/>
          <w:szCs w:val="24"/>
        </w:rPr>
      </w:pPr>
      <w:r w:rsidRPr="002C1BFB">
        <w:rPr>
          <w:rFonts w:ascii="Times New Roman" w:hAnsi="Times New Roman" w:cs="Times New Roman"/>
          <w:sz w:val="24"/>
          <w:szCs w:val="24"/>
        </w:rPr>
        <w:t>The ERO process to establish Reliability Standards is a collaborative process with the ERO, Regional Entities</w:t>
      </w:r>
      <w:r>
        <w:rPr>
          <w:rFonts w:ascii="Times New Roman" w:hAnsi="Times New Roman" w:cs="Times New Roman"/>
          <w:sz w:val="24"/>
          <w:szCs w:val="24"/>
        </w:rPr>
        <w:t>,</w:t>
      </w:r>
      <w:r w:rsidRPr="002C1BFB">
        <w:rPr>
          <w:rFonts w:ascii="Times New Roman" w:hAnsi="Times New Roman" w:cs="Times New Roman"/>
          <w:sz w:val="24"/>
          <w:szCs w:val="24"/>
        </w:rPr>
        <w:t xml:space="preserve"> and other stakeholders </w:t>
      </w:r>
      <w:r>
        <w:rPr>
          <w:rFonts w:ascii="Times New Roman" w:hAnsi="Times New Roman" w:cs="Times New Roman"/>
          <w:sz w:val="24"/>
          <w:szCs w:val="24"/>
        </w:rPr>
        <w:t>developing and reviewing drafts</w:t>
      </w:r>
      <w:r w:rsidRPr="002C1BFB">
        <w:rPr>
          <w:rFonts w:ascii="Times New Roman" w:hAnsi="Times New Roman" w:cs="Times New Roman"/>
          <w:sz w:val="24"/>
          <w:szCs w:val="24"/>
        </w:rPr>
        <w:t xml:space="preserve"> and providing </w:t>
      </w:r>
      <w:r>
        <w:rPr>
          <w:rFonts w:ascii="Times New Roman" w:hAnsi="Times New Roman" w:cs="Times New Roman"/>
          <w:sz w:val="24"/>
          <w:szCs w:val="24"/>
        </w:rPr>
        <w:t>comments.  T</w:t>
      </w:r>
      <w:r w:rsidRPr="002C1BFB">
        <w:rPr>
          <w:rFonts w:ascii="Times New Roman" w:hAnsi="Times New Roman" w:cs="Times New Roman"/>
          <w:sz w:val="24"/>
          <w:szCs w:val="24"/>
        </w:rPr>
        <w:t xml:space="preserve">he final proposed </w:t>
      </w:r>
      <w:r>
        <w:rPr>
          <w:rFonts w:ascii="Times New Roman" w:hAnsi="Times New Roman" w:cs="Times New Roman"/>
          <w:sz w:val="24"/>
          <w:szCs w:val="24"/>
        </w:rPr>
        <w:t xml:space="preserve">reliability </w:t>
      </w:r>
      <w:r w:rsidRPr="002C1BFB">
        <w:rPr>
          <w:rFonts w:ascii="Times New Roman" w:hAnsi="Times New Roman" w:cs="Times New Roman"/>
          <w:sz w:val="24"/>
          <w:szCs w:val="24"/>
        </w:rPr>
        <w:t xml:space="preserve">standard </w:t>
      </w:r>
      <w:r w:rsidR="007E3C37">
        <w:rPr>
          <w:rFonts w:ascii="Times New Roman" w:hAnsi="Times New Roman" w:cs="Times New Roman"/>
          <w:sz w:val="24"/>
          <w:szCs w:val="24"/>
        </w:rPr>
        <w:t xml:space="preserve">was </w:t>
      </w:r>
      <w:r w:rsidRPr="002C1BFB">
        <w:rPr>
          <w:rFonts w:ascii="Times New Roman" w:hAnsi="Times New Roman" w:cs="Times New Roman"/>
          <w:sz w:val="24"/>
          <w:szCs w:val="24"/>
        </w:rPr>
        <w:t>submitted to the FERC for review and approval.   In addition, each FERC rulemaking (both proposed and final rules) is pu</w:t>
      </w:r>
      <w:r>
        <w:rPr>
          <w:rFonts w:ascii="Times New Roman" w:hAnsi="Times New Roman" w:cs="Times New Roman"/>
          <w:sz w:val="24"/>
          <w:szCs w:val="24"/>
        </w:rPr>
        <w:t>blished in the Federal Register</w:t>
      </w:r>
      <w:r w:rsidRPr="002C1BFB">
        <w:rPr>
          <w:rFonts w:ascii="Times New Roman" w:hAnsi="Times New Roman" w:cs="Times New Roman"/>
          <w:sz w:val="24"/>
          <w:szCs w:val="24"/>
        </w:rPr>
        <w:t xml:space="preserve"> thereby providing public utilities and licensees, state commissions, Federal agencies, and other interested parties an opportunity to submit data, views, comments or suggestions concerning the proposed collection of data.  The proposed rule was published</w:t>
      </w:r>
      <w:r>
        <w:rPr>
          <w:rFonts w:ascii="Times New Roman" w:hAnsi="Times New Roman" w:cs="Times New Roman"/>
          <w:sz w:val="24"/>
          <w:szCs w:val="24"/>
        </w:rPr>
        <w:t xml:space="preserve"> in the Federal Register </w:t>
      </w:r>
      <w:r w:rsidRPr="00236674">
        <w:rPr>
          <w:rFonts w:ascii="Times New Roman" w:hAnsi="Times New Roman" w:cs="Times New Roman"/>
          <w:sz w:val="24"/>
          <w:szCs w:val="24"/>
        </w:rPr>
        <w:t xml:space="preserve">on </w:t>
      </w:r>
      <w:r w:rsidR="00E954EE">
        <w:rPr>
          <w:rFonts w:ascii="Times New Roman" w:hAnsi="Times New Roman" w:cs="Times New Roman"/>
          <w:sz w:val="24"/>
          <w:szCs w:val="24"/>
        </w:rPr>
        <w:t>11</w:t>
      </w:r>
      <w:r w:rsidR="005E2146" w:rsidRPr="00236674">
        <w:rPr>
          <w:rFonts w:ascii="Times New Roman" w:hAnsi="Times New Roman" w:cs="Times New Roman"/>
          <w:sz w:val="24"/>
          <w:szCs w:val="24"/>
        </w:rPr>
        <w:t>/</w:t>
      </w:r>
      <w:r w:rsidR="00E954EE">
        <w:rPr>
          <w:rFonts w:ascii="Times New Roman" w:hAnsi="Times New Roman" w:cs="Times New Roman"/>
          <w:sz w:val="24"/>
          <w:szCs w:val="24"/>
        </w:rPr>
        <w:t>26</w:t>
      </w:r>
      <w:r w:rsidR="00236674" w:rsidRPr="00236674">
        <w:rPr>
          <w:rFonts w:ascii="Times New Roman" w:hAnsi="Times New Roman" w:cs="Times New Roman"/>
          <w:sz w:val="24"/>
          <w:szCs w:val="24"/>
        </w:rPr>
        <w:t xml:space="preserve">/2014 (79 FR </w:t>
      </w:r>
      <w:r w:rsidR="00E954EE">
        <w:rPr>
          <w:rFonts w:ascii="Times New Roman" w:hAnsi="Times New Roman" w:cs="Times New Roman"/>
          <w:sz w:val="24"/>
          <w:szCs w:val="24"/>
        </w:rPr>
        <w:t>70483</w:t>
      </w:r>
      <w:r w:rsidRPr="00236674">
        <w:rPr>
          <w:rFonts w:ascii="Times New Roman" w:hAnsi="Times New Roman" w:cs="Times New Roman"/>
          <w:sz w:val="24"/>
          <w:szCs w:val="24"/>
        </w:rPr>
        <w:t>).</w:t>
      </w:r>
      <w:r w:rsidR="008D310F">
        <w:rPr>
          <w:rFonts w:ascii="Times New Roman" w:hAnsi="Times New Roman" w:cs="Times New Roman"/>
          <w:sz w:val="24"/>
          <w:szCs w:val="24"/>
        </w:rPr>
        <w:br/>
      </w:r>
    </w:p>
    <w:p w14:paraId="40605309"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4A5E6486" w14:textId="77777777" w:rsidR="00D80FBD" w:rsidRDefault="00D80FBD" w:rsidP="00D80FBD">
      <w:pPr>
        <w:spacing w:after="0"/>
        <w:rPr>
          <w:rFonts w:ascii="Times New Roman" w:hAnsi="Times New Roman" w:cs="Times New Roman"/>
          <w:sz w:val="24"/>
          <w:szCs w:val="24"/>
        </w:rPr>
      </w:pPr>
    </w:p>
    <w:p w14:paraId="224343DF" w14:textId="77777777"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 associated with th</w:t>
      </w:r>
      <w:r w:rsidR="00B9413E">
        <w:rPr>
          <w:rFonts w:ascii="Times New Roman" w:hAnsi="Times New Roman" w:cs="Times New Roman"/>
          <w:sz w:val="24"/>
          <w:szCs w:val="24"/>
        </w:rPr>
        <w:t>is</w:t>
      </w:r>
      <w:r w:rsidRPr="008D310F">
        <w:rPr>
          <w:rFonts w:ascii="Times New Roman" w:hAnsi="Times New Roman" w:cs="Times New Roman"/>
          <w:sz w:val="24"/>
          <w:szCs w:val="24"/>
        </w:rPr>
        <w:t xml:space="preserve"> collection.</w:t>
      </w:r>
    </w:p>
    <w:p w14:paraId="098F77AA" w14:textId="77777777" w:rsidR="008D310F" w:rsidRPr="00D80FBD" w:rsidRDefault="008D310F" w:rsidP="00D80FBD">
      <w:pPr>
        <w:spacing w:after="0"/>
        <w:rPr>
          <w:rFonts w:ascii="Times New Roman" w:hAnsi="Times New Roman" w:cs="Times New Roman"/>
          <w:sz w:val="24"/>
          <w:szCs w:val="24"/>
        </w:rPr>
      </w:pPr>
    </w:p>
    <w:p w14:paraId="5FEE6A54"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587213D9" w14:textId="77777777" w:rsidR="00D80FBD" w:rsidRDefault="00D80FBD" w:rsidP="00D80FBD">
      <w:pPr>
        <w:spacing w:after="0"/>
        <w:rPr>
          <w:rFonts w:ascii="Times New Roman" w:hAnsi="Times New Roman" w:cs="Times New Roman"/>
          <w:sz w:val="24"/>
          <w:szCs w:val="24"/>
        </w:rPr>
      </w:pPr>
    </w:p>
    <w:p w14:paraId="2B7044EC" w14:textId="5F5E72A3" w:rsidR="002C1BFB" w:rsidRDefault="002C1BFB" w:rsidP="002C1BFB">
      <w:pPr>
        <w:spacing w:after="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w:t>
      </w:r>
      <w:r w:rsidR="001A4B2D">
        <w:rPr>
          <w:rFonts w:ascii="Times New Roman" w:hAnsi="Times New Roman" w:cs="Times New Roman"/>
          <w:sz w:val="24"/>
          <w:szCs w:val="24"/>
        </w:rPr>
        <w:t>s</w:t>
      </w:r>
      <w:r w:rsidRPr="00147F3A">
        <w:rPr>
          <w:rFonts w:ascii="Times New Roman" w:hAnsi="Times New Roman" w:cs="Times New Roman"/>
          <w:sz w:val="24"/>
          <w:szCs w:val="24"/>
        </w:rPr>
        <w:t xml:space="preserve"> of Procedure</w:t>
      </w:r>
      <w:r w:rsidRPr="001507E4">
        <w:rPr>
          <w:rStyle w:val="FootnoteReference"/>
          <w:rFonts w:ascii="Times New Roman" w:hAnsi="Times New Roman" w:cs="Times New Roman"/>
          <w:sz w:val="24"/>
          <w:szCs w:val="24"/>
          <w:vertAlign w:val="superscript"/>
        </w:rPr>
        <w:footnoteReference w:id="7"/>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14:paraId="0D10EA74" w14:textId="77777777" w:rsidR="002C1BFB" w:rsidRDefault="002C1BFB" w:rsidP="002C1BFB">
      <w:pPr>
        <w:spacing w:after="0"/>
        <w:rPr>
          <w:rFonts w:ascii="Times New Roman" w:hAnsi="Times New Roman" w:cs="Times New Roman"/>
          <w:sz w:val="24"/>
          <w:szCs w:val="24"/>
        </w:rPr>
      </w:pPr>
    </w:p>
    <w:p w14:paraId="5CFF1A03" w14:textId="77777777" w:rsidR="002C1BFB" w:rsidRDefault="002C1BFB" w:rsidP="002C1BFB">
      <w:pPr>
        <w:spacing w:after="0"/>
        <w:rPr>
          <w:rFonts w:ascii="Times New Roman" w:hAnsi="Times New Roman" w:cs="Times New Roman"/>
          <w:sz w:val="24"/>
          <w:szCs w:val="24"/>
        </w:rPr>
      </w:pPr>
      <w:r>
        <w:rPr>
          <w:rFonts w:ascii="Times New Roman" w:hAnsi="Times New Roman" w:cs="Times New Roman"/>
          <w:sz w:val="24"/>
          <w:szCs w:val="24"/>
        </w:rPr>
        <w:t xml:space="preserve">Responding entities do not submit the information collected under the proposed Reliability Standard to FERC.  Rather, they maintain it internally.  Since there are no submissions made to FERC, FERC provides no specific provisions in order to protect confidentiality. </w:t>
      </w:r>
    </w:p>
    <w:p w14:paraId="4195D5EF" w14:textId="77777777" w:rsidR="008D310F" w:rsidRPr="00D80FBD" w:rsidRDefault="008D310F" w:rsidP="00D80FBD">
      <w:pPr>
        <w:spacing w:after="0"/>
        <w:rPr>
          <w:rFonts w:ascii="Times New Roman" w:hAnsi="Times New Roman" w:cs="Times New Roman"/>
          <w:sz w:val="24"/>
          <w:szCs w:val="24"/>
        </w:rPr>
      </w:pPr>
    </w:p>
    <w:p w14:paraId="2C3CFA6E"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004C5E0E" w:rsidRP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3A60282D" w14:textId="77777777" w:rsidR="00D80FBD" w:rsidRDefault="00D80FBD" w:rsidP="00D80FBD">
      <w:pPr>
        <w:spacing w:after="0"/>
        <w:rPr>
          <w:rFonts w:ascii="Times New Roman" w:hAnsi="Times New Roman" w:cs="Times New Roman"/>
          <w:sz w:val="24"/>
          <w:szCs w:val="24"/>
        </w:rPr>
      </w:pPr>
    </w:p>
    <w:p w14:paraId="15F21480" w14:textId="77777777" w:rsidR="00D80FBD" w:rsidRDefault="0074195A" w:rsidP="00D80FBD">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14:paraId="0309374A" w14:textId="77777777" w:rsidR="0074195A" w:rsidRPr="00D80FBD" w:rsidRDefault="0074195A" w:rsidP="00D80FBD">
      <w:pPr>
        <w:spacing w:after="0"/>
        <w:rPr>
          <w:rFonts w:ascii="Times New Roman" w:hAnsi="Times New Roman" w:cs="Times New Roman"/>
          <w:sz w:val="24"/>
          <w:szCs w:val="24"/>
        </w:rPr>
      </w:pPr>
    </w:p>
    <w:p w14:paraId="139ABB9F"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321C7CE9" w14:textId="77777777" w:rsidR="00D80FBD" w:rsidRDefault="00D80FBD" w:rsidP="00D80FBD">
      <w:pPr>
        <w:spacing w:after="0"/>
        <w:rPr>
          <w:rFonts w:ascii="Times New Roman" w:hAnsi="Times New Roman" w:cs="Times New Roman"/>
          <w:sz w:val="24"/>
          <w:szCs w:val="24"/>
        </w:rPr>
      </w:pPr>
    </w:p>
    <w:p w14:paraId="415B1146" w14:textId="198853ED" w:rsidR="00247B75" w:rsidRDefault="00E954EE" w:rsidP="00E954EE">
      <w:pPr>
        <w:spacing w:after="0"/>
        <w:rPr>
          <w:rFonts w:ascii="Times New Roman" w:hAnsi="Times New Roman" w:cs="Times New Roman"/>
          <w:sz w:val="24"/>
          <w:szCs w:val="24"/>
        </w:rPr>
      </w:pPr>
      <w:r w:rsidRPr="00E954EE">
        <w:rPr>
          <w:rFonts w:ascii="Times New Roman" w:hAnsi="Times New Roman" w:cs="Times New Roman"/>
          <w:sz w:val="24"/>
          <w:szCs w:val="24"/>
        </w:rPr>
        <w:t>According to the NERC Compliance Registry</w:t>
      </w:r>
      <w:r w:rsidR="00417400">
        <w:rPr>
          <w:rFonts w:ascii="Times New Roman" w:hAnsi="Times New Roman" w:cs="Times New Roman"/>
          <w:sz w:val="24"/>
          <w:szCs w:val="24"/>
        </w:rPr>
        <w:t xml:space="preserve"> as of </w:t>
      </w:r>
      <w:r w:rsidR="002E3C5B">
        <w:rPr>
          <w:rFonts w:ascii="Times New Roman" w:hAnsi="Times New Roman" w:cs="Times New Roman"/>
          <w:sz w:val="24"/>
          <w:szCs w:val="24"/>
        </w:rPr>
        <w:t>10/17/2014</w:t>
      </w:r>
      <w:r w:rsidRPr="00E954EE">
        <w:rPr>
          <w:rFonts w:ascii="Times New Roman" w:hAnsi="Times New Roman" w:cs="Times New Roman"/>
          <w:sz w:val="24"/>
          <w:szCs w:val="24"/>
        </w:rPr>
        <w:t xml:space="preserve">, there are 71 balancing authorities in the Eastern Interconnection, 34 balancing authorities in the Western Interconnection and   one balancing authority in the Electric Reliability Council of Texas (ERCOT).  The Commission bases individual burden estimates on the time needed for balancing authorities to develop tools needed to facilitate reporting that are required in the Reliability Standard.  These burden estimates are consistent with estimates for similar tasks in other Commission-approved Reliability Standards.  </w:t>
      </w:r>
    </w:p>
    <w:p w14:paraId="52FA627D" w14:textId="77777777" w:rsidR="00720C5A" w:rsidRDefault="00720C5A" w:rsidP="00E954EE">
      <w:pPr>
        <w:spacing w:after="0"/>
        <w:rPr>
          <w:rFonts w:ascii="Times New Roman" w:hAnsi="Times New Roman" w:cs="Times New Roman"/>
          <w:sz w:val="24"/>
          <w:szCs w:val="24"/>
        </w:rPr>
      </w:pPr>
    </w:p>
    <w:p w14:paraId="6AA126DB" w14:textId="747695E7" w:rsidR="00720C5A" w:rsidRDefault="00720C5A" w:rsidP="00E954EE">
      <w:pPr>
        <w:spacing w:after="0"/>
        <w:rPr>
          <w:rFonts w:ascii="Times New Roman" w:hAnsi="Times New Roman" w:cs="Times New Roman"/>
          <w:sz w:val="24"/>
          <w:szCs w:val="24"/>
        </w:rPr>
      </w:pPr>
      <w:r>
        <w:rPr>
          <w:rFonts w:ascii="Times New Roman" w:hAnsi="Times New Roman" w:cs="Times New Roman"/>
          <w:sz w:val="24"/>
          <w:szCs w:val="24"/>
        </w:rPr>
        <w:t>The existing</w:t>
      </w:r>
      <w:r w:rsidR="00316C42">
        <w:rPr>
          <w:rFonts w:ascii="Times New Roman" w:hAnsi="Times New Roman" w:cs="Times New Roman"/>
          <w:sz w:val="24"/>
          <w:szCs w:val="24"/>
        </w:rPr>
        <w:t xml:space="preserve"> OMB-approved</w:t>
      </w:r>
      <w:r>
        <w:rPr>
          <w:rFonts w:ascii="Times New Roman" w:hAnsi="Times New Roman" w:cs="Times New Roman"/>
          <w:sz w:val="24"/>
          <w:szCs w:val="24"/>
        </w:rPr>
        <w:t xml:space="preserve"> reporting burden for FERC-725R </w:t>
      </w:r>
      <w:r w:rsidR="00316C42">
        <w:rPr>
          <w:rFonts w:ascii="Times New Roman" w:hAnsi="Times New Roman" w:cs="Times New Roman"/>
          <w:sz w:val="24"/>
          <w:szCs w:val="24"/>
        </w:rPr>
        <w:t>[</w:t>
      </w:r>
      <w:r>
        <w:rPr>
          <w:rFonts w:ascii="Times New Roman" w:hAnsi="Times New Roman" w:cs="Times New Roman"/>
          <w:sz w:val="24"/>
          <w:szCs w:val="24"/>
        </w:rPr>
        <w:t>due to a Final Rule in Docket RM13-11 (issued by FERC on 1/16/2014)</w:t>
      </w:r>
      <w:r w:rsidRPr="00720C5A">
        <w:rPr>
          <w:rStyle w:val="FootnoteReference"/>
          <w:rFonts w:ascii="Times New Roman" w:hAnsi="Times New Roman" w:cs="Times New Roman"/>
          <w:sz w:val="24"/>
          <w:szCs w:val="24"/>
          <w:vertAlign w:val="superscript"/>
        </w:rPr>
        <w:footnoteReference w:id="8"/>
      </w:r>
      <w:r w:rsidR="00316C42">
        <w:rPr>
          <w:rFonts w:ascii="Times New Roman" w:hAnsi="Times New Roman" w:cs="Times New Roman"/>
          <w:sz w:val="24"/>
          <w:szCs w:val="24"/>
        </w:rPr>
        <w:t>]</w:t>
      </w:r>
      <w:r>
        <w:rPr>
          <w:rFonts w:ascii="Times New Roman" w:hAnsi="Times New Roman" w:cs="Times New Roman"/>
          <w:sz w:val="24"/>
          <w:szCs w:val="24"/>
        </w:rPr>
        <w:t xml:space="preserve"> is contained within the following table:</w:t>
      </w:r>
    </w:p>
    <w:p w14:paraId="435C8A68" w14:textId="77777777" w:rsidR="00720C5A" w:rsidRDefault="00720C5A" w:rsidP="00E954EE">
      <w:pPr>
        <w:spacing w:after="0"/>
        <w:rPr>
          <w:rFonts w:ascii="Times New Roman" w:hAnsi="Times New Roman" w:cs="Times New Roman"/>
          <w:sz w:val="24"/>
          <w:szCs w:val="24"/>
        </w:rPr>
      </w:pPr>
    </w:p>
    <w:tbl>
      <w:tblPr>
        <w:tblpPr w:leftFromText="180" w:rightFromText="180" w:vertAnchor="text" w:horzAnchor="margin" w:tblpX="36" w:tblpY="22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530"/>
        <w:gridCol w:w="1710"/>
        <w:gridCol w:w="1620"/>
        <w:gridCol w:w="1350"/>
        <w:gridCol w:w="1260"/>
      </w:tblGrid>
      <w:tr w:rsidR="00720C5A" w:rsidRPr="00D80FBD" w14:paraId="092BDC80" w14:textId="77777777" w:rsidTr="0090240A">
        <w:trPr>
          <w:cantSplit/>
          <w:trHeight w:val="347"/>
        </w:trPr>
        <w:tc>
          <w:tcPr>
            <w:tcW w:w="9288" w:type="dxa"/>
            <w:gridSpan w:val="6"/>
            <w:shd w:val="clear" w:color="auto" w:fill="D9D9D9"/>
            <w:vAlign w:val="center"/>
          </w:tcPr>
          <w:p w14:paraId="56154604" w14:textId="1CA1EE29" w:rsidR="00720C5A" w:rsidRPr="00D80FBD" w:rsidRDefault="00720C5A" w:rsidP="00316C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FERC-725R</w:t>
            </w:r>
          </w:p>
        </w:tc>
      </w:tr>
      <w:tr w:rsidR="00720C5A" w:rsidRPr="00D80FBD" w14:paraId="64335617" w14:textId="77777777" w:rsidTr="0090240A">
        <w:trPr>
          <w:cantSplit/>
          <w:trHeight w:val="1250"/>
        </w:trPr>
        <w:tc>
          <w:tcPr>
            <w:tcW w:w="1818" w:type="dxa"/>
            <w:shd w:val="clear" w:color="auto" w:fill="D9D9D9"/>
            <w:vAlign w:val="bottom"/>
          </w:tcPr>
          <w:p w14:paraId="72B6D431" w14:textId="77777777" w:rsidR="00720C5A" w:rsidRPr="00D80FBD" w:rsidRDefault="00720C5A" w:rsidP="0090240A">
            <w:pPr>
              <w:spacing w:after="0" w:line="240" w:lineRule="auto"/>
              <w:rPr>
                <w:rFonts w:ascii="Times New Roman" w:hAnsi="Times New Roman" w:cs="Times New Roman"/>
                <w:b/>
                <w:sz w:val="24"/>
                <w:szCs w:val="24"/>
              </w:rPr>
            </w:pPr>
          </w:p>
        </w:tc>
        <w:tc>
          <w:tcPr>
            <w:tcW w:w="1530" w:type="dxa"/>
            <w:shd w:val="clear" w:color="auto" w:fill="D9D9D9"/>
            <w:vAlign w:val="bottom"/>
          </w:tcPr>
          <w:p w14:paraId="6AF756C1" w14:textId="77777777" w:rsidR="00720C5A" w:rsidRPr="00D80FBD" w:rsidRDefault="00720C5A" w:rsidP="0090240A">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Number of Respondents</w:t>
            </w:r>
          </w:p>
          <w:p w14:paraId="2DC82D2A" w14:textId="77777777" w:rsidR="00720C5A" w:rsidRPr="00D80FBD" w:rsidRDefault="00720C5A" w:rsidP="0090240A">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w:t>
            </w:r>
          </w:p>
        </w:tc>
        <w:tc>
          <w:tcPr>
            <w:tcW w:w="1710" w:type="dxa"/>
            <w:shd w:val="clear" w:color="auto" w:fill="D9D9D9"/>
            <w:vAlign w:val="bottom"/>
          </w:tcPr>
          <w:p w14:paraId="73797241" w14:textId="77777777" w:rsidR="00720C5A" w:rsidRPr="00D80FBD" w:rsidRDefault="00720C5A" w:rsidP="009024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One-Time </w:t>
            </w:r>
            <w:r w:rsidRPr="00D80FBD">
              <w:rPr>
                <w:rFonts w:ascii="Times New Roman" w:hAnsi="Times New Roman" w:cs="Times New Roman"/>
                <w:b/>
                <w:sz w:val="24"/>
                <w:szCs w:val="24"/>
              </w:rPr>
              <w:t>Number of Responses Per Respondent</w:t>
            </w:r>
          </w:p>
          <w:p w14:paraId="15212B31" w14:textId="77777777" w:rsidR="00720C5A" w:rsidRPr="00D80FBD" w:rsidRDefault="00720C5A" w:rsidP="0090240A">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(B)</w:t>
            </w:r>
          </w:p>
        </w:tc>
        <w:tc>
          <w:tcPr>
            <w:tcW w:w="1620" w:type="dxa"/>
            <w:shd w:val="clear" w:color="auto" w:fill="D9D9D9"/>
            <w:vAlign w:val="bottom"/>
          </w:tcPr>
          <w:p w14:paraId="3482A8C7" w14:textId="77777777" w:rsidR="00720C5A" w:rsidRPr="00D80FBD" w:rsidRDefault="00720C5A" w:rsidP="0090240A">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Number of Responses</w:t>
            </w:r>
          </w:p>
          <w:p w14:paraId="1391BA0E" w14:textId="77777777" w:rsidR="00720C5A" w:rsidRPr="00D80FBD" w:rsidRDefault="00720C5A" w:rsidP="0090240A">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w:t>
            </w:r>
            <w:r>
              <w:rPr>
                <w:rFonts w:ascii="Times New Roman" w:hAnsi="Times New Roman" w:cs="Times New Roman"/>
                <w:b/>
                <w:sz w:val="24"/>
                <w:szCs w:val="24"/>
              </w:rPr>
              <w:t xml:space="preserve"> </w:t>
            </w:r>
            <w:r w:rsidRPr="00D80FBD">
              <w:rPr>
                <w:rFonts w:ascii="Times New Roman" w:hAnsi="Times New Roman" w:cs="Times New Roman"/>
                <w:b/>
                <w:sz w:val="24"/>
                <w:szCs w:val="24"/>
              </w:rPr>
              <w:t>x(B)=(C)</w:t>
            </w:r>
          </w:p>
        </w:tc>
        <w:tc>
          <w:tcPr>
            <w:tcW w:w="1350" w:type="dxa"/>
            <w:shd w:val="clear" w:color="auto" w:fill="D9D9D9"/>
            <w:vAlign w:val="bottom"/>
          </w:tcPr>
          <w:p w14:paraId="589B63CE" w14:textId="77777777" w:rsidR="00720C5A" w:rsidRPr="00D80FBD" w:rsidRDefault="00720C5A" w:rsidP="0090240A">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Average Burden Hours per Response</w:t>
            </w:r>
          </w:p>
          <w:p w14:paraId="5C50C2EE" w14:textId="77777777" w:rsidR="00720C5A" w:rsidRPr="00D80FBD" w:rsidRDefault="00720C5A" w:rsidP="0090240A">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(D)</w:t>
            </w:r>
          </w:p>
        </w:tc>
        <w:tc>
          <w:tcPr>
            <w:tcW w:w="1260" w:type="dxa"/>
            <w:shd w:val="clear" w:color="auto" w:fill="D9D9D9"/>
            <w:vAlign w:val="bottom"/>
          </w:tcPr>
          <w:p w14:paraId="21531049" w14:textId="77777777" w:rsidR="00720C5A" w:rsidRPr="00D80FBD" w:rsidRDefault="00720C5A" w:rsidP="0090240A">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 xml:space="preserve">Estimated Total </w:t>
            </w:r>
            <w:r>
              <w:rPr>
                <w:rFonts w:ascii="Times New Roman" w:hAnsi="Times New Roman" w:cs="Times New Roman"/>
                <w:b/>
                <w:sz w:val="24"/>
                <w:szCs w:val="24"/>
              </w:rPr>
              <w:t>One-Time</w:t>
            </w:r>
            <w:r w:rsidRPr="00D80FBD">
              <w:rPr>
                <w:rFonts w:ascii="Times New Roman" w:hAnsi="Times New Roman" w:cs="Times New Roman"/>
                <w:b/>
                <w:sz w:val="24"/>
                <w:szCs w:val="24"/>
              </w:rPr>
              <w:t xml:space="preserve"> Burden</w:t>
            </w:r>
          </w:p>
          <w:p w14:paraId="0AA4829C" w14:textId="77777777" w:rsidR="00720C5A" w:rsidRPr="00D80FBD" w:rsidRDefault="00720C5A" w:rsidP="0090240A">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(C)x(D)</w:t>
            </w:r>
          </w:p>
        </w:tc>
      </w:tr>
      <w:tr w:rsidR="00720C5A" w:rsidRPr="00D80FBD" w14:paraId="13075444" w14:textId="77777777" w:rsidTr="0090240A">
        <w:trPr>
          <w:cantSplit/>
          <w:trHeight w:val="487"/>
        </w:trPr>
        <w:tc>
          <w:tcPr>
            <w:tcW w:w="1818" w:type="dxa"/>
          </w:tcPr>
          <w:p w14:paraId="207A8BC5" w14:textId="77777777" w:rsidR="00720C5A" w:rsidRPr="00123531" w:rsidRDefault="00720C5A" w:rsidP="0090240A">
            <w:pPr>
              <w:spacing w:after="0" w:line="240" w:lineRule="auto"/>
              <w:rPr>
                <w:rFonts w:ascii="Times New Roman" w:hAnsi="Times New Roman" w:cs="Times New Roman"/>
                <w:sz w:val="24"/>
                <w:szCs w:val="24"/>
              </w:rPr>
            </w:pPr>
            <w:r>
              <w:rPr>
                <w:rFonts w:ascii="Times New Roman" w:hAnsi="Times New Roman" w:cs="Times New Roman"/>
                <w:sz w:val="24"/>
                <w:szCs w:val="24"/>
              </w:rPr>
              <w:t>Annual Reporting</w:t>
            </w:r>
          </w:p>
        </w:tc>
        <w:tc>
          <w:tcPr>
            <w:tcW w:w="1530" w:type="dxa"/>
            <w:vAlign w:val="bottom"/>
          </w:tcPr>
          <w:p w14:paraId="1850CF1F" w14:textId="77777777" w:rsidR="00720C5A" w:rsidRPr="00D80FBD" w:rsidRDefault="00720C5A" w:rsidP="0090240A">
            <w:pPr>
              <w:pStyle w:val="LegalFormat"/>
              <w:numPr>
                <w:ilvl w:val="0"/>
                <w:numId w:val="0"/>
              </w:numPr>
              <w:spacing w:line="240" w:lineRule="auto"/>
              <w:jc w:val="right"/>
              <w:rPr>
                <w:sz w:val="24"/>
                <w:u w:val="none"/>
              </w:rPr>
            </w:pPr>
            <w:r>
              <w:rPr>
                <w:sz w:val="24"/>
                <w:u w:val="none"/>
              </w:rPr>
              <w:t>132</w:t>
            </w:r>
          </w:p>
        </w:tc>
        <w:tc>
          <w:tcPr>
            <w:tcW w:w="1710" w:type="dxa"/>
            <w:vAlign w:val="bottom"/>
          </w:tcPr>
          <w:p w14:paraId="6F26A7D5" w14:textId="77777777" w:rsidR="00720C5A" w:rsidRPr="00D80FBD" w:rsidRDefault="00720C5A" w:rsidP="0090240A">
            <w:pPr>
              <w:pStyle w:val="LegalFormat"/>
              <w:numPr>
                <w:ilvl w:val="0"/>
                <w:numId w:val="0"/>
              </w:numPr>
              <w:spacing w:line="240" w:lineRule="auto"/>
              <w:jc w:val="right"/>
              <w:rPr>
                <w:sz w:val="24"/>
                <w:u w:val="none"/>
              </w:rPr>
            </w:pPr>
            <w:r>
              <w:rPr>
                <w:sz w:val="24"/>
                <w:u w:val="none"/>
              </w:rPr>
              <w:t>28</w:t>
            </w:r>
          </w:p>
        </w:tc>
        <w:tc>
          <w:tcPr>
            <w:tcW w:w="1620" w:type="dxa"/>
            <w:vAlign w:val="bottom"/>
          </w:tcPr>
          <w:p w14:paraId="390192D6" w14:textId="77777777" w:rsidR="00720C5A" w:rsidRPr="00D80FBD" w:rsidRDefault="00720C5A" w:rsidP="0090240A">
            <w:pPr>
              <w:pStyle w:val="LegalFormat"/>
              <w:numPr>
                <w:ilvl w:val="0"/>
                <w:numId w:val="0"/>
              </w:numPr>
              <w:spacing w:line="240" w:lineRule="auto"/>
              <w:jc w:val="right"/>
              <w:rPr>
                <w:sz w:val="24"/>
                <w:u w:val="none"/>
              </w:rPr>
            </w:pPr>
            <w:r>
              <w:rPr>
                <w:sz w:val="24"/>
                <w:u w:val="none"/>
              </w:rPr>
              <w:t>3,696</w:t>
            </w:r>
          </w:p>
        </w:tc>
        <w:tc>
          <w:tcPr>
            <w:tcW w:w="1350" w:type="dxa"/>
            <w:vAlign w:val="bottom"/>
          </w:tcPr>
          <w:p w14:paraId="0C6AEA58" w14:textId="77777777" w:rsidR="00720C5A" w:rsidRPr="00D80FBD" w:rsidRDefault="00720C5A" w:rsidP="0090240A">
            <w:pPr>
              <w:pStyle w:val="LegalFormat"/>
              <w:numPr>
                <w:ilvl w:val="0"/>
                <w:numId w:val="0"/>
              </w:numPr>
              <w:spacing w:line="240" w:lineRule="auto"/>
              <w:jc w:val="right"/>
              <w:rPr>
                <w:sz w:val="24"/>
                <w:u w:val="none"/>
              </w:rPr>
            </w:pPr>
            <w:r>
              <w:rPr>
                <w:sz w:val="24"/>
                <w:u w:val="none"/>
              </w:rPr>
              <w:t>8</w:t>
            </w:r>
          </w:p>
        </w:tc>
        <w:tc>
          <w:tcPr>
            <w:tcW w:w="1260" w:type="dxa"/>
            <w:vAlign w:val="bottom"/>
          </w:tcPr>
          <w:p w14:paraId="7CACFA32" w14:textId="77777777" w:rsidR="00720C5A" w:rsidRPr="00D80FBD" w:rsidRDefault="00720C5A" w:rsidP="0090240A">
            <w:pPr>
              <w:pStyle w:val="LegalFormat"/>
              <w:numPr>
                <w:ilvl w:val="0"/>
                <w:numId w:val="0"/>
              </w:numPr>
              <w:spacing w:line="240" w:lineRule="auto"/>
              <w:jc w:val="right"/>
              <w:rPr>
                <w:sz w:val="24"/>
                <w:u w:val="none"/>
              </w:rPr>
            </w:pPr>
            <w:r>
              <w:rPr>
                <w:sz w:val="24"/>
                <w:u w:val="none"/>
              </w:rPr>
              <w:t>29,568</w:t>
            </w:r>
          </w:p>
        </w:tc>
      </w:tr>
      <w:tr w:rsidR="00720C5A" w:rsidRPr="00D80FBD" w14:paraId="229AB2C7" w14:textId="77777777" w:rsidTr="0090240A">
        <w:trPr>
          <w:cantSplit/>
          <w:trHeight w:val="487"/>
        </w:trPr>
        <w:tc>
          <w:tcPr>
            <w:tcW w:w="1818" w:type="dxa"/>
          </w:tcPr>
          <w:p w14:paraId="1B38712C" w14:textId="77777777" w:rsidR="00720C5A" w:rsidRDefault="00720C5A" w:rsidP="0090240A">
            <w:pPr>
              <w:spacing w:after="0" w:line="240" w:lineRule="auto"/>
              <w:rPr>
                <w:rFonts w:ascii="Times New Roman" w:hAnsi="Times New Roman" w:cs="Times New Roman"/>
                <w:sz w:val="24"/>
                <w:szCs w:val="24"/>
              </w:rPr>
            </w:pPr>
            <w:r>
              <w:rPr>
                <w:rFonts w:ascii="Times New Roman" w:hAnsi="Times New Roman" w:cs="Times New Roman"/>
                <w:sz w:val="24"/>
                <w:szCs w:val="24"/>
              </w:rPr>
              <w:t>Data Retention</w:t>
            </w:r>
          </w:p>
        </w:tc>
        <w:tc>
          <w:tcPr>
            <w:tcW w:w="1530" w:type="dxa"/>
            <w:vAlign w:val="bottom"/>
          </w:tcPr>
          <w:p w14:paraId="5F5A6EDD" w14:textId="77777777" w:rsidR="00720C5A" w:rsidRDefault="00720C5A" w:rsidP="0090240A">
            <w:pPr>
              <w:pStyle w:val="LegalFormat"/>
              <w:numPr>
                <w:ilvl w:val="0"/>
                <w:numId w:val="0"/>
              </w:numPr>
              <w:spacing w:line="240" w:lineRule="auto"/>
              <w:jc w:val="right"/>
              <w:rPr>
                <w:sz w:val="24"/>
                <w:u w:val="none"/>
              </w:rPr>
            </w:pPr>
            <w:r>
              <w:rPr>
                <w:sz w:val="24"/>
                <w:u w:val="none"/>
              </w:rPr>
              <w:t>132</w:t>
            </w:r>
          </w:p>
        </w:tc>
        <w:tc>
          <w:tcPr>
            <w:tcW w:w="1710" w:type="dxa"/>
            <w:vAlign w:val="bottom"/>
          </w:tcPr>
          <w:p w14:paraId="2B5BF1DF" w14:textId="77777777" w:rsidR="00720C5A" w:rsidRDefault="00720C5A" w:rsidP="0090240A">
            <w:pPr>
              <w:pStyle w:val="LegalFormat"/>
              <w:numPr>
                <w:ilvl w:val="0"/>
                <w:numId w:val="0"/>
              </w:numPr>
              <w:spacing w:line="240" w:lineRule="auto"/>
              <w:jc w:val="right"/>
              <w:rPr>
                <w:sz w:val="24"/>
                <w:u w:val="none"/>
              </w:rPr>
            </w:pPr>
            <w:r>
              <w:rPr>
                <w:sz w:val="24"/>
                <w:u w:val="none"/>
              </w:rPr>
              <w:t>1</w:t>
            </w:r>
          </w:p>
        </w:tc>
        <w:tc>
          <w:tcPr>
            <w:tcW w:w="1620" w:type="dxa"/>
            <w:vAlign w:val="bottom"/>
          </w:tcPr>
          <w:p w14:paraId="015ACCD6" w14:textId="77777777" w:rsidR="00720C5A" w:rsidRDefault="00720C5A" w:rsidP="0090240A">
            <w:pPr>
              <w:pStyle w:val="LegalFormat"/>
              <w:numPr>
                <w:ilvl w:val="0"/>
                <w:numId w:val="0"/>
              </w:numPr>
              <w:spacing w:line="240" w:lineRule="auto"/>
              <w:jc w:val="right"/>
              <w:rPr>
                <w:sz w:val="24"/>
                <w:u w:val="none"/>
              </w:rPr>
            </w:pPr>
            <w:r>
              <w:rPr>
                <w:sz w:val="24"/>
                <w:u w:val="none"/>
              </w:rPr>
              <w:t>132</w:t>
            </w:r>
          </w:p>
        </w:tc>
        <w:tc>
          <w:tcPr>
            <w:tcW w:w="1350" w:type="dxa"/>
            <w:vAlign w:val="bottom"/>
          </w:tcPr>
          <w:p w14:paraId="1370D289" w14:textId="77777777" w:rsidR="00720C5A" w:rsidRDefault="00720C5A" w:rsidP="0090240A">
            <w:pPr>
              <w:pStyle w:val="LegalFormat"/>
              <w:numPr>
                <w:ilvl w:val="0"/>
                <w:numId w:val="0"/>
              </w:numPr>
              <w:spacing w:line="240" w:lineRule="auto"/>
              <w:jc w:val="right"/>
              <w:rPr>
                <w:sz w:val="24"/>
                <w:u w:val="none"/>
              </w:rPr>
            </w:pPr>
            <w:r>
              <w:rPr>
                <w:sz w:val="24"/>
                <w:u w:val="none"/>
              </w:rPr>
              <w:t>2</w:t>
            </w:r>
          </w:p>
        </w:tc>
        <w:tc>
          <w:tcPr>
            <w:tcW w:w="1260" w:type="dxa"/>
            <w:vAlign w:val="bottom"/>
          </w:tcPr>
          <w:p w14:paraId="6A498C5D" w14:textId="77777777" w:rsidR="00720C5A" w:rsidRDefault="00720C5A" w:rsidP="0090240A">
            <w:pPr>
              <w:pStyle w:val="LegalFormat"/>
              <w:numPr>
                <w:ilvl w:val="0"/>
                <w:numId w:val="0"/>
              </w:numPr>
              <w:spacing w:line="240" w:lineRule="auto"/>
              <w:jc w:val="right"/>
              <w:rPr>
                <w:sz w:val="24"/>
                <w:u w:val="none"/>
              </w:rPr>
            </w:pPr>
            <w:r>
              <w:rPr>
                <w:sz w:val="24"/>
                <w:u w:val="none"/>
              </w:rPr>
              <w:t>264</w:t>
            </w:r>
          </w:p>
        </w:tc>
      </w:tr>
      <w:tr w:rsidR="00720C5A" w:rsidRPr="00D80FBD" w14:paraId="531E3004" w14:textId="77777777" w:rsidTr="00256836">
        <w:trPr>
          <w:cantSplit/>
          <w:trHeight w:val="487"/>
        </w:trPr>
        <w:tc>
          <w:tcPr>
            <w:tcW w:w="1818" w:type="dxa"/>
          </w:tcPr>
          <w:p w14:paraId="23C93624" w14:textId="77777777" w:rsidR="00720C5A" w:rsidRDefault="00720C5A" w:rsidP="0090240A">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1530" w:type="dxa"/>
            <w:vAlign w:val="bottom"/>
          </w:tcPr>
          <w:p w14:paraId="792EBF3E" w14:textId="77777777" w:rsidR="00720C5A" w:rsidRDefault="00720C5A" w:rsidP="0090240A">
            <w:pPr>
              <w:pStyle w:val="LegalFormat"/>
              <w:numPr>
                <w:ilvl w:val="0"/>
                <w:numId w:val="0"/>
              </w:numPr>
              <w:spacing w:line="240" w:lineRule="auto"/>
              <w:jc w:val="right"/>
              <w:rPr>
                <w:sz w:val="24"/>
                <w:u w:val="none"/>
              </w:rPr>
            </w:pPr>
          </w:p>
        </w:tc>
        <w:tc>
          <w:tcPr>
            <w:tcW w:w="1710" w:type="dxa"/>
            <w:vAlign w:val="bottom"/>
          </w:tcPr>
          <w:p w14:paraId="116BA842" w14:textId="77777777" w:rsidR="00720C5A" w:rsidRDefault="00720C5A" w:rsidP="0090240A">
            <w:pPr>
              <w:pStyle w:val="LegalFormat"/>
              <w:numPr>
                <w:ilvl w:val="0"/>
                <w:numId w:val="0"/>
              </w:numPr>
              <w:spacing w:line="240" w:lineRule="auto"/>
              <w:jc w:val="right"/>
              <w:rPr>
                <w:sz w:val="24"/>
                <w:u w:val="none"/>
              </w:rPr>
            </w:pPr>
          </w:p>
        </w:tc>
        <w:tc>
          <w:tcPr>
            <w:tcW w:w="1620" w:type="dxa"/>
            <w:shd w:val="clear" w:color="auto" w:fill="D9D9D9" w:themeFill="background1" w:themeFillShade="D9"/>
            <w:vAlign w:val="bottom"/>
          </w:tcPr>
          <w:p w14:paraId="6A22B3D5" w14:textId="2BC846ED" w:rsidR="00720C5A" w:rsidRDefault="00720C5A" w:rsidP="0090240A">
            <w:pPr>
              <w:pStyle w:val="LegalFormat"/>
              <w:numPr>
                <w:ilvl w:val="0"/>
                <w:numId w:val="0"/>
              </w:numPr>
              <w:spacing w:line="240" w:lineRule="auto"/>
              <w:jc w:val="right"/>
              <w:rPr>
                <w:sz w:val="24"/>
                <w:u w:val="none"/>
              </w:rPr>
            </w:pPr>
          </w:p>
        </w:tc>
        <w:tc>
          <w:tcPr>
            <w:tcW w:w="1350" w:type="dxa"/>
            <w:vAlign w:val="bottom"/>
          </w:tcPr>
          <w:p w14:paraId="5059D3A3" w14:textId="77777777" w:rsidR="00720C5A" w:rsidRDefault="00720C5A" w:rsidP="0090240A">
            <w:pPr>
              <w:pStyle w:val="LegalFormat"/>
              <w:numPr>
                <w:ilvl w:val="0"/>
                <w:numId w:val="0"/>
              </w:numPr>
              <w:spacing w:line="240" w:lineRule="auto"/>
              <w:jc w:val="right"/>
              <w:rPr>
                <w:sz w:val="24"/>
                <w:u w:val="none"/>
              </w:rPr>
            </w:pPr>
          </w:p>
        </w:tc>
        <w:tc>
          <w:tcPr>
            <w:tcW w:w="1260" w:type="dxa"/>
            <w:vAlign w:val="bottom"/>
          </w:tcPr>
          <w:p w14:paraId="2118E537" w14:textId="77777777" w:rsidR="00720C5A" w:rsidRDefault="00720C5A" w:rsidP="0090240A">
            <w:pPr>
              <w:pStyle w:val="LegalFormat"/>
              <w:numPr>
                <w:ilvl w:val="0"/>
                <w:numId w:val="0"/>
              </w:numPr>
              <w:spacing w:line="240" w:lineRule="auto"/>
              <w:jc w:val="right"/>
              <w:rPr>
                <w:sz w:val="24"/>
                <w:u w:val="none"/>
              </w:rPr>
            </w:pPr>
            <w:r>
              <w:rPr>
                <w:sz w:val="24"/>
                <w:u w:val="none"/>
              </w:rPr>
              <w:t>29,832</w:t>
            </w:r>
          </w:p>
        </w:tc>
      </w:tr>
    </w:tbl>
    <w:p w14:paraId="589A1124" w14:textId="77777777" w:rsidR="00720C5A" w:rsidRDefault="00720C5A" w:rsidP="00E954EE">
      <w:pPr>
        <w:spacing w:after="0"/>
        <w:rPr>
          <w:rFonts w:ascii="Times New Roman" w:hAnsi="Times New Roman" w:cs="Times New Roman"/>
          <w:sz w:val="24"/>
          <w:szCs w:val="24"/>
        </w:rPr>
      </w:pPr>
    </w:p>
    <w:p w14:paraId="6BADCD5B" w14:textId="77777777" w:rsidR="005C18F6" w:rsidRDefault="005C18F6" w:rsidP="00E954EE">
      <w:pPr>
        <w:spacing w:after="0"/>
        <w:rPr>
          <w:rFonts w:ascii="Times New Roman" w:hAnsi="Times New Roman" w:cs="Times New Roman"/>
          <w:sz w:val="24"/>
          <w:szCs w:val="24"/>
        </w:rPr>
      </w:pPr>
    </w:p>
    <w:p w14:paraId="2814DA63" w14:textId="404CDB49" w:rsidR="005C18F6" w:rsidRDefault="005C18F6" w:rsidP="00E954EE">
      <w:pPr>
        <w:spacing w:after="0"/>
        <w:rPr>
          <w:rFonts w:ascii="Times New Roman" w:hAnsi="Times New Roman" w:cs="Times New Roman"/>
          <w:sz w:val="24"/>
          <w:szCs w:val="24"/>
        </w:rPr>
      </w:pPr>
      <w:r>
        <w:rPr>
          <w:rFonts w:ascii="Times New Roman" w:hAnsi="Times New Roman" w:cs="Times New Roman"/>
          <w:sz w:val="24"/>
          <w:szCs w:val="24"/>
        </w:rPr>
        <w:t>The public reporting burden estimates</w:t>
      </w:r>
      <w:r w:rsidR="00720C5A">
        <w:rPr>
          <w:rFonts w:ascii="Times New Roman" w:hAnsi="Times New Roman" w:cs="Times New Roman"/>
          <w:sz w:val="24"/>
          <w:szCs w:val="24"/>
        </w:rPr>
        <w:t xml:space="preserve"> due to this NOPR in Docket RM14-10</w:t>
      </w:r>
      <w:r>
        <w:rPr>
          <w:rFonts w:ascii="Times New Roman" w:hAnsi="Times New Roman" w:cs="Times New Roman"/>
          <w:sz w:val="24"/>
          <w:szCs w:val="24"/>
        </w:rPr>
        <w:t xml:space="preserve"> are in the table provided below:</w:t>
      </w:r>
    </w:p>
    <w:p w14:paraId="15F58350" w14:textId="77777777" w:rsidR="005C18F6" w:rsidRDefault="005C18F6" w:rsidP="00E954EE">
      <w:pPr>
        <w:spacing w:after="0"/>
        <w:rPr>
          <w:rFonts w:ascii="Times New Roman" w:hAnsi="Times New Roman" w:cs="Times New Roman"/>
          <w:sz w:val="24"/>
          <w:szCs w:val="24"/>
        </w:rPr>
      </w:pPr>
    </w:p>
    <w:tbl>
      <w:tblPr>
        <w:tblW w:w="102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350"/>
        <w:gridCol w:w="1918"/>
        <w:gridCol w:w="1443"/>
        <w:gridCol w:w="1342"/>
        <w:gridCol w:w="1348"/>
        <w:gridCol w:w="1264"/>
      </w:tblGrid>
      <w:tr w:rsidR="00255F1F" w:rsidRPr="00255F1F" w14:paraId="30975748" w14:textId="77777777" w:rsidTr="00F76B02">
        <w:trPr>
          <w:cantSplit/>
        </w:trPr>
        <w:tc>
          <w:tcPr>
            <w:tcW w:w="10262" w:type="dxa"/>
            <w:gridSpan w:val="7"/>
            <w:tcBorders>
              <w:bottom w:val="single" w:sz="4" w:space="0" w:color="auto"/>
            </w:tcBorders>
            <w:shd w:val="clear" w:color="auto" w:fill="D9D9D9" w:themeFill="background1" w:themeFillShade="D9"/>
          </w:tcPr>
          <w:p w14:paraId="3C414F98" w14:textId="7C29EF71" w:rsidR="00255F1F" w:rsidRPr="00255F1F" w:rsidRDefault="00255F1F" w:rsidP="00255F1F">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55F1F">
              <w:rPr>
                <w:rFonts w:ascii="Times New Roman" w:eastAsia="Calibri" w:hAnsi="Times New Roman" w:cs="Times New Roman"/>
                <w:b/>
                <w:sz w:val="20"/>
                <w:szCs w:val="20"/>
              </w:rPr>
              <w:t xml:space="preserve">RM14-10-000 </w:t>
            </w:r>
            <w:r w:rsidR="00296233">
              <w:rPr>
                <w:rFonts w:ascii="Times New Roman" w:eastAsia="Calibri" w:hAnsi="Times New Roman" w:cs="Times New Roman"/>
                <w:b/>
                <w:sz w:val="20"/>
                <w:szCs w:val="20"/>
              </w:rPr>
              <w:t>NOPR</w:t>
            </w:r>
            <w:r w:rsidRPr="00255F1F">
              <w:rPr>
                <w:rFonts w:ascii="Times New Roman" w:eastAsia="Calibri" w:hAnsi="Times New Roman" w:cs="Times New Roman"/>
                <w:b/>
                <w:sz w:val="20"/>
                <w:szCs w:val="20"/>
              </w:rPr>
              <w:t xml:space="preserve"> (BAL-001-2: Real Power Balancing Control Performance)</w:t>
            </w:r>
            <w:r w:rsidRPr="00255F1F">
              <w:rPr>
                <w:rFonts w:ascii="Times New Roman" w:eastAsia="Times New Roman" w:hAnsi="Times New Roman" w:cs="Times New Roman"/>
                <w:b/>
                <w:sz w:val="26"/>
                <w:szCs w:val="26"/>
                <w:vertAlign w:val="superscript"/>
              </w:rPr>
              <w:t xml:space="preserve"> </w:t>
            </w:r>
            <w:r w:rsidRPr="00255F1F">
              <w:rPr>
                <w:rFonts w:ascii="Times New Roman" w:eastAsia="Times New Roman" w:hAnsi="Times New Roman" w:cs="Times New Roman"/>
                <w:b/>
                <w:sz w:val="26"/>
                <w:szCs w:val="26"/>
                <w:vertAlign w:val="superscript"/>
              </w:rPr>
              <w:footnoteReference w:id="9"/>
            </w:r>
          </w:p>
        </w:tc>
      </w:tr>
      <w:tr w:rsidR="00255F1F" w:rsidRPr="00255F1F" w14:paraId="435D9983" w14:textId="77777777" w:rsidTr="005C18F6">
        <w:trPr>
          <w:cantSplit/>
        </w:trPr>
        <w:tc>
          <w:tcPr>
            <w:tcW w:w="1597" w:type="dxa"/>
            <w:shd w:val="clear" w:color="auto" w:fill="D9D9D9"/>
          </w:tcPr>
          <w:p w14:paraId="38FC2F90" w14:textId="77777777" w:rsidR="00255F1F" w:rsidRPr="00255F1F" w:rsidRDefault="00255F1F" w:rsidP="00255F1F">
            <w:pPr>
              <w:widowControl w:val="0"/>
              <w:autoSpaceDE w:val="0"/>
              <w:autoSpaceDN w:val="0"/>
              <w:adjustRightInd w:val="0"/>
              <w:spacing w:after="0" w:line="240" w:lineRule="auto"/>
              <w:jc w:val="center"/>
              <w:rPr>
                <w:rFonts w:ascii="Times New Roman" w:eastAsia="Calibri" w:hAnsi="Times New Roman" w:cs="Times New Roman"/>
                <w:b/>
                <w:sz w:val="20"/>
                <w:szCs w:val="24"/>
              </w:rPr>
            </w:pPr>
          </w:p>
        </w:tc>
        <w:tc>
          <w:tcPr>
            <w:tcW w:w="1350" w:type="dxa"/>
            <w:shd w:val="clear" w:color="auto" w:fill="D9D9D9"/>
            <w:vAlign w:val="bottom"/>
          </w:tcPr>
          <w:p w14:paraId="3DB968F3" w14:textId="77777777" w:rsidR="00255F1F" w:rsidRPr="00255F1F" w:rsidRDefault="00255F1F" w:rsidP="00255F1F">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0"/>
              </w:rPr>
              <w:t>Number of Respondents</w:t>
            </w:r>
            <w:r w:rsidRPr="00255F1F">
              <w:rPr>
                <w:rFonts w:ascii="Times New Roman" w:eastAsia="Calibri" w:hAnsi="Times New Roman" w:cs="Times New Roman"/>
                <w:b/>
                <w:sz w:val="20"/>
                <w:szCs w:val="20"/>
              </w:rPr>
              <w:br/>
            </w:r>
            <w:r w:rsidRPr="00255F1F">
              <w:rPr>
                <w:rFonts w:ascii="Times New Roman" w:eastAsia="Calibri" w:hAnsi="Times New Roman" w:cs="Times New Roman"/>
                <w:b/>
                <w:sz w:val="20"/>
                <w:szCs w:val="24"/>
              </w:rPr>
              <w:t>(1)</w:t>
            </w:r>
          </w:p>
        </w:tc>
        <w:tc>
          <w:tcPr>
            <w:tcW w:w="1918" w:type="dxa"/>
            <w:shd w:val="clear" w:color="auto" w:fill="D9D9D9"/>
            <w:vAlign w:val="bottom"/>
          </w:tcPr>
          <w:p w14:paraId="0CFC109E" w14:textId="77777777" w:rsidR="00255F1F" w:rsidRPr="00255F1F" w:rsidRDefault="00255F1F" w:rsidP="00255F1F">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0"/>
              </w:rPr>
              <w:t xml:space="preserve">Annual </w:t>
            </w:r>
            <w:r w:rsidRPr="00255F1F">
              <w:rPr>
                <w:rFonts w:ascii="Times New Roman" w:eastAsia="Calibri" w:hAnsi="Times New Roman" w:cs="Times New Roman"/>
                <w:b/>
                <w:sz w:val="20"/>
                <w:szCs w:val="24"/>
              </w:rPr>
              <w:t>Number of Responses per Respondent</w:t>
            </w:r>
          </w:p>
          <w:p w14:paraId="3D1624D0" w14:textId="77777777" w:rsidR="00255F1F" w:rsidRPr="00255F1F" w:rsidRDefault="00255F1F" w:rsidP="00255F1F">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4"/>
              </w:rPr>
              <w:t>(2)</w:t>
            </w:r>
          </w:p>
        </w:tc>
        <w:tc>
          <w:tcPr>
            <w:tcW w:w="1443" w:type="dxa"/>
            <w:shd w:val="clear" w:color="auto" w:fill="D9D9D9"/>
            <w:vAlign w:val="bottom"/>
          </w:tcPr>
          <w:p w14:paraId="158F07DF" w14:textId="77777777" w:rsidR="00255F1F" w:rsidRPr="00255F1F" w:rsidRDefault="00255F1F" w:rsidP="00255F1F">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55F1F">
              <w:rPr>
                <w:rFonts w:ascii="Times New Roman" w:eastAsia="Calibri" w:hAnsi="Times New Roman" w:cs="Times New Roman"/>
                <w:b/>
                <w:sz w:val="20"/>
                <w:szCs w:val="20"/>
              </w:rPr>
              <w:t>Total Number of Responses (1)*(2)=(3)</w:t>
            </w:r>
          </w:p>
        </w:tc>
        <w:tc>
          <w:tcPr>
            <w:tcW w:w="1342" w:type="dxa"/>
            <w:shd w:val="clear" w:color="auto" w:fill="D9D9D9"/>
            <w:vAlign w:val="bottom"/>
          </w:tcPr>
          <w:p w14:paraId="2B2DB45B" w14:textId="77777777" w:rsidR="00255F1F" w:rsidRPr="00255F1F" w:rsidRDefault="00255F1F" w:rsidP="00255F1F">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4"/>
              </w:rPr>
              <w:t xml:space="preserve">Average Burden </w:t>
            </w:r>
            <w:r w:rsidRPr="00255F1F">
              <w:rPr>
                <w:rFonts w:ascii="Times New Roman" w:eastAsia="Calibri" w:hAnsi="Times New Roman" w:cs="Times New Roman"/>
                <w:b/>
                <w:sz w:val="20"/>
                <w:szCs w:val="20"/>
              </w:rPr>
              <w:t>&amp; Cost</w:t>
            </w:r>
            <w:r w:rsidRPr="00255F1F">
              <w:rPr>
                <w:rFonts w:ascii="Times New Roman" w:eastAsia="Calibri" w:hAnsi="Times New Roman" w:cs="Times New Roman"/>
                <w:b/>
                <w:sz w:val="20"/>
                <w:szCs w:val="24"/>
              </w:rPr>
              <w:t xml:space="preserve"> Per Response</w:t>
            </w:r>
          </w:p>
          <w:p w14:paraId="136CBF55" w14:textId="77777777" w:rsidR="00255F1F" w:rsidRPr="00255F1F" w:rsidRDefault="00255F1F" w:rsidP="00255F1F">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4"/>
              </w:rPr>
              <w:t>(</w:t>
            </w:r>
            <w:r w:rsidRPr="00255F1F">
              <w:rPr>
                <w:rFonts w:ascii="Times New Roman" w:eastAsia="Calibri" w:hAnsi="Times New Roman" w:cs="Times New Roman"/>
                <w:b/>
                <w:sz w:val="20"/>
                <w:szCs w:val="20"/>
              </w:rPr>
              <w:t>4</w:t>
            </w:r>
            <w:r w:rsidRPr="00255F1F">
              <w:rPr>
                <w:rFonts w:ascii="Times New Roman" w:eastAsia="Calibri" w:hAnsi="Times New Roman" w:cs="Times New Roman"/>
                <w:b/>
                <w:sz w:val="20"/>
                <w:szCs w:val="24"/>
              </w:rPr>
              <w:t>)</w:t>
            </w:r>
          </w:p>
        </w:tc>
        <w:tc>
          <w:tcPr>
            <w:tcW w:w="1348" w:type="dxa"/>
            <w:shd w:val="clear" w:color="auto" w:fill="D9D9D9"/>
            <w:vAlign w:val="bottom"/>
          </w:tcPr>
          <w:p w14:paraId="4DF4E32A" w14:textId="77777777" w:rsidR="00255F1F" w:rsidRPr="00255F1F" w:rsidRDefault="00255F1F" w:rsidP="00255F1F">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4"/>
              </w:rPr>
              <w:t>Total Annual Burden Hours</w:t>
            </w:r>
            <w:r w:rsidRPr="00255F1F">
              <w:rPr>
                <w:rFonts w:ascii="Times New Roman" w:eastAsia="Calibri" w:hAnsi="Times New Roman" w:cs="Times New Roman"/>
                <w:b/>
                <w:sz w:val="20"/>
                <w:szCs w:val="20"/>
              </w:rPr>
              <w:t xml:space="preserve"> &amp; Total Annual Cost</w:t>
            </w:r>
            <w:r w:rsidRPr="00255F1F">
              <w:rPr>
                <w:rFonts w:ascii="Times New Roman" w:eastAsia="Times New Roman" w:hAnsi="Times New Roman" w:cs="Times New Roman"/>
                <w:b/>
                <w:sz w:val="26"/>
                <w:szCs w:val="26"/>
                <w:vertAlign w:val="superscript"/>
              </w:rPr>
              <w:footnoteReference w:id="10"/>
            </w:r>
          </w:p>
          <w:p w14:paraId="46BBA071" w14:textId="77777777" w:rsidR="00255F1F" w:rsidRPr="00255F1F" w:rsidRDefault="00255F1F" w:rsidP="00255F1F">
            <w:pPr>
              <w:widowControl w:val="0"/>
              <w:autoSpaceDE w:val="0"/>
              <w:autoSpaceDN w:val="0"/>
              <w:adjustRightInd w:val="0"/>
              <w:spacing w:after="0" w:line="240" w:lineRule="auto"/>
              <w:jc w:val="center"/>
              <w:rPr>
                <w:rFonts w:ascii="Times New Roman" w:eastAsia="Calibri" w:hAnsi="Times New Roman" w:cs="Times New Roman"/>
                <w:b/>
                <w:sz w:val="20"/>
                <w:szCs w:val="24"/>
              </w:rPr>
            </w:pPr>
            <w:r w:rsidRPr="00255F1F">
              <w:rPr>
                <w:rFonts w:ascii="Times New Roman" w:eastAsia="Calibri" w:hAnsi="Times New Roman" w:cs="Times New Roman"/>
                <w:b/>
                <w:sz w:val="20"/>
                <w:szCs w:val="24"/>
              </w:rPr>
              <w:t>(3</w:t>
            </w:r>
            <w:r w:rsidRPr="00255F1F">
              <w:rPr>
                <w:rFonts w:ascii="Times New Roman" w:eastAsia="Calibri" w:hAnsi="Times New Roman" w:cs="Times New Roman"/>
                <w:b/>
                <w:sz w:val="20"/>
                <w:szCs w:val="20"/>
              </w:rPr>
              <w:t>)*(4)=(5</w:t>
            </w:r>
            <w:r w:rsidRPr="00255F1F">
              <w:rPr>
                <w:rFonts w:ascii="Times New Roman" w:eastAsia="Calibri" w:hAnsi="Times New Roman" w:cs="Times New Roman"/>
                <w:b/>
                <w:sz w:val="20"/>
                <w:szCs w:val="24"/>
              </w:rPr>
              <w:t>)</w:t>
            </w:r>
          </w:p>
        </w:tc>
        <w:tc>
          <w:tcPr>
            <w:tcW w:w="1264" w:type="dxa"/>
            <w:shd w:val="clear" w:color="auto" w:fill="D9D9D9"/>
            <w:vAlign w:val="bottom"/>
          </w:tcPr>
          <w:p w14:paraId="2706F541" w14:textId="77777777" w:rsidR="00255F1F" w:rsidRPr="00255F1F" w:rsidRDefault="00255F1F" w:rsidP="00255F1F">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55F1F">
              <w:rPr>
                <w:rFonts w:ascii="Times New Roman" w:eastAsia="Calibri" w:hAnsi="Times New Roman" w:cs="Times New Roman"/>
                <w:b/>
                <w:sz w:val="20"/>
                <w:szCs w:val="20"/>
              </w:rPr>
              <w:t>Cost per Respondent</w:t>
            </w:r>
          </w:p>
          <w:p w14:paraId="50FB8F29" w14:textId="77777777" w:rsidR="00255F1F" w:rsidRPr="00255F1F" w:rsidRDefault="00255F1F" w:rsidP="00255F1F">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55F1F">
              <w:rPr>
                <w:rFonts w:ascii="Times New Roman" w:eastAsia="Calibri" w:hAnsi="Times New Roman" w:cs="Times New Roman"/>
                <w:b/>
                <w:sz w:val="20"/>
                <w:szCs w:val="20"/>
              </w:rPr>
              <w:t xml:space="preserve"> ($)</w:t>
            </w:r>
          </w:p>
          <w:p w14:paraId="5DAFFBD9" w14:textId="77777777" w:rsidR="00255F1F" w:rsidRPr="00255F1F" w:rsidRDefault="00255F1F" w:rsidP="00255F1F">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55F1F">
              <w:rPr>
                <w:rFonts w:ascii="Times New Roman" w:eastAsia="Calibri" w:hAnsi="Times New Roman" w:cs="Times New Roman"/>
                <w:b/>
                <w:sz w:val="20"/>
                <w:szCs w:val="20"/>
              </w:rPr>
              <w:t>(5)÷(1)</w:t>
            </w:r>
          </w:p>
        </w:tc>
      </w:tr>
      <w:tr w:rsidR="00255F1F" w:rsidRPr="00255F1F" w14:paraId="06054C00" w14:textId="77777777" w:rsidTr="00B7200D">
        <w:trPr>
          <w:cantSplit/>
        </w:trPr>
        <w:tc>
          <w:tcPr>
            <w:tcW w:w="1597" w:type="dxa"/>
          </w:tcPr>
          <w:p w14:paraId="78D6FCB8" w14:textId="77777777" w:rsidR="00255F1F" w:rsidRPr="00255F1F" w:rsidRDefault="00255F1F" w:rsidP="00255F1F">
            <w:pPr>
              <w:widowControl w:val="0"/>
              <w:autoSpaceDE w:val="0"/>
              <w:autoSpaceDN w:val="0"/>
              <w:adjustRightInd w:val="0"/>
              <w:spacing w:after="0" w:line="240" w:lineRule="auto"/>
              <w:rPr>
                <w:rFonts w:ascii="Times New Roman" w:eastAsia="Calibri" w:hAnsi="Times New Roman" w:cs="Times New Roman"/>
                <w:sz w:val="20"/>
                <w:szCs w:val="24"/>
              </w:rPr>
            </w:pPr>
            <w:r w:rsidRPr="00255F1F">
              <w:rPr>
                <w:rFonts w:ascii="Times New Roman" w:eastAsia="Calibri" w:hAnsi="Times New Roman" w:cs="Times New Roman"/>
                <w:sz w:val="20"/>
                <w:szCs w:val="24"/>
              </w:rPr>
              <w:t>BA</w:t>
            </w:r>
            <w:bookmarkStart w:id="1" w:name="_Ref402532668"/>
            <w:r w:rsidRPr="00255F1F">
              <w:rPr>
                <w:rFonts w:ascii="Times New Roman" w:eastAsia="Calibri" w:hAnsi="Times New Roman" w:cs="Times New Roman"/>
                <w:sz w:val="20"/>
                <w:szCs w:val="20"/>
              </w:rPr>
              <w:t>/RRSG:</w:t>
            </w:r>
            <w:r w:rsidRPr="00255F1F">
              <w:rPr>
                <w:rFonts w:ascii="Times New Roman" w:eastAsia="Calibri" w:hAnsi="Times New Roman" w:cs="Times New Roman"/>
                <w:b/>
                <w:sz w:val="20"/>
                <w:szCs w:val="20"/>
                <w:vertAlign w:val="superscript"/>
              </w:rPr>
              <w:footnoteReference w:id="11"/>
            </w:r>
            <w:bookmarkEnd w:id="1"/>
            <w:r w:rsidRPr="00255F1F">
              <w:rPr>
                <w:rFonts w:ascii="Times New Roman" w:eastAsia="Calibri" w:hAnsi="Times New Roman" w:cs="Times New Roman"/>
                <w:sz w:val="20"/>
                <w:szCs w:val="24"/>
              </w:rPr>
              <w:t xml:space="preserve"> Update and Maintain Energy Management Systems</w:t>
            </w:r>
          </w:p>
        </w:tc>
        <w:tc>
          <w:tcPr>
            <w:tcW w:w="1350" w:type="dxa"/>
            <w:vAlign w:val="bottom"/>
          </w:tcPr>
          <w:p w14:paraId="1B8CE013" w14:textId="7B7699E6" w:rsidR="00255F1F" w:rsidRPr="00B7200D" w:rsidRDefault="00255F1F" w:rsidP="00B7200D">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4"/>
              </w:rPr>
              <w:t>106</w:t>
            </w:r>
          </w:p>
        </w:tc>
        <w:tc>
          <w:tcPr>
            <w:tcW w:w="1918" w:type="dxa"/>
            <w:vAlign w:val="bottom"/>
          </w:tcPr>
          <w:p w14:paraId="067CF84C" w14:textId="77777777"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sz w:val="20"/>
                <w:szCs w:val="24"/>
              </w:rPr>
            </w:pPr>
            <w:r w:rsidRPr="00255F1F">
              <w:rPr>
                <w:rFonts w:ascii="Times New Roman" w:eastAsia="Calibri" w:hAnsi="Times New Roman" w:cs="Times New Roman"/>
                <w:sz w:val="20"/>
                <w:szCs w:val="24"/>
              </w:rPr>
              <w:t>1</w:t>
            </w:r>
          </w:p>
        </w:tc>
        <w:tc>
          <w:tcPr>
            <w:tcW w:w="1443" w:type="dxa"/>
            <w:vAlign w:val="bottom"/>
          </w:tcPr>
          <w:p w14:paraId="034E225A" w14:textId="77777777"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0"/>
              </w:rPr>
              <w:t>106</w:t>
            </w:r>
          </w:p>
        </w:tc>
        <w:tc>
          <w:tcPr>
            <w:tcW w:w="1342" w:type="dxa"/>
            <w:vAlign w:val="bottom"/>
          </w:tcPr>
          <w:p w14:paraId="678886A6" w14:textId="60DFBA21"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0"/>
              </w:rPr>
              <w:t>8</w:t>
            </w:r>
          </w:p>
          <w:p w14:paraId="7BA271BC" w14:textId="7C2C416F" w:rsidR="00255F1F" w:rsidRPr="00255F1F" w:rsidRDefault="00B7200D" w:rsidP="00B7200D">
            <w:pPr>
              <w:widowControl w:val="0"/>
              <w:autoSpaceDE w:val="0"/>
              <w:autoSpaceDN w:val="0"/>
              <w:adjustRightInd w:val="0"/>
              <w:spacing w:after="0" w:line="240" w:lineRule="auto"/>
              <w:jc w:val="right"/>
              <w:rPr>
                <w:rFonts w:ascii="Times New Roman" w:eastAsia="Calibri" w:hAnsi="Times New Roman" w:cs="Times New Roman"/>
                <w:sz w:val="20"/>
                <w:szCs w:val="24"/>
              </w:rPr>
            </w:pPr>
            <w:r>
              <w:rPr>
                <w:rFonts w:ascii="Times New Roman" w:eastAsia="Calibri" w:hAnsi="Times New Roman" w:cs="Times New Roman"/>
                <w:sz w:val="20"/>
                <w:szCs w:val="20"/>
              </w:rPr>
              <w:t>$1030</w:t>
            </w:r>
          </w:p>
        </w:tc>
        <w:tc>
          <w:tcPr>
            <w:tcW w:w="1348" w:type="dxa"/>
            <w:vAlign w:val="bottom"/>
          </w:tcPr>
          <w:p w14:paraId="627E0D4D" w14:textId="44C3CEDE" w:rsidR="00255F1F" w:rsidRPr="00255F1F" w:rsidRDefault="00255F1F" w:rsidP="00B7200D">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0"/>
              </w:rPr>
              <w:t xml:space="preserve"> </w:t>
            </w:r>
            <w:r w:rsidRPr="00255F1F">
              <w:rPr>
                <w:rFonts w:ascii="Times New Roman" w:eastAsia="Calibri" w:hAnsi="Times New Roman" w:cs="Times New Roman"/>
                <w:sz w:val="20"/>
                <w:szCs w:val="24"/>
              </w:rPr>
              <w:t>848</w:t>
            </w:r>
          </w:p>
          <w:p w14:paraId="2A287F47" w14:textId="48D73D94" w:rsidR="00255F1F" w:rsidRPr="00B7200D" w:rsidRDefault="00255F1F" w:rsidP="00B7200D">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4"/>
              </w:rPr>
              <w:t>$109,180</w:t>
            </w:r>
          </w:p>
        </w:tc>
        <w:tc>
          <w:tcPr>
            <w:tcW w:w="1264" w:type="dxa"/>
            <w:vAlign w:val="bottom"/>
          </w:tcPr>
          <w:p w14:paraId="2E296B47" w14:textId="04623328" w:rsidR="00255F1F" w:rsidRPr="00255F1F" w:rsidRDefault="00B7200D" w:rsidP="00B7200D">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$1030</w:t>
            </w:r>
          </w:p>
        </w:tc>
      </w:tr>
      <w:tr w:rsidR="00255F1F" w:rsidRPr="00255F1F" w14:paraId="3B6CDFEB" w14:textId="77777777" w:rsidTr="00B7200D">
        <w:trPr>
          <w:cantSplit/>
        </w:trPr>
        <w:tc>
          <w:tcPr>
            <w:tcW w:w="1597" w:type="dxa"/>
          </w:tcPr>
          <w:p w14:paraId="1441613D" w14:textId="2B164CBF" w:rsidR="00255F1F" w:rsidRPr="00255F1F" w:rsidRDefault="00255F1F" w:rsidP="000F4112">
            <w:pPr>
              <w:widowControl w:val="0"/>
              <w:autoSpaceDE w:val="0"/>
              <w:autoSpaceDN w:val="0"/>
              <w:adjustRightInd w:val="0"/>
              <w:spacing w:after="0" w:line="240" w:lineRule="auto"/>
              <w:rPr>
                <w:rFonts w:ascii="Times New Roman" w:eastAsia="Calibri" w:hAnsi="Times New Roman" w:cs="Times New Roman"/>
                <w:sz w:val="20"/>
                <w:szCs w:val="24"/>
              </w:rPr>
            </w:pPr>
            <w:r w:rsidRPr="00255F1F">
              <w:rPr>
                <w:rFonts w:ascii="Times New Roman" w:eastAsia="Calibri" w:hAnsi="Times New Roman" w:cs="Times New Roman"/>
                <w:sz w:val="20"/>
                <w:szCs w:val="20"/>
              </w:rPr>
              <w:t>BA</w:t>
            </w:r>
            <w:r w:rsidRPr="00255F1F">
              <w:rPr>
                <w:rFonts w:ascii="Times New Roman" w:eastAsia="Calibri" w:hAnsi="Times New Roman" w:cs="Times New Roman"/>
                <w:sz w:val="20"/>
                <w:szCs w:val="24"/>
                <w:vertAlign w:val="superscript"/>
              </w:rPr>
              <w:t>:</w:t>
            </w:r>
            <w:r w:rsidRPr="00255F1F">
              <w:rPr>
                <w:rFonts w:ascii="Times New Roman" w:eastAsia="Calibri" w:hAnsi="Times New Roman" w:cs="Times New Roman"/>
                <w:sz w:val="20"/>
                <w:szCs w:val="24"/>
              </w:rPr>
              <w:t xml:space="preserve"> Record Retention</w:t>
            </w:r>
          </w:p>
        </w:tc>
        <w:tc>
          <w:tcPr>
            <w:tcW w:w="1350" w:type="dxa"/>
            <w:vAlign w:val="bottom"/>
          </w:tcPr>
          <w:p w14:paraId="2B3C0E58" w14:textId="77777777"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sz w:val="20"/>
                <w:szCs w:val="24"/>
              </w:rPr>
            </w:pPr>
            <w:r w:rsidRPr="00255F1F">
              <w:rPr>
                <w:rFonts w:ascii="Times New Roman" w:eastAsia="Calibri" w:hAnsi="Times New Roman" w:cs="Times New Roman"/>
                <w:sz w:val="20"/>
                <w:szCs w:val="24"/>
              </w:rPr>
              <w:t>106</w:t>
            </w:r>
          </w:p>
        </w:tc>
        <w:tc>
          <w:tcPr>
            <w:tcW w:w="1918" w:type="dxa"/>
            <w:vAlign w:val="bottom"/>
          </w:tcPr>
          <w:p w14:paraId="39FF0DC0" w14:textId="77777777"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sz w:val="20"/>
                <w:szCs w:val="24"/>
              </w:rPr>
            </w:pPr>
            <w:r w:rsidRPr="00255F1F">
              <w:rPr>
                <w:rFonts w:ascii="Times New Roman" w:eastAsia="Calibri" w:hAnsi="Times New Roman" w:cs="Times New Roman"/>
                <w:sz w:val="20"/>
                <w:szCs w:val="24"/>
              </w:rPr>
              <w:t>1</w:t>
            </w:r>
          </w:p>
        </w:tc>
        <w:tc>
          <w:tcPr>
            <w:tcW w:w="1443" w:type="dxa"/>
            <w:vAlign w:val="bottom"/>
          </w:tcPr>
          <w:p w14:paraId="08BF590B" w14:textId="77777777"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0"/>
              </w:rPr>
              <w:t>106</w:t>
            </w:r>
          </w:p>
        </w:tc>
        <w:tc>
          <w:tcPr>
            <w:tcW w:w="1342" w:type="dxa"/>
            <w:vAlign w:val="bottom"/>
          </w:tcPr>
          <w:p w14:paraId="2FC7A9C1" w14:textId="77777777"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4"/>
              </w:rPr>
              <w:t>4</w:t>
            </w:r>
          </w:p>
          <w:p w14:paraId="19C811C7" w14:textId="77777777"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sz w:val="20"/>
                <w:szCs w:val="24"/>
              </w:rPr>
            </w:pPr>
            <w:r w:rsidRPr="00255F1F">
              <w:rPr>
                <w:rFonts w:ascii="Times New Roman" w:eastAsia="Calibri" w:hAnsi="Times New Roman" w:cs="Times New Roman"/>
                <w:sz w:val="20"/>
                <w:szCs w:val="20"/>
              </w:rPr>
              <w:t>$112</w:t>
            </w:r>
          </w:p>
        </w:tc>
        <w:tc>
          <w:tcPr>
            <w:tcW w:w="1348" w:type="dxa"/>
            <w:vAlign w:val="bottom"/>
          </w:tcPr>
          <w:p w14:paraId="2B5ECFC4" w14:textId="77777777"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4"/>
              </w:rPr>
              <w:t>424</w:t>
            </w:r>
          </w:p>
          <w:p w14:paraId="6F556F30" w14:textId="77777777"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sz w:val="20"/>
                <w:szCs w:val="24"/>
              </w:rPr>
            </w:pPr>
            <w:r w:rsidRPr="00255F1F">
              <w:rPr>
                <w:rFonts w:ascii="Times New Roman" w:eastAsia="Calibri" w:hAnsi="Times New Roman" w:cs="Times New Roman"/>
                <w:sz w:val="20"/>
                <w:szCs w:val="20"/>
              </w:rPr>
              <w:t>$11,872</w:t>
            </w:r>
          </w:p>
        </w:tc>
        <w:tc>
          <w:tcPr>
            <w:tcW w:w="1264" w:type="dxa"/>
            <w:vAlign w:val="bottom"/>
          </w:tcPr>
          <w:p w14:paraId="3B976E3D" w14:textId="77777777"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55F1F">
              <w:rPr>
                <w:rFonts w:ascii="Times New Roman" w:eastAsia="Calibri" w:hAnsi="Times New Roman" w:cs="Times New Roman"/>
                <w:sz w:val="20"/>
                <w:szCs w:val="20"/>
              </w:rPr>
              <w:t>$112</w:t>
            </w:r>
          </w:p>
        </w:tc>
      </w:tr>
      <w:tr w:rsidR="00255F1F" w:rsidRPr="00255F1F" w14:paraId="0E32867B" w14:textId="77777777" w:rsidTr="00566CB0">
        <w:trPr>
          <w:cantSplit/>
          <w:trHeight w:val="485"/>
        </w:trPr>
        <w:tc>
          <w:tcPr>
            <w:tcW w:w="1597" w:type="dxa"/>
            <w:tcBorders>
              <w:bottom w:val="single" w:sz="4" w:space="0" w:color="auto"/>
            </w:tcBorders>
          </w:tcPr>
          <w:p w14:paraId="5AD71854" w14:textId="77777777" w:rsidR="00255F1F" w:rsidRPr="00255F1F" w:rsidRDefault="00255F1F" w:rsidP="00255F1F">
            <w:pPr>
              <w:widowControl w:val="0"/>
              <w:autoSpaceDE w:val="0"/>
              <w:autoSpaceDN w:val="0"/>
              <w:adjustRightInd w:val="0"/>
              <w:spacing w:after="0" w:line="240" w:lineRule="auto"/>
              <w:rPr>
                <w:rFonts w:ascii="Times New Roman" w:eastAsia="Calibri" w:hAnsi="Times New Roman" w:cs="Times New Roman"/>
                <w:b/>
                <w:sz w:val="20"/>
                <w:szCs w:val="24"/>
              </w:rPr>
            </w:pPr>
            <w:r w:rsidRPr="00255F1F">
              <w:rPr>
                <w:rFonts w:ascii="Times New Roman" w:eastAsia="Calibri" w:hAnsi="Times New Roman" w:cs="Times New Roman"/>
                <w:b/>
                <w:sz w:val="20"/>
                <w:szCs w:val="20"/>
              </w:rPr>
              <w:t>TOTAL</w:t>
            </w:r>
          </w:p>
        </w:tc>
        <w:tc>
          <w:tcPr>
            <w:tcW w:w="3268" w:type="dxa"/>
            <w:gridSpan w:val="2"/>
            <w:tcBorders>
              <w:bottom w:val="single" w:sz="4" w:space="0" w:color="auto"/>
            </w:tcBorders>
            <w:shd w:val="clear" w:color="auto" w:fill="D9D9D9"/>
            <w:vAlign w:val="bottom"/>
          </w:tcPr>
          <w:p w14:paraId="08CD462E" w14:textId="77777777"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sz w:val="20"/>
                <w:szCs w:val="24"/>
              </w:rPr>
            </w:pPr>
          </w:p>
        </w:tc>
        <w:tc>
          <w:tcPr>
            <w:tcW w:w="1443" w:type="dxa"/>
            <w:tcBorders>
              <w:bottom w:val="single" w:sz="4" w:space="0" w:color="auto"/>
            </w:tcBorders>
            <w:shd w:val="clear" w:color="auto" w:fill="D9D9D9" w:themeFill="background1" w:themeFillShade="D9"/>
            <w:vAlign w:val="bottom"/>
          </w:tcPr>
          <w:p w14:paraId="460A0942" w14:textId="3C10CA10" w:rsidR="00255F1F" w:rsidRPr="00255F1F" w:rsidRDefault="00255F1F" w:rsidP="00566CB0">
            <w:pPr>
              <w:widowControl w:val="0"/>
              <w:autoSpaceDE w:val="0"/>
              <w:autoSpaceDN w:val="0"/>
              <w:adjustRightInd w:val="0"/>
              <w:spacing w:after="0" w:line="240" w:lineRule="auto"/>
              <w:jc w:val="right"/>
              <w:rPr>
                <w:rFonts w:ascii="Times New Roman" w:eastAsia="Calibri" w:hAnsi="Times New Roman" w:cs="Times New Roman"/>
                <w:b/>
                <w:sz w:val="20"/>
                <w:szCs w:val="24"/>
              </w:rPr>
            </w:pPr>
          </w:p>
        </w:tc>
        <w:tc>
          <w:tcPr>
            <w:tcW w:w="1342" w:type="dxa"/>
            <w:tcBorders>
              <w:bottom w:val="single" w:sz="4" w:space="0" w:color="auto"/>
            </w:tcBorders>
            <w:shd w:val="clear" w:color="auto" w:fill="D9D9D9"/>
            <w:vAlign w:val="bottom"/>
          </w:tcPr>
          <w:p w14:paraId="0A120BD0" w14:textId="77777777"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1348" w:type="dxa"/>
            <w:tcBorders>
              <w:bottom w:val="single" w:sz="4" w:space="0" w:color="auto"/>
            </w:tcBorders>
            <w:vAlign w:val="bottom"/>
          </w:tcPr>
          <w:p w14:paraId="715BCE13" w14:textId="77777777"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255F1F">
              <w:rPr>
                <w:rFonts w:ascii="Times New Roman" w:eastAsia="Calibri" w:hAnsi="Times New Roman" w:cs="Times New Roman"/>
                <w:b/>
                <w:sz w:val="20"/>
                <w:szCs w:val="20"/>
              </w:rPr>
              <w:t>1,272</w:t>
            </w:r>
          </w:p>
          <w:p w14:paraId="69FDB2D9" w14:textId="46513795"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255F1F">
              <w:rPr>
                <w:rFonts w:ascii="Times New Roman" w:eastAsia="Calibri" w:hAnsi="Times New Roman" w:cs="Times New Roman"/>
                <w:b/>
                <w:sz w:val="20"/>
                <w:szCs w:val="20"/>
              </w:rPr>
              <w:t>$121,052</w:t>
            </w:r>
          </w:p>
        </w:tc>
        <w:tc>
          <w:tcPr>
            <w:tcW w:w="1264" w:type="dxa"/>
            <w:tcBorders>
              <w:bottom w:val="single" w:sz="4" w:space="0" w:color="auto"/>
            </w:tcBorders>
            <w:vAlign w:val="bottom"/>
          </w:tcPr>
          <w:p w14:paraId="44C32A17" w14:textId="28C375D3" w:rsidR="00255F1F" w:rsidRPr="00255F1F" w:rsidRDefault="00255F1F" w:rsidP="00255F1F">
            <w:pPr>
              <w:widowControl w:val="0"/>
              <w:autoSpaceDE w:val="0"/>
              <w:autoSpaceDN w:val="0"/>
              <w:adjustRightInd w:val="0"/>
              <w:spacing w:after="0" w:line="240" w:lineRule="auto"/>
              <w:jc w:val="right"/>
              <w:rPr>
                <w:rFonts w:ascii="Times New Roman" w:eastAsia="Calibri" w:hAnsi="Times New Roman" w:cs="Times New Roman"/>
                <w:b/>
                <w:sz w:val="20"/>
                <w:szCs w:val="20"/>
              </w:rPr>
            </w:pPr>
            <w:r w:rsidRPr="00255F1F">
              <w:rPr>
                <w:rFonts w:ascii="Times New Roman" w:eastAsia="Calibri" w:hAnsi="Times New Roman" w:cs="Times New Roman"/>
                <w:b/>
                <w:sz w:val="20"/>
                <w:szCs w:val="20"/>
              </w:rPr>
              <w:t>$1,142</w:t>
            </w:r>
          </w:p>
        </w:tc>
      </w:tr>
    </w:tbl>
    <w:p w14:paraId="5528A20F" w14:textId="77777777" w:rsidR="00EA5C58" w:rsidRPr="00D80FBD" w:rsidRDefault="00EA5C58" w:rsidP="008D310F">
      <w:pPr>
        <w:spacing w:after="0"/>
        <w:rPr>
          <w:rFonts w:ascii="Times New Roman" w:hAnsi="Times New Roman" w:cs="Times New Roman"/>
          <w:sz w:val="24"/>
          <w:szCs w:val="24"/>
        </w:rPr>
      </w:pPr>
    </w:p>
    <w:p w14:paraId="12DDF803"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68804768" w14:textId="77777777" w:rsidR="00E636D7" w:rsidRDefault="00E636D7" w:rsidP="00E636D7">
      <w:pPr>
        <w:spacing w:after="0"/>
        <w:rPr>
          <w:rFonts w:ascii="Times New Roman" w:hAnsi="Times New Roman" w:cs="Times New Roman"/>
          <w:sz w:val="24"/>
          <w:szCs w:val="24"/>
        </w:rPr>
      </w:pPr>
    </w:p>
    <w:p w14:paraId="1C404317" w14:textId="22430886" w:rsidR="0074195A" w:rsidRPr="0074195A"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 xml:space="preserve">There are no non-labor costs currently associated with </w:t>
      </w:r>
      <w:r w:rsidR="00AD16A3">
        <w:rPr>
          <w:rFonts w:ascii="Times New Roman" w:hAnsi="Times New Roman" w:cs="Times New Roman"/>
          <w:sz w:val="24"/>
          <w:szCs w:val="24"/>
        </w:rPr>
        <w:t>the FERC-725</w:t>
      </w:r>
      <w:r w:rsidR="005C18F6">
        <w:rPr>
          <w:rFonts w:ascii="Times New Roman" w:hAnsi="Times New Roman" w:cs="Times New Roman"/>
          <w:sz w:val="24"/>
          <w:szCs w:val="24"/>
        </w:rPr>
        <w:t>R</w:t>
      </w:r>
      <w:r w:rsidRPr="0074195A">
        <w:rPr>
          <w:rFonts w:ascii="Times New Roman" w:hAnsi="Times New Roman" w:cs="Times New Roman"/>
          <w:sz w:val="24"/>
          <w:szCs w:val="24"/>
        </w:rPr>
        <w:t>.</w:t>
      </w:r>
    </w:p>
    <w:p w14:paraId="685A88D1" w14:textId="77777777" w:rsidR="0074195A" w:rsidRPr="0074195A" w:rsidRDefault="0074195A" w:rsidP="0074195A">
      <w:pPr>
        <w:spacing w:after="0"/>
        <w:rPr>
          <w:rFonts w:ascii="Times New Roman" w:hAnsi="Times New Roman" w:cs="Times New Roman"/>
          <w:sz w:val="24"/>
          <w:szCs w:val="24"/>
        </w:rPr>
      </w:pPr>
    </w:p>
    <w:p w14:paraId="743FB45B" w14:textId="01466CFC" w:rsidR="00E636D7"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 xml:space="preserve">All of the costs in the </w:t>
      </w:r>
      <w:r w:rsidR="00AD16A3">
        <w:rPr>
          <w:rFonts w:ascii="Times New Roman" w:hAnsi="Times New Roman" w:cs="Times New Roman"/>
          <w:sz w:val="24"/>
          <w:szCs w:val="24"/>
        </w:rPr>
        <w:t>proposed rule</w:t>
      </w:r>
      <w:r w:rsidRPr="0074195A">
        <w:rPr>
          <w:rFonts w:ascii="Times New Roman" w:hAnsi="Times New Roman" w:cs="Times New Roman"/>
          <w:sz w:val="24"/>
          <w:szCs w:val="24"/>
        </w:rPr>
        <w:t xml:space="preserve"> are associated with </w:t>
      </w:r>
      <w:r w:rsidR="00DB58D2">
        <w:rPr>
          <w:rFonts w:ascii="Times New Roman" w:hAnsi="Times New Roman" w:cs="Times New Roman"/>
          <w:sz w:val="24"/>
          <w:szCs w:val="24"/>
        </w:rPr>
        <w:t>burden hours (</w:t>
      </w:r>
      <w:r w:rsidRPr="0074195A">
        <w:rPr>
          <w:rFonts w:ascii="Times New Roman" w:hAnsi="Times New Roman" w:cs="Times New Roman"/>
          <w:sz w:val="24"/>
          <w:szCs w:val="24"/>
        </w:rPr>
        <w:t>labor</w:t>
      </w:r>
      <w:r w:rsidR="00DB58D2">
        <w:rPr>
          <w:rFonts w:ascii="Times New Roman" w:hAnsi="Times New Roman" w:cs="Times New Roman"/>
          <w:sz w:val="24"/>
          <w:szCs w:val="24"/>
        </w:rPr>
        <w:t>)</w:t>
      </w:r>
      <w:r w:rsidRPr="0074195A">
        <w:rPr>
          <w:rFonts w:ascii="Times New Roman" w:hAnsi="Times New Roman" w:cs="Times New Roman"/>
          <w:sz w:val="24"/>
          <w:szCs w:val="24"/>
        </w:rPr>
        <w:t xml:space="preserve"> and </w:t>
      </w:r>
      <w:r w:rsidR="00DB58D2">
        <w:rPr>
          <w:rFonts w:ascii="Times New Roman" w:hAnsi="Times New Roman" w:cs="Times New Roman"/>
          <w:sz w:val="24"/>
          <w:szCs w:val="24"/>
        </w:rPr>
        <w:t>described in #12 and 15.</w:t>
      </w:r>
    </w:p>
    <w:p w14:paraId="4AF6FF9E" w14:textId="77777777" w:rsidR="0074195A" w:rsidRPr="00E636D7" w:rsidRDefault="0074195A" w:rsidP="0074195A">
      <w:pPr>
        <w:spacing w:after="0"/>
        <w:rPr>
          <w:rFonts w:ascii="Times New Roman" w:hAnsi="Times New Roman" w:cs="Times New Roman"/>
          <w:sz w:val="24"/>
          <w:szCs w:val="24"/>
        </w:rPr>
      </w:pPr>
    </w:p>
    <w:p w14:paraId="00B93448"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5C176680" w14:textId="77777777" w:rsidR="00A276F5" w:rsidRDefault="00A276F5" w:rsidP="00A276F5">
      <w:pPr>
        <w:spacing w:after="0"/>
        <w:rPr>
          <w:rFonts w:ascii="Times New Roman" w:hAnsi="Times New Roman" w:cs="Times New Roman"/>
          <w:sz w:val="24"/>
          <w:szCs w:val="24"/>
        </w:rPr>
      </w:pPr>
    </w:p>
    <w:p w14:paraId="3E175186" w14:textId="1CFD44B9" w:rsidR="002A41B5" w:rsidRDefault="002A41B5" w:rsidP="00A276F5">
      <w:pPr>
        <w:spacing w:after="0"/>
        <w:rPr>
          <w:rFonts w:ascii="Times New Roman" w:hAnsi="Times New Roman" w:cs="Times New Roman"/>
          <w:sz w:val="24"/>
          <w:szCs w:val="24"/>
        </w:rPr>
      </w:pPr>
      <w:r w:rsidRPr="00077FB9">
        <w:rPr>
          <w:rFonts w:ascii="Times New Roman" w:hAnsi="Times New Roman"/>
          <w:sz w:val="24"/>
          <w:szCs w:val="24"/>
        </w:rPr>
        <w:t>The Regional Entities and NERC do most of the data processing, monitoring and compliance work for Reliability Standards.  Any involvement by the Commission is covered under the FERC-725 collection (</w:t>
      </w:r>
      <w:r>
        <w:rPr>
          <w:rFonts w:ascii="Times New Roman" w:hAnsi="Times New Roman"/>
          <w:sz w:val="24"/>
          <w:szCs w:val="24"/>
        </w:rPr>
        <w:t xml:space="preserve">OMB Control No. </w:t>
      </w:r>
      <w:r w:rsidRPr="00077FB9">
        <w:rPr>
          <w:rFonts w:ascii="Times New Roman" w:hAnsi="Times New Roman"/>
          <w:sz w:val="24"/>
          <w:szCs w:val="24"/>
        </w:rPr>
        <w:t>1902-0225) and is not part of this request or package</w:t>
      </w:r>
      <w:r>
        <w:rPr>
          <w:rFonts w:ascii="Times New Roman" w:hAnsi="Times New Roman"/>
          <w:sz w:val="24"/>
          <w:szCs w:val="24"/>
        </w:rPr>
        <w:t>.</w:t>
      </w:r>
    </w:p>
    <w:p w14:paraId="1F9F6436" w14:textId="77777777" w:rsidR="002A41B5" w:rsidRDefault="002A41B5" w:rsidP="00A276F5">
      <w:pPr>
        <w:spacing w:after="0"/>
        <w:rPr>
          <w:rFonts w:ascii="Times New Roman" w:hAnsi="Times New Roman" w:cs="Times New Roman"/>
          <w:sz w:val="24"/>
          <w:szCs w:val="24"/>
        </w:rPr>
      </w:pPr>
    </w:p>
    <w:p w14:paraId="08C42D1F" w14:textId="0DA34CE1" w:rsidR="00A276F5" w:rsidRDefault="00630A34" w:rsidP="00A276F5">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sidR="00AD16A3">
        <w:rPr>
          <w:rFonts w:ascii="Times New Roman" w:hAnsi="Times New Roman" w:cs="Times New Roman"/>
          <w:sz w:val="24"/>
          <w:szCs w:val="24"/>
        </w:rPr>
        <w:t>ment for FERC-725</w:t>
      </w:r>
      <w:r w:rsidR="00041041">
        <w:rPr>
          <w:rFonts w:ascii="Times New Roman" w:hAnsi="Times New Roman" w:cs="Times New Roman"/>
          <w:sz w:val="24"/>
          <w:szCs w:val="24"/>
        </w:rPr>
        <w:t>R</w:t>
      </w:r>
      <w:r w:rsidRPr="00630A34">
        <w:rPr>
          <w:rFonts w:ascii="Times New Roman" w:hAnsi="Times New Roman" w:cs="Times New Roman"/>
          <w:sz w:val="24"/>
          <w:szCs w:val="24"/>
        </w:rPr>
        <w:t xml:space="preserve"> as related to the requirements in the NOPR in </w:t>
      </w:r>
      <w:r w:rsidR="00AD16A3">
        <w:rPr>
          <w:rFonts w:ascii="Times New Roman" w:hAnsi="Times New Roman" w:cs="Times New Roman"/>
          <w:sz w:val="24"/>
          <w:szCs w:val="24"/>
        </w:rPr>
        <w:t>RM14-1</w:t>
      </w:r>
      <w:r w:rsidR="00041041">
        <w:rPr>
          <w:rFonts w:ascii="Times New Roman" w:hAnsi="Times New Roman" w:cs="Times New Roman"/>
          <w:sz w:val="24"/>
          <w:szCs w:val="24"/>
        </w:rPr>
        <w:t>0</w:t>
      </w:r>
      <w:r w:rsidR="00AD16A3">
        <w:rPr>
          <w:rFonts w:ascii="Times New Roman" w:hAnsi="Times New Roman" w:cs="Times New Roman"/>
          <w:sz w:val="24"/>
          <w:szCs w:val="24"/>
        </w:rPr>
        <w:t>-000</w:t>
      </w:r>
      <w:r w:rsidRPr="00630A34">
        <w:rPr>
          <w:rFonts w:ascii="Times New Roman" w:hAnsi="Times New Roman" w:cs="Times New Roman"/>
          <w:sz w:val="24"/>
          <w:szCs w:val="24"/>
        </w:rPr>
        <w:t xml:space="preserve"> follows:</w:t>
      </w:r>
    </w:p>
    <w:p w14:paraId="6903BD6D" w14:textId="77777777" w:rsidR="00630A34" w:rsidRDefault="00630A3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630A34" w14:paraId="30FEB290" w14:textId="77777777" w:rsidTr="002C63E1">
        <w:tc>
          <w:tcPr>
            <w:tcW w:w="3182" w:type="dxa"/>
            <w:tcBorders>
              <w:top w:val="single" w:sz="4" w:space="0" w:color="auto"/>
              <w:left w:val="single" w:sz="4" w:space="0" w:color="auto"/>
              <w:bottom w:val="single" w:sz="4" w:space="0" w:color="auto"/>
              <w:right w:val="single" w:sz="4" w:space="0" w:color="auto"/>
            </w:tcBorders>
            <w:shd w:val="clear" w:color="auto" w:fill="CCCCCC"/>
          </w:tcPr>
          <w:p w14:paraId="4F86DD28" w14:textId="77777777" w:rsidR="00630A34" w:rsidRPr="00630A34" w:rsidRDefault="00630A34" w:rsidP="00630A3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03DF2A37"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23633BED"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630A34" w:rsidRPr="00630A34" w14:paraId="1DA60CC0"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36151262" w14:textId="72D5AC47" w:rsidR="00630A34" w:rsidRPr="00630A34" w:rsidRDefault="00AD16A3" w:rsidP="007E220F">
            <w:pPr>
              <w:spacing w:after="0"/>
              <w:rPr>
                <w:rFonts w:ascii="Times New Roman" w:hAnsi="Times New Roman" w:cs="Times New Roman"/>
                <w:sz w:val="24"/>
                <w:szCs w:val="24"/>
              </w:rPr>
            </w:pPr>
            <w:r>
              <w:rPr>
                <w:rFonts w:ascii="Times New Roman" w:hAnsi="Times New Roman" w:cs="Times New Roman"/>
                <w:sz w:val="24"/>
                <w:szCs w:val="24"/>
              </w:rPr>
              <w:t>FERC-725</w:t>
            </w:r>
            <w:r w:rsidR="00041041">
              <w:rPr>
                <w:rFonts w:ascii="Times New Roman" w:hAnsi="Times New Roman" w:cs="Times New Roman"/>
                <w:sz w:val="24"/>
                <w:szCs w:val="24"/>
              </w:rPr>
              <w:t>R</w:t>
            </w:r>
            <w:r w:rsidR="00630A34">
              <w:rPr>
                <w:rFonts w:ascii="Times New Roman" w:hAnsi="Times New Roman" w:cs="Times New Roman"/>
                <w:sz w:val="24"/>
                <w:szCs w:val="24"/>
              </w:rPr>
              <w:t xml:space="preserve"> </w:t>
            </w:r>
            <w:r w:rsidR="00630A34" w:rsidRPr="00630A34">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hideMark/>
          </w:tcPr>
          <w:p w14:paraId="616F0BCC" w14:textId="77777777" w:rsidR="00630A34" w:rsidRPr="00630A34" w:rsidRDefault="007B193F" w:rsidP="00630A34">
            <w:pPr>
              <w:spacing w:after="0"/>
              <w:rPr>
                <w:rFonts w:ascii="Times New Roman" w:hAnsi="Times New Roman" w:cs="Times New Roman"/>
                <w:sz w:val="24"/>
                <w:szCs w:val="24"/>
              </w:rPr>
            </w:pPr>
            <w:r>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bottom"/>
            <w:hideMark/>
          </w:tcPr>
          <w:p w14:paraId="7C2474E9" w14:textId="77777777" w:rsidR="00630A34" w:rsidRPr="00630A34" w:rsidRDefault="00630A34" w:rsidP="00630A34">
            <w:pPr>
              <w:spacing w:after="0"/>
              <w:rPr>
                <w:rFonts w:ascii="Times New Roman" w:hAnsi="Times New Roman" w:cs="Times New Roman"/>
                <w:sz w:val="24"/>
                <w:szCs w:val="24"/>
              </w:rPr>
            </w:pPr>
            <w:r w:rsidRPr="00630A34">
              <w:rPr>
                <w:rFonts w:ascii="Times New Roman" w:hAnsi="Times New Roman" w:cs="Times New Roman"/>
                <w:sz w:val="24"/>
                <w:szCs w:val="24"/>
              </w:rPr>
              <w:t>$</w:t>
            </w:r>
            <w:r w:rsidR="007B193F">
              <w:rPr>
                <w:rFonts w:ascii="Times New Roman" w:hAnsi="Times New Roman" w:cs="Times New Roman"/>
                <w:sz w:val="24"/>
                <w:szCs w:val="24"/>
              </w:rPr>
              <w:t>0</w:t>
            </w:r>
          </w:p>
        </w:tc>
      </w:tr>
      <w:tr w:rsidR="00AD16A3" w:rsidRPr="00630A34" w14:paraId="0E347ECF" w14:textId="77777777" w:rsidTr="002C63E1">
        <w:tc>
          <w:tcPr>
            <w:tcW w:w="3182" w:type="dxa"/>
            <w:tcBorders>
              <w:top w:val="single" w:sz="4" w:space="0" w:color="auto"/>
              <w:left w:val="single" w:sz="4" w:space="0" w:color="auto"/>
              <w:bottom w:val="single" w:sz="4" w:space="0" w:color="auto"/>
              <w:right w:val="single" w:sz="4" w:space="0" w:color="auto"/>
            </w:tcBorders>
          </w:tcPr>
          <w:p w14:paraId="0643F034" w14:textId="77777777" w:rsidR="00AD16A3" w:rsidRDefault="00AD16A3" w:rsidP="00630A34">
            <w:pPr>
              <w:spacing w:after="0"/>
              <w:rPr>
                <w:rFonts w:ascii="Times New Roman" w:hAnsi="Times New Roman" w:cs="Times New Roman"/>
                <w:sz w:val="24"/>
                <w:szCs w:val="24"/>
              </w:rPr>
            </w:pPr>
            <w:r w:rsidRPr="00630A34">
              <w:rPr>
                <w:rFonts w:ascii="Times New Roman" w:hAnsi="Times New Roman" w:cs="Times New Roman"/>
                <w:sz w:val="24"/>
                <w:szCs w:val="24"/>
              </w:rPr>
              <w:t>PRA</w:t>
            </w:r>
            <w:r w:rsidRPr="00630A34">
              <w:rPr>
                <w:rFonts w:ascii="Times New Roman" w:hAnsi="Times New Roman" w:cs="Times New Roman"/>
                <w:sz w:val="24"/>
                <w:szCs w:val="24"/>
                <w:vertAlign w:val="superscript"/>
              </w:rPr>
              <w:footnoteReference w:id="12"/>
            </w:r>
            <w:r w:rsidRPr="00630A34">
              <w:rPr>
                <w:rFonts w:ascii="Times New Roman" w:hAnsi="Times New Roman" w:cs="Times New Roman"/>
                <w:sz w:val="24"/>
                <w:szCs w:val="24"/>
              </w:rPr>
              <w:t xml:space="preserve"> Administrative Cost</w:t>
            </w:r>
            <w:r w:rsidR="00247B75" w:rsidRPr="00896F4D">
              <w:rPr>
                <w:rStyle w:val="FootnoteReference"/>
                <w:rFonts w:ascii="Times New Roman" w:hAnsi="Times New Roman" w:cs="Times New Roman"/>
                <w:sz w:val="24"/>
                <w:szCs w:val="24"/>
                <w:vertAlign w:val="superscript"/>
              </w:rPr>
              <w:footnoteReference w:id="13"/>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14:paraId="7762B52F"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20CDB20E" w14:textId="77777777"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sz w:val="24"/>
                <w:szCs w:val="24"/>
              </w:rPr>
              <w:t>$5,092</w:t>
            </w:r>
          </w:p>
        </w:tc>
      </w:tr>
      <w:tr w:rsidR="00AD16A3" w:rsidRPr="00630A34" w14:paraId="47F994DA"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0EF175C3" w14:textId="77777777"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14:paraId="603F73E8"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7D4E82B7" w14:textId="77777777"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sz w:val="24"/>
                <w:szCs w:val="24"/>
              </w:rPr>
              <w:t>$</w:t>
            </w:r>
            <w:r w:rsidR="007B193F">
              <w:rPr>
                <w:rFonts w:ascii="Times New Roman" w:hAnsi="Times New Roman" w:cs="Times New Roman"/>
                <w:sz w:val="24"/>
                <w:szCs w:val="24"/>
              </w:rPr>
              <w:t>5,092</w:t>
            </w:r>
          </w:p>
        </w:tc>
      </w:tr>
    </w:tbl>
    <w:p w14:paraId="4CD0381A" w14:textId="77777777" w:rsidR="006B437C" w:rsidRPr="006B437C" w:rsidRDefault="006B437C" w:rsidP="006B437C">
      <w:pPr>
        <w:spacing w:after="0"/>
        <w:rPr>
          <w:rFonts w:ascii="Times New Roman" w:hAnsi="Times New Roman" w:cs="Times New Roman"/>
          <w:sz w:val="24"/>
          <w:szCs w:val="24"/>
        </w:rPr>
      </w:pPr>
    </w:p>
    <w:p w14:paraId="3BD70EA7" w14:textId="77777777" w:rsidR="006B437C" w:rsidRPr="00A276F5" w:rsidRDefault="006B437C" w:rsidP="006B437C">
      <w:pPr>
        <w:spacing w:after="0"/>
        <w:rPr>
          <w:rFonts w:ascii="Times New Roman" w:hAnsi="Times New Roman" w:cs="Times New Roman"/>
          <w:sz w:val="24"/>
          <w:szCs w:val="24"/>
        </w:rPr>
      </w:pPr>
    </w:p>
    <w:p w14:paraId="4459E307"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47674C86" w14:textId="77777777" w:rsidR="003316E0" w:rsidRPr="003316E0" w:rsidRDefault="003316E0" w:rsidP="003316E0">
      <w:pPr>
        <w:spacing w:after="0"/>
        <w:rPr>
          <w:rFonts w:ascii="Times New Roman" w:hAnsi="Times New Roman" w:cs="Times New Roman"/>
          <w:sz w:val="24"/>
          <w:szCs w:val="24"/>
        </w:rPr>
      </w:pPr>
    </w:p>
    <w:p w14:paraId="60EF875F" w14:textId="22A9DE41" w:rsid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The burden for</w:t>
      </w:r>
      <w:r>
        <w:rPr>
          <w:rFonts w:ascii="Times New Roman" w:hAnsi="Times New Roman" w:cs="Times New Roman"/>
          <w:sz w:val="24"/>
          <w:szCs w:val="24"/>
        </w:rPr>
        <w:t xml:space="preserve"> </w:t>
      </w:r>
      <w:r w:rsidR="007B193F">
        <w:rPr>
          <w:rFonts w:ascii="Times New Roman" w:hAnsi="Times New Roman" w:cs="Times New Roman"/>
          <w:sz w:val="24"/>
          <w:szCs w:val="24"/>
        </w:rPr>
        <w:t>the FERC-725</w:t>
      </w:r>
      <w:r w:rsidR="0015129F">
        <w:rPr>
          <w:rFonts w:ascii="Times New Roman" w:hAnsi="Times New Roman" w:cs="Times New Roman"/>
          <w:sz w:val="24"/>
          <w:szCs w:val="24"/>
        </w:rPr>
        <w:t>R</w:t>
      </w:r>
      <w:r w:rsidR="007B193F">
        <w:rPr>
          <w:rFonts w:ascii="Times New Roman" w:hAnsi="Times New Roman" w:cs="Times New Roman"/>
          <w:sz w:val="24"/>
          <w:szCs w:val="24"/>
        </w:rPr>
        <w:t xml:space="preserve"> information collection increased</w:t>
      </w:r>
      <w:r w:rsidR="00D87A76" w:rsidRPr="00CB26E8">
        <w:rPr>
          <w:rStyle w:val="FootnoteReference"/>
          <w:rFonts w:ascii="Times New Roman" w:hAnsi="Times New Roman" w:cs="Times New Roman"/>
          <w:sz w:val="24"/>
          <w:szCs w:val="24"/>
          <w:vertAlign w:val="superscript"/>
        </w:rPr>
        <w:footnoteReference w:id="14"/>
      </w:r>
      <w:r w:rsidR="007B193F">
        <w:rPr>
          <w:rFonts w:ascii="Times New Roman" w:hAnsi="Times New Roman" w:cs="Times New Roman"/>
          <w:sz w:val="24"/>
          <w:szCs w:val="24"/>
        </w:rPr>
        <w:t xml:space="preserve"> due to</w:t>
      </w:r>
      <w:r w:rsidR="00D87A76">
        <w:rPr>
          <w:rFonts w:ascii="Times New Roman" w:hAnsi="Times New Roman" w:cs="Times New Roman"/>
          <w:sz w:val="24"/>
          <w:szCs w:val="24"/>
        </w:rPr>
        <w:t xml:space="preserve"> the NOPR in RM14-1</w:t>
      </w:r>
      <w:r w:rsidR="0015129F">
        <w:rPr>
          <w:rFonts w:ascii="Times New Roman" w:hAnsi="Times New Roman" w:cs="Times New Roman"/>
          <w:sz w:val="24"/>
          <w:szCs w:val="24"/>
        </w:rPr>
        <w:t>0</w:t>
      </w:r>
      <w:r w:rsidR="00D87A76">
        <w:rPr>
          <w:rFonts w:ascii="Times New Roman" w:hAnsi="Times New Roman" w:cs="Times New Roman"/>
          <w:sz w:val="24"/>
          <w:szCs w:val="24"/>
        </w:rPr>
        <w:t xml:space="preserve"> and related</w:t>
      </w:r>
      <w:r w:rsidR="0015129F">
        <w:rPr>
          <w:rFonts w:ascii="Times New Roman" w:hAnsi="Times New Roman" w:cs="Times New Roman"/>
          <w:sz w:val="24"/>
          <w:szCs w:val="24"/>
        </w:rPr>
        <w:t xml:space="preserve"> to</w:t>
      </w:r>
      <w:r w:rsidR="007B193F">
        <w:rPr>
          <w:rFonts w:ascii="Times New Roman" w:hAnsi="Times New Roman" w:cs="Times New Roman"/>
          <w:sz w:val="24"/>
          <w:szCs w:val="24"/>
        </w:rPr>
        <w:t>:</w:t>
      </w:r>
    </w:p>
    <w:p w14:paraId="7129F8A5" w14:textId="6D30509A" w:rsidR="0068681F" w:rsidRDefault="002E3C5B" w:rsidP="002E3C5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new Requirement R2 requires that </w:t>
      </w:r>
      <w:r w:rsidRPr="002E3C5B">
        <w:rPr>
          <w:rFonts w:ascii="Times New Roman" w:hAnsi="Times New Roman" w:cs="Times New Roman"/>
          <w:sz w:val="24"/>
          <w:szCs w:val="24"/>
        </w:rPr>
        <w:t>Balancing Authority shall operate such that its clock-minute average of Reporting ACE does not exceed its clock-minute Balancing Authority ACE Limit (BAAL) for more than 30 consecutive clock-minutes, calculated in accordance with Attachment 2, for the applicable Interconnection in which the Balancing Authority operates.</w:t>
      </w:r>
    </w:p>
    <w:p w14:paraId="18E64B20" w14:textId="77777777" w:rsidR="0068681F" w:rsidRDefault="0068681F" w:rsidP="0068681F">
      <w:pPr>
        <w:spacing w:after="0"/>
        <w:rPr>
          <w:rFonts w:ascii="Times New Roman" w:hAnsi="Times New Roman" w:cs="Times New Roman"/>
          <w:sz w:val="24"/>
          <w:szCs w:val="24"/>
        </w:rPr>
      </w:pPr>
    </w:p>
    <w:p w14:paraId="3C52683B" w14:textId="75D664F3" w:rsidR="00DA06F4" w:rsidRDefault="00423651" w:rsidP="003316E0">
      <w:pPr>
        <w:spacing w:after="0"/>
        <w:rPr>
          <w:rFonts w:ascii="Times New Roman" w:hAnsi="Times New Roman" w:cs="Times New Roman"/>
          <w:sz w:val="24"/>
          <w:szCs w:val="24"/>
        </w:rPr>
      </w:pPr>
      <w:r w:rsidRPr="00856C0A">
        <w:rPr>
          <w:rFonts w:ascii="Times New Roman" w:hAnsi="Times New Roman" w:cs="Times New Roman"/>
          <w:sz w:val="24"/>
          <w:szCs w:val="24"/>
        </w:rPr>
        <w:t>The new</w:t>
      </w:r>
      <w:r w:rsidR="0068681F" w:rsidRPr="00856C0A">
        <w:rPr>
          <w:rFonts w:ascii="Times New Roman" w:hAnsi="Times New Roman" w:cs="Times New Roman"/>
          <w:sz w:val="24"/>
          <w:szCs w:val="24"/>
        </w:rPr>
        <w:t xml:space="preserve"> requirement necessitate</w:t>
      </w:r>
      <w:r w:rsidR="00F76B02">
        <w:rPr>
          <w:rFonts w:ascii="Times New Roman" w:hAnsi="Times New Roman" w:cs="Times New Roman"/>
          <w:sz w:val="24"/>
          <w:szCs w:val="24"/>
        </w:rPr>
        <w:t>s</w:t>
      </w:r>
      <w:r w:rsidR="0068681F" w:rsidRPr="00856C0A">
        <w:rPr>
          <w:rFonts w:ascii="Times New Roman" w:hAnsi="Times New Roman" w:cs="Times New Roman"/>
          <w:sz w:val="24"/>
          <w:szCs w:val="24"/>
        </w:rPr>
        <w:t xml:space="preserve"> respondent entities to update documentation and software to ensure compliance.</w:t>
      </w:r>
    </w:p>
    <w:p w14:paraId="407564AB" w14:textId="77777777" w:rsidR="00D76508" w:rsidRDefault="00D76508" w:rsidP="003316E0">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3316E0" w:rsidRPr="003316E0" w14:paraId="0280F604" w14:textId="77777777" w:rsidTr="002C63E1">
        <w:trPr>
          <w:trHeight w:val="870"/>
        </w:trPr>
        <w:tc>
          <w:tcPr>
            <w:tcW w:w="2589" w:type="dxa"/>
            <w:shd w:val="clear" w:color="auto" w:fill="D9D9D9"/>
            <w:vAlign w:val="bottom"/>
          </w:tcPr>
          <w:p w14:paraId="72A3C7AA" w14:textId="4AC110E7" w:rsidR="003316E0" w:rsidRPr="003316E0" w:rsidRDefault="007B193F" w:rsidP="003316E0">
            <w:pPr>
              <w:spacing w:after="0"/>
              <w:rPr>
                <w:rFonts w:ascii="Times New Roman" w:hAnsi="Times New Roman" w:cs="Times New Roman"/>
                <w:b/>
                <w:sz w:val="24"/>
                <w:szCs w:val="24"/>
              </w:rPr>
            </w:pPr>
            <w:r>
              <w:rPr>
                <w:rFonts w:ascii="Times New Roman" w:hAnsi="Times New Roman" w:cs="Times New Roman"/>
                <w:b/>
                <w:sz w:val="24"/>
                <w:szCs w:val="24"/>
              </w:rPr>
              <w:t>FERC-725</w:t>
            </w:r>
            <w:r w:rsidR="00251D43">
              <w:rPr>
                <w:rFonts w:ascii="Times New Roman" w:hAnsi="Times New Roman" w:cs="Times New Roman"/>
                <w:b/>
                <w:sz w:val="24"/>
                <w:szCs w:val="24"/>
              </w:rPr>
              <w:t>R</w:t>
            </w:r>
          </w:p>
        </w:tc>
        <w:tc>
          <w:tcPr>
            <w:tcW w:w="1779" w:type="dxa"/>
            <w:shd w:val="clear" w:color="auto" w:fill="D9D9D9"/>
            <w:vAlign w:val="bottom"/>
          </w:tcPr>
          <w:p w14:paraId="102FB2E8"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Total Request</w:t>
            </w:r>
          </w:p>
        </w:tc>
        <w:tc>
          <w:tcPr>
            <w:tcW w:w="1959" w:type="dxa"/>
            <w:shd w:val="clear" w:color="auto" w:fill="D9D9D9"/>
            <w:vAlign w:val="bottom"/>
          </w:tcPr>
          <w:p w14:paraId="10EF225C"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Previously Approved</w:t>
            </w:r>
          </w:p>
        </w:tc>
        <w:tc>
          <w:tcPr>
            <w:tcW w:w="1683" w:type="dxa"/>
            <w:shd w:val="clear" w:color="auto" w:fill="D9D9D9"/>
            <w:vAlign w:val="bottom"/>
          </w:tcPr>
          <w:p w14:paraId="4105E01D"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Adjustment in Estimate</w:t>
            </w:r>
          </w:p>
        </w:tc>
        <w:tc>
          <w:tcPr>
            <w:tcW w:w="1357" w:type="dxa"/>
            <w:shd w:val="clear" w:color="auto" w:fill="D9D9D9"/>
            <w:vAlign w:val="bottom"/>
          </w:tcPr>
          <w:p w14:paraId="19739752"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Agency Discretion</w:t>
            </w:r>
          </w:p>
        </w:tc>
      </w:tr>
      <w:tr w:rsidR="003316E0" w:rsidRPr="003316E0" w14:paraId="79259274" w14:textId="77777777" w:rsidTr="002C63E1">
        <w:trPr>
          <w:trHeight w:val="591"/>
        </w:trPr>
        <w:tc>
          <w:tcPr>
            <w:tcW w:w="2589" w:type="dxa"/>
          </w:tcPr>
          <w:p w14:paraId="286AA709"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Number of Responses</w:t>
            </w:r>
          </w:p>
        </w:tc>
        <w:tc>
          <w:tcPr>
            <w:tcW w:w="1779" w:type="dxa"/>
            <w:vAlign w:val="center"/>
          </w:tcPr>
          <w:p w14:paraId="1E96C4DD" w14:textId="0A6147B3" w:rsidR="003316E0" w:rsidRPr="003316E0" w:rsidRDefault="00235E83" w:rsidP="003316E0">
            <w:pPr>
              <w:spacing w:after="0"/>
              <w:rPr>
                <w:rFonts w:ascii="Times New Roman" w:hAnsi="Times New Roman" w:cs="Times New Roman"/>
                <w:sz w:val="24"/>
                <w:szCs w:val="24"/>
              </w:rPr>
            </w:pPr>
            <w:r>
              <w:rPr>
                <w:rFonts w:ascii="Times New Roman" w:hAnsi="Times New Roman" w:cs="Times New Roman"/>
                <w:sz w:val="24"/>
                <w:szCs w:val="24"/>
              </w:rPr>
              <w:t>3,</w:t>
            </w:r>
            <w:r w:rsidR="00566CB0">
              <w:rPr>
                <w:rFonts w:ascii="Times New Roman" w:hAnsi="Times New Roman" w:cs="Times New Roman"/>
                <w:sz w:val="24"/>
                <w:szCs w:val="24"/>
              </w:rPr>
              <w:t>802</w:t>
            </w:r>
          </w:p>
        </w:tc>
        <w:tc>
          <w:tcPr>
            <w:tcW w:w="1959" w:type="dxa"/>
            <w:vAlign w:val="center"/>
          </w:tcPr>
          <w:p w14:paraId="190B0C6F" w14:textId="09B5FC7D" w:rsidR="003316E0" w:rsidRPr="003316E0" w:rsidRDefault="00B7200D" w:rsidP="003316E0">
            <w:pPr>
              <w:spacing w:after="0"/>
              <w:rPr>
                <w:rFonts w:ascii="Times New Roman" w:hAnsi="Times New Roman" w:cs="Times New Roman"/>
                <w:sz w:val="24"/>
                <w:szCs w:val="24"/>
              </w:rPr>
            </w:pPr>
            <w:r>
              <w:rPr>
                <w:rFonts w:ascii="Times New Roman" w:hAnsi="Times New Roman" w:cs="Times New Roman"/>
                <w:sz w:val="24"/>
                <w:szCs w:val="24"/>
              </w:rPr>
              <w:t>3,696</w:t>
            </w:r>
          </w:p>
        </w:tc>
        <w:tc>
          <w:tcPr>
            <w:tcW w:w="1683" w:type="dxa"/>
            <w:vAlign w:val="center"/>
          </w:tcPr>
          <w:p w14:paraId="57E8B000"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14B4DA40" w14:textId="1ECB8E7B" w:rsidR="003316E0" w:rsidRPr="003316E0" w:rsidRDefault="002A41B5" w:rsidP="003316E0">
            <w:pPr>
              <w:spacing w:after="0"/>
              <w:rPr>
                <w:rFonts w:ascii="Times New Roman" w:hAnsi="Times New Roman" w:cs="Times New Roman"/>
                <w:sz w:val="24"/>
                <w:szCs w:val="24"/>
              </w:rPr>
            </w:pPr>
            <w:r>
              <w:rPr>
                <w:rFonts w:ascii="Times New Roman" w:hAnsi="Times New Roman" w:cs="Times New Roman"/>
                <w:sz w:val="24"/>
                <w:szCs w:val="24"/>
              </w:rPr>
              <w:t>106</w:t>
            </w:r>
          </w:p>
        </w:tc>
      </w:tr>
      <w:tr w:rsidR="003316E0" w:rsidRPr="003316E0" w14:paraId="67F70333" w14:textId="77777777" w:rsidTr="002C63E1">
        <w:trPr>
          <w:trHeight w:val="575"/>
        </w:trPr>
        <w:tc>
          <w:tcPr>
            <w:tcW w:w="2589" w:type="dxa"/>
          </w:tcPr>
          <w:p w14:paraId="317057BD"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Time Burden (</w:t>
            </w:r>
            <w:proofErr w:type="spellStart"/>
            <w:r w:rsidRPr="003316E0">
              <w:rPr>
                <w:rFonts w:ascii="Times New Roman" w:hAnsi="Times New Roman" w:cs="Times New Roman"/>
                <w:sz w:val="24"/>
                <w:szCs w:val="24"/>
              </w:rPr>
              <w:t>Hr</w:t>
            </w:r>
            <w:proofErr w:type="spellEnd"/>
            <w:r w:rsidRPr="003316E0">
              <w:rPr>
                <w:rFonts w:ascii="Times New Roman" w:hAnsi="Times New Roman" w:cs="Times New Roman"/>
                <w:sz w:val="24"/>
                <w:szCs w:val="24"/>
              </w:rPr>
              <w:t>)</w:t>
            </w:r>
          </w:p>
        </w:tc>
        <w:tc>
          <w:tcPr>
            <w:tcW w:w="1779" w:type="dxa"/>
            <w:vAlign w:val="center"/>
          </w:tcPr>
          <w:p w14:paraId="3DE2C135" w14:textId="6FE57B3B" w:rsidR="003316E0" w:rsidRPr="003316E0" w:rsidRDefault="00235E83" w:rsidP="003316E0">
            <w:pPr>
              <w:spacing w:after="0"/>
              <w:rPr>
                <w:rFonts w:ascii="Times New Roman" w:hAnsi="Times New Roman" w:cs="Times New Roman"/>
                <w:sz w:val="24"/>
                <w:szCs w:val="24"/>
              </w:rPr>
            </w:pPr>
            <w:r>
              <w:rPr>
                <w:rFonts w:ascii="Times New Roman" w:hAnsi="Times New Roman" w:cs="Times New Roman"/>
                <w:sz w:val="24"/>
                <w:szCs w:val="24"/>
              </w:rPr>
              <w:t>31,104</w:t>
            </w:r>
          </w:p>
        </w:tc>
        <w:tc>
          <w:tcPr>
            <w:tcW w:w="1959" w:type="dxa"/>
            <w:vAlign w:val="center"/>
          </w:tcPr>
          <w:p w14:paraId="3F1AD609" w14:textId="22FD7D16" w:rsidR="003316E0" w:rsidRPr="003316E0" w:rsidRDefault="00B7200D" w:rsidP="003316E0">
            <w:pPr>
              <w:spacing w:after="0"/>
              <w:rPr>
                <w:rFonts w:ascii="Times New Roman" w:hAnsi="Times New Roman" w:cs="Times New Roman"/>
                <w:sz w:val="24"/>
                <w:szCs w:val="24"/>
              </w:rPr>
            </w:pPr>
            <w:r>
              <w:rPr>
                <w:rFonts w:ascii="Times New Roman" w:hAnsi="Times New Roman" w:cs="Times New Roman"/>
                <w:sz w:val="24"/>
                <w:szCs w:val="24"/>
              </w:rPr>
              <w:t>29,832</w:t>
            </w:r>
          </w:p>
        </w:tc>
        <w:tc>
          <w:tcPr>
            <w:tcW w:w="1683" w:type="dxa"/>
            <w:vAlign w:val="center"/>
          </w:tcPr>
          <w:p w14:paraId="0391F190"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10ECD012" w14:textId="678BA66E" w:rsidR="003316E0" w:rsidRPr="003316E0" w:rsidRDefault="00235E83" w:rsidP="003316E0">
            <w:pPr>
              <w:spacing w:after="0"/>
              <w:rPr>
                <w:rFonts w:ascii="Times New Roman" w:hAnsi="Times New Roman" w:cs="Times New Roman"/>
                <w:sz w:val="24"/>
                <w:szCs w:val="24"/>
              </w:rPr>
            </w:pPr>
            <w:r>
              <w:rPr>
                <w:rFonts w:ascii="Times New Roman" w:hAnsi="Times New Roman" w:cs="Times New Roman"/>
                <w:sz w:val="24"/>
                <w:szCs w:val="24"/>
              </w:rPr>
              <w:t>1,272</w:t>
            </w:r>
          </w:p>
        </w:tc>
      </w:tr>
      <w:tr w:rsidR="003316E0" w:rsidRPr="003316E0" w14:paraId="192C69D3" w14:textId="77777777" w:rsidTr="002C63E1">
        <w:trPr>
          <w:trHeight w:val="295"/>
        </w:trPr>
        <w:tc>
          <w:tcPr>
            <w:tcW w:w="2589" w:type="dxa"/>
          </w:tcPr>
          <w:p w14:paraId="0A42B25E"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Cost Burden ($)</w:t>
            </w:r>
          </w:p>
        </w:tc>
        <w:tc>
          <w:tcPr>
            <w:tcW w:w="1779" w:type="dxa"/>
            <w:vAlign w:val="center"/>
          </w:tcPr>
          <w:p w14:paraId="3BC176C6"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959" w:type="dxa"/>
            <w:vAlign w:val="center"/>
          </w:tcPr>
          <w:p w14:paraId="07F64D5E"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683" w:type="dxa"/>
            <w:vAlign w:val="center"/>
          </w:tcPr>
          <w:p w14:paraId="0F02D4E9"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7AAEA63D"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r>
    </w:tbl>
    <w:p w14:paraId="57E47A46" w14:textId="77777777" w:rsidR="003316E0" w:rsidRDefault="003316E0" w:rsidP="003316E0">
      <w:pPr>
        <w:spacing w:after="0"/>
        <w:rPr>
          <w:rFonts w:ascii="Times New Roman" w:hAnsi="Times New Roman" w:cs="Times New Roman"/>
          <w:sz w:val="24"/>
          <w:szCs w:val="24"/>
        </w:rPr>
      </w:pPr>
    </w:p>
    <w:p w14:paraId="7333B93A" w14:textId="77777777" w:rsidR="003316E0" w:rsidRPr="00A276F5" w:rsidRDefault="003316E0" w:rsidP="003316E0">
      <w:pPr>
        <w:spacing w:after="0"/>
        <w:rPr>
          <w:rFonts w:ascii="Times New Roman" w:hAnsi="Times New Roman" w:cs="Times New Roman"/>
          <w:sz w:val="24"/>
          <w:szCs w:val="24"/>
        </w:rPr>
      </w:pPr>
    </w:p>
    <w:p w14:paraId="2255D232"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516D7FD6" w14:textId="77777777" w:rsidR="00414F32" w:rsidRDefault="00414F32" w:rsidP="00414F32">
      <w:pPr>
        <w:spacing w:after="0"/>
        <w:rPr>
          <w:rFonts w:ascii="Times New Roman" w:hAnsi="Times New Roman" w:cs="Times New Roman"/>
          <w:sz w:val="24"/>
          <w:szCs w:val="24"/>
        </w:rPr>
      </w:pPr>
    </w:p>
    <w:p w14:paraId="70CE0D01" w14:textId="46EDBD5D" w:rsidR="00414F32" w:rsidRDefault="00197A36" w:rsidP="00414F32">
      <w:pPr>
        <w:spacing w:after="0"/>
        <w:rPr>
          <w:rFonts w:ascii="Times New Roman" w:hAnsi="Times New Roman" w:cs="Times New Roman"/>
          <w:sz w:val="24"/>
          <w:szCs w:val="24"/>
        </w:rPr>
      </w:pPr>
      <w:r>
        <w:rPr>
          <w:rFonts w:ascii="Times New Roman" w:hAnsi="Times New Roman" w:cs="Times New Roman"/>
          <w:sz w:val="24"/>
          <w:szCs w:val="24"/>
        </w:rPr>
        <w:t xml:space="preserve">FERC does not publish any data associated with </w:t>
      </w:r>
      <w:r w:rsidR="0039318D">
        <w:rPr>
          <w:rFonts w:ascii="Times New Roman" w:hAnsi="Times New Roman" w:cs="Times New Roman"/>
          <w:sz w:val="24"/>
          <w:szCs w:val="24"/>
        </w:rPr>
        <w:t>th</w:t>
      </w:r>
      <w:r w:rsidR="0039318D">
        <w:rPr>
          <w:rFonts w:ascii="Times New Roman" w:hAnsi="Times New Roman" w:cs="Times New Roman"/>
          <w:sz w:val="24"/>
          <w:szCs w:val="24"/>
        </w:rPr>
        <w:t xml:space="preserve">is </w:t>
      </w:r>
      <w:r>
        <w:rPr>
          <w:rFonts w:ascii="Times New Roman" w:hAnsi="Times New Roman" w:cs="Times New Roman"/>
          <w:sz w:val="24"/>
          <w:szCs w:val="24"/>
        </w:rPr>
        <w:t>collection.</w:t>
      </w:r>
    </w:p>
    <w:p w14:paraId="2BD5DE85" w14:textId="77777777" w:rsidR="00197A36" w:rsidRPr="00414F32" w:rsidRDefault="00197A36" w:rsidP="00414F32">
      <w:pPr>
        <w:spacing w:after="0"/>
        <w:rPr>
          <w:rFonts w:ascii="Times New Roman" w:hAnsi="Times New Roman" w:cs="Times New Roman"/>
          <w:sz w:val="24"/>
          <w:szCs w:val="24"/>
        </w:rPr>
      </w:pPr>
    </w:p>
    <w:p w14:paraId="46C6513C"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41273820" w14:textId="77777777" w:rsidR="00414F32" w:rsidRDefault="00414F32" w:rsidP="00414F32">
      <w:pPr>
        <w:spacing w:after="0"/>
        <w:rPr>
          <w:rFonts w:ascii="Times New Roman" w:hAnsi="Times New Roman" w:cs="Times New Roman"/>
          <w:sz w:val="24"/>
          <w:szCs w:val="24"/>
        </w:rPr>
      </w:pPr>
    </w:p>
    <w:p w14:paraId="18A0E87D" w14:textId="79B5F329" w:rsidR="00414F32" w:rsidRDefault="00197A36" w:rsidP="00414F32">
      <w:pPr>
        <w:spacing w:after="0"/>
        <w:rPr>
          <w:rFonts w:ascii="Times New Roman" w:hAnsi="Times New Roman" w:cs="Times New Roman"/>
          <w:sz w:val="24"/>
          <w:szCs w:val="24"/>
        </w:rPr>
      </w:pPr>
      <w:r w:rsidRPr="00197A36">
        <w:rPr>
          <w:rFonts w:ascii="Times New Roman" w:hAnsi="Times New Roman" w:cs="Times New Roman"/>
          <w:sz w:val="24"/>
          <w:szCs w:val="24"/>
        </w:rPr>
        <w:t xml:space="preserve">It is not appropriate to display the expiration date for OMB approval of the information collected pursuant to this rulemaking </w:t>
      </w:r>
      <w:r w:rsidR="00DB55F4">
        <w:rPr>
          <w:rFonts w:ascii="Times New Roman" w:hAnsi="Times New Roman" w:cs="Times New Roman"/>
          <w:sz w:val="24"/>
          <w:szCs w:val="24"/>
        </w:rPr>
        <w:t>affecting FERC-725</w:t>
      </w:r>
      <w:r w:rsidR="00251D43">
        <w:rPr>
          <w:rFonts w:ascii="Times New Roman" w:hAnsi="Times New Roman" w:cs="Times New Roman"/>
          <w:sz w:val="24"/>
          <w:szCs w:val="24"/>
        </w:rPr>
        <w:t>R</w:t>
      </w:r>
      <w:r w:rsidR="00674FD8">
        <w:rPr>
          <w:rFonts w:ascii="Times New Roman" w:hAnsi="Times New Roman" w:cs="Times New Roman"/>
          <w:sz w:val="24"/>
          <w:szCs w:val="24"/>
        </w:rPr>
        <w:t xml:space="preserve"> because there are no specific instruments used in the collection</w:t>
      </w:r>
      <w:r w:rsidRPr="00197A36">
        <w:rPr>
          <w:rFonts w:ascii="Times New Roman" w:hAnsi="Times New Roman" w:cs="Times New Roman"/>
          <w:sz w:val="24"/>
          <w:szCs w:val="24"/>
        </w:rPr>
        <w:t xml:space="preserve">. </w:t>
      </w:r>
    </w:p>
    <w:p w14:paraId="7003B41C" w14:textId="77777777" w:rsidR="00C27D56" w:rsidRDefault="00C27D56" w:rsidP="00414F32">
      <w:pPr>
        <w:spacing w:after="0"/>
        <w:rPr>
          <w:rFonts w:ascii="Times New Roman" w:hAnsi="Times New Roman" w:cs="Times New Roman"/>
          <w:sz w:val="24"/>
          <w:szCs w:val="24"/>
        </w:rPr>
      </w:pPr>
    </w:p>
    <w:p w14:paraId="592198EC" w14:textId="77777777" w:rsidR="00C27D56" w:rsidRDefault="00C27D56" w:rsidP="00414F32">
      <w:pPr>
        <w:spacing w:after="0"/>
        <w:rPr>
          <w:rFonts w:ascii="Times New Roman" w:hAnsi="Times New Roman" w:cs="Times New Roman"/>
          <w:sz w:val="24"/>
          <w:szCs w:val="24"/>
        </w:rPr>
      </w:pPr>
      <w:r w:rsidRPr="00F50384">
        <w:rPr>
          <w:rFonts w:ascii="Times New Roman" w:hAnsi="Times New Roman" w:cs="Times New Roman"/>
          <w:sz w:val="24"/>
          <w:szCs w:val="24"/>
        </w:rPr>
        <w:t xml:space="preserve">The </w:t>
      </w:r>
      <w:r>
        <w:rPr>
          <w:rFonts w:ascii="Times New Roman" w:hAnsi="Times New Roman" w:cs="Times New Roman"/>
          <w:sz w:val="24"/>
          <w:szCs w:val="24"/>
        </w:rPr>
        <w:t xml:space="preserve">expiration date </w:t>
      </w:r>
      <w:r w:rsidR="00674FD8">
        <w:rPr>
          <w:rFonts w:ascii="Times New Roman" w:hAnsi="Times New Roman" w:cs="Times New Roman"/>
          <w:sz w:val="24"/>
          <w:szCs w:val="24"/>
        </w:rPr>
        <w:t xml:space="preserve">is displayed </w:t>
      </w:r>
      <w:r w:rsidRPr="00F50384">
        <w:rPr>
          <w:rFonts w:ascii="Times New Roman" w:hAnsi="Times New Roman" w:cs="Times New Roman"/>
          <w:sz w:val="24"/>
          <w:szCs w:val="24"/>
        </w:rPr>
        <w:t xml:space="preserve">at </w:t>
      </w:r>
      <w:hyperlink r:id="rId13" w:history="1">
        <w:r w:rsidRPr="00F50384">
          <w:rPr>
            <w:rStyle w:val="Hyperlink"/>
            <w:rFonts w:ascii="Times New Roman" w:hAnsi="Times New Roman" w:cs="Times New Roman"/>
            <w:sz w:val="24"/>
            <w:szCs w:val="24"/>
          </w:rPr>
          <w:t>http://www.ferc.gov/docs-filing/info-collections.asp</w:t>
        </w:r>
      </w:hyperlink>
      <w:r w:rsidRPr="00F50384">
        <w:rPr>
          <w:rFonts w:ascii="Times New Roman" w:hAnsi="Times New Roman" w:cs="Times New Roman"/>
          <w:sz w:val="24"/>
          <w:szCs w:val="24"/>
        </w:rPr>
        <w:t xml:space="preserve">. </w:t>
      </w:r>
    </w:p>
    <w:p w14:paraId="78F46E39" w14:textId="77777777" w:rsidR="00197A36" w:rsidRPr="00414F32" w:rsidRDefault="00197A36" w:rsidP="00414F32">
      <w:pPr>
        <w:spacing w:after="0"/>
        <w:rPr>
          <w:rFonts w:ascii="Times New Roman" w:hAnsi="Times New Roman" w:cs="Times New Roman"/>
          <w:sz w:val="24"/>
          <w:szCs w:val="24"/>
        </w:rPr>
      </w:pPr>
    </w:p>
    <w:p w14:paraId="54356E67"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20D93C43" w14:textId="77777777" w:rsidR="00970FE4" w:rsidRDefault="00970FE4" w:rsidP="0057700F">
      <w:pPr>
        <w:spacing w:after="0"/>
        <w:rPr>
          <w:rFonts w:ascii="Times New Roman" w:hAnsi="Times New Roman" w:cs="Times New Roman"/>
          <w:sz w:val="24"/>
          <w:szCs w:val="24"/>
        </w:rPr>
      </w:pPr>
    </w:p>
    <w:p w14:paraId="48E99DD2" w14:textId="172B1EF3" w:rsidR="00414F32" w:rsidRPr="007A2F92" w:rsidRDefault="000F24CD" w:rsidP="007A2F92">
      <w:pPr>
        <w:spacing w:after="0"/>
        <w:rPr>
          <w:rFonts w:ascii="Times New Roman" w:hAnsi="Times New Roman" w:cs="Times New Roman"/>
          <w:sz w:val="24"/>
          <w:szCs w:val="24"/>
        </w:rPr>
      </w:pPr>
      <w:r>
        <w:rPr>
          <w:rFonts w:ascii="Times New Roman" w:hAnsi="Times New Roman" w:cs="Times New Roman"/>
          <w:sz w:val="24"/>
          <w:szCs w:val="24"/>
        </w:rPr>
        <w:t>T</w:t>
      </w:r>
      <w:r w:rsidR="00197A36" w:rsidRPr="00197A36">
        <w:rPr>
          <w:rFonts w:ascii="Times New Roman" w:hAnsi="Times New Roman" w:cs="Times New Roman"/>
          <w:sz w:val="24"/>
          <w:szCs w:val="24"/>
        </w:rPr>
        <w:t>he data collected for this reporting requirement are not used for stat</w:t>
      </w:r>
      <w:r w:rsidR="00197A36">
        <w:rPr>
          <w:rFonts w:ascii="Times New Roman" w:hAnsi="Times New Roman" w:cs="Times New Roman"/>
          <w:sz w:val="24"/>
          <w:szCs w:val="24"/>
        </w:rPr>
        <w:t>istical purposes.</w:t>
      </w:r>
    </w:p>
    <w:sectPr w:rsidR="00414F32" w:rsidRPr="007A2F92" w:rsidSect="0078612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190BC" w14:textId="77777777" w:rsidR="00BE2C9F" w:rsidRDefault="00BE2C9F" w:rsidP="00FD66F1">
      <w:pPr>
        <w:spacing w:after="0" w:line="240" w:lineRule="auto"/>
      </w:pPr>
      <w:r>
        <w:separator/>
      </w:r>
    </w:p>
  </w:endnote>
  <w:endnote w:type="continuationSeparator" w:id="0">
    <w:p w14:paraId="78426831" w14:textId="77777777" w:rsidR="00BE2C9F" w:rsidRDefault="00BE2C9F"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516CFFAE" w14:textId="77777777" w:rsidR="00CB26E8" w:rsidRPr="00DD79FB" w:rsidRDefault="00CB26E8">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sidR="00177B9B">
          <w:rPr>
            <w:rFonts w:ascii="Times New Roman" w:hAnsi="Times New Roman" w:cs="Times New Roman"/>
            <w:noProof/>
          </w:rPr>
          <w:t>8</w:t>
        </w:r>
        <w:r w:rsidRPr="00DD79FB">
          <w:rPr>
            <w:rFonts w:ascii="Times New Roman" w:hAnsi="Times New Roman" w:cs="Times New Roman"/>
            <w:noProof/>
          </w:rPr>
          <w:fldChar w:fldCharType="end"/>
        </w:r>
      </w:p>
    </w:sdtContent>
  </w:sdt>
  <w:p w14:paraId="5D99A69A" w14:textId="77777777" w:rsidR="00CB26E8" w:rsidRDefault="00CB2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4CA2C" w14:textId="77777777" w:rsidR="00BE2C9F" w:rsidRDefault="00BE2C9F" w:rsidP="00FD66F1">
      <w:pPr>
        <w:spacing w:after="0" w:line="240" w:lineRule="auto"/>
      </w:pPr>
      <w:r>
        <w:separator/>
      </w:r>
    </w:p>
  </w:footnote>
  <w:footnote w:type="continuationSeparator" w:id="0">
    <w:p w14:paraId="2480481F" w14:textId="77777777" w:rsidR="00BE2C9F" w:rsidRDefault="00BE2C9F" w:rsidP="00FD66F1">
      <w:pPr>
        <w:spacing w:after="0" w:line="240" w:lineRule="auto"/>
      </w:pPr>
      <w:r>
        <w:continuationSeparator/>
      </w:r>
    </w:p>
  </w:footnote>
  <w:footnote w:id="1">
    <w:p w14:paraId="45BAE915" w14:textId="68099202" w:rsidR="008D6E39" w:rsidRDefault="008D6E39">
      <w:pPr>
        <w:pStyle w:val="FootnoteText"/>
      </w:pPr>
      <w:r>
        <w:rPr>
          <w:rStyle w:val="FootnoteReference"/>
        </w:rPr>
        <w:footnoteRef/>
      </w:r>
      <w:r>
        <w:t xml:space="preserve"> BAL is not an acronym. Rather, it is a prefix that denotes reliability standards related to “Resource and Demand Balancing”.</w:t>
      </w:r>
    </w:p>
  </w:footnote>
  <w:footnote w:id="2">
    <w:p w14:paraId="0C4112F5" w14:textId="07C68738" w:rsidR="00926EC5" w:rsidRDefault="00926EC5">
      <w:pPr>
        <w:pStyle w:val="FootnoteText"/>
      </w:pPr>
      <w:r>
        <w:rPr>
          <w:rStyle w:val="FootnoteReference"/>
        </w:rPr>
        <w:footnoteRef/>
      </w:r>
      <w:r>
        <w:t xml:space="preserve"> </w:t>
      </w:r>
      <w:r w:rsidRPr="00926EC5">
        <w:t xml:space="preserve">NERC Supplemental Filing at </w:t>
      </w:r>
      <w:r>
        <w:t>2</w:t>
      </w:r>
    </w:p>
  </w:footnote>
  <w:footnote w:id="3">
    <w:p w14:paraId="4EB46D96" w14:textId="13FD82FE" w:rsidR="003A17AE" w:rsidRDefault="003A17AE">
      <w:pPr>
        <w:pStyle w:val="FootnoteText"/>
      </w:pPr>
      <w:r>
        <w:rPr>
          <w:rStyle w:val="FootnoteReference"/>
        </w:rPr>
        <w:footnoteRef/>
      </w:r>
      <w:r>
        <w:t xml:space="preserve"> </w:t>
      </w:r>
      <w:r w:rsidRPr="003A17AE">
        <w:t>ACE = (NI</w:t>
      </w:r>
      <w:r w:rsidRPr="003A17AE">
        <w:rPr>
          <w:vertAlign w:val="subscript"/>
        </w:rPr>
        <w:t>A</w:t>
      </w:r>
      <w:r w:rsidRPr="003A17AE">
        <w:t xml:space="preserve"> − NI</w:t>
      </w:r>
      <w:r w:rsidRPr="003A17AE">
        <w:rPr>
          <w:vertAlign w:val="subscript"/>
        </w:rPr>
        <w:t>S</w:t>
      </w:r>
      <w:r w:rsidRPr="003A17AE">
        <w:t>) − 10B (F</w:t>
      </w:r>
      <w:r w:rsidRPr="003A17AE">
        <w:rPr>
          <w:vertAlign w:val="subscript"/>
        </w:rPr>
        <w:t>A</w:t>
      </w:r>
      <w:r w:rsidRPr="003A17AE">
        <w:t xml:space="preserve"> − FS) − I</w:t>
      </w:r>
      <w:r w:rsidRPr="003A17AE">
        <w:rPr>
          <w:vertAlign w:val="subscript"/>
        </w:rPr>
        <w:t>ME</w:t>
      </w:r>
      <w:r>
        <w:rPr>
          <w:vertAlign w:val="subscript"/>
        </w:rPr>
        <w:t>.</w:t>
      </w:r>
    </w:p>
  </w:footnote>
  <w:footnote w:id="4">
    <w:p w14:paraId="1EF51EAC" w14:textId="28101CF8" w:rsidR="003A17AE" w:rsidRDefault="003A17AE">
      <w:pPr>
        <w:pStyle w:val="FootnoteText"/>
      </w:pPr>
      <w:r>
        <w:rPr>
          <w:rStyle w:val="FootnoteReference"/>
        </w:rPr>
        <w:footnoteRef/>
      </w:r>
      <w:r>
        <w:t xml:space="preserve"> </w:t>
      </w:r>
      <w:proofErr w:type="gramStart"/>
      <w:r>
        <w:t>Referred to as L</w:t>
      </w:r>
      <w:r w:rsidRPr="003A17AE">
        <w:rPr>
          <w:vertAlign w:val="subscript"/>
        </w:rPr>
        <w:t>10</w:t>
      </w:r>
      <w:r>
        <w:t>.</w:t>
      </w:r>
      <w:proofErr w:type="gramEnd"/>
      <w:r>
        <w:t xml:space="preserve"> </w:t>
      </w:r>
      <w:proofErr w:type="gramStart"/>
      <w:r>
        <w:t>For a more granular breakdown of this value, please referred to the proposed Reliability Standard BAL001-2 (Requirement R2)</w:t>
      </w:r>
      <w:r w:rsidR="004B286D">
        <w:t>, included in reginfo.gov and ROCIS under supplementary documents.</w:t>
      </w:r>
      <w:proofErr w:type="gramEnd"/>
    </w:p>
  </w:footnote>
  <w:footnote w:id="5">
    <w:p w14:paraId="5A2880E3" w14:textId="6BB6DDEE" w:rsidR="00CB26E8" w:rsidRPr="006B6D60" w:rsidRDefault="00CB26E8">
      <w:pPr>
        <w:pStyle w:val="FootnoteText"/>
      </w:pPr>
      <w:r w:rsidRPr="006B6D60">
        <w:rPr>
          <w:rStyle w:val="FootnoteReference"/>
        </w:rPr>
        <w:footnoteRef/>
      </w:r>
      <w:r w:rsidRPr="006B6D60">
        <w:t xml:space="preserve"> </w:t>
      </w:r>
      <w:r w:rsidR="003410FA">
        <w:t>21</w:t>
      </w:r>
      <w:r w:rsidRPr="006B6D60">
        <w:t>.4% of affected entities</w:t>
      </w:r>
    </w:p>
  </w:footnote>
  <w:footnote w:id="6">
    <w:p w14:paraId="5EE55E61" w14:textId="77777777" w:rsidR="00CB26E8" w:rsidRPr="006B6D60" w:rsidRDefault="00CB26E8">
      <w:pPr>
        <w:pStyle w:val="FootnoteText"/>
      </w:pPr>
      <w:r w:rsidRPr="006B6D60">
        <w:rPr>
          <w:rStyle w:val="FootnoteReference"/>
        </w:rPr>
        <w:footnoteRef/>
      </w:r>
      <w:r w:rsidRPr="006B6D60">
        <w:t xml:space="preserve"> </w:t>
      </w:r>
      <w:hyperlink r:id="rId1" w:history="1">
        <w:r w:rsidRPr="008B0918">
          <w:rPr>
            <w:rStyle w:val="Hyperlink"/>
          </w:rPr>
          <w:t>http://www.nerc.com/FilingsOrders/us/RuleOfProcedureDL/NERC_ROP_Effective_20140701_updated_20140602%20(updated).pdf</w:t>
        </w:r>
      </w:hyperlink>
    </w:p>
  </w:footnote>
  <w:footnote w:id="7">
    <w:p w14:paraId="206287E1" w14:textId="77777777" w:rsidR="00CB26E8" w:rsidRPr="006B6D60" w:rsidRDefault="00CB26E8" w:rsidP="002C1BFB">
      <w:pPr>
        <w:pStyle w:val="FootnoteText"/>
        <w:ind w:firstLine="360"/>
      </w:pPr>
      <w:r w:rsidRPr="006B6D60">
        <w:rPr>
          <w:rStyle w:val="FootnoteReference"/>
          <w:vertAlign w:val="superscript"/>
        </w:rPr>
        <w:footnoteRef/>
      </w:r>
      <w:r w:rsidRPr="006B6D60">
        <w:t xml:space="preserve"> </w:t>
      </w:r>
      <w:proofErr w:type="gramStart"/>
      <w:r w:rsidRPr="006B6D60">
        <w:t>Section 1502, Paragraph 2, available at NERCs website.</w:t>
      </w:r>
      <w:proofErr w:type="gramEnd"/>
    </w:p>
  </w:footnote>
  <w:footnote w:id="8">
    <w:p w14:paraId="42631563" w14:textId="627C11B9" w:rsidR="00720C5A" w:rsidRDefault="00720C5A">
      <w:pPr>
        <w:pStyle w:val="FootnoteText"/>
      </w:pPr>
      <w:r>
        <w:rPr>
          <w:rStyle w:val="FootnoteReference"/>
        </w:rPr>
        <w:footnoteRef/>
      </w:r>
      <w:r>
        <w:t xml:space="preserve"> 79 FR 3723</w:t>
      </w:r>
      <w:bookmarkStart w:id="0" w:name="_GoBack"/>
      <w:bookmarkEnd w:id="0"/>
    </w:p>
  </w:footnote>
  <w:footnote w:id="9">
    <w:p w14:paraId="435DD328" w14:textId="0D341782" w:rsidR="00255F1F" w:rsidRDefault="00255F1F" w:rsidP="00255F1F">
      <w:pPr>
        <w:pStyle w:val="FootnoteText"/>
      </w:pPr>
      <w:r>
        <w:rPr>
          <w:rStyle w:val="FootnoteReference"/>
          <w:szCs w:val="26"/>
        </w:rPr>
        <w:footnoteRef/>
      </w:r>
      <w:r>
        <w:t xml:space="preserve"> Proposed Reliability Standard BAL-001-2 applies to balancing authorities and regulation reserve sharing groups.  However, the burden associated with the BA complying with Requirement R1 is not included within this table because the Commission </w:t>
      </w:r>
      <w:r w:rsidR="002A41B5">
        <w:t>already included</w:t>
      </w:r>
      <w:r>
        <w:t xml:space="preserve"> it under Commission-appro</w:t>
      </w:r>
      <w:r w:rsidR="0068681F">
        <w:t xml:space="preserve">ved Reliability Standard </w:t>
      </w:r>
      <w:r>
        <w:t>BAL-001-1.</w:t>
      </w:r>
    </w:p>
  </w:footnote>
  <w:footnote w:id="10">
    <w:p w14:paraId="017A8166" w14:textId="4967B84D" w:rsidR="00255F1F" w:rsidRDefault="00255F1F" w:rsidP="00255F1F">
      <w:pPr>
        <w:pStyle w:val="FootnoteText"/>
      </w:pPr>
      <w:r>
        <w:rPr>
          <w:rStyle w:val="FootnoteReference"/>
          <w:szCs w:val="26"/>
        </w:rPr>
        <w:footnoteRef/>
      </w:r>
      <w:r>
        <w:t xml:space="preserve"> The estimated hourly cost (salary plus benefits) </w:t>
      </w:r>
      <w:r w:rsidR="008A7624">
        <w:t>is</w:t>
      </w:r>
      <w:r>
        <w:t xml:space="preserve"> based on Bureau of Labor Statistics (BLS) information (</w:t>
      </w:r>
      <w:r w:rsidRPr="00FC0C04">
        <w:rPr>
          <w:i/>
        </w:rPr>
        <w:t>available at</w:t>
      </w:r>
      <w:r>
        <w:t xml:space="preserve"> </w:t>
      </w:r>
      <w:hyperlink r:id="rId2" w:history="1">
        <w:r w:rsidRPr="00FC0C04">
          <w:rPr>
            <w:rStyle w:val="Hyperlink"/>
          </w:rPr>
          <w:t>http://www.bls.gov/oes/current/naics2_22.htm</w:t>
        </w:r>
      </w:hyperlink>
      <w:r>
        <w:t xml:space="preserve">) for a lawyer ($128.76).   </w:t>
      </w:r>
      <w:r w:rsidR="000F4112">
        <w:t>Hourly cost</w:t>
      </w:r>
      <w:r w:rsidR="009D1251">
        <w:t>s</w:t>
      </w:r>
      <w:r w:rsidR="000F4112">
        <w:t xml:space="preserve"> for record retention are estimated at </w:t>
      </w:r>
      <w:r w:rsidR="000F4112" w:rsidRPr="000F4112">
        <w:t>$28/hour, based on a Commission staff study of record retention burden cost.</w:t>
      </w:r>
    </w:p>
  </w:footnote>
  <w:footnote w:id="11">
    <w:p w14:paraId="53C2CDB1" w14:textId="77777777" w:rsidR="00255F1F" w:rsidRDefault="00255F1F" w:rsidP="00255F1F">
      <w:pPr>
        <w:pStyle w:val="FootnoteText"/>
      </w:pPr>
      <w:r>
        <w:rPr>
          <w:rStyle w:val="FootnoteReference"/>
        </w:rPr>
        <w:footnoteRef/>
      </w:r>
      <w:r>
        <w:t xml:space="preserve"> BA=Balancing Authority; RRSG=Regulation Reserve Sharing Group.</w:t>
      </w:r>
    </w:p>
  </w:footnote>
  <w:footnote w:id="12">
    <w:p w14:paraId="3FCE5CDD" w14:textId="77777777" w:rsidR="00CB26E8" w:rsidRPr="006B6D60" w:rsidRDefault="00CB26E8" w:rsidP="00630A34">
      <w:pPr>
        <w:pStyle w:val="FootnoteText"/>
      </w:pPr>
      <w:r w:rsidRPr="006B6D60">
        <w:rPr>
          <w:rStyle w:val="FootnoteReference"/>
          <w:vertAlign w:val="superscript"/>
        </w:rPr>
        <w:footnoteRef/>
      </w:r>
      <w:r w:rsidRPr="006B6D60">
        <w:rPr>
          <w:vertAlign w:val="superscript"/>
        </w:rPr>
        <w:t xml:space="preserve"> </w:t>
      </w:r>
      <w:r w:rsidRPr="006B6D60">
        <w:t>Paperwork Reduction Act of 1995 (PRA)</w:t>
      </w:r>
    </w:p>
  </w:footnote>
  <w:footnote w:id="13">
    <w:p w14:paraId="6ACD64B9" w14:textId="70D83562" w:rsidR="00CB26E8" w:rsidRPr="006B6D60" w:rsidRDefault="00CB26E8" w:rsidP="00DD79FB">
      <w:pPr>
        <w:pStyle w:val="FootnoteText"/>
      </w:pPr>
      <w:r w:rsidRPr="006B6D60">
        <w:rPr>
          <w:rStyle w:val="FootnoteReference"/>
          <w:vertAlign w:val="superscript"/>
        </w:rPr>
        <w:footnoteRef/>
      </w:r>
      <w:r w:rsidRPr="006B6D60">
        <w:rPr>
          <w:vertAlign w:val="superscript"/>
        </w:rPr>
        <w:t xml:space="preserve"> </w:t>
      </w:r>
      <w:r w:rsidRPr="006B6D60">
        <w:t xml:space="preserve">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(not just the NOPR in </w:t>
      </w:r>
      <w:r w:rsidRPr="00296233">
        <w:t xml:space="preserve">Docket No. </w:t>
      </w:r>
      <w:proofErr w:type="gramStart"/>
      <w:r w:rsidRPr="00296233">
        <w:t>RM14-1</w:t>
      </w:r>
      <w:r w:rsidR="00296233" w:rsidRPr="00296233">
        <w:t>0</w:t>
      </w:r>
      <w:r w:rsidRPr="006B6D60">
        <w:t>), and other changes to the collection.</w:t>
      </w:r>
      <w:proofErr w:type="gramEnd"/>
      <w:r w:rsidRPr="006B6D60">
        <w:t xml:space="preserve">  </w:t>
      </w:r>
    </w:p>
  </w:footnote>
  <w:footnote w:id="14">
    <w:p w14:paraId="649DF043" w14:textId="29DFA314" w:rsidR="00CB26E8" w:rsidRDefault="00CB26E8">
      <w:pPr>
        <w:pStyle w:val="FootnoteText"/>
      </w:pPr>
      <w:r>
        <w:rPr>
          <w:rStyle w:val="FootnoteReference"/>
        </w:rPr>
        <w:footnoteRef/>
      </w:r>
      <w:r>
        <w:t xml:space="preserve"> This increase is over and above the baseline burden (being retained at this time) of the existing standards included in FERC-725A</w:t>
      </w:r>
      <w:r w:rsidR="00296233">
        <w:t xml:space="preserve"> (OMB Control Number: 1902-0268)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7EA9E" w14:textId="4ACDD0AF" w:rsidR="00CB26E8" w:rsidRDefault="00CB26E8" w:rsidP="00963609">
    <w:pPr>
      <w:pStyle w:val="Header"/>
      <w:rPr>
        <w:rFonts w:ascii="Times New Roman" w:hAnsi="Times New Roman" w:cs="Times New Roman"/>
        <w:sz w:val="24"/>
        <w:szCs w:val="24"/>
      </w:rPr>
    </w:pPr>
    <w:r>
      <w:rPr>
        <w:rFonts w:ascii="Times New Roman" w:hAnsi="Times New Roman" w:cs="Times New Roman"/>
        <w:sz w:val="24"/>
        <w:szCs w:val="24"/>
      </w:rPr>
      <w:t>OMB Control Number: 1902-026</w:t>
    </w:r>
    <w:r w:rsidR="00E864B3">
      <w:rPr>
        <w:rFonts w:ascii="Times New Roman" w:hAnsi="Times New Roman" w:cs="Times New Roman"/>
        <w:sz w:val="24"/>
        <w:szCs w:val="24"/>
      </w:rPr>
      <w:t>8 (FERC-725R</w:t>
    </w:r>
    <w:r>
      <w:rPr>
        <w:rFonts w:ascii="Times New Roman" w:hAnsi="Times New Roman" w:cs="Times New Roman"/>
        <w:sz w:val="24"/>
        <w:szCs w:val="24"/>
      </w:rPr>
      <w:t>)</w:t>
    </w:r>
  </w:p>
  <w:p w14:paraId="3FA0711C" w14:textId="45465E35" w:rsidR="00CB26E8" w:rsidRDefault="00E864B3" w:rsidP="00AD3DE5">
    <w:pPr>
      <w:pStyle w:val="Header"/>
      <w:rPr>
        <w:rFonts w:ascii="Times New Roman" w:hAnsi="Times New Roman" w:cs="Times New Roman"/>
        <w:sz w:val="24"/>
        <w:szCs w:val="24"/>
      </w:rPr>
    </w:pPr>
    <w:r>
      <w:rPr>
        <w:rFonts w:ascii="Times New Roman" w:hAnsi="Times New Roman" w:cs="Times New Roman"/>
        <w:sz w:val="24"/>
        <w:szCs w:val="24"/>
      </w:rPr>
      <w:t>RM14-10</w:t>
    </w:r>
    <w:r w:rsidR="00CB26E8" w:rsidRPr="00CE2CDA">
      <w:rPr>
        <w:rFonts w:ascii="Times New Roman" w:hAnsi="Times New Roman" w:cs="Times New Roman"/>
        <w:sz w:val="24"/>
        <w:szCs w:val="24"/>
      </w:rPr>
      <w:t>-000, Notice of Proposed Rulemaking (NOPR)</w:t>
    </w:r>
  </w:p>
  <w:p w14:paraId="0920247B" w14:textId="13DB7BAA" w:rsidR="00CB26E8" w:rsidRDefault="00CB26E8" w:rsidP="00AD3DE5">
    <w:pPr>
      <w:pStyle w:val="Header"/>
      <w:rPr>
        <w:rFonts w:ascii="Times New Roman" w:hAnsi="Times New Roman" w:cs="Times New Roman"/>
        <w:sz w:val="24"/>
        <w:szCs w:val="24"/>
      </w:rPr>
    </w:pPr>
    <w:r w:rsidRPr="00AC274E">
      <w:rPr>
        <w:rFonts w:ascii="Times New Roman" w:hAnsi="Times New Roman" w:cs="Times New Roman"/>
        <w:sz w:val="24"/>
        <w:szCs w:val="24"/>
      </w:rPr>
      <w:t xml:space="preserve">RIN: </w:t>
    </w:r>
    <w:r w:rsidR="00AC274E" w:rsidRPr="00AC274E">
      <w:rPr>
        <w:rFonts w:ascii="Times New Roman" w:hAnsi="Times New Roman" w:cs="Times New Roman"/>
        <w:sz w:val="24"/>
        <w:szCs w:val="24"/>
      </w:rPr>
      <w:t>1902-AE94</w:t>
    </w:r>
  </w:p>
  <w:p w14:paraId="312425FA" w14:textId="77777777" w:rsidR="00CB26E8" w:rsidRDefault="00CB2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705"/>
    <w:multiLevelType w:val="hybridMultilevel"/>
    <w:tmpl w:val="7FB2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C04FF"/>
    <w:multiLevelType w:val="hybridMultilevel"/>
    <w:tmpl w:val="CAC2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453C6417"/>
    <w:multiLevelType w:val="hybridMultilevel"/>
    <w:tmpl w:val="53A8C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8255B"/>
    <w:multiLevelType w:val="hybridMultilevel"/>
    <w:tmpl w:val="AA26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4742"/>
    <w:rsid w:val="0002242D"/>
    <w:rsid w:val="0002567F"/>
    <w:rsid w:val="00035845"/>
    <w:rsid w:val="00041041"/>
    <w:rsid w:val="000431EF"/>
    <w:rsid w:val="00053BD8"/>
    <w:rsid w:val="00074DC8"/>
    <w:rsid w:val="0007636B"/>
    <w:rsid w:val="0008710E"/>
    <w:rsid w:val="000B0C37"/>
    <w:rsid w:val="000C4988"/>
    <w:rsid w:val="000D58F6"/>
    <w:rsid w:val="000E5772"/>
    <w:rsid w:val="000F24CD"/>
    <w:rsid w:val="000F34E5"/>
    <w:rsid w:val="000F4112"/>
    <w:rsid w:val="000F41C9"/>
    <w:rsid w:val="001063A3"/>
    <w:rsid w:val="001348AC"/>
    <w:rsid w:val="00137DB4"/>
    <w:rsid w:val="00143103"/>
    <w:rsid w:val="0015129F"/>
    <w:rsid w:val="001700DE"/>
    <w:rsid w:val="00172386"/>
    <w:rsid w:val="0017533A"/>
    <w:rsid w:val="00177B9B"/>
    <w:rsid w:val="00177BBE"/>
    <w:rsid w:val="001800C1"/>
    <w:rsid w:val="00181727"/>
    <w:rsid w:val="00185730"/>
    <w:rsid w:val="00193ADB"/>
    <w:rsid w:val="00197A36"/>
    <w:rsid w:val="001A05A0"/>
    <w:rsid w:val="001A4B2D"/>
    <w:rsid w:val="001A4FC2"/>
    <w:rsid w:val="001B3BF0"/>
    <w:rsid w:val="001C1170"/>
    <w:rsid w:val="001C1E51"/>
    <w:rsid w:val="001C5284"/>
    <w:rsid w:val="001F7BC2"/>
    <w:rsid w:val="00215F2D"/>
    <w:rsid w:val="00221269"/>
    <w:rsid w:val="00235E83"/>
    <w:rsid w:val="00236674"/>
    <w:rsid w:val="00247B75"/>
    <w:rsid w:val="00251D43"/>
    <w:rsid w:val="00255F1F"/>
    <w:rsid w:val="00256836"/>
    <w:rsid w:val="0026674D"/>
    <w:rsid w:val="00272108"/>
    <w:rsid w:val="002779D9"/>
    <w:rsid w:val="00296233"/>
    <w:rsid w:val="00297631"/>
    <w:rsid w:val="002A0D26"/>
    <w:rsid w:val="002A1294"/>
    <w:rsid w:val="002A40A7"/>
    <w:rsid w:val="002A41B5"/>
    <w:rsid w:val="002B13E2"/>
    <w:rsid w:val="002C1BFB"/>
    <w:rsid w:val="002C63E1"/>
    <w:rsid w:val="002E3C5B"/>
    <w:rsid w:val="002E3DCD"/>
    <w:rsid w:val="00316C42"/>
    <w:rsid w:val="003316E0"/>
    <w:rsid w:val="003410FA"/>
    <w:rsid w:val="00362710"/>
    <w:rsid w:val="00363B01"/>
    <w:rsid w:val="003800E6"/>
    <w:rsid w:val="0039318D"/>
    <w:rsid w:val="003967A4"/>
    <w:rsid w:val="003A17AE"/>
    <w:rsid w:val="003B0249"/>
    <w:rsid w:val="003B3B61"/>
    <w:rsid w:val="003D5A4D"/>
    <w:rsid w:val="003E465C"/>
    <w:rsid w:val="00414F32"/>
    <w:rsid w:val="00417400"/>
    <w:rsid w:val="00423651"/>
    <w:rsid w:val="004276A5"/>
    <w:rsid w:val="0044163A"/>
    <w:rsid w:val="00443588"/>
    <w:rsid w:val="0045480C"/>
    <w:rsid w:val="0045680D"/>
    <w:rsid w:val="00466C57"/>
    <w:rsid w:val="004B286D"/>
    <w:rsid w:val="004C4C89"/>
    <w:rsid w:val="004C5E0E"/>
    <w:rsid w:val="004E651C"/>
    <w:rsid w:val="004F459B"/>
    <w:rsid w:val="004F6977"/>
    <w:rsid w:val="00522F69"/>
    <w:rsid w:val="0053287C"/>
    <w:rsid w:val="00540572"/>
    <w:rsid w:val="00541B4E"/>
    <w:rsid w:val="00541FBD"/>
    <w:rsid w:val="005462B6"/>
    <w:rsid w:val="00565307"/>
    <w:rsid w:val="00565CB1"/>
    <w:rsid w:val="00566CB0"/>
    <w:rsid w:val="0057031F"/>
    <w:rsid w:val="00570861"/>
    <w:rsid w:val="00571C5E"/>
    <w:rsid w:val="00576FDE"/>
    <w:rsid w:val="0057700F"/>
    <w:rsid w:val="00582E7E"/>
    <w:rsid w:val="00591BAD"/>
    <w:rsid w:val="005A2792"/>
    <w:rsid w:val="005A29F9"/>
    <w:rsid w:val="005B77CE"/>
    <w:rsid w:val="005C18F6"/>
    <w:rsid w:val="005E2146"/>
    <w:rsid w:val="005F0306"/>
    <w:rsid w:val="005F1C3C"/>
    <w:rsid w:val="006132D8"/>
    <w:rsid w:val="006166FA"/>
    <w:rsid w:val="00630A34"/>
    <w:rsid w:val="00637CE1"/>
    <w:rsid w:val="00657790"/>
    <w:rsid w:val="00657A47"/>
    <w:rsid w:val="00664BC0"/>
    <w:rsid w:val="00674FD8"/>
    <w:rsid w:val="0068619C"/>
    <w:rsid w:val="0068681F"/>
    <w:rsid w:val="00690136"/>
    <w:rsid w:val="0069237F"/>
    <w:rsid w:val="0069693D"/>
    <w:rsid w:val="006B437C"/>
    <w:rsid w:val="006B6D60"/>
    <w:rsid w:val="006C10F1"/>
    <w:rsid w:val="006C66D3"/>
    <w:rsid w:val="006E3CFD"/>
    <w:rsid w:val="006F750C"/>
    <w:rsid w:val="00711903"/>
    <w:rsid w:val="00716469"/>
    <w:rsid w:val="00720C5A"/>
    <w:rsid w:val="00731C22"/>
    <w:rsid w:val="007353C5"/>
    <w:rsid w:val="00736047"/>
    <w:rsid w:val="0074195A"/>
    <w:rsid w:val="007439F7"/>
    <w:rsid w:val="00761A02"/>
    <w:rsid w:val="00773AEB"/>
    <w:rsid w:val="007849C5"/>
    <w:rsid w:val="0078612A"/>
    <w:rsid w:val="00787670"/>
    <w:rsid w:val="007A2F92"/>
    <w:rsid w:val="007A6142"/>
    <w:rsid w:val="007B193F"/>
    <w:rsid w:val="007E1F0A"/>
    <w:rsid w:val="007E220F"/>
    <w:rsid w:val="007E3C37"/>
    <w:rsid w:val="007E7C0F"/>
    <w:rsid w:val="00834C7F"/>
    <w:rsid w:val="00855EC8"/>
    <w:rsid w:val="00856C0A"/>
    <w:rsid w:val="008619E1"/>
    <w:rsid w:val="00876F75"/>
    <w:rsid w:val="00896C01"/>
    <w:rsid w:val="008A21A4"/>
    <w:rsid w:val="008A52E9"/>
    <w:rsid w:val="008A7624"/>
    <w:rsid w:val="008B703B"/>
    <w:rsid w:val="008B7610"/>
    <w:rsid w:val="008C238C"/>
    <w:rsid w:val="008C288D"/>
    <w:rsid w:val="008C2F02"/>
    <w:rsid w:val="008D310F"/>
    <w:rsid w:val="008D6E39"/>
    <w:rsid w:val="008E70CD"/>
    <w:rsid w:val="00911FF4"/>
    <w:rsid w:val="00913A8B"/>
    <w:rsid w:val="00925502"/>
    <w:rsid w:val="00926EC5"/>
    <w:rsid w:val="0093102B"/>
    <w:rsid w:val="00935C6E"/>
    <w:rsid w:val="00937A89"/>
    <w:rsid w:val="009430EF"/>
    <w:rsid w:val="00950ECA"/>
    <w:rsid w:val="00963609"/>
    <w:rsid w:val="00967D28"/>
    <w:rsid w:val="00970FE4"/>
    <w:rsid w:val="00971AB3"/>
    <w:rsid w:val="009771DA"/>
    <w:rsid w:val="0099336E"/>
    <w:rsid w:val="009942F8"/>
    <w:rsid w:val="009947BB"/>
    <w:rsid w:val="009A19ED"/>
    <w:rsid w:val="009D1251"/>
    <w:rsid w:val="009D6BD3"/>
    <w:rsid w:val="009E1190"/>
    <w:rsid w:val="009E5E4D"/>
    <w:rsid w:val="00A1360C"/>
    <w:rsid w:val="00A276F5"/>
    <w:rsid w:val="00A35926"/>
    <w:rsid w:val="00A5648B"/>
    <w:rsid w:val="00A61802"/>
    <w:rsid w:val="00A62953"/>
    <w:rsid w:val="00A72E7B"/>
    <w:rsid w:val="00A9186C"/>
    <w:rsid w:val="00A93F1B"/>
    <w:rsid w:val="00A96B65"/>
    <w:rsid w:val="00AB02E0"/>
    <w:rsid w:val="00AC274E"/>
    <w:rsid w:val="00AD16A3"/>
    <w:rsid w:val="00AD3DE5"/>
    <w:rsid w:val="00AD50EA"/>
    <w:rsid w:val="00AF19D9"/>
    <w:rsid w:val="00AF5F21"/>
    <w:rsid w:val="00B01AC9"/>
    <w:rsid w:val="00B169FF"/>
    <w:rsid w:val="00B27783"/>
    <w:rsid w:val="00B67D38"/>
    <w:rsid w:val="00B7200D"/>
    <w:rsid w:val="00B837BA"/>
    <w:rsid w:val="00B9413E"/>
    <w:rsid w:val="00BA1C7D"/>
    <w:rsid w:val="00BA7C56"/>
    <w:rsid w:val="00BB3B2C"/>
    <w:rsid w:val="00BC31A2"/>
    <w:rsid w:val="00BD7446"/>
    <w:rsid w:val="00BE2C9F"/>
    <w:rsid w:val="00BF2816"/>
    <w:rsid w:val="00C01698"/>
    <w:rsid w:val="00C27D56"/>
    <w:rsid w:val="00C35DFC"/>
    <w:rsid w:val="00C47527"/>
    <w:rsid w:val="00C510DD"/>
    <w:rsid w:val="00C61E8F"/>
    <w:rsid w:val="00C96C91"/>
    <w:rsid w:val="00CA495F"/>
    <w:rsid w:val="00CA59C3"/>
    <w:rsid w:val="00CB26E8"/>
    <w:rsid w:val="00CC0D08"/>
    <w:rsid w:val="00CE2CDA"/>
    <w:rsid w:val="00CF759C"/>
    <w:rsid w:val="00D075A0"/>
    <w:rsid w:val="00D21D86"/>
    <w:rsid w:val="00D24BF7"/>
    <w:rsid w:val="00D269B1"/>
    <w:rsid w:val="00D27336"/>
    <w:rsid w:val="00D32964"/>
    <w:rsid w:val="00D63739"/>
    <w:rsid w:val="00D750E8"/>
    <w:rsid w:val="00D76508"/>
    <w:rsid w:val="00D80FBD"/>
    <w:rsid w:val="00D83445"/>
    <w:rsid w:val="00D83746"/>
    <w:rsid w:val="00D86DD2"/>
    <w:rsid w:val="00D87A60"/>
    <w:rsid w:val="00D87A76"/>
    <w:rsid w:val="00D9209B"/>
    <w:rsid w:val="00DA06F4"/>
    <w:rsid w:val="00DB55F4"/>
    <w:rsid w:val="00DB58D2"/>
    <w:rsid w:val="00DB6DC8"/>
    <w:rsid w:val="00DC4E36"/>
    <w:rsid w:val="00DD79FB"/>
    <w:rsid w:val="00E11CA6"/>
    <w:rsid w:val="00E12A4B"/>
    <w:rsid w:val="00E13D58"/>
    <w:rsid w:val="00E14565"/>
    <w:rsid w:val="00E20612"/>
    <w:rsid w:val="00E23E64"/>
    <w:rsid w:val="00E25243"/>
    <w:rsid w:val="00E36246"/>
    <w:rsid w:val="00E423CF"/>
    <w:rsid w:val="00E52D63"/>
    <w:rsid w:val="00E636D7"/>
    <w:rsid w:val="00E864B3"/>
    <w:rsid w:val="00E87A4F"/>
    <w:rsid w:val="00E954EE"/>
    <w:rsid w:val="00EA5C58"/>
    <w:rsid w:val="00EB3E6F"/>
    <w:rsid w:val="00ED5560"/>
    <w:rsid w:val="00EF3400"/>
    <w:rsid w:val="00F05A6A"/>
    <w:rsid w:val="00F12DC2"/>
    <w:rsid w:val="00F14038"/>
    <w:rsid w:val="00F152DF"/>
    <w:rsid w:val="00F55699"/>
    <w:rsid w:val="00F62674"/>
    <w:rsid w:val="00F707CA"/>
    <w:rsid w:val="00F76B02"/>
    <w:rsid w:val="00F77257"/>
    <w:rsid w:val="00F81142"/>
    <w:rsid w:val="00F8440A"/>
    <w:rsid w:val="00F85870"/>
    <w:rsid w:val="00FA64E4"/>
    <w:rsid w:val="00FB1032"/>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8B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oes/current/naics2_22.htm" TargetMode="External"/><Relationship Id="rId1" Type="http://schemas.openxmlformats.org/officeDocument/2006/relationships/hyperlink" Target="http://www.nerc.com/FilingsOrders/us/RuleOfProcedureDL/NERC_ROP_Effective_20140701_updated_20140602%20(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3.xml><?xml version="1.0" encoding="utf-8"?>
<p:properties xmlns:p="http://schemas.microsoft.com/office/2006/metadata/properties" xmlns:xsi="http://www.w3.org/2001/XMLSchema-instance">
  <documentManagement>
    <Date xmlns="d6eefc7d-9817-4fa6-84d5-3bc009be21b8">2014-12-31T00:00:00-05:00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725R</_x0031__x002e__x0020_Collection_x0020_Number>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RM14-10</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50f21749c83d5a1fa3edc2888aee1b51">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2.xml><?xml version="1.0" encoding="utf-8"?>
<ds:datastoreItem xmlns:ds="http://schemas.openxmlformats.org/officeDocument/2006/customXml" ds:itemID="{7E3F4928-4AA2-4F0F-93C9-DA8F9AE52375}">
  <ds:schemaRefs>
    <ds:schemaRef ds:uri="http://schemas.microsoft.com/office/2006/metadata/customXsn"/>
  </ds:schemaRefs>
</ds:datastoreItem>
</file>

<file path=customXml/itemProps3.xml><?xml version="1.0" encoding="utf-8"?>
<ds:datastoreItem xmlns:ds="http://schemas.openxmlformats.org/officeDocument/2006/customXml" ds:itemID="{DC3A4479-0543-455B-A152-110FB41B2830}">
  <ds:schemaRefs>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d6eefc7d-9817-4fa6-84d5-3bc009be21b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96F9BA4-FEF8-4D62-8D5D-E1F9654CE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B48E07-C80A-4A5B-A53A-854F12CF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Ellen Brown</cp:lastModifiedBy>
  <cp:revision>2</cp:revision>
  <dcterms:created xsi:type="dcterms:W3CDTF">2014-12-31T18:47:00Z</dcterms:created>
  <dcterms:modified xsi:type="dcterms:W3CDTF">2014-12-31T18:47:00Z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