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B6" w:rsidRPr="00B56156" w:rsidRDefault="007510B6" w:rsidP="007510B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bookmarkStart w:id="0" w:name="_GoBack"/>
      <w:bookmarkEnd w:id="0"/>
      <w:r w:rsidRPr="00B56156">
        <w:rPr>
          <w:b/>
          <w:szCs w:val="24"/>
        </w:rPr>
        <w:t>Appendix B: The National UIC Database</w:t>
      </w:r>
    </w:p>
    <w:p w:rsidR="007510B6" w:rsidRDefault="00C52496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472C48">
        <w:rPr>
          <w:szCs w:val="24"/>
        </w:rPr>
        <w:t xml:space="preserve"> </w:t>
      </w:r>
      <w:r w:rsidRPr="00472C48">
        <w:rPr>
          <w:szCs w:val="24"/>
        </w:rPr>
        <w:tab/>
      </w:r>
    </w:p>
    <w:p w:rsidR="00C52496" w:rsidRPr="00472C48" w:rsidRDefault="00A24BD7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 xml:space="preserve">EPA Headquarters </w:t>
      </w:r>
      <w:r w:rsidR="00C52496">
        <w:rPr>
          <w:szCs w:val="24"/>
        </w:rPr>
        <w:t>develop</w:t>
      </w:r>
      <w:r w:rsidR="003C28A0">
        <w:rPr>
          <w:szCs w:val="24"/>
        </w:rPr>
        <w:t>ed</w:t>
      </w:r>
      <w:r w:rsidR="007510B6">
        <w:rPr>
          <w:szCs w:val="24"/>
        </w:rPr>
        <w:t xml:space="preserve"> the </w:t>
      </w:r>
      <w:r w:rsidR="00F241CB">
        <w:rPr>
          <w:szCs w:val="24"/>
          <w:lang w:val="en-CA"/>
        </w:rPr>
        <w:t xml:space="preserve">National UIC </w:t>
      </w:r>
      <w:r w:rsidR="005D5878">
        <w:rPr>
          <w:szCs w:val="24"/>
          <w:lang w:val="en-CA"/>
        </w:rPr>
        <w:t>Database,</w:t>
      </w:r>
      <w:r w:rsidR="007510B6">
        <w:rPr>
          <w:szCs w:val="24"/>
        </w:rPr>
        <w:t xml:space="preserve"> </w:t>
      </w:r>
      <w:r w:rsidR="00C52496" w:rsidRPr="00472C48">
        <w:rPr>
          <w:szCs w:val="24"/>
        </w:rPr>
        <w:t>a well-</w:t>
      </w:r>
      <w:r w:rsidR="00915AAF">
        <w:rPr>
          <w:szCs w:val="24"/>
        </w:rPr>
        <w:t>centric</w:t>
      </w:r>
      <w:r w:rsidR="00C52496" w:rsidRPr="00472C48">
        <w:rPr>
          <w:szCs w:val="24"/>
        </w:rPr>
        <w:t xml:space="preserve"> database t</w:t>
      </w:r>
      <w:r w:rsidR="007510B6">
        <w:rPr>
          <w:szCs w:val="24"/>
        </w:rPr>
        <w:t xml:space="preserve">hat </w:t>
      </w:r>
      <w:r w:rsidR="00C52496" w:rsidRPr="00472C48">
        <w:rPr>
          <w:szCs w:val="24"/>
        </w:rPr>
        <w:t>collect</w:t>
      </w:r>
      <w:r w:rsidR="003C28A0">
        <w:rPr>
          <w:szCs w:val="24"/>
        </w:rPr>
        <w:t>s</w:t>
      </w:r>
      <w:r w:rsidR="00C52496" w:rsidRPr="00472C48">
        <w:rPr>
          <w:szCs w:val="24"/>
        </w:rPr>
        <w:t xml:space="preserve"> and store</w:t>
      </w:r>
      <w:r w:rsidR="003C28A0">
        <w:rPr>
          <w:szCs w:val="24"/>
        </w:rPr>
        <w:t>s</w:t>
      </w:r>
      <w:r w:rsidR="00C52496" w:rsidRPr="00472C48">
        <w:rPr>
          <w:szCs w:val="24"/>
        </w:rPr>
        <w:t xml:space="preserve"> </w:t>
      </w:r>
      <w:r w:rsidR="007510B6">
        <w:rPr>
          <w:szCs w:val="24"/>
        </w:rPr>
        <w:t>state</w:t>
      </w:r>
      <w:r w:rsidR="00FA5AB6" w:rsidRPr="00FA5AB6">
        <w:rPr>
          <w:b/>
          <w:szCs w:val="24"/>
          <w:vertAlign w:val="superscript"/>
        </w:rPr>
        <w:footnoteReference w:id="1"/>
      </w:r>
      <w:r w:rsidR="007510B6">
        <w:rPr>
          <w:szCs w:val="24"/>
        </w:rPr>
        <w:t xml:space="preserve"> and </w:t>
      </w:r>
      <w:r w:rsidR="00492B25">
        <w:rPr>
          <w:szCs w:val="24"/>
        </w:rPr>
        <w:t>regional direct implementation (</w:t>
      </w:r>
      <w:r w:rsidR="007510B6">
        <w:rPr>
          <w:szCs w:val="24"/>
        </w:rPr>
        <w:t>DI</w:t>
      </w:r>
      <w:r w:rsidR="00492B25">
        <w:rPr>
          <w:szCs w:val="24"/>
        </w:rPr>
        <w:t>)</w:t>
      </w:r>
      <w:r w:rsidR="007510B6">
        <w:rPr>
          <w:szCs w:val="24"/>
        </w:rPr>
        <w:t xml:space="preserve"> program </w:t>
      </w:r>
      <w:r w:rsidR="00C52496" w:rsidRPr="00472C48">
        <w:rPr>
          <w:szCs w:val="24"/>
        </w:rPr>
        <w:t xml:space="preserve">data to support UIC </w:t>
      </w:r>
      <w:r w:rsidR="00F241CB">
        <w:rPr>
          <w:szCs w:val="24"/>
        </w:rPr>
        <w:t>p</w:t>
      </w:r>
      <w:r w:rsidR="00F241CB" w:rsidRPr="00472C48">
        <w:rPr>
          <w:szCs w:val="24"/>
        </w:rPr>
        <w:t xml:space="preserve">rogrammatic </w:t>
      </w:r>
      <w:r w:rsidR="00C52496" w:rsidRPr="00472C48">
        <w:rPr>
          <w:szCs w:val="24"/>
        </w:rPr>
        <w:t xml:space="preserve">data needs.  The UIC </w:t>
      </w:r>
      <w:r w:rsidR="005D5878">
        <w:rPr>
          <w:szCs w:val="24"/>
        </w:rPr>
        <w:t>system</w:t>
      </w:r>
      <w:r w:rsidR="008F0CC9">
        <w:rPr>
          <w:szCs w:val="24"/>
        </w:rPr>
        <w:t xml:space="preserve"> contains</w:t>
      </w:r>
      <w:r w:rsidR="0050105B">
        <w:rPr>
          <w:szCs w:val="24"/>
        </w:rPr>
        <w:t xml:space="preserve"> approximately 120 data elements related</w:t>
      </w:r>
      <w:r>
        <w:rPr>
          <w:szCs w:val="24"/>
        </w:rPr>
        <w:t xml:space="preserve"> to various aspects of the UIC P</w:t>
      </w:r>
      <w:r w:rsidR="0050105B">
        <w:rPr>
          <w:szCs w:val="24"/>
        </w:rPr>
        <w:t xml:space="preserve">rogram (e.g., permit information and enforcement and compliance data).  The database </w:t>
      </w:r>
      <w:r w:rsidR="00C52496" w:rsidRPr="00472C48">
        <w:rPr>
          <w:szCs w:val="24"/>
        </w:rPr>
        <w:t>include</w:t>
      </w:r>
      <w:r w:rsidR="003C28A0">
        <w:rPr>
          <w:szCs w:val="24"/>
        </w:rPr>
        <w:t>s</w:t>
      </w:r>
      <w:r w:rsidR="00C52496" w:rsidRPr="00472C48">
        <w:rPr>
          <w:szCs w:val="24"/>
        </w:rPr>
        <w:t xml:space="preserve"> a </w:t>
      </w:r>
      <w:r w:rsidR="00FA5AB6">
        <w:rPr>
          <w:szCs w:val="24"/>
        </w:rPr>
        <w:t>tool</w:t>
      </w:r>
      <w:r w:rsidR="00FA5AB6" w:rsidRPr="00472C48">
        <w:rPr>
          <w:szCs w:val="24"/>
        </w:rPr>
        <w:t xml:space="preserve"> </w:t>
      </w:r>
      <w:r w:rsidR="00C52496" w:rsidRPr="00472C48">
        <w:rPr>
          <w:szCs w:val="24"/>
        </w:rPr>
        <w:t xml:space="preserve">to electronically transfer data between existing state databases and </w:t>
      </w:r>
      <w:r w:rsidR="005D5878">
        <w:rPr>
          <w:szCs w:val="24"/>
        </w:rPr>
        <w:t xml:space="preserve">the </w:t>
      </w:r>
      <w:r w:rsidR="005D5878" w:rsidRPr="005D5878">
        <w:rPr>
          <w:szCs w:val="24"/>
          <w:lang w:val="en-CA"/>
        </w:rPr>
        <w:t>National</w:t>
      </w:r>
      <w:r w:rsidR="005D5878">
        <w:rPr>
          <w:szCs w:val="24"/>
          <w:lang w:val="en-CA"/>
        </w:rPr>
        <w:t xml:space="preserve"> UIC Database</w:t>
      </w:r>
      <w:r w:rsidR="001D43C2">
        <w:rPr>
          <w:szCs w:val="24"/>
        </w:rPr>
        <w:t xml:space="preserve">, </w:t>
      </w:r>
      <w:r w:rsidR="00AF22A6">
        <w:rPr>
          <w:szCs w:val="24"/>
        </w:rPr>
        <w:t xml:space="preserve">a tool </w:t>
      </w:r>
      <w:r w:rsidR="001D43C2">
        <w:rPr>
          <w:szCs w:val="24"/>
        </w:rPr>
        <w:t xml:space="preserve">to generate standard reports, and </w:t>
      </w:r>
      <w:r w:rsidR="00AF22A6">
        <w:rPr>
          <w:szCs w:val="24"/>
        </w:rPr>
        <w:t xml:space="preserve">a tool </w:t>
      </w:r>
      <w:r w:rsidR="001D43C2">
        <w:rPr>
          <w:szCs w:val="24"/>
        </w:rPr>
        <w:t xml:space="preserve">to support </w:t>
      </w:r>
      <w:r w:rsidR="00CC2A80">
        <w:rPr>
          <w:szCs w:val="24"/>
        </w:rPr>
        <w:t>data quality assurance/</w:t>
      </w:r>
      <w:r w:rsidR="00454300" w:rsidRPr="00FF7937">
        <w:rPr>
          <w:szCs w:val="24"/>
        </w:rPr>
        <w:t xml:space="preserve">quality control </w:t>
      </w:r>
      <w:r w:rsidR="00454300">
        <w:rPr>
          <w:szCs w:val="24"/>
        </w:rPr>
        <w:t>(</w:t>
      </w:r>
      <w:r w:rsidR="001D43C2">
        <w:rPr>
          <w:szCs w:val="24"/>
        </w:rPr>
        <w:t>QA/QC</w:t>
      </w:r>
      <w:r w:rsidR="00454300">
        <w:rPr>
          <w:szCs w:val="24"/>
        </w:rPr>
        <w:t>)</w:t>
      </w:r>
      <w:r w:rsidR="001D43C2">
        <w:rPr>
          <w:szCs w:val="24"/>
        </w:rPr>
        <w:t xml:space="preserve"> reviews</w:t>
      </w:r>
      <w:r w:rsidR="00C52496" w:rsidRPr="00472C48">
        <w:rPr>
          <w:szCs w:val="24"/>
        </w:rPr>
        <w:t>.</w:t>
      </w:r>
    </w:p>
    <w:p w:rsidR="00C52496" w:rsidRPr="00472C48" w:rsidRDefault="00C52496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B04194" w:rsidRDefault="00C52496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472C48">
        <w:rPr>
          <w:szCs w:val="24"/>
        </w:rPr>
        <w:t>Headquarters deploy</w:t>
      </w:r>
      <w:r w:rsidR="00FA5AB6">
        <w:rPr>
          <w:szCs w:val="24"/>
        </w:rPr>
        <w:t>ed</w:t>
      </w:r>
      <w:r w:rsidRPr="00472C48">
        <w:rPr>
          <w:szCs w:val="24"/>
        </w:rPr>
        <w:t xml:space="preserve"> the </w:t>
      </w:r>
      <w:r w:rsidR="005D5878">
        <w:rPr>
          <w:szCs w:val="24"/>
        </w:rPr>
        <w:t>National UIC Database</w:t>
      </w:r>
      <w:r w:rsidRPr="00472C48">
        <w:rPr>
          <w:szCs w:val="24"/>
        </w:rPr>
        <w:t xml:space="preserve"> in </w:t>
      </w:r>
      <w:r w:rsidR="003C28A0">
        <w:rPr>
          <w:szCs w:val="24"/>
        </w:rPr>
        <w:t xml:space="preserve">December </w:t>
      </w:r>
      <w:r w:rsidRPr="00472C48">
        <w:rPr>
          <w:szCs w:val="24"/>
        </w:rPr>
        <w:t xml:space="preserve">2007.  </w:t>
      </w:r>
      <w:r w:rsidR="00FA075B">
        <w:t xml:space="preserve">As of </w:t>
      </w:r>
      <w:r w:rsidR="00DA7928">
        <w:t xml:space="preserve">July </w:t>
      </w:r>
      <w:r w:rsidR="001C30D2">
        <w:t>201</w:t>
      </w:r>
      <w:r w:rsidR="001947E0">
        <w:t>4</w:t>
      </w:r>
      <w:r w:rsidR="00FA075B">
        <w:t xml:space="preserve">, </w:t>
      </w:r>
      <w:r w:rsidR="00995CEB">
        <w:t>1</w:t>
      </w:r>
      <w:r w:rsidR="009E0290">
        <w:t>4</w:t>
      </w:r>
      <w:r w:rsidR="00DA7928">
        <w:t xml:space="preserve"> </w:t>
      </w:r>
      <w:r w:rsidR="00FA075B">
        <w:t>programs have transitioned to e-reporting</w:t>
      </w:r>
      <w:r w:rsidR="00492B25">
        <w:t>.</w:t>
      </w:r>
      <w:r w:rsidR="0084756B">
        <w:t xml:space="preserve"> </w:t>
      </w:r>
      <w:r w:rsidR="00492B25">
        <w:t xml:space="preserve"> </w:t>
      </w:r>
      <w:r w:rsidR="001C30D2">
        <w:t xml:space="preserve">For </w:t>
      </w:r>
      <w:r w:rsidR="00E0033A">
        <w:t xml:space="preserve">burden </w:t>
      </w:r>
      <w:r w:rsidR="001C30D2">
        <w:t xml:space="preserve">estimation purposes, </w:t>
      </w:r>
      <w:r w:rsidR="00995CEB">
        <w:t xml:space="preserve">15 </w:t>
      </w:r>
      <w:r w:rsidR="00FA075B">
        <w:t xml:space="preserve">programs are expected to transition </w:t>
      </w:r>
      <w:r w:rsidR="00E0033A">
        <w:t xml:space="preserve">to e-reporting </w:t>
      </w:r>
      <w:r w:rsidR="00FA075B">
        <w:t xml:space="preserve">in </w:t>
      </w:r>
      <w:r w:rsidR="00F1532B">
        <w:t>2015</w:t>
      </w:r>
      <w:r w:rsidR="00492B25">
        <w:t xml:space="preserve">, </w:t>
      </w:r>
      <w:r w:rsidR="00995CEB">
        <w:t xml:space="preserve">10 </w:t>
      </w:r>
      <w:r w:rsidR="00FA075B">
        <w:t xml:space="preserve">programs are expected </w:t>
      </w:r>
      <w:r w:rsidR="0092403D">
        <w:t xml:space="preserve">to transition </w:t>
      </w:r>
      <w:r w:rsidR="00FA075B">
        <w:t xml:space="preserve">in </w:t>
      </w:r>
      <w:r w:rsidR="00F1532B">
        <w:t>2016</w:t>
      </w:r>
      <w:r w:rsidR="00FA075B">
        <w:t xml:space="preserve">, and </w:t>
      </w:r>
      <w:r w:rsidR="00995CEB">
        <w:t>1</w:t>
      </w:r>
      <w:r w:rsidR="005362A9">
        <w:t>1</w:t>
      </w:r>
      <w:r w:rsidR="00995CEB">
        <w:t xml:space="preserve"> </w:t>
      </w:r>
      <w:r w:rsidR="00FA075B">
        <w:t>program</w:t>
      </w:r>
      <w:r w:rsidR="00143425">
        <w:t>s</w:t>
      </w:r>
      <w:r w:rsidR="00FA075B">
        <w:t xml:space="preserve"> are expected to transition in </w:t>
      </w:r>
      <w:r w:rsidR="00F1532B">
        <w:t>2017</w:t>
      </w:r>
      <w:r w:rsidR="00FA075B">
        <w:t xml:space="preserve">. </w:t>
      </w:r>
    </w:p>
    <w:p w:rsidR="0084756B" w:rsidRDefault="0084756B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D7B82" w:rsidRDefault="00D36617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>To assist with funding challenges</w:t>
      </w:r>
      <w:r w:rsidR="0092403D">
        <w:rPr>
          <w:szCs w:val="24"/>
        </w:rPr>
        <w:t>,</w:t>
      </w:r>
      <w:r>
        <w:rPr>
          <w:szCs w:val="24"/>
        </w:rPr>
        <w:t xml:space="preserve"> EPA’s Exchange Network </w:t>
      </w:r>
      <w:r w:rsidR="0084756B">
        <w:rPr>
          <w:szCs w:val="24"/>
        </w:rPr>
        <w:t xml:space="preserve">(EN) </w:t>
      </w:r>
      <w:r>
        <w:rPr>
          <w:szCs w:val="24"/>
        </w:rPr>
        <w:t xml:space="preserve">Grants can be used to establish a data flow. Grant funds </w:t>
      </w:r>
      <w:r w:rsidR="00DA7928">
        <w:rPr>
          <w:szCs w:val="24"/>
        </w:rPr>
        <w:t>provide additional benefits to states for their own internal data management by allowing them</w:t>
      </w:r>
      <w:r>
        <w:rPr>
          <w:szCs w:val="24"/>
        </w:rPr>
        <w:t xml:space="preserve"> to complete other related activities, such as building a state database or establish</w:t>
      </w:r>
      <w:r w:rsidR="00DA7928">
        <w:rPr>
          <w:szCs w:val="24"/>
        </w:rPr>
        <w:t>ing</w:t>
      </w:r>
      <w:r>
        <w:rPr>
          <w:szCs w:val="24"/>
        </w:rPr>
        <w:t xml:space="preserve"> an electronic data flow from owners or operators. </w:t>
      </w:r>
      <w:r w:rsidR="00AA0275">
        <w:rPr>
          <w:szCs w:val="24"/>
        </w:rPr>
        <w:t>Twenty-five UIC programs</w:t>
      </w:r>
      <w:r w:rsidR="00FA5AB6">
        <w:rPr>
          <w:szCs w:val="24"/>
        </w:rPr>
        <w:t xml:space="preserve"> have already received funds to support </w:t>
      </w:r>
      <w:r w:rsidR="0099056A">
        <w:rPr>
          <w:szCs w:val="24"/>
        </w:rPr>
        <w:t>activities to populate the National UIC Database</w:t>
      </w:r>
      <w:r w:rsidR="00FA5AB6">
        <w:rPr>
          <w:szCs w:val="24"/>
        </w:rPr>
        <w:t>.</w:t>
      </w:r>
      <w:r w:rsidR="0084756B">
        <w:rPr>
          <w:szCs w:val="24"/>
        </w:rPr>
        <w:t xml:space="preserve"> The EN Grant program provides funding, technical support, and tools to </w:t>
      </w:r>
      <w:r w:rsidR="0099056A">
        <w:rPr>
          <w:szCs w:val="24"/>
        </w:rPr>
        <w:t>support these activities</w:t>
      </w:r>
      <w:r w:rsidR="001947E0">
        <w:rPr>
          <w:szCs w:val="24"/>
        </w:rPr>
        <w:t>; p</w:t>
      </w:r>
      <w:r w:rsidR="00D3365B">
        <w:rPr>
          <w:szCs w:val="24"/>
        </w:rPr>
        <w:t xml:space="preserve">rograms have used funds to create a program database, improve </w:t>
      </w:r>
      <w:r w:rsidR="0099056A">
        <w:rPr>
          <w:szCs w:val="24"/>
        </w:rPr>
        <w:t xml:space="preserve">the quality of </w:t>
      </w:r>
      <w:r w:rsidR="00D3365B">
        <w:rPr>
          <w:szCs w:val="24"/>
        </w:rPr>
        <w:t>source data, integrate state and federal data, and prepare internal system</w:t>
      </w:r>
      <w:r w:rsidR="000119E6">
        <w:rPr>
          <w:szCs w:val="24"/>
        </w:rPr>
        <w:t>s</w:t>
      </w:r>
      <w:r w:rsidR="00D3365B">
        <w:rPr>
          <w:szCs w:val="24"/>
        </w:rPr>
        <w:t xml:space="preserve"> </w:t>
      </w:r>
      <w:r w:rsidR="00BD189E">
        <w:rPr>
          <w:szCs w:val="24"/>
        </w:rPr>
        <w:t xml:space="preserve">to allow electronic </w:t>
      </w:r>
      <w:r w:rsidR="001947E0">
        <w:rPr>
          <w:szCs w:val="24"/>
        </w:rPr>
        <w:t xml:space="preserve">data </w:t>
      </w:r>
      <w:r w:rsidR="00D3365B">
        <w:rPr>
          <w:szCs w:val="24"/>
        </w:rPr>
        <w:t>submission.</w:t>
      </w:r>
    </w:p>
    <w:p w:rsidR="00AF22A6" w:rsidRDefault="00AF22A6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7510B6" w:rsidRDefault="00BE5BB5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t xml:space="preserve">While the UIC regulations do not mandate the format </w:t>
      </w:r>
      <w:r w:rsidR="00723698">
        <w:t xml:space="preserve">in which the </w:t>
      </w:r>
      <w:r>
        <w:t>data must be submitted</w:t>
      </w:r>
      <w:r w:rsidR="00723698">
        <w:t xml:space="preserve">, </w:t>
      </w:r>
      <w:r>
        <w:t>historically</w:t>
      </w:r>
      <w:r w:rsidR="00723698">
        <w:t>,</w:t>
      </w:r>
      <w:r>
        <w:t xml:space="preserve"> programs have provided </w:t>
      </w:r>
      <w:r w:rsidR="00723698">
        <w:t xml:space="preserve">information </w:t>
      </w:r>
      <w:r>
        <w:t>in paper format</w:t>
      </w:r>
      <w:r w:rsidR="00BD189E">
        <w:t xml:space="preserve"> using the UIC program’s 7520 reporting forms</w:t>
      </w:r>
      <w:r>
        <w:t xml:space="preserve">. </w:t>
      </w:r>
      <w:r w:rsidR="00C52496" w:rsidRPr="00472C48">
        <w:rPr>
          <w:szCs w:val="24"/>
        </w:rPr>
        <w:t xml:space="preserve">States </w:t>
      </w:r>
      <w:r w:rsidR="00BF7920">
        <w:rPr>
          <w:szCs w:val="24"/>
        </w:rPr>
        <w:t xml:space="preserve">that </w:t>
      </w:r>
      <w:r w:rsidR="00815370">
        <w:rPr>
          <w:szCs w:val="24"/>
        </w:rPr>
        <w:t xml:space="preserve">transition </w:t>
      </w:r>
      <w:r w:rsidR="00BF7920">
        <w:rPr>
          <w:szCs w:val="24"/>
        </w:rPr>
        <w:t xml:space="preserve">to e-reporting are </w:t>
      </w:r>
      <w:r w:rsidR="00C52496" w:rsidRPr="00472C48">
        <w:rPr>
          <w:szCs w:val="24"/>
        </w:rPr>
        <w:t xml:space="preserve">no longer required to </w:t>
      </w:r>
      <w:r w:rsidR="007F499B">
        <w:rPr>
          <w:szCs w:val="24"/>
        </w:rPr>
        <w:t>submit</w:t>
      </w:r>
      <w:r w:rsidR="007F499B" w:rsidRPr="00472C48">
        <w:rPr>
          <w:szCs w:val="24"/>
        </w:rPr>
        <w:t xml:space="preserve"> </w:t>
      </w:r>
      <w:r w:rsidR="00C52496" w:rsidRPr="00472C48">
        <w:rPr>
          <w:szCs w:val="24"/>
        </w:rPr>
        <w:t xml:space="preserve">the </w:t>
      </w:r>
      <w:r w:rsidR="00454453">
        <w:rPr>
          <w:szCs w:val="24"/>
        </w:rPr>
        <w:t xml:space="preserve">paper </w:t>
      </w:r>
      <w:r w:rsidR="00C52496" w:rsidRPr="00472C48">
        <w:rPr>
          <w:szCs w:val="24"/>
        </w:rPr>
        <w:t xml:space="preserve">7520 forms </w:t>
      </w:r>
      <w:r w:rsidR="001400CF">
        <w:rPr>
          <w:szCs w:val="24"/>
        </w:rPr>
        <w:t>or</w:t>
      </w:r>
      <w:r w:rsidR="001400CF" w:rsidRPr="00472C48">
        <w:rPr>
          <w:szCs w:val="24"/>
        </w:rPr>
        <w:t xml:space="preserve"> </w:t>
      </w:r>
      <w:r w:rsidR="00454453">
        <w:rPr>
          <w:szCs w:val="24"/>
        </w:rPr>
        <w:t xml:space="preserve">complete </w:t>
      </w:r>
      <w:r w:rsidR="001B0CC7">
        <w:rPr>
          <w:szCs w:val="24"/>
        </w:rPr>
        <w:t xml:space="preserve">web-based </w:t>
      </w:r>
      <w:r w:rsidR="00492B25">
        <w:rPr>
          <w:szCs w:val="24"/>
        </w:rPr>
        <w:t xml:space="preserve">inventory and </w:t>
      </w:r>
      <w:r w:rsidR="001947E0">
        <w:rPr>
          <w:szCs w:val="24"/>
        </w:rPr>
        <w:t xml:space="preserve">Program Activity </w:t>
      </w:r>
      <w:r w:rsidR="001B0CC7">
        <w:rPr>
          <w:szCs w:val="24"/>
        </w:rPr>
        <w:t>M</w:t>
      </w:r>
      <w:r w:rsidR="00C52496" w:rsidRPr="00472C48">
        <w:rPr>
          <w:szCs w:val="24"/>
        </w:rPr>
        <w:t xml:space="preserve">easures </w:t>
      </w:r>
      <w:r w:rsidR="001B0CC7">
        <w:rPr>
          <w:szCs w:val="24"/>
        </w:rPr>
        <w:t>(PAM</w:t>
      </w:r>
      <w:r w:rsidR="001947E0">
        <w:rPr>
          <w:szCs w:val="24"/>
        </w:rPr>
        <w:t>s</w:t>
      </w:r>
      <w:r w:rsidR="001B0CC7">
        <w:rPr>
          <w:szCs w:val="24"/>
        </w:rPr>
        <w:t xml:space="preserve">) </w:t>
      </w:r>
      <w:r w:rsidR="00C52496" w:rsidRPr="00472C48">
        <w:rPr>
          <w:szCs w:val="24"/>
        </w:rPr>
        <w:t>reporting</w:t>
      </w:r>
      <w:r w:rsidR="0092403D">
        <w:rPr>
          <w:szCs w:val="24"/>
        </w:rPr>
        <w:t xml:space="preserve">; this </w:t>
      </w:r>
      <w:r w:rsidR="00C52496" w:rsidRPr="00472C48">
        <w:rPr>
          <w:szCs w:val="24"/>
        </w:rPr>
        <w:t>eliminat</w:t>
      </w:r>
      <w:r w:rsidR="0092403D">
        <w:rPr>
          <w:szCs w:val="24"/>
        </w:rPr>
        <w:t>e</w:t>
      </w:r>
      <w:r w:rsidR="008579EC">
        <w:rPr>
          <w:szCs w:val="24"/>
        </w:rPr>
        <w:t>s</w:t>
      </w:r>
      <w:r w:rsidR="00C52496" w:rsidRPr="00472C48">
        <w:rPr>
          <w:szCs w:val="24"/>
        </w:rPr>
        <w:t xml:space="preserve"> the current burden associated with gathering </w:t>
      </w:r>
      <w:r w:rsidR="00A24BD7">
        <w:rPr>
          <w:szCs w:val="24"/>
        </w:rPr>
        <w:t xml:space="preserve">and compiling </w:t>
      </w:r>
      <w:r w:rsidR="00C52496" w:rsidRPr="00472C48">
        <w:rPr>
          <w:szCs w:val="24"/>
        </w:rPr>
        <w:t>data</w:t>
      </w:r>
      <w:r w:rsidR="00A24BD7">
        <w:rPr>
          <w:szCs w:val="24"/>
        </w:rPr>
        <w:t>,</w:t>
      </w:r>
      <w:r w:rsidR="00C52496" w:rsidRPr="00472C48">
        <w:rPr>
          <w:szCs w:val="24"/>
        </w:rPr>
        <w:t xml:space="preserve"> completing the </w:t>
      </w:r>
      <w:r w:rsidR="00454453">
        <w:rPr>
          <w:szCs w:val="24"/>
        </w:rPr>
        <w:t>7520</w:t>
      </w:r>
      <w:r w:rsidR="00C52496" w:rsidRPr="00472C48">
        <w:rPr>
          <w:szCs w:val="24"/>
        </w:rPr>
        <w:t xml:space="preserve"> forms</w:t>
      </w:r>
      <w:r w:rsidR="00A24BD7">
        <w:rPr>
          <w:szCs w:val="24"/>
        </w:rPr>
        <w:t xml:space="preserve">, and maintaining </w:t>
      </w:r>
      <w:r w:rsidR="00454453">
        <w:rPr>
          <w:szCs w:val="24"/>
        </w:rPr>
        <w:t xml:space="preserve">paper </w:t>
      </w:r>
      <w:r w:rsidR="00A24BD7">
        <w:rPr>
          <w:szCs w:val="24"/>
        </w:rPr>
        <w:t>records</w:t>
      </w:r>
      <w:r w:rsidR="007510B6">
        <w:rPr>
          <w:szCs w:val="24"/>
        </w:rPr>
        <w:t>.</w:t>
      </w:r>
      <w:r>
        <w:t xml:space="preserve"> Although </w:t>
      </w:r>
      <w:r>
        <w:rPr>
          <w:szCs w:val="24"/>
        </w:rPr>
        <w:t>t</w:t>
      </w:r>
      <w:r w:rsidR="00AF22A6">
        <w:rPr>
          <w:szCs w:val="24"/>
        </w:rPr>
        <w:t>here is still burden associated with e-reporting, after establishing the data flow</w:t>
      </w:r>
      <w:r w:rsidR="00FA4F57">
        <w:rPr>
          <w:szCs w:val="24"/>
        </w:rPr>
        <w:t>,</w:t>
      </w:r>
      <w:r w:rsidR="00AF22A6">
        <w:rPr>
          <w:szCs w:val="24"/>
        </w:rPr>
        <w:t xml:space="preserve"> the burden is less than </w:t>
      </w:r>
      <w:r w:rsidR="001947E0">
        <w:rPr>
          <w:szCs w:val="24"/>
        </w:rPr>
        <w:t xml:space="preserve">that for </w:t>
      </w:r>
      <w:r w:rsidR="00AF22A6">
        <w:rPr>
          <w:szCs w:val="24"/>
        </w:rPr>
        <w:t>paper</w:t>
      </w:r>
      <w:r w:rsidR="00081E38">
        <w:rPr>
          <w:szCs w:val="24"/>
        </w:rPr>
        <w:t xml:space="preserve"> </w:t>
      </w:r>
      <w:r w:rsidR="0092403D">
        <w:rPr>
          <w:szCs w:val="24"/>
        </w:rPr>
        <w:t>based</w:t>
      </w:r>
      <w:r w:rsidR="00AF22A6">
        <w:rPr>
          <w:szCs w:val="24"/>
        </w:rPr>
        <w:t xml:space="preserve"> reporting. EPA developed tools to </w:t>
      </w:r>
      <w:r w:rsidR="00815370">
        <w:rPr>
          <w:szCs w:val="24"/>
        </w:rPr>
        <w:t>replicate the</w:t>
      </w:r>
      <w:r w:rsidR="00D36617">
        <w:rPr>
          <w:szCs w:val="24"/>
        </w:rPr>
        <w:t xml:space="preserve"> </w:t>
      </w:r>
      <w:r w:rsidR="00AF22A6">
        <w:rPr>
          <w:szCs w:val="24"/>
        </w:rPr>
        <w:t xml:space="preserve">paper reports to ensure consistency in program management </w:t>
      </w:r>
      <w:r w:rsidR="00FA4F57">
        <w:rPr>
          <w:szCs w:val="24"/>
        </w:rPr>
        <w:t>after transition to e-reporting</w:t>
      </w:r>
      <w:r w:rsidR="00AF22A6">
        <w:rPr>
          <w:szCs w:val="24"/>
        </w:rPr>
        <w:t xml:space="preserve">. </w:t>
      </w:r>
      <w:r w:rsidR="00DA7928">
        <w:rPr>
          <w:szCs w:val="24"/>
        </w:rPr>
        <w:t>P</w:t>
      </w:r>
      <w:r w:rsidR="00492B25">
        <w:rPr>
          <w:szCs w:val="24"/>
        </w:rPr>
        <w:t xml:space="preserve">rograms have </w:t>
      </w:r>
      <w:r w:rsidR="00DA7928">
        <w:rPr>
          <w:szCs w:val="24"/>
        </w:rPr>
        <w:t xml:space="preserve">also </w:t>
      </w:r>
      <w:r w:rsidR="00492B25">
        <w:rPr>
          <w:szCs w:val="24"/>
        </w:rPr>
        <w:t xml:space="preserve">reported data quality improvements as a result of the data flow process. </w:t>
      </w:r>
      <w:r w:rsidR="007F499B">
        <w:rPr>
          <w:szCs w:val="24"/>
        </w:rPr>
        <w:t>The improvement in data quality may result in more efficient program management by both the states and EPA.</w:t>
      </w:r>
      <w:r>
        <w:rPr>
          <w:szCs w:val="24"/>
        </w:rPr>
        <w:t xml:space="preserve"> </w:t>
      </w:r>
    </w:p>
    <w:p w:rsidR="007510B6" w:rsidRDefault="007510B6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DA7928" w:rsidRDefault="007510B6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 xml:space="preserve">This </w:t>
      </w:r>
      <w:r w:rsidR="00C52496" w:rsidRPr="00472C48">
        <w:rPr>
          <w:szCs w:val="24"/>
        </w:rPr>
        <w:t>Appendix describes</w:t>
      </w:r>
      <w:r w:rsidR="00902207">
        <w:rPr>
          <w:szCs w:val="24"/>
        </w:rPr>
        <w:t xml:space="preserve"> the </w:t>
      </w:r>
      <w:r w:rsidR="006F71CE">
        <w:rPr>
          <w:szCs w:val="24"/>
        </w:rPr>
        <w:t>status</w:t>
      </w:r>
      <w:r w:rsidR="00902207">
        <w:rPr>
          <w:szCs w:val="24"/>
        </w:rPr>
        <w:t xml:space="preserve"> of UIC data management by primacy states</w:t>
      </w:r>
      <w:r w:rsidR="00492B25">
        <w:rPr>
          <w:szCs w:val="24"/>
        </w:rPr>
        <w:t xml:space="preserve"> and DI programs</w:t>
      </w:r>
      <w:r w:rsidR="00C52496" w:rsidRPr="00472C48">
        <w:rPr>
          <w:szCs w:val="24"/>
        </w:rPr>
        <w:t xml:space="preserve"> </w:t>
      </w:r>
      <w:r w:rsidR="00DA7928">
        <w:rPr>
          <w:szCs w:val="24"/>
        </w:rPr>
        <w:t xml:space="preserve">and </w:t>
      </w:r>
      <w:r w:rsidR="000D7B82">
        <w:rPr>
          <w:szCs w:val="24"/>
        </w:rPr>
        <w:t xml:space="preserve">the burden and cost associated with </w:t>
      </w:r>
      <w:r w:rsidR="00C52496" w:rsidRPr="00472C48">
        <w:rPr>
          <w:szCs w:val="24"/>
        </w:rPr>
        <w:t>data transfer.</w:t>
      </w:r>
    </w:p>
    <w:p w:rsidR="00C52496" w:rsidRDefault="00D36617" w:rsidP="00C52496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D36617">
        <w:rPr>
          <w:szCs w:val="24"/>
        </w:rPr>
        <w:t xml:space="preserve"> </w:t>
      </w:r>
    </w:p>
    <w:p w:rsidR="00C52496" w:rsidRPr="000D7B82" w:rsidRDefault="00D3365B">
      <w:pPr>
        <w:widowControl w:val="0"/>
        <w:rPr>
          <w:b/>
          <w:szCs w:val="24"/>
        </w:rPr>
      </w:pPr>
      <w:r>
        <w:rPr>
          <w:b/>
          <w:szCs w:val="24"/>
        </w:rPr>
        <w:t>B1</w:t>
      </w:r>
      <w:r w:rsidR="00902207">
        <w:rPr>
          <w:b/>
          <w:szCs w:val="24"/>
        </w:rPr>
        <w:t xml:space="preserve">. </w:t>
      </w:r>
      <w:r w:rsidR="000D7B82" w:rsidRPr="000D7B82">
        <w:rPr>
          <w:b/>
          <w:szCs w:val="24"/>
        </w:rPr>
        <w:t xml:space="preserve">Burden </w:t>
      </w:r>
      <w:r w:rsidR="000D7B82">
        <w:rPr>
          <w:b/>
          <w:szCs w:val="24"/>
        </w:rPr>
        <w:t>a</w:t>
      </w:r>
      <w:r w:rsidR="000D7B82" w:rsidRPr="000D7B82">
        <w:rPr>
          <w:b/>
          <w:szCs w:val="24"/>
        </w:rPr>
        <w:t>nd Cost Associated With Data Transfer</w:t>
      </w:r>
    </w:p>
    <w:p w:rsidR="000D7B82" w:rsidRDefault="000D7B82">
      <w:pPr>
        <w:widowControl w:val="0"/>
      </w:pPr>
    </w:p>
    <w:p w:rsidR="00902207" w:rsidRDefault="000D7B82">
      <w:pPr>
        <w:widowControl w:val="0"/>
      </w:pPr>
      <w:r>
        <w:t>State UIC programs will incur burden and cost</w:t>
      </w:r>
      <w:r w:rsidR="00815370">
        <w:t>s</w:t>
      </w:r>
      <w:r>
        <w:t xml:space="preserve"> associated with the necessary start-up activities to prepare their databases and </w:t>
      </w:r>
      <w:r w:rsidR="00CF04C0">
        <w:t xml:space="preserve">prepare </w:t>
      </w:r>
      <w:r>
        <w:t>data for transfer to Headquarters</w:t>
      </w:r>
      <w:r w:rsidR="00815370">
        <w:t>. A</w:t>
      </w:r>
      <w:r>
        <w:t xml:space="preserve">ctivities associated </w:t>
      </w:r>
      <w:r>
        <w:lastRenderedPageBreak/>
        <w:t xml:space="preserve">with </w:t>
      </w:r>
      <w:r w:rsidR="00492B25">
        <w:t xml:space="preserve">data entry and </w:t>
      </w:r>
      <w:r w:rsidR="00902053">
        <w:t xml:space="preserve">semi-annual </w:t>
      </w:r>
      <w:r>
        <w:t>data transfers to Headquarters</w:t>
      </w:r>
      <w:r w:rsidR="00815370">
        <w:t xml:space="preserve"> represent ongoing burden</w:t>
      </w:r>
      <w:r>
        <w:t>.</w:t>
      </w:r>
      <w:r w:rsidR="00AA0275">
        <w:t xml:space="preserve"> EPA support</w:t>
      </w:r>
      <w:r w:rsidR="0048535B">
        <w:t>s</w:t>
      </w:r>
      <w:r w:rsidR="00AA0275">
        <w:t xml:space="preserve"> program</w:t>
      </w:r>
      <w:r w:rsidR="00ED4148">
        <w:t>s</w:t>
      </w:r>
      <w:r w:rsidR="00AA0275">
        <w:t xml:space="preserve"> </w:t>
      </w:r>
      <w:r w:rsidR="0048535B">
        <w:t xml:space="preserve">with funding </w:t>
      </w:r>
      <w:r w:rsidR="00AA0275">
        <w:t>thr</w:t>
      </w:r>
      <w:r w:rsidR="00FB6516">
        <w:t>ough</w:t>
      </w:r>
      <w:r w:rsidR="00AA0275">
        <w:t xml:space="preserve"> the EN grant</w:t>
      </w:r>
      <w:r w:rsidR="00815370">
        <w:t>s</w:t>
      </w:r>
      <w:r w:rsidR="00AA0275">
        <w:t xml:space="preserve">, </w:t>
      </w:r>
      <w:r w:rsidR="0048535B">
        <w:t xml:space="preserve">by providing </w:t>
      </w:r>
      <w:r w:rsidR="00AA0275">
        <w:t>technical assistance</w:t>
      </w:r>
      <w:r w:rsidR="0048535B">
        <w:t xml:space="preserve"> and</w:t>
      </w:r>
      <w:r w:rsidR="00ED4148">
        <w:t xml:space="preserve"> </w:t>
      </w:r>
      <w:proofErr w:type="gramStart"/>
      <w:r w:rsidR="00AA0275">
        <w:t>training</w:t>
      </w:r>
      <w:proofErr w:type="gramEnd"/>
      <w:r w:rsidR="00AA0275">
        <w:t xml:space="preserve">, and </w:t>
      </w:r>
      <w:r w:rsidR="0048535B">
        <w:t>by creating</w:t>
      </w:r>
      <w:r w:rsidR="00AA0275">
        <w:t xml:space="preserve"> </w:t>
      </w:r>
      <w:r w:rsidR="0048535B">
        <w:t>individualized</w:t>
      </w:r>
      <w:r w:rsidR="00AA0275">
        <w:t xml:space="preserve"> tools </w:t>
      </w:r>
      <w:r w:rsidR="00FA4F57">
        <w:t xml:space="preserve">for programs </w:t>
      </w:r>
      <w:r w:rsidR="00AA0275">
        <w:t>to flow data.</w:t>
      </w:r>
      <w:r w:rsidR="00902207" w:rsidRPr="000D7B82">
        <w:fldChar w:fldCharType="begin"/>
      </w:r>
      <w:r w:rsidR="00902207" w:rsidRPr="000D7B82">
        <w:instrText xml:space="preserve"> SEQ CHAPTER \h \r 1</w:instrText>
      </w:r>
      <w:r w:rsidR="00902207" w:rsidRPr="000D7B82">
        <w:fldChar w:fldCharType="end"/>
      </w:r>
    </w:p>
    <w:p w:rsidR="000D7B82" w:rsidRDefault="000D7B82">
      <w:pPr>
        <w:widowControl w:val="0"/>
      </w:pPr>
    </w:p>
    <w:p w:rsidR="00902207" w:rsidRDefault="00F02A62">
      <w:pPr>
        <w:widowControl w:val="0"/>
      </w:pPr>
      <w:r>
        <w:rPr>
          <w:b/>
          <w:i/>
        </w:rPr>
        <w:t>Burden associated with s</w:t>
      </w:r>
      <w:r w:rsidR="00902207">
        <w:rPr>
          <w:b/>
          <w:i/>
        </w:rPr>
        <w:t>tart-up activities</w:t>
      </w:r>
    </w:p>
    <w:p w:rsidR="00902207" w:rsidRDefault="00902207">
      <w:pPr>
        <w:widowControl w:val="0"/>
      </w:pPr>
    </w:p>
    <w:p w:rsidR="00902207" w:rsidRDefault="00C95CA5">
      <w:pPr>
        <w:widowControl w:val="0"/>
      </w:pPr>
      <w:r>
        <w:t xml:space="preserve">Prior to </w:t>
      </w:r>
      <w:r w:rsidR="007E5FEF">
        <w:t xml:space="preserve">initiating </w:t>
      </w:r>
      <w:r>
        <w:t>data transfer, state</w:t>
      </w:r>
      <w:r w:rsidR="007E5FEF">
        <w:t>s</w:t>
      </w:r>
      <w:r>
        <w:t xml:space="preserve"> </w:t>
      </w:r>
      <w:r w:rsidR="0048535B">
        <w:t>must</w:t>
      </w:r>
      <w:r>
        <w:t xml:space="preserve"> prepare </w:t>
      </w:r>
      <w:r w:rsidR="0048535B">
        <w:t>UIC program applications</w:t>
      </w:r>
      <w:r w:rsidR="00FA4F57">
        <w:t xml:space="preserve"> and data</w:t>
      </w:r>
      <w:r w:rsidR="00902207">
        <w:t xml:space="preserve"> to flow </w:t>
      </w:r>
      <w:r>
        <w:t xml:space="preserve">data to the </w:t>
      </w:r>
      <w:r w:rsidR="005D5878">
        <w:t>National UIC Database</w:t>
      </w:r>
      <w:r w:rsidR="0048535B">
        <w:t>.</w:t>
      </w:r>
      <w:r w:rsidR="00902207">
        <w:t xml:space="preserve">  </w:t>
      </w:r>
      <w:r>
        <w:t xml:space="preserve">The effort and associated cost will vary depending on the </w:t>
      </w:r>
      <w:r w:rsidR="00FA4F57">
        <w:t>stat</w:t>
      </w:r>
      <w:r w:rsidR="009E614E">
        <w:t>us</w:t>
      </w:r>
      <w:r w:rsidR="00FA4F57">
        <w:t xml:space="preserve"> </w:t>
      </w:r>
      <w:r>
        <w:t xml:space="preserve">of the </w:t>
      </w:r>
      <w:r w:rsidR="00454453">
        <w:t xml:space="preserve">program’s </w:t>
      </w:r>
      <w:r>
        <w:t xml:space="preserve">database. </w:t>
      </w:r>
    </w:p>
    <w:p w:rsidR="00902207" w:rsidRDefault="00902207">
      <w:pPr>
        <w:widowControl w:val="0"/>
      </w:pPr>
    </w:p>
    <w:p w:rsidR="00902207" w:rsidRPr="00AD30E8" w:rsidRDefault="00454453" w:rsidP="005A56B6">
      <w:pPr>
        <w:widowControl w:val="0"/>
        <w:rPr>
          <w:u w:val="single"/>
        </w:rPr>
      </w:pPr>
      <w:r>
        <w:rPr>
          <w:u w:val="single"/>
        </w:rPr>
        <w:t xml:space="preserve">Programs </w:t>
      </w:r>
      <w:r w:rsidR="00B56156">
        <w:rPr>
          <w:u w:val="single"/>
        </w:rPr>
        <w:t>with Existing UIC D</w:t>
      </w:r>
      <w:r w:rsidR="00902207" w:rsidRPr="00AD30E8">
        <w:rPr>
          <w:u w:val="single"/>
        </w:rPr>
        <w:t>atabases</w:t>
      </w:r>
      <w:r w:rsidR="00564B16" w:rsidRPr="00AD30E8">
        <w:rPr>
          <w:u w:val="single"/>
        </w:rPr>
        <w:t xml:space="preserve"> </w:t>
      </w:r>
    </w:p>
    <w:p w:rsidR="00902207" w:rsidRDefault="00902207">
      <w:pPr>
        <w:widowControl w:val="0"/>
      </w:pPr>
    </w:p>
    <w:p w:rsidR="00902207" w:rsidRDefault="00564B16" w:rsidP="00136C06">
      <w:pPr>
        <w:widowControl w:val="0"/>
      </w:pPr>
      <w:r>
        <w:t>S</w:t>
      </w:r>
      <w:r w:rsidR="00AC689F">
        <w:t>tart-</w:t>
      </w:r>
      <w:r w:rsidR="00902207">
        <w:t xml:space="preserve">up costs include </w:t>
      </w:r>
      <w:r>
        <w:t xml:space="preserve">the costs associated with </w:t>
      </w:r>
      <w:r w:rsidR="00902207">
        <w:t xml:space="preserve">developing the data to transfer to the </w:t>
      </w:r>
      <w:r w:rsidR="005C1C59">
        <w:t>National UIC Database</w:t>
      </w:r>
      <w:r w:rsidR="00902207">
        <w:t xml:space="preserve"> and setting up </w:t>
      </w:r>
      <w:r w:rsidR="007E5FEF">
        <w:t xml:space="preserve">the </w:t>
      </w:r>
      <w:r w:rsidR="00902207">
        <w:t>data flow</w:t>
      </w:r>
      <w:r w:rsidR="007E5FEF">
        <w:t xml:space="preserve"> process</w:t>
      </w:r>
      <w:r w:rsidR="00902207">
        <w:t>.</w:t>
      </w:r>
      <w:r w:rsidR="00F9354F">
        <w:t xml:space="preserve">  </w:t>
      </w:r>
      <w:r w:rsidR="00DA7928">
        <w:t>A</w:t>
      </w:r>
      <w:r w:rsidR="00AC689F" w:rsidRPr="00AC689F">
        <w:t>ctivities include a</w:t>
      </w:r>
      <w:r w:rsidR="00AC689F">
        <w:t>dding new data fields and new data tables (if needed) to align the state’s UIC data to the national data model</w:t>
      </w:r>
      <w:r w:rsidR="00DA7928">
        <w:t>, cleaning up existing data, and in some cases, inputting historic data from records available in hard copy only</w:t>
      </w:r>
      <w:r w:rsidR="00AC689F">
        <w:t xml:space="preserve">.  </w:t>
      </w:r>
    </w:p>
    <w:p w:rsidR="00902207" w:rsidRDefault="00902207" w:rsidP="00DA7928">
      <w:pPr>
        <w:widowControl w:val="0"/>
        <w:ind w:left="720" w:hanging="720"/>
      </w:pPr>
      <w:r>
        <w:tab/>
      </w:r>
    </w:p>
    <w:p w:rsidR="002B193B" w:rsidRDefault="00902207" w:rsidP="006E6469">
      <w:pPr>
        <w:widowControl w:val="0"/>
      </w:pPr>
      <w:r w:rsidRPr="00B57CCB">
        <w:t>On average, the total “data development” cost to these programs is about 310 hou</w:t>
      </w:r>
      <w:r w:rsidR="003B126C" w:rsidRPr="00B57CCB">
        <w:t>rs</w:t>
      </w:r>
      <w:r w:rsidRPr="00B57CCB">
        <w:t>. A</w:t>
      </w:r>
      <w:r w:rsidR="00F9354F" w:rsidRPr="00B57CCB">
        <w:t xml:space="preserve">nnualizing the </w:t>
      </w:r>
      <w:r w:rsidRPr="00B57CCB">
        <w:t xml:space="preserve">effort </w:t>
      </w:r>
      <w:r w:rsidR="00F9354F" w:rsidRPr="00B57CCB">
        <w:t xml:space="preserve">over </w:t>
      </w:r>
      <w:r w:rsidR="00C820B9">
        <w:t>an</w:t>
      </w:r>
      <w:r w:rsidR="00C820B9" w:rsidRPr="00B57CCB">
        <w:t xml:space="preserve"> </w:t>
      </w:r>
      <w:r w:rsidR="00F9354F" w:rsidRPr="00B57CCB">
        <w:t>estimated 6-year phase-in schedule</w:t>
      </w:r>
      <w:r w:rsidRPr="00B57CCB">
        <w:t xml:space="preserve">, this equals 51.6 hours </w:t>
      </w:r>
      <w:r w:rsidR="00F9354F" w:rsidRPr="00B57CCB">
        <w:t>per program</w:t>
      </w:r>
      <w:r w:rsidR="007E5FEF" w:rsidRPr="00B57CCB">
        <w:t>,</w:t>
      </w:r>
      <w:r w:rsidR="00F9354F" w:rsidRPr="00B57CCB">
        <w:t xml:space="preserve"> </w:t>
      </w:r>
      <w:r w:rsidR="003B126C" w:rsidRPr="00B57CCB">
        <w:t>annually.</w:t>
      </w:r>
      <w:r w:rsidR="002B193B" w:rsidRPr="00B57CCB">
        <w:t xml:space="preserve">  Note that much of this is contractor labor, which is presented as non-labor costs in the UIC Programmatic ICR.</w:t>
      </w:r>
    </w:p>
    <w:p w:rsidR="00DA7928" w:rsidRDefault="00DA7928" w:rsidP="006E6469">
      <w:pPr>
        <w:widowControl w:val="0"/>
      </w:pPr>
    </w:p>
    <w:p w:rsidR="00902207" w:rsidRPr="00B57CCB" w:rsidRDefault="00DA7928" w:rsidP="006E6469">
      <w:pPr>
        <w:widowControl w:val="0"/>
      </w:pPr>
      <w:r>
        <w:t xml:space="preserve">Programs must also set up the data flow infrastructure. This </w:t>
      </w:r>
      <w:r w:rsidR="00902207" w:rsidRPr="00B57CCB">
        <w:t>includes the following activities:</w:t>
      </w:r>
      <w:r w:rsidR="002B193B" w:rsidRPr="00B57CCB">
        <w:t xml:space="preserve"> </w:t>
      </w:r>
    </w:p>
    <w:p w:rsidR="00902207" w:rsidRPr="00B57CCB" w:rsidRDefault="00902207">
      <w:pPr>
        <w:widowControl w:val="0"/>
      </w:pPr>
    </w:p>
    <w:p w:rsidR="00902207" w:rsidRPr="00B57CCB" w:rsidRDefault="00902207" w:rsidP="00D143A9">
      <w:pPr>
        <w:pStyle w:val="a0"/>
        <w:numPr>
          <w:ilvl w:val="0"/>
          <w:numId w:val="2"/>
        </w:numPr>
      </w:pPr>
      <w:r w:rsidRPr="00B57CCB">
        <w:t>Data</w:t>
      </w:r>
      <w:r w:rsidR="0098301A" w:rsidRPr="00B57CCB">
        <w:t xml:space="preserve"> mapping and data set generation</w:t>
      </w:r>
      <w:r w:rsidR="002F2C56" w:rsidRPr="00B57CCB">
        <w:t>,</w:t>
      </w:r>
      <w:r w:rsidR="007E5FEF" w:rsidRPr="00B57CCB">
        <w:t xml:space="preserve"> includ</w:t>
      </w:r>
      <w:r w:rsidR="002F2C56" w:rsidRPr="00B57CCB">
        <w:t>ing</w:t>
      </w:r>
      <w:r w:rsidR="002C746F" w:rsidRPr="00B57CCB">
        <w:t xml:space="preserve"> m</w:t>
      </w:r>
      <w:r w:rsidRPr="00B57CCB">
        <w:t>ap</w:t>
      </w:r>
      <w:r w:rsidR="002C746F" w:rsidRPr="00B57CCB">
        <w:t>ping</w:t>
      </w:r>
      <w:r w:rsidRPr="00B57CCB">
        <w:t xml:space="preserve"> </w:t>
      </w:r>
      <w:r w:rsidR="002C746F" w:rsidRPr="00B57CCB">
        <w:t xml:space="preserve">data from the state </w:t>
      </w:r>
      <w:r w:rsidRPr="00B57CCB">
        <w:t>database</w:t>
      </w:r>
      <w:r w:rsidR="002C746F" w:rsidRPr="00B57CCB">
        <w:t xml:space="preserve"> </w:t>
      </w:r>
      <w:r w:rsidR="00FA4F57">
        <w:t xml:space="preserve">structure </w:t>
      </w:r>
      <w:r w:rsidR="002C746F" w:rsidRPr="00B57CCB">
        <w:t xml:space="preserve">to </w:t>
      </w:r>
      <w:r w:rsidR="00FA4F57">
        <w:t>the National UIC Database structure</w:t>
      </w:r>
      <w:r w:rsidR="00FA4F57" w:rsidRPr="00B57CCB">
        <w:t xml:space="preserve"> </w:t>
      </w:r>
      <w:r w:rsidR="002C746F" w:rsidRPr="00B57CCB">
        <w:t>and</w:t>
      </w:r>
      <w:r w:rsidRPr="00B57CCB">
        <w:t xml:space="preserve"> generat</w:t>
      </w:r>
      <w:r w:rsidR="002C746F" w:rsidRPr="00B57CCB">
        <w:t>ing</w:t>
      </w:r>
      <w:r w:rsidRPr="00B57CCB">
        <w:t xml:space="preserve"> data set</w:t>
      </w:r>
      <w:r w:rsidR="002C746F" w:rsidRPr="00B57CCB">
        <w:t>s</w:t>
      </w:r>
      <w:r w:rsidRPr="00B57CCB">
        <w:t xml:space="preserve"> with valid records</w:t>
      </w:r>
      <w:r w:rsidR="00C542D0" w:rsidRPr="00B57CCB">
        <w:t>,</w:t>
      </w:r>
      <w:r w:rsidR="007E5FEF" w:rsidRPr="00B57CCB">
        <w:t xml:space="preserve">  </w:t>
      </w:r>
    </w:p>
    <w:p w:rsidR="00902207" w:rsidRPr="00B57CCB" w:rsidRDefault="00902207" w:rsidP="00D143A9">
      <w:pPr>
        <w:pStyle w:val="a0"/>
        <w:numPr>
          <w:ilvl w:val="0"/>
          <w:numId w:val="2"/>
        </w:numPr>
      </w:pPr>
      <w:r w:rsidRPr="00B57CCB">
        <w:t xml:space="preserve">Convert to </w:t>
      </w:r>
      <w:r w:rsidR="00A4167A" w:rsidRPr="00B57CCB">
        <w:t xml:space="preserve">Extensible </w:t>
      </w:r>
      <w:r w:rsidR="0098301A" w:rsidRPr="00B57CCB">
        <w:t>Markup Language</w:t>
      </w:r>
      <w:r w:rsidR="00A4167A" w:rsidRPr="00B57CCB">
        <w:t xml:space="preserve"> (</w:t>
      </w:r>
      <w:r w:rsidRPr="00B57CCB">
        <w:t>XML</w:t>
      </w:r>
      <w:r w:rsidR="00A4167A" w:rsidRPr="00B57CCB">
        <w:t>)</w:t>
      </w:r>
      <w:r w:rsidR="002C746F" w:rsidRPr="00B57CCB">
        <w:t>,</w:t>
      </w:r>
      <w:r w:rsidR="00832B18" w:rsidRPr="00B57CCB">
        <w:rPr>
          <w:rStyle w:val="FootnoteReference"/>
        </w:rPr>
        <w:footnoteReference w:id="2"/>
      </w:r>
      <w:r w:rsidRPr="00B57CCB">
        <w:t xml:space="preserve"> </w:t>
      </w:r>
      <w:r w:rsidR="00C542D0" w:rsidRPr="00B57CCB">
        <w:t>and</w:t>
      </w:r>
      <w:r w:rsidR="00A4167A" w:rsidRPr="00B57CCB">
        <w:t xml:space="preserve">  </w:t>
      </w:r>
    </w:p>
    <w:p w:rsidR="00902207" w:rsidRPr="00B57CCB" w:rsidRDefault="00A4167A" w:rsidP="00D143A9">
      <w:pPr>
        <w:pStyle w:val="a0"/>
        <w:numPr>
          <w:ilvl w:val="0"/>
          <w:numId w:val="2"/>
        </w:numPr>
      </w:pPr>
      <w:r w:rsidRPr="00B57CCB">
        <w:t xml:space="preserve">Data </w:t>
      </w:r>
      <w:r w:rsidR="0098301A" w:rsidRPr="00B57CCB">
        <w:t>f</w:t>
      </w:r>
      <w:r w:rsidRPr="00B57CCB">
        <w:t xml:space="preserve">low via </w:t>
      </w:r>
      <w:r w:rsidR="0098301A" w:rsidRPr="00B57CCB">
        <w:t xml:space="preserve">a </w:t>
      </w:r>
      <w:r w:rsidR="00FA4F57">
        <w:t xml:space="preserve">National Environmental Exchange </w:t>
      </w:r>
      <w:r w:rsidR="0098301A" w:rsidRPr="00B57CCB">
        <w:t xml:space="preserve">Network </w:t>
      </w:r>
      <w:r w:rsidR="00FA4F57">
        <w:t xml:space="preserve">(NEIEN) </w:t>
      </w:r>
      <w:r w:rsidR="0098301A" w:rsidRPr="00B57CCB">
        <w:t>Node</w:t>
      </w:r>
      <w:r w:rsidRPr="00B57CCB">
        <w:t xml:space="preserve"> in</w:t>
      </w:r>
      <w:r w:rsidR="0098301A" w:rsidRPr="00B57CCB">
        <w:t xml:space="preserve">volves </w:t>
      </w:r>
      <w:r w:rsidR="002C746F" w:rsidRPr="00B57CCB">
        <w:t>s</w:t>
      </w:r>
      <w:r w:rsidR="00902207" w:rsidRPr="00B57CCB">
        <w:t>et</w:t>
      </w:r>
      <w:r w:rsidR="002C746F" w:rsidRPr="00B57CCB">
        <w:t>ting</w:t>
      </w:r>
      <w:r w:rsidR="00902207" w:rsidRPr="00B57CCB">
        <w:t xml:space="preserve"> up/test</w:t>
      </w:r>
      <w:r w:rsidR="002C746F" w:rsidRPr="00B57CCB">
        <w:t>ing</w:t>
      </w:r>
      <w:r w:rsidR="00902207" w:rsidRPr="00B57CCB">
        <w:t xml:space="preserve"> automatic data submission</w:t>
      </w:r>
      <w:r w:rsidR="0098301A" w:rsidRPr="00B57CCB">
        <w:t xml:space="preserve"> and</w:t>
      </w:r>
      <w:r w:rsidR="002C746F" w:rsidRPr="00B57CCB">
        <w:t xml:space="preserve"> </w:t>
      </w:r>
      <w:r w:rsidR="00902207" w:rsidRPr="00B57CCB">
        <w:t xml:space="preserve">transfer to </w:t>
      </w:r>
      <w:r w:rsidR="0098301A" w:rsidRPr="00B57CCB">
        <w:t>EPA’s Central Data Exchange (</w:t>
      </w:r>
      <w:r w:rsidR="00902207" w:rsidRPr="00B57CCB">
        <w:t>CDX</w:t>
      </w:r>
      <w:r w:rsidR="0098301A" w:rsidRPr="00B57CCB">
        <w:t>)</w:t>
      </w:r>
      <w:r w:rsidRPr="00B57CCB">
        <w:t xml:space="preserve">.  </w:t>
      </w:r>
      <w:r w:rsidR="00902207" w:rsidRPr="00B57CCB">
        <w:t xml:space="preserve"> </w:t>
      </w:r>
    </w:p>
    <w:p w:rsidR="00902207" w:rsidRPr="00B57CCB" w:rsidRDefault="00902207">
      <w:pPr>
        <w:widowControl w:val="0"/>
      </w:pPr>
    </w:p>
    <w:p w:rsidR="00022FB0" w:rsidRPr="00B57CCB" w:rsidRDefault="00902207">
      <w:pPr>
        <w:widowControl w:val="0"/>
      </w:pPr>
      <w:r w:rsidRPr="00B57CCB">
        <w:t>Th</w:t>
      </w:r>
      <w:r w:rsidR="00F9354F" w:rsidRPr="00B57CCB">
        <w:t xml:space="preserve">e </w:t>
      </w:r>
      <w:r w:rsidRPr="00B57CCB">
        <w:t xml:space="preserve">total </w:t>
      </w:r>
      <w:r w:rsidR="00F9354F" w:rsidRPr="00B57CCB">
        <w:t xml:space="preserve">data flow burden is estimated to be </w:t>
      </w:r>
      <w:r w:rsidR="002B193B" w:rsidRPr="00B57CCB">
        <w:t>21</w:t>
      </w:r>
      <w:r w:rsidRPr="00B57CCB">
        <w:t>0 hours per program</w:t>
      </w:r>
      <w:r w:rsidR="00F9354F" w:rsidRPr="00B57CCB">
        <w:t>.  Annualized over 6 years, this equates to</w:t>
      </w:r>
      <w:r w:rsidRPr="00B57CCB">
        <w:t xml:space="preserve"> </w:t>
      </w:r>
      <w:r w:rsidR="002B193B" w:rsidRPr="00B57CCB">
        <w:t>3</w:t>
      </w:r>
      <w:r w:rsidRPr="00B57CCB">
        <w:t xml:space="preserve">5 hours </w:t>
      </w:r>
      <w:r w:rsidR="002B193B" w:rsidRPr="00B57CCB">
        <w:t>(</w:t>
      </w:r>
      <w:r w:rsidR="002F2C56" w:rsidRPr="00B57CCB">
        <w:t xml:space="preserve">in </w:t>
      </w:r>
      <w:r w:rsidR="002B193B" w:rsidRPr="00B57CCB">
        <w:t xml:space="preserve">state and contractor labor) </w:t>
      </w:r>
      <w:r w:rsidRPr="00B57CCB">
        <w:t>per year</w:t>
      </w:r>
      <w:r w:rsidR="00F9354F" w:rsidRPr="00B57CCB">
        <w:t xml:space="preserve"> per program</w:t>
      </w:r>
      <w:r w:rsidR="00A4167A" w:rsidRPr="00B57CCB">
        <w:t>.</w:t>
      </w:r>
    </w:p>
    <w:p w:rsidR="00F9354F" w:rsidRPr="00B57CCB" w:rsidRDefault="00F9354F">
      <w:pPr>
        <w:widowControl w:val="0"/>
      </w:pPr>
    </w:p>
    <w:p w:rsidR="00902207" w:rsidRPr="00B57CCB" w:rsidRDefault="00454453">
      <w:pPr>
        <w:keepNext/>
        <w:keepLines/>
        <w:widowControl w:val="0"/>
        <w:rPr>
          <w:u w:val="single"/>
        </w:rPr>
      </w:pPr>
      <w:r>
        <w:rPr>
          <w:u w:val="single"/>
        </w:rPr>
        <w:t>Programs</w:t>
      </w:r>
      <w:r w:rsidRPr="00B57CCB">
        <w:rPr>
          <w:u w:val="single"/>
        </w:rPr>
        <w:t xml:space="preserve"> </w:t>
      </w:r>
      <w:r w:rsidR="00902207" w:rsidRPr="00B57CCB">
        <w:rPr>
          <w:u w:val="single"/>
        </w:rPr>
        <w:t>with</w:t>
      </w:r>
      <w:r w:rsidR="006E6469" w:rsidRPr="00B57CCB">
        <w:rPr>
          <w:u w:val="single"/>
        </w:rPr>
        <w:t xml:space="preserve"> </w:t>
      </w:r>
      <w:r w:rsidR="00B56156" w:rsidRPr="00B57CCB">
        <w:rPr>
          <w:u w:val="single"/>
        </w:rPr>
        <w:t>Little or no Electronic Data</w:t>
      </w:r>
    </w:p>
    <w:p w:rsidR="00902207" w:rsidRPr="00B57CCB" w:rsidRDefault="00902207">
      <w:pPr>
        <w:keepNext/>
        <w:keepLines/>
        <w:widowControl w:val="0"/>
      </w:pPr>
    </w:p>
    <w:p w:rsidR="00902207" w:rsidRDefault="00DA7928" w:rsidP="00EE0723">
      <w:pPr>
        <w:keepLines/>
        <w:widowControl w:val="0"/>
      </w:pPr>
      <w:r>
        <w:t xml:space="preserve">States with little or no electronic data are </w:t>
      </w:r>
      <w:r w:rsidR="00902207" w:rsidRPr="00B57CCB">
        <w:t xml:space="preserve">assumed to </w:t>
      </w:r>
      <w:r w:rsidR="00B659A3">
        <w:t>require</w:t>
      </w:r>
      <w:r>
        <w:t xml:space="preserve"> a </w:t>
      </w:r>
      <w:r w:rsidR="00902207" w:rsidRPr="00B57CCB">
        <w:t>less intensive</w:t>
      </w:r>
      <w:r w:rsidR="002D7A02" w:rsidRPr="00B57CCB">
        <w:t xml:space="preserve"> </w:t>
      </w:r>
      <w:r w:rsidR="00B659A3">
        <w:t xml:space="preserve">effort </w:t>
      </w:r>
      <w:r w:rsidR="002D7A02" w:rsidRPr="00B57CCB">
        <w:t>than</w:t>
      </w:r>
      <w:r w:rsidR="00902207" w:rsidRPr="00B57CCB">
        <w:t xml:space="preserve"> for those </w:t>
      </w:r>
      <w:r w:rsidR="001B0CC7">
        <w:t>programs</w:t>
      </w:r>
      <w:r w:rsidR="001B0CC7" w:rsidRPr="00B57CCB">
        <w:t xml:space="preserve"> </w:t>
      </w:r>
      <w:r w:rsidR="00902207" w:rsidRPr="00B57CCB">
        <w:t>that already have a database as described above</w:t>
      </w:r>
      <w:r>
        <w:t xml:space="preserve"> because there is less complexity in their data management needs</w:t>
      </w:r>
      <w:r w:rsidR="00902207" w:rsidRPr="00B57CCB">
        <w:t xml:space="preserve">.  </w:t>
      </w:r>
      <w:r w:rsidR="00EE0723" w:rsidRPr="00B57CCB">
        <w:t xml:space="preserve">EPA estimates </w:t>
      </w:r>
      <w:r w:rsidR="00902207" w:rsidRPr="00B57CCB">
        <w:t>the start-up burden to these</w:t>
      </w:r>
      <w:r w:rsidR="001B0CC7" w:rsidRPr="00B57CCB">
        <w:t xml:space="preserve"> </w:t>
      </w:r>
      <w:r w:rsidR="00902207" w:rsidRPr="00B57CCB">
        <w:t>programs is 250 hours/ program</w:t>
      </w:r>
      <w:r w:rsidR="002D7A02" w:rsidRPr="00B57CCB">
        <w:t xml:space="preserve"> (state and contractor labor),</w:t>
      </w:r>
      <w:r w:rsidR="00902207" w:rsidRPr="00B57CCB">
        <w:t xml:space="preserve"> </w:t>
      </w:r>
      <w:r w:rsidR="00F9354F" w:rsidRPr="00B57CCB">
        <w:t xml:space="preserve">or </w:t>
      </w:r>
      <w:r w:rsidR="00995CEB">
        <w:t>41.6</w:t>
      </w:r>
      <w:r w:rsidR="00902207" w:rsidRPr="00B57CCB">
        <w:t xml:space="preserve"> hours per year, annualized</w:t>
      </w:r>
      <w:r w:rsidR="00F9354F" w:rsidRPr="00B57CCB">
        <w:t xml:space="preserve"> over 6 years</w:t>
      </w:r>
      <w:r w:rsidR="00902207" w:rsidRPr="00B57CCB">
        <w:t>.</w:t>
      </w:r>
      <w:r w:rsidR="00902207">
        <w:t xml:space="preserve"> </w:t>
      </w:r>
    </w:p>
    <w:p w:rsidR="00AD1F3A" w:rsidRDefault="00AD1F3A" w:rsidP="00AD1F3A">
      <w:pPr>
        <w:widowControl w:val="0"/>
      </w:pPr>
    </w:p>
    <w:p w:rsidR="00F02A62" w:rsidRDefault="00F02A62" w:rsidP="00AD1F3A">
      <w:pPr>
        <w:widowControl w:val="0"/>
      </w:pPr>
      <w:r>
        <w:rPr>
          <w:b/>
          <w:i/>
        </w:rPr>
        <w:t>Cost associated with start-up activities</w:t>
      </w:r>
    </w:p>
    <w:p w:rsidR="00DB652E" w:rsidRDefault="00DB652E" w:rsidP="00AD1F3A">
      <w:pPr>
        <w:widowControl w:val="0"/>
      </w:pPr>
    </w:p>
    <w:p w:rsidR="002D7A02" w:rsidRPr="000E619B" w:rsidRDefault="00AD1F3A" w:rsidP="002D7A02">
      <w:pPr>
        <w:widowControl w:val="0"/>
      </w:pPr>
      <w:r>
        <w:t>Start-up non-labor costs include contractor support and one-time hardware costs</w:t>
      </w:r>
      <w:r w:rsidR="00A4167A">
        <w:t xml:space="preserve"> to set up a state </w:t>
      </w:r>
      <w:r w:rsidR="00FA4F57">
        <w:t>NEIEN N</w:t>
      </w:r>
      <w:r w:rsidR="0048535B">
        <w:t>ode</w:t>
      </w:r>
      <w:r w:rsidR="00FA4F57">
        <w:t xml:space="preserve">.  </w:t>
      </w:r>
      <w:r w:rsidR="002D7A02">
        <w:t xml:space="preserve">EPA developed a Node Client that </w:t>
      </w:r>
      <w:r w:rsidR="001B0CC7">
        <w:t xml:space="preserve">programs </w:t>
      </w:r>
      <w:r w:rsidR="002D7A02">
        <w:t>without a data node can use to submit UIC data. States may choose to develop a</w:t>
      </w:r>
      <w:r w:rsidR="000A18D2">
        <w:t>n NEIEN</w:t>
      </w:r>
      <w:r w:rsidR="002D7A02">
        <w:t xml:space="preserve"> </w:t>
      </w:r>
      <w:r w:rsidR="00FA4F57" w:rsidRPr="000E619B">
        <w:t>N</w:t>
      </w:r>
      <w:r w:rsidR="002D7A02" w:rsidRPr="000E619B">
        <w:t xml:space="preserve">ode to serve all state programs but it is no longer a cost they must incur to submit data to the </w:t>
      </w:r>
      <w:r w:rsidR="005D5878" w:rsidRPr="000E619B">
        <w:t>National UIC Database</w:t>
      </w:r>
      <w:r w:rsidR="002D7A02" w:rsidRPr="000E619B">
        <w:t xml:space="preserve">. </w:t>
      </w:r>
    </w:p>
    <w:p w:rsidR="002D7A02" w:rsidRPr="000E619B" w:rsidRDefault="002D7A02" w:rsidP="00AD1F3A">
      <w:pPr>
        <w:widowControl w:val="0"/>
      </w:pPr>
    </w:p>
    <w:p w:rsidR="00AD1F3A" w:rsidRDefault="00AD1F3A" w:rsidP="00AD1F3A">
      <w:pPr>
        <w:widowControl w:val="0"/>
      </w:pPr>
      <w:r w:rsidRPr="000E619B">
        <w:t>EPA assumes that most start-up activities (estimated at 80 percent</w:t>
      </w:r>
      <w:r>
        <w:t xml:space="preserve"> of the burden cited above), will be performed by contractors at an estimated labor rate of $</w:t>
      </w:r>
      <w:r w:rsidR="00B57CCB">
        <w:t xml:space="preserve">91.58 </w:t>
      </w:r>
      <w:r>
        <w:t xml:space="preserve">hour.  In addition, </w:t>
      </w:r>
      <w:r w:rsidR="000A18D2">
        <w:t xml:space="preserve">each UIC </w:t>
      </w:r>
      <w:r>
        <w:t xml:space="preserve">program will </w:t>
      </w:r>
      <w:r w:rsidRPr="005C0582">
        <w:t xml:space="preserve">incur $7,000 </w:t>
      </w:r>
      <w:r w:rsidR="00A4167A" w:rsidRPr="005C0582">
        <w:t>($1,167/year, annualized</w:t>
      </w:r>
      <w:r w:rsidR="00A4167A">
        <w:t xml:space="preserve"> over 6 years) </w:t>
      </w:r>
      <w:r>
        <w:t xml:space="preserve">for costs associated with </w:t>
      </w:r>
      <w:r w:rsidR="000A18D2">
        <w:t xml:space="preserve">the development </w:t>
      </w:r>
      <w:r w:rsidR="00744D30">
        <w:t xml:space="preserve">and maintenance </w:t>
      </w:r>
      <w:r w:rsidR="000A18D2">
        <w:t>of a state NEIEN Node to support the UIC</w:t>
      </w:r>
      <w:r>
        <w:t xml:space="preserve"> data flow</w:t>
      </w:r>
      <w:r w:rsidR="000A18D2">
        <w:t>.</w:t>
      </w:r>
      <w:r>
        <w:t xml:space="preserve"> </w:t>
      </w:r>
    </w:p>
    <w:p w:rsidR="00902207" w:rsidRDefault="00902207">
      <w:pPr>
        <w:widowControl w:val="0"/>
      </w:pPr>
    </w:p>
    <w:p w:rsidR="00902207" w:rsidRDefault="00902207" w:rsidP="00CF209C">
      <w:pPr>
        <w:keepNext/>
        <w:keepLines/>
        <w:widowControl w:val="0"/>
      </w:pPr>
      <w:r>
        <w:rPr>
          <w:b/>
          <w:i/>
        </w:rPr>
        <w:t>Ongoing activities</w:t>
      </w:r>
    </w:p>
    <w:p w:rsidR="00902207" w:rsidRDefault="00902207" w:rsidP="00CF209C">
      <w:pPr>
        <w:keepNext/>
        <w:keepLines/>
        <w:widowControl w:val="0"/>
      </w:pPr>
    </w:p>
    <w:p w:rsidR="00902207" w:rsidRDefault="00902207" w:rsidP="00CF209C">
      <w:pPr>
        <w:keepNext/>
        <w:keepLines/>
        <w:widowControl w:val="0"/>
      </w:pPr>
      <w:r>
        <w:t xml:space="preserve">Annual activities include the incremental data entry burden for those </w:t>
      </w:r>
      <w:r w:rsidR="001B0CC7">
        <w:t xml:space="preserve">programs </w:t>
      </w:r>
      <w:r>
        <w:t>that currently do not enter UIC data into a state database.  (</w:t>
      </w:r>
      <w:r w:rsidR="001B0CC7">
        <w:t xml:space="preserve">Programs </w:t>
      </w:r>
      <w:r>
        <w:t xml:space="preserve">that have a </w:t>
      </w:r>
      <w:r w:rsidRPr="00B57CCB">
        <w:t>database are already incurring a data entry burden</w:t>
      </w:r>
      <w:r w:rsidR="00022FB0" w:rsidRPr="00B57CCB">
        <w:t>; thus, th</w:t>
      </w:r>
      <w:r w:rsidR="002D7A02" w:rsidRPr="00B57CCB">
        <w:t>e</w:t>
      </w:r>
      <w:r w:rsidR="00022FB0" w:rsidRPr="00B57CCB">
        <w:t xml:space="preserve"> ICR assume</w:t>
      </w:r>
      <w:r w:rsidR="002F2C56" w:rsidRPr="00B57CCB">
        <w:t>s</w:t>
      </w:r>
      <w:r w:rsidR="00022FB0" w:rsidRPr="00B57CCB">
        <w:t xml:space="preserve"> no additional paperwork burden for these </w:t>
      </w:r>
      <w:r w:rsidR="001B0CC7">
        <w:t>programs</w:t>
      </w:r>
      <w:r w:rsidR="001B0CC7" w:rsidRPr="00B57CCB">
        <w:t xml:space="preserve"> </w:t>
      </w:r>
      <w:r w:rsidR="00022FB0" w:rsidRPr="00B57CCB">
        <w:t>as a result of the new database</w:t>
      </w:r>
      <w:r w:rsidRPr="00B57CCB">
        <w:t xml:space="preserve">.)  The annual </w:t>
      </w:r>
      <w:r w:rsidR="00A4167A" w:rsidRPr="00B57CCB">
        <w:t xml:space="preserve">data entry </w:t>
      </w:r>
      <w:r w:rsidRPr="00B57CCB">
        <w:t xml:space="preserve">burden is estimated to be </w:t>
      </w:r>
      <w:r w:rsidR="002D7A02" w:rsidRPr="00B57CCB">
        <w:t>4</w:t>
      </w:r>
      <w:r w:rsidRPr="00B57CCB">
        <w:t>0 hours.</w:t>
      </w:r>
      <w:r w:rsidR="00013267" w:rsidRPr="00B57CCB">
        <w:t xml:space="preserve"> Note that some </w:t>
      </w:r>
      <w:r w:rsidR="001B0CC7">
        <w:t>programs</w:t>
      </w:r>
      <w:r w:rsidR="001B0CC7" w:rsidRPr="00B57CCB">
        <w:t xml:space="preserve"> </w:t>
      </w:r>
      <w:r w:rsidR="00013267" w:rsidRPr="00B57CCB">
        <w:t xml:space="preserve">have developed software that allow inspection data </w:t>
      </w:r>
      <w:r w:rsidR="0077015B" w:rsidRPr="00B57CCB">
        <w:t xml:space="preserve">gathered in the field </w:t>
      </w:r>
      <w:r w:rsidR="00013267" w:rsidRPr="00B57CCB">
        <w:t>to be</w:t>
      </w:r>
      <w:r w:rsidR="00013267">
        <w:t xml:space="preserve"> directly uploaded into their </w:t>
      </w:r>
      <w:r w:rsidR="001B0CC7">
        <w:t xml:space="preserve">program </w:t>
      </w:r>
      <w:r w:rsidR="00013267">
        <w:t>database</w:t>
      </w:r>
      <w:r w:rsidR="00FC36AB">
        <w:t>,</w:t>
      </w:r>
      <w:r w:rsidR="00013267">
        <w:t xml:space="preserve"> further reducing data entry burden. Other </w:t>
      </w:r>
      <w:r w:rsidR="001B0CC7">
        <w:t xml:space="preserve">programs </w:t>
      </w:r>
      <w:r w:rsidR="00013267">
        <w:t>have also establish</w:t>
      </w:r>
      <w:r w:rsidR="00FC36AB">
        <w:t>ed</w:t>
      </w:r>
      <w:r w:rsidR="00013267">
        <w:t xml:space="preserve"> web-based permitting and inventory </w:t>
      </w:r>
      <w:r w:rsidR="000A18D2">
        <w:t xml:space="preserve">data entry applications </w:t>
      </w:r>
      <w:r w:rsidR="00013267">
        <w:t xml:space="preserve">that flow data to their </w:t>
      </w:r>
      <w:r w:rsidR="001B0CC7">
        <w:t xml:space="preserve">program </w:t>
      </w:r>
      <w:r w:rsidR="00013267">
        <w:t xml:space="preserve">database further reducing burden. </w:t>
      </w:r>
    </w:p>
    <w:p w:rsidR="00902207" w:rsidRDefault="00902207">
      <w:pPr>
        <w:widowControl w:val="0"/>
      </w:pPr>
    </w:p>
    <w:p w:rsidR="00902207" w:rsidRDefault="00902207">
      <w:pPr>
        <w:widowControl w:val="0"/>
      </w:pPr>
      <w:r>
        <w:t xml:space="preserve">All </w:t>
      </w:r>
      <w:r w:rsidRPr="004164F0">
        <w:t xml:space="preserve">programs will </w:t>
      </w:r>
      <w:r w:rsidR="00013267" w:rsidRPr="00E0033A">
        <w:t xml:space="preserve">submit their data to the </w:t>
      </w:r>
      <w:r w:rsidR="005D5878" w:rsidRPr="00E0033A">
        <w:t>National UIC Database</w:t>
      </w:r>
      <w:r w:rsidR="00013267" w:rsidRPr="00E0033A">
        <w:t xml:space="preserve"> through CDX </w:t>
      </w:r>
      <w:r w:rsidRPr="00E0033A">
        <w:t xml:space="preserve">and respond to QA and </w:t>
      </w:r>
      <w:r w:rsidR="00A4167A" w:rsidRPr="00E0033A">
        <w:t xml:space="preserve">data </w:t>
      </w:r>
      <w:r w:rsidRPr="00E0033A">
        <w:t xml:space="preserve">validation issues.  EPA estimates these tasks will require </w:t>
      </w:r>
      <w:r w:rsidRPr="00454453">
        <w:t>4 hours</w:t>
      </w:r>
      <w:r w:rsidR="00A4167A" w:rsidRPr="004164F0">
        <w:t xml:space="preserve"> </w:t>
      </w:r>
      <w:r w:rsidR="00A4167A" w:rsidRPr="00E0033A">
        <w:t xml:space="preserve">per </w:t>
      </w:r>
      <w:r w:rsidR="00BE6E31" w:rsidRPr="00E0033A">
        <w:t>semi-annual submission</w:t>
      </w:r>
      <w:r w:rsidRPr="00E0033A">
        <w:t xml:space="preserve">, </w:t>
      </w:r>
      <w:r w:rsidR="00A4167A" w:rsidRPr="00E0033A">
        <w:t xml:space="preserve">or </w:t>
      </w:r>
      <w:r w:rsidR="004164F0" w:rsidRPr="00454453">
        <w:t xml:space="preserve">8 </w:t>
      </w:r>
      <w:r w:rsidRPr="00454453">
        <w:t>hours</w:t>
      </w:r>
      <w:r w:rsidRPr="004164F0">
        <w:t xml:space="preserve"> </w:t>
      </w:r>
      <w:r w:rsidR="00022FB0" w:rsidRPr="00E0033A">
        <w:t>per year</w:t>
      </w:r>
      <w:r w:rsidR="004164F0" w:rsidRPr="00E0033A">
        <w:t>, per program</w:t>
      </w:r>
      <w:r w:rsidRPr="00E0033A">
        <w:t>.</w:t>
      </w:r>
    </w:p>
    <w:p w:rsidR="00652A07" w:rsidRDefault="00652A07" w:rsidP="00B26F74">
      <w:pPr>
        <w:widowControl w:val="0"/>
      </w:pPr>
    </w:p>
    <w:p w:rsidR="00652A07" w:rsidRPr="002F2561" w:rsidRDefault="004864B8" w:rsidP="002D7A02">
      <w:pPr>
        <w:keepNext/>
        <w:keepLines/>
        <w:widowControl w:val="0"/>
        <w:rPr>
          <w:b/>
        </w:rPr>
      </w:pPr>
      <w:r>
        <w:rPr>
          <w:b/>
        </w:rPr>
        <w:t>B2</w:t>
      </w:r>
      <w:r w:rsidR="00C95CA5">
        <w:rPr>
          <w:b/>
        </w:rPr>
        <w:t xml:space="preserve">. </w:t>
      </w:r>
      <w:r w:rsidR="002F2561" w:rsidRPr="002F2561">
        <w:rPr>
          <w:b/>
        </w:rPr>
        <w:t>Burden Reduction and Cost Savings</w:t>
      </w:r>
    </w:p>
    <w:p w:rsidR="002F2561" w:rsidRDefault="002F2561" w:rsidP="002D7A02">
      <w:pPr>
        <w:keepNext/>
        <w:keepLines/>
        <w:widowControl w:val="0"/>
      </w:pPr>
    </w:p>
    <w:p w:rsidR="002F2561" w:rsidRDefault="00CF209C" w:rsidP="002D7A02">
      <w:pPr>
        <w:keepNext/>
        <w:keepLines/>
        <w:widowControl w:val="0"/>
        <w:rPr>
          <w:szCs w:val="24"/>
        </w:rPr>
      </w:pPr>
      <w:r w:rsidRPr="00CF209C">
        <w:rPr>
          <w:szCs w:val="24"/>
        </w:rPr>
        <w:t xml:space="preserve">Over the long run, the </w:t>
      </w:r>
      <w:r w:rsidR="005D5878">
        <w:rPr>
          <w:szCs w:val="24"/>
        </w:rPr>
        <w:t>National UIC Database</w:t>
      </w:r>
      <w:r w:rsidRPr="00CF209C">
        <w:rPr>
          <w:szCs w:val="24"/>
        </w:rPr>
        <w:t xml:space="preserve"> will reduce the </w:t>
      </w:r>
      <w:r w:rsidR="001B0CC7">
        <w:rPr>
          <w:szCs w:val="24"/>
        </w:rPr>
        <w:t>programs’</w:t>
      </w:r>
      <w:r w:rsidR="001B0CC7" w:rsidRPr="00CF209C">
        <w:rPr>
          <w:szCs w:val="24"/>
        </w:rPr>
        <w:t xml:space="preserve"> </w:t>
      </w:r>
      <w:r w:rsidRPr="00CF209C">
        <w:rPr>
          <w:szCs w:val="24"/>
        </w:rPr>
        <w:t xml:space="preserve">reporting burden. </w:t>
      </w:r>
      <w:r w:rsidR="00FC36AB">
        <w:rPr>
          <w:szCs w:val="24"/>
        </w:rPr>
        <w:t xml:space="preserve">Following transfer </w:t>
      </w:r>
      <w:r w:rsidR="00013267">
        <w:rPr>
          <w:szCs w:val="24"/>
        </w:rPr>
        <w:t>to e-reporting</w:t>
      </w:r>
      <w:r w:rsidRPr="00CF209C">
        <w:rPr>
          <w:szCs w:val="24"/>
        </w:rPr>
        <w:t xml:space="preserve">, </w:t>
      </w:r>
      <w:r w:rsidR="001B0CC7">
        <w:rPr>
          <w:szCs w:val="24"/>
        </w:rPr>
        <w:t>programs</w:t>
      </w:r>
      <w:r w:rsidR="001B0CC7" w:rsidRPr="00CF209C">
        <w:rPr>
          <w:szCs w:val="24"/>
        </w:rPr>
        <w:t xml:space="preserve"> </w:t>
      </w:r>
      <w:r w:rsidRPr="00CF209C">
        <w:rPr>
          <w:szCs w:val="24"/>
        </w:rPr>
        <w:t xml:space="preserve">will no longer </w:t>
      </w:r>
      <w:r w:rsidR="00466872">
        <w:rPr>
          <w:szCs w:val="24"/>
        </w:rPr>
        <w:t>need</w:t>
      </w:r>
      <w:r w:rsidRPr="00CF209C">
        <w:rPr>
          <w:szCs w:val="24"/>
        </w:rPr>
        <w:t xml:space="preserve"> to complete the 7520 forms and report</w:t>
      </w:r>
      <w:r w:rsidR="00466872">
        <w:rPr>
          <w:szCs w:val="24"/>
        </w:rPr>
        <w:t xml:space="preserve"> on </w:t>
      </w:r>
      <w:r w:rsidR="001B0CC7">
        <w:rPr>
          <w:szCs w:val="24"/>
        </w:rPr>
        <w:t>inventory and PAMs</w:t>
      </w:r>
      <w:r w:rsidRPr="00CF209C">
        <w:rPr>
          <w:szCs w:val="24"/>
        </w:rPr>
        <w:t>.  This eliminate</w:t>
      </w:r>
      <w:r w:rsidR="00C542D0">
        <w:rPr>
          <w:szCs w:val="24"/>
        </w:rPr>
        <w:t>s</w:t>
      </w:r>
      <w:r w:rsidRPr="00CF209C">
        <w:rPr>
          <w:szCs w:val="24"/>
        </w:rPr>
        <w:t xml:space="preserve"> the current burden associated with gathering </w:t>
      </w:r>
      <w:r w:rsidR="00466872">
        <w:rPr>
          <w:szCs w:val="24"/>
        </w:rPr>
        <w:t xml:space="preserve">and compiling UIC </w:t>
      </w:r>
      <w:r w:rsidRPr="00CF209C">
        <w:rPr>
          <w:szCs w:val="24"/>
        </w:rPr>
        <w:t>data</w:t>
      </w:r>
      <w:r w:rsidR="00466872">
        <w:rPr>
          <w:szCs w:val="24"/>
        </w:rPr>
        <w:t>,</w:t>
      </w:r>
      <w:r w:rsidRPr="00CF209C">
        <w:rPr>
          <w:szCs w:val="24"/>
        </w:rPr>
        <w:t xml:space="preserve"> c</w:t>
      </w:r>
      <w:r w:rsidR="007423E2">
        <w:rPr>
          <w:szCs w:val="24"/>
        </w:rPr>
        <w:t>ompleting the reporting forms</w:t>
      </w:r>
      <w:r w:rsidR="00466872">
        <w:rPr>
          <w:szCs w:val="24"/>
        </w:rPr>
        <w:t>, and maintaining records</w:t>
      </w:r>
      <w:r w:rsidR="007423E2">
        <w:rPr>
          <w:szCs w:val="24"/>
        </w:rPr>
        <w:t>.</w:t>
      </w:r>
    </w:p>
    <w:p w:rsidR="00CF209C" w:rsidRDefault="00CF209C">
      <w:pPr>
        <w:keepLines/>
        <w:widowControl w:val="0"/>
        <w:rPr>
          <w:szCs w:val="24"/>
        </w:rPr>
      </w:pPr>
    </w:p>
    <w:p w:rsidR="00CF209C" w:rsidRPr="00B57CCB" w:rsidRDefault="00604C85">
      <w:pPr>
        <w:keepLines/>
        <w:widowControl w:val="0"/>
        <w:rPr>
          <w:szCs w:val="24"/>
        </w:rPr>
      </w:pPr>
      <w:r>
        <w:rPr>
          <w:szCs w:val="24"/>
        </w:rPr>
        <w:t>A</w:t>
      </w:r>
      <w:r w:rsidR="00CF209C">
        <w:rPr>
          <w:szCs w:val="24"/>
        </w:rPr>
        <w:t xml:space="preserve">s described above, </w:t>
      </w:r>
      <w:r w:rsidR="001B0CC7">
        <w:rPr>
          <w:szCs w:val="24"/>
        </w:rPr>
        <w:t xml:space="preserve">programs </w:t>
      </w:r>
      <w:r w:rsidR="00CF209C">
        <w:rPr>
          <w:szCs w:val="24"/>
        </w:rPr>
        <w:t xml:space="preserve">will need to make a time and hardware investment </w:t>
      </w:r>
      <w:r w:rsidR="0063426B">
        <w:rPr>
          <w:szCs w:val="24"/>
        </w:rPr>
        <w:t xml:space="preserve">to develop the automated data transfer </w:t>
      </w:r>
      <w:r w:rsidR="0063426B" w:rsidRPr="00B57CCB">
        <w:rPr>
          <w:szCs w:val="24"/>
        </w:rPr>
        <w:t xml:space="preserve">process.  </w:t>
      </w:r>
      <w:r w:rsidRPr="00B57CCB">
        <w:rPr>
          <w:szCs w:val="24"/>
        </w:rPr>
        <w:t>However, w</w:t>
      </w:r>
      <w:r w:rsidR="0063426B" w:rsidRPr="00B57CCB">
        <w:rPr>
          <w:szCs w:val="24"/>
        </w:rPr>
        <w:t xml:space="preserve">hen the data transfer is complete, the current annual burden </w:t>
      </w:r>
      <w:r w:rsidRPr="00B57CCB">
        <w:rPr>
          <w:szCs w:val="24"/>
        </w:rPr>
        <w:t xml:space="preserve">associated with completing the 7520 forms and reporting </w:t>
      </w:r>
      <w:r w:rsidR="00717E75" w:rsidRPr="00B57CCB">
        <w:rPr>
          <w:szCs w:val="24"/>
        </w:rPr>
        <w:t xml:space="preserve">inventory and </w:t>
      </w:r>
      <w:r w:rsidRPr="00B57CCB">
        <w:rPr>
          <w:szCs w:val="24"/>
        </w:rPr>
        <w:t xml:space="preserve">PAMs </w:t>
      </w:r>
      <w:r w:rsidR="00717E75" w:rsidRPr="00B57CCB">
        <w:rPr>
          <w:szCs w:val="24"/>
        </w:rPr>
        <w:t xml:space="preserve">data </w:t>
      </w:r>
      <w:r w:rsidR="0063426B" w:rsidRPr="00B57CCB">
        <w:rPr>
          <w:szCs w:val="24"/>
        </w:rPr>
        <w:t xml:space="preserve">will be replaced with a </w:t>
      </w:r>
      <w:r w:rsidR="00466872" w:rsidRPr="00B57CCB">
        <w:rPr>
          <w:szCs w:val="24"/>
        </w:rPr>
        <w:t xml:space="preserve">lower </w:t>
      </w:r>
      <w:r w:rsidR="0063426B" w:rsidRPr="00B57CCB">
        <w:rPr>
          <w:szCs w:val="24"/>
        </w:rPr>
        <w:t xml:space="preserve">burden associated with placing data on </w:t>
      </w:r>
      <w:r w:rsidR="00BA07F7">
        <w:rPr>
          <w:szCs w:val="24"/>
        </w:rPr>
        <w:t>the state NEIEN Node</w:t>
      </w:r>
      <w:r w:rsidR="0063426B" w:rsidRPr="00B57CCB">
        <w:rPr>
          <w:szCs w:val="24"/>
        </w:rPr>
        <w:t xml:space="preserve"> </w:t>
      </w:r>
      <w:r w:rsidR="00BA07F7">
        <w:rPr>
          <w:szCs w:val="24"/>
        </w:rPr>
        <w:t>to flow</w:t>
      </w:r>
      <w:r w:rsidR="0063426B" w:rsidRPr="00B57CCB">
        <w:rPr>
          <w:szCs w:val="24"/>
        </w:rPr>
        <w:t xml:space="preserve"> it to Headquarters and provid</w:t>
      </w:r>
      <w:r w:rsidR="00BA07F7">
        <w:rPr>
          <w:szCs w:val="24"/>
        </w:rPr>
        <w:t>ing</w:t>
      </w:r>
      <w:r w:rsidR="0063426B" w:rsidRPr="00B57CCB">
        <w:rPr>
          <w:szCs w:val="24"/>
        </w:rPr>
        <w:t xml:space="preserve"> </w:t>
      </w:r>
      <w:r w:rsidR="00E721C4" w:rsidRPr="00B57CCB">
        <w:rPr>
          <w:szCs w:val="24"/>
        </w:rPr>
        <w:t>QA to assure data accuracy, as described below:</w:t>
      </w:r>
    </w:p>
    <w:p w:rsidR="00E165A3" w:rsidRPr="00B57CCB" w:rsidRDefault="00E165A3">
      <w:pPr>
        <w:keepLines/>
        <w:widowControl w:val="0"/>
        <w:rPr>
          <w:szCs w:val="24"/>
        </w:rPr>
      </w:pPr>
    </w:p>
    <w:p w:rsidR="00E165A3" w:rsidRPr="00B57CCB" w:rsidRDefault="00E165A3" w:rsidP="00D143A9">
      <w:pPr>
        <w:keepLines/>
        <w:widowControl w:val="0"/>
        <w:numPr>
          <w:ilvl w:val="0"/>
          <w:numId w:val="4"/>
        </w:numPr>
        <w:rPr>
          <w:szCs w:val="24"/>
        </w:rPr>
      </w:pPr>
      <w:r w:rsidRPr="00B57CCB">
        <w:rPr>
          <w:szCs w:val="24"/>
        </w:rPr>
        <w:t xml:space="preserve">Under </w:t>
      </w:r>
      <w:r w:rsidR="002F2C56" w:rsidRPr="00B57CCB">
        <w:rPr>
          <w:szCs w:val="24"/>
        </w:rPr>
        <w:t>a</w:t>
      </w:r>
      <w:r w:rsidRPr="00B57CCB">
        <w:rPr>
          <w:szCs w:val="24"/>
        </w:rPr>
        <w:t xml:space="preserve"> paper-based system, </w:t>
      </w:r>
      <w:r w:rsidR="001B0CC7">
        <w:rPr>
          <w:szCs w:val="24"/>
        </w:rPr>
        <w:t>programs</w:t>
      </w:r>
      <w:r w:rsidR="001B0CC7" w:rsidRPr="00B57CCB">
        <w:rPr>
          <w:szCs w:val="24"/>
        </w:rPr>
        <w:t xml:space="preserve"> </w:t>
      </w:r>
      <w:r w:rsidR="002F2C56" w:rsidRPr="00B57CCB">
        <w:rPr>
          <w:szCs w:val="24"/>
        </w:rPr>
        <w:t xml:space="preserve">would </w:t>
      </w:r>
      <w:r w:rsidRPr="00B57CCB">
        <w:rPr>
          <w:szCs w:val="24"/>
        </w:rPr>
        <w:t xml:space="preserve">collectively incur </w:t>
      </w:r>
      <w:r w:rsidR="001239EA" w:rsidRPr="00B57CCB">
        <w:rPr>
          <w:szCs w:val="24"/>
        </w:rPr>
        <w:t xml:space="preserve">over </w:t>
      </w:r>
      <w:r w:rsidRPr="00B57CCB">
        <w:rPr>
          <w:szCs w:val="24"/>
        </w:rPr>
        <w:t>$</w:t>
      </w:r>
      <w:r w:rsidR="001239EA" w:rsidRPr="00B57CCB">
        <w:rPr>
          <w:szCs w:val="24"/>
        </w:rPr>
        <w:t>625,000</w:t>
      </w:r>
      <w:r w:rsidRPr="00B57CCB">
        <w:rPr>
          <w:szCs w:val="24"/>
        </w:rPr>
        <w:t xml:space="preserve"> annually in reporting and recordkeeping cost</w:t>
      </w:r>
      <w:r w:rsidR="00466872" w:rsidRPr="00B57CCB">
        <w:rPr>
          <w:szCs w:val="24"/>
        </w:rPr>
        <w:t>s</w:t>
      </w:r>
      <w:r w:rsidRPr="00B57CCB">
        <w:rPr>
          <w:szCs w:val="24"/>
        </w:rPr>
        <w:t>; this equals about $1</w:t>
      </w:r>
      <w:r w:rsidR="001239EA" w:rsidRPr="00B57CCB">
        <w:rPr>
          <w:szCs w:val="24"/>
        </w:rPr>
        <w:t>0</w:t>
      </w:r>
      <w:r w:rsidRPr="00B57CCB">
        <w:rPr>
          <w:szCs w:val="24"/>
        </w:rPr>
        <w:t>,</w:t>
      </w:r>
      <w:r w:rsidR="001239EA" w:rsidRPr="00B57CCB">
        <w:rPr>
          <w:szCs w:val="24"/>
        </w:rPr>
        <w:t>800</w:t>
      </w:r>
      <w:r w:rsidRPr="00B57CCB">
        <w:rPr>
          <w:szCs w:val="24"/>
        </w:rPr>
        <w:t xml:space="preserve"> </w:t>
      </w:r>
      <w:r w:rsidR="002F2C56" w:rsidRPr="00B57CCB">
        <w:rPr>
          <w:szCs w:val="24"/>
        </w:rPr>
        <w:t xml:space="preserve">annually </w:t>
      </w:r>
      <w:r w:rsidRPr="00B57CCB">
        <w:rPr>
          <w:szCs w:val="24"/>
        </w:rPr>
        <w:t xml:space="preserve">per state.  </w:t>
      </w:r>
    </w:p>
    <w:p w:rsidR="00E165A3" w:rsidRPr="00B57CCB" w:rsidRDefault="00E165A3" w:rsidP="00D143A9">
      <w:pPr>
        <w:keepLines/>
        <w:widowControl w:val="0"/>
        <w:rPr>
          <w:szCs w:val="24"/>
        </w:rPr>
      </w:pPr>
    </w:p>
    <w:p w:rsidR="00E165A3" w:rsidRPr="00B57CCB" w:rsidRDefault="001239EA" w:rsidP="00D143A9">
      <w:pPr>
        <w:keepLines/>
        <w:widowControl w:val="0"/>
        <w:numPr>
          <w:ilvl w:val="0"/>
          <w:numId w:val="4"/>
        </w:numPr>
        <w:rPr>
          <w:szCs w:val="24"/>
        </w:rPr>
      </w:pPr>
      <w:r w:rsidRPr="00B57CCB">
        <w:rPr>
          <w:szCs w:val="24"/>
        </w:rPr>
        <w:t>Between 201</w:t>
      </w:r>
      <w:r w:rsidR="00B57CCB">
        <w:rPr>
          <w:szCs w:val="24"/>
        </w:rPr>
        <w:t>5</w:t>
      </w:r>
      <w:r w:rsidRPr="00B57CCB">
        <w:rPr>
          <w:szCs w:val="24"/>
        </w:rPr>
        <w:t xml:space="preserve"> and 201</w:t>
      </w:r>
      <w:r w:rsidR="00B57CCB">
        <w:rPr>
          <w:szCs w:val="24"/>
        </w:rPr>
        <w:t>7</w:t>
      </w:r>
      <w:r w:rsidRPr="00B57CCB">
        <w:rPr>
          <w:szCs w:val="24"/>
        </w:rPr>
        <w:t xml:space="preserve">, </w:t>
      </w:r>
      <w:r w:rsidR="001B0CC7">
        <w:rPr>
          <w:szCs w:val="24"/>
        </w:rPr>
        <w:t>programs</w:t>
      </w:r>
      <w:r w:rsidR="001B0CC7" w:rsidRPr="00B57CCB">
        <w:rPr>
          <w:szCs w:val="24"/>
        </w:rPr>
        <w:t xml:space="preserve"> </w:t>
      </w:r>
      <w:r w:rsidRPr="00B57CCB">
        <w:rPr>
          <w:szCs w:val="24"/>
        </w:rPr>
        <w:t>will collectively incur $</w:t>
      </w:r>
      <w:r w:rsidR="00B57CCB">
        <w:rPr>
          <w:szCs w:val="24"/>
        </w:rPr>
        <w:t>1,</w:t>
      </w:r>
      <w:r w:rsidR="009D074B">
        <w:rPr>
          <w:szCs w:val="24"/>
        </w:rPr>
        <w:t>49</w:t>
      </w:r>
      <w:r w:rsidR="00B57CCB">
        <w:rPr>
          <w:szCs w:val="24"/>
        </w:rPr>
        <w:t>7,</w:t>
      </w:r>
      <w:r w:rsidR="009D074B">
        <w:rPr>
          <w:szCs w:val="24"/>
        </w:rPr>
        <w:t>20</w:t>
      </w:r>
      <w:r w:rsidR="00B57CCB">
        <w:rPr>
          <w:szCs w:val="24"/>
        </w:rPr>
        <w:t xml:space="preserve">9 </w:t>
      </w:r>
      <w:r w:rsidR="00E165A3" w:rsidRPr="00B57CCB">
        <w:rPr>
          <w:szCs w:val="24"/>
        </w:rPr>
        <w:t>in start-up costs</w:t>
      </w:r>
      <w:r w:rsidRPr="00B57CCB">
        <w:rPr>
          <w:szCs w:val="24"/>
        </w:rPr>
        <w:t xml:space="preserve"> to convert from paper-based to electronic reporting</w:t>
      </w:r>
      <w:r w:rsidR="00E165A3" w:rsidRPr="00B57CCB">
        <w:rPr>
          <w:szCs w:val="24"/>
        </w:rPr>
        <w:t>.</w:t>
      </w:r>
      <w:r w:rsidR="002F2C56" w:rsidRPr="00B57CCB">
        <w:rPr>
          <w:szCs w:val="24"/>
        </w:rPr>
        <w:t xml:space="preserve"> This equates to an average of $4</w:t>
      </w:r>
      <w:r w:rsidR="00B57CCB">
        <w:rPr>
          <w:szCs w:val="24"/>
        </w:rPr>
        <w:t>9</w:t>
      </w:r>
      <w:r w:rsidR="002F2C56" w:rsidRPr="00B57CCB">
        <w:rPr>
          <w:szCs w:val="24"/>
        </w:rPr>
        <w:t>,</w:t>
      </w:r>
      <w:r w:rsidR="00B57CCB">
        <w:rPr>
          <w:szCs w:val="24"/>
        </w:rPr>
        <w:t>38</w:t>
      </w:r>
      <w:r w:rsidR="002F2C56" w:rsidRPr="00B57CCB">
        <w:rPr>
          <w:szCs w:val="24"/>
        </w:rPr>
        <w:t>2 in labor and hardware costs for each program that currently has a database, and $2</w:t>
      </w:r>
      <w:r w:rsidR="00B57CCB">
        <w:rPr>
          <w:szCs w:val="24"/>
        </w:rPr>
        <w:t>7</w:t>
      </w:r>
      <w:r w:rsidR="002F2C56" w:rsidRPr="00B57CCB">
        <w:rPr>
          <w:szCs w:val="24"/>
        </w:rPr>
        <w:t>,</w:t>
      </w:r>
      <w:r w:rsidR="00B57CCB">
        <w:rPr>
          <w:szCs w:val="24"/>
        </w:rPr>
        <w:t>387</w:t>
      </w:r>
      <w:r w:rsidR="002F2C56" w:rsidRPr="00B57CCB">
        <w:rPr>
          <w:szCs w:val="24"/>
        </w:rPr>
        <w:t xml:space="preserve"> per program without a database.</w:t>
      </w:r>
    </w:p>
    <w:p w:rsidR="00E165A3" w:rsidRPr="00B57CCB" w:rsidRDefault="00E165A3" w:rsidP="00D143A9">
      <w:pPr>
        <w:keepLines/>
        <w:widowControl w:val="0"/>
        <w:rPr>
          <w:szCs w:val="24"/>
        </w:rPr>
      </w:pPr>
    </w:p>
    <w:p w:rsidR="00E165A3" w:rsidRPr="00B57CCB" w:rsidRDefault="00E165A3" w:rsidP="00D143A9">
      <w:pPr>
        <w:keepLines/>
        <w:widowControl w:val="0"/>
        <w:numPr>
          <w:ilvl w:val="0"/>
          <w:numId w:val="4"/>
        </w:numPr>
        <w:rPr>
          <w:szCs w:val="24"/>
        </w:rPr>
      </w:pPr>
      <w:r w:rsidRPr="00B57CCB">
        <w:rPr>
          <w:szCs w:val="24"/>
        </w:rPr>
        <w:t xml:space="preserve">When their initial data transfer is complete, </w:t>
      </w:r>
      <w:r w:rsidR="001B0CC7">
        <w:rPr>
          <w:szCs w:val="24"/>
        </w:rPr>
        <w:t>programs</w:t>
      </w:r>
      <w:r w:rsidR="001B0CC7" w:rsidRPr="00B57CCB">
        <w:rPr>
          <w:szCs w:val="24"/>
        </w:rPr>
        <w:t xml:space="preserve"> </w:t>
      </w:r>
      <w:r w:rsidRPr="00B57CCB">
        <w:rPr>
          <w:szCs w:val="24"/>
        </w:rPr>
        <w:t xml:space="preserve">will incur lower annual costs: an </w:t>
      </w:r>
      <w:r w:rsidR="00466872" w:rsidRPr="00B57CCB">
        <w:rPr>
          <w:szCs w:val="24"/>
        </w:rPr>
        <w:t xml:space="preserve">estimated </w:t>
      </w:r>
      <w:r w:rsidR="00B57CCB">
        <w:rPr>
          <w:szCs w:val="24"/>
        </w:rPr>
        <w:t xml:space="preserve">average </w:t>
      </w:r>
      <w:r w:rsidR="001239EA" w:rsidRPr="00B57CCB">
        <w:rPr>
          <w:szCs w:val="24"/>
        </w:rPr>
        <w:t xml:space="preserve">annual </w:t>
      </w:r>
      <w:r w:rsidRPr="00B57CCB">
        <w:rPr>
          <w:szCs w:val="24"/>
        </w:rPr>
        <w:t xml:space="preserve">cost </w:t>
      </w:r>
      <w:r w:rsidR="0083704D">
        <w:rPr>
          <w:szCs w:val="24"/>
        </w:rPr>
        <w:t xml:space="preserve">over the ICR clearance period </w:t>
      </w:r>
      <w:r w:rsidRPr="00B57CCB">
        <w:rPr>
          <w:szCs w:val="24"/>
        </w:rPr>
        <w:t xml:space="preserve">of about </w:t>
      </w:r>
      <w:r w:rsidR="001239EA" w:rsidRPr="00B57CCB">
        <w:rPr>
          <w:szCs w:val="24"/>
        </w:rPr>
        <w:t>$</w:t>
      </w:r>
      <w:r w:rsidR="0083704D">
        <w:rPr>
          <w:szCs w:val="24"/>
        </w:rPr>
        <w:t xml:space="preserve">80,860 </w:t>
      </w:r>
      <w:r w:rsidR="001239EA" w:rsidRPr="00B57CCB">
        <w:rPr>
          <w:szCs w:val="24"/>
        </w:rPr>
        <w:t xml:space="preserve">for all </w:t>
      </w:r>
      <w:r w:rsidR="001B0CC7">
        <w:rPr>
          <w:szCs w:val="24"/>
        </w:rPr>
        <w:t>programs</w:t>
      </w:r>
      <w:r w:rsidR="001B0CC7" w:rsidRPr="00B57CCB">
        <w:rPr>
          <w:szCs w:val="24"/>
        </w:rPr>
        <w:t xml:space="preserve"> </w:t>
      </w:r>
      <w:r w:rsidR="001239EA" w:rsidRPr="00B57CCB">
        <w:rPr>
          <w:szCs w:val="24"/>
        </w:rPr>
        <w:t>collectively</w:t>
      </w:r>
      <w:r w:rsidR="002F2C56" w:rsidRPr="00B57CCB">
        <w:rPr>
          <w:szCs w:val="24"/>
        </w:rPr>
        <w:t xml:space="preserve"> </w:t>
      </w:r>
      <w:r w:rsidRPr="00B57CCB">
        <w:rPr>
          <w:szCs w:val="24"/>
        </w:rPr>
        <w:t xml:space="preserve">to enter data and transfer it to Headquarters </w:t>
      </w:r>
      <w:r w:rsidR="00995CEB">
        <w:rPr>
          <w:szCs w:val="24"/>
        </w:rPr>
        <w:t>semi-annually</w:t>
      </w:r>
      <w:r w:rsidRPr="00B57CCB">
        <w:rPr>
          <w:szCs w:val="24"/>
        </w:rPr>
        <w:t>.</w:t>
      </w:r>
      <w:r w:rsidR="00BD189E">
        <w:rPr>
          <w:szCs w:val="24"/>
        </w:rPr>
        <w:t xml:space="preserve"> Note that this unit burden is lower in this ICR, based on the results of a survey of e-reporting programs by Headquarters</w:t>
      </w:r>
      <w:r w:rsidR="0083704D">
        <w:rPr>
          <w:szCs w:val="24"/>
        </w:rPr>
        <w:t xml:space="preserve"> and a reduction in the frequency of data transfers</w:t>
      </w:r>
      <w:r w:rsidR="00BD189E">
        <w:rPr>
          <w:szCs w:val="24"/>
        </w:rPr>
        <w:t>.</w:t>
      </w:r>
    </w:p>
    <w:p w:rsidR="00E721C4" w:rsidRPr="00B57CCB" w:rsidRDefault="00E721C4" w:rsidP="00E165A3">
      <w:pPr>
        <w:keepLines/>
        <w:widowControl w:val="0"/>
        <w:rPr>
          <w:szCs w:val="24"/>
        </w:rPr>
      </w:pPr>
    </w:p>
    <w:p w:rsidR="00E721C4" w:rsidRDefault="00AE1F0F" w:rsidP="00E165A3">
      <w:pPr>
        <w:keepLines/>
        <w:widowControl w:val="0"/>
        <w:rPr>
          <w:szCs w:val="24"/>
        </w:rPr>
      </w:pPr>
      <w:r w:rsidRPr="00B57CCB">
        <w:rPr>
          <w:szCs w:val="24"/>
        </w:rPr>
        <w:t>Table B-</w:t>
      </w:r>
      <w:r w:rsidR="00AD31CE" w:rsidRPr="00B57CCB">
        <w:rPr>
          <w:szCs w:val="24"/>
        </w:rPr>
        <w:t>1</w:t>
      </w:r>
      <w:r w:rsidR="00E721C4" w:rsidRPr="00B57CCB">
        <w:rPr>
          <w:szCs w:val="24"/>
        </w:rPr>
        <w:t xml:space="preserve"> presents the annual and cumulative costs to </w:t>
      </w:r>
      <w:r w:rsidR="001B0CC7">
        <w:rPr>
          <w:szCs w:val="24"/>
        </w:rPr>
        <w:t>programs</w:t>
      </w:r>
      <w:r w:rsidR="001B0CC7" w:rsidRPr="00B57CCB">
        <w:rPr>
          <w:szCs w:val="24"/>
        </w:rPr>
        <w:t xml:space="preserve"> </w:t>
      </w:r>
      <w:r w:rsidR="00E721C4" w:rsidRPr="00B57CCB">
        <w:rPr>
          <w:szCs w:val="24"/>
        </w:rPr>
        <w:t xml:space="preserve">under </w:t>
      </w:r>
      <w:r w:rsidR="002F2C56" w:rsidRPr="00B57CCB">
        <w:rPr>
          <w:szCs w:val="24"/>
        </w:rPr>
        <w:t>paper</w:t>
      </w:r>
      <w:r w:rsidR="00C40039" w:rsidRPr="00B57CCB">
        <w:rPr>
          <w:szCs w:val="24"/>
        </w:rPr>
        <w:t xml:space="preserve"> </w:t>
      </w:r>
      <w:r w:rsidR="002F2C56" w:rsidRPr="00B57CCB">
        <w:rPr>
          <w:szCs w:val="24"/>
        </w:rPr>
        <w:t xml:space="preserve">based and electronic </w:t>
      </w:r>
      <w:r w:rsidR="00E721C4" w:rsidRPr="00B57CCB">
        <w:rPr>
          <w:szCs w:val="24"/>
        </w:rPr>
        <w:t>reporting system</w:t>
      </w:r>
      <w:r w:rsidR="002F2C56" w:rsidRPr="00B57CCB">
        <w:rPr>
          <w:szCs w:val="24"/>
        </w:rPr>
        <w:t>s</w:t>
      </w:r>
      <w:r w:rsidR="00E721C4" w:rsidRPr="00B57CCB">
        <w:rPr>
          <w:szCs w:val="24"/>
        </w:rPr>
        <w:t xml:space="preserve">. </w:t>
      </w:r>
      <w:r w:rsidR="00085853" w:rsidRPr="00B57CCB">
        <w:rPr>
          <w:szCs w:val="24"/>
        </w:rPr>
        <w:t xml:space="preserve"> When the initial data population and transfer are complete, </w:t>
      </w:r>
      <w:r w:rsidR="001B0CC7">
        <w:rPr>
          <w:szCs w:val="24"/>
        </w:rPr>
        <w:t>programs</w:t>
      </w:r>
      <w:r w:rsidR="001B0CC7" w:rsidRPr="00B57CCB">
        <w:rPr>
          <w:szCs w:val="24"/>
        </w:rPr>
        <w:t xml:space="preserve"> </w:t>
      </w:r>
      <w:r w:rsidR="00085853" w:rsidRPr="00B57CCB">
        <w:rPr>
          <w:szCs w:val="24"/>
        </w:rPr>
        <w:t xml:space="preserve">will collectively save </w:t>
      </w:r>
      <w:r w:rsidR="0083704D">
        <w:rPr>
          <w:szCs w:val="24"/>
        </w:rPr>
        <w:t xml:space="preserve">over </w:t>
      </w:r>
      <w:r w:rsidR="00085853" w:rsidRPr="00B57CCB">
        <w:rPr>
          <w:szCs w:val="24"/>
        </w:rPr>
        <w:t>$</w:t>
      </w:r>
      <w:r w:rsidR="0083704D">
        <w:rPr>
          <w:szCs w:val="24"/>
        </w:rPr>
        <w:t>5</w:t>
      </w:r>
      <w:r w:rsidR="00085853" w:rsidRPr="00B57CCB">
        <w:rPr>
          <w:szCs w:val="24"/>
        </w:rPr>
        <w:t>00,000 annually.</w:t>
      </w:r>
    </w:p>
    <w:p w:rsidR="00AE1F0F" w:rsidRDefault="00AE1F0F" w:rsidP="00AE1F0F">
      <w:pPr>
        <w:rPr>
          <w:rFonts w:ascii="Arial" w:hAnsi="Arial" w:cs="Arial"/>
          <w:sz w:val="18"/>
          <w:szCs w:val="18"/>
        </w:rPr>
      </w:pPr>
    </w:p>
    <w:p w:rsidR="00AE1F0F" w:rsidRDefault="00AE1F0F" w:rsidP="00466872">
      <w:pPr>
        <w:keepNext/>
        <w:keepLines/>
      </w:pPr>
    </w:p>
    <w:tbl>
      <w:tblPr>
        <w:tblW w:w="70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8"/>
        <w:gridCol w:w="1377"/>
        <w:gridCol w:w="1540"/>
        <w:gridCol w:w="1436"/>
        <w:gridCol w:w="1776"/>
      </w:tblGrid>
      <w:tr w:rsidR="00AE1F0F" w:rsidTr="00AE1F0F">
        <w:trPr>
          <w:trHeight w:val="387"/>
          <w:jc w:val="center"/>
        </w:trPr>
        <w:tc>
          <w:tcPr>
            <w:tcW w:w="7097" w:type="dxa"/>
            <w:gridSpan w:val="5"/>
            <w:shd w:val="clear" w:color="auto" w:fill="auto"/>
            <w:vAlign w:val="bottom"/>
          </w:tcPr>
          <w:p w:rsidR="00AE1F0F" w:rsidRPr="003B0142" w:rsidRDefault="00AE1F0F" w:rsidP="00466872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142">
              <w:rPr>
                <w:rFonts w:ascii="Arial" w:hAnsi="Arial" w:cs="Arial"/>
                <w:b/>
                <w:sz w:val="18"/>
                <w:szCs w:val="18"/>
              </w:rPr>
              <w:t>Table B-</w:t>
            </w:r>
            <w:r w:rsidR="002B193B" w:rsidRPr="003B01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B0142">
              <w:rPr>
                <w:rFonts w:ascii="Arial" w:hAnsi="Arial" w:cs="Arial"/>
                <w:b/>
                <w:sz w:val="18"/>
                <w:szCs w:val="18"/>
              </w:rPr>
              <w:t xml:space="preserve">: Comparison of Costs – </w:t>
            </w:r>
          </w:p>
          <w:p w:rsidR="00AE1F0F" w:rsidRPr="00AE1F0F" w:rsidRDefault="002F2C56" w:rsidP="003B0142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Paper-B</w:t>
            </w:r>
            <w:r w:rsidR="003B0142">
              <w:rPr>
                <w:rFonts w:ascii="Arial" w:hAnsi="Arial" w:cs="Arial"/>
                <w:b/>
                <w:sz w:val="18"/>
                <w:szCs w:val="18"/>
              </w:rPr>
              <w:t xml:space="preserve">ased </w:t>
            </w:r>
            <w:r w:rsidR="00AE1F0F" w:rsidRPr="003B0142">
              <w:rPr>
                <w:rFonts w:ascii="Arial" w:hAnsi="Arial" w:cs="Arial"/>
                <w:b/>
                <w:sz w:val="18"/>
                <w:szCs w:val="18"/>
              </w:rPr>
              <w:t xml:space="preserve">Reporting vs. </w:t>
            </w:r>
            <w:r w:rsidR="003B0142">
              <w:rPr>
                <w:rFonts w:ascii="Arial" w:hAnsi="Arial" w:cs="Arial"/>
                <w:b/>
                <w:sz w:val="18"/>
                <w:szCs w:val="18"/>
              </w:rPr>
              <w:t xml:space="preserve">Electronic Reporting </w:t>
            </w:r>
          </w:p>
        </w:tc>
      </w:tr>
      <w:tr w:rsidR="00AE1F0F" w:rsidTr="00AE1F0F">
        <w:trPr>
          <w:trHeight w:val="387"/>
          <w:jc w:val="center"/>
        </w:trPr>
        <w:tc>
          <w:tcPr>
            <w:tcW w:w="968" w:type="dxa"/>
            <w:shd w:val="clear" w:color="auto" w:fill="auto"/>
            <w:vAlign w:val="bottom"/>
          </w:tcPr>
          <w:p w:rsidR="00AE1F0F" w:rsidRDefault="00AE1F0F" w:rsidP="0046687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:rsidR="00AE1F0F" w:rsidRPr="00AE1F0F" w:rsidRDefault="00466872" w:rsidP="00466872">
            <w:pPr>
              <w:keepNext/>
              <w:keepLines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Paper-Based </w:t>
            </w:r>
            <w:r w:rsidR="00AE1F0F" w:rsidRPr="00AE1F0F">
              <w:rPr>
                <w:rFonts w:ascii="Arial" w:hAnsi="Arial" w:cs="Arial"/>
                <w:b/>
                <w:sz w:val="18"/>
                <w:szCs w:val="18"/>
              </w:rPr>
              <w:t>Reporting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</w:tcPr>
          <w:p w:rsidR="00AE1F0F" w:rsidRPr="00AE1F0F" w:rsidRDefault="003B0142" w:rsidP="00466872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Electronic Reporting</w:t>
            </w:r>
          </w:p>
        </w:tc>
      </w:tr>
      <w:tr w:rsidR="00AE1F0F" w:rsidTr="00AE1F0F">
        <w:trPr>
          <w:trHeight w:val="297"/>
          <w:jc w:val="center"/>
        </w:trPr>
        <w:tc>
          <w:tcPr>
            <w:tcW w:w="968" w:type="dxa"/>
            <w:shd w:val="clear" w:color="auto" w:fill="auto"/>
            <w:vAlign w:val="bottom"/>
          </w:tcPr>
          <w:p w:rsidR="00AE1F0F" w:rsidRDefault="00AE1F0F" w:rsidP="003B0142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377" w:type="dxa"/>
            <w:shd w:val="clear" w:color="auto" w:fill="auto"/>
            <w:vAlign w:val="bottom"/>
          </w:tcPr>
          <w:p w:rsidR="00AE1F0F" w:rsidRDefault="00AE1F0F" w:rsidP="003B0142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cost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E1F0F" w:rsidRDefault="00AE1F0F" w:rsidP="003B0142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cost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E1F0F" w:rsidRDefault="00AE1F0F" w:rsidP="003B0142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cost</w:t>
            </w:r>
            <w:r w:rsidR="00717E75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AE1F0F" w:rsidRDefault="00AE1F0F" w:rsidP="003B0142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cost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Pr="005C0582" w:rsidRDefault="0083704D" w:rsidP="00466872">
            <w:pPr>
              <w:keepNext/>
              <w:keepLines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C058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2D73">
              <w:rPr>
                <w:rFonts w:ascii="Arial" w:hAnsi="Arial" w:cs="Arial"/>
                <w:b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2D73">
              <w:rPr>
                <w:rFonts w:ascii="Arial" w:hAnsi="Arial" w:cs="Arial"/>
                <w:b/>
                <w:sz w:val="18"/>
                <w:szCs w:val="18"/>
              </w:rPr>
              <w:t>$3,755,251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704D">
              <w:rPr>
                <w:rFonts w:ascii="Arial" w:hAnsi="Arial" w:cs="Arial"/>
                <w:b/>
                <w:sz w:val="18"/>
                <w:szCs w:val="18"/>
              </w:rPr>
              <w:t xml:space="preserve">$690,406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704D">
              <w:rPr>
                <w:rFonts w:ascii="Arial" w:hAnsi="Arial" w:cs="Arial"/>
                <w:b/>
                <w:sz w:val="18"/>
                <w:szCs w:val="18"/>
              </w:rPr>
              <w:t xml:space="preserve">$1,458,480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Pr="005C0582" w:rsidRDefault="0083704D" w:rsidP="00466872">
            <w:pPr>
              <w:keepNext/>
              <w:keepLines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C058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2D73">
              <w:rPr>
                <w:rFonts w:ascii="Arial" w:hAnsi="Arial" w:cs="Arial"/>
                <w:b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2D73">
              <w:rPr>
                <w:rFonts w:ascii="Arial" w:hAnsi="Arial" w:cs="Arial"/>
                <w:b/>
                <w:sz w:val="18"/>
                <w:szCs w:val="18"/>
              </w:rPr>
              <w:t>$4,381,127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704D">
              <w:rPr>
                <w:rFonts w:ascii="Arial" w:hAnsi="Arial" w:cs="Arial"/>
                <w:b/>
                <w:sz w:val="18"/>
                <w:szCs w:val="18"/>
              </w:rPr>
              <w:t xml:space="preserve">$485,374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704D">
              <w:rPr>
                <w:rFonts w:ascii="Arial" w:hAnsi="Arial" w:cs="Arial"/>
                <w:b/>
                <w:sz w:val="18"/>
                <w:szCs w:val="18"/>
              </w:rPr>
              <w:t xml:space="preserve">$1,943,854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Pr="005C0582" w:rsidRDefault="0083704D" w:rsidP="00466872">
            <w:pPr>
              <w:keepNext/>
              <w:keepLines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C058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2D73">
              <w:rPr>
                <w:rFonts w:ascii="Arial" w:hAnsi="Arial" w:cs="Arial"/>
                <w:b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2D73">
              <w:rPr>
                <w:rFonts w:ascii="Arial" w:hAnsi="Arial" w:cs="Arial"/>
                <w:b/>
                <w:sz w:val="18"/>
                <w:szCs w:val="18"/>
              </w:rPr>
              <w:t>$5,007,002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704D">
              <w:rPr>
                <w:rFonts w:ascii="Arial" w:hAnsi="Arial" w:cs="Arial"/>
                <w:b/>
                <w:sz w:val="18"/>
                <w:szCs w:val="18"/>
              </w:rPr>
              <w:t xml:space="preserve">$564,008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3704D">
              <w:rPr>
                <w:rFonts w:ascii="Arial" w:hAnsi="Arial" w:cs="Arial"/>
                <w:b/>
                <w:sz w:val="18"/>
                <w:szCs w:val="18"/>
              </w:rPr>
              <w:t xml:space="preserve">$2,507,862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$5,632,877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$345,631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$2,853,494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$6,258,752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$2,968,818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$6,884,627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$3,084,143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$7,510,503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$3,199,467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$8,136,378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$3,314,791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$8,762,253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$3,430,116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$9,388,128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$3,545,440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$10,014,003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$3,660,765 </w:t>
            </w:r>
          </w:p>
        </w:tc>
      </w:tr>
      <w:tr w:rsidR="0083704D" w:rsidTr="00032D19">
        <w:trPr>
          <w:trHeight w:val="255"/>
          <w:jc w:val="center"/>
        </w:trPr>
        <w:tc>
          <w:tcPr>
            <w:tcW w:w="968" w:type="dxa"/>
            <w:shd w:val="clear" w:color="auto" w:fill="auto"/>
            <w:noWrap/>
            <w:vAlign w:val="bottom"/>
          </w:tcPr>
          <w:p w:rsidR="0083704D" w:rsidRDefault="0083704D" w:rsidP="00466872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$625,875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3704D" w:rsidRPr="00CB2D73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2D73">
              <w:rPr>
                <w:rFonts w:ascii="Arial" w:hAnsi="Arial" w:cs="Arial"/>
                <w:sz w:val="18"/>
                <w:szCs w:val="18"/>
              </w:rPr>
              <w:t>$10,639,879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$115,324 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3704D" w:rsidRPr="0083704D" w:rsidRDefault="0083704D" w:rsidP="00032D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04D">
              <w:rPr>
                <w:rFonts w:ascii="Arial" w:hAnsi="Arial" w:cs="Arial"/>
                <w:sz w:val="18"/>
                <w:szCs w:val="18"/>
              </w:rPr>
              <w:t xml:space="preserve">$3,776,089 </w:t>
            </w:r>
          </w:p>
        </w:tc>
      </w:tr>
      <w:tr w:rsidR="0083704D" w:rsidTr="00CC2A80">
        <w:trPr>
          <w:trHeight w:val="255"/>
          <w:jc w:val="center"/>
        </w:trPr>
        <w:tc>
          <w:tcPr>
            <w:tcW w:w="7097" w:type="dxa"/>
            <w:gridSpan w:val="5"/>
            <w:shd w:val="clear" w:color="auto" w:fill="auto"/>
            <w:noWrap/>
            <w:vAlign w:val="bottom"/>
          </w:tcPr>
          <w:p w:rsidR="0083704D" w:rsidRPr="004D3450" w:rsidRDefault="0083704D" w:rsidP="00717E75">
            <w:pPr>
              <w:rPr>
                <w:rFonts w:ascii="Arial" w:hAnsi="Arial" w:cs="Arial"/>
                <w:sz w:val="18"/>
                <w:szCs w:val="18"/>
              </w:rPr>
            </w:pPr>
            <w:r w:rsidRPr="00717E75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Includes the cost for new programs transitioning to e-reporting plus ongoing costs (e.g., for data entry and QA/QA) following transfer.  </w:t>
            </w:r>
          </w:p>
        </w:tc>
      </w:tr>
    </w:tbl>
    <w:p w:rsidR="00AE1F0F" w:rsidRDefault="00AE1F0F" w:rsidP="00466872">
      <w:pPr>
        <w:keepNext/>
        <w:keepLines/>
      </w:pPr>
    </w:p>
    <w:p w:rsidR="00AE1F0F" w:rsidRDefault="00AE1F0F" w:rsidP="00E165A3">
      <w:pPr>
        <w:keepLines/>
        <w:widowControl w:val="0"/>
        <w:rPr>
          <w:szCs w:val="24"/>
        </w:rPr>
      </w:pPr>
    </w:p>
    <w:p w:rsidR="00FF7937" w:rsidRPr="00536ED4" w:rsidRDefault="00FF7937" w:rsidP="00E165A3">
      <w:pPr>
        <w:keepLines/>
        <w:widowControl w:val="0"/>
        <w:rPr>
          <w:szCs w:val="24"/>
        </w:rPr>
      </w:pPr>
    </w:p>
    <w:sectPr w:rsidR="00FF7937" w:rsidRPr="00536ED4">
      <w:footerReference w:type="even" r:id="rId8"/>
      <w:footerReference w:type="default" r:id="rId9"/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27" w:rsidRDefault="004D3C27">
      <w:r>
        <w:separator/>
      </w:r>
    </w:p>
  </w:endnote>
  <w:endnote w:type="continuationSeparator" w:id="0">
    <w:p w:rsidR="004D3C27" w:rsidRDefault="004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D6" w:rsidRPr="00653037" w:rsidRDefault="006D39D6" w:rsidP="00653037">
    <w:pPr>
      <w:pStyle w:val="Footer"/>
      <w:rPr>
        <w:i/>
        <w:sz w:val="20"/>
      </w:rPr>
    </w:pPr>
    <w:r w:rsidRPr="00DB6831">
      <w:rPr>
        <w:i/>
        <w:sz w:val="20"/>
      </w:rPr>
      <w:t>Underground Injection Control Program – Information Collectio</w:t>
    </w:r>
    <w:r w:rsidRPr="00653037">
      <w:rPr>
        <w:i/>
        <w:sz w:val="20"/>
      </w:rPr>
      <w:t xml:space="preserve">n Request </w:t>
    </w:r>
    <w:r>
      <w:rPr>
        <w:i/>
        <w:sz w:val="20"/>
      </w:rPr>
      <w:tab/>
      <w:t xml:space="preserve">   </w:t>
    </w:r>
    <w:r w:rsidRPr="00653037">
      <w:rPr>
        <w:i/>
        <w:sz w:val="20"/>
      </w:rPr>
      <w:t>Page B-</w:t>
    </w:r>
    <w:r w:rsidRPr="00653037">
      <w:rPr>
        <w:rStyle w:val="PageNumber"/>
        <w:i/>
        <w:sz w:val="20"/>
      </w:rPr>
      <w:fldChar w:fldCharType="begin"/>
    </w:r>
    <w:r w:rsidRPr="00653037">
      <w:rPr>
        <w:rStyle w:val="PageNumber"/>
        <w:i/>
        <w:sz w:val="20"/>
      </w:rPr>
      <w:instrText xml:space="preserve"> PAGE </w:instrText>
    </w:r>
    <w:r w:rsidRPr="00653037">
      <w:rPr>
        <w:rStyle w:val="PageNumber"/>
        <w:i/>
        <w:sz w:val="20"/>
      </w:rPr>
      <w:fldChar w:fldCharType="separate"/>
    </w:r>
    <w:r w:rsidR="00E270E5">
      <w:rPr>
        <w:rStyle w:val="PageNumber"/>
        <w:i/>
        <w:noProof/>
        <w:sz w:val="20"/>
      </w:rPr>
      <w:t>4</w:t>
    </w:r>
    <w:r w:rsidRPr="00653037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D6" w:rsidRPr="00653037" w:rsidRDefault="006D39D6" w:rsidP="00653037">
    <w:pPr>
      <w:pStyle w:val="Footer"/>
      <w:rPr>
        <w:i/>
        <w:sz w:val="20"/>
      </w:rPr>
    </w:pPr>
    <w:r w:rsidRPr="00DB6831">
      <w:rPr>
        <w:i/>
        <w:sz w:val="20"/>
      </w:rPr>
      <w:t>Underground Injection Control Program – Information Collectio</w:t>
    </w:r>
    <w:r w:rsidRPr="00653037">
      <w:rPr>
        <w:i/>
        <w:sz w:val="20"/>
      </w:rPr>
      <w:t xml:space="preserve">n Request </w:t>
    </w:r>
    <w:r>
      <w:rPr>
        <w:i/>
        <w:sz w:val="20"/>
      </w:rPr>
      <w:tab/>
      <w:t xml:space="preserve">   </w:t>
    </w:r>
    <w:r w:rsidRPr="00653037">
      <w:rPr>
        <w:i/>
        <w:sz w:val="20"/>
      </w:rPr>
      <w:t>Page B-</w:t>
    </w:r>
    <w:r w:rsidRPr="00653037">
      <w:rPr>
        <w:rStyle w:val="PageNumber"/>
        <w:i/>
        <w:sz w:val="20"/>
      </w:rPr>
      <w:fldChar w:fldCharType="begin"/>
    </w:r>
    <w:r w:rsidRPr="00653037">
      <w:rPr>
        <w:rStyle w:val="PageNumber"/>
        <w:i/>
        <w:sz w:val="20"/>
      </w:rPr>
      <w:instrText xml:space="preserve"> PAGE </w:instrText>
    </w:r>
    <w:r w:rsidRPr="00653037">
      <w:rPr>
        <w:rStyle w:val="PageNumber"/>
        <w:i/>
        <w:sz w:val="20"/>
      </w:rPr>
      <w:fldChar w:fldCharType="separate"/>
    </w:r>
    <w:r w:rsidR="00E270E5">
      <w:rPr>
        <w:rStyle w:val="PageNumber"/>
        <w:i/>
        <w:noProof/>
        <w:sz w:val="20"/>
      </w:rPr>
      <w:t>3</w:t>
    </w:r>
    <w:r w:rsidRPr="00653037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27" w:rsidRDefault="004D3C27">
      <w:r>
        <w:separator/>
      </w:r>
    </w:p>
  </w:footnote>
  <w:footnote w:type="continuationSeparator" w:id="0">
    <w:p w:rsidR="004D3C27" w:rsidRDefault="004D3C27">
      <w:r>
        <w:continuationSeparator/>
      </w:r>
    </w:p>
  </w:footnote>
  <w:footnote w:id="1">
    <w:p w:rsidR="006D39D6" w:rsidRDefault="006D39D6" w:rsidP="00FA5A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The term state includes states, tribes, and territories.</w:t>
      </w:r>
    </w:p>
  </w:footnote>
  <w:footnote w:id="2">
    <w:p w:rsidR="006D39D6" w:rsidRDefault="006D39D6" w:rsidP="00832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4087">
        <w:rPr>
          <w:bCs/>
          <w:lang w:val="en"/>
        </w:rPr>
        <w:t>Extensible Markup Language</w:t>
      </w:r>
      <w:r w:rsidRPr="00444087">
        <w:rPr>
          <w:lang w:val="en"/>
        </w:rPr>
        <w:t xml:space="preserve"> (</w:t>
      </w:r>
      <w:r w:rsidRPr="00444087">
        <w:rPr>
          <w:bCs/>
          <w:lang w:val="en"/>
        </w:rPr>
        <w:t>XML</w:t>
      </w:r>
      <w:r w:rsidRPr="00444087">
        <w:rPr>
          <w:lang w:val="en"/>
        </w:rPr>
        <w:t>) is a set of rules for encoding documents in machine-readable form.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37A5"/>
    <w:multiLevelType w:val="hybridMultilevel"/>
    <w:tmpl w:val="F54E7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791B3A"/>
    <w:multiLevelType w:val="hybridMultilevel"/>
    <w:tmpl w:val="9594C520"/>
    <w:lvl w:ilvl="0" w:tplc="11D0D63E">
      <w:numFmt w:val="bullet"/>
      <w:lvlText w:val=""/>
      <w:lvlJc w:val="left"/>
      <w:pPr>
        <w:ind w:left="1080" w:hanging="360"/>
      </w:pPr>
      <w:rPr>
        <w:rFonts w:ascii="WP MathA" w:eastAsia="Times New Roman" w:hAnsi="WP Math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E51E64"/>
    <w:multiLevelType w:val="hybridMultilevel"/>
    <w:tmpl w:val="9CBA1978"/>
    <w:lvl w:ilvl="0" w:tplc="57A6D01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32876"/>
    <w:multiLevelType w:val="hybridMultilevel"/>
    <w:tmpl w:val="03DC5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87501"/>
    <w:multiLevelType w:val="hybridMultilevel"/>
    <w:tmpl w:val="10CCC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D78"/>
    <w:rsid w:val="00002CA5"/>
    <w:rsid w:val="000119E6"/>
    <w:rsid w:val="00013267"/>
    <w:rsid w:val="000168BF"/>
    <w:rsid w:val="00022FB0"/>
    <w:rsid w:val="00032D19"/>
    <w:rsid w:val="000416AE"/>
    <w:rsid w:val="000549D9"/>
    <w:rsid w:val="000777CD"/>
    <w:rsid w:val="00081E38"/>
    <w:rsid w:val="00085853"/>
    <w:rsid w:val="000A18D2"/>
    <w:rsid w:val="000B538D"/>
    <w:rsid w:val="000C17F5"/>
    <w:rsid w:val="000D7B82"/>
    <w:rsid w:val="000E619B"/>
    <w:rsid w:val="000F40C4"/>
    <w:rsid w:val="000F4EFA"/>
    <w:rsid w:val="0010550C"/>
    <w:rsid w:val="00116F6E"/>
    <w:rsid w:val="001239EA"/>
    <w:rsid w:val="00136C06"/>
    <w:rsid w:val="001400CF"/>
    <w:rsid w:val="00141675"/>
    <w:rsid w:val="00143425"/>
    <w:rsid w:val="00155361"/>
    <w:rsid w:val="00171033"/>
    <w:rsid w:val="00183D2C"/>
    <w:rsid w:val="001947E0"/>
    <w:rsid w:val="001B0CC7"/>
    <w:rsid w:val="001B4DBC"/>
    <w:rsid w:val="001C0D13"/>
    <w:rsid w:val="001C30D2"/>
    <w:rsid w:val="001C784D"/>
    <w:rsid w:val="001D3507"/>
    <w:rsid w:val="001D43C2"/>
    <w:rsid w:val="001E23E1"/>
    <w:rsid w:val="001E4906"/>
    <w:rsid w:val="002036BB"/>
    <w:rsid w:val="0021136C"/>
    <w:rsid w:val="00222C56"/>
    <w:rsid w:val="0022387E"/>
    <w:rsid w:val="00236D98"/>
    <w:rsid w:val="00246334"/>
    <w:rsid w:val="002838D8"/>
    <w:rsid w:val="00287052"/>
    <w:rsid w:val="00294584"/>
    <w:rsid w:val="002A00D1"/>
    <w:rsid w:val="002A1EF4"/>
    <w:rsid w:val="002B193B"/>
    <w:rsid w:val="002C12D1"/>
    <w:rsid w:val="002C48B1"/>
    <w:rsid w:val="002C746F"/>
    <w:rsid w:val="002D3D78"/>
    <w:rsid w:val="002D7A02"/>
    <w:rsid w:val="002F2561"/>
    <w:rsid w:val="002F2C56"/>
    <w:rsid w:val="003002D4"/>
    <w:rsid w:val="00311925"/>
    <w:rsid w:val="003135F5"/>
    <w:rsid w:val="00343EED"/>
    <w:rsid w:val="00344F01"/>
    <w:rsid w:val="00347E51"/>
    <w:rsid w:val="00352760"/>
    <w:rsid w:val="003578DB"/>
    <w:rsid w:val="00363A7B"/>
    <w:rsid w:val="00382716"/>
    <w:rsid w:val="00384B7A"/>
    <w:rsid w:val="003A27E1"/>
    <w:rsid w:val="003B0142"/>
    <w:rsid w:val="003B126C"/>
    <w:rsid w:val="003B6278"/>
    <w:rsid w:val="003B70A8"/>
    <w:rsid w:val="003C28A0"/>
    <w:rsid w:val="003C5676"/>
    <w:rsid w:val="003F3B76"/>
    <w:rsid w:val="004164F0"/>
    <w:rsid w:val="00432C0B"/>
    <w:rsid w:val="00440DA8"/>
    <w:rsid w:val="00444087"/>
    <w:rsid w:val="004466B9"/>
    <w:rsid w:val="00454300"/>
    <w:rsid w:val="00454453"/>
    <w:rsid w:val="00462719"/>
    <w:rsid w:val="00466872"/>
    <w:rsid w:val="00466882"/>
    <w:rsid w:val="0047248D"/>
    <w:rsid w:val="0048535B"/>
    <w:rsid w:val="004864B8"/>
    <w:rsid w:val="00492B25"/>
    <w:rsid w:val="004A2647"/>
    <w:rsid w:val="004A3173"/>
    <w:rsid w:val="004C3C73"/>
    <w:rsid w:val="004D3C27"/>
    <w:rsid w:val="004D6D9E"/>
    <w:rsid w:val="004E254A"/>
    <w:rsid w:val="004F230F"/>
    <w:rsid w:val="0050105B"/>
    <w:rsid w:val="0051713D"/>
    <w:rsid w:val="00522778"/>
    <w:rsid w:val="00535087"/>
    <w:rsid w:val="005362A9"/>
    <w:rsid w:val="00536ED4"/>
    <w:rsid w:val="00540FE2"/>
    <w:rsid w:val="00546D1C"/>
    <w:rsid w:val="005562A0"/>
    <w:rsid w:val="00564B16"/>
    <w:rsid w:val="00590CA1"/>
    <w:rsid w:val="00594116"/>
    <w:rsid w:val="005959A7"/>
    <w:rsid w:val="00597015"/>
    <w:rsid w:val="005A56B6"/>
    <w:rsid w:val="005B20C2"/>
    <w:rsid w:val="005C0582"/>
    <w:rsid w:val="005C1C59"/>
    <w:rsid w:val="005D0F39"/>
    <w:rsid w:val="005D50EF"/>
    <w:rsid w:val="005D5878"/>
    <w:rsid w:val="005E04D6"/>
    <w:rsid w:val="005F7C01"/>
    <w:rsid w:val="00604C85"/>
    <w:rsid w:val="00621EC6"/>
    <w:rsid w:val="006252E6"/>
    <w:rsid w:val="0063426B"/>
    <w:rsid w:val="00651FD3"/>
    <w:rsid w:val="00652A07"/>
    <w:rsid w:val="00653037"/>
    <w:rsid w:val="00660156"/>
    <w:rsid w:val="006672E8"/>
    <w:rsid w:val="006821C9"/>
    <w:rsid w:val="0068357B"/>
    <w:rsid w:val="00691DD0"/>
    <w:rsid w:val="00695651"/>
    <w:rsid w:val="006A5B1D"/>
    <w:rsid w:val="006D39D6"/>
    <w:rsid w:val="006D60FF"/>
    <w:rsid w:val="006E6469"/>
    <w:rsid w:val="006F71CE"/>
    <w:rsid w:val="00717E75"/>
    <w:rsid w:val="00723698"/>
    <w:rsid w:val="00734769"/>
    <w:rsid w:val="007423E2"/>
    <w:rsid w:val="00744D30"/>
    <w:rsid w:val="007510B6"/>
    <w:rsid w:val="00754E91"/>
    <w:rsid w:val="0077015B"/>
    <w:rsid w:val="00777144"/>
    <w:rsid w:val="00792740"/>
    <w:rsid w:val="007A0BC3"/>
    <w:rsid w:val="007C1C68"/>
    <w:rsid w:val="007C55E3"/>
    <w:rsid w:val="007E00C6"/>
    <w:rsid w:val="007E5E7D"/>
    <w:rsid w:val="007E5FEF"/>
    <w:rsid w:val="007F499B"/>
    <w:rsid w:val="00802F71"/>
    <w:rsid w:val="00815370"/>
    <w:rsid w:val="0081704A"/>
    <w:rsid w:val="00821B3D"/>
    <w:rsid w:val="00832B18"/>
    <w:rsid w:val="0083704D"/>
    <w:rsid w:val="008403E1"/>
    <w:rsid w:val="0084756B"/>
    <w:rsid w:val="008579EC"/>
    <w:rsid w:val="00861BDB"/>
    <w:rsid w:val="00865C49"/>
    <w:rsid w:val="008B04D7"/>
    <w:rsid w:val="008C216E"/>
    <w:rsid w:val="008D36E3"/>
    <w:rsid w:val="008D674C"/>
    <w:rsid w:val="008E0492"/>
    <w:rsid w:val="008E205B"/>
    <w:rsid w:val="008F0CC9"/>
    <w:rsid w:val="008F2EC4"/>
    <w:rsid w:val="00902053"/>
    <w:rsid w:val="00902207"/>
    <w:rsid w:val="009026FF"/>
    <w:rsid w:val="00914AC7"/>
    <w:rsid w:val="00915AAF"/>
    <w:rsid w:val="00921290"/>
    <w:rsid w:val="0092403D"/>
    <w:rsid w:val="00931C00"/>
    <w:rsid w:val="00941E24"/>
    <w:rsid w:val="00951636"/>
    <w:rsid w:val="009527F4"/>
    <w:rsid w:val="0098301A"/>
    <w:rsid w:val="0099056A"/>
    <w:rsid w:val="00995CEB"/>
    <w:rsid w:val="009B48A2"/>
    <w:rsid w:val="009B6874"/>
    <w:rsid w:val="009C1582"/>
    <w:rsid w:val="009D074B"/>
    <w:rsid w:val="009D6F3B"/>
    <w:rsid w:val="009E0290"/>
    <w:rsid w:val="009E4B9F"/>
    <w:rsid w:val="009E614E"/>
    <w:rsid w:val="00A24BD7"/>
    <w:rsid w:val="00A32FCA"/>
    <w:rsid w:val="00A40D1B"/>
    <w:rsid w:val="00A4167A"/>
    <w:rsid w:val="00A606A2"/>
    <w:rsid w:val="00A90A2C"/>
    <w:rsid w:val="00AA0275"/>
    <w:rsid w:val="00AC689F"/>
    <w:rsid w:val="00AD1F3A"/>
    <w:rsid w:val="00AD30E8"/>
    <w:rsid w:val="00AD31CE"/>
    <w:rsid w:val="00AD3226"/>
    <w:rsid w:val="00AE1F0F"/>
    <w:rsid w:val="00AE5503"/>
    <w:rsid w:val="00AF22A6"/>
    <w:rsid w:val="00AF65EA"/>
    <w:rsid w:val="00B04194"/>
    <w:rsid w:val="00B07C86"/>
    <w:rsid w:val="00B26F74"/>
    <w:rsid w:val="00B42886"/>
    <w:rsid w:val="00B42888"/>
    <w:rsid w:val="00B43162"/>
    <w:rsid w:val="00B56156"/>
    <w:rsid w:val="00B57CCB"/>
    <w:rsid w:val="00B60660"/>
    <w:rsid w:val="00B659A3"/>
    <w:rsid w:val="00B701F8"/>
    <w:rsid w:val="00B769B0"/>
    <w:rsid w:val="00B9143A"/>
    <w:rsid w:val="00BA07F7"/>
    <w:rsid w:val="00BA0EC3"/>
    <w:rsid w:val="00BA4640"/>
    <w:rsid w:val="00BB5F67"/>
    <w:rsid w:val="00BD189E"/>
    <w:rsid w:val="00BD35F7"/>
    <w:rsid w:val="00BE5BB5"/>
    <w:rsid w:val="00BE5F52"/>
    <w:rsid w:val="00BE6706"/>
    <w:rsid w:val="00BE6E31"/>
    <w:rsid w:val="00BF0C9A"/>
    <w:rsid w:val="00BF7920"/>
    <w:rsid w:val="00C17B6A"/>
    <w:rsid w:val="00C40039"/>
    <w:rsid w:val="00C401E8"/>
    <w:rsid w:val="00C52496"/>
    <w:rsid w:val="00C535D8"/>
    <w:rsid w:val="00C542D0"/>
    <w:rsid w:val="00C563A8"/>
    <w:rsid w:val="00C57931"/>
    <w:rsid w:val="00C70EA7"/>
    <w:rsid w:val="00C76B64"/>
    <w:rsid w:val="00C820B9"/>
    <w:rsid w:val="00C95CA5"/>
    <w:rsid w:val="00C960AD"/>
    <w:rsid w:val="00C966B6"/>
    <w:rsid w:val="00CB7952"/>
    <w:rsid w:val="00CC2A80"/>
    <w:rsid w:val="00CD42D9"/>
    <w:rsid w:val="00CF04C0"/>
    <w:rsid w:val="00CF209C"/>
    <w:rsid w:val="00D014CD"/>
    <w:rsid w:val="00D143A9"/>
    <w:rsid w:val="00D20C8C"/>
    <w:rsid w:val="00D25393"/>
    <w:rsid w:val="00D3365B"/>
    <w:rsid w:val="00D36617"/>
    <w:rsid w:val="00D442FC"/>
    <w:rsid w:val="00D6219B"/>
    <w:rsid w:val="00D7670D"/>
    <w:rsid w:val="00D8356F"/>
    <w:rsid w:val="00DA7928"/>
    <w:rsid w:val="00DB652E"/>
    <w:rsid w:val="00DD0B3B"/>
    <w:rsid w:val="00E0033A"/>
    <w:rsid w:val="00E12534"/>
    <w:rsid w:val="00E1405C"/>
    <w:rsid w:val="00E165A3"/>
    <w:rsid w:val="00E270E5"/>
    <w:rsid w:val="00E27847"/>
    <w:rsid w:val="00E3227E"/>
    <w:rsid w:val="00E50D95"/>
    <w:rsid w:val="00E667F9"/>
    <w:rsid w:val="00E721C4"/>
    <w:rsid w:val="00E95788"/>
    <w:rsid w:val="00EA23A1"/>
    <w:rsid w:val="00EA7F85"/>
    <w:rsid w:val="00EB70B0"/>
    <w:rsid w:val="00EC26A7"/>
    <w:rsid w:val="00EC7688"/>
    <w:rsid w:val="00ED4148"/>
    <w:rsid w:val="00ED6E1F"/>
    <w:rsid w:val="00EE0723"/>
    <w:rsid w:val="00EE41AA"/>
    <w:rsid w:val="00EF35CF"/>
    <w:rsid w:val="00F004E3"/>
    <w:rsid w:val="00F02A62"/>
    <w:rsid w:val="00F05844"/>
    <w:rsid w:val="00F068F3"/>
    <w:rsid w:val="00F101E8"/>
    <w:rsid w:val="00F12F2C"/>
    <w:rsid w:val="00F1532B"/>
    <w:rsid w:val="00F238D2"/>
    <w:rsid w:val="00F241CB"/>
    <w:rsid w:val="00F273B1"/>
    <w:rsid w:val="00F354FA"/>
    <w:rsid w:val="00F67B6C"/>
    <w:rsid w:val="00F7366A"/>
    <w:rsid w:val="00F9354F"/>
    <w:rsid w:val="00FA075B"/>
    <w:rsid w:val="00FA4F57"/>
    <w:rsid w:val="00FA5AB6"/>
    <w:rsid w:val="00FB2B04"/>
    <w:rsid w:val="00FB6516"/>
    <w:rsid w:val="00FC36AB"/>
    <w:rsid w:val="00FF3120"/>
    <w:rsid w:val="00FF5515"/>
    <w:rsid w:val="00FF559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A9D74-7455-4B8E-88F2-8A980B52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C26A7"/>
    <w:pPr>
      <w:tabs>
        <w:tab w:val="center" w:pos="4320"/>
        <w:tab w:val="right" w:pos="8640"/>
      </w:tabs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7">
    <w:name w:val="_17"/>
    <w:basedOn w:val="Normal"/>
    <w:pPr>
      <w:widowControl w:val="0"/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8">
    <w:name w:val="_8"/>
    <w:basedOn w:val="Normal"/>
    <w:pPr>
      <w:widowControl w:val="0"/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0">
    <w:name w:val="آ"/>
    <w:basedOn w:val="Normal"/>
    <w:pPr>
      <w:widowControl w:val="0"/>
    </w:pPr>
  </w:style>
  <w:style w:type="paragraph" w:styleId="Footer">
    <w:name w:val="footer"/>
    <w:basedOn w:val="Normal"/>
    <w:rsid w:val="00EC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26A7"/>
  </w:style>
  <w:style w:type="character" w:styleId="CommentReference">
    <w:name w:val="annotation reference"/>
    <w:rsid w:val="003C28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28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28A0"/>
  </w:style>
  <w:style w:type="paragraph" w:styleId="CommentSubject">
    <w:name w:val="annotation subject"/>
    <w:basedOn w:val="CommentText"/>
    <w:next w:val="CommentText"/>
    <w:link w:val="CommentSubjectChar"/>
    <w:rsid w:val="003C28A0"/>
    <w:rPr>
      <w:b/>
      <w:bCs/>
    </w:rPr>
  </w:style>
  <w:style w:type="character" w:customStyle="1" w:styleId="CommentSubjectChar">
    <w:name w:val="Comment Subject Char"/>
    <w:link w:val="CommentSubject"/>
    <w:rsid w:val="003C28A0"/>
    <w:rPr>
      <w:b/>
      <w:bCs/>
    </w:rPr>
  </w:style>
  <w:style w:type="paragraph" w:styleId="BalloonText">
    <w:name w:val="Balloon Text"/>
    <w:basedOn w:val="Normal"/>
    <w:link w:val="BalloonTextChar"/>
    <w:rsid w:val="003C2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28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47E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7E51"/>
  </w:style>
  <w:style w:type="character" w:styleId="FootnoteReference">
    <w:name w:val="footnote reference"/>
    <w:rsid w:val="00347E51"/>
    <w:rPr>
      <w:vertAlign w:val="superscript"/>
    </w:rPr>
  </w:style>
  <w:style w:type="character" w:styleId="Hyperlink">
    <w:name w:val="Hyperlink"/>
    <w:rsid w:val="00444087"/>
    <w:rPr>
      <w:color w:val="0000FF"/>
      <w:u w:val="single"/>
    </w:rPr>
  </w:style>
  <w:style w:type="paragraph" w:styleId="Revision">
    <w:name w:val="Revision"/>
    <w:hidden/>
    <w:uiPriority w:val="99"/>
    <w:semiHidden/>
    <w:rsid w:val="00F736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896F-3BE5-43F4-A845-5A71EFE0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Assumptions for Deriving State Cost Estimates</vt:lpstr>
    </vt:vector>
  </TitlesOfParts>
  <Company>The Cadmus Group, Inc.</Company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Assumptions for Deriving State Cost Estimates</dc:title>
  <dc:subject/>
  <dc:creator>Kristy</dc:creator>
  <cp:keywords/>
  <cp:lastModifiedBy>Clark, Spencer</cp:lastModifiedBy>
  <cp:revision>2</cp:revision>
  <cp:lastPrinted>2014-11-20T15:50:00Z</cp:lastPrinted>
  <dcterms:created xsi:type="dcterms:W3CDTF">2014-12-16T16:23:00Z</dcterms:created>
  <dcterms:modified xsi:type="dcterms:W3CDTF">2014-12-16T16:23:00Z</dcterms:modified>
</cp:coreProperties>
</file>