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20" w:rsidRDefault="003669C9" w:rsidP="008E676F">
      <w:pPr>
        <w:tabs>
          <w:tab w:val="left" w:pos="2530"/>
        </w:tabs>
        <w:suppressAutoHyphens/>
        <w:rPr>
          <w:rFonts w:ascii="Times New Roman" w:hAnsi="Times New Roman"/>
          <w:b/>
          <w:bCs/>
          <w:sz w:val="24"/>
        </w:rPr>
      </w:pPr>
      <w:r>
        <w:rPr>
          <w:rFonts w:ascii="Times New Roman" w:hAnsi="Times New Roman"/>
          <w:b/>
          <w:bCs/>
          <w:sz w:val="24"/>
        </w:rPr>
        <w:tab/>
      </w:r>
    </w:p>
    <w:p w:rsidR="0017246D" w:rsidRDefault="0017246D">
      <w:pPr>
        <w:suppressAutoHyphens/>
        <w:jc w:val="center"/>
        <w:rPr>
          <w:rFonts w:ascii="Times New Roman" w:hAnsi="Times New Roman"/>
          <w:b/>
          <w:bCs/>
          <w:sz w:val="24"/>
        </w:rPr>
      </w:pPr>
    </w:p>
    <w:p w:rsidR="0008393C" w:rsidRPr="00473D6B" w:rsidRDefault="00DB5851">
      <w:pPr>
        <w:suppressAutoHyphens/>
        <w:jc w:val="center"/>
        <w:rPr>
          <w:rFonts w:ascii="Times New Roman" w:hAnsi="Times New Roman"/>
          <w:b/>
          <w:bCs/>
          <w:sz w:val="24"/>
        </w:rPr>
      </w:pPr>
      <w:r w:rsidRPr="00473D6B">
        <w:rPr>
          <w:rFonts w:ascii="Times New Roman" w:hAnsi="Times New Roman"/>
          <w:b/>
          <w:bCs/>
          <w:sz w:val="24"/>
        </w:rPr>
        <w:t>SUPPORTING STATEMENT</w:t>
      </w:r>
    </w:p>
    <w:p w:rsidR="0008393C" w:rsidRPr="00473D6B" w:rsidRDefault="0008393C">
      <w:pPr>
        <w:suppressAutoHyphens/>
        <w:jc w:val="center"/>
        <w:rPr>
          <w:rFonts w:ascii="Times New Roman" w:hAnsi="Times New Roman"/>
          <w:sz w:val="24"/>
        </w:rPr>
      </w:pPr>
    </w:p>
    <w:p w:rsidR="00DB5851" w:rsidRPr="00473D6B" w:rsidRDefault="0008393C" w:rsidP="0008393C">
      <w:pPr>
        <w:suppressAutoHyphens/>
        <w:rPr>
          <w:rFonts w:ascii="Times New Roman" w:hAnsi="Times New Roman"/>
          <w:sz w:val="24"/>
        </w:rPr>
      </w:pPr>
      <w:r w:rsidRPr="00473D6B">
        <w:rPr>
          <w:rFonts w:ascii="Times New Roman" w:hAnsi="Times New Roman"/>
          <w:b/>
          <w:sz w:val="24"/>
        </w:rPr>
        <w:t xml:space="preserve">A.  </w:t>
      </w:r>
      <w:r w:rsidRPr="00473D6B">
        <w:rPr>
          <w:rFonts w:ascii="Times New Roman" w:hAnsi="Times New Roman"/>
          <w:b/>
          <w:sz w:val="24"/>
          <w:u w:val="single"/>
        </w:rPr>
        <w:t>Justification:</w:t>
      </w:r>
      <w:r w:rsidR="00DB5851" w:rsidRPr="00473D6B">
        <w:rPr>
          <w:rFonts w:ascii="Times New Roman" w:hAnsi="Times New Roman"/>
          <w:sz w:val="24"/>
        </w:rPr>
        <w:fldChar w:fldCharType="begin"/>
      </w:r>
      <w:r w:rsidR="00DB5851" w:rsidRPr="00473D6B">
        <w:rPr>
          <w:rFonts w:ascii="Times New Roman" w:hAnsi="Times New Roman"/>
          <w:sz w:val="24"/>
        </w:rPr>
        <w:instrText xml:space="preserve">PRIVATE </w:instrText>
      </w:r>
      <w:r w:rsidR="00DB5851" w:rsidRPr="00473D6B">
        <w:rPr>
          <w:rFonts w:ascii="Times New Roman" w:hAnsi="Times New Roman"/>
          <w:sz w:val="24"/>
        </w:rPr>
        <w:fldChar w:fldCharType="end"/>
      </w:r>
    </w:p>
    <w:p w:rsidR="009619C1" w:rsidRPr="00473D6B" w:rsidRDefault="009619C1">
      <w:pPr>
        <w:suppressAutoHyphens/>
        <w:rPr>
          <w:rFonts w:ascii="Times New Roman" w:hAnsi="Times New Roman"/>
          <w:sz w:val="24"/>
        </w:rPr>
      </w:pPr>
    </w:p>
    <w:p w:rsidR="007E1DF9" w:rsidRPr="00473D6B" w:rsidRDefault="004645D0" w:rsidP="007E1DF9">
      <w:pPr>
        <w:numPr>
          <w:ilvl w:val="0"/>
          <w:numId w:val="5"/>
        </w:numPr>
        <w:tabs>
          <w:tab w:val="left" w:pos="-720"/>
        </w:tabs>
        <w:suppressAutoHyphens/>
        <w:rPr>
          <w:rFonts w:ascii="Times New Roman" w:hAnsi="Times New Roman"/>
          <w:sz w:val="24"/>
        </w:rPr>
      </w:pPr>
      <w:r w:rsidRPr="00473D6B">
        <w:rPr>
          <w:rFonts w:ascii="Times New Roman" w:hAnsi="Times New Roman"/>
          <w:sz w:val="24"/>
        </w:rPr>
        <w:t xml:space="preserve">The Federal Communications Commission (“Commission”) is requesting that the Office </w:t>
      </w:r>
    </w:p>
    <w:p w:rsidR="00B03EA0" w:rsidRPr="00473D6B" w:rsidRDefault="004645D0" w:rsidP="00B03EA0">
      <w:pPr>
        <w:tabs>
          <w:tab w:val="left" w:pos="-720"/>
        </w:tabs>
        <w:suppressAutoHyphens/>
        <w:rPr>
          <w:rFonts w:ascii="Times New Roman" w:hAnsi="Times New Roman"/>
          <w:sz w:val="24"/>
          <w:szCs w:val="24"/>
        </w:rPr>
      </w:pPr>
      <w:proofErr w:type="gramStart"/>
      <w:r w:rsidRPr="00473D6B">
        <w:rPr>
          <w:rFonts w:ascii="Times New Roman" w:hAnsi="Times New Roman"/>
          <w:sz w:val="24"/>
        </w:rPr>
        <w:t>of</w:t>
      </w:r>
      <w:proofErr w:type="gramEnd"/>
      <w:r w:rsidRPr="00473D6B">
        <w:rPr>
          <w:rFonts w:ascii="Times New Roman" w:hAnsi="Times New Roman"/>
          <w:sz w:val="24"/>
        </w:rPr>
        <w:t xml:space="preserve"> Management and Budget (OMB) </w:t>
      </w:r>
      <w:r w:rsidR="007E1DF9" w:rsidRPr="00473D6B">
        <w:rPr>
          <w:rFonts w:ascii="Times New Roman" w:hAnsi="Times New Roman"/>
          <w:sz w:val="24"/>
        </w:rPr>
        <w:t xml:space="preserve">approve </w:t>
      </w:r>
      <w:r w:rsidR="007D661F" w:rsidRPr="00473D6B">
        <w:rPr>
          <w:rFonts w:ascii="Times New Roman" w:hAnsi="Times New Roman"/>
          <w:sz w:val="24"/>
        </w:rPr>
        <w:t>the revision</w:t>
      </w:r>
      <w:r w:rsidR="00F408EF" w:rsidRPr="00473D6B">
        <w:rPr>
          <w:rFonts w:ascii="Times New Roman" w:hAnsi="Times New Roman"/>
          <w:sz w:val="24"/>
        </w:rPr>
        <w:t xml:space="preserve"> </w:t>
      </w:r>
      <w:r w:rsidRPr="00473D6B">
        <w:rPr>
          <w:rFonts w:ascii="Times New Roman" w:hAnsi="Times New Roman"/>
          <w:sz w:val="24"/>
        </w:rPr>
        <w:t>of OMB Control No. 3060-0</w:t>
      </w:r>
      <w:r w:rsidR="00307B0D" w:rsidRPr="00473D6B">
        <w:rPr>
          <w:rFonts w:ascii="Times New Roman" w:hAnsi="Times New Roman"/>
          <w:sz w:val="24"/>
        </w:rPr>
        <w:t>686</w:t>
      </w:r>
      <w:r w:rsidR="007D661F" w:rsidRPr="00473D6B">
        <w:rPr>
          <w:rFonts w:ascii="Times New Roman" w:hAnsi="Times New Roman"/>
          <w:sz w:val="24"/>
        </w:rPr>
        <w:t xml:space="preserve"> </w:t>
      </w:r>
      <w:r w:rsidRPr="00473D6B">
        <w:rPr>
          <w:rFonts w:ascii="Times New Roman" w:hAnsi="Times New Roman"/>
          <w:sz w:val="24"/>
        </w:rPr>
        <w:t>titled, “</w:t>
      </w:r>
      <w:r w:rsidR="00307B0D" w:rsidRPr="00473D6B">
        <w:rPr>
          <w:rFonts w:ascii="Times New Roman" w:hAnsi="Times New Roman"/>
          <w:sz w:val="24"/>
        </w:rPr>
        <w:t>International Section 214 Authorization Process and Tariff Requirements</w:t>
      </w:r>
      <w:r w:rsidR="00A76EC3" w:rsidRPr="00473D6B">
        <w:rPr>
          <w:rFonts w:ascii="Times New Roman" w:hAnsi="Times New Roman"/>
          <w:sz w:val="24"/>
        </w:rPr>
        <w:t xml:space="preserve"> – </w:t>
      </w:r>
      <w:r w:rsidR="00986587" w:rsidRPr="00473D6B">
        <w:rPr>
          <w:rFonts w:ascii="Times New Roman" w:hAnsi="Times New Roman"/>
          <w:sz w:val="24"/>
        </w:rPr>
        <w:t xml:space="preserve">47 CFR </w:t>
      </w:r>
      <w:r w:rsidR="00A76EC3" w:rsidRPr="00473D6B">
        <w:rPr>
          <w:rFonts w:ascii="Times New Roman" w:hAnsi="Times New Roman"/>
          <w:sz w:val="24"/>
        </w:rPr>
        <w:t>Sections 63.10</w:t>
      </w:r>
      <w:r w:rsidR="00D41482" w:rsidRPr="00473D6B">
        <w:rPr>
          <w:rFonts w:ascii="Times New Roman" w:hAnsi="Times New Roman"/>
          <w:sz w:val="24"/>
        </w:rPr>
        <w:t>, 63.11, 63.13, 63.18, 63.19, 63.21, 63.24, 63.25</w:t>
      </w:r>
      <w:r w:rsidR="00B946B5" w:rsidRPr="00473D6B">
        <w:rPr>
          <w:rFonts w:ascii="Times New Roman" w:hAnsi="Times New Roman"/>
          <w:sz w:val="24"/>
        </w:rPr>
        <w:t xml:space="preserve"> and 1.1311</w:t>
      </w:r>
      <w:r w:rsidR="00FD6E9E" w:rsidRPr="00473D6B">
        <w:rPr>
          <w:rFonts w:ascii="Times New Roman" w:hAnsi="Times New Roman"/>
          <w:sz w:val="24"/>
        </w:rPr>
        <w:t>.</w:t>
      </w:r>
      <w:r w:rsidR="00307B0D" w:rsidRPr="00473D6B">
        <w:rPr>
          <w:rFonts w:ascii="Times New Roman" w:hAnsi="Times New Roman"/>
          <w:sz w:val="24"/>
        </w:rPr>
        <w:t>”</w:t>
      </w:r>
      <w:r w:rsidR="007D661F" w:rsidRPr="00473D6B">
        <w:rPr>
          <w:rFonts w:ascii="Times New Roman" w:hAnsi="Times New Roman"/>
          <w:sz w:val="24"/>
        </w:rPr>
        <w:t xml:space="preserve">  This information collection is being revised to receive OMB approval for information collection requirements that were adopted in </w:t>
      </w:r>
      <w:r w:rsidR="003F6DDF" w:rsidRPr="00473D6B">
        <w:rPr>
          <w:rFonts w:ascii="Times New Roman" w:hAnsi="Times New Roman"/>
          <w:sz w:val="24"/>
          <w:szCs w:val="24"/>
        </w:rPr>
        <w:t xml:space="preserve">the Matter of </w:t>
      </w:r>
      <w:r w:rsidR="00611AAC" w:rsidRPr="00DA7435">
        <w:rPr>
          <w:rFonts w:ascii="Times New Roman" w:hAnsi="Times New Roman"/>
          <w:sz w:val="24"/>
          <w:szCs w:val="24"/>
        </w:rPr>
        <w:t xml:space="preserve">Reform of Rules and Policies on Foreign Carrier Entry </w:t>
      </w:r>
      <w:proofErr w:type="gramStart"/>
      <w:r w:rsidR="00611AAC" w:rsidRPr="00DA7435">
        <w:rPr>
          <w:rFonts w:ascii="Times New Roman" w:hAnsi="Times New Roman"/>
          <w:sz w:val="24"/>
          <w:szCs w:val="24"/>
        </w:rPr>
        <w:t>Into</w:t>
      </w:r>
      <w:proofErr w:type="gramEnd"/>
      <w:r w:rsidR="00611AAC" w:rsidRPr="00DA7435">
        <w:rPr>
          <w:rFonts w:ascii="Times New Roman" w:hAnsi="Times New Roman"/>
          <w:sz w:val="24"/>
          <w:szCs w:val="24"/>
        </w:rPr>
        <w:t xml:space="preserve"> the U.S. Telecommunications Market</w:t>
      </w:r>
      <w:r w:rsidR="00611AAC" w:rsidRPr="00611AAC">
        <w:rPr>
          <w:rFonts w:ascii="Times New Roman" w:hAnsi="Times New Roman"/>
          <w:sz w:val="24"/>
          <w:szCs w:val="24"/>
        </w:rPr>
        <w:t xml:space="preserve"> </w:t>
      </w:r>
      <w:r w:rsidR="00AF70B7" w:rsidRPr="00473D6B">
        <w:rPr>
          <w:rFonts w:ascii="Times New Roman" w:hAnsi="Times New Roman"/>
          <w:sz w:val="24"/>
          <w:szCs w:val="24"/>
        </w:rPr>
        <w:t>(Report and Order)</w:t>
      </w:r>
      <w:r w:rsidR="003F6DDF" w:rsidRPr="00473D6B">
        <w:rPr>
          <w:rFonts w:ascii="Times New Roman" w:hAnsi="Times New Roman"/>
          <w:sz w:val="24"/>
          <w:szCs w:val="24"/>
        </w:rPr>
        <w:t xml:space="preserve">, </w:t>
      </w:r>
      <w:r w:rsidR="00AF70B7" w:rsidRPr="00473D6B">
        <w:rPr>
          <w:rFonts w:ascii="Times New Roman" w:hAnsi="Times New Roman"/>
          <w:sz w:val="24"/>
          <w:szCs w:val="24"/>
        </w:rPr>
        <w:t xml:space="preserve">FCC 14-48, </w:t>
      </w:r>
      <w:r w:rsidR="002D626A" w:rsidRPr="00473D6B">
        <w:rPr>
          <w:rFonts w:ascii="Times New Roman" w:hAnsi="Times New Roman"/>
          <w:sz w:val="24"/>
          <w:szCs w:val="24"/>
        </w:rPr>
        <w:t>rel</w:t>
      </w:r>
      <w:r w:rsidR="00AF70B7" w:rsidRPr="00473D6B">
        <w:rPr>
          <w:rFonts w:ascii="Times New Roman" w:hAnsi="Times New Roman"/>
          <w:sz w:val="24"/>
          <w:szCs w:val="24"/>
        </w:rPr>
        <w:t>eased</w:t>
      </w:r>
      <w:r w:rsidR="002D626A" w:rsidRPr="00473D6B">
        <w:rPr>
          <w:rFonts w:ascii="Times New Roman" w:hAnsi="Times New Roman"/>
          <w:sz w:val="24"/>
          <w:szCs w:val="24"/>
        </w:rPr>
        <w:t xml:space="preserve"> April 22, 2014</w:t>
      </w:r>
      <w:r w:rsidR="00853561" w:rsidRPr="00473D6B">
        <w:rPr>
          <w:rFonts w:ascii="Times New Roman" w:hAnsi="Times New Roman"/>
          <w:sz w:val="24"/>
          <w:szCs w:val="24"/>
        </w:rPr>
        <w:t xml:space="preserve">.  </w:t>
      </w:r>
    </w:p>
    <w:p w:rsidR="001D5F91" w:rsidRPr="00473D6B" w:rsidRDefault="001D5F91" w:rsidP="007D661F">
      <w:pPr>
        <w:tabs>
          <w:tab w:val="left" w:pos="-720"/>
        </w:tabs>
        <w:suppressAutoHyphens/>
        <w:rPr>
          <w:rFonts w:ascii="Times New Roman" w:hAnsi="Times New Roman"/>
          <w:sz w:val="24"/>
          <w:szCs w:val="24"/>
        </w:rPr>
      </w:pPr>
    </w:p>
    <w:p w:rsidR="00935CF5" w:rsidRPr="00473D6B" w:rsidRDefault="00935CF5" w:rsidP="007D661F">
      <w:pPr>
        <w:tabs>
          <w:tab w:val="left" w:pos="-720"/>
        </w:tabs>
        <w:suppressAutoHyphens/>
        <w:rPr>
          <w:rFonts w:ascii="Times New Roman" w:hAnsi="Times New Roman"/>
          <w:sz w:val="24"/>
          <w:szCs w:val="24"/>
        </w:rPr>
      </w:pPr>
      <w:r w:rsidRPr="00473D6B">
        <w:rPr>
          <w:rFonts w:ascii="Times New Roman" w:hAnsi="Times New Roman"/>
          <w:sz w:val="24"/>
          <w:szCs w:val="24"/>
        </w:rPr>
        <w:tab/>
        <w:t>The Commission requests OMB approval for the following information collection requirements adopted in the Report and Order:</w:t>
      </w:r>
    </w:p>
    <w:p w:rsidR="003F6DDF" w:rsidRPr="00473D6B" w:rsidRDefault="003F6DDF" w:rsidP="003F6DDF">
      <w:pPr>
        <w:rPr>
          <w:rFonts w:ascii="Times New Roman" w:hAnsi="Times New Roman"/>
          <w:b/>
          <w:sz w:val="24"/>
          <w:szCs w:val="24"/>
        </w:rPr>
      </w:pPr>
    </w:p>
    <w:p w:rsidR="003F6DDF" w:rsidRPr="00473D6B" w:rsidRDefault="003F6DDF" w:rsidP="003F6DDF">
      <w:pPr>
        <w:rPr>
          <w:rFonts w:ascii="Times New Roman" w:hAnsi="Times New Roman"/>
          <w:sz w:val="24"/>
          <w:szCs w:val="24"/>
        </w:rPr>
      </w:pPr>
      <w:r w:rsidRPr="00473D6B">
        <w:rPr>
          <w:rFonts w:ascii="Times New Roman" w:hAnsi="Times New Roman"/>
          <w:b/>
          <w:sz w:val="24"/>
          <w:szCs w:val="24"/>
        </w:rPr>
        <w:t>Section 63.11(g)(2)</w:t>
      </w:r>
      <w:r w:rsidR="005A7DE7" w:rsidRPr="00473D6B">
        <w:rPr>
          <w:rStyle w:val="FootnoteReference"/>
          <w:rFonts w:ascii="Times New Roman" w:hAnsi="Times New Roman"/>
          <w:b/>
          <w:sz w:val="24"/>
          <w:szCs w:val="24"/>
        </w:rPr>
        <w:footnoteReference w:id="2"/>
      </w:r>
      <w:r w:rsidRPr="00473D6B">
        <w:rPr>
          <w:rFonts w:ascii="Times New Roman" w:hAnsi="Times New Roman"/>
          <w:b/>
          <w:sz w:val="24"/>
          <w:szCs w:val="24"/>
        </w:rPr>
        <w:t xml:space="preserve"> </w:t>
      </w:r>
      <w:r w:rsidR="00853561" w:rsidRPr="00473D6B">
        <w:rPr>
          <w:rFonts w:ascii="Times New Roman" w:hAnsi="Times New Roman"/>
          <w:b/>
          <w:sz w:val="24"/>
          <w:szCs w:val="24"/>
        </w:rPr>
        <w:t xml:space="preserve"> </w:t>
      </w:r>
      <w:r w:rsidR="005A7DE7" w:rsidRPr="00473D6B">
        <w:rPr>
          <w:rFonts w:ascii="Times New Roman" w:hAnsi="Times New Roman"/>
          <w:b/>
          <w:sz w:val="24"/>
          <w:szCs w:val="24"/>
        </w:rPr>
        <w:t xml:space="preserve">- </w:t>
      </w:r>
      <w:r w:rsidRPr="00473D6B">
        <w:rPr>
          <w:rFonts w:ascii="Times New Roman" w:hAnsi="Times New Roman"/>
          <w:sz w:val="24"/>
          <w:szCs w:val="24"/>
        </w:rPr>
        <w:t>In the case of a prior notification filed pursuant to paragraph (a) of this section, the U.S. authorized carrier must demonstrate that it continues to serve the public interest for it to operate on the route for which it proposes to acquire an affiliation with the foreign carrier authorized to operate in the non-WTO Member country.</w:t>
      </w:r>
      <w:r w:rsidR="00247449" w:rsidRPr="00473D6B">
        <w:rPr>
          <w:rStyle w:val="FootnoteReference"/>
          <w:rFonts w:ascii="Times New Roman" w:hAnsi="Times New Roman"/>
          <w:sz w:val="24"/>
          <w:szCs w:val="24"/>
        </w:rPr>
        <w:footnoteReference w:id="3"/>
      </w:r>
      <w:r w:rsidRPr="00473D6B">
        <w:rPr>
          <w:rFonts w:ascii="Times New Roman" w:hAnsi="Times New Roman"/>
          <w:sz w:val="24"/>
          <w:szCs w:val="24"/>
        </w:rPr>
        <w:t xml:space="preserve">  Such a showing shall include a demonstration as to whether the foreign carrier lacks market power in the non-WTO Member country with reference to the criteria in §63.10(a) of this chapter.  If the U.S. authorized carrier is unable to make the required showing in §63.10(a), the U.S. authorized carrier shall agree to comply with the dominant carrier safeguards contained in section 63.10(c), effective upon the acquisition of the affiliation.  If the U.S. authorized carrier is notified by the Commission that the affiliation may otherwise harm the public interest pursuant to the Commission’s policies and rules, </w:t>
      </w:r>
      <w:proofErr w:type="gramStart"/>
      <w:r w:rsidRPr="00473D6B">
        <w:rPr>
          <w:rFonts w:ascii="Times New Roman" w:hAnsi="Times New Roman"/>
          <w:sz w:val="24"/>
          <w:szCs w:val="24"/>
        </w:rPr>
        <w:t>then</w:t>
      </w:r>
      <w:proofErr w:type="gramEnd"/>
      <w:r w:rsidRPr="00473D6B">
        <w:rPr>
          <w:rFonts w:ascii="Times New Roman" w:hAnsi="Times New Roman"/>
          <w:sz w:val="24"/>
          <w:szCs w:val="24"/>
        </w:rPr>
        <w:t xml:space="preserve"> the Commission may impose conditions necessary to address any public interest </w:t>
      </w:r>
      <w:r w:rsidRPr="00473D6B">
        <w:rPr>
          <w:rFonts w:ascii="Times New Roman" w:hAnsi="Times New Roman"/>
          <w:sz w:val="24"/>
          <w:szCs w:val="24"/>
        </w:rPr>
        <w:lastRenderedPageBreak/>
        <w:t xml:space="preserve">harms or may proceed to an immediate authorization revocation hearing. </w:t>
      </w:r>
    </w:p>
    <w:p w:rsidR="003F6DDF" w:rsidRPr="00473D6B" w:rsidRDefault="003F6DDF" w:rsidP="003F6DDF">
      <w:pPr>
        <w:rPr>
          <w:rFonts w:ascii="Times New Roman" w:hAnsi="Times New Roman"/>
          <w:sz w:val="24"/>
          <w:szCs w:val="24"/>
        </w:rPr>
      </w:pPr>
      <w:r w:rsidRPr="00473D6B">
        <w:rPr>
          <w:rFonts w:ascii="Times New Roman" w:hAnsi="Times New Roman"/>
          <w:sz w:val="24"/>
          <w:szCs w:val="24"/>
        </w:rPr>
        <w:t xml:space="preserve"> </w:t>
      </w:r>
    </w:p>
    <w:p w:rsidR="003F6DDF" w:rsidRPr="00473D6B" w:rsidRDefault="003F6DDF" w:rsidP="003F6DDF">
      <w:pPr>
        <w:rPr>
          <w:rFonts w:ascii="Times New Roman" w:hAnsi="Times New Roman"/>
          <w:sz w:val="24"/>
          <w:szCs w:val="24"/>
        </w:rPr>
      </w:pPr>
      <w:r w:rsidRPr="00473D6B">
        <w:rPr>
          <w:rFonts w:ascii="Times New Roman" w:hAnsi="Times New Roman"/>
          <w:b/>
          <w:sz w:val="24"/>
          <w:szCs w:val="24"/>
        </w:rPr>
        <w:t>Section 63.18(k)</w:t>
      </w:r>
      <w:r w:rsidR="005A7DE7" w:rsidRPr="00473D6B">
        <w:rPr>
          <w:rFonts w:ascii="Times New Roman" w:hAnsi="Times New Roman"/>
          <w:b/>
          <w:sz w:val="24"/>
          <w:szCs w:val="24"/>
        </w:rPr>
        <w:t xml:space="preserve"> </w:t>
      </w:r>
      <w:r w:rsidR="005A7DE7" w:rsidRPr="00473D6B">
        <w:rPr>
          <w:rStyle w:val="FootnoteReference"/>
          <w:rFonts w:ascii="Times New Roman" w:hAnsi="Times New Roman"/>
          <w:b/>
          <w:sz w:val="24"/>
          <w:szCs w:val="24"/>
        </w:rPr>
        <w:footnoteReference w:id="4"/>
      </w:r>
      <w:r w:rsidR="005A7DE7" w:rsidRPr="00473D6B">
        <w:rPr>
          <w:rFonts w:ascii="Times New Roman" w:hAnsi="Times New Roman"/>
          <w:b/>
          <w:sz w:val="24"/>
          <w:szCs w:val="24"/>
        </w:rPr>
        <w:t xml:space="preserve"> - </w:t>
      </w:r>
      <w:r w:rsidRPr="00473D6B">
        <w:rPr>
          <w:rFonts w:ascii="Times New Roman" w:hAnsi="Times New Roman"/>
          <w:sz w:val="24"/>
          <w:szCs w:val="24"/>
        </w:rPr>
        <w:t xml:space="preserve">states that for any country that the applicant has listed in response to paragraph (j) of this section that is not a member of the World Trade Organization, the applicant shall make a demonstration as to whether the foreign carrier has market power, or lacks market power, with reference to the criteria in §63.10(a) of this chapter. </w:t>
      </w:r>
    </w:p>
    <w:p w:rsidR="003F6DDF" w:rsidRPr="00473D6B" w:rsidRDefault="003F6DDF" w:rsidP="003F6DDF">
      <w:pPr>
        <w:rPr>
          <w:rFonts w:ascii="Times New Roman" w:hAnsi="Times New Roman"/>
          <w:sz w:val="24"/>
          <w:szCs w:val="24"/>
        </w:rPr>
      </w:pPr>
      <w:r w:rsidRPr="00473D6B">
        <w:rPr>
          <w:rFonts w:ascii="Times New Roman" w:hAnsi="Times New Roman"/>
          <w:sz w:val="24"/>
          <w:szCs w:val="24"/>
        </w:rPr>
        <w:t xml:space="preserve"> </w:t>
      </w:r>
    </w:p>
    <w:p w:rsidR="003F6DDF" w:rsidRPr="00473D6B" w:rsidRDefault="003F6DDF" w:rsidP="003F6DDF">
      <w:pPr>
        <w:rPr>
          <w:rFonts w:ascii="Times New Roman" w:hAnsi="Times New Roman"/>
          <w:sz w:val="24"/>
          <w:szCs w:val="24"/>
          <w:u w:val="single"/>
        </w:rPr>
      </w:pPr>
      <w:r w:rsidRPr="00473D6B">
        <w:rPr>
          <w:rFonts w:ascii="Times New Roman" w:hAnsi="Times New Roman"/>
          <w:sz w:val="24"/>
          <w:szCs w:val="24"/>
          <w:u w:val="single"/>
        </w:rPr>
        <w:t>Report and Order</w:t>
      </w:r>
    </w:p>
    <w:p w:rsidR="003F6DDF" w:rsidRPr="00473D6B" w:rsidRDefault="003F6DDF" w:rsidP="003F6DDF">
      <w:pPr>
        <w:rPr>
          <w:rFonts w:ascii="Times New Roman" w:hAnsi="Times New Roman"/>
          <w:sz w:val="24"/>
          <w:szCs w:val="24"/>
          <w:u w:val="single"/>
        </w:rPr>
      </w:pPr>
    </w:p>
    <w:p w:rsidR="00332BBE" w:rsidRPr="00473D6B" w:rsidRDefault="003F6DDF" w:rsidP="00EA114F">
      <w:pPr>
        <w:rPr>
          <w:rFonts w:ascii="Times New Roman" w:hAnsi="Times New Roman"/>
          <w:sz w:val="24"/>
          <w:szCs w:val="24"/>
        </w:rPr>
      </w:pPr>
      <w:r w:rsidRPr="00473D6B">
        <w:rPr>
          <w:rFonts w:ascii="Times New Roman" w:hAnsi="Times New Roman"/>
          <w:sz w:val="24"/>
          <w:szCs w:val="24"/>
        </w:rPr>
        <w:t xml:space="preserve">On April </w:t>
      </w:r>
      <w:r w:rsidR="005135FE" w:rsidRPr="00473D6B">
        <w:rPr>
          <w:rFonts w:ascii="Times New Roman" w:hAnsi="Times New Roman"/>
          <w:sz w:val="24"/>
          <w:szCs w:val="24"/>
        </w:rPr>
        <w:t>22</w:t>
      </w:r>
      <w:r w:rsidRPr="00473D6B">
        <w:rPr>
          <w:rFonts w:ascii="Times New Roman" w:hAnsi="Times New Roman"/>
          <w:sz w:val="24"/>
          <w:szCs w:val="24"/>
        </w:rPr>
        <w:t xml:space="preserve">, 2014, the Commission released a Report and Order titled “Reform of Rules and Policies on Foreign Carrier Entry </w:t>
      </w:r>
      <w:proofErr w:type="gramStart"/>
      <w:r w:rsidRPr="00473D6B">
        <w:rPr>
          <w:rFonts w:ascii="Times New Roman" w:hAnsi="Times New Roman"/>
          <w:sz w:val="24"/>
          <w:szCs w:val="24"/>
        </w:rPr>
        <w:t>Into</w:t>
      </w:r>
      <w:proofErr w:type="gramEnd"/>
      <w:r w:rsidRPr="00473D6B">
        <w:rPr>
          <w:rFonts w:ascii="Times New Roman" w:hAnsi="Times New Roman"/>
          <w:sz w:val="24"/>
          <w:szCs w:val="24"/>
        </w:rPr>
        <w:t xml:space="preserve"> the U.S. Telecommunications Market,”</w:t>
      </w:r>
      <w:r w:rsidR="002D626A" w:rsidRPr="00473D6B">
        <w:rPr>
          <w:rFonts w:ascii="Times New Roman" w:hAnsi="Times New Roman"/>
          <w:sz w:val="24"/>
          <w:szCs w:val="24"/>
        </w:rPr>
        <w:t xml:space="preserve"> </w:t>
      </w:r>
      <w:r w:rsidR="00AF70B7" w:rsidRPr="00473D6B">
        <w:rPr>
          <w:rFonts w:ascii="Times New Roman" w:hAnsi="Times New Roman"/>
          <w:sz w:val="24"/>
          <w:szCs w:val="24"/>
        </w:rPr>
        <w:t>FCC 14-48</w:t>
      </w:r>
      <w:r w:rsidR="002D626A" w:rsidRPr="00473D6B">
        <w:rPr>
          <w:rFonts w:ascii="Times New Roman" w:hAnsi="Times New Roman"/>
          <w:sz w:val="24"/>
          <w:szCs w:val="24"/>
        </w:rPr>
        <w:t>.  In the</w:t>
      </w:r>
      <w:r w:rsidRPr="00473D6B">
        <w:rPr>
          <w:rFonts w:ascii="Times New Roman" w:hAnsi="Times New Roman"/>
          <w:sz w:val="24"/>
          <w:szCs w:val="24"/>
        </w:rPr>
        <w:t xml:space="preserve"> Report and Order, the Commissi</w:t>
      </w:r>
      <w:r w:rsidR="002D626A" w:rsidRPr="00473D6B">
        <w:rPr>
          <w:rFonts w:ascii="Times New Roman" w:hAnsi="Times New Roman"/>
          <w:sz w:val="24"/>
          <w:szCs w:val="24"/>
        </w:rPr>
        <w:t>on</w:t>
      </w:r>
      <w:r w:rsidRPr="00473D6B">
        <w:rPr>
          <w:rFonts w:ascii="Times New Roman" w:hAnsi="Times New Roman"/>
          <w:sz w:val="24"/>
          <w:szCs w:val="24"/>
        </w:rPr>
        <w:t xml:space="preserve"> eliminate</w:t>
      </w:r>
      <w:r w:rsidR="002D626A" w:rsidRPr="00473D6B">
        <w:rPr>
          <w:rFonts w:ascii="Times New Roman" w:hAnsi="Times New Roman"/>
          <w:sz w:val="24"/>
          <w:szCs w:val="24"/>
        </w:rPr>
        <w:t>s</w:t>
      </w:r>
      <w:r w:rsidRPr="00473D6B">
        <w:rPr>
          <w:rFonts w:ascii="Times New Roman" w:hAnsi="Times New Roman"/>
          <w:sz w:val="24"/>
          <w:szCs w:val="24"/>
        </w:rPr>
        <w:t xml:space="preserve"> the effective competitive oppor</w:t>
      </w:r>
      <w:r w:rsidR="009A446F" w:rsidRPr="00473D6B">
        <w:rPr>
          <w:rFonts w:ascii="Times New Roman" w:hAnsi="Times New Roman"/>
          <w:sz w:val="24"/>
          <w:szCs w:val="24"/>
        </w:rPr>
        <w:t>tunities (ECO) test that applied</w:t>
      </w:r>
      <w:r w:rsidRPr="00473D6B">
        <w:rPr>
          <w:rFonts w:ascii="Times New Roman" w:hAnsi="Times New Roman"/>
          <w:sz w:val="24"/>
          <w:szCs w:val="24"/>
        </w:rPr>
        <w:t xml:space="preserve"> to Commission review of </w:t>
      </w:r>
      <w:r w:rsidR="00881895" w:rsidRPr="00473D6B">
        <w:rPr>
          <w:rFonts w:ascii="Times New Roman" w:hAnsi="Times New Roman"/>
          <w:sz w:val="24"/>
          <w:szCs w:val="24"/>
        </w:rPr>
        <w:t xml:space="preserve">(1) </w:t>
      </w:r>
      <w:r w:rsidR="00913E18" w:rsidRPr="00473D6B">
        <w:rPr>
          <w:rFonts w:ascii="Times New Roman" w:hAnsi="Times New Roman"/>
          <w:sz w:val="24"/>
          <w:szCs w:val="24"/>
        </w:rPr>
        <w:t>S</w:t>
      </w:r>
      <w:r w:rsidR="00881895" w:rsidRPr="00473D6B">
        <w:rPr>
          <w:rFonts w:ascii="Times New Roman" w:hAnsi="Times New Roman"/>
          <w:sz w:val="24"/>
          <w:szCs w:val="24"/>
        </w:rPr>
        <w:t xml:space="preserve">ection 214 applications filed by foreign carriers or </w:t>
      </w:r>
      <w:r w:rsidR="00CA4A9C" w:rsidRPr="00473D6B">
        <w:rPr>
          <w:rFonts w:ascii="Times New Roman" w:hAnsi="Times New Roman"/>
          <w:sz w:val="24"/>
          <w:szCs w:val="24"/>
        </w:rPr>
        <w:t xml:space="preserve">certain of </w:t>
      </w:r>
      <w:r w:rsidR="00881895" w:rsidRPr="00473D6B">
        <w:rPr>
          <w:rFonts w:ascii="Times New Roman" w:hAnsi="Times New Roman"/>
          <w:sz w:val="24"/>
          <w:szCs w:val="24"/>
        </w:rPr>
        <w:t xml:space="preserve">their affiliates that have market power in </w:t>
      </w:r>
      <w:r w:rsidR="00CA4A9C" w:rsidRPr="00473D6B">
        <w:rPr>
          <w:rFonts w:ascii="Times New Roman" w:hAnsi="Times New Roman"/>
          <w:sz w:val="24"/>
          <w:szCs w:val="24"/>
        </w:rPr>
        <w:t xml:space="preserve">a </w:t>
      </w:r>
      <w:r w:rsidR="00881895" w:rsidRPr="00473D6B">
        <w:rPr>
          <w:rFonts w:ascii="Times New Roman" w:hAnsi="Times New Roman"/>
          <w:sz w:val="24"/>
          <w:szCs w:val="24"/>
        </w:rPr>
        <w:t>non-World Trade Organization (WTO) countr</w:t>
      </w:r>
      <w:r w:rsidR="00D20672" w:rsidRPr="00473D6B">
        <w:rPr>
          <w:rFonts w:ascii="Times New Roman" w:hAnsi="Times New Roman"/>
          <w:sz w:val="24"/>
          <w:szCs w:val="24"/>
        </w:rPr>
        <w:t>y</w:t>
      </w:r>
      <w:r w:rsidR="00AF70B7" w:rsidRPr="00473D6B">
        <w:rPr>
          <w:rFonts w:ascii="Times New Roman" w:hAnsi="Times New Roman"/>
          <w:sz w:val="24"/>
          <w:szCs w:val="24"/>
        </w:rPr>
        <w:t xml:space="preserve"> </w:t>
      </w:r>
      <w:r w:rsidR="00881895" w:rsidRPr="00473D6B">
        <w:rPr>
          <w:rFonts w:ascii="Times New Roman" w:hAnsi="Times New Roman"/>
          <w:sz w:val="24"/>
          <w:szCs w:val="24"/>
        </w:rPr>
        <w:t xml:space="preserve">they seek to serve, and (2) notifications filed by </w:t>
      </w:r>
      <w:r w:rsidR="00D56BD2" w:rsidRPr="00473D6B">
        <w:rPr>
          <w:rFonts w:ascii="Times New Roman" w:hAnsi="Times New Roman"/>
          <w:sz w:val="24"/>
          <w:szCs w:val="24"/>
        </w:rPr>
        <w:t xml:space="preserve">U.S. </w:t>
      </w:r>
      <w:r w:rsidR="00881895" w:rsidRPr="00473D6B">
        <w:rPr>
          <w:rFonts w:ascii="Times New Roman" w:hAnsi="Times New Roman"/>
          <w:sz w:val="24"/>
          <w:szCs w:val="24"/>
        </w:rPr>
        <w:t xml:space="preserve">authorized </w:t>
      </w:r>
      <w:r w:rsidR="00913E18" w:rsidRPr="00473D6B">
        <w:rPr>
          <w:rFonts w:ascii="Times New Roman" w:hAnsi="Times New Roman"/>
          <w:sz w:val="24"/>
          <w:szCs w:val="24"/>
        </w:rPr>
        <w:t>S</w:t>
      </w:r>
      <w:r w:rsidR="00D56BD2" w:rsidRPr="00473D6B">
        <w:rPr>
          <w:rFonts w:ascii="Times New Roman" w:hAnsi="Times New Roman"/>
          <w:sz w:val="24"/>
          <w:szCs w:val="24"/>
        </w:rPr>
        <w:t xml:space="preserve">ection 214 </w:t>
      </w:r>
      <w:r w:rsidR="00881895" w:rsidRPr="00473D6B">
        <w:rPr>
          <w:rFonts w:ascii="Times New Roman" w:hAnsi="Times New Roman"/>
          <w:sz w:val="24"/>
          <w:szCs w:val="24"/>
        </w:rPr>
        <w:t>carrier</w:t>
      </w:r>
      <w:r w:rsidR="00D56BD2" w:rsidRPr="00473D6B">
        <w:rPr>
          <w:rFonts w:ascii="Times New Roman" w:hAnsi="Times New Roman"/>
          <w:sz w:val="24"/>
          <w:szCs w:val="24"/>
        </w:rPr>
        <w:t>s that have acquired, or seek to acquire, an</w:t>
      </w:r>
      <w:r w:rsidR="00881895" w:rsidRPr="00473D6B">
        <w:rPr>
          <w:rFonts w:ascii="Times New Roman" w:hAnsi="Times New Roman"/>
          <w:sz w:val="24"/>
          <w:szCs w:val="24"/>
        </w:rPr>
        <w:t xml:space="preserve"> affiliat</w:t>
      </w:r>
      <w:r w:rsidR="00D56BD2" w:rsidRPr="00473D6B">
        <w:rPr>
          <w:rFonts w:ascii="Times New Roman" w:hAnsi="Times New Roman"/>
          <w:sz w:val="24"/>
          <w:szCs w:val="24"/>
        </w:rPr>
        <w:t>ion (as defined in the rules)</w:t>
      </w:r>
      <w:r w:rsidR="00881895" w:rsidRPr="00473D6B">
        <w:rPr>
          <w:rFonts w:ascii="Times New Roman" w:hAnsi="Times New Roman"/>
          <w:sz w:val="24"/>
          <w:szCs w:val="24"/>
        </w:rPr>
        <w:t xml:space="preserve"> with</w:t>
      </w:r>
      <w:r w:rsidR="00E77D90" w:rsidRPr="00473D6B">
        <w:rPr>
          <w:rFonts w:ascii="Times New Roman" w:hAnsi="Times New Roman"/>
          <w:sz w:val="24"/>
          <w:szCs w:val="24"/>
        </w:rPr>
        <w:t xml:space="preserve"> a</w:t>
      </w:r>
      <w:r w:rsidR="00881895" w:rsidRPr="00473D6B">
        <w:rPr>
          <w:rFonts w:ascii="Times New Roman" w:hAnsi="Times New Roman"/>
          <w:sz w:val="24"/>
          <w:szCs w:val="24"/>
        </w:rPr>
        <w:t xml:space="preserve"> foreign carrier that has market power in a non-WTO country which the U.S. carrier is authorized to serve.</w:t>
      </w:r>
      <w:r w:rsidR="009A446F" w:rsidRPr="00473D6B">
        <w:rPr>
          <w:rFonts w:ascii="Times New Roman" w:hAnsi="Times New Roman"/>
          <w:sz w:val="24"/>
          <w:szCs w:val="24"/>
        </w:rPr>
        <w:t xml:space="preserve"> </w:t>
      </w:r>
      <w:r w:rsidR="007B79A8" w:rsidRPr="00473D6B">
        <w:rPr>
          <w:rFonts w:ascii="Times New Roman" w:hAnsi="Times New Roman"/>
          <w:sz w:val="24"/>
          <w:szCs w:val="24"/>
        </w:rPr>
        <w:t xml:space="preserve"> Under this approach, the Commission will continue to require a f</w:t>
      </w:r>
      <w:r w:rsidR="00913E18" w:rsidRPr="00473D6B">
        <w:rPr>
          <w:rFonts w:ascii="Times New Roman" w:hAnsi="Times New Roman"/>
          <w:sz w:val="24"/>
          <w:szCs w:val="24"/>
        </w:rPr>
        <w:t>oreign carrier applicant for a S</w:t>
      </w:r>
      <w:r w:rsidR="007B79A8" w:rsidRPr="00473D6B">
        <w:rPr>
          <w:rFonts w:ascii="Times New Roman" w:hAnsi="Times New Roman"/>
          <w:sz w:val="24"/>
          <w:szCs w:val="24"/>
        </w:rPr>
        <w:t>ection 214 authorization or a U.S. authorized carrier filing a foreign affiliation notification to provide information set out</w:t>
      </w:r>
      <w:r w:rsidR="004B74A4" w:rsidRPr="00473D6B">
        <w:rPr>
          <w:rFonts w:ascii="Times New Roman" w:hAnsi="Times New Roman"/>
          <w:sz w:val="24"/>
          <w:szCs w:val="24"/>
        </w:rPr>
        <w:t xml:space="preserve"> in its rules to establish its qualifications to receive such authorization or to identify its foreign affiliation.</w:t>
      </w:r>
      <w:r w:rsidR="00332BBE" w:rsidRPr="00473D6B">
        <w:rPr>
          <w:rFonts w:ascii="Times New Roman" w:hAnsi="Times New Roman"/>
          <w:sz w:val="24"/>
          <w:szCs w:val="24"/>
        </w:rPr>
        <w:t xml:space="preserve">  To ensure that the Commission receives sufficient information to assess whether applications and notifications involving an affiliation with a non-WTO carrier requires a closer review</w:t>
      </w:r>
      <w:r w:rsidR="00913E18" w:rsidRPr="00473D6B">
        <w:rPr>
          <w:rFonts w:ascii="Times New Roman" w:hAnsi="Times New Roman"/>
          <w:sz w:val="24"/>
          <w:szCs w:val="24"/>
        </w:rPr>
        <w:t xml:space="preserve">, the Report and Order revises </w:t>
      </w:r>
      <w:r w:rsidR="00026335">
        <w:rPr>
          <w:rFonts w:ascii="Times New Roman" w:hAnsi="Times New Roman"/>
          <w:sz w:val="24"/>
          <w:szCs w:val="24"/>
        </w:rPr>
        <w:t>S</w:t>
      </w:r>
      <w:r w:rsidR="00332BBE" w:rsidRPr="00473D6B">
        <w:rPr>
          <w:rFonts w:ascii="Times New Roman" w:hAnsi="Times New Roman"/>
          <w:sz w:val="24"/>
          <w:szCs w:val="24"/>
        </w:rPr>
        <w:t>ections 63.18(k) and 63.11(g)(2) of the rules to state specifically that, if an applicant or notification filer is a foreign carrier, or is affiliated with a foreign carrier</w:t>
      </w:r>
      <w:r w:rsidR="00557295" w:rsidRPr="00473D6B">
        <w:rPr>
          <w:rFonts w:ascii="Times New Roman" w:hAnsi="Times New Roman"/>
          <w:sz w:val="24"/>
          <w:szCs w:val="24"/>
        </w:rPr>
        <w:t xml:space="preserve"> (as defined in the rules) in a non-WTO country which the U.S. carrier is authorized to serve, the applicant or notification filer  must demonstrate whether or not the foreign carrier has market power in that country. </w:t>
      </w:r>
      <w:r w:rsidR="004B74A4" w:rsidRPr="00473D6B">
        <w:rPr>
          <w:rFonts w:ascii="Times New Roman" w:hAnsi="Times New Roman"/>
          <w:sz w:val="24"/>
          <w:szCs w:val="24"/>
        </w:rPr>
        <w:t xml:space="preserve">  </w:t>
      </w:r>
    </w:p>
    <w:p w:rsidR="00332BBE" w:rsidRPr="00473D6B" w:rsidRDefault="00332BBE" w:rsidP="00EA114F">
      <w:pPr>
        <w:rPr>
          <w:rFonts w:ascii="Times New Roman" w:hAnsi="Times New Roman"/>
          <w:sz w:val="24"/>
          <w:szCs w:val="24"/>
        </w:rPr>
      </w:pPr>
    </w:p>
    <w:p w:rsidR="00DD0734" w:rsidRPr="00473D6B" w:rsidRDefault="00827E02" w:rsidP="00EA114F">
      <w:pPr>
        <w:rPr>
          <w:rFonts w:ascii="Times New Roman" w:hAnsi="Times New Roman"/>
          <w:sz w:val="24"/>
          <w:szCs w:val="24"/>
        </w:rPr>
      </w:pPr>
      <w:r w:rsidRPr="00473D6B">
        <w:rPr>
          <w:rFonts w:ascii="Times New Roman" w:hAnsi="Times New Roman"/>
          <w:sz w:val="24"/>
          <w:szCs w:val="24"/>
        </w:rPr>
        <w:t>As is the case under the current rules, i</w:t>
      </w:r>
      <w:r w:rsidR="004B74A4" w:rsidRPr="00473D6B">
        <w:rPr>
          <w:rFonts w:ascii="Times New Roman" w:hAnsi="Times New Roman"/>
          <w:sz w:val="24"/>
          <w:szCs w:val="24"/>
        </w:rPr>
        <w:t xml:space="preserve">f the applicant is itself, or is affiliated with, a foreign carrier </w:t>
      </w:r>
      <w:r w:rsidR="00DD0734" w:rsidRPr="00473D6B">
        <w:rPr>
          <w:rFonts w:ascii="Times New Roman" w:hAnsi="Times New Roman"/>
          <w:sz w:val="24"/>
          <w:szCs w:val="24"/>
        </w:rPr>
        <w:t>that may have</w:t>
      </w:r>
      <w:r w:rsidR="004B74A4" w:rsidRPr="00473D6B">
        <w:rPr>
          <w:rFonts w:ascii="Times New Roman" w:hAnsi="Times New Roman"/>
          <w:sz w:val="24"/>
          <w:szCs w:val="24"/>
        </w:rPr>
        <w:t xml:space="preserve"> market power in a non-WTO country, then the application will not be eligible for streamlined processing and will be placed on a 28-day public notice</w:t>
      </w:r>
      <w:r w:rsidR="00EA114F" w:rsidRPr="00473D6B">
        <w:rPr>
          <w:rFonts w:ascii="Times New Roman" w:hAnsi="Times New Roman"/>
          <w:sz w:val="24"/>
          <w:szCs w:val="24"/>
        </w:rPr>
        <w:t xml:space="preserve">, thus giving interested parties an opportunity to file comments as to whether there are competitive or </w:t>
      </w:r>
      <w:r w:rsidR="00D20672" w:rsidRPr="00473D6B">
        <w:rPr>
          <w:rFonts w:ascii="Times New Roman" w:hAnsi="Times New Roman"/>
          <w:sz w:val="24"/>
          <w:szCs w:val="24"/>
        </w:rPr>
        <w:t xml:space="preserve">other </w:t>
      </w:r>
      <w:r w:rsidR="00EA114F" w:rsidRPr="00473D6B">
        <w:rPr>
          <w:rFonts w:ascii="Times New Roman" w:hAnsi="Times New Roman"/>
          <w:sz w:val="24"/>
          <w:szCs w:val="24"/>
        </w:rPr>
        <w:t>public interest concerns with the foreign country at issue</w:t>
      </w:r>
      <w:r w:rsidR="004B74A4" w:rsidRPr="00473D6B">
        <w:rPr>
          <w:rFonts w:ascii="Times New Roman" w:hAnsi="Times New Roman"/>
          <w:sz w:val="24"/>
          <w:szCs w:val="24"/>
        </w:rPr>
        <w:t xml:space="preserve">.  </w:t>
      </w:r>
      <w:r w:rsidRPr="00473D6B">
        <w:rPr>
          <w:rFonts w:ascii="Times New Roman" w:hAnsi="Times New Roman"/>
          <w:sz w:val="24"/>
          <w:szCs w:val="24"/>
        </w:rPr>
        <w:t>Notifications of</w:t>
      </w:r>
      <w:r w:rsidR="004B74A4" w:rsidRPr="00473D6B">
        <w:rPr>
          <w:rFonts w:ascii="Times New Roman" w:hAnsi="Times New Roman"/>
          <w:sz w:val="24"/>
          <w:szCs w:val="24"/>
        </w:rPr>
        <w:t xml:space="preserve"> affiliation</w:t>
      </w:r>
      <w:r w:rsidRPr="00473D6B">
        <w:rPr>
          <w:rFonts w:ascii="Times New Roman" w:hAnsi="Times New Roman"/>
          <w:sz w:val="24"/>
          <w:szCs w:val="24"/>
        </w:rPr>
        <w:t xml:space="preserve"> with a </w:t>
      </w:r>
      <w:r w:rsidRPr="00473D6B">
        <w:rPr>
          <w:rFonts w:ascii="Times New Roman" w:hAnsi="Times New Roman"/>
          <w:sz w:val="24"/>
          <w:szCs w:val="24"/>
        </w:rPr>
        <w:lastRenderedPageBreak/>
        <w:t xml:space="preserve">foreign carrier that may have market power </w:t>
      </w:r>
      <w:r w:rsidR="00DD0734" w:rsidRPr="00473D6B">
        <w:rPr>
          <w:rFonts w:ascii="Times New Roman" w:hAnsi="Times New Roman"/>
          <w:sz w:val="24"/>
          <w:szCs w:val="24"/>
        </w:rPr>
        <w:t>in a non-WTO country which the U.S. carrier is authorized to serve</w:t>
      </w:r>
      <w:r w:rsidR="004B74A4" w:rsidRPr="00473D6B">
        <w:rPr>
          <w:rFonts w:ascii="Times New Roman" w:hAnsi="Times New Roman"/>
          <w:sz w:val="24"/>
          <w:szCs w:val="24"/>
        </w:rPr>
        <w:t xml:space="preserve"> will continue to require a 45-day notification prior to </w:t>
      </w:r>
      <w:r w:rsidR="00EA114F" w:rsidRPr="00473D6B">
        <w:rPr>
          <w:rFonts w:ascii="Times New Roman" w:hAnsi="Times New Roman"/>
          <w:sz w:val="24"/>
          <w:szCs w:val="24"/>
        </w:rPr>
        <w:t>consummation of the transaction</w:t>
      </w:r>
      <w:r w:rsidR="00BC097C" w:rsidRPr="00473D6B">
        <w:rPr>
          <w:rFonts w:ascii="Times New Roman" w:hAnsi="Times New Roman"/>
          <w:sz w:val="24"/>
          <w:szCs w:val="24"/>
        </w:rPr>
        <w:t>.</w:t>
      </w:r>
      <w:r w:rsidR="00EA114F" w:rsidRPr="00473D6B">
        <w:rPr>
          <w:rFonts w:ascii="Times New Roman" w:hAnsi="Times New Roman"/>
          <w:sz w:val="24"/>
          <w:szCs w:val="24"/>
        </w:rPr>
        <w:t xml:space="preserve"> </w:t>
      </w:r>
      <w:r w:rsidR="00BC097C" w:rsidRPr="00473D6B">
        <w:rPr>
          <w:rFonts w:ascii="Times New Roman" w:hAnsi="Times New Roman"/>
          <w:sz w:val="24"/>
          <w:szCs w:val="24"/>
        </w:rPr>
        <w:t xml:space="preserve"> </w:t>
      </w:r>
      <w:r w:rsidR="00EA114F" w:rsidRPr="00473D6B">
        <w:rPr>
          <w:rFonts w:ascii="Times New Roman" w:hAnsi="Times New Roman"/>
          <w:sz w:val="24"/>
          <w:szCs w:val="24"/>
        </w:rPr>
        <w:t xml:space="preserve">The Commission will closely analyze applications </w:t>
      </w:r>
      <w:r w:rsidR="00B93051" w:rsidRPr="00473D6B">
        <w:rPr>
          <w:rFonts w:ascii="Times New Roman" w:hAnsi="Times New Roman"/>
          <w:sz w:val="24"/>
          <w:szCs w:val="24"/>
        </w:rPr>
        <w:t xml:space="preserve">and notifications </w:t>
      </w:r>
      <w:r w:rsidR="00EA114F" w:rsidRPr="00473D6B">
        <w:rPr>
          <w:rFonts w:ascii="Times New Roman" w:hAnsi="Times New Roman"/>
          <w:sz w:val="24"/>
          <w:szCs w:val="24"/>
        </w:rPr>
        <w:t xml:space="preserve">where </w:t>
      </w:r>
      <w:r w:rsidR="00B93051" w:rsidRPr="00473D6B">
        <w:rPr>
          <w:rFonts w:ascii="Times New Roman" w:hAnsi="Times New Roman"/>
          <w:sz w:val="24"/>
          <w:szCs w:val="24"/>
        </w:rPr>
        <w:t>particular issues and concerns</w:t>
      </w:r>
      <w:r w:rsidR="00EA114F" w:rsidRPr="00473D6B">
        <w:rPr>
          <w:rFonts w:ascii="Times New Roman" w:hAnsi="Times New Roman"/>
          <w:sz w:val="24"/>
          <w:szCs w:val="24"/>
        </w:rPr>
        <w:t xml:space="preserve"> are raised</w:t>
      </w:r>
      <w:r w:rsidR="00B93051" w:rsidRPr="00473D6B">
        <w:rPr>
          <w:rFonts w:ascii="Times New Roman" w:hAnsi="Times New Roman"/>
          <w:sz w:val="24"/>
          <w:szCs w:val="24"/>
        </w:rPr>
        <w:t>,</w:t>
      </w:r>
      <w:r w:rsidR="00EA114F" w:rsidRPr="00473D6B">
        <w:rPr>
          <w:rFonts w:ascii="Times New Roman" w:hAnsi="Times New Roman"/>
          <w:sz w:val="24"/>
          <w:szCs w:val="24"/>
        </w:rPr>
        <w:t xml:space="preserve"> and may request additional information from the applicant or notification filer to determine whether the public interest would be served by granting the application or notification.  </w:t>
      </w:r>
    </w:p>
    <w:p w:rsidR="00DD0734" w:rsidRPr="00473D6B" w:rsidRDefault="00DD0734" w:rsidP="00EA114F">
      <w:pPr>
        <w:rPr>
          <w:rFonts w:ascii="Times New Roman" w:hAnsi="Times New Roman"/>
          <w:sz w:val="24"/>
          <w:szCs w:val="24"/>
        </w:rPr>
      </w:pPr>
    </w:p>
    <w:p w:rsidR="00EA114F" w:rsidRPr="00473D6B" w:rsidRDefault="00DD0734" w:rsidP="00EA114F">
      <w:pPr>
        <w:rPr>
          <w:rFonts w:ascii="Times New Roman" w:hAnsi="Times New Roman"/>
          <w:sz w:val="24"/>
          <w:szCs w:val="24"/>
        </w:rPr>
      </w:pPr>
      <w:r w:rsidRPr="00473D6B">
        <w:rPr>
          <w:rFonts w:ascii="Times New Roman" w:hAnsi="Times New Roman"/>
          <w:sz w:val="24"/>
          <w:szCs w:val="24"/>
        </w:rPr>
        <w:t xml:space="preserve">The Commission has maintained its current competitive safeguards, including the </w:t>
      </w:r>
      <w:r w:rsidR="00EA114F" w:rsidRPr="00473D6B">
        <w:rPr>
          <w:rFonts w:ascii="Times New Roman" w:hAnsi="Times New Roman"/>
          <w:sz w:val="24"/>
          <w:szCs w:val="24"/>
        </w:rPr>
        <w:t>“no special concessions”</w:t>
      </w:r>
      <w:r w:rsidR="00D20672" w:rsidRPr="00473D6B">
        <w:rPr>
          <w:rFonts w:ascii="Times New Roman" w:hAnsi="Times New Roman"/>
          <w:sz w:val="24"/>
          <w:szCs w:val="24"/>
        </w:rPr>
        <w:t xml:space="preserve"> rule</w:t>
      </w:r>
      <w:r w:rsidR="00EA114F" w:rsidRPr="00473D6B">
        <w:rPr>
          <w:rFonts w:ascii="Times New Roman" w:hAnsi="Times New Roman"/>
          <w:sz w:val="24"/>
          <w:szCs w:val="24"/>
        </w:rPr>
        <w:t>, thus continuing to protect competition and prevent anticompetitive strategies that foreign carriers can use to discriminate among U.S. carriers.  The Commission coordinates these applications with the United States T</w:t>
      </w:r>
      <w:r w:rsidR="00B93051" w:rsidRPr="00473D6B">
        <w:rPr>
          <w:rFonts w:ascii="Times New Roman" w:hAnsi="Times New Roman"/>
          <w:sz w:val="24"/>
          <w:szCs w:val="24"/>
        </w:rPr>
        <w:t>rade Representative (USTR) and other</w:t>
      </w:r>
      <w:r w:rsidR="00EA114F" w:rsidRPr="00473D6B">
        <w:rPr>
          <w:rFonts w:ascii="Times New Roman" w:hAnsi="Times New Roman"/>
          <w:sz w:val="24"/>
          <w:szCs w:val="24"/>
        </w:rPr>
        <w:t xml:space="preserve"> Executive Branch agencies to protect national security and take into account law enforcement, foreign policy and trade policy considerations. </w:t>
      </w:r>
    </w:p>
    <w:p w:rsidR="00EA114F" w:rsidRPr="00473D6B" w:rsidRDefault="00EA114F" w:rsidP="003F6DDF">
      <w:pPr>
        <w:rPr>
          <w:rFonts w:ascii="Times New Roman" w:hAnsi="Times New Roman"/>
          <w:sz w:val="24"/>
          <w:szCs w:val="24"/>
        </w:rPr>
      </w:pPr>
    </w:p>
    <w:p w:rsidR="003F6DDF" w:rsidRPr="00473D6B" w:rsidRDefault="003F6DDF" w:rsidP="003F6DDF">
      <w:pPr>
        <w:tabs>
          <w:tab w:val="left" w:pos="-720"/>
        </w:tabs>
        <w:suppressAutoHyphens/>
        <w:ind w:left="1440" w:hanging="1440"/>
        <w:rPr>
          <w:rFonts w:ascii="Times New Roman" w:hAnsi="Times New Roman"/>
          <w:sz w:val="24"/>
          <w:szCs w:val="24"/>
          <w:u w:val="single"/>
        </w:rPr>
      </w:pPr>
      <w:r w:rsidRPr="00473D6B">
        <w:rPr>
          <w:rFonts w:ascii="Times New Roman" w:hAnsi="Times New Roman"/>
          <w:sz w:val="24"/>
          <w:szCs w:val="24"/>
          <w:u w:val="single"/>
        </w:rPr>
        <w:t>Impact of Information Collection Requirements on Applicants</w:t>
      </w:r>
      <w:r w:rsidR="00DD0734" w:rsidRPr="00473D6B">
        <w:rPr>
          <w:rFonts w:ascii="Times New Roman" w:hAnsi="Times New Roman"/>
          <w:sz w:val="24"/>
          <w:szCs w:val="24"/>
          <w:u w:val="single"/>
        </w:rPr>
        <w:t xml:space="preserve"> and Commission Staff</w:t>
      </w:r>
    </w:p>
    <w:p w:rsidR="00935345" w:rsidRPr="00473D6B" w:rsidRDefault="00935345" w:rsidP="003F6DDF">
      <w:pPr>
        <w:rPr>
          <w:rFonts w:ascii="Times New Roman" w:hAnsi="Times New Roman"/>
          <w:sz w:val="24"/>
          <w:szCs w:val="24"/>
        </w:rPr>
      </w:pPr>
    </w:p>
    <w:p w:rsidR="00DA175E" w:rsidRPr="00473D6B" w:rsidRDefault="005E44F1" w:rsidP="00C86E73">
      <w:pPr>
        <w:rPr>
          <w:rFonts w:ascii="Times New Roman" w:hAnsi="Times New Roman"/>
          <w:sz w:val="24"/>
          <w:szCs w:val="24"/>
          <w:u w:val="single"/>
        </w:rPr>
      </w:pPr>
      <w:r w:rsidRPr="00473D6B">
        <w:rPr>
          <w:rFonts w:ascii="Times New Roman" w:hAnsi="Times New Roman"/>
          <w:sz w:val="24"/>
          <w:szCs w:val="24"/>
        </w:rPr>
        <w:t>By eliminating the ECO Test and seeking addi</w:t>
      </w:r>
      <w:r w:rsidR="00E33892" w:rsidRPr="00473D6B">
        <w:rPr>
          <w:rFonts w:ascii="Times New Roman" w:hAnsi="Times New Roman"/>
          <w:sz w:val="24"/>
          <w:szCs w:val="24"/>
        </w:rPr>
        <w:t xml:space="preserve">tional information only in response to concerns raised by a particular application or </w:t>
      </w:r>
      <w:r w:rsidR="0051010A" w:rsidRPr="00473D6B">
        <w:rPr>
          <w:rFonts w:ascii="Times New Roman" w:hAnsi="Times New Roman"/>
          <w:sz w:val="24"/>
          <w:szCs w:val="24"/>
        </w:rPr>
        <w:t xml:space="preserve">notification, the Commission is </w:t>
      </w:r>
      <w:r w:rsidR="00E33892" w:rsidRPr="00473D6B">
        <w:rPr>
          <w:rFonts w:ascii="Times New Roman" w:hAnsi="Times New Roman"/>
          <w:sz w:val="24"/>
          <w:szCs w:val="24"/>
        </w:rPr>
        <w:t>reducing the burden on applicants and notification filers in preparing information requi</w:t>
      </w:r>
      <w:r w:rsidR="0051010A" w:rsidRPr="00473D6B">
        <w:rPr>
          <w:rFonts w:ascii="Times New Roman" w:hAnsi="Times New Roman"/>
          <w:sz w:val="24"/>
          <w:szCs w:val="24"/>
        </w:rPr>
        <w:t>red under its rules</w:t>
      </w:r>
      <w:r w:rsidR="007D7551" w:rsidRPr="00473D6B">
        <w:rPr>
          <w:rFonts w:ascii="Times New Roman" w:hAnsi="Times New Roman"/>
          <w:sz w:val="24"/>
          <w:szCs w:val="24"/>
        </w:rPr>
        <w:t>, as well as reducing burden hours of Commission staff responsible for analyzing and determining whether to grant applications and notifications</w:t>
      </w:r>
      <w:r w:rsidR="00AF70B7" w:rsidRPr="00473D6B">
        <w:rPr>
          <w:rFonts w:ascii="Times New Roman" w:hAnsi="Times New Roman"/>
          <w:sz w:val="24"/>
          <w:szCs w:val="24"/>
        </w:rPr>
        <w:t xml:space="preserve">.  </w:t>
      </w:r>
      <w:r w:rsidR="00F21712" w:rsidRPr="00473D6B">
        <w:rPr>
          <w:rFonts w:ascii="Times New Roman" w:hAnsi="Times New Roman"/>
          <w:sz w:val="24"/>
          <w:szCs w:val="24"/>
        </w:rPr>
        <w:t>The ECO Test was extremely detailed</w:t>
      </w:r>
      <w:r w:rsidR="00C87431" w:rsidRPr="00473D6B">
        <w:rPr>
          <w:rFonts w:ascii="Times New Roman" w:hAnsi="Times New Roman"/>
          <w:sz w:val="24"/>
          <w:szCs w:val="24"/>
        </w:rPr>
        <w:t xml:space="preserve"> and applicants, who, like other applicants, do not necessarily represent or speak on behalf of their home government market, were placed in a difficult position of having to make a showing as to whether their home market government supported an open market or not. </w:t>
      </w:r>
    </w:p>
    <w:p w:rsidR="00735B9F" w:rsidRPr="00473D6B" w:rsidRDefault="00735B9F" w:rsidP="003F6DDF">
      <w:pPr>
        <w:rPr>
          <w:rFonts w:ascii="Times New Roman" w:hAnsi="Times New Roman"/>
          <w:sz w:val="24"/>
          <w:szCs w:val="24"/>
        </w:rPr>
      </w:pPr>
    </w:p>
    <w:p w:rsidR="007432E1" w:rsidRPr="00473D6B" w:rsidRDefault="007432E1" w:rsidP="007432E1">
      <w:pPr>
        <w:tabs>
          <w:tab w:val="left" w:pos="-720"/>
        </w:tabs>
        <w:suppressAutoHyphens/>
        <w:rPr>
          <w:rFonts w:ascii="Times New Roman" w:hAnsi="Times New Roman"/>
          <w:sz w:val="24"/>
          <w:u w:val="single"/>
        </w:rPr>
      </w:pPr>
      <w:r w:rsidRPr="00473D6B">
        <w:rPr>
          <w:rFonts w:ascii="Times New Roman" w:hAnsi="Times New Roman"/>
          <w:sz w:val="24"/>
          <w:u w:val="single"/>
        </w:rPr>
        <w:t>Section 214-Related Appli</w:t>
      </w:r>
      <w:r w:rsidR="00882570" w:rsidRPr="00473D6B">
        <w:rPr>
          <w:rFonts w:ascii="Times New Roman" w:hAnsi="Times New Roman"/>
          <w:sz w:val="24"/>
          <w:u w:val="single"/>
        </w:rPr>
        <w:t xml:space="preserve">cation Forms </w:t>
      </w:r>
      <w:r w:rsidR="00C918AC" w:rsidRPr="00473D6B">
        <w:rPr>
          <w:rFonts w:ascii="Times New Roman" w:hAnsi="Times New Roman"/>
          <w:sz w:val="24"/>
          <w:u w:val="single"/>
        </w:rPr>
        <w:t>Approved</w:t>
      </w:r>
      <w:r w:rsidR="00882570" w:rsidRPr="00473D6B">
        <w:rPr>
          <w:rFonts w:ascii="Times New Roman" w:hAnsi="Times New Roman"/>
          <w:sz w:val="24"/>
          <w:u w:val="single"/>
        </w:rPr>
        <w:t xml:space="preserve"> and Developed</w:t>
      </w:r>
      <w:r w:rsidR="007D7551" w:rsidRPr="00473D6B">
        <w:rPr>
          <w:rFonts w:ascii="Times New Roman" w:hAnsi="Times New Roman"/>
          <w:sz w:val="24"/>
          <w:u w:val="single"/>
        </w:rPr>
        <w:t xml:space="preserve"> by the Commission</w:t>
      </w:r>
    </w:p>
    <w:p w:rsidR="007432E1" w:rsidRPr="00473D6B" w:rsidRDefault="007432E1" w:rsidP="007432E1">
      <w:pPr>
        <w:tabs>
          <w:tab w:val="left" w:pos="-720"/>
        </w:tabs>
        <w:suppressAutoHyphens/>
        <w:rPr>
          <w:rFonts w:ascii="Times New Roman" w:hAnsi="Times New Roman"/>
          <w:sz w:val="24"/>
        </w:rPr>
      </w:pPr>
    </w:p>
    <w:p w:rsidR="007432E1" w:rsidRPr="00473D6B" w:rsidRDefault="00DA7435" w:rsidP="007432E1">
      <w:pPr>
        <w:tabs>
          <w:tab w:val="left" w:pos="-720"/>
        </w:tabs>
        <w:suppressAutoHyphens/>
        <w:rPr>
          <w:rFonts w:ascii="Times New Roman" w:hAnsi="Times New Roman"/>
          <w:sz w:val="24"/>
        </w:rPr>
      </w:pPr>
      <w:r w:rsidRPr="006A6787">
        <w:rPr>
          <w:rFonts w:ascii="Times New Roman" w:hAnsi="Times New Roman"/>
          <w:sz w:val="24"/>
        </w:rPr>
        <w:t xml:space="preserve">The Commission requests </w:t>
      </w:r>
      <w:r w:rsidR="008B7C87" w:rsidRPr="006A6787">
        <w:rPr>
          <w:rFonts w:ascii="Times New Roman" w:hAnsi="Times New Roman"/>
          <w:sz w:val="24"/>
        </w:rPr>
        <w:t xml:space="preserve">continued approval of </w:t>
      </w:r>
      <w:r w:rsidR="008B5AF2" w:rsidRPr="006A6787">
        <w:rPr>
          <w:rFonts w:ascii="Times New Roman" w:hAnsi="Times New Roman"/>
          <w:sz w:val="24"/>
        </w:rPr>
        <w:t xml:space="preserve">the following </w:t>
      </w:r>
      <w:r w:rsidRPr="006A6787">
        <w:rPr>
          <w:rFonts w:ascii="Times New Roman" w:hAnsi="Times New Roman"/>
          <w:sz w:val="24"/>
        </w:rPr>
        <w:t>Section 214-related f</w:t>
      </w:r>
      <w:r w:rsidR="008B7C87" w:rsidRPr="006A6787">
        <w:rPr>
          <w:rFonts w:ascii="Times New Roman" w:hAnsi="Times New Roman"/>
          <w:sz w:val="24"/>
        </w:rPr>
        <w:t>orms</w:t>
      </w:r>
      <w:r w:rsidR="008B5AF2" w:rsidRPr="006A6787">
        <w:rPr>
          <w:rFonts w:ascii="Times New Roman" w:hAnsi="Times New Roman"/>
          <w:sz w:val="24"/>
        </w:rPr>
        <w:t xml:space="preserve"> which have been developed</w:t>
      </w:r>
      <w:r w:rsidR="007432E1" w:rsidRPr="006A6787">
        <w:rPr>
          <w:rFonts w:ascii="Times New Roman" w:hAnsi="Times New Roman"/>
          <w:sz w:val="24"/>
        </w:rPr>
        <w:t>:</w:t>
      </w:r>
    </w:p>
    <w:p w:rsidR="00E45BE4" w:rsidRPr="00473D6B" w:rsidRDefault="00E45BE4" w:rsidP="007432E1">
      <w:pPr>
        <w:tabs>
          <w:tab w:val="left" w:pos="-720"/>
        </w:tabs>
        <w:suppressAutoHyphens/>
        <w:rPr>
          <w:rFonts w:ascii="Times New Roman" w:hAnsi="Times New Roman"/>
          <w:sz w:val="24"/>
        </w:rPr>
      </w:pPr>
    </w:p>
    <w:p w:rsidR="007432E1" w:rsidRPr="00473D6B" w:rsidRDefault="007432E1" w:rsidP="007432E1">
      <w:pPr>
        <w:tabs>
          <w:tab w:val="left" w:pos="-720"/>
        </w:tabs>
        <w:suppressAutoHyphens/>
        <w:rPr>
          <w:rFonts w:ascii="Times New Roman" w:hAnsi="Times New Roman"/>
          <w:sz w:val="24"/>
        </w:rPr>
      </w:pPr>
      <w:r w:rsidRPr="00473D6B">
        <w:rPr>
          <w:rFonts w:ascii="Times New Roman" w:hAnsi="Times New Roman"/>
          <w:sz w:val="24"/>
        </w:rPr>
        <w:t>1.</w:t>
      </w:r>
      <w:r w:rsidRPr="00473D6B">
        <w:rPr>
          <w:rFonts w:ascii="Times New Roman" w:hAnsi="Times New Roman"/>
          <w:sz w:val="24"/>
        </w:rPr>
        <w:tab/>
        <w:t>Inter</w:t>
      </w:r>
      <w:r w:rsidR="00BF5BBF" w:rsidRPr="00473D6B">
        <w:rPr>
          <w:rFonts w:ascii="Times New Roman" w:hAnsi="Times New Roman"/>
          <w:sz w:val="24"/>
        </w:rPr>
        <w:t>national Section 214</w:t>
      </w:r>
      <w:r w:rsidRPr="00473D6B">
        <w:rPr>
          <w:rFonts w:ascii="Times New Roman" w:hAnsi="Times New Roman"/>
          <w:sz w:val="24"/>
        </w:rPr>
        <w:t xml:space="preserve"> </w:t>
      </w:r>
      <w:r w:rsidR="00BF5BBF" w:rsidRPr="008B5AF2">
        <w:rPr>
          <w:rFonts w:ascii="Times New Roman" w:hAnsi="Times New Roman"/>
          <w:sz w:val="24"/>
        </w:rPr>
        <w:t>A</w:t>
      </w:r>
      <w:r w:rsidR="008B5AF2" w:rsidRPr="008B5AF2">
        <w:rPr>
          <w:rFonts w:ascii="Times New Roman" w:hAnsi="Times New Roman"/>
          <w:sz w:val="24"/>
        </w:rPr>
        <w:t>pplication</w:t>
      </w:r>
      <w:r w:rsidR="004C294A">
        <w:rPr>
          <w:rFonts w:ascii="Times New Roman" w:hAnsi="Times New Roman"/>
          <w:sz w:val="24"/>
        </w:rPr>
        <w:t xml:space="preserve"> (FCC Form 214)</w:t>
      </w:r>
      <w:r w:rsidR="00BF5BBF" w:rsidRPr="00473D6B">
        <w:rPr>
          <w:rFonts w:ascii="Times New Roman" w:hAnsi="Times New Roman"/>
          <w:sz w:val="24"/>
        </w:rPr>
        <w:t xml:space="preserve"> (</w:t>
      </w:r>
      <w:r w:rsidRPr="00473D6B">
        <w:rPr>
          <w:rFonts w:ascii="Times New Roman" w:hAnsi="Times New Roman"/>
          <w:sz w:val="24"/>
        </w:rPr>
        <w:t>47 CFR 63.18)</w:t>
      </w:r>
    </w:p>
    <w:p w:rsidR="007432E1" w:rsidRPr="00473D6B" w:rsidRDefault="007432E1" w:rsidP="007432E1">
      <w:pPr>
        <w:tabs>
          <w:tab w:val="left" w:pos="-720"/>
        </w:tabs>
        <w:suppressAutoHyphens/>
        <w:rPr>
          <w:rFonts w:ascii="Times New Roman" w:hAnsi="Times New Roman"/>
          <w:sz w:val="24"/>
        </w:rPr>
      </w:pPr>
    </w:p>
    <w:p w:rsidR="007432E1" w:rsidRPr="00473D6B" w:rsidRDefault="007432E1" w:rsidP="008B5AF2">
      <w:pPr>
        <w:tabs>
          <w:tab w:val="left" w:pos="-720"/>
        </w:tabs>
        <w:suppressAutoHyphens/>
        <w:ind w:left="720" w:hanging="720"/>
        <w:rPr>
          <w:rFonts w:ascii="Times New Roman" w:hAnsi="Times New Roman"/>
          <w:sz w:val="24"/>
        </w:rPr>
      </w:pPr>
      <w:r w:rsidRPr="00473D6B">
        <w:rPr>
          <w:rFonts w:ascii="Times New Roman" w:hAnsi="Times New Roman"/>
          <w:sz w:val="24"/>
        </w:rPr>
        <w:t>2.</w:t>
      </w:r>
      <w:r w:rsidRPr="00473D6B">
        <w:rPr>
          <w:rFonts w:ascii="Times New Roman" w:hAnsi="Times New Roman"/>
          <w:sz w:val="24"/>
        </w:rPr>
        <w:tab/>
        <w:t>Internat</w:t>
      </w:r>
      <w:r w:rsidR="00BF5BBF" w:rsidRPr="00473D6B">
        <w:rPr>
          <w:rFonts w:ascii="Times New Roman" w:hAnsi="Times New Roman"/>
          <w:sz w:val="24"/>
        </w:rPr>
        <w:t>ional Section 214 Authorization</w:t>
      </w:r>
      <w:r w:rsidR="008B5AF2">
        <w:rPr>
          <w:rFonts w:ascii="Times New Roman" w:hAnsi="Times New Roman"/>
          <w:sz w:val="24"/>
        </w:rPr>
        <w:t>s for</w:t>
      </w:r>
      <w:r w:rsidRPr="00473D6B">
        <w:rPr>
          <w:rFonts w:ascii="Times New Roman" w:hAnsi="Times New Roman"/>
          <w:sz w:val="24"/>
        </w:rPr>
        <w:t xml:space="preserve"> </w:t>
      </w:r>
      <w:r w:rsidR="008B5AF2">
        <w:rPr>
          <w:rFonts w:ascii="Times New Roman" w:hAnsi="Times New Roman"/>
          <w:sz w:val="24"/>
        </w:rPr>
        <w:t xml:space="preserve">Assignment or Transfer </w:t>
      </w:r>
      <w:r w:rsidRPr="00473D6B">
        <w:rPr>
          <w:rFonts w:ascii="Times New Roman" w:hAnsi="Times New Roman"/>
          <w:sz w:val="24"/>
        </w:rPr>
        <w:t>of Control</w:t>
      </w:r>
      <w:r w:rsidR="004C294A">
        <w:rPr>
          <w:rFonts w:ascii="Times New Roman" w:hAnsi="Times New Roman"/>
          <w:sz w:val="24"/>
        </w:rPr>
        <w:t xml:space="preserve"> (FCC Form 214TC)</w:t>
      </w:r>
      <w:r w:rsidR="00BF5BBF" w:rsidRPr="00473D6B">
        <w:rPr>
          <w:rFonts w:ascii="Times New Roman" w:hAnsi="Times New Roman"/>
          <w:sz w:val="24"/>
        </w:rPr>
        <w:t xml:space="preserve"> </w:t>
      </w:r>
      <w:r w:rsidR="00D44C88" w:rsidRPr="00473D6B">
        <w:rPr>
          <w:rFonts w:ascii="Times New Roman" w:hAnsi="Times New Roman"/>
          <w:sz w:val="24"/>
        </w:rPr>
        <w:t>(</w:t>
      </w:r>
      <w:r w:rsidR="004C294A">
        <w:rPr>
          <w:rFonts w:ascii="Times New Roman" w:hAnsi="Times New Roman"/>
          <w:sz w:val="24"/>
        </w:rPr>
        <w:t>47 CFR</w:t>
      </w:r>
      <w:r w:rsidR="008B5AF2">
        <w:rPr>
          <w:rFonts w:ascii="Times New Roman" w:hAnsi="Times New Roman"/>
          <w:sz w:val="24"/>
        </w:rPr>
        <w:t xml:space="preserve"> </w:t>
      </w:r>
      <w:r w:rsidR="00D44C88" w:rsidRPr="00473D6B">
        <w:rPr>
          <w:rFonts w:ascii="Times New Roman" w:hAnsi="Times New Roman"/>
          <w:sz w:val="24"/>
        </w:rPr>
        <w:t>63.24</w:t>
      </w:r>
      <w:r w:rsidR="008B5AF2">
        <w:rPr>
          <w:rFonts w:ascii="Times New Roman" w:hAnsi="Times New Roman"/>
          <w:sz w:val="24"/>
        </w:rPr>
        <w:t>)</w:t>
      </w:r>
      <w:r w:rsidR="00BF5BBF" w:rsidRPr="00473D6B">
        <w:rPr>
          <w:rFonts w:ascii="Times New Roman" w:hAnsi="Times New Roman"/>
          <w:sz w:val="24"/>
        </w:rPr>
        <w:t xml:space="preserve"> </w:t>
      </w:r>
      <w:r w:rsidRPr="00473D6B">
        <w:rPr>
          <w:rFonts w:ascii="Times New Roman" w:hAnsi="Times New Roman"/>
          <w:sz w:val="24"/>
        </w:rPr>
        <w:t xml:space="preserve"> </w:t>
      </w:r>
    </w:p>
    <w:p w:rsidR="0089023E" w:rsidRPr="00473D6B" w:rsidRDefault="0089023E" w:rsidP="0089023E">
      <w:pPr>
        <w:tabs>
          <w:tab w:val="left" w:pos="-720"/>
        </w:tabs>
        <w:suppressAutoHyphens/>
        <w:rPr>
          <w:rFonts w:ascii="Times New Roman" w:hAnsi="Times New Roman"/>
          <w:sz w:val="24"/>
        </w:rPr>
      </w:pPr>
    </w:p>
    <w:p w:rsidR="0089023E" w:rsidRPr="00473D6B" w:rsidRDefault="006E7B79" w:rsidP="004C294A">
      <w:pPr>
        <w:tabs>
          <w:tab w:val="left" w:pos="-720"/>
        </w:tabs>
        <w:suppressAutoHyphens/>
        <w:ind w:left="720" w:hanging="720"/>
        <w:rPr>
          <w:rFonts w:ascii="Times New Roman" w:hAnsi="Times New Roman"/>
          <w:sz w:val="24"/>
        </w:rPr>
      </w:pPr>
      <w:r w:rsidRPr="00473D6B">
        <w:rPr>
          <w:rFonts w:ascii="Times New Roman" w:hAnsi="Times New Roman"/>
          <w:sz w:val="24"/>
          <w:szCs w:val="24"/>
        </w:rPr>
        <w:t>3.</w:t>
      </w:r>
      <w:r w:rsidRPr="00473D6B">
        <w:rPr>
          <w:rFonts w:ascii="Times New Roman" w:hAnsi="Times New Roman"/>
          <w:sz w:val="24"/>
          <w:szCs w:val="24"/>
        </w:rPr>
        <w:tab/>
      </w:r>
      <w:r w:rsidR="0089023E" w:rsidRPr="00473D6B">
        <w:rPr>
          <w:rFonts w:ascii="Times New Roman" w:hAnsi="Times New Roman"/>
          <w:sz w:val="24"/>
          <w:szCs w:val="24"/>
        </w:rPr>
        <w:t>International</w:t>
      </w:r>
      <w:r w:rsidR="0089023E" w:rsidRPr="00473D6B">
        <w:rPr>
          <w:rFonts w:ascii="Times New Roman" w:hAnsi="Times New Roman"/>
          <w:sz w:val="24"/>
        </w:rPr>
        <w:t xml:space="preserve"> Section 214 Special Temporary Authority</w:t>
      </w:r>
      <w:r w:rsidR="0089023E" w:rsidRPr="00473D6B">
        <w:rPr>
          <w:rFonts w:ascii="Times New Roman" w:hAnsi="Times New Roman"/>
          <w:b/>
          <w:sz w:val="24"/>
        </w:rPr>
        <w:t xml:space="preserve"> </w:t>
      </w:r>
      <w:r w:rsidR="008B5AF2">
        <w:rPr>
          <w:rFonts w:ascii="Times New Roman" w:hAnsi="Times New Roman"/>
          <w:sz w:val="24"/>
        </w:rPr>
        <w:t xml:space="preserve">Application </w:t>
      </w:r>
      <w:r w:rsidR="004C294A">
        <w:rPr>
          <w:rFonts w:ascii="Times New Roman" w:hAnsi="Times New Roman"/>
          <w:sz w:val="24"/>
        </w:rPr>
        <w:t xml:space="preserve">(FCC Form 214STA)        </w:t>
      </w:r>
      <w:r w:rsidR="008B5AF2">
        <w:rPr>
          <w:rFonts w:ascii="Times New Roman" w:hAnsi="Times New Roman"/>
          <w:sz w:val="24"/>
        </w:rPr>
        <w:t>(47 CFR 63.25</w:t>
      </w:r>
      <w:r w:rsidR="0089023E" w:rsidRPr="00473D6B">
        <w:rPr>
          <w:rFonts w:ascii="Times New Roman" w:hAnsi="Times New Roman"/>
          <w:sz w:val="24"/>
        </w:rPr>
        <w:t>)</w:t>
      </w:r>
    </w:p>
    <w:p w:rsidR="00E45BE4" w:rsidRPr="00473D6B" w:rsidRDefault="00E45BE4">
      <w:pPr>
        <w:tabs>
          <w:tab w:val="left" w:pos="-720"/>
        </w:tabs>
        <w:suppressAutoHyphens/>
        <w:rPr>
          <w:rFonts w:ascii="Times New Roman" w:hAnsi="Times New Roman"/>
          <w:sz w:val="24"/>
        </w:rPr>
      </w:pPr>
    </w:p>
    <w:p w:rsidR="00E45BE4" w:rsidRPr="00473D6B" w:rsidRDefault="00E45BE4" w:rsidP="004C294A">
      <w:pPr>
        <w:tabs>
          <w:tab w:val="left" w:pos="-720"/>
        </w:tabs>
        <w:suppressAutoHyphens/>
        <w:ind w:left="720" w:hanging="720"/>
        <w:rPr>
          <w:rFonts w:ascii="Times New Roman" w:hAnsi="Times New Roman"/>
          <w:sz w:val="24"/>
        </w:rPr>
      </w:pPr>
      <w:r w:rsidRPr="00473D6B">
        <w:rPr>
          <w:rFonts w:ascii="Times New Roman" w:hAnsi="Times New Roman"/>
          <w:sz w:val="24"/>
        </w:rPr>
        <w:t>4.</w:t>
      </w:r>
      <w:r w:rsidRPr="00473D6B">
        <w:rPr>
          <w:rFonts w:ascii="Times New Roman" w:hAnsi="Times New Roman"/>
          <w:sz w:val="24"/>
        </w:rPr>
        <w:tab/>
      </w:r>
      <w:r w:rsidRPr="006A6787">
        <w:rPr>
          <w:rFonts w:ascii="Times New Roman" w:hAnsi="Times New Roman"/>
          <w:sz w:val="24"/>
          <w:szCs w:val="24"/>
        </w:rPr>
        <w:t>International Section 214 Foreign Carrier Affiliation</w:t>
      </w:r>
      <w:r w:rsidR="008B5AF2" w:rsidRPr="006A6787">
        <w:rPr>
          <w:rFonts w:ascii="Times New Roman" w:hAnsi="Times New Roman"/>
          <w:sz w:val="24"/>
          <w:szCs w:val="24"/>
        </w:rPr>
        <w:t xml:space="preserve">s Notification </w:t>
      </w:r>
      <w:r w:rsidR="004C294A" w:rsidRPr="006A6787">
        <w:rPr>
          <w:rFonts w:ascii="Times New Roman" w:hAnsi="Times New Roman"/>
          <w:sz w:val="24"/>
          <w:szCs w:val="24"/>
        </w:rPr>
        <w:t xml:space="preserve">(FCC Form 214FCN) </w:t>
      </w:r>
      <w:r w:rsidR="008B5AF2" w:rsidRPr="006A6787">
        <w:rPr>
          <w:rFonts w:ascii="Times New Roman" w:hAnsi="Times New Roman"/>
          <w:sz w:val="24"/>
          <w:szCs w:val="24"/>
        </w:rPr>
        <w:t>(47 CFR 63.11)</w:t>
      </w:r>
    </w:p>
    <w:p w:rsidR="0089023E" w:rsidRPr="00473D6B" w:rsidRDefault="0089023E" w:rsidP="0089023E">
      <w:pPr>
        <w:tabs>
          <w:tab w:val="left" w:pos="-720"/>
        </w:tabs>
        <w:suppressAutoHyphens/>
        <w:rPr>
          <w:rFonts w:ascii="Times New Roman" w:hAnsi="Times New Roman"/>
          <w:sz w:val="24"/>
        </w:rPr>
      </w:pPr>
    </w:p>
    <w:p w:rsidR="0070522F" w:rsidRPr="00473D6B" w:rsidRDefault="0070522F" w:rsidP="0089023E">
      <w:pPr>
        <w:tabs>
          <w:tab w:val="left" w:pos="-720"/>
        </w:tabs>
        <w:suppressAutoHyphens/>
        <w:rPr>
          <w:rFonts w:ascii="Times New Roman" w:hAnsi="Times New Roman"/>
          <w:sz w:val="24"/>
        </w:rPr>
      </w:pPr>
    </w:p>
    <w:p w:rsidR="0089023E" w:rsidRPr="00473D6B" w:rsidRDefault="00882570" w:rsidP="0089023E">
      <w:pPr>
        <w:tabs>
          <w:tab w:val="left" w:pos="-720"/>
        </w:tabs>
        <w:suppressAutoHyphens/>
        <w:rPr>
          <w:rFonts w:ascii="Times New Roman" w:hAnsi="Times New Roman"/>
          <w:sz w:val="24"/>
        </w:rPr>
      </w:pPr>
      <w:r w:rsidRPr="00473D6B">
        <w:rPr>
          <w:rFonts w:ascii="Times New Roman" w:hAnsi="Times New Roman"/>
          <w:sz w:val="24"/>
          <w:u w:val="single"/>
        </w:rPr>
        <w:t>Section 214-Related Application Forms Approved and Pending Development</w:t>
      </w:r>
    </w:p>
    <w:p w:rsidR="007432E1" w:rsidRPr="00473D6B" w:rsidRDefault="007432E1" w:rsidP="007432E1">
      <w:pPr>
        <w:tabs>
          <w:tab w:val="left" w:pos="-720"/>
        </w:tabs>
        <w:suppressAutoHyphens/>
        <w:rPr>
          <w:rFonts w:ascii="Times New Roman" w:hAnsi="Times New Roman"/>
          <w:sz w:val="24"/>
        </w:rPr>
      </w:pPr>
    </w:p>
    <w:p w:rsidR="00294417" w:rsidRPr="00473D6B" w:rsidRDefault="00DA7435" w:rsidP="007432E1">
      <w:pPr>
        <w:pStyle w:val="ParaNum"/>
        <w:numPr>
          <w:ilvl w:val="0"/>
          <w:numId w:val="0"/>
        </w:numPr>
        <w:tabs>
          <w:tab w:val="clear" w:pos="1440"/>
          <w:tab w:val="left" w:pos="720"/>
        </w:tabs>
        <w:jc w:val="left"/>
        <w:rPr>
          <w:sz w:val="24"/>
        </w:rPr>
      </w:pPr>
      <w:bookmarkStart w:id="0" w:name="_GoBack"/>
      <w:bookmarkEnd w:id="0"/>
      <w:r w:rsidRPr="007813D3">
        <w:rPr>
          <w:sz w:val="24"/>
        </w:rPr>
        <w:t xml:space="preserve">On January 28, 2014, the Office of Management and Budget approved the continuance of previous terms of clearance of Section 2014 related FCC Forms which are pending development.  See ICR Reference Number: 201311-3060-017.  </w:t>
      </w:r>
      <w:proofErr w:type="gramStart"/>
      <w:r w:rsidR="00BA1662" w:rsidRPr="007813D3">
        <w:rPr>
          <w:sz w:val="24"/>
        </w:rPr>
        <w:t>The Commi</w:t>
      </w:r>
      <w:r w:rsidR="00913E18" w:rsidRPr="007813D3">
        <w:rPr>
          <w:sz w:val="24"/>
        </w:rPr>
        <w:t xml:space="preserve">ssion plans to develop two </w:t>
      </w:r>
      <w:r w:rsidRPr="007813D3">
        <w:rPr>
          <w:sz w:val="24"/>
        </w:rPr>
        <w:t xml:space="preserve">such </w:t>
      </w:r>
      <w:r w:rsidR="00BA1662" w:rsidRPr="007813D3">
        <w:rPr>
          <w:sz w:val="24"/>
        </w:rPr>
        <w:t>forms that impact th</w:t>
      </w:r>
      <w:r w:rsidRPr="007813D3">
        <w:rPr>
          <w:sz w:val="24"/>
        </w:rPr>
        <w:t>is</w:t>
      </w:r>
      <w:r w:rsidR="00BA1662" w:rsidRPr="007813D3">
        <w:rPr>
          <w:sz w:val="24"/>
        </w:rPr>
        <w:t xml:space="preserve"> information collection.</w:t>
      </w:r>
      <w:proofErr w:type="gramEnd"/>
      <w:r w:rsidR="00BA1662" w:rsidRPr="00473D6B">
        <w:rPr>
          <w:sz w:val="24"/>
        </w:rPr>
        <w:t xml:space="preserve">  We do not know the specific time frame for the development of each application form.  However, we estimate that the new projected completion date for both forms is December 30, 2018.  The development of application forms is contingent upon the availability of budget funds, human resources and other factors. </w:t>
      </w:r>
      <w:r>
        <w:rPr>
          <w:sz w:val="24"/>
        </w:rPr>
        <w:t xml:space="preserve"> </w:t>
      </w:r>
      <w:r w:rsidRPr="00473D6B">
        <w:rPr>
          <w:sz w:val="24"/>
        </w:rPr>
        <w:t xml:space="preserve">  </w:t>
      </w:r>
      <w:r w:rsidR="00BA1662" w:rsidRPr="00473D6B">
        <w:rPr>
          <w:sz w:val="24"/>
        </w:rPr>
        <w:t xml:space="preserve"> </w:t>
      </w:r>
    </w:p>
    <w:p w:rsidR="00F47290" w:rsidRPr="00473D6B" w:rsidRDefault="00F47290" w:rsidP="007432E1">
      <w:pPr>
        <w:pStyle w:val="ParaNum"/>
        <w:numPr>
          <w:ilvl w:val="0"/>
          <w:numId w:val="0"/>
        </w:numPr>
        <w:tabs>
          <w:tab w:val="clear" w:pos="1440"/>
          <w:tab w:val="left" w:pos="720"/>
        </w:tabs>
        <w:jc w:val="left"/>
        <w:rPr>
          <w:sz w:val="24"/>
        </w:rPr>
      </w:pPr>
      <w:r w:rsidRPr="00473D6B">
        <w:rPr>
          <w:sz w:val="24"/>
        </w:rPr>
        <w:t xml:space="preserve">In February, 2006, the Commission received blanket approval of the two application forms listed below with the following terms of clearance:  </w:t>
      </w:r>
      <w:r w:rsidR="00737CDE" w:rsidRPr="00473D6B">
        <w:rPr>
          <w:sz w:val="24"/>
        </w:rPr>
        <w:t>As applications contained within the supporting statement are developed, a change worksheet should be submitted to OMB at least 60 days prior to deployment to allow sufficient review time.  The change worksheets should include the specific information collection elements requested, as well as the associated burden hours.</w:t>
      </w:r>
    </w:p>
    <w:p w:rsidR="00294417" w:rsidRPr="00473D6B" w:rsidRDefault="00040107" w:rsidP="007432E1">
      <w:pPr>
        <w:pStyle w:val="ParaNum"/>
        <w:numPr>
          <w:ilvl w:val="0"/>
          <w:numId w:val="0"/>
        </w:numPr>
        <w:tabs>
          <w:tab w:val="clear" w:pos="1440"/>
          <w:tab w:val="left" w:pos="720"/>
        </w:tabs>
        <w:jc w:val="left"/>
        <w:rPr>
          <w:sz w:val="24"/>
        </w:rPr>
      </w:pPr>
      <w:r w:rsidRPr="00473D6B">
        <w:rPr>
          <w:sz w:val="24"/>
        </w:rPr>
        <w:t xml:space="preserve">“ITC-Other Filings” </w:t>
      </w:r>
      <w:r w:rsidR="00493121" w:rsidRPr="00473D6B">
        <w:rPr>
          <w:sz w:val="24"/>
        </w:rPr>
        <w:t xml:space="preserve">has been removed </w:t>
      </w:r>
      <w:r w:rsidRPr="00473D6B">
        <w:rPr>
          <w:sz w:val="24"/>
        </w:rPr>
        <w:t>from the pending development section in th</w:t>
      </w:r>
      <w:r w:rsidR="004D656A" w:rsidRPr="00473D6B">
        <w:rPr>
          <w:sz w:val="24"/>
        </w:rPr>
        <w:t>is information collection because the applicants/respondents notify the Commission of miscellaneous items such as name changes, etc., by letter filed electronically in the Commission’s IBFS system.  That is, there is a “Letter” form that can be accessed through IBFS quick search that serves as a general filing category, thereby eliminating the need for a duplicative category such as “Other Filings.”  Therefore, the Commission is no longer considering development of this form.</w:t>
      </w:r>
      <w:r w:rsidR="00587FB9" w:rsidRPr="00473D6B">
        <w:rPr>
          <w:sz w:val="24"/>
        </w:rPr>
        <w:t xml:space="preserve"> </w:t>
      </w:r>
    </w:p>
    <w:p w:rsidR="00882570" w:rsidRPr="00473D6B" w:rsidRDefault="004D656A" w:rsidP="007432E1">
      <w:pPr>
        <w:pStyle w:val="ParaNum"/>
        <w:numPr>
          <w:ilvl w:val="0"/>
          <w:numId w:val="0"/>
        </w:numPr>
        <w:tabs>
          <w:tab w:val="clear" w:pos="1440"/>
          <w:tab w:val="left" w:pos="720"/>
        </w:tabs>
        <w:jc w:val="left"/>
        <w:rPr>
          <w:sz w:val="24"/>
        </w:rPr>
      </w:pPr>
      <w:r w:rsidRPr="00473D6B">
        <w:rPr>
          <w:sz w:val="24"/>
        </w:rPr>
        <w:t xml:space="preserve">The </w:t>
      </w:r>
      <w:r w:rsidR="00882570" w:rsidRPr="00473D6B">
        <w:rPr>
          <w:sz w:val="24"/>
        </w:rPr>
        <w:t xml:space="preserve">following </w:t>
      </w:r>
      <w:r w:rsidR="00026335">
        <w:rPr>
          <w:sz w:val="24"/>
        </w:rPr>
        <w:t>S</w:t>
      </w:r>
      <w:r w:rsidR="00882570" w:rsidRPr="00473D6B">
        <w:rPr>
          <w:sz w:val="24"/>
        </w:rPr>
        <w:t>ection 214-related applications</w:t>
      </w:r>
      <w:r w:rsidRPr="00473D6B">
        <w:rPr>
          <w:sz w:val="24"/>
        </w:rPr>
        <w:t xml:space="preserve"> are pending development</w:t>
      </w:r>
      <w:r w:rsidR="00882570" w:rsidRPr="00473D6B">
        <w:rPr>
          <w:sz w:val="24"/>
        </w:rPr>
        <w:t>:</w:t>
      </w:r>
    </w:p>
    <w:p w:rsidR="00882570" w:rsidRPr="00473D6B" w:rsidRDefault="00882570" w:rsidP="007432E1">
      <w:pPr>
        <w:pStyle w:val="ParaNum"/>
        <w:numPr>
          <w:ilvl w:val="0"/>
          <w:numId w:val="0"/>
        </w:numPr>
        <w:tabs>
          <w:tab w:val="clear" w:pos="1440"/>
          <w:tab w:val="left" w:pos="720"/>
        </w:tabs>
        <w:jc w:val="left"/>
        <w:rPr>
          <w:sz w:val="24"/>
          <w:szCs w:val="24"/>
        </w:rPr>
      </w:pPr>
      <w:r w:rsidRPr="00473D6B">
        <w:rPr>
          <w:sz w:val="24"/>
        </w:rPr>
        <w:t>1.</w:t>
      </w:r>
      <w:r w:rsidRPr="00473D6B">
        <w:rPr>
          <w:sz w:val="24"/>
        </w:rPr>
        <w:tab/>
        <w:t>International Section 214 – Amendment (47 CFR 63.50)</w:t>
      </w:r>
    </w:p>
    <w:p w:rsidR="00E45BE4" w:rsidRPr="00473D6B" w:rsidRDefault="00882570" w:rsidP="002B5E90">
      <w:pPr>
        <w:pStyle w:val="ParaNum"/>
        <w:numPr>
          <w:ilvl w:val="0"/>
          <w:numId w:val="0"/>
        </w:numPr>
        <w:tabs>
          <w:tab w:val="clear" w:pos="1440"/>
          <w:tab w:val="left" w:pos="720"/>
        </w:tabs>
        <w:jc w:val="left"/>
        <w:rPr>
          <w:sz w:val="24"/>
          <w:szCs w:val="24"/>
        </w:rPr>
      </w:pPr>
      <w:r w:rsidRPr="00473D6B">
        <w:rPr>
          <w:sz w:val="24"/>
          <w:szCs w:val="24"/>
        </w:rPr>
        <w:t>2.</w:t>
      </w:r>
      <w:r w:rsidRPr="00473D6B">
        <w:rPr>
          <w:sz w:val="24"/>
          <w:szCs w:val="24"/>
        </w:rPr>
        <w:tab/>
        <w:t xml:space="preserve">International Section 214 – Modification </w:t>
      </w:r>
    </w:p>
    <w:p w:rsidR="007E1DF9" w:rsidRPr="00473D6B" w:rsidRDefault="002D29E7" w:rsidP="00BE0C30">
      <w:pPr>
        <w:tabs>
          <w:tab w:val="left" w:pos="-720"/>
        </w:tabs>
        <w:suppressAutoHyphens/>
        <w:rPr>
          <w:rFonts w:ascii="Times New Roman" w:hAnsi="Times New Roman"/>
          <w:sz w:val="24"/>
          <w:szCs w:val="24"/>
        </w:rPr>
      </w:pPr>
      <w:r w:rsidRPr="00473D6B">
        <w:rPr>
          <w:rFonts w:ascii="Times New Roman" w:hAnsi="Times New Roman"/>
          <w:sz w:val="24"/>
          <w:szCs w:val="24"/>
        </w:rPr>
        <w:t>This information collection does not affect individuals or households; thus, there are no impacts under the Privacy Act.</w:t>
      </w:r>
    </w:p>
    <w:p w:rsidR="00BE0C30" w:rsidRPr="00473D6B" w:rsidRDefault="00BE0C30" w:rsidP="007E1DF9">
      <w:pPr>
        <w:tabs>
          <w:tab w:val="left" w:pos="-720"/>
        </w:tabs>
        <w:suppressAutoHyphens/>
        <w:ind w:left="720"/>
        <w:rPr>
          <w:rFonts w:ascii="Times New Roman" w:hAnsi="Times New Roman"/>
          <w:sz w:val="24"/>
          <w:szCs w:val="24"/>
        </w:rPr>
      </w:pPr>
    </w:p>
    <w:p w:rsidR="00B03EA0" w:rsidRPr="00473D6B" w:rsidRDefault="00D30DBF">
      <w:pPr>
        <w:suppressAutoHyphens/>
        <w:rPr>
          <w:rFonts w:ascii="Times New Roman" w:hAnsi="Times New Roman"/>
          <w:sz w:val="24"/>
        </w:rPr>
      </w:pPr>
      <w:r w:rsidRPr="00473D6B">
        <w:rPr>
          <w:rFonts w:ascii="Times New Roman" w:hAnsi="Times New Roman"/>
          <w:sz w:val="24"/>
        </w:rPr>
        <w:t xml:space="preserve">The statutory authority for this information collection is as follows:  </w:t>
      </w:r>
      <w:r w:rsidR="00026335">
        <w:rPr>
          <w:rFonts w:ascii="Times New Roman" w:hAnsi="Times New Roman"/>
          <w:sz w:val="24"/>
        </w:rPr>
        <w:t>S</w:t>
      </w:r>
      <w:r w:rsidR="00DB5851" w:rsidRPr="00473D6B">
        <w:rPr>
          <w:rFonts w:ascii="Times New Roman" w:hAnsi="Times New Roman"/>
          <w:sz w:val="24"/>
        </w:rPr>
        <w:t xml:space="preserve">ections </w:t>
      </w:r>
      <w:r w:rsidR="00860059" w:rsidRPr="00473D6B">
        <w:rPr>
          <w:rFonts w:ascii="Times New Roman" w:hAnsi="Times New Roman"/>
          <w:sz w:val="24"/>
          <w:szCs w:val="24"/>
        </w:rPr>
        <w:t>1, 4(</w:t>
      </w:r>
      <w:proofErr w:type="spellStart"/>
      <w:r w:rsidR="00860059" w:rsidRPr="00473D6B">
        <w:rPr>
          <w:rFonts w:ascii="Times New Roman" w:hAnsi="Times New Roman"/>
          <w:sz w:val="24"/>
          <w:szCs w:val="24"/>
        </w:rPr>
        <w:t>i</w:t>
      </w:r>
      <w:proofErr w:type="spellEnd"/>
      <w:r w:rsidR="00860059" w:rsidRPr="00473D6B">
        <w:rPr>
          <w:rFonts w:ascii="Times New Roman" w:hAnsi="Times New Roman"/>
          <w:sz w:val="24"/>
          <w:szCs w:val="24"/>
        </w:rPr>
        <w:t xml:space="preserve">), </w:t>
      </w:r>
      <w:r w:rsidR="00860059" w:rsidRPr="00611AAC">
        <w:rPr>
          <w:rFonts w:ascii="Times New Roman" w:hAnsi="Times New Roman"/>
          <w:sz w:val="24"/>
          <w:szCs w:val="24"/>
        </w:rPr>
        <w:t>4(j),</w:t>
      </w:r>
      <w:r w:rsidR="00611AAC">
        <w:rPr>
          <w:rFonts w:ascii="Times New Roman" w:hAnsi="Times New Roman"/>
          <w:sz w:val="24"/>
          <w:szCs w:val="24"/>
        </w:rPr>
        <w:t xml:space="preserve"> </w:t>
      </w:r>
      <w:r w:rsidR="00611AAC" w:rsidRPr="00611AAC">
        <w:rPr>
          <w:rFonts w:ascii="Times New Roman" w:hAnsi="Times New Roman"/>
          <w:sz w:val="24"/>
          <w:szCs w:val="24"/>
        </w:rPr>
        <w:t>11,</w:t>
      </w:r>
      <w:r w:rsidR="00860059" w:rsidRPr="00473D6B">
        <w:rPr>
          <w:rFonts w:ascii="Times New Roman" w:hAnsi="Times New Roman"/>
          <w:sz w:val="24"/>
          <w:szCs w:val="24"/>
        </w:rPr>
        <w:t xml:space="preserve"> 201-205, </w:t>
      </w:r>
      <w:r w:rsidR="00045B0E" w:rsidRPr="00DA7435">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 xml:space="preserve">211, </w:t>
      </w:r>
      <w:r w:rsidR="00257B15" w:rsidRPr="00473D6B">
        <w:rPr>
          <w:rFonts w:ascii="Times New Roman" w:hAnsi="Times New Roman"/>
          <w:sz w:val="24"/>
          <w:szCs w:val="24"/>
        </w:rPr>
        <w:t xml:space="preserve">214, </w:t>
      </w:r>
      <w:r w:rsidR="00045B0E" w:rsidRPr="00DA7435">
        <w:rPr>
          <w:rFonts w:ascii="Times New Roman" w:hAnsi="Times New Roman"/>
          <w:sz w:val="24"/>
          <w:szCs w:val="24"/>
        </w:rPr>
        <w:t>219, 220, 303(r), 309, 310</w:t>
      </w:r>
      <w:r w:rsidR="00045B0E">
        <w:rPr>
          <w:rFonts w:ascii="Times New Roman" w:hAnsi="Times New Roman"/>
          <w:sz w:val="24"/>
          <w:szCs w:val="24"/>
        </w:rPr>
        <w:t xml:space="preserve"> </w:t>
      </w:r>
      <w:r w:rsidR="00257B15" w:rsidRPr="00473D6B">
        <w:rPr>
          <w:rFonts w:ascii="Times New Roman" w:hAnsi="Times New Roman"/>
          <w:sz w:val="24"/>
          <w:szCs w:val="24"/>
        </w:rPr>
        <w:t>and</w:t>
      </w:r>
      <w:r w:rsidR="00186ADB" w:rsidRPr="00473D6B">
        <w:rPr>
          <w:rFonts w:ascii="Times New Roman" w:hAnsi="Times New Roman"/>
          <w:sz w:val="24"/>
          <w:szCs w:val="24"/>
        </w:rPr>
        <w:t xml:space="preserve"> </w:t>
      </w:r>
      <w:r w:rsidR="00860059" w:rsidRPr="00473D6B">
        <w:rPr>
          <w:rFonts w:ascii="Times New Roman" w:hAnsi="Times New Roman"/>
          <w:sz w:val="24"/>
          <w:szCs w:val="24"/>
        </w:rPr>
        <w:t>403 of the Communications Act of 1934, as amended, 47 U.S.C. §§ 151, 154(</w:t>
      </w:r>
      <w:proofErr w:type="spellStart"/>
      <w:r w:rsidR="00860059" w:rsidRPr="00473D6B">
        <w:rPr>
          <w:rFonts w:ascii="Times New Roman" w:hAnsi="Times New Roman"/>
          <w:sz w:val="24"/>
          <w:szCs w:val="24"/>
        </w:rPr>
        <w:t>i</w:t>
      </w:r>
      <w:proofErr w:type="spellEnd"/>
      <w:r w:rsidR="00860059" w:rsidRPr="00473D6B">
        <w:rPr>
          <w:rFonts w:ascii="Times New Roman" w:hAnsi="Times New Roman"/>
          <w:sz w:val="24"/>
          <w:szCs w:val="24"/>
        </w:rPr>
        <w:t xml:space="preserve">), 154(j), </w:t>
      </w:r>
      <w:r w:rsidR="00611AAC" w:rsidRPr="00611AAC">
        <w:rPr>
          <w:rFonts w:ascii="Times New Roman" w:hAnsi="Times New Roman"/>
          <w:sz w:val="24"/>
          <w:szCs w:val="24"/>
        </w:rPr>
        <w:t>161,</w:t>
      </w:r>
      <w:r w:rsidR="00611AAC">
        <w:rPr>
          <w:rFonts w:ascii="Times New Roman" w:hAnsi="Times New Roman"/>
          <w:sz w:val="24"/>
          <w:szCs w:val="24"/>
        </w:rPr>
        <w:t xml:space="preserve"> </w:t>
      </w:r>
      <w:r w:rsidR="00860059" w:rsidRPr="00473D6B">
        <w:rPr>
          <w:rFonts w:ascii="Times New Roman" w:hAnsi="Times New Roman"/>
          <w:sz w:val="24"/>
          <w:szCs w:val="24"/>
        </w:rPr>
        <w:t>201-205,</w:t>
      </w:r>
      <w:r w:rsidR="00186ADB" w:rsidRPr="00473D6B">
        <w:rPr>
          <w:rFonts w:ascii="Times New Roman" w:hAnsi="Times New Roman"/>
          <w:sz w:val="24"/>
          <w:szCs w:val="24"/>
        </w:rPr>
        <w:t xml:space="preserve"> </w:t>
      </w:r>
      <w:r w:rsidR="00045B0E" w:rsidRPr="00E176AB">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211,</w:t>
      </w:r>
      <w:r w:rsidR="00257B15" w:rsidRPr="00473D6B">
        <w:rPr>
          <w:rFonts w:ascii="Times New Roman" w:hAnsi="Times New Roman"/>
          <w:sz w:val="24"/>
          <w:szCs w:val="24"/>
        </w:rPr>
        <w:t xml:space="preserve"> 214, </w:t>
      </w:r>
      <w:r w:rsidR="003A4E5A" w:rsidRPr="00E176AB">
        <w:rPr>
          <w:rFonts w:ascii="Times New Roman" w:hAnsi="Times New Roman"/>
          <w:sz w:val="24"/>
          <w:szCs w:val="24"/>
        </w:rPr>
        <w:t>219, 220, 303(r), 309, 310</w:t>
      </w:r>
      <w:r w:rsidR="003A4E5A" w:rsidRPr="003A4E5A">
        <w:rPr>
          <w:rFonts w:ascii="Times New Roman" w:hAnsi="Times New Roman"/>
          <w:sz w:val="24"/>
          <w:szCs w:val="24"/>
        </w:rPr>
        <w:t xml:space="preserve"> </w:t>
      </w:r>
      <w:r w:rsidR="00257B15" w:rsidRPr="00473D6B">
        <w:rPr>
          <w:rFonts w:ascii="Times New Roman" w:hAnsi="Times New Roman"/>
          <w:sz w:val="24"/>
          <w:szCs w:val="24"/>
        </w:rPr>
        <w:t>and</w:t>
      </w:r>
      <w:r w:rsidR="00860059" w:rsidRPr="00473D6B">
        <w:rPr>
          <w:rFonts w:ascii="Times New Roman" w:hAnsi="Times New Roman"/>
          <w:sz w:val="24"/>
          <w:szCs w:val="24"/>
        </w:rPr>
        <w:t xml:space="preserve"> </w:t>
      </w:r>
      <w:r w:rsidR="00860059" w:rsidRPr="00E176AB">
        <w:rPr>
          <w:rFonts w:ascii="Times New Roman" w:hAnsi="Times New Roman"/>
          <w:sz w:val="24"/>
          <w:szCs w:val="24"/>
        </w:rPr>
        <w:t>4</w:t>
      </w:r>
      <w:r w:rsidR="003A4E5A" w:rsidRPr="00E176AB">
        <w:rPr>
          <w:rFonts w:ascii="Times New Roman" w:hAnsi="Times New Roman"/>
          <w:sz w:val="24"/>
          <w:szCs w:val="24"/>
        </w:rPr>
        <w:t>03</w:t>
      </w:r>
      <w:r w:rsidR="006936EF" w:rsidRPr="00473D6B">
        <w:rPr>
          <w:rFonts w:ascii="Times New Roman" w:hAnsi="Times New Roman"/>
          <w:sz w:val="24"/>
          <w:szCs w:val="24"/>
        </w:rPr>
        <w:t>.</w:t>
      </w:r>
    </w:p>
    <w:p w:rsidR="00D20AEC" w:rsidRPr="00473D6B" w:rsidRDefault="00D20AEC">
      <w:pPr>
        <w:suppressAutoHyphens/>
        <w:rPr>
          <w:rFonts w:ascii="Times New Roman" w:hAnsi="Times New Roman"/>
          <w:sz w:val="24"/>
        </w:rPr>
      </w:pPr>
    </w:p>
    <w:p w:rsidR="00DB5851" w:rsidRPr="00473D6B" w:rsidRDefault="006936EF">
      <w:pPr>
        <w:suppressAutoHyphens/>
        <w:rPr>
          <w:rFonts w:ascii="Times New Roman" w:hAnsi="Times New Roman"/>
          <w:sz w:val="24"/>
        </w:rPr>
      </w:pPr>
      <w:r w:rsidRPr="00473D6B">
        <w:rPr>
          <w:rFonts w:ascii="Times New Roman" w:hAnsi="Times New Roman"/>
          <w:sz w:val="24"/>
        </w:rPr>
        <w:t xml:space="preserve">2.      </w:t>
      </w:r>
      <w:r w:rsidR="00DB5851" w:rsidRPr="00473D6B">
        <w:rPr>
          <w:rFonts w:ascii="Times New Roman" w:hAnsi="Times New Roman"/>
          <w:sz w:val="24"/>
        </w:rPr>
        <w:t xml:space="preserve">The information </w:t>
      </w:r>
      <w:r w:rsidR="004E0ADF" w:rsidRPr="00473D6B">
        <w:rPr>
          <w:rFonts w:ascii="Times New Roman" w:hAnsi="Times New Roman"/>
          <w:sz w:val="24"/>
        </w:rPr>
        <w:t>will be</w:t>
      </w:r>
      <w:r w:rsidR="00DB5851" w:rsidRPr="00473D6B">
        <w:rPr>
          <w:rFonts w:ascii="Times New Roman" w:hAnsi="Times New Roman"/>
          <w:sz w:val="24"/>
        </w:rPr>
        <w:t xml:space="preserve"> used by the Commission staff in carrying out its duties under the Communications Act.  The information collections pertaining to Part 63 are necessary largely to </w:t>
      </w:r>
      <w:r w:rsidR="00DB5851" w:rsidRPr="00473D6B">
        <w:rPr>
          <w:rFonts w:ascii="Times New Roman" w:hAnsi="Times New Roman"/>
          <w:sz w:val="24"/>
        </w:rPr>
        <w:lastRenderedPageBreak/>
        <w:t xml:space="preserve">determine </w:t>
      </w:r>
      <w:r w:rsidR="00DB5851" w:rsidRPr="00473D6B">
        <w:rPr>
          <w:rFonts w:ascii="Times New Roman" w:hAnsi="Times New Roman"/>
          <w:iCs/>
          <w:sz w:val="24"/>
          <w:szCs w:val="24"/>
        </w:rPr>
        <w:t>the</w:t>
      </w:r>
      <w:r w:rsidR="00DB5851" w:rsidRPr="00473D6B">
        <w:rPr>
          <w:rFonts w:ascii="Times New Roman" w:hAnsi="Times New Roman"/>
          <w:sz w:val="24"/>
        </w:rPr>
        <w:t xml:space="preserve"> qualifications of applicants to provide common carrier international telecommunications service, including applicants that are</w:t>
      </w:r>
      <w:r w:rsidR="001D2110" w:rsidRPr="00473D6B">
        <w:rPr>
          <w:rFonts w:ascii="Times New Roman" w:hAnsi="Times New Roman"/>
          <w:sz w:val="24"/>
        </w:rPr>
        <w:t>, or are</w:t>
      </w:r>
      <w:r w:rsidR="00DB5851" w:rsidRPr="00473D6B">
        <w:rPr>
          <w:rFonts w:ascii="Times New Roman" w:hAnsi="Times New Roman"/>
          <w:sz w:val="24"/>
        </w:rPr>
        <w:t xml:space="preserve"> affiliated with</w:t>
      </w:r>
      <w:r w:rsidR="003C59E5" w:rsidRPr="00473D6B">
        <w:rPr>
          <w:rFonts w:ascii="Times New Roman" w:hAnsi="Times New Roman"/>
          <w:sz w:val="24"/>
        </w:rPr>
        <w:t>,</w:t>
      </w:r>
      <w:r w:rsidR="00DB5851" w:rsidRPr="00473D6B">
        <w:rPr>
          <w:rFonts w:ascii="Times New Roman" w:hAnsi="Times New Roman"/>
          <w:sz w:val="24"/>
        </w:rPr>
        <w:t xml:space="preserve"> foreign carriers, and to determine whether and under what conditions the authorizations are in the public interest, convenience, and necessity.</w:t>
      </w:r>
      <w:r w:rsidR="003C59E5" w:rsidRPr="00473D6B">
        <w:rPr>
          <w:rFonts w:ascii="Times New Roman" w:hAnsi="Times New Roman"/>
          <w:sz w:val="24"/>
        </w:rPr>
        <w:t xml:space="preserve">  The information collections are also necessary to maintain effective oversight</w:t>
      </w:r>
      <w:r w:rsidR="00DB5851" w:rsidRPr="00473D6B">
        <w:rPr>
          <w:rFonts w:ascii="Times New Roman" w:hAnsi="Times New Roman"/>
          <w:sz w:val="24"/>
        </w:rPr>
        <w:t xml:space="preserve"> </w:t>
      </w:r>
      <w:r w:rsidR="003C59E5" w:rsidRPr="00473D6B">
        <w:rPr>
          <w:rFonts w:ascii="Times New Roman" w:hAnsi="Times New Roman"/>
          <w:sz w:val="24"/>
        </w:rPr>
        <w:t>of U.S. international carriers generally.</w:t>
      </w:r>
    </w:p>
    <w:p w:rsidR="003E3950" w:rsidRPr="00473D6B" w:rsidRDefault="003E3950">
      <w:pPr>
        <w:suppressAutoHyphens/>
        <w:rPr>
          <w:rFonts w:ascii="Times New Roman" w:hAnsi="Times New Roman"/>
          <w:sz w:val="24"/>
        </w:rPr>
      </w:pPr>
    </w:p>
    <w:p w:rsidR="00E22E4C" w:rsidRPr="00473D6B" w:rsidRDefault="00EA5B2A">
      <w:pPr>
        <w:suppressAutoHyphens/>
        <w:rPr>
          <w:rFonts w:ascii="Times New Roman" w:hAnsi="Times New Roman"/>
          <w:sz w:val="24"/>
        </w:rPr>
      </w:pPr>
      <w:r w:rsidRPr="00473D6B">
        <w:rPr>
          <w:rFonts w:ascii="Times New Roman" w:hAnsi="Times New Roman"/>
          <w:sz w:val="24"/>
        </w:rPr>
        <w:t>3.</w:t>
      </w:r>
      <w:r w:rsidR="00190932" w:rsidRPr="00473D6B">
        <w:rPr>
          <w:rFonts w:ascii="Times New Roman" w:hAnsi="Times New Roman"/>
          <w:sz w:val="24"/>
        </w:rPr>
        <w:t xml:space="preserve">      </w:t>
      </w:r>
      <w:r w:rsidR="00447F4A" w:rsidRPr="00473D6B">
        <w:rPr>
          <w:rFonts w:ascii="Times New Roman" w:hAnsi="Times New Roman"/>
          <w:sz w:val="24"/>
        </w:rPr>
        <w:t xml:space="preserve">In December </w:t>
      </w:r>
      <w:r w:rsidR="00447F4A" w:rsidRPr="00473D6B">
        <w:rPr>
          <w:rFonts w:ascii="Times New Roman" w:hAnsi="Times New Roman"/>
          <w:iCs/>
          <w:sz w:val="24"/>
          <w:szCs w:val="24"/>
        </w:rPr>
        <w:t>200</w:t>
      </w:r>
      <w:r w:rsidR="00E5719D" w:rsidRPr="00473D6B">
        <w:rPr>
          <w:rFonts w:ascii="Times New Roman" w:hAnsi="Times New Roman"/>
          <w:iCs/>
          <w:sz w:val="24"/>
          <w:szCs w:val="24"/>
        </w:rPr>
        <w:t>6</w:t>
      </w:r>
      <w:r w:rsidR="00447F4A" w:rsidRPr="00473D6B">
        <w:rPr>
          <w:rFonts w:ascii="Times New Roman" w:hAnsi="Times New Roman"/>
          <w:iCs/>
          <w:sz w:val="24"/>
          <w:szCs w:val="24"/>
        </w:rPr>
        <w:t xml:space="preserve">, the Commission received OMB approval of mandatory electronic filing of all </w:t>
      </w:r>
      <w:r w:rsidR="00401536">
        <w:rPr>
          <w:rFonts w:ascii="Times New Roman" w:hAnsi="Times New Roman"/>
          <w:iCs/>
          <w:sz w:val="24"/>
          <w:szCs w:val="24"/>
        </w:rPr>
        <w:t>s</w:t>
      </w:r>
      <w:r w:rsidR="00447F4A" w:rsidRPr="00473D6B">
        <w:rPr>
          <w:rFonts w:ascii="Times New Roman" w:hAnsi="Times New Roman"/>
          <w:iCs/>
          <w:sz w:val="24"/>
          <w:szCs w:val="24"/>
        </w:rPr>
        <w:t xml:space="preserve">ection 214-related applications </w:t>
      </w:r>
      <w:r w:rsidR="00E22E4C" w:rsidRPr="00473D6B">
        <w:rPr>
          <w:rFonts w:ascii="Times New Roman" w:hAnsi="Times New Roman"/>
          <w:iCs/>
          <w:sz w:val="24"/>
          <w:szCs w:val="24"/>
        </w:rPr>
        <w:t xml:space="preserve">and notifications </w:t>
      </w:r>
      <w:r w:rsidR="008A359A" w:rsidRPr="00473D6B">
        <w:rPr>
          <w:rFonts w:ascii="Times New Roman" w:hAnsi="Times New Roman"/>
          <w:sz w:val="24"/>
        </w:rPr>
        <w:t>under OMB Control No. 3060-</w:t>
      </w:r>
      <w:r w:rsidR="00447F4A" w:rsidRPr="00473D6B">
        <w:rPr>
          <w:rFonts w:ascii="Times New Roman" w:hAnsi="Times New Roman"/>
          <w:sz w:val="24"/>
        </w:rPr>
        <w:t>0686</w:t>
      </w:r>
      <w:r w:rsidR="008A359A" w:rsidRPr="00473D6B">
        <w:rPr>
          <w:rFonts w:ascii="Times New Roman" w:hAnsi="Times New Roman"/>
          <w:sz w:val="24"/>
        </w:rPr>
        <w:t>.</w:t>
      </w:r>
      <w:r w:rsidR="00421242" w:rsidRPr="00473D6B">
        <w:rPr>
          <w:rStyle w:val="FootnoteReference"/>
          <w:rFonts w:ascii="Times New Roman" w:hAnsi="Times New Roman"/>
          <w:sz w:val="24"/>
        </w:rPr>
        <w:footnoteReference w:id="5"/>
      </w:r>
      <w:r w:rsidR="008A359A" w:rsidRPr="00473D6B">
        <w:rPr>
          <w:rFonts w:ascii="Times New Roman" w:hAnsi="Times New Roman"/>
          <w:sz w:val="24"/>
        </w:rPr>
        <w:t xml:space="preserve">  </w:t>
      </w:r>
    </w:p>
    <w:p w:rsidR="00D505A7" w:rsidRPr="00473D6B" w:rsidRDefault="008A359A">
      <w:pPr>
        <w:suppressAutoHyphens/>
        <w:rPr>
          <w:rFonts w:ascii="Times New Roman" w:hAnsi="Times New Roman"/>
          <w:sz w:val="24"/>
        </w:rPr>
      </w:pPr>
      <w:r w:rsidRPr="00473D6B">
        <w:rPr>
          <w:rFonts w:ascii="Times New Roman" w:hAnsi="Times New Roman"/>
          <w:sz w:val="24"/>
        </w:rPr>
        <w:t xml:space="preserve">A total of 100 percent of </w:t>
      </w:r>
      <w:r w:rsidR="0091292F" w:rsidRPr="00473D6B">
        <w:rPr>
          <w:rFonts w:ascii="Times New Roman" w:hAnsi="Times New Roman"/>
          <w:sz w:val="24"/>
        </w:rPr>
        <w:t xml:space="preserve">Section </w:t>
      </w:r>
      <w:r w:rsidRPr="00473D6B">
        <w:rPr>
          <w:rFonts w:ascii="Times New Roman" w:hAnsi="Times New Roman"/>
          <w:sz w:val="24"/>
        </w:rPr>
        <w:t>214 authorizations are filed electronically in the International Bureau Filing System (IBFS).</w:t>
      </w:r>
      <w:r w:rsidR="001D2110" w:rsidRPr="00473D6B">
        <w:rPr>
          <w:rFonts w:ascii="Times New Roman" w:hAnsi="Times New Roman"/>
          <w:sz w:val="24"/>
        </w:rPr>
        <w:t xml:space="preserve"> </w:t>
      </w:r>
    </w:p>
    <w:p w:rsidR="008A359A" w:rsidRPr="00473D6B" w:rsidRDefault="008A359A">
      <w:pPr>
        <w:suppressAutoHyphens/>
        <w:rPr>
          <w:rFonts w:ascii="Times New Roman" w:hAnsi="Times New Roman"/>
          <w:sz w:val="24"/>
        </w:rPr>
      </w:pPr>
    </w:p>
    <w:p w:rsidR="00DB5851" w:rsidRPr="00473D6B" w:rsidRDefault="00E37BA9">
      <w:pPr>
        <w:suppressAutoHyphens/>
        <w:rPr>
          <w:rFonts w:ascii="Times New Roman" w:hAnsi="Times New Roman"/>
          <w:sz w:val="24"/>
        </w:rPr>
      </w:pPr>
      <w:r>
        <w:rPr>
          <w:rFonts w:ascii="Times New Roman" w:hAnsi="Times New Roman"/>
          <w:sz w:val="24"/>
        </w:rPr>
        <w:t>4.</w:t>
      </w:r>
      <w:r>
        <w:rPr>
          <w:rFonts w:ascii="Times New Roman" w:hAnsi="Times New Roman"/>
          <w:sz w:val="24"/>
        </w:rPr>
        <w:tab/>
      </w:r>
      <w:r w:rsidR="00DB5851" w:rsidRPr="00473D6B">
        <w:rPr>
          <w:rFonts w:ascii="Times New Roman" w:hAnsi="Times New Roman"/>
          <w:sz w:val="24"/>
        </w:rPr>
        <w:t>To the extent that information collection requirements contained in Section 310(b</w:t>
      </w:r>
      <w:proofErr w:type="gramStart"/>
      <w:r w:rsidR="00DB5851" w:rsidRPr="00473D6B">
        <w:rPr>
          <w:rFonts w:ascii="Times New Roman" w:hAnsi="Times New Roman"/>
          <w:sz w:val="24"/>
        </w:rPr>
        <w:t>)(</w:t>
      </w:r>
      <w:proofErr w:type="gramEnd"/>
      <w:r w:rsidR="00DB5851" w:rsidRPr="00473D6B">
        <w:rPr>
          <w:rFonts w:ascii="Times New Roman" w:hAnsi="Times New Roman"/>
          <w:sz w:val="24"/>
        </w:rPr>
        <w:t xml:space="preserve">4) are similar to those in Section 214, </w:t>
      </w:r>
      <w:r w:rsidR="00055FC0" w:rsidRPr="00473D6B">
        <w:rPr>
          <w:rFonts w:ascii="Times New Roman" w:hAnsi="Times New Roman"/>
          <w:sz w:val="24"/>
        </w:rPr>
        <w:t xml:space="preserve">the Commission </w:t>
      </w:r>
      <w:r w:rsidR="003C59E5" w:rsidRPr="00473D6B">
        <w:rPr>
          <w:rFonts w:ascii="Times New Roman" w:hAnsi="Times New Roman"/>
          <w:sz w:val="24"/>
        </w:rPr>
        <w:t xml:space="preserve">does not require the filing </w:t>
      </w:r>
      <w:r w:rsidR="00DB5851" w:rsidRPr="00473D6B">
        <w:rPr>
          <w:rFonts w:ascii="Times New Roman" w:hAnsi="Times New Roman"/>
          <w:sz w:val="24"/>
        </w:rPr>
        <w:t xml:space="preserve">of </w:t>
      </w:r>
      <w:r w:rsidR="003C59E5" w:rsidRPr="00473D6B">
        <w:rPr>
          <w:rFonts w:ascii="Times New Roman" w:hAnsi="Times New Roman"/>
          <w:sz w:val="24"/>
        </w:rPr>
        <w:t xml:space="preserve">duplicative </w:t>
      </w:r>
      <w:r w:rsidR="00DB5851" w:rsidRPr="00473D6B">
        <w:rPr>
          <w:rFonts w:ascii="Times New Roman" w:hAnsi="Times New Roman"/>
          <w:sz w:val="24"/>
        </w:rPr>
        <w:t>information</w:t>
      </w:r>
      <w:r w:rsidR="003C59E5" w:rsidRPr="00473D6B">
        <w:rPr>
          <w:rFonts w:ascii="Times New Roman" w:hAnsi="Times New Roman"/>
          <w:sz w:val="24"/>
        </w:rPr>
        <w:t xml:space="preserve"> by carriers</w:t>
      </w:r>
      <w:r w:rsidR="00DB5851" w:rsidRPr="00473D6B">
        <w:rPr>
          <w:rFonts w:ascii="Times New Roman" w:hAnsi="Times New Roman"/>
          <w:sz w:val="24"/>
        </w:rPr>
        <w:t xml:space="preserve"> filing under both Section</w:t>
      </w:r>
      <w:r w:rsidR="00FD24E4" w:rsidRPr="00473D6B">
        <w:rPr>
          <w:rFonts w:ascii="Times New Roman" w:hAnsi="Times New Roman"/>
          <w:sz w:val="24"/>
        </w:rPr>
        <w:t>s</w:t>
      </w:r>
      <w:r w:rsidR="00DB5851" w:rsidRPr="00473D6B">
        <w:rPr>
          <w:rFonts w:ascii="Times New Roman" w:hAnsi="Times New Roman"/>
          <w:sz w:val="24"/>
        </w:rPr>
        <w:t xml:space="preserve"> 310 and 214.</w:t>
      </w:r>
      <w:r w:rsidR="003C59E5" w:rsidRPr="00473D6B">
        <w:rPr>
          <w:rFonts w:ascii="Times New Roman" w:hAnsi="Times New Roman"/>
          <w:sz w:val="24"/>
        </w:rPr>
        <w:t xml:space="preserve">  The information that is collected under the rules is not available elsewhere.</w:t>
      </w:r>
      <w:r w:rsidR="00DB5851" w:rsidRPr="00473D6B">
        <w:rPr>
          <w:rFonts w:ascii="Times New Roman" w:hAnsi="Times New Roman"/>
          <w:sz w:val="24"/>
        </w:rPr>
        <w:t xml:space="preserve"> </w:t>
      </w:r>
    </w:p>
    <w:p w:rsidR="007A6E22" w:rsidRPr="00473D6B" w:rsidRDefault="007A6E22">
      <w:pPr>
        <w:suppressAutoHyphens/>
        <w:rPr>
          <w:rFonts w:ascii="Times New Roman" w:hAnsi="Times New Roman"/>
          <w:sz w:val="24"/>
        </w:rPr>
      </w:pPr>
    </w:p>
    <w:p w:rsidR="00DB5851" w:rsidRPr="00473D6B" w:rsidRDefault="00F907B4">
      <w:pPr>
        <w:suppressAutoHyphens/>
        <w:rPr>
          <w:rFonts w:ascii="Times New Roman" w:hAnsi="Times New Roman"/>
          <w:sz w:val="24"/>
        </w:rPr>
      </w:pPr>
      <w:r w:rsidRPr="00473D6B">
        <w:rPr>
          <w:rFonts w:ascii="Times New Roman" w:hAnsi="Times New Roman"/>
          <w:sz w:val="24"/>
        </w:rPr>
        <w:t>5.</w:t>
      </w:r>
      <w:r w:rsidRPr="00473D6B">
        <w:rPr>
          <w:rFonts w:ascii="Times New Roman" w:hAnsi="Times New Roman"/>
          <w:b/>
          <w:sz w:val="24"/>
        </w:rPr>
        <w:tab/>
      </w:r>
      <w:r w:rsidR="00F10345" w:rsidRPr="00473D6B">
        <w:rPr>
          <w:rFonts w:ascii="Times New Roman" w:hAnsi="Times New Roman"/>
          <w:sz w:val="24"/>
        </w:rPr>
        <w:t xml:space="preserve">In developing this collection, the Commission considered the impact of our information collection requirements on small businesses and other small entities.  </w:t>
      </w:r>
      <w:r w:rsidR="00A51664" w:rsidRPr="00473D6B">
        <w:rPr>
          <w:rFonts w:ascii="Times New Roman" w:hAnsi="Times New Roman"/>
          <w:sz w:val="24"/>
        </w:rPr>
        <w:t xml:space="preserve">While we cannot project exactly how many foreign carriers or affiliates of foreign carriers </w:t>
      </w:r>
      <w:r w:rsidR="00F70368" w:rsidRPr="00473D6B">
        <w:rPr>
          <w:rFonts w:ascii="Times New Roman" w:hAnsi="Times New Roman"/>
          <w:sz w:val="24"/>
        </w:rPr>
        <w:t>from</w:t>
      </w:r>
      <w:r w:rsidR="00A51664" w:rsidRPr="00473D6B">
        <w:rPr>
          <w:rFonts w:ascii="Times New Roman" w:hAnsi="Times New Roman"/>
          <w:sz w:val="24"/>
        </w:rPr>
        <w:t xml:space="preserve"> non-WTO Member countries may in the future seek entry into the U.S. telecommuni</w:t>
      </w:r>
      <w:r w:rsidR="00F70368" w:rsidRPr="00473D6B">
        <w:rPr>
          <w:rFonts w:ascii="Times New Roman" w:hAnsi="Times New Roman"/>
          <w:sz w:val="24"/>
        </w:rPr>
        <w:t>c</w:t>
      </w:r>
      <w:r w:rsidR="00A51664" w:rsidRPr="00473D6B">
        <w:rPr>
          <w:rFonts w:ascii="Times New Roman" w:hAnsi="Times New Roman"/>
          <w:sz w:val="24"/>
        </w:rPr>
        <w:t xml:space="preserve">ations market, there is nothing in the record to suggest that there will be significantly more such carriers than there have in the past.  Therefore, the Commission certifies that the requirements of this Report and Order will not have a significant economic impact on a substantial number of </w:t>
      </w:r>
      <w:r w:rsidR="00F10345" w:rsidRPr="00473D6B">
        <w:rPr>
          <w:rFonts w:ascii="Times New Roman" w:hAnsi="Times New Roman"/>
          <w:sz w:val="24"/>
        </w:rPr>
        <w:t xml:space="preserve">small </w:t>
      </w:r>
      <w:r w:rsidR="00A51664" w:rsidRPr="00473D6B">
        <w:rPr>
          <w:rFonts w:ascii="Times New Roman" w:hAnsi="Times New Roman"/>
          <w:sz w:val="24"/>
        </w:rPr>
        <w:t>entities.</w:t>
      </w:r>
    </w:p>
    <w:p w:rsidR="00DB5851" w:rsidRPr="00473D6B" w:rsidRDefault="00DB5851">
      <w:pPr>
        <w:suppressAutoHyphens/>
        <w:rPr>
          <w:rFonts w:ascii="Times New Roman" w:hAnsi="Times New Roman"/>
          <w:sz w:val="24"/>
        </w:rPr>
      </w:pPr>
    </w:p>
    <w:p w:rsidR="00397676" w:rsidRPr="00473D6B" w:rsidRDefault="00377124">
      <w:pPr>
        <w:suppressAutoHyphens/>
        <w:rPr>
          <w:rFonts w:ascii="Times New Roman" w:hAnsi="Times New Roman"/>
          <w:sz w:val="24"/>
        </w:rPr>
      </w:pPr>
      <w:r w:rsidRPr="00473D6B">
        <w:rPr>
          <w:rFonts w:ascii="Times New Roman" w:hAnsi="Times New Roman"/>
          <w:sz w:val="24"/>
        </w:rPr>
        <w:t>6.</w:t>
      </w:r>
      <w:r w:rsidRPr="00473D6B">
        <w:rPr>
          <w:rFonts w:ascii="Times New Roman" w:hAnsi="Times New Roman"/>
          <w:sz w:val="24"/>
        </w:rPr>
        <w:tab/>
      </w:r>
      <w:r w:rsidR="00DB5851" w:rsidRPr="00473D6B">
        <w:rPr>
          <w:rFonts w:ascii="Times New Roman" w:hAnsi="Times New Roman"/>
          <w:sz w:val="24"/>
        </w:rPr>
        <w:t>The frequency of filing applications pursuant to Sections 214</w:t>
      </w:r>
      <w:r w:rsidR="0088090F" w:rsidRPr="00473D6B">
        <w:rPr>
          <w:rFonts w:ascii="Times New Roman" w:hAnsi="Times New Roman"/>
          <w:sz w:val="24"/>
        </w:rPr>
        <w:t xml:space="preserve"> and</w:t>
      </w:r>
      <w:r w:rsidR="00DB5851" w:rsidRPr="00473D6B">
        <w:rPr>
          <w:rFonts w:ascii="Times New Roman" w:hAnsi="Times New Roman"/>
          <w:sz w:val="24"/>
        </w:rPr>
        <w:t xml:space="preserve"> 310(b)(4</w:t>
      </w:r>
      <w:r w:rsidR="0088090F" w:rsidRPr="00473D6B">
        <w:rPr>
          <w:rFonts w:ascii="Times New Roman" w:hAnsi="Times New Roman"/>
          <w:sz w:val="24"/>
        </w:rPr>
        <w:t>)</w:t>
      </w:r>
      <w:r w:rsidR="00DB5851" w:rsidRPr="00473D6B">
        <w:rPr>
          <w:rFonts w:ascii="Times New Roman" w:hAnsi="Times New Roman"/>
          <w:sz w:val="24"/>
        </w:rPr>
        <w:t xml:space="preserve"> will be determined largely by the applicant seeking to provide </w:t>
      </w:r>
      <w:r w:rsidR="00F70368" w:rsidRPr="00473D6B">
        <w:rPr>
          <w:rFonts w:ascii="Times New Roman" w:hAnsi="Times New Roman"/>
          <w:sz w:val="24"/>
        </w:rPr>
        <w:t xml:space="preserve">U.S </w:t>
      </w:r>
      <w:r w:rsidR="00DB5851" w:rsidRPr="00473D6B">
        <w:rPr>
          <w:rFonts w:ascii="Times New Roman" w:hAnsi="Times New Roman"/>
          <w:sz w:val="24"/>
        </w:rPr>
        <w:t>intern</w:t>
      </w:r>
      <w:r w:rsidR="00A6305E" w:rsidRPr="00473D6B">
        <w:rPr>
          <w:rFonts w:ascii="Times New Roman" w:hAnsi="Times New Roman"/>
          <w:sz w:val="24"/>
        </w:rPr>
        <w:t>ational common carrier service</w:t>
      </w:r>
      <w:r w:rsidR="00F70368" w:rsidRPr="00473D6B">
        <w:rPr>
          <w:rFonts w:ascii="Times New Roman" w:hAnsi="Times New Roman"/>
          <w:sz w:val="24"/>
        </w:rPr>
        <w:t xml:space="preserve"> under Section 214</w:t>
      </w:r>
      <w:r w:rsidR="000D6216" w:rsidRPr="00473D6B">
        <w:rPr>
          <w:rFonts w:ascii="Times New Roman" w:hAnsi="Times New Roman"/>
          <w:sz w:val="24"/>
        </w:rPr>
        <w:t>,</w:t>
      </w:r>
      <w:r w:rsidR="00A6305E" w:rsidRPr="00473D6B">
        <w:rPr>
          <w:rFonts w:ascii="Times New Roman" w:hAnsi="Times New Roman"/>
          <w:sz w:val="24"/>
        </w:rPr>
        <w:t xml:space="preserve"> and</w:t>
      </w:r>
      <w:r w:rsidR="00F70368" w:rsidRPr="00473D6B">
        <w:rPr>
          <w:rFonts w:ascii="Times New Roman" w:hAnsi="Times New Roman"/>
          <w:sz w:val="24"/>
        </w:rPr>
        <w:t>/or</w:t>
      </w:r>
      <w:r w:rsidR="00A6305E" w:rsidRPr="00473D6B">
        <w:rPr>
          <w:rFonts w:ascii="Times New Roman" w:hAnsi="Times New Roman"/>
          <w:sz w:val="24"/>
        </w:rPr>
        <w:t xml:space="preserve"> </w:t>
      </w:r>
      <w:r w:rsidR="00DB5851" w:rsidRPr="00473D6B">
        <w:rPr>
          <w:rFonts w:ascii="Times New Roman" w:hAnsi="Times New Roman"/>
          <w:sz w:val="24"/>
        </w:rPr>
        <w:t xml:space="preserve">to exceed the </w:t>
      </w:r>
      <w:r w:rsidR="00F70368" w:rsidRPr="00473D6B">
        <w:rPr>
          <w:rFonts w:ascii="Times New Roman" w:hAnsi="Times New Roman"/>
          <w:sz w:val="24"/>
        </w:rPr>
        <w:t>parameters of an existing Section 310(b)(4) foreign ownership ruling issued by the Commission prior to August 9, 2013</w:t>
      </w:r>
      <w:r w:rsidR="00DB5851" w:rsidRPr="00473D6B">
        <w:rPr>
          <w:rFonts w:ascii="Times New Roman" w:hAnsi="Times New Roman"/>
          <w:sz w:val="24"/>
        </w:rPr>
        <w:t xml:space="preserve">. </w:t>
      </w:r>
      <w:r w:rsidR="00F70368" w:rsidRPr="00473D6B">
        <w:rPr>
          <w:rFonts w:ascii="Times New Roman" w:hAnsi="Times New Roman"/>
          <w:sz w:val="24"/>
        </w:rPr>
        <w:t xml:space="preserve"> </w:t>
      </w:r>
      <w:r w:rsidR="00DB5851" w:rsidRPr="00473D6B">
        <w:rPr>
          <w:rFonts w:ascii="Times New Roman" w:hAnsi="Times New Roman"/>
          <w:sz w:val="24"/>
        </w:rPr>
        <w:t xml:space="preserve">Carriers will also determine largely the frequency of filing under </w:t>
      </w:r>
      <w:r w:rsidR="00A9146B" w:rsidRPr="00473D6B">
        <w:rPr>
          <w:rFonts w:ascii="Times New Roman" w:hAnsi="Times New Roman"/>
          <w:sz w:val="24"/>
        </w:rPr>
        <w:t xml:space="preserve">the other rules included in this collection, with the exception of the quarterly reports required of certain carriers under </w:t>
      </w:r>
      <w:r w:rsidR="00DB5851" w:rsidRPr="00473D6B">
        <w:rPr>
          <w:rFonts w:ascii="Times New Roman" w:hAnsi="Times New Roman"/>
          <w:sz w:val="24"/>
        </w:rPr>
        <w:t>Section 63.1</w:t>
      </w:r>
      <w:r w:rsidR="00A9146B" w:rsidRPr="00473D6B">
        <w:rPr>
          <w:rFonts w:ascii="Times New Roman" w:hAnsi="Times New Roman"/>
          <w:sz w:val="24"/>
        </w:rPr>
        <w:t>0</w:t>
      </w:r>
      <w:r w:rsidR="00DB5851" w:rsidRPr="00473D6B">
        <w:rPr>
          <w:rFonts w:ascii="Times New Roman" w:hAnsi="Times New Roman"/>
          <w:sz w:val="24"/>
        </w:rPr>
        <w:t>(c)</w:t>
      </w:r>
      <w:r w:rsidR="00A9146B" w:rsidRPr="00473D6B">
        <w:rPr>
          <w:rFonts w:ascii="Times New Roman" w:hAnsi="Times New Roman"/>
          <w:sz w:val="24"/>
        </w:rPr>
        <w:t>.</w:t>
      </w:r>
      <w:r w:rsidR="00DB5851" w:rsidRPr="00473D6B">
        <w:rPr>
          <w:rFonts w:ascii="Times New Roman" w:hAnsi="Times New Roman"/>
          <w:sz w:val="24"/>
        </w:rPr>
        <w:t xml:space="preserve">  If the collections are not conducted or are conducted less frequently, applicants will not obtain the authorizations necessary to provide telecommunications services, and the Commission will be </w:t>
      </w:r>
      <w:r w:rsidR="00DB5851" w:rsidRPr="00473D6B">
        <w:rPr>
          <w:rFonts w:ascii="Times New Roman" w:hAnsi="Times New Roman"/>
          <w:sz w:val="24"/>
        </w:rPr>
        <w:lastRenderedPageBreak/>
        <w:t>unable to carry out its mandate under the Communications Act of 1934.  In addition, without the information collections, the United States would jeopardize its ability to fulfill the U.S. obligations as negotiated under the WTO Basic Telecom Agreement because these collections are imperative to detecting and deterring anticompetitive conduct.  They are also necessary to preserve the Executive Branch agencies’ and the Commission's ability to review foreign investments for national security, law enforcement, foreign policy, and trade concerns.</w:t>
      </w:r>
      <w:r w:rsidR="000D6216" w:rsidRPr="00473D6B">
        <w:rPr>
          <w:rFonts w:ascii="Times New Roman" w:hAnsi="Times New Roman"/>
          <w:sz w:val="24"/>
        </w:rPr>
        <w:t xml:space="preserve">  </w:t>
      </w:r>
    </w:p>
    <w:p w:rsidR="000D6216" w:rsidRPr="00473D6B" w:rsidRDefault="000D6216">
      <w:pPr>
        <w:suppressAutoHyphens/>
        <w:rPr>
          <w:rFonts w:ascii="Times New Roman" w:hAnsi="Times New Roman"/>
          <w:sz w:val="24"/>
        </w:rPr>
      </w:pPr>
    </w:p>
    <w:p w:rsidR="000D6216" w:rsidRPr="00473D6B" w:rsidRDefault="000D6216" w:rsidP="000D6216">
      <w:pPr>
        <w:suppressAutoHyphens/>
        <w:rPr>
          <w:rFonts w:ascii="Times New Roman" w:hAnsi="Times New Roman"/>
          <w:sz w:val="24"/>
        </w:rPr>
      </w:pPr>
      <w:r w:rsidRPr="00473D6B">
        <w:rPr>
          <w:rFonts w:ascii="Times New Roman" w:hAnsi="Times New Roman"/>
          <w:sz w:val="24"/>
        </w:rPr>
        <w:t xml:space="preserve">Regarding Section 63.11, carriers determine largely when to notify the Commission of planned investments by or in foreign carriers.  If the information is not collected by the Commission, we will not be able to prevent carriers that control bottleneck facilities in foreign countries from using those bottlenecks to discriminate against unaffiliated U.S. carriers. </w:t>
      </w:r>
    </w:p>
    <w:p w:rsidR="00DB5851" w:rsidRPr="00473D6B" w:rsidRDefault="00DB5851" w:rsidP="000D6216">
      <w:pPr>
        <w:suppressAutoHyphens/>
        <w:rPr>
          <w:rFonts w:ascii="Times New Roman" w:hAnsi="Times New Roman"/>
          <w:sz w:val="24"/>
        </w:rPr>
      </w:pPr>
    </w:p>
    <w:p w:rsidR="00DB5851" w:rsidRPr="00473D6B" w:rsidRDefault="007D00BF">
      <w:pPr>
        <w:suppressAutoHyphens/>
        <w:rPr>
          <w:rFonts w:ascii="Times New Roman" w:hAnsi="Times New Roman"/>
          <w:sz w:val="24"/>
        </w:rPr>
      </w:pPr>
      <w:r w:rsidRPr="00473D6B">
        <w:rPr>
          <w:rFonts w:ascii="Times New Roman" w:hAnsi="Times New Roman"/>
          <w:sz w:val="24"/>
        </w:rPr>
        <w:t>7.</w:t>
      </w:r>
      <w:r w:rsidR="00CB67AC" w:rsidRPr="00473D6B">
        <w:rPr>
          <w:rFonts w:ascii="Times New Roman" w:hAnsi="Times New Roman"/>
          <w:sz w:val="24"/>
        </w:rPr>
        <w:t xml:space="preserve">       </w:t>
      </w:r>
      <w:r w:rsidR="005F62A8" w:rsidRPr="00473D6B">
        <w:rPr>
          <w:rFonts w:ascii="Times New Roman" w:hAnsi="Times New Roman"/>
          <w:sz w:val="24"/>
        </w:rPr>
        <w:t>There are no special circumstances associated with this collection of information</w:t>
      </w:r>
      <w:r w:rsidR="0020388B" w:rsidRPr="00473D6B">
        <w:rPr>
          <w:rFonts w:ascii="Times New Roman" w:hAnsi="Times New Roman"/>
          <w:sz w:val="24"/>
        </w:rPr>
        <w:t>.</w:t>
      </w:r>
      <w:r w:rsidR="00A9146B" w:rsidRPr="00473D6B">
        <w:rPr>
          <w:rFonts w:ascii="Times New Roman" w:hAnsi="Times New Roman"/>
          <w:sz w:val="24"/>
        </w:rPr>
        <w:t xml:space="preserve">   </w:t>
      </w:r>
      <w:r w:rsidR="00DB5851" w:rsidRPr="00473D6B">
        <w:rPr>
          <w:rFonts w:ascii="Times New Roman" w:hAnsi="Times New Roman"/>
          <w:sz w:val="24"/>
        </w:rPr>
        <w:t xml:space="preserve"> </w:t>
      </w:r>
    </w:p>
    <w:p w:rsidR="00DB5851" w:rsidRPr="00473D6B" w:rsidRDefault="00DB5851">
      <w:pPr>
        <w:suppressAutoHyphens/>
        <w:rPr>
          <w:rFonts w:ascii="Times New Roman" w:hAnsi="Times New Roman"/>
          <w:sz w:val="24"/>
        </w:rPr>
      </w:pPr>
    </w:p>
    <w:p w:rsidR="005F62A8" w:rsidRPr="00CD229C" w:rsidRDefault="00FB3686" w:rsidP="00FB3686">
      <w:pPr>
        <w:suppressAutoHyphens/>
        <w:rPr>
          <w:rFonts w:ascii="Times New Roman" w:hAnsi="Times New Roman"/>
          <w:sz w:val="24"/>
          <w:szCs w:val="24"/>
        </w:rPr>
      </w:pPr>
      <w:r w:rsidRPr="00473D6B">
        <w:rPr>
          <w:rFonts w:ascii="Times New Roman" w:hAnsi="Times New Roman"/>
          <w:sz w:val="24"/>
        </w:rPr>
        <w:t xml:space="preserve">8.     </w:t>
      </w:r>
      <w:r w:rsidR="00A05348" w:rsidRPr="00473D6B">
        <w:rPr>
          <w:rFonts w:ascii="Times New Roman" w:hAnsi="Times New Roman"/>
          <w:sz w:val="24"/>
        </w:rPr>
        <w:t xml:space="preserve">  </w:t>
      </w:r>
      <w:r w:rsidR="00F408EF" w:rsidRPr="00473D6B">
        <w:rPr>
          <w:rFonts w:ascii="Times New Roman" w:hAnsi="Times New Roman"/>
          <w:sz w:val="24"/>
        </w:rPr>
        <w:t>On</w:t>
      </w:r>
      <w:r w:rsidR="00D20AEC" w:rsidRPr="00473D6B">
        <w:rPr>
          <w:rFonts w:ascii="Times New Roman" w:hAnsi="Times New Roman"/>
          <w:sz w:val="24"/>
        </w:rPr>
        <w:t xml:space="preserve"> </w:t>
      </w:r>
      <w:r w:rsidR="00D20AEC" w:rsidRPr="00CD0D92">
        <w:rPr>
          <w:rFonts w:ascii="Times New Roman" w:hAnsi="Times New Roman"/>
          <w:sz w:val="24"/>
        </w:rPr>
        <w:t xml:space="preserve">October </w:t>
      </w:r>
      <w:r w:rsidR="00CD0D92" w:rsidRPr="00CD0D92">
        <w:rPr>
          <w:rFonts w:ascii="Times New Roman" w:hAnsi="Times New Roman"/>
          <w:sz w:val="24"/>
        </w:rPr>
        <w:t>23</w:t>
      </w:r>
      <w:r w:rsidR="00881B6E" w:rsidRPr="00CD0D92">
        <w:rPr>
          <w:rFonts w:ascii="Times New Roman" w:hAnsi="Times New Roman"/>
          <w:sz w:val="24"/>
        </w:rPr>
        <w:t>, 201</w:t>
      </w:r>
      <w:r w:rsidR="002D29E7" w:rsidRPr="00CD0D92">
        <w:rPr>
          <w:rFonts w:ascii="Times New Roman" w:hAnsi="Times New Roman"/>
          <w:sz w:val="24"/>
        </w:rPr>
        <w:t>4</w:t>
      </w:r>
      <w:r w:rsidR="00F408EF" w:rsidRPr="00CD0D92">
        <w:rPr>
          <w:rFonts w:ascii="Times New Roman" w:hAnsi="Times New Roman"/>
          <w:sz w:val="24"/>
        </w:rPr>
        <w:t>, t</w:t>
      </w:r>
      <w:r w:rsidR="00E62B43" w:rsidRPr="00CD0D92">
        <w:rPr>
          <w:rFonts w:ascii="Times New Roman" w:hAnsi="Times New Roman"/>
          <w:sz w:val="24"/>
          <w:szCs w:val="24"/>
        </w:rPr>
        <w:t>he Commission published a 60-day notice in the Federal Register (</w:t>
      </w:r>
      <w:r w:rsidR="00CD0D92" w:rsidRPr="00CD0D92">
        <w:rPr>
          <w:rFonts w:ascii="Times New Roman" w:hAnsi="Times New Roman"/>
          <w:sz w:val="24"/>
          <w:szCs w:val="24"/>
        </w:rPr>
        <w:t>79</w:t>
      </w:r>
      <w:r w:rsidR="002D29E7" w:rsidRPr="00CD0D92">
        <w:rPr>
          <w:rFonts w:ascii="Times New Roman" w:hAnsi="Times New Roman"/>
          <w:sz w:val="24"/>
          <w:szCs w:val="24"/>
        </w:rPr>
        <w:t xml:space="preserve"> FR </w:t>
      </w:r>
      <w:r w:rsidR="00CD0D92" w:rsidRPr="00CD0D92">
        <w:rPr>
          <w:rFonts w:ascii="Times New Roman" w:hAnsi="Times New Roman"/>
          <w:sz w:val="24"/>
          <w:szCs w:val="24"/>
        </w:rPr>
        <w:t>63396</w:t>
      </w:r>
      <w:r w:rsidR="00E62B43" w:rsidRPr="00CD0D92">
        <w:rPr>
          <w:rFonts w:ascii="Times New Roman" w:hAnsi="Times New Roman"/>
          <w:sz w:val="24"/>
          <w:szCs w:val="24"/>
        </w:rPr>
        <w:t>) seeking</w:t>
      </w:r>
      <w:r w:rsidR="00E62B43" w:rsidRPr="00473D6B">
        <w:rPr>
          <w:rFonts w:ascii="Times New Roman" w:hAnsi="Times New Roman"/>
          <w:sz w:val="24"/>
          <w:szCs w:val="24"/>
        </w:rPr>
        <w:t xml:space="preserve"> comments on the information collection requirements contained in this supporting statement.</w:t>
      </w:r>
      <w:r w:rsidR="0020388B" w:rsidRPr="00A90261">
        <w:rPr>
          <w:rFonts w:ascii="Times New Roman" w:hAnsi="Times New Roman"/>
          <w:sz w:val="24"/>
          <w:szCs w:val="24"/>
        </w:rPr>
        <w:t xml:space="preserve">  No comments were received from the public as a result of the published notice.</w:t>
      </w:r>
      <w:r w:rsidR="00E62B43" w:rsidRPr="00644F93">
        <w:rPr>
          <w:rFonts w:ascii="Times New Roman" w:hAnsi="Times New Roman"/>
          <w:sz w:val="24"/>
          <w:szCs w:val="24"/>
        </w:rPr>
        <w:t xml:space="preserve"> </w:t>
      </w:r>
    </w:p>
    <w:p w:rsidR="00B822C6" w:rsidRPr="004E152D" w:rsidRDefault="00B822C6" w:rsidP="00FB3686">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9.</w:t>
      </w:r>
      <w:r w:rsidR="001F66FD" w:rsidRPr="004E152D">
        <w:rPr>
          <w:rFonts w:ascii="Times New Roman" w:hAnsi="Times New Roman"/>
          <w:sz w:val="24"/>
        </w:rPr>
        <w:t xml:space="preserve">      </w:t>
      </w:r>
      <w:r w:rsidR="00DB5851" w:rsidRPr="004E152D">
        <w:rPr>
          <w:rFonts w:ascii="Times New Roman" w:hAnsi="Times New Roman"/>
          <w:sz w:val="24"/>
        </w:rPr>
        <w:t>The Commission does not provide any payment or gift to respondents.</w:t>
      </w:r>
    </w:p>
    <w:p w:rsidR="00DB5851" w:rsidRPr="004E152D" w:rsidRDefault="00DB5851">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10.</w:t>
      </w:r>
      <w:r w:rsidR="001F66FD" w:rsidRPr="004E152D">
        <w:rPr>
          <w:rFonts w:ascii="Times New Roman" w:hAnsi="Times New Roman"/>
          <w:sz w:val="24"/>
        </w:rPr>
        <w:t xml:space="preserve">    </w:t>
      </w:r>
      <w:r w:rsidR="00DB5851" w:rsidRPr="004E152D">
        <w:rPr>
          <w:rFonts w:ascii="Times New Roman" w:hAnsi="Times New Roman"/>
          <w:sz w:val="24"/>
        </w:rPr>
        <w:t xml:space="preserve">The Commission has not granted assurances of confidentiality to those parties submitting the information.  In those cases where a respondent believes information requires confidentiality, the respondent can request confidential treatment </w:t>
      </w:r>
      <w:r w:rsidR="0020388B" w:rsidRPr="004E152D">
        <w:rPr>
          <w:rFonts w:ascii="Times New Roman" w:hAnsi="Times New Roman"/>
          <w:sz w:val="24"/>
        </w:rPr>
        <w:t xml:space="preserve">under Section 0.459 of the Commission’s rules, 47 C.F.R. § 0.459.  </w:t>
      </w:r>
    </w:p>
    <w:p w:rsidR="00DB5851" w:rsidRPr="004E152D" w:rsidRDefault="00DB5851">
      <w:pPr>
        <w:suppressAutoHyphens/>
        <w:rPr>
          <w:rFonts w:ascii="Times New Roman" w:hAnsi="Times New Roman"/>
          <w:sz w:val="24"/>
        </w:rPr>
      </w:pPr>
    </w:p>
    <w:p w:rsidR="00DE57C0" w:rsidRPr="004E152D" w:rsidRDefault="00675333" w:rsidP="00675333">
      <w:pPr>
        <w:suppressAutoHyphens/>
        <w:rPr>
          <w:rFonts w:ascii="Times New Roman" w:hAnsi="Times New Roman"/>
          <w:sz w:val="24"/>
        </w:rPr>
      </w:pPr>
      <w:r w:rsidRPr="004E152D">
        <w:rPr>
          <w:rFonts w:ascii="Times New Roman" w:hAnsi="Times New Roman"/>
          <w:sz w:val="24"/>
        </w:rPr>
        <w:t>11.</w:t>
      </w:r>
      <w:r w:rsidRPr="004E152D">
        <w:rPr>
          <w:rFonts w:ascii="Times New Roman" w:hAnsi="Times New Roman"/>
          <w:sz w:val="24"/>
        </w:rPr>
        <w:tab/>
      </w:r>
      <w:r w:rsidR="00DB5851" w:rsidRPr="004E152D">
        <w:rPr>
          <w:rFonts w:ascii="Times New Roman" w:hAnsi="Times New Roman"/>
          <w:sz w:val="24"/>
        </w:rPr>
        <w:t>This collection does not include any questions of a sensitive nature.</w:t>
      </w:r>
    </w:p>
    <w:p w:rsidR="00DE57C0" w:rsidRPr="004E152D" w:rsidRDefault="00DE57C0" w:rsidP="00675333">
      <w:pPr>
        <w:suppressAutoHyphens/>
        <w:rPr>
          <w:rFonts w:ascii="Times New Roman" w:hAnsi="Times New Roman"/>
          <w:sz w:val="24"/>
        </w:rPr>
      </w:pPr>
    </w:p>
    <w:p w:rsidR="0045747E" w:rsidRPr="00473D6B" w:rsidRDefault="00DE57C0" w:rsidP="00617463">
      <w:pPr>
        <w:suppressAutoHyphens/>
        <w:rPr>
          <w:rFonts w:ascii="Times New Roman" w:hAnsi="Times New Roman"/>
          <w:sz w:val="24"/>
          <w:szCs w:val="24"/>
        </w:rPr>
      </w:pPr>
      <w:r w:rsidRPr="004E152D">
        <w:rPr>
          <w:rFonts w:ascii="Times New Roman" w:hAnsi="Times New Roman"/>
          <w:sz w:val="24"/>
          <w:szCs w:val="24"/>
        </w:rPr>
        <w:t>12.</w:t>
      </w:r>
      <w:r w:rsidRPr="004E152D">
        <w:rPr>
          <w:rFonts w:ascii="Times New Roman" w:hAnsi="Times New Roman"/>
          <w:sz w:val="24"/>
          <w:szCs w:val="24"/>
        </w:rPr>
        <w:tab/>
      </w:r>
      <w:r w:rsidR="00617463" w:rsidRPr="004E152D">
        <w:rPr>
          <w:rFonts w:ascii="Times New Roman" w:hAnsi="Times New Roman"/>
          <w:sz w:val="24"/>
          <w:szCs w:val="24"/>
        </w:rPr>
        <w:t xml:space="preserve">The information collection requirements are summarized in the chart below. </w:t>
      </w:r>
      <w:r w:rsidR="006B00E0" w:rsidRPr="004E152D">
        <w:rPr>
          <w:rFonts w:ascii="Times New Roman" w:hAnsi="Times New Roman"/>
          <w:sz w:val="24"/>
          <w:szCs w:val="24"/>
        </w:rPr>
        <w:t xml:space="preserve"> </w:t>
      </w:r>
      <w:r w:rsidR="00617463" w:rsidRPr="004E152D">
        <w:rPr>
          <w:rFonts w:ascii="Times New Roman" w:hAnsi="Times New Roman"/>
          <w:sz w:val="24"/>
          <w:szCs w:val="24"/>
        </w:rPr>
        <w:t>The total number of respondents</w:t>
      </w:r>
      <w:r w:rsidR="000E6E58" w:rsidRPr="004E152D">
        <w:rPr>
          <w:rFonts w:ascii="Times New Roman" w:hAnsi="Times New Roman"/>
          <w:sz w:val="24"/>
          <w:szCs w:val="24"/>
        </w:rPr>
        <w:t>, on an annualized basis,</w:t>
      </w:r>
      <w:r w:rsidR="00617463" w:rsidRPr="004E152D">
        <w:rPr>
          <w:rFonts w:ascii="Times New Roman" w:hAnsi="Times New Roman"/>
          <w:sz w:val="24"/>
          <w:szCs w:val="24"/>
        </w:rPr>
        <w:t xml:space="preserve"> for this information collection is</w:t>
      </w:r>
      <w:r w:rsidRPr="004E152D">
        <w:rPr>
          <w:rFonts w:ascii="Times New Roman" w:hAnsi="Times New Roman"/>
          <w:sz w:val="24"/>
          <w:szCs w:val="24"/>
        </w:rPr>
        <w:t xml:space="preserve"> approximately</w:t>
      </w:r>
      <w:r w:rsidR="00617463" w:rsidRPr="004E152D">
        <w:rPr>
          <w:rFonts w:ascii="Times New Roman" w:hAnsi="Times New Roman"/>
          <w:sz w:val="24"/>
          <w:szCs w:val="24"/>
        </w:rPr>
        <w:t xml:space="preserve"> </w:t>
      </w:r>
      <w:r w:rsidR="00B04AB1" w:rsidRPr="00767EDE">
        <w:rPr>
          <w:rFonts w:ascii="Times New Roman" w:hAnsi="Times New Roman"/>
          <w:sz w:val="24"/>
          <w:szCs w:val="24"/>
        </w:rPr>
        <w:t>49</w:t>
      </w:r>
      <w:r w:rsidR="00767EDE">
        <w:rPr>
          <w:rFonts w:ascii="Times New Roman" w:hAnsi="Times New Roman"/>
          <w:sz w:val="24"/>
          <w:szCs w:val="24"/>
        </w:rPr>
        <w:t>5</w:t>
      </w:r>
      <w:r w:rsidR="00617463" w:rsidRPr="00473D6B">
        <w:rPr>
          <w:rFonts w:ascii="Times New Roman" w:hAnsi="Times New Roman"/>
          <w:sz w:val="24"/>
          <w:szCs w:val="24"/>
        </w:rPr>
        <w:t>.</w:t>
      </w:r>
      <w:r w:rsidR="00E44718" w:rsidRPr="004E152D">
        <w:rPr>
          <w:rStyle w:val="FootnoteReference"/>
          <w:rFonts w:ascii="Times New Roman" w:hAnsi="Times New Roman"/>
          <w:sz w:val="24"/>
          <w:szCs w:val="24"/>
        </w:rPr>
        <w:footnoteReference w:id="6"/>
      </w:r>
      <w:r w:rsidR="008E4848" w:rsidRPr="00473D6B">
        <w:rPr>
          <w:rFonts w:ascii="Times New Roman" w:hAnsi="Times New Roman"/>
          <w:sz w:val="24"/>
          <w:szCs w:val="24"/>
        </w:rPr>
        <w:t xml:space="preserve"> </w:t>
      </w:r>
      <w:r w:rsidR="0045747E" w:rsidRPr="00473D6B">
        <w:rPr>
          <w:rFonts w:ascii="Times New Roman" w:hAnsi="Times New Roman"/>
          <w:sz w:val="24"/>
          <w:szCs w:val="24"/>
        </w:rPr>
        <w:t xml:space="preserve"> </w:t>
      </w:r>
    </w:p>
    <w:p w:rsidR="00DE57C0" w:rsidRPr="00A90261" w:rsidRDefault="00DE57C0" w:rsidP="00617463">
      <w:pPr>
        <w:suppressAutoHyphens/>
        <w:rPr>
          <w:rFonts w:ascii="Times New Roman" w:hAnsi="Times New Roman"/>
          <w:sz w:val="24"/>
          <w:szCs w:val="24"/>
        </w:rPr>
      </w:pPr>
    </w:p>
    <w:p w:rsidR="00DE57C0" w:rsidRPr="00644F93" w:rsidRDefault="00DE57C0" w:rsidP="00617463">
      <w:pPr>
        <w:suppressAutoHyphens/>
        <w:rPr>
          <w:rFonts w:ascii="Times New Roman" w:hAnsi="Times New Roman"/>
          <w:sz w:val="24"/>
          <w:szCs w:val="24"/>
        </w:rPr>
      </w:pPr>
    </w:p>
    <w:tbl>
      <w:tblPr>
        <w:tblW w:w="9414" w:type="dxa"/>
        <w:tblInd w:w="241" w:type="dxa"/>
        <w:tblCellMar>
          <w:left w:w="115" w:type="dxa"/>
          <w:right w:w="115" w:type="dxa"/>
        </w:tblCellMar>
        <w:tblLook w:val="0000" w:firstRow="0" w:lastRow="0" w:firstColumn="0" w:lastColumn="0" w:noHBand="0" w:noVBand="0"/>
      </w:tblPr>
      <w:tblGrid>
        <w:gridCol w:w="3830"/>
        <w:gridCol w:w="1353"/>
        <w:gridCol w:w="230"/>
        <w:gridCol w:w="40"/>
        <w:gridCol w:w="182"/>
        <w:gridCol w:w="92"/>
        <w:gridCol w:w="1342"/>
        <w:gridCol w:w="1427"/>
        <w:gridCol w:w="985"/>
      </w:tblGrid>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Rule Section</w:t>
            </w:r>
          </w:p>
        </w:tc>
        <w:tc>
          <w:tcPr>
            <w:tcW w:w="1336"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r w:rsidRPr="004E152D">
              <w:rPr>
                <w:rFonts w:ascii="Arial" w:hAnsi="Arial" w:cs="Arial"/>
                <w:b/>
                <w:bCs/>
                <w:snapToGrid/>
              </w:rPr>
              <w:t>Number of Responses </w:t>
            </w:r>
          </w:p>
        </w:tc>
        <w:tc>
          <w:tcPr>
            <w:tcW w:w="273"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276"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Frequency</w:t>
            </w:r>
          </w:p>
        </w:tc>
        <w:tc>
          <w:tcPr>
            <w:tcW w:w="1427"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C0C0C0"/>
            <w:noWrap/>
            <w:vAlign w:val="bottom"/>
          </w:tcPr>
          <w:p w:rsidR="007265E6" w:rsidRPr="004E152D" w:rsidRDefault="007265E6" w:rsidP="00007EF5">
            <w:pPr>
              <w:widowControl/>
              <w:jc w:val="center"/>
              <w:rPr>
                <w:rFonts w:ascii="Arial" w:hAnsi="Arial" w:cs="Arial"/>
                <w:b/>
                <w:bCs/>
                <w:snapToGrid/>
              </w:rPr>
            </w:pPr>
            <w:r w:rsidRPr="004E152D">
              <w:rPr>
                <w:rFonts w:ascii="Arial" w:hAnsi="Arial" w:cs="Arial"/>
                <w:b/>
                <w:bCs/>
                <w:snapToGrid/>
              </w:rPr>
              <w:t xml:space="preserve">and Explanation of </w:t>
            </w:r>
          </w:p>
          <w:p w:rsidR="007265E6" w:rsidRPr="00473D6B" w:rsidRDefault="007265E6" w:rsidP="00617463">
            <w:pPr>
              <w:widowControl/>
              <w:jc w:val="center"/>
              <w:rPr>
                <w:rFonts w:ascii="Arial" w:hAnsi="Arial" w:cs="Arial"/>
                <w:b/>
                <w:bCs/>
                <w:snapToGrid/>
              </w:rPr>
            </w:pPr>
            <w:r w:rsidRPr="004E152D">
              <w:rPr>
                <w:rFonts w:ascii="Arial" w:hAnsi="Arial" w:cs="Arial"/>
                <w:b/>
                <w:bCs/>
                <w:snapToGrid/>
              </w:rPr>
              <w:t>Burden Estimate</w:t>
            </w:r>
            <w:r w:rsidRPr="00473D6B">
              <w:rPr>
                <w:rFonts w:ascii="Arial" w:hAnsi="Arial" w:cs="Arial"/>
                <w:b/>
                <w:bCs/>
                <w:snapToGrid/>
                <w:vertAlign w:val="superscript"/>
              </w:rPr>
              <w:footnoteReference w:id="7"/>
            </w:r>
          </w:p>
        </w:tc>
        <w:tc>
          <w:tcPr>
            <w:tcW w:w="1336" w:type="dxa"/>
            <w:tcBorders>
              <w:top w:val="nil"/>
              <w:left w:val="nil"/>
              <w:bottom w:val="nil"/>
              <w:right w:val="single" w:sz="4" w:space="0" w:color="auto"/>
            </w:tcBorders>
            <w:shd w:val="clear" w:color="auto" w:fill="C0C0C0"/>
            <w:noWrap/>
            <w:vAlign w:val="bottom"/>
          </w:tcPr>
          <w:p w:rsidR="007265E6" w:rsidRPr="00A90261" w:rsidRDefault="007265E6" w:rsidP="00617463">
            <w:pPr>
              <w:widowControl/>
              <w:jc w:val="center"/>
              <w:rPr>
                <w:rFonts w:ascii="Arial" w:hAnsi="Arial" w:cs="Arial"/>
                <w:b/>
                <w:bCs/>
                <w:snapToGrid/>
              </w:rPr>
            </w:pPr>
          </w:p>
        </w:tc>
        <w:tc>
          <w:tcPr>
            <w:tcW w:w="273" w:type="dxa"/>
            <w:gridSpan w:val="2"/>
            <w:tcBorders>
              <w:top w:val="nil"/>
              <w:left w:val="nil"/>
              <w:bottom w:val="nil"/>
              <w:right w:val="nil"/>
            </w:tcBorders>
            <w:shd w:val="clear" w:color="auto" w:fill="C0C0C0"/>
          </w:tcPr>
          <w:p w:rsidR="007265E6" w:rsidRPr="00644F93" w:rsidRDefault="007265E6" w:rsidP="00617463">
            <w:pPr>
              <w:widowControl/>
              <w:jc w:val="center"/>
              <w:rPr>
                <w:rFonts w:ascii="Arial" w:hAnsi="Arial" w:cs="Arial"/>
                <w:b/>
                <w:bCs/>
                <w:snapToGrid/>
              </w:rPr>
            </w:pPr>
          </w:p>
        </w:tc>
        <w:tc>
          <w:tcPr>
            <w:tcW w:w="276" w:type="dxa"/>
            <w:gridSpan w:val="2"/>
            <w:tcBorders>
              <w:top w:val="nil"/>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of Response</w:t>
            </w:r>
          </w:p>
        </w:tc>
        <w:tc>
          <w:tcPr>
            <w:tcW w:w="1427"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Time</w:t>
            </w:r>
          </w:p>
        </w:tc>
        <w:tc>
          <w:tcPr>
            <w:tcW w:w="985"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Total</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336"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273"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276"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427"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Per Response (in hours)</w:t>
            </w:r>
          </w:p>
          <w:p w:rsidR="007265E6" w:rsidRPr="004E152D" w:rsidRDefault="007265E6" w:rsidP="00617463">
            <w:pPr>
              <w:widowControl/>
              <w:jc w:val="center"/>
              <w:rPr>
                <w:rFonts w:ascii="Arial" w:hAnsi="Arial" w:cs="Arial"/>
                <w:b/>
                <w:bCs/>
                <w:snapToGrid/>
              </w:rPr>
            </w:pPr>
          </w:p>
        </w:tc>
        <w:tc>
          <w:tcPr>
            <w:tcW w:w="985"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Annual  Hour Burden</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F34754" w:rsidP="00617463">
            <w:pPr>
              <w:widowControl/>
              <w:rPr>
                <w:rFonts w:ascii="Arial" w:hAnsi="Arial" w:cs="Arial"/>
                <w:b/>
                <w:bCs/>
                <w:snapToGrid/>
              </w:rPr>
            </w:pPr>
            <w:r w:rsidRPr="004E152D">
              <w:rPr>
                <w:rFonts w:ascii="Arial" w:hAnsi="Arial" w:cs="Arial"/>
                <w:b/>
                <w:bCs/>
                <w:snapToGrid/>
              </w:rPr>
              <w:t>Section 310(b) of the Communications</w:t>
            </w:r>
          </w:p>
        </w:tc>
        <w:tc>
          <w:tcPr>
            <w:tcW w:w="1336"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10</w:t>
            </w:r>
          </w:p>
        </w:tc>
        <w:tc>
          <w:tcPr>
            <w:tcW w:w="273" w:type="dxa"/>
            <w:gridSpan w:val="2"/>
            <w:tcBorders>
              <w:top w:val="nil"/>
              <w:left w:val="nil"/>
              <w:bottom w:val="nil"/>
              <w:right w:val="nil"/>
            </w:tcBorders>
          </w:tcPr>
          <w:p w:rsidR="007265E6" w:rsidRPr="004E152D" w:rsidRDefault="007265E6" w:rsidP="00757CA9">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757CA9">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15</w:t>
            </w:r>
          </w:p>
        </w:tc>
        <w:tc>
          <w:tcPr>
            <w:tcW w:w="985" w:type="dxa"/>
            <w:tcBorders>
              <w:top w:val="nil"/>
              <w:left w:val="nil"/>
              <w:bottom w:val="nil"/>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150</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Act of 1934, as amended,</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PETITIONS FOR  DECLARATORY RULING</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To exceed the limits of a ruling issued before August 9, 2013</w:t>
            </w:r>
          </w:p>
          <w:p w:rsidR="007265E6" w:rsidRPr="004E152D" w:rsidRDefault="007265E6" w:rsidP="00617463">
            <w:pPr>
              <w:widowControl/>
              <w:rPr>
                <w:rFonts w:ascii="Arial" w:hAnsi="Arial" w:cs="Arial"/>
                <w:b/>
                <w:bCs/>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b/>
                <w:bCs/>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b/>
                <w:bCs/>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63.10(a)(4)</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314CC6">
            <w:pPr>
              <w:widowControl/>
              <w:jc w:val="center"/>
              <w:rPr>
                <w:rFonts w:ascii="Arial" w:hAnsi="Arial" w:cs="Arial"/>
                <w:snapToGrid/>
              </w:rPr>
            </w:pPr>
            <w:r w:rsidRPr="004E152D">
              <w:rPr>
                <w:rFonts w:ascii="Arial" w:hAnsi="Arial" w:cs="Arial"/>
                <w:snapToGrid/>
              </w:rPr>
              <w:t>1</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21735A">
            <w:pPr>
              <w:widowControl/>
              <w:rPr>
                <w:rFonts w:ascii="Arial" w:hAnsi="Arial" w:cs="Arial"/>
                <w:snapToGrid/>
              </w:rPr>
            </w:pPr>
            <w:r w:rsidRPr="004E152D">
              <w:rPr>
                <w:rFonts w:ascii="Arial" w:hAnsi="Arial" w:cs="Arial"/>
                <w:snapToGrid/>
              </w:rPr>
              <w:t xml:space="preserve">Notification filed by a carrier classified as non-dominant under this provision of the initiation of services through the resale of an affiliated U.S. facilities-based carrier’s international switched services.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63.10(c) </w:t>
            </w:r>
          </w:p>
        </w:tc>
        <w:tc>
          <w:tcPr>
            <w:tcW w:w="1336" w:type="dxa"/>
            <w:tcBorders>
              <w:top w:val="nil"/>
              <w:left w:val="nil"/>
              <w:bottom w:val="nil"/>
              <w:right w:val="single" w:sz="4" w:space="0" w:color="auto"/>
            </w:tcBorders>
            <w:shd w:val="clear" w:color="auto" w:fill="auto"/>
            <w:noWrap/>
          </w:tcPr>
          <w:p w:rsidR="007265E6" w:rsidRPr="00473D6B" w:rsidRDefault="007265E6" w:rsidP="00EC3136">
            <w:pPr>
              <w:widowControl/>
              <w:jc w:val="center"/>
              <w:rPr>
                <w:rFonts w:ascii="Arial" w:hAnsi="Arial" w:cs="Arial"/>
                <w:snapToGrid/>
              </w:rPr>
            </w:pPr>
            <w:r w:rsidRPr="004E152D">
              <w:rPr>
                <w:rFonts w:ascii="Arial" w:hAnsi="Arial" w:cs="Arial"/>
                <w:snapToGrid/>
              </w:rPr>
              <w:t>240</w:t>
            </w:r>
            <w:r w:rsidRPr="00473D6B">
              <w:rPr>
                <w:rStyle w:val="FootnoteReference"/>
                <w:rFonts w:ascii="Arial" w:hAnsi="Arial" w:cs="Arial"/>
                <w:snapToGrid/>
              </w:rPr>
              <w:footnoteReference w:id="8"/>
            </w:r>
          </w:p>
        </w:tc>
        <w:tc>
          <w:tcPr>
            <w:tcW w:w="273" w:type="dxa"/>
            <w:gridSpan w:val="2"/>
            <w:tcBorders>
              <w:top w:val="nil"/>
              <w:left w:val="nil"/>
              <w:bottom w:val="nil"/>
              <w:right w:val="nil"/>
            </w:tcBorders>
          </w:tcPr>
          <w:p w:rsidR="007265E6" w:rsidRPr="00A90261" w:rsidRDefault="007265E6" w:rsidP="002557E5">
            <w:pPr>
              <w:widowControl/>
              <w:jc w:val="center"/>
              <w:rPr>
                <w:rFonts w:ascii="Arial" w:hAnsi="Arial" w:cs="Arial"/>
                <w:snapToGrid/>
              </w:rPr>
            </w:pPr>
          </w:p>
        </w:tc>
        <w:tc>
          <w:tcPr>
            <w:tcW w:w="276" w:type="dxa"/>
            <w:gridSpan w:val="2"/>
            <w:tcBorders>
              <w:top w:val="nil"/>
              <w:left w:val="nil"/>
              <w:bottom w:val="nil"/>
              <w:right w:val="nil"/>
            </w:tcBorders>
          </w:tcPr>
          <w:p w:rsidR="007265E6" w:rsidRPr="00644F93" w:rsidRDefault="007265E6" w:rsidP="002557E5">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Quarterly</w:t>
            </w:r>
          </w:p>
        </w:tc>
        <w:tc>
          <w:tcPr>
            <w:tcW w:w="1427" w:type="dxa"/>
            <w:tcBorders>
              <w:top w:val="nil"/>
              <w:left w:val="nil"/>
              <w:bottom w:val="nil"/>
              <w:right w:val="single" w:sz="4" w:space="0" w:color="auto"/>
            </w:tcBorders>
            <w:shd w:val="clear" w:color="auto" w:fill="auto"/>
            <w:noWrap/>
          </w:tcPr>
          <w:p w:rsidR="007265E6" w:rsidRPr="004E152D" w:rsidRDefault="007265E6" w:rsidP="005658E7">
            <w:pPr>
              <w:widowControl/>
              <w:jc w:val="center"/>
              <w:rPr>
                <w:rFonts w:ascii="Arial" w:hAnsi="Arial" w:cs="Arial"/>
                <w:snapToGrid/>
              </w:rPr>
            </w:pPr>
            <w:r w:rsidRPr="004E152D">
              <w:rPr>
                <w:rFonts w:ascii="Arial" w:hAnsi="Arial" w:cs="Arial"/>
                <w:snapToGrid/>
              </w:rPr>
              <w:t xml:space="preserve">1 </w:t>
            </w:r>
          </w:p>
        </w:tc>
        <w:tc>
          <w:tcPr>
            <w:tcW w:w="985"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240</w:t>
            </w:r>
          </w:p>
        </w:tc>
      </w:tr>
      <w:tr w:rsidR="007265E6" w:rsidRPr="004E152D" w:rsidTr="00824980">
        <w:trPr>
          <w:trHeight w:val="328"/>
        </w:trPr>
        <w:tc>
          <w:tcPr>
            <w:tcW w:w="3775"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xml:space="preserve">Reports and other requirements of carriers classified as dominant.  Any carrier classified as dominant for the provision of services on a particular </w:t>
            </w:r>
            <w:r w:rsidRPr="004E152D">
              <w:rPr>
                <w:rFonts w:ascii="Arial" w:hAnsi="Arial" w:cs="Arial"/>
                <w:snapToGrid/>
              </w:rPr>
              <w:lastRenderedPageBreak/>
              <w:t>route is required to provide service through a separate affiliate and (1) file quarterly traffic and revenue reports pursuant to section 43.61, (2) file quarterly provisioning and maintenance reports of network facilities and services procured from its foreign carrier affiliate, and (3) file quarterly circuit status reports set out in the section 43.82 manual.</w:t>
            </w:r>
          </w:p>
        </w:tc>
        <w:tc>
          <w:tcPr>
            <w:tcW w:w="1336" w:type="dxa"/>
            <w:tcBorders>
              <w:top w:val="nil"/>
              <w:left w:val="nil"/>
              <w:right w:val="single" w:sz="4" w:space="0" w:color="auto"/>
            </w:tcBorders>
            <w:shd w:val="clear" w:color="auto" w:fill="auto"/>
            <w:noWrap/>
            <w:vAlign w:val="bottom"/>
          </w:tcPr>
          <w:p w:rsidR="007265E6" w:rsidRPr="004E152D" w:rsidRDefault="007265E6" w:rsidP="005B72A0">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C86E73">
            <w:pPr>
              <w:widowControl/>
              <w:rPr>
                <w:rFonts w:ascii="Arial" w:hAnsi="Arial" w:cs="Arial"/>
                <w:b/>
                <w:bCs/>
                <w:snapToGrid/>
              </w:rPr>
            </w:pPr>
            <w:r w:rsidRPr="004E152D">
              <w:rPr>
                <w:rFonts w:ascii="Arial" w:hAnsi="Arial" w:cs="Arial"/>
                <w:b/>
                <w:bCs/>
                <w:snapToGrid/>
              </w:rPr>
              <w:t>47 CFR 63.11(a), (e)</w:t>
            </w:r>
          </w:p>
        </w:tc>
        <w:tc>
          <w:tcPr>
            <w:tcW w:w="1336"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3"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notifications.  An authorized U.S. carrier must notify the Commission 45 days before consummation of (1) a transaction that results in the acquisition by the U.S. carrier, or certain of its affiliates as described in the rule, of a controlling interest in a foreign carrier that is authorized to operate in a market that the U.S. carrier is authorized to serve, or (2) a transaction that results in acquisition of greater than 25 percent of the capital stock, or of a controlling interest, in the authorized U.S. carrier by a foreign carrier that is authorized to operate in a market that the U.S. carrier is authorized to serve, unless the U.S. carrier is able to make one of the showings in paragraph (b) of this section.  The U.S. carrier must provide in its prior notification the information specified in 63.11(e) and certify that the contents of the notification are true.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63.11(b)-(c), (e)</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8</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48</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xml:space="preserve"> </w:t>
            </w: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 after consummation of a transaction.  An authorized U.S. carrier that becomes affiliated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right w:val="single" w:sz="4" w:space="0" w:color="auto"/>
            </w:tcBorders>
            <w:shd w:val="clear" w:color="auto" w:fill="auto"/>
            <w:noWrap/>
            <w:vAlign w:val="bottom"/>
          </w:tcPr>
          <w:p w:rsidR="007265E6" w:rsidRPr="004E152D" w:rsidRDefault="007265E6" w:rsidP="00EF5ECF">
            <w:pPr>
              <w:widowControl/>
              <w:rPr>
                <w:rFonts w:ascii="Arial" w:hAnsi="Arial" w:cs="Arial"/>
                <w:snapToGrid/>
              </w:rPr>
            </w:pPr>
            <w:proofErr w:type="gramStart"/>
            <w:r w:rsidRPr="004E152D">
              <w:rPr>
                <w:rFonts w:ascii="Arial" w:hAnsi="Arial" w:cs="Arial"/>
                <w:snapToGrid/>
              </w:rPr>
              <w:t>with</w:t>
            </w:r>
            <w:proofErr w:type="gramEnd"/>
            <w:r w:rsidRPr="004E152D">
              <w:rPr>
                <w:rFonts w:ascii="Arial" w:hAnsi="Arial" w:cs="Arial"/>
                <w:snapToGrid/>
              </w:rPr>
              <w:t xml:space="preserve"> a foreign carrier and has not previously notified the Commission shall </w:t>
            </w:r>
            <w:r w:rsidRPr="004E152D">
              <w:rPr>
                <w:rFonts w:ascii="Arial" w:hAnsi="Arial" w:cs="Arial"/>
                <w:snapToGrid/>
              </w:rPr>
              <w:lastRenderedPageBreak/>
              <w:t>notify the Commission within 30 days after consummation of the acquisition.  The U.S. carrier must provide the information specified in 63.11(e) and certify that the contents of the notification are true.</w:t>
            </w:r>
          </w:p>
          <w:p w:rsidR="007265E6" w:rsidRPr="004E152D" w:rsidRDefault="007265E6" w:rsidP="00EF5ECF">
            <w:pPr>
              <w:widowControl/>
              <w:rPr>
                <w:rFonts w:ascii="Arial" w:hAnsi="Arial" w:cs="Arial"/>
                <w:snapToGrid/>
              </w:rPr>
            </w:pPr>
          </w:p>
          <w:p w:rsidR="007265E6" w:rsidRPr="004E152D" w:rsidRDefault="007265E6" w:rsidP="00E22448">
            <w:pPr>
              <w:widowControl/>
              <w:rPr>
                <w:rFonts w:ascii="Arial" w:hAnsi="Arial" w:cs="Arial"/>
                <w:snapToGrid/>
              </w:rPr>
            </w:pPr>
          </w:p>
        </w:tc>
        <w:tc>
          <w:tcPr>
            <w:tcW w:w="1336"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right w:val="nil"/>
            </w:tcBorders>
          </w:tcPr>
          <w:p w:rsidR="007265E6" w:rsidRPr="004E152D" w:rsidRDefault="007265E6" w:rsidP="00617463">
            <w:pPr>
              <w:widowControl/>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63.11(f)</w:t>
            </w:r>
          </w:p>
          <w:p w:rsidR="007265E6" w:rsidRPr="004E152D" w:rsidRDefault="007265E6" w:rsidP="00617463">
            <w:pPr>
              <w:widowControl/>
              <w:tabs>
                <w:tab w:val="right" w:leader="dot" w:pos="9360"/>
              </w:tabs>
              <w:suppressAutoHyphens/>
              <w:ind w:left="3600" w:right="720" w:hanging="720"/>
              <w:rPr>
                <w:rFonts w:ascii="Arial" w:hAnsi="Arial" w:cs="Arial"/>
                <w:bCs/>
                <w:snapToGrid/>
              </w:rPr>
            </w:pPr>
          </w:p>
          <w:p w:rsidR="007265E6" w:rsidRPr="004E152D" w:rsidRDefault="007265E6" w:rsidP="00617463">
            <w:pPr>
              <w:widowControl/>
              <w:rPr>
                <w:rFonts w:ascii="Arial" w:hAnsi="Arial" w:cs="Arial"/>
                <w:bCs/>
                <w:snapToGrid/>
              </w:rPr>
            </w:pPr>
            <w:r w:rsidRPr="004E152D">
              <w:rPr>
                <w:rFonts w:ascii="Arial" w:hAnsi="Arial" w:cs="Arial"/>
                <w:bCs/>
                <w:snapToGrid/>
              </w:rPr>
              <w:t>In order to retain non-dominant status on a newly affiliated route, the U.S. carrier must include in its notification a showing of eligibility pursuant to the criteria described in 63.10.</w:t>
            </w:r>
          </w:p>
          <w:p w:rsidR="007265E6" w:rsidRPr="004E152D" w:rsidRDefault="007265E6" w:rsidP="00617463">
            <w:pPr>
              <w:widowControl/>
              <w:rPr>
                <w:rFonts w:ascii="Arial" w:hAnsi="Arial" w:cs="Arial"/>
                <w:b/>
                <w:bCs/>
                <w:snapToGrid/>
              </w:rPr>
            </w:pPr>
          </w:p>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9</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9</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63.11(g)(2) </w:t>
            </w:r>
          </w:p>
        </w:tc>
        <w:tc>
          <w:tcPr>
            <w:tcW w:w="1336"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273"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 hours (if no</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8</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0B4722">
            <w:pPr>
              <w:widowControl/>
              <w:rPr>
                <w:rFonts w:ascii="Arial" w:hAnsi="Arial" w:cs="Arial"/>
                <w:snapToGrid/>
              </w:rPr>
            </w:pPr>
            <w:r w:rsidRPr="004E152D">
              <w:rPr>
                <w:rFonts w:ascii="Arial" w:hAnsi="Arial" w:cs="Arial"/>
                <w:snapToGrid/>
              </w:rPr>
              <w:t xml:space="preserve">In the case of a prior notification filed under </w:t>
            </w:r>
            <w:r w:rsidRPr="004E152D">
              <w:rPr>
                <w:rFonts w:ascii="Arial" w:hAnsi="Arial" w:cs="Arial"/>
              </w:rPr>
              <w:t>§</w:t>
            </w:r>
            <w:r w:rsidRPr="004E152D">
              <w:rPr>
                <w:rFonts w:ascii="Arial" w:hAnsi="Arial" w:cs="Arial"/>
                <w:snapToGrid/>
              </w:rPr>
              <w:t>63.11(a), the U.S. authorized carrier must demonstrate that it continues to serve the public interest for it to operate on the route for which it proposes to acquire an affiliation with the foreign carrier authorized to operate in the non-WTO country.  Such a showing shall include a demonstration as to whether the foreign carrier lacks market power in the non-WTO country with reference</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 xml:space="preserve">comments are </w:t>
            </w:r>
          </w:p>
          <w:p w:rsidR="007265E6" w:rsidRPr="004E152D" w:rsidRDefault="007265E6" w:rsidP="00F86E14">
            <w:pPr>
              <w:widowControl/>
              <w:jc w:val="center"/>
              <w:rPr>
                <w:rFonts w:ascii="Arial" w:hAnsi="Arial" w:cs="Arial"/>
                <w:snapToGrid/>
              </w:rPr>
            </w:pPr>
            <w:r w:rsidRPr="004E152D">
              <w:rPr>
                <w:rFonts w:ascii="Arial" w:hAnsi="Arial" w:cs="Arial"/>
                <w:snapToGrid/>
              </w:rPr>
              <w:t>filed)</w:t>
            </w:r>
          </w:p>
          <w:p w:rsidR="007265E6" w:rsidRPr="004E152D" w:rsidRDefault="007265E6" w:rsidP="00F86E14">
            <w:pPr>
              <w:widowControl/>
              <w:jc w:val="center"/>
              <w:rPr>
                <w:rFonts w:ascii="Arial" w:hAnsi="Arial" w:cs="Arial"/>
                <w:snapToGrid/>
              </w:rPr>
            </w:pPr>
            <w:r w:rsidRPr="004E152D">
              <w:rPr>
                <w:rFonts w:ascii="Arial" w:hAnsi="Arial" w:cs="Arial"/>
                <w:snapToGrid/>
              </w:rPr>
              <w:t>8 hours (if comments are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0B4722">
            <w:pPr>
              <w:rPr>
                <w:rFonts w:ascii="Arial" w:hAnsi="Arial" w:cs="Arial"/>
              </w:rPr>
            </w:pPr>
            <w:proofErr w:type="gramStart"/>
            <w:r w:rsidRPr="004E152D">
              <w:rPr>
                <w:rFonts w:ascii="Arial" w:hAnsi="Arial" w:cs="Arial"/>
              </w:rPr>
              <w:t>to</w:t>
            </w:r>
            <w:proofErr w:type="gramEnd"/>
            <w:r w:rsidRPr="004E152D">
              <w:rPr>
                <w:rFonts w:ascii="Arial" w:hAnsi="Arial" w:cs="Arial"/>
              </w:rPr>
              <w:t xml:space="preserve"> the criteria in §63.10(a).  If the U.S. authorized carrier is unable to make the required showing in  §63.10(a), the U.S. authorized carrier shall agree to comply with the dominant carrier safeguards contained in section 63.10(c), effective upon the acquisition of the affiliation.  If the U.S. authorized carrier is notified by the Commission that the affiliation may otherwise harm the public interest pursuant to the Commission’s policies </w:t>
            </w:r>
            <w:r w:rsidRPr="004E152D">
              <w:rPr>
                <w:rFonts w:ascii="Arial" w:hAnsi="Arial" w:cs="Arial"/>
              </w:rPr>
              <w:lastRenderedPageBreak/>
              <w:t xml:space="preserve">and rules, </w:t>
            </w:r>
            <w:proofErr w:type="gramStart"/>
            <w:r w:rsidRPr="004E152D">
              <w:rPr>
                <w:rFonts w:ascii="Arial" w:hAnsi="Arial" w:cs="Arial"/>
              </w:rPr>
              <w:t>then</w:t>
            </w:r>
            <w:proofErr w:type="gramEnd"/>
            <w:r w:rsidRPr="004E152D">
              <w:rPr>
                <w:rFonts w:ascii="Arial" w:hAnsi="Arial" w:cs="Arial"/>
              </w:rPr>
              <w:t xml:space="preserve"> the Commission may impose conditions necessary to address any public interest harms or may proceed to an immediate authorization revocation hearing.  </w:t>
            </w:r>
          </w:p>
          <w:p w:rsidR="007265E6" w:rsidRPr="004E152D" w:rsidRDefault="007265E6" w:rsidP="000B4722">
            <w:pPr>
              <w:rPr>
                <w:rFonts w:ascii="Arial" w:hAnsi="Arial" w:cs="Arial"/>
              </w:rPr>
            </w:pPr>
          </w:p>
          <w:p w:rsidR="007265E6" w:rsidRPr="004E152D" w:rsidRDefault="007265E6" w:rsidP="000B4722">
            <w:pPr>
              <w:rPr>
                <w:rFonts w:ascii="Arial" w:hAnsi="Arial" w:cs="Arial"/>
              </w:rPr>
            </w:pPr>
            <w:r w:rsidRPr="004E152D">
              <w:rPr>
                <w:rFonts w:ascii="Arial" w:hAnsi="Arial" w:cs="Arial"/>
              </w:rPr>
              <w:t xml:space="preserve"> </w:t>
            </w:r>
          </w:p>
          <w:p w:rsidR="007265E6" w:rsidRPr="004E152D" w:rsidRDefault="007265E6" w:rsidP="00CD732D">
            <w:pPr>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lastRenderedPageBreak/>
              <w:t>47 CFR 63.11(h)</w:t>
            </w:r>
          </w:p>
        </w:tc>
        <w:tc>
          <w:tcPr>
            <w:tcW w:w="1336" w:type="dxa"/>
            <w:tcBorders>
              <w:top w:val="single" w:sz="4" w:space="0" w:color="auto"/>
              <w:left w:val="nil"/>
              <w:bottom w:val="nil"/>
              <w:right w:val="single" w:sz="4" w:space="0" w:color="auto"/>
            </w:tcBorders>
            <w:shd w:val="clear" w:color="auto" w:fill="auto"/>
            <w:noWrap/>
            <w:vAlign w:val="bottom"/>
          </w:tcPr>
          <w:p w:rsidR="007265E6" w:rsidRPr="004E152D" w:rsidRDefault="007265E6" w:rsidP="007E66F9">
            <w:pPr>
              <w:widowControl/>
              <w:jc w:val="center"/>
              <w:rPr>
                <w:rFonts w:ascii="Arial" w:hAnsi="Arial" w:cs="Arial"/>
                <w:snapToGrid/>
              </w:rPr>
            </w:pPr>
            <w:r w:rsidRPr="004E152D">
              <w:rPr>
                <w:rFonts w:ascii="Arial" w:hAnsi="Arial" w:cs="Arial"/>
                <w:snapToGrid/>
              </w:rPr>
              <w:t>9</w:t>
            </w:r>
          </w:p>
        </w:tc>
        <w:tc>
          <w:tcPr>
            <w:tcW w:w="273"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7E66F9">
            <w:pPr>
              <w:widowControl/>
              <w:rPr>
                <w:rFonts w:ascii="Arial" w:hAnsi="Arial" w:cs="Arial"/>
                <w:snapToGrid/>
              </w:rPr>
            </w:pPr>
            <w:r w:rsidRPr="004E152D">
              <w:rPr>
                <w:rFonts w:ascii="Arial" w:hAnsi="Arial" w:cs="Arial"/>
                <w:snapToGrid/>
              </w:rPr>
              <w:t>Accuracy of contents of notification and certifications. All carriers are required to file corrected notification information within 45 days after filing, except that the carrier shall immediately notify the Commission of representations of certifications that are no longer true.</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63.13</w:t>
            </w:r>
          </w:p>
          <w:p w:rsidR="007265E6" w:rsidRPr="004E152D" w:rsidRDefault="007265E6" w:rsidP="0043530F">
            <w:pPr>
              <w:widowControl/>
              <w:rPr>
                <w:rFonts w:ascii="Arial" w:hAnsi="Arial" w:cs="Arial"/>
                <w:b/>
                <w:bCs/>
                <w:snapToGrid/>
              </w:rPr>
            </w:pPr>
          </w:p>
          <w:p w:rsidR="007265E6" w:rsidRPr="004E152D" w:rsidRDefault="007265E6" w:rsidP="0043530F">
            <w:pPr>
              <w:widowControl/>
              <w:rPr>
                <w:rFonts w:ascii="Arial" w:hAnsi="Arial" w:cs="Arial"/>
                <w:bCs/>
                <w:snapToGrid/>
              </w:rPr>
            </w:pPr>
            <w:r w:rsidRPr="004E152D">
              <w:rPr>
                <w:rFonts w:ascii="Arial" w:hAnsi="Arial" w:cs="Arial"/>
                <w:bCs/>
                <w:snapToGrid/>
              </w:rPr>
              <w:t>A U.S. international carrier modifying its regulatory status from dominant to non-dominant for the provision of services on a particular route must demonstrate in its application that it qualifies for non-dominant classification pursuant to section 63.10.</w:t>
            </w: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
                <w:bCs/>
                <w:snapToGrid/>
              </w:rPr>
            </w:pPr>
          </w:p>
        </w:tc>
        <w:tc>
          <w:tcPr>
            <w:tcW w:w="1336" w:type="dxa"/>
            <w:tcBorders>
              <w:top w:val="nil"/>
              <w:left w:val="nil"/>
              <w:bottom w:val="single" w:sz="4" w:space="0" w:color="auto"/>
              <w:right w:val="single" w:sz="4" w:space="0" w:color="auto"/>
            </w:tcBorders>
            <w:shd w:val="clear" w:color="auto" w:fill="auto"/>
            <w:noWrap/>
          </w:tcPr>
          <w:p w:rsidR="007265E6" w:rsidRPr="004E152D" w:rsidRDefault="007265E6" w:rsidP="00757CA9">
            <w:pPr>
              <w:widowControl/>
              <w:jc w:val="center"/>
              <w:rPr>
                <w:rFonts w:ascii="Arial" w:hAnsi="Arial" w:cs="Arial"/>
                <w:snapToGrid/>
              </w:rPr>
            </w:pPr>
            <w:r w:rsidRPr="004E152D">
              <w:rPr>
                <w:rFonts w:ascii="Arial" w:hAnsi="Arial" w:cs="Arial"/>
                <w:snapToGrid/>
              </w:rPr>
              <w:t>3</w:t>
            </w:r>
          </w:p>
        </w:tc>
        <w:tc>
          <w:tcPr>
            <w:tcW w:w="273"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2</w:t>
            </w:r>
          </w:p>
        </w:tc>
        <w:tc>
          <w:tcPr>
            <w:tcW w:w="985"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6</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63.18</w:t>
            </w:r>
          </w:p>
        </w:tc>
        <w:tc>
          <w:tcPr>
            <w:tcW w:w="1336" w:type="dxa"/>
            <w:tcBorders>
              <w:top w:val="single" w:sz="4" w:space="0" w:color="auto"/>
              <w:left w:val="nil"/>
              <w:bottom w:val="nil"/>
              <w:right w:val="single" w:sz="4" w:space="0" w:color="auto"/>
            </w:tcBorders>
            <w:shd w:val="clear" w:color="auto" w:fill="auto"/>
            <w:noWrap/>
          </w:tcPr>
          <w:p w:rsidR="007265E6" w:rsidRPr="004E152D" w:rsidRDefault="007265E6" w:rsidP="00450ED4">
            <w:pPr>
              <w:widowControl/>
              <w:rPr>
                <w:rFonts w:ascii="Arial" w:hAnsi="Arial" w:cs="Arial"/>
                <w:snapToGrid/>
              </w:rPr>
            </w:pPr>
            <w:r w:rsidRPr="004E152D">
              <w:rPr>
                <w:rFonts w:ascii="Arial" w:hAnsi="Arial" w:cs="Arial"/>
                <w:snapToGrid/>
              </w:rPr>
              <w:t xml:space="preserve">       180 </w:t>
            </w:r>
          </w:p>
        </w:tc>
        <w:tc>
          <w:tcPr>
            <w:tcW w:w="273"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450ED4">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1,620</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525D82">
            <w:pPr>
              <w:widowControl/>
              <w:rPr>
                <w:rFonts w:ascii="Arial" w:hAnsi="Arial" w:cs="Arial"/>
                <w:b/>
                <w:bCs/>
                <w:snapToGrid/>
              </w:rPr>
            </w:pPr>
          </w:p>
          <w:p w:rsidR="007265E6" w:rsidRPr="004E152D" w:rsidRDefault="007265E6" w:rsidP="00CC6F4A">
            <w:pPr>
              <w:widowControl/>
              <w:rPr>
                <w:rFonts w:ascii="Arial" w:hAnsi="Arial" w:cs="Arial"/>
                <w:b/>
                <w:bCs/>
                <w:snapToGrid/>
              </w:rPr>
            </w:pPr>
            <w:r w:rsidRPr="004E152D">
              <w:rPr>
                <w:rFonts w:ascii="Arial" w:hAnsi="Arial" w:cs="Arial"/>
                <w:b/>
                <w:bCs/>
                <w:snapToGrid/>
              </w:rPr>
              <w:t xml:space="preserve">Contents of applications for international common carriers for facilities-based (63.18(e)(1)) and/or resale authority (63.18(e)(2))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85685D">
            <w:pPr>
              <w:widowControl/>
              <w:rPr>
                <w:rFonts w:ascii="Arial" w:hAnsi="Arial" w:cs="Arial"/>
                <w:bCs/>
                <w:snapToGrid/>
              </w:rPr>
            </w:pPr>
            <w:r w:rsidRPr="004E152D">
              <w:rPr>
                <w:rFonts w:ascii="Arial" w:hAnsi="Arial" w:cs="Arial"/>
                <w:bCs/>
                <w:snapToGrid/>
              </w:rPr>
              <w:t xml:space="preserve">Application (FCC Form 214) includes information demonstrating how grant of the application will serve the public interest, convenience and necessity pursuant to section 214 of the Communications Act of 1934. The </w:t>
            </w:r>
            <w:r w:rsidRPr="004E152D">
              <w:rPr>
                <w:rFonts w:ascii="Arial" w:hAnsi="Arial" w:cs="Arial"/>
                <w:bCs/>
                <w:snapToGrid/>
              </w:rPr>
              <w:lastRenderedPageBreak/>
              <w:t xml:space="preserve">specific information and certifications are included in sections 63.18(a) through (j), and sections 63.18(n) through (p). Applicants must also certify to comply with conditions in sections 63.21 and 63.22 of the rules.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right w:val="single" w:sz="4" w:space="0" w:color="auto"/>
            </w:tcBorders>
            <w:shd w:val="clear" w:color="auto" w:fill="auto"/>
            <w:noWrap/>
            <w:vAlign w:val="bottom"/>
          </w:tcPr>
          <w:p w:rsidR="007265E6" w:rsidRPr="004E152D" w:rsidRDefault="007265E6" w:rsidP="002271D4">
            <w:pPr>
              <w:widowControl/>
              <w:rPr>
                <w:rFonts w:ascii="Arial" w:hAnsi="Arial" w:cs="Arial"/>
                <w:snapToGrid/>
              </w:rPr>
            </w:pPr>
          </w:p>
        </w:tc>
        <w:tc>
          <w:tcPr>
            <w:tcW w:w="1336"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276"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187D32">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bottom w:val="single" w:sz="4" w:space="0" w:color="auto"/>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63.18(e)(3)</w:t>
            </w:r>
          </w:p>
          <w:p w:rsidR="007265E6" w:rsidRPr="004E152D" w:rsidRDefault="007265E6" w:rsidP="00187D32">
            <w:pPr>
              <w:widowControl/>
              <w:rPr>
                <w:rFonts w:ascii="Arial" w:hAnsi="Arial" w:cs="Arial"/>
                <w:b/>
                <w:bCs/>
                <w:snapToGrid/>
              </w:rPr>
            </w:pPr>
          </w:p>
          <w:p w:rsidR="007265E6" w:rsidRPr="00644F93" w:rsidRDefault="007265E6" w:rsidP="00187D32">
            <w:pPr>
              <w:widowControl/>
              <w:rPr>
                <w:rFonts w:ascii="Arial" w:hAnsi="Arial" w:cs="Arial"/>
                <w:bCs/>
                <w:snapToGrid/>
              </w:rPr>
            </w:pPr>
            <w:r w:rsidRPr="004E152D">
              <w:rPr>
                <w:rFonts w:ascii="Arial" w:hAnsi="Arial" w:cs="Arial"/>
                <w:bCs/>
                <w:snapToGrid/>
              </w:rPr>
              <w:t>Section 214 based authority to provide services not covered by 63.18(e</w:t>
            </w:r>
            <w:proofErr w:type="gramStart"/>
            <w:r w:rsidRPr="004E152D">
              <w:rPr>
                <w:rFonts w:ascii="Arial" w:hAnsi="Arial" w:cs="Arial"/>
                <w:bCs/>
                <w:snapToGrid/>
              </w:rPr>
              <w:t>)(</w:t>
            </w:r>
            <w:proofErr w:type="gramEnd"/>
            <w:r w:rsidRPr="004E152D">
              <w:rPr>
                <w:rFonts w:ascii="Arial" w:hAnsi="Arial" w:cs="Arial"/>
                <w:bCs/>
                <w:snapToGrid/>
              </w:rPr>
              <w:t xml:space="preserve">1) and 63.18(e)(2). See FCC’s exclusion list at </w:t>
            </w:r>
            <w:hyperlink r:id="rId9" w:history="1">
              <w:r w:rsidRPr="00473D6B">
                <w:rPr>
                  <w:rStyle w:val="Hyperlink"/>
                  <w:rFonts w:ascii="Arial" w:hAnsi="Arial" w:cs="Arial"/>
                  <w:bCs/>
                  <w:snapToGrid/>
                </w:rPr>
                <w:t>http://www.fcc.gov/ib</w:t>
              </w:r>
            </w:hyperlink>
            <w:r w:rsidRPr="00473D6B">
              <w:rPr>
                <w:rFonts w:ascii="Arial" w:hAnsi="Arial" w:cs="Arial"/>
                <w:bCs/>
                <w:snapToGrid/>
              </w:rPr>
              <w:t xml:space="preserve">.  Applicant must certify that it will comply with conditions in 63.21 and </w:t>
            </w:r>
            <w:r w:rsidRPr="00A90261">
              <w:rPr>
                <w:rFonts w:ascii="Arial" w:hAnsi="Arial" w:cs="Arial"/>
                <w:bCs/>
                <w:snapToGrid/>
              </w:rPr>
              <w:t>63.22. If applying for facilities-base</w:t>
            </w:r>
            <w:r w:rsidRPr="00644F93">
              <w:rPr>
                <w:rFonts w:ascii="Arial" w:hAnsi="Arial" w:cs="Arial"/>
                <w:bCs/>
                <w:snapToGrid/>
              </w:rPr>
              <w:t>d authorization, must also certify that environmental assessment is not required under 47 CFR 1.1306.  See 63.18(g).</w:t>
            </w: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
                <w:bCs/>
                <w:snapToGrid/>
              </w:rPr>
            </w:pPr>
          </w:p>
        </w:tc>
        <w:tc>
          <w:tcPr>
            <w:tcW w:w="1336"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3"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276"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9</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63.18(k)</w:t>
            </w:r>
          </w:p>
        </w:tc>
        <w:tc>
          <w:tcPr>
            <w:tcW w:w="1336"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3"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 hours (if no comments filed)</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8</w:t>
            </w:r>
          </w:p>
          <w:p w:rsidR="007265E6" w:rsidRPr="004E152D" w:rsidRDefault="007265E6" w:rsidP="00187D32">
            <w:pPr>
              <w:widowControl/>
              <w:jc w:val="center"/>
              <w:rPr>
                <w:rFonts w:ascii="Arial" w:hAnsi="Arial" w:cs="Arial"/>
                <w:snapToGrid/>
              </w:rPr>
            </w:pP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1556C4">
            <w:pPr>
              <w:widowControl/>
              <w:rPr>
                <w:rFonts w:ascii="Arial" w:hAnsi="Arial" w:cs="Arial"/>
                <w:snapToGrid/>
              </w:rPr>
            </w:pPr>
            <w:r w:rsidRPr="004E152D">
              <w:rPr>
                <w:rFonts w:ascii="Arial" w:hAnsi="Arial" w:cs="Arial"/>
                <w:snapToGrid/>
              </w:rPr>
              <w:t>For any country that the applicant has listed in response to 63.18(j) of this section that is not a Member of the World Trade Organization, the applicant shall make a demonstration as to whether the foreign carrier has market power, or lacks market power, with reference to the criteria in section 63.10(a) of this chapter.</w:t>
            </w:r>
          </w:p>
          <w:p w:rsidR="007265E6" w:rsidRPr="004E152D" w:rsidRDefault="007265E6" w:rsidP="001556C4">
            <w:pPr>
              <w:widowControl/>
              <w:rPr>
                <w:rFonts w:ascii="Arial" w:hAnsi="Arial" w:cs="Arial"/>
                <w:snapToGrid/>
              </w:rPr>
            </w:pPr>
          </w:p>
          <w:p w:rsidR="007265E6" w:rsidRPr="004E152D" w:rsidRDefault="007265E6" w:rsidP="001556C4">
            <w:pPr>
              <w:widowControl/>
              <w:rPr>
                <w:rFonts w:ascii="Arial" w:hAnsi="Arial" w:cs="Arial"/>
                <w:snapToGrid/>
              </w:rPr>
            </w:pP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tcPr>
          <w:p w:rsidR="007265E6" w:rsidRPr="004E152D" w:rsidRDefault="007265E6" w:rsidP="000069C1">
            <w:pPr>
              <w:widowControl/>
              <w:jc w:val="center"/>
              <w:rPr>
                <w:rFonts w:ascii="Arial" w:hAnsi="Arial" w:cs="Arial"/>
                <w:snapToGrid/>
              </w:rPr>
            </w:pPr>
            <w:r w:rsidRPr="004E152D">
              <w:rPr>
                <w:rFonts w:ascii="Arial" w:hAnsi="Arial" w:cs="Arial"/>
                <w:snapToGrid/>
              </w:rPr>
              <w:t>8 hours (if comments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5E50A2">
            <w:pPr>
              <w:widowControl/>
              <w:rPr>
                <w:rFonts w:ascii="Arial" w:hAnsi="Arial" w:cs="Arial"/>
                <w:snapToGrid/>
              </w:rPr>
            </w:pPr>
            <w:r w:rsidRPr="004E152D">
              <w:rPr>
                <w:rFonts w:ascii="Arial" w:hAnsi="Arial" w:cs="Arial"/>
                <w:snapToGrid/>
              </w:rPr>
              <w:t xml:space="preserve"> </w:t>
            </w:r>
          </w:p>
          <w:p w:rsidR="007265E6" w:rsidRPr="004E152D" w:rsidRDefault="007265E6" w:rsidP="005E50A2">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9E4B10">
            <w:pPr>
              <w:widowControl/>
              <w:rPr>
                <w:rFonts w:ascii="Arial" w:hAnsi="Arial" w:cs="Arial"/>
                <w:b/>
                <w:snapToGrid/>
              </w:rPr>
            </w:pPr>
            <w:r w:rsidRPr="004E152D">
              <w:rPr>
                <w:rFonts w:ascii="Arial" w:hAnsi="Arial" w:cs="Arial"/>
                <w:b/>
                <w:snapToGrid/>
              </w:rPr>
              <w:t>47 CFR 63.18(m)</w:t>
            </w:r>
          </w:p>
          <w:p w:rsidR="007265E6" w:rsidRPr="004E152D" w:rsidRDefault="007265E6" w:rsidP="005E50A2">
            <w:pPr>
              <w:widowControl/>
              <w:rPr>
                <w:rFonts w:ascii="Arial" w:hAnsi="Arial" w:cs="Arial"/>
                <w:b/>
                <w:bCs/>
                <w:snapToGrid/>
              </w:rPr>
            </w:pPr>
            <w:r w:rsidRPr="004E152D">
              <w:rPr>
                <w:rFonts w:ascii="Arial" w:hAnsi="Arial" w:cs="Arial"/>
                <w:snapToGrid/>
              </w:rPr>
              <w:t xml:space="preserve"> </w:t>
            </w:r>
          </w:p>
        </w:tc>
        <w:tc>
          <w:tcPr>
            <w:tcW w:w="1336"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12</w:t>
            </w:r>
          </w:p>
        </w:tc>
        <w:tc>
          <w:tcPr>
            <w:tcW w:w="273"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24</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7649BC">
            <w:pPr>
              <w:widowControl/>
              <w:rPr>
                <w:rFonts w:ascii="Arial" w:hAnsi="Arial" w:cs="Arial"/>
                <w:snapToGrid/>
              </w:rPr>
            </w:pPr>
            <w:r w:rsidRPr="004E152D">
              <w:rPr>
                <w:rFonts w:ascii="Arial" w:hAnsi="Arial" w:cs="Arial"/>
                <w:snapToGrid/>
              </w:rPr>
              <w:t>Carrier must provide information in its application to demonstrate that it qualifies for non-dominant classification pursuant to 63.10.</w:t>
            </w: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9E4B10">
            <w:pPr>
              <w:widowControl/>
              <w:rPr>
                <w:rFonts w:ascii="Arial" w:hAnsi="Arial" w:cs="Arial"/>
                <w:snapToGrid/>
              </w:rPr>
            </w:pPr>
            <w:r w:rsidRPr="004E152D">
              <w:rPr>
                <w:rFonts w:ascii="Arial" w:hAnsi="Arial" w:cs="Arial"/>
                <w:snapToGrid/>
              </w:rPr>
              <w:t xml:space="preserve"> This burden includes a possible, additional </w:t>
            </w:r>
            <w:r w:rsidRPr="004E152D">
              <w:rPr>
                <w:rFonts w:ascii="Arial" w:hAnsi="Arial" w:cs="Arial"/>
                <w:snapToGrid/>
              </w:rPr>
              <w:lastRenderedPageBreak/>
              <w:t>information request by Commission staff in the event concerns are raised.</w:t>
            </w:r>
          </w:p>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r>
      <w:tr w:rsidR="007265E6" w:rsidRPr="004E152D" w:rsidTr="00824980">
        <w:trPr>
          <w:trHeight w:val="4625"/>
        </w:trPr>
        <w:tc>
          <w:tcPr>
            <w:tcW w:w="3775"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D20AEC">
            <w:pPr>
              <w:widowControl/>
              <w:rPr>
                <w:rFonts w:ascii="Arial" w:hAnsi="Arial" w:cs="Arial"/>
                <w:b/>
                <w:bCs/>
                <w:snapToGrid/>
              </w:rPr>
            </w:pPr>
            <w:r w:rsidRPr="004E152D">
              <w:rPr>
                <w:rFonts w:ascii="Arial" w:hAnsi="Arial" w:cs="Arial"/>
                <w:b/>
                <w:bCs/>
                <w:snapToGrid/>
              </w:rPr>
              <w:lastRenderedPageBreak/>
              <w:t xml:space="preserve">47 CFR 63.19(a)(1) and (a)(2) </w:t>
            </w:r>
          </w:p>
          <w:p w:rsidR="007265E6" w:rsidRPr="004E152D" w:rsidRDefault="007265E6" w:rsidP="00C86E73">
            <w:pPr>
              <w:widowControl/>
              <w:jc w:val="center"/>
              <w:rPr>
                <w:rFonts w:ascii="Arial" w:hAnsi="Arial" w:cs="Arial"/>
                <w:b/>
                <w:bCs/>
                <w:snapToGrid/>
              </w:rPr>
            </w:pPr>
          </w:p>
          <w:p w:rsidR="007265E6" w:rsidRPr="004E152D" w:rsidRDefault="007265E6" w:rsidP="00CD732D">
            <w:pPr>
              <w:widowControl/>
              <w:rPr>
                <w:rFonts w:ascii="Arial" w:hAnsi="Arial" w:cs="Arial"/>
                <w:snapToGrid/>
              </w:rPr>
            </w:pPr>
            <w:r w:rsidRPr="004E152D">
              <w:rPr>
                <w:rFonts w:ascii="Arial" w:hAnsi="Arial" w:cs="Arial"/>
                <w:bCs/>
                <w:snapToGrid/>
              </w:rPr>
              <w:t xml:space="preserve">Any international carrier that </w:t>
            </w:r>
            <w:r w:rsidRPr="004E152D">
              <w:rPr>
                <w:rFonts w:ascii="Arial" w:hAnsi="Arial" w:cs="Arial"/>
                <w:snapToGrid/>
              </w:rPr>
              <w:t>seeks</w:t>
            </w:r>
            <w:r w:rsidRPr="004E152D">
              <w:rPr>
                <w:rFonts w:ascii="Arial" w:hAnsi="Arial" w:cs="Arial"/>
                <w:bCs/>
                <w:snapToGrid/>
              </w:rPr>
              <w:t xml:space="preserve"> to discontinue, reduce or impair service, including the retiring of international facilities, dismantling, or removing of international trunk lines shall notify affected customers at least 30 days prior to planned action and file a copy of notification with the FCC.</w:t>
            </w:r>
          </w:p>
          <w:p w:rsidR="007265E6" w:rsidRPr="004E152D" w:rsidRDefault="007265E6" w:rsidP="00C86E73">
            <w:pPr>
              <w:rPr>
                <w:rFonts w:ascii="Arial" w:hAnsi="Arial" w:cs="Arial"/>
              </w:rPr>
            </w:pPr>
          </w:p>
          <w:p w:rsidR="007265E6" w:rsidRPr="004E152D" w:rsidRDefault="007265E6" w:rsidP="00CD732D">
            <w:pPr>
              <w:rPr>
                <w:rFonts w:ascii="Arial" w:hAnsi="Arial" w:cs="Arial"/>
                <w:snapToGrid/>
              </w:rPr>
            </w:pPr>
          </w:p>
        </w:tc>
        <w:tc>
          <w:tcPr>
            <w:tcW w:w="1336"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6</w:t>
            </w:r>
          </w:p>
        </w:tc>
        <w:tc>
          <w:tcPr>
            <w:tcW w:w="273"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12</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47 CFR 63.19(b)</w:t>
            </w:r>
          </w:p>
        </w:tc>
        <w:tc>
          <w:tcPr>
            <w:tcW w:w="1336"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273"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c>
          <w:tcPr>
            <w:tcW w:w="985"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95214C">
            <w:pPr>
              <w:widowControl/>
              <w:rPr>
                <w:rFonts w:ascii="Arial" w:hAnsi="Arial" w:cs="Arial"/>
                <w:snapToGrid/>
              </w:rPr>
            </w:pPr>
          </w:p>
          <w:p w:rsidR="007265E6" w:rsidRPr="004E152D" w:rsidRDefault="007265E6" w:rsidP="00A05C2C">
            <w:pPr>
              <w:widowControl/>
              <w:rPr>
                <w:rFonts w:ascii="Arial" w:hAnsi="Arial" w:cs="Arial"/>
                <w:snapToGrid/>
              </w:rPr>
            </w:pPr>
            <w:r w:rsidRPr="004E152D">
              <w:rPr>
                <w:rFonts w:ascii="Arial" w:hAnsi="Arial" w:cs="Arial"/>
                <w:snapToGrid/>
              </w:rPr>
              <w:t>If a carrier classified as dominant discontinues, reduces or impairs the dominant service, or retires facilities that impair or reduce the service, the carrier shall file an application pursuant to sections 63.62 and 63.500.</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AE7E38">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63.21(a)</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.5</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.5</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95214C">
            <w:pPr>
              <w:widowControl/>
              <w:rPr>
                <w:rFonts w:ascii="Arial" w:hAnsi="Arial" w:cs="Arial"/>
                <w:snapToGrid/>
              </w:rPr>
            </w:pPr>
            <w:r w:rsidRPr="004E152D">
              <w:rPr>
                <w:rFonts w:ascii="Arial" w:hAnsi="Arial" w:cs="Arial"/>
                <w:snapToGrid/>
              </w:rPr>
              <w:t xml:space="preserve">Conditions applicable to all common carriers. Each carrier is responsible for accuracy of certifications in its section 214 application.  Each carrier is responsible for filing a corrected certification within 30 days with a reference to the original FCC file number.  The information may be used </w:t>
            </w:r>
            <w:r w:rsidRPr="004E152D">
              <w:rPr>
                <w:rFonts w:ascii="Arial" w:hAnsi="Arial" w:cs="Arial"/>
                <w:snapToGrid/>
              </w:rPr>
              <w:lastRenderedPageBreak/>
              <w:t>by the Commission to determine whether a change in regulatory status is warranted under section 63.10.  See also section 63.11.</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63.21(e) and (f)</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D83D23">
            <w:pPr>
              <w:widowControl/>
              <w:rPr>
                <w:rFonts w:ascii="Arial" w:hAnsi="Arial" w:cs="Arial"/>
                <w:snapToGrid/>
              </w:rPr>
            </w:pPr>
            <w:r w:rsidRPr="004E152D">
              <w:rPr>
                <w:rFonts w:ascii="Arial" w:hAnsi="Arial" w:cs="Arial"/>
                <w:bCs/>
                <w:snapToGrid/>
              </w:rPr>
              <w:t>Third party disclosure requirement.  A carrier may not access or use customer proprietary network information derived from a foreign network unless the carrier obtains approval from the customer.  Authorized carriers may not receive proprietary or confidential information pertaining to a competing U.S. carrier, obtained by the foreign carrier unless the competing U.S. carrier provides its permission in writing.</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63.21(h)</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4226FA">
            <w:pPr>
              <w:widowControl/>
              <w:rPr>
                <w:rFonts w:ascii="Arial" w:hAnsi="Arial" w:cs="Arial"/>
                <w:bCs/>
                <w:snapToGrid/>
              </w:rPr>
            </w:pPr>
            <w:r w:rsidRPr="004E152D">
              <w:rPr>
                <w:rFonts w:ascii="Arial" w:hAnsi="Arial" w:cs="Arial"/>
                <w:snapToGrid/>
              </w:rPr>
              <w:t>Provision of service through wholly-owned direct or indirect subsidiaries.  An authorized carrier must provide a notification to the Commission within 30 days after the subsidiary begins providing service.  The carrier must provide its FCC file number and identify the subsidiary’s name and place of legal organization.</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w:t>
            </w:r>
            <w:proofErr w:type="spellStart"/>
            <w:r w:rsidRPr="004E152D">
              <w:rPr>
                <w:rFonts w:ascii="Arial" w:hAnsi="Arial" w:cs="Arial"/>
                <w:b/>
                <w:bCs/>
                <w:snapToGrid/>
              </w:rPr>
              <w:t>i</w:t>
            </w:r>
            <w:proofErr w:type="spellEnd"/>
            <w:r w:rsidRPr="004E152D">
              <w:rPr>
                <w:rFonts w:ascii="Arial" w:hAnsi="Arial" w:cs="Arial"/>
                <w:b/>
                <w:bCs/>
                <w:snapToGrid/>
              </w:rPr>
              <w:t>)</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561A0B">
            <w:pPr>
              <w:widowControl/>
              <w:rPr>
                <w:rFonts w:ascii="Arial" w:hAnsi="Arial" w:cs="Arial"/>
                <w:snapToGrid/>
              </w:rPr>
            </w:pPr>
            <w:r w:rsidRPr="004E152D">
              <w:rPr>
                <w:rFonts w:ascii="Arial" w:hAnsi="Arial" w:cs="Arial"/>
                <w:snapToGrid/>
              </w:rPr>
              <w:t xml:space="preserve">An authorized carrier or a subsidiary operating pursuant to 63.21(h) must notify the Commission within 30 days of a name change and reference FCC file numbers under which the carrier’s authorizations were granted. </w:t>
            </w:r>
          </w:p>
          <w:p w:rsidR="00824980" w:rsidRPr="004E152D" w:rsidRDefault="00824980" w:rsidP="00561A0B">
            <w:pPr>
              <w:widowControl/>
              <w:rPr>
                <w:rFonts w:ascii="Arial" w:hAnsi="Arial" w:cs="Arial"/>
                <w:snapToGrid/>
              </w:rPr>
            </w:pPr>
          </w:p>
          <w:p w:rsidR="00824980" w:rsidRPr="004E152D" w:rsidRDefault="00824980" w:rsidP="00561A0B">
            <w:pPr>
              <w:widowControl/>
              <w:rPr>
                <w:rFonts w:ascii="Arial" w:hAnsi="Arial" w:cs="Arial"/>
                <w:snapToGrid/>
              </w:rPr>
            </w:pP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right w:val="single" w:sz="4" w:space="0" w:color="auto"/>
            </w:tcBorders>
            <w:shd w:val="clear" w:color="auto" w:fill="auto"/>
            <w:noWrap/>
            <w:vAlign w:val="bottom"/>
          </w:tcPr>
          <w:p w:rsidR="007265E6" w:rsidRPr="004E152D" w:rsidRDefault="007265E6" w:rsidP="004C45F8">
            <w:pPr>
              <w:widowControl/>
              <w:rPr>
                <w:rFonts w:ascii="Arial" w:hAnsi="Arial" w:cs="Arial"/>
                <w:b/>
                <w:bCs/>
                <w:snapToGrid/>
              </w:rPr>
            </w:pPr>
            <w:r w:rsidRPr="004E152D">
              <w:rPr>
                <w:rFonts w:ascii="Arial" w:hAnsi="Arial" w:cs="Arial"/>
                <w:b/>
                <w:snapToGrid/>
              </w:rPr>
              <w:t xml:space="preserve">47 CFR 63.24 (e)(1), (e)(2) </w:t>
            </w:r>
          </w:p>
        </w:tc>
        <w:tc>
          <w:tcPr>
            <w:tcW w:w="1336"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83</w:t>
            </w:r>
          </w:p>
        </w:tc>
        <w:tc>
          <w:tcPr>
            <w:tcW w:w="273"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747</w:t>
            </w:r>
          </w:p>
        </w:tc>
      </w:tr>
      <w:tr w:rsidR="007265E6" w:rsidRPr="004E152D" w:rsidTr="00824980">
        <w:trPr>
          <w:trHeight w:val="328"/>
        </w:trPr>
        <w:tc>
          <w:tcPr>
            <w:tcW w:w="3775"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r w:rsidRPr="004E152D">
              <w:rPr>
                <w:rFonts w:ascii="Arial" w:hAnsi="Arial" w:cs="Arial"/>
                <w:snapToGrid/>
              </w:rPr>
              <w:t>Assignments and Transfers of Control for substantial transactions.</w:t>
            </w:r>
          </w:p>
          <w:p w:rsidR="007265E6" w:rsidRPr="004E152D" w:rsidRDefault="007265E6" w:rsidP="00617463">
            <w:pPr>
              <w:widowControl/>
              <w:rPr>
                <w:rFonts w:ascii="Arial" w:hAnsi="Arial" w:cs="Arial"/>
                <w:snapToGrid/>
              </w:rPr>
            </w:pPr>
          </w:p>
          <w:p w:rsidR="007265E6" w:rsidRPr="004E152D" w:rsidRDefault="007265E6" w:rsidP="00A05C2C">
            <w:pPr>
              <w:widowControl/>
              <w:rPr>
                <w:rFonts w:ascii="Arial" w:hAnsi="Arial" w:cs="Arial"/>
                <w:snapToGrid/>
              </w:rPr>
            </w:pPr>
            <w:r w:rsidRPr="004E152D">
              <w:rPr>
                <w:rFonts w:ascii="Arial" w:hAnsi="Arial" w:cs="Arial"/>
                <w:snapToGrid/>
              </w:rPr>
              <w:t>Applications for substantial transactions.  Under 63.24(a), a carrier must apply to the Commission prior to assigning or transferring its international section 214 authorization to another party, whether voluntarily or involuntarily, directly or indirectly.   The application shall include a narrative of the proposed transfer or assignment and information contained in certain sections of 63.18, as specified in 63.24(e</w:t>
            </w:r>
            <w:proofErr w:type="gramStart"/>
            <w:r w:rsidRPr="004E152D">
              <w:rPr>
                <w:rFonts w:ascii="Arial" w:hAnsi="Arial" w:cs="Arial"/>
                <w:snapToGrid/>
              </w:rPr>
              <w:t>)(</w:t>
            </w:r>
            <w:proofErr w:type="gramEnd"/>
            <w:r w:rsidRPr="004E152D">
              <w:rPr>
                <w:rFonts w:ascii="Arial" w:hAnsi="Arial" w:cs="Arial"/>
                <w:snapToGrid/>
              </w:rPr>
              <w:t xml:space="preserve">2).  The assignee or transferee must notify the Commission no later than 30 days after consummation of the proposed assignment or transfer of control.    </w:t>
            </w:r>
          </w:p>
        </w:tc>
        <w:tc>
          <w:tcPr>
            <w:tcW w:w="1336"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3" w:type="dxa"/>
            <w:gridSpan w:val="2"/>
            <w:tcBorders>
              <w:top w:val="nil"/>
              <w:left w:val="single" w:sz="4" w:space="0" w:color="auto"/>
              <w:right w:val="single" w:sz="4" w:space="0" w:color="auto"/>
            </w:tcBorders>
          </w:tcPr>
          <w:p w:rsidR="007265E6" w:rsidRPr="004E152D" w:rsidRDefault="007265E6" w:rsidP="00617463">
            <w:pPr>
              <w:widowControl/>
              <w:jc w:val="center"/>
              <w:rPr>
                <w:rFonts w:ascii="Arial" w:hAnsi="Arial" w:cs="Arial"/>
                <w:snapToGrid/>
              </w:rPr>
            </w:pPr>
          </w:p>
        </w:tc>
        <w:tc>
          <w:tcPr>
            <w:tcW w:w="276" w:type="dxa"/>
            <w:gridSpan w:val="2"/>
            <w:tcBorders>
              <w:top w:val="nil"/>
              <w:left w:val="single" w:sz="4" w:space="0" w:color="auto"/>
              <w:right w:val="single" w:sz="4" w:space="0" w:color="auto"/>
            </w:tcBorders>
          </w:tcPr>
          <w:p w:rsidR="007265E6" w:rsidRPr="004E152D" w:rsidRDefault="007265E6" w:rsidP="00617463">
            <w:pPr>
              <w:widowControl/>
              <w:jc w:val="center"/>
              <w:rPr>
                <w:rFonts w:ascii="Arial" w:hAnsi="Arial" w:cs="Arial"/>
                <w:snapToGrid/>
              </w:rPr>
            </w:pPr>
          </w:p>
        </w:tc>
        <w:tc>
          <w:tcPr>
            <w:tcW w:w="1342"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824980">
        <w:trPr>
          <w:trHeight w:val="328"/>
        </w:trPr>
        <w:tc>
          <w:tcPr>
            <w:tcW w:w="3775" w:type="dxa"/>
            <w:tcBorders>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3" w:type="dxa"/>
            <w:gridSpan w:val="2"/>
            <w:tcBorders>
              <w:left w:val="nil"/>
              <w:bottom w:val="single" w:sz="4" w:space="0" w:color="auto"/>
              <w:right w:val="nil"/>
            </w:tcBorders>
          </w:tcPr>
          <w:p w:rsidR="007265E6" w:rsidRPr="004E152D" w:rsidRDefault="007265E6" w:rsidP="00617463">
            <w:pPr>
              <w:widowControl/>
              <w:rPr>
                <w:rFonts w:ascii="Arial" w:hAnsi="Arial" w:cs="Arial"/>
                <w:snapToGrid/>
              </w:rPr>
            </w:pPr>
          </w:p>
        </w:tc>
        <w:tc>
          <w:tcPr>
            <w:tcW w:w="276" w:type="dxa"/>
            <w:gridSpan w:val="2"/>
            <w:tcBorders>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147ED3">
            <w:pPr>
              <w:widowControl/>
              <w:rPr>
                <w:rFonts w:ascii="Arial" w:hAnsi="Arial" w:cs="Arial"/>
                <w:b/>
                <w:snapToGrid/>
              </w:rPr>
            </w:pPr>
            <w:r w:rsidRPr="004E152D">
              <w:rPr>
                <w:rFonts w:ascii="Arial" w:hAnsi="Arial" w:cs="Arial"/>
                <w:b/>
                <w:bCs/>
                <w:snapToGrid/>
              </w:rPr>
              <w:t>47 CFR 63.24(f)(1), (f)(2)</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87</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3</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261</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FE4DCA">
            <w:pPr>
              <w:widowControl/>
              <w:rPr>
                <w:rFonts w:ascii="Arial" w:hAnsi="Arial" w:cs="Arial"/>
                <w:snapToGrid/>
              </w:rPr>
            </w:pPr>
            <w:r w:rsidRPr="004E152D">
              <w:rPr>
                <w:rFonts w:ascii="Arial" w:hAnsi="Arial" w:cs="Arial"/>
                <w:bCs/>
                <w:snapToGrid/>
              </w:rPr>
              <w:t xml:space="preserve">Assignments and Transfers for </w:t>
            </w:r>
            <w:proofErr w:type="gramStart"/>
            <w:r w:rsidRPr="004E152D">
              <w:rPr>
                <w:rFonts w:ascii="Arial" w:hAnsi="Arial" w:cs="Arial"/>
                <w:bCs/>
                <w:snapToGrid/>
              </w:rPr>
              <w:t>non-substantial,</w:t>
            </w:r>
            <w:proofErr w:type="gramEnd"/>
            <w:r w:rsidRPr="004E152D">
              <w:rPr>
                <w:rFonts w:ascii="Arial" w:hAnsi="Arial" w:cs="Arial"/>
                <w:bCs/>
                <w:snapToGrid/>
              </w:rPr>
              <w:t xml:space="preserve"> or pro forma transactions.</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6C0F5F">
            <w:pPr>
              <w:widowControl/>
              <w:rPr>
                <w:rFonts w:ascii="Arial" w:hAnsi="Arial" w:cs="Arial"/>
                <w:snapToGrid/>
              </w:rPr>
            </w:pPr>
            <w:r w:rsidRPr="004E152D">
              <w:rPr>
                <w:rFonts w:ascii="Arial" w:hAnsi="Arial" w:cs="Arial"/>
                <w:bCs/>
                <w:snapToGrid/>
              </w:rPr>
              <w:t>Notifications for pro forma transactions.  A carrier that is subject to a pro forma assignment or transfer of control is not required to seek prior Commission approval before assigning or transferring its section 214 authorization, but must file a notification with the Commission no later than 30 days after the assignment or transfer is completed.  The notification must include a certification that the transfer of control was pro forma and does not result in a change in the actual controlling party.  T</w:t>
            </w:r>
            <w:r w:rsidRPr="004E152D">
              <w:rPr>
                <w:rFonts w:ascii="Arial" w:hAnsi="Arial" w:cs="Arial"/>
                <w:snapToGrid/>
              </w:rPr>
              <w:t>he notification must also include information contained in certain sections of 63.18, as specified in 63.24(f</w:t>
            </w:r>
            <w:proofErr w:type="gramStart"/>
            <w:r w:rsidRPr="004E152D">
              <w:rPr>
                <w:rFonts w:ascii="Arial" w:hAnsi="Arial" w:cs="Arial"/>
                <w:snapToGrid/>
              </w:rPr>
              <w:t>)(</w:t>
            </w:r>
            <w:proofErr w:type="gramEnd"/>
            <w:r w:rsidRPr="004E152D">
              <w:rPr>
                <w:rFonts w:ascii="Arial" w:hAnsi="Arial" w:cs="Arial"/>
                <w:snapToGrid/>
              </w:rPr>
              <w:t>2)(</w:t>
            </w:r>
            <w:proofErr w:type="spellStart"/>
            <w:r w:rsidRPr="004E152D">
              <w:rPr>
                <w:rFonts w:ascii="Arial" w:hAnsi="Arial" w:cs="Arial"/>
                <w:snapToGrid/>
              </w:rPr>
              <w:t>i</w:t>
            </w:r>
            <w:proofErr w:type="spellEnd"/>
            <w:r w:rsidRPr="004E152D">
              <w:rPr>
                <w:rFonts w:ascii="Arial" w:hAnsi="Arial" w:cs="Arial"/>
                <w:snapToGrid/>
              </w:rPr>
              <w:t>).</w:t>
            </w:r>
          </w:p>
          <w:p w:rsidR="00824980" w:rsidRPr="004E152D" w:rsidRDefault="00824980" w:rsidP="006C0F5F">
            <w:pPr>
              <w:widowControl/>
              <w:rPr>
                <w:rFonts w:ascii="Arial" w:hAnsi="Arial" w:cs="Arial"/>
                <w:snapToGrid/>
              </w:rPr>
            </w:pPr>
          </w:p>
          <w:p w:rsidR="00824980" w:rsidRPr="004E152D" w:rsidRDefault="00824980" w:rsidP="006C0F5F">
            <w:pPr>
              <w:widowControl/>
              <w:rPr>
                <w:rFonts w:ascii="Arial" w:hAnsi="Arial" w:cs="Arial"/>
                <w:snapToGrid/>
              </w:rPr>
            </w:pPr>
          </w:p>
          <w:p w:rsidR="00F34754" w:rsidRPr="004E152D" w:rsidRDefault="00F34754" w:rsidP="006C0F5F">
            <w:pPr>
              <w:widowControl/>
              <w:rPr>
                <w:rFonts w:ascii="Arial" w:hAnsi="Arial" w:cs="Arial"/>
                <w:snapToGrid/>
              </w:rPr>
            </w:pPr>
          </w:p>
          <w:p w:rsidR="007265E6" w:rsidRPr="004E152D" w:rsidRDefault="007265E6" w:rsidP="00617463">
            <w:pPr>
              <w:widowControl/>
              <w:rPr>
                <w:rFonts w:ascii="Arial" w:hAnsi="Arial" w:cs="Arial"/>
                <w:snapToGrid/>
              </w:rPr>
            </w:pPr>
            <w:r w:rsidRPr="004E152D">
              <w:rPr>
                <w:rFonts w:ascii="Arial" w:hAnsi="Arial" w:cs="Arial"/>
                <w:snapToGrid/>
              </w:rPr>
              <w:t xml:space="preserve">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FE4DCA">
            <w:pPr>
              <w:widowControl/>
              <w:rPr>
                <w:rFonts w:ascii="Arial" w:hAnsi="Arial" w:cs="Arial"/>
                <w:b/>
                <w:bCs/>
                <w:snapToGrid/>
              </w:rPr>
            </w:pPr>
            <w:r w:rsidRPr="004E152D">
              <w:rPr>
                <w:rFonts w:ascii="Arial" w:hAnsi="Arial" w:cs="Arial"/>
                <w:b/>
                <w:bCs/>
                <w:snapToGrid/>
              </w:rPr>
              <w:t>47 CFR 63.25</w:t>
            </w:r>
          </w:p>
        </w:tc>
        <w:tc>
          <w:tcPr>
            <w:tcW w:w="1336"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29</w:t>
            </w:r>
          </w:p>
        </w:tc>
        <w:tc>
          <w:tcPr>
            <w:tcW w:w="273"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58</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A05C2C">
            <w:pPr>
              <w:widowControl/>
              <w:rPr>
                <w:rFonts w:ascii="Arial" w:hAnsi="Arial" w:cs="Arial"/>
                <w:bCs/>
                <w:snapToGrid/>
              </w:rPr>
            </w:pPr>
            <w:r w:rsidRPr="004E152D">
              <w:rPr>
                <w:rFonts w:ascii="Arial" w:hAnsi="Arial" w:cs="Arial"/>
                <w:bCs/>
                <w:snapToGrid/>
              </w:rPr>
              <w:t xml:space="preserve">Request for special temporary authority or emergency service.  </w:t>
            </w:r>
          </w:p>
          <w:p w:rsidR="007265E6" w:rsidRPr="004E152D" w:rsidRDefault="007265E6" w:rsidP="00A05C2C">
            <w:pPr>
              <w:widowControl/>
              <w:rPr>
                <w:rFonts w:ascii="Arial" w:hAnsi="Arial" w:cs="Arial"/>
                <w:bCs/>
                <w:snapToGrid/>
              </w:rPr>
            </w:pPr>
          </w:p>
          <w:p w:rsidR="007265E6" w:rsidRPr="004E152D" w:rsidRDefault="007265E6" w:rsidP="00A05C2C">
            <w:pPr>
              <w:widowControl/>
              <w:rPr>
                <w:rFonts w:ascii="Arial" w:hAnsi="Arial" w:cs="Arial"/>
                <w:bCs/>
                <w:snapToGrid/>
              </w:rPr>
            </w:pPr>
            <w:r w:rsidRPr="004E152D">
              <w:rPr>
                <w:rFonts w:ascii="Arial" w:hAnsi="Arial" w:cs="Arial"/>
                <w:bCs/>
                <w:snapToGrid/>
              </w:rPr>
              <w:lastRenderedPageBreak/>
              <w:t>Applicants must file a request with the Commission stating why temporary authority or emergency service is required, along with the type of facilities proposed to be used, and the services to be provided.  Temporary service shall mean service for a period not exceeding 6 months.</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lastRenderedPageBreak/>
              <w:t> </w:t>
            </w:r>
          </w:p>
        </w:tc>
        <w:tc>
          <w:tcPr>
            <w:tcW w:w="273"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rPr>
          <w:trHeight w:val="328"/>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314CC6">
            <w:pPr>
              <w:widowControl/>
              <w:rPr>
                <w:rFonts w:ascii="Arial" w:hAnsi="Arial" w:cs="Arial"/>
                <w:snapToGrid/>
              </w:rPr>
            </w:pPr>
          </w:p>
          <w:p w:rsidR="007265E6" w:rsidRPr="004E152D" w:rsidRDefault="007265E6" w:rsidP="006C0F5F">
            <w:pPr>
              <w:widowControl/>
              <w:rPr>
                <w:rFonts w:ascii="Arial" w:hAnsi="Arial" w:cs="Arial"/>
                <w:bCs/>
                <w:snapToGrid/>
              </w:rPr>
            </w:pPr>
            <w:r w:rsidRPr="004E152D">
              <w:rPr>
                <w:rFonts w:ascii="Arial" w:hAnsi="Arial" w:cs="Arial"/>
                <w:snapToGrid/>
              </w:rPr>
              <w:t>A carrier may request continuing authority to provide temporary or emergency service by the construction or installation of facilities where the costs do not exceed $35,000 or an annual rental of not more than $7,000.  If granted, the carrier shall, not later than the 30</w:t>
            </w:r>
            <w:r w:rsidRPr="004E152D">
              <w:rPr>
                <w:rFonts w:ascii="Arial" w:hAnsi="Arial" w:cs="Arial"/>
                <w:snapToGrid/>
                <w:vertAlign w:val="superscript"/>
              </w:rPr>
              <w:t>th</w:t>
            </w:r>
            <w:r w:rsidRPr="004E152D">
              <w:rPr>
                <w:rFonts w:ascii="Arial" w:hAnsi="Arial" w:cs="Arial"/>
                <w:snapToGrid/>
              </w:rPr>
              <w:t xml:space="preserve"> day following the end of each 6-month period covered by such authority, file a statement setting forth the type of facility, the cost and the dates of commencement of the project.</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3"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6"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24980">
        <w:tblPrEx>
          <w:tblCellMar>
            <w:left w:w="108" w:type="dxa"/>
            <w:right w:w="108" w:type="dxa"/>
          </w:tblCellMar>
        </w:tblPrEx>
        <w:trPr>
          <w:trHeight w:val="179"/>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314CC6">
            <w:pPr>
              <w:widowControl/>
              <w:rPr>
                <w:rFonts w:ascii="Arial" w:hAnsi="Arial" w:cs="Arial"/>
                <w:b/>
                <w:bCs/>
                <w:snapToGrid/>
              </w:rPr>
            </w:pP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27"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F15155">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r>
      <w:tr w:rsidR="007265E6" w:rsidRPr="004E152D" w:rsidTr="00824980">
        <w:tblPrEx>
          <w:tblCellMar>
            <w:left w:w="108" w:type="dxa"/>
            <w:right w:w="108" w:type="dxa"/>
          </w:tblCellMar>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F15155">
            <w:pPr>
              <w:widowControl/>
              <w:rPr>
                <w:rFonts w:ascii="Arial" w:hAnsi="Arial" w:cs="Arial"/>
                <w:b/>
                <w:bCs/>
                <w:snapToGrid/>
              </w:rPr>
            </w:pP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27"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r>
      <w:tr w:rsidR="007265E6" w:rsidRPr="004E152D" w:rsidTr="00824980">
        <w:tblPrEx>
          <w:tblCellMar>
            <w:left w:w="108" w:type="dxa"/>
            <w:right w:w="108" w:type="dxa"/>
          </w:tblCellMar>
        </w:tblPrEx>
        <w:trPr>
          <w:trHeight w:val="255"/>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314CC6">
            <w:pPr>
              <w:widowControl/>
              <w:rPr>
                <w:rFonts w:ascii="Arial" w:hAnsi="Arial" w:cs="Arial"/>
                <w:snapToGrid/>
              </w:rPr>
            </w:pP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227"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r>
      <w:tr w:rsidR="007265E6" w:rsidRPr="004E152D" w:rsidTr="00824980">
        <w:tblPrEx>
          <w:tblCellMar>
            <w:left w:w="108" w:type="dxa"/>
            <w:right w:w="108" w:type="dxa"/>
          </w:tblCellMar>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314CC6">
            <w:pPr>
              <w:widowControl/>
              <w:rPr>
                <w:rFonts w:ascii="Arial" w:hAnsi="Arial" w:cs="Arial"/>
                <w:snapToGrid/>
              </w:rPr>
            </w:pPr>
            <w:r w:rsidRPr="004E152D">
              <w:rPr>
                <w:rFonts w:ascii="Arial" w:hAnsi="Arial" w:cs="Arial"/>
                <w:b/>
                <w:bCs/>
                <w:snapToGrid/>
              </w:rPr>
              <w:t>Totals:</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748 Number of Responses</w:t>
            </w:r>
          </w:p>
        </w:tc>
        <w:tc>
          <w:tcPr>
            <w:tcW w:w="230" w:type="dxa"/>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27"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505819">
            <w:pPr>
              <w:widowControl/>
              <w:rPr>
                <w:rFonts w:ascii="Arial" w:hAnsi="Arial" w:cs="Arial"/>
                <w:b/>
                <w:bCs/>
                <w:snapToGrid/>
              </w:rPr>
            </w:pPr>
            <w:r w:rsidRPr="004E152D">
              <w:rPr>
                <w:rFonts w:ascii="Arial" w:hAnsi="Arial" w:cs="Arial"/>
                <w:b/>
                <w:bCs/>
                <w:snapToGrid/>
              </w:rPr>
              <w:t>0.50 –</w:t>
            </w:r>
          </w:p>
          <w:p w:rsidR="007265E6" w:rsidRPr="004E152D" w:rsidRDefault="007265E6" w:rsidP="00505819">
            <w:pPr>
              <w:widowControl/>
              <w:rPr>
                <w:rFonts w:ascii="Arial" w:hAnsi="Arial" w:cs="Arial"/>
                <w:snapToGrid/>
              </w:rPr>
            </w:pPr>
            <w:r w:rsidRPr="004E152D">
              <w:rPr>
                <w:rFonts w:ascii="Arial" w:hAnsi="Arial" w:cs="Arial"/>
                <w:b/>
                <w:bCs/>
                <w:snapToGrid/>
              </w:rPr>
              <w:t>15 hours Per Response</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7265E6">
            <w:pPr>
              <w:widowControl/>
              <w:ind w:left="-99"/>
              <w:jc w:val="center"/>
              <w:rPr>
                <w:rFonts w:ascii="Arial" w:hAnsi="Arial" w:cs="Arial"/>
                <w:b/>
                <w:bCs/>
                <w:snapToGrid/>
              </w:rPr>
            </w:pPr>
            <w:r w:rsidRPr="004E152D">
              <w:rPr>
                <w:rFonts w:ascii="Arial" w:hAnsi="Arial" w:cs="Arial"/>
                <w:b/>
                <w:bCs/>
                <w:snapToGrid/>
              </w:rPr>
              <w:t xml:space="preserve">3,285.5 rounded </w:t>
            </w:r>
          </w:p>
          <w:p w:rsidR="007265E6" w:rsidRPr="00473D6B" w:rsidRDefault="007265E6" w:rsidP="00617463">
            <w:pPr>
              <w:widowControl/>
              <w:rPr>
                <w:rFonts w:ascii="Arial" w:hAnsi="Arial" w:cs="Arial"/>
                <w:snapToGrid/>
              </w:rPr>
            </w:pPr>
            <w:r w:rsidRPr="004E152D">
              <w:rPr>
                <w:rFonts w:ascii="Arial" w:hAnsi="Arial" w:cs="Arial"/>
                <w:b/>
                <w:bCs/>
                <w:snapToGrid/>
              </w:rPr>
              <w:t>3,286</w:t>
            </w:r>
          </w:p>
        </w:tc>
      </w:tr>
      <w:tr w:rsidR="007265E6" w:rsidRPr="004E152D" w:rsidTr="00824980">
        <w:tblPrEx>
          <w:tblCellMar>
            <w:left w:w="108" w:type="dxa"/>
            <w:right w:w="108" w:type="dxa"/>
          </w:tblCellMar>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snapToGrid/>
              </w:rPr>
              <w:t> </w:t>
            </w:r>
          </w:p>
        </w:tc>
        <w:tc>
          <w:tcPr>
            <w:tcW w:w="1336"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30" w:type="dxa"/>
            <w:tcBorders>
              <w:top w:val="nil"/>
              <w:left w:val="nil"/>
              <w:bottom w:val="nil"/>
              <w:right w:val="nil"/>
            </w:tcBorders>
          </w:tcPr>
          <w:p w:rsidR="007265E6" w:rsidRPr="004E152D" w:rsidRDefault="007265E6" w:rsidP="00617463">
            <w:pPr>
              <w:widowControl/>
              <w:rPr>
                <w:rFonts w:ascii="Arial" w:hAnsi="Arial" w:cs="Arial"/>
                <w:snapToGrid/>
              </w:rPr>
            </w:pPr>
          </w:p>
        </w:tc>
        <w:tc>
          <w:tcPr>
            <w:tcW w:w="227"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505819">
            <w:pPr>
              <w:widowControl/>
              <w:rPr>
                <w:rFonts w:ascii="Arial" w:hAnsi="Arial" w:cs="Arial"/>
                <w:snapToGrid/>
              </w:rPr>
            </w:pP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Total</w:t>
            </w:r>
          </w:p>
        </w:tc>
      </w:tr>
      <w:tr w:rsidR="007265E6" w:rsidRPr="004E152D" w:rsidTr="00824980">
        <w:tblPrEx>
          <w:tblCellMar>
            <w:left w:w="108" w:type="dxa"/>
            <w:right w:w="108" w:type="dxa"/>
          </w:tblCellMar>
        </w:tblPrEx>
        <w:trPr>
          <w:trHeight w:val="255"/>
        </w:trPr>
        <w:tc>
          <w:tcPr>
            <w:tcW w:w="3775"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snapToGrid/>
              </w:rPr>
              <w:t xml:space="preserve">                </w:t>
            </w:r>
          </w:p>
        </w:tc>
        <w:tc>
          <w:tcPr>
            <w:tcW w:w="1336"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30" w:type="dxa"/>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27"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Annual Burden Hours</w:t>
            </w:r>
          </w:p>
        </w:tc>
      </w:tr>
      <w:tr w:rsidR="007265E6" w:rsidRPr="004E152D" w:rsidTr="00824980">
        <w:tblPrEx>
          <w:tblCellMar>
            <w:left w:w="108" w:type="dxa"/>
            <w:right w:w="108" w:type="dxa"/>
          </w:tblCellMar>
        </w:tblPrEx>
        <w:trPr>
          <w:trHeight w:val="255"/>
        </w:trPr>
        <w:tc>
          <w:tcPr>
            <w:tcW w:w="3775" w:type="dxa"/>
            <w:tcBorders>
              <w:top w:val="nil"/>
              <w:left w:val="nil"/>
              <w:bottom w:val="nil"/>
              <w:right w:val="nil"/>
            </w:tcBorders>
            <w:shd w:val="clear" w:color="auto" w:fill="auto"/>
            <w:noWrap/>
            <w:vAlign w:val="bottom"/>
          </w:tcPr>
          <w:p w:rsidR="007265E6" w:rsidRPr="004E152D" w:rsidRDefault="007265E6" w:rsidP="007265E6">
            <w:pPr>
              <w:widowControl/>
              <w:ind w:left="-18"/>
              <w:jc w:val="right"/>
              <w:rPr>
                <w:rFonts w:ascii="Arial" w:hAnsi="Arial" w:cs="Arial"/>
                <w:b/>
                <w:bCs/>
                <w:snapToGrid/>
              </w:rPr>
            </w:pPr>
          </w:p>
        </w:tc>
        <w:tc>
          <w:tcPr>
            <w:tcW w:w="1336" w:type="dxa"/>
            <w:tcBorders>
              <w:top w:val="nil"/>
              <w:left w:val="nil"/>
              <w:bottom w:val="nil"/>
              <w:right w:val="nil"/>
            </w:tcBorders>
            <w:shd w:val="clear" w:color="auto" w:fill="auto"/>
            <w:noWrap/>
            <w:vAlign w:val="bottom"/>
          </w:tcPr>
          <w:p w:rsidR="007265E6" w:rsidRPr="004E152D" w:rsidRDefault="007265E6" w:rsidP="00605A69">
            <w:pPr>
              <w:widowControl/>
              <w:jc w:val="center"/>
              <w:rPr>
                <w:rFonts w:ascii="Arial" w:hAnsi="Arial" w:cs="Arial"/>
                <w:b/>
                <w:bCs/>
                <w:snapToGrid/>
              </w:rPr>
            </w:pPr>
          </w:p>
        </w:tc>
        <w:tc>
          <w:tcPr>
            <w:tcW w:w="230" w:type="dxa"/>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227" w:type="dxa"/>
            <w:gridSpan w:val="2"/>
            <w:tcBorders>
              <w:top w:val="nil"/>
              <w:left w:val="nil"/>
              <w:bottom w:val="nil"/>
              <w:right w:val="nil"/>
            </w:tcBorders>
          </w:tcPr>
          <w:p w:rsidR="007265E6" w:rsidRPr="004E152D" w:rsidRDefault="007265E6" w:rsidP="00617463">
            <w:pPr>
              <w:widowControl/>
              <w:jc w:val="center"/>
              <w:rPr>
                <w:rFonts w:ascii="Arial" w:hAnsi="Arial" w:cs="Arial"/>
                <w:b/>
                <w:bCs/>
                <w:snapToGrid/>
              </w:rPr>
            </w:pPr>
          </w:p>
        </w:tc>
        <w:tc>
          <w:tcPr>
            <w:tcW w:w="1434" w:type="dxa"/>
            <w:gridSpan w:val="2"/>
            <w:tcBorders>
              <w:top w:val="nil"/>
              <w:left w:val="nil"/>
              <w:bottom w:val="nil"/>
              <w:right w:val="nil"/>
            </w:tcBorders>
            <w:shd w:val="clear" w:color="auto" w:fill="auto"/>
            <w:noWrap/>
            <w:vAlign w:val="bottom"/>
          </w:tcPr>
          <w:p w:rsidR="007265E6" w:rsidRPr="004E152D" w:rsidRDefault="007265E6" w:rsidP="00617463">
            <w:pPr>
              <w:widowControl/>
              <w:jc w:val="center"/>
              <w:rPr>
                <w:rFonts w:ascii="Arial" w:hAnsi="Arial" w:cs="Arial"/>
                <w:b/>
                <w:bCs/>
                <w:snapToGrid/>
              </w:rPr>
            </w:pPr>
          </w:p>
        </w:tc>
        <w:tc>
          <w:tcPr>
            <w:tcW w:w="1427" w:type="dxa"/>
            <w:tcBorders>
              <w:top w:val="nil"/>
              <w:left w:val="nil"/>
              <w:bottom w:val="nil"/>
              <w:right w:val="nil"/>
            </w:tcBorders>
            <w:shd w:val="clear" w:color="auto" w:fill="auto"/>
            <w:noWrap/>
            <w:vAlign w:val="bottom"/>
          </w:tcPr>
          <w:p w:rsidR="007265E6" w:rsidRPr="004E152D" w:rsidRDefault="007265E6" w:rsidP="00B22A0F">
            <w:pPr>
              <w:widowControl/>
              <w:jc w:val="center"/>
              <w:rPr>
                <w:rFonts w:ascii="Arial" w:hAnsi="Arial" w:cs="Arial"/>
                <w:b/>
                <w:bCs/>
                <w:snapToGrid/>
              </w:rPr>
            </w:pPr>
          </w:p>
        </w:tc>
        <w:tc>
          <w:tcPr>
            <w:tcW w:w="985" w:type="dxa"/>
            <w:tcBorders>
              <w:top w:val="nil"/>
              <w:left w:val="nil"/>
              <w:bottom w:val="nil"/>
              <w:right w:val="nil"/>
            </w:tcBorders>
            <w:shd w:val="clear" w:color="auto" w:fill="auto"/>
            <w:noWrap/>
            <w:vAlign w:val="bottom"/>
          </w:tcPr>
          <w:p w:rsidR="007265E6" w:rsidRPr="004E152D" w:rsidRDefault="007265E6" w:rsidP="005B72A0">
            <w:pPr>
              <w:widowControl/>
              <w:jc w:val="center"/>
              <w:rPr>
                <w:rFonts w:ascii="Arial" w:hAnsi="Arial" w:cs="Arial"/>
                <w:b/>
                <w:bCs/>
                <w:snapToGrid/>
              </w:rPr>
            </w:pPr>
          </w:p>
        </w:tc>
      </w:tr>
      <w:tr w:rsidR="007265E6" w:rsidRPr="004E152D" w:rsidTr="00824980">
        <w:tblPrEx>
          <w:tblCellMar>
            <w:left w:w="108" w:type="dxa"/>
            <w:right w:w="108" w:type="dxa"/>
          </w:tblCellMar>
        </w:tblPrEx>
        <w:trPr>
          <w:trHeight w:val="255"/>
        </w:trPr>
        <w:tc>
          <w:tcPr>
            <w:tcW w:w="3775" w:type="dxa"/>
            <w:tcBorders>
              <w:top w:val="nil"/>
              <w:left w:val="nil"/>
              <w:bottom w:val="nil"/>
              <w:right w:val="nil"/>
            </w:tcBorders>
            <w:shd w:val="clear" w:color="auto" w:fill="auto"/>
            <w:noWrap/>
            <w:vAlign w:val="bottom"/>
          </w:tcPr>
          <w:p w:rsidR="007265E6" w:rsidRPr="004E152D" w:rsidRDefault="007265E6" w:rsidP="00617463">
            <w:pPr>
              <w:widowControl/>
              <w:rPr>
                <w:rFonts w:ascii="Arial" w:hAnsi="Arial" w:cs="Arial"/>
                <w:snapToGrid/>
              </w:rPr>
            </w:pPr>
          </w:p>
        </w:tc>
        <w:tc>
          <w:tcPr>
            <w:tcW w:w="1336" w:type="dxa"/>
            <w:tcBorders>
              <w:top w:val="nil"/>
              <w:left w:val="nil"/>
              <w:bottom w:val="nil"/>
              <w:right w:val="nil"/>
            </w:tcBorders>
            <w:shd w:val="clear" w:color="auto" w:fill="auto"/>
            <w:noWrap/>
            <w:vAlign w:val="bottom"/>
          </w:tcPr>
          <w:p w:rsidR="007265E6" w:rsidRPr="004E152D" w:rsidRDefault="007265E6" w:rsidP="00617463">
            <w:pPr>
              <w:widowControl/>
              <w:rPr>
                <w:rFonts w:ascii="Arial" w:hAnsi="Arial" w:cs="Arial"/>
                <w:snapToGrid/>
              </w:rPr>
            </w:pPr>
          </w:p>
        </w:tc>
        <w:tc>
          <w:tcPr>
            <w:tcW w:w="230" w:type="dxa"/>
            <w:tcBorders>
              <w:top w:val="nil"/>
              <w:left w:val="nil"/>
              <w:bottom w:val="nil"/>
              <w:right w:val="nil"/>
            </w:tcBorders>
          </w:tcPr>
          <w:p w:rsidR="007265E6" w:rsidRPr="004E152D" w:rsidRDefault="007265E6" w:rsidP="00617463">
            <w:pPr>
              <w:widowControl/>
              <w:rPr>
                <w:rFonts w:ascii="Arial" w:hAnsi="Arial" w:cs="Arial"/>
                <w:snapToGrid/>
              </w:rPr>
            </w:pPr>
          </w:p>
        </w:tc>
        <w:tc>
          <w:tcPr>
            <w:tcW w:w="227"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434" w:type="dxa"/>
            <w:gridSpan w:val="2"/>
            <w:tcBorders>
              <w:top w:val="nil"/>
              <w:left w:val="nil"/>
              <w:bottom w:val="nil"/>
              <w:right w:val="nil"/>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nil"/>
              <w:right w:val="nil"/>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nil"/>
              <w:right w:val="nil"/>
            </w:tcBorders>
            <w:shd w:val="clear" w:color="auto" w:fill="auto"/>
            <w:noWrap/>
            <w:vAlign w:val="bottom"/>
          </w:tcPr>
          <w:p w:rsidR="007265E6" w:rsidRPr="004E152D" w:rsidRDefault="007265E6" w:rsidP="00617463">
            <w:pPr>
              <w:widowControl/>
              <w:rPr>
                <w:rFonts w:ascii="Arial" w:hAnsi="Arial" w:cs="Arial"/>
                <w:b/>
                <w:snapToGrid/>
              </w:rPr>
            </w:pPr>
          </w:p>
        </w:tc>
      </w:tr>
    </w:tbl>
    <w:p w:rsidR="00075EB1" w:rsidRPr="004E152D" w:rsidRDefault="00075EB1" w:rsidP="000E6E58"/>
    <w:p w:rsidR="00F34754" w:rsidRPr="004E152D" w:rsidRDefault="00F34754" w:rsidP="000E6E58"/>
    <w:p w:rsidR="00FC726A" w:rsidRDefault="00FC726A" w:rsidP="00AF6328">
      <w:pPr>
        <w:tabs>
          <w:tab w:val="left" w:pos="0"/>
        </w:tabs>
        <w:suppressAutoHyphens/>
        <w:rPr>
          <w:rFonts w:ascii="Times New Roman" w:hAnsi="Times New Roman"/>
          <w:b/>
          <w:sz w:val="24"/>
          <w:u w:val="single"/>
        </w:rPr>
      </w:pPr>
    </w:p>
    <w:p w:rsidR="00AF6328" w:rsidRPr="004E152D" w:rsidRDefault="00AF6328" w:rsidP="00AF6328">
      <w:pPr>
        <w:tabs>
          <w:tab w:val="left" w:pos="0"/>
        </w:tabs>
        <w:suppressAutoHyphens/>
        <w:rPr>
          <w:rFonts w:ascii="Times New Roman" w:hAnsi="Times New Roman"/>
          <w:sz w:val="24"/>
        </w:rPr>
      </w:pPr>
      <w:r w:rsidRPr="004E152D">
        <w:rPr>
          <w:rFonts w:ascii="Times New Roman" w:hAnsi="Times New Roman"/>
          <w:b/>
          <w:sz w:val="24"/>
          <w:u w:val="single"/>
        </w:rPr>
        <w:t>In-House Cost to Respondents</w:t>
      </w:r>
      <w:r w:rsidRPr="004E152D">
        <w:rPr>
          <w:rFonts w:ascii="Times New Roman" w:hAnsi="Times New Roman"/>
          <w:sz w:val="24"/>
        </w:rPr>
        <w:t xml:space="preserve">:  We estimate that in-house staff </w:t>
      </w:r>
      <w:r w:rsidR="003E3F0F" w:rsidRPr="004E152D">
        <w:rPr>
          <w:rFonts w:ascii="Times New Roman" w:hAnsi="Times New Roman"/>
          <w:sz w:val="24"/>
        </w:rPr>
        <w:t xml:space="preserve">is paid </w:t>
      </w:r>
      <w:r w:rsidR="00007DDF" w:rsidRPr="004E152D">
        <w:rPr>
          <w:rFonts w:ascii="Times New Roman" w:hAnsi="Times New Roman"/>
          <w:sz w:val="24"/>
        </w:rPr>
        <w:t xml:space="preserve">at </w:t>
      </w:r>
      <w:r w:rsidR="003E3F0F" w:rsidRPr="004E152D">
        <w:rPr>
          <w:rFonts w:ascii="Times New Roman" w:hAnsi="Times New Roman"/>
          <w:sz w:val="24"/>
        </w:rPr>
        <w:t xml:space="preserve">an </w:t>
      </w:r>
      <w:r w:rsidRPr="004E152D">
        <w:rPr>
          <w:rFonts w:ascii="Times New Roman" w:hAnsi="Times New Roman"/>
          <w:sz w:val="24"/>
        </w:rPr>
        <w:t>estimated rate of $40 per hour.</w:t>
      </w:r>
    </w:p>
    <w:p w:rsidR="00AF6328" w:rsidRPr="004E152D" w:rsidRDefault="00AF6328" w:rsidP="00AF6328">
      <w:pPr>
        <w:tabs>
          <w:tab w:val="left" w:pos="0"/>
        </w:tabs>
        <w:suppressAutoHyphens/>
        <w:rPr>
          <w:rFonts w:ascii="Times New Roman" w:hAnsi="Times New Roman"/>
          <w:sz w:val="24"/>
        </w:rPr>
      </w:pPr>
    </w:p>
    <w:p w:rsidR="00AF6328" w:rsidRPr="00CD229C" w:rsidRDefault="00227A7A" w:rsidP="00AF6328">
      <w:pPr>
        <w:tabs>
          <w:tab w:val="left" w:pos="0"/>
        </w:tabs>
        <w:suppressAutoHyphens/>
        <w:jc w:val="center"/>
        <w:rPr>
          <w:rFonts w:ascii="Times New Roman" w:hAnsi="Times New Roman"/>
          <w:sz w:val="24"/>
        </w:rPr>
      </w:pPr>
      <w:r w:rsidRPr="004E152D">
        <w:rPr>
          <w:rFonts w:ascii="Times New Roman" w:hAnsi="Times New Roman"/>
          <w:sz w:val="24"/>
          <w:szCs w:val="24"/>
        </w:rPr>
        <w:t>3,2</w:t>
      </w:r>
      <w:r w:rsidR="00F418CA" w:rsidRPr="004E152D">
        <w:rPr>
          <w:rFonts w:ascii="Times New Roman" w:hAnsi="Times New Roman"/>
          <w:sz w:val="24"/>
          <w:szCs w:val="24"/>
        </w:rPr>
        <w:t>86</w:t>
      </w:r>
      <w:r w:rsidR="0015036D" w:rsidRPr="004E152D">
        <w:rPr>
          <w:rFonts w:ascii="Times New Roman" w:hAnsi="Times New Roman"/>
          <w:sz w:val="24"/>
          <w:szCs w:val="24"/>
        </w:rPr>
        <w:t xml:space="preserve"> </w:t>
      </w:r>
      <w:r w:rsidR="00AF6328" w:rsidRPr="004E152D">
        <w:rPr>
          <w:rFonts w:ascii="Times New Roman" w:hAnsi="Times New Roman"/>
          <w:sz w:val="24"/>
          <w:szCs w:val="24"/>
        </w:rPr>
        <w:t>hours</w:t>
      </w:r>
      <w:r w:rsidR="00AF6328" w:rsidRPr="004E152D">
        <w:rPr>
          <w:rFonts w:ascii="Times New Roman" w:hAnsi="Times New Roman"/>
          <w:sz w:val="24"/>
        </w:rPr>
        <w:t xml:space="preserve"> X $40 per hour = </w:t>
      </w:r>
      <w:r w:rsidR="00AF6328" w:rsidRPr="004E152D">
        <w:rPr>
          <w:rFonts w:ascii="Times New Roman" w:hAnsi="Times New Roman"/>
          <w:b/>
          <w:sz w:val="24"/>
        </w:rPr>
        <w:t>$</w:t>
      </w:r>
      <w:r w:rsidRPr="004E152D">
        <w:rPr>
          <w:rFonts w:ascii="Times New Roman" w:hAnsi="Times New Roman"/>
          <w:b/>
          <w:sz w:val="24"/>
        </w:rPr>
        <w:t>1</w:t>
      </w:r>
      <w:r w:rsidR="00902E72" w:rsidRPr="004E152D">
        <w:rPr>
          <w:rFonts w:ascii="Times New Roman" w:hAnsi="Times New Roman"/>
          <w:b/>
          <w:sz w:val="24"/>
        </w:rPr>
        <w:t>31</w:t>
      </w:r>
      <w:r w:rsidRPr="004E152D">
        <w:rPr>
          <w:rFonts w:ascii="Times New Roman" w:hAnsi="Times New Roman"/>
          <w:b/>
          <w:sz w:val="24"/>
        </w:rPr>
        <w:t>,</w:t>
      </w:r>
      <w:r w:rsidR="00F418CA" w:rsidRPr="004E152D">
        <w:rPr>
          <w:rFonts w:ascii="Times New Roman" w:hAnsi="Times New Roman"/>
          <w:b/>
          <w:sz w:val="24"/>
        </w:rPr>
        <w:t>440</w:t>
      </w:r>
      <w:r w:rsidR="0015036D" w:rsidRPr="00473D6B">
        <w:rPr>
          <w:rFonts w:ascii="Times New Roman" w:hAnsi="Times New Roman"/>
          <w:b/>
          <w:sz w:val="24"/>
        </w:rPr>
        <w:t xml:space="preserve"> </w:t>
      </w:r>
      <w:r w:rsidR="00AF6328" w:rsidRPr="00473D6B">
        <w:rPr>
          <w:rFonts w:ascii="Times New Roman" w:hAnsi="Times New Roman"/>
          <w:b/>
          <w:sz w:val="24"/>
        </w:rPr>
        <w:t xml:space="preserve">Total In-House </w:t>
      </w:r>
      <w:r w:rsidR="00AF6328" w:rsidRPr="00473D6B">
        <w:rPr>
          <w:rFonts w:ascii="Times New Roman" w:hAnsi="Times New Roman"/>
          <w:b/>
          <w:sz w:val="24"/>
        </w:rPr>
        <w:tab/>
      </w:r>
      <w:r w:rsidR="00AF6328" w:rsidRPr="00473D6B">
        <w:rPr>
          <w:rFonts w:ascii="Times New Roman" w:hAnsi="Times New Roman"/>
          <w:b/>
          <w:sz w:val="24"/>
        </w:rPr>
        <w:tab/>
      </w:r>
      <w:r w:rsidR="00AF6328" w:rsidRPr="00473D6B">
        <w:rPr>
          <w:rFonts w:ascii="Times New Roman" w:hAnsi="Times New Roman"/>
          <w:b/>
          <w:sz w:val="24"/>
        </w:rPr>
        <w:tab/>
        <w:t xml:space="preserve">                              </w:t>
      </w:r>
      <w:r w:rsidR="00BB7E46" w:rsidRPr="00A90261">
        <w:rPr>
          <w:rFonts w:ascii="Times New Roman" w:hAnsi="Times New Roman"/>
          <w:b/>
          <w:sz w:val="24"/>
        </w:rPr>
        <w:t xml:space="preserve"> </w:t>
      </w:r>
      <w:r w:rsidR="00AF6328" w:rsidRPr="00A90261">
        <w:rPr>
          <w:rFonts w:ascii="Times New Roman" w:hAnsi="Times New Roman"/>
          <w:b/>
          <w:sz w:val="24"/>
        </w:rPr>
        <w:t xml:space="preserve">            </w:t>
      </w:r>
      <w:r w:rsidR="003E3F0F" w:rsidRPr="00401536">
        <w:rPr>
          <w:rFonts w:ascii="Times New Roman" w:hAnsi="Times New Roman"/>
          <w:b/>
          <w:sz w:val="24"/>
        </w:rPr>
        <w:t xml:space="preserve"> </w:t>
      </w:r>
      <w:r w:rsidR="00F418CA" w:rsidRPr="00644F93">
        <w:rPr>
          <w:rFonts w:ascii="Times New Roman" w:hAnsi="Times New Roman"/>
          <w:b/>
          <w:sz w:val="24"/>
        </w:rPr>
        <w:tab/>
      </w:r>
      <w:r w:rsidR="00AF6328" w:rsidRPr="00CD229C">
        <w:rPr>
          <w:rFonts w:ascii="Times New Roman" w:hAnsi="Times New Roman"/>
          <w:b/>
          <w:sz w:val="24"/>
        </w:rPr>
        <w:t>Costs to Respondents</w:t>
      </w:r>
    </w:p>
    <w:p w:rsidR="00AF6328" w:rsidRDefault="00AF6328">
      <w:pPr>
        <w:tabs>
          <w:tab w:val="left" w:pos="0"/>
        </w:tabs>
        <w:suppressAutoHyphens/>
        <w:rPr>
          <w:rFonts w:ascii="Times New Roman" w:hAnsi="Times New Roman"/>
          <w:sz w:val="24"/>
        </w:rPr>
      </w:pPr>
    </w:p>
    <w:p w:rsidR="00CD0D92" w:rsidRDefault="00CD0D92">
      <w:pPr>
        <w:tabs>
          <w:tab w:val="left" w:pos="0"/>
        </w:tabs>
        <w:suppressAutoHyphens/>
        <w:rPr>
          <w:rFonts w:ascii="Times New Roman" w:hAnsi="Times New Roman"/>
          <w:sz w:val="24"/>
        </w:rPr>
      </w:pPr>
    </w:p>
    <w:p w:rsidR="00CD0D92" w:rsidRPr="004E152D" w:rsidRDefault="00CD0D92">
      <w:pPr>
        <w:tabs>
          <w:tab w:val="left" w:pos="0"/>
        </w:tabs>
        <w:suppressAutoHyphens/>
        <w:rPr>
          <w:rFonts w:ascii="Times New Roman" w:hAnsi="Times New Roman"/>
          <w:sz w:val="24"/>
        </w:rPr>
      </w:pPr>
    </w:p>
    <w:p w:rsidR="00F418CA" w:rsidRPr="004E152D" w:rsidRDefault="00F418CA">
      <w:pPr>
        <w:tabs>
          <w:tab w:val="left" w:pos="0"/>
        </w:tabs>
        <w:suppressAutoHyphens/>
        <w:rPr>
          <w:rFonts w:ascii="Times New Roman" w:hAnsi="Times New Roman"/>
          <w:sz w:val="24"/>
        </w:rPr>
      </w:pPr>
    </w:p>
    <w:p w:rsidR="00CD0D92" w:rsidRDefault="00CD0D92">
      <w:pPr>
        <w:tabs>
          <w:tab w:val="left" w:pos="0"/>
        </w:tabs>
        <w:suppressAutoHyphens/>
        <w:rPr>
          <w:rFonts w:ascii="Times New Roman" w:hAnsi="Times New Roman"/>
          <w:sz w:val="24"/>
        </w:rPr>
      </w:pPr>
    </w:p>
    <w:p w:rsidR="00864D77" w:rsidRPr="004E152D" w:rsidRDefault="0004474E">
      <w:pPr>
        <w:tabs>
          <w:tab w:val="left" w:pos="0"/>
        </w:tabs>
        <w:suppressAutoHyphens/>
        <w:rPr>
          <w:rFonts w:ascii="Times New Roman" w:hAnsi="Times New Roman"/>
          <w:sz w:val="24"/>
        </w:rPr>
      </w:pPr>
      <w:r w:rsidRPr="004E152D">
        <w:rPr>
          <w:rFonts w:ascii="Times New Roman" w:hAnsi="Times New Roman"/>
          <w:sz w:val="24"/>
        </w:rPr>
        <w:t>1</w:t>
      </w:r>
      <w:r w:rsidR="00F224E0" w:rsidRPr="004E152D">
        <w:rPr>
          <w:rFonts w:ascii="Times New Roman" w:hAnsi="Times New Roman"/>
          <w:sz w:val="24"/>
        </w:rPr>
        <w:t>3</w:t>
      </w:r>
      <w:r w:rsidR="00864D77" w:rsidRPr="004E152D">
        <w:rPr>
          <w:rFonts w:ascii="Times New Roman" w:hAnsi="Times New Roman"/>
          <w:sz w:val="24"/>
        </w:rPr>
        <w:t xml:space="preserve">. </w:t>
      </w:r>
      <w:r w:rsidR="00864D77" w:rsidRPr="004E152D">
        <w:rPr>
          <w:rFonts w:ascii="Times New Roman" w:hAnsi="Times New Roman"/>
          <w:sz w:val="24"/>
        </w:rPr>
        <w:tab/>
        <w:t xml:space="preserve"> </w:t>
      </w:r>
      <w:r w:rsidR="00864D77" w:rsidRPr="004E152D">
        <w:rPr>
          <w:rFonts w:ascii="Times New Roman" w:hAnsi="Times New Roman"/>
          <w:b/>
          <w:sz w:val="24"/>
        </w:rPr>
        <w:t>Annual Burden Cost:</w:t>
      </w:r>
      <w:r w:rsidR="00864D77" w:rsidRPr="004E152D">
        <w:rPr>
          <w:rFonts w:ascii="Times New Roman" w:hAnsi="Times New Roman"/>
          <w:sz w:val="24"/>
        </w:rPr>
        <w:t xml:space="preserve"> </w:t>
      </w:r>
    </w:p>
    <w:p w:rsidR="00864D77" w:rsidRPr="004E152D" w:rsidRDefault="00864D77">
      <w:pPr>
        <w:tabs>
          <w:tab w:val="left" w:pos="0"/>
        </w:tabs>
        <w:suppressAutoHyphens/>
        <w:rPr>
          <w:rFonts w:ascii="Times New Roman" w:hAnsi="Times New Roman"/>
          <w:sz w:val="24"/>
        </w:rPr>
      </w:pPr>
    </w:p>
    <w:p w:rsidR="0088301D" w:rsidRPr="004E152D" w:rsidRDefault="00864D77">
      <w:pPr>
        <w:tabs>
          <w:tab w:val="left" w:pos="0"/>
        </w:tabs>
        <w:suppressAutoHyphens/>
        <w:rPr>
          <w:rFonts w:ascii="Times New Roman" w:hAnsi="Times New Roman"/>
          <w:sz w:val="24"/>
        </w:rPr>
      </w:pPr>
      <w:r w:rsidRPr="004E152D">
        <w:rPr>
          <w:rFonts w:ascii="Times New Roman" w:hAnsi="Times New Roman"/>
          <w:sz w:val="24"/>
        </w:rPr>
        <w:tab/>
      </w:r>
      <w:r w:rsidR="0088301D" w:rsidRPr="004E152D">
        <w:rPr>
          <w:rFonts w:ascii="Times New Roman" w:hAnsi="Times New Roman"/>
          <w:sz w:val="24"/>
        </w:rPr>
        <w:t>(</w:t>
      </w:r>
      <w:proofErr w:type="gramStart"/>
      <w:r w:rsidR="0088301D" w:rsidRPr="004E152D">
        <w:rPr>
          <w:rFonts w:ascii="Times New Roman" w:hAnsi="Times New Roman"/>
          <w:sz w:val="24"/>
        </w:rPr>
        <w:t>a</w:t>
      </w:r>
      <w:proofErr w:type="gramEnd"/>
      <w:r w:rsidR="0088301D" w:rsidRPr="004E152D">
        <w:rPr>
          <w:rFonts w:ascii="Times New Roman" w:hAnsi="Times New Roman"/>
          <w:sz w:val="24"/>
        </w:rPr>
        <w:t>)</w:t>
      </w:r>
      <w:r w:rsidR="00F224E0" w:rsidRPr="004E152D">
        <w:rPr>
          <w:rFonts w:ascii="Times New Roman" w:hAnsi="Times New Roman"/>
          <w:sz w:val="24"/>
        </w:rPr>
        <w:t>.</w:t>
      </w:r>
      <w:r w:rsidR="00784877" w:rsidRPr="004E152D">
        <w:rPr>
          <w:rFonts w:ascii="Times New Roman" w:hAnsi="Times New Roman"/>
          <w:sz w:val="24"/>
        </w:rPr>
        <w:tab/>
      </w:r>
      <w:r w:rsidR="0088301D" w:rsidRPr="004E152D">
        <w:rPr>
          <w:rFonts w:ascii="Times New Roman" w:hAnsi="Times New Roman"/>
          <w:b/>
          <w:sz w:val="24"/>
          <w:u w:val="single"/>
        </w:rPr>
        <w:t>Capital</w:t>
      </w:r>
      <w:r w:rsidR="00D9418F" w:rsidRPr="004E152D">
        <w:rPr>
          <w:rFonts w:ascii="Times New Roman" w:hAnsi="Times New Roman"/>
          <w:b/>
          <w:sz w:val="24"/>
          <w:u w:val="single"/>
        </w:rPr>
        <w:t xml:space="preserve"> and </w:t>
      </w:r>
      <w:r w:rsidR="0088301D" w:rsidRPr="004E152D">
        <w:rPr>
          <w:rFonts w:ascii="Times New Roman" w:hAnsi="Times New Roman"/>
          <w:b/>
          <w:sz w:val="24"/>
          <w:u w:val="single"/>
        </w:rPr>
        <w:t>Start-Up Costs</w:t>
      </w:r>
      <w:r w:rsidR="00AF6328" w:rsidRPr="004E152D">
        <w:rPr>
          <w:rFonts w:ascii="Times New Roman" w:hAnsi="Times New Roman"/>
          <w:b/>
          <w:sz w:val="24"/>
        </w:rPr>
        <w:t>:  0</w:t>
      </w:r>
    </w:p>
    <w:p w:rsidR="0088301D" w:rsidRPr="004E152D" w:rsidRDefault="0088301D">
      <w:pPr>
        <w:tabs>
          <w:tab w:val="left" w:pos="0"/>
        </w:tabs>
        <w:suppressAutoHyphens/>
        <w:rPr>
          <w:rFonts w:ascii="Times New Roman" w:hAnsi="Times New Roman"/>
          <w:sz w:val="24"/>
        </w:rPr>
      </w:pPr>
    </w:p>
    <w:p w:rsidR="0073604D" w:rsidRPr="004E152D" w:rsidRDefault="0073604D">
      <w:pPr>
        <w:tabs>
          <w:tab w:val="left" w:pos="0"/>
        </w:tabs>
        <w:suppressAutoHyphens/>
        <w:rPr>
          <w:rFonts w:ascii="Times New Roman" w:hAnsi="Times New Roman"/>
          <w:b/>
          <w:sz w:val="24"/>
          <w:u w:val="single"/>
        </w:rPr>
      </w:pPr>
    </w:p>
    <w:p w:rsidR="009A0614" w:rsidRPr="004E152D" w:rsidRDefault="00864D77">
      <w:pPr>
        <w:tabs>
          <w:tab w:val="left" w:pos="0"/>
        </w:tabs>
        <w:suppressAutoHyphens/>
        <w:rPr>
          <w:rFonts w:ascii="Times New Roman" w:hAnsi="Times New Roman"/>
          <w:sz w:val="24"/>
          <w:u w:val="single"/>
        </w:rPr>
      </w:pPr>
      <w:r w:rsidRPr="004E152D">
        <w:rPr>
          <w:rFonts w:ascii="Times New Roman" w:hAnsi="Times New Roman"/>
          <w:sz w:val="24"/>
        </w:rPr>
        <w:tab/>
        <w:t>(</w:t>
      </w:r>
      <w:r w:rsidR="009A0614" w:rsidRPr="004E152D">
        <w:rPr>
          <w:rFonts w:ascii="Times New Roman" w:hAnsi="Times New Roman"/>
          <w:sz w:val="24"/>
        </w:rPr>
        <w:t xml:space="preserve">b).   </w:t>
      </w:r>
      <w:r w:rsidR="009A0614" w:rsidRPr="004E152D">
        <w:rPr>
          <w:rFonts w:ascii="Times New Roman" w:hAnsi="Times New Roman"/>
          <w:b/>
          <w:sz w:val="24"/>
          <w:u w:val="single"/>
        </w:rPr>
        <w:t>Operations and Maintenance Costs</w:t>
      </w:r>
    </w:p>
    <w:p w:rsidR="009A0614" w:rsidRPr="004E152D" w:rsidRDefault="009A0614">
      <w:pPr>
        <w:tabs>
          <w:tab w:val="left" w:pos="0"/>
        </w:tabs>
        <w:suppressAutoHyphens/>
        <w:rPr>
          <w:rFonts w:ascii="Times New Roman" w:hAnsi="Times New Roman"/>
          <w:sz w:val="24"/>
          <w:u w:val="single"/>
        </w:rPr>
      </w:pPr>
    </w:p>
    <w:p w:rsidR="00864D77" w:rsidRPr="00CD229C" w:rsidRDefault="00864D77" w:rsidP="00CD732D">
      <w:pPr>
        <w:tabs>
          <w:tab w:val="left" w:pos="-720"/>
          <w:tab w:val="left" w:pos="0"/>
        </w:tabs>
        <w:suppressAutoHyphens/>
        <w:ind w:right="720"/>
        <w:rPr>
          <w:rFonts w:ascii="Times New Roman" w:hAnsi="Times New Roman"/>
          <w:sz w:val="24"/>
        </w:rPr>
      </w:pPr>
      <w:r w:rsidRPr="004E152D">
        <w:rPr>
          <w:rFonts w:ascii="Times New Roman" w:hAnsi="Times New Roman"/>
          <w:sz w:val="24"/>
        </w:rPr>
        <w:tab/>
      </w:r>
      <w:r w:rsidRPr="004E152D">
        <w:rPr>
          <w:rFonts w:ascii="Times New Roman" w:hAnsi="Times New Roman"/>
          <w:sz w:val="24"/>
          <w:u w:val="single"/>
        </w:rPr>
        <w:t>Outside Legal Assistance</w:t>
      </w:r>
      <w:r w:rsidRPr="004E152D">
        <w:rPr>
          <w:rFonts w:ascii="Times New Roman" w:hAnsi="Times New Roman"/>
          <w:sz w:val="24"/>
        </w:rPr>
        <w:t xml:space="preserve">:  We estimate that the respondent will require outside legal </w:t>
      </w:r>
      <w:r w:rsidRPr="004E152D">
        <w:rPr>
          <w:rFonts w:ascii="Times New Roman" w:hAnsi="Times New Roman"/>
          <w:spacing w:val="-3"/>
          <w:sz w:val="24"/>
          <w:szCs w:val="24"/>
        </w:rPr>
        <w:t>assistance</w:t>
      </w:r>
      <w:r w:rsidRPr="004E152D">
        <w:rPr>
          <w:rFonts w:ascii="Times New Roman" w:hAnsi="Times New Roman"/>
          <w:sz w:val="24"/>
        </w:rPr>
        <w:t xml:space="preserve"> for 50% </w:t>
      </w:r>
      <w:r w:rsidR="003D4B88" w:rsidRPr="004E152D">
        <w:rPr>
          <w:rFonts w:ascii="Times New Roman" w:hAnsi="Times New Roman"/>
          <w:sz w:val="24"/>
        </w:rPr>
        <w:t>(</w:t>
      </w:r>
      <w:r w:rsidR="003452EB" w:rsidRPr="004E152D">
        <w:rPr>
          <w:rFonts w:ascii="Times New Roman" w:hAnsi="Times New Roman"/>
          <w:sz w:val="24"/>
        </w:rPr>
        <w:t>374</w:t>
      </w:r>
      <w:r w:rsidR="003D4B88" w:rsidRPr="004E152D">
        <w:rPr>
          <w:rFonts w:ascii="Times New Roman" w:hAnsi="Times New Roman"/>
          <w:sz w:val="24"/>
        </w:rPr>
        <w:t xml:space="preserve">) </w:t>
      </w:r>
      <w:r w:rsidR="000721D3" w:rsidRPr="004E152D">
        <w:rPr>
          <w:rFonts w:ascii="Times New Roman" w:hAnsi="Times New Roman"/>
          <w:sz w:val="24"/>
        </w:rPr>
        <w:t xml:space="preserve">of the </w:t>
      </w:r>
      <w:r w:rsidR="003452EB" w:rsidRPr="004E152D">
        <w:rPr>
          <w:rFonts w:ascii="Times New Roman" w:hAnsi="Times New Roman"/>
          <w:sz w:val="24"/>
        </w:rPr>
        <w:t>total number of responses</w:t>
      </w:r>
      <w:r w:rsidRPr="004E152D">
        <w:rPr>
          <w:rFonts w:ascii="Times New Roman" w:hAnsi="Times New Roman"/>
          <w:sz w:val="24"/>
        </w:rPr>
        <w:t>.</w:t>
      </w:r>
      <w:r w:rsidR="00BB7E46" w:rsidRPr="00473D6B">
        <w:rPr>
          <w:rStyle w:val="FootnoteReference"/>
          <w:rFonts w:ascii="Times New Roman" w:hAnsi="Times New Roman"/>
          <w:sz w:val="24"/>
        </w:rPr>
        <w:footnoteReference w:id="9"/>
      </w:r>
      <w:r w:rsidRPr="00473D6B">
        <w:rPr>
          <w:rFonts w:ascii="Times New Roman" w:hAnsi="Times New Roman"/>
          <w:sz w:val="24"/>
        </w:rPr>
        <w:t xml:space="preserve">  The cost of outside legal</w:t>
      </w:r>
      <w:r w:rsidR="00BB7E46" w:rsidRPr="00473D6B">
        <w:rPr>
          <w:rFonts w:ascii="Times New Roman" w:hAnsi="Times New Roman"/>
          <w:sz w:val="24"/>
        </w:rPr>
        <w:t xml:space="preserve"> </w:t>
      </w:r>
      <w:r w:rsidRPr="00A90261">
        <w:rPr>
          <w:rFonts w:ascii="Times New Roman" w:hAnsi="Times New Roman"/>
          <w:sz w:val="24"/>
        </w:rPr>
        <w:t>assistance is estimated at</w:t>
      </w:r>
      <w:r w:rsidR="003D4B88" w:rsidRPr="00A90261">
        <w:rPr>
          <w:rFonts w:ascii="Times New Roman" w:hAnsi="Times New Roman"/>
          <w:sz w:val="24"/>
        </w:rPr>
        <w:t xml:space="preserve"> </w:t>
      </w:r>
      <w:r w:rsidRPr="00401536">
        <w:rPr>
          <w:rFonts w:ascii="Times New Roman" w:hAnsi="Times New Roman"/>
          <w:sz w:val="24"/>
        </w:rPr>
        <w:t>$</w:t>
      </w:r>
      <w:r w:rsidR="00306F7A" w:rsidRPr="00401536">
        <w:rPr>
          <w:rFonts w:ascii="Times New Roman" w:hAnsi="Times New Roman"/>
          <w:sz w:val="24"/>
        </w:rPr>
        <w:t>3</w:t>
      </w:r>
      <w:r w:rsidRPr="00026335">
        <w:rPr>
          <w:rFonts w:ascii="Times New Roman" w:hAnsi="Times New Roman"/>
          <w:sz w:val="24"/>
        </w:rPr>
        <w:t>00 per hour.  This figure is based on a small survey of local firms in the D.C. area and</w:t>
      </w:r>
      <w:r w:rsidR="00BB7E46" w:rsidRPr="00644F93">
        <w:rPr>
          <w:rFonts w:ascii="Times New Roman" w:hAnsi="Times New Roman"/>
          <w:sz w:val="24"/>
        </w:rPr>
        <w:t xml:space="preserve"> </w:t>
      </w:r>
      <w:r w:rsidRPr="00CD229C">
        <w:rPr>
          <w:rFonts w:ascii="Times New Roman" w:hAnsi="Times New Roman"/>
          <w:sz w:val="24"/>
        </w:rPr>
        <w:t>is considered a conservative estimate.</w:t>
      </w:r>
    </w:p>
    <w:p w:rsidR="00DB5851" w:rsidRPr="004E152D" w:rsidRDefault="00DB5851">
      <w:pPr>
        <w:tabs>
          <w:tab w:val="left" w:pos="0"/>
        </w:tabs>
        <w:suppressAutoHyphens/>
        <w:rPr>
          <w:rFonts w:ascii="Times New Roman" w:hAnsi="Times New Roman"/>
          <w:b/>
          <w:sz w:val="24"/>
        </w:rPr>
      </w:pPr>
    </w:p>
    <w:p w:rsidR="00864D77" w:rsidRPr="004E152D" w:rsidRDefault="00864D77" w:rsidP="00864D77">
      <w:pPr>
        <w:tabs>
          <w:tab w:val="left" w:pos="0"/>
        </w:tabs>
        <w:suppressAutoHyphens/>
        <w:jc w:val="center"/>
        <w:rPr>
          <w:rFonts w:ascii="Times New Roman" w:hAnsi="Times New Roman"/>
          <w:b/>
          <w:sz w:val="24"/>
        </w:rPr>
      </w:pPr>
      <w:r w:rsidRPr="004E152D">
        <w:rPr>
          <w:rFonts w:ascii="Times New Roman" w:hAnsi="Times New Roman"/>
          <w:sz w:val="24"/>
        </w:rPr>
        <w:tab/>
      </w:r>
      <w:r w:rsidR="00CA7E6F" w:rsidRPr="004E152D">
        <w:rPr>
          <w:rFonts w:ascii="Times New Roman" w:hAnsi="Times New Roman"/>
          <w:sz w:val="24"/>
        </w:rPr>
        <w:t>374</w:t>
      </w:r>
      <w:r w:rsidR="000721D3" w:rsidRPr="004E152D">
        <w:rPr>
          <w:rFonts w:ascii="Times New Roman" w:hAnsi="Times New Roman"/>
          <w:sz w:val="24"/>
        </w:rPr>
        <w:t xml:space="preserve"> </w:t>
      </w:r>
      <w:r w:rsidR="00CA7E6F" w:rsidRPr="004E152D">
        <w:rPr>
          <w:rFonts w:ascii="Times New Roman" w:hAnsi="Times New Roman"/>
          <w:sz w:val="24"/>
        </w:rPr>
        <w:t>responses</w:t>
      </w:r>
      <w:r w:rsidR="000721D3" w:rsidRPr="004E152D">
        <w:rPr>
          <w:rFonts w:ascii="Times New Roman" w:hAnsi="Times New Roman"/>
          <w:sz w:val="24"/>
        </w:rPr>
        <w:t xml:space="preserve"> x</w:t>
      </w:r>
      <w:r w:rsidRPr="004E152D">
        <w:rPr>
          <w:rFonts w:ascii="Times New Roman" w:hAnsi="Times New Roman"/>
          <w:sz w:val="24"/>
        </w:rPr>
        <w:t xml:space="preserve"> $</w:t>
      </w:r>
      <w:r w:rsidR="00833408" w:rsidRPr="004E152D">
        <w:rPr>
          <w:rFonts w:ascii="Times New Roman" w:hAnsi="Times New Roman"/>
          <w:sz w:val="24"/>
        </w:rPr>
        <w:t>3</w:t>
      </w:r>
      <w:r w:rsidRPr="004E152D">
        <w:rPr>
          <w:rFonts w:ascii="Times New Roman" w:hAnsi="Times New Roman"/>
          <w:sz w:val="24"/>
        </w:rPr>
        <w:t>00 p</w:t>
      </w:r>
      <w:r w:rsidR="000721D3" w:rsidRPr="004E152D">
        <w:rPr>
          <w:rFonts w:ascii="Times New Roman" w:hAnsi="Times New Roman"/>
          <w:sz w:val="24"/>
        </w:rPr>
        <w:t xml:space="preserve">er </w:t>
      </w:r>
      <w:r w:rsidR="00CA7E6F" w:rsidRPr="004E152D">
        <w:rPr>
          <w:rFonts w:ascii="Times New Roman" w:hAnsi="Times New Roman"/>
          <w:sz w:val="24"/>
        </w:rPr>
        <w:t xml:space="preserve">hour x 4 hours per </w:t>
      </w:r>
      <w:proofErr w:type="gramStart"/>
      <w:r w:rsidR="00CA7E6F" w:rsidRPr="004E152D">
        <w:rPr>
          <w:rFonts w:ascii="Times New Roman" w:hAnsi="Times New Roman"/>
          <w:sz w:val="24"/>
        </w:rPr>
        <w:t xml:space="preserve">response </w:t>
      </w:r>
      <w:r w:rsidRPr="004E152D">
        <w:rPr>
          <w:rFonts w:ascii="Times New Roman" w:hAnsi="Times New Roman"/>
          <w:sz w:val="24"/>
        </w:rPr>
        <w:t xml:space="preserve"> =</w:t>
      </w:r>
      <w:proofErr w:type="gramEnd"/>
      <w:r w:rsidRPr="004E152D">
        <w:rPr>
          <w:rFonts w:ascii="Times New Roman" w:hAnsi="Times New Roman"/>
          <w:sz w:val="24"/>
        </w:rPr>
        <w:t xml:space="preserve"> </w:t>
      </w:r>
      <w:r w:rsidRPr="004E152D">
        <w:rPr>
          <w:rFonts w:ascii="Times New Roman" w:hAnsi="Times New Roman"/>
          <w:b/>
          <w:sz w:val="24"/>
        </w:rPr>
        <w:t>$</w:t>
      </w:r>
      <w:r w:rsidR="000721D3" w:rsidRPr="004E152D">
        <w:rPr>
          <w:rFonts w:ascii="Times New Roman" w:hAnsi="Times New Roman"/>
          <w:b/>
          <w:sz w:val="24"/>
        </w:rPr>
        <w:t>4</w:t>
      </w:r>
      <w:r w:rsidR="00CA7E6F" w:rsidRPr="004E152D">
        <w:rPr>
          <w:rFonts w:ascii="Times New Roman" w:hAnsi="Times New Roman"/>
          <w:b/>
          <w:sz w:val="24"/>
        </w:rPr>
        <w:t>48</w:t>
      </w:r>
      <w:r w:rsidR="002250FF" w:rsidRPr="004E152D">
        <w:rPr>
          <w:rFonts w:ascii="Times New Roman" w:hAnsi="Times New Roman"/>
          <w:b/>
          <w:sz w:val="24"/>
        </w:rPr>
        <w:t>,</w:t>
      </w:r>
      <w:r w:rsidR="00CA7E6F" w:rsidRPr="004E152D">
        <w:rPr>
          <w:rFonts w:ascii="Times New Roman" w:hAnsi="Times New Roman"/>
          <w:b/>
          <w:sz w:val="24"/>
        </w:rPr>
        <w:t>8</w:t>
      </w:r>
      <w:r w:rsidR="000721D3" w:rsidRPr="004E152D">
        <w:rPr>
          <w:rFonts w:ascii="Times New Roman" w:hAnsi="Times New Roman"/>
          <w:b/>
          <w:sz w:val="24"/>
        </w:rPr>
        <w:t>00</w:t>
      </w:r>
      <w:r w:rsidRPr="004E152D">
        <w:rPr>
          <w:rFonts w:ascii="Times New Roman" w:hAnsi="Times New Roman"/>
          <w:b/>
          <w:sz w:val="24"/>
        </w:rPr>
        <w:t xml:space="preserve"> Total Outside </w:t>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Pr="004E152D">
        <w:rPr>
          <w:rFonts w:ascii="Times New Roman" w:hAnsi="Times New Roman"/>
          <w:b/>
          <w:sz w:val="24"/>
        </w:rPr>
        <w:t>Legal Costs</w:t>
      </w:r>
    </w:p>
    <w:p w:rsidR="00864D77" w:rsidRPr="004E152D" w:rsidRDefault="00864D77">
      <w:pPr>
        <w:tabs>
          <w:tab w:val="left" w:pos="0"/>
        </w:tabs>
        <w:suppressAutoHyphens/>
        <w:rPr>
          <w:rFonts w:ascii="Times New Roman" w:hAnsi="Times New Roman"/>
          <w:b/>
          <w:sz w:val="24"/>
        </w:rPr>
      </w:pPr>
    </w:p>
    <w:p w:rsidR="00AD7D20" w:rsidRPr="004E152D" w:rsidRDefault="00240C36" w:rsidP="00AD7D20">
      <w:pPr>
        <w:tabs>
          <w:tab w:val="left" w:pos="-720"/>
          <w:tab w:val="left" w:pos="0"/>
        </w:tabs>
        <w:suppressAutoHyphens/>
        <w:ind w:right="720"/>
        <w:rPr>
          <w:rFonts w:ascii="Times New Roman" w:hAnsi="Times New Roman"/>
          <w:spacing w:val="-3"/>
          <w:sz w:val="24"/>
          <w:szCs w:val="24"/>
        </w:rPr>
      </w:pPr>
      <w:r w:rsidRPr="004E152D">
        <w:rPr>
          <w:rFonts w:ascii="Times New Roman" w:hAnsi="Times New Roman"/>
          <w:spacing w:val="-3"/>
          <w:sz w:val="24"/>
          <w:szCs w:val="24"/>
        </w:rPr>
        <w:tab/>
      </w:r>
      <w:r w:rsidR="00322B68" w:rsidRPr="004E152D">
        <w:rPr>
          <w:rFonts w:ascii="Times New Roman" w:hAnsi="Times New Roman"/>
          <w:spacing w:val="-3"/>
          <w:sz w:val="24"/>
          <w:szCs w:val="24"/>
          <w:u w:val="single"/>
        </w:rPr>
        <w:t>Application Filing Fees</w:t>
      </w:r>
      <w:r w:rsidR="00322B68" w:rsidRPr="004E152D">
        <w:rPr>
          <w:rFonts w:ascii="Times New Roman" w:hAnsi="Times New Roman"/>
          <w:b/>
          <w:spacing w:val="-3"/>
          <w:sz w:val="24"/>
          <w:szCs w:val="24"/>
          <w:u w:val="single"/>
        </w:rPr>
        <w:t>:</w:t>
      </w:r>
      <w:r w:rsidR="00322B68" w:rsidRPr="004E152D">
        <w:rPr>
          <w:rFonts w:ascii="Times New Roman" w:hAnsi="Times New Roman"/>
          <w:b/>
          <w:spacing w:val="-3"/>
          <w:sz w:val="24"/>
          <w:szCs w:val="24"/>
        </w:rPr>
        <w:t xml:space="preserve">   </w:t>
      </w:r>
      <w:r w:rsidR="00322B68" w:rsidRPr="004E152D">
        <w:rPr>
          <w:rFonts w:ascii="Times New Roman" w:hAnsi="Times New Roman"/>
          <w:spacing w:val="-3"/>
          <w:sz w:val="24"/>
          <w:szCs w:val="24"/>
        </w:rPr>
        <w:t xml:space="preserve">Part 214-related application </w:t>
      </w:r>
      <w:r w:rsidR="000721D3" w:rsidRPr="004E152D">
        <w:rPr>
          <w:rFonts w:ascii="Times New Roman" w:hAnsi="Times New Roman"/>
          <w:spacing w:val="-3"/>
          <w:sz w:val="24"/>
          <w:szCs w:val="24"/>
        </w:rPr>
        <w:t>fees are $1,050</w:t>
      </w:r>
      <w:r w:rsidR="00322B68"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The</w:t>
      </w:r>
      <w:r w:rsidR="00C610CB" w:rsidRPr="004E152D">
        <w:rPr>
          <w:rFonts w:ascii="Times New Roman" w:hAnsi="Times New Roman"/>
          <w:spacing w:val="-3"/>
          <w:sz w:val="24"/>
          <w:szCs w:val="24"/>
        </w:rPr>
        <w:t xml:space="preserve"> annualized application fees collected by the FCC for FY2011, 2012 and 2013 are the following:</w:t>
      </w:r>
      <w:r w:rsidR="005A5FF1" w:rsidRPr="004E152D">
        <w:rPr>
          <w:rFonts w:ascii="Times New Roman" w:hAnsi="Times New Roman"/>
          <w:spacing w:val="-3"/>
          <w:sz w:val="24"/>
          <w:szCs w:val="24"/>
        </w:rPr>
        <w:t xml:space="preserve"> 180</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(Section 214 applica</w:t>
      </w:r>
      <w:r w:rsidR="004278A4" w:rsidRPr="004E152D">
        <w:rPr>
          <w:rFonts w:ascii="Times New Roman" w:hAnsi="Times New Roman"/>
          <w:spacing w:val="-3"/>
          <w:sz w:val="24"/>
          <w:szCs w:val="24"/>
        </w:rPr>
        <w:t>tions</w:t>
      </w:r>
      <w:r w:rsidR="005A5FF1" w:rsidRPr="004E152D">
        <w:rPr>
          <w:rFonts w:ascii="Times New Roman" w:hAnsi="Times New Roman"/>
          <w:spacing w:val="-3"/>
          <w:sz w:val="24"/>
          <w:szCs w:val="24"/>
        </w:rPr>
        <w:t>) + 83</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w:t>
      </w:r>
      <w:r w:rsidR="005A5FF1" w:rsidRPr="004E152D">
        <w:rPr>
          <w:rFonts w:ascii="Times New Roman" w:hAnsi="Times New Roman"/>
          <w:spacing w:val="-3"/>
          <w:sz w:val="24"/>
          <w:szCs w:val="24"/>
        </w:rPr>
        <w:t xml:space="preserve">substantial assignments and </w:t>
      </w:r>
      <w:r w:rsidR="00AD7D20" w:rsidRPr="004E152D">
        <w:rPr>
          <w:rFonts w:ascii="Times New Roman" w:hAnsi="Times New Roman"/>
          <w:spacing w:val="-3"/>
          <w:sz w:val="24"/>
          <w:szCs w:val="24"/>
        </w:rPr>
        <w:t>transfers of control</w:t>
      </w:r>
      <w:r w:rsidR="004278A4" w:rsidRPr="004E152D">
        <w:rPr>
          <w:rFonts w:ascii="Times New Roman" w:hAnsi="Times New Roman"/>
          <w:spacing w:val="-3"/>
          <w:sz w:val="24"/>
          <w:szCs w:val="24"/>
        </w:rPr>
        <w:t xml:space="preserve"> applications</w:t>
      </w:r>
      <w:r w:rsidR="00AD7D20" w:rsidRPr="004E152D">
        <w:rPr>
          <w:rFonts w:ascii="Times New Roman" w:hAnsi="Times New Roman"/>
          <w:spacing w:val="-3"/>
          <w:sz w:val="24"/>
          <w:szCs w:val="24"/>
        </w:rPr>
        <w:t>)</w:t>
      </w:r>
      <w:r w:rsidR="005A5FF1" w:rsidRPr="004E152D">
        <w:rPr>
          <w:rFonts w:ascii="Times New Roman" w:hAnsi="Times New Roman"/>
          <w:spacing w:val="-3"/>
          <w:sz w:val="24"/>
          <w:szCs w:val="24"/>
        </w:rPr>
        <w:t xml:space="preserve"> + 29</w:t>
      </w:r>
      <w:r w:rsidR="006605E7" w:rsidRPr="004E152D">
        <w:rPr>
          <w:rFonts w:ascii="Times New Roman" w:hAnsi="Times New Roman"/>
          <w:spacing w:val="-3"/>
          <w:sz w:val="24"/>
          <w:szCs w:val="24"/>
        </w:rPr>
        <w:t xml:space="preserve"> responses (request for special temporary </w:t>
      </w:r>
      <w:r w:rsidR="006605E7" w:rsidRPr="00CD229C">
        <w:rPr>
          <w:rFonts w:ascii="Times New Roman" w:hAnsi="Times New Roman"/>
          <w:spacing w:val="-3"/>
          <w:sz w:val="24"/>
          <w:szCs w:val="24"/>
        </w:rPr>
        <w:t>authority applications)</w:t>
      </w:r>
      <w:r w:rsidR="005A5FF1" w:rsidRPr="004E152D">
        <w:rPr>
          <w:rFonts w:ascii="Times New Roman" w:hAnsi="Times New Roman"/>
          <w:spacing w:val="-3"/>
          <w:sz w:val="24"/>
          <w:szCs w:val="24"/>
        </w:rPr>
        <w:t xml:space="preserve"> = 292</w:t>
      </w:r>
      <w:r w:rsidR="00AD7D20" w:rsidRPr="004E152D">
        <w:rPr>
          <w:rFonts w:ascii="Times New Roman" w:hAnsi="Times New Roman"/>
          <w:spacing w:val="-3"/>
          <w:sz w:val="24"/>
          <w:szCs w:val="24"/>
        </w:rPr>
        <w:t xml:space="preserve"> applicants.</w:t>
      </w:r>
    </w:p>
    <w:p w:rsidR="00AD7D20" w:rsidRPr="004E152D" w:rsidRDefault="00AD7D20" w:rsidP="00AD7D20">
      <w:pPr>
        <w:tabs>
          <w:tab w:val="left" w:pos="-720"/>
          <w:tab w:val="left" w:pos="0"/>
        </w:tabs>
        <w:suppressAutoHyphens/>
        <w:ind w:right="720"/>
        <w:rPr>
          <w:rFonts w:ascii="Times New Roman" w:hAnsi="Times New Roman"/>
          <w:spacing w:val="-3"/>
          <w:sz w:val="24"/>
          <w:szCs w:val="24"/>
        </w:rPr>
      </w:pPr>
    </w:p>
    <w:p w:rsidR="005A0F06" w:rsidRPr="004E152D" w:rsidRDefault="000926DE" w:rsidP="00AD7D20">
      <w:pPr>
        <w:tabs>
          <w:tab w:val="left" w:pos="-720"/>
          <w:tab w:val="left" w:pos="0"/>
        </w:tabs>
        <w:suppressAutoHyphens/>
        <w:ind w:right="720"/>
        <w:rPr>
          <w:rFonts w:ascii="Times New Roman" w:hAnsi="Times New Roman"/>
          <w:b/>
          <w:spacing w:val="-3"/>
          <w:sz w:val="24"/>
          <w:szCs w:val="24"/>
        </w:rPr>
      </w:pPr>
      <w:r w:rsidRPr="004E152D">
        <w:rPr>
          <w:rFonts w:ascii="Times New Roman" w:hAnsi="Times New Roman"/>
          <w:spacing w:val="-3"/>
          <w:sz w:val="24"/>
          <w:szCs w:val="24"/>
        </w:rPr>
        <w:tab/>
      </w:r>
      <w:r w:rsidR="00AD7D20" w:rsidRPr="004E152D">
        <w:rPr>
          <w:rFonts w:ascii="Times New Roman" w:hAnsi="Times New Roman"/>
          <w:spacing w:val="-3"/>
          <w:sz w:val="24"/>
          <w:szCs w:val="24"/>
        </w:rPr>
        <w:t xml:space="preserve">A total of </w:t>
      </w:r>
      <w:r w:rsidR="005A5FF1" w:rsidRPr="004E152D">
        <w:rPr>
          <w:rFonts w:ascii="Times New Roman" w:hAnsi="Times New Roman"/>
          <w:spacing w:val="-3"/>
          <w:sz w:val="24"/>
          <w:szCs w:val="24"/>
        </w:rPr>
        <w:t>292</w:t>
      </w:r>
      <w:r w:rsidR="00974013"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respon</w:t>
      </w:r>
      <w:r w:rsidR="005D5728" w:rsidRPr="004E152D">
        <w:rPr>
          <w:rFonts w:ascii="Times New Roman" w:hAnsi="Times New Roman"/>
          <w:spacing w:val="-3"/>
          <w:sz w:val="24"/>
          <w:szCs w:val="24"/>
        </w:rPr>
        <w:t>dents</w:t>
      </w:r>
      <w:r w:rsidR="004278A4" w:rsidRPr="004E152D">
        <w:rPr>
          <w:rFonts w:ascii="Times New Roman" w:hAnsi="Times New Roman"/>
          <w:spacing w:val="-3"/>
          <w:sz w:val="24"/>
          <w:szCs w:val="24"/>
        </w:rPr>
        <w:t>/applica</w:t>
      </w:r>
      <w:r w:rsidR="005D5728" w:rsidRPr="004E152D">
        <w:rPr>
          <w:rFonts w:ascii="Times New Roman" w:hAnsi="Times New Roman"/>
          <w:spacing w:val="-3"/>
          <w:sz w:val="24"/>
          <w:szCs w:val="24"/>
        </w:rPr>
        <w:t>nts</w:t>
      </w:r>
      <w:r w:rsidR="005A5FF1" w:rsidRPr="004E152D">
        <w:rPr>
          <w:rFonts w:ascii="Times New Roman" w:hAnsi="Times New Roman"/>
          <w:spacing w:val="-3"/>
          <w:sz w:val="24"/>
          <w:szCs w:val="24"/>
        </w:rPr>
        <w:t xml:space="preserve"> x $1,050/application</w:t>
      </w:r>
      <w:r w:rsidR="00AD7D20"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 xml:space="preserve">= </w:t>
      </w:r>
      <w:r w:rsidR="00CC5F17" w:rsidRPr="004E152D">
        <w:rPr>
          <w:rFonts w:ascii="Times New Roman" w:hAnsi="Times New Roman"/>
          <w:b/>
          <w:spacing w:val="-3"/>
          <w:sz w:val="24"/>
          <w:szCs w:val="24"/>
        </w:rPr>
        <w:t>$</w:t>
      </w:r>
      <w:r w:rsidR="005A5FF1" w:rsidRPr="004E152D">
        <w:rPr>
          <w:rFonts w:ascii="Times New Roman" w:hAnsi="Times New Roman"/>
          <w:b/>
          <w:spacing w:val="-3"/>
          <w:sz w:val="24"/>
          <w:szCs w:val="24"/>
        </w:rPr>
        <w:t>306,600</w:t>
      </w:r>
      <w:r w:rsidR="007A37CC" w:rsidRPr="004E152D">
        <w:rPr>
          <w:rFonts w:ascii="Times New Roman" w:hAnsi="Times New Roman"/>
          <w:b/>
          <w:spacing w:val="-3"/>
          <w:sz w:val="24"/>
          <w:szCs w:val="24"/>
        </w:rPr>
        <w:t xml:space="preserve"> Total </w:t>
      </w:r>
      <w:r w:rsidR="004278A4" w:rsidRPr="004E152D">
        <w:rPr>
          <w:rFonts w:ascii="Times New Roman" w:hAnsi="Times New Roman"/>
          <w:b/>
          <w:spacing w:val="-3"/>
          <w:sz w:val="24"/>
          <w:szCs w:val="24"/>
        </w:rPr>
        <w:tab/>
      </w:r>
    </w:p>
    <w:p w:rsidR="000E6E58" w:rsidRPr="004E152D" w:rsidRDefault="004278A4" w:rsidP="00AD7D20">
      <w:pPr>
        <w:tabs>
          <w:tab w:val="left" w:pos="-720"/>
          <w:tab w:val="left" w:pos="0"/>
        </w:tabs>
        <w:suppressAutoHyphens/>
        <w:ind w:right="720"/>
        <w:rPr>
          <w:rFonts w:ascii="Times New Roman" w:hAnsi="Times New Roman"/>
          <w:bCs/>
          <w:spacing w:val="-3"/>
          <w:sz w:val="24"/>
          <w:szCs w:val="24"/>
          <w:u w:val="single"/>
        </w:rPr>
      </w:pP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t xml:space="preserve">         </w:t>
      </w:r>
      <w:r w:rsidR="007A37CC" w:rsidRPr="004E152D">
        <w:rPr>
          <w:rFonts w:ascii="Times New Roman" w:hAnsi="Times New Roman"/>
          <w:b/>
          <w:spacing w:val="-3"/>
          <w:sz w:val="24"/>
          <w:szCs w:val="24"/>
        </w:rPr>
        <w:t>Application Fees</w:t>
      </w:r>
    </w:p>
    <w:p w:rsidR="000E6E58" w:rsidRPr="004E152D" w:rsidRDefault="000E6E58" w:rsidP="00AD7D20">
      <w:pPr>
        <w:tabs>
          <w:tab w:val="left" w:pos="-720"/>
          <w:tab w:val="left" w:pos="0"/>
        </w:tabs>
        <w:suppressAutoHyphens/>
        <w:ind w:right="720"/>
        <w:rPr>
          <w:rFonts w:ascii="Times New Roman" w:hAnsi="Times New Roman"/>
          <w:b/>
          <w:bCs/>
          <w:spacing w:val="-3"/>
          <w:sz w:val="24"/>
          <w:szCs w:val="24"/>
        </w:rPr>
      </w:pPr>
    </w:p>
    <w:p w:rsidR="005A0F06" w:rsidRPr="004E152D" w:rsidRDefault="005A0F06" w:rsidP="00AD7D20">
      <w:pPr>
        <w:tabs>
          <w:tab w:val="left" w:pos="-720"/>
          <w:tab w:val="left" w:pos="0"/>
        </w:tabs>
        <w:suppressAutoHyphens/>
        <w:ind w:right="720"/>
        <w:rPr>
          <w:rFonts w:ascii="Times New Roman" w:hAnsi="Times New Roman"/>
          <w:b/>
          <w:bCs/>
          <w:spacing w:val="-3"/>
          <w:sz w:val="24"/>
          <w:szCs w:val="24"/>
        </w:rPr>
      </w:pPr>
    </w:p>
    <w:p w:rsidR="00AD7D20" w:rsidRPr="004E152D" w:rsidRDefault="003D4B88" w:rsidP="00AD7D20">
      <w:pPr>
        <w:tabs>
          <w:tab w:val="left" w:pos="-720"/>
          <w:tab w:val="left" w:pos="0"/>
        </w:tabs>
        <w:suppressAutoHyphens/>
        <w:ind w:right="720"/>
        <w:rPr>
          <w:rFonts w:ascii="Times New Roman" w:hAnsi="Times New Roman"/>
          <w:b/>
          <w:bCs/>
          <w:spacing w:val="-3"/>
          <w:sz w:val="24"/>
          <w:szCs w:val="24"/>
        </w:rPr>
      </w:pPr>
      <w:r w:rsidRPr="004E152D">
        <w:rPr>
          <w:rFonts w:ascii="Times New Roman" w:hAnsi="Times New Roman"/>
          <w:b/>
          <w:bCs/>
          <w:spacing w:val="-3"/>
          <w:sz w:val="24"/>
          <w:szCs w:val="24"/>
        </w:rPr>
        <w:tab/>
      </w:r>
      <w:r w:rsidR="000926DE" w:rsidRPr="004E152D">
        <w:rPr>
          <w:rFonts w:ascii="Times New Roman" w:hAnsi="Times New Roman"/>
          <w:bCs/>
          <w:spacing w:val="-3"/>
          <w:sz w:val="24"/>
          <w:szCs w:val="24"/>
        </w:rPr>
        <w:t>(c)</w:t>
      </w:r>
      <w:proofErr w:type="gramStart"/>
      <w:r w:rsidR="000926DE" w:rsidRPr="004E152D">
        <w:rPr>
          <w:rFonts w:ascii="Times New Roman" w:hAnsi="Times New Roman"/>
          <w:bCs/>
          <w:spacing w:val="-3"/>
          <w:sz w:val="24"/>
          <w:szCs w:val="24"/>
        </w:rPr>
        <w:t>.</w:t>
      </w:r>
      <w:r w:rsidR="000926DE" w:rsidRPr="004E152D">
        <w:rPr>
          <w:rFonts w:ascii="Times New Roman" w:hAnsi="Times New Roman"/>
          <w:b/>
          <w:bCs/>
          <w:spacing w:val="-3"/>
          <w:sz w:val="24"/>
          <w:szCs w:val="24"/>
        </w:rPr>
        <w:t xml:space="preserve">  Total</w:t>
      </w:r>
      <w:proofErr w:type="gramEnd"/>
      <w:r w:rsidR="000926DE" w:rsidRPr="004E152D">
        <w:rPr>
          <w:rFonts w:ascii="Times New Roman" w:hAnsi="Times New Roman"/>
          <w:b/>
          <w:bCs/>
          <w:spacing w:val="-3"/>
          <w:sz w:val="24"/>
          <w:szCs w:val="24"/>
        </w:rPr>
        <w:t xml:space="preserve">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D7D20" w:rsidRPr="004E152D" w:rsidTr="003D1859">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5F3971" w:rsidRPr="004E152D" w:rsidRDefault="005F3971"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 xml:space="preserve">Description of </w:t>
            </w:r>
            <w:r w:rsidR="00D74A63" w:rsidRPr="004E152D">
              <w:rPr>
                <w:rFonts w:ascii="Times New Roman" w:hAnsi="Times New Roman"/>
                <w:b/>
                <w:spacing w:val="-3"/>
                <w:sz w:val="24"/>
                <w:szCs w:val="24"/>
              </w:rPr>
              <w:t xml:space="preserve">Estimated Costs </w:t>
            </w:r>
          </w:p>
          <w:p w:rsidR="00AD7D20"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 Respondents</w:t>
            </w:r>
          </w:p>
        </w:tc>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AD7D20" w:rsidRPr="004E152D" w:rsidRDefault="00AD7D20"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w:t>
            </w:r>
            <w:r w:rsidR="001F1E6B" w:rsidRPr="004E152D">
              <w:rPr>
                <w:rFonts w:ascii="Times New Roman" w:hAnsi="Times New Roman"/>
                <w:b/>
                <w:spacing w:val="-3"/>
                <w:sz w:val="24"/>
                <w:szCs w:val="24"/>
              </w:rPr>
              <w:t xml:space="preserve"> Costs</w:t>
            </w:r>
          </w:p>
        </w:tc>
      </w:tr>
      <w:tr w:rsidR="00DC006E" w:rsidRPr="004E152D" w:rsidTr="003D1859">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z w:val="24"/>
              </w:rPr>
            </w:pPr>
          </w:p>
        </w:tc>
      </w:tr>
      <w:tr w:rsidR="00AD7D20" w:rsidRPr="004E152D" w:rsidTr="003D1859">
        <w:tc>
          <w:tcPr>
            <w:tcW w:w="4788" w:type="dxa"/>
            <w:shd w:val="clear" w:color="auto" w:fill="auto"/>
          </w:tcPr>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Outside Legal</w:t>
            </w:r>
            <w:r w:rsidR="008C1564" w:rsidRPr="004E152D">
              <w:rPr>
                <w:rFonts w:ascii="Times New Roman" w:hAnsi="Times New Roman"/>
                <w:spacing w:val="-3"/>
                <w:sz w:val="24"/>
                <w:szCs w:val="24"/>
              </w:rPr>
              <w:t xml:space="preserve"> </w:t>
            </w:r>
            <w:r w:rsidRPr="004E152D">
              <w:rPr>
                <w:rFonts w:ascii="Times New Roman" w:hAnsi="Times New Roman"/>
                <w:spacing w:val="-3"/>
                <w:sz w:val="24"/>
                <w:szCs w:val="24"/>
              </w:rPr>
              <w:t>Assistance</w:t>
            </w:r>
          </w:p>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AD7D20"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sz w:val="24"/>
              </w:rPr>
              <w:t>$</w:t>
            </w:r>
            <w:r w:rsidR="002250FF" w:rsidRPr="004E152D">
              <w:rPr>
                <w:rFonts w:ascii="Times New Roman" w:hAnsi="Times New Roman"/>
                <w:sz w:val="24"/>
              </w:rPr>
              <w:t>4</w:t>
            </w:r>
            <w:r w:rsidR="00ED2FAD" w:rsidRPr="004E152D">
              <w:rPr>
                <w:rFonts w:ascii="Times New Roman" w:hAnsi="Times New Roman"/>
                <w:sz w:val="24"/>
              </w:rPr>
              <w:t>48</w:t>
            </w:r>
            <w:r w:rsidR="002250FF" w:rsidRPr="004E152D">
              <w:rPr>
                <w:rFonts w:ascii="Times New Roman" w:hAnsi="Times New Roman"/>
                <w:sz w:val="24"/>
              </w:rPr>
              <w:t>,</w:t>
            </w:r>
            <w:r w:rsidR="00ED2FAD" w:rsidRPr="004E152D">
              <w:rPr>
                <w:rFonts w:ascii="Times New Roman" w:hAnsi="Times New Roman"/>
                <w:sz w:val="24"/>
              </w:rPr>
              <w:t>8</w:t>
            </w:r>
            <w:r w:rsidR="005A5FF1" w:rsidRPr="004E152D">
              <w:rPr>
                <w:rFonts w:ascii="Times New Roman" w:hAnsi="Times New Roman"/>
                <w:sz w:val="24"/>
              </w:rPr>
              <w:t>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 xml:space="preserve">Application Filing Fees </w:t>
            </w:r>
          </w:p>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74A63" w:rsidRPr="004E152D" w:rsidRDefault="005A5FF1"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spacing w:val="-3"/>
                <w:sz w:val="24"/>
                <w:szCs w:val="24"/>
              </w:rPr>
              <w:t>$306,600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 Cost to Respondents</w:t>
            </w:r>
          </w:p>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p>
        </w:tc>
        <w:tc>
          <w:tcPr>
            <w:tcW w:w="4788" w:type="dxa"/>
            <w:shd w:val="clear" w:color="auto" w:fill="auto"/>
          </w:tcPr>
          <w:p w:rsidR="00D74A63" w:rsidRPr="004E152D" w:rsidRDefault="00081607"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w:t>
            </w:r>
            <w:r w:rsidR="00227A7A" w:rsidRPr="004E152D">
              <w:rPr>
                <w:rFonts w:ascii="Times New Roman" w:hAnsi="Times New Roman"/>
                <w:b/>
                <w:spacing w:val="-3"/>
                <w:sz w:val="24"/>
                <w:szCs w:val="24"/>
              </w:rPr>
              <w:t>7</w:t>
            </w:r>
            <w:r w:rsidR="00ED2FAD" w:rsidRPr="004E152D">
              <w:rPr>
                <w:rFonts w:ascii="Times New Roman" w:hAnsi="Times New Roman"/>
                <w:b/>
                <w:spacing w:val="-3"/>
                <w:sz w:val="24"/>
                <w:szCs w:val="24"/>
              </w:rPr>
              <w:t>55</w:t>
            </w:r>
            <w:r w:rsidR="00227A7A" w:rsidRPr="004E152D">
              <w:rPr>
                <w:rFonts w:ascii="Times New Roman" w:hAnsi="Times New Roman"/>
                <w:b/>
                <w:spacing w:val="-3"/>
                <w:sz w:val="24"/>
                <w:szCs w:val="24"/>
              </w:rPr>
              <w:t>,</w:t>
            </w:r>
            <w:r w:rsidR="00ED2FAD" w:rsidRPr="004E152D">
              <w:rPr>
                <w:rFonts w:ascii="Times New Roman" w:hAnsi="Times New Roman"/>
                <w:b/>
                <w:spacing w:val="-3"/>
                <w:sz w:val="24"/>
                <w:szCs w:val="24"/>
              </w:rPr>
              <w:t>4</w:t>
            </w:r>
            <w:r w:rsidR="00227A7A" w:rsidRPr="004E152D">
              <w:rPr>
                <w:rFonts w:ascii="Times New Roman" w:hAnsi="Times New Roman"/>
                <w:b/>
                <w:spacing w:val="-3"/>
                <w:sz w:val="24"/>
                <w:szCs w:val="24"/>
              </w:rPr>
              <w:t>00</w:t>
            </w:r>
          </w:p>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p>
        </w:tc>
      </w:tr>
    </w:tbl>
    <w:p w:rsidR="00BA0AFA" w:rsidRPr="004E152D" w:rsidRDefault="00BA0AFA" w:rsidP="00BA0AFA">
      <w:pPr>
        <w:tabs>
          <w:tab w:val="left" w:pos="-720"/>
          <w:tab w:val="left" w:pos="0"/>
        </w:tabs>
        <w:suppressAutoHyphens/>
        <w:ind w:left="182" w:hanging="182"/>
      </w:pPr>
    </w:p>
    <w:p w:rsidR="00F418CA" w:rsidRPr="004E152D" w:rsidRDefault="00F418CA" w:rsidP="00BA0AFA">
      <w:pPr>
        <w:tabs>
          <w:tab w:val="left" w:pos="-720"/>
          <w:tab w:val="left" w:pos="0"/>
        </w:tabs>
        <w:suppressAutoHyphens/>
        <w:ind w:left="182" w:hanging="182"/>
        <w:rPr>
          <w:rFonts w:ascii="Times New Roman" w:hAnsi="Times New Roman"/>
          <w:sz w:val="24"/>
          <w:szCs w:val="24"/>
        </w:rPr>
      </w:pPr>
    </w:p>
    <w:p w:rsidR="00BA0AFA" w:rsidRPr="004E152D" w:rsidRDefault="00BA0AFA" w:rsidP="00BA0AFA">
      <w:pPr>
        <w:tabs>
          <w:tab w:val="left" w:pos="-720"/>
          <w:tab w:val="left" w:pos="0"/>
        </w:tabs>
        <w:suppressAutoHyphens/>
        <w:ind w:left="182" w:hanging="182"/>
        <w:rPr>
          <w:rFonts w:ascii="Times New Roman" w:hAnsi="Times New Roman"/>
          <w:sz w:val="24"/>
          <w:szCs w:val="24"/>
        </w:rPr>
      </w:pPr>
      <w:r w:rsidRPr="004E152D">
        <w:rPr>
          <w:rFonts w:ascii="Times New Roman" w:hAnsi="Times New Roman"/>
          <w:sz w:val="24"/>
          <w:szCs w:val="24"/>
        </w:rPr>
        <w:t>14.   Estimates of Annualized Cost to the Federal Government:</w:t>
      </w:r>
    </w:p>
    <w:p w:rsidR="00BA0AFA" w:rsidRPr="004E152D" w:rsidRDefault="00BA0AFA" w:rsidP="00BA0AFA">
      <w:pPr>
        <w:tabs>
          <w:tab w:val="left" w:pos="-720"/>
        </w:tabs>
        <w:suppressAutoHyphens/>
        <w:rPr>
          <w:rFonts w:ascii="Times New Roman" w:hAnsi="Times New Roman"/>
          <w:sz w:val="24"/>
          <w:szCs w:val="24"/>
        </w:rPr>
      </w:pPr>
    </w:p>
    <w:p w:rsidR="00BA0AFA" w:rsidRPr="00473D6B" w:rsidRDefault="00322B68" w:rsidP="00BA0AFA">
      <w:pPr>
        <w:tabs>
          <w:tab w:val="left" w:pos="-720"/>
        </w:tabs>
        <w:suppressAutoHyphens/>
        <w:rPr>
          <w:rFonts w:ascii="Times New Roman" w:hAnsi="Times New Roman"/>
          <w:sz w:val="24"/>
          <w:szCs w:val="24"/>
        </w:rPr>
      </w:pPr>
      <w:r w:rsidRPr="004E152D">
        <w:rPr>
          <w:rFonts w:ascii="Times New Roman" w:hAnsi="Times New Roman"/>
          <w:sz w:val="24"/>
          <w:szCs w:val="24"/>
        </w:rPr>
        <w:t xml:space="preserve">The estimates of annualized cost to the Federal government are summarized in the chart below.  </w:t>
      </w:r>
      <w:r w:rsidR="00BA0AFA" w:rsidRPr="004E152D">
        <w:rPr>
          <w:rFonts w:ascii="Times New Roman" w:hAnsi="Times New Roman"/>
          <w:sz w:val="24"/>
          <w:szCs w:val="24"/>
        </w:rPr>
        <w:t xml:space="preserve">As shown in the chart, the annualized costs to the Federal government are </w:t>
      </w:r>
      <w:r w:rsidR="00BA0AFA" w:rsidRPr="004E152D">
        <w:rPr>
          <w:rFonts w:ascii="Times New Roman" w:hAnsi="Times New Roman"/>
          <w:sz w:val="24"/>
          <w:szCs w:val="24"/>
          <w:u w:val="single"/>
        </w:rPr>
        <w:t>$</w:t>
      </w:r>
      <w:r w:rsidR="00F418CA" w:rsidRPr="004E152D">
        <w:rPr>
          <w:rFonts w:ascii="Times New Roman" w:hAnsi="Times New Roman"/>
          <w:sz w:val="24"/>
          <w:szCs w:val="24"/>
          <w:u w:val="single"/>
        </w:rPr>
        <w:t>407,796</w:t>
      </w:r>
      <w:r w:rsidR="006B4ACF" w:rsidRPr="004E152D">
        <w:rPr>
          <w:rFonts w:ascii="Times New Roman" w:hAnsi="Times New Roman"/>
          <w:sz w:val="24"/>
          <w:szCs w:val="24"/>
          <w:u w:val="single"/>
        </w:rPr>
        <w:t>.</w:t>
      </w:r>
    </w:p>
    <w:p w:rsidR="00437399" w:rsidRPr="00A90261" w:rsidRDefault="00437399" w:rsidP="00BA0AFA">
      <w:pPr>
        <w:tabs>
          <w:tab w:val="left" w:pos="-720"/>
        </w:tabs>
        <w:suppressAutoHyphens/>
        <w:rPr>
          <w:rFonts w:ascii="Times New Roman" w:hAnsi="Times New Roman"/>
          <w:sz w:val="24"/>
          <w:szCs w:val="24"/>
        </w:rPr>
      </w:pPr>
    </w:p>
    <w:tbl>
      <w:tblPr>
        <w:tblW w:w="7910" w:type="dxa"/>
        <w:tblInd w:w="93" w:type="dxa"/>
        <w:tblLook w:val="0000" w:firstRow="0" w:lastRow="0" w:firstColumn="0" w:lastColumn="0" w:noHBand="0" w:noVBand="0"/>
      </w:tblPr>
      <w:tblGrid>
        <w:gridCol w:w="2350"/>
        <w:gridCol w:w="1500"/>
        <w:gridCol w:w="1380"/>
        <w:gridCol w:w="1160"/>
        <w:gridCol w:w="1520"/>
      </w:tblGrid>
      <w:tr w:rsidR="00437399" w:rsidRPr="004E152D">
        <w:trPr>
          <w:trHeight w:val="315"/>
        </w:trPr>
        <w:tc>
          <w:tcPr>
            <w:tcW w:w="2350" w:type="dxa"/>
            <w:tcBorders>
              <w:top w:val="nil"/>
              <w:left w:val="nil"/>
              <w:bottom w:val="nil"/>
              <w:right w:val="nil"/>
            </w:tcBorders>
            <w:shd w:val="clear" w:color="auto" w:fill="auto"/>
            <w:noWrap/>
            <w:vAlign w:val="bottom"/>
          </w:tcPr>
          <w:p w:rsidR="00437399" w:rsidRPr="00644F93" w:rsidRDefault="00437399" w:rsidP="00437399">
            <w:pPr>
              <w:widowControl/>
              <w:rPr>
                <w:rFonts w:ascii="Arial" w:hAnsi="Arial" w:cs="Arial"/>
                <w:snapToGrid/>
              </w:rPr>
            </w:pP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r>
      <w:tr w:rsidR="00437399" w:rsidRPr="004E152D">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Federal Government</w:t>
            </w: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Number</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Salary</w:t>
            </w: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Burden</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Annualized</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Staff</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of Staff</w:t>
            </w:r>
          </w:p>
        </w:tc>
        <w:tc>
          <w:tcPr>
            <w:tcW w:w="138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Per Hour</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Hours</w:t>
            </w:r>
          </w:p>
        </w:tc>
        <w:tc>
          <w:tcPr>
            <w:tcW w:w="152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Costs</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GS-15/Step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9D43F1" w:rsidP="00437399">
            <w:pPr>
              <w:widowControl/>
              <w:jc w:val="center"/>
              <w:rPr>
                <w:rFonts w:ascii="Times New Roman" w:hAnsi="Times New Roman"/>
                <w:snapToGrid/>
                <w:sz w:val="24"/>
                <w:szCs w:val="24"/>
              </w:rPr>
            </w:pPr>
            <w:r w:rsidRPr="004E152D">
              <w:rPr>
                <w:rFonts w:ascii="Times New Roman" w:hAnsi="Times New Roman"/>
                <w:snapToGrid/>
                <w:sz w:val="24"/>
                <w:szCs w:val="24"/>
              </w:rPr>
              <w:t>3</w:t>
            </w:r>
          </w:p>
        </w:tc>
        <w:tc>
          <w:tcPr>
            <w:tcW w:w="1380" w:type="dxa"/>
            <w:tcBorders>
              <w:top w:val="nil"/>
              <w:left w:val="nil"/>
              <w:bottom w:val="single" w:sz="8" w:space="0" w:color="auto"/>
              <w:right w:val="nil"/>
            </w:tcBorders>
            <w:shd w:val="clear" w:color="auto" w:fill="auto"/>
            <w:noWrap/>
            <w:vAlign w:val="bottom"/>
          </w:tcPr>
          <w:p w:rsidR="00437399" w:rsidRPr="004E152D" w:rsidRDefault="00437399" w:rsidP="00227A7A">
            <w:pPr>
              <w:widowControl/>
              <w:jc w:val="center"/>
              <w:rPr>
                <w:rFonts w:ascii="Times New Roman" w:hAnsi="Times New Roman"/>
                <w:snapToGrid/>
                <w:sz w:val="24"/>
                <w:szCs w:val="24"/>
              </w:rPr>
            </w:pPr>
            <w:r w:rsidRPr="004E152D">
              <w:rPr>
                <w:rFonts w:ascii="Times New Roman" w:hAnsi="Times New Roman"/>
                <w:snapToGrid/>
                <w:sz w:val="24"/>
                <w:szCs w:val="24"/>
              </w:rPr>
              <w:t>$6</w:t>
            </w:r>
            <w:r w:rsidR="00833408" w:rsidRPr="004E152D">
              <w:rPr>
                <w:rFonts w:ascii="Times New Roman" w:hAnsi="Times New Roman"/>
                <w:snapToGrid/>
                <w:sz w:val="24"/>
                <w:szCs w:val="24"/>
              </w:rPr>
              <w:t>7.</w:t>
            </w:r>
            <w:r w:rsidR="00227A7A" w:rsidRPr="004E152D">
              <w:rPr>
                <w:rFonts w:ascii="Times New Roman" w:hAnsi="Times New Roman"/>
                <w:snapToGrid/>
                <w:sz w:val="24"/>
                <w:szCs w:val="24"/>
              </w:rPr>
              <w:t>88</w:t>
            </w:r>
            <w:r w:rsidRPr="004E152D">
              <w:rPr>
                <w:rFonts w:ascii="Times New Roman" w:hAnsi="Times New Roman"/>
                <w:snapToGrid/>
                <w:sz w:val="24"/>
                <w:szCs w:val="24"/>
              </w:rPr>
              <w:t xml:space="preserve"> </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1000</w:t>
            </w:r>
          </w:p>
        </w:tc>
        <w:tc>
          <w:tcPr>
            <w:tcW w:w="1520" w:type="dxa"/>
            <w:tcBorders>
              <w:top w:val="nil"/>
              <w:left w:val="nil"/>
              <w:bottom w:val="single" w:sz="8" w:space="0" w:color="auto"/>
              <w:right w:val="nil"/>
            </w:tcBorders>
            <w:shd w:val="clear" w:color="auto" w:fill="auto"/>
            <w:noWrap/>
            <w:vAlign w:val="bottom"/>
          </w:tcPr>
          <w:p w:rsidR="00437399" w:rsidRPr="004E152D" w:rsidRDefault="009D43F1" w:rsidP="00227A7A">
            <w:pPr>
              <w:widowControl/>
              <w:jc w:val="right"/>
              <w:rPr>
                <w:rFonts w:ascii="Times New Roman" w:hAnsi="Times New Roman"/>
                <w:snapToGrid/>
                <w:sz w:val="24"/>
                <w:szCs w:val="24"/>
              </w:rPr>
            </w:pPr>
            <w:r w:rsidRPr="004E152D">
              <w:rPr>
                <w:rFonts w:ascii="Times New Roman" w:hAnsi="Times New Roman"/>
                <w:snapToGrid/>
                <w:sz w:val="24"/>
                <w:szCs w:val="24"/>
              </w:rPr>
              <w:t>$</w:t>
            </w:r>
            <w:r w:rsidR="00227A7A" w:rsidRPr="004E152D">
              <w:rPr>
                <w:rFonts w:ascii="Times New Roman" w:hAnsi="Times New Roman"/>
                <w:snapToGrid/>
                <w:sz w:val="24"/>
                <w:szCs w:val="24"/>
              </w:rPr>
              <w:t>203,640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GS-14/Step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9F7CE8" w:rsidP="00437399">
            <w:pPr>
              <w:widowControl/>
              <w:jc w:val="center"/>
              <w:rPr>
                <w:rFonts w:ascii="Times New Roman" w:hAnsi="Times New Roman"/>
                <w:snapToGrid/>
                <w:sz w:val="24"/>
                <w:szCs w:val="24"/>
              </w:rPr>
            </w:pPr>
            <w:r w:rsidRPr="004E152D">
              <w:rPr>
                <w:rFonts w:ascii="Times New Roman" w:hAnsi="Times New Roman"/>
                <w:snapToGrid/>
                <w:sz w:val="24"/>
                <w:szCs w:val="24"/>
              </w:rPr>
              <w:t>2</w:t>
            </w:r>
          </w:p>
        </w:tc>
        <w:tc>
          <w:tcPr>
            <w:tcW w:w="1380" w:type="dxa"/>
            <w:tcBorders>
              <w:top w:val="nil"/>
              <w:left w:val="nil"/>
              <w:bottom w:val="single" w:sz="8" w:space="0" w:color="auto"/>
              <w:right w:val="nil"/>
            </w:tcBorders>
            <w:shd w:val="clear" w:color="auto" w:fill="auto"/>
            <w:noWrap/>
            <w:vAlign w:val="bottom"/>
          </w:tcPr>
          <w:p w:rsidR="00437399" w:rsidRPr="004E152D" w:rsidRDefault="00833408" w:rsidP="00227A7A">
            <w:pPr>
              <w:widowControl/>
              <w:jc w:val="center"/>
              <w:rPr>
                <w:rFonts w:ascii="Times New Roman" w:hAnsi="Times New Roman"/>
                <w:snapToGrid/>
                <w:sz w:val="24"/>
                <w:szCs w:val="24"/>
              </w:rPr>
            </w:pPr>
            <w:r w:rsidRPr="004E152D">
              <w:rPr>
                <w:rFonts w:ascii="Times New Roman" w:hAnsi="Times New Roman"/>
                <w:snapToGrid/>
                <w:sz w:val="24"/>
                <w:szCs w:val="24"/>
              </w:rPr>
              <w:t>$57.</w:t>
            </w:r>
            <w:r w:rsidR="00227A7A" w:rsidRPr="004E152D">
              <w:rPr>
                <w:rFonts w:ascii="Times New Roman" w:hAnsi="Times New Roman"/>
                <w:snapToGrid/>
                <w:sz w:val="24"/>
                <w:szCs w:val="24"/>
              </w:rPr>
              <w:t>70</w:t>
            </w:r>
            <w:r w:rsidR="00437399" w:rsidRPr="004E152D">
              <w:rPr>
                <w:rFonts w:ascii="Times New Roman" w:hAnsi="Times New Roman"/>
                <w:snapToGrid/>
                <w:sz w:val="24"/>
                <w:szCs w:val="24"/>
              </w:rPr>
              <w:t xml:space="preserve"> </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1000</w:t>
            </w:r>
          </w:p>
        </w:tc>
        <w:tc>
          <w:tcPr>
            <w:tcW w:w="1520" w:type="dxa"/>
            <w:tcBorders>
              <w:top w:val="nil"/>
              <w:left w:val="nil"/>
              <w:bottom w:val="single" w:sz="8" w:space="0" w:color="auto"/>
              <w:right w:val="nil"/>
            </w:tcBorders>
            <w:shd w:val="clear" w:color="auto" w:fill="auto"/>
            <w:noWrap/>
            <w:vAlign w:val="bottom"/>
          </w:tcPr>
          <w:p w:rsidR="00437399" w:rsidRPr="004E152D" w:rsidRDefault="009F7CE8" w:rsidP="00227A7A">
            <w:pPr>
              <w:widowControl/>
              <w:jc w:val="right"/>
              <w:rPr>
                <w:rFonts w:ascii="Times New Roman" w:hAnsi="Times New Roman"/>
                <w:snapToGrid/>
                <w:sz w:val="24"/>
                <w:szCs w:val="24"/>
              </w:rPr>
            </w:pPr>
            <w:r w:rsidRPr="004E152D">
              <w:rPr>
                <w:rFonts w:ascii="Times New Roman" w:hAnsi="Times New Roman"/>
                <w:snapToGrid/>
                <w:sz w:val="24"/>
                <w:szCs w:val="24"/>
              </w:rPr>
              <w:t>$</w:t>
            </w:r>
            <w:r w:rsidR="00227A7A" w:rsidRPr="004E152D">
              <w:rPr>
                <w:rFonts w:ascii="Times New Roman" w:hAnsi="Times New Roman"/>
                <w:snapToGrid/>
                <w:sz w:val="24"/>
                <w:szCs w:val="24"/>
              </w:rPr>
              <w:t>115,400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GS-15/Step 5 Engineers</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E152D" w:rsidRDefault="00833408" w:rsidP="00227A7A">
            <w:pPr>
              <w:widowControl/>
              <w:jc w:val="center"/>
              <w:rPr>
                <w:rFonts w:ascii="Times New Roman" w:hAnsi="Times New Roman"/>
                <w:snapToGrid/>
                <w:sz w:val="24"/>
                <w:szCs w:val="24"/>
              </w:rPr>
            </w:pPr>
            <w:r w:rsidRPr="004E152D">
              <w:rPr>
                <w:rFonts w:ascii="Times New Roman" w:hAnsi="Times New Roman"/>
                <w:snapToGrid/>
                <w:sz w:val="24"/>
                <w:szCs w:val="24"/>
              </w:rPr>
              <w:t>$67.</w:t>
            </w:r>
            <w:r w:rsidR="00227A7A" w:rsidRPr="004E152D">
              <w:rPr>
                <w:rFonts w:ascii="Times New Roman" w:hAnsi="Times New Roman"/>
                <w:snapToGrid/>
                <w:sz w:val="24"/>
                <w:szCs w:val="24"/>
              </w:rPr>
              <w:t>88</w:t>
            </w:r>
            <w:r w:rsidR="00437399" w:rsidRPr="004E152D">
              <w:rPr>
                <w:rFonts w:ascii="Times New Roman" w:hAnsi="Times New Roman"/>
                <w:snapToGrid/>
                <w:sz w:val="24"/>
                <w:szCs w:val="24"/>
              </w:rPr>
              <w:t xml:space="preserve"> </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500</w:t>
            </w:r>
          </w:p>
        </w:tc>
        <w:tc>
          <w:tcPr>
            <w:tcW w:w="1520" w:type="dxa"/>
            <w:tcBorders>
              <w:top w:val="nil"/>
              <w:left w:val="nil"/>
              <w:bottom w:val="single" w:sz="8" w:space="0" w:color="auto"/>
              <w:right w:val="nil"/>
            </w:tcBorders>
            <w:shd w:val="clear" w:color="auto" w:fill="auto"/>
            <w:noWrap/>
            <w:vAlign w:val="bottom"/>
          </w:tcPr>
          <w:p w:rsidR="00437399" w:rsidRPr="004E152D" w:rsidRDefault="00833408" w:rsidP="00227A7A">
            <w:pPr>
              <w:widowControl/>
              <w:jc w:val="right"/>
              <w:rPr>
                <w:rFonts w:ascii="Times New Roman" w:hAnsi="Times New Roman"/>
                <w:snapToGrid/>
                <w:sz w:val="24"/>
                <w:szCs w:val="24"/>
              </w:rPr>
            </w:pPr>
            <w:r w:rsidRPr="004E152D">
              <w:rPr>
                <w:rFonts w:ascii="Times New Roman" w:hAnsi="Times New Roman"/>
                <w:snapToGrid/>
                <w:sz w:val="24"/>
                <w:szCs w:val="24"/>
              </w:rPr>
              <w:t>$33,</w:t>
            </w:r>
            <w:r w:rsidR="00227A7A" w:rsidRPr="004E152D">
              <w:rPr>
                <w:rFonts w:ascii="Times New Roman" w:hAnsi="Times New Roman"/>
                <w:snapToGrid/>
                <w:sz w:val="24"/>
                <w:szCs w:val="24"/>
              </w:rPr>
              <w:t>940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9F7CE8" w:rsidP="00437399">
            <w:pPr>
              <w:widowControl/>
              <w:rPr>
                <w:rFonts w:ascii="Times New Roman" w:hAnsi="Times New Roman"/>
                <w:snapToGrid/>
                <w:sz w:val="24"/>
                <w:szCs w:val="24"/>
              </w:rPr>
            </w:pPr>
            <w:r w:rsidRPr="004E152D">
              <w:rPr>
                <w:rFonts w:ascii="Times New Roman" w:hAnsi="Times New Roman"/>
                <w:snapToGrid/>
                <w:sz w:val="24"/>
                <w:szCs w:val="24"/>
              </w:rPr>
              <w:t>GS-11/Step 5 Administrative Support</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73D6B" w:rsidRDefault="00833408" w:rsidP="00F418CA">
            <w:pPr>
              <w:widowControl/>
              <w:jc w:val="center"/>
              <w:rPr>
                <w:rFonts w:ascii="Times New Roman" w:hAnsi="Times New Roman"/>
                <w:snapToGrid/>
                <w:sz w:val="24"/>
                <w:szCs w:val="24"/>
              </w:rPr>
            </w:pPr>
            <w:r w:rsidRPr="004E152D">
              <w:rPr>
                <w:rFonts w:ascii="Times New Roman" w:hAnsi="Times New Roman"/>
                <w:snapToGrid/>
                <w:sz w:val="24"/>
                <w:szCs w:val="24"/>
              </w:rPr>
              <w:t>$</w:t>
            </w:r>
            <w:r w:rsidR="00810EE3" w:rsidRPr="004E152D">
              <w:rPr>
                <w:rFonts w:ascii="Times New Roman" w:hAnsi="Times New Roman"/>
                <w:snapToGrid/>
                <w:sz w:val="24"/>
                <w:szCs w:val="24"/>
              </w:rPr>
              <w:t>3</w:t>
            </w:r>
            <w:r w:rsidR="00F418CA" w:rsidRPr="004E152D">
              <w:rPr>
                <w:rFonts w:ascii="Times New Roman" w:hAnsi="Times New Roman"/>
                <w:snapToGrid/>
                <w:sz w:val="24"/>
                <w:szCs w:val="24"/>
              </w:rPr>
              <w:t>4.26</w:t>
            </w:r>
            <w:r w:rsidR="00437399" w:rsidRPr="00473D6B">
              <w:rPr>
                <w:rFonts w:ascii="Times New Roman" w:hAnsi="Times New Roman"/>
                <w:snapToGrid/>
                <w:sz w:val="24"/>
                <w:szCs w:val="24"/>
              </w:rPr>
              <w:t xml:space="preserve"> </w:t>
            </w:r>
          </w:p>
        </w:tc>
        <w:tc>
          <w:tcPr>
            <w:tcW w:w="1160" w:type="dxa"/>
            <w:tcBorders>
              <w:top w:val="nil"/>
              <w:left w:val="nil"/>
              <w:bottom w:val="single" w:sz="8" w:space="0" w:color="auto"/>
              <w:right w:val="nil"/>
            </w:tcBorders>
            <w:shd w:val="clear" w:color="auto" w:fill="auto"/>
            <w:noWrap/>
            <w:vAlign w:val="bottom"/>
          </w:tcPr>
          <w:p w:rsidR="00437399" w:rsidRPr="00A90261" w:rsidRDefault="009F7CE8" w:rsidP="00437399">
            <w:pPr>
              <w:widowControl/>
              <w:jc w:val="center"/>
              <w:rPr>
                <w:rFonts w:ascii="Times New Roman" w:hAnsi="Times New Roman"/>
                <w:snapToGrid/>
                <w:sz w:val="24"/>
                <w:szCs w:val="24"/>
              </w:rPr>
            </w:pPr>
            <w:r w:rsidRPr="00A90261">
              <w:rPr>
                <w:rFonts w:ascii="Times New Roman" w:hAnsi="Times New Roman"/>
                <w:snapToGrid/>
                <w:sz w:val="24"/>
                <w:szCs w:val="24"/>
              </w:rPr>
              <w:t>1,600</w:t>
            </w:r>
          </w:p>
        </w:tc>
        <w:tc>
          <w:tcPr>
            <w:tcW w:w="1520" w:type="dxa"/>
            <w:tcBorders>
              <w:top w:val="nil"/>
              <w:left w:val="nil"/>
              <w:bottom w:val="single" w:sz="8" w:space="0" w:color="auto"/>
              <w:right w:val="nil"/>
            </w:tcBorders>
            <w:shd w:val="clear" w:color="auto" w:fill="auto"/>
            <w:noWrap/>
            <w:vAlign w:val="bottom"/>
          </w:tcPr>
          <w:p w:rsidR="00437399" w:rsidRPr="004E152D" w:rsidRDefault="00833408" w:rsidP="00F418CA">
            <w:pPr>
              <w:widowControl/>
              <w:jc w:val="right"/>
              <w:rPr>
                <w:rFonts w:ascii="Times New Roman" w:hAnsi="Times New Roman"/>
                <w:snapToGrid/>
                <w:sz w:val="24"/>
                <w:szCs w:val="24"/>
              </w:rPr>
            </w:pPr>
            <w:r w:rsidRPr="004E152D">
              <w:rPr>
                <w:rFonts w:ascii="Times New Roman" w:hAnsi="Times New Roman"/>
                <w:snapToGrid/>
                <w:sz w:val="24"/>
                <w:szCs w:val="24"/>
              </w:rPr>
              <w:t>$</w:t>
            </w:r>
            <w:r w:rsidR="00F418CA" w:rsidRPr="004E152D">
              <w:rPr>
                <w:rFonts w:ascii="Times New Roman" w:hAnsi="Times New Roman"/>
                <w:snapToGrid/>
                <w:sz w:val="24"/>
                <w:szCs w:val="24"/>
              </w:rPr>
              <w:t>54,816</w:t>
            </w:r>
            <w:r w:rsidR="00437399" w:rsidRPr="004E152D">
              <w:rPr>
                <w:rFonts w:ascii="Times New Roman" w:hAnsi="Times New Roman"/>
                <w:snapToGrid/>
                <w:sz w:val="24"/>
                <w:szCs w:val="24"/>
              </w:rPr>
              <w:t xml:space="preserve"> </w:t>
            </w:r>
          </w:p>
        </w:tc>
      </w:tr>
      <w:tr w:rsidR="00437399" w:rsidRPr="004E152D" w:rsidTr="00426948">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p>
        </w:tc>
        <w:tc>
          <w:tcPr>
            <w:tcW w:w="1500" w:type="dxa"/>
            <w:tcBorders>
              <w:top w:val="nil"/>
              <w:left w:val="nil"/>
              <w:bottom w:val="nil"/>
              <w:right w:val="nil"/>
            </w:tcBorders>
            <w:shd w:val="clear" w:color="auto" w:fill="auto"/>
            <w:noWrap/>
          </w:tcPr>
          <w:p w:rsidR="00437399" w:rsidRPr="004E152D" w:rsidRDefault="009F7CE8" w:rsidP="00426948">
            <w:pPr>
              <w:widowControl/>
              <w:jc w:val="center"/>
              <w:rPr>
                <w:rFonts w:ascii="Times New Roman" w:hAnsi="Times New Roman"/>
                <w:b/>
                <w:bCs/>
                <w:snapToGrid/>
                <w:sz w:val="24"/>
                <w:szCs w:val="24"/>
              </w:rPr>
            </w:pPr>
            <w:r w:rsidRPr="004E152D">
              <w:rPr>
                <w:rFonts w:ascii="Times New Roman" w:hAnsi="Times New Roman"/>
                <w:b/>
                <w:bCs/>
                <w:snapToGrid/>
                <w:sz w:val="24"/>
                <w:szCs w:val="24"/>
              </w:rPr>
              <w:t>7</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00437399" w:rsidRPr="004E152D" w:rsidRDefault="00DC006E" w:rsidP="006B4ACF">
            <w:pPr>
              <w:widowControl/>
              <w:jc w:val="right"/>
              <w:rPr>
                <w:rFonts w:ascii="Times New Roman" w:hAnsi="Times New Roman"/>
                <w:b/>
                <w:bCs/>
                <w:snapToGrid/>
                <w:sz w:val="24"/>
                <w:szCs w:val="24"/>
              </w:rPr>
            </w:pPr>
            <w:r w:rsidRPr="004E152D">
              <w:rPr>
                <w:rFonts w:ascii="Times New Roman" w:hAnsi="Times New Roman"/>
                <w:b/>
                <w:bCs/>
                <w:snapToGrid/>
                <w:sz w:val="24"/>
                <w:szCs w:val="24"/>
              </w:rPr>
              <w:t>$</w:t>
            </w:r>
            <w:r w:rsidR="00F418CA" w:rsidRPr="004E152D">
              <w:rPr>
                <w:rFonts w:ascii="Times New Roman" w:hAnsi="Times New Roman"/>
                <w:b/>
                <w:bCs/>
                <w:snapToGrid/>
                <w:sz w:val="24"/>
                <w:szCs w:val="24"/>
              </w:rPr>
              <w:t>407,796</w:t>
            </w:r>
            <w:r w:rsidR="00437399" w:rsidRPr="004E152D">
              <w:rPr>
                <w:rFonts w:ascii="Times New Roman" w:hAnsi="Times New Roman"/>
                <w:b/>
                <w:bCs/>
                <w:snapToGrid/>
                <w:sz w:val="24"/>
                <w:szCs w:val="24"/>
              </w:rPr>
              <w:t xml:space="preserve"> </w:t>
            </w:r>
            <w:r w:rsidRPr="004E152D">
              <w:rPr>
                <w:rFonts w:ascii="Times New Roman" w:hAnsi="Times New Roman"/>
                <w:b/>
                <w:bCs/>
                <w:snapToGrid/>
                <w:sz w:val="24"/>
                <w:szCs w:val="24"/>
              </w:rPr>
              <w:t xml:space="preserve"> </w:t>
            </w:r>
          </w:p>
        </w:tc>
      </w:tr>
    </w:tbl>
    <w:p w:rsidR="00DB5851" w:rsidRPr="004E152D" w:rsidRDefault="00DB5851">
      <w:pPr>
        <w:tabs>
          <w:tab w:val="left" w:pos="0"/>
        </w:tabs>
        <w:suppressAutoHyphens/>
        <w:rPr>
          <w:rFonts w:ascii="Times New Roman" w:hAnsi="Times New Roman"/>
          <w:sz w:val="24"/>
        </w:rPr>
      </w:pPr>
    </w:p>
    <w:p w:rsidR="00D9000E" w:rsidRPr="00A90261" w:rsidRDefault="0046427A" w:rsidP="00D9000E">
      <w:pPr>
        <w:rPr>
          <w:rFonts w:ascii="Times New Roman" w:hAnsi="Times New Roman"/>
          <w:sz w:val="24"/>
          <w:szCs w:val="24"/>
        </w:rPr>
      </w:pPr>
      <w:r w:rsidRPr="004E152D">
        <w:rPr>
          <w:rFonts w:ascii="Times New Roman" w:hAnsi="Times New Roman"/>
          <w:sz w:val="24"/>
          <w:szCs w:val="24"/>
        </w:rPr>
        <w:t xml:space="preserve">15.  </w:t>
      </w:r>
      <w:r w:rsidR="00D9000E" w:rsidRPr="004E152D">
        <w:rPr>
          <w:rFonts w:ascii="Times New Roman" w:hAnsi="Times New Roman"/>
          <w:sz w:val="24"/>
          <w:szCs w:val="24"/>
        </w:rPr>
        <w:t>Adjustments and Program Changes</w:t>
      </w:r>
      <w:r w:rsidR="00D9000E" w:rsidRPr="00473D6B">
        <w:rPr>
          <w:rFonts w:ascii="Times New Roman" w:hAnsi="Times New Roman"/>
          <w:sz w:val="24"/>
          <w:szCs w:val="24"/>
        </w:rPr>
        <w:t>:</w:t>
      </w:r>
    </w:p>
    <w:p w:rsidR="00D9000E" w:rsidRPr="00644F93" w:rsidRDefault="00D9000E" w:rsidP="00D9000E">
      <w:pPr>
        <w:rPr>
          <w:rFonts w:ascii="Times New Roman" w:hAnsi="Times New Roman"/>
          <w:sz w:val="24"/>
          <w:szCs w:val="24"/>
        </w:rPr>
      </w:pPr>
    </w:p>
    <w:p w:rsidR="00D9000E" w:rsidRPr="00A90261" w:rsidRDefault="00D9000E" w:rsidP="00D9000E">
      <w:pPr>
        <w:rPr>
          <w:rFonts w:ascii="Times New Roman" w:hAnsi="Times New Roman"/>
          <w:sz w:val="24"/>
          <w:szCs w:val="24"/>
        </w:rPr>
      </w:pPr>
      <w:r w:rsidRPr="004E152D">
        <w:rPr>
          <w:rFonts w:ascii="Times New Roman" w:hAnsi="Times New Roman"/>
          <w:sz w:val="24"/>
          <w:szCs w:val="24"/>
        </w:rPr>
        <w:t xml:space="preserve">The information collection for the 2014 Statement is undertaken as a result of a Commission order that eliminated the effective competitive opportunities (ECO Test) from rule sections 63.11(g)(2) and 63.18(k) of the Commission’s rules that apply to section 214 applications and foreign carrier affiliation notifications.  The revisions to the hour and cost burdens associated with these two rules are discussed in the </w:t>
      </w:r>
      <w:r w:rsidRPr="004E152D">
        <w:rPr>
          <w:rFonts w:ascii="Times New Roman" w:hAnsi="Times New Roman"/>
          <w:sz w:val="24"/>
          <w:szCs w:val="24"/>
          <w:u w:val="single"/>
        </w:rPr>
        <w:t>Program Changes</w:t>
      </w:r>
      <w:r w:rsidRPr="004E152D">
        <w:rPr>
          <w:rFonts w:ascii="Times New Roman" w:hAnsi="Times New Roman"/>
          <w:i/>
          <w:sz w:val="24"/>
          <w:szCs w:val="24"/>
        </w:rPr>
        <w:t xml:space="preserve"> </w:t>
      </w:r>
      <w:r w:rsidRPr="004E152D">
        <w:rPr>
          <w:rFonts w:ascii="Times New Roman" w:hAnsi="Times New Roman"/>
          <w:sz w:val="24"/>
          <w:szCs w:val="24"/>
        </w:rPr>
        <w:t xml:space="preserve">section below.  The Commission is also making adjustments to the hour and cost burdens associated with other rules and requirements covered by this information collection, as discussed in the </w:t>
      </w:r>
      <w:r w:rsidRPr="004E152D">
        <w:rPr>
          <w:rFonts w:ascii="Times New Roman" w:hAnsi="Times New Roman"/>
          <w:sz w:val="24"/>
          <w:szCs w:val="24"/>
          <w:u w:val="single"/>
        </w:rPr>
        <w:t>Adjustments</w:t>
      </w:r>
      <w:r w:rsidRPr="004E152D">
        <w:rPr>
          <w:rFonts w:ascii="Times New Roman" w:hAnsi="Times New Roman"/>
          <w:sz w:val="24"/>
          <w:szCs w:val="24"/>
        </w:rPr>
        <w:t xml:space="preserve"> section below.</w:t>
      </w:r>
      <w:r w:rsidR="004F620C" w:rsidRPr="004E152D">
        <w:rPr>
          <w:rFonts w:ascii="Times New Roman" w:hAnsi="Times New Roman"/>
          <w:sz w:val="24"/>
          <w:szCs w:val="24"/>
        </w:rPr>
        <w:t xml:space="preserve">  Overall, as compared to the currently approved 2013 Statement, the 2014 Statement reduces: the number of respondents from 1,670 to</w:t>
      </w:r>
      <w:r w:rsidR="00B91A8F" w:rsidRPr="004E152D">
        <w:rPr>
          <w:rFonts w:ascii="Times New Roman" w:hAnsi="Times New Roman"/>
          <w:sz w:val="24"/>
          <w:szCs w:val="24"/>
        </w:rPr>
        <w:t xml:space="preserve"> 49</w:t>
      </w:r>
      <w:r w:rsidR="00452788" w:rsidRPr="004E152D">
        <w:rPr>
          <w:rFonts w:ascii="Times New Roman" w:hAnsi="Times New Roman"/>
          <w:sz w:val="24"/>
          <w:szCs w:val="24"/>
        </w:rPr>
        <w:t>5</w:t>
      </w:r>
      <w:r w:rsidR="004F620C" w:rsidRPr="004E152D">
        <w:rPr>
          <w:rFonts w:ascii="Times New Roman" w:hAnsi="Times New Roman"/>
          <w:sz w:val="24"/>
          <w:szCs w:val="24"/>
        </w:rPr>
        <w:t>; the number of annual responses from 10,264 to 748; the annual hour burden from 34,376 to 3,286; and the total annualized cost burden from $3,625,390 to $755,400.</w:t>
      </w:r>
      <w:r w:rsidRPr="00473D6B">
        <w:rPr>
          <w:rFonts w:ascii="Times New Roman" w:hAnsi="Times New Roman"/>
          <w:sz w:val="24"/>
          <w:szCs w:val="24"/>
        </w:rPr>
        <w:t xml:space="preserve">  </w:t>
      </w:r>
    </w:p>
    <w:p w:rsidR="00D9000E" w:rsidRPr="00644F93" w:rsidRDefault="00D9000E" w:rsidP="0046427A">
      <w:pPr>
        <w:rPr>
          <w:rFonts w:ascii="Times New Roman" w:hAnsi="Times New Roman"/>
          <w:sz w:val="24"/>
          <w:szCs w:val="24"/>
        </w:rPr>
      </w:pPr>
    </w:p>
    <w:p w:rsidR="0046427A" w:rsidRPr="00401536" w:rsidRDefault="0046427A" w:rsidP="0046427A">
      <w:pPr>
        <w:rPr>
          <w:rFonts w:ascii="Times New Roman" w:hAnsi="Times New Roman"/>
          <w:sz w:val="24"/>
          <w:szCs w:val="24"/>
        </w:rPr>
      </w:pPr>
      <w:r w:rsidRPr="004E152D">
        <w:rPr>
          <w:rFonts w:ascii="Times New Roman" w:hAnsi="Times New Roman"/>
          <w:sz w:val="24"/>
          <w:szCs w:val="24"/>
          <w:u w:val="single"/>
        </w:rPr>
        <w:t>Adjustments</w:t>
      </w:r>
      <w:r w:rsidRPr="004E152D">
        <w:rPr>
          <w:rFonts w:ascii="Times New Roman" w:hAnsi="Times New Roman"/>
          <w:sz w:val="24"/>
          <w:szCs w:val="24"/>
        </w:rPr>
        <w:t xml:space="preserve">:  This section provides an explanation of adjustments made to the 2013 Supporting Statement that significantly impact the respondents’ total hour burden and total cost burden that were </w:t>
      </w:r>
      <w:r w:rsidR="00F418CA" w:rsidRPr="004E152D">
        <w:rPr>
          <w:rFonts w:ascii="Times New Roman" w:hAnsi="Times New Roman"/>
          <w:sz w:val="24"/>
          <w:szCs w:val="24"/>
        </w:rPr>
        <w:t>approved</w:t>
      </w:r>
      <w:r w:rsidR="00F418CA" w:rsidRPr="00473D6B">
        <w:rPr>
          <w:rFonts w:ascii="Times New Roman" w:hAnsi="Times New Roman"/>
          <w:sz w:val="24"/>
          <w:szCs w:val="24"/>
        </w:rPr>
        <w:t xml:space="preserve"> </w:t>
      </w:r>
      <w:r w:rsidR="00F418CA" w:rsidRPr="004E152D">
        <w:rPr>
          <w:rFonts w:ascii="Times New Roman" w:hAnsi="Times New Roman"/>
          <w:sz w:val="24"/>
          <w:szCs w:val="24"/>
        </w:rPr>
        <w:t xml:space="preserve">by OMB on January </w:t>
      </w:r>
      <w:r w:rsidR="00B56BE5" w:rsidRPr="004E152D">
        <w:rPr>
          <w:rFonts w:ascii="Times New Roman" w:hAnsi="Times New Roman"/>
          <w:sz w:val="24"/>
          <w:szCs w:val="24"/>
        </w:rPr>
        <w:t>28, 2014</w:t>
      </w:r>
      <w:r w:rsidR="00B56BE5" w:rsidRPr="00473D6B">
        <w:rPr>
          <w:rFonts w:ascii="Times New Roman" w:hAnsi="Times New Roman"/>
          <w:sz w:val="24"/>
          <w:szCs w:val="24"/>
        </w:rPr>
        <w:t>.</w:t>
      </w:r>
      <w:r w:rsidRPr="00A90261">
        <w:rPr>
          <w:rFonts w:ascii="Times New Roman" w:hAnsi="Times New Roman"/>
          <w:sz w:val="24"/>
          <w:szCs w:val="24"/>
        </w:rPr>
        <w:t xml:space="preserve">  Other adjustments to the 2013 Supporting Statement </w:t>
      </w:r>
      <w:r w:rsidR="00C80E0C" w:rsidRPr="008D3B18">
        <w:rPr>
          <w:rFonts w:ascii="Times New Roman" w:hAnsi="Times New Roman"/>
          <w:sz w:val="24"/>
          <w:szCs w:val="24"/>
        </w:rPr>
        <w:t>involve</w:t>
      </w:r>
      <w:r w:rsidRPr="00401536">
        <w:rPr>
          <w:rFonts w:ascii="Times New Roman" w:hAnsi="Times New Roman"/>
          <w:sz w:val="24"/>
          <w:szCs w:val="24"/>
        </w:rPr>
        <w:t xml:space="preserve"> </w:t>
      </w:r>
      <w:r w:rsidR="00401536">
        <w:rPr>
          <w:rFonts w:ascii="Times New Roman" w:hAnsi="Times New Roman"/>
          <w:sz w:val="24"/>
          <w:szCs w:val="24"/>
        </w:rPr>
        <w:t xml:space="preserve">eliminating the reference in Question 13 to respondents’ use of outside </w:t>
      </w:r>
      <w:r w:rsidR="00401536" w:rsidRPr="00CD0D92">
        <w:rPr>
          <w:rFonts w:ascii="Times New Roman" w:hAnsi="Times New Roman"/>
          <w:sz w:val="24"/>
          <w:szCs w:val="24"/>
        </w:rPr>
        <w:lastRenderedPageBreak/>
        <w:t>engin</w:t>
      </w:r>
      <w:r w:rsidR="00E65219" w:rsidRPr="00CD0D92">
        <w:rPr>
          <w:rFonts w:ascii="Times New Roman" w:hAnsi="Times New Roman"/>
          <w:sz w:val="24"/>
          <w:szCs w:val="24"/>
        </w:rPr>
        <w:t>e</w:t>
      </w:r>
      <w:r w:rsidR="00401536" w:rsidRPr="00CD0D92">
        <w:rPr>
          <w:rFonts w:ascii="Times New Roman" w:hAnsi="Times New Roman"/>
          <w:sz w:val="24"/>
          <w:szCs w:val="24"/>
        </w:rPr>
        <w:t>ering a</w:t>
      </w:r>
      <w:r w:rsidR="00401536">
        <w:rPr>
          <w:rFonts w:ascii="Times New Roman" w:hAnsi="Times New Roman"/>
          <w:sz w:val="24"/>
          <w:szCs w:val="24"/>
        </w:rPr>
        <w:t xml:space="preserve">ssistance (because compliance with the rules in this collection generally no longer requires engineering expertise); </w:t>
      </w:r>
      <w:r w:rsidR="00452788" w:rsidRPr="00401536">
        <w:rPr>
          <w:rFonts w:ascii="Times New Roman" w:hAnsi="Times New Roman"/>
          <w:sz w:val="24"/>
          <w:szCs w:val="24"/>
        </w:rPr>
        <w:t xml:space="preserve">review of </w:t>
      </w:r>
      <w:r w:rsidRPr="00401536">
        <w:rPr>
          <w:rFonts w:ascii="Times New Roman" w:hAnsi="Times New Roman"/>
          <w:sz w:val="24"/>
          <w:szCs w:val="24"/>
        </w:rPr>
        <w:t>Commission costs</w:t>
      </w:r>
      <w:r w:rsidR="00452788" w:rsidRPr="00401536">
        <w:rPr>
          <w:rFonts w:ascii="Times New Roman" w:hAnsi="Times New Roman"/>
          <w:sz w:val="24"/>
          <w:szCs w:val="24"/>
        </w:rPr>
        <w:t xml:space="preserve"> in</w:t>
      </w:r>
      <w:r w:rsidRPr="00401536">
        <w:rPr>
          <w:rFonts w:ascii="Times New Roman" w:hAnsi="Times New Roman"/>
          <w:sz w:val="24"/>
          <w:szCs w:val="24"/>
        </w:rPr>
        <w:t xml:space="preserve"> processing respondent submissions</w:t>
      </w:r>
      <w:r w:rsidR="00401536">
        <w:rPr>
          <w:rFonts w:ascii="Times New Roman" w:hAnsi="Times New Roman"/>
          <w:sz w:val="24"/>
          <w:szCs w:val="24"/>
        </w:rPr>
        <w:t>;</w:t>
      </w:r>
      <w:r w:rsidRPr="00401536">
        <w:rPr>
          <w:rFonts w:ascii="Times New Roman" w:hAnsi="Times New Roman"/>
          <w:sz w:val="24"/>
          <w:szCs w:val="24"/>
        </w:rPr>
        <w:t xml:space="preserve"> </w:t>
      </w:r>
      <w:r w:rsidR="00C80E0C" w:rsidRPr="00401536">
        <w:rPr>
          <w:rFonts w:ascii="Times New Roman" w:hAnsi="Times New Roman"/>
          <w:sz w:val="24"/>
          <w:szCs w:val="24"/>
        </w:rPr>
        <w:t xml:space="preserve">and </w:t>
      </w:r>
      <w:r w:rsidRPr="00401536">
        <w:rPr>
          <w:rFonts w:ascii="Times New Roman" w:hAnsi="Times New Roman"/>
          <w:sz w:val="24"/>
          <w:szCs w:val="24"/>
        </w:rPr>
        <w:t>explanation</w:t>
      </w:r>
      <w:r w:rsidR="00C80E0C" w:rsidRPr="00401536">
        <w:rPr>
          <w:rFonts w:ascii="Times New Roman" w:hAnsi="Times New Roman"/>
          <w:sz w:val="24"/>
          <w:szCs w:val="24"/>
        </w:rPr>
        <w:t>s</w:t>
      </w:r>
      <w:r w:rsidRPr="00401536">
        <w:rPr>
          <w:rFonts w:ascii="Times New Roman" w:hAnsi="Times New Roman"/>
          <w:sz w:val="24"/>
          <w:szCs w:val="24"/>
        </w:rPr>
        <w:t xml:space="preserve"> of the purpose of the information collection and the impact of the collection on small businesses.  Although the fiscal period (2011, 2012, and 2013) is the same for both the 2013 and 2014 Supporting Statements, the calculation of hour and cost burdens in the 2013 Supporting Statement is not supported by data recorded in the International Bureau Filing System (IBFS) database for that fiscal period.  The hour and cost burden in the 2013 statement is significantly higher than that calculated in the 2014 statement and, as explained below, is</w:t>
      </w:r>
      <w:r w:rsidR="00C80E0C" w:rsidRPr="00401536">
        <w:rPr>
          <w:rFonts w:ascii="Times New Roman" w:hAnsi="Times New Roman"/>
          <w:sz w:val="24"/>
          <w:szCs w:val="24"/>
        </w:rPr>
        <w:t xml:space="preserve"> </w:t>
      </w:r>
      <w:r w:rsidRPr="00401536">
        <w:rPr>
          <w:rFonts w:ascii="Times New Roman" w:hAnsi="Times New Roman"/>
          <w:sz w:val="24"/>
          <w:szCs w:val="24"/>
        </w:rPr>
        <w:t>due</w:t>
      </w:r>
      <w:r w:rsidR="00C80E0C" w:rsidRPr="00401536">
        <w:rPr>
          <w:rFonts w:ascii="Times New Roman" w:hAnsi="Times New Roman"/>
          <w:sz w:val="24"/>
          <w:szCs w:val="24"/>
        </w:rPr>
        <w:t xml:space="preserve"> primarily</w:t>
      </w:r>
      <w:r w:rsidRPr="00401536">
        <w:rPr>
          <w:rFonts w:ascii="Times New Roman" w:hAnsi="Times New Roman"/>
          <w:sz w:val="24"/>
          <w:szCs w:val="24"/>
        </w:rPr>
        <w:t xml:space="preserve"> to over counting of responses</w:t>
      </w:r>
      <w:r w:rsidR="00C80E0C" w:rsidRPr="00401536">
        <w:rPr>
          <w:rFonts w:ascii="Times New Roman" w:hAnsi="Times New Roman"/>
          <w:sz w:val="24"/>
          <w:szCs w:val="24"/>
        </w:rPr>
        <w:t>.</w:t>
      </w:r>
      <w:r w:rsidRPr="00401536">
        <w:rPr>
          <w:rFonts w:ascii="Times New Roman" w:hAnsi="Times New Roman"/>
          <w:sz w:val="24"/>
          <w:szCs w:val="24"/>
        </w:rPr>
        <w:t xml:space="preserve">  The Commission considers the adjustments to hours and costs to be a one-time adjustment, with future supporting statements more accurately reflecting annualized hours and costs that are calculated using creditable data, such as that recorded in the Commission’s IBFS database. </w:t>
      </w:r>
      <w:r w:rsidR="00D9000E" w:rsidRPr="00401536">
        <w:rPr>
          <w:rFonts w:ascii="Times New Roman" w:hAnsi="Times New Roman"/>
          <w:sz w:val="24"/>
          <w:szCs w:val="24"/>
        </w:rPr>
        <w:t xml:space="preserve"> </w:t>
      </w:r>
    </w:p>
    <w:p w:rsidR="0046427A" w:rsidRPr="00644F93" w:rsidRDefault="0046427A" w:rsidP="0046427A">
      <w:pPr>
        <w:rPr>
          <w:rFonts w:ascii="Times New Roman" w:hAnsi="Times New Roman"/>
          <w:sz w:val="24"/>
          <w:szCs w:val="24"/>
        </w:rPr>
      </w:pPr>
      <w:r w:rsidRPr="00644F93">
        <w:rPr>
          <w:rFonts w:ascii="Times New Roman" w:hAnsi="Times New Roman"/>
          <w:sz w:val="24"/>
          <w:szCs w:val="24"/>
        </w:rPr>
        <w:t xml:space="preserve">  </w:t>
      </w:r>
    </w:p>
    <w:p w:rsidR="0046427A" w:rsidRPr="00A90261" w:rsidRDefault="0046427A" w:rsidP="0046427A">
      <w:pPr>
        <w:rPr>
          <w:rFonts w:ascii="Times New Roman" w:hAnsi="Times New Roman"/>
          <w:sz w:val="24"/>
          <w:szCs w:val="24"/>
        </w:rPr>
      </w:pPr>
      <w:r w:rsidRPr="004E152D">
        <w:rPr>
          <w:rFonts w:ascii="Times New Roman" w:hAnsi="Times New Roman"/>
          <w:i/>
          <w:sz w:val="24"/>
          <w:szCs w:val="24"/>
        </w:rPr>
        <w:t>Question 12 Hour Burden Adjustments</w:t>
      </w:r>
      <w:r w:rsidRPr="004E152D">
        <w:rPr>
          <w:rFonts w:ascii="Times New Roman" w:hAnsi="Times New Roman"/>
          <w:sz w:val="24"/>
          <w:szCs w:val="24"/>
        </w:rPr>
        <w:t xml:space="preserve">:  The chart to Question 12 of the 2013 and 2014 Supporting Statements reports the </w:t>
      </w:r>
      <w:r w:rsidR="00B91A8F" w:rsidRPr="004E152D">
        <w:rPr>
          <w:rFonts w:ascii="Times New Roman" w:hAnsi="Times New Roman"/>
          <w:sz w:val="24"/>
          <w:szCs w:val="24"/>
        </w:rPr>
        <w:t xml:space="preserve">total </w:t>
      </w:r>
      <w:r w:rsidRPr="004E152D">
        <w:rPr>
          <w:rFonts w:ascii="Times New Roman" w:hAnsi="Times New Roman"/>
          <w:sz w:val="24"/>
          <w:szCs w:val="24"/>
        </w:rPr>
        <w:t xml:space="preserve">annual hour burden to respondents for filing FCC applications </w:t>
      </w:r>
      <w:r w:rsidR="00ED6938" w:rsidRPr="004E152D">
        <w:rPr>
          <w:rFonts w:ascii="Times New Roman" w:hAnsi="Times New Roman"/>
          <w:sz w:val="24"/>
          <w:szCs w:val="24"/>
        </w:rPr>
        <w:t xml:space="preserve">and related submissions </w:t>
      </w:r>
      <w:r w:rsidRPr="004E152D">
        <w:rPr>
          <w:rFonts w:ascii="Times New Roman" w:hAnsi="Times New Roman"/>
          <w:sz w:val="24"/>
          <w:szCs w:val="24"/>
        </w:rPr>
        <w:t>under certain rule sections contained in Part 63 of the Commission’s rules.  For each rule section, the number of responses, the frequency of response, and the time per response in hours is recorded.  The annual hour burden calculation for each rule section</w:t>
      </w:r>
      <w:r w:rsidR="007F7F6B" w:rsidRPr="004E152D">
        <w:rPr>
          <w:rFonts w:ascii="Times New Roman" w:hAnsi="Times New Roman"/>
          <w:sz w:val="24"/>
          <w:szCs w:val="24"/>
        </w:rPr>
        <w:t xml:space="preserve"> </w:t>
      </w:r>
      <w:r w:rsidRPr="004E152D">
        <w:rPr>
          <w:rFonts w:ascii="Times New Roman" w:hAnsi="Times New Roman"/>
          <w:sz w:val="24"/>
          <w:szCs w:val="24"/>
        </w:rPr>
        <w:t xml:space="preserve">is derived by multiplying the number </w:t>
      </w:r>
      <w:r w:rsidR="004777C9" w:rsidRPr="004E152D">
        <w:rPr>
          <w:rFonts w:ascii="Times New Roman" w:hAnsi="Times New Roman"/>
          <w:sz w:val="24"/>
          <w:szCs w:val="24"/>
        </w:rPr>
        <w:t>of</w:t>
      </w:r>
      <w:r w:rsidR="004777C9" w:rsidRPr="00473D6B">
        <w:rPr>
          <w:rFonts w:ascii="Times New Roman" w:hAnsi="Times New Roman"/>
          <w:sz w:val="24"/>
          <w:szCs w:val="24"/>
        </w:rPr>
        <w:t xml:space="preserve"> </w:t>
      </w:r>
      <w:r w:rsidRPr="00A90261">
        <w:rPr>
          <w:rFonts w:ascii="Times New Roman" w:hAnsi="Times New Roman"/>
          <w:sz w:val="24"/>
          <w:szCs w:val="24"/>
        </w:rPr>
        <w:t xml:space="preserve">responses by the number of hours </w:t>
      </w:r>
      <w:r w:rsidR="00C80E0C" w:rsidRPr="00A90261">
        <w:rPr>
          <w:rFonts w:ascii="Times New Roman" w:hAnsi="Times New Roman"/>
          <w:sz w:val="24"/>
          <w:szCs w:val="24"/>
        </w:rPr>
        <w:t xml:space="preserve">required </w:t>
      </w:r>
      <w:r w:rsidRPr="00A90261">
        <w:rPr>
          <w:rFonts w:ascii="Times New Roman" w:hAnsi="Times New Roman"/>
          <w:sz w:val="24"/>
          <w:szCs w:val="24"/>
        </w:rPr>
        <w:t xml:space="preserve">per response. </w:t>
      </w:r>
    </w:p>
    <w:p w:rsidR="0046427A" w:rsidRPr="00401536" w:rsidRDefault="0046427A" w:rsidP="0046427A">
      <w:pPr>
        <w:rPr>
          <w:rFonts w:ascii="Times New Roman" w:hAnsi="Times New Roman"/>
          <w:sz w:val="24"/>
          <w:szCs w:val="24"/>
        </w:rPr>
      </w:pPr>
    </w:p>
    <w:p w:rsidR="0046427A" w:rsidRPr="004E152D" w:rsidRDefault="0046427A" w:rsidP="0046427A">
      <w:pPr>
        <w:rPr>
          <w:rFonts w:ascii="Times New Roman" w:hAnsi="Times New Roman"/>
          <w:sz w:val="24"/>
          <w:szCs w:val="24"/>
        </w:rPr>
      </w:pPr>
      <w:r w:rsidRPr="00644F93">
        <w:rPr>
          <w:rFonts w:ascii="Times New Roman" w:hAnsi="Times New Roman"/>
          <w:sz w:val="24"/>
          <w:szCs w:val="24"/>
        </w:rPr>
        <w:t xml:space="preserve">The total hour burden reported in the 2014 Supporting Statement </w:t>
      </w:r>
      <w:r w:rsidR="008B2C14" w:rsidRPr="004E152D">
        <w:rPr>
          <w:rFonts w:ascii="Times New Roman" w:hAnsi="Times New Roman"/>
          <w:sz w:val="24"/>
          <w:szCs w:val="24"/>
        </w:rPr>
        <w:t xml:space="preserve">for the rules and requirements covered by this collection, other than Sections 63.18(k) and 63.11(g)(2), </w:t>
      </w:r>
      <w:r w:rsidRPr="004E152D">
        <w:rPr>
          <w:rFonts w:ascii="Times New Roman" w:hAnsi="Times New Roman"/>
          <w:sz w:val="24"/>
          <w:szCs w:val="24"/>
        </w:rPr>
        <w:t>is 3,2</w:t>
      </w:r>
      <w:r w:rsidR="00813176" w:rsidRPr="004E152D">
        <w:rPr>
          <w:rFonts w:ascii="Times New Roman" w:hAnsi="Times New Roman"/>
          <w:sz w:val="24"/>
          <w:szCs w:val="24"/>
        </w:rPr>
        <w:t>70</w:t>
      </w:r>
      <w:r w:rsidR="00813176" w:rsidRPr="00473D6B">
        <w:rPr>
          <w:rFonts w:ascii="Times New Roman" w:hAnsi="Times New Roman"/>
          <w:sz w:val="24"/>
          <w:szCs w:val="24"/>
        </w:rPr>
        <w:t xml:space="preserve"> and</w:t>
      </w:r>
      <w:r w:rsidRPr="00A90261">
        <w:rPr>
          <w:rFonts w:ascii="Times New Roman" w:hAnsi="Times New Roman"/>
          <w:sz w:val="24"/>
          <w:szCs w:val="24"/>
        </w:rPr>
        <w:t xml:space="preserve"> </w:t>
      </w:r>
      <w:r w:rsidR="00813176" w:rsidRPr="00A90261">
        <w:rPr>
          <w:rFonts w:ascii="Times New Roman" w:hAnsi="Times New Roman"/>
          <w:sz w:val="24"/>
          <w:szCs w:val="24"/>
        </w:rPr>
        <w:t>t</w:t>
      </w:r>
      <w:r w:rsidRPr="00A90261">
        <w:rPr>
          <w:rFonts w:ascii="Times New Roman" w:hAnsi="Times New Roman"/>
          <w:sz w:val="24"/>
          <w:szCs w:val="24"/>
        </w:rPr>
        <w:t xml:space="preserve">he </w:t>
      </w:r>
      <w:r w:rsidR="00813176" w:rsidRPr="004E152D">
        <w:rPr>
          <w:rFonts w:ascii="Times New Roman" w:hAnsi="Times New Roman"/>
          <w:sz w:val="24"/>
          <w:szCs w:val="24"/>
        </w:rPr>
        <w:t>corresponding</w:t>
      </w:r>
      <w:r w:rsidR="00813176" w:rsidRPr="00473D6B">
        <w:rPr>
          <w:rFonts w:ascii="Times New Roman" w:hAnsi="Times New Roman"/>
          <w:sz w:val="24"/>
          <w:szCs w:val="24"/>
        </w:rPr>
        <w:t xml:space="preserve"> </w:t>
      </w:r>
      <w:r w:rsidRPr="00A90261">
        <w:rPr>
          <w:rFonts w:ascii="Times New Roman" w:hAnsi="Times New Roman"/>
          <w:sz w:val="24"/>
          <w:szCs w:val="24"/>
        </w:rPr>
        <w:t xml:space="preserve">total hour burden reported in the 2013 Supporting Statement is </w:t>
      </w:r>
      <w:r w:rsidRPr="004E152D">
        <w:rPr>
          <w:rFonts w:ascii="Times New Roman" w:hAnsi="Times New Roman"/>
          <w:sz w:val="24"/>
          <w:szCs w:val="24"/>
        </w:rPr>
        <w:t>3</w:t>
      </w:r>
      <w:r w:rsidR="00813176" w:rsidRPr="004E152D">
        <w:rPr>
          <w:rFonts w:ascii="Times New Roman" w:hAnsi="Times New Roman"/>
          <w:sz w:val="24"/>
          <w:szCs w:val="24"/>
        </w:rPr>
        <w:t>2</w:t>
      </w:r>
      <w:r w:rsidRPr="004E152D">
        <w:rPr>
          <w:rFonts w:ascii="Times New Roman" w:hAnsi="Times New Roman"/>
          <w:sz w:val="24"/>
          <w:szCs w:val="24"/>
        </w:rPr>
        <w:t>,</w:t>
      </w:r>
      <w:r w:rsidR="00813176" w:rsidRPr="004E152D">
        <w:rPr>
          <w:rFonts w:ascii="Times New Roman" w:hAnsi="Times New Roman"/>
          <w:sz w:val="24"/>
          <w:szCs w:val="24"/>
        </w:rPr>
        <w:t>2</w:t>
      </w:r>
      <w:r w:rsidRPr="004E152D">
        <w:rPr>
          <w:rFonts w:ascii="Times New Roman" w:hAnsi="Times New Roman"/>
          <w:sz w:val="24"/>
          <w:szCs w:val="24"/>
        </w:rPr>
        <w:t>6</w:t>
      </w:r>
      <w:r w:rsidR="00813176" w:rsidRPr="004E152D">
        <w:rPr>
          <w:rFonts w:ascii="Times New Roman" w:hAnsi="Times New Roman"/>
          <w:sz w:val="24"/>
          <w:szCs w:val="24"/>
        </w:rPr>
        <w:t>4</w:t>
      </w:r>
      <w:r w:rsidRPr="00473D6B">
        <w:rPr>
          <w:rFonts w:ascii="Times New Roman" w:hAnsi="Times New Roman"/>
          <w:sz w:val="24"/>
          <w:szCs w:val="24"/>
        </w:rPr>
        <w:t xml:space="preserve">, a </w:t>
      </w:r>
      <w:r w:rsidR="008F5CAF" w:rsidRPr="004E152D">
        <w:rPr>
          <w:rFonts w:ascii="Times New Roman" w:hAnsi="Times New Roman"/>
          <w:sz w:val="24"/>
          <w:szCs w:val="24"/>
        </w:rPr>
        <w:t>decrease</w:t>
      </w:r>
      <w:r w:rsidR="008F5CAF" w:rsidRPr="00473D6B">
        <w:rPr>
          <w:rFonts w:ascii="Times New Roman" w:hAnsi="Times New Roman"/>
          <w:sz w:val="24"/>
          <w:szCs w:val="24"/>
        </w:rPr>
        <w:t xml:space="preserve"> </w:t>
      </w:r>
      <w:r w:rsidRPr="00A90261">
        <w:rPr>
          <w:rFonts w:ascii="Times New Roman" w:hAnsi="Times New Roman"/>
          <w:sz w:val="24"/>
          <w:szCs w:val="24"/>
        </w:rPr>
        <w:t xml:space="preserve">of </w:t>
      </w:r>
      <w:r w:rsidR="00813176" w:rsidRPr="00E616C8">
        <w:rPr>
          <w:rFonts w:ascii="Times New Roman" w:hAnsi="Times New Roman"/>
          <w:b/>
          <w:sz w:val="24"/>
          <w:szCs w:val="24"/>
        </w:rPr>
        <w:t>28</w:t>
      </w:r>
      <w:r w:rsidRPr="00E616C8">
        <w:rPr>
          <w:rFonts w:ascii="Times New Roman" w:hAnsi="Times New Roman"/>
          <w:b/>
          <w:sz w:val="24"/>
          <w:szCs w:val="24"/>
        </w:rPr>
        <w:t>,</w:t>
      </w:r>
      <w:r w:rsidR="009B3AF0" w:rsidRPr="00E616C8">
        <w:rPr>
          <w:rFonts w:ascii="Times New Roman" w:hAnsi="Times New Roman"/>
          <w:b/>
          <w:sz w:val="24"/>
          <w:szCs w:val="24"/>
        </w:rPr>
        <w:t>9</w:t>
      </w:r>
      <w:r w:rsidR="00813176" w:rsidRPr="00E616C8">
        <w:rPr>
          <w:rFonts w:ascii="Times New Roman" w:hAnsi="Times New Roman"/>
          <w:b/>
          <w:sz w:val="24"/>
          <w:szCs w:val="24"/>
        </w:rPr>
        <w:t>94</w:t>
      </w:r>
      <w:r w:rsidR="00813176" w:rsidRPr="004E152D">
        <w:rPr>
          <w:rFonts w:ascii="Times New Roman" w:hAnsi="Times New Roman"/>
          <w:b/>
          <w:sz w:val="24"/>
          <w:szCs w:val="24"/>
        </w:rPr>
        <w:t xml:space="preserve"> </w:t>
      </w:r>
      <w:r w:rsidR="008F5CAF" w:rsidRPr="004E152D">
        <w:rPr>
          <w:rFonts w:ascii="Times New Roman" w:hAnsi="Times New Roman"/>
          <w:sz w:val="24"/>
          <w:szCs w:val="24"/>
        </w:rPr>
        <w:t>in the total annual hour burden</w:t>
      </w:r>
      <w:r w:rsidRPr="00473D6B">
        <w:rPr>
          <w:rFonts w:ascii="Times New Roman" w:hAnsi="Times New Roman"/>
          <w:sz w:val="24"/>
          <w:szCs w:val="24"/>
        </w:rPr>
        <w:t xml:space="preserve">.  A comparison of the two Supporting Statements reveals that </w:t>
      </w:r>
      <w:r w:rsidR="00007EF5" w:rsidRPr="00A90261">
        <w:rPr>
          <w:rFonts w:ascii="Times New Roman" w:hAnsi="Times New Roman"/>
          <w:sz w:val="24"/>
          <w:szCs w:val="24"/>
        </w:rPr>
        <w:t>t</w:t>
      </w:r>
      <w:r w:rsidR="00007EF5" w:rsidRPr="004E152D">
        <w:rPr>
          <w:rFonts w:ascii="Times New Roman" w:hAnsi="Times New Roman"/>
          <w:sz w:val="24"/>
          <w:szCs w:val="24"/>
        </w:rPr>
        <w:t xml:space="preserve">he significant discrepancy in total hour burden is due to </w:t>
      </w:r>
      <w:r w:rsidRPr="004E152D">
        <w:rPr>
          <w:rFonts w:ascii="Times New Roman" w:hAnsi="Times New Roman"/>
          <w:sz w:val="24"/>
          <w:szCs w:val="24"/>
        </w:rPr>
        <w:t xml:space="preserve">the </w:t>
      </w:r>
      <w:r w:rsidR="00007EF5" w:rsidRPr="004E152D">
        <w:rPr>
          <w:rFonts w:ascii="Times New Roman" w:hAnsi="Times New Roman"/>
          <w:sz w:val="24"/>
          <w:szCs w:val="24"/>
        </w:rPr>
        <w:t xml:space="preserve">difference in the </w:t>
      </w:r>
      <w:r w:rsidRPr="004E152D">
        <w:rPr>
          <w:rFonts w:ascii="Times New Roman" w:hAnsi="Times New Roman"/>
          <w:sz w:val="24"/>
          <w:szCs w:val="24"/>
        </w:rPr>
        <w:t>number of response</w:t>
      </w:r>
      <w:r w:rsidR="00ED6938" w:rsidRPr="004E152D">
        <w:rPr>
          <w:rFonts w:ascii="Times New Roman" w:hAnsi="Times New Roman"/>
          <w:sz w:val="24"/>
          <w:szCs w:val="24"/>
        </w:rPr>
        <w:t>s</w:t>
      </w:r>
      <w:r w:rsidRPr="004E152D">
        <w:rPr>
          <w:rFonts w:ascii="Times New Roman" w:hAnsi="Times New Roman"/>
          <w:sz w:val="24"/>
          <w:szCs w:val="24"/>
        </w:rPr>
        <w:t xml:space="preserve"> reported in the chart</w:t>
      </w:r>
      <w:r w:rsidR="00007EF5" w:rsidRPr="004E152D">
        <w:rPr>
          <w:rFonts w:ascii="Times New Roman" w:hAnsi="Times New Roman"/>
          <w:sz w:val="24"/>
          <w:szCs w:val="24"/>
        </w:rPr>
        <w:t>s</w:t>
      </w:r>
      <w:r w:rsidRPr="004E152D">
        <w:rPr>
          <w:rFonts w:ascii="Times New Roman" w:hAnsi="Times New Roman"/>
          <w:sz w:val="24"/>
          <w:szCs w:val="24"/>
        </w:rPr>
        <w:t xml:space="preserve"> to </w:t>
      </w:r>
      <w:r w:rsidR="00F07EC6" w:rsidRPr="004E152D">
        <w:rPr>
          <w:rFonts w:ascii="Times New Roman" w:hAnsi="Times New Roman"/>
          <w:sz w:val="24"/>
          <w:szCs w:val="24"/>
        </w:rPr>
        <w:t>Question 12 of each statement</w:t>
      </w:r>
      <w:r w:rsidRPr="00473D6B">
        <w:rPr>
          <w:rFonts w:ascii="Times New Roman" w:hAnsi="Times New Roman"/>
          <w:sz w:val="24"/>
          <w:szCs w:val="24"/>
        </w:rPr>
        <w:t>.  The total number of responses reported in the chart to Question 12 of the 2014 Supporting Statement</w:t>
      </w:r>
      <w:r w:rsidR="00E341E8" w:rsidRPr="00A90261">
        <w:rPr>
          <w:rFonts w:ascii="Times New Roman" w:hAnsi="Times New Roman"/>
          <w:sz w:val="24"/>
          <w:szCs w:val="24"/>
        </w:rPr>
        <w:t xml:space="preserve"> </w:t>
      </w:r>
      <w:r w:rsidR="00E341E8" w:rsidRPr="004E152D">
        <w:rPr>
          <w:rFonts w:ascii="Times New Roman" w:hAnsi="Times New Roman"/>
          <w:sz w:val="24"/>
          <w:szCs w:val="24"/>
        </w:rPr>
        <w:t>for the rules and requirements covered by this collection, other than Sections 63.18(k) and 63.11(g)(2),</w:t>
      </w:r>
      <w:r w:rsidR="00E341E8" w:rsidRPr="00473D6B">
        <w:rPr>
          <w:rFonts w:ascii="Times New Roman" w:hAnsi="Times New Roman"/>
          <w:sz w:val="24"/>
          <w:szCs w:val="24"/>
        </w:rPr>
        <w:t xml:space="preserve"> </w:t>
      </w:r>
      <w:r w:rsidRPr="00A90261">
        <w:rPr>
          <w:rFonts w:ascii="Times New Roman" w:hAnsi="Times New Roman"/>
          <w:sz w:val="24"/>
          <w:szCs w:val="24"/>
        </w:rPr>
        <w:t xml:space="preserve"> is </w:t>
      </w:r>
      <w:r w:rsidRPr="004E152D">
        <w:rPr>
          <w:rFonts w:ascii="Times New Roman" w:hAnsi="Times New Roman"/>
          <w:sz w:val="24"/>
          <w:szCs w:val="24"/>
        </w:rPr>
        <w:t>74</w:t>
      </w:r>
      <w:r w:rsidR="00267A52" w:rsidRPr="004E152D">
        <w:rPr>
          <w:rFonts w:ascii="Times New Roman" w:hAnsi="Times New Roman"/>
          <w:sz w:val="24"/>
          <w:szCs w:val="24"/>
        </w:rPr>
        <w:t>6</w:t>
      </w:r>
      <w:r w:rsidRPr="00473D6B">
        <w:rPr>
          <w:rFonts w:ascii="Times New Roman" w:hAnsi="Times New Roman"/>
          <w:sz w:val="24"/>
          <w:szCs w:val="24"/>
        </w:rPr>
        <w:t xml:space="preserve"> and the</w:t>
      </w:r>
      <w:r w:rsidR="00267A52" w:rsidRPr="00A90261">
        <w:rPr>
          <w:rFonts w:ascii="Times New Roman" w:hAnsi="Times New Roman"/>
          <w:sz w:val="24"/>
          <w:szCs w:val="24"/>
        </w:rPr>
        <w:t xml:space="preserve"> </w:t>
      </w:r>
      <w:r w:rsidR="00267A52" w:rsidRPr="004E152D">
        <w:rPr>
          <w:rFonts w:ascii="Times New Roman" w:hAnsi="Times New Roman"/>
          <w:sz w:val="24"/>
          <w:szCs w:val="24"/>
        </w:rPr>
        <w:t>corresponding</w:t>
      </w:r>
      <w:r w:rsidRPr="00473D6B">
        <w:rPr>
          <w:rFonts w:ascii="Times New Roman" w:hAnsi="Times New Roman"/>
          <w:sz w:val="24"/>
          <w:szCs w:val="24"/>
        </w:rPr>
        <w:t xml:space="preserve"> total number of responses reported in the 2013 Supporting Statement is</w:t>
      </w:r>
      <w:r w:rsidR="00267A52" w:rsidRPr="00A90261">
        <w:rPr>
          <w:rFonts w:ascii="Times New Roman" w:hAnsi="Times New Roman"/>
          <w:sz w:val="24"/>
          <w:szCs w:val="24"/>
        </w:rPr>
        <w:t xml:space="preserve"> </w:t>
      </w:r>
      <w:r w:rsidR="00267A52" w:rsidRPr="004E152D">
        <w:rPr>
          <w:rFonts w:ascii="Times New Roman" w:hAnsi="Times New Roman"/>
          <w:sz w:val="24"/>
          <w:szCs w:val="24"/>
        </w:rPr>
        <w:t>9,560</w:t>
      </w:r>
      <w:r w:rsidRPr="00473D6B">
        <w:rPr>
          <w:rFonts w:ascii="Times New Roman" w:hAnsi="Times New Roman"/>
          <w:sz w:val="24"/>
          <w:szCs w:val="24"/>
        </w:rPr>
        <w:t xml:space="preserve">, a difference of </w:t>
      </w:r>
      <w:r w:rsidR="00B97982" w:rsidRPr="00E616C8">
        <w:rPr>
          <w:rFonts w:ascii="Times New Roman" w:hAnsi="Times New Roman"/>
          <w:b/>
          <w:sz w:val="24"/>
          <w:szCs w:val="24"/>
        </w:rPr>
        <w:t>8</w:t>
      </w:r>
      <w:r w:rsidRPr="00E616C8">
        <w:rPr>
          <w:rFonts w:ascii="Times New Roman" w:hAnsi="Times New Roman"/>
          <w:b/>
          <w:sz w:val="24"/>
          <w:szCs w:val="24"/>
        </w:rPr>
        <w:t>,</w:t>
      </w:r>
      <w:r w:rsidR="00B97982" w:rsidRPr="00E616C8">
        <w:rPr>
          <w:rFonts w:ascii="Times New Roman" w:hAnsi="Times New Roman"/>
          <w:b/>
          <w:sz w:val="24"/>
          <w:szCs w:val="24"/>
        </w:rPr>
        <w:t>814</w:t>
      </w:r>
      <w:r w:rsidR="00B97982" w:rsidRPr="00473D6B">
        <w:rPr>
          <w:rFonts w:ascii="Times New Roman" w:hAnsi="Times New Roman"/>
          <w:sz w:val="24"/>
          <w:szCs w:val="24"/>
        </w:rPr>
        <w:t xml:space="preserve"> </w:t>
      </w:r>
      <w:r w:rsidR="00B97982" w:rsidRPr="004E152D">
        <w:rPr>
          <w:rFonts w:ascii="Times New Roman" w:hAnsi="Times New Roman"/>
          <w:sz w:val="24"/>
          <w:szCs w:val="24"/>
        </w:rPr>
        <w:t>responses</w:t>
      </w:r>
      <w:r w:rsidRPr="00473D6B">
        <w:rPr>
          <w:rFonts w:ascii="Times New Roman" w:hAnsi="Times New Roman"/>
          <w:sz w:val="24"/>
          <w:szCs w:val="24"/>
        </w:rPr>
        <w:t xml:space="preserve">.  </w:t>
      </w:r>
      <w:r w:rsidRPr="00A90261">
        <w:rPr>
          <w:rFonts w:ascii="Times New Roman" w:hAnsi="Times New Roman"/>
          <w:sz w:val="24"/>
          <w:szCs w:val="24"/>
        </w:rPr>
        <w:t xml:space="preserve">IB staff has concluded that the high response number reported in the 2013 Supporting Statement is due to over counting responses by (1) </w:t>
      </w:r>
      <w:r w:rsidR="00C80E0C" w:rsidRPr="00644F93">
        <w:rPr>
          <w:rFonts w:ascii="Times New Roman" w:hAnsi="Times New Roman"/>
          <w:sz w:val="24"/>
          <w:szCs w:val="24"/>
        </w:rPr>
        <w:t>counting responses for</w:t>
      </w:r>
      <w:r w:rsidRPr="004E152D">
        <w:rPr>
          <w:rFonts w:ascii="Times New Roman" w:hAnsi="Times New Roman"/>
          <w:sz w:val="24"/>
          <w:szCs w:val="24"/>
        </w:rPr>
        <w:t xml:space="preserve"> rule sections that are merely informative, (2) not taking into consideration the differences between rule sections that apply routinely to all filers and rule sections that do not apply routinely to all filers, resulting in counting responses for a single application </w:t>
      </w:r>
      <w:r w:rsidR="00053401" w:rsidRPr="004E152D">
        <w:rPr>
          <w:rFonts w:ascii="Times New Roman" w:hAnsi="Times New Roman"/>
          <w:sz w:val="24"/>
          <w:szCs w:val="24"/>
        </w:rPr>
        <w:t xml:space="preserve">filing </w:t>
      </w:r>
      <w:r w:rsidRPr="004E152D">
        <w:rPr>
          <w:rFonts w:ascii="Times New Roman" w:hAnsi="Times New Roman"/>
          <w:sz w:val="24"/>
          <w:szCs w:val="24"/>
        </w:rPr>
        <w:t xml:space="preserve">multiple times, and (3) not relying on </w:t>
      </w:r>
      <w:r w:rsidR="00053401" w:rsidRPr="004E152D">
        <w:rPr>
          <w:rFonts w:ascii="Times New Roman" w:hAnsi="Times New Roman"/>
          <w:sz w:val="24"/>
          <w:szCs w:val="24"/>
        </w:rPr>
        <w:t xml:space="preserve">the number of filings recorded in the </w:t>
      </w:r>
      <w:r w:rsidRPr="004E152D">
        <w:rPr>
          <w:rFonts w:ascii="Times New Roman" w:hAnsi="Times New Roman"/>
          <w:sz w:val="24"/>
          <w:szCs w:val="24"/>
        </w:rPr>
        <w:t xml:space="preserve">IBFS database. </w:t>
      </w:r>
    </w:p>
    <w:p w:rsidR="0046427A" w:rsidRDefault="0046427A" w:rsidP="0046427A">
      <w:pPr>
        <w:rPr>
          <w:rFonts w:ascii="Times New Roman" w:hAnsi="Times New Roman"/>
          <w:sz w:val="24"/>
          <w:szCs w:val="24"/>
        </w:rPr>
      </w:pPr>
    </w:p>
    <w:p w:rsidR="00CD0D92" w:rsidRDefault="00CD0D92" w:rsidP="0046427A">
      <w:pPr>
        <w:rPr>
          <w:rFonts w:ascii="Times New Roman" w:hAnsi="Times New Roman"/>
          <w:sz w:val="24"/>
          <w:szCs w:val="24"/>
        </w:rPr>
      </w:pPr>
    </w:p>
    <w:p w:rsidR="00CD0D92" w:rsidRDefault="00CD0D92" w:rsidP="0046427A">
      <w:pPr>
        <w:rPr>
          <w:rFonts w:ascii="Times New Roman" w:hAnsi="Times New Roman"/>
          <w:sz w:val="24"/>
          <w:szCs w:val="24"/>
        </w:rPr>
      </w:pPr>
    </w:p>
    <w:p w:rsidR="00CD0D92" w:rsidRPr="004E152D" w:rsidRDefault="00CD0D92" w:rsidP="0046427A">
      <w:pPr>
        <w:rPr>
          <w:rFonts w:ascii="Times New Roman" w:hAnsi="Times New Roman"/>
          <w:sz w:val="24"/>
          <w:szCs w:val="24"/>
        </w:rPr>
      </w:pPr>
    </w:p>
    <w:p w:rsidR="0046427A" w:rsidRPr="004E152D" w:rsidRDefault="0046427A" w:rsidP="0046427A">
      <w:pPr>
        <w:rPr>
          <w:rFonts w:ascii="Times New Roman" w:hAnsi="Times New Roman"/>
          <w:b/>
          <w:sz w:val="24"/>
          <w:szCs w:val="24"/>
        </w:rPr>
      </w:pPr>
      <w:r w:rsidRPr="004E152D">
        <w:rPr>
          <w:rFonts w:ascii="Times New Roman" w:hAnsi="Times New Roman"/>
          <w:sz w:val="24"/>
          <w:szCs w:val="24"/>
        </w:rPr>
        <w:lastRenderedPageBreak/>
        <w:t>I</w:t>
      </w:r>
      <w:r w:rsidR="00ED6938" w:rsidRPr="004E152D">
        <w:rPr>
          <w:rFonts w:ascii="Times New Roman" w:hAnsi="Times New Roman"/>
          <w:sz w:val="24"/>
          <w:szCs w:val="24"/>
        </w:rPr>
        <w:t xml:space="preserve">nternational </w:t>
      </w:r>
      <w:r w:rsidRPr="004E152D">
        <w:rPr>
          <w:rFonts w:ascii="Times New Roman" w:hAnsi="Times New Roman"/>
          <w:sz w:val="24"/>
          <w:szCs w:val="24"/>
        </w:rPr>
        <w:t>B</w:t>
      </w:r>
      <w:r w:rsidR="00ED6938" w:rsidRPr="004E152D">
        <w:rPr>
          <w:rFonts w:ascii="Times New Roman" w:hAnsi="Times New Roman"/>
          <w:sz w:val="24"/>
          <w:szCs w:val="24"/>
        </w:rPr>
        <w:t>ureau (IB)</w:t>
      </w:r>
      <w:r w:rsidRPr="004E152D">
        <w:rPr>
          <w:rFonts w:ascii="Times New Roman" w:hAnsi="Times New Roman"/>
          <w:sz w:val="24"/>
          <w:szCs w:val="24"/>
        </w:rPr>
        <w:t xml:space="preserve"> staff, in the 2014 Supporting Statement, correct</w:t>
      </w:r>
      <w:r w:rsidR="00186D38" w:rsidRPr="004E152D">
        <w:rPr>
          <w:rFonts w:ascii="Times New Roman" w:hAnsi="Times New Roman"/>
          <w:sz w:val="24"/>
          <w:szCs w:val="24"/>
        </w:rPr>
        <w:t>ed</w:t>
      </w:r>
      <w:r w:rsidRPr="004E152D">
        <w:rPr>
          <w:rFonts w:ascii="Times New Roman" w:hAnsi="Times New Roman"/>
          <w:sz w:val="24"/>
          <w:szCs w:val="24"/>
        </w:rPr>
        <w:t xml:space="preserve"> for over counting </w:t>
      </w:r>
      <w:r w:rsidR="009A41AE" w:rsidRPr="004E152D">
        <w:rPr>
          <w:rFonts w:ascii="Times New Roman" w:hAnsi="Times New Roman"/>
          <w:sz w:val="24"/>
          <w:szCs w:val="24"/>
        </w:rPr>
        <w:t xml:space="preserve">of responses </w:t>
      </w:r>
      <w:r w:rsidRPr="004E152D">
        <w:rPr>
          <w:rFonts w:ascii="Times New Roman" w:hAnsi="Times New Roman"/>
          <w:sz w:val="24"/>
          <w:szCs w:val="24"/>
        </w:rPr>
        <w:t xml:space="preserve">by first eliminating </w:t>
      </w:r>
      <w:r w:rsidR="00CC1598" w:rsidRPr="004E152D">
        <w:rPr>
          <w:rFonts w:ascii="Times New Roman" w:hAnsi="Times New Roman"/>
          <w:sz w:val="24"/>
          <w:szCs w:val="24"/>
        </w:rPr>
        <w:t xml:space="preserve">the response numbers associated with </w:t>
      </w:r>
      <w:r w:rsidRPr="004E152D">
        <w:rPr>
          <w:rFonts w:ascii="Times New Roman" w:hAnsi="Times New Roman"/>
          <w:sz w:val="24"/>
          <w:szCs w:val="24"/>
        </w:rPr>
        <w:t>informative rule sections contained in the 2013 Supporting Statement.</w:t>
      </w:r>
      <w:r w:rsidRPr="00473D6B">
        <w:rPr>
          <w:rStyle w:val="FootnoteReference"/>
          <w:rFonts w:ascii="Times New Roman" w:hAnsi="Times New Roman"/>
          <w:sz w:val="24"/>
          <w:szCs w:val="24"/>
        </w:rPr>
        <w:footnoteReference w:id="10"/>
      </w:r>
      <w:r w:rsidRPr="00473D6B">
        <w:rPr>
          <w:rFonts w:ascii="Times New Roman" w:hAnsi="Times New Roman"/>
          <w:sz w:val="24"/>
          <w:szCs w:val="24"/>
        </w:rPr>
        <w:t xml:space="preserve">  IB staff then examined the remaining rule sections in Question 12 chart of the 2013 Supporting Statement to identify rules that apply routinely to </w:t>
      </w:r>
      <w:r w:rsidRPr="00A90261">
        <w:rPr>
          <w:rFonts w:ascii="Times New Roman" w:hAnsi="Times New Roman"/>
          <w:sz w:val="24"/>
          <w:szCs w:val="24"/>
        </w:rPr>
        <w:t>an application</w:t>
      </w:r>
      <w:r w:rsidR="00CC1598" w:rsidRPr="00644F93">
        <w:rPr>
          <w:rFonts w:ascii="Times New Roman" w:hAnsi="Times New Roman"/>
          <w:sz w:val="24"/>
          <w:szCs w:val="24"/>
        </w:rPr>
        <w:t xml:space="preserve"> filing</w:t>
      </w:r>
      <w:r w:rsidRPr="004E152D">
        <w:rPr>
          <w:rFonts w:ascii="Times New Roman" w:hAnsi="Times New Roman"/>
          <w:sz w:val="24"/>
          <w:szCs w:val="24"/>
        </w:rPr>
        <w:t>,</w:t>
      </w:r>
      <w:r w:rsidR="00381C3A" w:rsidRPr="004E152D">
        <w:rPr>
          <w:rFonts w:ascii="Times New Roman" w:hAnsi="Times New Roman"/>
          <w:sz w:val="24"/>
          <w:szCs w:val="24"/>
        </w:rPr>
        <w:t xml:space="preserve"> and</w:t>
      </w:r>
      <w:r w:rsidR="00CC1598" w:rsidRPr="004E152D">
        <w:rPr>
          <w:rFonts w:ascii="Times New Roman" w:hAnsi="Times New Roman"/>
          <w:sz w:val="24"/>
          <w:szCs w:val="24"/>
        </w:rPr>
        <w:t xml:space="preserve"> then</w:t>
      </w:r>
      <w:r w:rsidR="009A41AE" w:rsidRPr="004E152D">
        <w:rPr>
          <w:rFonts w:ascii="Times New Roman" w:hAnsi="Times New Roman"/>
          <w:sz w:val="24"/>
          <w:szCs w:val="24"/>
        </w:rPr>
        <w:t>, as explained below,</w:t>
      </w:r>
      <w:r w:rsidR="00381C3A" w:rsidRPr="004E152D">
        <w:rPr>
          <w:rFonts w:ascii="Times New Roman" w:hAnsi="Times New Roman"/>
          <w:sz w:val="24"/>
          <w:szCs w:val="24"/>
        </w:rPr>
        <w:t xml:space="preserve"> group</w:t>
      </w:r>
      <w:r w:rsidR="00CF549A" w:rsidRPr="004E152D">
        <w:rPr>
          <w:rFonts w:ascii="Times New Roman" w:hAnsi="Times New Roman"/>
          <w:sz w:val="24"/>
          <w:szCs w:val="24"/>
        </w:rPr>
        <w:t>ed</w:t>
      </w:r>
      <w:r w:rsidRPr="004E152D">
        <w:rPr>
          <w:rFonts w:ascii="Times New Roman" w:hAnsi="Times New Roman"/>
          <w:sz w:val="24"/>
          <w:szCs w:val="24"/>
        </w:rPr>
        <w:t xml:space="preserve"> those</w:t>
      </w:r>
      <w:r w:rsidR="00CC1598" w:rsidRPr="004E152D">
        <w:rPr>
          <w:rFonts w:ascii="Times New Roman" w:hAnsi="Times New Roman"/>
          <w:sz w:val="24"/>
          <w:szCs w:val="24"/>
        </w:rPr>
        <w:t xml:space="preserve"> </w:t>
      </w:r>
      <w:r w:rsidRPr="004E152D">
        <w:rPr>
          <w:rFonts w:ascii="Times New Roman" w:hAnsi="Times New Roman"/>
          <w:sz w:val="24"/>
          <w:szCs w:val="24"/>
        </w:rPr>
        <w:t>rule sections in</w:t>
      </w:r>
      <w:r w:rsidR="00CC1598" w:rsidRPr="004E152D">
        <w:rPr>
          <w:rFonts w:ascii="Times New Roman" w:hAnsi="Times New Roman"/>
          <w:sz w:val="24"/>
          <w:szCs w:val="24"/>
        </w:rPr>
        <w:t>to one category.</w:t>
      </w:r>
      <w:r w:rsidR="00CF549A" w:rsidRPr="00473D6B">
        <w:rPr>
          <w:rStyle w:val="FootnoteReference"/>
          <w:rFonts w:ascii="Times New Roman" w:hAnsi="Times New Roman"/>
          <w:sz w:val="24"/>
          <w:szCs w:val="24"/>
        </w:rPr>
        <w:footnoteReference w:id="11"/>
      </w:r>
      <w:r w:rsidRPr="00473D6B">
        <w:rPr>
          <w:rFonts w:ascii="Times New Roman" w:hAnsi="Times New Roman"/>
          <w:sz w:val="24"/>
          <w:szCs w:val="24"/>
        </w:rPr>
        <w:t xml:space="preserve">  Non-routine rule sections</w:t>
      </w:r>
      <w:r w:rsidR="009A41AE" w:rsidRPr="00A90261">
        <w:rPr>
          <w:rFonts w:ascii="Times New Roman" w:hAnsi="Times New Roman"/>
          <w:sz w:val="24"/>
          <w:szCs w:val="24"/>
        </w:rPr>
        <w:t xml:space="preserve"> </w:t>
      </w:r>
      <w:r w:rsidR="00431741" w:rsidRPr="00A90261">
        <w:rPr>
          <w:rFonts w:ascii="Times New Roman" w:hAnsi="Times New Roman"/>
          <w:sz w:val="24"/>
          <w:szCs w:val="24"/>
        </w:rPr>
        <w:t xml:space="preserve">that apply to specific circumstances </w:t>
      </w:r>
      <w:r w:rsidR="009A41AE" w:rsidRPr="00A90261">
        <w:rPr>
          <w:rFonts w:ascii="Times New Roman" w:hAnsi="Times New Roman"/>
          <w:sz w:val="24"/>
          <w:szCs w:val="24"/>
        </w:rPr>
        <w:t>are</w:t>
      </w:r>
      <w:r w:rsidR="00431741" w:rsidRPr="00A90261">
        <w:rPr>
          <w:rFonts w:ascii="Times New Roman" w:hAnsi="Times New Roman"/>
          <w:sz w:val="24"/>
          <w:szCs w:val="24"/>
        </w:rPr>
        <w:t xml:space="preserve"> given</w:t>
      </w:r>
      <w:r w:rsidR="00CC1598" w:rsidRPr="00A90261">
        <w:rPr>
          <w:rFonts w:ascii="Times New Roman" w:hAnsi="Times New Roman"/>
          <w:sz w:val="24"/>
          <w:szCs w:val="24"/>
        </w:rPr>
        <w:t xml:space="preserve"> their own </w:t>
      </w:r>
      <w:r w:rsidR="00381C3A" w:rsidRPr="00A90261">
        <w:rPr>
          <w:rFonts w:ascii="Times New Roman" w:hAnsi="Times New Roman"/>
          <w:sz w:val="24"/>
          <w:szCs w:val="24"/>
        </w:rPr>
        <w:t>separate</w:t>
      </w:r>
      <w:r w:rsidR="00CC1598" w:rsidRPr="00A90261">
        <w:rPr>
          <w:rFonts w:ascii="Times New Roman" w:hAnsi="Times New Roman"/>
          <w:sz w:val="24"/>
          <w:szCs w:val="24"/>
        </w:rPr>
        <w:t xml:space="preserve"> category</w:t>
      </w:r>
      <w:r w:rsidR="00431741" w:rsidRPr="00644F93">
        <w:rPr>
          <w:rFonts w:ascii="Times New Roman" w:hAnsi="Times New Roman"/>
          <w:sz w:val="24"/>
          <w:szCs w:val="24"/>
        </w:rPr>
        <w:t xml:space="preserve"> in the chart to Question 12.</w:t>
      </w:r>
      <w:r w:rsidRPr="004E152D">
        <w:rPr>
          <w:rFonts w:ascii="Times New Roman" w:hAnsi="Times New Roman"/>
          <w:sz w:val="24"/>
          <w:szCs w:val="24"/>
        </w:rPr>
        <w:t xml:space="preserve">  Finally, after regrouping rule sections, IB staff counted</w:t>
      </w:r>
      <w:r w:rsidR="00CC1598" w:rsidRPr="004E152D">
        <w:rPr>
          <w:rFonts w:ascii="Times New Roman" w:hAnsi="Times New Roman"/>
          <w:sz w:val="24"/>
          <w:szCs w:val="24"/>
        </w:rPr>
        <w:t>, for each rule section,</w:t>
      </w:r>
      <w:r w:rsidRPr="004E152D">
        <w:rPr>
          <w:rFonts w:ascii="Times New Roman" w:hAnsi="Times New Roman"/>
          <w:sz w:val="24"/>
          <w:szCs w:val="24"/>
        </w:rPr>
        <w:t xml:space="preserve"> the number of filings</w:t>
      </w:r>
      <w:r w:rsidR="00431741" w:rsidRPr="004E152D">
        <w:rPr>
          <w:rFonts w:ascii="Times New Roman" w:hAnsi="Times New Roman"/>
          <w:sz w:val="24"/>
          <w:szCs w:val="24"/>
        </w:rPr>
        <w:t>/responses</w:t>
      </w:r>
      <w:r w:rsidRPr="004E152D">
        <w:rPr>
          <w:rFonts w:ascii="Times New Roman" w:hAnsi="Times New Roman"/>
          <w:sz w:val="24"/>
          <w:szCs w:val="24"/>
        </w:rPr>
        <w:t xml:space="preserve"> re</w:t>
      </w:r>
      <w:r w:rsidR="00431741" w:rsidRPr="004E152D">
        <w:rPr>
          <w:rFonts w:ascii="Times New Roman" w:hAnsi="Times New Roman"/>
          <w:sz w:val="24"/>
          <w:szCs w:val="24"/>
        </w:rPr>
        <w:t>cord</w:t>
      </w:r>
      <w:r w:rsidRPr="004E152D">
        <w:rPr>
          <w:rFonts w:ascii="Times New Roman" w:hAnsi="Times New Roman"/>
          <w:sz w:val="24"/>
          <w:szCs w:val="24"/>
        </w:rPr>
        <w:t>ed in the IBFS database</w:t>
      </w:r>
      <w:r w:rsidR="00431741" w:rsidRPr="004E152D">
        <w:rPr>
          <w:rFonts w:ascii="Times New Roman" w:hAnsi="Times New Roman"/>
          <w:sz w:val="24"/>
          <w:szCs w:val="24"/>
        </w:rPr>
        <w:t>,</w:t>
      </w:r>
      <w:r w:rsidRPr="004E152D">
        <w:rPr>
          <w:rFonts w:ascii="Times New Roman" w:hAnsi="Times New Roman"/>
          <w:sz w:val="24"/>
          <w:szCs w:val="24"/>
        </w:rPr>
        <w:t xml:space="preserve"> and reported th</w:t>
      </w:r>
      <w:r w:rsidR="00186D38" w:rsidRPr="004E152D">
        <w:rPr>
          <w:rFonts w:ascii="Times New Roman" w:hAnsi="Times New Roman"/>
          <w:sz w:val="24"/>
          <w:szCs w:val="24"/>
        </w:rPr>
        <w:t>ose</w:t>
      </w:r>
      <w:r w:rsidRPr="004E152D">
        <w:rPr>
          <w:rFonts w:ascii="Times New Roman" w:hAnsi="Times New Roman"/>
          <w:sz w:val="24"/>
          <w:szCs w:val="24"/>
        </w:rPr>
        <w:t xml:space="preserve"> numbers in the</w:t>
      </w:r>
      <w:r w:rsidR="00431741" w:rsidRPr="004E152D">
        <w:rPr>
          <w:rFonts w:ascii="Times New Roman" w:hAnsi="Times New Roman"/>
          <w:sz w:val="24"/>
          <w:szCs w:val="24"/>
        </w:rPr>
        <w:t xml:space="preserve"> rule sections in the</w:t>
      </w:r>
      <w:r w:rsidRPr="004E152D">
        <w:rPr>
          <w:rFonts w:ascii="Times New Roman" w:hAnsi="Times New Roman"/>
          <w:sz w:val="24"/>
          <w:szCs w:val="24"/>
        </w:rPr>
        <w:t xml:space="preserve"> </w:t>
      </w:r>
      <w:r w:rsidR="00186D38" w:rsidRPr="004E152D">
        <w:rPr>
          <w:rFonts w:ascii="Times New Roman" w:hAnsi="Times New Roman"/>
          <w:sz w:val="24"/>
          <w:szCs w:val="24"/>
        </w:rPr>
        <w:t xml:space="preserve">chart to </w:t>
      </w:r>
      <w:r w:rsidRPr="004E152D">
        <w:rPr>
          <w:rFonts w:ascii="Times New Roman" w:hAnsi="Times New Roman"/>
          <w:sz w:val="24"/>
          <w:szCs w:val="24"/>
        </w:rPr>
        <w:t xml:space="preserve">Question 12.  For filings not recorded in the IBFS database, such as 63.10(c), the number of responses was obtained by interviewing IB staff responsible for processing filings associated with those rule categories.  </w:t>
      </w:r>
      <w:r w:rsidR="00186D38" w:rsidRPr="004E152D">
        <w:rPr>
          <w:rFonts w:ascii="Times New Roman" w:hAnsi="Times New Roman"/>
          <w:sz w:val="24"/>
          <w:szCs w:val="24"/>
        </w:rPr>
        <w:t>For each rule section category, the annual hour burden was calculated by multiplying the number of responses by the number of estimated hours per response</w:t>
      </w:r>
      <w:r w:rsidR="009A41AE" w:rsidRPr="004E152D">
        <w:rPr>
          <w:rFonts w:ascii="Times New Roman" w:hAnsi="Times New Roman"/>
          <w:sz w:val="24"/>
          <w:szCs w:val="24"/>
        </w:rPr>
        <w:t>.  The total</w:t>
      </w:r>
      <w:r w:rsidR="00186D38" w:rsidRPr="004E152D">
        <w:rPr>
          <w:rFonts w:ascii="Times New Roman" w:hAnsi="Times New Roman"/>
          <w:sz w:val="24"/>
          <w:szCs w:val="24"/>
        </w:rPr>
        <w:t xml:space="preserve"> </w:t>
      </w:r>
      <w:r w:rsidRPr="004E152D">
        <w:rPr>
          <w:rFonts w:ascii="Times New Roman" w:hAnsi="Times New Roman"/>
          <w:sz w:val="24"/>
          <w:szCs w:val="24"/>
        </w:rPr>
        <w:t xml:space="preserve">annual hour burden </w:t>
      </w:r>
      <w:r w:rsidR="00186D38" w:rsidRPr="004E152D">
        <w:rPr>
          <w:rFonts w:ascii="Times New Roman" w:hAnsi="Times New Roman"/>
          <w:sz w:val="24"/>
          <w:szCs w:val="24"/>
        </w:rPr>
        <w:t xml:space="preserve">is the </w:t>
      </w:r>
      <w:r w:rsidR="009A41AE" w:rsidRPr="004E152D">
        <w:rPr>
          <w:rFonts w:ascii="Times New Roman" w:hAnsi="Times New Roman"/>
          <w:sz w:val="24"/>
          <w:szCs w:val="24"/>
        </w:rPr>
        <w:t>sum of the hours contained in each rule category.</w:t>
      </w:r>
      <w:r w:rsidRPr="004E152D">
        <w:rPr>
          <w:rFonts w:ascii="Times New Roman" w:hAnsi="Times New Roman"/>
          <w:sz w:val="24"/>
          <w:szCs w:val="24"/>
        </w:rPr>
        <w:t xml:space="preserve"> </w:t>
      </w:r>
    </w:p>
    <w:p w:rsidR="0046427A" w:rsidRPr="004E152D" w:rsidRDefault="0046427A" w:rsidP="0046427A">
      <w:pPr>
        <w:rPr>
          <w:rFonts w:ascii="Times New Roman" w:hAnsi="Times New Roman"/>
          <w:sz w:val="24"/>
          <w:szCs w:val="24"/>
        </w:rPr>
      </w:pPr>
    </w:p>
    <w:p w:rsidR="0046427A" w:rsidRPr="00A90261" w:rsidRDefault="0046427A" w:rsidP="0046427A">
      <w:pPr>
        <w:rPr>
          <w:rFonts w:ascii="Times New Roman" w:hAnsi="Times New Roman"/>
          <w:sz w:val="24"/>
          <w:szCs w:val="24"/>
        </w:rPr>
      </w:pPr>
      <w:r w:rsidRPr="004E152D">
        <w:rPr>
          <w:rFonts w:ascii="Times New Roman" w:hAnsi="Times New Roman"/>
          <w:i/>
          <w:sz w:val="24"/>
          <w:szCs w:val="24"/>
        </w:rPr>
        <w:t>Question 13 Cost Burden Adjustments</w:t>
      </w:r>
      <w:r w:rsidRPr="004E152D">
        <w:rPr>
          <w:rFonts w:ascii="Times New Roman" w:hAnsi="Times New Roman"/>
          <w:sz w:val="24"/>
          <w:szCs w:val="24"/>
        </w:rPr>
        <w:t>:  The total annual cost burden to respondents in the 2013 and 2014 Supporting Statements is calculated by adding the annualized outside legal assistance cost estimate to the annualized application fees.  The Commission determines outside legal costs by taking 50% of the total number of responses and multiplying that number by the estimated</w:t>
      </w:r>
      <w:r w:rsidR="008F5CAF" w:rsidRPr="004E152D">
        <w:rPr>
          <w:rFonts w:ascii="Times New Roman" w:hAnsi="Times New Roman"/>
          <w:sz w:val="24"/>
          <w:szCs w:val="24"/>
        </w:rPr>
        <w:t xml:space="preserve"> </w:t>
      </w:r>
      <w:r w:rsidR="00A90261">
        <w:rPr>
          <w:rFonts w:ascii="Times New Roman" w:hAnsi="Times New Roman"/>
          <w:sz w:val="24"/>
          <w:szCs w:val="24"/>
        </w:rPr>
        <w:t xml:space="preserve">average </w:t>
      </w:r>
      <w:r w:rsidR="008F5CAF" w:rsidRPr="004E152D">
        <w:rPr>
          <w:rFonts w:ascii="Times New Roman" w:hAnsi="Times New Roman"/>
          <w:sz w:val="24"/>
          <w:szCs w:val="24"/>
        </w:rPr>
        <w:t xml:space="preserve">time </w:t>
      </w:r>
      <w:r w:rsidRPr="00473D6B">
        <w:rPr>
          <w:rFonts w:ascii="Times New Roman" w:hAnsi="Times New Roman"/>
          <w:sz w:val="24"/>
          <w:szCs w:val="24"/>
        </w:rPr>
        <w:t xml:space="preserve">per response.  That number is then multiplied by $300 per hour to determine the total outside legal costs. </w:t>
      </w:r>
    </w:p>
    <w:p w:rsidR="0046427A" w:rsidRPr="00644F93" w:rsidRDefault="0046427A" w:rsidP="0046427A">
      <w:pPr>
        <w:rPr>
          <w:rFonts w:ascii="Times New Roman" w:hAnsi="Times New Roman"/>
          <w:sz w:val="24"/>
          <w:szCs w:val="24"/>
        </w:rPr>
      </w:pPr>
    </w:p>
    <w:p w:rsidR="0046427A" w:rsidRPr="004E152D" w:rsidRDefault="00AB2CA9" w:rsidP="0046427A">
      <w:pPr>
        <w:rPr>
          <w:rFonts w:ascii="Times New Roman" w:hAnsi="Times New Roman"/>
          <w:sz w:val="24"/>
          <w:szCs w:val="24"/>
        </w:rPr>
      </w:pPr>
      <w:r w:rsidRPr="004E152D">
        <w:rPr>
          <w:rFonts w:ascii="Times New Roman" w:hAnsi="Times New Roman"/>
          <w:sz w:val="24"/>
          <w:szCs w:val="24"/>
        </w:rPr>
        <w:t>The total annual cost burden reported in the 2014 Supporting Statement for the rules and requirements covered by this collection, other than Sections 63.18(k) and 63.11(g)(2), is $754,200</w:t>
      </w:r>
      <w:r w:rsidR="004307A0" w:rsidRPr="004E152D">
        <w:rPr>
          <w:rFonts w:ascii="Times New Roman" w:hAnsi="Times New Roman"/>
          <w:sz w:val="24"/>
          <w:szCs w:val="24"/>
        </w:rPr>
        <w:t>,</w:t>
      </w:r>
      <w:r w:rsidR="004307A0" w:rsidRPr="004E152D">
        <w:rPr>
          <w:rFonts w:ascii="Times New Roman" w:hAnsi="Times New Roman"/>
          <w:sz w:val="24"/>
          <w:szCs w:val="24"/>
          <w:vertAlign w:val="superscript"/>
        </w:rPr>
        <w:footnoteReference w:id="12"/>
      </w:r>
      <w:r w:rsidRPr="004E152D">
        <w:rPr>
          <w:rFonts w:ascii="Times New Roman" w:hAnsi="Times New Roman"/>
          <w:sz w:val="24"/>
          <w:szCs w:val="24"/>
        </w:rPr>
        <w:t xml:space="preserve"> and the corresponding total cost burden reported in the 2013 Supporting Statement is </w:t>
      </w:r>
      <w:r w:rsidRPr="004E152D">
        <w:rPr>
          <w:rFonts w:ascii="Times New Roman" w:hAnsi="Times New Roman"/>
          <w:sz w:val="24"/>
          <w:szCs w:val="24"/>
        </w:rPr>
        <w:lastRenderedPageBreak/>
        <w:t xml:space="preserve">$3,414,190, a decrease of </w:t>
      </w:r>
      <w:r w:rsidRPr="00CD0D92">
        <w:rPr>
          <w:rFonts w:ascii="Times New Roman" w:hAnsi="Times New Roman"/>
          <w:b/>
          <w:sz w:val="24"/>
          <w:szCs w:val="24"/>
        </w:rPr>
        <w:t>$2,659,9</w:t>
      </w:r>
      <w:r w:rsidR="006153E4" w:rsidRPr="00CD0D92">
        <w:rPr>
          <w:rFonts w:ascii="Times New Roman" w:hAnsi="Times New Roman"/>
          <w:b/>
          <w:sz w:val="24"/>
          <w:szCs w:val="24"/>
        </w:rPr>
        <w:t>9</w:t>
      </w:r>
      <w:r w:rsidRPr="00CD0D92">
        <w:rPr>
          <w:rFonts w:ascii="Times New Roman" w:hAnsi="Times New Roman"/>
          <w:b/>
          <w:sz w:val="24"/>
          <w:szCs w:val="24"/>
        </w:rPr>
        <w:t>0</w:t>
      </w:r>
      <w:r w:rsidRPr="004E152D">
        <w:rPr>
          <w:rFonts w:ascii="Times New Roman" w:hAnsi="Times New Roman"/>
          <w:sz w:val="24"/>
          <w:szCs w:val="24"/>
        </w:rPr>
        <w:t xml:space="preserve"> in the total annual cost burden</w:t>
      </w:r>
      <w:r w:rsidRPr="00473D6B">
        <w:rPr>
          <w:rFonts w:ascii="Times New Roman" w:hAnsi="Times New Roman"/>
          <w:sz w:val="24"/>
          <w:szCs w:val="24"/>
        </w:rPr>
        <w:t>.</w:t>
      </w:r>
      <w:r w:rsidR="004307A0" w:rsidRPr="00473D6B">
        <w:rPr>
          <w:rStyle w:val="FootnoteReference"/>
          <w:rFonts w:ascii="Times New Roman" w:hAnsi="Times New Roman"/>
          <w:sz w:val="24"/>
          <w:szCs w:val="24"/>
        </w:rPr>
        <w:footnoteReference w:id="13"/>
      </w:r>
      <w:r w:rsidR="0046427A" w:rsidRPr="00473D6B">
        <w:rPr>
          <w:rFonts w:ascii="Times New Roman" w:hAnsi="Times New Roman"/>
          <w:sz w:val="24"/>
          <w:szCs w:val="24"/>
        </w:rPr>
        <w:t xml:space="preserve">  The significant cost difference is due t</w:t>
      </w:r>
      <w:r w:rsidR="0046427A" w:rsidRPr="00A90261">
        <w:rPr>
          <w:rFonts w:ascii="Times New Roman" w:hAnsi="Times New Roman"/>
          <w:sz w:val="24"/>
          <w:szCs w:val="24"/>
        </w:rPr>
        <w:t>o the significant difference in the number of responses reported in the 2013 and 2014 Supporting Statements.</w:t>
      </w:r>
      <w:r w:rsidR="004777C9" w:rsidRPr="00A90261">
        <w:rPr>
          <w:rFonts w:ascii="Times New Roman" w:hAnsi="Times New Roman"/>
          <w:sz w:val="24"/>
          <w:szCs w:val="24"/>
        </w:rPr>
        <w:t xml:space="preserve">  </w:t>
      </w:r>
      <w:r w:rsidR="008646AB" w:rsidRPr="004E152D">
        <w:rPr>
          <w:rFonts w:ascii="Times New Roman" w:hAnsi="Times New Roman"/>
          <w:sz w:val="24"/>
          <w:szCs w:val="24"/>
        </w:rPr>
        <w:t>As discussed above, t</w:t>
      </w:r>
      <w:r w:rsidR="006153E4" w:rsidRPr="004E152D">
        <w:rPr>
          <w:rFonts w:ascii="Times New Roman" w:hAnsi="Times New Roman"/>
          <w:sz w:val="24"/>
          <w:szCs w:val="24"/>
        </w:rPr>
        <w:t>he total number of responses in the 2014 Supporting Statement for the rules and requirements covered by this collection, other than Sections 63.18(k) and 63.11(g)(2),</w:t>
      </w:r>
      <w:r w:rsidR="0090039E" w:rsidRPr="004E152D">
        <w:rPr>
          <w:rFonts w:ascii="Times New Roman" w:hAnsi="Times New Roman"/>
          <w:sz w:val="24"/>
          <w:szCs w:val="24"/>
        </w:rPr>
        <w:t xml:space="preserve"> is </w:t>
      </w:r>
      <w:r w:rsidR="006153E4" w:rsidRPr="004E152D">
        <w:rPr>
          <w:rFonts w:ascii="Times New Roman" w:hAnsi="Times New Roman"/>
          <w:sz w:val="24"/>
          <w:szCs w:val="24"/>
        </w:rPr>
        <w:t>746</w:t>
      </w:r>
      <w:r w:rsidR="008646AB" w:rsidRPr="004E152D">
        <w:rPr>
          <w:rFonts w:ascii="Times New Roman" w:hAnsi="Times New Roman"/>
          <w:sz w:val="24"/>
          <w:szCs w:val="24"/>
        </w:rPr>
        <w:t>,</w:t>
      </w:r>
      <w:r w:rsidR="006153E4" w:rsidRPr="004E152D">
        <w:rPr>
          <w:rFonts w:ascii="Times New Roman" w:hAnsi="Times New Roman"/>
          <w:sz w:val="24"/>
          <w:szCs w:val="24"/>
        </w:rPr>
        <w:t xml:space="preserve"> and the corresponding total number of responses reported in the 2013 Supporting Statement is 9,560, a difference of </w:t>
      </w:r>
      <w:r w:rsidR="006153E4" w:rsidRPr="00CD0D92">
        <w:rPr>
          <w:rFonts w:ascii="Times New Roman" w:hAnsi="Times New Roman"/>
          <w:b/>
          <w:sz w:val="24"/>
          <w:szCs w:val="24"/>
        </w:rPr>
        <w:t>8,814</w:t>
      </w:r>
      <w:r w:rsidR="006153E4" w:rsidRPr="004E152D">
        <w:rPr>
          <w:rFonts w:ascii="Times New Roman" w:hAnsi="Times New Roman"/>
          <w:sz w:val="24"/>
          <w:szCs w:val="24"/>
        </w:rPr>
        <w:t xml:space="preserve"> responses.</w:t>
      </w:r>
      <w:r w:rsidR="0046427A" w:rsidRPr="00473D6B">
        <w:rPr>
          <w:rFonts w:ascii="Times New Roman" w:hAnsi="Times New Roman"/>
          <w:sz w:val="24"/>
          <w:szCs w:val="24"/>
        </w:rPr>
        <w:t xml:space="preserve"> </w:t>
      </w:r>
      <w:r w:rsidR="008646AB" w:rsidRPr="00A90261">
        <w:rPr>
          <w:rFonts w:ascii="Times New Roman" w:hAnsi="Times New Roman"/>
          <w:sz w:val="24"/>
          <w:szCs w:val="24"/>
        </w:rPr>
        <w:t xml:space="preserve"> </w:t>
      </w:r>
      <w:r w:rsidR="0046427A" w:rsidRPr="00473D6B">
        <w:rPr>
          <w:rFonts w:ascii="Times New Roman" w:hAnsi="Times New Roman"/>
          <w:sz w:val="24"/>
          <w:szCs w:val="24"/>
        </w:rPr>
        <w:t>IB staff that prepared the 2014 Supporting Statement relied on data contained in the IBFS database, and supplemented that data, when necessary, with conversations with IB staff responsible for reviewing and processing filings for rule sections contained in</w:t>
      </w:r>
      <w:r w:rsidR="0046427A" w:rsidRPr="00A90261">
        <w:rPr>
          <w:rFonts w:ascii="Times New Roman" w:hAnsi="Times New Roman"/>
          <w:sz w:val="24"/>
          <w:szCs w:val="24"/>
        </w:rPr>
        <w:t xml:space="preserve"> the Question 12 chart to ensure that accurate filing and cost support data is being used for purposes of the Paperwork Reduction Act. </w:t>
      </w:r>
      <w:r w:rsidR="000C114E" w:rsidRPr="00401536">
        <w:rPr>
          <w:rFonts w:ascii="Times New Roman" w:hAnsi="Times New Roman"/>
          <w:sz w:val="24"/>
          <w:szCs w:val="24"/>
        </w:rPr>
        <w:t xml:space="preserve"> As explained</w:t>
      </w:r>
      <w:r w:rsidR="0046427A" w:rsidRPr="00401536">
        <w:rPr>
          <w:rFonts w:ascii="Times New Roman" w:hAnsi="Times New Roman"/>
          <w:sz w:val="24"/>
          <w:szCs w:val="24"/>
        </w:rPr>
        <w:t xml:space="preserve"> above</w:t>
      </w:r>
      <w:r w:rsidR="000C114E" w:rsidRPr="00401536">
        <w:rPr>
          <w:rFonts w:ascii="Times New Roman" w:hAnsi="Times New Roman"/>
          <w:sz w:val="24"/>
          <w:szCs w:val="24"/>
        </w:rPr>
        <w:t xml:space="preserve">, </w:t>
      </w:r>
      <w:r w:rsidR="0046427A" w:rsidRPr="00401536">
        <w:rPr>
          <w:rFonts w:ascii="Times New Roman" w:hAnsi="Times New Roman"/>
          <w:sz w:val="24"/>
          <w:szCs w:val="24"/>
        </w:rPr>
        <w:t>it is not clear how the response numbers reported in the 2013 Statement were derived.  The Commission co</w:t>
      </w:r>
      <w:r w:rsidR="00B303D7" w:rsidRPr="00644F93">
        <w:rPr>
          <w:rFonts w:ascii="Times New Roman" w:hAnsi="Times New Roman"/>
          <w:sz w:val="24"/>
          <w:szCs w:val="24"/>
        </w:rPr>
        <w:t xml:space="preserve">nsiders the significant </w:t>
      </w:r>
      <w:r w:rsidR="0046427A" w:rsidRPr="004E152D">
        <w:rPr>
          <w:rFonts w:ascii="Times New Roman" w:hAnsi="Times New Roman"/>
          <w:sz w:val="24"/>
          <w:szCs w:val="24"/>
        </w:rPr>
        <w:t xml:space="preserve">changes in the 2014 Supporting Statement to be a one-time adjustment, with future supporting statements that more accurately reflect annualized costs based on creditable supporting data.    </w:t>
      </w:r>
    </w:p>
    <w:p w:rsidR="009B3AF0" w:rsidRPr="004E152D" w:rsidRDefault="009B3AF0" w:rsidP="0046427A">
      <w:pPr>
        <w:rPr>
          <w:rFonts w:ascii="Times New Roman" w:hAnsi="Times New Roman"/>
          <w:b/>
          <w:sz w:val="24"/>
          <w:szCs w:val="24"/>
        </w:rPr>
      </w:pPr>
    </w:p>
    <w:p w:rsidR="0046427A" w:rsidRPr="00644F93" w:rsidRDefault="0046427A" w:rsidP="0046427A">
      <w:pPr>
        <w:rPr>
          <w:rFonts w:ascii="Times New Roman" w:hAnsi="Times New Roman"/>
          <w:sz w:val="24"/>
          <w:szCs w:val="24"/>
        </w:rPr>
      </w:pPr>
      <w:r w:rsidRPr="004E152D">
        <w:rPr>
          <w:rFonts w:ascii="Times New Roman" w:hAnsi="Times New Roman"/>
          <w:i/>
          <w:sz w:val="24"/>
          <w:szCs w:val="24"/>
        </w:rPr>
        <w:t>Question 14 Adjustments</w:t>
      </w:r>
      <w:r w:rsidRPr="004E152D">
        <w:rPr>
          <w:rFonts w:ascii="Times New Roman" w:hAnsi="Times New Roman"/>
          <w:sz w:val="24"/>
          <w:szCs w:val="24"/>
        </w:rPr>
        <w:t>:  Adjustment</w:t>
      </w:r>
      <w:r w:rsidR="00B303D7" w:rsidRPr="004E152D">
        <w:rPr>
          <w:rFonts w:ascii="Times New Roman" w:hAnsi="Times New Roman"/>
          <w:sz w:val="24"/>
          <w:szCs w:val="24"/>
        </w:rPr>
        <w:t>s</w:t>
      </w:r>
      <w:r w:rsidRPr="004E152D">
        <w:rPr>
          <w:rFonts w:ascii="Times New Roman" w:hAnsi="Times New Roman"/>
          <w:sz w:val="24"/>
          <w:szCs w:val="24"/>
        </w:rPr>
        <w:t xml:space="preserve"> were also made to Question 14 to reflect estimates of annualized costs to the FCC </w:t>
      </w:r>
      <w:r w:rsidR="00B303D7" w:rsidRPr="004E152D">
        <w:rPr>
          <w:rFonts w:ascii="Times New Roman" w:hAnsi="Times New Roman"/>
          <w:sz w:val="24"/>
          <w:szCs w:val="24"/>
        </w:rPr>
        <w:t>based on the number and type of IB staff</w:t>
      </w:r>
      <w:r w:rsidRPr="004E152D">
        <w:rPr>
          <w:rFonts w:ascii="Times New Roman" w:hAnsi="Times New Roman"/>
          <w:sz w:val="24"/>
          <w:szCs w:val="24"/>
        </w:rPr>
        <w:t xml:space="preserve"> required to review and process applications, notifications and reports filed by respondents.  The 2013 Supporting Statement reported annualized costs of $693,950 and the estimate of annualized costs for the 2014 Supporting Statement is $407,</w:t>
      </w:r>
      <w:r w:rsidR="004A7EC7" w:rsidRPr="004E152D">
        <w:rPr>
          <w:rFonts w:ascii="Times New Roman" w:hAnsi="Times New Roman"/>
          <w:sz w:val="24"/>
          <w:szCs w:val="24"/>
        </w:rPr>
        <w:t>796</w:t>
      </w:r>
      <w:r w:rsidRPr="00473D6B">
        <w:rPr>
          <w:rFonts w:ascii="Times New Roman" w:hAnsi="Times New Roman"/>
          <w:sz w:val="24"/>
          <w:szCs w:val="24"/>
        </w:rPr>
        <w:t>.  Based on conversations with management, the number of full time staff attorneys was reduced from ten to five, the engineering staff was redu</w:t>
      </w:r>
      <w:r w:rsidRPr="00A90261">
        <w:rPr>
          <w:rFonts w:ascii="Times New Roman" w:hAnsi="Times New Roman"/>
          <w:sz w:val="24"/>
          <w:szCs w:val="24"/>
        </w:rPr>
        <w:t>ced from two to one and an administrative support staff support position was added to account for processing applications and preparing public notices associated with the ap</w:t>
      </w:r>
      <w:r w:rsidRPr="00644F93">
        <w:rPr>
          <w:rFonts w:ascii="Times New Roman" w:hAnsi="Times New Roman"/>
          <w:sz w:val="24"/>
          <w:szCs w:val="24"/>
        </w:rPr>
        <w:t xml:space="preserve">plications and notifications filed by respondents.   </w:t>
      </w:r>
    </w:p>
    <w:p w:rsidR="00F34754" w:rsidRPr="004E152D" w:rsidRDefault="00F34754" w:rsidP="0046427A">
      <w:pPr>
        <w:rPr>
          <w:rFonts w:ascii="Times New Roman" w:hAnsi="Times New Roman"/>
          <w:sz w:val="24"/>
          <w:szCs w:val="24"/>
        </w:rPr>
      </w:pPr>
    </w:p>
    <w:p w:rsidR="00860E65" w:rsidRPr="00A90261" w:rsidRDefault="000C114E" w:rsidP="00860E65">
      <w:pPr>
        <w:rPr>
          <w:rFonts w:ascii="Times New Roman" w:hAnsi="Times New Roman"/>
          <w:sz w:val="24"/>
          <w:szCs w:val="24"/>
        </w:rPr>
      </w:pPr>
      <w:r w:rsidRPr="004E152D">
        <w:rPr>
          <w:rFonts w:ascii="Times New Roman" w:hAnsi="Times New Roman"/>
          <w:i/>
          <w:sz w:val="24"/>
          <w:szCs w:val="24"/>
        </w:rPr>
        <w:t>Other Adjustments</w:t>
      </w:r>
      <w:r w:rsidRPr="004E152D">
        <w:rPr>
          <w:rFonts w:ascii="Times New Roman" w:hAnsi="Times New Roman"/>
          <w:sz w:val="24"/>
          <w:szCs w:val="24"/>
        </w:rPr>
        <w:t xml:space="preserve">:  </w:t>
      </w:r>
      <w:r w:rsidR="00860E65" w:rsidRPr="004E152D">
        <w:rPr>
          <w:rFonts w:ascii="Times New Roman" w:hAnsi="Times New Roman"/>
          <w:sz w:val="24"/>
          <w:szCs w:val="24"/>
        </w:rPr>
        <w:t xml:space="preserve">The Commission is also revising the burden estimates associated with certain petitions for declaratory ruling that are filed with the Commission pursuant to section 310(b)(4) of the Communications Act of 1934 (the “Act”), as amended, 47 U.S.C. § 310(b)(4), to account for them more accurately with this submission to OMB.  On April 18, 2013, the </w:t>
      </w:r>
      <w:r w:rsidR="00860E65" w:rsidRPr="004E152D">
        <w:rPr>
          <w:rFonts w:ascii="Times New Roman" w:hAnsi="Times New Roman"/>
          <w:sz w:val="24"/>
          <w:szCs w:val="24"/>
        </w:rPr>
        <w:lastRenderedPageBreak/>
        <w:t xml:space="preserve">Commission adopted final rules in IB Docket No. 11-133 which, among other things, modified the policies and procedures for Commission review of foreign investment in common carrier and certain aeronautical radio station licensees under section 310(b)(4) of the Act.  </w:t>
      </w:r>
      <w:r w:rsidR="00860E65" w:rsidRPr="004E152D">
        <w:rPr>
          <w:rFonts w:ascii="Times New Roman" w:hAnsi="Times New Roman"/>
          <w:i/>
          <w:sz w:val="24"/>
          <w:szCs w:val="24"/>
        </w:rPr>
        <w:t>Review of Foreign Ownership Policies for Common Carrier and Aeronautical Radio Licensees under Section 310(b)(4) of the Communications Act, as Amended</w:t>
      </w:r>
      <w:r w:rsidR="00860E65" w:rsidRPr="004E152D">
        <w:rPr>
          <w:rFonts w:ascii="Times New Roman" w:hAnsi="Times New Roman"/>
          <w:sz w:val="24"/>
          <w:szCs w:val="24"/>
        </w:rPr>
        <w:t xml:space="preserve">, Second Report and Order, FCC 13-50, 28 FCC </w:t>
      </w:r>
      <w:proofErr w:type="spellStart"/>
      <w:r w:rsidR="00860E65" w:rsidRPr="004E152D">
        <w:rPr>
          <w:rFonts w:ascii="Times New Roman" w:hAnsi="Times New Roman"/>
          <w:sz w:val="24"/>
          <w:szCs w:val="24"/>
        </w:rPr>
        <w:t>Rcd</w:t>
      </w:r>
      <w:proofErr w:type="spellEnd"/>
      <w:r w:rsidR="00860E65" w:rsidRPr="004E152D">
        <w:rPr>
          <w:rFonts w:ascii="Times New Roman" w:hAnsi="Times New Roman"/>
          <w:sz w:val="24"/>
          <w:szCs w:val="24"/>
        </w:rPr>
        <w:t xml:space="preserve"> 5741 (2013).  OMB approved the information collection associated with the final rules in IB Docket No. 11-133 under OMB Control Number 3060-1163.  The final rules and associated information collection in OMB Control Number 3060-1163 apply only to section 310(b) petitions for declaratory ruling filed on or after the effective date of the rules (August 9, 2013).  Licensees that received a foreign ownership ruling prior to August 9, 2013, continue to be subject to the Commission’s foreign ownership policies and procedures within the parameters of their particular rulings, unless and until they obtain a new ruling under the new rules (should they desire to do so).  The burdens associated with obtaining a new ruling are included in OMB Control Number 3060-1163.  That information collection does not replace the collection for section 310(b) contained in OMB Control Number 3060-0686.  Unless and until a licensee obtains a new ruling under the new rules, the burdens associated with the licensee’s on-going compliance with its pre-August 9, 2014, ruling will continue to be covered by OMB Control No. 3060-0686.  The Commission requests OMB approval, however, for a non-substantive change to this collection to update</w:t>
      </w:r>
      <w:r w:rsidR="004A7EC7" w:rsidRPr="004E152D">
        <w:rPr>
          <w:rFonts w:ascii="Times New Roman" w:hAnsi="Times New Roman"/>
          <w:sz w:val="24"/>
          <w:szCs w:val="24"/>
        </w:rPr>
        <w:t xml:space="preserve"> licensees’ hour and cost burdens of</w:t>
      </w:r>
      <w:r w:rsidR="004A7EC7" w:rsidRPr="00473D6B">
        <w:rPr>
          <w:rFonts w:ascii="Times New Roman" w:hAnsi="Times New Roman"/>
          <w:sz w:val="24"/>
          <w:szCs w:val="24"/>
        </w:rPr>
        <w:t xml:space="preserve"> complying with </w:t>
      </w:r>
      <w:r w:rsidR="004A7EC7" w:rsidRPr="004E152D">
        <w:rPr>
          <w:rFonts w:ascii="Times New Roman" w:hAnsi="Times New Roman"/>
          <w:sz w:val="24"/>
          <w:szCs w:val="24"/>
        </w:rPr>
        <w:t>S</w:t>
      </w:r>
      <w:r w:rsidR="00860E65" w:rsidRPr="004E152D">
        <w:rPr>
          <w:rFonts w:ascii="Times New Roman" w:hAnsi="Times New Roman"/>
          <w:sz w:val="24"/>
          <w:szCs w:val="24"/>
        </w:rPr>
        <w:t>ection</w:t>
      </w:r>
      <w:r w:rsidR="00860E65" w:rsidRPr="00473D6B">
        <w:rPr>
          <w:rFonts w:ascii="Times New Roman" w:hAnsi="Times New Roman"/>
          <w:sz w:val="24"/>
          <w:szCs w:val="24"/>
        </w:rPr>
        <w:t xml:space="preserve"> 310(b</w:t>
      </w:r>
      <w:proofErr w:type="gramStart"/>
      <w:r w:rsidR="00860E65" w:rsidRPr="00473D6B">
        <w:rPr>
          <w:rFonts w:ascii="Times New Roman" w:hAnsi="Times New Roman"/>
          <w:sz w:val="24"/>
          <w:szCs w:val="24"/>
        </w:rPr>
        <w:t>)(</w:t>
      </w:r>
      <w:proofErr w:type="gramEnd"/>
      <w:r w:rsidR="00860E65" w:rsidRPr="00473D6B">
        <w:rPr>
          <w:rFonts w:ascii="Times New Roman" w:hAnsi="Times New Roman"/>
          <w:sz w:val="24"/>
          <w:szCs w:val="24"/>
        </w:rPr>
        <w:t xml:space="preserve">4) rulings </w:t>
      </w:r>
      <w:r w:rsidR="00860E65" w:rsidRPr="00A90261">
        <w:rPr>
          <w:rFonts w:ascii="Times New Roman" w:hAnsi="Times New Roman"/>
          <w:sz w:val="24"/>
          <w:szCs w:val="24"/>
        </w:rPr>
        <w:t xml:space="preserve">issued prior to August 9, 2014.  The </w:t>
      </w:r>
      <w:r w:rsidR="004A7EC7" w:rsidRPr="004E152D">
        <w:rPr>
          <w:rFonts w:ascii="Times New Roman" w:hAnsi="Times New Roman"/>
          <w:sz w:val="24"/>
          <w:szCs w:val="24"/>
        </w:rPr>
        <w:t>revised</w:t>
      </w:r>
      <w:r w:rsidR="004A7EC7" w:rsidRPr="00473D6B">
        <w:rPr>
          <w:rFonts w:ascii="Times New Roman" w:hAnsi="Times New Roman"/>
          <w:sz w:val="24"/>
          <w:szCs w:val="24"/>
        </w:rPr>
        <w:t xml:space="preserve"> </w:t>
      </w:r>
      <w:r w:rsidR="00860E65" w:rsidRPr="00A90261">
        <w:rPr>
          <w:rFonts w:ascii="Times New Roman" w:hAnsi="Times New Roman"/>
          <w:sz w:val="24"/>
          <w:szCs w:val="24"/>
        </w:rPr>
        <w:t xml:space="preserve">annual hour and cost burdens </w:t>
      </w:r>
      <w:r w:rsidR="004A7EC7" w:rsidRPr="004E152D">
        <w:rPr>
          <w:rFonts w:ascii="Times New Roman" w:hAnsi="Times New Roman"/>
          <w:sz w:val="24"/>
          <w:szCs w:val="24"/>
        </w:rPr>
        <w:t xml:space="preserve">associated with these rulings are included </w:t>
      </w:r>
      <w:r w:rsidR="00860E65" w:rsidRPr="004E152D">
        <w:rPr>
          <w:rFonts w:ascii="Times New Roman" w:hAnsi="Times New Roman"/>
          <w:sz w:val="24"/>
          <w:szCs w:val="24"/>
        </w:rPr>
        <w:t>in the adjustments</w:t>
      </w:r>
      <w:r w:rsidR="004A7EC7" w:rsidRPr="004E152D">
        <w:rPr>
          <w:rFonts w:ascii="Times New Roman" w:hAnsi="Times New Roman"/>
          <w:sz w:val="24"/>
          <w:szCs w:val="24"/>
        </w:rPr>
        <w:t xml:space="preserve"> to this information collection</w:t>
      </w:r>
      <w:r w:rsidR="00860E65" w:rsidRPr="00473D6B">
        <w:rPr>
          <w:rFonts w:ascii="Times New Roman" w:hAnsi="Times New Roman"/>
          <w:sz w:val="24"/>
          <w:szCs w:val="24"/>
        </w:rPr>
        <w:t>.</w:t>
      </w:r>
    </w:p>
    <w:p w:rsidR="000C114E" w:rsidRPr="00401536" w:rsidRDefault="000C114E" w:rsidP="0046427A">
      <w:pPr>
        <w:rPr>
          <w:rFonts w:ascii="Times New Roman" w:hAnsi="Times New Roman"/>
          <w:sz w:val="24"/>
          <w:szCs w:val="24"/>
        </w:rPr>
      </w:pPr>
    </w:p>
    <w:p w:rsidR="0046427A" w:rsidRPr="004E152D" w:rsidRDefault="0046427A" w:rsidP="0046427A">
      <w:pPr>
        <w:rPr>
          <w:rFonts w:ascii="Times New Roman" w:hAnsi="Times New Roman"/>
          <w:sz w:val="24"/>
          <w:szCs w:val="24"/>
        </w:rPr>
      </w:pPr>
      <w:r w:rsidRPr="00644F93">
        <w:rPr>
          <w:rFonts w:ascii="Times New Roman" w:hAnsi="Times New Roman"/>
          <w:sz w:val="24"/>
          <w:szCs w:val="24"/>
          <w:u w:val="single"/>
        </w:rPr>
        <w:t>Program changes</w:t>
      </w:r>
      <w:r w:rsidRPr="004E152D">
        <w:rPr>
          <w:rFonts w:ascii="Times New Roman" w:hAnsi="Times New Roman"/>
          <w:sz w:val="24"/>
          <w:szCs w:val="24"/>
        </w:rPr>
        <w:t>:  This section addresses changes to the collection of information under OMB Control Number 3060-0686 as a result of a Commission order that eliminated the effective competitive opportunities (ECO Test) from, and revised, sections 63.11(g</w:t>
      </w:r>
      <w:proofErr w:type="gramStart"/>
      <w:r w:rsidRPr="004E152D">
        <w:rPr>
          <w:rFonts w:ascii="Times New Roman" w:hAnsi="Times New Roman"/>
          <w:sz w:val="24"/>
          <w:szCs w:val="24"/>
        </w:rPr>
        <w:t>)(</w:t>
      </w:r>
      <w:proofErr w:type="gramEnd"/>
      <w:r w:rsidRPr="004E152D">
        <w:rPr>
          <w:rFonts w:ascii="Times New Roman" w:hAnsi="Times New Roman"/>
          <w:sz w:val="24"/>
          <w:szCs w:val="24"/>
        </w:rPr>
        <w:t xml:space="preserve">2) and 63.18(k) of the Commission’s rules that apply to section 214 applications and foreign carrier affiliation notifications filed by foreign carriers or certain of their affiliates </w:t>
      </w:r>
      <w:r w:rsidR="00E65219" w:rsidRPr="00CD0D92">
        <w:rPr>
          <w:rFonts w:ascii="Times New Roman" w:hAnsi="Times New Roman"/>
          <w:sz w:val="24"/>
          <w:szCs w:val="24"/>
        </w:rPr>
        <w:t>from non-WTO</w:t>
      </w:r>
      <w:r w:rsidR="00E65219">
        <w:rPr>
          <w:rFonts w:ascii="Times New Roman" w:hAnsi="Times New Roman"/>
          <w:sz w:val="24"/>
          <w:szCs w:val="24"/>
        </w:rPr>
        <w:t xml:space="preserve"> </w:t>
      </w:r>
      <w:r w:rsidRPr="004E152D">
        <w:rPr>
          <w:rFonts w:ascii="Times New Roman" w:hAnsi="Times New Roman"/>
          <w:sz w:val="24"/>
          <w:szCs w:val="24"/>
        </w:rPr>
        <w:t>countries.  Specifically, we address in this section the changes to information collection requirements for rule sections 63.18(k) and 63.11(g</w:t>
      </w:r>
      <w:proofErr w:type="gramStart"/>
      <w:r w:rsidRPr="004E152D">
        <w:rPr>
          <w:rFonts w:ascii="Times New Roman" w:hAnsi="Times New Roman"/>
          <w:sz w:val="24"/>
          <w:szCs w:val="24"/>
        </w:rPr>
        <w:t>)(</w:t>
      </w:r>
      <w:proofErr w:type="gramEnd"/>
      <w:r w:rsidRPr="004E152D">
        <w:rPr>
          <w:rFonts w:ascii="Times New Roman" w:hAnsi="Times New Roman"/>
          <w:sz w:val="24"/>
          <w:szCs w:val="24"/>
        </w:rPr>
        <w:t xml:space="preserve">2).  The annual </w:t>
      </w:r>
      <w:r w:rsidR="00B303D7" w:rsidRPr="004E152D">
        <w:rPr>
          <w:rFonts w:ascii="Times New Roman" w:hAnsi="Times New Roman"/>
          <w:sz w:val="24"/>
          <w:szCs w:val="24"/>
        </w:rPr>
        <w:t>hour and cost burdens associated with</w:t>
      </w:r>
      <w:r w:rsidRPr="004E152D">
        <w:rPr>
          <w:rFonts w:ascii="Times New Roman" w:hAnsi="Times New Roman"/>
          <w:sz w:val="24"/>
          <w:szCs w:val="24"/>
        </w:rPr>
        <w:t xml:space="preserve"> these rule sections in the 2014 Supporting Statement are significantly lower than those reported in the 2013 Supporting Statement</w:t>
      </w:r>
      <w:r w:rsidR="00B56BE5" w:rsidRPr="004E152D">
        <w:rPr>
          <w:rFonts w:ascii="Times New Roman" w:hAnsi="Times New Roman"/>
          <w:sz w:val="24"/>
          <w:szCs w:val="24"/>
        </w:rPr>
        <w:t>.</w:t>
      </w:r>
      <w:r w:rsidRPr="004E152D">
        <w:rPr>
          <w:rFonts w:ascii="Times New Roman" w:hAnsi="Times New Roman"/>
          <w:sz w:val="24"/>
          <w:szCs w:val="24"/>
        </w:rPr>
        <w:t xml:space="preserve">  IB staff that prepared this information collection relied on data contained in the IBFS database, and supplemented that data, when necessary, with conversations with IB staff that reviews filings under rule sections 63.18(k) and 63.11(g)(2), to ensure that accurate filing and cost support data is being used for purposes of the Paperwork Reduction Act. </w:t>
      </w:r>
    </w:p>
    <w:p w:rsidR="0046427A" w:rsidRPr="004E152D" w:rsidRDefault="0046427A" w:rsidP="0046427A">
      <w:pPr>
        <w:rPr>
          <w:rFonts w:ascii="Times New Roman" w:hAnsi="Times New Roman"/>
          <w:sz w:val="24"/>
          <w:szCs w:val="24"/>
        </w:rPr>
      </w:pPr>
    </w:p>
    <w:p w:rsidR="0046427A" w:rsidRPr="00A90261" w:rsidRDefault="00A60671" w:rsidP="0046427A">
      <w:pPr>
        <w:rPr>
          <w:rFonts w:ascii="Times New Roman" w:hAnsi="Times New Roman"/>
          <w:sz w:val="24"/>
          <w:szCs w:val="24"/>
        </w:rPr>
      </w:pPr>
      <w:r w:rsidRPr="004E152D">
        <w:rPr>
          <w:rFonts w:ascii="Times New Roman" w:hAnsi="Times New Roman"/>
          <w:i/>
          <w:sz w:val="24"/>
          <w:szCs w:val="24"/>
        </w:rPr>
        <w:t xml:space="preserve">Question 12 </w:t>
      </w:r>
      <w:r w:rsidR="0046427A" w:rsidRPr="004E152D">
        <w:rPr>
          <w:rFonts w:ascii="Times New Roman" w:hAnsi="Times New Roman"/>
          <w:i/>
          <w:sz w:val="24"/>
          <w:szCs w:val="24"/>
        </w:rPr>
        <w:t xml:space="preserve">Hour Burden </w:t>
      </w:r>
      <w:r w:rsidRPr="004E152D">
        <w:rPr>
          <w:rFonts w:ascii="Times New Roman" w:hAnsi="Times New Roman"/>
          <w:i/>
          <w:sz w:val="24"/>
          <w:szCs w:val="24"/>
        </w:rPr>
        <w:t xml:space="preserve">Changes </w:t>
      </w:r>
      <w:r w:rsidR="0046427A" w:rsidRPr="004E152D">
        <w:rPr>
          <w:rFonts w:ascii="Times New Roman" w:hAnsi="Times New Roman"/>
          <w:i/>
          <w:sz w:val="24"/>
          <w:szCs w:val="24"/>
        </w:rPr>
        <w:t>for 63.18(k) and 63.11(g</w:t>
      </w:r>
      <w:proofErr w:type="gramStart"/>
      <w:r w:rsidR="0046427A" w:rsidRPr="004E152D">
        <w:rPr>
          <w:rFonts w:ascii="Times New Roman" w:hAnsi="Times New Roman"/>
          <w:i/>
          <w:sz w:val="24"/>
          <w:szCs w:val="24"/>
        </w:rPr>
        <w:t>)(</w:t>
      </w:r>
      <w:proofErr w:type="gramEnd"/>
      <w:r w:rsidR="0046427A" w:rsidRPr="004E152D">
        <w:rPr>
          <w:rFonts w:ascii="Times New Roman" w:hAnsi="Times New Roman"/>
          <w:i/>
          <w:sz w:val="24"/>
          <w:szCs w:val="24"/>
        </w:rPr>
        <w:t>2)</w:t>
      </w:r>
      <w:r w:rsidR="0046427A" w:rsidRPr="004E152D">
        <w:rPr>
          <w:rFonts w:ascii="Times New Roman" w:hAnsi="Times New Roman"/>
          <w:sz w:val="24"/>
          <w:szCs w:val="24"/>
        </w:rPr>
        <w:t xml:space="preserve">:  </w:t>
      </w:r>
      <w:r w:rsidR="00153DBB" w:rsidRPr="004E152D">
        <w:rPr>
          <w:rFonts w:ascii="Times New Roman" w:hAnsi="Times New Roman"/>
          <w:sz w:val="24"/>
          <w:szCs w:val="24"/>
        </w:rPr>
        <w:t xml:space="preserve">As explained below, the total annual hour burden reported in the 2013 Supporting Statement for </w:t>
      </w:r>
      <w:r w:rsidR="00BA4606" w:rsidRPr="004E152D">
        <w:rPr>
          <w:rFonts w:ascii="Times New Roman" w:hAnsi="Times New Roman"/>
          <w:sz w:val="24"/>
          <w:szCs w:val="24"/>
        </w:rPr>
        <w:t>s</w:t>
      </w:r>
      <w:r w:rsidR="00153DBB" w:rsidRPr="004E152D">
        <w:rPr>
          <w:rFonts w:ascii="Times New Roman" w:hAnsi="Times New Roman"/>
          <w:sz w:val="24"/>
          <w:szCs w:val="24"/>
        </w:rPr>
        <w:t xml:space="preserve">ections 63.18(k) and 63.11(g)(2) is 2,112 hours and the total annual hour burden reported in the 2014 Statement for these rules is 16 hours, a decrease of </w:t>
      </w:r>
      <w:r w:rsidR="00153DBB" w:rsidRPr="00CD0D92">
        <w:rPr>
          <w:rFonts w:ascii="Times New Roman" w:hAnsi="Times New Roman"/>
          <w:b/>
          <w:sz w:val="24"/>
          <w:szCs w:val="24"/>
        </w:rPr>
        <w:t>2,096</w:t>
      </w:r>
      <w:r w:rsidR="00153DBB" w:rsidRPr="004E152D">
        <w:rPr>
          <w:rFonts w:ascii="Times New Roman" w:hAnsi="Times New Roman"/>
          <w:sz w:val="24"/>
          <w:szCs w:val="24"/>
        </w:rPr>
        <w:t xml:space="preserve"> in total annual hour burden for these two rules.</w:t>
      </w:r>
      <w:r w:rsidR="00153DBB" w:rsidRPr="00473D6B">
        <w:rPr>
          <w:rFonts w:ascii="Times New Roman" w:hAnsi="Times New Roman"/>
          <w:sz w:val="24"/>
          <w:szCs w:val="24"/>
        </w:rPr>
        <w:t xml:space="preserve"> </w:t>
      </w:r>
      <w:r w:rsidR="0046427A" w:rsidRPr="00A90261">
        <w:rPr>
          <w:rFonts w:ascii="Times New Roman" w:hAnsi="Times New Roman"/>
          <w:sz w:val="24"/>
          <w:szCs w:val="24"/>
        </w:rPr>
        <w:t>The number of respondents and the number of annual responses reported in Question 12 of the</w:t>
      </w:r>
      <w:r w:rsidR="00815951" w:rsidRPr="00644F93">
        <w:rPr>
          <w:rFonts w:ascii="Times New Roman" w:hAnsi="Times New Roman"/>
          <w:sz w:val="24"/>
          <w:szCs w:val="24"/>
        </w:rPr>
        <w:t xml:space="preserve"> 2014 </w:t>
      </w:r>
      <w:r w:rsidR="00815951" w:rsidRPr="00644F93">
        <w:rPr>
          <w:rFonts w:ascii="Times New Roman" w:hAnsi="Times New Roman"/>
          <w:sz w:val="24"/>
          <w:szCs w:val="24"/>
        </w:rPr>
        <w:lastRenderedPageBreak/>
        <w:t xml:space="preserve">Supporting Statement for </w:t>
      </w:r>
      <w:r w:rsidR="00BA4606" w:rsidRPr="004E152D">
        <w:rPr>
          <w:rFonts w:ascii="Times New Roman" w:hAnsi="Times New Roman"/>
          <w:sz w:val="24"/>
          <w:szCs w:val="24"/>
        </w:rPr>
        <w:t>s</w:t>
      </w:r>
      <w:r w:rsidR="0046427A" w:rsidRPr="004E152D">
        <w:rPr>
          <w:rFonts w:ascii="Times New Roman" w:hAnsi="Times New Roman"/>
          <w:sz w:val="24"/>
          <w:szCs w:val="24"/>
        </w:rPr>
        <w:t>ection</w:t>
      </w:r>
      <w:r w:rsidR="0046427A" w:rsidRPr="00473D6B">
        <w:rPr>
          <w:rFonts w:ascii="Times New Roman" w:hAnsi="Times New Roman"/>
          <w:sz w:val="24"/>
          <w:szCs w:val="24"/>
        </w:rPr>
        <w:t xml:space="preserve"> 63.18(k) is </w:t>
      </w:r>
      <w:r w:rsidR="0046427A" w:rsidRPr="00CD0D92">
        <w:rPr>
          <w:rFonts w:ascii="Times New Roman" w:hAnsi="Times New Roman"/>
          <w:b/>
          <w:sz w:val="24"/>
          <w:szCs w:val="24"/>
        </w:rPr>
        <w:t>one</w:t>
      </w:r>
      <w:r w:rsidR="0046427A" w:rsidRPr="00473D6B">
        <w:rPr>
          <w:rFonts w:ascii="Times New Roman" w:hAnsi="Times New Roman"/>
          <w:sz w:val="24"/>
          <w:szCs w:val="24"/>
        </w:rPr>
        <w:t xml:space="preserve">, and the respondent and annual response number for </w:t>
      </w:r>
      <w:r w:rsidR="00BA4606" w:rsidRPr="00A90261">
        <w:rPr>
          <w:rFonts w:ascii="Times New Roman" w:hAnsi="Times New Roman"/>
          <w:sz w:val="24"/>
          <w:szCs w:val="24"/>
        </w:rPr>
        <w:t xml:space="preserve">section </w:t>
      </w:r>
      <w:r w:rsidR="0046427A" w:rsidRPr="00A90261">
        <w:rPr>
          <w:rFonts w:ascii="Times New Roman" w:hAnsi="Times New Roman"/>
          <w:sz w:val="24"/>
          <w:szCs w:val="24"/>
        </w:rPr>
        <w:t xml:space="preserve">63.11(g)(2) is also </w:t>
      </w:r>
      <w:r w:rsidR="0046427A" w:rsidRPr="00CD0D92">
        <w:rPr>
          <w:rFonts w:ascii="Times New Roman" w:hAnsi="Times New Roman"/>
          <w:b/>
          <w:sz w:val="24"/>
          <w:szCs w:val="24"/>
        </w:rPr>
        <w:t>one</w:t>
      </w:r>
      <w:r w:rsidR="0046427A" w:rsidRPr="00A90261">
        <w:rPr>
          <w:rFonts w:ascii="Times New Roman" w:hAnsi="Times New Roman"/>
          <w:sz w:val="24"/>
          <w:szCs w:val="24"/>
        </w:rPr>
        <w:t xml:space="preserve">.  This number is based on records in the IBFS database and confirmed by IB staff responsible for processing such filings.  IB staff </w:t>
      </w:r>
      <w:r w:rsidR="00815951" w:rsidRPr="00644F93">
        <w:rPr>
          <w:rFonts w:ascii="Times New Roman" w:hAnsi="Times New Roman"/>
          <w:sz w:val="24"/>
          <w:szCs w:val="24"/>
        </w:rPr>
        <w:t xml:space="preserve">estimates that it will take </w:t>
      </w:r>
      <w:r w:rsidR="00815951" w:rsidRPr="004E152D">
        <w:rPr>
          <w:rFonts w:ascii="Times New Roman" w:hAnsi="Times New Roman"/>
          <w:sz w:val="24"/>
          <w:szCs w:val="24"/>
        </w:rPr>
        <w:t>an</w:t>
      </w:r>
      <w:r w:rsidR="0046427A" w:rsidRPr="00473D6B">
        <w:rPr>
          <w:rFonts w:ascii="Times New Roman" w:hAnsi="Times New Roman"/>
          <w:sz w:val="24"/>
          <w:szCs w:val="24"/>
        </w:rPr>
        <w:t xml:space="preserve"> applicant/respondent approximately eight</w:t>
      </w:r>
      <w:r w:rsidR="0046427A" w:rsidRPr="00A90261">
        <w:rPr>
          <w:rFonts w:ascii="Times New Roman" w:hAnsi="Times New Roman"/>
          <w:sz w:val="24"/>
          <w:szCs w:val="24"/>
        </w:rPr>
        <w:t xml:space="preserve"> hours to prepare a response</w:t>
      </w:r>
      <w:r w:rsidR="00815951" w:rsidRPr="00A90261">
        <w:rPr>
          <w:rFonts w:ascii="Times New Roman" w:hAnsi="Times New Roman"/>
          <w:sz w:val="24"/>
          <w:szCs w:val="24"/>
        </w:rPr>
        <w:t xml:space="preserve"> under </w:t>
      </w:r>
      <w:r w:rsidR="00BA4606" w:rsidRPr="004E152D">
        <w:rPr>
          <w:rFonts w:ascii="Times New Roman" w:hAnsi="Times New Roman"/>
          <w:sz w:val="24"/>
          <w:szCs w:val="24"/>
        </w:rPr>
        <w:t>s</w:t>
      </w:r>
      <w:r w:rsidR="00815951" w:rsidRPr="004E152D">
        <w:rPr>
          <w:rFonts w:ascii="Times New Roman" w:hAnsi="Times New Roman"/>
          <w:sz w:val="24"/>
          <w:szCs w:val="24"/>
        </w:rPr>
        <w:t>ection</w:t>
      </w:r>
      <w:r w:rsidR="00815951" w:rsidRPr="00473D6B">
        <w:rPr>
          <w:rFonts w:ascii="Times New Roman" w:hAnsi="Times New Roman"/>
          <w:sz w:val="24"/>
          <w:szCs w:val="24"/>
        </w:rPr>
        <w:t xml:space="preserve"> </w:t>
      </w:r>
      <w:r w:rsidR="00815951" w:rsidRPr="004E152D">
        <w:rPr>
          <w:rFonts w:ascii="Times New Roman" w:hAnsi="Times New Roman"/>
          <w:sz w:val="24"/>
          <w:szCs w:val="24"/>
        </w:rPr>
        <w:t>63.18(k)</w:t>
      </w:r>
      <w:r w:rsidR="0046427A" w:rsidRPr="00473D6B">
        <w:rPr>
          <w:rFonts w:ascii="Times New Roman" w:hAnsi="Times New Roman"/>
          <w:sz w:val="24"/>
          <w:szCs w:val="24"/>
        </w:rPr>
        <w:t>, and notification filers under 63.11(g</w:t>
      </w:r>
      <w:proofErr w:type="gramStart"/>
      <w:r w:rsidR="0046427A" w:rsidRPr="00473D6B">
        <w:rPr>
          <w:rFonts w:ascii="Times New Roman" w:hAnsi="Times New Roman"/>
          <w:sz w:val="24"/>
          <w:szCs w:val="24"/>
        </w:rPr>
        <w:t>)(</w:t>
      </w:r>
      <w:proofErr w:type="gramEnd"/>
      <w:r w:rsidR="0046427A" w:rsidRPr="00473D6B">
        <w:rPr>
          <w:rFonts w:ascii="Times New Roman" w:hAnsi="Times New Roman"/>
          <w:sz w:val="24"/>
          <w:szCs w:val="24"/>
        </w:rPr>
        <w:t xml:space="preserve">2) will </w:t>
      </w:r>
      <w:r w:rsidR="00815951" w:rsidRPr="004E152D">
        <w:rPr>
          <w:rFonts w:ascii="Times New Roman" w:hAnsi="Times New Roman"/>
          <w:sz w:val="24"/>
          <w:szCs w:val="24"/>
        </w:rPr>
        <w:t>also</w:t>
      </w:r>
      <w:r w:rsidR="00815951" w:rsidRPr="00473D6B">
        <w:rPr>
          <w:rFonts w:ascii="Times New Roman" w:hAnsi="Times New Roman"/>
          <w:sz w:val="24"/>
          <w:szCs w:val="24"/>
        </w:rPr>
        <w:t xml:space="preserve"> </w:t>
      </w:r>
      <w:r w:rsidR="0046427A" w:rsidRPr="00A90261">
        <w:rPr>
          <w:rFonts w:ascii="Times New Roman" w:hAnsi="Times New Roman"/>
          <w:sz w:val="24"/>
          <w:szCs w:val="24"/>
        </w:rPr>
        <w:t xml:space="preserve">require approximately eight hours to prepare their filings.  </w:t>
      </w:r>
      <w:r w:rsidR="00153DBB" w:rsidRPr="004E152D">
        <w:rPr>
          <w:rFonts w:ascii="Times New Roman" w:hAnsi="Times New Roman"/>
          <w:sz w:val="24"/>
          <w:szCs w:val="24"/>
        </w:rPr>
        <w:t xml:space="preserve">Thus, the total annual hour burden </w:t>
      </w:r>
      <w:r w:rsidR="00815951" w:rsidRPr="004E152D">
        <w:rPr>
          <w:rFonts w:ascii="Times New Roman" w:hAnsi="Times New Roman"/>
          <w:sz w:val="24"/>
          <w:szCs w:val="24"/>
        </w:rPr>
        <w:t>f</w:t>
      </w:r>
      <w:r w:rsidR="00153DBB" w:rsidRPr="004E152D">
        <w:rPr>
          <w:rFonts w:ascii="Times New Roman" w:hAnsi="Times New Roman"/>
          <w:sz w:val="24"/>
          <w:szCs w:val="24"/>
        </w:rPr>
        <w:t>or these two rules is 16 hours.</w:t>
      </w:r>
      <w:r w:rsidR="00153DBB" w:rsidRPr="00473D6B">
        <w:rPr>
          <w:rFonts w:ascii="Times New Roman" w:hAnsi="Times New Roman"/>
          <w:sz w:val="24"/>
          <w:szCs w:val="24"/>
        </w:rPr>
        <w:t xml:space="preserve"> </w:t>
      </w:r>
      <w:r w:rsidR="0046427A" w:rsidRPr="00A90261">
        <w:rPr>
          <w:rFonts w:ascii="Times New Roman" w:hAnsi="Times New Roman"/>
          <w:sz w:val="24"/>
          <w:szCs w:val="24"/>
        </w:rPr>
        <w:t xml:space="preserve">We note here that the hour burden allocated to each applicant and notification filer does not include the hours allocated to the section 63.18 application itself.     </w:t>
      </w:r>
    </w:p>
    <w:p w:rsidR="0046427A" w:rsidRPr="00644F93" w:rsidRDefault="0046427A" w:rsidP="0046427A">
      <w:pPr>
        <w:rPr>
          <w:rFonts w:ascii="Times New Roman" w:hAnsi="Times New Roman"/>
          <w:sz w:val="24"/>
          <w:szCs w:val="24"/>
        </w:rPr>
      </w:pPr>
    </w:p>
    <w:p w:rsidR="0046427A" w:rsidRPr="00401536" w:rsidRDefault="0046427A" w:rsidP="0046427A">
      <w:pPr>
        <w:rPr>
          <w:rFonts w:ascii="Times New Roman" w:hAnsi="Times New Roman"/>
          <w:sz w:val="24"/>
          <w:szCs w:val="24"/>
        </w:rPr>
      </w:pPr>
      <w:r w:rsidRPr="004E152D">
        <w:rPr>
          <w:rFonts w:ascii="Times New Roman" w:hAnsi="Times New Roman"/>
          <w:sz w:val="24"/>
          <w:szCs w:val="24"/>
        </w:rPr>
        <w:t>By contrast, Question 12 of the 2013 Supporting Statement reports that the total number of respondents and responses for rule section 63.18(k) is 352, with an hourly burden estimated at 2 hours per response, for a total hour burden of 704 hours.  For rule section 63.11(g</w:t>
      </w:r>
      <w:proofErr w:type="gramStart"/>
      <w:r w:rsidRPr="004E152D">
        <w:rPr>
          <w:rFonts w:ascii="Times New Roman" w:hAnsi="Times New Roman"/>
          <w:sz w:val="24"/>
          <w:szCs w:val="24"/>
        </w:rPr>
        <w:t>)(</w:t>
      </w:r>
      <w:proofErr w:type="gramEnd"/>
      <w:r w:rsidRPr="004E152D">
        <w:rPr>
          <w:rFonts w:ascii="Times New Roman" w:hAnsi="Times New Roman"/>
          <w:sz w:val="24"/>
          <w:szCs w:val="24"/>
        </w:rPr>
        <w:t>2), the 2013 Supporting Statement, Question 12, listed 352 responses, with an hourly burden estimated at 4 hours per response, for a total hour burden of 1,408.</w:t>
      </w:r>
      <w:r w:rsidR="00F70F07" w:rsidRPr="004E152D">
        <w:rPr>
          <w:rFonts w:ascii="Times New Roman" w:hAnsi="Times New Roman"/>
          <w:sz w:val="24"/>
          <w:szCs w:val="24"/>
        </w:rPr>
        <w:t xml:space="preserve">  Together</w:t>
      </w:r>
      <w:r w:rsidR="00C470D5" w:rsidRPr="004E152D">
        <w:rPr>
          <w:rFonts w:ascii="Times New Roman" w:hAnsi="Times New Roman"/>
          <w:sz w:val="24"/>
          <w:szCs w:val="24"/>
        </w:rPr>
        <w:t xml:space="preserve">, the total annual hour burden for these two rules in the 2013 Supporting Statement is 2,112 hours (704 + </w:t>
      </w:r>
      <w:r w:rsidR="00F70F07" w:rsidRPr="004E152D">
        <w:rPr>
          <w:rFonts w:ascii="Times New Roman" w:hAnsi="Times New Roman"/>
          <w:sz w:val="24"/>
          <w:szCs w:val="24"/>
        </w:rPr>
        <w:t>1,408 = 2,112)</w:t>
      </w:r>
      <w:r w:rsidR="00C470D5" w:rsidRPr="004E152D">
        <w:rPr>
          <w:rFonts w:ascii="Times New Roman" w:hAnsi="Times New Roman"/>
          <w:sz w:val="24"/>
          <w:szCs w:val="24"/>
        </w:rPr>
        <w:t>.</w:t>
      </w:r>
      <w:r w:rsidR="00C470D5" w:rsidRPr="00473D6B">
        <w:rPr>
          <w:rFonts w:ascii="Times New Roman" w:hAnsi="Times New Roman"/>
          <w:sz w:val="24"/>
          <w:szCs w:val="24"/>
        </w:rPr>
        <w:t xml:space="preserve">  </w:t>
      </w:r>
      <w:r w:rsidRPr="00A90261">
        <w:rPr>
          <w:rFonts w:ascii="Times New Roman" w:hAnsi="Times New Roman"/>
          <w:sz w:val="24"/>
          <w:szCs w:val="24"/>
        </w:rPr>
        <w:t>Therefore, for section 63.18(k), the 2014 Supporting Statement</w:t>
      </w:r>
      <w:r w:rsidR="00F70F07" w:rsidRPr="00401536">
        <w:rPr>
          <w:rFonts w:ascii="Times New Roman" w:hAnsi="Times New Roman"/>
          <w:sz w:val="24"/>
          <w:szCs w:val="24"/>
        </w:rPr>
        <w:t xml:space="preserve">, Question 12, </w:t>
      </w:r>
      <w:r w:rsidR="00F70F07" w:rsidRPr="004E152D">
        <w:rPr>
          <w:rFonts w:ascii="Times New Roman" w:hAnsi="Times New Roman"/>
          <w:sz w:val="24"/>
          <w:szCs w:val="24"/>
        </w:rPr>
        <w:t>reports</w:t>
      </w:r>
      <w:r w:rsidR="00B303D7" w:rsidRPr="00473D6B">
        <w:rPr>
          <w:rFonts w:ascii="Times New Roman" w:hAnsi="Times New Roman"/>
          <w:sz w:val="24"/>
          <w:szCs w:val="24"/>
        </w:rPr>
        <w:t xml:space="preserve"> </w:t>
      </w:r>
      <w:r w:rsidR="00B303D7" w:rsidRPr="00A90261">
        <w:rPr>
          <w:rFonts w:ascii="Times New Roman" w:hAnsi="Times New Roman"/>
          <w:sz w:val="24"/>
          <w:szCs w:val="24"/>
        </w:rPr>
        <w:t>351 fewer annual responses and 696 fewer</w:t>
      </w:r>
      <w:r w:rsidRPr="00644F93">
        <w:rPr>
          <w:rFonts w:ascii="Times New Roman" w:hAnsi="Times New Roman"/>
          <w:sz w:val="24"/>
          <w:szCs w:val="24"/>
        </w:rPr>
        <w:t xml:space="preserve"> annual hours than the 2013 Supporting Statement.  For section 63.11(g</w:t>
      </w:r>
      <w:proofErr w:type="gramStart"/>
      <w:r w:rsidRPr="00644F93">
        <w:rPr>
          <w:rFonts w:ascii="Times New Roman" w:hAnsi="Times New Roman"/>
          <w:sz w:val="24"/>
          <w:szCs w:val="24"/>
        </w:rPr>
        <w:t>)(</w:t>
      </w:r>
      <w:proofErr w:type="gramEnd"/>
      <w:r w:rsidRPr="00644F93">
        <w:rPr>
          <w:rFonts w:ascii="Times New Roman" w:hAnsi="Times New Roman"/>
          <w:sz w:val="24"/>
          <w:szCs w:val="24"/>
        </w:rPr>
        <w:t>2), the 2014 Supporting S</w:t>
      </w:r>
      <w:r w:rsidR="00B303D7" w:rsidRPr="004E152D">
        <w:rPr>
          <w:rFonts w:ascii="Times New Roman" w:hAnsi="Times New Roman"/>
          <w:sz w:val="24"/>
          <w:szCs w:val="24"/>
        </w:rPr>
        <w:t>tatement reports 351 fewer annual responses and 1,400 fewer</w:t>
      </w:r>
      <w:r w:rsidRPr="004E152D">
        <w:rPr>
          <w:rFonts w:ascii="Times New Roman" w:hAnsi="Times New Roman"/>
          <w:sz w:val="24"/>
          <w:szCs w:val="24"/>
        </w:rPr>
        <w:t xml:space="preserve"> annual hours than</w:t>
      </w:r>
      <w:r w:rsidR="00F70F07" w:rsidRPr="004E152D">
        <w:rPr>
          <w:rFonts w:ascii="Times New Roman" w:hAnsi="Times New Roman"/>
          <w:sz w:val="24"/>
          <w:szCs w:val="24"/>
        </w:rPr>
        <w:t xml:space="preserve"> </w:t>
      </w:r>
      <w:r w:rsidRPr="004E152D">
        <w:rPr>
          <w:rFonts w:ascii="Times New Roman" w:hAnsi="Times New Roman"/>
          <w:sz w:val="24"/>
          <w:szCs w:val="24"/>
        </w:rPr>
        <w:t xml:space="preserve">the 2013 Supporting Statement.  The significant decrease in </w:t>
      </w:r>
      <w:r w:rsidR="00153DBB" w:rsidRPr="004E152D">
        <w:rPr>
          <w:rFonts w:ascii="Times New Roman" w:hAnsi="Times New Roman"/>
          <w:sz w:val="24"/>
          <w:szCs w:val="24"/>
        </w:rPr>
        <w:t>total</w:t>
      </w:r>
      <w:r w:rsidR="00153DBB" w:rsidRPr="00473D6B">
        <w:rPr>
          <w:rFonts w:ascii="Times New Roman" w:hAnsi="Times New Roman"/>
          <w:sz w:val="24"/>
          <w:szCs w:val="24"/>
        </w:rPr>
        <w:t xml:space="preserve"> </w:t>
      </w:r>
      <w:r w:rsidR="00815951" w:rsidRPr="004E152D">
        <w:rPr>
          <w:rFonts w:ascii="Times New Roman" w:hAnsi="Times New Roman"/>
          <w:sz w:val="24"/>
          <w:szCs w:val="24"/>
        </w:rPr>
        <w:t>annual</w:t>
      </w:r>
      <w:r w:rsidR="00815951" w:rsidRPr="00473D6B">
        <w:rPr>
          <w:rFonts w:ascii="Times New Roman" w:hAnsi="Times New Roman"/>
          <w:sz w:val="24"/>
          <w:szCs w:val="24"/>
        </w:rPr>
        <w:t xml:space="preserve"> </w:t>
      </w:r>
      <w:r w:rsidRPr="00A90261">
        <w:rPr>
          <w:rFonts w:ascii="Times New Roman" w:hAnsi="Times New Roman"/>
          <w:sz w:val="24"/>
          <w:szCs w:val="24"/>
        </w:rPr>
        <w:t xml:space="preserve">hour burden </w:t>
      </w:r>
      <w:r w:rsidR="00153DBB" w:rsidRPr="004E152D">
        <w:rPr>
          <w:rFonts w:ascii="Times New Roman" w:hAnsi="Times New Roman"/>
          <w:sz w:val="24"/>
          <w:szCs w:val="24"/>
        </w:rPr>
        <w:t>(</w:t>
      </w:r>
      <w:r w:rsidR="00C470D5" w:rsidRPr="004E152D">
        <w:rPr>
          <w:rFonts w:ascii="Times New Roman" w:hAnsi="Times New Roman"/>
          <w:sz w:val="24"/>
          <w:szCs w:val="24"/>
        </w:rPr>
        <w:t xml:space="preserve">696 + 1,400 = </w:t>
      </w:r>
      <w:r w:rsidR="00153DBB" w:rsidRPr="00E616C8">
        <w:rPr>
          <w:rFonts w:ascii="Times New Roman" w:hAnsi="Times New Roman"/>
          <w:b/>
          <w:sz w:val="24"/>
          <w:szCs w:val="24"/>
        </w:rPr>
        <w:t>2,096</w:t>
      </w:r>
      <w:r w:rsidR="00153DBB" w:rsidRPr="004E152D">
        <w:rPr>
          <w:rFonts w:ascii="Times New Roman" w:hAnsi="Times New Roman"/>
          <w:sz w:val="24"/>
          <w:szCs w:val="24"/>
        </w:rPr>
        <w:t>)</w:t>
      </w:r>
      <w:r w:rsidR="00153DBB" w:rsidRPr="00473D6B">
        <w:rPr>
          <w:rFonts w:ascii="Times New Roman" w:hAnsi="Times New Roman"/>
          <w:sz w:val="24"/>
          <w:szCs w:val="24"/>
        </w:rPr>
        <w:t xml:space="preserve"> </w:t>
      </w:r>
      <w:r w:rsidRPr="00A90261">
        <w:rPr>
          <w:rFonts w:ascii="Times New Roman" w:hAnsi="Times New Roman"/>
          <w:sz w:val="24"/>
          <w:szCs w:val="24"/>
        </w:rPr>
        <w:t xml:space="preserve">is due to over counting of the number of responses for both rule sections. </w:t>
      </w:r>
      <w:r w:rsidR="003B4889" w:rsidRPr="00401536">
        <w:rPr>
          <w:rFonts w:ascii="Times New Roman" w:hAnsi="Times New Roman"/>
          <w:sz w:val="24"/>
          <w:szCs w:val="24"/>
        </w:rPr>
        <w:t xml:space="preserve"> </w:t>
      </w:r>
      <w:r w:rsidRPr="00401536">
        <w:rPr>
          <w:rFonts w:ascii="Times New Roman" w:hAnsi="Times New Roman"/>
          <w:sz w:val="24"/>
          <w:szCs w:val="24"/>
        </w:rPr>
        <w:t xml:space="preserve">The response numbers in the 2013 Supporting Statement are unsubstantiated and not supported by data contained in FCC records.   </w:t>
      </w:r>
    </w:p>
    <w:p w:rsidR="0046427A" w:rsidRPr="00644F93" w:rsidRDefault="0046427A" w:rsidP="0046427A">
      <w:pPr>
        <w:rPr>
          <w:rFonts w:ascii="Times New Roman" w:hAnsi="Times New Roman"/>
          <w:sz w:val="24"/>
          <w:szCs w:val="24"/>
        </w:rPr>
      </w:pPr>
    </w:p>
    <w:p w:rsidR="005802D9" w:rsidRPr="00A90261" w:rsidRDefault="00A60671" w:rsidP="0046427A">
      <w:pPr>
        <w:rPr>
          <w:rFonts w:ascii="Times New Roman" w:hAnsi="Times New Roman"/>
          <w:sz w:val="24"/>
          <w:szCs w:val="24"/>
        </w:rPr>
      </w:pPr>
      <w:r w:rsidRPr="004E152D">
        <w:rPr>
          <w:rFonts w:ascii="Times New Roman" w:hAnsi="Times New Roman"/>
          <w:i/>
          <w:sz w:val="24"/>
          <w:szCs w:val="24"/>
        </w:rPr>
        <w:t>Question 13</w:t>
      </w:r>
      <w:r w:rsidR="0046427A" w:rsidRPr="004E152D">
        <w:rPr>
          <w:rFonts w:ascii="Times New Roman" w:hAnsi="Times New Roman"/>
          <w:i/>
          <w:sz w:val="24"/>
          <w:szCs w:val="24"/>
        </w:rPr>
        <w:t xml:space="preserve"> Cost Burden </w:t>
      </w:r>
      <w:r w:rsidRPr="004E152D">
        <w:rPr>
          <w:rFonts w:ascii="Times New Roman" w:hAnsi="Times New Roman"/>
          <w:i/>
          <w:sz w:val="24"/>
          <w:szCs w:val="24"/>
        </w:rPr>
        <w:t xml:space="preserve">Changes </w:t>
      </w:r>
      <w:r w:rsidR="0046427A" w:rsidRPr="004E152D">
        <w:rPr>
          <w:rFonts w:ascii="Times New Roman" w:hAnsi="Times New Roman"/>
          <w:i/>
          <w:sz w:val="24"/>
          <w:szCs w:val="24"/>
        </w:rPr>
        <w:t>for 63.18(k) and 63.11(g</w:t>
      </w:r>
      <w:proofErr w:type="gramStart"/>
      <w:r w:rsidR="0046427A" w:rsidRPr="004E152D">
        <w:rPr>
          <w:rFonts w:ascii="Times New Roman" w:hAnsi="Times New Roman"/>
          <w:i/>
          <w:sz w:val="24"/>
          <w:szCs w:val="24"/>
        </w:rPr>
        <w:t>)(</w:t>
      </w:r>
      <w:proofErr w:type="gramEnd"/>
      <w:r w:rsidR="0046427A" w:rsidRPr="004E152D">
        <w:rPr>
          <w:rFonts w:ascii="Times New Roman" w:hAnsi="Times New Roman"/>
          <w:i/>
          <w:sz w:val="24"/>
          <w:szCs w:val="24"/>
        </w:rPr>
        <w:t>2)</w:t>
      </w:r>
      <w:r w:rsidR="0046427A" w:rsidRPr="004E152D">
        <w:rPr>
          <w:rFonts w:ascii="Times New Roman" w:hAnsi="Times New Roman"/>
          <w:sz w:val="24"/>
          <w:szCs w:val="24"/>
        </w:rPr>
        <w:t xml:space="preserve">: </w:t>
      </w:r>
      <w:r w:rsidR="0046427A" w:rsidRPr="004E152D">
        <w:rPr>
          <w:rFonts w:ascii="Times New Roman" w:hAnsi="Times New Roman"/>
          <w:i/>
          <w:sz w:val="24"/>
          <w:szCs w:val="24"/>
        </w:rPr>
        <w:t xml:space="preserve"> </w:t>
      </w:r>
      <w:r w:rsidR="005802D9" w:rsidRPr="004E152D">
        <w:rPr>
          <w:rFonts w:ascii="Times New Roman" w:hAnsi="Times New Roman"/>
          <w:sz w:val="24"/>
          <w:szCs w:val="24"/>
        </w:rPr>
        <w:t>As explained below, t</w:t>
      </w:r>
      <w:r w:rsidR="00774BEC" w:rsidRPr="004E152D">
        <w:rPr>
          <w:rFonts w:ascii="Times New Roman" w:hAnsi="Times New Roman"/>
          <w:sz w:val="24"/>
          <w:szCs w:val="24"/>
        </w:rPr>
        <w:t xml:space="preserve">he total annual cost burden reported in the 2013 Supporting Statement for </w:t>
      </w:r>
      <w:r w:rsidR="00BA4606" w:rsidRPr="004E152D">
        <w:rPr>
          <w:rFonts w:ascii="Times New Roman" w:hAnsi="Times New Roman"/>
          <w:sz w:val="24"/>
          <w:szCs w:val="24"/>
        </w:rPr>
        <w:t>s</w:t>
      </w:r>
      <w:r w:rsidR="00774BEC" w:rsidRPr="004E152D">
        <w:rPr>
          <w:rFonts w:ascii="Times New Roman" w:hAnsi="Times New Roman"/>
          <w:sz w:val="24"/>
          <w:szCs w:val="24"/>
        </w:rPr>
        <w:t>ections 63.18(k) and 63.11(g)(2) is $211,200</w:t>
      </w:r>
      <w:r w:rsidR="005802D9" w:rsidRPr="004E152D">
        <w:rPr>
          <w:rFonts w:ascii="Times New Roman" w:hAnsi="Times New Roman"/>
          <w:sz w:val="24"/>
          <w:szCs w:val="24"/>
        </w:rPr>
        <w:t xml:space="preserve"> and the total annual cost burden reported in the 2014 Statement for these rules is $1,200, a decrease of </w:t>
      </w:r>
      <w:r w:rsidR="005802D9" w:rsidRPr="006A6787">
        <w:rPr>
          <w:rFonts w:ascii="Times New Roman" w:hAnsi="Times New Roman"/>
          <w:b/>
          <w:sz w:val="24"/>
          <w:szCs w:val="24"/>
        </w:rPr>
        <w:t>$210,000</w:t>
      </w:r>
      <w:r w:rsidR="005802D9" w:rsidRPr="004E152D">
        <w:rPr>
          <w:rFonts w:ascii="Times New Roman" w:hAnsi="Times New Roman"/>
          <w:sz w:val="24"/>
          <w:szCs w:val="24"/>
        </w:rPr>
        <w:t xml:space="preserve"> in total annual cost burden for these two rules</w:t>
      </w:r>
      <w:r w:rsidR="00774BEC" w:rsidRPr="004E152D">
        <w:rPr>
          <w:rFonts w:ascii="Times New Roman" w:hAnsi="Times New Roman"/>
          <w:sz w:val="24"/>
          <w:szCs w:val="24"/>
        </w:rPr>
        <w:t>.</w:t>
      </w:r>
      <w:r w:rsidR="00774BEC" w:rsidRPr="00473D6B">
        <w:rPr>
          <w:rFonts w:ascii="Times New Roman" w:hAnsi="Times New Roman"/>
          <w:sz w:val="24"/>
          <w:szCs w:val="24"/>
        </w:rPr>
        <w:t xml:space="preserve">  </w:t>
      </w:r>
    </w:p>
    <w:p w:rsidR="005802D9" w:rsidRPr="00644F93" w:rsidRDefault="005802D9" w:rsidP="0046427A">
      <w:pPr>
        <w:rPr>
          <w:rFonts w:ascii="Times New Roman" w:hAnsi="Times New Roman"/>
          <w:sz w:val="24"/>
          <w:szCs w:val="24"/>
        </w:rPr>
      </w:pPr>
    </w:p>
    <w:p w:rsidR="0046427A" w:rsidRPr="00A90261" w:rsidRDefault="00565BE7" w:rsidP="0046427A">
      <w:pPr>
        <w:rPr>
          <w:rFonts w:ascii="Times New Roman" w:hAnsi="Times New Roman"/>
          <w:sz w:val="24"/>
          <w:szCs w:val="24"/>
        </w:rPr>
      </w:pPr>
      <w:r w:rsidRPr="004E152D">
        <w:rPr>
          <w:rFonts w:ascii="Times New Roman" w:hAnsi="Times New Roman"/>
          <w:sz w:val="24"/>
          <w:szCs w:val="24"/>
        </w:rPr>
        <w:t>In the 2014 Supporting Statement,</w:t>
      </w:r>
      <w:r w:rsidRPr="00473D6B">
        <w:rPr>
          <w:rFonts w:ascii="Times New Roman" w:hAnsi="Times New Roman"/>
          <w:sz w:val="24"/>
          <w:szCs w:val="24"/>
        </w:rPr>
        <w:t xml:space="preserve"> t</w:t>
      </w:r>
      <w:r w:rsidR="005802D9" w:rsidRPr="00A90261">
        <w:rPr>
          <w:rFonts w:ascii="Times New Roman" w:hAnsi="Times New Roman"/>
          <w:sz w:val="24"/>
          <w:szCs w:val="24"/>
        </w:rPr>
        <w:t xml:space="preserve">he annual </w:t>
      </w:r>
      <w:r w:rsidR="0046427A" w:rsidRPr="00A90261">
        <w:rPr>
          <w:rFonts w:ascii="Times New Roman" w:hAnsi="Times New Roman"/>
          <w:sz w:val="24"/>
          <w:szCs w:val="24"/>
        </w:rPr>
        <w:t xml:space="preserve">cost burden to the respondent in preparing </w:t>
      </w:r>
      <w:r w:rsidR="00A32286" w:rsidRPr="00A90261">
        <w:rPr>
          <w:rFonts w:ascii="Times New Roman" w:hAnsi="Times New Roman"/>
          <w:sz w:val="24"/>
          <w:szCs w:val="24"/>
        </w:rPr>
        <w:t>a response</w:t>
      </w:r>
      <w:r w:rsidR="0046427A" w:rsidRPr="00A90261">
        <w:rPr>
          <w:rFonts w:ascii="Times New Roman" w:hAnsi="Times New Roman"/>
          <w:sz w:val="24"/>
          <w:szCs w:val="24"/>
        </w:rPr>
        <w:t xml:space="preserve"> under </w:t>
      </w:r>
      <w:r w:rsidRPr="004E152D">
        <w:rPr>
          <w:rFonts w:ascii="Times New Roman" w:hAnsi="Times New Roman"/>
          <w:sz w:val="24"/>
          <w:szCs w:val="24"/>
        </w:rPr>
        <w:t>revised</w:t>
      </w:r>
      <w:r w:rsidRPr="00473D6B">
        <w:rPr>
          <w:rFonts w:ascii="Times New Roman" w:hAnsi="Times New Roman"/>
          <w:sz w:val="24"/>
          <w:szCs w:val="24"/>
        </w:rPr>
        <w:t xml:space="preserve"> </w:t>
      </w:r>
      <w:r w:rsidR="00BA4606" w:rsidRPr="004E152D">
        <w:rPr>
          <w:rFonts w:ascii="Times New Roman" w:hAnsi="Times New Roman"/>
          <w:sz w:val="24"/>
          <w:szCs w:val="24"/>
        </w:rPr>
        <w:t>s</w:t>
      </w:r>
      <w:r w:rsidR="0046427A" w:rsidRPr="004E152D">
        <w:rPr>
          <w:rFonts w:ascii="Times New Roman" w:hAnsi="Times New Roman"/>
          <w:sz w:val="24"/>
          <w:szCs w:val="24"/>
        </w:rPr>
        <w:t>ection</w:t>
      </w:r>
      <w:r w:rsidR="0046427A" w:rsidRPr="00473D6B">
        <w:rPr>
          <w:rFonts w:ascii="Times New Roman" w:hAnsi="Times New Roman"/>
          <w:sz w:val="24"/>
          <w:szCs w:val="24"/>
        </w:rPr>
        <w:t xml:space="preserve"> 63.18(k)</w:t>
      </w:r>
      <w:r w:rsidR="006A297B" w:rsidRPr="00A90261">
        <w:rPr>
          <w:rFonts w:ascii="Times New Roman" w:hAnsi="Times New Roman"/>
          <w:sz w:val="24"/>
          <w:szCs w:val="24"/>
        </w:rPr>
        <w:t xml:space="preserve"> is the cost</w:t>
      </w:r>
      <w:r w:rsidR="00A32286" w:rsidRPr="00A90261">
        <w:rPr>
          <w:rFonts w:ascii="Times New Roman" w:hAnsi="Times New Roman"/>
          <w:sz w:val="24"/>
          <w:szCs w:val="24"/>
        </w:rPr>
        <w:t xml:space="preserve"> of outside legal assistance</w:t>
      </w:r>
      <w:r w:rsidR="006A297B" w:rsidRPr="00A90261">
        <w:rPr>
          <w:rFonts w:ascii="Times New Roman" w:hAnsi="Times New Roman"/>
          <w:sz w:val="24"/>
          <w:szCs w:val="24"/>
        </w:rPr>
        <w:t xml:space="preserve">, which is $600 per application (.5 (50% of 1 response) x </w:t>
      </w:r>
      <w:r w:rsidR="00A32286" w:rsidRPr="00A90261">
        <w:rPr>
          <w:rFonts w:ascii="Times New Roman" w:hAnsi="Times New Roman"/>
          <w:sz w:val="24"/>
          <w:szCs w:val="24"/>
        </w:rPr>
        <w:t xml:space="preserve">4 </w:t>
      </w:r>
      <w:r w:rsidRPr="004E152D">
        <w:rPr>
          <w:rFonts w:ascii="Times New Roman" w:hAnsi="Times New Roman"/>
          <w:sz w:val="24"/>
          <w:szCs w:val="24"/>
        </w:rPr>
        <w:t>average</w:t>
      </w:r>
      <w:r w:rsidRPr="00473D6B">
        <w:rPr>
          <w:rFonts w:ascii="Times New Roman" w:hAnsi="Times New Roman"/>
          <w:sz w:val="24"/>
          <w:szCs w:val="24"/>
        </w:rPr>
        <w:t xml:space="preserve"> </w:t>
      </w:r>
      <w:r w:rsidR="00A32286" w:rsidRPr="00A90261">
        <w:rPr>
          <w:rFonts w:ascii="Times New Roman" w:hAnsi="Times New Roman"/>
          <w:sz w:val="24"/>
          <w:szCs w:val="24"/>
        </w:rPr>
        <w:t xml:space="preserve">hrs./response x </w:t>
      </w:r>
      <w:r w:rsidR="006A297B" w:rsidRPr="00A90261">
        <w:rPr>
          <w:rFonts w:ascii="Times New Roman" w:hAnsi="Times New Roman"/>
          <w:sz w:val="24"/>
          <w:szCs w:val="24"/>
        </w:rPr>
        <w:t xml:space="preserve">$300 per </w:t>
      </w:r>
      <w:r w:rsidR="00BC7E19" w:rsidRPr="004E152D">
        <w:rPr>
          <w:rFonts w:ascii="Times New Roman" w:hAnsi="Times New Roman"/>
          <w:sz w:val="24"/>
          <w:szCs w:val="24"/>
        </w:rPr>
        <w:t>hour</w:t>
      </w:r>
      <w:r w:rsidR="00A32286" w:rsidRPr="00473D6B">
        <w:rPr>
          <w:rFonts w:ascii="Times New Roman" w:hAnsi="Times New Roman"/>
          <w:sz w:val="24"/>
          <w:szCs w:val="24"/>
        </w:rPr>
        <w:t>)</w:t>
      </w:r>
      <w:r w:rsidR="006A297B" w:rsidRPr="00A90261">
        <w:rPr>
          <w:rFonts w:ascii="Times New Roman" w:hAnsi="Times New Roman"/>
          <w:sz w:val="24"/>
          <w:szCs w:val="24"/>
        </w:rPr>
        <w:t>.</w:t>
      </w:r>
      <w:r w:rsidR="00F70F07" w:rsidRPr="00473D6B">
        <w:rPr>
          <w:rStyle w:val="FootnoteReference"/>
          <w:rFonts w:ascii="Times New Roman" w:hAnsi="Times New Roman"/>
          <w:sz w:val="24"/>
          <w:szCs w:val="24"/>
        </w:rPr>
        <w:footnoteReference w:id="14"/>
      </w:r>
      <w:r w:rsidR="006A297B" w:rsidRPr="00473D6B">
        <w:rPr>
          <w:rFonts w:ascii="Times New Roman" w:hAnsi="Times New Roman"/>
          <w:sz w:val="24"/>
          <w:szCs w:val="24"/>
        </w:rPr>
        <w:t xml:space="preserve"> </w:t>
      </w:r>
      <w:r w:rsidR="00F9153D" w:rsidRPr="00A90261">
        <w:rPr>
          <w:rFonts w:ascii="Times New Roman" w:hAnsi="Times New Roman"/>
          <w:sz w:val="24"/>
          <w:szCs w:val="24"/>
        </w:rPr>
        <w:t>The application fee is not included as part of the calculation of the an</w:t>
      </w:r>
      <w:r w:rsidR="00F9153D" w:rsidRPr="00644F93">
        <w:rPr>
          <w:rFonts w:ascii="Times New Roman" w:hAnsi="Times New Roman"/>
          <w:sz w:val="24"/>
          <w:szCs w:val="24"/>
        </w:rPr>
        <w:t xml:space="preserve">nual cost burden because the applicant has already remitted that fee to the Commission as part of the section 214 application filing.  A </w:t>
      </w:r>
      <w:r w:rsidR="00A32286" w:rsidRPr="004E152D">
        <w:rPr>
          <w:rFonts w:ascii="Times New Roman" w:hAnsi="Times New Roman"/>
          <w:sz w:val="24"/>
          <w:szCs w:val="24"/>
        </w:rPr>
        <w:t>response</w:t>
      </w:r>
      <w:r w:rsidR="00F9153D" w:rsidRPr="004E152D">
        <w:rPr>
          <w:rFonts w:ascii="Times New Roman" w:hAnsi="Times New Roman"/>
          <w:sz w:val="24"/>
          <w:szCs w:val="24"/>
        </w:rPr>
        <w:t xml:space="preserve"> under section 63.18(</w:t>
      </w:r>
      <w:r w:rsidR="00A32286" w:rsidRPr="004E152D">
        <w:rPr>
          <w:rFonts w:ascii="Times New Roman" w:hAnsi="Times New Roman"/>
          <w:sz w:val="24"/>
          <w:szCs w:val="24"/>
        </w:rPr>
        <w:t>k</w:t>
      </w:r>
      <w:r w:rsidR="00F9153D" w:rsidRPr="004E152D">
        <w:rPr>
          <w:rFonts w:ascii="Times New Roman" w:hAnsi="Times New Roman"/>
          <w:sz w:val="24"/>
          <w:szCs w:val="24"/>
        </w:rPr>
        <w:t xml:space="preserve">) of the Commission’s rules is, as explained above in the adjustment section, a non-routine filing, and therefore counted as a </w:t>
      </w:r>
      <w:r w:rsidR="00D43535" w:rsidRPr="004E152D">
        <w:rPr>
          <w:rFonts w:ascii="Times New Roman" w:hAnsi="Times New Roman"/>
          <w:sz w:val="24"/>
          <w:szCs w:val="24"/>
        </w:rPr>
        <w:t xml:space="preserve">separate </w:t>
      </w:r>
      <w:r w:rsidR="00F9153D" w:rsidRPr="004E152D">
        <w:rPr>
          <w:rFonts w:ascii="Times New Roman" w:hAnsi="Times New Roman"/>
          <w:sz w:val="24"/>
          <w:szCs w:val="24"/>
        </w:rPr>
        <w:t>response.  However, the underlying respondent/applicant has already remitted an application fee for the section 214 application</w:t>
      </w:r>
      <w:r w:rsidR="00BC7E19" w:rsidRPr="004E152D">
        <w:rPr>
          <w:rFonts w:ascii="Times New Roman" w:hAnsi="Times New Roman"/>
          <w:sz w:val="24"/>
          <w:szCs w:val="24"/>
        </w:rPr>
        <w:t>,</w:t>
      </w:r>
      <w:r w:rsidR="00A134C6" w:rsidRPr="004E152D">
        <w:rPr>
          <w:rFonts w:ascii="Times New Roman" w:hAnsi="Times New Roman"/>
          <w:sz w:val="24"/>
          <w:szCs w:val="24"/>
        </w:rPr>
        <w:t xml:space="preserve"> </w:t>
      </w:r>
      <w:r w:rsidR="003B4889" w:rsidRPr="004E152D">
        <w:rPr>
          <w:rFonts w:ascii="Times New Roman" w:hAnsi="Times New Roman"/>
          <w:sz w:val="24"/>
          <w:szCs w:val="24"/>
        </w:rPr>
        <w:t>of which</w:t>
      </w:r>
      <w:r w:rsidR="00F9153D" w:rsidRPr="004E152D">
        <w:rPr>
          <w:rFonts w:ascii="Times New Roman" w:hAnsi="Times New Roman"/>
          <w:sz w:val="24"/>
          <w:szCs w:val="24"/>
        </w:rPr>
        <w:t xml:space="preserve"> 63.18(</w:t>
      </w:r>
      <w:r w:rsidR="00A32286" w:rsidRPr="004E152D">
        <w:rPr>
          <w:rFonts w:ascii="Times New Roman" w:hAnsi="Times New Roman"/>
          <w:sz w:val="24"/>
          <w:szCs w:val="24"/>
        </w:rPr>
        <w:t>k</w:t>
      </w:r>
      <w:r w:rsidR="00F9153D" w:rsidRPr="004E152D">
        <w:rPr>
          <w:rFonts w:ascii="Times New Roman" w:hAnsi="Times New Roman"/>
          <w:sz w:val="24"/>
          <w:szCs w:val="24"/>
        </w:rPr>
        <w:t>) is a</w:t>
      </w:r>
      <w:r w:rsidR="003B4889" w:rsidRPr="004E152D">
        <w:rPr>
          <w:rFonts w:ascii="Times New Roman" w:hAnsi="Times New Roman"/>
          <w:sz w:val="24"/>
          <w:szCs w:val="24"/>
        </w:rPr>
        <w:t xml:space="preserve"> part.</w:t>
      </w:r>
      <w:r w:rsidR="00F9153D" w:rsidRPr="004E152D">
        <w:rPr>
          <w:rFonts w:ascii="Times New Roman" w:hAnsi="Times New Roman"/>
          <w:sz w:val="24"/>
          <w:szCs w:val="24"/>
        </w:rPr>
        <w:t xml:space="preserve">  </w:t>
      </w:r>
      <w:r w:rsidR="0046427A" w:rsidRPr="004E152D">
        <w:rPr>
          <w:rFonts w:ascii="Times New Roman" w:hAnsi="Times New Roman"/>
          <w:sz w:val="24"/>
          <w:szCs w:val="24"/>
        </w:rPr>
        <w:t xml:space="preserve">The estimated annual cost burden to the respondent for </w:t>
      </w:r>
      <w:r w:rsidR="0046427A" w:rsidRPr="004E152D">
        <w:rPr>
          <w:rFonts w:ascii="Times New Roman" w:hAnsi="Times New Roman"/>
          <w:sz w:val="24"/>
          <w:szCs w:val="24"/>
        </w:rPr>
        <w:lastRenderedPageBreak/>
        <w:t>filing a notification under revised section 63.11(g</w:t>
      </w:r>
      <w:proofErr w:type="gramStart"/>
      <w:r w:rsidR="0046427A" w:rsidRPr="004E152D">
        <w:rPr>
          <w:rFonts w:ascii="Times New Roman" w:hAnsi="Times New Roman"/>
          <w:sz w:val="24"/>
          <w:szCs w:val="24"/>
        </w:rPr>
        <w:t>)(</w:t>
      </w:r>
      <w:proofErr w:type="gramEnd"/>
      <w:r w:rsidR="0046427A" w:rsidRPr="004E152D">
        <w:rPr>
          <w:rFonts w:ascii="Times New Roman" w:hAnsi="Times New Roman"/>
          <w:sz w:val="24"/>
          <w:szCs w:val="24"/>
        </w:rPr>
        <w:t>2) is also $</w:t>
      </w:r>
      <w:r w:rsidR="00D43535" w:rsidRPr="004E152D">
        <w:rPr>
          <w:rFonts w:ascii="Times New Roman" w:hAnsi="Times New Roman"/>
          <w:sz w:val="24"/>
          <w:szCs w:val="24"/>
        </w:rPr>
        <w:t>60</w:t>
      </w:r>
      <w:r w:rsidR="0046427A" w:rsidRPr="004E152D">
        <w:rPr>
          <w:rFonts w:ascii="Times New Roman" w:hAnsi="Times New Roman"/>
          <w:sz w:val="24"/>
          <w:szCs w:val="24"/>
        </w:rPr>
        <w:t xml:space="preserve">0 because the </w:t>
      </w:r>
      <w:r w:rsidR="00D43535" w:rsidRPr="004E152D">
        <w:rPr>
          <w:rFonts w:ascii="Times New Roman" w:hAnsi="Times New Roman"/>
          <w:sz w:val="24"/>
          <w:szCs w:val="24"/>
        </w:rPr>
        <w:t xml:space="preserve">response number for that rule section is the same as that </w:t>
      </w:r>
      <w:r w:rsidR="0046427A" w:rsidRPr="004E152D">
        <w:rPr>
          <w:rFonts w:ascii="Times New Roman" w:hAnsi="Times New Roman"/>
          <w:sz w:val="24"/>
          <w:szCs w:val="24"/>
        </w:rPr>
        <w:t>for section 63.18(k).</w:t>
      </w:r>
      <w:r w:rsidR="005802D9" w:rsidRPr="004E152D">
        <w:rPr>
          <w:rFonts w:ascii="Times New Roman" w:hAnsi="Times New Roman"/>
          <w:sz w:val="24"/>
          <w:szCs w:val="24"/>
        </w:rPr>
        <w:t xml:space="preserve">  Thus, the annu</w:t>
      </w:r>
      <w:r w:rsidR="005E4B42" w:rsidRPr="004E152D">
        <w:rPr>
          <w:rFonts w:ascii="Times New Roman" w:hAnsi="Times New Roman"/>
          <w:sz w:val="24"/>
          <w:szCs w:val="24"/>
        </w:rPr>
        <w:t>al cost burden for these two</w:t>
      </w:r>
      <w:r w:rsidR="00E548F2" w:rsidRPr="004E152D">
        <w:rPr>
          <w:rFonts w:ascii="Times New Roman" w:hAnsi="Times New Roman"/>
          <w:sz w:val="24"/>
          <w:szCs w:val="24"/>
        </w:rPr>
        <w:t xml:space="preserve"> rules is an aggregate</w:t>
      </w:r>
      <w:r w:rsidR="005802D9" w:rsidRPr="004E152D">
        <w:rPr>
          <w:rFonts w:ascii="Times New Roman" w:hAnsi="Times New Roman"/>
          <w:sz w:val="24"/>
          <w:szCs w:val="24"/>
        </w:rPr>
        <w:t xml:space="preserve"> $1,200</w:t>
      </w:r>
      <w:r w:rsidR="00E548F2" w:rsidRPr="00473D6B">
        <w:rPr>
          <w:rFonts w:ascii="Times New Roman" w:hAnsi="Times New Roman"/>
          <w:sz w:val="24"/>
          <w:szCs w:val="24"/>
        </w:rPr>
        <w:t xml:space="preserve"> </w:t>
      </w:r>
      <w:r w:rsidR="00E548F2" w:rsidRPr="004E152D">
        <w:rPr>
          <w:rFonts w:ascii="Times New Roman" w:hAnsi="Times New Roman"/>
          <w:sz w:val="24"/>
          <w:szCs w:val="24"/>
        </w:rPr>
        <w:t>($600 x 2)</w:t>
      </w:r>
      <w:r w:rsidR="005802D9" w:rsidRPr="00473D6B">
        <w:rPr>
          <w:rFonts w:ascii="Times New Roman" w:hAnsi="Times New Roman"/>
          <w:sz w:val="24"/>
          <w:szCs w:val="24"/>
        </w:rPr>
        <w:t>.</w:t>
      </w:r>
      <w:r w:rsidR="0046427A" w:rsidRPr="00A90261">
        <w:rPr>
          <w:rFonts w:ascii="Times New Roman" w:hAnsi="Times New Roman"/>
          <w:sz w:val="24"/>
          <w:szCs w:val="24"/>
        </w:rPr>
        <w:t xml:space="preserve">  </w:t>
      </w:r>
    </w:p>
    <w:p w:rsidR="0046427A" w:rsidRPr="00644F93" w:rsidRDefault="0046427A" w:rsidP="0046427A">
      <w:pPr>
        <w:rPr>
          <w:rFonts w:ascii="Times New Roman" w:hAnsi="Times New Roman"/>
          <w:sz w:val="24"/>
          <w:szCs w:val="24"/>
        </w:rPr>
      </w:pPr>
    </w:p>
    <w:p w:rsidR="00E548F2" w:rsidRPr="00A90261" w:rsidRDefault="00E839F7" w:rsidP="00A60671">
      <w:pPr>
        <w:rPr>
          <w:rFonts w:ascii="Times New Roman" w:hAnsi="Times New Roman"/>
          <w:sz w:val="24"/>
          <w:szCs w:val="24"/>
        </w:rPr>
      </w:pPr>
      <w:r w:rsidRPr="004E152D">
        <w:rPr>
          <w:rFonts w:ascii="Times New Roman" w:hAnsi="Times New Roman"/>
          <w:sz w:val="24"/>
          <w:szCs w:val="24"/>
        </w:rPr>
        <w:t>T</w:t>
      </w:r>
      <w:r w:rsidR="0046427A" w:rsidRPr="004E152D">
        <w:rPr>
          <w:rFonts w:ascii="Times New Roman" w:hAnsi="Times New Roman"/>
          <w:sz w:val="24"/>
          <w:szCs w:val="24"/>
        </w:rPr>
        <w:t xml:space="preserve">he total annual cost burden </w:t>
      </w:r>
      <w:r w:rsidRPr="004E152D">
        <w:rPr>
          <w:rFonts w:ascii="Times New Roman" w:hAnsi="Times New Roman"/>
          <w:sz w:val="24"/>
          <w:szCs w:val="24"/>
        </w:rPr>
        <w:t xml:space="preserve">reported in the 2013 Supporting Statement </w:t>
      </w:r>
      <w:r w:rsidR="0046427A" w:rsidRPr="004E152D">
        <w:rPr>
          <w:rFonts w:ascii="Times New Roman" w:hAnsi="Times New Roman"/>
          <w:sz w:val="24"/>
          <w:szCs w:val="24"/>
        </w:rPr>
        <w:t>to the respondent for filing an application re</w:t>
      </w:r>
      <w:r w:rsidRPr="004E152D">
        <w:rPr>
          <w:rFonts w:ascii="Times New Roman" w:hAnsi="Times New Roman"/>
          <w:sz w:val="24"/>
          <w:szCs w:val="24"/>
        </w:rPr>
        <w:t>quiring a 63.18(k) showing is</w:t>
      </w:r>
      <w:r w:rsidR="00D43535" w:rsidRPr="004E152D">
        <w:rPr>
          <w:rFonts w:ascii="Times New Roman" w:hAnsi="Times New Roman"/>
          <w:sz w:val="24"/>
          <w:szCs w:val="24"/>
        </w:rPr>
        <w:t xml:space="preserve"> $105,6</w:t>
      </w:r>
      <w:r w:rsidR="0046427A" w:rsidRPr="004E152D">
        <w:rPr>
          <w:rFonts w:ascii="Times New Roman" w:hAnsi="Times New Roman"/>
          <w:sz w:val="24"/>
          <w:szCs w:val="24"/>
        </w:rPr>
        <w:t>00,</w:t>
      </w:r>
      <w:r w:rsidR="0046427A" w:rsidRPr="00473D6B">
        <w:rPr>
          <w:rStyle w:val="FootnoteReference"/>
          <w:rFonts w:ascii="Times New Roman" w:hAnsi="Times New Roman"/>
          <w:sz w:val="24"/>
          <w:szCs w:val="24"/>
        </w:rPr>
        <w:footnoteReference w:id="15"/>
      </w:r>
      <w:r w:rsidRPr="00473D6B">
        <w:rPr>
          <w:rFonts w:ascii="Times New Roman" w:hAnsi="Times New Roman"/>
          <w:sz w:val="24"/>
          <w:szCs w:val="24"/>
        </w:rPr>
        <w:t xml:space="preserve"> and the total</w:t>
      </w:r>
      <w:r w:rsidR="0046427A" w:rsidRPr="00A90261">
        <w:rPr>
          <w:rFonts w:ascii="Times New Roman" w:hAnsi="Times New Roman"/>
          <w:sz w:val="24"/>
          <w:szCs w:val="24"/>
        </w:rPr>
        <w:t xml:space="preserve"> annual burden cost to the respondent for filing a notification purs</w:t>
      </w:r>
      <w:r w:rsidRPr="00A90261">
        <w:rPr>
          <w:rFonts w:ascii="Times New Roman" w:hAnsi="Times New Roman"/>
          <w:sz w:val="24"/>
          <w:szCs w:val="24"/>
        </w:rPr>
        <w:t>uant to section 63.11(g</w:t>
      </w:r>
      <w:proofErr w:type="gramStart"/>
      <w:r w:rsidRPr="00A90261">
        <w:rPr>
          <w:rFonts w:ascii="Times New Roman" w:hAnsi="Times New Roman"/>
          <w:sz w:val="24"/>
          <w:szCs w:val="24"/>
        </w:rPr>
        <w:t>)(</w:t>
      </w:r>
      <w:proofErr w:type="gramEnd"/>
      <w:r w:rsidRPr="00A90261">
        <w:rPr>
          <w:rFonts w:ascii="Times New Roman" w:hAnsi="Times New Roman"/>
          <w:sz w:val="24"/>
          <w:szCs w:val="24"/>
        </w:rPr>
        <w:t xml:space="preserve">2) is </w:t>
      </w:r>
      <w:r w:rsidR="00D43535" w:rsidRPr="00A90261">
        <w:rPr>
          <w:rFonts w:ascii="Times New Roman" w:hAnsi="Times New Roman"/>
          <w:sz w:val="24"/>
          <w:szCs w:val="24"/>
        </w:rPr>
        <w:t>also $105,6</w:t>
      </w:r>
      <w:r w:rsidR="0046427A" w:rsidRPr="00A90261">
        <w:rPr>
          <w:rFonts w:ascii="Times New Roman" w:hAnsi="Times New Roman"/>
          <w:sz w:val="24"/>
          <w:szCs w:val="24"/>
        </w:rPr>
        <w:t>00,</w:t>
      </w:r>
      <w:r w:rsidRPr="00473D6B">
        <w:rPr>
          <w:rStyle w:val="FootnoteReference"/>
          <w:rFonts w:ascii="Times New Roman" w:hAnsi="Times New Roman"/>
          <w:sz w:val="24"/>
          <w:szCs w:val="24"/>
        </w:rPr>
        <w:footnoteReference w:id="16"/>
      </w:r>
      <w:r w:rsidRPr="00473D6B">
        <w:rPr>
          <w:rFonts w:ascii="Times New Roman" w:hAnsi="Times New Roman"/>
          <w:sz w:val="24"/>
          <w:szCs w:val="24"/>
        </w:rPr>
        <w:t xml:space="preserve"> </w:t>
      </w:r>
      <w:r w:rsidR="0046427A" w:rsidRPr="00A90261">
        <w:rPr>
          <w:rFonts w:ascii="Times New Roman" w:hAnsi="Times New Roman"/>
          <w:sz w:val="24"/>
          <w:szCs w:val="24"/>
        </w:rPr>
        <w:t xml:space="preserve"> since</w:t>
      </w:r>
      <w:r w:rsidRPr="00A90261">
        <w:rPr>
          <w:rFonts w:ascii="Times New Roman" w:hAnsi="Times New Roman"/>
          <w:sz w:val="24"/>
          <w:szCs w:val="24"/>
        </w:rPr>
        <w:t>, for calculation purposes,</w:t>
      </w:r>
      <w:r w:rsidR="0046427A" w:rsidRPr="00644F93">
        <w:rPr>
          <w:rFonts w:ascii="Times New Roman" w:hAnsi="Times New Roman"/>
          <w:sz w:val="24"/>
          <w:szCs w:val="24"/>
        </w:rPr>
        <w:t xml:space="preserve"> the number o</w:t>
      </w:r>
      <w:r w:rsidR="00A60671" w:rsidRPr="004E152D">
        <w:rPr>
          <w:rFonts w:ascii="Times New Roman" w:hAnsi="Times New Roman"/>
          <w:sz w:val="24"/>
          <w:szCs w:val="24"/>
        </w:rPr>
        <w:t>f reported responses for each rule section</w:t>
      </w:r>
      <w:r w:rsidRPr="004E152D">
        <w:rPr>
          <w:rFonts w:ascii="Times New Roman" w:hAnsi="Times New Roman"/>
          <w:sz w:val="24"/>
          <w:szCs w:val="24"/>
        </w:rPr>
        <w:t xml:space="preserve"> in the chart to Question 12</w:t>
      </w:r>
      <w:r w:rsidR="00A60671" w:rsidRPr="004E152D">
        <w:rPr>
          <w:rFonts w:ascii="Times New Roman" w:hAnsi="Times New Roman"/>
          <w:sz w:val="24"/>
          <w:szCs w:val="24"/>
        </w:rPr>
        <w:t xml:space="preserve"> was 352 responses</w:t>
      </w:r>
      <w:r w:rsidR="00A134C6" w:rsidRPr="004E152D">
        <w:rPr>
          <w:rFonts w:ascii="Times New Roman" w:hAnsi="Times New Roman"/>
          <w:sz w:val="24"/>
          <w:szCs w:val="24"/>
        </w:rPr>
        <w:t>.</w:t>
      </w:r>
      <w:r w:rsidR="0046427A" w:rsidRPr="004E152D">
        <w:rPr>
          <w:rFonts w:ascii="Times New Roman" w:hAnsi="Times New Roman"/>
          <w:sz w:val="24"/>
          <w:szCs w:val="24"/>
        </w:rPr>
        <w:t xml:space="preserve"> </w:t>
      </w:r>
      <w:r w:rsidRPr="004E152D">
        <w:rPr>
          <w:rFonts w:ascii="Times New Roman" w:hAnsi="Times New Roman"/>
          <w:sz w:val="24"/>
          <w:szCs w:val="24"/>
        </w:rPr>
        <w:t xml:space="preserve"> </w:t>
      </w:r>
      <w:r w:rsidR="00E548F2" w:rsidRPr="004E152D">
        <w:rPr>
          <w:rFonts w:ascii="Times New Roman" w:hAnsi="Times New Roman"/>
          <w:sz w:val="24"/>
          <w:szCs w:val="24"/>
        </w:rPr>
        <w:t xml:space="preserve">Thus, the </w:t>
      </w:r>
      <w:r w:rsidR="00565BE7" w:rsidRPr="004E152D">
        <w:rPr>
          <w:rFonts w:ascii="Times New Roman" w:hAnsi="Times New Roman"/>
          <w:sz w:val="24"/>
          <w:szCs w:val="24"/>
        </w:rPr>
        <w:t xml:space="preserve">total </w:t>
      </w:r>
      <w:r w:rsidR="00E548F2" w:rsidRPr="004E152D">
        <w:rPr>
          <w:rFonts w:ascii="Times New Roman" w:hAnsi="Times New Roman"/>
          <w:sz w:val="24"/>
          <w:szCs w:val="24"/>
        </w:rPr>
        <w:t>annu</w:t>
      </w:r>
      <w:r w:rsidR="00565BE7" w:rsidRPr="004E152D">
        <w:rPr>
          <w:rFonts w:ascii="Times New Roman" w:hAnsi="Times New Roman"/>
          <w:sz w:val="24"/>
          <w:szCs w:val="24"/>
        </w:rPr>
        <w:t xml:space="preserve">al cost burden for these two rules </w:t>
      </w:r>
      <w:r w:rsidR="00F75117" w:rsidRPr="004E152D">
        <w:rPr>
          <w:rFonts w:ascii="Times New Roman" w:hAnsi="Times New Roman"/>
          <w:sz w:val="24"/>
          <w:szCs w:val="24"/>
        </w:rPr>
        <w:t xml:space="preserve">in the 2013 Supporting Statement </w:t>
      </w:r>
      <w:proofErr w:type="gramStart"/>
      <w:r w:rsidR="00565BE7" w:rsidRPr="004E152D">
        <w:rPr>
          <w:rFonts w:ascii="Times New Roman" w:hAnsi="Times New Roman"/>
          <w:sz w:val="24"/>
          <w:szCs w:val="24"/>
        </w:rPr>
        <w:t xml:space="preserve">is </w:t>
      </w:r>
      <w:r w:rsidR="00E548F2" w:rsidRPr="004E152D">
        <w:rPr>
          <w:rFonts w:ascii="Times New Roman" w:hAnsi="Times New Roman"/>
          <w:sz w:val="24"/>
          <w:szCs w:val="24"/>
        </w:rPr>
        <w:t xml:space="preserve"> $</w:t>
      </w:r>
      <w:proofErr w:type="gramEnd"/>
      <w:r w:rsidR="00E548F2" w:rsidRPr="004E152D">
        <w:rPr>
          <w:rFonts w:ascii="Times New Roman" w:hAnsi="Times New Roman"/>
          <w:sz w:val="24"/>
          <w:szCs w:val="24"/>
        </w:rPr>
        <w:t>211,200 ($105,600 x 2)</w:t>
      </w:r>
      <w:r w:rsidR="00E548F2" w:rsidRPr="00473D6B">
        <w:rPr>
          <w:rFonts w:ascii="Times New Roman" w:hAnsi="Times New Roman"/>
          <w:sz w:val="24"/>
          <w:szCs w:val="24"/>
        </w:rPr>
        <w:t>.</w:t>
      </w:r>
    </w:p>
    <w:p w:rsidR="00E548F2" w:rsidRPr="00401536" w:rsidRDefault="00E548F2" w:rsidP="00A60671">
      <w:pPr>
        <w:rPr>
          <w:rFonts w:ascii="Times New Roman" w:hAnsi="Times New Roman"/>
          <w:sz w:val="24"/>
          <w:szCs w:val="24"/>
        </w:rPr>
      </w:pPr>
    </w:p>
    <w:p w:rsidR="006A297B" w:rsidRPr="004E152D" w:rsidRDefault="0046427A" w:rsidP="00A60671">
      <w:pPr>
        <w:rPr>
          <w:rFonts w:ascii="Times New Roman" w:hAnsi="Times New Roman"/>
          <w:sz w:val="24"/>
          <w:szCs w:val="24"/>
        </w:rPr>
      </w:pPr>
      <w:r w:rsidRPr="00401536">
        <w:rPr>
          <w:rFonts w:ascii="Times New Roman" w:hAnsi="Times New Roman"/>
          <w:sz w:val="24"/>
          <w:szCs w:val="24"/>
        </w:rPr>
        <w:t>The</w:t>
      </w:r>
      <w:r w:rsidR="005A32B7" w:rsidRPr="00401536">
        <w:rPr>
          <w:rFonts w:ascii="Times New Roman" w:hAnsi="Times New Roman"/>
          <w:sz w:val="24"/>
          <w:szCs w:val="24"/>
        </w:rPr>
        <w:t xml:space="preserve"> significant cost difference between the 2013 and 2014 Supporting Statements </w:t>
      </w:r>
      <w:r w:rsidR="00F75117" w:rsidRPr="004E152D">
        <w:rPr>
          <w:rFonts w:ascii="Times New Roman" w:hAnsi="Times New Roman"/>
          <w:sz w:val="24"/>
          <w:szCs w:val="24"/>
        </w:rPr>
        <w:t>(</w:t>
      </w:r>
      <w:r w:rsidR="005E4B42" w:rsidRPr="004E152D">
        <w:rPr>
          <w:rFonts w:ascii="Times New Roman" w:hAnsi="Times New Roman"/>
          <w:sz w:val="24"/>
          <w:szCs w:val="24"/>
        </w:rPr>
        <w:t>$211,200 – $1,200 =</w:t>
      </w:r>
      <w:r w:rsidR="005E4B42" w:rsidRPr="00473D6B">
        <w:rPr>
          <w:rFonts w:ascii="Times New Roman" w:hAnsi="Times New Roman"/>
          <w:sz w:val="24"/>
          <w:szCs w:val="24"/>
        </w:rPr>
        <w:t xml:space="preserve"> </w:t>
      </w:r>
      <w:r w:rsidR="00F75117" w:rsidRPr="00CD0D92">
        <w:rPr>
          <w:rFonts w:ascii="Times New Roman" w:hAnsi="Times New Roman"/>
          <w:b/>
          <w:sz w:val="24"/>
          <w:szCs w:val="24"/>
        </w:rPr>
        <w:t>$210,000</w:t>
      </w:r>
      <w:r w:rsidR="00F75117" w:rsidRPr="00473D6B">
        <w:rPr>
          <w:rFonts w:ascii="Times New Roman" w:hAnsi="Times New Roman"/>
          <w:sz w:val="24"/>
          <w:szCs w:val="24"/>
        </w:rPr>
        <w:t xml:space="preserve">) </w:t>
      </w:r>
      <w:r w:rsidR="005A32B7" w:rsidRPr="00A90261">
        <w:rPr>
          <w:rFonts w:ascii="Times New Roman" w:hAnsi="Times New Roman"/>
          <w:sz w:val="24"/>
          <w:szCs w:val="24"/>
        </w:rPr>
        <w:t xml:space="preserve">is due to the significant difference in the number of responses reported in those statements.  </w:t>
      </w:r>
      <w:r w:rsidR="00A60671" w:rsidRPr="00644F93">
        <w:rPr>
          <w:rFonts w:ascii="Times New Roman" w:hAnsi="Times New Roman"/>
          <w:sz w:val="24"/>
          <w:szCs w:val="24"/>
        </w:rPr>
        <w:t>The</w:t>
      </w:r>
      <w:r w:rsidR="005A32B7" w:rsidRPr="004E152D">
        <w:rPr>
          <w:rFonts w:ascii="Times New Roman" w:hAnsi="Times New Roman"/>
          <w:sz w:val="24"/>
          <w:szCs w:val="24"/>
        </w:rPr>
        <w:t xml:space="preserve"> </w:t>
      </w:r>
      <w:r w:rsidR="00A60671" w:rsidRPr="004E152D">
        <w:rPr>
          <w:rFonts w:ascii="Times New Roman" w:hAnsi="Times New Roman"/>
          <w:sz w:val="24"/>
          <w:szCs w:val="24"/>
        </w:rPr>
        <w:t>combined number of responses reported in the 2013 Supporting Statement for both rule sections is 704 while the</w:t>
      </w:r>
      <w:r w:rsidR="004C1912" w:rsidRPr="004E152D">
        <w:rPr>
          <w:rFonts w:ascii="Times New Roman" w:hAnsi="Times New Roman"/>
          <w:sz w:val="24"/>
          <w:szCs w:val="24"/>
        </w:rPr>
        <w:t xml:space="preserve"> combined number of responses reported in the</w:t>
      </w:r>
      <w:r w:rsidR="00A60671" w:rsidRPr="004E152D">
        <w:rPr>
          <w:rFonts w:ascii="Times New Roman" w:hAnsi="Times New Roman"/>
          <w:sz w:val="24"/>
          <w:szCs w:val="24"/>
        </w:rPr>
        <w:t xml:space="preserve"> 2014 Supporting Statement </w:t>
      </w:r>
      <w:r w:rsidR="004C1912" w:rsidRPr="004E152D">
        <w:rPr>
          <w:rFonts w:ascii="Times New Roman" w:hAnsi="Times New Roman"/>
          <w:sz w:val="24"/>
          <w:szCs w:val="24"/>
        </w:rPr>
        <w:t>is</w:t>
      </w:r>
      <w:r w:rsidR="00A60671" w:rsidRPr="004E152D">
        <w:rPr>
          <w:rFonts w:ascii="Times New Roman" w:hAnsi="Times New Roman"/>
          <w:sz w:val="24"/>
          <w:szCs w:val="24"/>
        </w:rPr>
        <w:t xml:space="preserve"> two</w:t>
      </w:r>
      <w:r w:rsidR="004C1912" w:rsidRPr="004E152D">
        <w:rPr>
          <w:rFonts w:ascii="Times New Roman" w:hAnsi="Times New Roman"/>
          <w:sz w:val="24"/>
          <w:szCs w:val="24"/>
        </w:rPr>
        <w:t>.</w:t>
      </w:r>
      <w:r w:rsidR="00A60671" w:rsidRPr="004E152D">
        <w:rPr>
          <w:rFonts w:ascii="Times New Roman" w:hAnsi="Times New Roman"/>
          <w:sz w:val="24"/>
          <w:szCs w:val="24"/>
        </w:rPr>
        <w:t xml:space="preserve">  As discussed above, IB staff that prepared the 2014 Supporting Statement relied on data contained in the IBFS database, and supplemented that data, when necessary, with conversations with IB staff responsible for reviewing and processing filings for rule sections contained in the Question 12 chart to ensure that accurate filing and cost support data is being used for purposes of the Paperwork Reduction Act. </w:t>
      </w:r>
      <w:r w:rsidR="004C1912" w:rsidRPr="004E152D">
        <w:rPr>
          <w:rFonts w:ascii="Times New Roman" w:hAnsi="Times New Roman"/>
          <w:sz w:val="24"/>
          <w:szCs w:val="24"/>
        </w:rPr>
        <w:t xml:space="preserve"> As explained above, </w:t>
      </w:r>
      <w:r w:rsidR="00A60671" w:rsidRPr="004E152D">
        <w:rPr>
          <w:rFonts w:ascii="Times New Roman" w:hAnsi="Times New Roman"/>
          <w:sz w:val="24"/>
          <w:szCs w:val="24"/>
        </w:rPr>
        <w:t>it is not clear how the response numbers reported in the 2013 Statement were derived</w:t>
      </w:r>
      <w:r w:rsidR="00E548F2" w:rsidRPr="004E152D">
        <w:rPr>
          <w:rFonts w:ascii="Times New Roman" w:hAnsi="Times New Roman"/>
          <w:sz w:val="24"/>
          <w:szCs w:val="24"/>
        </w:rPr>
        <w:t>.</w:t>
      </w:r>
    </w:p>
    <w:p w:rsidR="006A297B" w:rsidRPr="004E152D" w:rsidRDefault="006A297B" w:rsidP="00A60671">
      <w:pPr>
        <w:rPr>
          <w:rFonts w:ascii="Times New Roman" w:hAnsi="Times New Roman"/>
          <w:sz w:val="24"/>
          <w:szCs w:val="24"/>
        </w:rPr>
      </w:pPr>
    </w:p>
    <w:p w:rsidR="00227A7A" w:rsidRPr="004E152D" w:rsidRDefault="00A60671" w:rsidP="0046427A">
      <w:pPr>
        <w:rPr>
          <w:rFonts w:ascii="Times New Roman" w:hAnsi="Times New Roman"/>
          <w:sz w:val="24"/>
          <w:szCs w:val="24"/>
        </w:rPr>
      </w:pPr>
      <w:r w:rsidRPr="004E152D">
        <w:rPr>
          <w:rFonts w:ascii="Times New Roman" w:hAnsi="Times New Roman"/>
          <w:sz w:val="24"/>
          <w:szCs w:val="24"/>
        </w:rPr>
        <w:t xml:space="preserve">The Commission considers the significant changes in the 2014 Supporting Statement to be a one-time adjustment, with future supporting statements that more accurately reflect annualized costs based on creditable supporting data.  </w:t>
      </w:r>
      <w:r w:rsidR="0046427A" w:rsidRPr="004E152D">
        <w:rPr>
          <w:rFonts w:ascii="Times New Roman" w:hAnsi="Times New Roman"/>
          <w:sz w:val="24"/>
          <w:szCs w:val="24"/>
        </w:rPr>
        <w:t>While the Commission cannot project exactly how many foreign carriers, or affiliates of forei</w:t>
      </w:r>
      <w:r w:rsidR="006A297B" w:rsidRPr="004E152D">
        <w:rPr>
          <w:rFonts w:ascii="Times New Roman" w:hAnsi="Times New Roman"/>
          <w:sz w:val="24"/>
          <w:szCs w:val="24"/>
        </w:rPr>
        <w:t>gn carriers from</w:t>
      </w:r>
      <w:r w:rsidR="0046427A" w:rsidRPr="004E152D">
        <w:rPr>
          <w:rFonts w:ascii="Times New Roman" w:hAnsi="Times New Roman"/>
          <w:sz w:val="24"/>
          <w:szCs w:val="24"/>
        </w:rPr>
        <w:t xml:space="preserve"> non-WTO Member countries, may in the future seek entry into the U.S. telecommunications market, there is nothing in the record to suggest that there will be significantly more than one filing per year.  Moreover, under the Commission’s modified rules, if additional information is required to be collected from an applicant, the Commission will take steps, if necessary, to modify this supporting statement to </w:t>
      </w:r>
      <w:r w:rsidR="0046427A" w:rsidRPr="004E152D">
        <w:rPr>
          <w:rFonts w:ascii="Times New Roman" w:hAnsi="Times New Roman"/>
          <w:sz w:val="24"/>
          <w:szCs w:val="24"/>
        </w:rPr>
        <w:lastRenderedPageBreak/>
        <w:t xml:space="preserve">reflect either an increase or decrease in burden hours and costs that apply to respondents and Commission staff. </w:t>
      </w:r>
    </w:p>
    <w:p w:rsidR="002279CE" w:rsidRPr="004E152D" w:rsidRDefault="002279CE" w:rsidP="00514F5B">
      <w:pPr>
        <w:tabs>
          <w:tab w:val="left" w:pos="-1440"/>
          <w:tab w:val="left" w:pos="-720"/>
          <w:tab w:val="left" w:pos="0"/>
          <w:tab w:val="left" w:pos="720"/>
          <w:tab w:val="left" w:pos="1440"/>
          <w:tab w:val="left" w:pos="2160"/>
          <w:tab w:val="left" w:pos="2880"/>
          <w:tab w:val="left" w:pos="6660"/>
          <w:tab w:val="decimal" w:pos="7920"/>
        </w:tabs>
        <w:suppressAutoHyphens/>
        <w:rPr>
          <w:rFonts w:ascii="Times New Roman" w:hAnsi="Times New Roman"/>
          <w:sz w:val="24"/>
          <w:szCs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16.</w:t>
      </w:r>
      <w:r w:rsidR="00F32DF2" w:rsidRPr="004E152D">
        <w:rPr>
          <w:rFonts w:ascii="Times New Roman" w:hAnsi="Times New Roman"/>
          <w:sz w:val="24"/>
        </w:rPr>
        <w:t xml:space="preserve">     </w:t>
      </w:r>
      <w:r w:rsidR="00CD732D" w:rsidRPr="004E152D">
        <w:rPr>
          <w:rFonts w:ascii="Times New Roman" w:hAnsi="Times New Roman"/>
          <w:sz w:val="24"/>
        </w:rPr>
        <w:t xml:space="preserve"> </w:t>
      </w:r>
      <w:r w:rsidR="00DB5851" w:rsidRPr="004E152D">
        <w:rPr>
          <w:rFonts w:ascii="Times New Roman" w:hAnsi="Times New Roman"/>
          <w:sz w:val="24"/>
        </w:rPr>
        <w:t xml:space="preserve">The Commission does not plan to publish the information for statistical use. </w:t>
      </w:r>
    </w:p>
    <w:p w:rsidR="00DB5851" w:rsidRPr="004E152D" w:rsidRDefault="00DB5851">
      <w:pPr>
        <w:tabs>
          <w:tab w:val="left" w:pos="0"/>
        </w:tabs>
        <w:suppressAutoHyphens/>
        <w:rPr>
          <w:rFonts w:ascii="Times New Roman" w:hAnsi="Times New Roman"/>
          <w:sz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17.</w:t>
      </w:r>
      <w:r w:rsidR="00F32DF2" w:rsidRPr="004E152D">
        <w:rPr>
          <w:rFonts w:ascii="Times New Roman" w:hAnsi="Times New Roman"/>
          <w:sz w:val="24"/>
        </w:rPr>
        <w:t xml:space="preserve"> </w:t>
      </w:r>
      <w:r w:rsidR="00CD732D" w:rsidRPr="004E152D">
        <w:rPr>
          <w:rFonts w:ascii="Times New Roman" w:hAnsi="Times New Roman"/>
          <w:sz w:val="24"/>
        </w:rPr>
        <w:tab/>
      </w:r>
      <w:r w:rsidR="006A297B" w:rsidRPr="004E152D">
        <w:rPr>
          <w:rFonts w:ascii="Times New Roman" w:hAnsi="Times New Roman"/>
          <w:sz w:val="24"/>
        </w:rPr>
        <w:t>No waiver of the OMB expiration date is necessary.</w:t>
      </w:r>
    </w:p>
    <w:p w:rsidR="00DB5851" w:rsidRPr="004E152D" w:rsidRDefault="00DB5851">
      <w:pPr>
        <w:tabs>
          <w:tab w:val="left" w:pos="0"/>
        </w:tabs>
        <w:suppressAutoHyphens/>
        <w:rPr>
          <w:rFonts w:ascii="Times New Roman" w:hAnsi="Times New Roman"/>
          <w:sz w:val="24"/>
        </w:rPr>
      </w:pPr>
    </w:p>
    <w:p w:rsidR="00966364" w:rsidRPr="004E152D" w:rsidRDefault="00F32DF2" w:rsidP="00966364">
      <w:pPr>
        <w:suppressAutoHyphens/>
        <w:rPr>
          <w:rFonts w:ascii="Times New Roman" w:hAnsi="Times New Roman"/>
          <w:sz w:val="24"/>
          <w:szCs w:val="24"/>
        </w:rPr>
      </w:pPr>
      <w:r w:rsidRPr="004E152D">
        <w:rPr>
          <w:rFonts w:ascii="Times New Roman" w:hAnsi="Times New Roman"/>
          <w:sz w:val="24"/>
          <w:szCs w:val="24"/>
        </w:rPr>
        <w:t xml:space="preserve">18.    </w:t>
      </w:r>
      <w:r w:rsidR="003F7A38" w:rsidRPr="004E152D">
        <w:rPr>
          <w:rFonts w:ascii="Times New Roman" w:hAnsi="Times New Roman"/>
          <w:sz w:val="24"/>
          <w:szCs w:val="24"/>
        </w:rPr>
        <w:t xml:space="preserve"> </w:t>
      </w:r>
      <w:r w:rsidR="00CD732D" w:rsidRPr="004E152D">
        <w:rPr>
          <w:rFonts w:ascii="Times New Roman" w:hAnsi="Times New Roman"/>
          <w:sz w:val="24"/>
          <w:szCs w:val="24"/>
        </w:rPr>
        <w:t xml:space="preserve"> </w:t>
      </w:r>
      <w:r w:rsidR="00E44A09" w:rsidRPr="004E152D">
        <w:rPr>
          <w:rFonts w:ascii="Times New Roman" w:hAnsi="Times New Roman"/>
          <w:sz w:val="24"/>
          <w:szCs w:val="24"/>
        </w:rPr>
        <w:t>There are no exceptions to the certification statement.</w:t>
      </w:r>
    </w:p>
    <w:p w:rsidR="0096123A" w:rsidRPr="004E152D" w:rsidRDefault="0096123A" w:rsidP="00966364">
      <w:pPr>
        <w:suppressAutoHyphens/>
        <w:rPr>
          <w:rFonts w:ascii="Times New Roman" w:hAnsi="Times New Roman"/>
          <w:sz w:val="24"/>
        </w:rPr>
      </w:pPr>
    </w:p>
    <w:p w:rsidR="00DB5851" w:rsidRPr="004E152D" w:rsidRDefault="00DB5851">
      <w:pPr>
        <w:tabs>
          <w:tab w:val="left" w:pos="0"/>
        </w:tabs>
        <w:suppressAutoHyphens/>
        <w:rPr>
          <w:rFonts w:ascii="Times New Roman" w:hAnsi="Times New Roman"/>
          <w:sz w:val="24"/>
          <w:u w:val="single"/>
        </w:rPr>
      </w:pPr>
      <w:r w:rsidRPr="004E152D">
        <w:rPr>
          <w:rFonts w:ascii="Times New Roman" w:hAnsi="Times New Roman"/>
          <w:b/>
          <w:sz w:val="24"/>
          <w:u w:val="single"/>
        </w:rPr>
        <w:t>B.  Collections of Information Employing Statistical Methods</w:t>
      </w:r>
      <w:r w:rsidR="0008393C" w:rsidRPr="004E152D">
        <w:rPr>
          <w:rFonts w:ascii="Times New Roman" w:hAnsi="Times New Roman"/>
          <w:b/>
          <w:sz w:val="24"/>
          <w:u w:val="single"/>
        </w:rPr>
        <w:t>:</w:t>
      </w:r>
    </w:p>
    <w:p w:rsidR="00DB5851" w:rsidRPr="004E152D" w:rsidRDefault="00DB5851">
      <w:pPr>
        <w:tabs>
          <w:tab w:val="left" w:pos="0"/>
        </w:tabs>
        <w:suppressAutoHyphens/>
        <w:rPr>
          <w:rFonts w:ascii="Times New Roman" w:hAnsi="Times New Roman"/>
          <w:sz w:val="24"/>
        </w:rPr>
      </w:pPr>
    </w:p>
    <w:p w:rsidR="00DB5851" w:rsidRDefault="00DB5851">
      <w:pPr>
        <w:tabs>
          <w:tab w:val="left" w:pos="0"/>
        </w:tabs>
        <w:suppressAutoHyphens/>
        <w:rPr>
          <w:rFonts w:ascii="Times New Roman" w:hAnsi="Times New Roman"/>
          <w:sz w:val="24"/>
        </w:rPr>
      </w:pPr>
      <w:r w:rsidRPr="004E152D">
        <w:rPr>
          <w:rFonts w:ascii="Times New Roman" w:hAnsi="Times New Roman"/>
          <w:sz w:val="24"/>
        </w:rPr>
        <w:t>This information collection does not employ statistical sampling.</w:t>
      </w:r>
    </w:p>
    <w:p w:rsidR="0075371B" w:rsidRDefault="0075371B">
      <w:pPr>
        <w:tabs>
          <w:tab w:val="left" w:pos="0"/>
        </w:tabs>
        <w:suppressAutoHyphens/>
        <w:rPr>
          <w:rFonts w:ascii="Times New Roman" w:hAnsi="Times New Roman"/>
          <w:sz w:val="24"/>
        </w:rPr>
      </w:pPr>
    </w:p>
    <w:sectPr w:rsidR="0075371B" w:rsidSect="003816AF">
      <w:headerReference w:type="default" r:id="rId10"/>
      <w:footerReference w:type="default" r:id="rId11"/>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1A" w:rsidRDefault="00A25C1A">
      <w:pPr>
        <w:spacing w:line="20" w:lineRule="exact"/>
        <w:rPr>
          <w:sz w:val="24"/>
        </w:rPr>
      </w:pPr>
    </w:p>
  </w:endnote>
  <w:endnote w:type="continuationSeparator" w:id="0">
    <w:p w:rsidR="00A25C1A" w:rsidRDefault="00A25C1A">
      <w:r>
        <w:rPr>
          <w:sz w:val="24"/>
        </w:rPr>
        <w:t xml:space="preserve"> </w:t>
      </w:r>
    </w:p>
  </w:endnote>
  <w:endnote w:type="continuationNotice" w:id="1">
    <w:p w:rsidR="00A25C1A" w:rsidRDefault="00A25C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92" w:rsidRDefault="00CD0D92">
    <w:pPr>
      <w:spacing w:before="140" w:line="100" w:lineRule="exact"/>
      <w:rPr>
        <w:sz w:val="10"/>
      </w:rPr>
    </w:pPr>
  </w:p>
  <w:p w:rsidR="00CD0D92" w:rsidRDefault="00CD0D92">
    <w:pPr>
      <w:tabs>
        <w:tab w:val="left" w:pos="-720"/>
      </w:tabs>
      <w:suppressAutoHyphens/>
      <w:jc w:val="center"/>
      <w:rPr>
        <w:sz w:val="24"/>
      </w:rPr>
    </w:pPr>
  </w:p>
  <w:p w:rsidR="00CD0D92" w:rsidRDefault="00CD0D9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5B1017C" wp14:editId="3292BEB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D0D92" w:rsidRPr="00D22B32" w:rsidRDefault="00CD0D92">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7813D3">
                            <w:rPr>
                              <w:rFonts w:ascii="Times New Roman" w:hAnsi="Times New Roman"/>
                              <w:noProof/>
                              <w:sz w:val="24"/>
                              <w:szCs w:val="24"/>
                            </w:rPr>
                            <w:t>24</w:t>
                          </w:r>
                          <w:r w:rsidRPr="00D22B32">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CD0D92" w:rsidRPr="00D22B32" w:rsidRDefault="00CD0D92">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7813D3">
                      <w:rPr>
                        <w:rFonts w:ascii="Times New Roman" w:hAnsi="Times New Roman"/>
                        <w:noProof/>
                        <w:sz w:val="24"/>
                        <w:szCs w:val="24"/>
                      </w:rPr>
                      <w:t>24</w:t>
                    </w:r>
                    <w:r w:rsidRPr="00D22B32">
                      <w:rPr>
                        <w:rFonts w:ascii="Times New Roman" w:hAnsi="Times New Roman"/>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1A" w:rsidRDefault="00A25C1A">
      <w:r>
        <w:rPr>
          <w:sz w:val="24"/>
        </w:rPr>
        <w:separator/>
      </w:r>
    </w:p>
  </w:footnote>
  <w:footnote w:type="continuationSeparator" w:id="0">
    <w:p w:rsidR="00A25C1A" w:rsidRPr="00F46ADC" w:rsidRDefault="00A25C1A" w:rsidP="00F46ADC">
      <w:pPr>
        <w:spacing w:before="120"/>
        <w:rPr>
          <w:rFonts w:ascii="Times New Roman" w:hAnsi="Times New Roman"/>
          <w:kern w:val="28"/>
        </w:rPr>
      </w:pPr>
      <w:r w:rsidRPr="00F46ADC">
        <w:rPr>
          <w:rFonts w:ascii="Times New Roman" w:hAnsi="Times New Roman"/>
          <w:kern w:val="28"/>
        </w:rPr>
        <w:t xml:space="preserve">(Continued from previous page)  </w:t>
      </w:r>
      <w:r w:rsidRPr="00F46ADC">
        <w:rPr>
          <w:rFonts w:ascii="Times New Roman" w:hAnsi="Times New Roman"/>
          <w:kern w:val="28"/>
        </w:rPr>
        <w:separator/>
      </w:r>
    </w:p>
    <w:p w:rsidR="00A25C1A" w:rsidRDefault="00A25C1A"/>
  </w:footnote>
  <w:footnote w:type="continuationNotice" w:id="1">
    <w:p w:rsidR="00A25C1A" w:rsidRPr="005A6147" w:rsidRDefault="00A25C1A" w:rsidP="005A6147">
      <w:pPr>
        <w:jc w:val="right"/>
        <w:rPr>
          <w:rFonts w:ascii="Times New Roman" w:hAnsi="Times New Roman"/>
          <w:kern w:val="28"/>
        </w:rPr>
      </w:pPr>
      <w:r w:rsidRPr="005A6147">
        <w:rPr>
          <w:rFonts w:ascii="Times New Roman" w:hAnsi="Times New Roman"/>
          <w:kern w:val="28"/>
        </w:rPr>
        <w:t>(</w:t>
      </w:r>
      <w:proofErr w:type="gramStart"/>
      <w:r w:rsidRPr="005A6147">
        <w:rPr>
          <w:rFonts w:ascii="Times New Roman" w:hAnsi="Times New Roman"/>
          <w:kern w:val="28"/>
        </w:rPr>
        <w:t>continued</w:t>
      </w:r>
      <w:proofErr w:type="gramEnd"/>
      <w:r w:rsidRPr="005A6147">
        <w:rPr>
          <w:rFonts w:ascii="Times New Roman" w:hAnsi="Times New Roman"/>
          <w:kern w:val="28"/>
        </w:rPr>
        <w:t>….)</w:t>
      </w:r>
    </w:p>
    <w:p w:rsidR="00A25C1A" w:rsidRDefault="00A25C1A"/>
  </w:footnote>
  <w:footnote w:id="2">
    <w:p w:rsidR="00CD0D92" w:rsidRPr="005A7DE7" w:rsidRDefault="00CD0D92" w:rsidP="005A7DE7">
      <w:pPr>
        <w:pStyle w:val="FootnoteText"/>
        <w:rPr>
          <w:rFonts w:ascii="Times New Roman" w:hAnsi="Times New Roman"/>
          <w:sz w:val="20"/>
        </w:rPr>
      </w:pPr>
      <w:r w:rsidRPr="005A7DE7">
        <w:rPr>
          <w:rStyle w:val="FootnoteReference"/>
          <w:rFonts w:ascii="Times New Roman" w:hAnsi="Times New Roman"/>
          <w:sz w:val="20"/>
        </w:rPr>
        <w:footnoteRef/>
      </w:r>
      <w:r w:rsidRPr="005A7DE7">
        <w:rPr>
          <w:rFonts w:ascii="Times New Roman" w:hAnsi="Times New Roman"/>
          <w:sz w:val="20"/>
        </w:rPr>
        <w:t xml:space="preserve"> NOTE TO PARAGRAPH (g</w:t>
      </w:r>
      <w:proofErr w:type="gramStart"/>
      <w:r w:rsidRPr="005A7DE7">
        <w:rPr>
          <w:rFonts w:ascii="Times New Roman" w:hAnsi="Times New Roman"/>
          <w:sz w:val="20"/>
        </w:rPr>
        <w:t>)(</w:t>
      </w:r>
      <w:proofErr w:type="gramEnd"/>
      <w:r w:rsidRPr="005A7DE7">
        <w:rPr>
          <w:rFonts w:ascii="Times New Roman" w:hAnsi="Times New Roman"/>
          <w:sz w:val="20"/>
        </w:rPr>
        <w:t>2):  Under §63.10(a), the Commission presumes, subject to rebuttal, that a foreign carrier lacks market power in a particular foreign country if the applicant demonstrates that the foreign carrier lacks 50 percent market share in international transport facilities or services, including cable landing station access and backhaul facilities, intercity facilities or services, and local access facilities or services on the foreign end of a particular route.</w:t>
      </w:r>
    </w:p>
    <w:p w:rsidR="00CD0D92" w:rsidRDefault="00CD0D92">
      <w:pPr>
        <w:pStyle w:val="FootnoteText"/>
      </w:pPr>
    </w:p>
  </w:footnote>
  <w:footnote w:id="3">
    <w:p w:rsidR="00CD0D92" w:rsidRPr="00C86E73" w:rsidRDefault="00CD0D92">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World Trade Organization (WTO) is a global international organization dealing with the rules of trade between nations, including commitments by member countries to facilitate trade in basic telecommunications services and other pro-competitive regulatory principles.  See </w:t>
      </w:r>
      <w:hyperlink r:id="rId1" w:history="1">
        <w:r w:rsidRPr="005C4032">
          <w:rPr>
            <w:rStyle w:val="Hyperlink"/>
            <w:rFonts w:ascii="Times New Roman" w:hAnsi="Times New Roman"/>
            <w:sz w:val="20"/>
          </w:rPr>
          <w:t>http://wto.org/english/thewto_e/whatis_e/tif_e/org6_e.htm</w:t>
        </w:r>
      </w:hyperlink>
      <w:r>
        <w:rPr>
          <w:rFonts w:ascii="Times New Roman" w:hAnsi="Times New Roman"/>
          <w:sz w:val="20"/>
        </w:rPr>
        <w:t xml:space="preserve">.  There are currently 160 WTO Member countries, and the remaining countries that have not opened up their markets pursuant to WTO accords collectively represent only about one percent of the world’s gross domestic product. </w:t>
      </w:r>
    </w:p>
  </w:footnote>
  <w:footnote w:id="4">
    <w:p w:rsidR="00CD0D92" w:rsidRPr="005A7DE7" w:rsidRDefault="00CD0D92" w:rsidP="005A7DE7">
      <w:pPr>
        <w:pStyle w:val="FootnoteText"/>
        <w:rPr>
          <w:rFonts w:ascii="Times New Roman" w:hAnsi="Times New Roman"/>
          <w:sz w:val="20"/>
        </w:rPr>
      </w:pPr>
      <w:r w:rsidRPr="005A7DE7">
        <w:rPr>
          <w:rStyle w:val="FootnoteReference"/>
          <w:rFonts w:ascii="Times New Roman" w:hAnsi="Times New Roman"/>
          <w:sz w:val="20"/>
        </w:rPr>
        <w:footnoteRef/>
      </w:r>
      <w:r w:rsidRPr="005A7DE7">
        <w:rPr>
          <w:rFonts w:ascii="Times New Roman" w:hAnsi="Times New Roman"/>
          <w:sz w:val="20"/>
        </w:rPr>
        <w:t xml:space="preserve"> NOTE TO PARAGRAPH (k):  Under §63.10(a), the Commission presumes, subject to rebuttal, that a foreign carrier lacks market power in a particular foreign country if the applicant demonstrates that the foreign carrier lacks 50 percent market share in international transport facilities or services, including cable landing station access and backhaul facilities, intercity facilities or services, and local access facilities or services on the foreign end of a particular route.</w:t>
      </w:r>
    </w:p>
    <w:p w:rsidR="00CD0D92" w:rsidRDefault="00CD0D92">
      <w:pPr>
        <w:pStyle w:val="FootnoteText"/>
      </w:pPr>
    </w:p>
  </w:footnote>
  <w:footnote w:id="5">
    <w:p w:rsidR="00CD0D92" w:rsidRPr="007C3032" w:rsidRDefault="00CD0D92" w:rsidP="0045540B">
      <w:pPr>
        <w:suppressAutoHyphens/>
        <w:rPr>
          <w:rFonts w:ascii="Times New Roman" w:hAnsi="Times New Roman"/>
          <w:u w:val="single"/>
        </w:rPr>
      </w:pPr>
      <w:r>
        <w:rPr>
          <w:rStyle w:val="FootnoteReference"/>
        </w:rPr>
        <w:footnoteRef/>
      </w:r>
      <w:r>
        <w:t xml:space="preserve"> </w:t>
      </w:r>
      <w:r w:rsidRPr="007C3032">
        <w:rPr>
          <w:rFonts w:ascii="Times New Roman" w:hAnsi="Times New Roman"/>
        </w:rPr>
        <w:t xml:space="preserve">The International E-Filing R&amp;O (FCC 05-91) eliminated paper filings by requiring applicants to file electronically all applications and other filings related to international telecommunications services via the user-friendly, Internet-based electronic filing system called the International Bureau Filing System (IBFS).  </w:t>
      </w:r>
      <w:r w:rsidRPr="00E34B43">
        <w:rPr>
          <w:rFonts w:ascii="Times New Roman" w:hAnsi="Times New Roman"/>
        </w:rPr>
        <w:t xml:space="preserve">We would like to maintain OMB approval for mandatory electronic filing of all Section 214-related applications and filings </w:t>
      </w:r>
      <w:r w:rsidRPr="00E34B43">
        <w:rPr>
          <w:rFonts w:ascii="Times New Roman" w:hAnsi="Times New Roman"/>
          <w:iCs/>
        </w:rPr>
        <w:t>pursuant to 47 CFR Sections 1.1000 through 1.0018, 63.11(j), 63.18(q), 63.19(d), 63.20, 63.21(j) and 63.53</w:t>
      </w:r>
      <w:r w:rsidRPr="00E34B43">
        <w:rPr>
          <w:rFonts w:ascii="Times New Roman" w:hAnsi="Times New Roman"/>
        </w:rPr>
        <w:t xml:space="preserve">, including currently existing applications and applications </w:t>
      </w:r>
      <w:r>
        <w:rPr>
          <w:rFonts w:ascii="Times New Roman" w:hAnsi="Times New Roman"/>
        </w:rPr>
        <w:t xml:space="preserve">that are </w:t>
      </w:r>
      <w:r w:rsidRPr="00E34B43">
        <w:rPr>
          <w:rFonts w:ascii="Times New Roman" w:hAnsi="Times New Roman"/>
        </w:rPr>
        <w:t>pending development by the Commission.</w:t>
      </w:r>
      <w:r w:rsidRPr="007C3032">
        <w:rPr>
          <w:rFonts w:ascii="Times New Roman" w:hAnsi="Times New Roman"/>
        </w:rPr>
        <w:t xml:space="preserve">  </w:t>
      </w:r>
    </w:p>
    <w:p w:rsidR="00CD0D92" w:rsidRPr="007C3032" w:rsidRDefault="00CD0D92">
      <w:pPr>
        <w:pStyle w:val="FootnoteText"/>
        <w:rPr>
          <w:rFonts w:ascii="Times New Roman" w:hAnsi="Times New Roman"/>
          <w:sz w:val="20"/>
        </w:rPr>
      </w:pPr>
    </w:p>
  </w:footnote>
  <w:footnote w:id="6">
    <w:p w:rsidR="00CD0D92" w:rsidRPr="00C86E73" w:rsidRDefault="00CD0D92">
      <w:pPr>
        <w:pStyle w:val="FootnoteText"/>
        <w:rPr>
          <w:rFonts w:ascii="Times New Roman" w:hAnsi="Times New Roman"/>
          <w:sz w:val="20"/>
        </w:rPr>
      </w:pPr>
      <w:r>
        <w:rPr>
          <w:rStyle w:val="FootnoteReference"/>
        </w:rPr>
        <w:footnoteRef/>
      </w:r>
      <w:r>
        <w:rPr>
          <w:rFonts w:ascii="Times New Roman" w:hAnsi="Times New Roman"/>
          <w:sz w:val="20"/>
        </w:rPr>
        <w:t xml:space="preserve">  Of the following rule categories and respondents within those categories, over 50 percent of the total respondents are either filing for an initial section 214 authorization or for a transfer of control or assignment of a section 214 authorization</w:t>
      </w:r>
      <w:r w:rsidRPr="00473D6B">
        <w:rPr>
          <w:rFonts w:ascii="Times New Roman" w:hAnsi="Times New Roman"/>
          <w:sz w:val="20"/>
        </w:rPr>
        <w:t xml:space="preserve">:  </w:t>
      </w:r>
      <w:r w:rsidRPr="004E152D">
        <w:rPr>
          <w:rFonts w:ascii="Times New Roman" w:hAnsi="Times New Roman"/>
          <w:sz w:val="20"/>
        </w:rPr>
        <w:t xml:space="preserve"> Section 310(b) petitions (10); Section 63.10(a)(4) notifications (1); Section 63.10(c) reports (20); Section 63.11 notifications (9); Section 63.13 requests (3); Section 63.18</w:t>
      </w:r>
      <w:r>
        <w:rPr>
          <w:rFonts w:ascii="Times New Roman" w:hAnsi="Times New Roman"/>
          <w:sz w:val="20"/>
        </w:rPr>
        <w:t xml:space="preserve"> </w:t>
      </w:r>
      <w:r w:rsidRPr="00CD0D92">
        <w:rPr>
          <w:rFonts w:ascii="Times New Roman" w:hAnsi="Times New Roman"/>
          <w:sz w:val="20"/>
        </w:rPr>
        <w:t>applications for facilities-based, resale and other 214 authority) (180); Section 63.19 notifications (7); Section 63.21(a</w:t>
      </w:r>
      <w:r w:rsidRPr="004E152D">
        <w:rPr>
          <w:rFonts w:ascii="Times New Roman" w:hAnsi="Times New Roman"/>
          <w:sz w:val="20"/>
        </w:rPr>
        <w:t>) notifications (1); Section 63.21(</w:t>
      </w:r>
      <w:r>
        <w:rPr>
          <w:rFonts w:ascii="Times New Roman" w:hAnsi="Times New Roman"/>
          <w:sz w:val="20"/>
        </w:rPr>
        <w:t>e)</w:t>
      </w:r>
      <w:r w:rsidRPr="004E152D">
        <w:rPr>
          <w:rFonts w:ascii="Times New Roman" w:hAnsi="Times New Roman"/>
          <w:sz w:val="20"/>
        </w:rPr>
        <w:t>, (f) third party disclosures (20); Section 63.21(h) subsidiary notifications (20); Section 63.21(</w:t>
      </w:r>
      <w:proofErr w:type="spellStart"/>
      <w:r w:rsidRPr="004E152D">
        <w:rPr>
          <w:rFonts w:ascii="Times New Roman" w:hAnsi="Times New Roman"/>
          <w:sz w:val="20"/>
        </w:rPr>
        <w:t>i</w:t>
      </w:r>
      <w:proofErr w:type="spellEnd"/>
      <w:r w:rsidRPr="004E152D">
        <w:rPr>
          <w:rFonts w:ascii="Times New Roman" w:hAnsi="Times New Roman"/>
          <w:sz w:val="20"/>
        </w:rPr>
        <w:t xml:space="preserve">) name change notifications (25); Section 63.24(e)(1), </w:t>
      </w:r>
      <w:r>
        <w:rPr>
          <w:rFonts w:ascii="Times New Roman" w:hAnsi="Times New Roman"/>
          <w:sz w:val="20"/>
        </w:rPr>
        <w:t>(</w:t>
      </w:r>
      <w:r w:rsidRPr="004E152D">
        <w:rPr>
          <w:rFonts w:ascii="Times New Roman" w:hAnsi="Times New Roman"/>
          <w:sz w:val="20"/>
        </w:rPr>
        <w:t>e)(2) substantial transfers of control and assignments (83);</w:t>
      </w:r>
      <w:r>
        <w:rPr>
          <w:rFonts w:ascii="Times New Roman" w:hAnsi="Times New Roman"/>
          <w:sz w:val="20"/>
        </w:rPr>
        <w:t xml:space="preserve"> </w:t>
      </w:r>
      <w:r w:rsidRPr="004E152D">
        <w:rPr>
          <w:rFonts w:ascii="Times New Roman" w:hAnsi="Times New Roman"/>
          <w:sz w:val="20"/>
        </w:rPr>
        <w:t xml:space="preserve">Section </w:t>
      </w:r>
      <w:r>
        <w:rPr>
          <w:rFonts w:ascii="Times New Roman" w:hAnsi="Times New Roman"/>
          <w:sz w:val="20"/>
        </w:rPr>
        <w:t>63.24</w:t>
      </w:r>
      <w:r w:rsidRPr="004E152D">
        <w:rPr>
          <w:rFonts w:ascii="Times New Roman" w:hAnsi="Times New Roman"/>
          <w:sz w:val="20"/>
        </w:rPr>
        <w:t>(f)(2) pro forma transfers of control and assignments (87); and Section 63.25 requests for temporary authority (29).  The number of respondents reported in the 2013 Supporting Statement is 1,670 respondents.  Since the 2013 Supporting Statement is based on the same fiscal period as this statement, and the data recorded in the IBFS database for those years has remained the same, IB staff believes that the annualized number of respondents reported in the 2013 Supporting Statement is erroneous and not based on actual data.</w:t>
      </w:r>
      <w:r>
        <w:rPr>
          <w:rFonts w:ascii="Times New Roman" w:hAnsi="Times New Roman"/>
          <w:sz w:val="20"/>
        </w:rPr>
        <w:t xml:space="preserve"> </w:t>
      </w:r>
    </w:p>
  </w:footnote>
  <w:footnote w:id="7">
    <w:p w:rsidR="00CD0D92" w:rsidRPr="00DA3A16" w:rsidRDefault="00CD0D92" w:rsidP="00505819">
      <w:pPr>
        <w:pStyle w:val="FootnoteText"/>
        <w:rPr>
          <w:rFonts w:ascii="Times New Roman" w:hAnsi="Times New Roman"/>
          <w:sz w:val="20"/>
        </w:rPr>
      </w:pPr>
      <w:r w:rsidRPr="00DA3A16">
        <w:rPr>
          <w:rStyle w:val="FootnoteReference"/>
          <w:rFonts w:ascii="Times New Roman" w:hAnsi="Times New Roman"/>
          <w:sz w:val="20"/>
        </w:rPr>
        <w:footnoteRef/>
      </w:r>
      <w:r w:rsidRPr="00DA3A16">
        <w:rPr>
          <w:rFonts w:ascii="Times New Roman" w:hAnsi="Times New Roman"/>
          <w:sz w:val="20"/>
        </w:rPr>
        <w:t xml:space="preserve"> For all applications, records must be maintained by respondents</w:t>
      </w:r>
      <w:r>
        <w:rPr>
          <w:rFonts w:ascii="Times New Roman" w:hAnsi="Times New Roman"/>
          <w:sz w:val="20"/>
        </w:rPr>
        <w:t xml:space="preserve"> and the time for maintaining these records are included in the estimated time per response</w:t>
      </w:r>
      <w:r w:rsidRPr="00DA3A16">
        <w:rPr>
          <w:rFonts w:ascii="Times New Roman" w:hAnsi="Times New Roman"/>
          <w:sz w:val="20"/>
        </w:rPr>
        <w:t>.</w:t>
      </w:r>
    </w:p>
  </w:footnote>
  <w:footnote w:id="8">
    <w:p w:rsidR="00CD0D92" w:rsidRPr="008E676F" w:rsidRDefault="00CD0D92">
      <w:pPr>
        <w:pStyle w:val="FootnoteText"/>
        <w:rPr>
          <w:rFonts w:ascii="Times New Roman" w:hAnsi="Times New Roman"/>
          <w:sz w:val="20"/>
        </w:rPr>
      </w:pPr>
      <w:r w:rsidRPr="008E676F">
        <w:rPr>
          <w:rStyle w:val="FootnoteReference"/>
          <w:rFonts w:ascii="Times New Roman" w:hAnsi="Times New Roman"/>
          <w:sz w:val="20"/>
        </w:rPr>
        <w:footnoteRef/>
      </w:r>
      <w:r w:rsidRPr="008E676F">
        <w:rPr>
          <w:rFonts w:ascii="Times New Roman" w:hAnsi="Times New Roman"/>
          <w:sz w:val="20"/>
        </w:rPr>
        <w:t xml:space="preserve"> The Commission arrived at the </w:t>
      </w:r>
      <w:r>
        <w:rPr>
          <w:rFonts w:ascii="Times New Roman" w:hAnsi="Times New Roman"/>
          <w:sz w:val="20"/>
        </w:rPr>
        <w:t xml:space="preserve">annual </w:t>
      </w:r>
      <w:r w:rsidRPr="008E676F">
        <w:rPr>
          <w:rFonts w:ascii="Times New Roman" w:hAnsi="Times New Roman"/>
          <w:sz w:val="20"/>
        </w:rPr>
        <w:t>number of responses of 240 based on the following calculation:  20 respondents x 12 responses (3 responses per quarter x 4 quarters)</w:t>
      </w:r>
      <w:r>
        <w:rPr>
          <w:rFonts w:ascii="Times New Roman" w:hAnsi="Times New Roman"/>
          <w:sz w:val="20"/>
        </w:rPr>
        <w:t>.</w:t>
      </w:r>
    </w:p>
  </w:footnote>
  <w:footnote w:id="9">
    <w:p w:rsidR="00CD0D92" w:rsidRPr="00BB7E46" w:rsidRDefault="00CD0D92" w:rsidP="00BB7E46">
      <w:pPr>
        <w:pStyle w:val="FootnoteText"/>
        <w:rPr>
          <w:rFonts w:ascii="Times New Roman" w:hAnsi="Times New Roman"/>
          <w:sz w:val="20"/>
        </w:rPr>
      </w:pPr>
      <w:r w:rsidRPr="00BB7E46">
        <w:rPr>
          <w:rStyle w:val="FootnoteReference"/>
          <w:rFonts w:ascii="Times New Roman" w:hAnsi="Times New Roman"/>
          <w:sz w:val="20"/>
        </w:rPr>
        <w:footnoteRef/>
      </w:r>
      <w:r w:rsidRPr="00BB7E46">
        <w:rPr>
          <w:rFonts w:ascii="Times New Roman" w:hAnsi="Times New Roman"/>
          <w:sz w:val="20"/>
        </w:rPr>
        <w:t xml:space="preserve"> </w:t>
      </w:r>
      <w:r>
        <w:rPr>
          <w:rFonts w:ascii="Times New Roman" w:hAnsi="Times New Roman"/>
          <w:sz w:val="20"/>
        </w:rPr>
        <w:t>The rules and requirements in this collection will not require respondents to maintain any special equipment.</w:t>
      </w:r>
      <w:r w:rsidRPr="00240C36">
        <w:rPr>
          <w:rFonts w:ascii="Times New Roman" w:hAnsi="Times New Roman"/>
          <w:sz w:val="20"/>
        </w:rPr>
        <w:t xml:space="preserve"> </w:t>
      </w:r>
    </w:p>
  </w:footnote>
  <w:footnote w:id="10">
    <w:p w:rsidR="00CD0D92" w:rsidRPr="00F018E8" w:rsidRDefault="00CD0D92" w:rsidP="0046427A">
      <w:pPr>
        <w:pStyle w:val="FootnoteText"/>
        <w:rPr>
          <w:rFonts w:ascii="Times New Roman" w:hAnsi="Times New Roman"/>
          <w:sz w:val="20"/>
        </w:rPr>
      </w:pPr>
      <w:r>
        <w:rPr>
          <w:rStyle w:val="FootnoteReference"/>
        </w:rPr>
        <w:footnoteRef/>
      </w:r>
      <w:r>
        <w:t xml:space="preserve"> </w:t>
      </w:r>
      <w:r w:rsidRPr="00EA0C4F">
        <w:rPr>
          <w:rFonts w:ascii="Times New Roman" w:hAnsi="Times New Roman"/>
          <w:sz w:val="20"/>
        </w:rPr>
        <w:t>The number of responses in the chart to Question 12 of the 2013 Supporting Statement for informative rule sections 63.10(a</w:t>
      </w:r>
      <w:proofErr w:type="gramStart"/>
      <w:r w:rsidRPr="00EA0C4F">
        <w:rPr>
          <w:rFonts w:ascii="Times New Roman" w:hAnsi="Times New Roman"/>
          <w:sz w:val="20"/>
        </w:rPr>
        <w:t>)(</w:t>
      </w:r>
      <w:proofErr w:type="gramEnd"/>
      <w:r w:rsidRPr="00EA0C4F">
        <w:rPr>
          <w:rFonts w:ascii="Times New Roman" w:hAnsi="Times New Roman"/>
          <w:sz w:val="20"/>
        </w:rPr>
        <w:t xml:space="preserve">3), 63.10(b) and 63.18(f) totaled </w:t>
      </w:r>
      <w:r>
        <w:rPr>
          <w:rFonts w:ascii="Times New Roman" w:hAnsi="Times New Roman"/>
          <w:sz w:val="20"/>
        </w:rPr>
        <w:t xml:space="preserve">1,056. </w:t>
      </w:r>
    </w:p>
  </w:footnote>
  <w:footnote w:id="11">
    <w:p w:rsidR="00CD0D92" w:rsidRPr="00473D6B" w:rsidRDefault="00CD0D92">
      <w:pPr>
        <w:pStyle w:val="FootnoteText"/>
        <w:rPr>
          <w:sz w:val="20"/>
        </w:rPr>
      </w:pPr>
      <w:r>
        <w:rPr>
          <w:rStyle w:val="FootnoteReference"/>
        </w:rPr>
        <w:footnoteRef/>
      </w:r>
      <w:r>
        <w:t xml:space="preserve"> </w:t>
      </w:r>
      <w:r w:rsidRPr="00473D6B">
        <w:rPr>
          <w:rFonts w:ascii="Times New Roman" w:hAnsi="Times New Roman"/>
          <w:sz w:val="20"/>
        </w:rPr>
        <w:t xml:space="preserve">For example, the content requirements of a FCC section 214 application for the provision of international service are contained in sections 63.18(a) through 63.18(q) of the Commission’s rules.  </w:t>
      </w:r>
      <w:r>
        <w:rPr>
          <w:rFonts w:ascii="Times New Roman" w:hAnsi="Times New Roman"/>
          <w:sz w:val="20"/>
        </w:rPr>
        <w:t>Most of these</w:t>
      </w:r>
      <w:r w:rsidRPr="00473D6B">
        <w:rPr>
          <w:rFonts w:ascii="Times New Roman" w:hAnsi="Times New Roman"/>
          <w:sz w:val="20"/>
        </w:rPr>
        <w:t xml:space="preserve"> requirements are answered by each applicant/respondent applying for section 214 </w:t>
      </w:r>
      <w:proofErr w:type="gramStart"/>
      <w:r w:rsidRPr="00473D6B">
        <w:rPr>
          <w:rFonts w:ascii="Times New Roman" w:hAnsi="Times New Roman"/>
          <w:sz w:val="20"/>
        </w:rPr>
        <w:t>authority</w:t>
      </w:r>
      <w:proofErr w:type="gramEnd"/>
      <w:r w:rsidRPr="00473D6B">
        <w:rPr>
          <w:rFonts w:ascii="Times New Roman" w:hAnsi="Times New Roman"/>
          <w:sz w:val="20"/>
        </w:rPr>
        <w:t xml:space="preserve">.  </w:t>
      </w:r>
      <w:r>
        <w:rPr>
          <w:rFonts w:ascii="Times New Roman" w:hAnsi="Times New Roman"/>
          <w:sz w:val="20"/>
        </w:rPr>
        <w:t>IB staff identified</w:t>
      </w:r>
      <w:r w:rsidRPr="00473D6B">
        <w:rPr>
          <w:rFonts w:ascii="Times New Roman" w:hAnsi="Times New Roman"/>
          <w:sz w:val="20"/>
        </w:rPr>
        <w:t xml:space="preserve"> sections 63.18(a) through (e), 63.18(h) through (j), and 63.18(n) through (q)</w:t>
      </w:r>
      <w:r>
        <w:rPr>
          <w:rFonts w:ascii="Times New Roman" w:hAnsi="Times New Roman"/>
          <w:sz w:val="20"/>
        </w:rPr>
        <w:t xml:space="preserve"> as sections routinely answered by each prospective applicant for a section 214 authorization, and then placed</w:t>
      </w:r>
      <w:r w:rsidRPr="00473D6B">
        <w:rPr>
          <w:rFonts w:ascii="Times New Roman" w:hAnsi="Times New Roman"/>
          <w:sz w:val="20"/>
        </w:rPr>
        <w:t xml:space="preserve"> these routine rule requirements </w:t>
      </w:r>
      <w:r>
        <w:rPr>
          <w:rFonts w:ascii="Times New Roman" w:hAnsi="Times New Roman"/>
          <w:sz w:val="20"/>
        </w:rPr>
        <w:t>into</w:t>
      </w:r>
      <w:r w:rsidRPr="00473D6B">
        <w:rPr>
          <w:rFonts w:ascii="Times New Roman" w:hAnsi="Times New Roman"/>
          <w:sz w:val="20"/>
        </w:rPr>
        <w:t xml:space="preserve"> </w:t>
      </w:r>
      <w:r>
        <w:rPr>
          <w:rFonts w:ascii="Times New Roman" w:hAnsi="Times New Roman"/>
          <w:sz w:val="20"/>
        </w:rPr>
        <w:t>one</w:t>
      </w:r>
      <w:r w:rsidRPr="00473D6B">
        <w:rPr>
          <w:rFonts w:ascii="Times New Roman" w:hAnsi="Times New Roman"/>
          <w:sz w:val="20"/>
        </w:rPr>
        <w:t xml:space="preserve"> rule section</w:t>
      </w:r>
      <w:r>
        <w:rPr>
          <w:rFonts w:ascii="Times New Roman" w:hAnsi="Times New Roman"/>
          <w:sz w:val="20"/>
        </w:rPr>
        <w:t xml:space="preserve"> category</w:t>
      </w:r>
      <w:r w:rsidRPr="00473D6B">
        <w:rPr>
          <w:rFonts w:ascii="Times New Roman" w:hAnsi="Times New Roman"/>
          <w:sz w:val="20"/>
        </w:rPr>
        <w:t xml:space="preserve"> – section 63.18.  </w:t>
      </w:r>
      <w:r>
        <w:rPr>
          <w:rFonts w:ascii="Times New Roman" w:hAnsi="Times New Roman"/>
          <w:sz w:val="20"/>
        </w:rPr>
        <w:t>T</w:t>
      </w:r>
      <w:r w:rsidRPr="00473D6B">
        <w:rPr>
          <w:rFonts w:ascii="Times New Roman" w:hAnsi="Times New Roman"/>
          <w:sz w:val="20"/>
        </w:rPr>
        <w:t xml:space="preserve">he </w:t>
      </w:r>
      <w:r>
        <w:rPr>
          <w:rFonts w:ascii="Times New Roman" w:hAnsi="Times New Roman"/>
          <w:sz w:val="20"/>
        </w:rPr>
        <w:t xml:space="preserve">annualized </w:t>
      </w:r>
      <w:r w:rsidRPr="00473D6B">
        <w:rPr>
          <w:rFonts w:ascii="Times New Roman" w:hAnsi="Times New Roman"/>
          <w:sz w:val="20"/>
        </w:rPr>
        <w:t>number of responses reported for rule section 63.18 was</w:t>
      </w:r>
      <w:r>
        <w:rPr>
          <w:rFonts w:ascii="Times New Roman" w:hAnsi="Times New Roman"/>
          <w:sz w:val="20"/>
        </w:rPr>
        <w:t xml:space="preserve"> then</w:t>
      </w:r>
      <w:r w:rsidRPr="00473D6B">
        <w:rPr>
          <w:rFonts w:ascii="Times New Roman" w:hAnsi="Times New Roman"/>
          <w:sz w:val="20"/>
        </w:rPr>
        <w:t xml:space="preserve"> obtained by counting the number of section 214 applications recorded in the IBFS database for the fiscal period, and </w:t>
      </w:r>
      <w:r>
        <w:rPr>
          <w:rFonts w:ascii="Times New Roman" w:hAnsi="Times New Roman"/>
          <w:sz w:val="20"/>
        </w:rPr>
        <w:t>then dividing that number by three.</w:t>
      </w:r>
      <w:r w:rsidRPr="00473D6B">
        <w:rPr>
          <w:rFonts w:ascii="Times New Roman" w:hAnsi="Times New Roman"/>
          <w:sz w:val="20"/>
        </w:rPr>
        <w:t xml:space="preserve">  By contrast, </w:t>
      </w:r>
      <w:r>
        <w:rPr>
          <w:rFonts w:ascii="Times New Roman" w:hAnsi="Times New Roman"/>
          <w:sz w:val="20"/>
        </w:rPr>
        <w:t xml:space="preserve">in </w:t>
      </w:r>
      <w:r w:rsidRPr="00473D6B">
        <w:rPr>
          <w:rFonts w:ascii="Times New Roman" w:hAnsi="Times New Roman"/>
          <w:sz w:val="20"/>
        </w:rPr>
        <w:t>the 2013 Supporting Statement</w:t>
      </w:r>
      <w:r>
        <w:rPr>
          <w:rFonts w:ascii="Times New Roman" w:hAnsi="Times New Roman"/>
          <w:sz w:val="20"/>
        </w:rPr>
        <w:t xml:space="preserve">, </w:t>
      </w:r>
      <w:r w:rsidRPr="00473D6B">
        <w:rPr>
          <w:rFonts w:ascii="Times New Roman" w:hAnsi="Times New Roman"/>
          <w:sz w:val="20"/>
        </w:rPr>
        <w:t>m</w:t>
      </w:r>
      <w:r>
        <w:rPr>
          <w:rFonts w:ascii="Times New Roman" w:hAnsi="Times New Roman"/>
          <w:sz w:val="20"/>
        </w:rPr>
        <w:t>ost</w:t>
      </w:r>
      <w:r w:rsidRPr="00473D6B">
        <w:rPr>
          <w:rFonts w:ascii="Times New Roman" w:hAnsi="Times New Roman"/>
          <w:sz w:val="20"/>
        </w:rPr>
        <w:t xml:space="preserve"> of the 63.18 routine rule sections</w:t>
      </w:r>
      <w:r>
        <w:rPr>
          <w:rFonts w:ascii="Times New Roman" w:hAnsi="Times New Roman"/>
          <w:sz w:val="20"/>
        </w:rPr>
        <w:t xml:space="preserve"> were each listed in their own separate category</w:t>
      </w:r>
      <w:r w:rsidRPr="00473D6B">
        <w:rPr>
          <w:rFonts w:ascii="Times New Roman" w:hAnsi="Times New Roman"/>
          <w:sz w:val="20"/>
        </w:rPr>
        <w:t xml:space="preserve">, resulting in over counting of </w:t>
      </w:r>
      <w:r w:rsidRPr="004E152D">
        <w:rPr>
          <w:rFonts w:ascii="Times New Roman" w:hAnsi="Times New Roman"/>
          <w:sz w:val="20"/>
        </w:rPr>
        <w:t>the</w:t>
      </w:r>
      <w:r w:rsidRPr="00473D6B">
        <w:rPr>
          <w:rFonts w:ascii="Times New Roman" w:hAnsi="Times New Roman"/>
          <w:sz w:val="20"/>
        </w:rPr>
        <w:t xml:space="preserve"> number of responses per application.  </w:t>
      </w:r>
    </w:p>
  </w:footnote>
  <w:footnote w:id="12">
    <w:p w:rsidR="00CD0D92" w:rsidRPr="00401536" w:rsidRDefault="00CD0D92" w:rsidP="004307A0">
      <w:pPr>
        <w:pStyle w:val="FootnoteText"/>
        <w:rPr>
          <w:rFonts w:ascii="Times New Roman" w:hAnsi="Times New Roman"/>
          <w:sz w:val="20"/>
        </w:rPr>
      </w:pPr>
      <w:r>
        <w:rPr>
          <w:rStyle w:val="FootnoteReference"/>
        </w:rPr>
        <w:footnoteRef/>
      </w:r>
      <w:r>
        <w:t xml:space="preserve"> </w:t>
      </w:r>
      <w:r w:rsidRPr="00A90261">
        <w:rPr>
          <w:rFonts w:ascii="Times New Roman" w:hAnsi="Times New Roman"/>
          <w:sz w:val="20"/>
        </w:rPr>
        <w:t xml:space="preserve">The outside legal cost </w:t>
      </w:r>
      <w:r w:rsidRPr="004E152D">
        <w:rPr>
          <w:rFonts w:ascii="Times New Roman" w:hAnsi="Times New Roman"/>
          <w:sz w:val="20"/>
        </w:rPr>
        <w:t>in the 2014 statement</w:t>
      </w:r>
      <w:r w:rsidRPr="00A90261">
        <w:rPr>
          <w:rFonts w:ascii="Times New Roman" w:hAnsi="Times New Roman"/>
          <w:sz w:val="20"/>
        </w:rPr>
        <w:t xml:space="preserve"> for all rules and requirements in the collection, other than Sections 63.18(k) and 63.11(g</w:t>
      </w:r>
      <w:proofErr w:type="gramStart"/>
      <w:r w:rsidRPr="00A90261">
        <w:rPr>
          <w:rFonts w:ascii="Times New Roman" w:hAnsi="Times New Roman"/>
          <w:sz w:val="20"/>
        </w:rPr>
        <w:t>)(</w:t>
      </w:r>
      <w:proofErr w:type="gramEnd"/>
      <w:r w:rsidRPr="00A90261">
        <w:rPr>
          <w:rFonts w:ascii="Times New Roman" w:hAnsi="Times New Roman"/>
          <w:sz w:val="20"/>
        </w:rPr>
        <w:t>2), is $</w:t>
      </w:r>
      <w:r w:rsidRPr="004E152D">
        <w:rPr>
          <w:rFonts w:ascii="Times New Roman" w:hAnsi="Times New Roman"/>
          <w:sz w:val="20"/>
        </w:rPr>
        <w:t>447,600</w:t>
      </w:r>
      <w:r w:rsidRPr="00A90261">
        <w:rPr>
          <w:rFonts w:ascii="Times New Roman" w:hAnsi="Times New Roman"/>
          <w:sz w:val="20"/>
        </w:rPr>
        <w:t xml:space="preserve"> (</w:t>
      </w:r>
      <w:r w:rsidRPr="004E152D">
        <w:rPr>
          <w:rFonts w:ascii="Times New Roman" w:hAnsi="Times New Roman"/>
          <w:sz w:val="20"/>
        </w:rPr>
        <w:t>373</w:t>
      </w:r>
      <w:r w:rsidRPr="00A90261">
        <w:rPr>
          <w:rFonts w:ascii="Times New Roman" w:hAnsi="Times New Roman"/>
          <w:sz w:val="20"/>
        </w:rPr>
        <w:t xml:space="preserve"> Responses (50% of </w:t>
      </w:r>
      <w:r w:rsidRPr="004E152D">
        <w:rPr>
          <w:rFonts w:ascii="Times New Roman" w:hAnsi="Times New Roman"/>
          <w:sz w:val="20"/>
        </w:rPr>
        <w:t>746</w:t>
      </w:r>
      <w:r w:rsidRPr="00A90261">
        <w:rPr>
          <w:rFonts w:ascii="Times New Roman" w:hAnsi="Times New Roman"/>
          <w:sz w:val="20"/>
        </w:rPr>
        <w:t xml:space="preserve">) </w:t>
      </w:r>
      <w:r w:rsidRPr="004E152D">
        <w:rPr>
          <w:rFonts w:ascii="Times New Roman" w:hAnsi="Times New Roman"/>
          <w:sz w:val="20"/>
        </w:rPr>
        <w:t>x</w:t>
      </w:r>
      <w:r w:rsidRPr="00A90261">
        <w:rPr>
          <w:rFonts w:ascii="Times New Roman" w:hAnsi="Times New Roman"/>
          <w:sz w:val="20"/>
        </w:rPr>
        <w:t xml:space="preserve"> $300/burden hour </w:t>
      </w:r>
      <w:r w:rsidRPr="004E152D">
        <w:rPr>
          <w:rFonts w:ascii="Times New Roman" w:hAnsi="Times New Roman"/>
          <w:sz w:val="20"/>
        </w:rPr>
        <w:t>x</w:t>
      </w:r>
      <w:r w:rsidRPr="00A90261">
        <w:rPr>
          <w:rFonts w:ascii="Times New Roman" w:hAnsi="Times New Roman"/>
          <w:sz w:val="20"/>
        </w:rPr>
        <w:t xml:space="preserve"> 4 </w:t>
      </w:r>
      <w:r w:rsidRPr="004E152D">
        <w:rPr>
          <w:rFonts w:ascii="Times New Roman" w:hAnsi="Times New Roman"/>
          <w:sz w:val="20"/>
        </w:rPr>
        <w:t>average</w:t>
      </w:r>
      <w:r w:rsidRPr="00A90261">
        <w:rPr>
          <w:rFonts w:ascii="Times New Roman" w:hAnsi="Times New Roman"/>
          <w:sz w:val="20"/>
        </w:rPr>
        <w:t xml:space="preserve"> burden hours/response).  The application fee cost based on the number of</w:t>
      </w:r>
      <w:r w:rsidRPr="00401536">
        <w:rPr>
          <w:rFonts w:ascii="Times New Roman" w:hAnsi="Times New Roman"/>
          <w:sz w:val="20"/>
        </w:rPr>
        <w:t xml:space="preserve"> annualized applications (292) is $306,600 (292 </w:t>
      </w:r>
      <w:r w:rsidRPr="004E152D">
        <w:rPr>
          <w:rFonts w:ascii="Times New Roman" w:hAnsi="Times New Roman"/>
          <w:sz w:val="20"/>
        </w:rPr>
        <w:t>x</w:t>
      </w:r>
      <w:r w:rsidRPr="00A90261">
        <w:rPr>
          <w:rFonts w:ascii="Times New Roman" w:hAnsi="Times New Roman"/>
          <w:sz w:val="20"/>
        </w:rPr>
        <w:t xml:space="preserve"> $1,050/applications).  </w:t>
      </w:r>
      <w:r w:rsidRPr="004E152D">
        <w:rPr>
          <w:rFonts w:ascii="Times New Roman" w:hAnsi="Times New Roman"/>
          <w:sz w:val="20"/>
        </w:rPr>
        <w:t>Thus,</w:t>
      </w:r>
      <w:r w:rsidRPr="00A90261">
        <w:rPr>
          <w:rFonts w:ascii="Times New Roman" w:hAnsi="Times New Roman"/>
          <w:sz w:val="20"/>
        </w:rPr>
        <w:t xml:space="preserve"> the total annual </w:t>
      </w:r>
      <w:r w:rsidRPr="004E152D">
        <w:rPr>
          <w:rFonts w:ascii="Times New Roman" w:hAnsi="Times New Roman"/>
          <w:sz w:val="20"/>
        </w:rPr>
        <w:t>cost</w:t>
      </w:r>
      <w:r w:rsidRPr="00A90261">
        <w:rPr>
          <w:rFonts w:ascii="Times New Roman" w:hAnsi="Times New Roman"/>
          <w:sz w:val="20"/>
        </w:rPr>
        <w:t xml:space="preserve"> </w:t>
      </w:r>
      <w:r w:rsidRPr="004E152D">
        <w:rPr>
          <w:rFonts w:ascii="Times New Roman" w:hAnsi="Times New Roman"/>
          <w:sz w:val="20"/>
        </w:rPr>
        <w:t>burden for all rules and requirements in the 2014 collection, other than Sections 63.18(k) and 63.11(g)(2), is</w:t>
      </w:r>
      <w:r w:rsidRPr="00A90261">
        <w:rPr>
          <w:rFonts w:ascii="Times New Roman" w:hAnsi="Times New Roman"/>
          <w:sz w:val="20"/>
        </w:rPr>
        <w:t xml:space="preserve"> </w:t>
      </w:r>
      <w:r w:rsidRPr="004E152D">
        <w:rPr>
          <w:rFonts w:ascii="Times New Roman" w:hAnsi="Times New Roman"/>
          <w:sz w:val="20"/>
        </w:rPr>
        <w:t>$754,200 ($447,600 + $306,600  = $754,200)</w:t>
      </w:r>
      <w:r w:rsidRPr="00A90261">
        <w:rPr>
          <w:rFonts w:ascii="Times New Roman" w:hAnsi="Times New Roman"/>
          <w:sz w:val="20"/>
        </w:rPr>
        <w:t xml:space="preserve">. </w:t>
      </w:r>
      <w:r w:rsidRPr="00401536">
        <w:rPr>
          <w:rFonts w:ascii="Times New Roman" w:hAnsi="Times New Roman"/>
          <w:sz w:val="20"/>
        </w:rPr>
        <w:t xml:space="preserve"> The 4 hour </w:t>
      </w:r>
      <w:r w:rsidRPr="004E152D">
        <w:rPr>
          <w:rFonts w:ascii="Times New Roman" w:hAnsi="Times New Roman"/>
          <w:sz w:val="20"/>
        </w:rPr>
        <w:t>average</w:t>
      </w:r>
      <w:r w:rsidRPr="00A90261">
        <w:rPr>
          <w:rFonts w:ascii="Times New Roman" w:hAnsi="Times New Roman"/>
          <w:sz w:val="20"/>
        </w:rPr>
        <w:t xml:space="preserve"> burden per response was calculated by dividing total burden hours by total number of responses </w:t>
      </w:r>
      <w:r w:rsidRPr="00401536">
        <w:rPr>
          <w:rFonts w:ascii="Times New Roman" w:hAnsi="Times New Roman"/>
          <w:sz w:val="20"/>
        </w:rPr>
        <w:t xml:space="preserve">in the </w:t>
      </w:r>
      <w:r w:rsidRPr="004E152D">
        <w:rPr>
          <w:rFonts w:ascii="Times New Roman" w:hAnsi="Times New Roman"/>
          <w:sz w:val="20"/>
        </w:rPr>
        <w:t>2014 collection</w:t>
      </w:r>
      <w:r w:rsidRPr="00A90261">
        <w:rPr>
          <w:rFonts w:ascii="Times New Roman" w:hAnsi="Times New Roman"/>
          <w:sz w:val="20"/>
        </w:rPr>
        <w:t xml:space="preserve"> (</w:t>
      </w:r>
      <w:r w:rsidRPr="004E152D">
        <w:rPr>
          <w:rFonts w:ascii="Times New Roman" w:hAnsi="Times New Roman"/>
          <w:sz w:val="20"/>
        </w:rPr>
        <w:t>3,286/748</w:t>
      </w:r>
      <w:r w:rsidRPr="00A90261">
        <w:rPr>
          <w:rFonts w:ascii="Times New Roman" w:hAnsi="Times New Roman"/>
          <w:sz w:val="20"/>
        </w:rPr>
        <w:t xml:space="preserve"> = 4.</w:t>
      </w:r>
      <w:r w:rsidRPr="004E152D">
        <w:rPr>
          <w:rFonts w:ascii="Times New Roman" w:hAnsi="Times New Roman"/>
          <w:sz w:val="20"/>
        </w:rPr>
        <w:t>39</w:t>
      </w:r>
      <w:r w:rsidRPr="00A90261">
        <w:rPr>
          <w:rFonts w:ascii="Times New Roman" w:hAnsi="Times New Roman"/>
          <w:sz w:val="20"/>
        </w:rPr>
        <w:t xml:space="preserve"> hours) and then rounding that number (4.</w:t>
      </w:r>
      <w:r w:rsidRPr="004E152D">
        <w:rPr>
          <w:rFonts w:ascii="Times New Roman" w:hAnsi="Times New Roman"/>
          <w:sz w:val="20"/>
        </w:rPr>
        <w:t>39</w:t>
      </w:r>
      <w:r w:rsidRPr="00A90261">
        <w:rPr>
          <w:rFonts w:ascii="Times New Roman" w:hAnsi="Times New Roman"/>
          <w:sz w:val="20"/>
        </w:rPr>
        <w:t xml:space="preserve">) down to 4.  </w:t>
      </w:r>
    </w:p>
  </w:footnote>
  <w:footnote w:id="13">
    <w:p w:rsidR="00CD0D92" w:rsidRPr="004307A0" w:rsidRDefault="00CD0D92">
      <w:pPr>
        <w:pStyle w:val="FootnoteText"/>
        <w:rPr>
          <w:rFonts w:ascii="Times New Roman" w:hAnsi="Times New Roman"/>
          <w:sz w:val="20"/>
        </w:rPr>
      </w:pPr>
      <w:r w:rsidRPr="00401536">
        <w:rPr>
          <w:rStyle w:val="FootnoteReference"/>
          <w:rFonts w:ascii="Times New Roman" w:hAnsi="Times New Roman"/>
          <w:sz w:val="20"/>
        </w:rPr>
        <w:footnoteRef/>
      </w:r>
      <w:r w:rsidRPr="00401536">
        <w:rPr>
          <w:rFonts w:ascii="Times New Roman" w:hAnsi="Times New Roman"/>
          <w:sz w:val="20"/>
        </w:rPr>
        <w:t xml:space="preserve"> </w:t>
      </w:r>
      <w:r w:rsidRPr="004E152D">
        <w:rPr>
          <w:rFonts w:ascii="Times New Roman" w:hAnsi="Times New Roman"/>
          <w:sz w:val="20"/>
        </w:rPr>
        <w:t>The outside legal cost in the 2013 statement for all rules and requirements in the 2013 collection, other than Sections 63.18(k) and 63.11(g)(2), is $2,868,000 (4,780 Responses (50% of 9,560) x $300/burden hour x 2 average burden hours/response).  The application fee cost in the 2013 statement is $546,190.  Thus, the total annual cost burden for all rules and requirements in the 2013 collection, other than Sections 63.18(k) and 63.11(g)(2), is $3,414,190 ($2,868,000 + $546,190 = $3,414,190).</w:t>
      </w:r>
      <w:r w:rsidRPr="004307A0">
        <w:rPr>
          <w:rFonts w:ascii="Times New Roman" w:hAnsi="Times New Roman"/>
          <w:sz w:val="20"/>
        </w:rPr>
        <w:t xml:space="preserve">  </w:t>
      </w:r>
    </w:p>
  </w:footnote>
  <w:footnote w:id="14">
    <w:p w:rsidR="00CD0D92" w:rsidRPr="00E037F2" w:rsidRDefault="00CD0D92">
      <w:pPr>
        <w:pStyle w:val="FootnoteText"/>
        <w:rPr>
          <w:rFonts w:ascii="Times New Roman" w:hAnsi="Times New Roman"/>
          <w:sz w:val="20"/>
        </w:rPr>
      </w:pPr>
      <w:r>
        <w:rPr>
          <w:rStyle w:val="FootnoteReference"/>
        </w:rPr>
        <w:footnoteRef/>
      </w:r>
      <w:r>
        <w:rPr>
          <w:rFonts w:ascii="Times New Roman" w:hAnsi="Times New Roman"/>
          <w:sz w:val="20"/>
        </w:rPr>
        <w:t xml:space="preserve">   </w:t>
      </w:r>
      <w:r w:rsidRPr="004E152D">
        <w:rPr>
          <w:rFonts w:ascii="Times New Roman" w:hAnsi="Times New Roman"/>
          <w:sz w:val="20"/>
        </w:rPr>
        <w:t>The 4 hour burden per response represents the average burden per response for the 2014 Supporting Statement.</w:t>
      </w:r>
      <w:r>
        <w:rPr>
          <w:rFonts w:ascii="Times New Roman" w:hAnsi="Times New Roman"/>
          <w:sz w:val="20"/>
        </w:rPr>
        <w:t xml:space="preserve">  </w:t>
      </w:r>
    </w:p>
  </w:footnote>
  <w:footnote w:id="15">
    <w:p w:rsidR="00CD0D92" w:rsidRPr="003C422C" w:rsidRDefault="00CD0D92" w:rsidP="0046427A">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estimated annual cost burden to the respondent in the 2013 Statement for 63.18(k) applications is outside legal assistance calculated by multiplying 50% of the number of responses by the time and hourly rate per response ((176 (50% of 352 responses) x 2 </w:t>
      </w:r>
      <w:r w:rsidRPr="004E152D">
        <w:rPr>
          <w:rFonts w:ascii="Times New Roman" w:hAnsi="Times New Roman"/>
          <w:sz w:val="20"/>
        </w:rPr>
        <w:t>hr.</w:t>
      </w:r>
      <w:r w:rsidRPr="00A90261">
        <w:rPr>
          <w:rFonts w:ascii="Times New Roman" w:hAnsi="Times New Roman"/>
          <w:sz w:val="20"/>
        </w:rPr>
        <w:t xml:space="preserve"> </w:t>
      </w:r>
      <w:r w:rsidRPr="004E152D">
        <w:rPr>
          <w:rFonts w:ascii="Times New Roman" w:hAnsi="Times New Roman"/>
          <w:sz w:val="20"/>
        </w:rPr>
        <w:t>average</w:t>
      </w:r>
      <w:r>
        <w:rPr>
          <w:rFonts w:ascii="Times New Roman" w:hAnsi="Times New Roman"/>
          <w:sz w:val="20"/>
        </w:rPr>
        <w:t xml:space="preserve">/response x $300/hr. </w:t>
      </w:r>
      <w:r w:rsidRPr="004E152D">
        <w:rPr>
          <w:rFonts w:ascii="Times New Roman" w:hAnsi="Times New Roman"/>
          <w:sz w:val="20"/>
        </w:rPr>
        <w:t>= $105,600</w:t>
      </w:r>
      <w:r>
        <w:rPr>
          <w:rFonts w:ascii="Times New Roman" w:hAnsi="Times New Roman"/>
          <w:sz w:val="20"/>
        </w:rPr>
        <w:t xml:space="preserve">).  See Supporting Statement, OMB Control No. 3060-0686, November, 2013.  </w:t>
      </w:r>
    </w:p>
  </w:footnote>
  <w:footnote w:id="16">
    <w:p w:rsidR="00CD0D92" w:rsidRPr="003C422C" w:rsidRDefault="00CD0D92" w:rsidP="00E839F7">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estimated annual cost burden to the respondent in the 2013 Statement for 63.11(g)(2) notification filings is calculated by multiplying 50% of the number of responses by the time and hourly rate per response ((176 (50% of 352 responses) x 2 </w:t>
      </w:r>
      <w:r w:rsidRPr="004E152D">
        <w:rPr>
          <w:rFonts w:ascii="Times New Roman" w:hAnsi="Times New Roman"/>
          <w:sz w:val="20"/>
        </w:rPr>
        <w:t>hr. average</w:t>
      </w:r>
      <w:r>
        <w:rPr>
          <w:rFonts w:ascii="Times New Roman" w:hAnsi="Times New Roman"/>
          <w:sz w:val="20"/>
        </w:rPr>
        <w:t xml:space="preserve">/response x $300/hr. </w:t>
      </w:r>
      <w:r w:rsidRPr="004E152D">
        <w:rPr>
          <w:rFonts w:ascii="Times New Roman" w:hAnsi="Times New Roman"/>
          <w:sz w:val="20"/>
        </w:rPr>
        <w:t>= $105,600</w:t>
      </w:r>
      <w:r>
        <w:rPr>
          <w:rFonts w:ascii="Times New Roman" w:hAnsi="Times New Roman"/>
          <w:sz w:val="20"/>
        </w:rPr>
        <w:t xml:space="preserve">).  See Supporting Statement, OMB Control No. 3060-0686, November, 2013.  </w:t>
      </w:r>
    </w:p>
    <w:p w:rsidR="00CD0D92" w:rsidRDefault="00CD0D92" w:rsidP="00E839F7">
      <w:pPr>
        <w:pStyle w:val="FootnoteText"/>
      </w:pPr>
      <w:r>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92" w:rsidRDefault="00CD0D92" w:rsidP="00137820">
    <w:pPr>
      <w:tabs>
        <w:tab w:val="left" w:pos="-720"/>
      </w:tabs>
      <w:suppressAutoHyphens/>
      <w:rPr>
        <w:rFonts w:ascii="Times New Roman" w:hAnsi="Times New Roman"/>
        <w:b/>
        <w:sz w:val="24"/>
      </w:rPr>
    </w:pPr>
    <w:r>
      <w:rPr>
        <w:rFonts w:ascii="Times New Roman" w:hAnsi="Times New Roman"/>
        <w:b/>
        <w:sz w:val="24"/>
      </w:rPr>
      <w:t>International Section 214 Process and Tariff</w:t>
    </w:r>
    <w:r>
      <w:rPr>
        <w:rFonts w:ascii="Times New Roman" w:hAnsi="Times New Roman"/>
        <w:b/>
        <w:sz w:val="24"/>
      </w:rPr>
      <w:tab/>
    </w:r>
    <w:r>
      <w:rPr>
        <w:rFonts w:ascii="Times New Roman" w:hAnsi="Times New Roman"/>
        <w:b/>
        <w:sz w:val="24"/>
      </w:rPr>
      <w:tab/>
      <w:t xml:space="preserve">          </w:t>
    </w:r>
    <w:r w:rsidRPr="001130D9">
      <w:rPr>
        <w:rFonts w:ascii="Times New Roman" w:hAnsi="Times New Roman"/>
        <w:b/>
        <w:sz w:val="24"/>
      </w:rPr>
      <w:t>OMB Control No. 3060-0686</w:t>
    </w:r>
    <w:r>
      <w:rPr>
        <w:rFonts w:ascii="Times New Roman" w:hAnsi="Times New Roman"/>
        <w:b/>
        <w:sz w:val="24"/>
      </w:rPr>
      <w:t xml:space="preserve"> Requirements – 47 CFR Sections 63.10, 63.11, 63.13,  </w:t>
    </w:r>
    <w:r w:rsidRPr="001130D9">
      <w:rPr>
        <w:rFonts w:ascii="Times New Roman" w:hAnsi="Times New Roman"/>
        <w:b/>
        <w:sz w:val="24"/>
      </w:rPr>
      <w:tab/>
    </w:r>
    <w:r>
      <w:rPr>
        <w:rFonts w:ascii="Times New Roman" w:hAnsi="Times New Roman"/>
        <w:b/>
        <w:sz w:val="24"/>
      </w:rPr>
      <w:t xml:space="preserve">                November 2014</w:t>
    </w:r>
  </w:p>
  <w:p w:rsidR="00CD0D92" w:rsidRDefault="00CD0D92" w:rsidP="00137820">
    <w:pPr>
      <w:tabs>
        <w:tab w:val="left" w:pos="-720"/>
      </w:tabs>
      <w:suppressAutoHyphens/>
      <w:rPr>
        <w:rFonts w:ascii="Times New Roman" w:hAnsi="Times New Roman"/>
        <w:sz w:val="24"/>
      </w:rPr>
    </w:pPr>
    <w:r>
      <w:rPr>
        <w:rFonts w:ascii="Times New Roman" w:hAnsi="Times New Roman"/>
        <w:b/>
        <w:sz w:val="24"/>
      </w:rPr>
      <w:t>63.18, 63.19, 63.21, 63.24, 63.25 and 1.1311</w:t>
    </w:r>
  </w:p>
  <w:p w:rsidR="00CD0D92" w:rsidRDefault="00CD0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FC2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B35E4B"/>
    <w:multiLevelType w:val="hybridMultilevel"/>
    <w:tmpl w:val="CC72C9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5A51"/>
    <w:multiLevelType w:val="hybridMultilevel"/>
    <w:tmpl w:val="C9CE6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9154DE"/>
    <w:multiLevelType w:val="hybridMultilevel"/>
    <w:tmpl w:val="B65C9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275DD"/>
    <w:multiLevelType w:val="singleLevel"/>
    <w:tmpl w:val="E13AE812"/>
    <w:lvl w:ilvl="0">
      <w:start w:val="12"/>
      <w:numFmt w:val="decimal"/>
      <w:lvlText w:val="%1"/>
      <w:lvlJc w:val="left"/>
      <w:pPr>
        <w:tabs>
          <w:tab w:val="num" w:pos="720"/>
        </w:tabs>
        <w:ind w:left="720" w:hanging="720"/>
      </w:pPr>
      <w:rPr>
        <w:rFonts w:hint="default"/>
      </w:rPr>
    </w:lvl>
  </w:abstractNum>
  <w:abstractNum w:abstractNumId="5">
    <w:nsid w:val="356C41A1"/>
    <w:multiLevelType w:val="hybridMultilevel"/>
    <w:tmpl w:val="B62A21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9529F"/>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D6B15E1"/>
    <w:multiLevelType w:val="singleLevel"/>
    <w:tmpl w:val="3C9EEA1A"/>
    <w:lvl w:ilvl="0">
      <w:start w:val="15"/>
      <w:numFmt w:val="decimal"/>
      <w:lvlText w:val="%1."/>
      <w:lvlJc w:val="left"/>
      <w:pPr>
        <w:tabs>
          <w:tab w:val="num" w:pos="1140"/>
        </w:tabs>
        <w:ind w:left="1140" w:hanging="420"/>
      </w:pPr>
      <w:rPr>
        <w:rFonts w:hint="default"/>
      </w:rPr>
    </w:lvl>
  </w:abstractNum>
  <w:abstractNum w:abstractNumId="9">
    <w:nsid w:val="67685309"/>
    <w:multiLevelType w:val="hybridMultilevel"/>
    <w:tmpl w:val="0D0E0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14C32"/>
    <w:multiLevelType w:val="hybridMultilevel"/>
    <w:tmpl w:val="CC2EA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2"/>
  </w:num>
  <w:num w:numId="6">
    <w:abstractNumId w:val="0"/>
  </w:num>
  <w:num w:numId="7">
    <w:abstractNumId w:val="10"/>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19"/>
    <w:rsid w:val="00000376"/>
    <w:rsid w:val="0000228A"/>
    <w:rsid w:val="00005941"/>
    <w:rsid w:val="000069C1"/>
    <w:rsid w:val="00007DDF"/>
    <w:rsid w:val="00007EF5"/>
    <w:rsid w:val="00011FBF"/>
    <w:rsid w:val="0001306B"/>
    <w:rsid w:val="00016D94"/>
    <w:rsid w:val="00020D6C"/>
    <w:rsid w:val="00024F83"/>
    <w:rsid w:val="00025661"/>
    <w:rsid w:val="00025B8A"/>
    <w:rsid w:val="00026335"/>
    <w:rsid w:val="00026C80"/>
    <w:rsid w:val="000306DD"/>
    <w:rsid w:val="00030AE2"/>
    <w:rsid w:val="00031B92"/>
    <w:rsid w:val="00036B31"/>
    <w:rsid w:val="00040107"/>
    <w:rsid w:val="00040740"/>
    <w:rsid w:val="00044719"/>
    <w:rsid w:val="0004474E"/>
    <w:rsid w:val="000454C0"/>
    <w:rsid w:val="00045B0E"/>
    <w:rsid w:val="0004631D"/>
    <w:rsid w:val="00051364"/>
    <w:rsid w:val="00051AAC"/>
    <w:rsid w:val="00053401"/>
    <w:rsid w:val="00054AF0"/>
    <w:rsid w:val="00055FC0"/>
    <w:rsid w:val="0006255D"/>
    <w:rsid w:val="00063CDD"/>
    <w:rsid w:val="00064B32"/>
    <w:rsid w:val="000651E2"/>
    <w:rsid w:val="000651F5"/>
    <w:rsid w:val="000653D4"/>
    <w:rsid w:val="00065C76"/>
    <w:rsid w:val="00070814"/>
    <w:rsid w:val="00070F71"/>
    <w:rsid w:val="000721D3"/>
    <w:rsid w:val="00073A68"/>
    <w:rsid w:val="00075EB1"/>
    <w:rsid w:val="00081607"/>
    <w:rsid w:val="00081B8F"/>
    <w:rsid w:val="00082D3E"/>
    <w:rsid w:val="0008393C"/>
    <w:rsid w:val="00083EF9"/>
    <w:rsid w:val="00084CFC"/>
    <w:rsid w:val="0008597E"/>
    <w:rsid w:val="00087819"/>
    <w:rsid w:val="000904E5"/>
    <w:rsid w:val="00090CA0"/>
    <w:rsid w:val="000926DE"/>
    <w:rsid w:val="00095961"/>
    <w:rsid w:val="000A1754"/>
    <w:rsid w:val="000A1A3E"/>
    <w:rsid w:val="000A457F"/>
    <w:rsid w:val="000A5265"/>
    <w:rsid w:val="000A6A94"/>
    <w:rsid w:val="000A7A64"/>
    <w:rsid w:val="000B0567"/>
    <w:rsid w:val="000B27D6"/>
    <w:rsid w:val="000B3871"/>
    <w:rsid w:val="000B4124"/>
    <w:rsid w:val="000B4722"/>
    <w:rsid w:val="000B6725"/>
    <w:rsid w:val="000B6957"/>
    <w:rsid w:val="000B72BA"/>
    <w:rsid w:val="000C114E"/>
    <w:rsid w:val="000C361A"/>
    <w:rsid w:val="000C370F"/>
    <w:rsid w:val="000C6173"/>
    <w:rsid w:val="000C6707"/>
    <w:rsid w:val="000D107C"/>
    <w:rsid w:val="000D27EB"/>
    <w:rsid w:val="000D2B19"/>
    <w:rsid w:val="000D4A14"/>
    <w:rsid w:val="000D509A"/>
    <w:rsid w:val="000D6216"/>
    <w:rsid w:val="000D69B7"/>
    <w:rsid w:val="000E6E58"/>
    <w:rsid w:val="000E7D63"/>
    <w:rsid w:val="000F1AE5"/>
    <w:rsid w:val="000F636A"/>
    <w:rsid w:val="00100B72"/>
    <w:rsid w:val="00104E5D"/>
    <w:rsid w:val="00112AD6"/>
    <w:rsid w:val="001130D9"/>
    <w:rsid w:val="0011433D"/>
    <w:rsid w:val="00115C97"/>
    <w:rsid w:val="001216BE"/>
    <w:rsid w:val="001247BE"/>
    <w:rsid w:val="001250BF"/>
    <w:rsid w:val="0012635B"/>
    <w:rsid w:val="00126632"/>
    <w:rsid w:val="00126E7E"/>
    <w:rsid w:val="001302F0"/>
    <w:rsid w:val="00130813"/>
    <w:rsid w:val="001317DD"/>
    <w:rsid w:val="00134A71"/>
    <w:rsid w:val="00135756"/>
    <w:rsid w:val="00136077"/>
    <w:rsid w:val="00137820"/>
    <w:rsid w:val="00140A19"/>
    <w:rsid w:val="00146D8C"/>
    <w:rsid w:val="00147ED3"/>
    <w:rsid w:val="0015036D"/>
    <w:rsid w:val="00150E46"/>
    <w:rsid w:val="00153DBB"/>
    <w:rsid w:val="001556C4"/>
    <w:rsid w:val="00161D80"/>
    <w:rsid w:val="00162927"/>
    <w:rsid w:val="00163DCE"/>
    <w:rsid w:val="001648B1"/>
    <w:rsid w:val="00166C02"/>
    <w:rsid w:val="001708F2"/>
    <w:rsid w:val="0017246D"/>
    <w:rsid w:val="00175464"/>
    <w:rsid w:val="001769C8"/>
    <w:rsid w:val="00176A63"/>
    <w:rsid w:val="001776EE"/>
    <w:rsid w:val="001801FF"/>
    <w:rsid w:val="00180F5F"/>
    <w:rsid w:val="0018301E"/>
    <w:rsid w:val="00186ADB"/>
    <w:rsid w:val="00186D38"/>
    <w:rsid w:val="00187D32"/>
    <w:rsid w:val="00190932"/>
    <w:rsid w:val="001909B3"/>
    <w:rsid w:val="00192045"/>
    <w:rsid w:val="00195B33"/>
    <w:rsid w:val="00196FBB"/>
    <w:rsid w:val="001A1653"/>
    <w:rsid w:val="001A4C24"/>
    <w:rsid w:val="001A4D3C"/>
    <w:rsid w:val="001A7064"/>
    <w:rsid w:val="001B1BA7"/>
    <w:rsid w:val="001B45E8"/>
    <w:rsid w:val="001B5D35"/>
    <w:rsid w:val="001C2021"/>
    <w:rsid w:val="001C4592"/>
    <w:rsid w:val="001C4F60"/>
    <w:rsid w:val="001C6D86"/>
    <w:rsid w:val="001C7370"/>
    <w:rsid w:val="001D2110"/>
    <w:rsid w:val="001D3F84"/>
    <w:rsid w:val="001D4963"/>
    <w:rsid w:val="001D5F91"/>
    <w:rsid w:val="001E196A"/>
    <w:rsid w:val="001E3EA4"/>
    <w:rsid w:val="001E59CB"/>
    <w:rsid w:val="001E6F0B"/>
    <w:rsid w:val="001E732B"/>
    <w:rsid w:val="001F1E6B"/>
    <w:rsid w:val="001F2E54"/>
    <w:rsid w:val="001F3CBF"/>
    <w:rsid w:val="001F415F"/>
    <w:rsid w:val="001F4AE7"/>
    <w:rsid w:val="001F62B2"/>
    <w:rsid w:val="001F66FD"/>
    <w:rsid w:val="002005BD"/>
    <w:rsid w:val="00200D8B"/>
    <w:rsid w:val="0020273C"/>
    <w:rsid w:val="00202E8E"/>
    <w:rsid w:val="0020388B"/>
    <w:rsid w:val="00210933"/>
    <w:rsid w:val="00212BF8"/>
    <w:rsid w:val="00213687"/>
    <w:rsid w:val="0021735A"/>
    <w:rsid w:val="00220B4C"/>
    <w:rsid w:val="00224310"/>
    <w:rsid w:val="002250FF"/>
    <w:rsid w:val="00226DA4"/>
    <w:rsid w:val="002271D4"/>
    <w:rsid w:val="002279CE"/>
    <w:rsid w:val="00227A7A"/>
    <w:rsid w:val="00236142"/>
    <w:rsid w:val="0023619C"/>
    <w:rsid w:val="00240C36"/>
    <w:rsid w:val="00241C10"/>
    <w:rsid w:val="00245548"/>
    <w:rsid w:val="002459E8"/>
    <w:rsid w:val="00247449"/>
    <w:rsid w:val="00251218"/>
    <w:rsid w:val="00252080"/>
    <w:rsid w:val="00253756"/>
    <w:rsid w:val="002557E5"/>
    <w:rsid w:val="00255DB2"/>
    <w:rsid w:val="00257B15"/>
    <w:rsid w:val="00257C28"/>
    <w:rsid w:val="00257C8A"/>
    <w:rsid w:val="00262809"/>
    <w:rsid w:val="00264259"/>
    <w:rsid w:val="0026458D"/>
    <w:rsid w:val="00265154"/>
    <w:rsid w:val="0026618E"/>
    <w:rsid w:val="00267A52"/>
    <w:rsid w:val="00267FFC"/>
    <w:rsid w:val="00271D56"/>
    <w:rsid w:val="00272C23"/>
    <w:rsid w:val="0028082C"/>
    <w:rsid w:val="002822DD"/>
    <w:rsid w:val="00283320"/>
    <w:rsid w:val="00290F89"/>
    <w:rsid w:val="00291146"/>
    <w:rsid w:val="00291E8E"/>
    <w:rsid w:val="00294417"/>
    <w:rsid w:val="002951F0"/>
    <w:rsid w:val="002A0702"/>
    <w:rsid w:val="002A3626"/>
    <w:rsid w:val="002A397B"/>
    <w:rsid w:val="002A3E68"/>
    <w:rsid w:val="002A43BC"/>
    <w:rsid w:val="002A772A"/>
    <w:rsid w:val="002B44EA"/>
    <w:rsid w:val="002B5248"/>
    <w:rsid w:val="002B5716"/>
    <w:rsid w:val="002B5C12"/>
    <w:rsid w:val="002B5E90"/>
    <w:rsid w:val="002B5EB6"/>
    <w:rsid w:val="002B65FF"/>
    <w:rsid w:val="002B6F7E"/>
    <w:rsid w:val="002C2E98"/>
    <w:rsid w:val="002C4CFA"/>
    <w:rsid w:val="002C4E40"/>
    <w:rsid w:val="002D29E7"/>
    <w:rsid w:val="002D5090"/>
    <w:rsid w:val="002D626A"/>
    <w:rsid w:val="002E1084"/>
    <w:rsid w:val="002E2A41"/>
    <w:rsid w:val="002E36D5"/>
    <w:rsid w:val="002E3ACB"/>
    <w:rsid w:val="002E3BF1"/>
    <w:rsid w:val="002E5D9C"/>
    <w:rsid w:val="002E79FD"/>
    <w:rsid w:val="002F184D"/>
    <w:rsid w:val="002F2702"/>
    <w:rsid w:val="002F4387"/>
    <w:rsid w:val="002F5FF6"/>
    <w:rsid w:val="0030345C"/>
    <w:rsid w:val="00304DBB"/>
    <w:rsid w:val="003059F1"/>
    <w:rsid w:val="00306F7A"/>
    <w:rsid w:val="00307B0D"/>
    <w:rsid w:val="00310BD1"/>
    <w:rsid w:val="0031152B"/>
    <w:rsid w:val="00311E27"/>
    <w:rsid w:val="00314CC6"/>
    <w:rsid w:val="00314CF2"/>
    <w:rsid w:val="003159CB"/>
    <w:rsid w:val="00315E95"/>
    <w:rsid w:val="00316BA2"/>
    <w:rsid w:val="003202D2"/>
    <w:rsid w:val="00322B68"/>
    <w:rsid w:val="00323C56"/>
    <w:rsid w:val="0032665C"/>
    <w:rsid w:val="0033018B"/>
    <w:rsid w:val="003304CE"/>
    <w:rsid w:val="00330EA3"/>
    <w:rsid w:val="00332BBE"/>
    <w:rsid w:val="00333418"/>
    <w:rsid w:val="003344E1"/>
    <w:rsid w:val="00335551"/>
    <w:rsid w:val="00343670"/>
    <w:rsid w:val="0034485E"/>
    <w:rsid w:val="003452EB"/>
    <w:rsid w:val="00347146"/>
    <w:rsid w:val="00351EB7"/>
    <w:rsid w:val="003566CB"/>
    <w:rsid w:val="00356969"/>
    <w:rsid w:val="0036130A"/>
    <w:rsid w:val="00361CFF"/>
    <w:rsid w:val="003633DA"/>
    <w:rsid w:val="00363F18"/>
    <w:rsid w:val="003653A2"/>
    <w:rsid w:val="003669C9"/>
    <w:rsid w:val="003703C0"/>
    <w:rsid w:val="00374DE4"/>
    <w:rsid w:val="00375723"/>
    <w:rsid w:val="00376E9A"/>
    <w:rsid w:val="00377124"/>
    <w:rsid w:val="003814FB"/>
    <w:rsid w:val="003816AF"/>
    <w:rsid w:val="003818EA"/>
    <w:rsid w:val="00381C3A"/>
    <w:rsid w:val="00383D11"/>
    <w:rsid w:val="0038524C"/>
    <w:rsid w:val="0038576B"/>
    <w:rsid w:val="00387A20"/>
    <w:rsid w:val="00391BB3"/>
    <w:rsid w:val="00397047"/>
    <w:rsid w:val="00397676"/>
    <w:rsid w:val="00397F3B"/>
    <w:rsid w:val="003A1A30"/>
    <w:rsid w:val="003A21E2"/>
    <w:rsid w:val="003A320D"/>
    <w:rsid w:val="003A4657"/>
    <w:rsid w:val="003A4E5A"/>
    <w:rsid w:val="003A4F35"/>
    <w:rsid w:val="003A5C06"/>
    <w:rsid w:val="003B3C3A"/>
    <w:rsid w:val="003B4889"/>
    <w:rsid w:val="003C30DA"/>
    <w:rsid w:val="003C4AA8"/>
    <w:rsid w:val="003C59E5"/>
    <w:rsid w:val="003C5A4D"/>
    <w:rsid w:val="003D0527"/>
    <w:rsid w:val="003D1859"/>
    <w:rsid w:val="003D4B88"/>
    <w:rsid w:val="003D5768"/>
    <w:rsid w:val="003E010C"/>
    <w:rsid w:val="003E3950"/>
    <w:rsid w:val="003E3F0F"/>
    <w:rsid w:val="003F1C3F"/>
    <w:rsid w:val="003F4445"/>
    <w:rsid w:val="003F6DDF"/>
    <w:rsid w:val="003F7836"/>
    <w:rsid w:val="003F798D"/>
    <w:rsid w:val="003F7A38"/>
    <w:rsid w:val="00401536"/>
    <w:rsid w:val="004050A0"/>
    <w:rsid w:val="00405794"/>
    <w:rsid w:val="00406C1C"/>
    <w:rsid w:val="004079AE"/>
    <w:rsid w:val="00407EAF"/>
    <w:rsid w:val="0041019F"/>
    <w:rsid w:val="00410F8A"/>
    <w:rsid w:val="00412AEF"/>
    <w:rsid w:val="0041312A"/>
    <w:rsid w:val="004151E8"/>
    <w:rsid w:val="00421242"/>
    <w:rsid w:val="004226FA"/>
    <w:rsid w:val="004228AF"/>
    <w:rsid w:val="00422BB9"/>
    <w:rsid w:val="00426948"/>
    <w:rsid w:val="00426DDA"/>
    <w:rsid w:val="00427574"/>
    <w:rsid w:val="004278A4"/>
    <w:rsid w:val="0043011F"/>
    <w:rsid w:val="004307A0"/>
    <w:rsid w:val="00431741"/>
    <w:rsid w:val="0043336A"/>
    <w:rsid w:val="0043530F"/>
    <w:rsid w:val="00437164"/>
    <w:rsid w:val="00437399"/>
    <w:rsid w:val="00437F27"/>
    <w:rsid w:val="00440729"/>
    <w:rsid w:val="0044072A"/>
    <w:rsid w:val="00441844"/>
    <w:rsid w:val="00443D17"/>
    <w:rsid w:val="00443F08"/>
    <w:rsid w:val="00443F73"/>
    <w:rsid w:val="004446F2"/>
    <w:rsid w:val="004460DA"/>
    <w:rsid w:val="00447F4A"/>
    <w:rsid w:val="00450ED4"/>
    <w:rsid w:val="00451DE2"/>
    <w:rsid w:val="00452788"/>
    <w:rsid w:val="00453D1B"/>
    <w:rsid w:val="0045540B"/>
    <w:rsid w:val="00456077"/>
    <w:rsid w:val="00456B37"/>
    <w:rsid w:val="0045747E"/>
    <w:rsid w:val="004579C6"/>
    <w:rsid w:val="004626D6"/>
    <w:rsid w:val="0046323B"/>
    <w:rsid w:val="0046427A"/>
    <w:rsid w:val="004645D0"/>
    <w:rsid w:val="00473D6B"/>
    <w:rsid w:val="004755A0"/>
    <w:rsid w:val="00476EC2"/>
    <w:rsid w:val="00477709"/>
    <w:rsid w:val="004777C9"/>
    <w:rsid w:val="00480A4A"/>
    <w:rsid w:val="00485B8E"/>
    <w:rsid w:val="00485D04"/>
    <w:rsid w:val="00487E3C"/>
    <w:rsid w:val="00493121"/>
    <w:rsid w:val="0049383E"/>
    <w:rsid w:val="00497E26"/>
    <w:rsid w:val="004A14AB"/>
    <w:rsid w:val="004A23A3"/>
    <w:rsid w:val="004A3447"/>
    <w:rsid w:val="004A7EC7"/>
    <w:rsid w:val="004B0B18"/>
    <w:rsid w:val="004B4667"/>
    <w:rsid w:val="004B4CB0"/>
    <w:rsid w:val="004B7129"/>
    <w:rsid w:val="004B74A4"/>
    <w:rsid w:val="004C1372"/>
    <w:rsid w:val="004C1912"/>
    <w:rsid w:val="004C294A"/>
    <w:rsid w:val="004C45F8"/>
    <w:rsid w:val="004D07E5"/>
    <w:rsid w:val="004D1911"/>
    <w:rsid w:val="004D656A"/>
    <w:rsid w:val="004D7DCE"/>
    <w:rsid w:val="004E0ADF"/>
    <w:rsid w:val="004E152D"/>
    <w:rsid w:val="004E3D3F"/>
    <w:rsid w:val="004E5ECA"/>
    <w:rsid w:val="004F22FF"/>
    <w:rsid w:val="004F5627"/>
    <w:rsid w:val="004F620C"/>
    <w:rsid w:val="004F6878"/>
    <w:rsid w:val="004F7F2F"/>
    <w:rsid w:val="005020CD"/>
    <w:rsid w:val="00503CF2"/>
    <w:rsid w:val="00505819"/>
    <w:rsid w:val="0051010A"/>
    <w:rsid w:val="0051185E"/>
    <w:rsid w:val="00512D31"/>
    <w:rsid w:val="005135FE"/>
    <w:rsid w:val="0051421F"/>
    <w:rsid w:val="00514F5B"/>
    <w:rsid w:val="00515FE4"/>
    <w:rsid w:val="00517B93"/>
    <w:rsid w:val="005202EB"/>
    <w:rsid w:val="005202FC"/>
    <w:rsid w:val="00520787"/>
    <w:rsid w:val="00520F7B"/>
    <w:rsid w:val="0052210E"/>
    <w:rsid w:val="00522F5E"/>
    <w:rsid w:val="005239CA"/>
    <w:rsid w:val="00524BDB"/>
    <w:rsid w:val="005254C2"/>
    <w:rsid w:val="00525D82"/>
    <w:rsid w:val="005344A7"/>
    <w:rsid w:val="00534F51"/>
    <w:rsid w:val="00535097"/>
    <w:rsid w:val="00536AC2"/>
    <w:rsid w:val="0054221B"/>
    <w:rsid w:val="00544464"/>
    <w:rsid w:val="00544C39"/>
    <w:rsid w:val="00545B62"/>
    <w:rsid w:val="00551681"/>
    <w:rsid w:val="005528EA"/>
    <w:rsid w:val="005534B0"/>
    <w:rsid w:val="00555A97"/>
    <w:rsid w:val="005565A2"/>
    <w:rsid w:val="00557295"/>
    <w:rsid w:val="00557D52"/>
    <w:rsid w:val="00557ECD"/>
    <w:rsid w:val="00561A0B"/>
    <w:rsid w:val="00561E75"/>
    <w:rsid w:val="00562314"/>
    <w:rsid w:val="005649E5"/>
    <w:rsid w:val="005658E7"/>
    <w:rsid w:val="00565BE7"/>
    <w:rsid w:val="005671B3"/>
    <w:rsid w:val="00570150"/>
    <w:rsid w:val="005702D8"/>
    <w:rsid w:val="005802D9"/>
    <w:rsid w:val="00581C56"/>
    <w:rsid w:val="00582EF0"/>
    <w:rsid w:val="00587FB9"/>
    <w:rsid w:val="005919A0"/>
    <w:rsid w:val="00591B60"/>
    <w:rsid w:val="00594CD3"/>
    <w:rsid w:val="00595422"/>
    <w:rsid w:val="00597879"/>
    <w:rsid w:val="005A0F06"/>
    <w:rsid w:val="005A32B7"/>
    <w:rsid w:val="005A4336"/>
    <w:rsid w:val="005A5FF1"/>
    <w:rsid w:val="005A6147"/>
    <w:rsid w:val="005A7DE7"/>
    <w:rsid w:val="005B1603"/>
    <w:rsid w:val="005B1742"/>
    <w:rsid w:val="005B72A0"/>
    <w:rsid w:val="005B7BB2"/>
    <w:rsid w:val="005C057A"/>
    <w:rsid w:val="005C103E"/>
    <w:rsid w:val="005C2ABA"/>
    <w:rsid w:val="005C345F"/>
    <w:rsid w:val="005D0A24"/>
    <w:rsid w:val="005D145B"/>
    <w:rsid w:val="005D1B8E"/>
    <w:rsid w:val="005D289A"/>
    <w:rsid w:val="005D2A98"/>
    <w:rsid w:val="005D512A"/>
    <w:rsid w:val="005D5728"/>
    <w:rsid w:val="005D662A"/>
    <w:rsid w:val="005E4464"/>
    <w:rsid w:val="005E44F1"/>
    <w:rsid w:val="005E4B42"/>
    <w:rsid w:val="005E50A2"/>
    <w:rsid w:val="005F0604"/>
    <w:rsid w:val="005F3971"/>
    <w:rsid w:val="005F4639"/>
    <w:rsid w:val="005F62A8"/>
    <w:rsid w:val="005F6DD8"/>
    <w:rsid w:val="00600BFD"/>
    <w:rsid w:val="00602D5B"/>
    <w:rsid w:val="006035E5"/>
    <w:rsid w:val="00603988"/>
    <w:rsid w:val="00605A69"/>
    <w:rsid w:val="00610A6D"/>
    <w:rsid w:val="006118F3"/>
    <w:rsid w:val="00611AAC"/>
    <w:rsid w:val="00611ACF"/>
    <w:rsid w:val="006145B9"/>
    <w:rsid w:val="00614A1E"/>
    <w:rsid w:val="006153E4"/>
    <w:rsid w:val="00617463"/>
    <w:rsid w:val="00621EB9"/>
    <w:rsid w:val="00622FF6"/>
    <w:rsid w:val="00625C27"/>
    <w:rsid w:val="006323A7"/>
    <w:rsid w:val="006323A9"/>
    <w:rsid w:val="00632ABE"/>
    <w:rsid w:val="00632B9C"/>
    <w:rsid w:val="006358BE"/>
    <w:rsid w:val="006414F8"/>
    <w:rsid w:val="00641F89"/>
    <w:rsid w:val="006441A6"/>
    <w:rsid w:val="00644DE7"/>
    <w:rsid w:val="00644F93"/>
    <w:rsid w:val="00645F84"/>
    <w:rsid w:val="006470FF"/>
    <w:rsid w:val="00651386"/>
    <w:rsid w:val="00652D0C"/>
    <w:rsid w:val="00653138"/>
    <w:rsid w:val="00653179"/>
    <w:rsid w:val="00654443"/>
    <w:rsid w:val="006563BC"/>
    <w:rsid w:val="006605E7"/>
    <w:rsid w:val="00674C4F"/>
    <w:rsid w:val="00675333"/>
    <w:rsid w:val="00676A14"/>
    <w:rsid w:val="00677783"/>
    <w:rsid w:val="00680D06"/>
    <w:rsid w:val="00682D8A"/>
    <w:rsid w:val="006833E4"/>
    <w:rsid w:val="006841C0"/>
    <w:rsid w:val="00685792"/>
    <w:rsid w:val="006857EF"/>
    <w:rsid w:val="006860C0"/>
    <w:rsid w:val="006863D2"/>
    <w:rsid w:val="00690B89"/>
    <w:rsid w:val="006915B0"/>
    <w:rsid w:val="00691A10"/>
    <w:rsid w:val="00692EA7"/>
    <w:rsid w:val="006936EF"/>
    <w:rsid w:val="006A0AF0"/>
    <w:rsid w:val="006A2489"/>
    <w:rsid w:val="006A297B"/>
    <w:rsid w:val="006A3461"/>
    <w:rsid w:val="006A3F32"/>
    <w:rsid w:val="006A60DC"/>
    <w:rsid w:val="006A6787"/>
    <w:rsid w:val="006B00E0"/>
    <w:rsid w:val="006B02DA"/>
    <w:rsid w:val="006B246C"/>
    <w:rsid w:val="006B32EF"/>
    <w:rsid w:val="006B4ACF"/>
    <w:rsid w:val="006B704D"/>
    <w:rsid w:val="006C0B52"/>
    <w:rsid w:val="006C0F5F"/>
    <w:rsid w:val="006C7951"/>
    <w:rsid w:val="006D1DD0"/>
    <w:rsid w:val="006D3D5E"/>
    <w:rsid w:val="006D46F5"/>
    <w:rsid w:val="006D67FE"/>
    <w:rsid w:val="006D6FAC"/>
    <w:rsid w:val="006D7E2F"/>
    <w:rsid w:val="006E012A"/>
    <w:rsid w:val="006E2971"/>
    <w:rsid w:val="006E7B79"/>
    <w:rsid w:val="006F14D2"/>
    <w:rsid w:val="006F1582"/>
    <w:rsid w:val="006F6A81"/>
    <w:rsid w:val="00700565"/>
    <w:rsid w:val="00702399"/>
    <w:rsid w:val="00703AEE"/>
    <w:rsid w:val="0070522F"/>
    <w:rsid w:val="00706718"/>
    <w:rsid w:val="00713875"/>
    <w:rsid w:val="00714AA5"/>
    <w:rsid w:val="0071505E"/>
    <w:rsid w:val="00715984"/>
    <w:rsid w:val="00721C01"/>
    <w:rsid w:val="007256CF"/>
    <w:rsid w:val="007265E6"/>
    <w:rsid w:val="00731CC1"/>
    <w:rsid w:val="00732134"/>
    <w:rsid w:val="00735B9F"/>
    <w:rsid w:val="0073604D"/>
    <w:rsid w:val="00737CDE"/>
    <w:rsid w:val="007418B8"/>
    <w:rsid w:val="00742B33"/>
    <w:rsid w:val="007432E1"/>
    <w:rsid w:val="00745210"/>
    <w:rsid w:val="007475D8"/>
    <w:rsid w:val="00750AAA"/>
    <w:rsid w:val="00750C42"/>
    <w:rsid w:val="007516F0"/>
    <w:rsid w:val="0075371B"/>
    <w:rsid w:val="007554D9"/>
    <w:rsid w:val="00757CA9"/>
    <w:rsid w:val="007649BC"/>
    <w:rsid w:val="00766CD9"/>
    <w:rsid w:val="00767EDE"/>
    <w:rsid w:val="0077186B"/>
    <w:rsid w:val="00774BEC"/>
    <w:rsid w:val="007813D3"/>
    <w:rsid w:val="00784877"/>
    <w:rsid w:val="00787148"/>
    <w:rsid w:val="007909CF"/>
    <w:rsid w:val="00791064"/>
    <w:rsid w:val="00792B53"/>
    <w:rsid w:val="007942E0"/>
    <w:rsid w:val="007955F7"/>
    <w:rsid w:val="007A0014"/>
    <w:rsid w:val="007A37CC"/>
    <w:rsid w:val="007A5479"/>
    <w:rsid w:val="007A6E22"/>
    <w:rsid w:val="007B79A8"/>
    <w:rsid w:val="007C23B4"/>
    <w:rsid w:val="007C3032"/>
    <w:rsid w:val="007C5207"/>
    <w:rsid w:val="007C7BF9"/>
    <w:rsid w:val="007D00BF"/>
    <w:rsid w:val="007D1410"/>
    <w:rsid w:val="007D2DEF"/>
    <w:rsid w:val="007D561D"/>
    <w:rsid w:val="007D661F"/>
    <w:rsid w:val="007D7551"/>
    <w:rsid w:val="007E045B"/>
    <w:rsid w:val="007E074B"/>
    <w:rsid w:val="007E1DF9"/>
    <w:rsid w:val="007E5045"/>
    <w:rsid w:val="007E505E"/>
    <w:rsid w:val="007E66F9"/>
    <w:rsid w:val="007E6FB3"/>
    <w:rsid w:val="007F0910"/>
    <w:rsid w:val="007F0E22"/>
    <w:rsid w:val="007F2BBB"/>
    <w:rsid w:val="007F347B"/>
    <w:rsid w:val="007F60AB"/>
    <w:rsid w:val="007F7626"/>
    <w:rsid w:val="007F7F6B"/>
    <w:rsid w:val="0080109E"/>
    <w:rsid w:val="00805621"/>
    <w:rsid w:val="0080642B"/>
    <w:rsid w:val="00806FD8"/>
    <w:rsid w:val="00810EE3"/>
    <w:rsid w:val="008123FF"/>
    <w:rsid w:val="008130D4"/>
    <w:rsid w:val="00813176"/>
    <w:rsid w:val="008157EA"/>
    <w:rsid w:val="00815951"/>
    <w:rsid w:val="00816625"/>
    <w:rsid w:val="008173C9"/>
    <w:rsid w:val="008174BA"/>
    <w:rsid w:val="008174E4"/>
    <w:rsid w:val="00817C38"/>
    <w:rsid w:val="00824980"/>
    <w:rsid w:val="00826CF1"/>
    <w:rsid w:val="00826E8C"/>
    <w:rsid w:val="00827E02"/>
    <w:rsid w:val="00830BCE"/>
    <w:rsid w:val="00831680"/>
    <w:rsid w:val="00832A0F"/>
    <w:rsid w:val="00833408"/>
    <w:rsid w:val="00834B23"/>
    <w:rsid w:val="0084002C"/>
    <w:rsid w:val="0084065E"/>
    <w:rsid w:val="00841714"/>
    <w:rsid w:val="00843072"/>
    <w:rsid w:val="00845BC9"/>
    <w:rsid w:val="00845DEC"/>
    <w:rsid w:val="00846672"/>
    <w:rsid w:val="00846A30"/>
    <w:rsid w:val="00847AB7"/>
    <w:rsid w:val="008502BC"/>
    <w:rsid w:val="00851CE8"/>
    <w:rsid w:val="00853561"/>
    <w:rsid w:val="00853B8A"/>
    <w:rsid w:val="0085580E"/>
    <w:rsid w:val="0085685D"/>
    <w:rsid w:val="008579B1"/>
    <w:rsid w:val="00860059"/>
    <w:rsid w:val="0086008D"/>
    <w:rsid w:val="0086080B"/>
    <w:rsid w:val="00860E65"/>
    <w:rsid w:val="0086350B"/>
    <w:rsid w:val="008646AB"/>
    <w:rsid w:val="00864D77"/>
    <w:rsid w:val="00864EAF"/>
    <w:rsid w:val="00865FE5"/>
    <w:rsid w:val="00866AF5"/>
    <w:rsid w:val="00867BD6"/>
    <w:rsid w:val="0087132F"/>
    <w:rsid w:val="008728E3"/>
    <w:rsid w:val="00874246"/>
    <w:rsid w:val="00875322"/>
    <w:rsid w:val="0088090F"/>
    <w:rsid w:val="00880BD3"/>
    <w:rsid w:val="00881895"/>
    <w:rsid w:val="00881B6E"/>
    <w:rsid w:val="00882570"/>
    <w:rsid w:val="0088301D"/>
    <w:rsid w:val="0088482F"/>
    <w:rsid w:val="008857D6"/>
    <w:rsid w:val="0088676A"/>
    <w:rsid w:val="00886C24"/>
    <w:rsid w:val="00886D6B"/>
    <w:rsid w:val="00886E2C"/>
    <w:rsid w:val="0089023E"/>
    <w:rsid w:val="00891076"/>
    <w:rsid w:val="00891682"/>
    <w:rsid w:val="0089199F"/>
    <w:rsid w:val="008A314F"/>
    <w:rsid w:val="008A359A"/>
    <w:rsid w:val="008A674E"/>
    <w:rsid w:val="008A795E"/>
    <w:rsid w:val="008B1763"/>
    <w:rsid w:val="008B2C14"/>
    <w:rsid w:val="008B390E"/>
    <w:rsid w:val="008B47BD"/>
    <w:rsid w:val="008B5AF2"/>
    <w:rsid w:val="008B66D7"/>
    <w:rsid w:val="008B7C87"/>
    <w:rsid w:val="008C1564"/>
    <w:rsid w:val="008C17FC"/>
    <w:rsid w:val="008C1A18"/>
    <w:rsid w:val="008C294C"/>
    <w:rsid w:val="008C7310"/>
    <w:rsid w:val="008C7D38"/>
    <w:rsid w:val="008D09FE"/>
    <w:rsid w:val="008D0F13"/>
    <w:rsid w:val="008D2294"/>
    <w:rsid w:val="008D266A"/>
    <w:rsid w:val="008D2B7B"/>
    <w:rsid w:val="008D3B18"/>
    <w:rsid w:val="008D3B81"/>
    <w:rsid w:val="008D4E2A"/>
    <w:rsid w:val="008D7B21"/>
    <w:rsid w:val="008E2BEF"/>
    <w:rsid w:val="008E2C92"/>
    <w:rsid w:val="008E4848"/>
    <w:rsid w:val="008E676F"/>
    <w:rsid w:val="008F0EFA"/>
    <w:rsid w:val="008F5CAF"/>
    <w:rsid w:val="0090039E"/>
    <w:rsid w:val="00902E72"/>
    <w:rsid w:val="0090374F"/>
    <w:rsid w:val="00904524"/>
    <w:rsid w:val="00905252"/>
    <w:rsid w:val="00907642"/>
    <w:rsid w:val="0091292F"/>
    <w:rsid w:val="00913E18"/>
    <w:rsid w:val="00920C72"/>
    <w:rsid w:val="00920FAC"/>
    <w:rsid w:val="0092248C"/>
    <w:rsid w:val="00923408"/>
    <w:rsid w:val="00923BCD"/>
    <w:rsid w:val="0092418E"/>
    <w:rsid w:val="009248D7"/>
    <w:rsid w:val="009254DF"/>
    <w:rsid w:val="00926A10"/>
    <w:rsid w:val="00927091"/>
    <w:rsid w:val="00930142"/>
    <w:rsid w:val="00930BD7"/>
    <w:rsid w:val="0093214D"/>
    <w:rsid w:val="00935345"/>
    <w:rsid w:val="00935B56"/>
    <w:rsid w:val="00935CF5"/>
    <w:rsid w:val="009362DE"/>
    <w:rsid w:val="0093654D"/>
    <w:rsid w:val="00941FC7"/>
    <w:rsid w:val="0094328B"/>
    <w:rsid w:val="009454E6"/>
    <w:rsid w:val="00947264"/>
    <w:rsid w:val="0095214C"/>
    <w:rsid w:val="00952757"/>
    <w:rsid w:val="00952A97"/>
    <w:rsid w:val="00956E50"/>
    <w:rsid w:val="00960A79"/>
    <w:rsid w:val="00960E94"/>
    <w:rsid w:val="0096123A"/>
    <w:rsid w:val="00961487"/>
    <w:rsid w:val="009619C1"/>
    <w:rsid w:val="00966364"/>
    <w:rsid w:val="00967BE5"/>
    <w:rsid w:val="009716D7"/>
    <w:rsid w:val="00973EC3"/>
    <w:rsid w:val="00974013"/>
    <w:rsid w:val="00975CF3"/>
    <w:rsid w:val="00986372"/>
    <w:rsid w:val="00986587"/>
    <w:rsid w:val="009866D2"/>
    <w:rsid w:val="00993AEB"/>
    <w:rsid w:val="00994843"/>
    <w:rsid w:val="00995D06"/>
    <w:rsid w:val="009967E4"/>
    <w:rsid w:val="0099741D"/>
    <w:rsid w:val="009A04B1"/>
    <w:rsid w:val="009A0614"/>
    <w:rsid w:val="009A41AE"/>
    <w:rsid w:val="009A446F"/>
    <w:rsid w:val="009A45CC"/>
    <w:rsid w:val="009A58B4"/>
    <w:rsid w:val="009B0535"/>
    <w:rsid w:val="009B1248"/>
    <w:rsid w:val="009B15AF"/>
    <w:rsid w:val="009B3AF0"/>
    <w:rsid w:val="009B4D50"/>
    <w:rsid w:val="009B503F"/>
    <w:rsid w:val="009B5480"/>
    <w:rsid w:val="009C01B8"/>
    <w:rsid w:val="009C0C4E"/>
    <w:rsid w:val="009C1711"/>
    <w:rsid w:val="009C334E"/>
    <w:rsid w:val="009C38D7"/>
    <w:rsid w:val="009C5428"/>
    <w:rsid w:val="009D0F52"/>
    <w:rsid w:val="009D0FA9"/>
    <w:rsid w:val="009D12D9"/>
    <w:rsid w:val="009D43F1"/>
    <w:rsid w:val="009E4B10"/>
    <w:rsid w:val="009F01AC"/>
    <w:rsid w:val="009F7CE8"/>
    <w:rsid w:val="00A0322E"/>
    <w:rsid w:val="00A05348"/>
    <w:rsid w:val="00A058C4"/>
    <w:rsid w:val="00A05C2C"/>
    <w:rsid w:val="00A06BFD"/>
    <w:rsid w:val="00A11E83"/>
    <w:rsid w:val="00A134C6"/>
    <w:rsid w:val="00A14CA7"/>
    <w:rsid w:val="00A1548A"/>
    <w:rsid w:val="00A2211B"/>
    <w:rsid w:val="00A252C3"/>
    <w:rsid w:val="00A25C1A"/>
    <w:rsid w:val="00A2698F"/>
    <w:rsid w:val="00A27977"/>
    <w:rsid w:val="00A32286"/>
    <w:rsid w:val="00A34CD0"/>
    <w:rsid w:val="00A34E6F"/>
    <w:rsid w:val="00A3555E"/>
    <w:rsid w:val="00A4229C"/>
    <w:rsid w:val="00A43451"/>
    <w:rsid w:val="00A50DF2"/>
    <w:rsid w:val="00A50E82"/>
    <w:rsid w:val="00A513CA"/>
    <w:rsid w:val="00A51569"/>
    <w:rsid w:val="00A51664"/>
    <w:rsid w:val="00A53E10"/>
    <w:rsid w:val="00A60671"/>
    <w:rsid w:val="00A6305E"/>
    <w:rsid w:val="00A71639"/>
    <w:rsid w:val="00A71A15"/>
    <w:rsid w:val="00A7306D"/>
    <w:rsid w:val="00A74955"/>
    <w:rsid w:val="00A7563C"/>
    <w:rsid w:val="00A75DA1"/>
    <w:rsid w:val="00A76EC3"/>
    <w:rsid w:val="00A80C59"/>
    <w:rsid w:val="00A81B21"/>
    <w:rsid w:val="00A82DC6"/>
    <w:rsid w:val="00A837C0"/>
    <w:rsid w:val="00A86C72"/>
    <w:rsid w:val="00A90261"/>
    <w:rsid w:val="00A910D7"/>
    <w:rsid w:val="00A9146B"/>
    <w:rsid w:val="00A92D41"/>
    <w:rsid w:val="00A9314E"/>
    <w:rsid w:val="00A9486F"/>
    <w:rsid w:val="00A94C3F"/>
    <w:rsid w:val="00AA0137"/>
    <w:rsid w:val="00AA11AC"/>
    <w:rsid w:val="00AA614E"/>
    <w:rsid w:val="00AA739B"/>
    <w:rsid w:val="00AB094E"/>
    <w:rsid w:val="00AB1ACB"/>
    <w:rsid w:val="00AB25E8"/>
    <w:rsid w:val="00AB2C56"/>
    <w:rsid w:val="00AB2CA9"/>
    <w:rsid w:val="00AB374C"/>
    <w:rsid w:val="00AB50ED"/>
    <w:rsid w:val="00AB5776"/>
    <w:rsid w:val="00AC4271"/>
    <w:rsid w:val="00AC4B60"/>
    <w:rsid w:val="00AC4DEB"/>
    <w:rsid w:val="00AC7151"/>
    <w:rsid w:val="00AD098E"/>
    <w:rsid w:val="00AD0EE3"/>
    <w:rsid w:val="00AD221B"/>
    <w:rsid w:val="00AD3066"/>
    <w:rsid w:val="00AD41E3"/>
    <w:rsid w:val="00AD7D16"/>
    <w:rsid w:val="00AD7D20"/>
    <w:rsid w:val="00AD7EC1"/>
    <w:rsid w:val="00AD7F33"/>
    <w:rsid w:val="00AE0C83"/>
    <w:rsid w:val="00AE2BBE"/>
    <w:rsid w:val="00AE3166"/>
    <w:rsid w:val="00AE32BC"/>
    <w:rsid w:val="00AE651B"/>
    <w:rsid w:val="00AE7E38"/>
    <w:rsid w:val="00AF119B"/>
    <w:rsid w:val="00AF1718"/>
    <w:rsid w:val="00AF3A13"/>
    <w:rsid w:val="00AF466C"/>
    <w:rsid w:val="00AF6328"/>
    <w:rsid w:val="00AF70B7"/>
    <w:rsid w:val="00B03EA0"/>
    <w:rsid w:val="00B04AB1"/>
    <w:rsid w:val="00B06BAB"/>
    <w:rsid w:val="00B100FA"/>
    <w:rsid w:val="00B12664"/>
    <w:rsid w:val="00B14A9C"/>
    <w:rsid w:val="00B16BDA"/>
    <w:rsid w:val="00B2180C"/>
    <w:rsid w:val="00B22A0F"/>
    <w:rsid w:val="00B24884"/>
    <w:rsid w:val="00B303D7"/>
    <w:rsid w:val="00B33B1A"/>
    <w:rsid w:val="00B344E6"/>
    <w:rsid w:val="00B42DBB"/>
    <w:rsid w:val="00B46B25"/>
    <w:rsid w:val="00B472B8"/>
    <w:rsid w:val="00B47EB8"/>
    <w:rsid w:val="00B50E47"/>
    <w:rsid w:val="00B50F5A"/>
    <w:rsid w:val="00B5189A"/>
    <w:rsid w:val="00B54E22"/>
    <w:rsid w:val="00B56BE5"/>
    <w:rsid w:val="00B57685"/>
    <w:rsid w:val="00B6040B"/>
    <w:rsid w:val="00B60D6B"/>
    <w:rsid w:val="00B63ABC"/>
    <w:rsid w:val="00B64DA8"/>
    <w:rsid w:val="00B660D0"/>
    <w:rsid w:val="00B66AB6"/>
    <w:rsid w:val="00B7062E"/>
    <w:rsid w:val="00B74797"/>
    <w:rsid w:val="00B765A5"/>
    <w:rsid w:val="00B822C6"/>
    <w:rsid w:val="00B82D31"/>
    <w:rsid w:val="00B87BBC"/>
    <w:rsid w:val="00B90556"/>
    <w:rsid w:val="00B918AD"/>
    <w:rsid w:val="00B91A8F"/>
    <w:rsid w:val="00B92A79"/>
    <w:rsid w:val="00B92F5F"/>
    <w:rsid w:val="00B93051"/>
    <w:rsid w:val="00B946B5"/>
    <w:rsid w:val="00B97982"/>
    <w:rsid w:val="00BA0AFA"/>
    <w:rsid w:val="00BA1662"/>
    <w:rsid w:val="00BA1E01"/>
    <w:rsid w:val="00BA26ED"/>
    <w:rsid w:val="00BA4606"/>
    <w:rsid w:val="00BA4788"/>
    <w:rsid w:val="00BA781A"/>
    <w:rsid w:val="00BB01C6"/>
    <w:rsid w:val="00BB1518"/>
    <w:rsid w:val="00BB4BB3"/>
    <w:rsid w:val="00BB5471"/>
    <w:rsid w:val="00BB701F"/>
    <w:rsid w:val="00BB7E46"/>
    <w:rsid w:val="00BC0274"/>
    <w:rsid w:val="00BC097C"/>
    <w:rsid w:val="00BC2341"/>
    <w:rsid w:val="00BC7E19"/>
    <w:rsid w:val="00BD12FA"/>
    <w:rsid w:val="00BD586E"/>
    <w:rsid w:val="00BD5EBC"/>
    <w:rsid w:val="00BD7E58"/>
    <w:rsid w:val="00BE0B1A"/>
    <w:rsid w:val="00BE0C30"/>
    <w:rsid w:val="00BE4EA8"/>
    <w:rsid w:val="00BE7323"/>
    <w:rsid w:val="00BF00E7"/>
    <w:rsid w:val="00BF0582"/>
    <w:rsid w:val="00BF1257"/>
    <w:rsid w:val="00BF282A"/>
    <w:rsid w:val="00BF4CC6"/>
    <w:rsid w:val="00BF4E9C"/>
    <w:rsid w:val="00BF5BBF"/>
    <w:rsid w:val="00BF5C6F"/>
    <w:rsid w:val="00BF5EC4"/>
    <w:rsid w:val="00BF7BDD"/>
    <w:rsid w:val="00BF7D4B"/>
    <w:rsid w:val="00C0525D"/>
    <w:rsid w:val="00C076EE"/>
    <w:rsid w:val="00C141F8"/>
    <w:rsid w:val="00C143F7"/>
    <w:rsid w:val="00C16B76"/>
    <w:rsid w:val="00C2132D"/>
    <w:rsid w:val="00C25BCE"/>
    <w:rsid w:val="00C26BDF"/>
    <w:rsid w:val="00C302A3"/>
    <w:rsid w:val="00C32E4B"/>
    <w:rsid w:val="00C4172A"/>
    <w:rsid w:val="00C46BDD"/>
    <w:rsid w:val="00C470D5"/>
    <w:rsid w:val="00C478EC"/>
    <w:rsid w:val="00C553B5"/>
    <w:rsid w:val="00C6000D"/>
    <w:rsid w:val="00C610CB"/>
    <w:rsid w:val="00C64B74"/>
    <w:rsid w:val="00C65447"/>
    <w:rsid w:val="00C67244"/>
    <w:rsid w:val="00C67D14"/>
    <w:rsid w:val="00C75796"/>
    <w:rsid w:val="00C7733C"/>
    <w:rsid w:val="00C80E0C"/>
    <w:rsid w:val="00C84200"/>
    <w:rsid w:val="00C856EE"/>
    <w:rsid w:val="00C86E73"/>
    <w:rsid w:val="00C87431"/>
    <w:rsid w:val="00C918AC"/>
    <w:rsid w:val="00C967E9"/>
    <w:rsid w:val="00C97095"/>
    <w:rsid w:val="00C97B75"/>
    <w:rsid w:val="00CA172E"/>
    <w:rsid w:val="00CA2B65"/>
    <w:rsid w:val="00CA4A9C"/>
    <w:rsid w:val="00CA4AE9"/>
    <w:rsid w:val="00CA4D11"/>
    <w:rsid w:val="00CA6684"/>
    <w:rsid w:val="00CA6952"/>
    <w:rsid w:val="00CA7E6F"/>
    <w:rsid w:val="00CB1405"/>
    <w:rsid w:val="00CB31F9"/>
    <w:rsid w:val="00CB3C03"/>
    <w:rsid w:val="00CB561D"/>
    <w:rsid w:val="00CB67AC"/>
    <w:rsid w:val="00CC1598"/>
    <w:rsid w:val="00CC5F17"/>
    <w:rsid w:val="00CC6C02"/>
    <w:rsid w:val="00CC6F4A"/>
    <w:rsid w:val="00CD0D92"/>
    <w:rsid w:val="00CD1167"/>
    <w:rsid w:val="00CD229C"/>
    <w:rsid w:val="00CD331C"/>
    <w:rsid w:val="00CD534A"/>
    <w:rsid w:val="00CD732D"/>
    <w:rsid w:val="00CE1398"/>
    <w:rsid w:val="00CE26EC"/>
    <w:rsid w:val="00CE3F4F"/>
    <w:rsid w:val="00CE3F5E"/>
    <w:rsid w:val="00CE433B"/>
    <w:rsid w:val="00CE4A14"/>
    <w:rsid w:val="00CF042F"/>
    <w:rsid w:val="00CF549A"/>
    <w:rsid w:val="00D06336"/>
    <w:rsid w:val="00D122FA"/>
    <w:rsid w:val="00D16193"/>
    <w:rsid w:val="00D17FB8"/>
    <w:rsid w:val="00D20672"/>
    <w:rsid w:val="00D20AEC"/>
    <w:rsid w:val="00D22B32"/>
    <w:rsid w:val="00D2324D"/>
    <w:rsid w:val="00D30DBF"/>
    <w:rsid w:val="00D32C4E"/>
    <w:rsid w:val="00D362D2"/>
    <w:rsid w:val="00D369FC"/>
    <w:rsid w:val="00D379CF"/>
    <w:rsid w:val="00D4080B"/>
    <w:rsid w:val="00D41482"/>
    <w:rsid w:val="00D4330B"/>
    <w:rsid w:val="00D43535"/>
    <w:rsid w:val="00D44C88"/>
    <w:rsid w:val="00D45691"/>
    <w:rsid w:val="00D46302"/>
    <w:rsid w:val="00D47283"/>
    <w:rsid w:val="00D505A7"/>
    <w:rsid w:val="00D54D8C"/>
    <w:rsid w:val="00D56BD2"/>
    <w:rsid w:val="00D56D16"/>
    <w:rsid w:val="00D6305F"/>
    <w:rsid w:val="00D63B86"/>
    <w:rsid w:val="00D649D9"/>
    <w:rsid w:val="00D64C16"/>
    <w:rsid w:val="00D70B52"/>
    <w:rsid w:val="00D70CB9"/>
    <w:rsid w:val="00D74A38"/>
    <w:rsid w:val="00D74A63"/>
    <w:rsid w:val="00D778D0"/>
    <w:rsid w:val="00D82589"/>
    <w:rsid w:val="00D83D23"/>
    <w:rsid w:val="00D84F0D"/>
    <w:rsid w:val="00D8721E"/>
    <w:rsid w:val="00D9000E"/>
    <w:rsid w:val="00D91D5E"/>
    <w:rsid w:val="00D93745"/>
    <w:rsid w:val="00D9418F"/>
    <w:rsid w:val="00D945DE"/>
    <w:rsid w:val="00D94A75"/>
    <w:rsid w:val="00D972E9"/>
    <w:rsid w:val="00D97BC2"/>
    <w:rsid w:val="00DA1675"/>
    <w:rsid w:val="00DA175E"/>
    <w:rsid w:val="00DA3A16"/>
    <w:rsid w:val="00DA5BEB"/>
    <w:rsid w:val="00DA7435"/>
    <w:rsid w:val="00DB07BB"/>
    <w:rsid w:val="00DB5851"/>
    <w:rsid w:val="00DB6ECF"/>
    <w:rsid w:val="00DB716B"/>
    <w:rsid w:val="00DC006E"/>
    <w:rsid w:val="00DC037C"/>
    <w:rsid w:val="00DC0554"/>
    <w:rsid w:val="00DC3B69"/>
    <w:rsid w:val="00DC5E7B"/>
    <w:rsid w:val="00DD0734"/>
    <w:rsid w:val="00DD3002"/>
    <w:rsid w:val="00DD5468"/>
    <w:rsid w:val="00DD5CE7"/>
    <w:rsid w:val="00DD616A"/>
    <w:rsid w:val="00DE28E8"/>
    <w:rsid w:val="00DE2ABC"/>
    <w:rsid w:val="00DE4ACB"/>
    <w:rsid w:val="00DE57C0"/>
    <w:rsid w:val="00DF3D9A"/>
    <w:rsid w:val="00DF5317"/>
    <w:rsid w:val="00DF53AE"/>
    <w:rsid w:val="00DF5C7D"/>
    <w:rsid w:val="00E03350"/>
    <w:rsid w:val="00E037F2"/>
    <w:rsid w:val="00E03AA1"/>
    <w:rsid w:val="00E0592F"/>
    <w:rsid w:val="00E114EA"/>
    <w:rsid w:val="00E12521"/>
    <w:rsid w:val="00E14843"/>
    <w:rsid w:val="00E16C48"/>
    <w:rsid w:val="00E176AB"/>
    <w:rsid w:val="00E22448"/>
    <w:rsid w:val="00E22E4C"/>
    <w:rsid w:val="00E27300"/>
    <w:rsid w:val="00E319A6"/>
    <w:rsid w:val="00E32FA1"/>
    <w:rsid w:val="00E33892"/>
    <w:rsid w:val="00E341E8"/>
    <w:rsid w:val="00E34B43"/>
    <w:rsid w:val="00E37635"/>
    <w:rsid w:val="00E37BA9"/>
    <w:rsid w:val="00E37F4D"/>
    <w:rsid w:val="00E40891"/>
    <w:rsid w:val="00E430C0"/>
    <w:rsid w:val="00E44718"/>
    <w:rsid w:val="00E447E9"/>
    <w:rsid w:val="00E44A09"/>
    <w:rsid w:val="00E44BA2"/>
    <w:rsid w:val="00E45BE4"/>
    <w:rsid w:val="00E46393"/>
    <w:rsid w:val="00E5149D"/>
    <w:rsid w:val="00E51C4F"/>
    <w:rsid w:val="00E51F8B"/>
    <w:rsid w:val="00E548F2"/>
    <w:rsid w:val="00E55034"/>
    <w:rsid w:val="00E55E62"/>
    <w:rsid w:val="00E5719D"/>
    <w:rsid w:val="00E574B2"/>
    <w:rsid w:val="00E578D9"/>
    <w:rsid w:val="00E609FD"/>
    <w:rsid w:val="00E616C8"/>
    <w:rsid w:val="00E62B43"/>
    <w:rsid w:val="00E6421B"/>
    <w:rsid w:val="00E65219"/>
    <w:rsid w:val="00E66F30"/>
    <w:rsid w:val="00E6771D"/>
    <w:rsid w:val="00E70D02"/>
    <w:rsid w:val="00E70E41"/>
    <w:rsid w:val="00E715B2"/>
    <w:rsid w:val="00E735B7"/>
    <w:rsid w:val="00E75F09"/>
    <w:rsid w:val="00E7690C"/>
    <w:rsid w:val="00E77D90"/>
    <w:rsid w:val="00E800C4"/>
    <w:rsid w:val="00E800F6"/>
    <w:rsid w:val="00E8190A"/>
    <w:rsid w:val="00E82CE9"/>
    <w:rsid w:val="00E839F7"/>
    <w:rsid w:val="00E85756"/>
    <w:rsid w:val="00E91024"/>
    <w:rsid w:val="00E91279"/>
    <w:rsid w:val="00E928C4"/>
    <w:rsid w:val="00E93308"/>
    <w:rsid w:val="00E93627"/>
    <w:rsid w:val="00E93646"/>
    <w:rsid w:val="00E97221"/>
    <w:rsid w:val="00E9799E"/>
    <w:rsid w:val="00EA0C4F"/>
    <w:rsid w:val="00EA114F"/>
    <w:rsid w:val="00EA462E"/>
    <w:rsid w:val="00EA5B2A"/>
    <w:rsid w:val="00EB152B"/>
    <w:rsid w:val="00EB5A61"/>
    <w:rsid w:val="00EC1C66"/>
    <w:rsid w:val="00EC2135"/>
    <w:rsid w:val="00EC269A"/>
    <w:rsid w:val="00EC2D20"/>
    <w:rsid w:val="00EC3136"/>
    <w:rsid w:val="00EC5660"/>
    <w:rsid w:val="00EC6B38"/>
    <w:rsid w:val="00ED2FAD"/>
    <w:rsid w:val="00ED33B5"/>
    <w:rsid w:val="00ED6938"/>
    <w:rsid w:val="00ED7D2D"/>
    <w:rsid w:val="00EE0404"/>
    <w:rsid w:val="00EE0D52"/>
    <w:rsid w:val="00EE1252"/>
    <w:rsid w:val="00EE3057"/>
    <w:rsid w:val="00EE3D3A"/>
    <w:rsid w:val="00EE5839"/>
    <w:rsid w:val="00EF25A3"/>
    <w:rsid w:val="00EF4DB8"/>
    <w:rsid w:val="00EF5400"/>
    <w:rsid w:val="00EF5ECF"/>
    <w:rsid w:val="00F051BF"/>
    <w:rsid w:val="00F05803"/>
    <w:rsid w:val="00F07EC6"/>
    <w:rsid w:val="00F10345"/>
    <w:rsid w:val="00F10403"/>
    <w:rsid w:val="00F1423C"/>
    <w:rsid w:val="00F14248"/>
    <w:rsid w:val="00F15155"/>
    <w:rsid w:val="00F16645"/>
    <w:rsid w:val="00F21712"/>
    <w:rsid w:val="00F2215B"/>
    <w:rsid w:val="00F224E0"/>
    <w:rsid w:val="00F2313B"/>
    <w:rsid w:val="00F23BC8"/>
    <w:rsid w:val="00F25EB1"/>
    <w:rsid w:val="00F32DF2"/>
    <w:rsid w:val="00F34112"/>
    <w:rsid w:val="00F34754"/>
    <w:rsid w:val="00F36A34"/>
    <w:rsid w:val="00F36D71"/>
    <w:rsid w:val="00F408EF"/>
    <w:rsid w:val="00F40BF9"/>
    <w:rsid w:val="00F418CA"/>
    <w:rsid w:val="00F42B57"/>
    <w:rsid w:val="00F44353"/>
    <w:rsid w:val="00F45D3F"/>
    <w:rsid w:val="00F46ADC"/>
    <w:rsid w:val="00F47290"/>
    <w:rsid w:val="00F47B18"/>
    <w:rsid w:val="00F500DC"/>
    <w:rsid w:val="00F50640"/>
    <w:rsid w:val="00F50A50"/>
    <w:rsid w:val="00F51081"/>
    <w:rsid w:val="00F516FA"/>
    <w:rsid w:val="00F54AC2"/>
    <w:rsid w:val="00F55876"/>
    <w:rsid w:val="00F60576"/>
    <w:rsid w:val="00F606BD"/>
    <w:rsid w:val="00F60DF0"/>
    <w:rsid w:val="00F61EFA"/>
    <w:rsid w:val="00F64874"/>
    <w:rsid w:val="00F64E68"/>
    <w:rsid w:val="00F66AA8"/>
    <w:rsid w:val="00F70368"/>
    <w:rsid w:val="00F70F07"/>
    <w:rsid w:val="00F75117"/>
    <w:rsid w:val="00F76B61"/>
    <w:rsid w:val="00F854AD"/>
    <w:rsid w:val="00F86E14"/>
    <w:rsid w:val="00F907B4"/>
    <w:rsid w:val="00F9153D"/>
    <w:rsid w:val="00F91F45"/>
    <w:rsid w:val="00F9486A"/>
    <w:rsid w:val="00F97BD9"/>
    <w:rsid w:val="00FA0601"/>
    <w:rsid w:val="00FA3F88"/>
    <w:rsid w:val="00FA7E2F"/>
    <w:rsid w:val="00FB1CC3"/>
    <w:rsid w:val="00FB3416"/>
    <w:rsid w:val="00FB3686"/>
    <w:rsid w:val="00FB6E8E"/>
    <w:rsid w:val="00FC0CB1"/>
    <w:rsid w:val="00FC2AD1"/>
    <w:rsid w:val="00FC2DF1"/>
    <w:rsid w:val="00FC2E2F"/>
    <w:rsid w:val="00FC6D17"/>
    <w:rsid w:val="00FC726A"/>
    <w:rsid w:val="00FC7E2E"/>
    <w:rsid w:val="00FD0CEF"/>
    <w:rsid w:val="00FD0D6E"/>
    <w:rsid w:val="00FD24E4"/>
    <w:rsid w:val="00FD2E32"/>
    <w:rsid w:val="00FD3663"/>
    <w:rsid w:val="00FD466B"/>
    <w:rsid w:val="00FD5505"/>
    <w:rsid w:val="00FD5AC7"/>
    <w:rsid w:val="00FD6163"/>
    <w:rsid w:val="00FD6E9E"/>
    <w:rsid w:val="00FE090B"/>
    <w:rsid w:val="00FE105C"/>
    <w:rsid w:val="00FE4331"/>
    <w:rsid w:val="00FE4DCA"/>
    <w:rsid w:val="00FE67F6"/>
    <w:rsid w:val="00FE6AA6"/>
    <w:rsid w:val="00FE7B7D"/>
    <w:rsid w:val="00FF3594"/>
    <w:rsid w:val="00FF4979"/>
    <w:rsid w:val="00FF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9251">
      <w:bodyDiv w:val="1"/>
      <w:marLeft w:val="0"/>
      <w:marRight w:val="0"/>
      <w:marTop w:val="0"/>
      <w:marBottom w:val="0"/>
      <w:divBdr>
        <w:top w:val="none" w:sz="0" w:space="0" w:color="auto"/>
        <w:left w:val="none" w:sz="0" w:space="0" w:color="auto"/>
        <w:bottom w:val="none" w:sz="0" w:space="0" w:color="auto"/>
        <w:right w:val="none" w:sz="0" w:space="0" w:color="auto"/>
      </w:divBdr>
    </w:div>
    <w:div w:id="793522142">
      <w:bodyDiv w:val="1"/>
      <w:marLeft w:val="0"/>
      <w:marRight w:val="0"/>
      <w:marTop w:val="0"/>
      <w:marBottom w:val="0"/>
      <w:divBdr>
        <w:top w:val="none" w:sz="0" w:space="0" w:color="auto"/>
        <w:left w:val="none" w:sz="0" w:space="0" w:color="auto"/>
        <w:bottom w:val="none" w:sz="0" w:space="0" w:color="auto"/>
        <w:right w:val="none" w:sz="0" w:space="0" w:color="auto"/>
      </w:divBdr>
    </w:div>
    <w:div w:id="886798019">
      <w:bodyDiv w:val="1"/>
      <w:marLeft w:val="0"/>
      <w:marRight w:val="0"/>
      <w:marTop w:val="0"/>
      <w:marBottom w:val="0"/>
      <w:divBdr>
        <w:top w:val="none" w:sz="0" w:space="0" w:color="auto"/>
        <w:left w:val="none" w:sz="0" w:space="0" w:color="auto"/>
        <w:bottom w:val="none" w:sz="0" w:space="0" w:color="auto"/>
        <w:right w:val="none" w:sz="0" w:space="0" w:color="auto"/>
      </w:divBdr>
    </w:div>
    <w:div w:id="13338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gov/i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to.org/english/thewto_e/whatis_e/tif_e/org6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A164-5220-48AE-BAE5-5F0AC18F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6851</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45811</CharactersWithSpaces>
  <SharedDoc>false</SharedDoc>
  <HLinks>
    <vt:vector size="6" baseType="variant">
      <vt:variant>
        <vt:i4>5636189</vt:i4>
      </vt:variant>
      <vt:variant>
        <vt:i4>0</vt:i4>
      </vt:variant>
      <vt:variant>
        <vt:i4>0</vt:i4>
      </vt:variant>
      <vt:variant>
        <vt:i4>5</vt:i4>
      </vt:variant>
      <vt:variant>
        <vt:lpwstr>http://www.fcc.gov/ib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DAKLEIN</dc:creator>
  <cp:lastModifiedBy>Cathy Williams</cp:lastModifiedBy>
  <cp:revision>4</cp:revision>
  <cp:lastPrinted>2014-10-06T18:40:00Z</cp:lastPrinted>
  <dcterms:created xsi:type="dcterms:W3CDTF">2014-10-15T02:16:00Z</dcterms:created>
  <dcterms:modified xsi:type="dcterms:W3CDTF">2014-10-28T12:56:00Z</dcterms:modified>
</cp:coreProperties>
</file>