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4B3" w:rsidRDefault="00D874B3" w:rsidP="00D874B3">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D56993">
        <w:rPr>
          <w:rFonts w:ascii="Times New Roman" w:hAnsi="Times New Roman" w:cs="Times New Roman"/>
          <w:sz w:val="18"/>
          <w:szCs w:val="18"/>
        </w:rPr>
        <w:t>1</w:t>
      </w:r>
      <w:r w:rsidRPr="00710D68">
        <w:rPr>
          <w:rFonts w:ascii="Times New Roman" w:hAnsi="Times New Roman" w:cs="Times New Roman"/>
          <w:sz w:val="18"/>
          <w:szCs w:val="18"/>
        </w:rPr>
        <w:t>/</w:t>
      </w:r>
      <w:r w:rsidR="00D56993">
        <w:rPr>
          <w:rFonts w:ascii="Times New Roman" w:hAnsi="Times New Roman" w:cs="Times New Roman"/>
          <w:sz w:val="18"/>
          <w:szCs w:val="18"/>
        </w:rPr>
        <w:t>14</w:t>
      </w:r>
      <w:r w:rsidRPr="00710D68">
        <w:rPr>
          <w:rFonts w:ascii="Times New Roman" w:hAnsi="Times New Roman" w:cs="Times New Roman"/>
          <w:sz w:val="18"/>
          <w:szCs w:val="18"/>
        </w:rPr>
        <w:t>/201</w:t>
      </w:r>
      <w:r w:rsidR="00D56993">
        <w:rPr>
          <w:rFonts w:ascii="Times New Roman" w:hAnsi="Times New Roman" w:cs="Times New Roman"/>
          <w:sz w:val="18"/>
          <w:szCs w:val="18"/>
        </w:rPr>
        <w:t>5</w:t>
      </w:r>
      <w:r>
        <w:rPr>
          <w:rFonts w:ascii="Times New Roman" w:hAnsi="Times New Roman" w:cs="Times New Roman"/>
          <w:sz w:val="18"/>
          <w:szCs w:val="18"/>
        </w:rPr>
        <w:tab/>
        <w:t>OMB Control No. 0648-0</w:t>
      </w:r>
      <w:r w:rsidR="00D56993">
        <w:rPr>
          <w:rFonts w:ascii="Times New Roman" w:hAnsi="Times New Roman" w:cs="Times New Roman"/>
          <w:sz w:val="18"/>
          <w:szCs w:val="18"/>
        </w:rPr>
        <w:t>272</w:t>
      </w:r>
      <w:r>
        <w:rPr>
          <w:rFonts w:ascii="Times New Roman" w:hAnsi="Times New Roman" w:cs="Times New Roman"/>
          <w:sz w:val="18"/>
          <w:szCs w:val="18"/>
        </w:rPr>
        <w:t xml:space="preserve">   Expiration Date </w:t>
      </w:r>
      <w:r w:rsidR="00D56993">
        <w:rPr>
          <w:rFonts w:ascii="Times New Roman" w:hAnsi="Times New Roman" w:cs="Times New Roman"/>
          <w:sz w:val="18"/>
          <w:szCs w:val="18"/>
        </w:rPr>
        <w:t>02</w:t>
      </w:r>
      <w:r>
        <w:rPr>
          <w:rFonts w:ascii="Times New Roman" w:hAnsi="Times New Roman" w:cs="Times New Roman"/>
          <w:sz w:val="18"/>
          <w:szCs w:val="18"/>
        </w:rPr>
        <w:t>/31/2014</w:t>
      </w:r>
    </w:p>
    <w:p w:rsidR="00D874B3" w:rsidRPr="00710D68" w:rsidRDefault="00D874B3" w:rsidP="00D874B3">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692"/>
        <w:gridCol w:w="3537"/>
        <w:gridCol w:w="3420"/>
        <w:gridCol w:w="1566"/>
      </w:tblGrid>
      <w:tr w:rsidR="00D874B3" w:rsidTr="005372D9">
        <w:trPr>
          <w:jc w:val="center"/>
        </w:trPr>
        <w:tc>
          <w:tcPr>
            <w:tcW w:w="1539" w:type="dxa"/>
            <w:vAlign w:val="center"/>
          </w:tcPr>
          <w:p w:rsidR="00D874B3" w:rsidRPr="0006141A" w:rsidRDefault="002B62C4" w:rsidP="005372D9">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937260" cy="861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7260" cy="861060"/>
                          </a:xfrm>
                          <a:prstGeom prst="rect">
                            <a:avLst/>
                          </a:prstGeom>
                          <a:noFill/>
                          <a:ln>
                            <a:noFill/>
                          </a:ln>
                        </pic:spPr>
                      </pic:pic>
                    </a:graphicData>
                  </a:graphic>
                </wp:inline>
              </w:drawing>
            </w:r>
          </w:p>
        </w:tc>
        <w:tc>
          <w:tcPr>
            <w:tcW w:w="3537" w:type="dxa"/>
            <w:vAlign w:val="center"/>
          </w:tcPr>
          <w:p w:rsidR="00D874B3" w:rsidRPr="0006141A" w:rsidRDefault="001D4AA5" w:rsidP="00ED319D">
            <w:pPr>
              <w:jc w:val="center"/>
              <w:rPr>
                <w:rFonts w:ascii="Times New Roman" w:hAnsi="Times New Roman" w:cs="Times New Roman"/>
                <w:b/>
                <w:sz w:val="24"/>
                <w:szCs w:val="24"/>
              </w:rPr>
            </w:pPr>
            <w:r>
              <w:rPr>
                <w:rFonts w:ascii="Times New Roman" w:hAnsi="Times New Roman" w:cs="Times New Roman"/>
                <w:b/>
                <w:sz w:val="28"/>
                <w:szCs w:val="28"/>
              </w:rPr>
              <w:t>Dockside Sales Receipt</w:t>
            </w:r>
            <w:r w:rsidR="00D874B3">
              <w:rPr>
                <w:rFonts w:ascii="Times New Roman" w:hAnsi="Times New Roman" w:cs="Times New Roman"/>
                <w:b/>
                <w:sz w:val="28"/>
                <w:szCs w:val="28"/>
              </w:rPr>
              <w:t xml:space="preserve"> </w:t>
            </w:r>
          </w:p>
        </w:tc>
        <w:tc>
          <w:tcPr>
            <w:tcW w:w="3420" w:type="dxa"/>
            <w:tcBorders>
              <w:right w:val="nil"/>
            </w:tcBorders>
            <w:vAlign w:val="center"/>
          </w:tcPr>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P.O. Box 21668</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D874B3" w:rsidRPr="0006141A" w:rsidRDefault="00D874B3" w:rsidP="005372D9">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D874B3" w:rsidRDefault="002B62C4" w:rsidP="005372D9">
            <w:pPr>
              <w:jc w:val="right"/>
              <w:rPr>
                <w:rFonts w:ascii="Times New Roman" w:hAnsi="Times New Roman" w:cs="Times New Roman"/>
                <w:sz w:val="24"/>
                <w:szCs w:val="24"/>
              </w:rPr>
            </w:pPr>
            <w:r w:rsidRPr="0008238B">
              <w:rPr>
                <w:noProof/>
                <w:sz w:val="16"/>
                <w:szCs w:val="19"/>
              </w:rPr>
              <w:drawing>
                <wp:anchor distT="0" distB="0" distL="114300" distR="114300" simplePos="0" relativeHeight="251659264" behindDoc="0" locked="0" layoutInCell="1" allowOverlap="1" wp14:anchorId="3F1379D1" wp14:editId="69350FD4">
                  <wp:simplePos x="0" y="0"/>
                  <wp:positionH relativeFrom="column">
                    <wp:posOffset>22860</wp:posOffset>
                  </wp:positionH>
                  <wp:positionV relativeFrom="paragraph">
                    <wp:posOffset>34290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6" r:link="rId7"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874B3" w:rsidRDefault="00D874B3" w:rsidP="00D874B3">
      <w:pPr>
        <w:spacing w:after="0" w:line="240" w:lineRule="auto"/>
        <w:rPr>
          <w:rFonts w:ascii="Times New Roman" w:hAnsi="Times New Roman" w:cs="Times New Roman"/>
          <w:sz w:val="24"/>
          <w:szCs w:val="24"/>
        </w:rPr>
      </w:pPr>
    </w:p>
    <w:p w:rsidR="001D4AA5" w:rsidRPr="001D4AA5" w:rsidRDefault="001D4AA5" w:rsidP="001D4AA5">
      <w:pPr>
        <w:spacing w:after="0" w:line="240" w:lineRule="auto"/>
        <w:rPr>
          <w:rFonts w:ascii="Times New Roman" w:hAnsi="Times New Roman" w:cs="Times New Roman"/>
          <w:sz w:val="24"/>
          <w:szCs w:val="24"/>
        </w:rPr>
      </w:pPr>
      <w:r w:rsidRPr="001D4AA5">
        <w:rPr>
          <w:rFonts w:ascii="Times New Roman" w:hAnsi="Times New Roman" w:cs="Times New Roman"/>
          <w:sz w:val="24"/>
          <w:szCs w:val="24"/>
        </w:rPr>
        <w:t xml:space="preserve">The purpose of reporting the amount of IFQ fish involved in a dockside sale is to provide </w:t>
      </w:r>
      <w:r>
        <w:rPr>
          <w:rFonts w:ascii="Times New Roman" w:hAnsi="Times New Roman" w:cs="Times New Roman"/>
          <w:sz w:val="24"/>
          <w:szCs w:val="24"/>
        </w:rPr>
        <w:t>NOAA Fisheries Office for Law Enforcement (</w:t>
      </w:r>
      <w:r w:rsidRPr="001D4AA5">
        <w:rPr>
          <w:rFonts w:ascii="Times New Roman" w:hAnsi="Times New Roman" w:cs="Times New Roman"/>
          <w:sz w:val="24"/>
          <w:szCs w:val="24"/>
        </w:rPr>
        <w:t>OLE</w:t>
      </w:r>
      <w:r>
        <w:rPr>
          <w:rFonts w:ascii="Times New Roman" w:hAnsi="Times New Roman" w:cs="Times New Roman"/>
          <w:sz w:val="24"/>
          <w:szCs w:val="24"/>
        </w:rPr>
        <w:t>)</w:t>
      </w:r>
      <w:r w:rsidRPr="001D4AA5">
        <w:rPr>
          <w:rFonts w:ascii="Times New Roman" w:hAnsi="Times New Roman" w:cs="Times New Roman"/>
          <w:sz w:val="24"/>
          <w:szCs w:val="24"/>
        </w:rPr>
        <w:t xml:space="preserve"> with the ability to monitor and inspect the shipment of </w:t>
      </w:r>
      <w:r>
        <w:rPr>
          <w:rFonts w:ascii="Times New Roman" w:hAnsi="Times New Roman" w:cs="Times New Roman"/>
          <w:sz w:val="24"/>
          <w:szCs w:val="24"/>
        </w:rPr>
        <w:t>individual fishing quota (</w:t>
      </w:r>
      <w:r w:rsidRPr="001D4AA5">
        <w:rPr>
          <w:rFonts w:ascii="Times New Roman" w:hAnsi="Times New Roman" w:cs="Times New Roman"/>
          <w:sz w:val="24"/>
          <w:szCs w:val="24"/>
        </w:rPr>
        <w:t>IFQ</w:t>
      </w:r>
      <w:r>
        <w:rPr>
          <w:rFonts w:ascii="Times New Roman" w:hAnsi="Times New Roman" w:cs="Times New Roman"/>
          <w:sz w:val="24"/>
          <w:szCs w:val="24"/>
        </w:rPr>
        <w:t>)</w:t>
      </w:r>
      <w:r w:rsidRPr="001D4AA5">
        <w:rPr>
          <w:rFonts w:ascii="Times New Roman" w:hAnsi="Times New Roman" w:cs="Times New Roman"/>
          <w:sz w:val="24"/>
          <w:szCs w:val="24"/>
        </w:rPr>
        <w:t xml:space="preserve"> fish to determine whether there was proper accounting for all IFQ fish landed.</w:t>
      </w:r>
    </w:p>
    <w:p w:rsidR="001D4AA5" w:rsidRPr="001D4AA5" w:rsidRDefault="001D4AA5" w:rsidP="001D4AA5">
      <w:pPr>
        <w:spacing w:after="0" w:line="240" w:lineRule="auto"/>
        <w:rPr>
          <w:rFonts w:ascii="Times New Roman" w:hAnsi="Times New Roman" w:cs="Times New Roman"/>
          <w:sz w:val="24"/>
          <w:szCs w:val="24"/>
        </w:rPr>
      </w:pPr>
    </w:p>
    <w:p w:rsidR="001D4AA5" w:rsidRPr="001D4AA5" w:rsidRDefault="001D4AA5" w:rsidP="001D4AA5">
      <w:pPr>
        <w:spacing w:after="0" w:line="240" w:lineRule="auto"/>
        <w:rPr>
          <w:rFonts w:ascii="Times New Roman" w:hAnsi="Times New Roman" w:cs="Times New Roman"/>
          <w:sz w:val="24"/>
          <w:szCs w:val="24"/>
        </w:rPr>
      </w:pPr>
      <w:r w:rsidRPr="001D4AA5">
        <w:rPr>
          <w:rFonts w:ascii="Times New Roman" w:hAnsi="Times New Roman" w:cs="Times New Roman"/>
          <w:sz w:val="24"/>
          <w:szCs w:val="24"/>
        </w:rPr>
        <w:t>A person holding a valid IFQ permit, or IFQ hired master permit, and a Registered Buyer permit may conduct a dockside sale of IFQ halibut or IFQ sablefish with a person who has not been issued a Registered Buyer permit after all IFQ halibut and IFQ sablefish have been landed and reported.</w:t>
      </w:r>
    </w:p>
    <w:p w:rsidR="001D4AA5" w:rsidRPr="001D4AA5" w:rsidRDefault="001D4AA5" w:rsidP="001D4AA5">
      <w:pPr>
        <w:spacing w:after="0" w:line="240" w:lineRule="auto"/>
        <w:rPr>
          <w:rFonts w:ascii="Times New Roman" w:hAnsi="Times New Roman" w:cs="Times New Roman"/>
          <w:sz w:val="24"/>
          <w:szCs w:val="24"/>
        </w:rPr>
      </w:pPr>
    </w:p>
    <w:p w:rsidR="001D4AA5" w:rsidRPr="001D4AA5" w:rsidRDefault="001D4AA5" w:rsidP="001D4AA5">
      <w:pPr>
        <w:spacing w:after="0" w:line="240" w:lineRule="auto"/>
        <w:rPr>
          <w:rFonts w:ascii="Times New Roman" w:hAnsi="Times New Roman" w:cs="Times New Roman"/>
          <w:sz w:val="24"/>
          <w:szCs w:val="24"/>
        </w:rPr>
      </w:pPr>
      <w:r w:rsidRPr="001D4AA5">
        <w:rPr>
          <w:rFonts w:ascii="Times New Roman" w:hAnsi="Times New Roman" w:cs="Times New Roman"/>
          <w:sz w:val="24"/>
          <w:szCs w:val="24"/>
        </w:rPr>
        <w:t>A person holding a valid halibut CDQ hired master permit and Registered Buyer permit may conduct a dockside sale of CDQ halibut with a person who has not been issued a Registered Buyer permit after all CDQ halibut have been landed and reported.</w:t>
      </w:r>
    </w:p>
    <w:p w:rsidR="001D4AA5" w:rsidRPr="001D4AA5" w:rsidRDefault="001D4AA5" w:rsidP="001D4AA5">
      <w:pPr>
        <w:spacing w:after="0" w:line="240" w:lineRule="auto"/>
        <w:rPr>
          <w:rFonts w:ascii="Times New Roman" w:hAnsi="Times New Roman" w:cs="Times New Roman"/>
          <w:sz w:val="24"/>
          <w:szCs w:val="24"/>
        </w:rPr>
      </w:pPr>
    </w:p>
    <w:p w:rsidR="001D4AA5" w:rsidRPr="001D4AA5" w:rsidRDefault="001D4AA5" w:rsidP="001D4AA5">
      <w:pPr>
        <w:spacing w:after="0" w:line="240" w:lineRule="auto"/>
        <w:rPr>
          <w:rFonts w:ascii="Times New Roman" w:hAnsi="Times New Roman" w:cs="Times New Roman"/>
          <w:sz w:val="24"/>
          <w:szCs w:val="24"/>
        </w:rPr>
      </w:pPr>
      <w:r w:rsidRPr="001D4AA5">
        <w:rPr>
          <w:rFonts w:ascii="Times New Roman" w:hAnsi="Times New Roman" w:cs="Times New Roman"/>
          <w:sz w:val="24"/>
          <w:szCs w:val="24"/>
        </w:rPr>
        <w:t xml:space="preserve">A Registered Buyer conducting dockside sales must issue a receipt to each individual receiving IFQ halibut, CDQ halibut, or IFQ sablefish in lieu of a product transfer report (see OMB Control No. 0648-0213). </w:t>
      </w:r>
    </w:p>
    <w:p w:rsidR="001D4AA5" w:rsidRPr="001D4AA5" w:rsidRDefault="001D4AA5" w:rsidP="001D4AA5">
      <w:pPr>
        <w:spacing w:after="0" w:line="240" w:lineRule="auto"/>
        <w:rPr>
          <w:rFonts w:ascii="Times New Roman" w:hAnsi="Times New Roman" w:cs="Times New Roman"/>
          <w:sz w:val="24"/>
          <w:szCs w:val="24"/>
        </w:rPr>
      </w:pPr>
      <w:r w:rsidRPr="001D4AA5">
        <w:rPr>
          <w:rFonts w:ascii="Times New Roman" w:hAnsi="Times New Roman" w:cs="Times New Roman"/>
          <w:sz w:val="24"/>
          <w:szCs w:val="24"/>
        </w:rPr>
        <w:t xml:space="preserve"> </w:t>
      </w:r>
    </w:p>
    <w:p w:rsidR="001D4AA5" w:rsidRPr="001D4AA5" w:rsidRDefault="001D4AA5" w:rsidP="001D4AA5">
      <w:pPr>
        <w:tabs>
          <w:tab w:val="left" w:pos="360"/>
          <w:tab w:val="left" w:pos="720"/>
          <w:tab w:val="left" w:pos="1080"/>
        </w:tabs>
        <w:spacing w:after="0" w:line="240" w:lineRule="auto"/>
        <w:rPr>
          <w:rFonts w:ascii="Times New Roman" w:hAnsi="Times New Roman" w:cs="Times New Roman"/>
          <w:b/>
          <w:sz w:val="20"/>
          <w:szCs w:val="20"/>
        </w:rPr>
      </w:pPr>
      <w:r w:rsidRPr="001D4AA5">
        <w:rPr>
          <w:rFonts w:ascii="Times New Roman" w:hAnsi="Times New Roman" w:cs="Times New Roman"/>
          <w:b/>
          <w:sz w:val="20"/>
          <w:szCs w:val="20"/>
        </w:rPr>
        <w:t>Dockside sales receipt</w:t>
      </w:r>
    </w:p>
    <w:p w:rsidR="001D4AA5" w:rsidRPr="001D4AA5" w:rsidRDefault="001D4AA5" w:rsidP="001D4AA5">
      <w:pPr>
        <w:tabs>
          <w:tab w:val="left" w:pos="360"/>
          <w:tab w:val="left" w:pos="720"/>
          <w:tab w:val="left" w:pos="1080"/>
        </w:tabs>
        <w:spacing w:after="0" w:line="240" w:lineRule="auto"/>
        <w:rPr>
          <w:rFonts w:ascii="Times New Roman" w:hAnsi="Times New Roman" w:cs="Times New Roman"/>
          <w:sz w:val="20"/>
          <w:szCs w:val="20"/>
        </w:rPr>
      </w:pPr>
      <w:r w:rsidRPr="001D4AA5">
        <w:rPr>
          <w:rFonts w:ascii="Times New Roman" w:hAnsi="Times New Roman" w:cs="Times New Roman"/>
          <w:sz w:val="20"/>
          <w:szCs w:val="20"/>
        </w:rPr>
        <w:tab/>
        <w:t>Date of sale</w:t>
      </w:r>
    </w:p>
    <w:p w:rsidR="001D4AA5" w:rsidRPr="001D4AA5" w:rsidRDefault="001D4AA5" w:rsidP="001D4AA5">
      <w:pPr>
        <w:tabs>
          <w:tab w:val="left" w:pos="360"/>
          <w:tab w:val="left" w:pos="720"/>
          <w:tab w:val="left" w:pos="1080"/>
        </w:tabs>
        <w:spacing w:after="0" w:line="240" w:lineRule="auto"/>
        <w:rPr>
          <w:rFonts w:ascii="Times New Roman" w:hAnsi="Times New Roman" w:cs="Times New Roman"/>
          <w:sz w:val="20"/>
          <w:szCs w:val="20"/>
        </w:rPr>
      </w:pPr>
      <w:r w:rsidRPr="001D4AA5">
        <w:rPr>
          <w:rFonts w:ascii="Times New Roman" w:hAnsi="Times New Roman" w:cs="Times New Roman"/>
          <w:sz w:val="20"/>
          <w:szCs w:val="20"/>
        </w:rPr>
        <w:tab/>
        <w:t>Registered buyer permit number</w:t>
      </w:r>
    </w:p>
    <w:p w:rsidR="001D4AA5" w:rsidRDefault="001D4AA5" w:rsidP="001D4AA5">
      <w:pPr>
        <w:tabs>
          <w:tab w:val="left" w:pos="360"/>
          <w:tab w:val="left" w:pos="720"/>
          <w:tab w:val="left" w:pos="1080"/>
        </w:tabs>
        <w:spacing w:after="0" w:line="240" w:lineRule="auto"/>
        <w:rPr>
          <w:rFonts w:ascii="Times New Roman" w:hAnsi="Times New Roman" w:cs="Times New Roman"/>
          <w:sz w:val="20"/>
          <w:szCs w:val="20"/>
        </w:rPr>
      </w:pPr>
      <w:r w:rsidRPr="001D4AA5">
        <w:rPr>
          <w:rFonts w:ascii="Times New Roman" w:hAnsi="Times New Roman" w:cs="Times New Roman"/>
          <w:sz w:val="20"/>
          <w:szCs w:val="20"/>
        </w:rPr>
        <w:t xml:space="preserve">   </w:t>
      </w:r>
      <w:r w:rsidRPr="001D4AA5">
        <w:rPr>
          <w:rFonts w:ascii="Times New Roman" w:hAnsi="Times New Roman" w:cs="Times New Roman"/>
          <w:sz w:val="20"/>
          <w:szCs w:val="20"/>
        </w:rPr>
        <w:tab/>
        <w:t>Weight by product of the IFQ halibut, CDQ halibut, or sablefish IFQ transferred</w:t>
      </w:r>
    </w:p>
    <w:p w:rsidR="009727EE" w:rsidRDefault="009727EE" w:rsidP="001D4AA5">
      <w:pPr>
        <w:tabs>
          <w:tab w:val="left" w:pos="360"/>
          <w:tab w:val="left" w:pos="720"/>
          <w:tab w:val="left" w:pos="1080"/>
        </w:tabs>
        <w:spacing w:after="0" w:line="240" w:lineRule="auto"/>
        <w:rPr>
          <w:rFonts w:ascii="Times New Roman" w:hAnsi="Times New Roman" w:cs="Times New Roman"/>
          <w:sz w:val="20"/>
          <w:szCs w:val="20"/>
        </w:rPr>
      </w:pPr>
    </w:p>
    <w:p w:rsidR="009727EE" w:rsidRPr="00D569F0" w:rsidRDefault="009727EE" w:rsidP="009727EE">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rFonts w:ascii="Times New Roman" w:hAnsi="Times New Roman"/>
          <w:sz w:val="20"/>
          <w:szCs w:val="20"/>
        </w:rPr>
      </w:pPr>
      <w:r w:rsidRPr="00D569F0">
        <w:rPr>
          <w:rFonts w:ascii="Times New Roman" w:hAnsi="Times New Roman"/>
          <w:sz w:val="20"/>
          <w:szCs w:val="20"/>
        </w:rPr>
        <w:t>___________________________________________________________________________________________</w:t>
      </w:r>
      <w:r w:rsidRPr="00D569F0">
        <w:rPr>
          <w:rFonts w:ascii="Times New Roman" w:hAnsi="Times New Roman"/>
          <w:sz w:val="20"/>
          <w:szCs w:val="20"/>
        </w:rPr>
        <w:tab/>
      </w:r>
    </w:p>
    <w:p w:rsidR="009727EE" w:rsidRDefault="009727EE"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bCs/>
          <w:i/>
          <w:sz w:val="20"/>
          <w:szCs w:val="20"/>
        </w:rPr>
      </w:pPr>
    </w:p>
    <w:p w:rsidR="009727EE" w:rsidRPr="00D569F0" w:rsidRDefault="009727EE"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i/>
          <w:sz w:val="20"/>
          <w:szCs w:val="20"/>
        </w:rPr>
      </w:pPr>
      <w:r w:rsidRPr="00D569F0">
        <w:rPr>
          <w:rFonts w:ascii="Times New Roman" w:hAnsi="Times New Roman" w:cs="Times New Roman"/>
          <w:i/>
          <w:noProof/>
          <w:sz w:val="20"/>
          <w:szCs w:val="20"/>
        </w:rPr>
        <mc:AlternateContent>
          <mc:Choice Requires="wps">
            <w:drawing>
              <wp:anchor distT="0" distB="0" distL="114300" distR="114300" simplePos="0" relativeHeight="251661312" behindDoc="0" locked="0" layoutInCell="0" allowOverlap="1" wp14:anchorId="3E1CC6D1" wp14:editId="71041CC2">
                <wp:simplePos x="0" y="0"/>
                <wp:positionH relativeFrom="margin">
                  <wp:posOffset>0</wp:posOffset>
                </wp:positionH>
                <wp:positionV relativeFrom="paragraph">
                  <wp:posOffset>127000</wp:posOffset>
                </wp:positionV>
                <wp:extent cx="0" cy="0"/>
                <wp:effectExtent l="9525" t="12700" r="9525" b="635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" o:allowincell="f" strokecolor="#020000" strokeweight=".96pt">
                <w10:wrap anchorx="margin"/>
              </v:line>
            </w:pict>
          </mc:Fallback>
        </mc:AlternateContent>
      </w:r>
      <w:r w:rsidRPr="00D569F0">
        <w:rPr>
          <w:rFonts w:ascii="Times New Roman" w:hAnsi="Times New Roman" w:cs="Times New Roman"/>
          <w:b/>
          <w:bCs/>
          <w:i/>
          <w:sz w:val="20"/>
          <w:szCs w:val="20"/>
        </w:rPr>
        <w:t>REPORTING BURDEN STATEMENT</w:t>
      </w:r>
    </w:p>
    <w:p w:rsidR="009727EE" w:rsidRPr="00D569F0" w:rsidRDefault="009727EE"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sz w:val="20"/>
          <w:szCs w:val="20"/>
        </w:rPr>
        <w:t xml:space="preserve">Public reporting for this collection of information is estimated to average </w:t>
      </w:r>
      <w:r>
        <w:rPr>
          <w:rFonts w:ascii="Times New Roman" w:hAnsi="Times New Roman" w:cs="Times New Roman"/>
          <w:sz w:val="20"/>
          <w:szCs w:val="20"/>
        </w:rPr>
        <w:t>6</w:t>
      </w:r>
      <w:bookmarkStart w:id="0" w:name="_GoBack"/>
      <w:bookmarkEnd w:id="0"/>
      <w:r>
        <w:rPr>
          <w:rFonts w:ascii="Times New Roman" w:hAnsi="Times New Roman" w:cs="Times New Roman"/>
          <w:sz w:val="20"/>
          <w:szCs w:val="20"/>
        </w:rPr>
        <w:t xml:space="preserve"> minutes, </w:t>
      </w:r>
      <w:r w:rsidRPr="00D569F0">
        <w:rPr>
          <w:rFonts w:ascii="Times New Roman" w:hAnsi="Times New Roman" w:cs="Times New Roman"/>
          <w:sz w:val="20"/>
          <w:szCs w:val="20"/>
        </w:rPr>
        <w:t>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9727EE" w:rsidRPr="00D569F0" w:rsidRDefault="009727EE"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szCs w:val="20"/>
        </w:rPr>
      </w:pPr>
    </w:p>
    <w:p w:rsidR="009727EE" w:rsidRPr="00D569F0" w:rsidRDefault="009727EE"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i/>
          <w:sz w:val="20"/>
          <w:szCs w:val="20"/>
        </w:rPr>
      </w:pPr>
      <w:r w:rsidRPr="00D569F0">
        <w:rPr>
          <w:rFonts w:ascii="Times New Roman" w:hAnsi="Times New Roman" w:cs="Times New Roman"/>
          <w:b/>
          <w:bCs/>
          <w:i/>
          <w:sz w:val="20"/>
          <w:szCs w:val="20"/>
        </w:rPr>
        <w:t>ADDITIONAL INFORMATION</w:t>
      </w:r>
    </w:p>
    <w:p w:rsidR="009727EE" w:rsidRPr="00D569F0" w:rsidRDefault="009727EE"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45D040B4" wp14:editId="614F0764">
                <wp:simplePos x="0" y="0"/>
                <wp:positionH relativeFrom="margin">
                  <wp:posOffset>0</wp:posOffset>
                </wp:positionH>
                <wp:positionV relativeFrom="paragraph">
                  <wp:posOffset>114300</wp:posOffset>
                </wp:positionV>
                <wp:extent cx="0" cy="0"/>
                <wp:effectExtent l="9525" t="9525" r="9525" b="952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yL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" o:allowincell="f" strokecolor="#020000" strokeweight=".96pt">
                <w10:wrap anchorx="margin"/>
              </v:line>
            </w:pict>
          </mc:Fallback>
        </mc:AlternateContent>
      </w:r>
      <w:r w:rsidRPr="00D569F0">
        <w:rPr>
          <w:rFonts w:ascii="Times New Roman" w:hAnsi="Times New Roman" w:cs="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D569F0">
        <w:rPr>
          <w:rFonts w:ascii="Times New Roman" w:hAnsi="Times New Roman" w:cs="Times New Roman"/>
          <w:i/>
          <w:sz w:val="20"/>
          <w:szCs w:val="20"/>
        </w:rPr>
        <w:t>et seq</w:t>
      </w:r>
      <w:r w:rsidRPr="00D569F0">
        <w:rPr>
          <w:rFonts w:ascii="Times New Roman" w:hAnsi="Times New Roman" w:cs="Times New Roman"/>
          <w:sz w:val="20"/>
          <w:szCs w:val="20"/>
        </w:rPr>
        <w:t>.);  3) Responses to this information request are confidential under section 402(b) of the Magnuson-Stevens Act).  They are also confidential under NOAA Administrative Order 216-100, which sets forth procedures to protect confidentiality of fishery statistics.</w:t>
      </w:r>
    </w:p>
    <w:p w:rsidR="009727EE" w:rsidRPr="00D569F0" w:rsidRDefault="009727EE"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sz w:val="20"/>
          <w:szCs w:val="20"/>
        </w:rPr>
        <w:t>____________________________________________________________________________________________________</w:t>
      </w:r>
    </w:p>
    <w:p w:rsidR="009727EE" w:rsidRPr="00201A98" w:rsidRDefault="009727EE" w:rsidP="009727EE">
      <w:pPr>
        <w:tabs>
          <w:tab w:val="left" w:pos="360"/>
          <w:tab w:val="left" w:pos="720"/>
          <w:tab w:val="left" w:pos="1080"/>
        </w:tabs>
        <w:spacing w:after="0" w:line="240" w:lineRule="auto"/>
        <w:rPr>
          <w:rFonts w:ascii="Times New Roman" w:hAnsi="Times New Roman" w:cs="Times New Roman"/>
          <w:sz w:val="20"/>
          <w:szCs w:val="20"/>
        </w:rPr>
      </w:pPr>
    </w:p>
    <w:p w:rsidR="009727EE" w:rsidRPr="001D4AA5" w:rsidRDefault="009727EE" w:rsidP="001D4AA5">
      <w:pPr>
        <w:tabs>
          <w:tab w:val="left" w:pos="360"/>
          <w:tab w:val="left" w:pos="720"/>
          <w:tab w:val="left" w:pos="1080"/>
        </w:tabs>
        <w:spacing w:after="0" w:line="240" w:lineRule="auto"/>
        <w:rPr>
          <w:rFonts w:ascii="Times New Roman" w:hAnsi="Times New Roman" w:cs="Times New Roman"/>
          <w:sz w:val="20"/>
          <w:szCs w:val="20"/>
        </w:rPr>
      </w:pPr>
    </w:p>
    <w:p w:rsidR="001D4AA5" w:rsidRDefault="001D4AA5" w:rsidP="00E17B42">
      <w:pPr>
        <w:spacing w:after="0" w:line="240" w:lineRule="auto"/>
        <w:rPr>
          <w:rFonts w:ascii="Times New Roman" w:hAnsi="Times New Roman" w:cs="Times New Roman"/>
          <w:sz w:val="24"/>
          <w:szCs w:val="24"/>
        </w:rPr>
      </w:pPr>
    </w:p>
    <w:sectPr w:rsidR="001D4AA5" w:rsidSect="00D874B3">
      <w:pgSz w:w="12240" w:h="15840"/>
      <w:pgMar w:top="720"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E9"/>
    <w:rsid w:val="00060A2B"/>
    <w:rsid w:val="001D4AA5"/>
    <w:rsid w:val="002B62C4"/>
    <w:rsid w:val="00816444"/>
    <w:rsid w:val="009727EE"/>
    <w:rsid w:val="009D06CE"/>
    <w:rsid w:val="00CC2CE9"/>
    <w:rsid w:val="00D56993"/>
    <w:rsid w:val="00D874B3"/>
    <w:rsid w:val="00E17B42"/>
    <w:rsid w:val="00ED319D"/>
    <w:rsid w:val="00F315DA"/>
    <w:rsid w:val="00FB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44"/>
    <w:rPr>
      <w:color w:val="0000FF" w:themeColor="hyperlink"/>
      <w:u w:val="single"/>
    </w:rPr>
  </w:style>
  <w:style w:type="table" w:styleId="TableGrid">
    <w:name w:val="Table Grid"/>
    <w:basedOn w:val="TableNormal"/>
    <w:uiPriority w:val="59"/>
    <w:rsid w:val="00D8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B3"/>
    <w:rPr>
      <w:rFonts w:ascii="Tahoma" w:hAnsi="Tahoma" w:cs="Tahoma"/>
      <w:sz w:val="16"/>
      <w:szCs w:val="16"/>
    </w:rPr>
  </w:style>
  <w:style w:type="paragraph" w:customStyle="1" w:styleId="Quick1">
    <w:name w:val="Quick 1."/>
    <w:rsid w:val="009727EE"/>
    <w:pPr>
      <w:autoSpaceDE w:val="0"/>
      <w:autoSpaceDN w:val="0"/>
      <w:adjustRightInd w:val="0"/>
      <w:spacing w:after="0" w:line="240" w:lineRule="auto"/>
      <w:ind w:left="-1440"/>
    </w:pPr>
    <w:rPr>
      <w:rFonts w:ascii="Courier" w:eastAsia="Times New Roman" w:hAnsi="Courier"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44"/>
    <w:rPr>
      <w:color w:val="0000FF" w:themeColor="hyperlink"/>
      <w:u w:val="single"/>
    </w:rPr>
  </w:style>
  <w:style w:type="table" w:styleId="TableGrid">
    <w:name w:val="Table Grid"/>
    <w:basedOn w:val="TableNormal"/>
    <w:uiPriority w:val="59"/>
    <w:rsid w:val="00D8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B3"/>
    <w:rPr>
      <w:rFonts w:ascii="Tahoma" w:hAnsi="Tahoma" w:cs="Tahoma"/>
      <w:sz w:val="16"/>
      <w:szCs w:val="16"/>
    </w:rPr>
  </w:style>
  <w:style w:type="paragraph" w:customStyle="1" w:styleId="Quick1">
    <w:name w:val="Quick 1."/>
    <w:rsid w:val="009727EE"/>
    <w:pPr>
      <w:autoSpaceDE w:val="0"/>
      <w:autoSpaceDN w:val="0"/>
      <w:adjustRightInd w:val="0"/>
      <w:spacing w:after="0" w:line="240" w:lineRule="auto"/>
      <w:ind w:left="-1440"/>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home.nmfs.noaa.gov/ocioweb/webguide/cdprint/images/logo-noaa.gi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3</cp:revision>
  <dcterms:created xsi:type="dcterms:W3CDTF">2015-01-14T19:57:00Z</dcterms:created>
  <dcterms:modified xsi:type="dcterms:W3CDTF">2015-01-14T23:30:00Z</dcterms:modified>
</cp:coreProperties>
</file>