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4B" w:rsidRPr="00124FF2" w:rsidRDefault="00C9064B" w:rsidP="000E23CB">
      <w:pPr>
        <w:spacing w:line="360" w:lineRule="auto"/>
        <w:rPr>
          <w:b/>
        </w:rPr>
      </w:pPr>
    </w:p>
    <w:p w:rsidR="006572EE" w:rsidRPr="00124FF2" w:rsidRDefault="006572EE" w:rsidP="000E23CB">
      <w:pPr>
        <w:spacing w:line="360" w:lineRule="auto"/>
        <w:jc w:val="center"/>
        <w:rPr>
          <w:b/>
        </w:rPr>
      </w:pPr>
      <w:r w:rsidRPr="00124FF2">
        <w:rPr>
          <w:b/>
          <w:color w:val="000000"/>
        </w:rPr>
        <w:t>National Notifiable Disease</w:t>
      </w:r>
      <w:r w:rsidR="00CB082E" w:rsidRPr="00124FF2">
        <w:rPr>
          <w:b/>
          <w:color w:val="000000"/>
        </w:rPr>
        <w:t>s</w:t>
      </w:r>
      <w:r w:rsidRPr="00124FF2">
        <w:rPr>
          <w:b/>
          <w:color w:val="000000"/>
        </w:rPr>
        <w:t xml:space="preserve"> Surveillance System (NNDSS)</w:t>
      </w:r>
    </w:p>
    <w:p w:rsidR="006572EE" w:rsidRPr="00124FF2" w:rsidRDefault="006572EE" w:rsidP="000E23CB">
      <w:pPr>
        <w:spacing w:line="360" w:lineRule="auto"/>
        <w:jc w:val="center"/>
        <w:rPr>
          <w:rFonts w:eastAsia="Calibri"/>
          <w:b/>
        </w:rPr>
      </w:pPr>
      <w:r w:rsidRPr="00124FF2">
        <w:rPr>
          <w:rFonts w:eastAsia="Calibri"/>
          <w:b/>
        </w:rPr>
        <w:t>Supporting Statement Section A</w:t>
      </w:r>
    </w:p>
    <w:p w:rsidR="006572EE" w:rsidRPr="00124FF2" w:rsidRDefault="006572EE" w:rsidP="000E23CB">
      <w:pPr>
        <w:spacing w:line="360" w:lineRule="auto"/>
        <w:jc w:val="center"/>
        <w:rPr>
          <w:rFonts w:eastAsia="Calibri"/>
          <w:b/>
        </w:rPr>
      </w:pPr>
      <w:r w:rsidRPr="00124FF2">
        <w:rPr>
          <w:rFonts w:eastAsia="Calibri"/>
          <w:b/>
        </w:rPr>
        <w:t>OMB Control Number 0920-0728</w:t>
      </w:r>
      <w:r w:rsidR="009B45B9">
        <w:rPr>
          <w:rFonts w:eastAsia="Calibri"/>
          <w:b/>
        </w:rPr>
        <w:t>, Revision</w:t>
      </w:r>
      <w:r w:rsidRPr="00124FF2">
        <w:rPr>
          <w:rFonts w:eastAsia="Calibri"/>
          <w:b/>
        </w:rPr>
        <w:t xml:space="preserve"> </w:t>
      </w:r>
    </w:p>
    <w:p w:rsidR="006572EE" w:rsidRPr="00124FF2" w:rsidRDefault="006572EE" w:rsidP="000E23CB">
      <w:pPr>
        <w:spacing w:line="360" w:lineRule="auto"/>
        <w:jc w:val="center"/>
        <w:rPr>
          <w:rFonts w:eastAsia="Calibri"/>
          <w:b/>
        </w:rPr>
      </w:pPr>
    </w:p>
    <w:p w:rsidR="006572EE" w:rsidRPr="00871A6C" w:rsidRDefault="00CF3401" w:rsidP="000E23CB">
      <w:pPr>
        <w:spacing w:line="360" w:lineRule="auto"/>
        <w:jc w:val="center"/>
        <w:rPr>
          <w:rFonts w:eastAsia="Calibri"/>
        </w:rPr>
      </w:pPr>
      <w:r w:rsidRPr="00871A6C">
        <w:rPr>
          <w:rFonts w:eastAsia="Calibri"/>
        </w:rPr>
        <w:t xml:space="preserve">November </w:t>
      </w:r>
      <w:r w:rsidR="00871A6C" w:rsidRPr="00871A6C">
        <w:rPr>
          <w:rFonts w:eastAsia="Calibri"/>
        </w:rPr>
        <w:t>1</w:t>
      </w:r>
      <w:r w:rsidR="008D621E">
        <w:rPr>
          <w:rFonts w:eastAsia="Calibri"/>
        </w:rPr>
        <w:t>9</w:t>
      </w:r>
      <w:r w:rsidRPr="00871A6C">
        <w:rPr>
          <w:rFonts w:eastAsia="Calibri"/>
        </w:rPr>
        <w:t>, 2013</w:t>
      </w:r>
    </w:p>
    <w:p w:rsidR="006572EE" w:rsidRPr="00124FF2" w:rsidRDefault="00CF3401" w:rsidP="000E23CB">
      <w:pPr>
        <w:spacing w:line="360" w:lineRule="auto"/>
        <w:jc w:val="center"/>
        <w:rPr>
          <w:rFonts w:eastAsia="Calibri"/>
          <w:b/>
        </w:rPr>
      </w:pPr>
      <w:r>
        <w:rPr>
          <w:rFonts w:eastAsia="Calibri"/>
          <w:b/>
        </w:rPr>
        <w:t>Point</w:t>
      </w:r>
      <w:r w:rsidR="00DC75C0">
        <w:rPr>
          <w:rFonts w:eastAsia="Calibri"/>
          <w:b/>
        </w:rPr>
        <w:t xml:space="preserve"> of Contact</w:t>
      </w:r>
    </w:p>
    <w:p w:rsidR="001C3B73" w:rsidRDefault="001C3B73" w:rsidP="001C3B73">
      <w:pPr>
        <w:rPr>
          <w:rFonts w:eastAsia="Calibri"/>
        </w:rPr>
      </w:pPr>
    </w:p>
    <w:p w:rsidR="00EE5AE1" w:rsidRDefault="00EE5AE1" w:rsidP="001C3B73">
      <w:pPr>
        <w:rPr>
          <w:rFonts w:eastAsia="Calibri"/>
        </w:rPr>
      </w:pPr>
    </w:p>
    <w:p w:rsidR="001C3B73" w:rsidRPr="0026043A" w:rsidRDefault="001C3B73" w:rsidP="001C3B73">
      <w:pPr>
        <w:rPr>
          <w:rFonts w:eastAsia="Calibri"/>
        </w:rPr>
      </w:pPr>
      <w:r>
        <w:rPr>
          <w:rFonts w:eastAsia="Calibri"/>
        </w:rPr>
        <w:t>Ralph Coates</w:t>
      </w:r>
    </w:p>
    <w:p w:rsidR="001C3B73" w:rsidRDefault="00EE5AE1" w:rsidP="001C3B73">
      <w:pPr>
        <w:rPr>
          <w:rFonts w:eastAsia="Calibri"/>
        </w:rPr>
      </w:pPr>
      <w:r>
        <w:rPr>
          <w:rFonts w:eastAsia="Calibri"/>
        </w:rPr>
        <w:t>Division of Health Informatics and Surveillance</w:t>
      </w:r>
    </w:p>
    <w:p w:rsidR="00EE5AE1" w:rsidRPr="00124FF2" w:rsidRDefault="00EE5AE1" w:rsidP="001C3B73">
      <w:pPr>
        <w:rPr>
          <w:rFonts w:eastAsia="Calibri"/>
        </w:rPr>
      </w:pPr>
      <w:r>
        <w:rPr>
          <w:rFonts w:eastAsia="Calibri"/>
        </w:rPr>
        <w:t xml:space="preserve">Center for Surveillance, Epidemiology and Laboratory Services </w:t>
      </w:r>
    </w:p>
    <w:p w:rsidR="001C3B73" w:rsidRPr="00124FF2" w:rsidRDefault="001C3B73" w:rsidP="001C3B73">
      <w:pPr>
        <w:rPr>
          <w:rFonts w:eastAsia="Calibri"/>
        </w:rPr>
      </w:pPr>
      <w:r w:rsidRPr="00124FF2">
        <w:rPr>
          <w:rFonts w:eastAsia="Calibri"/>
        </w:rPr>
        <w:t>Centers for Disease Control and Prevention</w:t>
      </w:r>
    </w:p>
    <w:p w:rsidR="001C3B73" w:rsidRPr="00124FF2" w:rsidRDefault="001C3B73" w:rsidP="001C3B73">
      <w:pPr>
        <w:rPr>
          <w:rFonts w:eastAsia="Calibri"/>
        </w:rPr>
      </w:pPr>
      <w:r w:rsidRPr="00124FF2">
        <w:rPr>
          <w:rFonts w:eastAsia="Calibri"/>
        </w:rPr>
        <w:t>1600 Clifton Rd, MS-E91</w:t>
      </w:r>
    </w:p>
    <w:p w:rsidR="001C3B73" w:rsidRPr="00124FF2" w:rsidRDefault="001C3B73" w:rsidP="001C3B73">
      <w:pPr>
        <w:rPr>
          <w:rFonts w:eastAsia="Calibri"/>
        </w:rPr>
      </w:pPr>
      <w:r w:rsidRPr="00124FF2">
        <w:rPr>
          <w:rFonts w:eastAsia="Calibri"/>
        </w:rPr>
        <w:t>Atlanta, GA 3</w:t>
      </w:r>
      <w:r>
        <w:rPr>
          <w:rFonts w:eastAsia="Calibri"/>
        </w:rPr>
        <w:t>0</w:t>
      </w:r>
      <w:r w:rsidRPr="00124FF2">
        <w:rPr>
          <w:rFonts w:eastAsia="Calibri"/>
        </w:rPr>
        <w:t>033</w:t>
      </w:r>
    </w:p>
    <w:p w:rsidR="001C3B73" w:rsidRPr="00124FF2" w:rsidRDefault="001C3B73" w:rsidP="001C3B73">
      <w:pPr>
        <w:rPr>
          <w:rFonts w:eastAsia="Calibri"/>
        </w:rPr>
      </w:pPr>
      <w:r>
        <w:rPr>
          <w:rFonts w:eastAsia="Calibri"/>
        </w:rPr>
        <w:t xml:space="preserve">Phone: </w:t>
      </w:r>
      <w:r w:rsidRPr="00124FF2">
        <w:rPr>
          <w:rFonts w:eastAsia="Calibri"/>
        </w:rPr>
        <w:t>(404) 498-</w:t>
      </w:r>
      <w:r>
        <w:rPr>
          <w:rFonts w:eastAsia="Calibri"/>
        </w:rPr>
        <w:t>0080</w:t>
      </w:r>
      <w:r w:rsidRPr="00124FF2">
        <w:rPr>
          <w:rFonts w:eastAsia="Calibri"/>
        </w:rPr>
        <w:t xml:space="preserve"> </w:t>
      </w:r>
    </w:p>
    <w:p w:rsidR="001C3B73" w:rsidRDefault="001C3B73" w:rsidP="001C3B73">
      <w:pPr>
        <w:rPr>
          <w:rFonts w:eastAsia="Calibri"/>
        </w:rPr>
      </w:pPr>
      <w:r w:rsidRPr="00124FF2">
        <w:rPr>
          <w:rFonts w:eastAsia="Calibri"/>
        </w:rPr>
        <w:t xml:space="preserve">E-mail:  </w:t>
      </w:r>
      <w:hyperlink r:id="rId9" w:history="1">
        <w:r w:rsidRPr="00517BEA">
          <w:rPr>
            <w:rStyle w:val="Hyperlink"/>
            <w:rFonts w:eastAsia="Calibri"/>
          </w:rPr>
          <w:t>rjc5@cdc.gov</w:t>
        </w:r>
      </w:hyperlink>
    </w:p>
    <w:p w:rsidR="00406D63" w:rsidRDefault="00406D63" w:rsidP="00E67965">
      <w:pPr>
        <w:rPr>
          <w:rFonts w:eastAsia="Calibri"/>
        </w:rPr>
      </w:pPr>
    </w:p>
    <w:p w:rsidR="00406D63" w:rsidRDefault="00406D63" w:rsidP="00E67965">
      <w:pPr>
        <w:rPr>
          <w:rFonts w:eastAsia="Calibri"/>
        </w:rPr>
      </w:pPr>
    </w:p>
    <w:p w:rsidR="006572EE" w:rsidRPr="00E67965" w:rsidRDefault="006D2DA6" w:rsidP="00E67965">
      <w:pPr>
        <w:rPr>
          <w:rFonts w:eastAsia="Calibri"/>
        </w:rPr>
      </w:pPr>
      <w:r w:rsidRPr="00124FF2">
        <w:rPr>
          <w:rFonts w:eastAsia="Calibri"/>
        </w:rPr>
        <w:br w:type="page"/>
      </w:r>
      <w:r w:rsidR="006572EE" w:rsidRPr="00124FF2">
        <w:rPr>
          <w:rFonts w:eastAsia="Calibri"/>
          <w:b/>
          <w:color w:val="000000"/>
        </w:rPr>
        <w:lastRenderedPageBreak/>
        <w:t>N</w:t>
      </w:r>
      <w:r w:rsidR="009C087E" w:rsidRPr="00124FF2">
        <w:rPr>
          <w:rFonts w:eastAsia="Calibri"/>
          <w:b/>
          <w:color w:val="000000"/>
        </w:rPr>
        <w:t>N</w:t>
      </w:r>
      <w:r w:rsidR="006572EE" w:rsidRPr="00124FF2">
        <w:rPr>
          <w:rFonts w:eastAsia="Calibri"/>
          <w:b/>
          <w:color w:val="000000"/>
        </w:rPr>
        <w:t>DSS - Request for Revision</w:t>
      </w:r>
    </w:p>
    <w:p w:rsidR="006572EE" w:rsidRPr="00124FF2" w:rsidRDefault="006572EE" w:rsidP="000E23CB">
      <w:pPr>
        <w:spacing w:line="360" w:lineRule="auto"/>
        <w:jc w:val="center"/>
        <w:rPr>
          <w:rFonts w:eastAsia="Calibri"/>
          <w:b/>
        </w:rPr>
      </w:pPr>
      <w:r w:rsidRPr="00124FF2">
        <w:rPr>
          <w:rFonts w:eastAsia="Calibri"/>
          <w:b/>
        </w:rPr>
        <w:t>Table of Contents</w:t>
      </w:r>
    </w:p>
    <w:p w:rsidR="006572EE" w:rsidRPr="00403F6B" w:rsidRDefault="00403F6B" w:rsidP="000E23CB">
      <w:pPr>
        <w:spacing w:line="360" w:lineRule="auto"/>
        <w:rPr>
          <w:rFonts w:eastAsia="Calibri"/>
        </w:rPr>
      </w:pPr>
      <w:r w:rsidRPr="00403F6B">
        <w:rPr>
          <w:rFonts w:eastAsia="Calibri"/>
        </w:rPr>
        <w:t xml:space="preserve">A.  </w:t>
      </w:r>
      <w:r w:rsidR="006572EE" w:rsidRPr="00326CBE">
        <w:rPr>
          <w:rFonts w:eastAsia="Calibri"/>
          <w:u w:val="single"/>
        </w:rPr>
        <w:t>Justification</w:t>
      </w:r>
    </w:p>
    <w:p w:rsidR="006572EE" w:rsidRPr="00124FF2" w:rsidRDefault="009C087E" w:rsidP="00736BD5">
      <w:pPr>
        <w:spacing w:line="360" w:lineRule="auto"/>
        <w:ind w:left="720" w:hanging="720"/>
        <w:rPr>
          <w:rFonts w:eastAsia="Calibri"/>
        </w:rPr>
      </w:pPr>
      <w:r w:rsidRPr="00124FF2">
        <w:rPr>
          <w:rFonts w:eastAsia="Calibri"/>
        </w:rPr>
        <w:t xml:space="preserve">1. </w:t>
      </w:r>
      <w:r w:rsidR="006572EE" w:rsidRPr="00124FF2">
        <w:rPr>
          <w:rFonts w:eastAsia="Calibri"/>
        </w:rPr>
        <w:t xml:space="preserve">Circumstances Making </w:t>
      </w:r>
      <w:r w:rsidR="00326CBE">
        <w:rPr>
          <w:rFonts w:eastAsia="Calibri"/>
        </w:rPr>
        <w:t xml:space="preserve">the Collection of Information </w:t>
      </w:r>
      <w:r w:rsidR="003C278E" w:rsidRPr="00124FF2">
        <w:rPr>
          <w:rFonts w:eastAsia="Calibri"/>
        </w:rPr>
        <w:t>Necess</w:t>
      </w:r>
      <w:r w:rsidR="006572EE" w:rsidRPr="00124FF2">
        <w:rPr>
          <w:rFonts w:eastAsia="Calibri"/>
        </w:rPr>
        <w:t xml:space="preserve">ary </w:t>
      </w:r>
    </w:p>
    <w:p w:rsidR="006572EE" w:rsidRPr="00124FF2" w:rsidRDefault="009C087E" w:rsidP="00736BD5">
      <w:pPr>
        <w:spacing w:line="360" w:lineRule="auto"/>
        <w:ind w:left="720" w:hanging="720"/>
        <w:rPr>
          <w:rFonts w:eastAsia="Calibri"/>
        </w:rPr>
      </w:pPr>
      <w:r w:rsidRPr="00124FF2">
        <w:rPr>
          <w:rFonts w:eastAsia="Calibri"/>
        </w:rPr>
        <w:t xml:space="preserve">2. </w:t>
      </w:r>
      <w:r w:rsidR="006572EE" w:rsidRPr="00124FF2">
        <w:rPr>
          <w:rFonts w:eastAsia="Calibri"/>
        </w:rPr>
        <w:t xml:space="preserve">Purpose and Use of </w:t>
      </w:r>
      <w:r w:rsidR="00B32AE7">
        <w:rPr>
          <w:rFonts w:eastAsia="Calibri"/>
        </w:rPr>
        <w:t>Information Collection</w:t>
      </w:r>
      <w:r w:rsidR="006572EE" w:rsidRPr="00124FF2">
        <w:rPr>
          <w:rFonts w:eastAsia="Calibri"/>
        </w:rPr>
        <w:t xml:space="preserve"> </w:t>
      </w:r>
    </w:p>
    <w:p w:rsidR="006572EE" w:rsidRPr="00124FF2" w:rsidRDefault="009C087E" w:rsidP="00736BD5">
      <w:pPr>
        <w:spacing w:line="360" w:lineRule="auto"/>
        <w:ind w:left="720" w:hanging="720"/>
        <w:rPr>
          <w:rFonts w:eastAsia="Calibri"/>
        </w:rPr>
      </w:pPr>
      <w:r w:rsidRPr="00124FF2">
        <w:rPr>
          <w:rFonts w:eastAsia="Calibri"/>
        </w:rPr>
        <w:t xml:space="preserve">3. </w:t>
      </w:r>
      <w:r w:rsidR="006572EE" w:rsidRPr="00124FF2">
        <w:rPr>
          <w:rFonts w:eastAsia="Calibri"/>
        </w:rPr>
        <w:t>Use of Improved Information Technology and Burden Reduction</w:t>
      </w:r>
    </w:p>
    <w:p w:rsidR="006572EE" w:rsidRPr="00124FF2" w:rsidRDefault="009C087E" w:rsidP="00736BD5">
      <w:pPr>
        <w:spacing w:line="360" w:lineRule="auto"/>
        <w:ind w:left="720" w:hanging="720"/>
        <w:rPr>
          <w:rFonts w:eastAsia="Calibri"/>
        </w:rPr>
      </w:pPr>
      <w:r w:rsidRPr="00124FF2">
        <w:rPr>
          <w:rFonts w:eastAsia="Calibri"/>
        </w:rPr>
        <w:t xml:space="preserve">4. </w:t>
      </w:r>
      <w:r w:rsidR="006572EE" w:rsidRPr="00124FF2">
        <w:rPr>
          <w:rFonts w:eastAsia="Calibri"/>
        </w:rPr>
        <w:t xml:space="preserve">Efforts to Identify Duplication and Use of Similar Information </w:t>
      </w:r>
    </w:p>
    <w:p w:rsidR="006572EE" w:rsidRPr="00124FF2" w:rsidRDefault="009C087E" w:rsidP="00736BD5">
      <w:pPr>
        <w:spacing w:line="360" w:lineRule="auto"/>
        <w:ind w:left="720" w:hanging="720"/>
        <w:rPr>
          <w:rFonts w:eastAsia="Calibri"/>
        </w:rPr>
      </w:pPr>
      <w:r w:rsidRPr="00124FF2">
        <w:rPr>
          <w:rFonts w:eastAsia="Calibri"/>
        </w:rPr>
        <w:t xml:space="preserve">5. </w:t>
      </w:r>
      <w:r w:rsidR="006572EE" w:rsidRPr="00124FF2">
        <w:rPr>
          <w:rFonts w:eastAsia="Calibri"/>
        </w:rPr>
        <w:t>Impact on Small Businesses or Other Small Entities</w:t>
      </w:r>
    </w:p>
    <w:p w:rsidR="006572EE" w:rsidRPr="00124FF2" w:rsidRDefault="009C087E" w:rsidP="00736BD5">
      <w:pPr>
        <w:spacing w:line="360" w:lineRule="auto"/>
        <w:ind w:left="720" w:hanging="720"/>
        <w:rPr>
          <w:rFonts w:eastAsia="Calibri"/>
        </w:rPr>
      </w:pPr>
      <w:r w:rsidRPr="00124FF2">
        <w:rPr>
          <w:rFonts w:eastAsia="Calibri"/>
        </w:rPr>
        <w:t xml:space="preserve">6. </w:t>
      </w:r>
      <w:r w:rsidR="006572EE" w:rsidRPr="00124FF2">
        <w:rPr>
          <w:rFonts w:eastAsia="Calibri"/>
        </w:rPr>
        <w:t xml:space="preserve">Consequences of </w:t>
      </w:r>
      <w:r w:rsidR="00B32AE7">
        <w:rPr>
          <w:rFonts w:eastAsia="Calibri"/>
        </w:rPr>
        <w:t>Collecting the Information Less Frequently</w:t>
      </w:r>
      <w:r w:rsidR="006572EE" w:rsidRPr="00124FF2">
        <w:rPr>
          <w:rFonts w:eastAsia="Calibri"/>
        </w:rPr>
        <w:t xml:space="preserve"> </w:t>
      </w:r>
    </w:p>
    <w:p w:rsidR="006572EE" w:rsidRPr="00124FF2" w:rsidRDefault="009C087E" w:rsidP="00736BD5">
      <w:pPr>
        <w:spacing w:line="360" w:lineRule="auto"/>
        <w:ind w:left="720" w:hanging="720"/>
        <w:rPr>
          <w:rFonts w:eastAsia="Calibri"/>
        </w:rPr>
      </w:pPr>
      <w:r w:rsidRPr="00124FF2">
        <w:rPr>
          <w:rFonts w:eastAsia="Calibri"/>
        </w:rPr>
        <w:t xml:space="preserve">7. </w:t>
      </w:r>
      <w:r w:rsidR="006572EE" w:rsidRPr="00124FF2">
        <w:rPr>
          <w:rFonts w:eastAsia="Calibri"/>
        </w:rPr>
        <w:t xml:space="preserve">Special Circumstances Relating to the Guidelines of 5 CFR 1320.5 </w:t>
      </w:r>
    </w:p>
    <w:p w:rsidR="006572EE" w:rsidRPr="00124FF2" w:rsidRDefault="009C087E" w:rsidP="00736BD5">
      <w:pPr>
        <w:spacing w:line="360" w:lineRule="auto"/>
        <w:ind w:left="720" w:hanging="720"/>
        <w:rPr>
          <w:rFonts w:eastAsia="Calibri"/>
        </w:rPr>
      </w:pPr>
      <w:r w:rsidRPr="00124FF2">
        <w:rPr>
          <w:rFonts w:eastAsia="Calibri"/>
        </w:rPr>
        <w:t xml:space="preserve">8. </w:t>
      </w:r>
      <w:r w:rsidR="006572EE" w:rsidRPr="00124FF2">
        <w:rPr>
          <w:rFonts w:eastAsia="Calibri"/>
        </w:rPr>
        <w:t xml:space="preserve">Comments in Response to the Federal Register Notice and Efforts to Consult Outside the Agency </w:t>
      </w:r>
    </w:p>
    <w:p w:rsidR="006572EE" w:rsidRPr="00124FF2" w:rsidRDefault="009C087E" w:rsidP="00736BD5">
      <w:pPr>
        <w:spacing w:line="360" w:lineRule="auto"/>
        <w:ind w:left="720" w:hanging="720"/>
        <w:rPr>
          <w:rFonts w:eastAsia="Calibri"/>
        </w:rPr>
      </w:pPr>
      <w:r w:rsidRPr="00124FF2">
        <w:rPr>
          <w:rFonts w:eastAsia="Calibri"/>
        </w:rPr>
        <w:t xml:space="preserve">9. </w:t>
      </w:r>
      <w:r w:rsidR="006572EE" w:rsidRPr="00124FF2">
        <w:rPr>
          <w:rFonts w:eastAsia="Calibri"/>
        </w:rPr>
        <w:t xml:space="preserve">Explanation of Any Payment or Gift to Respondents </w:t>
      </w:r>
    </w:p>
    <w:p w:rsidR="006572EE" w:rsidRPr="00124FF2" w:rsidRDefault="009C087E" w:rsidP="00736BD5">
      <w:pPr>
        <w:spacing w:line="360" w:lineRule="auto"/>
        <w:ind w:left="720" w:hanging="720"/>
        <w:rPr>
          <w:rFonts w:eastAsia="Calibri"/>
        </w:rPr>
      </w:pPr>
      <w:r w:rsidRPr="00124FF2">
        <w:rPr>
          <w:rFonts w:eastAsia="Calibri"/>
        </w:rPr>
        <w:t xml:space="preserve">10. </w:t>
      </w:r>
      <w:r w:rsidR="006572EE" w:rsidRPr="00124FF2">
        <w:rPr>
          <w:rFonts w:eastAsia="Calibri"/>
        </w:rPr>
        <w:t>Assurance of Confidentiality Provided to Respondents</w:t>
      </w:r>
    </w:p>
    <w:p w:rsidR="006572EE" w:rsidRPr="00124FF2" w:rsidRDefault="009C087E" w:rsidP="00736BD5">
      <w:pPr>
        <w:spacing w:line="360" w:lineRule="auto"/>
        <w:ind w:left="720" w:hanging="720"/>
        <w:rPr>
          <w:rFonts w:eastAsia="Calibri"/>
        </w:rPr>
      </w:pPr>
      <w:r w:rsidRPr="00124FF2">
        <w:rPr>
          <w:rFonts w:eastAsia="Calibri"/>
        </w:rPr>
        <w:t xml:space="preserve">11. </w:t>
      </w:r>
      <w:r w:rsidR="006572EE" w:rsidRPr="00124FF2">
        <w:rPr>
          <w:rFonts w:eastAsia="Calibri"/>
        </w:rPr>
        <w:t xml:space="preserve">Justification for Sensitive Questions </w:t>
      </w:r>
    </w:p>
    <w:p w:rsidR="006572EE" w:rsidRPr="00124FF2" w:rsidRDefault="009C087E" w:rsidP="00736BD5">
      <w:pPr>
        <w:spacing w:line="360" w:lineRule="auto"/>
        <w:ind w:left="720" w:hanging="720"/>
        <w:rPr>
          <w:rFonts w:eastAsia="Calibri"/>
        </w:rPr>
      </w:pPr>
      <w:r w:rsidRPr="00124FF2">
        <w:rPr>
          <w:rFonts w:eastAsia="Calibri"/>
        </w:rPr>
        <w:t xml:space="preserve">12. </w:t>
      </w:r>
      <w:r w:rsidR="006572EE" w:rsidRPr="00124FF2">
        <w:rPr>
          <w:rFonts w:eastAsia="Calibri"/>
        </w:rPr>
        <w:t xml:space="preserve">Estimates of Annualized Burden Hours and Costs </w:t>
      </w:r>
    </w:p>
    <w:p w:rsidR="006572EE" w:rsidRPr="00124FF2" w:rsidRDefault="009C087E" w:rsidP="00736BD5">
      <w:pPr>
        <w:spacing w:line="360" w:lineRule="auto"/>
        <w:ind w:left="720" w:hanging="720"/>
        <w:rPr>
          <w:rFonts w:eastAsia="Calibri"/>
        </w:rPr>
      </w:pPr>
      <w:r w:rsidRPr="00124FF2">
        <w:rPr>
          <w:rFonts w:eastAsia="Calibri"/>
        </w:rPr>
        <w:t xml:space="preserve">13. </w:t>
      </w:r>
      <w:r w:rsidR="006572EE" w:rsidRPr="00124FF2">
        <w:rPr>
          <w:rFonts w:eastAsia="Calibri"/>
        </w:rPr>
        <w:t xml:space="preserve">Estimates of Other Total Annual Cost Burden to Respondents or Record Keepers </w:t>
      </w:r>
    </w:p>
    <w:p w:rsidR="006572EE" w:rsidRPr="00124FF2" w:rsidRDefault="009C087E" w:rsidP="00736BD5">
      <w:pPr>
        <w:spacing w:line="360" w:lineRule="auto"/>
        <w:ind w:left="720" w:hanging="720"/>
        <w:rPr>
          <w:rFonts w:eastAsia="Calibri"/>
        </w:rPr>
      </w:pPr>
      <w:r w:rsidRPr="00124FF2">
        <w:rPr>
          <w:rFonts w:eastAsia="Calibri"/>
        </w:rPr>
        <w:t xml:space="preserve">14. </w:t>
      </w:r>
      <w:r w:rsidR="006572EE" w:rsidRPr="00124FF2">
        <w:rPr>
          <w:rFonts w:eastAsia="Calibri"/>
        </w:rPr>
        <w:t xml:space="preserve">Annualized Cost to the Government </w:t>
      </w:r>
    </w:p>
    <w:p w:rsidR="006572EE" w:rsidRPr="00124FF2" w:rsidRDefault="009C087E" w:rsidP="00736BD5">
      <w:pPr>
        <w:spacing w:line="360" w:lineRule="auto"/>
        <w:ind w:left="720" w:hanging="720"/>
        <w:rPr>
          <w:rFonts w:eastAsia="Calibri"/>
        </w:rPr>
      </w:pPr>
      <w:r w:rsidRPr="00124FF2">
        <w:rPr>
          <w:rFonts w:eastAsia="Calibri"/>
        </w:rPr>
        <w:t xml:space="preserve">15. </w:t>
      </w:r>
      <w:r w:rsidR="006572EE" w:rsidRPr="00124FF2">
        <w:rPr>
          <w:rFonts w:eastAsia="Calibri"/>
        </w:rPr>
        <w:t xml:space="preserve">Explanation for Program Changes or Adjustments </w:t>
      </w:r>
    </w:p>
    <w:p w:rsidR="006572EE" w:rsidRPr="00124FF2" w:rsidRDefault="009C087E" w:rsidP="00736BD5">
      <w:pPr>
        <w:spacing w:line="360" w:lineRule="auto"/>
        <w:ind w:left="720" w:hanging="720"/>
        <w:rPr>
          <w:rFonts w:eastAsia="Calibri"/>
        </w:rPr>
      </w:pPr>
      <w:r w:rsidRPr="00124FF2">
        <w:rPr>
          <w:rFonts w:eastAsia="Calibri"/>
        </w:rPr>
        <w:t xml:space="preserve">16. </w:t>
      </w:r>
      <w:r w:rsidR="006572EE" w:rsidRPr="00124FF2">
        <w:rPr>
          <w:rFonts w:eastAsia="Calibri"/>
        </w:rPr>
        <w:t xml:space="preserve">Plans for Tabulation and Publication and Project Time Schedule </w:t>
      </w:r>
    </w:p>
    <w:p w:rsidR="006572EE" w:rsidRPr="00124FF2" w:rsidRDefault="009C087E" w:rsidP="00736BD5">
      <w:pPr>
        <w:spacing w:line="360" w:lineRule="auto"/>
        <w:ind w:left="720" w:hanging="720"/>
        <w:rPr>
          <w:rFonts w:eastAsia="Calibri"/>
        </w:rPr>
      </w:pPr>
      <w:r w:rsidRPr="00124FF2">
        <w:rPr>
          <w:rFonts w:eastAsia="Calibri"/>
        </w:rPr>
        <w:t xml:space="preserve">17. </w:t>
      </w:r>
      <w:r w:rsidR="006572EE" w:rsidRPr="00124FF2">
        <w:rPr>
          <w:rFonts w:eastAsia="Calibri"/>
        </w:rPr>
        <w:t>Reason(s) Display of OMB Expiration Date is Inappropriate</w:t>
      </w:r>
    </w:p>
    <w:p w:rsidR="009C087E" w:rsidRPr="00124FF2" w:rsidRDefault="009C087E" w:rsidP="00736BD5">
      <w:pPr>
        <w:spacing w:line="360" w:lineRule="auto"/>
        <w:ind w:left="720" w:hanging="720"/>
        <w:rPr>
          <w:rFonts w:eastAsia="Calibri"/>
        </w:rPr>
      </w:pPr>
      <w:r w:rsidRPr="00124FF2">
        <w:rPr>
          <w:rFonts w:eastAsia="Calibri"/>
        </w:rPr>
        <w:t xml:space="preserve">18. </w:t>
      </w:r>
      <w:r w:rsidR="006572EE" w:rsidRPr="00124FF2">
        <w:rPr>
          <w:rFonts w:eastAsia="Calibri"/>
        </w:rPr>
        <w:t>Exceptions to Certification for Paperwork Reduction Act Submissions</w:t>
      </w:r>
    </w:p>
    <w:p w:rsidR="006572EE" w:rsidRPr="00124FF2" w:rsidRDefault="006572EE" w:rsidP="000E23CB">
      <w:pPr>
        <w:spacing w:line="360" w:lineRule="auto"/>
        <w:rPr>
          <w:rFonts w:eastAsia="Calibri"/>
          <w:bCs/>
        </w:rPr>
      </w:pPr>
      <w:r w:rsidRPr="00124FF2">
        <w:rPr>
          <w:rFonts w:eastAsia="Calibri"/>
        </w:rPr>
        <w:t xml:space="preserve"> </w:t>
      </w:r>
    </w:p>
    <w:p w:rsidR="009C087E" w:rsidRPr="003819F7" w:rsidRDefault="009C087E" w:rsidP="000E23CB">
      <w:pPr>
        <w:spacing w:line="360" w:lineRule="auto"/>
        <w:rPr>
          <w:color w:val="000000"/>
          <w:u w:val="single"/>
        </w:rPr>
      </w:pPr>
      <w:r w:rsidRPr="003819F7">
        <w:rPr>
          <w:color w:val="000000"/>
          <w:u w:val="single"/>
        </w:rPr>
        <w:t>List of Attachments</w:t>
      </w:r>
    </w:p>
    <w:p w:rsidR="00EE53BD" w:rsidRDefault="00EE53BD" w:rsidP="000E23CB">
      <w:pPr>
        <w:spacing w:line="360" w:lineRule="auto"/>
        <w:rPr>
          <w:color w:val="000000"/>
        </w:rPr>
      </w:pPr>
    </w:p>
    <w:p w:rsidR="009D7E78" w:rsidRPr="003819F7" w:rsidRDefault="00DA4387" w:rsidP="000E23CB">
      <w:pPr>
        <w:spacing w:line="360" w:lineRule="auto"/>
        <w:rPr>
          <w:color w:val="000000"/>
        </w:rPr>
      </w:pPr>
      <w:r>
        <w:rPr>
          <w:color w:val="000000"/>
        </w:rPr>
        <w:t>1. Authorizing Legislation</w:t>
      </w:r>
      <w:r w:rsidR="009D7E78">
        <w:rPr>
          <w:color w:val="000000"/>
        </w:rPr>
        <w:t xml:space="preserve"> </w:t>
      </w:r>
    </w:p>
    <w:p w:rsidR="009C087E" w:rsidRPr="003819F7" w:rsidRDefault="00DA4387" w:rsidP="00403F6B">
      <w:pPr>
        <w:spacing w:line="360" w:lineRule="auto"/>
        <w:ind w:left="720" w:hanging="720"/>
        <w:rPr>
          <w:color w:val="000000"/>
        </w:rPr>
      </w:pPr>
      <w:r>
        <w:rPr>
          <w:color w:val="000000"/>
        </w:rPr>
        <w:t xml:space="preserve">2. </w:t>
      </w:r>
      <w:r w:rsidR="00EC273C">
        <w:rPr>
          <w:color w:val="000000"/>
        </w:rPr>
        <w:t xml:space="preserve">CSTE </w:t>
      </w:r>
      <w:r w:rsidR="006F0FC9">
        <w:rPr>
          <w:color w:val="000000"/>
        </w:rPr>
        <w:t xml:space="preserve">SRCs </w:t>
      </w:r>
    </w:p>
    <w:p w:rsidR="00EE53BD" w:rsidRPr="003819F7" w:rsidRDefault="006F0FC9" w:rsidP="00403F6B">
      <w:pPr>
        <w:spacing w:line="360" w:lineRule="auto"/>
        <w:ind w:left="720" w:hanging="720"/>
      </w:pPr>
      <w:r>
        <w:t xml:space="preserve">3. </w:t>
      </w:r>
      <w:r w:rsidR="00B1084A">
        <w:t>List of NNDs</w:t>
      </w:r>
    </w:p>
    <w:p w:rsidR="009C087E" w:rsidRPr="003819F7" w:rsidRDefault="00FF0BE2" w:rsidP="00403F6B">
      <w:pPr>
        <w:spacing w:line="360" w:lineRule="auto"/>
        <w:ind w:left="720" w:hanging="720"/>
        <w:rPr>
          <w:color w:val="000000"/>
        </w:rPr>
      </w:pPr>
      <w:r>
        <w:rPr>
          <w:color w:val="000000"/>
        </w:rPr>
        <w:t>4</w:t>
      </w:r>
      <w:r w:rsidR="00B1084A">
        <w:rPr>
          <w:color w:val="000000"/>
        </w:rPr>
        <w:t xml:space="preserve">. </w:t>
      </w:r>
      <w:r w:rsidR="00C05BFA" w:rsidRPr="003819F7">
        <w:rPr>
          <w:color w:val="000000"/>
        </w:rPr>
        <w:t xml:space="preserve">Core Data </w:t>
      </w:r>
    </w:p>
    <w:p w:rsidR="00C05BFA" w:rsidRPr="003819F7" w:rsidRDefault="00FF0BE2" w:rsidP="00403F6B">
      <w:pPr>
        <w:spacing w:line="360" w:lineRule="auto"/>
        <w:ind w:left="720" w:hanging="720"/>
        <w:rPr>
          <w:color w:val="000000"/>
        </w:rPr>
      </w:pPr>
      <w:r>
        <w:rPr>
          <w:color w:val="000000"/>
        </w:rPr>
        <w:t>5</w:t>
      </w:r>
      <w:r w:rsidR="00B1084A">
        <w:rPr>
          <w:color w:val="000000"/>
        </w:rPr>
        <w:t xml:space="preserve">. </w:t>
      </w:r>
      <w:r w:rsidR="00C05BFA" w:rsidRPr="003819F7">
        <w:rPr>
          <w:color w:val="000000"/>
        </w:rPr>
        <w:t>Disease</w:t>
      </w:r>
      <w:r w:rsidR="00B1084A">
        <w:rPr>
          <w:color w:val="000000"/>
        </w:rPr>
        <w:t>-</w:t>
      </w:r>
      <w:r w:rsidR="00C05BFA" w:rsidRPr="003819F7">
        <w:rPr>
          <w:color w:val="000000"/>
        </w:rPr>
        <w:t>Specific Data</w:t>
      </w:r>
    </w:p>
    <w:p w:rsidR="00F66AAE" w:rsidRPr="003819F7" w:rsidRDefault="00FF0BE2" w:rsidP="00403F6B">
      <w:pPr>
        <w:spacing w:line="360" w:lineRule="auto"/>
        <w:ind w:left="720" w:hanging="720"/>
        <w:contextualSpacing/>
        <w:rPr>
          <w:color w:val="000000"/>
        </w:rPr>
      </w:pPr>
      <w:r>
        <w:rPr>
          <w:color w:val="000000"/>
        </w:rPr>
        <w:t>6</w:t>
      </w:r>
      <w:r w:rsidR="0002630B">
        <w:rPr>
          <w:color w:val="000000"/>
        </w:rPr>
        <w:t>. Data sharing policy</w:t>
      </w:r>
    </w:p>
    <w:p w:rsidR="009C087E" w:rsidRPr="003819F7" w:rsidRDefault="00FF0BE2" w:rsidP="00403F6B">
      <w:pPr>
        <w:spacing w:line="360" w:lineRule="auto"/>
        <w:ind w:left="720" w:hanging="720"/>
        <w:contextualSpacing/>
        <w:rPr>
          <w:color w:val="000000"/>
        </w:rPr>
      </w:pPr>
      <w:r>
        <w:rPr>
          <w:color w:val="000000"/>
        </w:rPr>
        <w:lastRenderedPageBreak/>
        <w:t>7</w:t>
      </w:r>
      <w:r w:rsidR="0002630B">
        <w:rPr>
          <w:color w:val="000000"/>
        </w:rPr>
        <w:t xml:space="preserve">. Data </w:t>
      </w:r>
      <w:r w:rsidR="00DE1C0A">
        <w:rPr>
          <w:color w:val="000000"/>
        </w:rPr>
        <w:t>sharing g</w:t>
      </w:r>
      <w:r w:rsidR="0002630B">
        <w:rPr>
          <w:color w:val="000000"/>
        </w:rPr>
        <w:t>uide</w:t>
      </w:r>
    </w:p>
    <w:p w:rsidR="009C087E" w:rsidRPr="003819F7" w:rsidRDefault="00FF0BE2" w:rsidP="00403F6B">
      <w:pPr>
        <w:spacing w:line="360" w:lineRule="auto"/>
        <w:ind w:left="720" w:hanging="720"/>
        <w:contextualSpacing/>
        <w:rPr>
          <w:rFonts w:eastAsia="Calibri"/>
        </w:rPr>
      </w:pPr>
      <w:r>
        <w:rPr>
          <w:rFonts w:eastAsia="Calibri"/>
        </w:rPr>
        <w:t>8</w:t>
      </w:r>
      <w:r w:rsidR="00E71709">
        <w:rPr>
          <w:rFonts w:eastAsia="Calibri"/>
        </w:rPr>
        <w:t>. PIAs Warehouse, Platforms</w:t>
      </w:r>
    </w:p>
    <w:p w:rsidR="00736D3C" w:rsidRPr="003819F7" w:rsidRDefault="00FF0BE2" w:rsidP="00403F6B">
      <w:pPr>
        <w:spacing w:line="360" w:lineRule="auto"/>
        <w:ind w:left="720" w:hanging="720"/>
        <w:contextualSpacing/>
      </w:pPr>
      <w:r>
        <w:rPr>
          <w:rFonts w:eastAsia="Calibri"/>
        </w:rPr>
        <w:t>9</w:t>
      </w:r>
      <w:r w:rsidR="00E71709">
        <w:rPr>
          <w:rFonts w:eastAsia="Calibri"/>
        </w:rPr>
        <w:t xml:space="preserve">. PIAs </w:t>
      </w:r>
      <w:r w:rsidR="005728AF" w:rsidRPr="003819F7">
        <w:rPr>
          <w:rFonts w:eastAsia="Calibri"/>
        </w:rPr>
        <w:t>Botulism</w:t>
      </w:r>
      <w:r w:rsidR="0010728F">
        <w:rPr>
          <w:rFonts w:eastAsia="Calibri"/>
        </w:rPr>
        <w:t>, Enteric</w:t>
      </w:r>
    </w:p>
    <w:p w:rsidR="003B349F" w:rsidRPr="003819F7" w:rsidRDefault="00FF0BE2" w:rsidP="00403F6B">
      <w:pPr>
        <w:spacing w:line="360" w:lineRule="auto"/>
        <w:ind w:left="720" w:hanging="720"/>
        <w:contextualSpacing/>
        <w:rPr>
          <w:rFonts w:eastAsia="Calibri"/>
        </w:rPr>
      </w:pPr>
      <w:r>
        <w:rPr>
          <w:rFonts w:eastAsia="Calibri"/>
        </w:rPr>
        <w:t>10</w:t>
      </w:r>
      <w:r w:rsidR="00D3641C">
        <w:rPr>
          <w:rFonts w:eastAsia="Calibri"/>
        </w:rPr>
        <w:t>.</w:t>
      </w:r>
      <w:r w:rsidR="0010728F">
        <w:rPr>
          <w:rFonts w:eastAsia="Calibri"/>
        </w:rPr>
        <w:t xml:space="preserve"> </w:t>
      </w:r>
      <w:r w:rsidR="00B7195D" w:rsidRPr="003819F7">
        <w:rPr>
          <w:rFonts w:eastAsia="Calibri"/>
        </w:rPr>
        <w:t>PIAs</w:t>
      </w:r>
      <w:r w:rsidR="0010728F">
        <w:rPr>
          <w:rFonts w:eastAsia="Calibri"/>
        </w:rPr>
        <w:t xml:space="preserve"> Nile, Vibrio</w:t>
      </w:r>
    </w:p>
    <w:p w:rsidR="009C087E" w:rsidRDefault="00FF0BE2" w:rsidP="00403F6B">
      <w:pPr>
        <w:spacing w:line="360" w:lineRule="auto"/>
        <w:ind w:left="720" w:hanging="720"/>
        <w:contextualSpacing/>
        <w:rPr>
          <w:rFonts w:eastAsia="Calibri"/>
        </w:rPr>
      </w:pPr>
      <w:r>
        <w:rPr>
          <w:rFonts w:eastAsia="Calibri"/>
        </w:rPr>
        <w:t>11</w:t>
      </w:r>
      <w:r w:rsidR="00D3641C">
        <w:rPr>
          <w:rFonts w:eastAsia="Calibri"/>
        </w:rPr>
        <w:t xml:space="preserve">. </w:t>
      </w:r>
      <w:r w:rsidR="00FA0736" w:rsidRPr="003819F7">
        <w:rPr>
          <w:rFonts w:eastAsia="Calibri"/>
        </w:rPr>
        <w:t>60-d</w:t>
      </w:r>
      <w:r w:rsidR="00D3641C">
        <w:rPr>
          <w:rFonts w:eastAsia="Calibri"/>
        </w:rPr>
        <w:t xml:space="preserve"> </w:t>
      </w:r>
      <w:r w:rsidR="00FA0736" w:rsidRPr="003819F7">
        <w:rPr>
          <w:rFonts w:eastAsia="Calibri"/>
        </w:rPr>
        <w:t>FRN</w:t>
      </w:r>
    </w:p>
    <w:p w:rsidR="008D621E" w:rsidRPr="003819F7" w:rsidRDefault="008D621E" w:rsidP="00403F6B">
      <w:pPr>
        <w:spacing w:line="360" w:lineRule="auto"/>
        <w:ind w:left="720" w:hanging="720"/>
        <w:contextualSpacing/>
        <w:rPr>
          <w:rFonts w:eastAsia="Calibri"/>
        </w:rPr>
      </w:pPr>
      <w:r>
        <w:rPr>
          <w:rFonts w:eastAsia="Calibri"/>
        </w:rPr>
        <w:t>11</w:t>
      </w:r>
      <w:r w:rsidR="00B443F3">
        <w:rPr>
          <w:rFonts w:eastAsia="Calibri"/>
        </w:rPr>
        <w:t>a.</w:t>
      </w:r>
      <w:bookmarkStart w:id="0" w:name="_GoBack"/>
      <w:bookmarkEnd w:id="0"/>
      <w:r>
        <w:rPr>
          <w:rFonts w:eastAsia="Calibri"/>
        </w:rPr>
        <w:t xml:space="preserve"> Public Comment</w:t>
      </w:r>
    </w:p>
    <w:p w:rsidR="009C087E" w:rsidRPr="003819F7" w:rsidRDefault="00D3641C" w:rsidP="00403F6B">
      <w:pPr>
        <w:spacing w:line="360" w:lineRule="auto"/>
        <w:ind w:left="720" w:hanging="720"/>
        <w:contextualSpacing/>
        <w:rPr>
          <w:rFonts w:eastAsia="Calibri"/>
        </w:rPr>
      </w:pPr>
      <w:r>
        <w:t>1</w:t>
      </w:r>
      <w:r w:rsidR="00FF0BE2">
        <w:t>2</w:t>
      </w:r>
      <w:r>
        <w:t>. Consultants List</w:t>
      </w:r>
    </w:p>
    <w:p w:rsidR="00945DCB" w:rsidRPr="003819F7" w:rsidRDefault="00A65E92" w:rsidP="00403F6B">
      <w:pPr>
        <w:spacing w:line="360" w:lineRule="auto"/>
        <w:ind w:left="720" w:hanging="720"/>
        <w:contextualSpacing/>
        <w:rPr>
          <w:rFonts w:eastAsia="Calibri"/>
        </w:rPr>
      </w:pPr>
      <w:r>
        <w:rPr>
          <w:rFonts w:eastAsia="Calibri"/>
        </w:rPr>
        <w:t>1</w:t>
      </w:r>
      <w:r w:rsidR="00FF0BE2">
        <w:rPr>
          <w:rFonts w:eastAsia="Calibri"/>
        </w:rPr>
        <w:t>3</w:t>
      </w:r>
      <w:r>
        <w:rPr>
          <w:rFonts w:eastAsia="Calibri"/>
        </w:rPr>
        <w:t xml:space="preserve">. </w:t>
      </w:r>
      <w:r w:rsidR="00C05BFA" w:rsidRPr="003819F7">
        <w:rPr>
          <w:rFonts w:eastAsia="Calibri"/>
        </w:rPr>
        <w:t>NNDSS Research Determinatio</w:t>
      </w:r>
      <w:r w:rsidR="00945DCB" w:rsidRPr="003819F7">
        <w:rPr>
          <w:rFonts w:eastAsia="Calibri"/>
        </w:rPr>
        <w:t>n</w:t>
      </w:r>
    </w:p>
    <w:p w:rsidR="00736D3C" w:rsidRPr="003819F7" w:rsidRDefault="00A65E92" w:rsidP="00403F6B">
      <w:pPr>
        <w:spacing w:line="360" w:lineRule="auto"/>
        <w:ind w:left="720" w:hanging="720"/>
        <w:contextualSpacing/>
        <w:rPr>
          <w:rFonts w:eastAsia="Calibri"/>
        </w:rPr>
      </w:pPr>
      <w:r>
        <w:rPr>
          <w:rFonts w:eastAsia="Calibri"/>
        </w:rPr>
        <w:t>1</w:t>
      </w:r>
      <w:r w:rsidR="00FF0BE2">
        <w:rPr>
          <w:rFonts w:eastAsia="Calibri"/>
        </w:rPr>
        <w:t>4</w:t>
      </w:r>
      <w:r>
        <w:rPr>
          <w:rFonts w:eastAsia="Calibri"/>
        </w:rPr>
        <w:t xml:space="preserve">. </w:t>
      </w:r>
      <w:r w:rsidR="00736D3C" w:rsidRPr="003819F7">
        <w:rPr>
          <w:rFonts w:eastAsia="Calibri"/>
        </w:rPr>
        <w:t>O</w:t>
      </w:r>
      <w:r w:rsidR="003B349F" w:rsidRPr="003819F7">
        <w:rPr>
          <w:rFonts w:eastAsia="Calibri"/>
        </w:rPr>
        <w:t xml:space="preserve">ID </w:t>
      </w:r>
      <w:r w:rsidR="00736D3C" w:rsidRPr="003819F7">
        <w:rPr>
          <w:rFonts w:eastAsia="Calibri"/>
        </w:rPr>
        <w:t>Research Determinations</w:t>
      </w:r>
    </w:p>
    <w:p w:rsidR="00C05BFA" w:rsidRPr="00124FF2" w:rsidRDefault="00C05BFA" w:rsidP="003D70F7">
      <w:pPr>
        <w:spacing w:line="360" w:lineRule="auto"/>
        <w:contextualSpacing/>
        <w:rPr>
          <w:rFonts w:eastAsia="Calibri"/>
          <w:b/>
        </w:rPr>
      </w:pPr>
    </w:p>
    <w:p w:rsidR="00384E7D" w:rsidRPr="00124FF2" w:rsidRDefault="00AF03BB" w:rsidP="000E23CB">
      <w:pPr>
        <w:autoSpaceDE w:val="0"/>
        <w:autoSpaceDN w:val="0"/>
        <w:adjustRightInd w:val="0"/>
        <w:spacing w:line="360" w:lineRule="auto"/>
        <w:rPr>
          <w:b/>
          <w:color w:val="000000"/>
        </w:rPr>
      </w:pPr>
      <w:r w:rsidRPr="00124FF2">
        <w:rPr>
          <w:b/>
          <w:color w:val="000000"/>
        </w:rPr>
        <w:t>Abstract</w:t>
      </w:r>
    </w:p>
    <w:p w:rsidR="00365319" w:rsidRPr="00124FF2" w:rsidRDefault="00B95352" w:rsidP="008C1529">
      <w:pPr>
        <w:spacing w:line="360" w:lineRule="auto"/>
      </w:pPr>
      <w:r w:rsidRPr="007E0967">
        <w:t>The Centers for Disease Control and Prevention (</w:t>
      </w:r>
      <w:r w:rsidR="00365319" w:rsidRPr="007E0967">
        <w:t>CDC</w:t>
      </w:r>
      <w:r w:rsidRPr="007E0967">
        <w:t>)</w:t>
      </w:r>
      <w:r w:rsidR="00365319" w:rsidRPr="007E0967">
        <w:t xml:space="preserve"> requests a three year approval for a Revision for the National Notifiable Diseases Surveillance System (NNDSS) [</w:t>
      </w:r>
      <w:r w:rsidR="00736D3C" w:rsidRPr="007E0967">
        <w:t xml:space="preserve">National Electronic Disease Surveillance System (NEDSS), </w:t>
      </w:r>
      <w:r w:rsidR="00365319" w:rsidRPr="007E0967">
        <w:t xml:space="preserve">OMB Control No. </w:t>
      </w:r>
      <w:r w:rsidR="00365319" w:rsidRPr="007E0967">
        <w:rPr>
          <w:u w:val="single"/>
        </w:rPr>
        <w:t>0920-0728</w:t>
      </w:r>
      <w:r w:rsidR="00C96FDA" w:rsidRPr="007E0967">
        <w:t xml:space="preserve">, </w:t>
      </w:r>
      <w:r w:rsidR="008C1529" w:rsidRPr="007E0967">
        <w:t xml:space="preserve">Expiration Date 01/31/2014]. This request has been developed </w:t>
      </w:r>
      <w:r w:rsidR="000A4225" w:rsidRPr="007E0967">
        <w:t>in co</w:t>
      </w:r>
      <w:r w:rsidR="008C1529" w:rsidRPr="007E0967">
        <w:t>o</w:t>
      </w:r>
      <w:r w:rsidR="000A4225" w:rsidRPr="007E0967">
        <w:t xml:space="preserve">rdination with </w:t>
      </w:r>
      <w:r w:rsidR="00F57A6D" w:rsidRPr="007E0967">
        <w:t>four</w:t>
      </w:r>
      <w:r w:rsidR="000A4225" w:rsidRPr="007E0967">
        <w:t xml:space="preserve"> </w:t>
      </w:r>
      <w:r w:rsidR="00365319" w:rsidRPr="007E0967">
        <w:t>other CDC applications to OMB for nationally notifiable disease</w:t>
      </w:r>
      <w:r w:rsidR="00514939" w:rsidRPr="007E0967">
        <w:t>s</w:t>
      </w:r>
      <w:r w:rsidR="00365319" w:rsidRPr="007E0967">
        <w:t xml:space="preserve"> case notification:</w:t>
      </w:r>
      <w:r w:rsidR="006135EE" w:rsidRPr="007E0967">
        <w:t xml:space="preserve"> Control No</w:t>
      </w:r>
      <w:r w:rsidR="00AB00F6" w:rsidRPr="007E0967">
        <w:t>s</w:t>
      </w:r>
      <w:r w:rsidR="006135EE" w:rsidRPr="007E0967">
        <w:t>.</w:t>
      </w:r>
      <w:r w:rsidR="00A92BEA" w:rsidRPr="007E0967">
        <w:t xml:space="preserve"> </w:t>
      </w:r>
      <w:r w:rsidR="00A92BEA" w:rsidRPr="00024C7B">
        <w:rPr>
          <w:u w:val="single"/>
        </w:rPr>
        <w:t>0920-0128</w:t>
      </w:r>
      <w:r w:rsidR="00A92BEA" w:rsidRPr="007E0967">
        <w:t>, (Congenital Syphilis Surveillance),</w:t>
      </w:r>
      <w:r w:rsidR="006135EE" w:rsidRPr="007E0967">
        <w:t xml:space="preserve"> </w:t>
      </w:r>
      <w:r w:rsidR="006135EE" w:rsidRPr="007E0967">
        <w:rPr>
          <w:u w:val="single"/>
        </w:rPr>
        <w:t>0920-0</w:t>
      </w:r>
      <w:r w:rsidR="00085B48" w:rsidRPr="007E0967">
        <w:rPr>
          <w:u w:val="single"/>
        </w:rPr>
        <w:t>8</w:t>
      </w:r>
      <w:r w:rsidR="006135EE" w:rsidRPr="007E0967">
        <w:rPr>
          <w:u w:val="single"/>
        </w:rPr>
        <w:t>19</w:t>
      </w:r>
      <w:r w:rsidR="00D12144" w:rsidRPr="007E0967">
        <w:rPr>
          <w:u w:val="single"/>
        </w:rPr>
        <w:t xml:space="preserve"> (</w:t>
      </w:r>
      <w:r w:rsidR="001D115F" w:rsidRPr="007E0967">
        <w:rPr>
          <w:bCs/>
        </w:rPr>
        <w:t>Nationally Notifiable Sexually Transmitted Disease (STD) Morbidity Surveillance</w:t>
      </w:r>
      <w:r w:rsidR="00D12144" w:rsidRPr="007E0967">
        <w:rPr>
          <w:bCs/>
        </w:rPr>
        <w:t>)</w:t>
      </w:r>
      <w:r w:rsidR="0052636B" w:rsidRPr="007E0967">
        <w:rPr>
          <w:bCs/>
        </w:rPr>
        <w:t>,</w:t>
      </w:r>
      <w:r w:rsidR="00365319" w:rsidRPr="007E0967">
        <w:t xml:space="preserve"> </w:t>
      </w:r>
      <w:r w:rsidR="00365319" w:rsidRPr="007E0967">
        <w:rPr>
          <w:u w:val="single"/>
        </w:rPr>
        <w:t>0920-0009</w:t>
      </w:r>
      <w:r w:rsidR="008C1529" w:rsidRPr="007E0967">
        <w:t xml:space="preserve"> </w:t>
      </w:r>
      <w:r w:rsidR="00D12144" w:rsidRPr="007E0967">
        <w:t>(</w:t>
      </w:r>
      <w:r w:rsidR="001D115F" w:rsidRPr="007E0967">
        <w:rPr>
          <w:bCs/>
        </w:rPr>
        <w:t>National Disease Surveillance Program - I. Case Reports</w:t>
      </w:r>
      <w:r w:rsidR="00D12144" w:rsidRPr="007E0967">
        <w:rPr>
          <w:bCs/>
        </w:rPr>
        <w:t xml:space="preserve">) </w:t>
      </w:r>
      <w:r w:rsidR="00365319" w:rsidRPr="007E0967">
        <w:t xml:space="preserve">and </w:t>
      </w:r>
      <w:r w:rsidR="00365319" w:rsidRPr="007E0967">
        <w:rPr>
          <w:u w:val="single"/>
        </w:rPr>
        <w:t>0920-0004</w:t>
      </w:r>
      <w:r w:rsidR="008C1529" w:rsidRPr="007E0967">
        <w:t xml:space="preserve"> </w:t>
      </w:r>
      <w:r w:rsidR="00D12144" w:rsidRPr="007E0967">
        <w:t>(</w:t>
      </w:r>
      <w:r w:rsidR="001D115F" w:rsidRPr="007E0967">
        <w:rPr>
          <w:bCs/>
        </w:rPr>
        <w:t>National Disease Surveillance Program - II. Disease</w:t>
      </w:r>
      <w:r w:rsidR="0049515C">
        <w:rPr>
          <w:bCs/>
        </w:rPr>
        <w:t xml:space="preserve"> </w:t>
      </w:r>
      <w:r w:rsidR="00502253" w:rsidRPr="007E0967">
        <w:rPr>
          <w:bCs/>
        </w:rPr>
        <w:t>Summaries</w:t>
      </w:r>
      <w:r w:rsidR="00D12144" w:rsidRPr="007E0967">
        <w:rPr>
          <w:bCs/>
        </w:rPr>
        <w:t>)</w:t>
      </w:r>
      <w:r w:rsidR="00365319" w:rsidRPr="007E0967">
        <w:t>.</w:t>
      </w:r>
      <w:r w:rsidR="00DF64B3" w:rsidRPr="007E0967">
        <w:t xml:space="preserve"> </w:t>
      </w:r>
      <w:r w:rsidR="00484EB3">
        <w:t xml:space="preserve">This consolidation of </w:t>
      </w:r>
      <w:r w:rsidR="00D33AF4">
        <w:t xml:space="preserve">0128 and </w:t>
      </w:r>
      <w:r w:rsidR="000E78C2">
        <w:t xml:space="preserve">some parts of </w:t>
      </w:r>
      <w:r w:rsidR="000E78C2" w:rsidRPr="000E78C2">
        <w:t>0819</w:t>
      </w:r>
      <w:r w:rsidR="000E78C2">
        <w:t>,</w:t>
      </w:r>
      <w:r w:rsidR="008E67B5">
        <w:t xml:space="preserve"> 0009 and 0004</w:t>
      </w:r>
      <w:r w:rsidR="003848C9">
        <w:t xml:space="preserve"> into 0728</w:t>
      </w:r>
      <w:r w:rsidR="008E67B5">
        <w:t xml:space="preserve">, </w:t>
      </w:r>
      <w:r w:rsidR="00021536">
        <w:t xml:space="preserve">is an important step in implementing </w:t>
      </w:r>
      <w:r w:rsidR="00484EB3">
        <w:t xml:space="preserve">CDC’s </w:t>
      </w:r>
      <w:r w:rsidR="00021536">
        <w:t xml:space="preserve">longer term </w:t>
      </w:r>
      <w:r w:rsidR="00BB5408">
        <w:t xml:space="preserve">strategy of developing a more coordinated and integrated </w:t>
      </w:r>
      <w:r w:rsidR="004A46CE">
        <w:t>infectious diseases surveillance system that reduces overlap and duplication</w:t>
      </w:r>
      <w:r w:rsidR="0072204F">
        <w:t>; increases</w:t>
      </w:r>
      <w:r w:rsidR="008B1A27">
        <w:t xml:space="preserve"> </w:t>
      </w:r>
      <w:r w:rsidR="006C2B88">
        <w:t>interoperability</w:t>
      </w:r>
      <w:r w:rsidR="0010673B">
        <w:t>, integration</w:t>
      </w:r>
      <w:r w:rsidR="006C2B88">
        <w:t xml:space="preserve"> and </w:t>
      </w:r>
      <w:r w:rsidR="008B1A27">
        <w:t>efficiency</w:t>
      </w:r>
      <w:r w:rsidR="00021536">
        <w:t>;</w:t>
      </w:r>
      <w:r w:rsidR="00F67100">
        <w:t xml:space="preserve"> and thereby</w:t>
      </w:r>
      <w:r w:rsidR="006C2B88">
        <w:t xml:space="preserve"> reduc</w:t>
      </w:r>
      <w:r w:rsidR="00F67100">
        <w:t>es</w:t>
      </w:r>
      <w:r w:rsidR="006C2B88">
        <w:t xml:space="preserve"> b</w:t>
      </w:r>
      <w:r w:rsidR="00ED1B56">
        <w:t>u</w:t>
      </w:r>
      <w:r w:rsidR="006C2B88">
        <w:t>rden to state, territorial and local</w:t>
      </w:r>
      <w:r w:rsidR="0070649E">
        <w:t xml:space="preserve"> health departments that report infectious disease data to CDC.  </w:t>
      </w:r>
      <w:r w:rsidR="00365319" w:rsidRPr="008C1529">
        <w:t xml:space="preserve"> </w:t>
      </w:r>
      <w:r w:rsidR="000D16C8" w:rsidRPr="008C1529">
        <w:t xml:space="preserve">Due to the </w:t>
      </w:r>
      <w:r w:rsidR="00A032BC">
        <w:t>consolidation</w:t>
      </w:r>
      <w:r w:rsidR="000D16C8" w:rsidRPr="008C1529">
        <w:t>, t</w:t>
      </w:r>
      <w:r w:rsidR="00365319" w:rsidRPr="008C1529">
        <w:t>his NNDSS app</w:t>
      </w:r>
      <w:r w:rsidR="00AB2354" w:rsidRPr="008C1529">
        <w:t>l</w:t>
      </w:r>
      <w:r w:rsidR="00365319" w:rsidRPr="008C1529">
        <w:t xml:space="preserve">ication includes conditions </w:t>
      </w:r>
      <w:r w:rsidR="002B4BD3">
        <w:t xml:space="preserve">and </w:t>
      </w:r>
      <w:r w:rsidR="00B23BE2">
        <w:t xml:space="preserve">many </w:t>
      </w:r>
      <w:r w:rsidR="002B4BD3">
        <w:t xml:space="preserve">additional data elements </w:t>
      </w:r>
      <w:r w:rsidR="000D16C8" w:rsidRPr="008C1529">
        <w:t>that were not</w:t>
      </w:r>
      <w:r w:rsidR="000D16C8">
        <w:t xml:space="preserve"> previously included in OMB Control No. </w:t>
      </w:r>
      <w:r w:rsidR="000D16C8">
        <w:rPr>
          <w:u w:val="single"/>
        </w:rPr>
        <w:t>0920-0728</w:t>
      </w:r>
      <w:r w:rsidR="002B4BD3">
        <w:t>.</w:t>
      </w:r>
      <w:r w:rsidR="00AB00F6">
        <w:t xml:space="preserve"> </w:t>
      </w:r>
    </w:p>
    <w:p w:rsidR="00C31AA3" w:rsidRDefault="00C31AA3" w:rsidP="000E23CB">
      <w:pPr>
        <w:autoSpaceDE w:val="0"/>
        <w:autoSpaceDN w:val="0"/>
        <w:adjustRightInd w:val="0"/>
        <w:spacing w:line="360" w:lineRule="auto"/>
        <w:rPr>
          <w:b/>
          <w:color w:val="000000"/>
        </w:rPr>
      </w:pPr>
    </w:p>
    <w:p w:rsidR="005D6548" w:rsidRPr="00124FF2" w:rsidRDefault="005D6548" w:rsidP="000E23CB">
      <w:pPr>
        <w:autoSpaceDE w:val="0"/>
        <w:autoSpaceDN w:val="0"/>
        <w:adjustRightInd w:val="0"/>
        <w:spacing w:line="360" w:lineRule="auto"/>
        <w:rPr>
          <w:b/>
          <w:color w:val="000000"/>
        </w:rPr>
      </w:pPr>
    </w:p>
    <w:p w:rsidR="009135CB" w:rsidRPr="00124FF2" w:rsidRDefault="009135CB" w:rsidP="000E23CB">
      <w:pPr>
        <w:autoSpaceDE w:val="0"/>
        <w:autoSpaceDN w:val="0"/>
        <w:adjustRightInd w:val="0"/>
        <w:spacing w:line="360" w:lineRule="auto"/>
        <w:rPr>
          <w:color w:val="000000"/>
        </w:rPr>
      </w:pPr>
      <w:r w:rsidRPr="00124FF2">
        <w:rPr>
          <w:b/>
          <w:color w:val="000000"/>
        </w:rPr>
        <w:t>A. JUSTIFICATION</w:t>
      </w:r>
    </w:p>
    <w:p w:rsidR="009135CB" w:rsidRPr="00124FF2" w:rsidRDefault="009135CB" w:rsidP="000E23CB">
      <w:pPr>
        <w:spacing w:line="360" w:lineRule="auto"/>
        <w:rPr>
          <w:color w:val="000000"/>
        </w:rPr>
      </w:pPr>
    </w:p>
    <w:p w:rsidR="009135CB" w:rsidRPr="00124FF2" w:rsidRDefault="009135CB" w:rsidP="00AB2354">
      <w:pPr>
        <w:spacing w:line="360" w:lineRule="auto"/>
        <w:rPr>
          <w:color w:val="000000"/>
        </w:rPr>
      </w:pPr>
      <w:r w:rsidRPr="00124FF2">
        <w:rPr>
          <w:b/>
          <w:color w:val="000000"/>
        </w:rPr>
        <w:t>A</w:t>
      </w:r>
      <w:r w:rsidR="0042357A">
        <w:rPr>
          <w:b/>
          <w:color w:val="000000"/>
        </w:rPr>
        <w:t>.1</w:t>
      </w:r>
      <w:r w:rsidRPr="00124FF2">
        <w:rPr>
          <w:b/>
          <w:color w:val="000000"/>
        </w:rPr>
        <w:t xml:space="preserve"> </w:t>
      </w:r>
      <w:r w:rsidRPr="00124FF2">
        <w:rPr>
          <w:b/>
          <w:color w:val="000000"/>
          <w:u w:val="single"/>
        </w:rPr>
        <w:t>C</w:t>
      </w:r>
      <w:r w:rsidR="003C278E" w:rsidRPr="00124FF2">
        <w:rPr>
          <w:b/>
          <w:color w:val="000000"/>
          <w:u w:val="single"/>
        </w:rPr>
        <w:t xml:space="preserve">ircumstances Making </w:t>
      </w:r>
      <w:r w:rsidR="000223F7">
        <w:rPr>
          <w:b/>
          <w:color w:val="000000"/>
          <w:u w:val="single"/>
        </w:rPr>
        <w:t xml:space="preserve">the Collection of Information </w:t>
      </w:r>
      <w:r w:rsidR="003C278E" w:rsidRPr="00124FF2">
        <w:rPr>
          <w:b/>
          <w:color w:val="000000"/>
          <w:u w:val="single"/>
        </w:rPr>
        <w:t>Necessary</w:t>
      </w:r>
    </w:p>
    <w:p w:rsidR="00B71596" w:rsidRPr="00880652" w:rsidRDefault="00B71596" w:rsidP="000E23CB">
      <w:pPr>
        <w:spacing w:line="360" w:lineRule="auto"/>
      </w:pPr>
    </w:p>
    <w:p w:rsidR="00AB2354" w:rsidRPr="004D65D2" w:rsidRDefault="00AA5F25" w:rsidP="000E23CB">
      <w:pPr>
        <w:spacing w:line="360" w:lineRule="auto"/>
        <w:rPr>
          <w:bCs/>
        </w:rPr>
      </w:pPr>
      <w:r w:rsidRPr="00AA5F25">
        <w:t xml:space="preserve">CDC requests a three year approval for a Revision for the National Notifiable Diseases Surveillance System (NNDSS) [National Electronic Disease Surveillance System (NEDSS), OMB Control No. </w:t>
      </w:r>
      <w:r w:rsidRPr="00AA5F25">
        <w:rPr>
          <w:u w:val="single"/>
        </w:rPr>
        <w:t>0920-0728</w:t>
      </w:r>
      <w:r w:rsidRPr="00AA5F25">
        <w:t xml:space="preserve">, Expiration Date 01/31/2014]. This request has been developed in coordination with four other CDC applications to OMB for nationally notifiable diseases case notification: Control Nos. 0920-0128, (Congenital Syphilis Surveillance), </w:t>
      </w:r>
      <w:r w:rsidRPr="00AA5F25">
        <w:rPr>
          <w:u w:val="single"/>
        </w:rPr>
        <w:t>0920-0819 (</w:t>
      </w:r>
      <w:r w:rsidRPr="00AA5F25">
        <w:rPr>
          <w:bCs/>
        </w:rPr>
        <w:t>Nationally Notifiable Sexually Transmitted Disease (STD) Morbidity Surveillance),</w:t>
      </w:r>
      <w:r w:rsidRPr="00AA5F25">
        <w:t xml:space="preserve"> </w:t>
      </w:r>
      <w:r w:rsidRPr="00AA5F25">
        <w:rPr>
          <w:u w:val="single"/>
        </w:rPr>
        <w:t>0920-0009</w:t>
      </w:r>
      <w:r w:rsidRPr="00AA5F25">
        <w:t xml:space="preserve"> (</w:t>
      </w:r>
      <w:r w:rsidRPr="00AA5F25">
        <w:rPr>
          <w:bCs/>
        </w:rPr>
        <w:t xml:space="preserve">National Disease Surveillance Program - I. Case Reports) </w:t>
      </w:r>
      <w:r w:rsidRPr="00AA5F25">
        <w:t xml:space="preserve">and </w:t>
      </w:r>
      <w:r w:rsidRPr="00AA5F25">
        <w:rPr>
          <w:u w:val="single"/>
        </w:rPr>
        <w:t>0920-0004</w:t>
      </w:r>
      <w:r w:rsidRPr="00AA5F25">
        <w:t xml:space="preserve"> (</w:t>
      </w:r>
      <w:r w:rsidRPr="00AA5F25">
        <w:rPr>
          <w:bCs/>
        </w:rPr>
        <w:t>National Disease Surveillance Program - II. Disease Summaries)</w:t>
      </w:r>
      <w:r w:rsidRPr="00AA5F25">
        <w:t xml:space="preserve">. </w:t>
      </w:r>
      <w:r w:rsidR="00BC7E42">
        <w:t xml:space="preserve">By consolidating  0128, </w:t>
      </w:r>
      <w:r w:rsidR="00AD63F4">
        <w:t xml:space="preserve">and parts of </w:t>
      </w:r>
      <w:r w:rsidR="00BC7E42" w:rsidRPr="000E78C2">
        <w:t>0819</w:t>
      </w:r>
      <w:r w:rsidR="00BC7E42">
        <w:t>, 0009 and 0004</w:t>
      </w:r>
      <w:r w:rsidR="00A86D54">
        <w:t xml:space="preserve"> into 0728</w:t>
      </w:r>
      <w:r w:rsidR="00BC7E42">
        <w:t xml:space="preserve">, </w:t>
      </w:r>
      <w:r w:rsidR="0049515C">
        <w:t xml:space="preserve">this application </w:t>
      </w:r>
      <w:r w:rsidR="00AD63F4">
        <w:t xml:space="preserve">supports </w:t>
      </w:r>
      <w:r w:rsidR="000C1E4B" w:rsidRPr="000C1E4B">
        <w:t xml:space="preserve">increases </w:t>
      </w:r>
      <w:r w:rsidR="00AD63F4">
        <w:t xml:space="preserve">in </w:t>
      </w:r>
      <w:r w:rsidR="000C1E4B" w:rsidRPr="000C1E4B">
        <w:t>interoperability</w:t>
      </w:r>
      <w:r w:rsidR="0010673B">
        <w:t>, integration</w:t>
      </w:r>
      <w:r w:rsidR="000C1E4B" w:rsidRPr="000C1E4B">
        <w:t xml:space="preserve"> and efficiency of CDC’s infectious diseases surveillance systems by reducing overlap and duplication</w:t>
      </w:r>
      <w:r w:rsidR="000C1E4B">
        <w:t xml:space="preserve"> within the CDC systems</w:t>
      </w:r>
      <w:r w:rsidR="000C1E4B" w:rsidRPr="000C1E4B">
        <w:t>, thereby reducing b</w:t>
      </w:r>
      <w:r w:rsidR="00ED1B56">
        <w:t>u</w:t>
      </w:r>
      <w:r w:rsidR="000C1E4B" w:rsidRPr="000C1E4B">
        <w:t>rden to state, territorial and local health departments that report infectious disease data to CDC.</w:t>
      </w:r>
      <w:r w:rsidR="00BC7E42" w:rsidRPr="008C1529">
        <w:t xml:space="preserve"> </w:t>
      </w:r>
      <w:r w:rsidR="006D760D" w:rsidRPr="00880652">
        <w:t xml:space="preserve">Due </w:t>
      </w:r>
      <w:r w:rsidR="006D760D" w:rsidRPr="008C1529">
        <w:t xml:space="preserve">to the </w:t>
      </w:r>
      <w:r w:rsidR="005D3D6F">
        <w:t>consolidation</w:t>
      </w:r>
      <w:r w:rsidR="006D760D" w:rsidRPr="008C1529">
        <w:t xml:space="preserve">, this NNDSS application includes 11 conditions </w:t>
      </w:r>
      <w:r w:rsidR="002F662F">
        <w:t xml:space="preserve">and </w:t>
      </w:r>
      <w:r w:rsidR="009C2A59">
        <w:t>many additional data elements for the case notifications</w:t>
      </w:r>
      <w:r w:rsidR="009C2A59" w:rsidRPr="008C1529">
        <w:t xml:space="preserve"> </w:t>
      </w:r>
      <w:r w:rsidR="006D760D" w:rsidRPr="008C1529">
        <w:t>that were not</w:t>
      </w:r>
      <w:r w:rsidR="006D760D">
        <w:t xml:space="preserve"> previously included in </w:t>
      </w:r>
      <w:r w:rsidR="00703B92">
        <w:t xml:space="preserve">NNDSS </w:t>
      </w:r>
      <w:r w:rsidR="006D760D">
        <w:t xml:space="preserve">OMB </w:t>
      </w:r>
      <w:r w:rsidR="00703B92">
        <w:t xml:space="preserve">application </w:t>
      </w:r>
      <w:r w:rsidR="006D760D">
        <w:t xml:space="preserve">Control No. </w:t>
      </w:r>
      <w:r w:rsidR="006D760D">
        <w:rPr>
          <w:u w:val="single"/>
        </w:rPr>
        <w:t>0920-0728</w:t>
      </w:r>
      <w:r w:rsidR="006D760D">
        <w:t>.</w:t>
      </w:r>
      <w:r w:rsidR="00846BA5" w:rsidRPr="00846BA5">
        <w:t xml:space="preserve"> </w:t>
      </w:r>
      <w:r w:rsidR="009C2A59">
        <w:t xml:space="preserve"> These additions are</w:t>
      </w:r>
      <w:r w:rsidR="00846BA5">
        <w:t xml:space="preserve"> described in section A.1.1 </w:t>
      </w:r>
      <w:r w:rsidR="009C2A59">
        <w:t>below</w:t>
      </w:r>
      <w:r w:rsidR="009C2A59" w:rsidRPr="004D65D2">
        <w:t>.</w:t>
      </w:r>
    </w:p>
    <w:p w:rsidR="00C31AA3" w:rsidRPr="004D65D2" w:rsidRDefault="00C31AA3" w:rsidP="00B64960">
      <w:pPr>
        <w:tabs>
          <w:tab w:val="left" w:pos="2191"/>
        </w:tabs>
        <w:spacing w:line="360" w:lineRule="auto"/>
      </w:pPr>
    </w:p>
    <w:p w:rsidR="002F662F" w:rsidRPr="004D65D2" w:rsidRDefault="00C31AA3" w:rsidP="00C31AA3">
      <w:pPr>
        <w:spacing w:line="360" w:lineRule="auto"/>
      </w:pPr>
      <w:r w:rsidRPr="004D65D2">
        <w:t xml:space="preserve">This application does not affect CDC OMB applications for </w:t>
      </w:r>
      <w:r w:rsidR="00B23BE2">
        <w:t xml:space="preserve">a number of </w:t>
      </w:r>
      <w:r w:rsidRPr="004D65D2">
        <w:t xml:space="preserve">other nationally notifiable conditions for which CDC receives case </w:t>
      </w:r>
      <w:r w:rsidR="00B23BE2">
        <w:t xml:space="preserve">notifications </w:t>
      </w:r>
      <w:r w:rsidRPr="004D65D2">
        <w:t>or outbreak notifications but which are not included in this application: acute pesticide-related illness and injury, cancer, elevated blood lead levels, HIV, silicosis, tuberculosis, foodborne disease outbreaks, and waterborne disease outbreaks. Other CDC programs are responsible for those surveillance systems and for those applications.</w:t>
      </w:r>
      <w:r w:rsidR="00F57244" w:rsidRPr="004D65D2">
        <w:t xml:space="preserve"> </w:t>
      </w:r>
    </w:p>
    <w:p w:rsidR="002F662F" w:rsidRPr="004D65D2" w:rsidRDefault="002F662F" w:rsidP="00C31AA3">
      <w:pPr>
        <w:spacing w:line="360" w:lineRule="auto"/>
      </w:pPr>
    </w:p>
    <w:p w:rsidR="00C31AA3" w:rsidRPr="004D65D2" w:rsidRDefault="00F57244" w:rsidP="00C31AA3">
      <w:pPr>
        <w:spacing w:line="360" w:lineRule="auto"/>
      </w:pPr>
      <w:r w:rsidRPr="004D65D2">
        <w:t xml:space="preserve">In addition, this application does not affect </w:t>
      </w:r>
      <w:r w:rsidR="000861E9" w:rsidRPr="004D65D2">
        <w:t xml:space="preserve">those aspects of </w:t>
      </w:r>
      <w:r w:rsidRPr="004D65D2">
        <w:t>OMB Control Nos.</w:t>
      </w:r>
      <w:r w:rsidR="000861E9" w:rsidRPr="004D65D2">
        <w:t xml:space="preserve"> </w:t>
      </w:r>
      <w:r w:rsidRPr="004D65D2">
        <w:t xml:space="preserve"> </w:t>
      </w:r>
      <w:r w:rsidRPr="004D65D2">
        <w:rPr>
          <w:u w:val="single"/>
        </w:rPr>
        <w:t>0920-0819 (</w:t>
      </w:r>
      <w:r w:rsidRPr="004D65D2">
        <w:rPr>
          <w:bCs/>
        </w:rPr>
        <w:t>Nationally Notifiable Sexually Transmitted Disease (STD) Morbidity Surveillance)</w:t>
      </w:r>
      <w:r w:rsidR="000531DD" w:rsidRPr="004D65D2">
        <w:rPr>
          <w:bCs/>
        </w:rPr>
        <w:t>,</w:t>
      </w:r>
      <w:r w:rsidRPr="004D65D2">
        <w:t xml:space="preserve"> </w:t>
      </w:r>
      <w:r w:rsidRPr="004D65D2">
        <w:rPr>
          <w:u w:val="single"/>
        </w:rPr>
        <w:t>0920-0009</w:t>
      </w:r>
      <w:r w:rsidRPr="004D65D2">
        <w:t xml:space="preserve"> (</w:t>
      </w:r>
      <w:r w:rsidRPr="004D65D2">
        <w:rPr>
          <w:bCs/>
        </w:rPr>
        <w:t xml:space="preserve">National Disease Surveillance Program - I. Case Reports) </w:t>
      </w:r>
      <w:r w:rsidRPr="004D65D2">
        <w:t xml:space="preserve">and </w:t>
      </w:r>
      <w:r w:rsidRPr="004D65D2">
        <w:rPr>
          <w:u w:val="single"/>
        </w:rPr>
        <w:t>0920-0004</w:t>
      </w:r>
      <w:r w:rsidRPr="004D65D2">
        <w:t xml:space="preserve"> (</w:t>
      </w:r>
      <w:r w:rsidRPr="004D65D2">
        <w:rPr>
          <w:bCs/>
        </w:rPr>
        <w:t>National Disease Surveillance Program - II. Disease Summaries)</w:t>
      </w:r>
      <w:r w:rsidR="000531DD" w:rsidRPr="004D65D2">
        <w:rPr>
          <w:bCs/>
        </w:rPr>
        <w:t xml:space="preserve"> for </w:t>
      </w:r>
      <w:r w:rsidR="00C7403B" w:rsidRPr="004D65D2">
        <w:rPr>
          <w:bCs/>
        </w:rPr>
        <w:t>notification to CDC of</w:t>
      </w:r>
      <w:r w:rsidR="005752CE">
        <w:rPr>
          <w:bCs/>
        </w:rPr>
        <w:t xml:space="preserve"> </w:t>
      </w:r>
      <w:r w:rsidR="00C7403B" w:rsidRPr="004D65D2">
        <w:rPr>
          <w:bCs/>
        </w:rPr>
        <w:t>conditions</w:t>
      </w:r>
      <w:r w:rsidR="005752CE">
        <w:rPr>
          <w:bCs/>
        </w:rPr>
        <w:t>/not included in th</w:t>
      </w:r>
      <w:r w:rsidR="00FC0BEB">
        <w:rPr>
          <w:bCs/>
        </w:rPr>
        <w:t>is</w:t>
      </w:r>
      <w:r w:rsidR="005752CE">
        <w:rPr>
          <w:bCs/>
        </w:rPr>
        <w:t xml:space="preserve"> application section A.1.1</w:t>
      </w:r>
      <w:r w:rsidR="00454FA9">
        <w:rPr>
          <w:bCs/>
        </w:rPr>
        <w:t xml:space="preserve"> or for </w:t>
      </w:r>
      <w:r w:rsidR="00646915" w:rsidRPr="004D65D2">
        <w:rPr>
          <w:bCs/>
        </w:rPr>
        <w:t xml:space="preserve">submission of </w:t>
      </w:r>
      <w:r w:rsidR="000861E9" w:rsidRPr="004D65D2">
        <w:rPr>
          <w:bCs/>
        </w:rPr>
        <w:t xml:space="preserve">data elements </w:t>
      </w:r>
      <w:r w:rsidR="00C7403B" w:rsidRPr="004D65D2">
        <w:rPr>
          <w:bCs/>
        </w:rPr>
        <w:t>not identified in this application</w:t>
      </w:r>
      <w:r w:rsidR="000C6F59">
        <w:rPr>
          <w:bCs/>
        </w:rPr>
        <w:t xml:space="preserve"> in section A.1.1 below</w:t>
      </w:r>
      <w:r w:rsidR="00C7403B" w:rsidRPr="004D65D2">
        <w:rPr>
          <w:bCs/>
        </w:rPr>
        <w:t>.</w:t>
      </w:r>
    </w:p>
    <w:p w:rsidR="009C087E" w:rsidRPr="004D65D2" w:rsidRDefault="00B64960" w:rsidP="00B64960">
      <w:pPr>
        <w:tabs>
          <w:tab w:val="left" w:pos="2191"/>
        </w:tabs>
        <w:spacing w:line="360" w:lineRule="auto"/>
      </w:pPr>
      <w:r w:rsidRPr="004D65D2">
        <w:tab/>
      </w:r>
    </w:p>
    <w:p w:rsidR="004D5139" w:rsidRDefault="00A76198" w:rsidP="000E23CB">
      <w:pPr>
        <w:spacing w:line="360" w:lineRule="auto"/>
      </w:pPr>
      <w:r w:rsidRPr="004D65D2">
        <w:lastRenderedPageBreak/>
        <w:t>The National Notifiable Diseases Surveillance System (NNDSS)</w:t>
      </w:r>
      <w:r w:rsidR="001B7DED" w:rsidRPr="004D65D2">
        <w:t xml:space="preserve"> </w:t>
      </w:r>
      <w:r w:rsidRPr="004D65D2">
        <w:t xml:space="preserve">is </w:t>
      </w:r>
      <w:r w:rsidR="008F3581">
        <w:t>the nation’s</w:t>
      </w:r>
      <w:r w:rsidRPr="004D65D2">
        <w:t xml:space="preserve"> </w:t>
      </w:r>
      <w:r w:rsidR="000D0C0A" w:rsidRPr="004D65D2">
        <w:t xml:space="preserve">public health </w:t>
      </w:r>
      <w:r w:rsidRPr="004D65D2">
        <w:t xml:space="preserve">surveillance system that enables all levels of public health (local, state, territorial, federal and international) to monitor the occurrence and spread of </w:t>
      </w:r>
      <w:r w:rsidR="00B71596" w:rsidRPr="00331073">
        <w:t xml:space="preserve">the </w:t>
      </w:r>
      <w:r w:rsidR="00FC7AA7" w:rsidRPr="00331073">
        <w:t>d</w:t>
      </w:r>
      <w:r w:rsidRPr="00331073">
        <w:t>iseases</w:t>
      </w:r>
      <w:r w:rsidR="00FC7AA7" w:rsidRPr="00331073">
        <w:t xml:space="preserve"> and conditions</w:t>
      </w:r>
      <w:r w:rsidRPr="00331073">
        <w:t xml:space="preserve"> </w:t>
      </w:r>
      <w:r w:rsidR="000D0C0A" w:rsidRPr="00331073">
        <w:t>that t</w:t>
      </w:r>
      <w:r w:rsidR="00F57A0D" w:rsidRPr="00331073">
        <w:t xml:space="preserve">he Council of State and Territorial Epidemiologists (CSTE) </w:t>
      </w:r>
      <w:r w:rsidR="000D0C0A" w:rsidRPr="00331073">
        <w:t xml:space="preserve">has officially designated </w:t>
      </w:r>
      <w:r w:rsidRPr="00331073">
        <w:t>as</w:t>
      </w:r>
      <w:r w:rsidR="000D0C0A" w:rsidRPr="00331073">
        <w:t xml:space="preserve"> either</w:t>
      </w:r>
      <w:r w:rsidRPr="00331073">
        <w:t xml:space="preserve"> “nationally notifiable” </w:t>
      </w:r>
      <w:r w:rsidR="00E67C96" w:rsidRPr="00331073">
        <w:t xml:space="preserve">or </w:t>
      </w:r>
      <w:r w:rsidR="00F57A0D" w:rsidRPr="00331073">
        <w:t xml:space="preserve">as </w:t>
      </w:r>
      <w:r w:rsidR="00E67C96" w:rsidRPr="00331073">
        <w:t>under “nation</w:t>
      </w:r>
      <w:r w:rsidR="00F57A0D" w:rsidRPr="00331073">
        <w:t>al</w:t>
      </w:r>
      <w:r w:rsidR="00E67C96" w:rsidRPr="00331073">
        <w:t xml:space="preserve"> surveillance” </w:t>
      </w:r>
      <w:r w:rsidR="000D0C0A" w:rsidRPr="00331073">
        <w:t xml:space="preserve">(referred to in this application as nationally notifiable conditions). </w:t>
      </w:r>
      <w:r w:rsidR="00331073" w:rsidRPr="00331073">
        <w:rPr>
          <w:color w:val="000000"/>
        </w:rPr>
        <w:t xml:space="preserve">CSTE is an organization of member states and territories representing public health epidemiologists. </w:t>
      </w:r>
      <w:r w:rsidRPr="00331073">
        <w:t xml:space="preserve">The NNDSS facilitates the </w:t>
      </w:r>
      <w:r w:rsidR="00A553B2" w:rsidRPr="00331073">
        <w:t>submission</w:t>
      </w:r>
      <w:r w:rsidRPr="00331073">
        <w:t xml:space="preserve"> and aggregation of </w:t>
      </w:r>
      <w:r w:rsidR="00BE228D" w:rsidRPr="00331073">
        <w:t xml:space="preserve">case notification </w:t>
      </w:r>
      <w:r w:rsidRPr="00331073">
        <w:t xml:space="preserve">data voluntarily </w:t>
      </w:r>
      <w:r w:rsidR="008F1944" w:rsidRPr="00331073">
        <w:t xml:space="preserve">submitted </w:t>
      </w:r>
      <w:r w:rsidRPr="00331073">
        <w:t>to CDC from 57 jurisdictions</w:t>
      </w:r>
      <w:r w:rsidR="009172E7" w:rsidRPr="00331073">
        <w:t xml:space="preserve">: </w:t>
      </w:r>
      <w:r w:rsidRPr="00331073">
        <w:t>health departments in every U.S. state, New York City, Washington DC, and 5 U.S. territories</w:t>
      </w:r>
      <w:r w:rsidR="009172E7" w:rsidRPr="00331073">
        <w:t xml:space="preserve"> (American Samoa, the Commonwealth of</w:t>
      </w:r>
      <w:r w:rsidR="009172E7" w:rsidRPr="00124FF2">
        <w:t xml:space="preserve"> Nort</w:t>
      </w:r>
      <w:r w:rsidR="00BB45AE" w:rsidRPr="00124FF2">
        <w:t>h</w:t>
      </w:r>
      <w:r w:rsidR="009172E7" w:rsidRPr="00124FF2">
        <w:t>ern Mariana Islands, Guam, Puerto Rico, and the U.S. Virgin Islands</w:t>
      </w:r>
      <w:r w:rsidR="00E67C96" w:rsidRPr="00124FF2">
        <w:t>)</w:t>
      </w:r>
      <w:r w:rsidR="009172E7" w:rsidRPr="00124FF2">
        <w:t>. NNDS</w:t>
      </w:r>
      <w:r w:rsidR="000B082C" w:rsidRPr="00124FF2">
        <w:t>S</w:t>
      </w:r>
      <w:r w:rsidR="009172E7" w:rsidRPr="00124FF2">
        <w:t xml:space="preserve"> also facilitates </w:t>
      </w:r>
      <w:r w:rsidRPr="00124FF2">
        <w:t>relevant data management, analysis, interpretation and dissemination</w:t>
      </w:r>
      <w:r w:rsidR="009172E7" w:rsidRPr="00124FF2">
        <w:t xml:space="preserve"> of the information</w:t>
      </w:r>
      <w:r w:rsidRPr="00124FF2">
        <w:t xml:space="preserve">. The data are used to monitor health </w:t>
      </w:r>
      <w:r w:rsidR="00FF4974">
        <w:t>occurrence</w:t>
      </w:r>
      <w:r w:rsidRPr="00124FF2">
        <w:t xml:space="preserve"> of notifiable conditions</w:t>
      </w:r>
      <w:r w:rsidR="00E67C96" w:rsidRPr="00124FF2">
        <w:t xml:space="preserve"> </w:t>
      </w:r>
      <w:r w:rsidR="007F3BD1" w:rsidRPr="00124FF2">
        <w:t>and to plan and conduct prevention and control programs</w:t>
      </w:r>
      <w:r w:rsidR="00BB45AE" w:rsidRPr="00124FF2">
        <w:t xml:space="preserve"> at the state, territorial, local and national levels.</w:t>
      </w:r>
      <w:r w:rsidR="008F3581">
        <w:t xml:space="preserve"> </w:t>
      </w:r>
    </w:p>
    <w:p w:rsidR="004D5139" w:rsidRDefault="004D5139" w:rsidP="000E23CB">
      <w:pPr>
        <w:spacing w:line="360" w:lineRule="auto"/>
      </w:pPr>
    </w:p>
    <w:p w:rsidR="00B30AD7" w:rsidRPr="00B30AD7" w:rsidRDefault="00B30AD7" w:rsidP="00B30AD7">
      <w:pPr>
        <w:spacing w:line="360" w:lineRule="auto"/>
      </w:pPr>
      <w:r w:rsidRPr="00B30AD7">
        <w:t xml:space="preserve">CDC is responsible for the reporting and dissemination of nationally notifiable diseases’ information, as authorized by the Public Health Service Act (42 USC 241) of January 4, 2012 </w:t>
      </w:r>
      <w:r w:rsidRPr="00B30AD7">
        <w:rPr>
          <w:b/>
        </w:rPr>
        <w:t>[</w:t>
      </w:r>
      <w:r w:rsidR="00C67147">
        <w:rPr>
          <w:b/>
        </w:rPr>
        <w:t>Attachment 1. Authorizing Legislation]</w:t>
      </w:r>
      <w:r w:rsidRPr="00B30AD7">
        <w:t>.</w:t>
      </w:r>
    </w:p>
    <w:p w:rsidR="00B30AD7" w:rsidRDefault="00B30AD7" w:rsidP="000E23CB">
      <w:pPr>
        <w:spacing w:line="360" w:lineRule="auto"/>
      </w:pPr>
    </w:p>
    <w:p w:rsidR="00A76198" w:rsidRPr="00124FF2" w:rsidRDefault="008F3581" w:rsidP="000E23CB">
      <w:pPr>
        <w:spacing w:line="360" w:lineRule="auto"/>
      </w:pPr>
      <w:r>
        <w:t>The collection of data for NNDSS which is included in this application is supported and administered by several programs at CDC</w:t>
      </w:r>
      <w:r w:rsidR="00566048">
        <w:t xml:space="preserve"> in </w:t>
      </w:r>
      <w:r>
        <w:t xml:space="preserve">the </w:t>
      </w:r>
      <w:r w:rsidR="00074EB5">
        <w:t xml:space="preserve">Center for </w:t>
      </w:r>
      <w:r>
        <w:t>Surveillance, Epidemio</w:t>
      </w:r>
      <w:r w:rsidR="00074EB5">
        <w:t>logy, and Laboratory Services (C</w:t>
      </w:r>
      <w:r>
        <w:t xml:space="preserve">SELS), </w:t>
      </w:r>
      <w:r w:rsidR="005752CE">
        <w:t xml:space="preserve">Centers within </w:t>
      </w:r>
      <w:r>
        <w:t xml:space="preserve">the Office </w:t>
      </w:r>
      <w:r w:rsidR="00EC4C4A">
        <w:t>of Infectious</w:t>
      </w:r>
      <w:r>
        <w:t xml:space="preserve"> Diseases (OID) and the Center for Global Health (CGH).</w:t>
      </w:r>
    </w:p>
    <w:p w:rsidR="0091413F" w:rsidRPr="00124FF2" w:rsidRDefault="0091413F" w:rsidP="000E23CB">
      <w:pPr>
        <w:spacing w:line="360" w:lineRule="auto"/>
      </w:pPr>
    </w:p>
    <w:p w:rsidR="00A76198" w:rsidRDefault="000A005A" w:rsidP="000E23CB">
      <w:pPr>
        <w:spacing w:line="360" w:lineRule="auto"/>
      </w:pPr>
      <w:r>
        <w:rPr>
          <w:color w:val="000000"/>
        </w:rPr>
        <w:t xml:space="preserve">The </w:t>
      </w:r>
      <w:r w:rsidR="00A76198" w:rsidRPr="00124FF2">
        <w:rPr>
          <w:color w:val="000000"/>
        </w:rPr>
        <w:t xml:space="preserve">NNDSS </w:t>
      </w:r>
      <w:r w:rsidR="00F57A0D" w:rsidRPr="00124FF2">
        <w:rPr>
          <w:color w:val="000000"/>
        </w:rPr>
        <w:t>is</w:t>
      </w:r>
      <w:r w:rsidR="00A76198" w:rsidRPr="00124FF2">
        <w:rPr>
          <w:color w:val="000000"/>
        </w:rPr>
        <w:t xml:space="preserve"> based on data collected </w:t>
      </w:r>
      <w:r w:rsidR="00F57A0D" w:rsidRPr="00124FF2">
        <w:rPr>
          <w:color w:val="000000"/>
        </w:rPr>
        <w:t xml:space="preserve">at the state, territorial and local levels </w:t>
      </w:r>
      <w:r w:rsidR="00A76198" w:rsidRPr="00124FF2">
        <w:rPr>
          <w:color w:val="000000"/>
        </w:rPr>
        <w:t xml:space="preserve">as a result of legislation and regulations </w:t>
      </w:r>
      <w:r w:rsidR="00F57A0D" w:rsidRPr="00124FF2">
        <w:rPr>
          <w:color w:val="000000"/>
        </w:rPr>
        <w:t xml:space="preserve">in those jurisdictions </w:t>
      </w:r>
      <w:r w:rsidR="00A76198" w:rsidRPr="00124FF2">
        <w:rPr>
          <w:color w:val="000000"/>
        </w:rPr>
        <w:t xml:space="preserve">that require health care </w:t>
      </w:r>
      <w:r w:rsidR="000A24D3">
        <w:rPr>
          <w:color w:val="000000"/>
        </w:rPr>
        <w:t>providers, medical laboratories</w:t>
      </w:r>
      <w:r w:rsidR="00A76198" w:rsidRPr="00124FF2">
        <w:rPr>
          <w:color w:val="000000"/>
        </w:rPr>
        <w:t xml:space="preserve"> and other entities to submit health-related data on reportable conditions to public health </w:t>
      </w:r>
      <w:r w:rsidR="00F57A0D" w:rsidRPr="00124FF2">
        <w:rPr>
          <w:color w:val="000000"/>
        </w:rPr>
        <w:t>departments</w:t>
      </w:r>
      <w:r w:rsidR="00A76198" w:rsidRPr="00124FF2">
        <w:rPr>
          <w:color w:val="000000"/>
        </w:rPr>
        <w:t>.</w:t>
      </w:r>
      <w:r w:rsidR="00166D81" w:rsidRPr="00124FF2">
        <w:rPr>
          <w:color w:val="000000"/>
        </w:rPr>
        <w:t xml:space="preserve"> </w:t>
      </w:r>
      <w:r w:rsidR="00A76198" w:rsidRPr="00124FF2">
        <w:rPr>
          <w:color w:val="000000"/>
        </w:rPr>
        <w:t xml:space="preserve">These </w:t>
      </w:r>
      <w:r w:rsidR="00A76198" w:rsidRPr="00AB2354">
        <w:rPr>
          <w:color w:val="000000"/>
          <w:u w:val="single"/>
        </w:rPr>
        <w:t>reportable conditions</w:t>
      </w:r>
      <w:r w:rsidR="00A76198" w:rsidRPr="00124FF2">
        <w:rPr>
          <w:color w:val="000000"/>
        </w:rPr>
        <w:t xml:space="preserve">, which include infectious </w:t>
      </w:r>
      <w:r w:rsidR="00951C78" w:rsidRPr="00124FF2">
        <w:rPr>
          <w:color w:val="000000"/>
        </w:rPr>
        <w:t xml:space="preserve">and non-infectious </w:t>
      </w:r>
      <w:r w:rsidR="00A76198" w:rsidRPr="00124FF2">
        <w:rPr>
          <w:color w:val="000000"/>
        </w:rPr>
        <w:t>diseases</w:t>
      </w:r>
      <w:r w:rsidR="00951C78" w:rsidRPr="00124FF2">
        <w:rPr>
          <w:color w:val="000000"/>
        </w:rPr>
        <w:t>,</w:t>
      </w:r>
      <w:r w:rsidR="00A76198" w:rsidRPr="00124FF2">
        <w:rPr>
          <w:color w:val="000000"/>
        </w:rPr>
        <w:t xml:space="preserve"> vary by jurisdiction depe</w:t>
      </w:r>
      <w:r w:rsidR="00EB2BC3" w:rsidRPr="00124FF2">
        <w:rPr>
          <w:color w:val="000000"/>
        </w:rPr>
        <w:t xml:space="preserve">nding upon each jurisdiction’s </w:t>
      </w:r>
      <w:r w:rsidR="00A76198" w:rsidRPr="00124FF2">
        <w:rPr>
          <w:color w:val="000000"/>
        </w:rPr>
        <w:t xml:space="preserve">health priorities and needs. </w:t>
      </w:r>
      <w:r w:rsidR="00115DF2" w:rsidRPr="00124FF2">
        <w:rPr>
          <w:color w:val="000000"/>
        </w:rPr>
        <w:t xml:space="preserve">Currently </w:t>
      </w:r>
      <w:r w:rsidR="00E83DAD">
        <w:rPr>
          <w:color w:val="000000"/>
        </w:rPr>
        <w:t>approximately</w:t>
      </w:r>
      <w:r w:rsidR="00DA34E5" w:rsidRPr="00124FF2">
        <w:rPr>
          <w:color w:val="000000"/>
        </w:rPr>
        <w:t xml:space="preserve"> </w:t>
      </w:r>
      <w:r w:rsidR="00115DF2" w:rsidRPr="00124FF2">
        <w:rPr>
          <w:color w:val="000000"/>
        </w:rPr>
        <w:t xml:space="preserve">300 conditions are reportable in one or more of the states </w:t>
      </w:r>
      <w:r w:rsidR="005E0B59">
        <w:rPr>
          <w:b/>
          <w:color w:val="000000"/>
        </w:rPr>
        <w:t>[Attachment 2: CSTE SRCs]</w:t>
      </w:r>
      <w:r w:rsidR="00115DF2" w:rsidRPr="00124FF2">
        <w:rPr>
          <w:color w:val="000000"/>
        </w:rPr>
        <w:t xml:space="preserve">. </w:t>
      </w:r>
      <w:r w:rsidR="00A76198" w:rsidRPr="00124FF2">
        <w:rPr>
          <w:color w:val="000000"/>
        </w:rPr>
        <w:t>T</w:t>
      </w:r>
      <w:r w:rsidR="00A76198" w:rsidRPr="00124FF2">
        <w:t xml:space="preserve">hese data at the state, territorial, and local levels are used to identify </w:t>
      </w:r>
      <w:r w:rsidR="00DA34E5" w:rsidRPr="00124FF2">
        <w:t xml:space="preserve">and </w:t>
      </w:r>
      <w:r w:rsidR="00A76198" w:rsidRPr="00124FF2">
        <w:lastRenderedPageBreak/>
        <w:t xml:space="preserve">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p>
    <w:p w:rsidR="000A005A" w:rsidRPr="00124FF2" w:rsidRDefault="000A005A" w:rsidP="000E23CB">
      <w:pPr>
        <w:spacing w:line="360" w:lineRule="auto"/>
      </w:pPr>
    </w:p>
    <w:p w:rsidR="00E67C96" w:rsidRPr="00124FF2" w:rsidRDefault="00A76198" w:rsidP="000E23CB">
      <w:pPr>
        <w:spacing w:line="360" w:lineRule="auto"/>
        <w:rPr>
          <w:color w:val="000000"/>
        </w:rPr>
      </w:pPr>
      <w:r w:rsidRPr="00124FF2">
        <w:rPr>
          <w:color w:val="000000"/>
        </w:rPr>
        <w:t>Since infectious disease agents and environmental hazards often cross geographical boun</w:t>
      </w:r>
      <w:r w:rsidR="00EB2BC3" w:rsidRPr="00124FF2">
        <w:rPr>
          <w:color w:val="000000"/>
        </w:rPr>
        <w:t>daries</w:t>
      </w:r>
      <w:r w:rsidRPr="00124FF2">
        <w:rPr>
          <w:color w:val="000000"/>
        </w:rPr>
        <w:t xml:space="preserve">, public health </w:t>
      </w:r>
      <w:r w:rsidR="00F57A0D" w:rsidRPr="00124FF2">
        <w:rPr>
          <w:color w:val="000000"/>
        </w:rPr>
        <w:t>departments</w:t>
      </w:r>
      <w:r w:rsidRPr="00124FF2">
        <w:rPr>
          <w:color w:val="000000"/>
        </w:rPr>
        <w:t xml:space="preserve"> have to be able to share data on </w:t>
      </w:r>
      <w:r w:rsidR="000A005A">
        <w:rPr>
          <w:color w:val="000000"/>
        </w:rPr>
        <w:t xml:space="preserve">certain </w:t>
      </w:r>
      <w:r w:rsidRPr="00124FF2">
        <w:rPr>
          <w:color w:val="000000"/>
        </w:rPr>
        <w:t xml:space="preserve">conditions </w:t>
      </w:r>
      <w:r w:rsidR="00D642B4">
        <w:rPr>
          <w:color w:val="000000"/>
        </w:rPr>
        <w:t xml:space="preserve">across jurisdictions </w:t>
      </w:r>
      <w:r w:rsidRPr="00124FF2">
        <w:rPr>
          <w:color w:val="000000"/>
        </w:rPr>
        <w:t xml:space="preserve">and </w:t>
      </w:r>
      <w:r w:rsidR="004B729A">
        <w:rPr>
          <w:color w:val="000000"/>
        </w:rPr>
        <w:t xml:space="preserve">to </w:t>
      </w:r>
      <w:r w:rsidRPr="00124FF2">
        <w:rPr>
          <w:color w:val="000000"/>
        </w:rPr>
        <w:t>coordi</w:t>
      </w:r>
      <w:r w:rsidR="00D642B4">
        <w:rPr>
          <w:color w:val="000000"/>
        </w:rPr>
        <w:t>nate program activities to prevent and control the conditions.</w:t>
      </w:r>
      <w:r w:rsidR="00166D81" w:rsidRPr="00124FF2">
        <w:rPr>
          <w:color w:val="000000"/>
        </w:rPr>
        <w:t xml:space="preserve"> </w:t>
      </w:r>
      <w:r w:rsidR="000A005A" w:rsidRPr="00124FF2">
        <w:rPr>
          <w:color w:val="000000"/>
        </w:rPr>
        <w:t xml:space="preserve">Each year, </w:t>
      </w:r>
      <w:r w:rsidR="000A005A" w:rsidRPr="00124FF2">
        <w:t xml:space="preserve">CSTE, performs an assessment of conditions </w:t>
      </w:r>
      <w:r w:rsidR="00D642B4">
        <w:t xml:space="preserve">reported to </w:t>
      </w:r>
      <w:r w:rsidR="000A005A" w:rsidRPr="00124FF2">
        <w:t>state, territorial and local jurisdictions to determine which should be designated</w:t>
      </w:r>
      <w:r w:rsidR="000A005A">
        <w:t xml:space="preserve"> </w:t>
      </w:r>
      <w:r w:rsidR="000A005A" w:rsidRPr="00960861">
        <w:rPr>
          <w:u w:val="single"/>
        </w:rPr>
        <w:t>nationally notifiabl</w:t>
      </w:r>
      <w:r w:rsidR="00960861">
        <w:rPr>
          <w:u w:val="single"/>
        </w:rPr>
        <w:t>e conditions</w:t>
      </w:r>
      <w:r w:rsidR="00F44173">
        <w:t xml:space="preserve">. For conditions that are nationally notifiable, case notifications are </w:t>
      </w:r>
      <w:r w:rsidR="00752C93">
        <w:t xml:space="preserve">voluntarily </w:t>
      </w:r>
      <w:r w:rsidR="000A005A" w:rsidRPr="00124FF2">
        <w:t>submitted to CDC</w:t>
      </w:r>
      <w:r w:rsidR="00D642B4">
        <w:t xml:space="preserve"> </w:t>
      </w:r>
      <w:r w:rsidR="00033DC5">
        <w:t xml:space="preserve">by the jurisdictions </w:t>
      </w:r>
      <w:r w:rsidR="000A005A">
        <w:t>so that information can be shared ac</w:t>
      </w:r>
      <w:r w:rsidRPr="00124FF2">
        <w:rPr>
          <w:color w:val="000000"/>
        </w:rPr>
        <w:t>ross jurisdictional boundaries</w:t>
      </w:r>
      <w:r w:rsidR="00D642B4">
        <w:rPr>
          <w:color w:val="000000"/>
        </w:rPr>
        <w:t xml:space="preserve"> and both surveillance and </w:t>
      </w:r>
      <w:r w:rsidR="00097F37">
        <w:rPr>
          <w:color w:val="000000"/>
        </w:rPr>
        <w:t>prevention and control activities can be coordinated at regional and national levels</w:t>
      </w:r>
      <w:r w:rsidRPr="00124FF2">
        <w:rPr>
          <w:color w:val="000000"/>
        </w:rPr>
        <w:t xml:space="preserve">.  </w:t>
      </w:r>
    </w:p>
    <w:p w:rsidR="00E67C96" w:rsidRPr="00124FF2" w:rsidRDefault="00E67C96" w:rsidP="000E23CB">
      <w:pPr>
        <w:spacing w:line="360" w:lineRule="auto"/>
        <w:rPr>
          <w:color w:val="000000"/>
        </w:rPr>
      </w:pPr>
    </w:p>
    <w:p w:rsidR="00A76198" w:rsidRPr="00124FF2" w:rsidRDefault="00A76198" w:rsidP="000E23CB">
      <w:pPr>
        <w:pStyle w:val="ListParagraph"/>
        <w:spacing w:line="360" w:lineRule="auto"/>
        <w:ind w:left="0"/>
      </w:pPr>
      <w:r w:rsidRPr="00124FF2">
        <w:t>A number of different legislative and regulatory decisions have authorized federal collection of these data and given responsibility for that data collection to CDC.</w:t>
      </w:r>
      <w:r w:rsidR="00BE207E" w:rsidRPr="00124FF2">
        <w:t xml:space="preserve"> </w:t>
      </w:r>
      <w:r w:rsidR="00166D81" w:rsidRPr="00124FF2">
        <w:t xml:space="preserve"> </w:t>
      </w:r>
      <w:r w:rsidRPr="00124FF2">
        <w:rPr>
          <w:color w:val="000000"/>
        </w:rPr>
        <w:t>In 1878, Congress authorized the U.S. Marine Hospital Service (later renamed the U.S. Public Health Service) to collect morbidity reports on cholera, plague,</w:t>
      </w:r>
      <w:r w:rsidR="00514939">
        <w:rPr>
          <w:color w:val="000000"/>
        </w:rPr>
        <w:t xml:space="preserve"> smallpox</w:t>
      </w:r>
      <w:r w:rsidRPr="00124FF2">
        <w:rPr>
          <w:color w:val="000000"/>
        </w:rPr>
        <w:t xml:space="preserve"> and yellow fever from U.S. consuls overseas; this information was used for instituting quarantine measures to prevent the introduction and spread of these diseases. In 1879, a specific Congressional appropriation was made for the collection and publication of reports of these notifiable diseases. Congress expanded the authority for weekly reporting and publication in 1893 to include data from state and municipal authorities throughout the </w:t>
      </w:r>
      <w:r w:rsidR="00097F37">
        <w:rPr>
          <w:color w:val="000000"/>
        </w:rPr>
        <w:t>U.S.</w:t>
      </w:r>
      <w:r w:rsidRPr="00124FF2">
        <w:rPr>
          <w:color w:val="000000"/>
        </w:rPr>
        <w:t xml:space="preserve"> To increase the uniformity of the data, Congress enacted a law in 1902 directing the Surgeon General of the Public Health Service (PHS) to provide forms for the collection and compilation of data and for the publication of reports at the national level.</w:t>
      </w:r>
      <w:r w:rsidR="00166D81" w:rsidRPr="00124FF2">
        <w:rPr>
          <w:color w:val="000000"/>
        </w:rPr>
        <w:t xml:space="preserve"> </w:t>
      </w:r>
      <w:r w:rsidRPr="00124FF2">
        <w:rPr>
          <w:color w:val="000000"/>
        </w:rPr>
        <w:t>In 1912, state and territorial health authorities-- in conjunction with PHS-- recommended immediate telegraphic reports of five diseases and monthly reporting by letter of 10 additional diseases, but it was not until after 1925 that all states reported regularly</w:t>
      </w:r>
      <w:r w:rsidR="00166D81" w:rsidRPr="00124FF2">
        <w:rPr>
          <w:color w:val="000000"/>
        </w:rPr>
        <w:t xml:space="preserve">. </w:t>
      </w:r>
      <w:r w:rsidRPr="00124FF2">
        <w:rPr>
          <w:color w:val="000000"/>
        </w:rPr>
        <w:t xml:space="preserve">A PHS study in 1948 led to a revision of the morbidity reporting procedures, and in 1949 morbidity reporting activities were transferred </w:t>
      </w:r>
      <w:r w:rsidR="00166D81" w:rsidRPr="00124FF2">
        <w:rPr>
          <w:color w:val="000000"/>
        </w:rPr>
        <w:t xml:space="preserve">from the Division of Public Health Methods, PHS </w:t>
      </w:r>
      <w:r w:rsidRPr="00124FF2">
        <w:rPr>
          <w:color w:val="000000"/>
        </w:rPr>
        <w:t xml:space="preserve">to the National Office of Vital Statistics. Another committee in PHS presented a revised plan to the Association of State </w:t>
      </w:r>
      <w:r w:rsidRPr="00124FF2">
        <w:rPr>
          <w:color w:val="000000"/>
        </w:rPr>
        <w:lastRenderedPageBreak/>
        <w:t>and Territorial Health Officers (ASTHO) at its meeting in Washington, D.C., October 1950.  ASTHO authorized CSTE</w:t>
      </w:r>
      <w:r w:rsidR="00FF4974">
        <w:rPr>
          <w:color w:val="000000"/>
        </w:rPr>
        <w:t xml:space="preserve"> to determine</w:t>
      </w:r>
      <w:r w:rsidRPr="00124FF2">
        <w:rPr>
          <w:color w:val="000000"/>
        </w:rPr>
        <w:t xml:space="preserve"> the </w:t>
      </w:r>
      <w:r w:rsidR="00FF4974">
        <w:rPr>
          <w:color w:val="000000"/>
        </w:rPr>
        <w:t>conditions</w:t>
      </w:r>
      <w:r w:rsidRPr="00124FF2">
        <w:rPr>
          <w:color w:val="000000"/>
        </w:rPr>
        <w:t xml:space="preserve"> that should be </w:t>
      </w:r>
      <w:r w:rsidR="008F1944" w:rsidRPr="00124FF2">
        <w:rPr>
          <w:color w:val="000000"/>
        </w:rPr>
        <w:t>submitted</w:t>
      </w:r>
      <w:r w:rsidRPr="00124FF2">
        <w:rPr>
          <w:color w:val="000000"/>
        </w:rPr>
        <w:t xml:space="preserve"> by the states to PHS. Beginning in 1951, national meetings of CSTE were held every two years until 1974, then annually thereafter.</w:t>
      </w:r>
    </w:p>
    <w:p w:rsidR="00A76198" w:rsidRPr="00124FF2" w:rsidRDefault="00A76198" w:rsidP="000E23CB">
      <w:pPr>
        <w:spacing w:line="360" w:lineRule="auto"/>
        <w:rPr>
          <w:color w:val="000000"/>
        </w:rPr>
      </w:pPr>
    </w:p>
    <w:p w:rsidR="00A76198" w:rsidRPr="00124FF2" w:rsidRDefault="00A76198" w:rsidP="000E23CB">
      <w:pPr>
        <w:spacing w:line="360" w:lineRule="auto"/>
        <w:rPr>
          <w:color w:val="000000"/>
        </w:rPr>
      </w:pPr>
      <w:r w:rsidRPr="00124FF2">
        <w:rPr>
          <w:color w:val="000000"/>
        </w:rPr>
        <w:t>In 1961, responsibility for the collection of data on nationally notifiable diseases and deaths in 122 U.S. cities was transferred from the National Office of Vital Statistics to CDC.</w:t>
      </w:r>
    </w:p>
    <w:p w:rsidR="00A76198" w:rsidRPr="00124FF2" w:rsidRDefault="00A76198" w:rsidP="000E23CB">
      <w:pPr>
        <w:spacing w:line="360" w:lineRule="auto"/>
        <w:rPr>
          <w:color w:val="000000"/>
        </w:rPr>
      </w:pPr>
    </w:p>
    <w:p w:rsidR="007C3321" w:rsidRPr="00124FF2" w:rsidRDefault="007C3321" w:rsidP="000E23CB">
      <w:pPr>
        <w:tabs>
          <w:tab w:val="left" w:pos="1"/>
          <w:tab w:val="left" w:pos="1584"/>
          <w:tab w:val="left" w:pos="3888"/>
          <w:tab w:val="left" w:pos="5472"/>
          <w:tab w:val="left" w:pos="7200"/>
        </w:tabs>
        <w:spacing w:line="360" w:lineRule="auto"/>
        <w:rPr>
          <w:u w:val="single"/>
        </w:rPr>
      </w:pPr>
      <w:r w:rsidRPr="00124FF2">
        <w:rPr>
          <w:u w:val="single"/>
        </w:rPr>
        <w:t xml:space="preserve">Overview of </w:t>
      </w:r>
      <w:r w:rsidR="003C278E" w:rsidRPr="00124FF2">
        <w:rPr>
          <w:u w:val="single"/>
        </w:rPr>
        <w:t>case notification</w:t>
      </w:r>
      <w:r w:rsidRPr="00124FF2">
        <w:rPr>
          <w:u w:val="single"/>
        </w:rPr>
        <w:t xml:space="preserve">  </w:t>
      </w:r>
    </w:p>
    <w:p w:rsidR="00907B5B" w:rsidRPr="00124FF2" w:rsidRDefault="00907B5B" w:rsidP="000E23CB">
      <w:pPr>
        <w:tabs>
          <w:tab w:val="left" w:pos="1"/>
          <w:tab w:val="left" w:pos="1584"/>
          <w:tab w:val="left" w:pos="3888"/>
          <w:tab w:val="left" w:pos="5472"/>
          <w:tab w:val="left" w:pos="7200"/>
        </w:tabs>
        <w:spacing w:line="360" w:lineRule="auto"/>
        <w:rPr>
          <w:color w:val="000000"/>
        </w:rPr>
      </w:pPr>
    </w:p>
    <w:p w:rsidR="007C3321" w:rsidRPr="00A27048" w:rsidRDefault="000B19D8" w:rsidP="000E23CB">
      <w:pPr>
        <w:tabs>
          <w:tab w:val="left" w:pos="1"/>
          <w:tab w:val="left" w:pos="1584"/>
          <w:tab w:val="left" w:pos="3888"/>
          <w:tab w:val="left" w:pos="5472"/>
          <w:tab w:val="left" w:pos="7200"/>
        </w:tabs>
        <w:spacing w:line="360" w:lineRule="auto"/>
        <w:rPr>
          <w:rFonts w:eastAsia="Calibri"/>
        </w:rPr>
      </w:pPr>
      <w:r>
        <w:rPr>
          <w:color w:val="000000"/>
        </w:rPr>
        <w:t>T</w:t>
      </w:r>
      <w:r w:rsidR="007C3321" w:rsidRPr="00124FF2">
        <w:rPr>
          <w:color w:val="000000"/>
        </w:rPr>
        <w:t xml:space="preserve">he NNDSS </w:t>
      </w:r>
      <w:r w:rsidR="003C278E" w:rsidRPr="00124FF2">
        <w:rPr>
          <w:color w:val="000000"/>
        </w:rPr>
        <w:t>case notification</w:t>
      </w:r>
      <w:r w:rsidR="007C3321" w:rsidRPr="00124FF2">
        <w:rPr>
          <w:color w:val="000000"/>
        </w:rPr>
        <w:t xml:space="preserve"> system is based on reportab</w:t>
      </w:r>
      <w:r w:rsidR="00097F37">
        <w:rPr>
          <w:color w:val="000000"/>
        </w:rPr>
        <w:t xml:space="preserve">le disease surveillance systems described above. Public health </w:t>
      </w:r>
      <w:r w:rsidR="005B5D9F">
        <w:rPr>
          <w:color w:val="000000"/>
        </w:rPr>
        <w:t>departments</w:t>
      </w:r>
      <w:r w:rsidR="00097F37">
        <w:rPr>
          <w:color w:val="000000"/>
        </w:rPr>
        <w:t xml:space="preserve"> at the state, territorial and local levels </w:t>
      </w:r>
      <w:r w:rsidR="007C3321" w:rsidRPr="00124FF2">
        <w:rPr>
          <w:rFonts w:eastAsia="Calibri"/>
        </w:rPr>
        <w:t>review, process and analyze</w:t>
      </w:r>
      <w:r w:rsidR="00097F37">
        <w:rPr>
          <w:rFonts w:eastAsia="Calibri"/>
        </w:rPr>
        <w:t xml:space="preserve"> </w:t>
      </w:r>
      <w:r w:rsidR="00D642B4">
        <w:rPr>
          <w:rFonts w:eastAsia="Calibri"/>
        </w:rPr>
        <w:t xml:space="preserve">reportable conditions data and </w:t>
      </w:r>
      <w:r w:rsidR="007105A7">
        <w:rPr>
          <w:rFonts w:eastAsia="Calibri"/>
        </w:rPr>
        <w:t xml:space="preserve">voluntarily </w:t>
      </w:r>
      <w:r w:rsidR="00D642B4">
        <w:rPr>
          <w:rFonts w:eastAsia="Calibri"/>
        </w:rPr>
        <w:t xml:space="preserve">submit </w:t>
      </w:r>
      <w:r w:rsidR="00F44173">
        <w:rPr>
          <w:rFonts w:eastAsia="Calibri"/>
        </w:rPr>
        <w:t xml:space="preserve">case notification </w:t>
      </w:r>
      <w:r w:rsidR="002F4746">
        <w:rPr>
          <w:rFonts w:eastAsia="Calibri"/>
        </w:rPr>
        <w:t>data</w:t>
      </w:r>
      <w:r w:rsidR="00D642B4">
        <w:rPr>
          <w:rFonts w:eastAsia="Calibri"/>
        </w:rPr>
        <w:t xml:space="preserve"> on nationally notifiable conditions to CDC.</w:t>
      </w:r>
      <w:r w:rsidR="00F44173">
        <w:rPr>
          <w:rFonts w:eastAsia="Calibri"/>
        </w:rPr>
        <w:t xml:space="preserve"> CSTE</w:t>
      </w:r>
      <w:r>
        <w:rPr>
          <w:rFonts w:eastAsia="Calibri"/>
        </w:rPr>
        <w:t xml:space="preserve"> </w:t>
      </w:r>
      <w:r w:rsidR="00F44173" w:rsidRPr="00525150">
        <w:rPr>
          <w:rFonts w:eastAsia="Calibri"/>
        </w:rPr>
        <w:t xml:space="preserve">determines which </w:t>
      </w:r>
      <w:r w:rsidRPr="00525150">
        <w:rPr>
          <w:rFonts w:eastAsia="Calibri"/>
        </w:rPr>
        <w:t>conditions</w:t>
      </w:r>
      <w:r w:rsidR="006F134B">
        <w:rPr>
          <w:rFonts w:eastAsia="Calibri"/>
        </w:rPr>
        <w:t xml:space="preserve"> are nationally </w:t>
      </w:r>
      <w:r w:rsidR="006F134B" w:rsidRPr="00A27048">
        <w:rPr>
          <w:rFonts w:eastAsia="Calibri"/>
        </w:rPr>
        <w:t>notifiable</w:t>
      </w:r>
      <w:r w:rsidR="00F44173" w:rsidRPr="00A27048">
        <w:rPr>
          <w:rFonts w:eastAsia="Calibri"/>
        </w:rPr>
        <w:t>.</w:t>
      </w:r>
      <w:r w:rsidR="00D642B4" w:rsidRPr="00A27048">
        <w:rPr>
          <w:rFonts w:eastAsia="Calibri"/>
        </w:rPr>
        <w:t xml:space="preserve">  </w:t>
      </w:r>
      <w:r w:rsidR="007C3321" w:rsidRPr="00A27048">
        <w:rPr>
          <w:rFonts w:eastAsia="Calibri"/>
        </w:rPr>
        <w:t xml:space="preserve"> </w:t>
      </w:r>
    </w:p>
    <w:p w:rsidR="009D538B" w:rsidRPr="00A27048" w:rsidRDefault="009D538B" w:rsidP="000E23CB">
      <w:pPr>
        <w:tabs>
          <w:tab w:val="left" w:pos="1"/>
          <w:tab w:val="left" w:pos="1584"/>
          <w:tab w:val="left" w:pos="3888"/>
          <w:tab w:val="left" w:pos="5472"/>
          <w:tab w:val="left" w:pos="7200"/>
        </w:tabs>
        <w:spacing w:line="360" w:lineRule="auto"/>
        <w:rPr>
          <w:rFonts w:eastAsia="Calibri"/>
        </w:rPr>
      </w:pPr>
    </w:p>
    <w:p w:rsidR="00EC3B34" w:rsidRPr="00A27048" w:rsidRDefault="002939C7" w:rsidP="000E23CB">
      <w:pPr>
        <w:tabs>
          <w:tab w:val="left" w:pos="1"/>
          <w:tab w:val="left" w:pos="1584"/>
          <w:tab w:val="left" w:pos="3888"/>
          <w:tab w:val="left" w:pos="5472"/>
          <w:tab w:val="left" w:pos="7200"/>
        </w:tabs>
        <w:spacing w:line="360" w:lineRule="auto"/>
        <w:rPr>
          <w:rFonts w:eastAsia="Calibri"/>
        </w:rPr>
      </w:pPr>
      <w:r w:rsidRPr="00A27048">
        <w:rPr>
          <w:rFonts w:eastAsia="Calibri"/>
        </w:rPr>
        <w:t xml:space="preserve">CDC provides </w:t>
      </w:r>
      <w:r w:rsidR="007B1584" w:rsidRPr="00A27048">
        <w:rPr>
          <w:rFonts w:eastAsia="Calibri"/>
        </w:rPr>
        <w:t xml:space="preserve">financial and programmatic </w:t>
      </w:r>
      <w:r w:rsidRPr="00A27048">
        <w:rPr>
          <w:rFonts w:eastAsia="Calibri"/>
        </w:rPr>
        <w:t xml:space="preserve">support </w:t>
      </w:r>
      <w:r w:rsidR="007B1584" w:rsidRPr="00A27048">
        <w:rPr>
          <w:rFonts w:eastAsia="Calibri"/>
        </w:rPr>
        <w:t xml:space="preserve">to </w:t>
      </w:r>
      <w:r w:rsidR="00294CBF" w:rsidRPr="00A27048">
        <w:rPr>
          <w:rFonts w:eastAsia="Calibri"/>
        </w:rPr>
        <w:t xml:space="preserve">public health department </w:t>
      </w:r>
      <w:r w:rsidR="007B1584" w:rsidRPr="00A27048">
        <w:rPr>
          <w:rFonts w:eastAsia="Calibri"/>
        </w:rPr>
        <w:t xml:space="preserve">for their </w:t>
      </w:r>
      <w:r w:rsidRPr="00A27048">
        <w:rPr>
          <w:rFonts w:eastAsia="Calibri"/>
        </w:rPr>
        <w:t xml:space="preserve">infectious </w:t>
      </w:r>
      <w:r w:rsidR="00511E32" w:rsidRPr="00A27048">
        <w:rPr>
          <w:rFonts w:eastAsia="Calibri"/>
        </w:rPr>
        <w:t xml:space="preserve">reportable </w:t>
      </w:r>
      <w:r w:rsidRPr="00A27048">
        <w:rPr>
          <w:rFonts w:eastAsia="Calibri"/>
        </w:rPr>
        <w:t xml:space="preserve">disease surveillance systems including </w:t>
      </w:r>
      <w:r w:rsidR="005F4365" w:rsidRPr="00A27048">
        <w:rPr>
          <w:rFonts w:eastAsia="Calibri"/>
        </w:rPr>
        <w:t xml:space="preserve">developing and maintaining </w:t>
      </w:r>
      <w:r w:rsidR="007B1584" w:rsidRPr="00A27048">
        <w:rPr>
          <w:rFonts w:eastAsia="Calibri"/>
        </w:rPr>
        <w:t xml:space="preserve">information technology (IT) systems </w:t>
      </w:r>
      <w:r w:rsidR="005776D5" w:rsidRPr="00A27048">
        <w:rPr>
          <w:rFonts w:eastAsia="Calibri"/>
        </w:rPr>
        <w:t>for their use.</w:t>
      </w:r>
      <w:r w:rsidR="00294CBF" w:rsidRPr="00A27048">
        <w:rPr>
          <w:rFonts w:eastAsia="Calibri"/>
        </w:rPr>
        <w:t xml:space="preserve"> </w:t>
      </w:r>
      <w:r w:rsidR="0026727F" w:rsidRPr="00A27048">
        <w:rPr>
          <w:rFonts w:eastAsia="Calibri"/>
        </w:rPr>
        <w:t>For different reportable conditions, some</w:t>
      </w:r>
      <w:r w:rsidR="005F4365" w:rsidRPr="00A27048">
        <w:rPr>
          <w:rFonts w:eastAsia="Calibri"/>
        </w:rPr>
        <w:t xml:space="preserve"> health departments use </w:t>
      </w:r>
      <w:r w:rsidR="00571C0A" w:rsidRPr="00A27048">
        <w:rPr>
          <w:rFonts w:eastAsia="Calibri"/>
        </w:rPr>
        <w:t xml:space="preserve">systems supplied by </w:t>
      </w:r>
      <w:r w:rsidR="00C43E5A">
        <w:rPr>
          <w:rFonts w:eastAsia="Calibri"/>
        </w:rPr>
        <w:t>CSELS</w:t>
      </w:r>
      <w:r w:rsidR="0026727F" w:rsidRPr="00A27048">
        <w:rPr>
          <w:rFonts w:eastAsia="Calibri"/>
        </w:rPr>
        <w:t>, Centers within OID, or CGH</w:t>
      </w:r>
      <w:r w:rsidR="00571C0A" w:rsidRPr="00A27048">
        <w:rPr>
          <w:rFonts w:eastAsia="Calibri"/>
        </w:rPr>
        <w:t xml:space="preserve">, </w:t>
      </w:r>
      <w:r w:rsidR="005F4365" w:rsidRPr="00A27048">
        <w:rPr>
          <w:rFonts w:eastAsia="Calibri"/>
        </w:rPr>
        <w:t xml:space="preserve">some use </w:t>
      </w:r>
      <w:r w:rsidR="009D538B" w:rsidRPr="00A27048">
        <w:rPr>
          <w:rFonts w:eastAsia="Calibri"/>
        </w:rPr>
        <w:t xml:space="preserve">vendor-supplied </w:t>
      </w:r>
      <w:r w:rsidR="005776D5" w:rsidRPr="00A27048">
        <w:rPr>
          <w:rFonts w:eastAsia="Calibri"/>
        </w:rPr>
        <w:t>systems</w:t>
      </w:r>
      <w:r w:rsidR="005F4365" w:rsidRPr="00A27048">
        <w:rPr>
          <w:rFonts w:eastAsia="Calibri"/>
        </w:rPr>
        <w:t xml:space="preserve"> and some use </w:t>
      </w:r>
      <w:r w:rsidR="009D538B" w:rsidRPr="00A27048">
        <w:rPr>
          <w:rFonts w:eastAsia="Calibri"/>
        </w:rPr>
        <w:t>systems developed by the jurisdiction</w:t>
      </w:r>
      <w:r w:rsidR="00333CBF" w:rsidRPr="00A27048">
        <w:rPr>
          <w:rFonts w:eastAsia="Calibri"/>
        </w:rPr>
        <w:t>.</w:t>
      </w:r>
    </w:p>
    <w:p w:rsidR="00A27048" w:rsidRPr="00A27048" w:rsidRDefault="00A27048" w:rsidP="000E23CB">
      <w:pPr>
        <w:tabs>
          <w:tab w:val="left" w:pos="1"/>
          <w:tab w:val="left" w:pos="1584"/>
          <w:tab w:val="left" w:pos="3888"/>
          <w:tab w:val="left" w:pos="5472"/>
          <w:tab w:val="left" w:pos="7200"/>
        </w:tabs>
        <w:spacing w:line="360" w:lineRule="auto"/>
        <w:rPr>
          <w:rFonts w:eastAsia="Calibri"/>
        </w:rPr>
      </w:pPr>
    </w:p>
    <w:p w:rsidR="00EC3B34" w:rsidRPr="00525150" w:rsidRDefault="00EC3B34" w:rsidP="000E23CB">
      <w:pPr>
        <w:tabs>
          <w:tab w:val="left" w:pos="1"/>
          <w:tab w:val="left" w:pos="1584"/>
          <w:tab w:val="left" w:pos="3888"/>
          <w:tab w:val="left" w:pos="5472"/>
          <w:tab w:val="left" w:pos="7200"/>
        </w:tabs>
        <w:spacing w:line="360" w:lineRule="auto"/>
        <w:rPr>
          <w:rFonts w:eastAsia="Calibri"/>
        </w:rPr>
      </w:pPr>
      <w:r w:rsidRPr="00A27048">
        <w:rPr>
          <w:rFonts w:eastAsia="Calibri"/>
        </w:rPr>
        <w:t>Given the way</w:t>
      </w:r>
      <w:r w:rsidRPr="00525150">
        <w:rPr>
          <w:rFonts w:eastAsia="Calibri"/>
        </w:rPr>
        <w:t xml:space="preserve"> that surveillance systems </w:t>
      </w:r>
      <w:r>
        <w:rPr>
          <w:rFonts w:eastAsia="Calibri"/>
        </w:rPr>
        <w:t xml:space="preserve">for nationally notifiable diseases were developed </w:t>
      </w:r>
      <w:r w:rsidRPr="00525150">
        <w:rPr>
          <w:rFonts w:eastAsia="Calibri"/>
        </w:rPr>
        <w:t xml:space="preserve">at CDC historically, state, territorial and local health departments have transmitted and continue to transmit nationally notifiable disease data to different systems and </w:t>
      </w:r>
      <w:r w:rsidR="007A758F">
        <w:rPr>
          <w:rFonts w:eastAsia="Calibri"/>
        </w:rPr>
        <w:t xml:space="preserve">programs </w:t>
      </w:r>
      <w:r w:rsidRPr="00525150">
        <w:rPr>
          <w:rFonts w:eastAsia="Calibri"/>
        </w:rPr>
        <w:t>at CDC</w:t>
      </w:r>
      <w:r w:rsidR="00F822B6">
        <w:rPr>
          <w:rFonts w:eastAsia="Calibri"/>
        </w:rPr>
        <w:t xml:space="preserve"> </w:t>
      </w:r>
      <w:r w:rsidR="00EC4C4A">
        <w:rPr>
          <w:rFonts w:eastAsia="Calibri"/>
        </w:rPr>
        <w:t xml:space="preserve">including </w:t>
      </w:r>
      <w:r w:rsidR="00C43E5A">
        <w:rPr>
          <w:rFonts w:eastAsia="Calibri"/>
        </w:rPr>
        <w:t>CSELS</w:t>
      </w:r>
      <w:r w:rsidR="007A758F">
        <w:rPr>
          <w:rFonts w:eastAsia="Calibri"/>
        </w:rPr>
        <w:t xml:space="preserve">, </w:t>
      </w:r>
      <w:r w:rsidR="00F47D2A">
        <w:rPr>
          <w:rFonts w:eastAsia="Calibri"/>
        </w:rPr>
        <w:t xml:space="preserve">Centers within </w:t>
      </w:r>
      <w:r w:rsidR="007A758F">
        <w:rPr>
          <w:rFonts w:eastAsia="Calibri"/>
        </w:rPr>
        <w:t>OID, and CGH.</w:t>
      </w:r>
    </w:p>
    <w:p w:rsidR="007C3321" w:rsidRPr="00525150" w:rsidRDefault="007C3321" w:rsidP="000E23CB">
      <w:pPr>
        <w:tabs>
          <w:tab w:val="left" w:pos="1"/>
          <w:tab w:val="left" w:pos="1584"/>
          <w:tab w:val="left" w:pos="3888"/>
          <w:tab w:val="left" w:pos="5472"/>
          <w:tab w:val="left" w:pos="7200"/>
        </w:tabs>
        <w:spacing w:line="360" w:lineRule="auto"/>
        <w:rPr>
          <w:rFonts w:eastAsia="Calibri"/>
        </w:rPr>
      </w:pPr>
    </w:p>
    <w:p w:rsidR="00A92BEA" w:rsidRPr="00525150" w:rsidRDefault="00A92BEA" w:rsidP="000E23CB">
      <w:pPr>
        <w:tabs>
          <w:tab w:val="left" w:pos="1"/>
          <w:tab w:val="left" w:pos="1584"/>
          <w:tab w:val="left" w:pos="3888"/>
          <w:tab w:val="left" w:pos="5472"/>
          <w:tab w:val="left" w:pos="7200"/>
        </w:tabs>
        <w:spacing w:line="360" w:lineRule="auto"/>
        <w:rPr>
          <w:rFonts w:eastAsia="Calibri"/>
          <w:u w:val="single"/>
        </w:rPr>
      </w:pPr>
      <w:r w:rsidRPr="00525150">
        <w:rPr>
          <w:rFonts w:eastAsia="Calibri"/>
          <w:u w:val="single"/>
        </w:rPr>
        <w:t xml:space="preserve">Case Notification to </w:t>
      </w:r>
      <w:r w:rsidR="00F57A6D" w:rsidRPr="00525150">
        <w:rPr>
          <w:rFonts w:eastAsia="Calibri"/>
          <w:u w:val="single"/>
        </w:rPr>
        <w:t xml:space="preserve">NNDSS </w:t>
      </w:r>
    </w:p>
    <w:p w:rsidR="00DD1D24" w:rsidRDefault="00DD1D24" w:rsidP="000E23CB">
      <w:pPr>
        <w:tabs>
          <w:tab w:val="left" w:pos="1"/>
          <w:tab w:val="left" w:pos="1584"/>
          <w:tab w:val="left" w:pos="3888"/>
          <w:tab w:val="left" w:pos="5472"/>
          <w:tab w:val="left" w:pos="7200"/>
        </w:tabs>
        <w:spacing w:line="360" w:lineRule="auto"/>
        <w:rPr>
          <w:rFonts w:eastAsia="Calibri"/>
        </w:rPr>
      </w:pPr>
    </w:p>
    <w:p w:rsidR="007C3321" w:rsidRDefault="007C3321" w:rsidP="000E23CB">
      <w:pPr>
        <w:tabs>
          <w:tab w:val="left" w:pos="1"/>
          <w:tab w:val="left" w:pos="1584"/>
          <w:tab w:val="left" w:pos="3888"/>
          <w:tab w:val="left" w:pos="5472"/>
          <w:tab w:val="left" w:pos="7200"/>
        </w:tabs>
        <w:spacing w:line="360" w:lineRule="auto"/>
        <w:rPr>
          <w:rFonts w:eastAsia="Calibri"/>
        </w:rPr>
      </w:pPr>
      <w:r w:rsidRPr="00525150">
        <w:rPr>
          <w:rFonts w:eastAsia="Calibri"/>
        </w:rPr>
        <w:t xml:space="preserve">The </w:t>
      </w:r>
      <w:r w:rsidR="00D642B4" w:rsidRPr="00525150">
        <w:rPr>
          <w:rFonts w:eastAsia="Calibri"/>
        </w:rPr>
        <w:t xml:space="preserve">transmission </w:t>
      </w:r>
      <w:r w:rsidRPr="00525150">
        <w:rPr>
          <w:rFonts w:eastAsia="Calibri"/>
        </w:rPr>
        <w:t xml:space="preserve">of data to </w:t>
      </w:r>
      <w:r w:rsidR="00C43E5A">
        <w:rPr>
          <w:rFonts w:eastAsia="Calibri"/>
        </w:rPr>
        <w:t>CSELS</w:t>
      </w:r>
      <w:r w:rsidR="00826255" w:rsidRPr="00525150">
        <w:rPr>
          <w:rFonts w:eastAsia="Calibri"/>
        </w:rPr>
        <w:t xml:space="preserve"> </w:t>
      </w:r>
      <w:r w:rsidR="0060724A" w:rsidRPr="00525150">
        <w:rPr>
          <w:rFonts w:eastAsia="Calibri"/>
        </w:rPr>
        <w:t>NNDSS</w:t>
      </w:r>
      <w:r w:rsidRPr="00525150">
        <w:rPr>
          <w:rFonts w:eastAsia="Calibri"/>
        </w:rPr>
        <w:t xml:space="preserve"> is supported by several interconnected </w:t>
      </w:r>
      <w:r w:rsidR="00241C2C">
        <w:rPr>
          <w:rFonts w:eastAsia="Calibri"/>
        </w:rPr>
        <w:t>frameworks for the</w:t>
      </w:r>
      <w:r w:rsidR="009F0FD8">
        <w:rPr>
          <w:rFonts w:eastAsia="Calibri"/>
        </w:rPr>
        <w:t xml:space="preserve"> exchange of </w:t>
      </w:r>
      <w:r w:rsidR="00241C2C">
        <w:rPr>
          <w:rFonts w:eastAsia="Calibri"/>
        </w:rPr>
        <w:t>electronic information</w:t>
      </w:r>
      <w:r w:rsidRPr="00525150">
        <w:rPr>
          <w:rFonts w:eastAsia="Calibri"/>
        </w:rPr>
        <w:t xml:space="preserve"> and </w:t>
      </w:r>
      <w:r w:rsidR="003F2D76">
        <w:rPr>
          <w:rFonts w:eastAsia="Calibri"/>
        </w:rPr>
        <w:t>IT</w:t>
      </w:r>
      <w:r w:rsidR="009F0FD8">
        <w:rPr>
          <w:rFonts w:eastAsia="Calibri"/>
        </w:rPr>
        <w:t xml:space="preserve"> </w:t>
      </w:r>
      <w:r w:rsidRPr="00525150">
        <w:rPr>
          <w:rFonts w:eastAsia="Calibri"/>
        </w:rPr>
        <w:t>systems</w:t>
      </w:r>
      <w:r w:rsidR="009F0FD8">
        <w:rPr>
          <w:rFonts w:eastAsia="Calibri"/>
        </w:rPr>
        <w:t xml:space="preserve"> and platforms</w:t>
      </w:r>
      <w:r w:rsidRPr="00525150">
        <w:rPr>
          <w:rFonts w:eastAsia="Calibri"/>
        </w:rPr>
        <w:t xml:space="preserve">. </w:t>
      </w:r>
      <w:r w:rsidR="007A758F">
        <w:rPr>
          <w:rFonts w:eastAsia="Calibri"/>
        </w:rPr>
        <w:t>The majority of</w:t>
      </w:r>
      <w:r w:rsidR="00A52046" w:rsidRPr="00525150">
        <w:t xml:space="preserve"> case </w:t>
      </w:r>
      <w:r w:rsidR="00F251DE">
        <w:lastRenderedPageBreak/>
        <w:t>notifications</w:t>
      </w:r>
      <w:r w:rsidR="00F251DE" w:rsidRPr="00525150">
        <w:t xml:space="preserve"> </w:t>
      </w:r>
      <w:r w:rsidR="00A52046" w:rsidRPr="00525150">
        <w:t xml:space="preserve">are encrypted and submitted to </w:t>
      </w:r>
      <w:r w:rsidR="00C43E5A">
        <w:t>CSELS</w:t>
      </w:r>
      <w:r w:rsidR="00522295">
        <w:t xml:space="preserve"> </w:t>
      </w:r>
      <w:r w:rsidR="00A52046" w:rsidRPr="00525150">
        <w:t xml:space="preserve">NNDSS electronically from already existing databases via automated electronic transfers through a secure network. </w:t>
      </w:r>
      <w:r w:rsidR="00506B3C">
        <w:t xml:space="preserve">On occasion, when electronic transmission is not possible or when public health departments prefer, </w:t>
      </w:r>
      <w:r w:rsidR="003F684D">
        <w:t xml:space="preserve">weekly case counts are provided by </w:t>
      </w:r>
      <w:r w:rsidR="00A52046" w:rsidRPr="00525150">
        <w:t>telephone, fax, mail, and email</w:t>
      </w:r>
      <w:r w:rsidR="003F684D">
        <w:t xml:space="preserve">, primarily to meet </w:t>
      </w:r>
      <w:r w:rsidR="00D3343B">
        <w:t xml:space="preserve">weekly </w:t>
      </w:r>
      <w:r w:rsidR="003F684D">
        <w:t xml:space="preserve">deadlines for publication in the </w:t>
      </w:r>
      <w:r w:rsidR="00D3343B" w:rsidRPr="00D3343B">
        <w:rPr>
          <w:i/>
        </w:rPr>
        <w:t>Morbidity and Mortality Weekly Report (MMWR)</w:t>
      </w:r>
      <w:r w:rsidR="003F684D">
        <w:t xml:space="preserve">.  </w:t>
      </w:r>
      <w:r w:rsidRPr="00525150">
        <w:rPr>
          <w:rFonts w:eastAsia="Calibri"/>
        </w:rPr>
        <w:t>The submission and receipt of these data follow current best practices and standards available</w:t>
      </w:r>
      <w:r w:rsidR="0050761C" w:rsidRPr="00525150">
        <w:rPr>
          <w:rFonts w:eastAsia="Calibri"/>
        </w:rPr>
        <w:t xml:space="preserve">, as described in </w:t>
      </w:r>
      <w:r w:rsidR="00F57A6D" w:rsidRPr="00525150">
        <w:rPr>
          <w:rFonts w:eastAsia="Calibri"/>
        </w:rPr>
        <w:t>Section A.10, below</w:t>
      </w:r>
      <w:r w:rsidRPr="00525150">
        <w:rPr>
          <w:rFonts w:eastAsia="Calibri"/>
        </w:rPr>
        <w:t>.</w:t>
      </w:r>
    </w:p>
    <w:p w:rsidR="00AA085F" w:rsidRDefault="00AA085F" w:rsidP="000E23CB">
      <w:pPr>
        <w:tabs>
          <w:tab w:val="left" w:pos="1"/>
          <w:tab w:val="left" w:pos="1584"/>
          <w:tab w:val="left" w:pos="3888"/>
          <w:tab w:val="left" w:pos="5472"/>
          <w:tab w:val="left" w:pos="7200"/>
        </w:tabs>
        <w:spacing w:line="360" w:lineRule="auto"/>
        <w:rPr>
          <w:rFonts w:eastAsia="Calibri"/>
        </w:rPr>
      </w:pPr>
    </w:p>
    <w:p w:rsidR="00C7755D" w:rsidRPr="00525150" w:rsidRDefault="00365FA7" w:rsidP="00C7755D">
      <w:pPr>
        <w:tabs>
          <w:tab w:val="left" w:pos="1"/>
          <w:tab w:val="left" w:pos="1584"/>
          <w:tab w:val="left" w:pos="3888"/>
          <w:tab w:val="left" w:pos="5472"/>
          <w:tab w:val="left" w:pos="7200"/>
        </w:tabs>
        <w:spacing w:line="360" w:lineRule="auto"/>
        <w:rPr>
          <w:rFonts w:eastAsia="Calibri"/>
        </w:rPr>
      </w:pPr>
      <w:r w:rsidRPr="00280D3C">
        <w:rPr>
          <w:rFonts w:eastAsia="Calibri"/>
        </w:rPr>
        <w:t>OID</w:t>
      </w:r>
      <w:r w:rsidR="007A758F">
        <w:rPr>
          <w:rFonts w:eastAsia="Calibri"/>
        </w:rPr>
        <w:t xml:space="preserve"> and </w:t>
      </w:r>
      <w:r w:rsidRPr="00280D3C">
        <w:rPr>
          <w:rFonts w:eastAsia="Calibri"/>
        </w:rPr>
        <w:t>CGH receive</w:t>
      </w:r>
      <w:r w:rsidR="00EE5860" w:rsidRPr="00280D3C">
        <w:rPr>
          <w:rFonts w:eastAsia="Calibri"/>
        </w:rPr>
        <w:t xml:space="preserve"> </w:t>
      </w:r>
      <w:r w:rsidRPr="00280D3C">
        <w:rPr>
          <w:rFonts w:eastAsia="Calibri"/>
        </w:rPr>
        <w:t>data through several electronic surveillance systems</w:t>
      </w:r>
      <w:r w:rsidR="00862735" w:rsidRPr="00280D3C">
        <w:rPr>
          <w:rFonts w:eastAsia="Calibri"/>
        </w:rPr>
        <w:t>.</w:t>
      </w:r>
      <w:r w:rsidR="001F7942" w:rsidRPr="00280D3C">
        <w:t xml:space="preserve"> As state health departments develop computer capabilities, additional report formats are being developed for electronic transmission</w:t>
      </w:r>
      <w:r w:rsidR="00C7755D">
        <w:t xml:space="preserve">. </w:t>
      </w:r>
      <w:r w:rsidR="00233818">
        <w:t xml:space="preserve">For many conditions, OID/CGH does not receive data electronically. </w:t>
      </w:r>
      <w:r w:rsidR="00566735">
        <w:t>Mo</w:t>
      </w:r>
      <w:r w:rsidR="005C4E40" w:rsidRPr="00280D3C">
        <w:t xml:space="preserve">st case report forms are mailed or faxed to CDC </w:t>
      </w:r>
      <w:r w:rsidR="007678AB" w:rsidRPr="00280D3C">
        <w:t>by s</w:t>
      </w:r>
      <w:r w:rsidR="005C4E40" w:rsidRPr="00280D3C">
        <w:t>tate</w:t>
      </w:r>
      <w:r w:rsidR="007678AB" w:rsidRPr="00280D3C">
        <w:t>, local and territorial</w:t>
      </w:r>
      <w:r w:rsidR="005C4E40" w:rsidRPr="00280D3C">
        <w:t xml:space="preserve"> health departments.  In certain circumstances, such as outbreak situations, reports are first made by telephone, </w:t>
      </w:r>
      <w:r w:rsidR="00CD68D6" w:rsidRPr="00280D3C">
        <w:t>and then</w:t>
      </w:r>
      <w:r w:rsidR="005C4E40" w:rsidRPr="00280D3C">
        <w:t xml:space="preserve"> followed by a written report.  On occasion, reports are emailed </w:t>
      </w:r>
      <w:r w:rsidR="00194EEC">
        <w:t>b</w:t>
      </w:r>
      <w:r w:rsidR="005C4E40" w:rsidRPr="00280D3C">
        <w:t>y state health departments via secure email systems.</w:t>
      </w:r>
      <w:r w:rsidR="00D6316A" w:rsidRPr="00280D3C">
        <w:rPr>
          <w:rFonts w:eastAsia="Calibri"/>
        </w:rPr>
        <w:t xml:space="preserve"> </w:t>
      </w:r>
      <w:r w:rsidR="00C252D1" w:rsidRPr="00280D3C">
        <w:t>These data are entered into electronic databases</w:t>
      </w:r>
      <w:r w:rsidR="005C4E40" w:rsidRPr="00280D3C">
        <w:t>.</w:t>
      </w:r>
      <w:r w:rsidR="00C7755D" w:rsidRPr="00C7755D">
        <w:rPr>
          <w:rFonts w:eastAsia="Calibri"/>
        </w:rPr>
        <w:t xml:space="preserve"> </w:t>
      </w:r>
      <w:r w:rsidR="00C7755D" w:rsidRPr="00525150">
        <w:rPr>
          <w:rFonts w:eastAsia="Calibri"/>
        </w:rPr>
        <w:t>The submission and receipt of these data follow current best practices and standards available, as described in Section A.10, below.</w:t>
      </w:r>
    </w:p>
    <w:p w:rsidR="00BA3ACE" w:rsidRDefault="00BA3ACE" w:rsidP="008A7409">
      <w:pPr>
        <w:tabs>
          <w:tab w:val="left" w:pos="1"/>
          <w:tab w:val="left" w:pos="1584"/>
          <w:tab w:val="left" w:pos="3888"/>
          <w:tab w:val="left" w:pos="5472"/>
          <w:tab w:val="left" w:pos="7200"/>
        </w:tabs>
        <w:spacing w:line="360" w:lineRule="auto"/>
        <w:rPr>
          <w:rFonts w:eastAsia="Calibri"/>
        </w:rPr>
      </w:pPr>
    </w:p>
    <w:p w:rsidR="00721602" w:rsidRPr="00721602" w:rsidRDefault="00721602" w:rsidP="008A7409">
      <w:pPr>
        <w:tabs>
          <w:tab w:val="left" w:pos="1"/>
          <w:tab w:val="left" w:pos="1584"/>
          <w:tab w:val="left" w:pos="3888"/>
          <w:tab w:val="left" w:pos="5472"/>
          <w:tab w:val="left" w:pos="7200"/>
        </w:tabs>
        <w:spacing w:line="360" w:lineRule="auto"/>
        <w:rPr>
          <w:rFonts w:eastAsia="Calibri"/>
          <w:u w:val="single"/>
        </w:rPr>
      </w:pPr>
      <w:r>
        <w:rPr>
          <w:rFonts w:eastAsia="Calibri"/>
          <w:u w:val="single"/>
        </w:rPr>
        <w:t>Statistical sampling</w:t>
      </w:r>
    </w:p>
    <w:p w:rsidR="007C3321" w:rsidRPr="00124FF2" w:rsidRDefault="007C3321" w:rsidP="008A7409">
      <w:pPr>
        <w:tabs>
          <w:tab w:val="left" w:pos="1"/>
          <w:tab w:val="left" w:pos="1584"/>
          <w:tab w:val="left" w:pos="3888"/>
          <w:tab w:val="left" w:pos="5472"/>
          <w:tab w:val="left" w:pos="7200"/>
        </w:tabs>
        <w:spacing w:line="360" w:lineRule="auto"/>
        <w:rPr>
          <w:rFonts w:eastAsia="Calibri"/>
        </w:rPr>
      </w:pPr>
      <w:r w:rsidRPr="00124FF2">
        <w:rPr>
          <w:rFonts w:eastAsia="Calibri"/>
        </w:rPr>
        <w:t>The case notification process involves no statistical sampling methods</w:t>
      </w:r>
      <w:r w:rsidR="000B19D8">
        <w:rPr>
          <w:rFonts w:eastAsia="Calibri"/>
        </w:rPr>
        <w:t xml:space="preserve">: </w:t>
      </w:r>
      <w:r w:rsidRPr="00124FF2">
        <w:rPr>
          <w:rFonts w:eastAsia="Calibri"/>
        </w:rPr>
        <w:t xml:space="preserve"> all 50 states, New York City, the District of Columbia, and 5 U.S. </w:t>
      </w:r>
      <w:r w:rsidR="00976E14">
        <w:rPr>
          <w:rFonts w:eastAsia="Calibri"/>
        </w:rPr>
        <w:t>t</w:t>
      </w:r>
      <w:r w:rsidRPr="00124FF2">
        <w:rPr>
          <w:rFonts w:eastAsia="Calibri"/>
        </w:rPr>
        <w:t xml:space="preserve">erritories voluntarily provide notification to CDC on all cases reported to those jurisdictions.  </w:t>
      </w:r>
    </w:p>
    <w:p w:rsidR="007C3321" w:rsidRPr="00124FF2" w:rsidRDefault="007C3321" w:rsidP="008A7409">
      <w:pPr>
        <w:tabs>
          <w:tab w:val="left" w:pos="1"/>
          <w:tab w:val="left" w:pos="1584"/>
          <w:tab w:val="left" w:pos="3888"/>
          <w:tab w:val="left" w:pos="5472"/>
          <w:tab w:val="left" w:pos="7200"/>
        </w:tabs>
        <w:spacing w:line="360" w:lineRule="auto"/>
      </w:pPr>
    </w:p>
    <w:p w:rsidR="007C3321" w:rsidRPr="00124FF2" w:rsidRDefault="007C3321" w:rsidP="008A7409">
      <w:pPr>
        <w:tabs>
          <w:tab w:val="left" w:pos="1"/>
          <w:tab w:val="left" w:pos="1584"/>
          <w:tab w:val="left" w:pos="3888"/>
          <w:tab w:val="left" w:pos="5472"/>
          <w:tab w:val="left" w:pos="7200"/>
        </w:tabs>
        <w:spacing w:line="360" w:lineRule="auto"/>
        <w:rPr>
          <w:u w:val="single"/>
        </w:rPr>
      </w:pPr>
      <w:r w:rsidRPr="00124FF2">
        <w:rPr>
          <w:u w:val="single"/>
        </w:rPr>
        <w:t>Description of the information submitted</w:t>
      </w:r>
    </w:p>
    <w:p w:rsidR="008A7409" w:rsidRPr="00F57A6D" w:rsidRDefault="00D555BA" w:rsidP="008A7409">
      <w:pPr>
        <w:spacing w:line="360" w:lineRule="auto"/>
        <w:rPr>
          <w:rFonts w:ascii="Calibri" w:hAnsi="Calibri"/>
          <w:color w:val="FF0000"/>
          <w:sz w:val="22"/>
          <w:szCs w:val="22"/>
        </w:rPr>
      </w:pPr>
      <w:r>
        <w:rPr>
          <w:color w:val="000000"/>
        </w:rPr>
        <w:t>The 8</w:t>
      </w:r>
      <w:r w:rsidR="002D1140">
        <w:rPr>
          <w:color w:val="000000"/>
        </w:rPr>
        <w:t>2</w:t>
      </w:r>
      <w:r>
        <w:rPr>
          <w:color w:val="000000"/>
        </w:rPr>
        <w:t xml:space="preserve"> nationally notifiable c</w:t>
      </w:r>
      <w:r w:rsidR="00C84BF5">
        <w:rPr>
          <w:color w:val="000000"/>
        </w:rPr>
        <w:t xml:space="preserve">onditions included in this </w:t>
      </w:r>
      <w:r w:rsidR="00017559">
        <w:rPr>
          <w:color w:val="000000"/>
        </w:rPr>
        <w:t xml:space="preserve">NNDSS </w:t>
      </w:r>
      <w:r w:rsidR="00C84BF5">
        <w:rPr>
          <w:color w:val="000000"/>
        </w:rPr>
        <w:t>OMB application are listed in an attachment</w:t>
      </w:r>
      <w:r w:rsidR="007C3321" w:rsidRPr="00124FF2">
        <w:rPr>
          <w:color w:val="000000"/>
        </w:rPr>
        <w:t xml:space="preserve"> </w:t>
      </w:r>
      <w:r w:rsidR="00B340F2" w:rsidRPr="00B340F2">
        <w:rPr>
          <w:b/>
          <w:color w:val="000000"/>
        </w:rPr>
        <w:t>[</w:t>
      </w:r>
      <w:r w:rsidR="007C3321" w:rsidRPr="00B340F2">
        <w:rPr>
          <w:b/>
          <w:color w:val="000000"/>
        </w:rPr>
        <w:t>Attachment</w:t>
      </w:r>
      <w:r w:rsidR="00F3721D">
        <w:rPr>
          <w:b/>
          <w:color w:val="000000"/>
        </w:rPr>
        <w:t xml:space="preserve"> 3</w:t>
      </w:r>
      <w:r w:rsidR="00B77237" w:rsidRPr="00B340F2">
        <w:rPr>
          <w:b/>
          <w:color w:val="000000"/>
        </w:rPr>
        <w:t xml:space="preserve">. </w:t>
      </w:r>
      <w:r w:rsidR="00F3721D">
        <w:rPr>
          <w:b/>
          <w:color w:val="000000"/>
        </w:rPr>
        <w:t>List of NNDs</w:t>
      </w:r>
      <w:r w:rsidR="00B340F2" w:rsidRPr="00B340F2">
        <w:rPr>
          <w:b/>
          <w:color w:val="000000"/>
        </w:rPr>
        <w:t>]</w:t>
      </w:r>
      <w:r w:rsidR="007C3321" w:rsidRPr="00B340F2">
        <w:rPr>
          <w:b/>
          <w:color w:val="000000"/>
        </w:rPr>
        <w:t>.</w:t>
      </w:r>
      <w:r w:rsidR="007C3321" w:rsidRPr="00124FF2">
        <w:rPr>
          <w:color w:val="000000"/>
        </w:rPr>
        <w:t xml:space="preserve">  </w:t>
      </w:r>
      <w:r w:rsidR="002503D9">
        <w:rPr>
          <w:color w:val="000000"/>
        </w:rPr>
        <w:t xml:space="preserve">Due to the </w:t>
      </w:r>
      <w:r w:rsidR="00017559">
        <w:rPr>
          <w:color w:val="000000"/>
        </w:rPr>
        <w:t>coordination with other CDC programs conducting surveillance on notifiable diseases</w:t>
      </w:r>
      <w:r w:rsidR="002503D9">
        <w:rPr>
          <w:color w:val="000000"/>
        </w:rPr>
        <w:t>, e</w:t>
      </w:r>
      <w:r w:rsidR="00BF4BF9">
        <w:rPr>
          <w:color w:val="000000"/>
        </w:rPr>
        <w:t xml:space="preserve">leven </w:t>
      </w:r>
      <w:r w:rsidR="008A7409">
        <w:rPr>
          <w:color w:val="000000"/>
        </w:rPr>
        <w:t xml:space="preserve">conditions not </w:t>
      </w:r>
      <w:r w:rsidR="00283CFA">
        <w:rPr>
          <w:color w:val="000000"/>
        </w:rPr>
        <w:t>included</w:t>
      </w:r>
      <w:r w:rsidR="00DF5D05">
        <w:rPr>
          <w:color w:val="000000"/>
        </w:rPr>
        <w:t xml:space="preserve"> in the 2010</w:t>
      </w:r>
      <w:r w:rsidR="00283CFA">
        <w:rPr>
          <w:color w:val="000000"/>
        </w:rPr>
        <w:t xml:space="preserve"> NNDSS application to</w:t>
      </w:r>
      <w:r w:rsidR="00DF5D05">
        <w:rPr>
          <w:color w:val="000000"/>
        </w:rPr>
        <w:t xml:space="preserve"> OMB </w:t>
      </w:r>
      <w:r w:rsidR="008A7409">
        <w:rPr>
          <w:color w:val="000000"/>
        </w:rPr>
        <w:t>have been added</w:t>
      </w:r>
      <w:r w:rsidR="00DF5D05">
        <w:rPr>
          <w:color w:val="000000"/>
        </w:rPr>
        <w:t xml:space="preserve"> to this list</w:t>
      </w:r>
      <w:r w:rsidR="008A7409">
        <w:rPr>
          <w:color w:val="000000"/>
        </w:rPr>
        <w:t xml:space="preserve">: </w:t>
      </w:r>
      <w:r w:rsidR="00BF4BF9">
        <w:rPr>
          <w:color w:val="000000"/>
        </w:rPr>
        <w:t>Babesiosis</w:t>
      </w:r>
      <w:r w:rsidR="00E550D2">
        <w:rPr>
          <w:color w:val="000000"/>
        </w:rPr>
        <w:t>,</w:t>
      </w:r>
      <w:r w:rsidR="00BF4BF9">
        <w:rPr>
          <w:color w:val="000000"/>
        </w:rPr>
        <w:t xml:space="preserve"> California serogroup virus neuroinvasive and non-invasive disease</w:t>
      </w:r>
      <w:r w:rsidR="00E550D2">
        <w:rPr>
          <w:color w:val="000000"/>
        </w:rPr>
        <w:t>,</w:t>
      </w:r>
      <w:r w:rsidR="00BF4BF9">
        <w:rPr>
          <w:color w:val="000000"/>
        </w:rPr>
        <w:t xml:space="preserve"> Central line associated bloodstream infection, Coccidioidomycosis, </w:t>
      </w:r>
      <w:r w:rsidR="008A7409">
        <w:t xml:space="preserve">Infections by </w:t>
      </w:r>
      <w:r w:rsidR="00BF4BF9">
        <w:t>f</w:t>
      </w:r>
      <w:r w:rsidR="008A7409">
        <w:t xml:space="preserve">ree living </w:t>
      </w:r>
      <w:r w:rsidR="00BF4BF9">
        <w:t>a</w:t>
      </w:r>
      <w:r w:rsidR="008A7409">
        <w:t xml:space="preserve">mebae, </w:t>
      </w:r>
      <w:r w:rsidR="00E550D2">
        <w:t xml:space="preserve">Jamestown Canyon virus neuroinvasive and non-neuroinvasive, Leptosirosis, </w:t>
      </w:r>
      <w:r w:rsidR="008A7409">
        <w:t>Melioidosis</w:t>
      </w:r>
      <w:r w:rsidR="00BF4BF9">
        <w:t>, Powassan virus neuroinvasive and non-</w:t>
      </w:r>
      <w:r w:rsidR="00BF4BF9">
        <w:lastRenderedPageBreak/>
        <w:t xml:space="preserve">neuroinvasive disease, St. Louis </w:t>
      </w:r>
      <w:r w:rsidR="00EC4C4A">
        <w:t>encephalitis’s</w:t>
      </w:r>
      <w:r w:rsidR="00BF4BF9">
        <w:t xml:space="preserve"> virus neuroinvasive and non-neuroinvasive disease, </w:t>
      </w:r>
      <w:r w:rsidR="002C6709">
        <w:t xml:space="preserve">and </w:t>
      </w:r>
      <w:r w:rsidR="00BF4BF9">
        <w:t>West Nile virus neuroinvasive and non-neuroinvasive disease.</w:t>
      </w:r>
    </w:p>
    <w:p w:rsidR="007C3321" w:rsidRPr="00124FF2" w:rsidRDefault="007C3321" w:rsidP="000E23CB">
      <w:pPr>
        <w:spacing w:line="360" w:lineRule="auto"/>
        <w:rPr>
          <w:color w:val="000000"/>
        </w:rPr>
      </w:pPr>
    </w:p>
    <w:p w:rsidR="007C3321" w:rsidRPr="00124FF2" w:rsidRDefault="007C3321" w:rsidP="00283CFA">
      <w:pPr>
        <w:spacing w:line="360" w:lineRule="auto"/>
        <w:rPr>
          <w:color w:val="000000"/>
        </w:rPr>
      </w:pPr>
      <w:r w:rsidRPr="00124FF2">
        <w:rPr>
          <w:color w:val="000000"/>
        </w:rPr>
        <w:t>A common</w:t>
      </w:r>
      <w:r w:rsidR="006135EE">
        <w:rPr>
          <w:color w:val="000000"/>
        </w:rPr>
        <w:t>, core</w:t>
      </w:r>
      <w:r w:rsidRPr="00124FF2">
        <w:rPr>
          <w:color w:val="000000"/>
        </w:rPr>
        <w:t xml:space="preserve"> set of data elements is submitted </w:t>
      </w:r>
      <w:r w:rsidR="006135EE">
        <w:rPr>
          <w:color w:val="000000"/>
        </w:rPr>
        <w:t xml:space="preserve">by public health departments </w:t>
      </w:r>
      <w:r w:rsidRPr="00124FF2">
        <w:rPr>
          <w:color w:val="000000"/>
        </w:rPr>
        <w:t xml:space="preserve">for </w:t>
      </w:r>
      <w:r w:rsidR="00283CFA">
        <w:rPr>
          <w:color w:val="000000"/>
        </w:rPr>
        <w:t xml:space="preserve">all of </w:t>
      </w:r>
      <w:r w:rsidR="00C84BF5">
        <w:rPr>
          <w:color w:val="000000"/>
        </w:rPr>
        <w:t>the</w:t>
      </w:r>
      <w:r w:rsidRPr="00124FF2">
        <w:rPr>
          <w:color w:val="000000"/>
        </w:rPr>
        <w:t xml:space="preserve"> nationally notifiable conditions</w:t>
      </w:r>
      <w:r w:rsidR="00F44173">
        <w:rPr>
          <w:color w:val="000000"/>
        </w:rPr>
        <w:t xml:space="preserve"> included in this OMB application</w:t>
      </w:r>
      <w:r w:rsidR="006135EE">
        <w:rPr>
          <w:color w:val="000000"/>
        </w:rPr>
        <w:t xml:space="preserve"> </w:t>
      </w:r>
      <w:r w:rsidR="00F606EB">
        <w:rPr>
          <w:b/>
          <w:color w:val="000000"/>
        </w:rPr>
        <w:t>[At</w:t>
      </w:r>
      <w:r w:rsidR="006135EE" w:rsidRPr="00124FF2">
        <w:rPr>
          <w:b/>
          <w:color w:val="000000"/>
        </w:rPr>
        <w:t xml:space="preserve">tachment </w:t>
      </w:r>
      <w:r w:rsidR="00F606EB">
        <w:rPr>
          <w:b/>
          <w:color w:val="000000"/>
        </w:rPr>
        <w:t>4. Core Data]</w:t>
      </w:r>
      <w:r w:rsidR="006135EE">
        <w:rPr>
          <w:color w:val="000000"/>
        </w:rPr>
        <w:t xml:space="preserve">. </w:t>
      </w:r>
      <w:r w:rsidRPr="00124FF2">
        <w:rPr>
          <w:color w:val="000000"/>
        </w:rPr>
        <w:t xml:space="preserve">The common data elements include the name of the </w:t>
      </w:r>
      <w:r w:rsidR="000B082C" w:rsidRPr="00124FF2">
        <w:rPr>
          <w:color w:val="000000"/>
        </w:rPr>
        <w:t>condition</w:t>
      </w:r>
      <w:r w:rsidRPr="00124FF2">
        <w:rPr>
          <w:color w:val="000000"/>
        </w:rPr>
        <w:t>; demographic data</w:t>
      </w:r>
      <w:r w:rsidR="006135EE">
        <w:rPr>
          <w:color w:val="000000"/>
        </w:rPr>
        <w:t xml:space="preserve"> for the person with the condition</w:t>
      </w:r>
      <w:r w:rsidRPr="00124FF2">
        <w:rPr>
          <w:color w:val="000000"/>
        </w:rPr>
        <w:t xml:space="preserve"> (age, sex, race, ethnicity, date of birth); state, county, and ZIP code of residence; administrative </w:t>
      </w:r>
      <w:r w:rsidR="00510C87">
        <w:rPr>
          <w:color w:val="000000"/>
        </w:rPr>
        <w:t>data</w:t>
      </w:r>
      <w:r w:rsidRPr="00124FF2">
        <w:rPr>
          <w:color w:val="000000"/>
        </w:rPr>
        <w:t xml:space="preserve">  such as the jurisdiction submitting the case, information about whether the case meets the national surveillance definition, case identifier, subject identifier; epidemiologically relevant dates, such as date of disease onset, diagnosis, laboratory testing; where the disease was likely acquired; whether the case was associated with an outbreak; and markers of disease severity (such as whether the individual was hospitalized or died from the disease). </w:t>
      </w:r>
      <w:r w:rsidR="00C84BF5">
        <w:rPr>
          <w:color w:val="000000"/>
        </w:rPr>
        <w:t xml:space="preserve">Descriptions and value sets for the data elements are identified in </w:t>
      </w:r>
      <w:r w:rsidR="0053115D">
        <w:rPr>
          <w:color w:val="000000"/>
        </w:rPr>
        <w:t xml:space="preserve">an </w:t>
      </w:r>
      <w:r w:rsidR="00087285">
        <w:rPr>
          <w:color w:val="000000"/>
        </w:rPr>
        <w:t>attachment</w:t>
      </w:r>
      <w:r w:rsidR="00087285" w:rsidRPr="00087285">
        <w:rPr>
          <w:b/>
          <w:color w:val="000000"/>
        </w:rPr>
        <w:t xml:space="preserve"> [A</w:t>
      </w:r>
      <w:r w:rsidR="00C84BF5" w:rsidRPr="00087285">
        <w:rPr>
          <w:b/>
          <w:color w:val="000000"/>
        </w:rPr>
        <w:t>t</w:t>
      </w:r>
      <w:r w:rsidR="00087285">
        <w:rPr>
          <w:b/>
          <w:color w:val="000000"/>
        </w:rPr>
        <w:t>tachment 4. Core Data]</w:t>
      </w:r>
      <w:r w:rsidR="00C84BF5">
        <w:rPr>
          <w:color w:val="000000"/>
        </w:rPr>
        <w:t>.</w:t>
      </w:r>
      <w:r w:rsidRPr="00124FF2">
        <w:rPr>
          <w:color w:val="000000"/>
        </w:rPr>
        <w:t xml:space="preserve"> </w:t>
      </w:r>
    </w:p>
    <w:p w:rsidR="007C3321" w:rsidRDefault="007C3321" w:rsidP="00283CFA">
      <w:pPr>
        <w:spacing w:line="360" w:lineRule="auto"/>
        <w:rPr>
          <w:color w:val="000000"/>
        </w:rPr>
      </w:pPr>
    </w:p>
    <w:p w:rsidR="00283CFA" w:rsidRDefault="00283CFA" w:rsidP="00283CFA">
      <w:pPr>
        <w:spacing w:line="360" w:lineRule="auto"/>
        <w:rPr>
          <w:color w:val="000000"/>
        </w:rPr>
      </w:pPr>
      <w:r>
        <w:rPr>
          <w:color w:val="000000"/>
        </w:rPr>
        <w:t>Several data elements not included in the 2010 NNDSS OMB application have been added to th</w:t>
      </w:r>
      <w:r w:rsidR="00DD4E30">
        <w:rPr>
          <w:color w:val="000000"/>
        </w:rPr>
        <w:t>e core data elements</w:t>
      </w:r>
      <w:r>
        <w:rPr>
          <w:color w:val="000000"/>
        </w:rPr>
        <w:t xml:space="preserve"> list: Immediate </w:t>
      </w:r>
      <w:r w:rsidR="0099090A">
        <w:rPr>
          <w:color w:val="000000"/>
        </w:rPr>
        <w:t>n</w:t>
      </w:r>
      <w:r>
        <w:rPr>
          <w:color w:val="000000"/>
        </w:rPr>
        <w:t>ational</w:t>
      </w:r>
      <w:r w:rsidR="00D555BA">
        <w:rPr>
          <w:color w:val="000000"/>
        </w:rPr>
        <w:t>ly</w:t>
      </w:r>
      <w:r>
        <w:rPr>
          <w:color w:val="000000"/>
        </w:rPr>
        <w:t xml:space="preserve"> </w:t>
      </w:r>
      <w:r w:rsidR="0099090A">
        <w:rPr>
          <w:color w:val="000000"/>
        </w:rPr>
        <w:t>n</w:t>
      </w:r>
      <w:r>
        <w:rPr>
          <w:color w:val="000000"/>
        </w:rPr>
        <w:t xml:space="preserve">otifiable </w:t>
      </w:r>
      <w:r w:rsidR="0099090A">
        <w:rPr>
          <w:color w:val="000000"/>
        </w:rPr>
        <w:t>c</w:t>
      </w:r>
      <w:r>
        <w:rPr>
          <w:color w:val="000000"/>
        </w:rPr>
        <w:t>ondition</w:t>
      </w:r>
      <w:r w:rsidR="000F6873">
        <w:rPr>
          <w:color w:val="000000"/>
        </w:rPr>
        <w:t>;</w:t>
      </w:r>
      <w:r>
        <w:rPr>
          <w:color w:val="000000"/>
        </w:rPr>
        <w:t xml:space="preserve"> Country of </w:t>
      </w:r>
      <w:r w:rsidR="0099090A">
        <w:rPr>
          <w:color w:val="000000"/>
        </w:rPr>
        <w:t>b</w:t>
      </w:r>
      <w:r>
        <w:rPr>
          <w:color w:val="000000"/>
        </w:rPr>
        <w:t>irth</w:t>
      </w:r>
      <w:r w:rsidR="000F6873">
        <w:rPr>
          <w:color w:val="000000"/>
        </w:rPr>
        <w:t>;</w:t>
      </w:r>
      <w:r>
        <w:rPr>
          <w:color w:val="000000"/>
        </w:rPr>
        <w:t xml:space="preserve"> Country of usual residence</w:t>
      </w:r>
      <w:r w:rsidR="000F6873">
        <w:rPr>
          <w:color w:val="000000"/>
        </w:rPr>
        <w:t>;</w:t>
      </w:r>
      <w:r>
        <w:rPr>
          <w:color w:val="000000"/>
        </w:rPr>
        <w:t xml:space="preserve"> Binational reporting criteria</w:t>
      </w:r>
      <w:r w:rsidR="000F6873">
        <w:rPr>
          <w:color w:val="000000"/>
        </w:rPr>
        <w:t>;</w:t>
      </w:r>
      <w:r>
        <w:rPr>
          <w:color w:val="000000"/>
        </w:rPr>
        <w:t xml:space="preserve"> Country of exposure</w:t>
      </w:r>
      <w:r w:rsidR="000F6873">
        <w:rPr>
          <w:color w:val="000000"/>
        </w:rPr>
        <w:t>;</w:t>
      </w:r>
      <w:r>
        <w:rPr>
          <w:color w:val="000000"/>
        </w:rPr>
        <w:t xml:space="preserve"> State or providence of exposure</w:t>
      </w:r>
      <w:r w:rsidR="000F6873">
        <w:rPr>
          <w:color w:val="000000"/>
        </w:rPr>
        <w:t>;</w:t>
      </w:r>
      <w:r>
        <w:rPr>
          <w:color w:val="000000"/>
        </w:rPr>
        <w:t xml:space="preserve"> City of exposure</w:t>
      </w:r>
      <w:r w:rsidR="000F6873">
        <w:rPr>
          <w:color w:val="000000"/>
        </w:rPr>
        <w:t>;</w:t>
      </w:r>
      <w:r>
        <w:rPr>
          <w:color w:val="000000"/>
        </w:rPr>
        <w:t xml:space="preserve"> County of exposure</w:t>
      </w:r>
      <w:r w:rsidR="000F6873">
        <w:rPr>
          <w:color w:val="000000"/>
        </w:rPr>
        <w:t xml:space="preserve">; </w:t>
      </w:r>
      <w:r w:rsidR="00996AB1">
        <w:rPr>
          <w:color w:val="000000"/>
        </w:rPr>
        <w:t>Case count</w:t>
      </w:r>
      <w:r w:rsidR="00201949">
        <w:rPr>
          <w:color w:val="000000"/>
        </w:rPr>
        <w:t>; Comment</w:t>
      </w:r>
      <w:r w:rsidR="0033130C">
        <w:rPr>
          <w:color w:val="000000"/>
        </w:rPr>
        <w:t xml:space="preserve">; </w:t>
      </w:r>
      <w:r w:rsidR="000F6873">
        <w:rPr>
          <w:color w:val="000000"/>
        </w:rPr>
        <w:t xml:space="preserve">and the </w:t>
      </w:r>
      <w:r w:rsidR="008610F7">
        <w:rPr>
          <w:color w:val="000000"/>
        </w:rPr>
        <w:t xml:space="preserve">Name and Phone number of </w:t>
      </w:r>
      <w:r w:rsidR="000F6873">
        <w:rPr>
          <w:color w:val="000000"/>
        </w:rPr>
        <w:t xml:space="preserve"> the person submitting the case information to CDC</w:t>
      </w:r>
      <w:r w:rsidR="001B1902">
        <w:rPr>
          <w:color w:val="000000"/>
        </w:rPr>
        <w:t xml:space="preserve"> </w:t>
      </w:r>
      <w:r w:rsidR="00960861">
        <w:rPr>
          <w:color w:val="000000"/>
        </w:rPr>
        <w:t xml:space="preserve">Descriptions and value sets for the data elements also are identified in </w:t>
      </w:r>
      <w:r w:rsidR="00241E29">
        <w:rPr>
          <w:color w:val="000000"/>
        </w:rPr>
        <w:t>an</w:t>
      </w:r>
      <w:r w:rsidR="00960861">
        <w:rPr>
          <w:color w:val="000000"/>
        </w:rPr>
        <w:t xml:space="preserve"> attachment</w:t>
      </w:r>
      <w:r w:rsidR="00241E29">
        <w:rPr>
          <w:color w:val="000000"/>
        </w:rPr>
        <w:t xml:space="preserve"> </w:t>
      </w:r>
      <w:r w:rsidR="0053115D">
        <w:rPr>
          <w:b/>
          <w:color w:val="000000"/>
        </w:rPr>
        <w:t>[At</w:t>
      </w:r>
      <w:r w:rsidR="00960861" w:rsidRPr="00124FF2">
        <w:rPr>
          <w:b/>
          <w:color w:val="000000"/>
        </w:rPr>
        <w:t>tachment</w:t>
      </w:r>
      <w:r w:rsidR="0053115D">
        <w:rPr>
          <w:b/>
          <w:color w:val="000000"/>
        </w:rPr>
        <w:t xml:space="preserve"> 4. </w:t>
      </w:r>
      <w:r w:rsidR="00960861" w:rsidRPr="00124FF2">
        <w:rPr>
          <w:b/>
          <w:color w:val="000000"/>
        </w:rPr>
        <w:t>Core Data].</w:t>
      </w:r>
    </w:p>
    <w:p w:rsidR="00283CFA" w:rsidRPr="00124FF2" w:rsidRDefault="00283CFA" w:rsidP="00283CFA">
      <w:pPr>
        <w:spacing w:line="360" w:lineRule="auto"/>
        <w:rPr>
          <w:color w:val="000000"/>
        </w:rPr>
      </w:pPr>
    </w:p>
    <w:p w:rsidR="00C84BF5" w:rsidRPr="00466BE6" w:rsidRDefault="00466BE6" w:rsidP="00283CFA">
      <w:pPr>
        <w:spacing w:line="360" w:lineRule="auto"/>
        <w:rPr>
          <w:b/>
          <w:color w:val="FF0000"/>
        </w:rPr>
      </w:pPr>
      <w:r>
        <w:rPr>
          <w:color w:val="000000"/>
        </w:rPr>
        <w:t xml:space="preserve">For many conditions submitted to CDC, participating public health departments also submit data elements which are specific to </w:t>
      </w:r>
      <w:r w:rsidR="005204E8">
        <w:rPr>
          <w:color w:val="000000"/>
        </w:rPr>
        <w:t>each</w:t>
      </w:r>
      <w:r>
        <w:rPr>
          <w:color w:val="000000"/>
        </w:rPr>
        <w:t xml:space="preserve"> condition. With the </w:t>
      </w:r>
      <w:r w:rsidR="00017559">
        <w:rPr>
          <w:color w:val="000000"/>
        </w:rPr>
        <w:t>coordination with other CDC programs conducting surveillance on notifiable conditions</w:t>
      </w:r>
      <w:r>
        <w:rPr>
          <w:color w:val="000000"/>
        </w:rPr>
        <w:t>, as noted above, t</w:t>
      </w:r>
      <w:r w:rsidR="00DD4E30">
        <w:rPr>
          <w:color w:val="000000"/>
        </w:rPr>
        <w:t>his application includes</w:t>
      </w:r>
      <w:r w:rsidR="00DD4E30" w:rsidRPr="009C2FE1">
        <w:rPr>
          <w:color w:val="000000"/>
        </w:rPr>
        <w:t xml:space="preserve"> </w:t>
      </w:r>
      <w:r w:rsidR="00DD4E30">
        <w:rPr>
          <w:color w:val="000000"/>
        </w:rPr>
        <w:t xml:space="preserve">disease-specific tables </w:t>
      </w:r>
      <w:r w:rsidR="00D859F6">
        <w:rPr>
          <w:color w:val="000000"/>
        </w:rPr>
        <w:t xml:space="preserve">for </w:t>
      </w:r>
      <w:r w:rsidR="00B34895">
        <w:rPr>
          <w:color w:val="000000"/>
        </w:rPr>
        <w:t>68</w:t>
      </w:r>
      <w:r w:rsidR="00D859F6">
        <w:rPr>
          <w:color w:val="000000"/>
        </w:rPr>
        <w:t xml:space="preserve"> diseases</w:t>
      </w:r>
      <w:r w:rsidRPr="00466BE6">
        <w:rPr>
          <w:b/>
          <w:color w:val="000000"/>
        </w:rPr>
        <w:t xml:space="preserve"> [</w:t>
      </w:r>
      <w:r w:rsidR="005C2165">
        <w:rPr>
          <w:b/>
          <w:color w:val="000000"/>
        </w:rPr>
        <w:t xml:space="preserve">Attachment 5. </w:t>
      </w:r>
      <w:r w:rsidRPr="00466BE6">
        <w:rPr>
          <w:b/>
          <w:color w:val="000000"/>
        </w:rPr>
        <w:t>Disease</w:t>
      </w:r>
      <w:r w:rsidR="005C2165">
        <w:rPr>
          <w:b/>
          <w:color w:val="000000"/>
        </w:rPr>
        <w:t>-</w:t>
      </w:r>
      <w:r w:rsidRPr="00466BE6">
        <w:rPr>
          <w:b/>
          <w:color w:val="000000"/>
        </w:rPr>
        <w:t>Specific Data]</w:t>
      </w:r>
      <w:r>
        <w:rPr>
          <w:color w:val="000000"/>
        </w:rPr>
        <w:t>. The 2010 NNDSS OMB application</w:t>
      </w:r>
      <w:r w:rsidR="002C6709">
        <w:rPr>
          <w:color w:val="000000"/>
        </w:rPr>
        <w:t xml:space="preserve"> </w:t>
      </w:r>
      <w:r w:rsidR="0099090A">
        <w:rPr>
          <w:color w:val="000000"/>
        </w:rPr>
        <w:t xml:space="preserve">included </w:t>
      </w:r>
      <w:r w:rsidR="00D859F6">
        <w:rPr>
          <w:color w:val="000000"/>
        </w:rPr>
        <w:t>disease-specific data elements for</w:t>
      </w:r>
      <w:r w:rsidR="00D859F6" w:rsidRPr="00D859F6">
        <w:t xml:space="preserve"> </w:t>
      </w:r>
      <w:r w:rsidR="00B34895">
        <w:t xml:space="preserve">only 14 of those conditions: </w:t>
      </w:r>
      <w:r w:rsidR="00D859F6" w:rsidRPr="00D859F6">
        <w:rPr>
          <w:color w:val="000000"/>
        </w:rPr>
        <w:t xml:space="preserve">acute viral hepatitis (A, B, C), meningococcal disease, </w:t>
      </w:r>
      <w:r w:rsidR="00D859F6" w:rsidRPr="00D12144">
        <w:rPr>
          <w:i/>
          <w:color w:val="000000"/>
        </w:rPr>
        <w:t>Haemophilus infuenzae</w:t>
      </w:r>
      <w:r w:rsidR="00D859F6" w:rsidRPr="00D859F6">
        <w:rPr>
          <w:color w:val="000000"/>
        </w:rPr>
        <w:t xml:space="preserve">, bacterial meningitis other, listeriosis, </w:t>
      </w:r>
      <w:r w:rsidR="00E56050" w:rsidRPr="00D859F6">
        <w:rPr>
          <w:color w:val="000000"/>
        </w:rPr>
        <w:t>Lyme</w:t>
      </w:r>
      <w:r w:rsidR="00D859F6" w:rsidRPr="00D859F6">
        <w:rPr>
          <w:color w:val="000000"/>
        </w:rPr>
        <w:t xml:space="preserve"> disease, measles, mumps, rubella, pertussis, tetanus</w:t>
      </w:r>
      <w:r w:rsidR="00B34895">
        <w:rPr>
          <w:color w:val="000000"/>
        </w:rPr>
        <w:t xml:space="preserve"> and varicella. </w:t>
      </w:r>
      <w:r w:rsidR="00DD4E30">
        <w:rPr>
          <w:color w:val="000000"/>
        </w:rPr>
        <w:t xml:space="preserve">The </w:t>
      </w:r>
      <w:r w:rsidR="007C3321" w:rsidRPr="00124FF2">
        <w:rPr>
          <w:color w:val="000000"/>
        </w:rPr>
        <w:t xml:space="preserve">disease-specific data </w:t>
      </w:r>
      <w:r w:rsidR="00DD4E30">
        <w:rPr>
          <w:color w:val="000000"/>
        </w:rPr>
        <w:t xml:space="preserve">elements submitted by participating health departments </w:t>
      </w:r>
      <w:r w:rsidR="007C3321" w:rsidRPr="00124FF2">
        <w:rPr>
          <w:color w:val="000000"/>
        </w:rPr>
        <w:t>var</w:t>
      </w:r>
      <w:r w:rsidR="00DD4E30">
        <w:rPr>
          <w:color w:val="000000"/>
        </w:rPr>
        <w:t>y</w:t>
      </w:r>
      <w:r w:rsidR="007C3321" w:rsidRPr="00124FF2">
        <w:rPr>
          <w:color w:val="000000"/>
        </w:rPr>
        <w:t xml:space="preserve"> by disease and may include signs and symptoms of the </w:t>
      </w:r>
      <w:r w:rsidR="000B082C" w:rsidRPr="00124FF2">
        <w:rPr>
          <w:color w:val="000000"/>
        </w:rPr>
        <w:t>condition</w:t>
      </w:r>
      <w:r w:rsidR="007C3321" w:rsidRPr="00124FF2">
        <w:rPr>
          <w:color w:val="000000"/>
        </w:rPr>
        <w:t xml:space="preserve">, species of animal from </w:t>
      </w:r>
      <w:r w:rsidR="007C3321" w:rsidRPr="00124FF2">
        <w:rPr>
          <w:color w:val="000000"/>
        </w:rPr>
        <w:lastRenderedPageBreak/>
        <w:t xml:space="preserve">which a disease may have been transmitted, additional diagnostic </w:t>
      </w:r>
      <w:r w:rsidR="0089558C">
        <w:rPr>
          <w:color w:val="000000"/>
        </w:rPr>
        <w:t>data</w:t>
      </w:r>
      <w:r w:rsidR="007C3321" w:rsidRPr="00124FF2">
        <w:rPr>
          <w:color w:val="000000"/>
        </w:rPr>
        <w:t xml:space="preserve">, treatment </w:t>
      </w:r>
      <w:r w:rsidR="0089558C">
        <w:rPr>
          <w:color w:val="000000"/>
        </w:rPr>
        <w:t>data</w:t>
      </w:r>
      <w:r w:rsidR="007C3321" w:rsidRPr="00124FF2">
        <w:rPr>
          <w:color w:val="000000"/>
        </w:rPr>
        <w:t xml:space="preserve">, vaccination history, laboratory tests and results, and risk factors for disease acquisition (such as travel history, </w:t>
      </w:r>
      <w:r w:rsidR="00232CFF" w:rsidRPr="00124FF2">
        <w:rPr>
          <w:color w:val="000000"/>
        </w:rPr>
        <w:t>food consumption</w:t>
      </w:r>
      <w:r w:rsidR="003011C1" w:rsidRPr="00124FF2">
        <w:rPr>
          <w:color w:val="000000"/>
        </w:rPr>
        <w:t xml:space="preserve"> history</w:t>
      </w:r>
      <w:r w:rsidR="00232CFF" w:rsidRPr="00124FF2">
        <w:rPr>
          <w:color w:val="000000"/>
        </w:rPr>
        <w:t xml:space="preserve">, </w:t>
      </w:r>
      <w:r w:rsidR="007C3321" w:rsidRPr="00124FF2">
        <w:rPr>
          <w:color w:val="000000"/>
        </w:rPr>
        <w:t>personal behaviors, transmission settings</w:t>
      </w:r>
      <w:r w:rsidR="00ED2F0C">
        <w:rPr>
          <w:color w:val="000000"/>
        </w:rPr>
        <w:t xml:space="preserve"> and</w:t>
      </w:r>
      <w:r w:rsidR="007C3321" w:rsidRPr="00124FF2">
        <w:rPr>
          <w:color w:val="000000"/>
        </w:rPr>
        <w:t xml:space="preserve"> co-morbidities</w:t>
      </w:r>
      <w:r>
        <w:rPr>
          <w:color w:val="000000"/>
        </w:rPr>
        <w:t>)</w:t>
      </w:r>
      <w:r w:rsidR="007C3321" w:rsidRPr="00124FF2">
        <w:rPr>
          <w:b/>
          <w:color w:val="000000"/>
        </w:rPr>
        <w:t>.</w:t>
      </w:r>
      <w:r w:rsidR="00C84BF5">
        <w:rPr>
          <w:b/>
          <w:color w:val="000000"/>
        </w:rPr>
        <w:t xml:space="preserve"> </w:t>
      </w:r>
      <w:r w:rsidR="00C84BF5">
        <w:rPr>
          <w:color w:val="000000"/>
        </w:rPr>
        <w:t xml:space="preserve">Descriptions and value sets for the data elements are identified in </w:t>
      </w:r>
      <w:r w:rsidR="000711C1">
        <w:rPr>
          <w:color w:val="000000"/>
        </w:rPr>
        <w:t>an</w:t>
      </w:r>
      <w:r>
        <w:rPr>
          <w:color w:val="000000"/>
        </w:rPr>
        <w:t xml:space="preserve"> attachment</w:t>
      </w:r>
      <w:r w:rsidR="00833EED">
        <w:rPr>
          <w:b/>
          <w:color w:val="000000"/>
        </w:rPr>
        <w:t xml:space="preserve"> </w:t>
      </w:r>
      <w:r w:rsidR="00DD4E30" w:rsidRPr="00466BE6">
        <w:rPr>
          <w:b/>
          <w:color w:val="000000"/>
        </w:rPr>
        <w:t>[</w:t>
      </w:r>
      <w:r w:rsidR="000711C1">
        <w:rPr>
          <w:b/>
          <w:color w:val="000000"/>
        </w:rPr>
        <w:t xml:space="preserve">Attachment 5. </w:t>
      </w:r>
      <w:r w:rsidR="00DD4E30" w:rsidRPr="00466BE6">
        <w:rPr>
          <w:b/>
          <w:color w:val="000000"/>
        </w:rPr>
        <w:t>Disease</w:t>
      </w:r>
      <w:r w:rsidR="00833EED">
        <w:rPr>
          <w:b/>
          <w:color w:val="000000"/>
        </w:rPr>
        <w:t>-</w:t>
      </w:r>
      <w:r w:rsidR="00DD4E30" w:rsidRPr="00466BE6">
        <w:rPr>
          <w:b/>
          <w:color w:val="000000"/>
        </w:rPr>
        <w:t>Specific Data].</w:t>
      </w:r>
    </w:p>
    <w:p w:rsidR="007C3321" w:rsidRDefault="007C3321" w:rsidP="000E23CB">
      <w:pPr>
        <w:spacing w:line="360" w:lineRule="auto"/>
        <w:rPr>
          <w:color w:val="000000"/>
        </w:rPr>
      </w:pPr>
    </w:p>
    <w:p w:rsidR="00826255" w:rsidRPr="00124FF2" w:rsidRDefault="001C0055" w:rsidP="000E23CB">
      <w:pPr>
        <w:spacing w:line="360" w:lineRule="auto"/>
        <w:rPr>
          <w:color w:val="000000"/>
        </w:rPr>
      </w:pPr>
      <w:r w:rsidRPr="00E67228">
        <w:t xml:space="preserve">Four </w:t>
      </w:r>
      <w:r w:rsidR="00D342B1" w:rsidRPr="00E67228">
        <w:t>personal identifiers are submitted</w:t>
      </w:r>
      <w:r w:rsidR="009F715E" w:rsidRPr="00E67228">
        <w:t xml:space="preserve"> to NNDSS</w:t>
      </w:r>
      <w:r w:rsidR="00D342B1" w:rsidRPr="00E67228">
        <w:t xml:space="preserve">. </w:t>
      </w:r>
      <w:r w:rsidR="000F6873" w:rsidRPr="00E67228">
        <w:t xml:space="preserve">For all conditions (as indicated in the core data table), the name of the person submitting the case report to CDC and the date of birth (month, day, </w:t>
      </w:r>
      <w:r w:rsidR="00E56050" w:rsidRPr="00E67228">
        <w:t>and year</w:t>
      </w:r>
      <w:r w:rsidR="000F6873" w:rsidRPr="00E67228">
        <w:t xml:space="preserve">) of the </w:t>
      </w:r>
      <w:r w:rsidR="0099090A" w:rsidRPr="00E67228">
        <w:t>person with the condition</w:t>
      </w:r>
      <w:r w:rsidR="000F6873" w:rsidRPr="00E67228">
        <w:t xml:space="preserve"> are submitted</w:t>
      </w:r>
      <w:r w:rsidRPr="00E67228">
        <w:t>. T</w:t>
      </w:r>
      <w:r w:rsidR="00826255" w:rsidRPr="00E67228">
        <w:t xml:space="preserve">he Malaria program </w:t>
      </w:r>
      <w:r w:rsidR="00716DBE" w:rsidRPr="00E67228">
        <w:t>accept</w:t>
      </w:r>
      <w:r w:rsidR="00E62563" w:rsidRPr="00E67228">
        <w:t>s</w:t>
      </w:r>
      <w:r w:rsidR="00716DBE" w:rsidRPr="00E67228">
        <w:t xml:space="preserve"> reporting </w:t>
      </w:r>
      <w:r w:rsidR="00826255" w:rsidRPr="00E67228">
        <w:t xml:space="preserve">of the </w:t>
      </w:r>
      <w:r w:rsidR="00716DBE" w:rsidRPr="00E67228">
        <w:t xml:space="preserve">name of the </w:t>
      </w:r>
      <w:r w:rsidR="00826255" w:rsidRPr="00E67228">
        <w:t>individual diagnosed with malaria</w:t>
      </w:r>
      <w:r w:rsidRPr="00E67228">
        <w:t xml:space="preserve"> </w:t>
      </w:r>
      <w:r w:rsidR="00716DBE" w:rsidRPr="00E67228">
        <w:t>in order to link with other information and to avoid duplica</w:t>
      </w:r>
      <w:r w:rsidR="00E62563" w:rsidRPr="00E67228">
        <w:t>tion of records. S</w:t>
      </w:r>
      <w:r w:rsidRPr="00E67228">
        <w:t xml:space="preserve">ome </w:t>
      </w:r>
      <w:r w:rsidR="00E62563" w:rsidRPr="00E67228">
        <w:t xml:space="preserve">OID and CGH </w:t>
      </w:r>
      <w:r w:rsidRPr="00E67228">
        <w:t>programs collect medical identification numbers</w:t>
      </w:r>
      <w:r w:rsidR="004F7E62">
        <w:t>, e.g., hospital identification number</w:t>
      </w:r>
      <w:r w:rsidR="00826255" w:rsidRPr="00E67228">
        <w:t xml:space="preserve">. </w:t>
      </w:r>
      <w:r w:rsidR="007C3321" w:rsidRPr="00E67228">
        <w:t xml:space="preserve">In </w:t>
      </w:r>
      <w:r w:rsidR="007C3321" w:rsidRPr="00124FF2">
        <w:rPr>
          <w:color w:val="000000"/>
        </w:rPr>
        <w:t xml:space="preserve">addition, a unique Case ID for the specific disease or condition for a given patient and a Subject ID for that patient are submitted to NNDSS. Some combinations of submitted data elements, including date of birth, date of death (month/day/year), sex, ethnic group, race, state, county, and ZIP code could potentially be used to identify individuals.  </w:t>
      </w:r>
    </w:p>
    <w:p w:rsidR="007C3321" w:rsidRPr="00124FF2" w:rsidRDefault="007C3321" w:rsidP="000E23CB">
      <w:pPr>
        <w:spacing w:line="360" w:lineRule="auto"/>
        <w:rPr>
          <w:color w:val="000000"/>
        </w:rPr>
      </w:pPr>
    </w:p>
    <w:p w:rsidR="007C3321" w:rsidRPr="00124FF2" w:rsidRDefault="007C3321" w:rsidP="000E23CB">
      <w:pPr>
        <w:spacing w:line="360" w:lineRule="auto"/>
        <w:rPr>
          <w:color w:val="1F497D"/>
        </w:rPr>
      </w:pPr>
      <w:r w:rsidRPr="00124FF2">
        <w:rPr>
          <w:color w:val="000000"/>
        </w:rPr>
        <w:t>However, there are security measures and policies in place that protect the data and minimize the possibility of identifying individuals using NNDSS data (</w:t>
      </w:r>
      <w:r w:rsidRPr="00124FF2">
        <w:rPr>
          <w:b/>
          <w:color w:val="000000"/>
        </w:rPr>
        <w:t>Section</w:t>
      </w:r>
      <w:r w:rsidR="00686FE0">
        <w:rPr>
          <w:b/>
          <w:color w:val="000000"/>
        </w:rPr>
        <w:t xml:space="preserve"> A.</w:t>
      </w:r>
      <w:r w:rsidR="007B5215">
        <w:rPr>
          <w:b/>
          <w:color w:val="000000"/>
        </w:rPr>
        <w:t>10</w:t>
      </w:r>
      <w:r w:rsidRPr="00124FF2">
        <w:rPr>
          <w:b/>
          <w:color w:val="000000"/>
        </w:rPr>
        <w:t>, below</w:t>
      </w:r>
      <w:r w:rsidRPr="00124FF2">
        <w:rPr>
          <w:color w:val="000000"/>
        </w:rPr>
        <w:t>)</w:t>
      </w:r>
      <w:r w:rsidRPr="00124FF2">
        <w:rPr>
          <w:color w:val="1F497D"/>
        </w:rPr>
        <w:t>.</w:t>
      </w:r>
    </w:p>
    <w:p w:rsidR="00A5611E" w:rsidRPr="00124FF2" w:rsidRDefault="00A5611E" w:rsidP="000E23CB">
      <w:pPr>
        <w:spacing w:line="360" w:lineRule="auto"/>
        <w:rPr>
          <w:color w:val="1F497D"/>
        </w:rPr>
      </w:pPr>
    </w:p>
    <w:p w:rsidR="009135CB" w:rsidRPr="00124FF2" w:rsidRDefault="009135CB" w:rsidP="000E23CB">
      <w:pPr>
        <w:spacing w:line="360" w:lineRule="auto"/>
        <w:rPr>
          <w:color w:val="000000"/>
        </w:rPr>
      </w:pPr>
      <w:r w:rsidRPr="00124FF2">
        <w:rPr>
          <w:b/>
          <w:color w:val="000000"/>
        </w:rPr>
        <w:t xml:space="preserve">A.2. </w:t>
      </w:r>
      <w:r w:rsidRPr="00124FF2">
        <w:rPr>
          <w:b/>
          <w:color w:val="000000"/>
          <w:u w:val="single"/>
        </w:rPr>
        <w:t>Purpose and Use of Information</w:t>
      </w:r>
      <w:r w:rsidR="008C76E9">
        <w:rPr>
          <w:b/>
          <w:color w:val="000000"/>
          <w:u w:val="single"/>
        </w:rPr>
        <w:t xml:space="preserve"> Collection</w:t>
      </w:r>
    </w:p>
    <w:p w:rsidR="009135CB" w:rsidRPr="00124FF2" w:rsidRDefault="009135CB" w:rsidP="000E23CB">
      <w:pPr>
        <w:spacing w:line="360" w:lineRule="auto"/>
        <w:rPr>
          <w:color w:val="000000"/>
        </w:rPr>
      </w:pPr>
    </w:p>
    <w:p w:rsidR="00BB45AE" w:rsidRPr="00124FF2" w:rsidRDefault="0097715D" w:rsidP="000E23CB">
      <w:pPr>
        <w:spacing w:line="360" w:lineRule="auto"/>
      </w:pPr>
      <w:r w:rsidRPr="00124FF2">
        <w:rPr>
          <w:color w:val="000000"/>
        </w:rPr>
        <w:t xml:space="preserve">As </w:t>
      </w:r>
      <w:r w:rsidR="00C34D31" w:rsidRPr="00124FF2">
        <w:rPr>
          <w:color w:val="000000"/>
        </w:rPr>
        <w:t>described in</w:t>
      </w:r>
      <w:r w:rsidRPr="00124FF2">
        <w:rPr>
          <w:color w:val="000000"/>
        </w:rPr>
        <w:t xml:space="preserve"> section A</w:t>
      </w:r>
      <w:r w:rsidR="00C34D31" w:rsidRPr="00124FF2">
        <w:rPr>
          <w:color w:val="000000"/>
        </w:rPr>
        <w:t>.</w:t>
      </w:r>
      <w:r w:rsidRPr="00124FF2">
        <w:rPr>
          <w:color w:val="000000"/>
        </w:rPr>
        <w:t>1</w:t>
      </w:r>
      <w:r w:rsidR="00C34D31" w:rsidRPr="00124FF2">
        <w:rPr>
          <w:color w:val="000000"/>
        </w:rPr>
        <w:t>.,</w:t>
      </w:r>
      <w:r w:rsidRPr="00124FF2">
        <w:rPr>
          <w:color w:val="000000"/>
        </w:rPr>
        <w:t xml:space="preserve"> NNDSS </w:t>
      </w:r>
      <w:r w:rsidRPr="00124FF2">
        <w:t xml:space="preserve">enables all levels of public health (local, state, territorial, federal and international) to monitor the occurrence and spread of more </w:t>
      </w:r>
      <w:r w:rsidR="00F56113">
        <w:t xml:space="preserve">82 nationally </w:t>
      </w:r>
      <w:r w:rsidRPr="00124FF2">
        <w:t>diseases and conditions and to plan and evaluate public health activities to prevent and control those diseases/conditions</w:t>
      </w:r>
      <w:r w:rsidR="00011BDE" w:rsidRPr="00124FF2">
        <w:t xml:space="preserve">. </w:t>
      </w:r>
    </w:p>
    <w:p w:rsidR="00BB45AE" w:rsidRPr="00124FF2" w:rsidRDefault="00BB45AE" w:rsidP="000E23CB">
      <w:pPr>
        <w:spacing w:line="360" w:lineRule="auto"/>
      </w:pPr>
    </w:p>
    <w:p w:rsidR="001E484B" w:rsidRPr="001E484B" w:rsidRDefault="00BB45AE" w:rsidP="00CE7E48">
      <w:pPr>
        <w:spacing w:line="360" w:lineRule="auto"/>
        <w:rPr>
          <w:color w:val="C00000"/>
        </w:rPr>
      </w:pPr>
      <w:r w:rsidRPr="00415FBE">
        <w:rPr>
          <w:rFonts w:eastAsia="Calibri"/>
        </w:rPr>
        <w:t xml:space="preserve">Once </w:t>
      </w:r>
      <w:r w:rsidR="00B8383F" w:rsidRPr="00415FBE">
        <w:rPr>
          <w:rFonts w:eastAsia="Calibri"/>
        </w:rPr>
        <w:t xml:space="preserve">case </w:t>
      </w:r>
      <w:r w:rsidR="00340948" w:rsidRPr="00415FBE">
        <w:rPr>
          <w:rFonts w:eastAsia="Calibri"/>
        </w:rPr>
        <w:t>notification</w:t>
      </w:r>
      <w:r w:rsidR="00B8383F" w:rsidRPr="00415FBE">
        <w:rPr>
          <w:rFonts w:eastAsia="Calibri"/>
        </w:rPr>
        <w:t xml:space="preserve"> </w:t>
      </w:r>
      <w:r w:rsidRPr="00415FBE">
        <w:rPr>
          <w:rFonts w:eastAsia="Calibri"/>
        </w:rPr>
        <w:t xml:space="preserve">data </w:t>
      </w:r>
      <w:r w:rsidR="00B8383F" w:rsidRPr="00415FBE">
        <w:rPr>
          <w:rFonts w:eastAsia="Calibri"/>
        </w:rPr>
        <w:t>a</w:t>
      </w:r>
      <w:r w:rsidRPr="00415FBE">
        <w:rPr>
          <w:rFonts w:eastAsia="Calibri"/>
        </w:rPr>
        <w:t xml:space="preserve">re </w:t>
      </w:r>
      <w:r w:rsidR="00B8383F" w:rsidRPr="00415FBE">
        <w:rPr>
          <w:rFonts w:eastAsia="Calibri"/>
        </w:rPr>
        <w:t xml:space="preserve">received by </w:t>
      </w:r>
      <w:r w:rsidR="00C81A93" w:rsidRPr="00415FBE">
        <w:rPr>
          <w:rFonts w:eastAsia="Calibri"/>
        </w:rPr>
        <w:t>NNDSS</w:t>
      </w:r>
      <w:r w:rsidRPr="00415FBE">
        <w:rPr>
          <w:rFonts w:eastAsia="Calibri"/>
        </w:rPr>
        <w:t xml:space="preserve">, </w:t>
      </w:r>
      <w:r w:rsidR="00C81A93" w:rsidRPr="00415FBE">
        <w:rPr>
          <w:rFonts w:eastAsia="Calibri"/>
        </w:rPr>
        <w:t xml:space="preserve">CDC </w:t>
      </w:r>
      <w:r w:rsidRPr="00415FBE">
        <w:rPr>
          <w:rFonts w:eastAsia="Calibri"/>
        </w:rPr>
        <w:t>data analysts conduct quality control assessments</w:t>
      </w:r>
      <w:r w:rsidR="00CE7E48" w:rsidRPr="00415FBE">
        <w:rPr>
          <w:rFonts w:eastAsia="Calibri"/>
        </w:rPr>
        <w:t>, including evaluating the information submitted against an established case definition. Analysts</w:t>
      </w:r>
      <w:r w:rsidRPr="00415FBE">
        <w:rPr>
          <w:rFonts w:eastAsia="Calibri"/>
        </w:rPr>
        <w:t xml:space="preserve"> standardize the data and then share the data with CDC Program subject matter experts who have responsibility for prevention and control of those diseases. </w:t>
      </w:r>
      <w:r w:rsidR="007F3BD1" w:rsidRPr="00415FBE">
        <w:t xml:space="preserve">Data are </w:t>
      </w:r>
      <w:r w:rsidR="007F3BD1" w:rsidRPr="00415FBE">
        <w:lastRenderedPageBreak/>
        <w:t>used by CDC subject matter experts to</w:t>
      </w:r>
      <w:r w:rsidR="0099090A" w:rsidRPr="00415FBE">
        <w:t xml:space="preserve"> monitor the occurrence of the conditions</w:t>
      </w:r>
      <w:r w:rsidR="005204E8" w:rsidRPr="00415FBE">
        <w:t>,</w:t>
      </w:r>
      <w:r w:rsidR="007F3BD1" w:rsidRPr="00415FBE">
        <w:t xml:space="preserve"> identify populations or geographic areas at high risk, plan prevention and control programs and policies, allocate resources appropriately, and evaluate the effectiveness of programs and policies.</w:t>
      </w:r>
      <w:r w:rsidR="00C30217" w:rsidRPr="00415FBE">
        <w:t xml:space="preserve"> Information is also shared with jurisdictions.</w:t>
      </w:r>
      <w:r w:rsidR="007F3BD1" w:rsidRPr="00415FBE">
        <w:t xml:space="preserve"> </w:t>
      </w:r>
      <w:r w:rsidR="001E484B" w:rsidRPr="00415FBE">
        <w:t xml:space="preserve">In addition, information is collected that allows </w:t>
      </w:r>
      <w:r w:rsidR="003A311B" w:rsidRPr="00415FBE">
        <w:t>OID</w:t>
      </w:r>
      <w:r w:rsidR="00E15800">
        <w:t xml:space="preserve"> and </w:t>
      </w:r>
      <w:r w:rsidR="003A311B" w:rsidRPr="00415FBE">
        <w:t xml:space="preserve">CGH to </w:t>
      </w:r>
      <w:r w:rsidR="001E484B" w:rsidRPr="00415FBE">
        <w:t>trac</w:t>
      </w:r>
      <w:r w:rsidR="003A311B" w:rsidRPr="00415FBE">
        <w:t>e</w:t>
      </w:r>
      <w:r w:rsidR="001E484B" w:rsidRPr="00415FBE">
        <w:t xml:space="preserve"> cases</w:t>
      </w:r>
      <w:r w:rsidR="00375FA2">
        <w:t xml:space="preserve"> and </w:t>
      </w:r>
      <w:r w:rsidR="001E484B" w:rsidRPr="00415FBE">
        <w:t xml:space="preserve"> </w:t>
      </w:r>
      <w:r w:rsidR="00375FA2">
        <w:t xml:space="preserve">their </w:t>
      </w:r>
      <w:r w:rsidR="001E484B" w:rsidRPr="00415FBE">
        <w:t>contacts</w:t>
      </w:r>
      <w:r w:rsidR="00375FA2">
        <w:t xml:space="preserve"> and their </w:t>
      </w:r>
      <w:r w:rsidR="001E484B" w:rsidRPr="00415FBE">
        <w:t xml:space="preserve"> travel</w:t>
      </w:r>
      <w:r w:rsidR="00375FA2">
        <w:t xml:space="preserve"> histories </w:t>
      </w:r>
      <w:r w:rsidR="001E484B" w:rsidRPr="00415FBE">
        <w:t xml:space="preserve">, or other linkages necessary to </w:t>
      </w:r>
      <w:r w:rsidR="00E15800">
        <w:t>describe and</w:t>
      </w:r>
      <w:r w:rsidR="00375FA2">
        <w:t xml:space="preserve"> manage</w:t>
      </w:r>
      <w:r w:rsidR="001E484B" w:rsidRPr="00415FBE">
        <w:t xml:space="preserve"> outbreak</w:t>
      </w:r>
      <w:r w:rsidR="00375FA2">
        <w:t>s or conduct public health follow-up to minimize the spread of disease</w:t>
      </w:r>
      <w:r w:rsidR="001E484B" w:rsidRPr="00415FBE">
        <w:t xml:space="preserve">. </w:t>
      </w:r>
    </w:p>
    <w:p w:rsidR="001E484B" w:rsidRPr="00124FF2" w:rsidRDefault="001E484B" w:rsidP="000E23CB">
      <w:pPr>
        <w:spacing w:line="360" w:lineRule="auto"/>
      </w:pPr>
    </w:p>
    <w:p w:rsidR="00C34D31" w:rsidRDefault="007E0969" w:rsidP="000E23CB">
      <w:pPr>
        <w:spacing w:line="360" w:lineRule="auto"/>
        <w:contextualSpacing/>
      </w:pPr>
      <w:r w:rsidRPr="00124FF2">
        <w:rPr>
          <w:color w:val="000000"/>
        </w:rPr>
        <w:t xml:space="preserve">CDC uses </w:t>
      </w:r>
      <w:r w:rsidR="005D31A5" w:rsidRPr="00124FF2">
        <w:rPr>
          <w:color w:val="000000"/>
        </w:rPr>
        <w:t xml:space="preserve">NNDSS </w:t>
      </w:r>
      <w:r w:rsidR="00BF31A0" w:rsidRPr="00124FF2">
        <w:rPr>
          <w:color w:val="000000"/>
        </w:rPr>
        <w:t xml:space="preserve">data </w:t>
      </w:r>
      <w:r w:rsidR="005D31A5" w:rsidRPr="00124FF2">
        <w:rPr>
          <w:color w:val="000000"/>
        </w:rPr>
        <w:t xml:space="preserve">also </w:t>
      </w:r>
      <w:r w:rsidR="0097715D" w:rsidRPr="00124FF2">
        <w:rPr>
          <w:color w:val="000000"/>
        </w:rPr>
        <w:t xml:space="preserve">for weekly publication in the </w:t>
      </w:r>
      <w:r w:rsidR="0097715D" w:rsidRPr="00124FF2">
        <w:rPr>
          <w:i/>
          <w:color w:val="000000"/>
        </w:rPr>
        <w:t>Morbidity and Mortality Weekly Report (MMWR)</w:t>
      </w:r>
      <w:r w:rsidR="0097715D" w:rsidRPr="00124FF2">
        <w:rPr>
          <w:color w:val="000000"/>
        </w:rPr>
        <w:t>.  The number of cases of nationally notifiable diseases reported to state health departments by local city or county health departments during the preceding "reporting week" is included in the morbidity report</w:t>
      </w:r>
      <w:r w:rsidR="00C34D31" w:rsidRPr="00124FF2">
        <w:rPr>
          <w:color w:val="000000"/>
        </w:rPr>
        <w:t xml:space="preserve">. </w:t>
      </w:r>
      <w:r w:rsidRPr="00124FF2">
        <w:rPr>
          <w:color w:val="000000"/>
        </w:rPr>
        <w:t>CDC also publishes a</w:t>
      </w:r>
      <w:r w:rsidR="007107A7" w:rsidRPr="00124FF2">
        <w:rPr>
          <w:color w:val="000000"/>
        </w:rPr>
        <w:t xml:space="preserve">n annual summary presenting </w:t>
      </w:r>
      <w:r w:rsidR="00432CEE" w:rsidRPr="00124FF2">
        <w:rPr>
          <w:color w:val="000000"/>
        </w:rPr>
        <w:t xml:space="preserve">finalized official </w:t>
      </w:r>
      <w:r w:rsidR="007107A7" w:rsidRPr="00124FF2">
        <w:rPr>
          <w:color w:val="000000"/>
        </w:rPr>
        <w:t>incidence data for these diseases</w:t>
      </w:r>
      <w:r w:rsidR="00432CEE" w:rsidRPr="00124FF2">
        <w:rPr>
          <w:color w:val="000000"/>
        </w:rPr>
        <w:t xml:space="preserve"> in </w:t>
      </w:r>
      <w:r w:rsidR="007107A7" w:rsidRPr="00124FF2">
        <w:rPr>
          <w:color w:val="000000"/>
        </w:rPr>
        <w:t xml:space="preserve">the </w:t>
      </w:r>
      <w:r w:rsidR="007107A7" w:rsidRPr="00124FF2">
        <w:rPr>
          <w:i/>
          <w:color w:val="000000"/>
        </w:rPr>
        <w:t>Morbidity and Mortality Weekly Report (MMWR)</w:t>
      </w:r>
      <w:r w:rsidR="007107A7" w:rsidRPr="00124FF2">
        <w:rPr>
          <w:color w:val="000000"/>
        </w:rPr>
        <w:t xml:space="preserve"> </w:t>
      </w:r>
      <w:r w:rsidR="00432CEE" w:rsidRPr="00124FF2">
        <w:rPr>
          <w:color w:val="000000"/>
        </w:rPr>
        <w:t xml:space="preserve">series </w:t>
      </w:r>
      <w:r w:rsidR="007107A7" w:rsidRPr="00124FF2">
        <w:rPr>
          <w:color w:val="000000"/>
        </w:rPr>
        <w:t xml:space="preserve">entitled </w:t>
      </w:r>
      <w:r w:rsidR="007107A7" w:rsidRPr="00124FF2">
        <w:rPr>
          <w:i/>
          <w:color w:val="000000"/>
        </w:rPr>
        <w:t>Summary of Notifiable Diseases, United States.</w:t>
      </w:r>
      <w:r w:rsidR="00432CEE" w:rsidRPr="00124FF2">
        <w:rPr>
          <w:color w:val="000000"/>
        </w:rPr>
        <w:t xml:space="preserve"> </w:t>
      </w:r>
      <w:r w:rsidR="00D63318" w:rsidRPr="00124FF2">
        <w:rPr>
          <w:color w:val="000000"/>
        </w:rPr>
        <w:t>The annual report is used to update annual tables published by the World Health Organization, the Pan American Health Organization, the U.S. Bureau of the Census, and the National Center for Health Statistics.</w:t>
      </w:r>
      <w:r w:rsidR="00C34D31" w:rsidRPr="00124FF2">
        <w:rPr>
          <w:color w:val="000000"/>
        </w:rPr>
        <w:t xml:space="preserve"> </w:t>
      </w:r>
      <w:r w:rsidR="005825BD" w:rsidRPr="00124FF2">
        <w:t xml:space="preserve">NNDSS provides the official source of statistics in the United States for nationally notifiable conditions and </w:t>
      </w:r>
      <w:r w:rsidR="009135CB" w:rsidRPr="00124FF2">
        <w:t>CDC is the sole repository for these national, population-based data.</w:t>
      </w:r>
      <w:r w:rsidR="004121B2" w:rsidRPr="00124FF2">
        <w:t xml:space="preserve">  </w:t>
      </w:r>
    </w:p>
    <w:p w:rsidR="00124FF2" w:rsidRDefault="00124FF2" w:rsidP="000E23CB">
      <w:pPr>
        <w:spacing w:line="360" w:lineRule="auto"/>
        <w:contextualSpacing/>
      </w:pPr>
    </w:p>
    <w:p w:rsidR="00124FF2" w:rsidRDefault="00124FF2" w:rsidP="000E23CB">
      <w:pPr>
        <w:spacing w:line="360" w:lineRule="auto"/>
        <w:contextualSpacing/>
      </w:pPr>
      <w:r>
        <w:t xml:space="preserve">CDC also </w:t>
      </w:r>
      <w:r w:rsidR="00C30217">
        <w:t xml:space="preserve">uses the notifiable disease data to </w:t>
      </w:r>
      <w:r>
        <w:t>publish</w:t>
      </w:r>
      <w:r w:rsidR="00C30217">
        <w:t xml:space="preserve"> </w:t>
      </w:r>
      <w:r>
        <w:t xml:space="preserve">surveillance summaries and other reports in </w:t>
      </w:r>
      <w:r>
        <w:rPr>
          <w:i/>
        </w:rPr>
        <w:t>MMWR</w:t>
      </w:r>
      <w:r>
        <w:t xml:space="preserve"> and in scientific, public health and medical journals.</w:t>
      </w:r>
    </w:p>
    <w:p w:rsidR="00AA27C3" w:rsidRDefault="00AA27C3" w:rsidP="000E23CB">
      <w:pPr>
        <w:spacing w:line="360" w:lineRule="auto"/>
        <w:rPr>
          <w:color w:val="000000"/>
        </w:rPr>
      </w:pPr>
    </w:p>
    <w:p w:rsidR="00687B43" w:rsidRDefault="00C30217" w:rsidP="00186AA9">
      <w:pPr>
        <w:spacing w:line="360" w:lineRule="auto"/>
      </w:pPr>
      <w:r>
        <w:rPr>
          <w:color w:val="000000"/>
        </w:rPr>
        <w:t xml:space="preserve">Data are also shared with outside </w:t>
      </w:r>
      <w:r w:rsidR="008474AB">
        <w:rPr>
          <w:color w:val="000000"/>
        </w:rPr>
        <w:t>users</w:t>
      </w:r>
      <w:r>
        <w:rPr>
          <w:color w:val="000000"/>
        </w:rPr>
        <w:t xml:space="preserve"> and with the public</w:t>
      </w:r>
      <w:r w:rsidR="00407DF5">
        <w:rPr>
          <w:color w:val="000000"/>
        </w:rPr>
        <w:t xml:space="preserve">. </w:t>
      </w:r>
      <w:r w:rsidR="00BE228D">
        <w:t xml:space="preserve">For certain nationally notifiable conditions, </w:t>
      </w:r>
      <w:r w:rsidR="00B3389D">
        <w:t xml:space="preserve">CDC releases national data to the public through </w:t>
      </w:r>
      <w:r w:rsidR="00B3389D" w:rsidRPr="00124FF2">
        <w:t xml:space="preserve">CDC’s web-based </w:t>
      </w:r>
      <w:r w:rsidR="0004678C">
        <w:t xml:space="preserve">query system known as </w:t>
      </w:r>
      <w:r w:rsidR="00B3389D" w:rsidRPr="00124FF2">
        <w:t>WONDER</w:t>
      </w:r>
      <w:r w:rsidR="00BE228D">
        <w:t xml:space="preserve"> </w:t>
      </w:r>
      <w:r w:rsidR="0072204F">
        <w:t>(</w:t>
      </w:r>
      <w:hyperlink r:id="rId10" w:history="1">
        <w:r w:rsidR="00CE4187" w:rsidRPr="00A53E3B">
          <w:rPr>
            <w:rStyle w:val="Hyperlink"/>
          </w:rPr>
          <w:t>http://wonder.cdc.gov/</w:t>
        </w:r>
      </w:hyperlink>
      <w:r w:rsidR="00BE228D">
        <w:t xml:space="preserve">). </w:t>
      </w:r>
      <w:r w:rsidR="00176F5D">
        <w:t xml:space="preserve"> Shared data are </w:t>
      </w:r>
      <w:r w:rsidR="00176F5D" w:rsidRPr="00176F5D">
        <w:t>summary statistics of aggregate data</w:t>
      </w:r>
      <w:r w:rsidR="00176F5D">
        <w:t xml:space="preserve"> produced after personal identifiers have been removed (Section A.15, below).</w:t>
      </w:r>
    </w:p>
    <w:p w:rsidR="00687B43" w:rsidRDefault="00687B43" w:rsidP="00186AA9">
      <w:pPr>
        <w:spacing w:line="360" w:lineRule="auto"/>
      </w:pPr>
    </w:p>
    <w:p w:rsidR="00186AA9" w:rsidRPr="00124FF2" w:rsidRDefault="00BE228D" w:rsidP="00186AA9">
      <w:pPr>
        <w:spacing w:line="360" w:lineRule="auto"/>
      </w:pPr>
      <w:r>
        <w:t xml:space="preserve">In addition, restricted access data sets </w:t>
      </w:r>
      <w:r w:rsidR="00EA7146">
        <w:t>may be</w:t>
      </w:r>
      <w:r>
        <w:t xml:space="preserve"> shared </w:t>
      </w:r>
      <w:r w:rsidRPr="00124FF2">
        <w:t>with members of the public after the requestor and the notifiable diseases Data Steward complete a Data Use Agreement</w:t>
      </w:r>
      <w:r w:rsidR="00FF0FFD">
        <w:t xml:space="preserve"> (Section A.15, below)</w:t>
      </w:r>
      <w:r w:rsidRPr="00124FF2">
        <w:t xml:space="preserve">. </w:t>
      </w:r>
    </w:p>
    <w:p w:rsidR="00945DCB" w:rsidRPr="00124FF2" w:rsidRDefault="00945DCB" w:rsidP="000E23CB">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00C03048" w:rsidRPr="00124FF2" w:rsidRDefault="00C03048" w:rsidP="000E23CB">
      <w:pPr>
        <w:spacing w:line="360" w:lineRule="auto"/>
        <w:rPr>
          <w:b/>
          <w:color w:val="000000"/>
          <w:u w:val="single"/>
        </w:rPr>
      </w:pPr>
      <w:r w:rsidRPr="00124FF2">
        <w:rPr>
          <w:b/>
          <w:color w:val="000000"/>
        </w:rPr>
        <w:lastRenderedPageBreak/>
        <w:t xml:space="preserve">A.3. </w:t>
      </w:r>
      <w:r w:rsidRPr="00124FF2">
        <w:rPr>
          <w:b/>
          <w:color w:val="000000"/>
          <w:u w:val="single"/>
        </w:rPr>
        <w:t xml:space="preserve">Use of Improved Information Technology   </w:t>
      </w:r>
    </w:p>
    <w:p w:rsidR="00C03048" w:rsidRPr="004A62EC" w:rsidRDefault="00C03048" w:rsidP="000E23CB">
      <w:pPr>
        <w:spacing w:line="360" w:lineRule="auto"/>
        <w:rPr>
          <w:b/>
          <w:u w:val="single"/>
        </w:rPr>
      </w:pPr>
    </w:p>
    <w:p w:rsidR="00C03048" w:rsidRPr="004A62EC" w:rsidRDefault="00C03048" w:rsidP="000E23CB">
      <w:pPr>
        <w:spacing w:line="360" w:lineRule="auto"/>
      </w:pPr>
      <w:r w:rsidRPr="004A62EC">
        <w:t xml:space="preserve">As noted above, submission of data by state, territorial and local health </w:t>
      </w:r>
      <w:r w:rsidR="00F57A0D" w:rsidRPr="004A62EC">
        <w:t>departments</w:t>
      </w:r>
      <w:r w:rsidRPr="004A62EC">
        <w:t xml:space="preserve"> is supported by several interconnected</w:t>
      </w:r>
      <w:r w:rsidR="00BF7A39" w:rsidRPr="00BF7A39">
        <w:rPr>
          <w:rFonts w:eastAsia="Calibri"/>
        </w:rPr>
        <w:t xml:space="preserve"> </w:t>
      </w:r>
      <w:r w:rsidR="00BF7A39">
        <w:rPr>
          <w:rFonts w:eastAsia="Calibri"/>
        </w:rPr>
        <w:t>frameworks for the exchange of electronic information</w:t>
      </w:r>
      <w:r w:rsidR="00BF7A39" w:rsidRPr="00525150">
        <w:rPr>
          <w:rFonts w:eastAsia="Calibri"/>
        </w:rPr>
        <w:t xml:space="preserve"> and electronic information </w:t>
      </w:r>
      <w:r w:rsidR="00BF7A39">
        <w:rPr>
          <w:rFonts w:eastAsia="Calibri"/>
        </w:rPr>
        <w:t xml:space="preserve">technology </w:t>
      </w:r>
      <w:r w:rsidR="00BF7A39" w:rsidRPr="00525150">
        <w:rPr>
          <w:rFonts w:eastAsia="Calibri"/>
        </w:rPr>
        <w:t>systems</w:t>
      </w:r>
      <w:r w:rsidR="00BF7A39">
        <w:rPr>
          <w:rFonts w:eastAsia="Calibri"/>
        </w:rPr>
        <w:t xml:space="preserve"> and platforms</w:t>
      </w:r>
      <w:r w:rsidRPr="004A62EC">
        <w:t xml:space="preserve">. However, </w:t>
      </w:r>
      <w:r w:rsidR="004F2842" w:rsidRPr="004A62EC">
        <w:t>data are submitted in a number of different ways</w:t>
      </w:r>
      <w:r w:rsidR="0067173B" w:rsidRPr="004A62EC">
        <w:t xml:space="preserve"> and to a number of different systems</w:t>
      </w:r>
      <w:r w:rsidR="00E15800">
        <w:t xml:space="preserve"> or programs</w:t>
      </w:r>
      <w:r w:rsidR="00BF7A39">
        <w:t xml:space="preserve"> </w:t>
      </w:r>
      <w:r w:rsidR="005542A3" w:rsidRPr="004A62EC">
        <w:t xml:space="preserve">in </w:t>
      </w:r>
      <w:r w:rsidR="00C43E5A">
        <w:t>CSELS</w:t>
      </w:r>
      <w:r w:rsidR="00E15800">
        <w:t>,</w:t>
      </w:r>
      <w:r w:rsidR="005542A3" w:rsidRPr="004A62EC">
        <w:t xml:space="preserve"> OID</w:t>
      </w:r>
      <w:r w:rsidR="00E15800">
        <w:t xml:space="preserve"> and </w:t>
      </w:r>
      <w:r w:rsidR="005542A3" w:rsidRPr="004A62EC">
        <w:t>CGH.</w:t>
      </w:r>
      <w:r w:rsidR="004F2842" w:rsidRPr="004A62EC">
        <w:t xml:space="preserve">  </w:t>
      </w:r>
    </w:p>
    <w:p w:rsidR="004F2842" w:rsidRPr="004A62EC" w:rsidRDefault="004F2842" w:rsidP="000E23CB">
      <w:pPr>
        <w:spacing w:line="360" w:lineRule="auto"/>
      </w:pPr>
    </w:p>
    <w:p w:rsidR="002B43CF" w:rsidRDefault="00C03048" w:rsidP="002B43CF">
      <w:pPr>
        <w:spacing w:line="360" w:lineRule="auto"/>
      </w:pPr>
      <w:r w:rsidRPr="004A62EC">
        <w:t>Since OMB last approved the NNDSS surveillance system in January 2011</w:t>
      </w:r>
      <w:r w:rsidR="001B1875" w:rsidRPr="004A62EC">
        <w:t xml:space="preserve">(NEDSS), OMB Control No. </w:t>
      </w:r>
      <w:r w:rsidR="001B1875" w:rsidRPr="004A62EC">
        <w:rPr>
          <w:u w:val="single"/>
        </w:rPr>
        <w:t>0920-0728</w:t>
      </w:r>
      <w:r w:rsidRPr="004A62EC">
        <w:t xml:space="preserve">, CDC </w:t>
      </w:r>
      <w:r w:rsidR="00F766F7">
        <w:t>has requested and obtained</w:t>
      </w:r>
      <w:r w:rsidR="007E6017">
        <w:t xml:space="preserve"> </w:t>
      </w:r>
      <w:r w:rsidR="0017359B">
        <w:t xml:space="preserve">two </w:t>
      </w:r>
      <w:r w:rsidR="007E6017">
        <w:t>independent external peer review</w:t>
      </w:r>
      <w:r w:rsidR="00AB7132">
        <w:t>s</w:t>
      </w:r>
      <w:r w:rsidR="007E6017">
        <w:t xml:space="preserve"> of NNDSS </w:t>
      </w:r>
      <w:r w:rsidR="005E7AC1">
        <w:t>following</w:t>
      </w:r>
      <w:r w:rsidR="007E6017">
        <w:t xml:space="preserve"> CDC guidance on external review of scienti</w:t>
      </w:r>
      <w:r w:rsidR="000441EB">
        <w:t>fic programs. The</w:t>
      </w:r>
      <w:r w:rsidR="00974EE5">
        <w:t xml:space="preserve"> CDC guidance references </w:t>
      </w:r>
      <w:r w:rsidR="002B43CF">
        <w:t xml:space="preserve">OMB Guidelines for Ensuring and Maximizing the Quality, Objectivity, Utility, and Integrity of Information Disseminated by Federal Agencies </w:t>
      </w:r>
    </w:p>
    <w:p w:rsidR="00601F1F" w:rsidRPr="00124FF2" w:rsidRDefault="00B443F3" w:rsidP="000E23CB">
      <w:pPr>
        <w:spacing w:line="360" w:lineRule="auto"/>
        <w:rPr>
          <w:color w:val="000000"/>
        </w:rPr>
      </w:pPr>
      <w:hyperlink r:id="rId11" w:history="1">
        <w:r w:rsidR="002B43CF" w:rsidRPr="00B57FAF">
          <w:rPr>
            <w:rStyle w:val="Hyperlink"/>
          </w:rPr>
          <w:t>http://www.whitehouse.gov/omb/fedreg/final_information_quality_guidelines.html/</w:t>
        </w:r>
      </w:hyperlink>
      <w:r w:rsidR="002B43CF">
        <w:t xml:space="preserve">. Through </w:t>
      </w:r>
      <w:r w:rsidR="00233C20">
        <w:t>a</w:t>
      </w:r>
      <w:r w:rsidR="002B43CF">
        <w:t xml:space="preserve"> cooperative agreement</w:t>
      </w:r>
      <w:r w:rsidR="004123C3">
        <w:t xml:space="preserve"> with CDC</w:t>
      </w:r>
      <w:r w:rsidR="002B43CF">
        <w:t xml:space="preserve">, </w:t>
      </w:r>
      <w:r w:rsidR="00B52ABE">
        <w:t>the Public Health Informatics Institute</w:t>
      </w:r>
      <w:r w:rsidR="0017359B">
        <w:t xml:space="preserve"> </w:t>
      </w:r>
      <w:r w:rsidR="004123C3">
        <w:t>select</w:t>
      </w:r>
      <w:r w:rsidR="00807BAF">
        <w:t>ed</w:t>
      </w:r>
      <w:r w:rsidR="004123C3">
        <w:t xml:space="preserve"> and </w:t>
      </w:r>
      <w:r w:rsidR="00F5111C">
        <w:t>fund</w:t>
      </w:r>
      <w:r w:rsidR="00807BAF">
        <w:t>ed</w:t>
      </w:r>
      <w:r w:rsidR="00F5111C">
        <w:t xml:space="preserve"> an independent </w:t>
      </w:r>
      <w:r w:rsidR="00807BAF">
        <w:t xml:space="preserve">external peer review </w:t>
      </w:r>
      <w:r w:rsidR="00F5111C">
        <w:t xml:space="preserve">panel that conducted review of </w:t>
      </w:r>
      <w:r w:rsidR="00233C20" w:rsidRPr="00233C20">
        <w:t>NNDSS systems, frameworks and processes for infectious diseases within CDC</w:t>
      </w:r>
      <w:r w:rsidR="00F5111C">
        <w:t xml:space="preserve">. </w:t>
      </w:r>
      <w:r w:rsidR="0017359B">
        <w:t xml:space="preserve">In addition, </w:t>
      </w:r>
      <w:r w:rsidR="00B52ABE">
        <w:t xml:space="preserve">through a cooperative agreement with CDC, </w:t>
      </w:r>
      <w:r w:rsidR="00807BAF">
        <w:t xml:space="preserve">CSTE selected and funded independent </w:t>
      </w:r>
      <w:r w:rsidR="00134AAD">
        <w:t xml:space="preserve">external peer review </w:t>
      </w:r>
      <w:r w:rsidR="00807BAF">
        <w:t xml:space="preserve">panel </w:t>
      </w:r>
      <w:r w:rsidR="00134AAD">
        <w:t>to review</w:t>
      </w:r>
      <w:r w:rsidR="00254612">
        <w:t xml:space="preserve"> state and local systems</w:t>
      </w:r>
      <w:r w:rsidR="007D1054">
        <w:t>, frameworks and</w:t>
      </w:r>
      <w:r w:rsidR="00254612">
        <w:t xml:space="preserve"> processes</w:t>
      </w:r>
      <w:r w:rsidR="008C4E2A">
        <w:t xml:space="preserve"> for reportable conditions and for </w:t>
      </w:r>
      <w:r w:rsidR="00FD5669">
        <w:t xml:space="preserve">submission of </w:t>
      </w:r>
      <w:r w:rsidR="00DE5CD8">
        <w:t xml:space="preserve">information on </w:t>
      </w:r>
      <w:r w:rsidR="008C4E2A">
        <w:t xml:space="preserve">notifiable </w:t>
      </w:r>
      <w:r w:rsidR="00DE5CD8">
        <w:t xml:space="preserve">infectious diseases </w:t>
      </w:r>
      <w:r w:rsidR="00FD5669">
        <w:t>to CDC</w:t>
      </w:r>
      <w:r w:rsidR="00254612">
        <w:t xml:space="preserve">. </w:t>
      </w:r>
      <w:r w:rsidR="00C361A6">
        <w:rPr>
          <w:color w:val="000000"/>
        </w:rPr>
        <w:t>These re</w:t>
      </w:r>
      <w:r w:rsidR="00B335F0">
        <w:rPr>
          <w:color w:val="000000"/>
        </w:rPr>
        <w:t xml:space="preserve">views provided </w:t>
      </w:r>
      <w:r w:rsidR="00601F1F" w:rsidRPr="00124FF2">
        <w:rPr>
          <w:color w:val="000000"/>
        </w:rPr>
        <w:t xml:space="preserve">a number of recommendations </w:t>
      </w:r>
      <w:r w:rsidR="0012036C">
        <w:rPr>
          <w:color w:val="000000"/>
        </w:rPr>
        <w:t xml:space="preserve">to CDC </w:t>
      </w:r>
      <w:r w:rsidR="00601F1F" w:rsidRPr="00124FF2">
        <w:rPr>
          <w:color w:val="000000"/>
        </w:rPr>
        <w:t>to improve the use of information technology</w:t>
      </w:r>
      <w:r w:rsidR="00C361A6">
        <w:rPr>
          <w:color w:val="000000"/>
        </w:rPr>
        <w:t xml:space="preserve"> and related frameworks and systems</w:t>
      </w:r>
      <w:r w:rsidR="0045552B">
        <w:rPr>
          <w:color w:val="000000"/>
        </w:rPr>
        <w:t>, summarized in Section A.8.B, below</w:t>
      </w:r>
      <w:r w:rsidR="00601F1F" w:rsidRPr="00124FF2">
        <w:rPr>
          <w:color w:val="000000"/>
        </w:rPr>
        <w:t xml:space="preserve">. </w:t>
      </w:r>
    </w:p>
    <w:p w:rsidR="009717F1" w:rsidRPr="00124FF2" w:rsidRDefault="009717F1" w:rsidP="000E23CB">
      <w:pPr>
        <w:spacing w:line="360" w:lineRule="auto"/>
        <w:rPr>
          <w:color w:val="000000"/>
        </w:rPr>
      </w:pPr>
    </w:p>
    <w:p w:rsidR="00601F1F" w:rsidRPr="00124FF2" w:rsidRDefault="00601F1F" w:rsidP="000E23CB">
      <w:pPr>
        <w:spacing w:line="360" w:lineRule="auto"/>
        <w:rPr>
          <w:color w:val="000000"/>
        </w:rPr>
      </w:pPr>
      <w:r w:rsidRPr="00F34FB7">
        <w:t>In response</w:t>
      </w:r>
      <w:r w:rsidR="00392BFF" w:rsidRPr="00F34FB7">
        <w:t xml:space="preserve"> to th</w:t>
      </w:r>
      <w:r w:rsidR="00F9246C">
        <w:t>ese</w:t>
      </w:r>
      <w:r w:rsidR="00392BFF" w:rsidRPr="00F34FB7">
        <w:t xml:space="preserve"> </w:t>
      </w:r>
      <w:r w:rsidR="00317565">
        <w:t>independent review</w:t>
      </w:r>
      <w:r w:rsidR="00F9246C">
        <w:t>s</w:t>
      </w:r>
      <w:r w:rsidRPr="00F34FB7">
        <w:t xml:space="preserve">, </w:t>
      </w:r>
      <w:r w:rsidR="00C43E5A">
        <w:t>CSELS</w:t>
      </w:r>
      <w:r w:rsidR="00172085" w:rsidRPr="00F34FB7">
        <w:t xml:space="preserve"> in collaboration with OID</w:t>
      </w:r>
      <w:r w:rsidR="00317565">
        <w:t xml:space="preserve"> and </w:t>
      </w:r>
      <w:r w:rsidR="00172085" w:rsidRPr="00F34FB7">
        <w:t>CGH</w:t>
      </w:r>
      <w:r w:rsidR="00C03048" w:rsidRPr="00F34FB7">
        <w:t xml:space="preserve"> has initiated a number of improvements </w:t>
      </w:r>
      <w:r w:rsidR="00317565">
        <w:t>for</w:t>
      </w:r>
      <w:r w:rsidR="00C03048" w:rsidRPr="00F34FB7">
        <w:t xml:space="preserve"> NNDSS. Those improvements will include </w:t>
      </w:r>
      <w:r w:rsidR="00616147" w:rsidRPr="00F34FB7">
        <w:t xml:space="preserve">increasing communication and coordination within the agency and with public health </w:t>
      </w:r>
      <w:r w:rsidR="008E3298" w:rsidRPr="00F34FB7">
        <w:t>departments</w:t>
      </w:r>
      <w:r w:rsidR="006A77B9" w:rsidRPr="00124FF2">
        <w:rPr>
          <w:color w:val="000000"/>
        </w:rPr>
        <w:t xml:space="preserve">. </w:t>
      </w:r>
      <w:r w:rsidR="00B80586">
        <w:rPr>
          <w:color w:val="000000"/>
        </w:rPr>
        <w:t>Enhance</w:t>
      </w:r>
      <w:r w:rsidR="000D0C0A" w:rsidRPr="00124FF2">
        <w:rPr>
          <w:color w:val="000000"/>
        </w:rPr>
        <w:t xml:space="preserve">ments </w:t>
      </w:r>
      <w:r w:rsidR="00DF45E3" w:rsidRPr="00124FF2">
        <w:rPr>
          <w:color w:val="000000"/>
        </w:rPr>
        <w:t>include transitioning from non-electronic to automated electronic submission</w:t>
      </w:r>
      <w:r w:rsidR="000D0C0A" w:rsidRPr="00124FF2">
        <w:rPr>
          <w:color w:val="000000"/>
        </w:rPr>
        <w:t xml:space="preserve"> </w:t>
      </w:r>
      <w:r w:rsidR="00DF45E3" w:rsidRPr="00124FF2">
        <w:rPr>
          <w:color w:val="000000"/>
        </w:rPr>
        <w:t xml:space="preserve">of information to CDC. </w:t>
      </w:r>
      <w:r w:rsidR="000D0C0A" w:rsidRPr="00124FF2">
        <w:rPr>
          <w:color w:val="000000"/>
        </w:rPr>
        <w:t>Changes</w:t>
      </w:r>
      <w:r w:rsidR="00616147" w:rsidRPr="00124FF2">
        <w:rPr>
          <w:color w:val="000000"/>
        </w:rPr>
        <w:t xml:space="preserve"> will include </w:t>
      </w:r>
      <w:r w:rsidR="00FC619A">
        <w:rPr>
          <w:color w:val="000000"/>
        </w:rPr>
        <w:t xml:space="preserve">more consistently </w:t>
      </w:r>
      <w:r w:rsidR="006A77B9" w:rsidRPr="00124FF2">
        <w:rPr>
          <w:color w:val="000000"/>
        </w:rPr>
        <w:t xml:space="preserve">using common national standards </w:t>
      </w:r>
      <w:r w:rsidR="00616147" w:rsidRPr="00124FF2">
        <w:rPr>
          <w:color w:val="000000"/>
        </w:rPr>
        <w:t xml:space="preserve">for electronic </w:t>
      </w:r>
      <w:r w:rsidR="006A77B9" w:rsidRPr="00124FF2">
        <w:rPr>
          <w:color w:val="000000"/>
        </w:rPr>
        <w:t xml:space="preserve">health records and </w:t>
      </w:r>
      <w:r w:rsidR="00616147" w:rsidRPr="00124FF2">
        <w:rPr>
          <w:color w:val="000000"/>
        </w:rPr>
        <w:t>messaging</w:t>
      </w:r>
      <w:r w:rsidR="00AF39C4">
        <w:rPr>
          <w:color w:val="000000"/>
        </w:rPr>
        <w:t>, including</w:t>
      </w:r>
      <w:r w:rsidR="00AF39C4" w:rsidRPr="00AF39C4">
        <w:rPr>
          <w:color w:val="000000"/>
        </w:rPr>
        <w:t xml:space="preserve"> </w:t>
      </w:r>
      <w:r w:rsidR="00AF39C4" w:rsidRPr="00C30ED3">
        <w:rPr>
          <w:color w:val="000000"/>
        </w:rPr>
        <w:t>vocabulary and code sets, content structure, transport, security and service (providing the right information to the right people</w:t>
      </w:r>
      <w:r w:rsidR="005E7AC1">
        <w:rPr>
          <w:color w:val="000000"/>
        </w:rPr>
        <w:t>)</w:t>
      </w:r>
      <w:r w:rsidR="004C6ECF">
        <w:rPr>
          <w:color w:val="000000"/>
        </w:rPr>
        <w:t xml:space="preserve">. This will increase interoperability among </w:t>
      </w:r>
      <w:r w:rsidR="00DF45E3" w:rsidRPr="00124FF2">
        <w:rPr>
          <w:color w:val="000000"/>
        </w:rPr>
        <w:t xml:space="preserve">public health departments and </w:t>
      </w:r>
      <w:r w:rsidR="004C6ECF">
        <w:rPr>
          <w:color w:val="000000"/>
        </w:rPr>
        <w:t xml:space="preserve">with </w:t>
      </w:r>
      <w:r w:rsidR="00DF45E3" w:rsidRPr="00124FF2">
        <w:rPr>
          <w:color w:val="000000"/>
        </w:rPr>
        <w:t xml:space="preserve">CDC </w:t>
      </w:r>
      <w:r w:rsidR="004C6ECF">
        <w:rPr>
          <w:color w:val="000000"/>
        </w:rPr>
        <w:t>and</w:t>
      </w:r>
      <w:r w:rsidR="00DF45E3" w:rsidRPr="00124FF2">
        <w:rPr>
          <w:color w:val="000000"/>
        </w:rPr>
        <w:t xml:space="preserve"> increase interoperability</w:t>
      </w:r>
      <w:r w:rsidR="0045552B">
        <w:rPr>
          <w:color w:val="000000"/>
        </w:rPr>
        <w:t xml:space="preserve"> </w:t>
      </w:r>
      <w:r w:rsidR="00CD68D6">
        <w:rPr>
          <w:color w:val="000000"/>
        </w:rPr>
        <w:t xml:space="preserve">between </w:t>
      </w:r>
      <w:r w:rsidR="00CD68D6" w:rsidRPr="00124FF2">
        <w:rPr>
          <w:color w:val="000000"/>
        </w:rPr>
        <w:t>systems</w:t>
      </w:r>
      <w:r w:rsidR="000409C7">
        <w:rPr>
          <w:color w:val="000000"/>
        </w:rPr>
        <w:t xml:space="preserve"> in </w:t>
      </w:r>
      <w:r w:rsidR="00DF45E3" w:rsidRPr="00124FF2">
        <w:rPr>
          <w:color w:val="000000"/>
        </w:rPr>
        <w:t>public health and with electronic systems in medical care</w:t>
      </w:r>
      <w:r w:rsidR="0045552B">
        <w:rPr>
          <w:color w:val="000000"/>
        </w:rPr>
        <w:t xml:space="preserve">. In </w:t>
      </w:r>
      <w:r w:rsidR="0045552B">
        <w:rPr>
          <w:color w:val="000000"/>
        </w:rPr>
        <w:lastRenderedPageBreak/>
        <w:t xml:space="preserve">addition, data elements, definitions and value sets </w:t>
      </w:r>
      <w:r w:rsidR="006A77B9" w:rsidRPr="00124FF2">
        <w:rPr>
          <w:color w:val="000000"/>
        </w:rPr>
        <w:t>for notifiable conditions will be reviewed and harmonized</w:t>
      </w:r>
      <w:r w:rsidR="00445056">
        <w:rPr>
          <w:color w:val="000000"/>
        </w:rPr>
        <w:t>. T</w:t>
      </w:r>
      <w:r w:rsidR="006A77B9" w:rsidRPr="00124FF2">
        <w:rPr>
          <w:color w:val="000000"/>
        </w:rPr>
        <w:t xml:space="preserve">he </w:t>
      </w:r>
      <w:r w:rsidR="004F069D">
        <w:rPr>
          <w:color w:val="000000"/>
        </w:rPr>
        <w:t xml:space="preserve">enhancements will, over time, reduce </w:t>
      </w:r>
      <w:r w:rsidR="0013393E">
        <w:rPr>
          <w:color w:val="000000"/>
        </w:rPr>
        <w:t xml:space="preserve">duplication of data submission to CDC and </w:t>
      </w:r>
      <w:r w:rsidR="004F069D">
        <w:rPr>
          <w:color w:val="000000"/>
        </w:rPr>
        <w:t xml:space="preserve">the </w:t>
      </w:r>
      <w:r w:rsidR="006A77B9" w:rsidRPr="00124FF2">
        <w:rPr>
          <w:color w:val="000000"/>
        </w:rPr>
        <w:t>number</w:t>
      </w:r>
      <w:r w:rsidR="00616147" w:rsidRPr="00124FF2">
        <w:rPr>
          <w:color w:val="000000"/>
        </w:rPr>
        <w:t xml:space="preserve"> of locations</w:t>
      </w:r>
      <w:r w:rsidR="00337CCC">
        <w:rPr>
          <w:color w:val="000000"/>
        </w:rPr>
        <w:t xml:space="preserve"> to which</w:t>
      </w:r>
      <w:r w:rsidR="00E15800">
        <w:rPr>
          <w:color w:val="000000"/>
        </w:rPr>
        <w:t xml:space="preserve"> data on NNDs</w:t>
      </w:r>
      <w:r w:rsidR="005A2F4D">
        <w:rPr>
          <w:color w:val="000000"/>
        </w:rPr>
        <w:t xml:space="preserve"> are</w:t>
      </w:r>
      <w:r w:rsidR="00E15800">
        <w:rPr>
          <w:color w:val="000000"/>
        </w:rPr>
        <w:t xml:space="preserve"> sent</w:t>
      </w:r>
      <w:r w:rsidR="004F069D">
        <w:rPr>
          <w:color w:val="000000"/>
        </w:rPr>
        <w:t xml:space="preserve"> and </w:t>
      </w:r>
      <w:r w:rsidR="00E15800">
        <w:rPr>
          <w:color w:val="000000"/>
        </w:rPr>
        <w:t xml:space="preserve">standardize </w:t>
      </w:r>
      <w:r w:rsidR="004F069D">
        <w:rPr>
          <w:color w:val="000000"/>
        </w:rPr>
        <w:t xml:space="preserve">the methods by which </w:t>
      </w:r>
      <w:r w:rsidR="00E15800">
        <w:rPr>
          <w:color w:val="000000"/>
        </w:rPr>
        <w:t>the data</w:t>
      </w:r>
      <w:r w:rsidR="004F069D">
        <w:rPr>
          <w:color w:val="000000"/>
        </w:rPr>
        <w:t xml:space="preserve"> is submitted to CDC. </w:t>
      </w:r>
      <w:r w:rsidR="00DF45E3" w:rsidRPr="00124FF2">
        <w:rPr>
          <w:color w:val="000000"/>
        </w:rPr>
        <w:t>T</w:t>
      </w:r>
      <w:r w:rsidR="00C03048" w:rsidRPr="00124FF2">
        <w:rPr>
          <w:color w:val="000000"/>
        </w:rPr>
        <w:t>he improvements will increase efficiency</w:t>
      </w:r>
      <w:r w:rsidR="002941AA">
        <w:rPr>
          <w:color w:val="000000"/>
        </w:rPr>
        <w:t xml:space="preserve"> of the data management and transmission process</w:t>
      </w:r>
      <w:r w:rsidR="00DF45E3" w:rsidRPr="00124FF2">
        <w:rPr>
          <w:color w:val="000000"/>
        </w:rPr>
        <w:t xml:space="preserve"> and the</w:t>
      </w:r>
      <w:r w:rsidR="00C03048" w:rsidRPr="00124FF2">
        <w:rPr>
          <w:color w:val="000000"/>
        </w:rPr>
        <w:t xml:space="preserve"> timeliness, completeness and </w:t>
      </w:r>
      <w:r w:rsidR="00DF45E3" w:rsidRPr="00124FF2">
        <w:rPr>
          <w:color w:val="000000"/>
        </w:rPr>
        <w:t xml:space="preserve">accuracy </w:t>
      </w:r>
      <w:r w:rsidR="00E22C34">
        <w:rPr>
          <w:color w:val="000000"/>
        </w:rPr>
        <w:t xml:space="preserve">of </w:t>
      </w:r>
      <w:r w:rsidR="00C03048" w:rsidRPr="00124FF2">
        <w:rPr>
          <w:color w:val="000000"/>
        </w:rPr>
        <w:t>data</w:t>
      </w:r>
      <w:r w:rsidR="00DF45E3" w:rsidRPr="00124FF2">
        <w:rPr>
          <w:color w:val="000000"/>
        </w:rPr>
        <w:t xml:space="preserve">, making </w:t>
      </w:r>
      <w:r w:rsidR="00E81C0D">
        <w:rPr>
          <w:color w:val="000000"/>
        </w:rPr>
        <w:t xml:space="preserve">the data more useful for </w:t>
      </w:r>
      <w:r w:rsidR="00DF45E3" w:rsidRPr="00124FF2">
        <w:rPr>
          <w:color w:val="000000"/>
        </w:rPr>
        <w:t xml:space="preserve">disease prevention and control </w:t>
      </w:r>
      <w:r w:rsidR="00E81C0D">
        <w:rPr>
          <w:color w:val="000000"/>
        </w:rPr>
        <w:t>activities</w:t>
      </w:r>
      <w:r w:rsidR="00C03048" w:rsidRPr="00124FF2">
        <w:rPr>
          <w:color w:val="000000"/>
        </w:rPr>
        <w:t xml:space="preserve">. </w:t>
      </w:r>
    </w:p>
    <w:p w:rsidR="00601F1F" w:rsidRPr="00124FF2" w:rsidRDefault="00601F1F" w:rsidP="000E23CB">
      <w:pPr>
        <w:spacing w:line="360" w:lineRule="auto"/>
        <w:rPr>
          <w:color w:val="000000"/>
        </w:rPr>
      </w:pPr>
    </w:p>
    <w:p w:rsidR="00601F1F" w:rsidRPr="00124FF2" w:rsidRDefault="00601F1F" w:rsidP="000E23CB">
      <w:pPr>
        <w:spacing w:line="360" w:lineRule="auto"/>
        <w:rPr>
          <w:color w:val="000000"/>
        </w:rPr>
      </w:pPr>
      <w:r w:rsidRPr="00124FF2">
        <w:rPr>
          <w:color w:val="000000"/>
        </w:rPr>
        <w:t xml:space="preserve">Both the increased communication and coordination with state, territorial and local health departments and the implementation of new </w:t>
      </w:r>
      <w:r w:rsidR="00392BFF">
        <w:rPr>
          <w:color w:val="000000"/>
        </w:rPr>
        <w:t xml:space="preserve">electronic </w:t>
      </w:r>
      <w:r w:rsidR="007862FC">
        <w:rPr>
          <w:color w:val="000000"/>
        </w:rPr>
        <w:t xml:space="preserve">systems and </w:t>
      </w:r>
      <w:r w:rsidRPr="00124FF2">
        <w:rPr>
          <w:color w:val="000000"/>
        </w:rPr>
        <w:t xml:space="preserve">technologies by </w:t>
      </w:r>
      <w:r w:rsidR="00392BFF">
        <w:rPr>
          <w:color w:val="000000"/>
        </w:rPr>
        <w:t>the</w:t>
      </w:r>
      <w:r w:rsidRPr="00124FF2">
        <w:rPr>
          <w:color w:val="000000"/>
        </w:rPr>
        <w:t xml:space="preserve"> departments in collaboration with CDC </w:t>
      </w:r>
      <w:r w:rsidR="00375FA2">
        <w:rPr>
          <w:color w:val="000000"/>
        </w:rPr>
        <w:t>may</w:t>
      </w:r>
      <w:r w:rsidRPr="00124FF2">
        <w:rPr>
          <w:color w:val="000000"/>
        </w:rPr>
        <w:t xml:space="preserve"> initially increase the burden</w:t>
      </w:r>
      <w:r w:rsidR="00392BFF">
        <w:rPr>
          <w:color w:val="000000"/>
        </w:rPr>
        <w:t xml:space="preserve"> to the departments</w:t>
      </w:r>
      <w:r w:rsidR="00DF7BE7">
        <w:rPr>
          <w:color w:val="000000"/>
        </w:rPr>
        <w:t xml:space="preserve"> as they devote time and other resources to making these changes</w:t>
      </w:r>
      <w:r w:rsidRPr="00124FF2">
        <w:rPr>
          <w:color w:val="000000"/>
        </w:rPr>
        <w:t xml:space="preserve">. However, the burden </w:t>
      </w:r>
      <w:r w:rsidR="007862FC">
        <w:rPr>
          <w:color w:val="000000"/>
        </w:rPr>
        <w:t>may</w:t>
      </w:r>
      <w:r w:rsidRPr="00124FF2">
        <w:rPr>
          <w:color w:val="000000"/>
        </w:rPr>
        <w:t xml:space="preserve"> be substantially reduced as the new technologies are implemented and labor intensive manual processes are replaced by </w:t>
      </w:r>
      <w:r w:rsidR="005204E8">
        <w:rPr>
          <w:color w:val="000000"/>
        </w:rPr>
        <w:t xml:space="preserve">more efficient, </w:t>
      </w:r>
      <w:r w:rsidRPr="00124FF2">
        <w:rPr>
          <w:color w:val="000000"/>
        </w:rPr>
        <w:t xml:space="preserve">standardized automated electronic systems. </w:t>
      </w:r>
    </w:p>
    <w:p w:rsidR="00C03048" w:rsidRPr="00124FF2" w:rsidRDefault="00C03048" w:rsidP="000E23CB">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009135CB" w:rsidRPr="00124FF2" w:rsidRDefault="009135CB" w:rsidP="000E23CB">
      <w:pPr>
        <w:spacing w:line="360" w:lineRule="auto"/>
        <w:rPr>
          <w:color w:val="000000"/>
        </w:rPr>
      </w:pPr>
      <w:r w:rsidRPr="00124FF2">
        <w:rPr>
          <w:b/>
          <w:color w:val="000000"/>
        </w:rPr>
        <w:t xml:space="preserve">A.4. </w:t>
      </w:r>
      <w:r w:rsidR="00CF4B0F" w:rsidRPr="00124FF2">
        <w:rPr>
          <w:b/>
          <w:u w:val="single"/>
        </w:rPr>
        <w:t>Efforts to Identify Duplication and Use of Similar Information</w:t>
      </w:r>
      <w:r w:rsidR="00CF4B0F" w:rsidRPr="00124FF2">
        <w:t xml:space="preserve">  </w:t>
      </w:r>
    </w:p>
    <w:p w:rsidR="009135CB" w:rsidRPr="00124FF2" w:rsidRDefault="009135CB" w:rsidP="000E23CB">
      <w:pPr>
        <w:spacing w:line="360" w:lineRule="auto"/>
        <w:rPr>
          <w:color w:val="000000"/>
        </w:rPr>
      </w:pPr>
    </w:p>
    <w:p w:rsidR="00F815DB" w:rsidRPr="00124FF2" w:rsidRDefault="006B6060" w:rsidP="000E23CB">
      <w:pPr>
        <w:tabs>
          <w:tab w:val="left" w:pos="3240"/>
        </w:tabs>
        <w:spacing w:line="360" w:lineRule="auto"/>
        <w:rPr>
          <w:color w:val="000000"/>
        </w:rPr>
      </w:pPr>
      <w:r w:rsidRPr="00124FF2">
        <w:rPr>
          <w:color w:val="000000"/>
        </w:rPr>
        <w:t xml:space="preserve">No other Federal agency funds or conducts this type of surveillance, based on </w:t>
      </w:r>
      <w:r w:rsidR="001F78A6">
        <w:rPr>
          <w:color w:val="000000"/>
        </w:rPr>
        <w:t xml:space="preserve">information on reportable conditions </w:t>
      </w:r>
      <w:r w:rsidRPr="00124FF2">
        <w:rPr>
          <w:color w:val="000000"/>
        </w:rPr>
        <w:t xml:space="preserve">received by state, territorial, and local public health </w:t>
      </w:r>
      <w:r w:rsidR="00F57A0D" w:rsidRPr="00124FF2">
        <w:rPr>
          <w:color w:val="000000"/>
        </w:rPr>
        <w:t>departments</w:t>
      </w:r>
      <w:r w:rsidR="00621B17" w:rsidRPr="00124FF2">
        <w:rPr>
          <w:color w:val="000000"/>
        </w:rPr>
        <w:t xml:space="preserve"> and notifications submitted by public health </w:t>
      </w:r>
      <w:r w:rsidR="00F57A0D" w:rsidRPr="00124FF2">
        <w:rPr>
          <w:color w:val="000000"/>
        </w:rPr>
        <w:t>departments</w:t>
      </w:r>
      <w:r w:rsidR="00621B17" w:rsidRPr="00124FF2">
        <w:rPr>
          <w:color w:val="000000"/>
        </w:rPr>
        <w:t xml:space="preserve"> to CDC</w:t>
      </w:r>
      <w:r w:rsidRPr="00124FF2">
        <w:rPr>
          <w:color w:val="000000"/>
        </w:rPr>
        <w:t xml:space="preserve">. </w:t>
      </w:r>
      <w:r w:rsidR="009135CB" w:rsidRPr="00124FF2">
        <w:rPr>
          <w:color w:val="000000"/>
        </w:rPr>
        <w:t xml:space="preserve">Information </w:t>
      </w:r>
      <w:r w:rsidRPr="00124FF2">
        <w:rPr>
          <w:color w:val="000000"/>
        </w:rPr>
        <w:t xml:space="preserve">obtained and </w:t>
      </w:r>
      <w:r w:rsidR="009135CB" w:rsidRPr="00124FF2">
        <w:rPr>
          <w:color w:val="000000"/>
        </w:rPr>
        <w:t xml:space="preserve">maintained in NNDSS serves as a </w:t>
      </w:r>
      <w:r w:rsidR="00D640B7" w:rsidRPr="00124FF2">
        <w:rPr>
          <w:color w:val="000000"/>
        </w:rPr>
        <w:t xml:space="preserve">unique, </w:t>
      </w:r>
      <w:r w:rsidR="009135CB" w:rsidRPr="00124FF2">
        <w:rPr>
          <w:color w:val="000000"/>
        </w:rPr>
        <w:t xml:space="preserve">centralized, integrated source of </w:t>
      </w:r>
      <w:r w:rsidR="00F44173">
        <w:rPr>
          <w:color w:val="000000"/>
        </w:rPr>
        <w:t>information ab</w:t>
      </w:r>
      <w:r w:rsidR="00587C37" w:rsidRPr="00124FF2">
        <w:rPr>
          <w:color w:val="000000"/>
        </w:rPr>
        <w:t xml:space="preserve">out nationally </w:t>
      </w:r>
      <w:r w:rsidR="009A6469" w:rsidRPr="00124FF2">
        <w:t>notifiable</w:t>
      </w:r>
      <w:r w:rsidR="00621B17" w:rsidRPr="00124FF2">
        <w:t xml:space="preserve"> </w:t>
      </w:r>
      <w:r w:rsidR="000B082C" w:rsidRPr="00124FF2">
        <w:rPr>
          <w:color w:val="000000"/>
        </w:rPr>
        <w:t>condition</w:t>
      </w:r>
      <w:r w:rsidR="00F44173">
        <w:rPr>
          <w:color w:val="000000"/>
        </w:rPr>
        <w:t>s</w:t>
      </w:r>
      <w:r w:rsidR="009135CB" w:rsidRPr="00124FF2">
        <w:rPr>
          <w:color w:val="000000"/>
        </w:rPr>
        <w:t xml:space="preserve"> in the U</w:t>
      </w:r>
      <w:r w:rsidR="00F44173">
        <w:rPr>
          <w:color w:val="000000"/>
        </w:rPr>
        <w:t>.S.</w:t>
      </w:r>
      <w:r w:rsidR="009135CB" w:rsidRPr="00124FF2">
        <w:rPr>
          <w:color w:val="000000"/>
        </w:rPr>
        <w:t xml:space="preserve"> and </w:t>
      </w:r>
      <w:r w:rsidR="00F44173">
        <w:rPr>
          <w:color w:val="000000"/>
        </w:rPr>
        <w:t>the information</w:t>
      </w:r>
      <w:r w:rsidR="009135CB" w:rsidRPr="00124FF2">
        <w:rPr>
          <w:color w:val="000000"/>
        </w:rPr>
        <w:t xml:space="preserve"> is not available from any other source. </w:t>
      </w:r>
      <w:r w:rsidR="00E26446">
        <w:rPr>
          <w:color w:val="000000"/>
        </w:rPr>
        <w:t xml:space="preserve">In addition, </w:t>
      </w:r>
      <w:r w:rsidR="003A2E10" w:rsidRPr="003A2E10">
        <w:rPr>
          <w:color w:val="000000"/>
        </w:rPr>
        <w:t>consolidati</w:t>
      </w:r>
      <w:r w:rsidR="00C435E1">
        <w:rPr>
          <w:color w:val="000000"/>
        </w:rPr>
        <w:t>o</w:t>
      </w:r>
      <w:r w:rsidR="003A2E10" w:rsidRPr="003A2E10">
        <w:rPr>
          <w:color w:val="000000"/>
        </w:rPr>
        <w:t xml:space="preserve">n </w:t>
      </w:r>
      <w:r w:rsidR="003A2E10">
        <w:rPr>
          <w:color w:val="000000"/>
        </w:rPr>
        <w:t xml:space="preserve">the NNDSS-related OMB application </w:t>
      </w:r>
      <w:r w:rsidR="003A2E10" w:rsidRPr="003A2E10">
        <w:rPr>
          <w:color w:val="000000"/>
        </w:rPr>
        <w:t>0128, and parts of 0819, 0009 and 0004 into 0728</w:t>
      </w:r>
      <w:r w:rsidR="00C435E1">
        <w:rPr>
          <w:color w:val="000000"/>
        </w:rPr>
        <w:t xml:space="preserve"> facilitates the developments in information systems noted above in A.3 above. </w:t>
      </w:r>
      <w:r w:rsidR="00D65131">
        <w:rPr>
          <w:color w:val="000000"/>
        </w:rPr>
        <w:t>So, as</w:t>
      </w:r>
      <w:r w:rsidR="00A17442">
        <w:rPr>
          <w:color w:val="000000"/>
        </w:rPr>
        <w:t xml:space="preserve"> the CSELS NNDSS electronic systems are developed</w:t>
      </w:r>
      <w:r w:rsidR="00BB798F">
        <w:rPr>
          <w:color w:val="000000"/>
        </w:rPr>
        <w:t xml:space="preserve"> to allow state and local health departments to submit more </w:t>
      </w:r>
      <w:r w:rsidR="00BB444B">
        <w:rPr>
          <w:color w:val="000000"/>
        </w:rPr>
        <w:t xml:space="preserve">nationally notifiable disease </w:t>
      </w:r>
      <w:r w:rsidR="00BB798F">
        <w:rPr>
          <w:color w:val="000000"/>
        </w:rPr>
        <w:t>data to CDC through CSELS</w:t>
      </w:r>
      <w:r w:rsidR="00E26446">
        <w:rPr>
          <w:color w:val="000000"/>
        </w:rPr>
        <w:t xml:space="preserve"> NNDSS</w:t>
      </w:r>
      <w:r w:rsidR="00BB798F">
        <w:rPr>
          <w:color w:val="000000"/>
        </w:rPr>
        <w:t xml:space="preserve">, </w:t>
      </w:r>
      <w:r w:rsidR="00D65131">
        <w:rPr>
          <w:color w:val="000000"/>
        </w:rPr>
        <w:t xml:space="preserve">both the </w:t>
      </w:r>
      <w:r w:rsidR="0007197E">
        <w:rPr>
          <w:color w:val="000000"/>
        </w:rPr>
        <w:t>duplication of reportin</w:t>
      </w:r>
      <w:r w:rsidR="00791B79">
        <w:rPr>
          <w:color w:val="000000"/>
        </w:rPr>
        <w:t>g to CDC</w:t>
      </w:r>
      <w:r w:rsidR="00E26446">
        <w:rPr>
          <w:color w:val="000000"/>
        </w:rPr>
        <w:t xml:space="preserve"> by state and local health departments </w:t>
      </w:r>
      <w:r w:rsidR="00D22D21">
        <w:rPr>
          <w:color w:val="000000"/>
        </w:rPr>
        <w:t xml:space="preserve">and </w:t>
      </w:r>
      <w:r w:rsidR="00D65131">
        <w:rPr>
          <w:color w:val="000000"/>
        </w:rPr>
        <w:t xml:space="preserve">the </w:t>
      </w:r>
      <w:r w:rsidR="00D22D21">
        <w:rPr>
          <w:color w:val="000000"/>
        </w:rPr>
        <w:t xml:space="preserve">burden to state and local health departments </w:t>
      </w:r>
      <w:r w:rsidR="00E83AA9">
        <w:rPr>
          <w:color w:val="000000"/>
        </w:rPr>
        <w:t>may</w:t>
      </w:r>
      <w:r w:rsidR="00D22D21">
        <w:rPr>
          <w:color w:val="000000"/>
        </w:rPr>
        <w:t xml:space="preserve"> be reduced.</w:t>
      </w:r>
    </w:p>
    <w:p w:rsidR="00F815DB" w:rsidRPr="00124FF2" w:rsidRDefault="00F815DB" w:rsidP="000E23CB">
      <w:pPr>
        <w:spacing w:line="360" w:lineRule="auto"/>
        <w:rPr>
          <w:color w:val="000000"/>
        </w:rPr>
      </w:pPr>
    </w:p>
    <w:p w:rsidR="009135CB" w:rsidRPr="00124FF2" w:rsidRDefault="009135CB" w:rsidP="000E23CB">
      <w:pPr>
        <w:spacing w:line="360" w:lineRule="auto"/>
        <w:rPr>
          <w:color w:val="000000"/>
        </w:rPr>
      </w:pPr>
      <w:r w:rsidRPr="00124FF2">
        <w:rPr>
          <w:b/>
          <w:color w:val="000000"/>
        </w:rPr>
        <w:t xml:space="preserve">A.5. </w:t>
      </w:r>
      <w:r w:rsidR="003034F9" w:rsidRPr="00124FF2">
        <w:rPr>
          <w:b/>
          <w:u w:val="single"/>
        </w:rPr>
        <w:t>Impact on Small Businesses or Other Small Entities</w:t>
      </w:r>
    </w:p>
    <w:p w:rsidR="009135CB" w:rsidRPr="00124FF2" w:rsidRDefault="009135CB" w:rsidP="000E23CB">
      <w:pPr>
        <w:spacing w:line="360" w:lineRule="auto"/>
        <w:rPr>
          <w:color w:val="000000"/>
        </w:rPr>
      </w:pPr>
    </w:p>
    <w:p w:rsidR="009135CB" w:rsidRPr="00124FF2" w:rsidRDefault="009135CB" w:rsidP="000E23CB">
      <w:pPr>
        <w:spacing w:line="360" w:lineRule="auto"/>
        <w:rPr>
          <w:color w:val="000000"/>
        </w:rPr>
      </w:pPr>
      <w:r w:rsidRPr="00124FF2">
        <w:rPr>
          <w:color w:val="000000"/>
        </w:rPr>
        <w:t xml:space="preserve">This </w:t>
      </w:r>
      <w:r w:rsidR="00A553B2" w:rsidRPr="00124FF2">
        <w:rPr>
          <w:color w:val="000000"/>
        </w:rPr>
        <w:t>submission</w:t>
      </w:r>
      <w:r w:rsidRPr="00124FF2">
        <w:rPr>
          <w:color w:val="000000"/>
        </w:rPr>
        <w:t xml:space="preserve"> of information does not involve small businesses or other small entities.</w:t>
      </w:r>
    </w:p>
    <w:p w:rsidR="009135CB" w:rsidRPr="00124FF2" w:rsidRDefault="009135CB" w:rsidP="000E23CB">
      <w:pPr>
        <w:spacing w:line="360" w:lineRule="auto"/>
        <w:rPr>
          <w:color w:val="000000"/>
        </w:rPr>
      </w:pPr>
    </w:p>
    <w:p w:rsidR="009135CB" w:rsidRPr="00124FF2" w:rsidRDefault="009135CB" w:rsidP="000E23CB">
      <w:pPr>
        <w:spacing w:line="360" w:lineRule="auto"/>
        <w:rPr>
          <w:color w:val="000000"/>
        </w:rPr>
      </w:pPr>
      <w:r w:rsidRPr="00124FF2">
        <w:rPr>
          <w:b/>
          <w:color w:val="000000"/>
        </w:rPr>
        <w:t xml:space="preserve">A.6. </w:t>
      </w:r>
      <w:r w:rsidR="00696F5F" w:rsidRPr="00124FF2">
        <w:rPr>
          <w:b/>
          <w:u w:val="single"/>
        </w:rPr>
        <w:t xml:space="preserve">Consequences of </w:t>
      </w:r>
      <w:r w:rsidR="008C76E9">
        <w:rPr>
          <w:b/>
          <w:u w:val="single"/>
        </w:rPr>
        <w:t xml:space="preserve">Collecting </w:t>
      </w:r>
      <w:r w:rsidR="00696F5F" w:rsidRPr="00124FF2">
        <w:rPr>
          <w:b/>
          <w:u w:val="single"/>
        </w:rPr>
        <w:t>the Information Less Frequently</w:t>
      </w:r>
    </w:p>
    <w:p w:rsidR="009135CB" w:rsidRPr="00124FF2" w:rsidRDefault="009135CB" w:rsidP="000E23CB">
      <w:pPr>
        <w:spacing w:line="360" w:lineRule="auto"/>
        <w:rPr>
          <w:color w:val="000000"/>
        </w:rPr>
      </w:pPr>
    </w:p>
    <w:p w:rsidR="00582C46" w:rsidRPr="00124FF2" w:rsidRDefault="009135CB" w:rsidP="000E23CB">
      <w:pPr>
        <w:spacing w:line="360" w:lineRule="auto"/>
        <w:rPr>
          <w:color w:val="000000"/>
        </w:rPr>
      </w:pPr>
      <w:r w:rsidRPr="00124FF2">
        <w:rPr>
          <w:color w:val="000000"/>
        </w:rPr>
        <w:t>The timeliness of these data is one of the most critical factors in the</w:t>
      </w:r>
      <w:r w:rsidR="00775CC8" w:rsidRPr="00124FF2">
        <w:rPr>
          <w:color w:val="000000"/>
        </w:rPr>
        <w:t xml:space="preserve"> </w:t>
      </w:r>
      <w:r w:rsidR="00F44173">
        <w:rPr>
          <w:color w:val="000000"/>
        </w:rPr>
        <w:t>notification</w:t>
      </w:r>
      <w:r w:rsidRPr="00124FF2">
        <w:rPr>
          <w:color w:val="000000"/>
        </w:rPr>
        <w:t xml:space="preserve"> process.</w:t>
      </w:r>
      <w:r w:rsidR="00FC03D1" w:rsidRPr="00124FF2">
        <w:rPr>
          <w:color w:val="000000"/>
        </w:rPr>
        <w:t xml:space="preserve"> </w:t>
      </w:r>
      <w:r w:rsidR="00621B17" w:rsidRPr="00124FF2">
        <w:rPr>
          <w:color w:val="000000"/>
        </w:rPr>
        <w:t>Rapid d</w:t>
      </w:r>
      <w:r w:rsidR="009E394D" w:rsidRPr="00124FF2">
        <w:rPr>
          <w:color w:val="000000"/>
        </w:rPr>
        <w:t>isease</w:t>
      </w:r>
      <w:r w:rsidR="00C95414" w:rsidRPr="00124FF2">
        <w:rPr>
          <w:color w:val="000000"/>
        </w:rPr>
        <w:t xml:space="preserve"> notification</w:t>
      </w:r>
      <w:r w:rsidR="009E394D" w:rsidRPr="00124FF2">
        <w:rPr>
          <w:color w:val="000000"/>
        </w:rPr>
        <w:t xml:space="preserve"> is a</w:t>
      </w:r>
      <w:r w:rsidR="00621B17" w:rsidRPr="00124FF2">
        <w:rPr>
          <w:color w:val="000000"/>
        </w:rPr>
        <w:t>n indispensable</w:t>
      </w:r>
      <w:r w:rsidR="009E394D" w:rsidRPr="00124FF2">
        <w:rPr>
          <w:color w:val="000000"/>
        </w:rPr>
        <w:t xml:space="preserve"> tool for public health officials</w:t>
      </w:r>
      <w:r w:rsidR="00E21958" w:rsidRPr="00124FF2">
        <w:rPr>
          <w:color w:val="000000"/>
        </w:rPr>
        <w:t xml:space="preserve"> at </w:t>
      </w:r>
      <w:r w:rsidR="001F78A6">
        <w:rPr>
          <w:color w:val="000000"/>
        </w:rPr>
        <w:t>local, state, territorial and national</w:t>
      </w:r>
      <w:r w:rsidR="00E21958" w:rsidRPr="00124FF2">
        <w:rPr>
          <w:color w:val="000000"/>
        </w:rPr>
        <w:t xml:space="preserve"> levels</w:t>
      </w:r>
      <w:r w:rsidR="009E394D" w:rsidRPr="00124FF2">
        <w:rPr>
          <w:color w:val="000000"/>
        </w:rPr>
        <w:t xml:space="preserve">, who use the data </w:t>
      </w:r>
      <w:r w:rsidR="00E21958" w:rsidRPr="00124FF2">
        <w:rPr>
          <w:color w:val="000000"/>
        </w:rPr>
        <w:t>to</w:t>
      </w:r>
      <w:r w:rsidR="009E394D" w:rsidRPr="00124FF2">
        <w:rPr>
          <w:color w:val="000000"/>
        </w:rPr>
        <w:t xml:space="preserve"> </w:t>
      </w:r>
      <w:r w:rsidR="0056512A">
        <w:rPr>
          <w:color w:val="000000"/>
        </w:rPr>
        <w:t xml:space="preserve">monitor </w:t>
      </w:r>
      <w:r w:rsidR="00621B17" w:rsidRPr="00124FF2">
        <w:rPr>
          <w:color w:val="000000"/>
        </w:rPr>
        <w:t xml:space="preserve">the occurrence and </w:t>
      </w:r>
      <w:r w:rsidR="0056512A">
        <w:rPr>
          <w:color w:val="000000"/>
        </w:rPr>
        <w:t xml:space="preserve">prevent the </w:t>
      </w:r>
      <w:r w:rsidR="00621B17" w:rsidRPr="00124FF2">
        <w:rPr>
          <w:color w:val="000000"/>
        </w:rPr>
        <w:t xml:space="preserve">spread of </w:t>
      </w:r>
      <w:r w:rsidR="0056512A">
        <w:rPr>
          <w:color w:val="000000"/>
        </w:rPr>
        <w:t>the diseases</w:t>
      </w:r>
      <w:r w:rsidR="00621B17" w:rsidRPr="00124FF2">
        <w:rPr>
          <w:color w:val="000000"/>
        </w:rPr>
        <w:t xml:space="preserve">. </w:t>
      </w:r>
      <w:r w:rsidR="006B6060" w:rsidRPr="00124FF2">
        <w:rPr>
          <w:color w:val="000000"/>
        </w:rPr>
        <w:t>Less frequent</w:t>
      </w:r>
      <w:r w:rsidR="00FB4484" w:rsidRPr="00124FF2">
        <w:rPr>
          <w:color w:val="000000"/>
        </w:rPr>
        <w:t xml:space="preserve"> </w:t>
      </w:r>
      <w:r w:rsidR="00C95414" w:rsidRPr="00124FF2">
        <w:rPr>
          <w:color w:val="000000"/>
        </w:rPr>
        <w:t>notification</w:t>
      </w:r>
      <w:r w:rsidRPr="00124FF2">
        <w:rPr>
          <w:color w:val="000000"/>
        </w:rPr>
        <w:t xml:space="preserve"> does not allow timely assessment, particularly </w:t>
      </w:r>
      <w:r w:rsidR="00621B17" w:rsidRPr="00124FF2">
        <w:rPr>
          <w:color w:val="000000"/>
        </w:rPr>
        <w:t xml:space="preserve">for </w:t>
      </w:r>
      <w:r w:rsidRPr="00124FF2">
        <w:rPr>
          <w:color w:val="000000"/>
        </w:rPr>
        <w:t>emerging disease</w:t>
      </w:r>
      <w:r w:rsidR="0056512A">
        <w:rPr>
          <w:color w:val="000000"/>
        </w:rPr>
        <w:t xml:space="preserve"> </w:t>
      </w:r>
      <w:r w:rsidRPr="00124FF2">
        <w:rPr>
          <w:color w:val="000000"/>
        </w:rPr>
        <w:t>threats. Changes in disease distribution</w:t>
      </w:r>
      <w:r w:rsidR="00621B17" w:rsidRPr="00124FF2">
        <w:rPr>
          <w:color w:val="000000"/>
        </w:rPr>
        <w:t xml:space="preserve"> are</w:t>
      </w:r>
      <w:r w:rsidRPr="00124FF2">
        <w:rPr>
          <w:color w:val="000000"/>
        </w:rPr>
        <w:t xml:space="preserve"> continuously monitored </w:t>
      </w:r>
      <w:r w:rsidR="00E21958" w:rsidRPr="00124FF2">
        <w:rPr>
          <w:color w:val="000000"/>
        </w:rPr>
        <w:t xml:space="preserve">so that </w:t>
      </w:r>
      <w:r w:rsidRPr="00124FF2">
        <w:rPr>
          <w:color w:val="000000"/>
        </w:rPr>
        <w:t>appropriate investigation</w:t>
      </w:r>
      <w:r w:rsidR="00A95154">
        <w:rPr>
          <w:color w:val="000000"/>
        </w:rPr>
        <w:t>s</w:t>
      </w:r>
      <w:r w:rsidRPr="00124FF2">
        <w:rPr>
          <w:color w:val="000000"/>
        </w:rPr>
        <w:t xml:space="preserve"> or intervention</w:t>
      </w:r>
      <w:r w:rsidR="00A95154">
        <w:rPr>
          <w:color w:val="000000"/>
        </w:rPr>
        <w:t>s</w:t>
      </w:r>
      <w:r w:rsidRPr="00124FF2">
        <w:rPr>
          <w:color w:val="000000"/>
        </w:rPr>
        <w:t xml:space="preserve"> may be rapidly undertaken. </w:t>
      </w:r>
      <w:r w:rsidR="00582C46" w:rsidRPr="00124FF2">
        <w:rPr>
          <w:color w:val="000000"/>
        </w:rPr>
        <w:t xml:space="preserve">  </w:t>
      </w:r>
    </w:p>
    <w:p w:rsidR="006B6060" w:rsidRPr="00124FF2" w:rsidRDefault="006B6060" w:rsidP="000E23CB">
      <w:pPr>
        <w:spacing w:line="360" w:lineRule="auto"/>
        <w:rPr>
          <w:color w:val="000000"/>
        </w:rPr>
      </w:pPr>
    </w:p>
    <w:p w:rsidR="006B6060" w:rsidRPr="00124FF2" w:rsidRDefault="00396D58" w:rsidP="000E23CB">
      <w:pPr>
        <w:spacing w:line="360" w:lineRule="auto"/>
        <w:rPr>
          <w:color w:val="000000"/>
        </w:rPr>
      </w:pPr>
      <w:r>
        <w:rPr>
          <w:color w:val="000000"/>
        </w:rPr>
        <w:t>In addition, r</w:t>
      </w:r>
      <w:r w:rsidR="006B6060" w:rsidRPr="00124FF2">
        <w:rPr>
          <w:color w:val="000000"/>
        </w:rPr>
        <w:t xml:space="preserve">apid </w:t>
      </w:r>
      <w:r w:rsidR="00C95414" w:rsidRPr="00124FF2">
        <w:rPr>
          <w:color w:val="000000"/>
        </w:rPr>
        <w:t>notification</w:t>
      </w:r>
      <w:r w:rsidR="006B6060" w:rsidRPr="00124FF2">
        <w:rPr>
          <w:color w:val="000000"/>
        </w:rPr>
        <w:t xml:space="preserve"> is also necessary to allow the United States to </w:t>
      </w:r>
      <w:r w:rsidR="00244EDE" w:rsidRPr="00124FF2">
        <w:rPr>
          <w:color w:val="000000"/>
        </w:rPr>
        <w:t xml:space="preserve">meet its </w:t>
      </w:r>
      <w:r w:rsidR="00582C46" w:rsidRPr="00124FF2">
        <w:rPr>
          <w:color w:val="000000"/>
        </w:rPr>
        <w:t xml:space="preserve">obligations under the revised 2005 International Health Regulations </w:t>
      </w:r>
      <w:r w:rsidR="006B6060" w:rsidRPr="00124FF2">
        <w:rPr>
          <w:color w:val="000000"/>
        </w:rPr>
        <w:t xml:space="preserve">to report important </w:t>
      </w:r>
      <w:r w:rsidR="0004678C">
        <w:rPr>
          <w:color w:val="000000"/>
        </w:rPr>
        <w:t xml:space="preserve">events that meet the criteria to be considered a public health emergency of international concern </w:t>
      </w:r>
      <w:r w:rsidR="006B6060" w:rsidRPr="00124FF2">
        <w:rPr>
          <w:color w:val="000000"/>
        </w:rPr>
        <w:t>to the World Health Organization.</w:t>
      </w:r>
    </w:p>
    <w:p w:rsidR="006B6060" w:rsidRPr="00124FF2" w:rsidRDefault="006B6060" w:rsidP="000E23CB">
      <w:pPr>
        <w:spacing w:line="360" w:lineRule="auto"/>
        <w:rPr>
          <w:color w:val="000000"/>
        </w:rPr>
      </w:pPr>
    </w:p>
    <w:p w:rsidR="009135CB" w:rsidRPr="00124FF2" w:rsidRDefault="005204E8" w:rsidP="000E23CB">
      <w:pPr>
        <w:spacing w:line="360" w:lineRule="auto"/>
        <w:rPr>
          <w:color w:val="000000"/>
        </w:rPr>
      </w:pPr>
      <w:r>
        <w:rPr>
          <w:color w:val="000000"/>
        </w:rPr>
        <w:t>We are not aware of any</w:t>
      </w:r>
      <w:r w:rsidR="009135CB" w:rsidRPr="00124FF2">
        <w:rPr>
          <w:color w:val="000000"/>
        </w:rPr>
        <w:t xml:space="preserve"> legal obstacles to reducing the burden.</w:t>
      </w:r>
    </w:p>
    <w:p w:rsidR="009135CB" w:rsidRPr="00124FF2" w:rsidRDefault="009135CB" w:rsidP="000E23CB">
      <w:pPr>
        <w:spacing w:line="360" w:lineRule="auto"/>
        <w:rPr>
          <w:color w:val="000000"/>
        </w:rPr>
      </w:pPr>
    </w:p>
    <w:p w:rsidR="009135CB" w:rsidRPr="00124FF2" w:rsidRDefault="009135CB" w:rsidP="000E23CB">
      <w:pPr>
        <w:spacing w:line="360" w:lineRule="auto"/>
        <w:rPr>
          <w:color w:val="000000"/>
        </w:rPr>
      </w:pPr>
      <w:r w:rsidRPr="00124FF2">
        <w:rPr>
          <w:b/>
          <w:color w:val="000000"/>
        </w:rPr>
        <w:t xml:space="preserve">A.7. </w:t>
      </w:r>
      <w:r w:rsidR="00EE7897" w:rsidRPr="00124FF2">
        <w:rPr>
          <w:b/>
          <w:u w:val="single"/>
        </w:rPr>
        <w:t>Special Circumstances Relating to the Guidelines of 5 CFR 1320.5</w:t>
      </w:r>
    </w:p>
    <w:p w:rsidR="009135CB" w:rsidRPr="00124FF2" w:rsidRDefault="009135CB" w:rsidP="000E23CB">
      <w:pPr>
        <w:spacing w:line="360" w:lineRule="auto"/>
        <w:rPr>
          <w:color w:val="000000"/>
        </w:rPr>
      </w:pPr>
    </w:p>
    <w:p w:rsidR="00BF5537" w:rsidRPr="00124FF2" w:rsidRDefault="009135CB" w:rsidP="000E23CB">
      <w:pPr>
        <w:spacing w:line="360" w:lineRule="auto"/>
        <w:rPr>
          <w:color w:val="000000"/>
        </w:rPr>
      </w:pPr>
      <w:r w:rsidRPr="00124FF2">
        <w:rPr>
          <w:color w:val="000000"/>
        </w:rPr>
        <w:t xml:space="preserve">As explained in Section "A.6", </w:t>
      </w:r>
      <w:r w:rsidR="009E72BD" w:rsidRPr="00124FF2">
        <w:rPr>
          <w:color w:val="000000"/>
        </w:rPr>
        <w:t xml:space="preserve">rapid </w:t>
      </w:r>
      <w:r w:rsidR="00C95414" w:rsidRPr="00124FF2">
        <w:rPr>
          <w:color w:val="000000"/>
        </w:rPr>
        <w:t>submission</w:t>
      </w:r>
      <w:r w:rsidR="000E4564" w:rsidRPr="00124FF2">
        <w:rPr>
          <w:color w:val="000000"/>
        </w:rPr>
        <w:t xml:space="preserve"> of national </w:t>
      </w:r>
      <w:r w:rsidRPr="00124FF2">
        <w:rPr>
          <w:color w:val="000000"/>
        </w:rPr>
        <w:t xml:space="preserve">data </w:t>
      </w:r>
      <w:r w:rsidR="009E72BD" w:rsidRPr="00124FF2">
        <w:rPr>
          <w:color w:val="000000"/>
        </w:rPr>
        <w:t xml:space="preserve">to NNDSS </w:t>
      </w:r>
      <w:r w:rsidRPr="00124FF2">
        <w:rPr>
          <w:color w:val="000000"/>
        </w:rPr>
        <w:t xml:space="preserve">is essential to the </w:t>
      </w:r>
      <w:r w:rsidR="009E72BD" w:rsidRPr="00124FF2">
        <w:rPr>
          <w:color w:val="000000"/>
        </w:rPr>
        <w:t>early</w:t>
      </w:r>
      <w:r w:rsidRPr="00124FF2">
        <w:rPr>
          <w:color w:val="000000"/>
        </w:rPr>
        <w:t xml:space="preserve"> identifi</w:t>
      </w:r>
      <w:r w:rsidR="00CF196A" w:rsidRPr="00124FF2">
        <w:rPr>
          <w:color w:val="000000"/>
        </w:rPr>
        <w:t>cation of disease epidemics</w:t>
      </w:r>
      <w:r w:rsidR="009E72BD" w:rsidRPr="00124FF2">
        <w:rPr>
          <w:color w:val="000000"/>
        </w:rPr>
        <w:t>,</w:t>
      </w:r>
      <w:r w:rsidR="00CF196A" w:rsidRPr="00124FF2">
        <w:rPr>
          <w:color w:val="000000"/>
        </w:rPr>
        <w:t xml:space="preserve"> </w:t>
      </w:r>
      <w:r w:rsidRPr="00124FF2">
        <w:rPr>
          <w:color w:val="000000"/>
        </w:rPr>
        <w:t>more timely and complete understanding of disease trends</w:t>
      </w:r>
      <w:r w:rsidR="009E72BD" w:rsidRPr="00124FF2">
        <w:rPr>
          <w:color w:val="000000"/>
        </w:rPr>
        <w:t>, and evaluation of prevention and control efforts</w:t>
      </w:r>
      <w:r w:rsidR="00CF196A" w:rsidRPr="00124FF2">
        <w:rPr>
          <w:color w:val="000000"/>
        </w:rPr>
        <w:t>.</w:t>
      </w:r>
    </w:p>
    <w:p w:rsidR="009135CB" w:rsidRPr="00124FF2" w:rsidRDefault="009135CB" w:rsidP="000E23CB">
      <w:pPr>
        <w:spacing w:line="360" w:lineRule="auto"/>
        <w:rPr>
          <w:color w:val="000000"/>
        </w:rPr>
      </w:pPr>
    </w:p>
    <w:p w:rsidR="009135CB" w:rsidRPr="00124FF2" w:rsidRDefault="009135CB" w:rsidP="000E23CB">
      <w:pPr>
        <w:spacing w:line="360" w:lineRule="auto"/>
        <w:rPr>
          <w:color w:val="000000"/>
        </w:rPr>
      </w:pPr>
      <w:r w:rsidRPr="00124FF2">
        <w:rPr>
          <w:b/>
          <w:color w:val="000000"/>
        </w:rPr>
        <w:t xml:space="preserve">A.8. </w:t>
      </w:r>
      <w:r w:rsidR="00A20BCC" w:rsidRPr="00124FF2">
        <w:rPr>
          <w:b/>
          <w:u w:val="single"/>
        </w:rPr>
        <w:t>Comments in Response to the Federal Register Notice and Efforts to Consult Outside the Agency</w:t>
      </w:r>
    </w:p>
    <w:p w:rsidR="009135CB" w:rsidRPr="00124FF2" w:rsidRDefault="009135CB" w:rsidP="000E23CB">
      <w:pPr>
        <w:spacing w:line="360" w:lineRule="auto"/>
        <w:rPr>
          <w:color w:val="000000"/>
        </w:rPr>
      </w:pPr>
    </w:p>
    <w:p w:rsidR="009135CB" w:rsidRPr="00124FF2" w:rsidRDefault="009135CB" w:rsidP="000E23CB">
      <w:pPr>
        <w:spacing w:line="360" w:lineRule="auto"/>
        <w:rPr>
          <w:color w:val="000000"/>
        </w:rPr>
      </w:pPr>
      <w:r w:rsidRPr="00124FF2">
        <w:rPr>
          <w:b/>
          <w:color w:val="000000"/>
        </w:rPr>
        <w:t>A.8.A.</w:t>
      </w:r>
      <w:r w:rsidR="00CF196A" w:rsidRPr="00124FF2">
        <w:rPr>
          <w:b/>
          <w:color w:val="000000"/>
        </w:rPr>
        <w:t xml:space="preserve"> </w:t>
      </w:r>
    </w:p>
    <w:p w:rsidR="00150502" w:rsidRPr="00124FF2" w:rsidRDefault="00150502" w:rsidP="000E23CB">
      <w:pPr>
        <w:spacing w:line="360" w:lineRule="auto"/>
      </w:pPr>
    </w:p>
    <w:p w:rsidR="00F70276" w:rsidRPr="00124FF2" w:rsidRDefault="00150502" w:rsidP="000E23CB">
      <w:pPr>
        <w:spacing w:line="360" w:lineRule="auto"/>
        <w:contextualSpacing/>
        <w:rPr>
          <w:rFonts w:eastAsia="Calibri"/>
          <w:b/>
        </w:rPr>
      </w:pPr>
      <w:r w:rsidRPr="00124FF2">
        <w:rPr>
          <w:rFonts w:eastAsia="Calibri"/>
        </w:rPr>
        <w:t>A 60-day Federal Register Notice was published in the</w:t>
      </w:r>
      <w:r w:rsidRPr="00124FF2">
        <w:rPr>
          <w:rFonts w:eastAsia="Calibri"/>
          <w:i/>
        </w:rPr>
        <w:t xml:space="preserve"> Federal Register</w:t>
      </w:r>
      <w:r w:rsidRPr="00124FF2">
        <w:rPr>
          <w:rFonts w:eastAsia="Calibri"/>
        </w:rPr>
        <w:t xml:space="preserve"> on </w:t>
      </w:r>
      <w:r w:rsidR="006C550A">
        <w:rPr>
          <w:rFonts w:eastAsia="Calibri"/>
        </w:rPr>
        <w:t>08/09//2013</w:t>
      </w:r>
      <w:r w:rsidRPr="00124FF2">
        <w:rPr>
          <w:rFonts w:eastAsia="Calibri"/>
        </w:rPr>
        <w:t xml:space="preserve">, </w:t>
      </w:r>
      <w:r w:rsidR="009E72BD" w:rsidRPr="00124FF2">
        <w:rPr>
          <w:rFonts w:eastAsia="Calibri"/>
        </w:rPr>
        <w:t>vol</w:t>
      </w:r>
      <w:r w:rsidR="006C550A">
        <w:rPr>
          <w:rFonts w:eastAsia="Calibri"/>
        </w:rPr>
        <w:t>, 78, No. 154</w:t>
      </w:r>
      <w:r w:rsidR="00C72590">
        <w:rPr>
          <w:rFonts w:eastAsia="Calibri"/>
        </w:rPr>
        <w:t xml:space="preserve">, pp. 48680-48681 </w:t>
      </w:r>
      <w:r w:rsidR="000A3E29">
        <w:rPr>
          <w:b/>
        </w:rPr>
        <w:t>[A</w:t>
      </w:r>
      <w:r w:rsidRPr="00124FF2">
        <w:rPr>
          <w:b/>
        </w:rPr>
        <w:t>ttachment</w:t>
      </w:r>
      <w:r w:rsidR="00767301">
        <w:rPr>
          <w:b/>
        </w:rPr>
        <w:t xml:space="preserve"> 11</w:t>
      </w:r>
      <w:r w:rsidR="00A02926">
        <w:rPr>
          <w:b/>
        </w:rPr>
        <w:t>.</w:t>
      </w:r>
      <w:r w:rsidR="00767301">
        <w:rPr>
          <w:b/>
        </w:rPr>
        <w:t xml:space="preserve"> 60 d FRN</w:t>
      </w:r>
      <w:r w:rsidR="00C72590">
        <w:rPr>
          <w:rFonts w:eastAsia="Calibri"/>
          <w:b/>
        </w:rPr>
        <w:t>]</w:t>
      </w:r>
      <w:r w:rsidR="00F70276" w:rsidRPr="00124FF2">
        <w:rPr>
          <w:rFonts w:eastAsia="Calibri"/>
          <w:b/>
        </w:rPr>
        <w:t>.</w:t>
      </w:r>
    </w:p>
    <w:p w:rsidR="008422F3" w:rsidRDefault="008422F3" w:rsidP="000E23CB">
      <w:pPr>
        <w:tabs>
          <w:tab w:val="left" w:pos="3240"/>
        </w:tabs>
        <w:spacing w:line="360" w:lineRule="auto"/>
        <w:rPr>
          <w:b/>
        </w:rPr>
      </w:pPr>
    </w:p>
    <w:p w:rsidR="00CF3C8C" w:rsidRPr="00CF3C8C" w:rsidRDefault="002E45F2" w:rsidP="000E23CB">
      <w:pPr>
        <w:tabs>
          <w:tab w:val="left" w:pos="3240"/>
        </w:tabs>
        <w:spacing w:line="360" w:lineRule="auto"/>
      </w:pPr>
      <w:r w:rsidRPr="002E45F2">
        <w:lastRenderedPageBreak/>
        <w:t>One comment received</w:t>
      </w:r>
      <w:r w:rsidR="008D621E">
        <w:t xml:space="preserve"> </w:t>
      </w:r>
      <w:r w:rsidR="008D621E" w:rsidRPr="008D621E">
        <w:rPr>
          <w:b/>
        </w:rPr>
        <w:t>[Attachment 11a</w:t>
      </w:r>
      <w:r w:rsidR="00116565">
        <w:rPr>
          <w:b/>
        </w:rPr>
        <w:t xml:space="preserve">. Public </w:t>
      </w:r>
      <w:proofErr w:type="gramStart"/>
      <w:r w:rsidR="00116565">
        <w:rPr>
          <w:b/>
        </w:rPr>
        <w:t>Comment</w:t>
      </w:r>
      <w:r w:rsidR="008D621E" w:rsidRPr="008D621E">
        <w:rPr>
          <w:b/>
        </w:rPr>
        <w:t xml:space="preserve"> ]</w:t>
      </w:r>
      <w:proofErr w:type="gramEnd"/>
      <w:r w:rsidR="008D621E">
        <w:t xml:space="preserve">.  </w:t>
      </w:r>
      <w:r w:rsidRPr="002E45F2">
        <w:t>CDC’s standard response was sent.</w:t>
      </w:r>
    </w:p>
    <w:p w:rsidR="008422F3" w:rsidRPr="00124FF2" w:rsidRDefault="008422F3" w:rsidP="000E23CB">
      <w:pPr>
        <w:spacing w:line="360" w:lineRule="auto"/>
        <w:rPr>
          <w:b/>
          <w:color w:val="000000"/>
        </w:rPr>
      </w:pPr>
    </w:p>
    <w:p w:rsidR="00114E70" w:rsidRPr="00124FF2" w:rsidRDefault="009135CB" w:rsidP="000E23CB">
      <w:pPr>
        <w:spacing w:line="360" w:lineRule="auto"/>
        <w:rPr>
          <w:color w:val="000000"/>
        </w:rPr>
      </w:pPr>
      <w:r w:rsidRPr="00124FF2">
        <w:rPr>
          <w:b/>
          <w:color w:val="000000"/>
        </w:rPr>
        <w:t>A.8.B.</w:t>
      </w:r>
      <w:r w:rsidR="000C7924" w:rsidRPr="00124FF2">
        <w:rPr>
          <w:b/>
          <w:color w:val="000000"/>
        </w:rPr>
        <w:t xml:space="preserve"> </w:t>
      </w:r>
      <w:r w:rsidR="007A57C8" w:rsidRPr="00124FF2">
        <w:rPr>
          <w:color w:val="000000"/>
        </w:rPr>
        <w:t xml:space="preserve">CDC has </w:t>
      </w:r>
      <w:r w:rsidR="005204E8">
        <w:rPr>
          <w:color w:val="000000"/>
        </w:rPr>
        <w:t xml:space="preserve">consulted with </w:t>
      </w:r>
      <w:r w:rsidR="007A57C8" w:rsidRPr="00124FF2">
        <w:rPr>
          <w:color w:val="000000"/>
        </w:rPr>
        <w:t xml:space="preserve">external stakeholders in various ways. </w:t>
      </w:r>
      <w:r w:rsidR="00D4572E" w:rsidRPr="00124FF2">
        <w:rPr>
          <w:color w:val="000000"/>
        </w:rPr>
        <w:t xml:space="preserve">As </w:t>
      </w:r>
      <w:r w:rsidR="00CF2B72" w:rsidRPr="00124FF2">
        <w:rPr>
          <w:color w:val="000000"/>
        </w:rPr>
        <w:t>stated</w:t>
      </w:r>
      <w:r w:rsidR="00D4572E" w:rsidRPr="00124FF2">
        <w:rPr>
          <w:color w:val="000000"/>
        </w:rPr>
        <w:t xml:space="preserve"> in </w:t>
      </w:r>
      <w:r w:rsidR="00643868">
        <w:rPr>
          <w:color w:val="000000"/>
        </w:rPr>
        <w:t xml:space="preserve">section </w:t>
      </w:r>
      <w:r w:rsidR="00D4572E" w:rsidRPr="00124FF2">
        <w:rPr>
          <w:color w:val="000000"/>
        </w:rPr>
        <w:t>A</w:t>
      </w:r>
      <w:r w:rsidR="00643868">
        <w:rPr>
          <w:color w:val="000000"/>
        </w:rPr>
        <w:t>.</w:t>
      </w:r>
      <w:r w:rsidR="008F0291">
        <w:rPr>
          <w:color w:val="000000"/>
        </w:rPr>
        <w:t xml:space="preserve"> </w:t>
      </w:r>
      <w:r w:rsidR="00D4572E" w:rsidRPr="00124FF2">
        <w:rPr>
          <w:color w:val="000000"/>
        </w:rPr>
        <w:t xml:space="preserve">l, consultations with state epidemiologists and </w:t>
      </w:r>
      <w:r w:rsidR="00CF2B72" w:rsidRPr="00124FF2">
        <w:rPr>
          <w:color w:val="000000"/>
        </w:rPr>
        <w:t>he</w:t>
      </w:r>
      <w:r w:rsidR="00D4572E" w:rsidRPr="00124FF2">
        <w:rPr>
          <w:color w:val="000000"/>
        </w:rPr>
        <w:t>alth officers are conducted routinely through CSTE</w:t>
      </w:r>
      <w:r w:rsidR="00CF2B72" w:rsidRPr="00124FF2">
        <w:rPr>
          <w:color w:val="000000"/>
        </w:rPr>
        <w:t xml:space="preserve"> and the Association of State </w:t>
      </w:r>
      <w:r w:rsidR="005204E8">
        <w:rPr>
          <w:color w:val="000000"/>
        </w:rPr>
        <w:t xml:space="preserve">and Territorial </w:t>
      </w:r>
      <w:r w:rsidR="00CF2B72" w:rsidRPr="00124FF2">
        <w:rPr>
          <w:color w:val="000000"/>
        </w:rPr>
        <w:t>Health Officers</w:t>
      </w:r>
      <w:r w:rsidR="00B152FC" w:rsidRPr="00124FF2">
        <w:rPr>
          <w:color w:val="000000"/>
        </w:rPr>
        <w:t>.</w:t>
      </w:r>
      <w:r w:rsidR="00D4572E" w:rsidRPr="00124FF2">
        <w:rPr>
          <w:color w:val="000000"/>
        </w:rPr>
        <w:t xml:space="preserve"> CDC has collaborated with CSTE since CSTE’s inception in 1951, and it is through the CSTE annual conference that the cooperation of all states is</w:t>
      </w:r>
      <w:r w:rsidR="00537053">
        <w:rPr>
          <w:color w:val="000000"/>
        </w:rPr>
        <w:t xml:space="preserve"> formally</w:t>
      </w:r>
      <w:r w:rsidR="00D4572E" w:rsidRPr="00124FF2">
        <w:rPr>
          <w:color w:val="000000"/>
        </w:rPr>
        <w:t xml:space="preserve"> maintained.  Although formal CSTE meetings are usually held only once a year, </w:t>
      </w:r>
      <w:r w:rsidR="00314615">
        <w:rPr>
          <w:color w:val="000000"/>
        </w:rPr>
        <w:t>CSTE-CDC surveillance working groups exist to regularly address issues throughout the year that require federal-state collaboration. T</w:t>
      </w:r>
      <w:r w:rsidR="00643868">
        <w:rPr>
          <w:color w:val="000000"/>
        </w:rPr>
        <w:t xml:space="preserve">elephone and e-mail </w:t>
      </w:r>
      <w:r w:rsidR="00D4572E" w:rsidRPr="00124FF2">
        <w:rPr>
          <w:color w:val="000000"/>
        </w:rPr>
        <w:t>communication between CDC and CSTE groups and individual members of those organizations continue on a regular basis</w:t>
      </w:r>
      <w:r w:rsidR="0088754B" w:rsidRPr="00124FF2">
        <w:rPr>
          <w:color w:val="000000"/>
        </w:rPr>
        <w:t xml:space="preserve"> throughout the year</w:t>
      </w:r>
      <w:r w:rsidR="00D4572E" w:rsidRPr="00124FF2">
        <w:rPr>
          <w:color w:val="000000"/>
        </w:rPr>
        <w:t xml:space="preserve">.  </w:t>
      </w:r>
    </w:p>
    <w:p w:rsidR="00114E70" w:rsidRPr="00124FF2" w:rsidRDefault="00114E70" w:rsidP="000E23CB">
      <w:pPr>
        <w:spacing w:line="360" w:lineRule="auto"/>
        <w:rPr>
          <w:color w:val="000000"/>
        </w:rPr>
      </w:pPr>
    </w:p>
    <w:p w:rsidR="00CF2B72" w:rsidRPr="00CE31EB" w:rsidRDefault="009717F1" w:rsidP="000E23CB">
      <w:pPr>
        <w:spacing w:line="360" w:lineRule="auto"/>
        <w:rPr>
          <w:rFonts w:eastAsia="Calibri"/>
        </w:rPr>
      </w:pPr>
      <w:r w:rsidRPr="00124FF2">
        <w:rPr>
          <w:color w:val="000000"/>
        </w:rPr>
        <w:t>As noted in section A.3, above,</w:t>
      </w:r>
      <w:r w:rsidR="00FB50D4" w:rsidRPr="00FB50D4">
        <w:t xml:space="preserve"> </w:t>
      </w:r>
      <w:r w:rsidR="007C0269">
        <w:t>t</w:t>
      </w:r>
      <w:r w:rsidR="00FB50D4" w:rsidRPr="00FB50D4">
        <w:rPr>
          <w:color w:val="000000"/>
        </w:rPr>
        <w:t>hrough cooperative agreement</w:t>
      </w:r>
      <w:r w:rsidR="00A565E9">
        <w:rPr>
          <w:color w:val="000000"/>
        </w:rPr>
        <w:t xml:space="preserve">s, two independent </w:t>
      </w:r>
      <w:r w:rsidR="00FB50D4" w:rsidRPr="00FB50D4">
        <w:rPr>
          <w:color w:val="000000"/>
        </w:rPr>
        <w:t>external peer review panel</w:t>
      </w:r>
      <w:r w:rsidR="00FB50D4">
        <w:rPr>
          <w:color w:val="000000"/>
        </w:rPr>
        <w:t>s</w:t>
      </w:r>
      <w:r w:rsidR="00FB50D4" w:rsidRPr="00FB50D4">
        <w:rPr>
          <w:color w:val="000000"/>
        </w:rPr>
        <w:t xml:space="preserve"> conducted review</w:t>
      </w:r>
      <w:r w:rsidR="00FB50D4">
        <w:rPr>
          <w:color w:val="000000"/>
        </w:rPr>
        <w:t>s</w:t>
      </w:r>
      <w:r w:rsidR="00FB50D4" w:rsidRPr="00FB50D4">
        <w:rPr>
          <w:color w:val="000000"/>
        </w:rPr>
        <w:t xml:space="preserve"> of NNDSS</w:t>
      </w:r>
      <w:r w:rsidR="00FB50D4">
        <w:rPr>
          <w:color w:val="000000"/>
        </w:rPr>
        <w:t xml:space="preserve">. </w:t>
      </w:r>
      <w:r w:rsidR="00017080">
        <w:rPr>
          <w:color w:val="000000"/>
        </w:rPr>
        <w:t>The</w:t>
      </w:r>
      <w:r w:rsidR="00FB50D4">
        <w:rPr>
          <w:color w:val="000000"/>
        </w:rPr>
        <w:t xml:space="preserve"> first panel focused on</w:t>
      </w:r>
      <w:r w:rsidR="00FB50D4" w:rsidRPr="00FB50D4">
        <w:rPr>
          <w:color w:val="000000"/>
        </w:rPr>
        <w:t xml:space="preserve"> systems, frameworks and processes for infectious diseases within CDC</w:t>
      </w:r>
      <w:r w:rsidR="00017080">
        <w:rPr>
          <w:color w:val="000000"/>
        </w:rPr>
        <w:t xml:space="preserve"> and consulted with CDS staff</w:t>
      </w:r>
      <w:r w:rsidR="00FB50D4" w:rsidRPr="00FB50D4">
        <w:rPr>
          <w:color w:val="000000"/>
        </w:rPr>
        <w:t xml:space="preserve">. </w:t>
      </w:r>
      <w:r w:rsidR="00017080">
        <w:rPr>
          <w:color w:val="000000"/>
        </w:rPr>
        <w:t xml:space="preserve">The second independent peer review panel </w:t>
      </w:r>
      <w:r w:rsidR="00FB50D4" w:rsidRPr="00FB50D4">
        <w:rPr>
          <w:color w:val="000000"/>
        </w:rPr>
        <w:t>review</w:t>
      </w:r>
      <w:r w:rsidR="00017080">
        <w:rPr>
          <w:color w:val="000000"/>
        </w:rPr>
        <w:t>ed</w:t>
      </w:r>
      <w:r w:rsidR="00FB50D4" w:rsidRPr="00FB50D4">
        <w:rPr>
          <w:color w:val="000000"/>
        </w:rPr>
        <w:t xml:space="preserve"> state and local systems, frameworks and processes for reportable conditions and for submission of information on notifiable infectious diseases to CDC.</w:t>
      </w:r>
      <w:r w:rsidRPr="00124FF2">
        <w:rPr>
          <w:color w:val="000000"/>
        </w:rPr>
        <w:t xml:space="preserve"> </w:t>
      </w:r>
      <w:r w:rsidR="005B12B8">
        <w:t>External c</w:t>
      </w:r>
      <w:r w:rsidR="00CF2B72" w:rsidRPr="00124FF2">
        <w:t xml:space="preserve">onsultants </w:t>
      </w:r>
      <w:r w:rsidR="00233487">
        <w:t>to th</w:t>
      </w:r>
      <w:r w:rsidR="0020706B">
        <w:t>e second</w:t>
      </w:r>
      <w:r w:rsidR="00233487">
        <w:t xml:space="preserve"> independent external peer review panel </w:t>
      </w:r>
      <w:r w:rsidR="00CF2B72" w:rsidRPr="00124FF2">
        <w:t xml:space="preserve">are listed in the attachment </w:t>
      </w:r>
      <w:r w:rsidR="00CF2B72" w:rsidRPr="00124FF2">
        <w:rPr>
          <w:b/>
          <w:color w:val="000000"/>
        </w:rPr>
        <w:t>[</w:t>
      </w:r>
      <w:r w:rsidR="00A16387">
        <w:rPr>
          <w:b/>
          <w:color w:val="000000"/>
        </w:rPr>
        <w:t>Attachment 12. Consultant</w:t>
      </w:r>
      <w:r w:rsidR="00A02926">
        <w:rPr>
          <w:b/>
          <w:color w:val="000000"/>
        </w:rPr>
        <w:t>s</w:t>
      </w:r>
      <w:r w:rsidR="00233487">
        <w:rPr>
          <w:b/>
          <w:color w:val="000000"/>
        </w:rPr>
        <w:t xml:space="preserve"> </w:t>
      </w:r>
      <w:r w:rsidR="00A16387">
        <w:rPr>
          <w:b/>
          <w:color w:val="000000"/>
        </w:rPr>
        <w:t>List]</w:t>
      </w:r>
      <w:r w:rsidR="00CE31EB">
        <w:rPr>
          <w:color w:val="000000"/>
        </w:rPr>
        <w:t>.</w:t>
      </w:r>
    </w:p>
    <w:p w:rsidR="008653A9" w:rsidRPr="00124FF2" w:rsidRDefault="008653A9" w:rsidP="000E23CB">
      <w:pPr>
        <w:spacing w:line="360" w:lineRule="auto"/>
        <w:rPr>
          <w:b/>
          <w:color w:val="000000"/>
        </w:rPr>
      </w:pPr>
    </w:p>
    <w:p w:rsidR="009135CB" w:rsidRPr="00124FF2" w:rsidRDefault="009135CB" w:rsidP="000E23CB">
      <w:pPr>
        <w:spacing w:line="360" w:lineRule="auto"/>
        <w:rPr>
          <w:color w:val="000000"/>
        </w:rPr>
      </w:pPr>
      <w:r w:rsidRPr="00124FF2">
        <w:rPr>
          <w:b/>
          <w:color w:val="000000"/>
        </w:rPr>
        <w:t xml:space="preserve">A.9. </w:t>
      </w:r>
      <w:r w:rsidR="00AB64D2" w:rsidRPr="00124FF2">
        <w:rPr>
          <w:b/>
          <w:u w:val="single"/>
        </w:rPr>
        <w:t>Explanation of Any Payment or Gift to Respondents</w:t>
      </w:r>
    </w:p>
    <w:p w:rsidR="009135CB" w:rsidRPr="00124FF2" w:rsidRDefault="009135CB" w:rsidP="000E23CB">
      <w:pPr>
        <w:spacing w:line="360" w:lineRule="auto"/>
        <w:rPr>
          <w:color w:val="000000"/>
        </w:rPr>
      </w:pPr>
    </w:p>
    <w:p w:rsidR="009135CB" w:rsidRDefault="008F0291" w:rsidP="000E23CB">
      <w:pPr>
        <w:spacing w:line="360" w:lineRule="auto"/>
        <w:rPr>
          <w:color w:val="000000"/>
        </w:rPr>
      </w:pPr>
      <w:r>
        <w:rPr>
          <w:color w:val="000000"/>
        </w:rPr>
        <w:t xml:space="preserve">There are no payments or gifts provided to respondents. </w:t>
      </w:r>
    </w:p>
    <w:p w:rsidR="008F0291" w:rsidRPr="00124FF2" w:rsidRDefault="008F0291" w:rsidP="000E23CB">
      <w:pPr>
        <w:spacing w:line="360" w:lineRule="auto"/>
        <w:rPr>
          <w:color w:val="000000"/>
        </w:rPr>
      </w:pPr>
    </w:p>
    <w:p w:rsidR="00F123D7" w:rsidRPr="00124FF2" w:rsidRDefault="00F123D7" w:rsidP="000E23CB">
      <w:pPr>
        <w:spacing w:line="360" w:lineRule="auto"/>
        <w:rPr>
          <w:color w:val="000000"/>
        </w:rPr>
      </w:pPr>
      <w:r w:rsidRPr="00124FF2">
        <w:rPr>
          <w:b/>
          <w:color w:val="000000"/>
        </w:rPr>
        <w:t xml:space="preserve">A.10. </w:t>
      </w:r>
      <w:r w:rsidRPr="00124FF2">
        <w:rPr>
          <w:b/>
          <w:u w:val="single"/>
        </w:rPr>
        <w:t>Assurance of Confidentiality Provided to Respondents</w:t>
      </w:r>
    </w:p>
    <w:p w:rsidR="00F123D7" w:rsidRPr="00124FF2" w:rsidRDefault="00F123D7" w:rsidP="000E23CB">
      <w:pPr>
        <w:spacing w:line="360" w:lineRule="auto"/>
        <w:rPr>
          <w:color w:val="000000"/>
        </w:rPr>
      </w:pPr>
      <w:r w:rsidRPr="00124FF2">
        <w:rPr>
          <w:color w:val="000000"/>
        </w:rPr>
        <w:tab/>
      </w:r>
      <w:r w:rsidRPr="00124FF2">
        <w:rPr>
          <w:color w:val="000000"/>
        </w:rPr>
        <w:tab/>
      </w:r>
      <w:r w:rsidRPr="00124FF2">
        <w:rPr>
          <w:color w:val="000000"/>
        </w:rPr>
        <w:tab/>
      </w:r>
      <w:r w:rsidRPr="00124FF2">
        <w:rPr>
          <w:color w:val="000000"/>
        </w:rPr>
        <w:tab/>
      </w:r>
      <w:r w:rsidRPr="00124FF2">
        <w:rPr>
          <w:color w:val="000000"/>
        </w:rPr>
        <w:tab/>
      </w:r>
      <w:r w:rsidRPr="00124FF2">
        <w:rPr>
          <w:color w:val="000000"/>
        </w:rPr>
        <w:tab/>
      </w:r>
      <w:r w:rsidRPr="00124FF2">
        <w:rPr>
          <w:color w:val="000000"/>
        </w:rPr>
        <w:tab/>
      </w:r>
      <w:r w:rsidRPr="00124FF2">
        <w:rPr>
          <w:color w:val="000000"/>
        </w:rPr>
        <w:tab/>
      </w:r>
      <w:r w:rsidRPr="00124FF2">
        <w:rPr>
          <w:color w:val="000000"/>
        </w:rPr>
        <w:tab/>
      </w:r>
    </w:p>
    <w:p w:rsidR="00F123D7" w:rsidRPr="009E08DB" w:rsidRDefault="00F123D7" w:rsidP="000E23CB">
      <w:pPr>
        <w:spacing w:line="360" w:lineRule="auto"/>
      </w:pPr>
      <w:r w:rsidRPr="00124FF2">
        <w:rPr>
          <w:color w:val="000000"/>
        </w:rPr>
        <w:t xml:space="preserve">The Privacy Act is applicable.  No assurance of confidentiality has been obtained.  The relevant </w:t>
      </w:r>
      <w:r w:rsidRPr="009E08DB">
        <w:t xml:space="preserve">Privacy Act System of Records Notice is 0920-0136 </w:t>
      </w:r>
      <w:r w:rsidR="00FF302D" w:rsidRPr="00FF302D">
        <w:t>“Epidemiologic Studies and Surveillance of Disease Problems</w:t>
      </w:r>
      <w:r w:rsidR="00F417EE">
        <w:t>.</w:t>
      </w:r>
      <w:r w:rsidR="00FF302D" w:rsidRPr="00FF302D">
        <w:t>”</w:t>
      </w:r>
    </w:p>
    <w:p w:rsidR="00F123D7" w:rsidRDefault="00F123D7" w:rsidP="000E23CB">
      <w:pPr>
        <w:spacing w:line="360" w:lineRule="auto"/>
      </w:pPr>
    </w:p>
    <w:p w:rsidR="00BB56A6" w:rsidRDefault="00BB56A6" w:rsidP="000E23CB">
      <w:pPr>
        <w:spacing w:line="360" w:lineRule="auto"/>
      </w:pPr>
      <w:r>
        <w:lastRenderedPageBreak/>
        <w:t xml:space="preserve">As stated in </w:t>
      </w:r>
      <w:r w:rsidR="000B0B17">
        <w:t xml:space="preserve">section A.1 above, private personally identifiable information is collected. In addition, </w:t>
      </w:r>
      <w:r w:rsidR="008E33CB">
        <w:t>s</w:t>
      </w:r>
      <w:r w:rsidR="008E33CB" w:rsidRPr="008E33CB">
        <w:t xml:space="preserve">ome combinations of submitted data elements could potentially be used to identify individuals.  </w:t>
      </w:r>
    </w:p>
    <w:p w:rsidR="003C35A8" w:rsidRPr="009E08DB" w:rsidRDefault="003C35A8" w:rsidP="000E23CB">
      <w:pPr>
        <w:spacing w:line="360" w:lineRule="auto"/>
      </w:pPr>
    </w:p>
    <w:p w:rsidR="005204E8" w:rsidRDefault="00547B22" w:rsidP="000E23CB">
      <w:pPr>
        <w:spacing w:line="360" w:lineRule="auto"/>
      </w:pPr>
      <w:r w:rsidRPr="004C0F8D">
        <w:t xml:space="preserve">The security of private information during electronic transmission to </w:t>
      </w:r>
      <w:r w:rsidR="00C43E5A">
        <w:t>CSELS</w:t>
      </w:r>
      <w:r w:rsidR="0015129D" w:rsidRPr="004C0F8D">
        <w:t xml:space="preserve"> NNDSS</w:t>
      </w:r>
      <w:r w:rsidR="00D87E4F" w:rsidRPr="004C0F8D">
        <w:t xml:space="preserve"> </w:t>
      </w:r>
      <w:r w:rsidRPr="004C0F8D">
        <w:t>is maintained by technologies (computers and servers) that use national public health standards for messaging systems which provide security mechanisms for jurisdictions to use when submitting data.</w:t>
      </w:r>
      <w:r w:rsidR="004C0231" w:rsidRPr="004C0F8D">
        <w:t xml:space="preserve"> </w:t>
      </w:r>
      <w:r w:rsidR="008D6D2A" w:rsidRPr="00525150">
        <w:t xml:space="preserve">Most case records are encrypted and submitted to NNDSS electronically from already existing databases via automated electronic transfers through a secure network. </w:t>
      </w:r>
      <w:r w:rsidR="00177024" w:rsidRPr="004C0F8D">
        <w:t>E</w:t>
      </w:r>
      <w:r w:rsidR="00F123D7" w:rsidRPr="004C0F8D">
        <w:t xml:space="preserve">lectronic data are transmitted to and processed within </w:t>
      </w:r>
      <w:r w:rsidR="00C81A93" w:rsidRPr="004C0F8D">
        <w:t>the Data Warehouse and/or the Public Health Platform</w:t>
      </w:r>
      <w:r w:rsidR="00E00146" w:rsidRPr="004C0F8D">
        <w:t xml:space="preserve"> at CDC.  </w:t>
      </w:r>
      <w:r w:rsidR="00F123D7" w:rsidRPr="004C0F8D">
        <w:t>Th</w:t>
      </w:r>
      <w:r w:rsidR="00E00146" w:rsidRPr="004C0F8D">
        <w:t>e</w:t>
      </w:r>
      <w:r w:rsidR="00F123D7" w:rsidRPr="004C0F8D">
        <w:t xml:space="preserve"> </w:t>
      </w:r>
      <w:r w:rsidR="005204E8" w:rsidRPr="004C0F8D">
        <w:t xml:space="preserve">electronic </w:t>
      </w:r>
      <w:r w:rsidR="00F123D7" w:rsidRPr="004C0F8D">
        <w:t>data are treated in a secure manner consistent with the technical, administrative, and operational controls required by the Federal Information Security Management Act of 2002 (FISMA).</w:t>
      </w:r>
      <w:r w:rsidR="00D3343B" w:rsidRPr="00D3343B">
        <w:t xml:space="preserve"> </w:t>
      </w:r>
      <w:r w:rsidR="00521E1D">
        <w:t>These systems are also in compliance with more recent standards to protect information: the NIST Recommended Security Controls for Federal Information Systems and Organizations, Special Publication 800-53, Revised May 1, 2010.</w:t>
      </w:r>
      <w:r w:rsidR="00D3343B" w:rsidRPr="00D3343B">
        <w:t>On occasion, when electronic transmission is not possible or when public health departments prefer, weekly case counts are provided by telephone, fax, mail, and email, primarily to meet weekly deadlines for publication in the</w:t>
      </w:r>
      <w:r w:rsidR="005C67DA">
        <w:t xml:space="preserve"> MMWR. </w:t>
      </w:r>
      <w:r w:rsidR="00C43E5A">
        <w:t>CSELS</w:t>
      </w:r>
      <w:r w:rsidR="004C0231" w:rsidRPr="004C0F8D">
        <w:t xml:space="preserve"> provides NNDSS data to CDC programs for their analysis by posting it to the CDC’s Consolidated Statistical Platform.  </w:t>
      </w:r>
      <w:r w:rsidR="00F123D7" w:rsidRPr="004C0F8D">
        <w:t xml:space="preserve">The </w:t>
      </w:r>
      <w:r w:rsidR="00E00146" w:rsidRPr="004C0F8D">
        <w:t>platforms</w:t>
      </w:r>
      <w:r w:rsidR="001B49C5" w:rsidRPr="004C0F8D">
        <w:t xml:space="preserve"> are</w:t>
      </w:r>
      <w:r w:rsidR="00F123D7" w:rsidRPr="004C0F8D">
        <w:t xml:space="preserve"> subject to CDC’s Certification and Accreditation process, in which these controls are examined and validated by the CDC’s Office </w:t>
      </w:r>
      <w:r w:rsidR="00F123D7" w:rsidRPr="00525475">
        <w:t>of the Chief Information Security Officer.</w:t>
      </w:r>
    </w:p>
    <w:p w:rsidR="00203852" w:rsidRDefault="00203852" w:rsidP="000E23CB">
      <w:pPr>
        <w:spacing w:line="360" w:lineRule="auto"/>
      </w:pPr>
    </w:p>
    <w:p w:rsidR="00BC4273" w:rsidRPr="00124FF2" w:rsidRDefault="00BC4273" w:rsidP="00BC4273">
      <w:pPr>
        <w:spacing w:line="360" w:lineRule="auto"/>
      </w:pPr>
      <w:r w:rsidRPr="00124FF2">
        <w:t>All hard copy materials submitted to CDC are stored in locked cabinets in restricted access areas</w:t>
      </w:r>
      <w:r>
        <w:t xml:space="preserve"> in buildings that</w:t>
      </w:r>
      <w:r w:rsidRPr="00124FF2">
        <w:t xml:space="preserve"> require card key access.</w:t>
      </w:r>
    </w:p>
    <w:p w:rsidR="005204E8" w:rsidRPr="00525475" w:rsidRDefault="005204E8" w:rsidP="000E23CB">
      <w:pPr>
        <w:spacing w:line="360" w:lineRule="auto"/>
      </w:pPr>
    </w:p>
    <w:p w:rsidR="005158FA" w:rsidRDefault="00D06B2F" w:rsidP="00D67645">
      <w:pPr>
        <w:widowControl w:val="0"/>
        <w:autoSpaceDE w:val="0"/>
        <w:autoSpaceDN w:val="0"/>
        <w:adjustRightInd w:val="0"/>
        <w:spacing w:line="360" w:lineRule="auto"/>
        <w:rPr>
          <w:color w:val="000000"/>
        </w:rPr>
      </w:pPr>
      <w:r>
        <w:rPr>
          <w:color w:val="000000"/>
        </w:rPr>
        <w:t xml:space="preserve">Within </w:t>
      </w:r>
      <w:r w:rsidR="00D67645" w:rsidRPr="00D67645">
        <w:rPr>
          <w:color w:val="000000"/>
        </w:rPr>
        <w:t>OID</w:t>
      </w:r>
      <w:r w:rsidR="005158FA">
        <w:rPr>
          <w:color w:val="000000"/>
        </w:rPr>
        <w:t xml:space="preserve"> and </w:t>
      </w:r>
      <w:r w:rsidR="00D67645" w:rsidRPr="00D67645">
        <w:rPr>
          <w:color w:val="000000"/>
        </w:rPr>
        <w:t>CG</w:t>
      </w:r>
      <w:r w:rsidR="005158FA">
        <w:rPr>
          <w:color w:val="000000"/>
        </w:rPr>
        <w:t>H</w:t>
      </w:r>
      <w:r>
        <w:rPr>
          <w:color w:val="000000"/>
        </w:rPr>
        <w:t>, all</w:t>
      </w:r>
      <w:r w:rsidR="00D67645" w:rsidRPr="00D67645">
        <w:rPr>
          <w:color w:val="000000"/>
        </w:rPr>
        <w:t xml:space="preserve"> records with personal identifiable information are held in locked </w:t>
      </w:r>
      <w:r w:rsidR="00E07193">
        <w:rPr>
          <w:color w:val="000000"/>
        </w:rPr>
        <w:t>cabinets</w:t>
      </w:r>
      <w:r w:rsidR="00E07193" w:rsidRPr="00D67645">
        <w:rPr>
          <w:color w:val="000000"/>
        </w:rPr>
        <w:t xml:space="preserve"> </w:t>
      </w:r>
      <w:r w:rsidR="00D67645" w:rsidRPr="00D67645">
        <w:rPr>
          <w:color w:val="000000"/>
        </w:rPr>
        <w:t xml:space="preserve">in secure buildings accessed only by secure card key. </w:t>
      </w:r>
      <w:r>
        <w:rPr>
          <w:color w:val="000000"/>
        </w:rPr>
        <w:t xml:space="preserve">Different methods for data collection and processing apply for different notifiable conditions and are described in more detail below.  </w:t>
      </w:r>
    </w:p>
    <w:p w:rsidR="005158FA" w:rsidRDefault="005158FA" w:rsidP="00D67645">
      <w:pPr>
        <w:widowControl w:val="0"/>
        <w:autoSpaceDE w:val="0"/>
        <w:autoSpaceDN w:val="0"/>
        <w:adjustRightInd w:val="0"/>
        <w:spacing w:line="360" w:lineRule="auto"/>
        <w:rPr>
          <w:color w:val="000000"/>
        </w:rPr>
      </w:pPr>
    </w:p>
    <w:p w:rsidR="00D67645" w:rsidRPr="00D67645" w:rsidRDefault="005158FA" w:rsidP="00D67645">
      <w:pPr>
        <w:widowControl w:val="0"/>
        <w:autoSpaceDE w:val="0"/>
        <w:autoSpaceDN w:val="0"/>
        <w:adjustRightInd w:val="0"/>
        <w:spacing w:line="360" w:lineRule="auto"/>
        <w:rPr>
          <w:color w:val="000000"/>
        </w:rPr>
      </w:pPr>
      <w:r>
        <w:rPr>
          <w:color w:val="000000"/>
        </w:rPr>
        <w:t xml:space="preserve">Users of </w:t>
      </w:r>
      <w:r w:rsidR="00D67645" w:rsidRPr="00D67645">
        <w:rPr>
          <w:color w:val="000000"/>
        </w:rPr>
        <w:t>STDNet (in D</w:t>
      </w:r>
      <w:r w:rsidR="00B96AD7">
        <w:rPr>
          <w:color w:val="000000"/>
        </w:rPr>
        <w:t>ivision of Sexually Transmitted Disease Prevention</w:t>
      </w:r>
      <w:r w:rsidR="00256AA2">
        <w:rPr>
          <w:color w:val="000000"/>
        </w:rPr>
        <w:t xml:space="preserve"> </w:t>
      </w:r>
      <w:r w:rsidR="00B96AD7">
        <w:rPr>
          <w:color w:val="000000"/>
        </w:rPr>
        <w:t>(D</w:t>
      </w:r>
      <w:r w:rsidR="00D67645" w:rsidRPr="00D67645">
        <w:rPr>
          <w:color w:val="000000"/>
        </w:rPr>
        <w:t>STDP</w:t>
      </w:r>
      <w:r w:rsidR="00B96AD7">
        <w:rPr>
          <w:color w:val="000000"/>
        </w:rPr>
        <w:t>)</w:t>
      </w:r>
      <w:r w:rsidR="00256AA2">
        <w:rPr>
          <w:color w:val="000000"/>
        </w:rPr>
        <w:t xml:space="preserve"> </w:t>
      </w:r>
      <w:r w:rsidR="00D67645" w:rsidRPr="00D67645">
        <w:rPr>
          <w:color w:val="000000"/>
        </w:rPr>
        <w:t xml:space="preserve">only) must </w:t>
      </w:r>
      <w:r w:rsidR="00D67645" w:rsidRPr="00D67645">
        <w:rPr>
          <w:color w:val="000000"/>
        </w:rPr>
        <w:lastRenderedPageBreak/>
        <w:t xml:space="preserve">read the STD Surveillance Data Use and Release Policy and sign and return the STDNet Data Use Agreement before access is granted by the data steward. STD </w:t>
      </w:r>
      <w:r>
        <w:rPr>
          <w:color w:val="000000"/>
        </w:rPr>
        <w:t>m</w:t>
      </w:r>
      <w:r w:rsidR="00D67645" w:rsidRPr="00D67645">
        <w:rPr>
          <w:color w:val="000000"/>
        </w:rPr>
        <w:t>orbidity data sets used by CDC epidemiologists and investigators in DSTDP are stored on CDC network servers in multi-user share file folders. 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  All records are safeguarded appropriately.  Access is limited to personnel whose official job duties require them to utilize the records.  Paper forms are kept in locked file cabinets in a locked room.  Computer files are password protected.  State health departments reporting patient names electronically encrypt identifiers before sending them to CDC.  These systems are password protected electronic databases and accessible by authorized users only.  Permissions to multi-user share folders are granted to users by the data steward</w:t>
      </w:r>
    </w:p>
    <w:p w:rsidR="00D67645" w:rsidRPr="00D67645" w:rsidRDefault="00D67645" w:rsidP="00D67645">
      <w:pPr>
        <w:widowControl w:val="0"/>
        <w:autoSpaceDE w:val="0"/>
        <w:autoSpaceDN w:val="0"/>
        <w:adjustRightInd w:val="0"/>
        <w:spacing w:line="360" w:lineRule="auto"/>
        <w:rPr>
          <w:color w:val="000000"/>
        </w:rPr>
      </w:pPr>
    </w:p>
    <w:p w:rsidR="00D67645" w:rsidRPr="00D67645" w:rsidRDefault="00D67645" w:rsidP="00D67645">
      <w:pPr>
        <w:widowControl w:val="0"/>
        <w:autoSpaceDE w:val="0"/>
        <w:autoSpaceDN w:val="0"/>
        <w:adjustRightInd w:val="0"/>
        <w:spacing w:line="360" w:lineRule="auto"/>
        <w:rPr>
          <w:color w:val="000000"/>
        </w:rPr>
      </w:pPr>
      <w:r w:rsidRPr="00D67645">
        <w:rPr>
          <w:color w:val="000000"/>
        </w:rPr>
        <w:t xml:space="preserve">ArboNet </w:t>
      </w:r>
      <w:r w:rsidR="00B43316">
        <w:rPr>
          <w:color w:val="000000"/>
        </w:rPr>
        <w:t xml:space="preserve">(the </w:t>
      </w:r>
      <w:r w:rsidR="00B43316" w:rsidRPr="00B43316">
        <w:rPr>
          <w:color w:val="000000"/>
        </w:rPr>
        <w:t>National West Nile Surveillance System</w:t>
      </w:r>
      <w:r w:rsidR="00B43316">
        <w:rPr>
          <w:color w:val="000000"/>
        </w:rPr>
        <w:t xml:space="preserve">) </w:t>
      </w:r>
      <w:r w:rsidRPr="00D67645">
        <w:rPr>
          <w:color w:val="000000"/>
        </w:rPr>
        <w:t xml:space="preserve">provides an electronic-based surveillance and reporting system </w:t>
      </w:r>
      <w:r w:rsidR="00D06B2F">
        <w:rPr>
          <w:color w:val="000000"/>
        </w:rPr>
        <w:t>for</w:t>
      </w:r>
      <w:r w:rsidRPr="00D67645">
        <w:rPr>
          <w:color w:val="000000"/>
        </w:rPr>
        <w:t xml:space="preserve"> West Nile and other arbovirus activity in humans, birds, mosquitoes and other mammals in order to facilitate the exchange of information and data between federal, state and local authorities.  ArboNet captures </w:t>
      </w:r>
      <w:r w:rsidR="00D06B2F">
        <w:rPr>
          <w:color w:val="000000"/>
        </w:rPr>
        <w:t>information</w:t>
      </w:r>
      <w:r w:rsidR="005B6A52">
        <w:rPr>
          <w:color w:val="000000"/>
        </w:rPr>
        <w:t xml:space="preserve"> on cases of </w:t>
      </w:r>
      <w:r w:rsidRPr="00D67645">
        <w:rPr>
          <w:color w:val="000000"/>
        </w:rPr>
        <w:t>arbovirus</w:t>
      </w:r>
      <w:r w:rsidR="00B43316">
        <w:rPr>
          <w:color w:val="000000"/>
        </w:rPr>
        <w:t xml:space="preserve"> </w:t>
      </w:r>
      <w:r w:rsidR="005B6A52">
        <w:rPr>
          <w:color w:val="000000"/>
        </w:rPr>
        <w:t>infection</w:t>
      </w:r>
      <w:r w:rsidRPr="00D67645">
        <w:rPr>
          <w:color w:val="000000"/>
        </w:rPr>
        <w:t xml:space="preserve"> from states in five categories: human, mosquito, avian, veterinary, and sentinel animals.  ArboNet does not collect PII.</w:t>
      </w:r>
    </w:p>
    <w:p w:rsidR="00D67645" w:rsidRPr="00D67645" w:rsidRDefault="00D67645" w:rsidP="00D67645">
      <w:pPr>
        <w:widowControl w:val="0"/>
        <w:autoSpaceDE w:val="0"/>
        <w:autoSpaceDN w:val="0"/>
        <w:adjustRightInd w:val="0"/>
        <w:spacing w:line="360" w:lineRule="auto"/>
        <w:rPr>
          <w:color w:val="000000"/>
        </w:rPr>
      </w:pPr>
    </w:p>
    <w:p w:rsidR="00D67645" w:rsidRPr="00D67645" w:rsidRDefault="00D67645" w:rsidP="00D67645">
      <w:pPr>
        <w:widowControl w:val="0"/>
        <w:autoSpaceDE w:val="0"/>
        <w:autoSpaceDN w:val="0"/>
        <w:adjustRightInd w:val="0"/>
        <w:spacing w:line="360" w:lineRule="auto"/>
        <w:rPr>
          <w:color w:val="000000"/>
        </w:rPr>
      </w:pPr>
      <w:r w:rsidRPr="00D67645">
        <w:rPr>
          <w:color w:val="000000"/>
        </w:rPr>
        <w:t xml:space="preserve">The Botulism System in the Enteric Diseases Epidemiology Branch (EDEB) comprises three databases.  The database known as “Master Line List 1899_2010.mdb” is used for case surveillance, collects no PII, and is in a secured folder on the EDEB National Surveillance share drive.  The other three databases collect forms related to the tracking of antitoxin release and patient monitoring under an IRB (Institutional Review Board)-approved IND (Investigational New Drug) protocol.  The database known as “Botulism.mdb” is used for forms 1 and 2 under the IND; this database contains PII and is in a secured folder on the EDEB National Surveillance share drive.  Two tables within Botulism.mdb are stored on a SQL server (BOT_EOCLINELIST) and accessed through the Microsoft Access frontend.  The database known as “HBAT2.mdb” is used for patient clinical symptom tracking and antitoxin </w:t>
      </w:r>
      <w:r w:rsidRPr="00D67645">
        <w:rPr>
          <w:color w:val="000000"/>
        </w:rPr>
        <w:lastRenderedPageBreak/>
        <w:t>accountability; this database contains PII, is linked to Botulism.mdb by a single variable and is in a secured folder on the EDEB National Surveillance share drive. PII is shared with Division of Global Migration and Quarantine (DGMQ), Regulatory Affairs (OD, NCEZID), and Drug Services (Division of Scientific Resources) for patient follow up to ensure all required IRB forms are completed, and with officials from Drug Services (Division of Scientific Resources) to ensure delivery of antitoxin to the correct person. No one can access the PII on the EDEB share drive without permission from the BOT administrator. Users need AD credentials to access the share drive. Pass through identification is required between the Access database and the SQL server. BOT administrator grants access to the SQL database.</w:t>
      </w:r>
    </w:p>
    <w:p w:rsidR="00D67645" w:rsidRPr="00D67645" w:rsidRDefault="00D67645" w:rsidP="00D67645">
      <w:pPr>
        <w:widowControl w:val="0"/>
        <w:autoSpaceDE w:val="0"/>
        <w:autoSpaceDN w:val="0"/>
        <w:adjustRightInd w:val="0"/>
        <w:spacing w:line="360" w:lineRule="auto"/>
        <w:rPr>
          <w:color w:val="000000"/>
        </w:rPr>
      </w:pPr>
    </w:p>
    <w:p w:rsidR="00D67645" w:rsidRPr="00D67645" w:rsidRDefault="00D67645" w:rsidP="00D67645">
      <w:pPr>
        <w:widowControl w:val="0"/>
        <w:autoSpaceDE w:val="0"/>
        <w:autoSpaceDN w:val="0"/>
        <w:adjustRightInd w:val="0"/>
        <w:spacing w:line="360" w:lineRule="auto"/>
        <w:rPr>
          <w:color w:val="000000"/>
        </w:rPr>
      </w:pPr>
      <w:r w:rsidRPr="00D67645">
        <w:rPr>
          <w:color w:val="000000"/>
        </w:rPr>
        <w:t xml:space="preserve">The CDC maintains a voluntary surveillance system to collect data on culture-confirmed </w:t>
      </w:r>
      <w:r w:rsidRPr="00D67645">
        <w:rPr>
          <w:i/>
          <w:iCs/>
          <w:color w:val="000000"/>
        </w:rPr>
        <w:t>Vibrio</w:t>
      </w:r>
      <w:r w:rsidRPr="00D67645">
        <w:rPr>
          <w:color w:val="000000"/>
        </w:rPr>
        <w:t xml:space="preserve"> infections in all 50 states. Investigators collect demographic, clinical, and epidemiologic data on case-patients.  Data have been used to identify environmental risk factors, retail food outlets where high-risk exposures occur, and target groups that may benefit from consumer education. The system does collect PII. Only</w:t>
      </w:r>
      <w:r w:rsidR="00FD0042">
        <w:rPr>
          <w:color w:val="000000"/>
        </w:rPr>
        <w:t xml:space="preserve"> current</w:t>
      </w:r>
      <w:r w:rsidRPr="00D67645">
        <w:rPr>
          <w:color w:val="000000"/>
        </w:rPr>
        <w:t xml:space="preserve"> </w:t>
      </w:r>
      <w:r w:rsidR="003D4508">
        <w:rPr>
          <w:color w:val="000000"/>
        </w:rPr>
        <w:t>staff has</w:t>
      </w:r>
      <w:r w:rsidRPr="00D67645">
        <w:rPr>
          <w:color w:val="000000"/>
        </w:rPr>
        <w:t xml:space="preserve"> access to the system. The system is behind the firewall and the servers are managed by ITSO. </w:t>
      </w:r>
    </w:p>
    <w:p w:rsidR="00D67645" w:rsidRPr="00D67645" w:rsidRDefault="00D67645" w:rsidP="00D67645">
      <w:pPr>
        <w:widowControl w:val="0"/>
        <w:autoSpaceDE w:val="0"/>
        <w:autoSpaceDN w:val="0"/>
        <w:adjustRightInd w:val="0"/>
        <w:spacing w:line="360" w:lineRule="auto"/>
        <w:rPr>
          <w:color w:val="000000"/>
        </w:rPr>
      </w:pPr>
    </w:p>
    <w:p w:rsidR="00D67645" w:rsidRPr="00D67645" w:rsidRDefault="00D67645" w:rsidP="00D67645">
      <w:pPr>
        <w:widowControl w:val="0"/>
        <w:autoSpaceDE w:val="0"/>
        <w:autoSpaceDN w:val="0"/>
        <w:adjustRightInd w:val="0"/>
        <w:spacing w:line="360" w:lineRule="auto"/>
        <w:rPr>
          <w:color w:val="000000"/>
        </w:rPr>
      </w:pPr>
      <w:r w:rsidRPr="00D67645">
        <w:rPr>
          <w:color w:val="000000"/>
        </w:rPr>
        <w:t xml:space="preserve">The </w:t>
      </w:r>
      <w:r w:rsidR="003D6F6D" w:rsidRPr="008B3962">
        <w:rPr>
          <w:rFonts w:eastAsia="Calibri"/>
        </w:rPr>
        <w:t>Laboratory Based Enteric Disease Surveillance</w:t>
      </w:r>
      <w:r w:rsidR="009C78AF">
        <w:rPr>
          <w:rFonts w:eastAsia="Calibri"/>
        </w:rPr>
        <w:t xml:space="preserve"> (</w:t>
      </w:r>
      <w:r w:rsidRPr="00D67645">
        <w:rPr>
          <w:color w:val="000000"/>
        </w:rPr>
        <w:t>LEDS</w:t>
      </w:r>
      <w:r w:rsidR="009C78AF">
        <w:rPr>
          <w:color w:val="000000"/>
        </w:rPr>
        <w:t>)</w:t>
      </w:r>
      <w:r w:rsidRPr="00D67645">
        <w:rPr>
          <w:color w:val="000000"/>
        </w:rPr>
        <w:t xml:space="preserve"> system is used to conduct </w:t>
      </w:r>
      <w:r w:rsidR="00B96AD7">
        <w:rPr>
          <w:color w:val="000000"/>
        </w:rPr>
        <w:t>n</w:t>
      </w:r>
      <w:r w:rsidRPr="00D67645">
        <w:rPr>
          <w:color w:val="000000"/>
        </w:rPr>
        <w:t xml:space="preserve">ational </w:t>
      </w:r>
      <w:r w:rsidR="00B96AD7">
        <w:rPr>
          <w:color w:val="000000"/>
        </w:rPr>
        <w:t>s</w:t>
      </w:r>
      <w:r w:rsidRPr="00D67645">
        <w:rPr>
          <w:color w:val="000000"/>
        </w:rPr>
        <w:t xml:space="preserve">urveillance on specific </w:t>
      </w:r>
      <w:r w:rsidR="003D6F6D">
        <w:rPr>
          <w:color w:val="000000"/>
        </w:rPr>
        <w:t>f</w:t>
      </w:r>
      <w:r w:rsidRPr="00D67645">
        <w:rPr>
          <w:color w:val="000000"/>
        </w:rPr>
        <w:t xml:space="preserve">oodborne pathogens. This information is collected from </w:t>
      </w:r>
      <w:r w:rsidR="003D6F6D">
        <w:rPr>
          <w:color w:val="000000"/>
        </w:rPr>
        <w:t>s</w:t>
      </w:r>
      <w:r w:rsidRPr="00D67645">
        <w:rPr>
          <w:color w:val="000000"/>
        </w:rPr>
        <w:t xml:space="preserve">tate </w:t>
      </w:r>
      <w:r w:rsidR="003D6F6D">
        <w:rPr>
          <w:color w:val="000000"/>
        </w:rPr>
        <w:t>h</w:t>
      </w:r>
      <w:r w:rsidRPr="00D67645">
        <w:rPr>
          <w:color w:val="000000"/>
        </w:rPr>
        <w:t xml:space="preserve">ealth </w:t>
      </w:r>
      <w:r w:rsidR="003D6F6D">
        <w:rPr>
          <w:color w:val="000000"/>
        </w:rPr>
        <w:t>l</w:t>
      </w:r>
      <w:r w:rsidRPr="00D67645">
        <w:rPr>
          <w:color w:val="000000"/>
        </w:rPr>
        <w:t xml:space="preserve">aboratories and </w:t>
      </w:r>
      <w:r w:rsidR="003D6F6D">
        <w:rPr>
          <w:color w:val="000000"/>
        </w:rPr>
        <w:t>e</w:t>
      </w:r>
      <w:r w:rsidRPr="00D67645">
        <w:rPr>
          <w:color w:val="000000"/>
        </w:rPr>
        <w:t>pi</w:t>
      </w:r>
      <w:r w:rsidR="00344856">
        <w:rPr>
          <w:color w:val="000000"/>
        </w:rPr>
        <w:t xml:space="preserve">demiology </w:t>
      </w:r>
      <w:r w:rsidR="003D6F6D">
        <w:rPr>
          <w:color w:val="000000"/>
        </w:rPr>
        <w:t>o</w:t>
      </w:r>
      <w:r w:rsidRPr="00D67645">
        <w:rPr>
          <w:color w:val="000000"/>
        </w:rPr>
        <w:t xml:space="preserve">ffices. Detailed isolate information is collected along with minimal demographic information such as </w:t>
      </w:r>
      <w:r w:rsidR="003D6F6D">
        <w:rPr>
          <w:color w:val="000000"/>
        </w:rPr>
        <w:t>s</w:t>
      </w:r>
      <w:r w:rsidRPr="00D67645">
        <w:rPr>
          <w:color w:val="000000"/>
        </w:rPr>
        <w:t xml:space="preserve">tate, </w:t>
      </w:r>
      <w:r w:rsidR="003D6F6D">
        <w:rPr>
          <w:color w:val="000000"/>
        </w:rPr>
        <w:t>c</w:t>
      </w:r>
      <w:r w:rsidRPr="00D67645">
        <w:rPr>
          <w:color w:val="000000"/>
        </w:rPr>
        <w:t xml:space="preserve">ounty, </w:t>
      </w:r>
      <w:r w:rsidR="003D6F6D">
        <w:rPr>
          <w:color w:val="000000"/>
        </w:rPr>
        <w:t>s</w:t>
      </w:r>
      <w:r w:rsidRPr="00D67645">
        <w:rPr>
          <w:color w:val="000000"/>
        </w:rPr>
        <w:t xml:space="preserve">ex and </w:t>
      </w:r>
      <w:r w:rsidR="003D6F6D">
        <w:rPr>
          <w:color w:val="000000"/>
        </w:rPr>
        <w:t>a</w:t>
      </w:r>
      <w:r w:rsidRPr="00D67645">
        <w:rPr>
          <w:color w:val="000000"/>
        </w:rPr>
        <w:t xml:space="preserve">ge.  Once or twice a year, case studies are conducted and the interview questions are transmitted and added to the database.  No PII data is collected for case studies.  The data is stored in a SQL table and only designated program personnel have access to it.  The data is used to report national trends, outbreak detection and\ to guide and promote CDC’s programs in reducing </w:t>
      </w:r>
      <w:r w:rsidR="003D6F6D">
        <w:rPr>
          <w:color w:val="000000"/>
        </w:rPr>
        <w:t>f</w:t>
      </w:r>
      <w:r w:rsidRPr="00D67645">
        <w:rPr>
          <w:color w:val="000000"/>
        </w:rPr>
        <w:t>oodborne illness.  Some of the pathogens are on the nationally notifiable list, but personal information submission is deemed voluntary.</w:t>
      </w:r>
    </w:p>
    <w:p w:rsidR="004316EE" w:rsidRDefault="004316EE" w:rsidP="000E23CB">
      <w:pPr>
        <w:spacing w:line="360" w:lineRule="auto"/>
      </w:pPr>
    </w:p>
    <w:p w:rsidR="0077372B" w:rsidRPr="0077372B" w:rsidRDefault="0077372B" w:rsidP="000E23CB">
      <w:pPr>
        <w:spacing w:line="360" w:lineRule="auto"/>
        <w:rPr>
          <w:u w:val="single"/>
        </w:rPr>
      </w:pPr>
      <w:r>
        <w:rPr>
          <w:u w:val="single"/>
        </w:rPr>
        <w:t>Shared Data</w:t>
      </w:r>
      <w:r w:rsidR="003C35A8">
        <w:rPr>
          <w:u w:val="single"/>
        </w:rPr>
        <w:t xml:space="preserve"> within CDC</w:t>
      </w:r>
    </w:p>
    <w:p w:rsidR="00F123D7" w:rsidRPr="00592164" w:rsidRDefault="00177024" w:rsidP="000E23CB">
      <w:pPr>
        <w:spacing w:line="360" w:lineRule="auto"/>
      </w:pPr>
      <w:r w:rsidRPr="00592164">
        <w:t>Electronic d</w:t>
      </w:r>
      <w:r w:rsidR="00F123D7" w:rsidRPr="00592164">
        <w:t xml:space="preserve">ata sets </w:t>
      </w:r>
      <w:r w:rsidR="00203852">
        <w:t xml:space="preserve">provided by </w:t>
      </w:r>
      <w:r w:rsidR="00C43E5A">
        <w:t>CSELS</w:t>
      </w:r>
      <w:r w:rsidR="00203852">
        <w:t xml:space="preserve"> NNDSS</w:t>
      </w:r>
      <w:r w:rsidR="003D6F6D">
        <w:t>,</w:t>
      </w:r>
      <w:r w:rsidR="00203852">
        <w:t xml:space="preserve"> OID</w:t>
      </w:r>
      <w:r w:rsidR="003D6F6D">
        <w:t xml:space="preserve"> and </w:t>
      </w:r>
      <w:r w:rsidR="00203852">
        <w:t>CGH</w:t>
      </w:r>
      <w:r w:rsidR="0091459A">
        <w:t xml:space="preserve"> to</w:t>
      </w:r>
      <w:r w:rsidR="00B70DF9">
        <w:t xml:space="preserve"> </w:t>
      </w:r>
      <w:r w:rsidR="00F123D7" w:rsidRPr="00592164">
        <w:t>CDC epidemiologists</w:t>
      </w:r>
      <w:r w:rsidR="004C0231" w:rsidRPr="00592164">
        <w:t xml:space="preserve"> </w:t>
      </w:r>
      <w:r w:rsidR="00F123D7" w:rsidRPr="00592164">
        <w:t xml:space="preserve">are stored on CDC network servers in multi-user share file folders. Access is granted to users </w:t>
      </w:r>
      <w:r w:rsidR="00F123D7" w:rsidRPr="00592164">
        <w:lastRenderedPageBreak/>
        <w:t>through the CDC Information Technology Service Organization</w:t>
      </w:r>
      <w:r w:rsidR="003D6F6D">
        <w:t>.  L</w:t>
      </w:r>
      <w:r w:rsidR="00F123D7" w:rsidRPr="00592164">
        <w:t>ogin</w:t>
      </w:r>
      <w:r w:rsidR="00861E10">
        <w:t xml:space="preserve"> p</w:t>
      </w:r>
      <w:r w:rsidR="00F123D7" w:rsidRPr="00592164">
        <w:t xml:space="preserve">ermissions or authorization rights to multi-user share folders are granted to users by the data steward. </w:t>
      </w:r>
    </w:p>
    <w:p w:rsidR="00CF2B72" w:rsidRPr="00124FF2" w:rsidRDefault="00CF2B72" w:rsidP="000E23CB">
      <w:pPr>
        <w:spacing w:line="360" w:lineRule="auto"/>
      </w:pPr>
    </w:p>
    <w:p w:rsidR="00CF2B72" w:rsidRDefault="00CF2B72" w:rsidP="000E23CB">
      <w:pPr>
        <w:spacing w:line="360" w:lineRule="auto"/>
      </w:pPr>
      <w:r w:rsidRPr="00124FF2">
        <w:t>Additional measures to secure private information are described in section A.2.1, above.</w:t>
      </w:r>
    </w:p>
    <w:p w:rsidR="00AD1FD2" w:rsidRPr="00124FF2" w:rsidRDefault="00AD1FD2" w:rsidP="00AD1FD2">
      <w:pPr>
        <w:spacing w:line="360" w:lineRule="auto"/>
      </w:pPr>
      <w:r w:rsidRPr="00124FF2">
        <w:t>Private information will not be disclosed unless otherwise compelled by law.</w:t>
      </w:r>
    </w:p>
    <w:p w:rsidR="00562189" w:rsidRDefault="00562189" w:rsidP="000E23CB">
      <w:pPr>
        <w:spacing w:line="360" w:lineRule="auto"/>
      </w:pPr>
    </w:p>
    <w:p w:rsidR="004531A3" w:rsidRPr="004531A3" w:rsidRDefault="00437207" w:rsidP="000E23CB">
      <w:pPr>
        <w:spacing w:line="360" w:lineRule="auto"/>
        <w:rPr>
          <w:u w:val="single"/>
        </w:rPr>
      </w:pPr>
      <w:r>
        <w:rPr>
          <w:u w:val="single"/>
        </w:rPr>
        <w:t>IRB</w:t>
      </w:r>
    </w:p>
    <w:p w:rsidR="00F123D7" w:rsidRPr="00124FF2" w:rsidRDefault="00F123D7" w:rsidP="000E23CB">
      <w:pPr>
        <w:spacing w:line="360" w:lineRule="auto"/>
      </w:pPr>
      <w:r w:rsidRPr="00124FF2">
        <w:t xml:space="preserve">This </w:t>
      </w:r>
      <w:r w:rsidR="0075607D">
        <w:t xml:space="preserve">activity </w:t>
      </w:r>
      <w:r w:rsidRPr="00124FF2">
        <w:t xml:space="preserve">does not require Institutional Review Board (IRB) documentation as </w:t>
      </w:r>
      <w:r w:rsidR="0075607D">
        <w:t>this activity is public health practice (surveillance and program evaluation), not research</w:t>
      </w:r>
      <w:r w:rsidR="00A961AA">
        <w:t xml:space="preserve"> </w:t>
      </w:r>
      <w:r w:rsidR="00A961AA">
        <w:rPr>
          <w:b/>
        </w:rPr>
        <w:t>[A</w:t>
      </w:r>
      <w:r w:rsidRPr="00124FF2">
        <w:rPr>
          <w:b/>
        </w:rPr>
        <w:t>ttachment</w:t>
      </w:r>
      <w:r w:rsidR="002650CF">
        <w:rPr>
          <w:b/>
        </w:rPr>
        <w:t xml:space="preserve"> 13. NNDSS Research Determination; Attachment 14. OID Research Determinations].</w:t>
      </w:r>
    </w:p>
    <w:p w:rsidR="00F123D7" w:rsidRPr="00124FF2" w:rsidRDefault="00F123D7" w:rsidP="000E23CB">
      <w:pPr>
        <w:spacing w:line="360" w:lineRule="auto"/>
        <w:rPr>
          <w:color w:val="000000"/>
        </w:rPr>
      </w:pPr>
    </w:p>
    <w:p w:rsidR="00F123D7" w:rsidRPr="00124FF2" w:rsidRDefault="00F123D7" w:rsidP="000E23CB">
      <w:pPr>
        <w:spacing w:line="360" w:lineRule="auto"/>
      </w:pPr>
      <w:r w:rsidRPr="00124FF2">
        <w:rPr>
          <w:u w:val="single"/>
        </w:rPr>
        <w:t>10.1 Privacy Impact Assessment</w:t>
      </w:r>
    </w:p>
    <w:p w:rsidR="00F123D7" w:rsidRPr="0036476C" w:rsidRDefault="00F123D7" w:rsidP="000E23CB">
      <w:pPr>
        <w:spacing w:line="360" w:lineRule="auto"/>
        <w:rPr>
          <w:b/>
        </w:rPr>
      </w:pPr>
    </w:p>
    <w:p w:rsidR="00182A05" w:rsidRDefault="00F123D7" w:rsidP="000E23CB">
      <w:pPr>
        <w:spacing w:line="360" w:lineRule="auto"/>
        <w:contextualSpacing/>
      </w:pPr>
      <w:r w:rsidRPr="0036476C">
        <w:rPr>
          <w:b/>
        </w:rPr>
        <w:t>Privacy Impact Assessm</w:t>
      </w:r>
      <w:r w:rsidRPr="00124FF2">
        <w:t>ent</w:t>
      </w:r>
      <w:r w:rsidR="00330B13">
        <w:t xml:space="preserve">s have been </w:t>
      </w:r>
      <w:r w:rsidRPr="00124FF2">
        <w:t xml:space="preserve">completed </w:t>
      </w:r>
      <w:r w:rsidR="00330B13">
        <w:t xml:space="preserve">and approved </w:t>
      </w:r>
      <w:r w:rsidRPr="00124FF2">
        <w:t xml:space="preserve">for the </w:t>
      </w:r>
      <w:r w:rsidR="00D6258A">
        <w:t xml:space="preserve">electronic systems used by </w:t>
      </w:r>
      <w:r w:rsidR="00C43E5A">
        <w:t>CSELS</w:t>
      </w:r>
      <w:r w:rsidR="00D6258A">
        <w:t xml:space="preserve"> NNDSS: the </w:t>
      </w:r>
      <w:r w:rsidRPr="00124FF2">
        <w:t>Data Warehouse</w:t>
      </w:r>
      <w:r w:rsidR="00090F06">
        <w:t>,</w:t>
      </w:r>
      <w:r w:rsidR="00330B13">
        <w:t xml:space="preserve"> </w:t>
      </w:r>
      <w:r w:rsidR="00335376">
        <w:t>Public Health Surveillance Platform</w:t>
      </w:r>
      <w:r w:rsidR="00090F06">
        <w:t xml:space="preserve">, and Consolidated Statistical Platform used by </w:t>
      </w:r>
      <w:r w:rsidR="00C43E5A">
        <w:t>CSELS</w:t>
      </w:r>
      <w:r w:rsidR="00090F06">
        <w:t>.</w:t>
      </w:r>
      <w:r w:rsidRPr="00124FF2">
        <w:t xml:space="preserve"> (</w:t>
      </w:r>
      <w:hyperlink r:id="rId12" w:history="1">
        <w:r w:rsidR="00182A05" w:rsidRPr="003567A7">
          <w:rPr>
            <w:rStyle w:val="Hyperlink"/>
          </w:rPr>
          <w:t>http://www.hhs.gov/pia/cdc-pia-summary-fy12q4.pdf</w:t>
        </w:r>
      </w:hyperlink>
      <w:r w:rsidR="00182A05">
        <w:t>)</w:t>
      </w:r>
    </w:p>
    <w:p w:rsidR="00F123D7" w:rsidRPr="00124FF2" w:rsidRDefault="00182A05" w:rsidP="000E23CB">
      <w:pPr>
        <w:spacing w:line="360" w:lineRule="auto"/>
        <w:contextualSpacing/>
        <w:rPr>
          <w:rFonts w:eastAsia="Calibri"/>
          <w:b/>
        </w:rPr>
      </w:pPr>
      <w:proofErr w:type="gramStart"/>
      <w:r>
        <w:t>and</w:t>
      </w:r>
      <w:proofErr w:type="gramEnd"/>
      <w:r>
        <w:t xml:space="preserve"> </w:t>
      </w:r>
      <w:r w:rsidR="00F123D7" w:rsidRPr="00124FF2">
        <w:rPr>
          <w:b/>
        </w:rPr>
        <w:t>Attachment [</w:t>
      </w:r>
      <w:r w:rsidR="0036476C">
        <w:rPr>
          <w:b/>
        </w:rPr>
        <w:t>Attachment 8. PIAs Warehouse Platform]</w:t>
      </w:r>
      <w:r w:rsidR="00F123D7" w:rsidRPr="00124FF2">
        <w:rPr>
          <w:rFonts w:eastAsia="Calibri"/>
          <w:b/>
        </w:rPr>
        <w:t>).</w:t>
      </w:r>
    </w:p>
    <w:p w:rsidR="00090F06" w:rsidRDefault="00090F06" w:rsidP="000E23CB">
      <w:pPr>
        <w:spacing w:line="360" w:lineRule="auto"/>
        <w:rPr>
          <w:color w:val="000000"/>
        </w:rPr>
      </w:pPr>
    </w:p>
    <w:p w:rsidR="00090F06" w:rsidRPr="00B73102" w:rsidRDefault="00CA3F3E" w:rsidP="000E23CB">
      <w:pPr>
        <w:spacing w:line="360" w:lineRule="auto"/>
      </w:pPr>
      <w:r w:rsidRPr="008B3962">
        <w:t>Privacy Impact Assessments have been completed and approve</w:t>
      </w:r>
      <w:r w:rsidR="00F25E8B" w:rsidRPr="008B3962">
        <w:t>d</w:t>
      </w:r>
      <w:r w:rsidRPr="008B3962">
        <w:t xml:space="preserve"> for</w:t>
      </w:r>
      <w:r w:rsidR="00F25E8B" w:rsidRPr="008B3962">
        <w:t xml:space="preserve"> some of the OID</w:t>
      </w:r>
      <w:r w:rsidR="003D6F6D">
        <w:t xml:space="preserve"> and</w:t>
      </w:r>
      <w:r w:rsidR="000455E5">
        <w:t xml:space="preserve"> </w:t>
      </w:r>
      <w:r w:rsidR="00F25E8B" w:rsidRPr="008B3962">
        <w:t>CGH systems and methods of collecting and processing data including</w:t>
      </w:r>
      <w:r w:rsidRPr="008B3962">
        <w:t xml:space="preserve"> </w:t>
      </w:r>
      <w:r w:rsidR="009C78AF">
        <w:rPr>
          <w:rFonts w:eastAsia="Calibri"/>
        </w:rPr>
        <w:t>ArboNet</w:t>
      </w:r>
      <w:r w:rsidR="00F65EF2">
        <w:rPr>
          <w:rFonts w:eastAsia="Calibri"/>
        </w:rPr>
        <w:t xml:space="preserve"> (the </w:t>
      </w:r>
      <w:r w:rsidR="00EE5860" w:rsidRPr="008B3962">
        <w:rPr>
          <w:rFonts w:eastAsia="Calibri"/>
        </w:rPr>
        <w:t>National West Nile Surv</w:t>
      </w:r>
      <w:r w:rsidR="00323054" w:rsidRPr="008B3962">
        <w:rPr>
          <w:rFonts w:eastAsia="Calibri"/>
        </w:rPr>
        <w:t>eillance System</w:t>
      </w:r>
      <w:r w:rsidR="004E382A">
        <w:rPr>
          <w:rFonts w:eastAsia="Calibri"/>
        </w:rPr>
        <w:t>)</w:t>
      </w:r>
      <w:r w:rsidR="00EE5860" w:rsidRPr="008B3962">
        <w:rPr>
          <w:rFonts w:eastAsia="Calibri"/>
        </w:rPr>
        <w:t>, Laboratory Based Enteric Disease Surveillance system, the Cholera and Other Vibrio Illness Surveillance Systems and the Botulism Database</w:t>
      </w:r>
      <w:r w:rsidR="00323054" w:rsidRPr="008B3962">
        <w:rPr>
          <w:rFonts w:eastAsia="Calibri"/>
        </w:rPr>
        <w:t>.</w:t>
      </w:r>
      <w:r w:rsidR="00182A05" w:rsidRPr="00182A05">
        <w:t xml:space="preserve"> </w:t>
      </w:r>
      <w:hyperlink r:id="rId13" w:history="1">
        <w:r w:rsidR="00182A05" w:rsidRPr="003567A7">
          <w:rPr>
            <w:rStyle w:val="Hyperlink"/>
            <w:rFonts w:eastAsia="Calibri"/>
          </w:rPr>
          <w:t>http://www.hhs.gov/pia/cdc-pia-summary-fy12q4.pdf</w:t>
        </w:r>
      </w:hyperlink>
      <w:r w:rsidR="0089225A">
        <w:rPr>
          <w:rFonts w:eastAsia="Calibri"/>
        </w:rPr>
        <w:t xml:space="preserve">) and </w:t>
      </w:r>
      <w:r w:rsidR="00BD540F" w:rsidRPr="008B3962">
        <w:rPr>
          <w:rFonts w:eastAsia="Calibri"/>
          <w:b/>
        </w:rPr>
        <w:t>A</w:t>
      </w:r>
      <w:r w:rsidR="00BD540F" w:rsidRPr="008B3962">
        <w:rPr>
          <w:b/>
        </w:rPr>
        <w:t>ttachment</w:t>
      </w:r>
      <w:r w:rsidR="0011598A">
        <w:rPr>
          <w:b/>
        </w:rPr>
        <w:t>s</w:t>
      </w:r>
      <w:r w:rsidR="00323054" w:rsidRPr="008B3962">
        <w:rPr>
          <w:b/>
        </w:rPr>
        <w:t xml:space="preserve"> [</w:t>
      </w:r>
      <w:r w:rsidR="0078396B">
        <w:rPr>
          <w:b/>
        </w:rPr>
        <w:t xml:space="preserve">Attachment </w:t>
      </w:r>
      <w:r w:rsidR="00EA7F6F">
        <w:rPr>
          <w:b/>
        </w:rPr>
        <w:t xml:space="preserve">9. </w:t>
      </w:r>
      <w:r w:rsidR="00323054" w:rsidRPr="008B3962">
        <w:rPr>
          <w:b/>
        </w:rPr>
        <w:t>P</w:t>
      </w:r>
      <w:r w:rsidR="00EA7F6F">
        <w:rPr>
          <w:b/>
        </w:rPr>
        <w:t>IAs Botulism, Enteric; Attachment 10. PIAs Nile,Vibrio</w:t>
      </w:r>
      <w:r w:rsidR="00B73102">
        <w:rPr>
          <w:b/>
        </w:rPr>
        <w:t>]</w:t>
      </w:r>
      <w:r w:rsidR="00B73102">
        <w:t>.</w:t>
      </w:r>
    </w:p>
    <w:p w:rsidR="001A6032" w:rsidRDefault="001A6032" w:rsidP="000E23CB">
      <w:pPr>
        <w:spacing w:line="360" w:lineRule="auto"/>
        <w:rPr>
          <w:color w:val="000000"/>
        </w:rPr>
      </w:pPr>
    </w:p>
    <w:p w:rsidR="001670C3" w:rsidRDefault="006178B5" w:rsidP="001A6032">
      <w:pPr>
        <w:spacing w:line="360" w:lineRule="auto"/>
        <w:rPr>
          <w:color w:val="000000"/>
        </w:rPr>
      </w:pPr>
      <w:r>
        <w:rPr>
          <w:color w:val="000000"/>
        </w:rPr>
        <w:t>As noted in A.2, above, f</w:t>
      </w:r>
      <w:r w:rsidR="001A6032" w:rsidRPr="001A6032">
        <w:rPr>
          <w:color w:val="000000"/>
        </w:rPr>
        <w:t>or certain nationally notifiable conditions, CDC releases national data to the public through CDC’s web-based query system known as WONDER (</w:t>
      </w:r>
      <w:hyperlink r:id="rId14" w:history="1">
        <w:r w:rsidR="001670C3" w:rsidRPr="0047181F">
          <w:rPr>
            <w:rStyle w:val="Hyperlink"/>
          </w:rPr>
          <w:t>http://wonder.cdc.gov/</w:t>
        </w:r>
      </w:hyperlink>
    </w:p>
    <w:p w:rsidR="001A6032" w:rsidRPr="001A6032" w:rsidRDefault="001670C3" w:rsidP="001A6032">
      <w:pPr>
        <w:spacing w:line="360" w:lineRule="auto"/>
        <w:rPr>
          <w:color w:val="000000"/>
        </w:rPr>
      </w:pPr>
      <w:r>
        <w:rPr>
          <w:color w:val="000000"/>
        </w:rPr>
        <w:t xml:space="preserve">Privacy is protected in a number of ways:  </w:t>
      </w:r>
      <w:r w:rsidR="001A6032" w:rsidRPr="001A6032">
        <w:rPr>
          <w:color w:val="000000"/>
        </w:rPr>
        <w:t xml:space="preserve">WONDER only provides summary statistics of aggregate data to these users. Data for WONDER are produced by CDC programs, which have already stripped the data of all personal identifying information before providing these public-use data sets to CDC WONDER.   Furthermore, CDC WONDER dynamically imposes privacy </w:t>
      </w:r>
      <w:r w:rsidR="001A6032" w:rsidRPr="001A6032">
        <w:rPr>
          <w:color w:val="000000"/>
        </w:rPr>
        <w:lastRenderedPageBreak/>
        <w:t>and suppression constraints on all query results sets produced by the WONDER web application, in compliance with each data set’s specific data use policy.  CDC WONDER is also subject to and has met CDC’s Certification and Accreditation process, in which these controls are examined and validated by the CDC’s Office of the Chief Information Security Officer.</w:t>
      </w:r>
    </w:p>
    <w:p w:rsidR="001A6032" w:rsidRPr="001A6032" w:rsidRDefault="001A6032" w:rsidP="001A6032">
      <w:pPr>
        <w:spacing w:line="360" w:lineRule="auto"/>
        <w:rPr>
          <w:color w:val="000000"/>
        </w:rPr>
      </w:pPr>
    </w:p>
    <w:p w:rsidR="009135CB" w:rsidRPr="00124FF2" w:rsidRDefault="001670C3" w:rsidP="001A6032">
      <w:pPr>
        <w:spacing w:line="360" w:lineRule="auto"/>
        <w:rPr>
          <w:color w:val="000000"/>
        </w:rPr>
      </w:pPr>
      <w:r>
        <w:rPr>
          <w:color w:val="000000"/>
        </w:rPr>
        <w:t xml:space="preserve">As noted in A.2 above, </w:t>
      </w:r>
      <w:r w:rsidR="001A6032" w:rsidRPr="001A6032">
        <w:rPr>
          <w:color w:val="000000"/>
        </w:rPr>
        <w:t xml:space="preserve">restricted access data sets may be shared with members of the public after the requestor and the notifiable diseases Data Steward complete a Data Use Agreement. To protect confidentiality of private information, CDC follows the CDC policy on releasing and sharing data [Attachment 6. Data Sharing Policy] and data release guidelines and procedures for re-release of state-provided data [Attachment 7. Data Sharing Guide]. These guidelines and procedures are consistent with the Federal Committee on Statistical Methodology. Statistical Policy Working Paper 22 (Second version, 2005). Report on Statistical Disclosure Limitation Methodology.  Office of Information and Regulatory Affairs, Office of Management and Budget and the National Center for Health Statistics, CDC, Policy on Micro-data Dissemination, July, 2002.  Procedures include removal of individually-identifying information (name, ZIP code and birthdate), aggregation of data (temporally, spatially, by age or race, etc.) and suppression of data, e.g. if the total number of cases in a cell is small or the denominator in a rate is small.  </w:t>
      </w:r>
      <w:r w:rsidR="009135CB" w:rsidRPr="00124FF2">
        <w:rPr>
          <w:color w:val="000000"/>
        </w:rPr>
        <w:tab/>
      </w:r>
      <w:r w:rsidR="009135CB" w:rsidRPr="00124FF2">
        <w:rPr>
          <w:color w:val="000000"/>
        </w:rPr>
        <w:tab/>
      </w:r>
      <w:r w:rsidR="009135CB" w:rsidRPr="00124FF2">
        <w:rPr>
          <w:color w:val="000000"/>
        </w:rPr>
        <w:tab/>
      </w:r>
      <w:r w:rsidR="009135CB" w:rsidRPr="00124FF2">
        <w:rPr>
          <w:color w:val="000000"/>
        </w:rPr>
        <w:tab/>
      </w:r>
      <w:r w:rsidR="009135CB" w:rsidRPr="00124FF2">
        <w:rPr>
          <w:color w:val="000000"/>
        </w:rPr>
        <w:tab/>
      </w:r>
      <w:r w:rsidR="009135CB" w:rsidRPr="00124FF2">
        <w:rPr>
          <w:color w:val="000000"/>
        </w:rPr>
        <w:tab/>
      </w:r>
      <w:r w:rsidR="009135CB" w:rsidRPr="00124FF2">
        <w:rPr>
          <w:color w:val="000000"/>
        </w:rPr>
        <w:tab/>
      </w:r>
    </w:p>
    <w:p w:rsidR="009135CB" w:rsidRPr="00124FF2" w:rsidRDefault="009135CB" w:rsidP="000E23CB">
      <w:pPr>
        <w:spacing w:line="360" w:lineRule="auto"/>
        <w:rPr>
          <w:color w:val="000000"/>
        </w:rPr>
      </w:pPr>
      <w:r w:rsidRPr="00124FF2">
        <w:rPr>
          <w:b/>
          <w:color w:val="000000"/>
        </w:rPr>
        <w:t xml:space="preserve">A.11. </w:t>
      </w:r>
      <w:r w:rsidR="00C64BA2" w:rsidRPr="00124FF2">
        <w:rPr>
          <w:b/>
          <w:u w:val="single"/>
        </w:rPr>
        <w:t>Justification for Sensitive Questions</w:t>
      </w:r>
    </w:p>
    <w:p w:rsidR="009135CB" w:rsidRPr="00124FF2" w:rsidRDefault="009135CB" w:rsidP="000E23CB">
      <w:pPr>
        <w:spacing w:line="360" w:lineRule="auto"/>
        <w:rPr>
          <w:color w:val="000000"/>
        </w:rPr>
      </w:pPr>
    </w:p>
    <w:p w:rsidR="00550B2C" w:rsidRPr="00124FF2" w:rsidRDefault="00563B3B" w:rsidP="000E23CB">
      <w:pPr>
        <w:spacing w:line="360" w:lineRule="auto"/>
        <w:rPr>
          <w:color w:val="000000"/>
        </w:rPr>
      </w:pPr>
      <w:r w:rsidRPr="00124FF2">
        <w:rPr>
          <w:color w:val="000000"/>
        </w:rPr>
        <w:t>NNDSS does not ask questions of a sensitive nature, but</w:t>
      </w:r>
      <w:r w:rsidR="008653A9" w:rsidRPr="00124FF2">
        <w:rPr>
          <w:color w:val="000000"/>
        </w:rPr>
        <w:t xml:space="preserve"> </w:t>
      </w:r>
      <w:r w:rsidRPr="00124FF2">
        <w:rPr>
          <w:color w:val="000000"/>
        </w:rPr>
        <w:t xml:space="preserve">information is </w:t>
      </w:r>
      <w:r w:rsidR="004219A8" w:rsidRPr="00124FF2">
        <w:rPr>
          <w:color w:val="000000"/>
        </w:rPr>
        <w:t>submitted</w:t>
      </w:r>
      <w:r w:rsidRPr="00124FF2">
        <w:rPr>
          <w:color w:val="000000"/>
        </w:rPr>
        <w:t xml:space="preserve"> about sensitive topics, including whether a patient has sexually transmitted diseases and </w:t>
      </w:r>
      <w:r w:rsidR="0014112F" w:rsidRPr="00124FF2">
        <w:rPr>
          <w:color w:val="000000"/>
        </w:rPr>
        <w:t>sexual and drug-using behaviors</w:t>
      </w:r>
      <w:r w:rsidRPr="00124FF2">
        <w:rPr>
          <w:color w:val="000000"/>
        </w:rPr>
        <w:t xml:space="preserve">. </w:t>
      </w:r>
      <w:r w:rsidR="00550B2C" w:rsidRPr="00124FF2">
        <w:rPr>
          <w:color w:val="000000"/>
        </w:rPr>
        <w:t xml:space="preserve"> </w:t>
      </w:r>
      <w:r w:rsidRPr="00124FF2">
        <w:rPr>
          <w:color w:val="000000"/>
        </w:rPr>
        <w:t>NNDSS must</w:t>
      </w:r>
      <w:r w:rsidR="004219A8" w:rsidRPr="00124FF2">
        <w:rPr>
          <w:color w:val="000000"/>
        </w:rPr>
        <w:t xml:space="preserve"> receive</w:t>
      </w:r>
      <w:r w:rsidRPr="00124FF2">
        <w:rPr>
          <w:color w:val="000000"/>
        </w:rPr>
        <w:t xml:space="preserve"> information about sensitive notifiable diseases in order </w:t>
      </w:r>
      <w:r w:rsidR="00660024">
        <w:rPr>
          <w:color w:val="000000"/>
        </w:rPr>
        <w:t xml:space="preserve">to monitor the </w:t>
      </w:r>
      <w:r w:rsidRPr="00124FF2">
        <w:rPr>
          <w:color w:val="000000"/>
        </w:rPr>
        <w:t xml:space="preserve">occurrence of the diseases </w:t>
      </w:r>
      <w:r w:rsidR="00660024">
        <w:rPr>
          <w:color w:val="000000"/>
        </w:rPr>
        <w:t xml:space="preserve">so that </w:t>
      </w:r>
      <w:r w:rsidRPr="00124FF2">
        <w:rPr>
          <w:color w:val="000000"/>
        </w:rPr>
        <w:t xml:space="preserve">effective prevention and control programs </w:t>
      </w:r>
      <w:r w:rsidR="00660024">
        <w:rPr>
          <w:color w:val="000000"/>
        </w:rPr>
        <w:t xml:space="preserve">can be </w:t>
      </w:r>
      <w:r w:rsidR="00F119A0">
        <w:rPr>
          <w:color w:val="000000"/>
        </w:rPr>
        <w:t xml:space="preserve">planned and </w:t>
      </w:r>
      <w:r w:rsidR="00660024">
        <w:rPr>
          <w:color w:val="000000"/>
        </w:rPr>
        <w:t>implemented.</w:t>
      </w:r>
      <w:r w:rsidRPr="00124FF2">
        <w:rPr>
          <w:color w:val="000000"/>
        </w:rPr>
        <w:t xml:space="preserve">  </w:t>
      </w:r>
    </w:p>
    <w:p w:rsidR="00B23E76" w:rsidRPr="00124FF2" w:rsidRDefault="00B23E76" w:rsidP="000E23CB">
      <w:pPr>
        <w:spacing w:line="360" w:lineRule="auto"/>
        <w:rPr>
          <w:b/>
          <w:color w:val="0000FF"/>
        </w:rPr>
      </w:pPr>
    </w:p>
    <w:p w:rsidR="003F592D" w:rsidRPr="00124FF2" w:rsidRDefault="003F592D" w:rsidP="000E23CB">
      <w:pPr>
        <w:spacing w:line="360" w:lineRule="auto"/>
        <w:rPr>
          <w:b/>
          <w:color w:val="000000"/>
          <w:u w:val="single"/>
        </w:rPr>
      </w:pPr>
      <w:r w:rsidRPr="00124FF2">
        <w:rPr>
          <w:b/>
          <w:color w:val="000000"/>
        </w:rPr>
        <w:t xml:space="preserve">A.12. </w:t>
      </w:r>
      <w:r w:rsidRPr="00124FF2">
        <w:rPr>
          <w:b/>
          <w:color w:val="000000"/>
          <w:u w:val="single"/>
        </w:rPr>
        <w:t>Estimates of Annualized Burden Hours and Costs</w:t>
      </w:r>
      <w:r w:rsidR="00232DD7" w:rsidRPr="00124FF2">
        <w:rPr>
          <w:b/>
          <w:color w:val="000000"/>
          <w:u w:val="single"/>
        </w:rPr>
        <w:t xml:space="preserve"> </w:t>
      </w:r>
    </w:p>
    <w:p w:rsidR="006547FD" w:rsidRDefault="006547FD" w:rsidP="000E23CB">
      <w:pPr>
        <w:spacing w:line="360" w:lineRule="auto"/>
      </w:pPr>
    </w:p>
    <w:p w:rsidR="004C54B5" w:rsidRPr="004C54B5" w:rsidRDefault="004C54B5" w:rsidP="004C54B5">
      <w:pPr>
        <w:spacing w:line="360" w:lineRule="auto"/>
      </w:pPr>
      <w:r w:rsidRPr="004C54B5">
        <w:t xml:space="preserve">During the 1984 EPO and CSTE Pilot (As referenced in the previously approved OMB docket, 2006 ICB report) and periodically thereafter, a sample (fewer than 10) of potential respondents have been queried in order to obtain information on which to base hour burden estimates.  The </w:t>
      </w:r>
      <w:r w:rsidRPr="004C54B5">
        <w:lastRenderedPageBreak/>
        <w:t>samples include high volume reporting, low volume reporting and medium volume reporting jurisdictions.  The averages are used to estimate the national burden.</w:t>
      </w:r>
    </w:p>
    <w:p w:rsidR="004C54B5" w:rsidRPr="004C54B5" w:rsidRDefault="004C54B5" w:rsidP="004C54B5">
      <w:pPr>
        <w:spacing w:line="360" w:lineRule="auto"/>
      </w:pPr>
    </w:p>
    <w:p w:rsidR="004C54B5" w:rsidRPr="004C54B5" w:rsidRDefault="004C54B5" w:rsidP="004C54B5">
      <w:pPr>
        <w:spacing w:line="360" w:lineRule="auto"/>
      </w:pPr>
      <w:r w:rsidRPr="004C54B5">
        <w:t>Using legacy systems, health department personnel spend more time each week doing manual data entry than with current applications.  Because a significant and increasing portion and of the records entered into current systems are received electronically, the burden of work to process these reports within health departments has decreased.  Electronically received records were not an option for legacy systems.  With current systems, health department personnel spend about ½ hour per week reviewing data logs to ensure that the automated data uploads to CDC have run properly.  This replaces legacy manual data entry for those records that are electronically received.  Therefore, the increase in the number of states using current systems will decrease the estimated weekly burden and annual burden of dedicated work hours of quality assurance review.</w:t>
      </w:r>
    </w:p>
    <w:p w:rsidR="004C54B5" w:rsidRPr="004C54B5" w:rsidRDefault="004C54B5" w:rsidP="004C54B5">
      <w:pPr>
        <w:spacing w:line="360" w:lineRule="auto"/>
      </w:pPr>
    </w:p>
    <w:p w:rsidR="004C54B5" w:rsidRPr="004C54B5" w:rsidRDefault="004C54B5" w:rsidP="004C54B5">
      <w:pPr>
        <w:spacing w:line="360" w:lineRule="auto"/>
      </w:pPr>
      <w:r w:rsidRPr="004C54B5">
        <w:t>In addition, the annual summary report is easier to generate from the automatic report functions in current systems. The states, territories, and cities do not need to gather the information by hand or collate multiple data sources to calculate the annual reports (as they did under legacy systems) since current systems will rapidly generate that information.</w:t>
      </w:r>
    </w:p>
    <w:p w:rsidR="004C54B5" w:rsidRPr="004C54B5" w:rsidRDefault="004C54B5" w:rsidP="004C54B5">
      <w:pPr>
        <w:spacing w:line="360" w:lineRule="auto"/>
      </w:pPr>
    </w:p>
    <w:p w:rsidR="004C54B5" w:rsidRPr="004C54B5" w:rsidRDefault="004C54B5" w:rsidP="004C54B5">
      <w:pPr>
        <w:spacing w:line="360" w:lineRule="auto"/>
      </w:pPr>
      <w:r w:rsidRPr="004C54B5">
        <w:t>As stated in A.1 above, this application consolidates Cont</w:t>
      </w:r>
      <w:r>
        <w:t>r</w:t>
      </w:r>
      <w:r w:rsidRPr="004C54B5">
        <w:t>ol No. 0920-0128, parts of 0819, 0009, and 0004, into Control No. 0920-0728. Fifty-seven (57) reporting jurisdiction (50 states, 5 territories, and 2 cities) submit data to NNDSS on a weekly basis. The burden on the states and cities is estimated to be 10 hours per response, while the burden on the territories is estimated to be 5 hours per response. Using $23.11 as an average hourly wage rate (based on the sampling above), it is estimated that the average national annual burden for weekly and annual reporting is 28,340 hours at a national cost of $654,937.40.</w:t>
      </w:r>
    </w:p>
    <w:p w:rsidR="004C54B5" w:rsidRPr="004C54B5" w:rsidRDefault="004C54B5" w:rsidP="004C54B5">
      <w:pPr>
        <w:spacing w:line="360" w:lineRule="auto"/>
      </w:pPr>
    </w:p>
    <w:p w:rsidR="004C54B5" w:rsidRPr="004C54B5" w:rsidRDefault="004C54B5" w:rsidP="004C54B5">
      <w:pPr>
        <w:spacing w:line="360" w:lineRule="auto"/>
      </w:pPr>
      <w:r w:rsidRPr="004C54B5">
        <w:t xml:space="preserve">Furthermore, state, territory and city health departments that migrate to current systems realize other benefits other than reducing the reporting requirements.  The time saved from manual data entry enables personnel to be redirected to other high priority activities.  Also, in some health departments where current systems have been implemented, an electronic interface with existing </w:t>
      </w:r>
      <w:r w:rsidRPr="004C54B5">
        <w:lastRenderedPageBreak/>
        <w:t>health information management systems in physician, hospital and laboratory offices has greatly increased the number of records entered into the health department’s surveillance information system.</w:t>
      </w:r>
    </w:p>
    <w:p w:rsidR="00FD1D80" w:rsidRPr="00124FF2" w:rsidRDefault="00FD1D80" w:rsidP="000E23CB">
      <w:pPr>
        <w:tabs>
          <w:tab w:val="left" w:pos="1"/>
          <w:tab w:val="left" w:pos="1584"/>
          <w:tab w:val="left" w:pos="3888"/>
          <w:tab w:val="left" w:pos="5472"/>
          <w:tab w:val="left" w:pos="7200"/>
        </w:tabs>
        <w:spacing w:line="360" w:lineRule="auto"/>
        <w:rPr>
          <w:color w:val="000000"/>
        </w:rPr>
      </w:pPr>
    </w:p>
    <w:p w:rsidR="004940E2" w:rsidRPr="00124FF2" w:rsidRDefault="009135CB" w:rsidP="000E23CB">
      <w:pPr>
        <w:spacing w:line="360" w:lineRule="auto"/>
        <w:rPr>
          <w:color w:val="000000"/>
        </w:rPr>
      </w:pPr>
      <w:r w:rsidRPr="00124FF2">
        <w:rPr>
          <w:color w:val="000000"/>
        </w:rPr>
        <w:t>A</w:t>
      </w:r>
      <w:r w:rsidR="001E1338" w:rsidRPr="00124FF2">
        <w:rPr>
          <w:color w:val="000000"/>
        </w:rPr>
        <w:t>.12</w:t>
      </w:r>
      <w:r w:rsidRPr="00124FF2">
        <w:rPr>
          <w:color w:val="000000"/>
        </w:rPr>
        <w:t>A. Estima</w:t>
      </w:r>
      <w:r w:rsidR="004940E2" w:rsidRPr="00124FF2">
        <w:rPr>
          <w:color w:val="000000"/>
        </w:rPr>
        <w:t>tes of Annualized Burden Hours</w:t>
      </w:r>
    </w:p>
    <w:p w:rsidR="00490E07" w:rsidRPr="00124FF2" w:rsidRDefault="00490E07" w:rsidP="000E23CB">
      <w:pPr>
        <w:spacing w:line="360" w:lineRule="auto"/>
        <w:rPr>
          <w:color w:val="FF0000"/>
        </w:rPr>
      </w:pPr>
    </w:p>
    <w:tbl>
      <w:tblPr>
        <w:tblW w:w="9450" w:type="dxa"/>
        <w:tblInd w:w="108" w:type="dxa"/>
        <w:tblLayout w:type="fixed"/>
        <w:tblLook w:val="0000" w:firstRow="0" w:lastRow="0" w:firstColumn="0" w:lastColumn="0" w:noHBand="0" w:noVBand="0"/>
      </w:tblPr>
      <w:tblGrid>
        <w:gridCol w:w="2340"/>
        <w:gridCol w:w="1620"/>
        <w:gridCol w:w="1890"/>
        <w:gridCol w:w="1800"/>
        <w:gridCol w:w="1800"/>
      </w:tblGrid>
      <w:tr w:rsidR="00812636" w:rsidRPr="00124FF2" w:rsidTr="001B6A0B">
        <w:trPr>
          <w:trHeight w:val="835"/>
        </w:trPr>
        <w:tc>
          <w:tcPr>
            <w:tcW w:w="2340" w:type="dxa"/>
            <w:tcBorders>
              <w:top w:val="single" w:sz="8" w:space="0" w:color="auto"/>
              <w:left w:val="single" w:sz="8" w:space="0" w:color="auto"/>
              <w:bottom w:val="single" w:sz="8" w:space="0" w:color="auto"/>
              <w:right w:val="single" w:sz="8" w:space="0" w:color="auto"/>
            </w:tcBorders>
            <w:shd w:val="clear" w:color="auto" w:fill="auto"/>
          </w:tcPr>
          <w:p w:rsidR="00812636" w:rsidRPr="00124FF2" w:rsidRDefault="00812636" w:rsidP="00F32660">
            <w:pPr>
              <w:jc w:val="center"/>
              <w:rPr>
                <w:b/>
                <w:bCs/>
                <w:color w:val="000000"/>
              </w:rPr>
            </w:pPr>
            <w:r w:rsidRPr="00124FF2">
              <w:rPr>
                <w:b/>
                <w:bCs/>
                <w:color w:val="000000"/>
              </w:rPr>
              <w:t>Respondents</w:t>
            </w:r>
          </w:p>
        </w:tc>
        <w:tc>
          <w:tcPr>
            <w:tcW w:w="1620"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Number of Respondents</w:t>
            </w:r>
          </w:p>
        </w:tc>
        <w:tc>
          <w:tcPr>
            <w:tcW w:w="1890"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Number of  Responses per Respondent</w:t>
            </w:r>
          </w:p>
        </w:tc>
        <w:tc>
          <w:tcPr>
            <w:tcW w:w="1800"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Average Burden Per Response</w:t>
            </w:r>
            <w:r w:rsidR="005E23A2" w:rsidRPr="00124FF2">
              <w:rPr>
                <w:b/>
                <w:bCs/>
              </w:rPr>
              <w:t xml:space="preserve">  </w:t>
            </w:r>
            <w:r w:rsidRPr="00124FF2">
              <w:rPr>
                <w:b/>
                <w:bCs/>
              </w:rPr>
              <w:t>(in hours)</w:t>
            </w:r>
          </w:p>
        </w:tc>
        <w:tc>
          <w:tcPr>
            <w:tcW w:w="1800"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Total Burden</w:t>
            </w:r>
            <w:r w:rsidR="005E23A2" w:rsidRPr="00124FF2">
              <w:rPr>
                <w:b/>
                <w:bCs/>
              </w:rPr>
              <w:t xml:space="preserve"> </w:t>
            </w:r>
            <w:r w:rsidRPr="00124FF2">
              <w:rPr>
                <w:b/>
                <w:bCs/>
              </w:rPr>
              <w:t xml:space="preserve"> (in hours)</w:t>
            </w:r>
          </w:p>
        </w:tc>
      </w:tr>
      <w:tr w:rsidR="00812636" w:rsidRPr="00124FF2" w:rsidTr="00B05A7D">
        <w:trPr>
          <w:trHeight w:val="414"/>
        </w:trPr>
        <w:tc>
          <w:tcPr>
            <w:tcW w:w="9450"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812636" w:rsidRPr="00124FF2" w:rsidRDefault="00812636" w:rsidP="00F32660">
            <w:pPr>
              <w:rPr>
                <w:b/>
                <w:bCs/>
              </w:rPr>
            </w:pPr>
            <w:r w:rsidRPr="00124FF2">
              <w:rPr>
                <w:b/>
                <w:bCs/>
              </w:rPr>
              <w:t xml:space="preserve">Weekly </w:t>
            </w:r>
            <w:r w:rsidR="00A34E7C" w:rsidRPr="00124FF2">
              <w:rPr>
                <w:b/>
                <w:bCs/>
              </w:rPr>
              <w:t xml:space="preserve">and Annual </w:t>
            </w:r>
            <w:r w:rsidR="007267D8" w:rsidRPr="00124FF2">
              <w:rPr>
                <w:b/>
                <w:bCs/>
              </w:rPr>
              <w:t>Submissions</w:t>
            </w:r>
            <w:r w:rsidRPr="00124FF2">
              <w:rPr>
                <w:b/>
                <w:bCs/>
              </w:rPr>
              <w:t xml:space="preserve"> </w:t>
            </w:r>
          </w:p>
        </w:tc>
      </w:tr>
      <w:tr w:rsidR="00812636" w:rsidRPr="00124FF2" w:rsidTr="00B05A7D">
        <w:trPr>
          <w:trHeight w:val="414"/>
        </w:trPr>
        <w:tc>
          <w:tcPr>
            <w:tcW w:w="9450" w:type="dxa"/>
            <w:gridSpan w:val="5"/>
            <w:vMerge/>
            <w:tcBorders>
              <w:top w:val="single" w:sz="8" w:space="0" w:color="auto"/>
              <w:left w:val="single" w:sz="8" w:space="0" w:color="auto"/>
              <w:bottom w:val="single" w:sz="8" w:space="0" w:color="000000"/>
              <w:right w:val="single" w:sz="8" w:space="0" w:color="000000"/>
            </w:tcBorders>
            <w:vAlign w:val="center"/>
          </w:tcPr>
          <w:p w:rsidR="00812636" w:rsidRPr="00124FF2" w:rsidRDefault="00812636" w:rsidP="00F32660">
            <w:pPr>
              <w:rPr>
                <w:b/>
                <w:bCs/>
                <w:color w:val="C00000"/>
              </w:rPr>
            </w:pPr>
          </w:p>
        </w:tc>
      </w:tr>
      <w:tr w:rsidR="00812636" w:rsidRPr="00124FF2" w:rsidTr="00B17AFE">
        <w:trPr>
          <w:trHeight w:val="315"/>
        </w:trPr>
        <w:tc>
          <w:tcPr>
            <w:tcW w:w="2340"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States</w:t>
            </w:r>
          </w:p>
        </w:tc>
        <w:tc>
          <w:tcPr>
            <w:tcW w:w="162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50</w:t>
            </w:r>
          </w:p>
        </w:tc>
        <w:tc>
          <w:tcPr>
            <w:tcW w:w="189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52</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10</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26000</w:t>
            </w:r>
          </w:p>
        </w:tc>
      </w:tr>
      <w:tr w:rsidR="00812636" w:rsidRPr="00124FF2" w:rsidTr="00B17AFE">
        <w:trPr>
          <w:trHeight w:val="315"/>
        </w:trPr>
        <w:tc>
          <w:tcPr>
            <w:tcW w:w="2340"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Territories</w:t>
            </w:r>
          </w:p>
        </w:tc>
        <w:tc>
          <w:tcPr>
            <w:tcW w:w="162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w:t>
            </w:r>
          </w:p>
        </w:tc>
        <w:tc>
          <w:tcPr>
            <w:tcW w:w="189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52</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5</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1E1338" w:rsidP="00DC0561">
            <w:pPr>
              <w:jc w:val="right"/>
            </w:pPr>
            <w:r w:rsidRPr="00124FF2">
              <w:t xml:space="preserve">                   </w:t>
            </w:r>
            <w:r w:rsidR="00DC0561">
              <w:t xml:space="preserve">     </w:t>
            </w:r>
            <w:r w:rsidR="00A34E7C" w:rsidRPr="00124FF2">
              <w:t>1300</w:t>
            </w:r>
          </w:p>
        </w:tc>
      </w:tr>
      <w:tr w:rsidR="00812636" w:rsidRPr="00124FF2" w:rsidTr="00B17AFE">
        <w:trPr>
          <w:trHeight w:val="315"/>
        </w:trPr>
        <w:tc>
          <w:tcPr>
            <w:tcW w:w="2340"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Cities</w:t>
            </w:r>
          </w:p>
        </w:tc>
        <w:tc>
          <w:tcPr>
            <w:tcW w:w="162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2</w:t>
            </w:r>
          </w:p>
        </w:tc>
        <w:tc>
          <w:tcPr>
            <w:tcW w:w="1890"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52</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10</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1040</w:t>
            </w:r>
          </w:p>
        </w:tc>
      </w:tr>
      <w:tr w:rsidR="00812636" w:rsidRPr="00124FF2" w:rsidTr="00B17AFE">
        <w:trPr>
          <w:trHeight w:val="315"/>
        </w:trPr>
        <w:tc>
          <w:tcPr>
            <w:tcW w:w="2340"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Total</w:t>
            </w:r>
          </w:p>
        </w:tc>
        <w:tc>
          <w:tcPr>
            <w:tcW w:w="1620"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890"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800" w:type="dxa"/>
            <w:tcBorders>
              <w:top w:val="nil"/>
              <w:left w:val="nil"/>
              <w:bottom w:val="single" w:sz="8" w:space="0" w:color="auto"/>
              <w:right w:val="single" w:sz="8" w:space="0" w:color="auto"/>
            </w:tcBorders>
            <w:shd w:val="clear" w:color="auto" w:fill="auto"/>
            <w:vAlign w:val="bottom"/>
          </w:tcPr>
          <w:p w:rsidR="00812636" w:rsidRPr="00124FF2" w:rsidRDefault="00AA479A" w:rsidP="00F32660">
            <w:pPr>
              <w:jc w:val="right"/>
            </w:pPr>
            <w:r w:rsidRPr="00124FF2">
              <w:t>28</w:t>
            </w:r>
            <w:r w:rsidR="00477384" w:rsidRPr="00124FF2">
              <w:t>,</w:t>
            </w:r>
            <w:r w:rsidRPr="00124FF2">
              <w:t>340</w:t>
            </w:r>
          </w:p>
        </w:tc>
      </w:tr>
    </w:tbl>
    <w:p w:rsidR="00812636" w:rsidRPr="00124FF2" w:rsidRDefault="00812636" w:rsidP="000E23CB">
      <w:pPr>
        <w:spacing w:line="360" w:lineRule="auto"/>
        <w:rPr>
          <w:color w:val="FF0000"/>
        </w:rPr>
      </w:pPr>
    </w:p>
    <w:p w:rsidR="00B07C20" w:rsidRPr="00124FF2" w:rsidRDefault="00B07C20" w:rsidP="000E23CB">
      <w:pPr>
        <w:spacing w:line="360" w:lineRule="auto"/>
        <w:rPr>
          <w:color w:val="FF0000"/>
        </w:rPr>
      </w:pPr>
    </w:p>
    <w:p w:rsidR="00B07C20" w:rsidRPr="00124FF2" w:rsidRDefault="001E1338" w:rsidP="000E23CB">
      <w:pPr>
        <w:spacing w:line="360" w:lineRule="auto"/>
        <w:rPr>
          <w:color w:val="000000"/>
        </w:rPr>
      </w:pPr>
      <w:r w:rsidRPr="00124FF2">
        <w:rPr>
          <w:color w:val="000000"/>
        </w:rPr>
        <w:t>A.</w:t>
      </w:r>
      <w:r w:rsidR="009135CB" w:rsidRPr="00124FF2">
        <w:rPr>
          <w:color w:val="000000"/>
        </w:rPr>
        <w:t>12B. Estimates of Annualized Cost Burden</w:t>
      </w:r>
    </w:p>
    <w:p w:rsidR="00490E07" w:rsidRPr="00124FF2" w:rsidRDefault="00490E07" w:rsidP="000E23CB">
      <w:pPr>
        <w:spacing w:line="360" w:lineRule="auto"/>
        <w:rPr>
          <w:color w:val="FF0000"/>
        </w:rPr>
      </w:pPr>
    </w:p>
    <w:tbl>
      <w:tblPr>
        <w:tblW w:w="9465" w:type="dxa"/>
        <w:tblInd w:w="93" w:type="dxa"/>
        <w:tblLook w:val="0000" w:firstRow="0" w:lastRow="0" w:firstColumn="0" w:lastColumn="0" w:noHBand="0" w:noVBand="0"/>
      </w:tblPr>
      <w:tblGrid>
        <w:gridCol w:w="1825"/>
        <w:gridCol w:w="1523"/>
        <w:gridCol w:w="1537"/>
        <w:gridCol w:w="1341"/>
        <w:gridCol w:w="1295"/>
        <w:gridCol w:w="1944"/>
      </w:tblGrid>
      <w:tr w:rsidR="00812636" w:rsidRPr="00124FF2" w:rsidTr="00AA479A">
        <w:trPr>
          <w:trHeight w:val="1060"/>
        </w:trPr>
        <w:tc>
          <w:tcPr>
            <w:tcW w:w="1844" w:type="dxa"/>
            <w:tcBorders>
              <w:top w:val="single" w:sz="8" w:space="0" w:color="auto"/>
              <w:left w:val="single" w:sz="8" w:space="0" w:color="auto"/>
              <w:bottom w:val="single" w:sz="8" w:space="0" w:color="auto"/>
              <w:right w:val="single" w:sz="8" w:space="0" w:color="auto"/>
            </w:tcBorders>
            <w:shd w:val="clear" w:color="auto" w:fill="auto"/>
          </w:tcPr>
          <w:p w:rsidR="00812636" w:rsidRPr="00124FF2" w:rsidRDefault="00812636" w:rsidP="00F32660">
            <w:pPr>
              <w:jc w:val="center"/>
              <w:rPr>
                <w:b/>
                <w:bCs/>
                <w:color w:val="000000"/>
              </w:rPr>
            </w:pPr>
            <w:r w:rsidRPr="00124FF2">
              <w:rPr>
                <w:b/>
                <w:bCs/>
                <w:color w:val="000000"/>
              </w:rPr>
              <w:t>Respondents</w:t>
            </w:r>
          </w:p>
        </w:tc>
        <w:tc>
          <w:tcPr>
            <w:tcW w:w="1434"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Number of Respondents</w:t>
            </w:r>
          </w:p>
        </w:tc>
        <w:tc>
          <w:tcPr>
            <w:tcW w:w="1544"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Number of  Responses per Respondent</w:t>
            </w:r>
          </w:p>
        </w:tc>
        <w:tc>
          <w:tcPr>
            <w:tcW w:w="1351"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Average Burden Per Response</w:t>
            </w:r>
            <w:r w:rsidR="005E23A2" w:rsidRPr="00124FF2">
              <w:rPr>
                <w:b/>
                <w:bCs/>
              </w:rPr>
              <w:t xml:space="preserve"> </w:t>
            </w:r>
            <w:r w:rsidRPr="00124FF2">
              <w:rPr>
                <w:b/>
                <w:bCs/>
              </w:rPr>
              <w:t xml:space="preserve"> (in hours)</w:t>
            </w:r>
          </w:p>
        </w:tc>
        <w:tc>
          <w:tcPr>
            <w:tcW w:w="1316"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Hourly Wage Rate</w:t>
            </w:r>
          </w:p>
        </w:tc>
        <w:tc>
          <w:tcPr>
            <w:tcW w:w="1976" w:type="dxa"/>
            <w:tcBorders>
              <w:top w:val="single" w:sz="8" w:space="0" w:color="auto"/>
              <w:left w:val="nil"/>
              <w:bottom w:val="single" w:sz="8" w:space="0" w:color="auto"/>
              <w:right w:val="single" w:sz="8" w:space="0" w:color="auto"/>
            </w:tcBorders>
            <w:shd w:val="clear" w:color="auto" w:fill="auto"/>
          </w:tcPr>
          <w:p w:rsidR="00812636" w:rsidRPr="00124FF2" w:rsidRDefault="00812636" w:rsidP="00F32660">
            <w:pPr>
              <w:jc w:val="center"/>
              <w:rPr>
                <w:b/>
                <w:bCs/>
              </w:rPr>
            </w:pPr>
            <w:r w:rsidRPr="00124FF2">
              <w:rPr>
                <w:b/>
                <w:bCs/>
              </w:rPr>
              <w:t>Respondent Cost</w:t>
            </w:r>
          </w:p>
        </w:tc>
      </w:tr>
      <w:tr w:rsidR="00812636" w:rsidRPr="00124FF2" w:rsidTr="00250BA2">
        <w:trPr>
          <w:trHeight w:val="414"/>
        </w:trPr>
        <w:tc>
          <w:tcPr>
            <w:tcW w:w="946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812636" w:rsidRPr="00124FF2" w:rsidRDefault="00A34E7C" w:rsidP="00F32660">
            <w:pPr>
              <w:rPr>
                <w:b/>
                <w:bCs/>
              </w:rPr>
            </w:pPr>
            <w:r w:rsidRPr="00124FF2">
              <w:rPr>
                <w:b/>
                <w:bCs/>
              </w:rPr>
              <w:t xml:space="preserve">Weekly and </w:t>
            </w:r>
            <w:r w:rsidR="00812636" w:rsidRPr="00124FF2">
              <w:rPr>
                <w:b/>
                <w:bCs/>
              </w:rPr>
              <w:t xml:space="preserve">Annual </w:t>
            </w:r>
            <w:r w:rsidR="007267D8" w:rsidRPr="00124FF2">
              <w:rPr>
                <w:b/>
                <w:bCs/>
              </w:rPr>
              <w:t>Submissions</w:t>
            </w:r>
          </w:p>
        </w:tc>
      </w:tr>
      <w:tr w:rsidR="00812636" w:rsidRPr="00124FF2" w:rsidTr="00250BA2">
        <w:trPr>
          <w:trHeight w:val="414"/>
        </w:trPr>
        <w:tc>
          <w:tcPr>
            <w:tcW w:w="9465" w:type="dxa"/>
            <w:gridSpan w:val="6"/>
            <w:vMerge/>
            <w:tcBorders>
              <w:top w:val="single" w:sz="8" w:space="0" w:color="auto"/>
              <w:left w:val="single" w:sz="8" w:space="0" w:color="auto"/>
              <w:bottom w:val="single" w:sz="8" w:space="0" w:color="000000"/>
              <w:right w:val="single" w:sz="8" w:space="0" w:color="000000"/>
            </w:tcBorders>
            <w:vAlign w:val="center"/>
          </w:tcPr>
          <w:p w:rsidR="00812636" w:rsidRPr="00124FF2" w:rsidRDefault="00812636" w:rsidP="00F32660">
            <w:pPr>
              <w:rPr>
                <w:b/>
                <w:bCs/>
                <w:color w:val="C00000"/>
              </w:rPr>
            </w:pPr>
          </w:p>
        </w:tc>
      </w:tr>
      <w:tr w:rsidR="00812636" w:rsidRPr="00124FF2" w:rsidTr="00AA479A">
        <w:trPr>
          <w:trHeight w:val="315"/>
        </w:trPr>
        <w:tc>
          <w:tcPr>
            <w:tcW w:w="1844"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States</w:t>
            </w:r>
          </w:p>
        </w:tc>
        <w:tc>
          <w:tcPr>
            <w:tcW w:w="1434"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50</w:t>
            </w:r>
          </w:p>
        </w:tc>
        <w:tc>
          <w:tcPr>
            <w:tcW w:w="1544"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52</w:t>
            </w:r>
          </w:p>
        </w:tc>
        <w:tc>
          <w:tcPr>
            <w:tcW w:w="1351"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10</w:t>
            </w:r>
          </w:p>
        </w:tc>
        <w:tc>
          <w:tcPr>
            <w:tcW w:w="1316"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23.11</w:t>
            </w:r>
          </w:p>
        </w:tc>
        <w:tc>
          <w:tcPr>
            <w:tcW w:w="1976" w:type="dxa"/>
            <w:tcBorders>
              <w:top w:val="nil"/>
              <w:left w:val="nil"/>
              <w:bottom w:val="single" w:sz="8" w:space="0" w:color="auto"/>
              <w:right w:val="single" w:sz="8" w:space="0" w:color="auto"/>
            </w:tcBorders>
            <w:shd w:val="clear" w:color="auto" w:fill="auto"/>
            <w:vAlign w:val="bottom"/>
          </w:tcPr>
          <w:p w:rsidR="00812636" w:rsidRPr="00124FF2" w:rsidRDefault="00477384" w:rsidP="00F32660">
            <w:pPr>
              <w:jc w:val="right"/>
            </w:pPr>
            <w:r w:rsidRPr="00124FF2">
              <w:t>$</w:t>
            </w:r>
            <w:r w:rsidR="00A34E7C" w:rsidRPr="00124FF2">
              <w:t>600</w:t>
            </w:r>
            <w:r w:rsidRPr="00124FF2">
              <w:t>,</w:t>
            </w:r>
            <w:r w:rsidR="00A34E7C" w:rsidRPr="00124FF2">
              <w:t>860</w:t>
            </w:r>
          </w:p>
        </w:tc>
      </w:tr>
      <w:tr w:rsidR="00812636" w:rsidRPr="00124FF2" w:rsidTr="00AA479A">
        <w:trPr>
          <w:trHeight w:val="315"/>
        </w:trPr>
        <w:tc>
          <w:tcPr>
            <w:tcW w:w="1844"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Territories</w:t>
            </w:r>
          </w:p>
        </w:tc>
        <w:tc>
          <w:tcPr>
            <w:tcW w:w="1434"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5</w:t>
            </w:r>
          </w:p>
        </w:tc>
        <w:tc>
          <w:tcPr>
            <w:tcW w:w="1544"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52</w:t>
            </w:r>
          </w:p>
        </w:tc>
        <w:tc>
          <w:tcPr>
            <w:tcW w:w="1351"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5</w:t>
            </w:r>
          </w:p>
        </w:tc>
        <w:tc>
          <w:tcPr>
            <w:tcW w:w="1316"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23.11</w:t>
            </w:r>
          </w:p>
        </w:tc>
        <w:tc>
          <w:tcPr>
            <w:tcW w:w="1976" w:type="dxa"/>
            <w:tcBorders>
              <w:top w:val="nil"/>
              <w:left w:val="nil"/>
              <w:bottom w:val="single" w:sz="8" w:space="0" w:color="auto"/>
              <w:right w:val="single" w:sz="8" w:space="0" w:color="auto"/>
            </w:tcBorders>
            <w:shd w:val="clear" w:color="auto" w:fill="auto"/>
            <w:vAlign w:val="bottom"/>
          </w:tcPr>
          <w:p w:rsidR="00812636" w:rsidRPr="00124FF2" w:rsidRDefault="00477384" w:rsidP="00F32660">
            <w:pPr>
              <w:jc w:val="right"/>
            </w:pPr>
            <w:r w:rsidRPr="00124FF2">
              <w:t>$</w:t>
            </w:r>
            <w:r w:rsidR="00A34E7C" w:rsidRPr="00124FF2">
              <w:t>30</w:t>
            </w:r>
            <w:r w:rsidRPr="00124FF2">
              <w:t>,</w:t>
            </w:r>
            <w:r w:rsidR="00A34E7C" w:rsidRPr="00124FF2">
              <w:t>043</w:t>
            </w:r>
          </w:p>
        </w:tc>
      </w:tr>
      <w:tr w:rsidR="00812636" w:rsidRPr="00124FF2" w:rsidTr="00AA479A">
        <w:trPr>
          <w:trHeight w:val="315"/>
        </w:trPr>
        <w:tc>
          <w:tcPr>
            <w:tcW w:w="1844"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Cities</w:t>
            </w:r>
          </w:p>
        </w:tc>
        <w:tc>
          <w:tcPr>
            <w:tcW w:w="1434" w:type="dxa"/>
            <w:tcBorders>
              <w:top w:val="nil"/>
              <w:left w:val="nil"/>
              <w:bottom w:val="single" w:sz="8" w:space="0" w:color="auto"/>
              <w:right w:val="single" w:sz="8" w:space="0" w:color="auto"/>
            </w:tcBorders>
            <w:shd w:val="clear" w:color="auto" w:fill="auto"/>
            <w:vAlign w:val="bottom"/>
          </w:tcPr>
          <w:p w:rsidR="00812636" w:rsidRPr="00124FF2" w:rsidRDefault="00812636" w:rsidP="00F32660">
            <w:pPr>
              <w:jc w:val="right"/>
            </w:pPr>
            <w:r w:rsidRPr="00124FF2">
              <w:t>2</w:t>
            </w:r>
          </w:p>
        </w:tc>
        <w:tc>
          <w:tcPr>
            <w:tcW w:w="1544"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52</w:t>
            </w:r>
          </w:p>
        </w:tc>
        <w:tc>
          <w:tcPr>
            <w:tcW w:w="1351"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10</w:t>
            </w:r>
          </w:p>
        </w:tc>
        <w:tc>
          <w:tcPr>
            <w:tcW w:w="1316" w:type="dxa"/>
            <w:tcBorders>
              <w:top w:val="nil"/>
              <w:left w:val="nil"/>
              <w:bottom w:val="single" w:sz="8" w:space="0" w:color="auto"/>
              <w:right w:val="single" w:sz="8" w:space="0" w:color="auto"/>
            </w:tcBorders>
            <w:shd w:val="clear" w:color="auto" w:fill="auto"/>
            <w:vAlign w:val="bottom"/>
          </w:tcPr>
          <w:p w:rsidR="00812636" w:rsidRPr="00124FF2" w:rsidRDefault="00A34E7C" w:rsidP="00F32660">
            <w:pPr>
              <w:jc w:val="right"/>
            </w:pPr>
            <w:r w:rsidRPr="00124FF2">
              <w:t>23.11</w:t>
            </w:r>
          </w:p>
        </w:tc>
        <w:tc>
          <w:tcPr>
            <w:tcW w:w="1976" w:type="dxa"/>
            <w:tcBorders>
              <w:top w:val="nil"/>
              <w:left w:val="nil"/>
              <w:bottom w:val="single" w:sz="8" w:space="0" w:color="auto"/>
              <w:right w:val="single" w:sz="8" w:space="0" w:color="auto"/>
            </w:tcBorders>
            <w:shd w:val="clear" w:color="auto" w:fill="auto"/>
            <w:vAlign w:val="bottom"/>
          </w:tcPr>
          <w:p w:rsidR="00812636" w:rsidRPr="00124FF2" w:rsidRDefault="00477384" w:rsidP="00F32660">
            <w:pPr>
              <w:jc w:val="right"/>
            </w:pPr>
            <w:r w:rsidRPr="00124FF2">
              <w:t>$</w:t>
            </w:r>
            <w:r w:rsidR="00A34E7C" w:rsidRPr="00124FF2">
              <w:t>24</w:t>
            </w:r>
            <w:r w:rsidRPr="00124FF2">
              <w:t>,</w:t>
            </w:r>
            <w:r w:rsidR="00A34E7C" w:rsidRPr="00124FF2">
              <w:t>034.40</w:t>
            </w:r>
          </w:p>
        </w:tc>
      </w:tr>
      <w:tr w:rsidR="00812636" w:rsidRPr="00124FF2" w:rsidTr="00AA479A">
        <w:trPr>
          <w:trHeight w:val="315"/>
        </w:trPr>
        <w:tc>
          <w:tcPr>
            <w:tcW w:w="1844" w:type="dxa"/>
            <w:tcBorders>
              <w:top w:val="nil"/>
              <w:left w:val="single" w:sz="8" w:space="0" w:color="auto"/>
              <w:bottom w:val="single" w:sz="8" w:space="0" w:color="auto"/>
              <w:right w:val="single" w:sz="8" w:space="0" w:color="auto"/>
            </w:tcBorders>
            <w:shd w:val="clear" w:color="auto" w:fill="auto"/>
            <w:vAlign w:val="bottom"/>
          </w:tcPr>
          <w:p w:rsidR="00812636" w:rsidRPr="00124FF2" w:rsidRDefault="00812636" w:rsidP="00F32660">
            <w:pPr>
              <w:rPr>
                <w:color w:val="000000"/>
              </w:rPr>
            </w:pPr>
            <w:r w:rsidRPr="00124FF2">
              <w:rPr>
                <w:color w:val="000000"/>
              </w:rPr>
              <w:t>Total</w:t>
            </w:r>
          </w:p>
        </w:tc>
        <w:tc>
          <w:tcPr>
            <w:tcW w:w="1434"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544"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351"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316" w:type="dxa"/>
            <w:tcBorders>
              <w:top w:val="nil"/>
              <w:left w:val="nil"/>
              <w:bottom w:val="single" w:sz="8" w:space="0" w:color="auto"/>
              <w:right w:val="single" w:sz="8" w:space="0" w:color="auto"/>
            </w:tcBorders>
            <w:shd w:val="clear" w:color="auto" w:fill="auto"/>
            <w:vAlign w:val="bottom"/>
          </w:tcPr>
          <w:p w:rsidR="00812636" w:rsidRPr="00124FF2" w:rsidRDefault="00812636" w:rsidP="00F32660">
            <w:r w:rsidRPr="00124FF2">
              <w:t> </w:t>
            </w:r>
          </w:p>
        </w:tc>
        <w:tc>
          <w:tcPr>
            <w:tcW w:w="1976" w:type="dxa"/>
            <w:tcBorders>
              <w:top w:val="nil"/>
              <w:left w:val="nil"/>
              <w:bottom w:val="single" w:sz="8" w:space="0" w:color="auto"/>
              <w:right w:val="single" w:sz="8" w:space="0" w:color="auto"/>
            </w:tcBorders>
            <w:shd w:val="clear" w:color="auto" w:fill="auto"/>
            <w:vAlign w:val="bottom"/>
          </w:tcPr>
          <w:p w:rsidR="00812636" w:rsidRPr="00124FF2" w:rsidRDefault="00477384" w:rsidP="00F32660">
            <w:pPr>
              <w:jc w:val="right"/>
            </w:pPr>
            <w:r w:rsidRPr="00124FF2">
              <w:t>$</w:t>
            </w:r>
            <w:r w:rsidR="00A34E7C" w:rsidRPr="00124FF2">
              <w:t>654</w:t>
            </w:r>
            <w:r w:rsidRPr="00124FF2">
              <w:t>,</w:t>
            </w:r>
            <w:r w:rsidR="00A34E7C" w:rsidRPr="00124FF2">
              <w:t>937.40</w:t>
            </w:r>
          </w:p>
        </w:tc>
      </w:tr>
    </w:tbl>
    <w:p w:rsidR="001E1338" w:rsidRPr="00124FF2" w:rsidRDefault="001E1338" w:rsidP="000E23CB">
      <w:pPr>
        <w:tabs>
          <w:tab w:val="left" w:pos="1"/>
          <w:tab w:val="left" w:pos="1584"/>
          <w:tab w:val="left" w:pos="3888"/>
          <w:tab w:val="left" w:pos="5472"/>
          <w:tab w:val="left" w:pos="7200"/>
        </w:tabs>
        <w:spacing w:line="360" w:lineRule="auto"/>
        <w:rPr>
          <w:b/>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b/>
          <w:color w:val="000000"/>
        </w:rPr>
        <w:t xml:space="preserve">A.13. </w:t>
      </w:r>
      <w:r w:rsidRPr="00124FF2">
        <w:rPr>
          <w:b/>
          <w:color w:val="000000"/>
          <w:u w:val="single"/>
        </w:rPr>
        <w:t xml:space="preserve">Estimate of Other Total Annual Cost Burden to Respondents or </w:t>
      </w:r>
      <w:r w:rsidR="00BD540F" w:rsidRPr="00124FF2">
        <w:rPr>
          <w:b/>
          <w:color w:val="000000"/>
          <w:u w:val="single"/>
        </w:rPr>
        <w:t>Record-keepers</w:t>
      </w: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color w:val="000000"/>
        </w:rPr>
        <w:t>There are no other annual costs to respondents or record</w:t>
      </w:r>
      <w:r w:rsidR="00DB6DED">
        <w:rPr>
          <w:color w:val="000000"/>
        </w:rPr>
        <w:t xml:space="preserve"> </w:t>
      </w:r>
      <w:r w:rsidRPr="00124FF2">
        <w:rPr>
          <w:color w:val="000000"/>
        </w:rPr>
        <w:t xml:space="preserve">keepers.  </w:t>
      </w:r>
    </w:p>
    <w:p w:rsidR="009135CB" w:rsidRDefault="009135CB" w:rsidP="000E23CB">
      <w:pPr>
        <w:tabs>
          <w:tab w:val="left" w:pos="1"/>
          <w:tab w:val="left" w:pos="1584"/>
          <w:tab w:val="left" w:pos="3888"/>
          <w:tab w:val="left" w:pos="5472"/>
          <w:tab w:val="left" w:pos="7200"/>
        </w:tabs>
        <w:spacing w:line="360" w:lineRule="auto"/>
        <w:rPr>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b/>
          <w:color w:val="000000"/>
        </w:rPr>
        <w:lastRenderedPageBreak/>
        <w:t xml:space="preserve">A.14. </w:t>
      </w:r>
      <w:r w:rsidRPr="00124FF2">
        <w:rPr>
          <w:b/>
          <w:color w:val="000000"/>
          <w:u w:val="single"/>
        </w:rPr>
        <w:t>Annualized Cost to the Federal Government</w:t>
      </w:r>
      <w:r w:rsidR="00A62F53" w:rsidRPr="00124FF2">
        <w:rPr>
          <w:b/>
          <w:color w:val="000000"/>
          <w:u w:val="single"/>
        </w:rPr>
        <w:t xml:space="preserve"> </w:t>
      </w:r>
    </w:p>
    <w:p w:rsidR="009135CB" w:rsidRPr="00124FF2" w:rsidRDefault="009135CB" w:rsidP="000E23CB">
      <w:pPr>
        <w:tabs>
          <w:tab w:val="left" w:pos="1"/>
          <w:tab w:val="left" w:pos="1584"/>
          <w:tab w:val="left" w:pos="3888"/>
          <w:tab w:val="left" w:pos="5472"/>
          <w:tab w:val="left" w:pos="7200"/>
        </w:tabs>
        <w:spacing w:line="360" w:lineRule="auto"/>
        <w:rPr>
          <w:color w:val="000000"/>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00A94D67" w:rsidRPr="00A94D67" w:rsidTr="00F057C1">
        <w:trPr>
          <w:cantSplit/>
          <w:trHeight w:val="402"/>
        </w:trPr>
        <w:tc>
          <w:tcPr>
            <w:tcW w:w="5040" w:type="dxa"/>
            <w:tcBorders>
              <w:top w:val="single" w:sz="6" w:space="0" w:color="000000"/>
              <w:left w:val="single" w:sz="6" w:space="0" w:color="000000"/>
            </w:tcBorders>
          </w:tcPr>
          <w:p w:rsidR="00EB49FE" w:rsidRPr="00A94D67" w:rsidRDefault="00EB49FE" w:rsidP="00F32660">
            <w:r w:rsidRPr="00A94D67">
              <w:t>Item</w:t>
            </w:r>
          </w:p>
        </w:tc>
        <w:tc>
          <w:tcPr>
            <w:tcW w:w="4410" w:type="dxa"/>
            <w:gridSpan w:val="3"/>
            <w:tcBorders>
              <w:top w:val="single" w:sz="6" w:space="0" w:color="000000"/>
              <w:left w:val="single" w:sz="6" w:space="0" w:color="000000"/>
              <w:right w:val="single" w:sz="6" w:space="0" w:color="000000"/>
            </w:tcBorders>
          </w:tcPr>
          <w:p w:rsidR="00EB49FE" w:rsidRPr="00A94D67" w:rsidRDefault="00EB49FE" w:rsidP="00F32660">
            <w:pPr>
              <w:jc w:val="center"/>
              <w:rPr>
                <w:b/>
              </w:rPr>
            </w:pPr>
            <w:r w:rsidRPr="00A94D67">
              <w:t>N</w:t>
            </w:r>
            <w:r w:rsidR="002F52D3" w:rsidRPr="00A94D67">
              <w:t>NDSS</w:t>
            </w:r>
            <w:r w:rsidRPr="00A94D67">
              <w:t xml:space="preserve"> </w:t>
            </w:r>
            <w:r w:rsidR="00514E3A" w:rsidRPr="00A94D67">
              <w:t xml:space="preserve">Estimated </w:t>
            </w:r>
            <w:r w:rsidRPr="00A94D67">
              <w:t>Cost to Federal Government</w:t>
            </w:r>
          </w:p>
        </w:tc>
      </w:tr>
      <w:tr w:rsidR="00A94D67" w:rsidRPr="00A94D67" w:rsidTr="00F057C1">
        <w:trPr>
          <w:cantSplit/>
          <w:trHeight w:val="402"/>
        </w:trPr>
        <w:tc>
          <w:tcPr>
            <w:tcW w:w="5040" w:type="dxa"/>
            <w:tcBorders>
              <w:top w:val="single" w:sz="6" w:space="0" w:color="000000"/>
              <w:left w:val="single" w:sz="6" w:space="0" w:color="000000"/>
            </w:tcBorders>
          </w:tcPr>
          <w:p w:rsidR="00093F2D" w:rsidRPr="00A94D67" w:rsidRDefault="00093F2D" w:rsidP="00F32660"/>
        </w:tc>
        <w:tc>
          <w:tcPr>
            <w:tcW w:w="1530" w:type="dxa"/>
            <w:tcBorders>
              <w:top w:val="single" w:sz="6" w:space="0" w:color="000000"/>
              <w:left w:val="single" w:sz="6" w:space="0" w:color="000000"/>
              <w:right w:val="single" w:sz="6" w:space="0" w:color="000000"/>
            </w:tcBorders>
          </w:tcPr>
          <w:p w:rsidR="00093F2D" w:rsidRPr="00A94D67" w:rsidRDefault="002F52D3" w:rsidP="00A94D67">
            <w:pPr>
              <w:jc w:val="center"/>
            </w:pPr>
            <w:r w:rsidRPr="00A94D67">
              <w:t>FY 14</w:t>
            </w:r>
          </w:p>
        </w:tc>
        <w:tc>
          <w:tcPr>
            <w:tcW w:w="1440" w:type="dxa"/>
            <w:tcBorders>
              <w:top w:val="single" w:sz="6" w:space="0" w:color="000000"/>
              <w:left w:val="single" w:sz="6" w:space="0" w:color="000000"/>
              <w:right w:val="single" w:sz="6" w:space="0" w:color="000000"/>
            </w:tcBorders>
          </w:tcPr>
          <w:p w:rsidR="00093F2D" w:rsidRPr="00A94D67" w:rsidRDefault="002F52D3" w:rsidP="00A94D67">
            <w:pPr>
              <w:jc w:val="center"/>
            </w:pPr>
            <w:r w:rsidRPr="00A94D67">
              <w:t>FY 15</w:t>
            </w:r>
          </w:p>
        </w:tc>
        <w:tc>
          <w:tcPr>
            <w:tcW w:w="1440" w:type="dxa"/>
            <w:tcBorders>
              <w:top w:val="single" w:sz="6" w:space="0" w:color="000000"/>
              <w:left w:val="single" w:sz="6" w:space="0" w:color="000000"/>
              <w:right w:val="single" w:sz="6" w:space="0" w:color="000000"/>
            </w:tcBorders>
          </w:tcPr>
          <w:p w:rsidR="00093F2D" w:rsidRPr="00A94D67" w:rsidRDefault="002F52D3" w:rsidP="00A94D67">
            <w:pPr>
              <w:jc w:val="center"/>
            </w:pPr>
            <w:r w:rsidRPr="00A94D67">
              <w:t>FY 16</w:t>
            </w:r>
          </w:p>
        </w:tc>
      </w:tr>
      <w:tr w:rsidR="00A94D67" w:rsidRPr="00A94D67" w:rsidTr="00F057C1">
        <w:trPr>
          <w:cantSplit/>
          <w:trHeight w:val="402"/>
        </w:trPr>
        <w:tc>
          <w:tcPr>
            <w:tcW w:w="5040" w:type="dxa"/>
            <w:tcBorders>
              <w:top w:val="single" w:sz="6" w:space="0" w:color="000000"/>
              <w:left w:val="single" w:sz="6" w:space="0" w:color="000000"/>
            </w:tcBorders>
          </w:tcPr>
          <w:p w:rsidR="00093F2D" w:rsidRPr="00A94D67" w:rsidRDefault="00093F2D" w:rsidP="00F32660">
            <w:r w:rsidRPr="00A94D67">
              <w:t xml:space="preserve">Personnel - Software </w:t>
            </w:r>
            <w:r w:rsidR="002F52D3" w:rsidRPr="00A94D67">
              <w:t xml:space="preserve">development, support, and </w:t>
            </w:r>
            <w:r w:rsidRPr="00A94D67">
              <w:t>management (intramural)</w:t>
            </w:r>
          </w:p>
        </w:tc>
        <w:tc>
          <w:tcPr>
            <w:tcW w:w="1530" w:type="dxa"/>
            <w:tcBorders>
              <w:top w:val="single" w:sz="6" w:space="0" w:color="000000"/>
              <w:left w:val="single" w:sz="6" w:space="0" w:color="000000"/>
              <w:right w:val="single" w:sz="6" w:space="0" w:color="000000"/>
            </w:tcBorders>
          </w:tcPr>
          <w:p w:rsidR="00093F2D" w:rsidRPr="00A94D67" w:rsidRDefault="00093F2D" w:rsidP="001E461F">
            <w:pPr>
              <w:jc w:val="right"/>
            </w:pPr>
            <w:r w:rsidRPr="00A94D67">
              <w:t>$</w:t>
            </w:r>
            <w:r w:rsidR="00A94D67">
              <w:t>8,</w:t>
            </w:r>
            <w:r w:rsidR="001E461F">
              <w:t>605,792</w:t>
            </w:r>
          </w:p>
        </w:tc>
        <w:tc>
          <w:tcPr>
            <w:tcW w:w="1440" w:type="dxa"/>
            <w:tcBorders>
              <w:top w:val="single" w:sz="6" w:space="0" w:color="000000"/>
              <w:left w:val="single" w:sz="6" w:space="0" w:color="000000"/>
              <w:right w:val="single" w:sz="6" w:space="0" w:color="000000"/>
            </w:tcBorders>
          </w:tcPr>
          <w:p w:rsidR="00093F2D" w:rsidRPr="00A94D67" w:rsidRDefault="00093F2D" w:rsidP="001E461F">
            <w:pPr>
              <w:jc w:val="right"/>
            </w:pPr>
            <w:r w:rsidRPr="00A94D67">
              <w:t>$</w:t>
            </w:r>
            <w:r w:rsidR="00A94D67">
              <w:t>7,</w:t>
            </w:r>
            <w:r w:rsidR="005C0F9E">
              <w:t>605,7</w:t>
            </w:r>
            <w:r w:rsidR="001E461F">
              <w:t>92</w:t>
            </w:r>
          </w:p>
        </w:tc>
        <w:tc>
          <w:tcPr>
            <w:tcW w:w="1440" w:type="dxa"/>
            <w:tcBorders>
              <w:top w:val="single" w:sz="6" w:space="0" w:color="000000"/>
              <w:left w:val="single" w:sz="6" w:space="0" w:color="000000"/>
              <w:right w:val="single" w:sz="6" w:space="0" w:color="000000"/>
            </w:tcBorders>
          </w:tcPr>
          <w:p w:rsidR="00BA47AC" w:rsidRPr="00A94D67" w:rsidRDefault="00BA47AC" w:rsidP="00F32660">
            <w:pPr>
              <w:jc w:val="right"/>
            </w:pPr>
            <w:r w:rsidRPr="00A94D67">
              <w:t>$</w:t>
            </w:r>
            <w:r w:rsidR="00A94D67">
              <w:t>7,</w:t>
            </w:r>
            <w:r w:rsidR="001E461F">
              <w:t>605,792</w:t>
            </w:r>
            <w:r w:rsidRPr="00A94D67">
              <w:t xml:space="preserve"> </w:t>
            </w:r>
          </w:p>
          <w:p w:rsidR="00093F2D" w:rsidRPr="00A94D67" w:rsidRDefault="00093F2D" w:rsidP="00F32660">
            <w:pPr>
              <w:jc w:val="right"/>
            </w:pPr>
          </w:p>
        </w:tc>
      </w:tr>
      <w:tr w:rsidR="00A94D67" w:rsidRPr="00A94D67" w:rsidTr="00F057C1">
        <w:trPr>
          <w:cantSplit/>
          <w:trHeight w:val="402"/>
        </w:trPr>
        <w:tc>
          <w:tcPr>
            <w:tcW w:w="5040" w:type="dxa"/>
            <w:tcBorders>
              <w:top w:val="single" w:sz="6" w:space="0" w:color="000000"/>
              <w:left w:val="single" w:sz="6" w:space="0" w:color="000000"/>
            </w:tcBorders>
          </w:tcPr>
          <w:p w:rsidR="00093F2D" w:rsidRPr="00A94D67" w:rsidRDefault="00093F2D" w:rsidP="00F32660">
            <w:r w:rsidRPr="00A94D67">
              <w:t>Cooperative Agreements with States for N</w:t>
            </w:r>
            <w:r w:rsidR="002F52D3" w:rsidRPr="00A94D67">
              <w:t>NDSS</w:t>
            </w:r>
            <w:r w:rsidR="009C2C2A" w:rsidRPr="00A94D67">
              <w:t xml:space="preserve"> </w:t>
            </w:r>
            <w:r w:rsidR="003C278E" w:rsidRPr="00A94D67">
              <w:t>case notification</w:t>
            </w:r>
            <w:r w:rsidRPr="00A94D67">
              <w:t xml:space="preserve"> and management (extramural)</w:t>
            </w:r>
          </w:p>
        </w:tc>
        <w:tc>
          <w:tcPr>
            <w:tcW w:w="1530" w:type="dxa"/>
            <w:tcBorders>
              <w:top w:val="single" w:sz="6" w:space="0" w:color="000000"/>
              <w:left w:val="single" w:sz="6" w:space="0" w:color="000000"/>
              <w:right w:val="single" w:sz="6" w:space="0" w:color="000000"/>
            </w:tcBorders>
          </w:tcPr>
          <w:p w:rsidR="00093F2D" w:rsidRPr="00A94D67" w:rsidRDefault="00093F2D" w:rsidP="00F32660">
            <w:pPr>
              <w:jc w:val="right"/>
            </w:pPr>
            <w:r w:rsidRPr="00A94D67">
              <w:t>$10,</w:t>
            </w:r>
            <w:r w:rsidR="001E461F">
              <w:t>474,636</w:t>
            </w:r>
          </w:p>
          <w:p w:rsidR="00093F2D" w:rsidRPr="00A94D67" w:rsidRDefault="00093F2D" w:rsidP="00F32660">
            <w:pPr>
              <w:jc w:val="right"/>
            </w:pPr>
          </w:p>
        </w:tc>
        <w:tc>
          <w:tcPr>
            <w:tcW w:w="1440" w:type="dxa"/>
            <w:tcBorders>
              <w:top w:val="single" w:sz="6" w:space="0" w:color="000000"/>
              <w:left w:val="single" w:sz="6" w:space="0" w:color="000000"/>
              <w:right w:val="single" w:sz="6" w:space="0" w:color="000000"/>
            </w:tcBorders>
          </w:tcPr>
          <w:p w:rsidR="00093F2D" w:rsidRPr="00A94D67" w:rsidRDefault="00093F2D" w:rsidP="00F32660">
            <w:pPr>
              <w:jc w:val="right"/>
            </w:pPr>
            <w:r w:rsidRPr="00A94D67">
              <w:t>$10,4</w:t>
            </w:r>
            <w:r w:rsidR="001E461F">
              <w:t>74,</w:t>
            </w:r>
            <w:r w:rsidR="00C46288">
              <w:t>6</w:t>
            </w:r>
            <w:r w:rsidR="001E461F">
              <w:t>36</w:t>
            </w:r>
          </w:p>
          <w:p w:rsidR="00093F2D" w:rsidRPr="00A94D67" w:rsidRDefault="00093F2D" w:rsidP="00F32660">
            <w:pPr>
              <w:jc w:val="right"/>
            </w:pPr>
          </w:p>
        </w:tc>
        <w:tc>
          <w:tcPr>
            <w:tcW w:w="1440" w:type="dxa"/>
            <w:tcBorders>
              <w:top w:val="single" w:sz="6" w:space="0" w:color="000000"/>
              <w:left w:val="single" w:sz="6" w:space="0" w:color="000000"/>
              <w:right w:val="single" w:sz="6" w:space="0" w:color="000000"/>
            </w:tcBorders>
          </w:tcPr>
          <w:p w:rsidR="00A368F6" w:rsidRPr="00A94D67" w:rsidRDefault="00A368F6" w:rsidP="00F32660">
            <w:pPr>
              <w:jc w:val="right"/>
            </w:pPr>
            <w:r w:rsidRPr="00A94D67">
              <w:t>$10,4</w:t>
            </w:r>
            <w:r w:rsidR="00C46288">
              <w:t>74,636</w:t>
            </w:r>
          </w:p>
          <w:p w:rsidR="00093F2D" w:rsidRPr="00A94D67" w:rsidRDefault="00093F2D" w:rsidP="00F32660">
            <w:pPr>
              <w:jc w:val="right"/>
            </w:pPr>
          </w:p>
        </w:tc>
      </w:tr>
      <w:tr w:rsidR="00A94D67" w:rsidRPr="00A94D67" w:rsidTr="00D53DF8">
        <w:trPr>
          <w:cantSplit/>
          <w:trHeight w:val="372"/>
        </w:trPr>
        <w:tc>
          <w:tcPr>
            <w:tcW w:w="5040" w:type="dxa"/>
            <w:tcBorders>
              <w:top w:val="single" w:sz="6" w:space="0" w:color="000000"/>
              <w:left w:val="single" w:sz="6" w:space="0" w:color="000000"/>
              <w:bottom w:val="single" w:sz="6" w:space="0" w:color="000000"/>
            </w:tcBorders>
          </w:tcPr>
          <w:p w:rsidR="00093F2D" w:rsidRPr="00A94D67" w:rsidRDefault="00093F2D" w:rsidP="00F32660">
            <w:r w:rsidRPr="00A94D67">
              <w:t>Total</w:t>
            </w:r>
          </w:p>
        </w:tc>
        <w:tc>
          <w:tcPr>
            <w:tcW w:w="1530" w:type="dxa"/>
            <w:tcBorders>
              <w:top w:val="single" w:sz="6" w:space="0" w:color="000000"/>
              <w:left w:val="single" w:sz="6" w:space="0" w:color="000000"/>
              <w:bottom w:val="single" w:sz="6" w:space="0" w:color="000000"/>
              <w:right w:val="single" w:sz="6" w:space="0" w:color="000000"/>
            </w:tcBorders>
          </w:tcPr>
          <w:p w:rsidR="00093F2D" w:rsidRPr="00A94D67" w:rsidRDefault="00093F2D" w:rsidP="00DD391A">
            <w:pPr>
              <w:jc w:val="right"/>
            </w:pPr>
            <w:r w:rsidRPr="00A94D67">
              <w:t>$1</w:t>
            </w:r>
            <w:r w:rsidR="00DD391A">
              <w:t>9,080,428</w:t>
            </w:r>
          </w:p>
        </w:tc>
        <w:tc>
          <w:tcPr>
            <w:tcW w:w="1440" w:type="dxa"/>
            <w:tcBorders>
              <w:top w:val="single" w:sz="6" w:space="0" w:color="000000"/>
              <w:left w:val="single" w:sz="6" w:space="0" w:color="000000"/>
              <w:bottom w:val="single" w:sz="6" w:space="0" w:color="000000"/>
              <w:right w:val="single" w:sz="6" w:space="0" w:color="000000"/>
            </w:tcBorders>
          </w:tcPr>
          <w:p w:rsidR="00093F2D" w:rsidRPr="00A94D67" w:rsidRDefault="00093F2D" w:rsidP="00DD391A">
            <w:pPr>
              <w:jc w:val="right"/>
            </w:pPr>
            <w:r w:rsidRPr="00A94D67">
              <w:t>$</w:t>
            </w:r>
            <w:r w:rsidR="00A94D67">
              <w:t>1</w:t>
            </w:r>
            <w:r w:rsidR="00DD391A">
              <w:t>8,080,428</w:t>
            </w:r>
          </w:p>
        </w:tc>
        <w:tc>
          <w:tcPr>
            <w:tcW w:w="1440" w:type="dxa"/>
            <w:tcBorders>
              <w:top w:val="single" w:sz="6" w:space="0" w:color="000000"/>
              <w:left w:val="single" w:sz="6" w:space="0" w:color="000000"/>
              <w:bottom w:val="single" w:sz="6" w:space="0" w:color="000000"/>
              <w:right w:val="single" w:sz="6" w:space="0" w:color="000000"/>
            </w:tcBorders>
          </w:tcPr>
          <w:p w:rsidR="00093F2D" w:rsidRPr="00A94D67" w:rsidRDefault="00A368F6" w:rsidP="00CF009B">
            <w:pPr>
              <w:jc w:val="right"/>
            </w:pPr>
            <w:r w:rsidRPr="00A94D67">
              <w:t>$</w:t>
            </w:r>
            <w:r w:rsidR="00A94D67">
              <w:t>1</w:t>
            </w:r>
            <w:r w:rsidR="00CF009B">
              <w:t>8,080,428</w:t>
            </w:r>
          </w:p>
        </w:tc>
      </w:tr>
    </w:tbl>
    <w:p w:rsidR="009135CB" w:rsidRPr="00124FF2" w:rsidRDefault="009135CB" w:rsidP="000E23CB">
      <w:pPr>
        <w:tabs>
          <w:tab w:val="left" w:pos="1"/>
          <w:tab w:val="left" w:pos="1584"/>
          <w:tab w:val="left" w:pos="3888"/>
          <w:tab w:val="left" w:pos="5472"/>
          <w:tab w:val="left" w:pos="7200"/>
        </w:tabs>
        <w:spacing w:line="360" w:lineRule="auto"/>
        <w:rPr>
          <w:color w:val="000000"/>
        </w:rPr>
      </w:pPr>
    </w:p>
    <w:p w:rsidR="00DB1ADB" w:rsidRPr="00A94D67" w:rsidRDefault="00DB1ADB" w:rsidP="000E23CB">
      <w:pPr>
        <w:tabs>
          <w:tab w:val="left" w:pos="1"/>
          <w:tab w:val="left" w:pos="1584"/>
          <w:tab w:val="left" w:pos="3888"/>
          <w:tab w:val="left" w:pos="5472"/>
          <w:tab w:val="left" w:pos="7200"/>
        </w:tabs>
        <w:spacing w:line="360" w:lineRule="auto"/>
      </w:pPr>
      <w:r w:rsidRPr="00A94D67">
        <w:t xml:space="preserve">The estimated </w:t>
      </w:r>
      <w:r w:rsidR="00350393" w:rsidRPr="00A94D67">
        <w:t xml:space="preserve">annualized cost </w:t>
      </w:r>
      <w:r w:rsidRPr="00A94D67">
        <w:t>to the government of the N</w:t>
      </w:r>
      <w:r w:rsidR="002F52D3" w:rsidRPr="00A94D67">
        <w:t>NDSS</w:t>
      </w:r>
      <w:r w:rsidRPr="00A94D67">
        <w:t xml:space="preserve"> systems (both CDC developed and federal suppo</w:t>
      </w:r>
      <w:r w:rsidR="008653A9" w:rsidRPr="00A94D67">
        <w:t>rt to the states) i</w:t>
      </w:r>
      <w:r w:rsidR="00A94D67" w:rsidRPr="00A94D67">
        <w:t xml:space="preserve">s </w:t>
      </w:r>
      <w:r w:rsidR="008653A9" w:rsidRPr="00BD52F1">
        <w:t>s $</w:t>
      </w:r>
      <w:r w:rsidR="00A94D67" w:rsidRPr="00BD52F1">
        <w:t>18,</w:t>
      </w:r>
      <w:r w:rsidR="000F2758">
        <w:t>413</w:t>
      </w:r>
      <w:r w:rsidR="005A237F">
        <w:t>,761</w:t>
      </w:r>
      <w:r w:rsidR="00DB6DED" w:rsidRPr="00BD52F1">
        <w:t xml:space="preserve"> (av</w:t>
      </w:r>
      <w:r w:rsidR="00350393" w:rsidRPr="00BD52F1">
        <w:t>erage of three year).</w:t>
      </w:r>
    </w:p>
    <w:p w:rsidR="00DB1ADB" w:rsidRPr="00124FF2" w:rsidRDefault="00DB1ADB" w:rsidP="000E23CB">
      <w:pPr>
        <w:tabs>
          <w:tab w:val="left" w:pos="1"/>
          <w:tab w:val="left" w:pos="1584"/>
          <w:tab w:val="left" w:pos="3888"/>
          <w:tab w:val="left" w:pos="5472"/>
          <w:tab w:val="left" w:pos="7200"/>
        </w:tabs>
        <w:spacing w:line="360" w:lineRule="auto"/>
      </w:pPr>
    </w:p>
    <w:p w:rsidR="009135CB" w:rsidRPr="00124FF2" w:rsidRDefault="009135CB" w:rsidP="000E23CB">
      <w:pPr>
        <w:tabs>
          <w:tab w:val="left" w:pos="1"/>
          <w:tab w:val="left" w:pos="1584"/>
          <w:tab w:val="left" w:pos="3888"/>
          <w:tab w:val="left" w:pos="5472"/>
          <w:tab w:val="left" w:pos="7200"/>
        </w:tabs>
        <w:spacing w:line="360" w:lineRule="auto"/>
        <w:rPr>
          <w:b/>
          <w:u w:val="single"/>
        </w:rPr>
      </w:pPr>
      <w:r w:rsidRPr="00124FF2">
        <w:rPr>
          <w:b/>
        </w:rPr>
        <w:t xml:space="preserve">A.15. </w:t>
      </w:r>
      <w:r w:rsidRPr="00124FF2">
        <w:rPr>
          <w:b/>
          <w:u w:val="single"/>
        </w:rPr>
        <w:t>Explanation for Program Changes or Adjustments</w:t>
      </w:r>
    </w:p>
    <w:p w:rsidR="009135CB" w:rsidRPr="00124FF2" w:rsidRDefault="009135CB" w:rsidP="000E23CB">
      <w:pPr>
        <w:tabs>
          <w:tab w:val="left" w:pos="1"/>
          <w:tab w:val="left" w:pos="1584"/>
          <w:tab w:val="left" w:pos="3888"/>
          <w:tab w:val="left" w:pos="5472"/>
          <w:tab w:val="left" w:pos="7200"/>
        </w:tabs>
        <w:spacing w:line="360" w:lineRule="auto"/>
        <w:rPr>
          <w:b/>
          <w:u w:val="single"/>
        </w:rPr>
      </w:pPr>
    </w:p>
    <w:p w:rsidR="00087D3F" w:rsidRPr="00087D3F" w:rsidRDefault="00AC5E47" w:rsidP="00087D3F">
      <w:pPr>
        <w:tabs>
          <w:tab w:val="left" w:pos="1"/>
          <w:tab w:val="left" w:pos="1584"/>
          <w:tab w:val="left" w:pos="3888"/>
          <w:tab w:val="left" w:pos="5472"/>
          <w:tab w:val="left" w:pos="7200"/>
        </w:tabs>
        <w:spacing w:line="360" w:lineRule="auto"/>
      </w:pPr>
      <w:r w:rsidRPr="00734D57">
        <w:t>As noted in section A.1, this NNDSS application</w:t>
      </w:r>
      <w:r w:rsidR="0084742D" w:rsidRPr="00734D57">
        <w:t xml:space="preserve"> was developed in coordination with four other CDC applications to OMB for nationally notifiable diseases case notification</w:t>
      </w:r>
      <w:r w:rsidR="00817ABF">
        <w:t>, i.e.</w:t>
      </w:r>
      <w:r w:rsidR="0084742D" w:rsidRPr="00734D57">
        <w:t xml:space="preserve"> Control Nos. 0920-0128, (Congenital Syphilis Surveillance), </w:t>
      </w:r>
      <w:r w:rsidR="0084742D" w:rsidRPr="00734D57">
        <w:rPr>
          <w:u w:val="single"/>
        </w:rPr>
        <w:t>0920-0819 (</w:t>
      </w:r>
      <w:r w:rsidR="0084742D" w:rsidRPr="00734D57">
        <w:rPr>
          <w:bCs/>
        </w:rPr>
        <w:t>Nationally Notifiable Sexually Transmitted Disease (STD) Morbidity Surveillance),</w:t>
      </w:r>
      <w:r w:rsidR="0084742D" w:rsidRPr="00734D57">
        <w:t xml:space="preserve"> </w:t>
      </w:r>
      <w:r w:rsidR="0084742D" w:rsidRPr="00734D57">
        <w:rPr>
          <w:u w:val="single"/>
        </w:rPr>
        <w:t>0920-0009</w:t>
      </w:r>
      <w:r w:rsidR="0084742D" w:rsidRPr="00734D57">
        <w:t xml:space="preserve"> (</w:t>
      </w:r>
      <w:r w:rsidR="0084742D" w:rsidRPr="00734D57">
        <w:rPr>
          <w:bCs/>
        </w:rPr>
        <w:t xml:space="preserve">National Disease Surveillance Program - I. Case Reports) </w:t>
      </w:r>
      <w:r w:rsidR="0084742D" w:rsidRPr="00734D57">
        <w:t xml:space="preserve">and </w:t>
      </w:r>
      <w:r w:rsidR="0084742D" w:rsidRPr="00734D57">
        <w:rPr>
          <w:u w:val="single"/>
        </w:rPr>
        <w:t>0920-0004</w:t>
      </w:r>
      <w:r w:rsidR="0084742D" w:rsidRPr="00734D57">
        <w:t xml:space="preserve"> (</w:t>
      </w:r>
      <w:r w:rsidR="0084742D" w:rsidRPr="00734D57">
        <w:rPr>
          <w:bCs/>
        </w:rPr>
        <w:t xml:space="preserve">National Disease Surveillance Program - II. Disease Summaries). </w:t>
      </w:r>
      <w:r w:rsidR="00E654ED">
        <w:t xml:space="preserve">As described in section A.1.1, </w:t>
      </w:r>
      <w:r w:rsidR="00087D3F">
        <w:t>b</w:t>
      </w:r>
      <w:r w:rsidR="00087D3F" w:rsidRPr="00087D3F">
        <w:t>ecause this OMB application includes case notifications that were not part of the 2010 NNDSS/NEDSS application</w:t>
      </w:r>
      <w:r w:rsidR="00B77CF5">
        <w:t xml:space="preserve">, replaces one other OMB application, </w:t>
      </w:r>
      <w:r w:rsidR="00087D3F" w:rsidRPr="00087D3F">
        <w:t>and replaces parts of four other OMB applications</w:t>
      </w:r>
      <w:r w:rsidR="00C72818">
        <w:t>, b</w:t>
      </w:r>
      <w:r w:rsidR="00087D3F" w:rsidRPr="00087D3F">
        <w:t>urden estimates have been adjusted to incorporate burden estimates from the other four applications. The estimates are adjusted for the increased number of conditions reported to NNDSS, the expansion of core data elements, and the inclusion of more</w:t>
      </w:r>
      <w:r w:rsidR="005378E7">
        <w:t xml:space="preserve"> data elements described in the</w:t>
      </w:r>
      <w:r w:rsidR="00087D3F" w:rsidRPr="00087D3F">
        <w:t xml:space="preserve"> disease-specific tables. These changes have increased the burden estimates in this application in comparison with the burden estimates in the 2010 NNDSS/NEDSS OMB application (OMB Control No. </w:t>
      </w:r>
      <w:r w:rsidR="00087D3F" w:rsidRPr="00087D3F">
        <w:rPr>
          <w:u w:val="single"/>
        </w:rPr>
        <w:t>0920-0728)</w:t>
      </w:r>
      <w:r w:rsidR="00087D3F" w:rsidRPr="00087D3F">
        <w:t xml:space="preserve">.  As CDC works with state, territorial and local health departments to develop and implement new information technologies to submit these data through NNDSS, burden </w:t>
      </w:r>
      <w:r w:rsidR="005378E7">
        <w:t>may</w:t>
      </w:r>
      <w:r w:rsidR="00087D3F" w:rsidRPr="00087D3F">
        <w:t xml:space="preserve"> increase as the public health departments commit resources to implementing the new technologies. However, </w:t>
      </w:r>
      <w:r w:rsidR="00087D3F" w:rsidRPr="00087D3F">
        <w:lastRenderedPageBreak/>
        <w:t xml:space="preserve">over the next 3 years, as the new automated electronic systems are implemented, burden </w:t>
      </w:r>
      <w:r w:rsidR="001A0696">
        <w:t>may</w:t>
      </w:r>
      <w:r w:rsidR="00087D3F" w:rsidRPr="00087D3F">
        <w:t xml:space="preserve"> be decreased. </w:t>
      </w:r>
    </w:p>
    <w:p w:rsidR="00E654ED" w:rsidRPr="00124FF2" w:rsidRDefault="00E654ED" w:rsidP="000E23CB">
      <w:pPr>
        <w:tabs>
          <w:tab w:val="left" w:pos="1"/>
          <w:tab w:val="left" w:pos="1584"/>
          <w:tab w:val="left" w:pos="3888"/>
          <w:tab w:val="left" w:pos="5472"/>
          <w:tab w:val="left" w:pos="7200"/>
        </w:tabs>
        <w:spacing w:line="360" w:lineRule="auto"/>
        <w:rPr>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b/>
          <w:color w:val="000000"/>
        </w:rPr>
        <w:t xml:space="preserve">A.16. </w:t>
      </w:r>
      <w:r w:rsidRPr="00124FF2">
        <w:rPr>
          <w:b/>
          <w:color w:val="000000"/>
          <w:u w:val="single"/>
        </w:rPr>
        <w:t>Plans for Tabulation and Publication and Project Time Schedule</w:t>
      </w:r>
      <w:r w:rsidR="00F35B3D" w:rsidRPr="00124FF2">
        <w:rPr>
          <w:b/>
          <w:color w:val="000000"/>
          <w:u w:val="single"/>
        </w:rPr>
        <w:t xml:space="preserve"> </w:t>
      </w:r>
    </w:p>
    <w:p w:rsidR="00A3762E" w:rsidRPr="00124FF2" w:rsidRDefault="00A3762E" w:rsidP="000E23CB">
      <w:pPr>
        <w:tabs>
          <w:tab w:val="left" w:pos="1"/>
          <w:tab w:val="left" w:pos="1584"/>
          <w:tab w:val="left" w:pos="3888"/>
          <w:tab w:val="left" w:pos="5472"/>
          <w:tab w:val="left" w:pos="7200"/>
        </w:tabs>
        <w:spacing w:line="360" w:lineRule="auto"/>
        <w:rPr>
          <w:color w:val="000000"/>
        </w:rPr>
      </w:pPr>
    </w:p>
    <w:p w:rsidR="00801EDD" w:rsidRPr="00124FF2" w:rsidRDefault="00801EDD" w:rsidP="000E23CB">
      <w:pPr>
        <w:tabs>
          <w:tab w:val="left" w:pos="1"/>
          <w:tab w:val="left" w:pos="1584"/>
          <w:tab w:val="left" w:pos="3888"/>
          <w:tab w:val="left" w:pos="5472"/>
          <w:tab w:val="left" w:pos="7200"/>
        </w:tabs>
        <w:spacing w:line="360" w:lineRule="auto"/>
        <w:rPr>
          <w:color w:val="000000"/>
        </w:rPr>
      </w:pPr>
      <w:r w:rsidRPr="00124FF2">
        <w:rPr>
          <w:color w:val="000000"/>
        </w:rPr>
        <w:t>CDC tabulates and publishes provisional counts of notifiable diseases each week.</w:t>
      </w:r>
    </w:p>
    <w:p w:rsidR="00A3762E" w:rsidRPr="00124FF2" w:rsidRDefault="00A3762E" w:rsidP="000E23CB">
      <w:pPr>
        <w:tabs>
          <w:tab w:val="left" w:pos="1"/>
          <w:tab w:val="left" w:pos="1584"/>
          <w:tab w:val="left" w:pos="3888"/>
          <w:tab w:val="left" w:pos="5472"/>
          <w:tab w:val="left" w:pos="7200"/>
        </w:tabs>
        <w:spacing w:line="360" w:lineRule="auto"/>
        <w:rPr>
          <w:color w:val="000000"/>
        </w:rPr>
      </w:pPr>
    </w:p>
    <w:p w:rsidR="00A3762E" w:rsidRPr="00124FF2" w:rsidRDefault="00A3762E" w:rsidP="000E23CB">
      <w:pPr>
        <w:tabs>
          <w:tab w:val="left" w:pos="1"/>
          <w:tab w:val="left" w:pos="1584"/>
          <w:tab w:val="left" w:pos="3888"/>
          <w:tab w:val="left" w:pos="5472"/>
          <w:tab w:val="left" w:pos="7200"/>
        </w:tabs>
        <w:spacing w:line="360" w:lineRule="auto"/>
        <w:rPr>
          <w:color w:val="000000"/>
        </w:rPr>
      </w:pPr>
      <w:r w:rsidRPr="00124FF2">
        <w:rPr>
          <w:color w:val="000000"/>
        </w:rPr>
        <w:t xml:space="preserve">The data are published in the </w:t>
      </w:r>
      <w:r w:rsidRPr="00124FF2">
        <w:rPr>
          <w:i/>
          <w:color w:val="000000"/>
        </w:rPr>
        <w:t>Morbidity and Mortality Weekly Report (MMWR)</w:t>
      </w:r>
      <w:r w:rsidR="00D0458A" w:rsidRPr="00124FF2">
        <w:rPr>
          <w:color w:val="000000"/>
        </w:rPr>
        <w:t xml:space="preserve"> </w:t>
      </w:r>
      <w:r w:rsidRPr="00124FF2">
        <w:rPr>
          <w:color w:val="000000"/>
        </w:rPr>
        <w:t>and are available electronically through the World-wide Web a</w:t>
      </w:r>
      <w:r w:rsidR="00F35B3D" w:rsidRPr="00124FF2">
        <w:rPr>
          <w:color w:val="000000"/>
        </w:rPr>
        <w:t xml:space="preserve">t </w:t>
      </w:r>
      <w:hyperlink r:id="rId15" w:history="1">
        <w:r w:rsidRPr="00124FF2">
          <w:rPr>
            <w:rStyle w:val="Hyperlink"/>
          </w:rPr>
          <w:t>http://wonder.cdc.gov/mmwr/mmwrmorb.asp</w:t>
        </w:r>
      </w:hyperlink>
      <w:r w:rsidRPr="00124FF2">
        <w:rPr>
          <w:color w:val="000000"/>
        </w:rPr>
        <w:t xml:space="preserve">.  The </w:t>
      </w:r>
      <w:r w:rsidRPr="00124FF2">
        <w:rPr>
          <w:i/>
          <w:color w:val="000000"/>
        </w:rPr>
        <w:t>MMWR</w:t>
      </w:r>
      <w:r w:rsidRPr="00124FF2">
        <w:rPr>
          <w:color w:val="000000"/>
        </w:rPr>
        <w:t xml:space="preserve"> weekly tables of nationally notifiable diseases are also available electronically on the </w:t>
      </w:r>
      <w:r w:rsidRPr="00124FF2">
        <w:rPr>
          <w:i/>
          <w:color w:val="000000"/>
        </w:rPr>
        <w:t>MMWR</w:t>
      </w:r>
      <w:r w:rsidRPr="00124FF2">
        <w:rPr>
          <w:color w:val="000000"/>
        </w:rPr>
        <w:t xml:space="preserve"> web site (</w:t>
      </w:r>
      <w:hyperlink r:id="rId16" w:history="1">
        <w:r w:rsidRPr="00124FF2">
          <w:rPr>
            <w:rStyle w:val="Hyperlink"/>
          </w:rPr>
          <w:t>http://www.cdc.gov/mmwr/mmwr_wk/wk_cvol.html</w:t>
        </w:r>
      </w:hyperlink>
      <w:r w:rsidRPr="00124FF2">
        <w:rPr>
          <w:color w:val="000000"/>
        </w:rPr>
        <w:t>) within the “Notifiable Disease and Mortality Tables” section of each week’s publication.</w:t>
      </w:r>
    </w:p>
    <w:p w:rsidR="00A3762E" w:rsidRPr="00124FF2" w:rsidRDefault="00A3762E" w:rsidP="000E23CB">
      <w:pPr>
        <w:tabs>
          <w:tab w:val="left" w:pos="1"/>
          <w:tab w:val="left" w:pos="1584"/>
          <w:tab w:val="left" w:pos="3888"/>
          <w:tab w:val="left" w:pos="5472"/>
          <w:tab w:val="left" w:pos="7200"/>
        </w:tabs>
        <w:spacing w:line="360" w:lineRule="auto"/>
        <w:rPr>
          <w:color w:val="000000"/>
        </w:rPr>
      </w:pPr>
    </w:p>
    <w:p w:rsidR="00580073" w:rsidRDefault="00A3762E" w:rsidP="000E23CB">
      <w:pPr>
        <w:tabs>
          <w:tab w:val="left" w:pos="1"/>
          <w:tab w:val="left" w:pos="1584"/>
          <w:tab w:val="left" w:pos="3888"/>
          <w:tab w:val="left" w:pos="5472"/>
          <w:tab w:val="left" w:pos="7200"/>
        </w:tabs>
        <w:spacing w:line="360" w:lineRule="auto"/>
        <w:rPr>
          <w:color w:val="000000"/>
        </w:rPr>
      </w:pPr>
      <w:r w:rsidRPr="00124FF2">
        <w:rPr>
          <w:color w:val="000000"/>
        </w:rPr>
        <w:t xml:space="preserve">In August, finalized </w:t>
      </w:r>
      <w:r w:rsidR="004679F2" w:rsidRPr="00124FF2">
        <w:rPr>
          <w:color w:val="000000"/>
        </w:rPr>
        <w:t xml:space="preserve">case </w:t>
      </w:r>
      <w:r w:rsidRPr="00124FF2">
        <w:rPr>
          <w:color w:val="000000"/>
        </w:rPr>
        <w:t xml:space="preserve">counts by jurisdiction of nationally notifiable diseases </w:t>
      </w:r>
      <w:r w:rsidR="004679F2" w:rsidRPr="00124FF2">
        <w:rPr>
          <w:color w:val="000000"/>
        </w:rPr>
        <w:t xml:space="preserve">for the previous year </w:t>
      </w:r>
      <w:r w:rsidRPr="00124FF2">
        <w:rPr>
          <w:color w:val="000000"/>
        </w:rPr>
        <w:t xml:space="preserve">are published in </w:t>
      </w:r>
      <w:r w:rsidRPr="00124FF2">
        <w:rPr>
          <w:i/>
          <w:color w:val="000000"/>
        </w:rPr>
        <w:t>MMWR</w:t>
      </w:r>
      <w:r w:rsidRPr="00124FF2">
        <w:rPr>
          <w:color w:val="000000"/>
        </w:rPr>
        <w:t xml:space="preserve"> Early Release tables.  Then, in </w:t>
      </w:r>
      <w:r w:rsidR="00BD540F" w:rsidRPr="00124FF2">
        <w:rPr>
          <w:color w:val="000000"/>
        </w:rPr>
        <w:t>spring</w:t>
      </w:r>
      <w:r w:rsidRPr="00124FF2">
        <w:rPr>
          <w:color w:val="000000"/>
        </w:rPr>
        <w:t xml:space="preserve"> of the following year, the final annual data tables are published in the </w:t>
      </w:r>
      <w:r w:rsidRPr="00124FF2">
        <w:rPr>
          <w:i/>
          <w:color w:val="000000"/>
        </w:rPr>
        <w:t>MMWR Summary of Notifiable Diseases, United States</w:t>
      </w:r>
      <w:r w:rsidRPr="00124FF2">
        <w:rPr>
          <w:color w:val="000000"/>
        </w:rPr>
        <w:t xml:space="preserve">, available at this location: </w:t>
      </w:r>
      <w:hyperlink r:id="rId17" w:history="1">
        <w:r w:rsidRPr="00124FF2">
          <w:rPr>
            <w:rStyle w:val="Hyperlink"/>
          </w:rPr>
          <w:t>http://www.cdc.gov/mmwr/mmwr_nd/index.html</w:t>
        </w:r>
      </w:hyperlink>
      <w:r w:rsidRPr="00124FF2">
        <w:rPr>
          <w:i/>
          <w:color w:val="000000"/>
        </w:rPr>
        <w:t>.</w:t>
      </w:r>
      <w:r w:rsidRPr="00124FF2">
        <w:rPr>
          <w:color w:val="000000"/>
        </w:rPr>
        <w:t xml:space="preserve">  A limited number of hard copies of the Annual Summary are available and are distributed based on the CDC mailing list and the list provided by the Superintendent of Documents.  These summaries are for use by local, state, and federal health agencies, schools of medicine and public health, communications media, and other agencies or persons interested in notifiable disease surveillance and epidemiology in the United States.</w:t>
      </w:r>
      <w:r w:rsidR="004679F2" w:rsidRPr="00124FF2">
        <w:rPr>
          <w:color w:val="000000"/>
        </w:rPr>
        <w:t xml:space="preserve"> </w:t>
      </w:r>
    </w:p>
    <w:p w:rsidR="00580073" w:rsidRDefault="00580073" w:rsidP="000E23CB">
      <w:pPr>
        <w:tabs>
          <w:tab w:val="left" w:pos="1"/>
          <w:tab w:val="left" w:pos="1584"/>
          <w:tab w:val="left" w:pos="3888"/>
          <w:tab w:val="left" w:pos="5472"/>
          <w:tab w:val="left" w:pos="7200"/>
        </w:tabs>
        <w:spacing w:line="360" w:lineRule="auto"/>
        <w:rPr>
          <w:color w:val="000000"/>
        </w:rPr>
      </w:pPr>
    </w:p>
    <w:p w:rsidR="00A3762E" w:rsidRPr="00124FF2" w:rsidRDefault="004679F2" w:rsidP="000E23CB">
      <w:pPr>
        <w:tabs>
          <w:tab w:val="left" w:pos="1"/>
          <w:tab w:val="left" w:pos="1584"/>
          <w:tab w:val="left" w:pos="3888"/>
          <w:tab w:val="left" w:pos="5472"/>
          <w:tab w:val="left" w:pos="7200"/>
        </w:tabs>
        <w:spacing w:line="360" w:lineRule="auto"/>
        <w:rPr>
          <w:color w:val="000000"/>
        </w:rPr>
      </w:pPr>
      <w:r w:rsidRPr="00124FF2">
        <w:rPr>
          <w:color w:val="000000"/>
        </w:rPr>
        <w:t xml:space="preserve">In addition, CDC programs publish </w:t>
      </w:r>
      <w:r w:rsidR="00080DB6">
        <w:rPr>
          <w:color w:val="000000"/>
        </w:rPr>
        <w:t xml:space="preserve">routinely </w:t>
      </w:r>
      <w:r w:rsidRPr="00124FF2">
        <w:rPr>
          <w:color w:val="000000"/>
        </w:rPr>
        <w:t xml:space="preserve">reports on specific notifiable conditions in the </w:t>
      </w:r>
      <w:r w:rsidRPr="00124FF2">
        <w:rPr>
          <w:i/>
          <w:color w:val="000000"/>
        </w:rPr>
        <w:t>MMWR</w:t>
      </w:r>
      <w:r w:rsidRPr="00124FF2">
        <w:rPr>
          <w:color w:val="000000"/>
        </w:rPr>
        <w:t xml:space="preserve"> and in other scientific, medical and public health journals.</w:t>
      </w:r>
    </w:p>
    <w:p w:rsidR="009135CB" w:rsidRPr="00124FF2" w:rsidRDefault="009135CB" w:rsidP="000E23CB">
      <w:pPr>
        <w:tabs>
          <w:tab w:val="left" w:pos="1"/>
          <w:tab w:val="left" w:pos="1584"/>
          <w:tab w:val="left" w:pos="3888"/>
          <w:tab w:val="left" w:pos="5472"/>
          <w:tab w:val="left" w:pos="7200"/>
        </w:tabs>
        <w:spacing w:line="360" w:lineRule="auto"/>
        <w:rPr>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b/>
          <w:color w:val="000000"/>
        </w:rPr>
        <w:t xml:space="preserve">A.17. </w:t>
      </w:r>
      <w:r w:rsidR="0054726E" w:rsidRPr="00124FF2">
        <w:rPr>
          <w:b/>
          <w:u w:val="single"/>
        </w:rPr>
        <w:t>Reason(s) Display of OMB Expiration Date is Inappropriate</w:t>
      </w:r>
    </w:p>
    <w:p w:rsidR="009135CB" w:rsidRPr="00124FF2" w:rsidRDefault="009135CB" w:rsidP="000E23CB">
      <w:pPr>
        <w:tabs>
          <w:tab w:val="left" w:pos="1"/>
          <w:tab w:val="left" w:pos="1584"/>
          <w:tab w:val="left" w:pos="3888"/>
          <w:tab w:val="left" w:pos="5472"/>
          <w:tab w:val="left" w:pos="7200"/>
        </w:tabs>
        <w:spacing w:line="360" w:lineRule="auto"/>
        <w:rPr>
          <w:color w:val="000000"/>
        </w:rPr>
      </w:pPr>
    </w:p>
    <w:p w:rsidR="009135CB" w:rsidRPr="00B51FEF" w:rsidRDefault="009135CB" w:rsidP="000E23CB">
      <w:pPr>
        <w:tabs>
          <w:tab w:val="left" w:pos="1"/>
          <w:tab w:val="left" w:pos="1584"/>
          <w:tab w:val="left" w:pos="3888"/>
          <w:tab w:val="left" w:pos="5472"/>
          <w:tab w:val="left" w:pos="7200"/>
        </w:tabs>
        <w:spacing w:line="360" w:lineRule="auto"/>
      </w:pPr>
      <w:r w:rsidRPr="00B51FEF">
        <w:t xml:space="preserve">CDC requests approval to </w:t>
      </w:r>
      <w:r w:rsidRPr="00B51FEF">
        <w:rPr>
          <w:u w:val="single"/>
        </w:rPr>
        <w:t>not</w:t>
      </w:r>
      <w:r w:rsidRPr="00B51FEF">
        <w:t xml:space="preserve"> display the expiration date for OMB approval of </w:t>
      </w:r>
      <w:r w:rsidR="00D96A47" w:rsidRPr="00B51FEF">
        <w:t>an</w:t>
      </w:r>
      <w:r w:rsidRPr="00B51FEF">
        <w:t xml:space="preserve"> information collection </w:t>
      </w:r>
      <w:r w:rsidR="003011C1" w:rsidRPr="00B51FEF">
        <w:t>form since most data are not submitted on a form. M</w:t>
      </w:r>
      <w:r w:rsidR="00D96A47" w:rsidRPr="00B51FEF">
        <w:t xml:space="preserve">ost </w:t>
      </w:r>
      <w:r w:rsidR="00F73917" w:rsidRPr="00B51FEF">
        <w:t xml:space="preserve">data </w:t>
      </w:r>
      <w:r w:rsidR="00D96A47" w:rsidRPr="00B51FEF">
        <w:t>are submitted to CDC</w:t>
      </w:r>
      <w:r w:rsidR="00F73917" w:rsidRPr="00B51FEF">
        <w:t xml:space="preserve"> </w:t>
      </w:r>
      <w:r w:rsidR="00C93804" w:rsidRPr="00B51FEF">
        <w:t xml:space="preserve">electronically </w:t>
      </w:r>
      <w:r w:rsidR="00F73917" w:rsidRPr="00B51FEF">
        <w:t>from already existing databases via automated electronic transfers</w:t>
      </w:r>
      <w:r w:rsidR="00182F9F" w:rsidRPr="00B51FEF">
        <w:t xml:space="preserve">. </w:t>
      </w:r>
      <w:r w:rsidR="003011C1" w:rsidRPr="00B51FEF">
        <w:t xml:space="preserve">There is no </w:t>
      </w:r>
      <w:r w:rsidR="003011C1" w:rsidRPr="00B51FEF">
        <w:lastRenderedPageBreak/>
        <w:t xml:space="preserve">electronic location for an OMB </w:t>
      </w:r>
      <w:r w:rsidR="00961FA0" w:rsidRPr="00B51FEF">
        <w:t>e</w:t>
      </w:r>
      <w:r w:rsidR="003011C1" w:rsidRPr="00B51FEF">
        <w:t>xpiration date.</w:t>
      </w:r>
      <w:r w:rsidR="006C26FB" w:rsidRPr="00B51FEF">
        <w:t xml:space="preserve"> </w:t>
      </w:r>
      <w:r w:rsidR="003D594D" w:rsidRPr="00B51FEF">
        <w:t>Although s</w:t>
      </w:r>
      <w:r w:rsidR="006C26FB" w:rsidRPr="00B51FEF">
        <w:t>ome</w:t>
      </w:r>
      <w:r w:rsidR="00D96A47" w:rsidRPr="00B51FEF">
        <w:t xml:space="preserve"> data are submitted by telephone</w:t>
      </w:r>
      <w:r w:rsidR="003D594D" w:rsidRPr="00B51FEF">
        <w:t xml:space="preserve">, fax, e-mail and mail, those </w:t>
      </w:r>
      <w:r w:rsidR="00182F9F" w:rsidRPr="00B51FEF">
        <w:t>methods</w:t>
      </w:r>
      <w:r w:rsidR="003D594D" w:rsidRPr="00B51FEF">
        <w:t xml:space="preserve"> of data submission are only used </w:t>
      </w:r>
      <w:r w:rsidR="00634155" w:rsidRPr="00B51FEF">
        <w:t>to collect information that cannot be submitted electronically</w:t>
      </w:r>
      <w:r w:rsidR="00A654E2" w:rsidRPr="00B51FEF">
        <w:t>.</w:t>
      </w:r>
      <w:r w:rsidR="003D594D" w:rsidRPr="00B51FEF">
        <w:t xml:space="preserve"> NNDSS </w:t>
      </w:r>
      <w:r w:rsidR="005513D5" w:rsidRPr="00B51FEF">
        <w:t>does not mandate use of a</w:t>
      </w:r>
      <w:r w:rsidR="003D594D" w:rsidRPr="00B51FEF">
        <w:t xml:space="preserve">ny </w:t>
      </w:r>
      <w:r w:rsidR="00024759">
        <w:t xml:space="preserve">specific </w:t>
      </w:r>
      <w:r w:rsidR="003D594D" w:rsidRPr="00B51FEF">
        <w:t>form</w:t>
      </w:r>
      <w:r w:rsidR="005513D5" w:rsidRPr="00B51FEF">
        <w:t>.</w:t>
      </w:r>
      <w:r w:rsidR="00B85244" w:rsidRPr="00B51FEF">
        <w:t xml:space="preserve"> </w:t>
      </w:r>
      <w:r w:rsidR="003D594D" w:rsidRPr="00B51FEF">
        <w:t xml:space="preserve">NNDSS </w:t>
      </w:r>
      <w:r w:rsidR="00B85244" w:rsidRPr="00B51FEF">
        <w:t>is working with the jurisdictions to increase the use of automated electronic data submission.</w:t>
      </w:r>
    </w:p>
    <w:p w:rsidR="009135CB" w:rsidRPr="00124FF2" w:rsidRDefault="009135CB" w:rsidP="000E23CB">
      <w:pPr>
        <w:tabs>
          <w:tab w:val="left" w:pos="1"/>
          <w:tab w:val="left" w:pos="1584"/>
          <w:tab w:val="left" w:pos="3888"/>
          <w:tab w:val="left" w:pos="5472"/>
          <w:tab w:val="left" w:pos="7200"/>
        </w:tabs>
        <w:spacing w:line="360" w:lineRule="auto"/>
        <w:rPr>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b/>
          <w:color w:val="000000"/>
        </w:rPr>
        <w:t xml:space="preserve">A.18. </w:t>
      </w:r>
      <w:r w:rsidRPr="00124FF2">
        <w:rPr>
          <w:b/>
          <w:color w:val="000000"/>
          <w:u w:val="single"/>
        </w:rPr>
        <w:t>Exceptions to Certification for Paperwork Reduction Act Submissions</w:t>
      </w:r>
    </w:p>
    <w:p w:rsidR="009135CB" w:rsidRPr="00124FF2" w:rsidRDefault="009135CB" w:rsidP="000E23CB">
      <w:pPr>
        <w:tabs>
          <w:tab w:val="left" w:pos="1"/>
          <w:tab w:val="left" w:pos="1584"/>
          <w:tab w:val="left" w:pos="3888"/>
          <w:tab w:val="left" w:pos="5472"/>
          <w:tab w:val="left" w:pos="7200"/>
        </w:tabs>
        <w:spacing w:line="360" w:lineRule="auto"/>
        <w:rPr>
          <w:color w:val="000000"/>
        </w:rPr>
      </w:pPr>
    </w:p>
    <w:p w:rsidR="009135CB" w:rsidRPr="00124FF2" w:rsidRDefault="009135CB" w:rsidP="000E23CB">
      <w:pPr>
        <w:tabs>
          <w:tab w:val="left" w:pos="1"/>
          <w:tab w:val="left" w:pos="1584"/>
          <w:tab w:val="left" w:pos="3888"/>
          <w:tab w:val="left" w:pos="5472"/>
          <w:tab w:val="left" w:pos="7200"/>
        </w:tabs>
        <w:spacing w:line="360" w:lineRule="auto"/>
        <w:rPr>
          <w:color w:val="000000"/>
        </w:rPr>
      </w:pPr>
      <w:r w:rsidRPr="00124FF2">
        <w:rPr>
          <w:color w:val="000000"/>
        </w:rPr>
        <w:t>No exceptions are requested.</w:t>
      </w:r>
    </w:p>
    <w:sectPr w:rsidR="009135CB" w:rsidRPr="00124FF2" w:rsidSect="00E516D2">
      <w:headerReference w:type="default" r:id="rId18"/>
      <w:footerReference w:type="even" r:id="rId19"/>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06" w:rsidRDefault="00604F06">
      <w:r>
        <w:separator/>
      </w:r>
    </w:p>
  </w:endnote>
  <w:endnote w:type="continuationSeparator" w:id="0">
    <w:p w:rsidR="00604F06" w:rsidRDefault="006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4F06" w:rsidRDefault="0060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pPr>
      <w:pStyle w:val="Footer"/>
      <w:jc w:val="center"/>
    </w:pPr>
    <w:r>
      <w:fldChar w:fldCharType="begin"/>
    </w:r>
    <w:r>
      <w:instrText xml:space="preserve"> PAGE   \* MERGEFORMAT </w:instrText>
    </w:r>
    <w:r>
      <w:fldChar w:fldCharType="separate"/>
    </w:r>
    <w:r w:rsidR="00B443F3">
      <w:rPr>
        <w:noProof/>
      </w:rPr>
      <w:t>3</w:t>
    </w:r>
    <w:r>
      <w:rPr>
        <w:noProof/>
      </w:rPr>
      <w:fldChar w:fldCharType="end"/>
    </w:r>
  </w:p>
  <w:p w:rsidR="00604F06" w:rsidRPr="00974CF8" w:rsidRDefault="00604F06" w:rsidP="008D7C48">
    <w:pPr>
      <w:pStyle w:val="Footer"/>
      <w:tabs>
        <w:tab w:val="left" w:pos="4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Default="00604F06" w:rsidP="008D7C48">
    <w:pPr>
      <w:pStyle w:val="Footer"/>
      <w:jc w:val="center"/>
    </w:pPr>
    <w:r>
      <w:fldChar w:fldCharType="begin"/>
    </w:r>
    <w:r>
      <w:instrText xml:space="preserve"> PAGE   \* MERGEFORMAT </w:instrText>
    </w:r>
    <w:r>
      <w:fldChar w:fldCharType="separate"/>
    </w:r>
    <w:r w:rsidR="008D621E">
      <w:rPr>
        <w:noProof/>
      </w:rPr>
      <w:t>1</w:t>
    </w:r>
    <w:r>
      <w:fldChar w:fldCharType="end"/>
    </w:r>
  </w:p>
  <w:p w:rsidR="00604F06" w:rsidRDefault="0060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06" w:rsidRDefault="00604F06">
      <w:r>
        <w:separator/>
      </w:r>
    </w:p>
  </w:footnote>
  <w:footnote w:type="continuationSeparator" w:id="0">
    <w:p w:rsidR="00604F06" w:rsidRDefault="0060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6" w:rsidRPr="00974CF8" w:rsidRDefault="00604F06"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604F06" w:rsidRDefault="00604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A86A7F00"/>
    <w:lvl w:ilvl="0">
      <w:numFmt w:val="bullet"/>
      <w:lvlText w:val="*"/>
      <w:lvlJc w:val="left"/>
    </w:lvl>
  </w:abstractNum>
  <w:abstractNum w:abstractNumId="1">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12">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9"/>
  </w:num>
  <w:num w:numId="7">
    <w:abstractNumId w:val="2"/>
  </w:num>
  <w:num w:numId="8">
    <w:abstractNumId w:val="3"/>
  </w:num>
  <w:num w:numId="9">
    <w:abstractNumId w:val="16"/>
  </w:num>
  <w:num w:numId="10">
    <w:abstractNumId w:val="13"/>
  </w:num>
  <w:num w:numId="11">
    <w:abstractNumId w:val="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3D"/>
    <w:rsid w:val="000002B3"/>
    <w:rsid w:val="0000242C"/>
    <w:rsid w:val="000040B6"/>
    <w:rsid w:val="000044D4"/>
    <w:rsid w:val="00007876"/>
    <w:rsid w:val="00011B5D"/>
    <w:rsid w:val="00011BDE"/>
    <w:rsid w:val="00014E27"/>
    <w:rsid w:val="00015138"/>
    <w:rsid w:val="00017080"/>
    <w:rsid w:val="00017559"/>
    <w:rsid w:val="00020A64"/>
    <w:rsid w:val="00021536"/>
    <w:rsid w:val="000223F7"/>
    <w:rsid w:val="00024759"/>
    <w:rsid w:val="00024C7B"/>
    <w:rsid w:val="0002511E"/>
    <w:rsid w:val="0002630B"/>
    <w:rsid w:val="00026B1B"/>
    <w:rsid w:val="0003397D"/>
    <w:rsid w:val="00033DC5"/>
    <w:rsid w:val="0004076F"/>
    <w:rsid w:val="00040884"/>
    <w:rsid w:val="000409C7"/>
    <w:rsid w:val="00041101"/>
    <w:rsid w:val="000413F1"/>
    <w:rsid w:val="00042173"/>
    <w:rsid w:val="000441EB"/>
    <w:rsid w:val="00044AB4"/>
    <w:rsid w:val="000455E5"/>
    <w:rsid w:val="0004678C"/>
    <w:rsid w:val="00046D9F"/>
    <w:rsid w:val="00050E4F"/>
    <w:rsid w:val="000531DD"/>
    <w:rsid w:val="0005383F"/>
    <w:rsid w:val="00054376"/>
    <w:rsid w:val="00054841"/>
    <w:rsid w:val="000549D2"/>
    <w:rsid w:val="00054B7E"/>
    <w:rsid w:val="000559FD"/>
    <w:rsid w:val="000607BF"/>
    <w:rsid w:val="0006113E"/>
    <w:rsid w:val="00063648"/>
    <w:rsid w:val="00063E46"/>
    <w:rsid w:val="000707C0"/>
    <w:rsid w:val="000711C1"/>
    <w:rsid w:val="0007197E"/>
    <w:rsid w:val="00073704"/>
    <w:rsid w:val="00074284"/>
    <w:rsid w:val="00074EB5"/>
    <w:rsid w:val="00075265"/>
    <w:rsid w:val="00075455"/>
    <w:rsid w:val="00080402"/>
    <w:rsid w:val="00080DB6"/>
    <w:rsid w:val="00081E34"/>
    <w:rsid w:val="0008365E"/>
    <w:rsid w:val="000842B6"/>
    <w:rsid w:val="000848D9"/>
    <w:rsid w:val="00084BA9"/>
    <w:rsid w:val="0008536A"/>
    <w:rsid w:val="00085B48"/>
    <w:rsid w:val="000861E9"/>
    <w:rsid w:val="00087285"/>
    <w:rsid w:val="00087476"/>
    <w:rsid w:val="00087D3F"/>
    <w:rsid w:val="0009018E"/>
    <w:rsid w:val="00090F06"/>
    <w:rsid w:val="00093F2D"/>
    <w:rsid w:val="00095AE1"/>
    <w:rsid w:val="000974C7"/>
    <w:rsid w:val="0009764B"/>
    <w:rsid w:val="00097F37"/>
    <w:rsid w:val="000A005A"/>
    <w:rsid w:val="000A0637"/>
    <w:rsid w:val="000A0F01"/>
    <w:rsid w:val="000A0FE9"/>
    <w:rsid w:val="000A1243"/>
    <w:rsid w:val="000A24D3"/>
    <w:rsid w:val="000A2BAD"/>
    <w:rsid w:val="000A3E29"/>
    <w:rsid w:val="000A4225"/>
    <w:rsid w:val="000A505D"/>
    <w:rsid w:val="000B082C"/>
    <w:rsid w:val="000B0B17"/>
    <w:rsid w:val="000B0C54"/>
    <w:rsid w:val="000B0CBF"/>
    <w:rsid w:val="000B19D8"/>
    <w:rsid w:val="000B2257"/>
    <w:rsid w:val="000B22CD"/>
    <w:rsid w:val="000B633E"/>
    <w:rsid w:val="000C1E4B"/>
    <w:rsid w:val="000C5530"/>
    <w:rsid w:val="000C61B2"/>
    <w:rsid w:val="000C6F59"/>
    <w:rsid w:val="000C7924"/>
    <w:rsid w:val="000C7CA5"/>
    <w:rsid w:val="000D0C0A"/>
    <w:rsid w:val="000D0E72"/>
    <w:rsid w:val="000D16C8"/>
    <w:rsid w:val="000D3B2F"/>
    <w:rsid w:val="000D5CCA"/>
    <w:rsid w:val="000E1B64"/>
    <w:rsid w:val="000E23CB"/>
    <w:rsid w:val="000E2E19"/>
    <w:rsid w:val="000E4564"/>
    <w:rsid w:val="000E520A"/>
    <w:rsid w:val="000E78C2"/>
    <w:rsid w:val="000F2758"/>
    <w:rsid w:val="000F6873"/>
    <w:rsid w:val="001001CB"/>
    <w:rsid w:val="0010673B"/>
    <w:rsid w:val="0010728F"/>
    <w:rsid w:val="0011008C"/>
    <w:rsid w:val="001101B8"/>
    <w:rsid w:val="00110255"/>
    <w:rsid w:val="001117BB"/>
    <w:rsid w:val="001128F2"/>
    <w:rsid w:val="00112D20"/>
    <w:rsid w:val="00114E70"/>
    <w:rsid w:val="00115439"/>
    <w:rsid w:val="0011598A"/>
    <w:rsid w:val="00115BBE"/>
    <w:rsid w:val="00115DF2"/>
    <w:rsid w:val="00116565"/>
    <w:rsid w:val="0012036C"/>
    <w:rsid w:val="00122E08"/>
    <w:rsid w:val="00123A15"/>
    <w:rsid w:val="00123FA2"/>
    <w:rsid w:val="00124F24"/>
    <w:rsid w:val="00124FF2"/>
    <w:rsid w:val="00130203"/>
    <w:rsid w:val="001321D1"/>
    <w:rsid w:val="0013393E"/>
    <w:rsid w:val="00134AAD"/>
    <w:rsid w:val="001356B9"/>
    <w:rsid w:val="00136291"/>
    <w:rsid w:val="00136F07"/>
    <w:rsid w:val="00137109"/>
    <w:rsid w:val="001375EB"/>
    <w:rsid w:val="00137B94"/>
    <w:rsid w:val="00140272"/>
    <w:rsid w:val="00140295"/>
    <w:rsid w:val="001404B7"/>
    <w:rsid w:val="0014112F"/>
    <w:rsid w:val="001459FD"/>
    <w:rsid w:val="00145AA3"/>
    <w:rsid w:val="00146733"/>
    <w:rsid w:val="0014779F"/>
    <w:rsid w:val="00150502"/>
    <w:rsid w:val="00150EA6"/>
    <w:rsid w:val="0015129D"/>
    <w:rsid w:val="00153A1E"/>
    <w:rsid w:val="00153FFA"/>
    <w:rsid w:val="001620E7"/>
    <w:rsid w:val="001627D6"/>
    <w:rsid w:val="0016427A"/>
    <w:rsid w:val="0016694D"/>
    <w:rsid w:val="00166D81"/>
    <w:rsid w:val="001670C3"/>
    <w:rsid w:val="00167E09"/>
    <w:rsid w:val="0017130C"/>
    <w:rsid w:val="00172085"/>
    <w:rsid w:val="0017359B"/>
    <w:rsid w:val="00174510"/>
    <w:rsid w:val="00176F5D"/>
    <w:rsid w:val="00177024"/>
    <w:rsid w:val="00182A05"/>
    <w:rsid w:val="00182F9F"/>
    <w:rsid w:val="00183B1F"/>
    <w:rsid w:val="0018475A"/>
    <w:rsid w:val="0018591E"/>
    <w:rsid w:val="0018659D"/>
    <w:rsid w:val="00186AA9"/>
    <w:rsid w:val="0018780B"/>
    <w:rsid w:val="001905C5"/>
    <w:rsid w:val="001920CA"/>
    <w:rsid w:val="00192392"/>
    <w:rsid w:val="00193BA8"/>
    <w:rsid w:val="00193BC8"/>
    <w:rsid w:val="0019424C"/>
    <w:rsid w:val="00194372"/>
    <w:rsid w:val="00194EEC"/>
    <w:rsid w:val="0019637C"/>
    <w:rsid w:val="00197A2E"/>
    <w:rsid w:val="001A0696"/>
    <w:rsid w:val="001A1BA5"/>
    <w:rsid w:val="001A1FEA"/>
    <w:rsid w:val="001A216F"/>
    <w:rsid w:val="001A24B5"/>
    <w:rsid w:val="001A2D63"/>
    <w:rsid w:val="001A433A"/>
    <w:rsid w:val="001A4474"/>
    <w:rsid w:val="001A6032"/>
    <w:rsid w:val="001A671B"/>
    <w:rsid w:val="001A69AB"/>
    <w:rsid w:val="001A6F3E"/>
    <w:rsid w:val="001B071B"/>
    <w:rsid w:val="001B1875"/>
    <w:rsid w:val="001B1902"/>
    <w:rsid w:val="001B314B"/>
    <w:rsid w:val="001B46B1"/>
    <w:rsid w:val="001B49C5"/>
    <w:rsid w:val="001B5E68"/>
    <w:rsid w:val="001B6A0B"/>
    <w:rsid w:val="001B6B97"/>
    <w:rsid w:val="001B72A3"/>
    <w:rsid w:val="001B7DED"/>
    <w:rsid w:val="001C0055"/>
    <w:rsid w:val="001C0157"/>
    <w:rsid w:val="001C05F7"/>
    <w:rsid w:val="001C194F"/>
    <w:rsid w:val="001C3B73"/>
    <w:rsid w:val="001C4355"/>
    <w:rsid w:val="001C4E8A"/>
    <w:rsid w:val="001C7F47"/>
    <w:rsid w:val="001D00DB"/>
    <w:rsid w:val="001D115F"/>
    <w:rsid w:val="001D5415"/>
    <w:rsid w:val="001E0B9D"/>
    <w:rsid w:val="001E0E5F"/>
    <w:rsid w:val="001E1338"/>
    <w:rsid w:val="001E2647"/>
    <w:rsid w:val="001E2EEF"/>
    <w:rsid w:val="001E3AF9"/>
    <w:rsid w:val="001E461F"/>
    <w:rsid w:val="001E484B"/>
    <w:rsid w:val="001E5445"/>
    <w:rsid w:val="001E58A8"/>
    <w:rsid w:val="001E5A64"/>
    <w:rsid w:val="001F0CF0"/>
    <w:rsid w:val="001F14A2"/>
    <w:rsid w:val="001F18D0"/>
    <w:rsid w:val="001F3EA9"/>
    <w:rsid w:val="001F72B2"/>
    <w:rsid w:val="001F754C"/>
    <w:rsid w:val="001F78A6"/>
    <w:rsid w:val="001F7942"/>
    <w:rsid w:val="002006A7"/>
    <w:rsid w:val="00201949"/>
    <w:rsid w:val="00203852"/>
    <w:rsid w:val="00203A4D"/>
    <w:rsid w:val="00203F8D"/>
    <w:rsid w:val="00204947"/>
    <w:rsid w:val="00204DB7"/>
    <w:rsid w:val="0020533E"/>
    <w:rsid w:val="00205B51"/>
    <w:rsid w:val="0020706B"/>
    <w:rsid w:val="002078EE"/>
    <w:rsid w:val="0021079D"/>
    <w:rsid w:val="00211097"/>
    <w:rsid w:val="00224D9D"/>
    <w:rsid w:val="00226BD0"/>
    <w:rsid w:val="002276A4"/>
    <w:rsid w:val="00227FCE"/>
    <w:rsid w:val="00230378"/>
    <w:rsid w:val="00232CFF"/>
    <w:rsid w:val="00232DD7"/>
    <w:rsid w:val="002330BA"/>
    <w:rsid w:val="00233487"/>
    <w:rsid w:val="0023352C"/>
    <w:rsid w:val="00233818"/>
    <w:rsid w:val="00233BA5"/>
    <w:rsid w:val="00233C20"/>
    <w:rsid w:val="00234FB3"/>
    <w:rsid w:val="00236714"/>
    <w:rsid w:val="00236F23"/>
    <w:rsid w:val="0024014C"/>
    <w:rsid w:val="00241C2C"/>
    <w:rsid w:val="00241E29"/>
    <w:rsid w:val="00241EB7"/>
    <w:rsid w:val="00242184"/>
    <w:rsid w:val="00244EDE"/>
    <w:rsid w:val="00245AB3"/>
    <w:rsid w:val="00246444"/>
    <w:rsid w:val="00246B6C"/>
    <w:rsid w:val="002472C3"/>
    <w:rsid w:val="002503D9"/>
    <w:rsid w:val="0025074A"/>
    <w:rsid w:val="002509E8"/>
    <w:rsid w:val="00250BA2"/>
    <w:rsid w:val="002518BD"/>
    <w:rsid w:val="00252189"/>
    <w:rsid w:val="002521A9"/>
    <w:rsid w:val="00254612"/>
    <w:rsid w:val="002549C7"/>
    <w:rsid w:val="00255147"/>
    <w:rsid w:val="00255870"/>
    <w:rsid w:val="00255889"/>
    <w:rsid w:val="00256377"/>
    <w:rsid w:val="00256AA2"/>
    <w:rsid w:val="00257346"/>
    <w:rsid w:val="0026043A"/>
    <w:rsid w:val="0026074D"/>
    <w:rsid w:val="0026118D"/>
    <w:rsid w:val="0026370F"/>
    <w:rsid w:val="00264CEF"/>
    <w:rsid w:val="002650CF"/>
    <w:rsid w:val="00265412"/>
    <w:rsid w:val="0026727F"/>
    <w:rsid w:val="00270BAD"/>
    <w:rsid w:val="00272FF0"/>
    <w:rsid w:val="00273CD7"/>
    <w:rsid w:val="00273F4B"/>
    <w:rsid w:val="00274135"/>
    <w:rsid w:val="0027624F"/>
    <w:rsid w:val="00276D62"/>
    <w:rsid w:val="00280D3C"/>
    <w:rsid w:val="00282E17"/>
    <w:rsid w:val="00283CFA"/>
    <w:rsid w:val="0028794F"/>
    <w:rsid w:val="002902BC"/>
    <w:rsid w:val="0029088F"/>
    <w:rsid w:val="00293811"/>
    <w:rsid w:val="00293886"/>
    <w:rsid w:val="002939C7"/>
    <w:rsid w:val="002941AA"/>
    <w:rsid w:val="00294580"/>
    <w:rsid w:val="00294CBF"/>
    <w:rsid w:val="002953DC"/>
    <w:rsid w:val="0029629C"/>
    <w:rsid w:val="002A1FFD"/>
    <w:rsid w:val="002A3C5B"/>
    <w:rsid w:val="002A602A"/>
    <w:rsid w:val="002A78FE"/>
    <w:rsid w:val="002B40CB"/>
    <w:rsid w:val="002B43CF"/>
    <w:rsid w:val="002B4BD3"/>
    <w:rsid w:val="002B61E0"/>
    <w:rsid w:val="002C065D"/>
    <w:rsid w:val="002C0D14"/>
    <w:rsid w:val="002C3958"/>
    <w:rsid w:val="002C471F"/>
    <w:rsid w:val="002C4C63"/>
    <w:rsid w:val="002C5ED3"/>
    <w:rsid w:val="002C6409"/>
    <w:rsid w:val="002C6709"/>
    <w:rsid w:val="002C7F58"/>
    <w:rsid w:val="002D094B"/>
    <w:rsid w:val="002D1140"/>
    <w:rsid w:val="002D2835"/>
    <w:rsid w:val="002D55DC"/>
    <w:rsid w:val="002D7414"/>
    <w:rsid w:val="002E000C"/>
    <w:rsid w:val="002E45F2"/>
    <w:rsid w:val="002E6BDF"/>
    <w:rsid w:val="002E6DE2"/>
    <w:rsid w:val="002E72EE"/>
    <w:rsid w:val="002E783F"/>
    <w:rsid w:val="002F4746"/>
    <w:rsid w:val="002F525E"/>
    <w:rsid w:val="002F52D3"/>
    <w:rsid w:val="002F662F"/>
    <w:rsid w:val="002F7FDE"/>
    <w:rsid w:val="003010DF"/>
    <w:rsid w:val="003011C1"/>
    <w:rsid w:val="00301E76"/>
    <w:rsid w:val="00302086"/>
    <w:rsid w:val="003034F9"/>
    <w:rsid w:val="00305200"/>
    <w:rsid w:val="0030534B"/>
    <w:rsid w:val="00307D43"/>
    <w:rsid w:val="003112FF"/>
    <w:rsid w:val="00312404"/>
    <w:rsid w:val="00312E56"/>
    <w:rsid w:val="003133EC"/>
    <w:rsid w:val="00314274"/>
    <w:rsid w:val="00314615"/>
    <w:rsid w:val="0031537D"/>
    <w:rsid w:val="003173F1"/>
    <w:rsid w:val="00317565"/>
    <w:rsid w:val="00317839"/>
    <w:rsid w:val="00317944"/>
    <w:rsid w:val="00317D02"/>
    <w:rsid w:val="0032065C"/>
    <w:rsid w:val="00321C1D"/>
    <w:rsid w:val="00322479"/>
    <w:rsid w:val="00323054"/>
    <w:rsid w:val="00324ADC"/>
    <w:rsid w:val="00325553"/>
    <w:rsid w:val="00326CBE"/>
    <w:rsid w:val="00330997"/>
    <w:rsid w:val="00330B13"/>
    <w:rsid w:val="00331073"/>
    <w:rsid w:val="0033130C"/>
    <w:rsid w:val="00331728"/>
    <w:rsid w:val="003318EC"/>
    <w:rsid w:val="003327EF"/>
    <w:rsid w:val="003328A2"/>
    <w:rsid w:val="0033387F"/>
    <w:rsid w:val="00333CBF"/>
    <w:rsid w:val="00335376"/>
    <w:rsid w:val="00335799"/>
    <w:rsid w:val="00335E9D"/>
    <w:rsid w:val="00337CCC"/>
    <w:rsid w:val="00340948"/>
    <w:rsid w:val="00342B2E"/>
    <w:rsid w:val="00343176"/>
    <w:rsid w:val="00344856"/>
    <w:rsid w:val="00345676"/>
    <w:rsid w:val="00350393"/>
    <w:rsid w:val="0035563F"/>
    <w:rsid w:val="00357101"/>
    <w:rsid w:val="003608F0"/>
    <w:rsid w:val="0036422E"/>
    <w:rsid w:val="00364456"/>
    <w:rsid w:val="0036476C"/>
    <w:rsid w:val="00365319"/>
    <w:rsid w:val="00365FA7"/>
    <w:rsid w:val="00365FF6"/>
    <w:rsid w:val="003703B4"/>
    <w:rsid w:val="003711E9"/>
    <w:rsid w:val="0037130A"/>
    <w:rsid w:val="00372DA6"/>
    <w:rsid w:val="00372EC7"/>
    <w:rsid w:val="00375FA2"/>
    <w:rsid w:val="00377904"/>
    <w:rsid w:val="00380DEB"/>
    <w:rsid w:val="003819F7"/>
    <w:rsid w:val="00381C30"/>
    <w:rsid w:val="00382B03"/>
    <w:rsid w:val="00383521"/>
    <w:rsid w:val="00383A3C"/>
    <w:rsid w:val="003848C9"/>
    <w:rsid w:val="00384A8F"/>
    <w:rsid w:val="00384D02"/>
    <w:rsid w:val="00384E7D"/>
    <w:rsid w:val="003902D3"/>
    <w:rsid w:val="00390E9C"/>
    <w:rsid w:val="00392BFF"/>
    <w:rsid w:val="00395165"/>
    <w:rsid w:val="00396D58"/>
    <w:rsid w:val="00397C1A"/>
    <w:rsid w:val="003A1263"/>
    <w:rsid w:val="003A2E10"/>
    <w:rsid w:val="003A311B"/>
    <w:rsid w:val="003A4157"/>
    <w:rsid w:val="003A63FE"/>
    <w:rsid w:val="003B0E85"/>
    <w:rsid w:val="003B349F"/>
    <w:rsid w:val="003B5E19"/>
    <w:rsid w:val="003B6652"/>
    <w:rsid w:val="003B6D60"/>
    <w:rsid w:val="003B6DD5"/>
    <w:rsid w:val="003B6E3C"/>
    <w:rsid w:val="003B6E55"/>
    <w:rsid w:val="003B6F82"/>
    <w:rsid w:val="003C0E84"/>
    <w:rsid w:val="003C278E"/>
    <w:rsid w:val="003C2800"/>
    <w:rsid w:val="003C35A8"/>
    <w:rsid w:val="003C50AB"/>
    <w:rsid w:val="003C6625"/>
    <w:rsid w:val="003C7B1A"/>
    <w:rsid w:val="003C7B2B"/>
    <w:rsid w:val="003C7EF5"/>
    <w:rsid w:val="003D15E0"/>
    <w:rsid w:val="003D2EE1"/>
    <w:rsid w:val="003D3D12"/>
    <w:rsid w:val="003D4508"/>
    <w:rsid w:val="003D594D"/>
    <w:rsid w:val="003D67A8"/>
    <w:rsid w:val="003D6F6D"/>
    <w:rsid w:val="003D70F7"/>
    <w:rsid w:val="003D7E09"/>
    <w:rsid w:val="003E1BB0"/>
    <w:rsid w:val="003E3991"/>
    <w:rsid w:val="003E5CBB"/>
    <w:rsid w:val="003E78EE"/>
    <w:rsid w:val="003F02D7"/>
    <w:rsid w:val="003F0CB3"/>
    <w:rsid w:val="003F145F"/>
    <w:rsid w:val="003F21C1"/>
    <w:rsid w:val="003F2D76"/>
    <w:rsid w:val="003F4CCB"/>
    <w:rsid w:val="003F592D"/>
    <w:rsid w:val="003F684D"/>
    <w:rsid w:val="00400ED6"/>
    <w:rsid w:val="00401244"/>
    <w:rsid w:val="00403F6B"/>
    <w:rsid w:val="00405174"/>
    <w:rsid w:val="0040665E"/>
    <w:rsid w:val="00406C5F"/>
    <w:rsid w:val="00406D63"/>
    <w:rsid w:val="00407DF5"/>
    <w:rsid w:val="004103B1"/>
    <w:rsid w:val="004121B2"/>
    <w:rsid w:val="004123C3"/>
    <w:rsid w:val="0041374E"/>
    <w:rsid w:val="004152E6"/>
    <w:rsid w:val="004153E5"/>
    <w:rsid w:val="00415481"/>
    <w:rsid w:val="00415B62"/>
    <w:rsid w:val="00415FBE"/>
    <w:rsid w:val="00416824"/>
    <w:rsid w:val="00417B42"/>
    <w:rsid w:val="004219A8"/>
    <w:rsid w:val="004220A6"/>
    <w:rsid w:val="004220BC"/>
    <w:rsid w:val="0042357A"/>
    <w:rsid w:val="0042498D"/>
    <w:rsid w:val="0042705B"/>
    <w:rsid w:val="0043161F"/>
    <w:rsid w:val="004316EE"/>
    <w:rsid w:val="00432A28"/>
    <w:rsid w:val="00432CEE"/>
    <w:rsid w:val="0043343A"/>
    <w:rsid w:val="004344F9"/>
    <w:rsid w:val="00437207"/>
    <w:rsid w:val="00440503"/>
    <w:rsid w:val="004406C0"/>
    <w:rsid w:val="00443832"/>
    <w:rsid w:val="00444BF1"/>
    <w:rsid w:val="00445056"/>
    <w:rsid w:val="00447192"/>
    <w:rsid w:val="00451EB5"/>
    <w:rsid w:val="0045221E"/>
    <w:rsid w:val="00452FCB"/>
    <w:rsid w:val="004531A3"/>
    <w:rsid w:val="00453318"/>
    <w:rsid w:val="00454D93"/>
    <w:rsid w:val="00454FA9"/>
    <w:rsid w:val="0045552B"/>
    <w:rsid w:val="0045573E"/>
    <w:rsid w:val="004569FA"/>
    <w:rsid w:val="00457557"/>
    <w:rsid w:val="00457BBD"/>
    <w:rsid w:val="00460259"/>
    <w:rsid w:val="0046071E"/>
    <w:rsid w:val="00461735"/>
    <w:rsid w:val="00461EF6"/>
    <w:rsid w:val="00465212"/>
    <w:rsid w:val="004663BF"/>
    <w:rsid w:val="00466BE6"/>
    <w:rsid w:val="004679F2"/>
    <w:rsid w:val="00471031"/>
    <w:rsid w:val="0047148D"/>
    <w:rsid w:val="00472C81"/>
    <w:rsid w:val="00473B92"/>
    <w:rsid w:val="00474348"/>
    <w:rsid w:val="00474E2C"/>
    <w:rsid w:val="00477384"/>
    <w:rsid w:val="004777BD"/>
    <w:rsid w:val="00481EAD"/>
    <w:rsid w:val="00483126"/>
    <w:rsid w:val="0048325B"/>
    <w:rsid w:val="00484EB3"/>
    <w:rsid w:val="00485BAC"/>
    <w:rsid w:val="00485DD4"/>
    <w:rsid w:val="00487FF0"/>
    <w:rsid w:val="0049096B"/>
    <w:rsid w:val="00490C8B"/>
    <w:rsid w:val="00490E07"/>
    <w:rsid w:val="004940E2"/>
    <w:rsid w:val="00494F19"/>
    <w:rsid w:val="0049515C"/>
    <w:rsid w:val="0049563A"/>
    <w:rsid w:val="004A283A"/>
    <w:rsid w:val="004A29E8"/>
    <w:rsid w:val="004A3D90"/>
    <w:rsid w:val="004A46CE"/>
    <w:rsid w:val="004A62EC"/>
    <w:rsid w:val="004B0C01"/>
    <w:rsid w:val="004B2230"/>
    <w:rsid w:val="004B48AF"/>
    <w:rsid w:val="004B5B4E"/>
    <w:rsid w:val="004B729A"/>
    <w:rsid w:val="004B7364"/>
    <w:rsid w:val="004C01C1"/>
    <w:rsid w:val="004C0231"/>
    <w:rsid w:val="004C0F8D"/>
    <w:rsid w:val="004C54B5"/>
    <w:rsid w:val="004C54DD"/>
    <w:rsid w:val="004C6ECF"/>
    <w:rsid w:val="004D1593"/>
    <w:rsid w:val="004D3D91"/>
    <w:rsid w:val="004D4CF8"/>
    <w:rsid w:val="004D5139"/>
    <w:rsid w:val="004D5DA4"/>
    <w:rsid w:val="004D65D2"/>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E0E"/>
    <w:rsid w:val="004F6D26"/>
    <w:rsid w:val="004F7912"/>
    <w:rsid w:val="004F7E62"/>
    <w:rsid w:val="005006A4"/>
    <w:rsid w:val="00501019"/>
    <w:rsid w:val="0050151B"/>
    <w:rsid w:val="00502253"/>
    <w:rsid w:val="005032A2"/>
    <w:rsid w:val="00503ECE"/>
    <w:rsid w:val="0050425E"/>
    <w:rsid w:val="0050610C"/>
    <w:rsid w:val="00506B3C"/>
    <w:rsid w:val="0050761C"/>
    <w:rsid w:val="00510C87"/>
    <w:rsid w:val="00510DCA"/>
    <w:rsid w:val="00511A2C"/>
    <w:rsid w:val="00511E32"/>
    <w:rsid w:val="00514269"/>
    <w:rsid w:val="00514939"/>
    <w:rsid w:val="00514E3A"/>
    <w:rsid w:val="005158FA"/>
    <w:rsid w:val="00515BED"/>
    <w:rsid w:val="005169EF"/>
    <w:rsid w:val="00516D53"/>
    <w:rsid w:val="00516DCF"/>
    <w:rsid w:val="005204DE"/>
    <w:rsid w:val="005204E8"/>
    <w:rsid w:val="005215E5"/>
    <w:rsid w:val="00521E1D"/>
    <w:rsid w:val="005221E0"/>
    <w:rsid w:val="00522295"/>
    <w:rsid w:val="005227C6"/>
    <w:rsid w:val="0052448A"/>
    <w:rsid w:val="00525150"/>
    <w:rsid w:val="00525475"/>
    <w:rsid w:val="0052582F"/>
    <w:rsid w:val="00526212"/>
    <w:rsid w:val="0052636B"/>
    <w:rsid w:val="00530F0B"/>
    <w:rsid w:val="0053115D"/>
    <w:rsid w:val="005355CB"/>
    <w:rsid w:val="005360E7"/>
    <w:rsid w:val="00537053"/>
    <w:rsid w:val="005378E7"/>
    <w:rsid w:val="005403C9"/>
    <w:rsid w:val="005409A1"/>
    <w:rsid w:val="00541B8D"/>
    <w:rsid w:val="005453E1"/>
    <w:rsid w:val="0054726E"/>
    <w:rsid w:val="0054768D"/>
    <w:rsid w:val="00547B22"/>
    <w:rsid w:val="00550B2C"/>
    <w:rsid w:val="005513D5"/>
    <w:rsid w:val="00553C1D"/>
    <w:rsid w:val="005542A3"/>
    <w:rsid w:val="005547C0"/>
    <w:rsid w:val="00555416"/>
    <w:rsid w:val="00560ABC"/>
    <w:rsid w:val="00561ADB"/>
    <w:rsid w:val="00562189"/>
    <w:rsid w:val="00562282"/>
    <w:rsid w:val="00563310"/>
    <w:rsid w:val="00563632"/>
    <w:rsid w:val="00563B3B"/>
    <w:rsid w:val="00564685"/>
    <w:rsid w:val="0056512A"/>
    <w:rsid w:val="00565341"/>
    <w:rsid w:val="0056575B"/>
    <w:rsid w:val="00566048"/>
    <w:rsid w:val="00566713"/>
    <w:rsid w:val="00566735"/>
    <w:rsid w:val="005672B6"/>
    <w:rsid w:val="00567C7F"/>
    <w:rsid w:val="00571C0A"/>
    <w:rsid w:val="005728AF"/>
    <w:rsid w:val="00572BEA"/>
    <w:rsid w:val="005752CE"/>
    <w:rsid w:val="005762FF"/>
    <w:rsid w:val="00576888"/>
    <w:rsid w:val="005776D5"/>
    <w:rsid w:val="00580073"/>
    <w:rsid w:val="005820B4"/>
    <w:rsid w:val="005825BD"/>
    <w:rsid w:val="0058298B"/>
    <w:rsid w:val="00582C46"/>
    <w:rsid w:val="0058343F"/>
    <w:rsid w:val="00586763"/>
    <w:rsid w:val="00586DD2"/>
    <w:rsid w:val="00587C37"/>
    <w:rsid w:val="00592164"/>
    <w:rsid w:val="005937F8"/>
    <w:rsid w:val="00594CCD"/>
    <w:rsid w:val="00597CAC"/>
    <w:rsid w:val="005A10E1"/>
    <w:rsid w:val="005A1387"/>
    <w:rsid w:val="005A237F"/>
    <w:rsid w:val="005A2F4D"/>
    <w:rsid w:val="005A37AE"/>
    <w:rsid w:val="005A6671"/>
    <w:rsid w:val="005A6D48"/>
    <w:rsid w:val="005B12B8"/>
    <w:rsid w:val="005B36A5"/>
    <w:rsid w:val="005B3F90"/>
    <w:rsid w:val="005B4741"/>
    <w:rsid w:val="005B47D1"/>
    <w:rsid w:val="005B4A6C"/>
    <w:rsid w:val="005B5D44"/>
    <w:rsid w:val="005B5D9F"/>
    <w:rsid w:val="005B69E5"/>
    <w:rsid w:val="005B6A52"/>
    <w:rsid w:val="005C0F9E"/>
    <w:rsid w:val="005C1F60"/>
    <w:rsid w:val="005C2165"/>
    <w:rsid w:val="005C33B9"/>
    <w:rsid w:val="005C4E40"/>
    <w:rsid w:val="005C67DA"/>
    <w:rsid w:val="005D1E6C"/>
    <w:rsid w:val="005D31A5"/>
    <w:rsid w:val="005D3D6F"/>
    <w:rsid w:val="005D6150"/>
    <w:rsid w:val="005D6548"/>
    <w:rsid w:val="005E0B59"/>
    <w:rsid w:val="005E12A3"/>
    <w:rsid w:val="005E23A2"/>
    <w:rsid w:val="005E2AAB"/>
    <w:rsid w:val="005E4333"/>
    <w:rsid w:val="005E4BCA"/>
    <w:rsid w:val="005E4F67"/>
    <w:rsid w:val="005E4F80"/>
    <w:rsid w:val="005E5674"/>
    <w:rsid w:val="005E7AC1"/>
    <w:rsid w:val="005F32A2"/>
    <w:rsid w:val="005F3436"/>
    <w:rsid w:val="005F4365"/>
    <w:rsid w:val="005F4F9D"/>
    <w:rsid w:val="005F6FB4"/>
    <w:rsid w:val="005F7740"/>
    <w:rsid w:val="006001D3"/>
    <w:rsid w:val="00600D08"/>
    <w:rsid w:val="0060132A"/>
    <w:rsid w:val="00601805"/>
    <w:rsid w:val="00601F1F"/>
    <w:rsid w:val="006020D3"/>
    <w:rsid w:val="0060221E"/>
    <w:rsid w:val="00603635"/>
    <w:rsid w:val="00603C39"/>
    <w:rsid w:val="00603FCC"/>
    <w:rsid w:val="00604BF0"/>
    <w:rsid w:val="00604F06"/>
    <w:rsid w:val="00605ED5"/>
    <w:rsid w:val="00606042"/>
    <w:rsid w:val="0060611A"/>
    <w:rsid w:val="00606599"/>
    <w:rsid w:val="0060724A"/>
    <w:rsid w:val="00607FE0"/>
    <w:rsid w:val="006105E3"/>
    <w:rsid w:val="00610D55"/>
    <w:rsid w:val="00611488"/>
    <w:rsid w:val="00612456"/>
    <w:rsid w:val="006129BB"/>
    <w:rsid w:val="006135EE"/>
    <w:rsid w:val="006136AA"/>
    <w:rsid w:val="00616147"/>
    <w:rsid w:val="006178B5"/>
    <w:rsid w:val="00621B17"/>
    <w:rsid w:val="00622A47"/>
    <w:rsid w:val="0062559D"/>
    <w:rsid w:val="00626A5F"/>
    <w:rsid w:val="00627506"/>
    <w:rsid w:val="006278B6"/>
    <w:rsid w:val="00627B7C"/>
    <w:rsid w:val="00630295"/>
    <w:rsid w:val="00633D09"/>
    <w:rsid w:val="00633EBE"/>
    <w:rsid w:val="00634155"/>
    <w:rsid w:val="00634355"/>
    <w:rsid w:val="00635D87"/>
    <w:rsid w:val="00635E49"/>
    <w:rsid w:val="006368F2"/>
    <w:rsid w:val="006412C3"/>
    <w:rsid w:val="00641D61"/>
    <w:rsid w:val="006424D0"/>
    <w:rsid w:val="00643868"/>
    <w:rsid w:val="006440D2"/>
    <w:rsid w:val="00644E25"/>
    <w:rsid w:val="0064579F"/>
    <w:rsid w:val="00646915"/>
    <w:rsid w:val="00653038"/>
    <w:rsid w:val="006547FD"/>
    <w:rsid w:val="00654D70"/>
    <w:rsid w:val="006572EE"/>
    <w:rsid w:val="00660024"/>
    <w:rsid w:val="00660252"/>
    <w:rsid w:val="006603B5"/>
    <w:rsid w:val="00662214"/>
    <w:rsid w:val="0066562A"/>
    <w:rsid w:val="006670B3"/>
    <w:rsid w:val="00667333"/>
    <w:rsid w:val="00667B09"/>
    <w:rsid w:val="0067173B"/>
    <w:rsid w:val="00671BB2"/>
    <w:rsid w:val="006729C6"/>
    <w:rsid w:val="006731A5"/>
    <w:rsid w:val="006754BC"/>
    <w:rsid w:val="00676109"/>
    <w:rsid w:val="00677C87"/>
    <w:rsid w:val="00680098"/>
    <w:rsid w:val="00681C30"/>
    <w:rsid w:val="00681F7E"/>
    <w:rsid w:val="0068334B"/>
    <w:rsid w:val="00684752"/>
    <w:rsid w:val="006851EC"/>
    <w:rsid w:val="006855C8"/>
    <w:rsid w:val="00685DDA"/>
    <w:rsid w:val="0068661C"/>
    <w:rsid w:val="006868EF"/>
    <w:rsid w:val="00686FE0"/>
    <w:rsid w:val="00687B43"/>
    <w:rsid w:val="00691F04"/>
    <w:rsid w:val="00693AB9"/>
    <w:rsid w:val="006956ED"/>
    <w:rsid w:val="0069658E"/>
    <w:rsid w:val="00696F59"/>
    <w:rsid w:val="00696F5F"/>
    <w:rsid w:val="006A07AC"/>
    <w:rsid w:val="006A111D"/>
    <w:rsid w:val="006A1199"/>
    <w:rsid w:val="006A1BA5"/>
    <w:rsid w:val="006A2444"/>
    <w:rsid w:val="006A31A1"/>
    <w:rsid w:val="006A329F"/>
    <w:rsid w:val="006A47E7"/>
    <w:rsid w:val="006A560F"/>
    <w:rsid w:val="006A564D"/>
    <w:rsid w:val="006A58EB"/>
    <w:rsid w:val="006A77B9"/>
    <w:rsid w:val="006B0F11"/>
    <w:rsid w:val="006B128C"/>
    <w:rsid w:val="006B2048"/>
    <w:rsid w:val="006B3437"/>
    <w:rsid w:val="006B6060"/>
    <w:rsid w:val="006C1902"/>
    <w:rsid w:val="006C26FB"/>
    <w:rsid w:val="006C2B88"/>
    <w:rsid w:val="006C31C6"/>
    <w:rsid w:val="006C389D"/>
    <w:rsid w:val="006C550A"/>
    <w:rsid w:val="006C5F96"/>
    <w:rsid w:val="006C7429"/>
    <w:rsid w:val="006D0530"/>
    <w:rsid w:val="006D127B"/>
    <w:rsid w:val="006D17E8"/>
    <w:rsid w:val="006D1E53"/>
    <w:rsid w:val="006D21A0"/>
    <w:rsid w:val="006D2DA6"/>
    <w:rsid w:val="006D2DBB"/>
    <w:rsid w:val="006D6381"/>
    <w:rsid w:val="006D760D"/>
    <w:rsid w:val="006D7A1B"/>
    <w:rsid w:val="006E4E5E"/>
    <w:rsid w:val="006F0A73"/>
    <w:rsid w:val="006F0EB7"/>
    <w:rsid w:val="006F0FC9"/>
    <w:rsid w:val="006F134B"/>
    <w:rsid w:val="006F1B9A"/>
    <w:rsid w:val="006F3D3E"/>
    <w:rsid w:val="006F420F"/>
    <w:rsid w:val="006F53FD"/>
    <w:rsid w:val="00701A88"/>
    <w:rsid w:val="00703A18"/>
    <w:rsid w:val="00703B92"/>
    <w:rsid w:val="00704275"/>
    <w:rsid w:val="00704B10"/>
    <w:rsid w:val="0070506E"/>
    <w:rsid w:val="00705538"/>
    <w:rsid w:val="0070621B"/>
    <w:rsid w:val="0070649E"/>
    <w:rsid w:val="0070685C"/>
    <w:rsid w:val="00706F80"/>
    <w:rsid w:val="00707EAF"/>
    <w:rsid w:val="00710134"/>
    <w:rsid w:val="007105A7"/>
    <w:rsid w:val="007107A7"/>
    <w:rsid w:val="00711930"/>
    <w:rsid w:val="00711D00"/>
    <w:rsid w:val="00711F4E"/>
    <w:rsid w:val="00712913"/>
    <w:rsid w:val="00714EAC"/>
    <w:rsid w:val="00716B8A"/>
    <w:rsid w:val="00716DBE"/>
    <w:rsid w:val="00717878"/>
    <w:rsid w:val="00721602"/>
    <w:rsid w:val="0072204F"/>
    <w:rsid w:val="007233A0"/>
    <w:rsid w:val="007266CD"/>
    <w:rsid w:val="007267D8"/>
    <w:rsid w:val="00726F4A"/>
    <w:rsid w:val="00727B5C"/>
    <w:rsid w:val="0073195C"/>
    <w:rsid w:val="0073258E"/>
    <w:rsid w:val="00733B40"/>
    <w:rsid w:val="00734D57"/>
    <w:rsid w:val="00734F87"/>
    <w:rsid w:val="00735C2A"/>
    <w:rsid w:val="00736666"/>
    <w:rsid w:val="00736B50"/>
    <w:rsid w:val="00736BD5"/>
    <w:rsid w:val="00736D3C"/>
    <w:rsid w:val="00737508"/>
    <w:rsid w:val="00740899"/>
    <w:rsid w:val="00741309"/>
    <w:rsid w:val="0074440C"/>
    <w:rsid w:val="0074634B"/>
    <w:rsid w:val="007466FB"/>
    <w:rsid w:val="00747306"/>
    <w:rsid w:val="00751F11"/>
    <w:rsid w:val="00752C93"/>
    <w:rsid w:val="00755B5C"/>
    <w:rsid w:val="0075607D"/>
    <w:rsid w:val="00756EBA"/>
    <w:rsid w:val="0075700A"/>
    <w:rsid w:val="00757ED8"/>
    <w:rsid w:val="007613BD"/>
    <w:rsid w:val="00761EFA"/>
    <w:rsid w:val="0076246E"/>
    <w:rsid w:val="007665D8"/>
    <w:rsid w:val="00766C3A"/>
    <w:rsid w:val="00767301"/>
    <w:rsid w:val="00767698"/>
    <w:rsid w:val="007678AB"/>
    <w:rsid w:val="007701BD"/>
    <w:rsid w:val="007715E5"/>
    <w:rsid w:val="0077372B"/>
    <w:rsid w:val="007739CF"/>
    <w:rsid w:val="00773CF7"/>
    <w:rsid w:val="0077476A"/>
    <w:rsid w:val="00775CC8"/>
    <w:rsid w:val="00777C53"/>
    <w:rsid w:val="007815FC"/>
    <w:rsid w:val="007819D9"/>
    <w:rsid w:val="00781B28"/>
    <w:rsid w:val="0078396B"/>
    <w:rsid w:val="00783997"/>
    <w:rsid w:val="00783B76"/>
    <w:rsid w:val="00784F80"/>
    <w:rsid w:val="007856D1"/>
    <w:rsid w:val="007862FC"/>
    <w:rsid w:val="0078735D"/>
    <w:rsid w:val="00791231"/>
    <w:rsid w:val="00791B79"/>
    <w:rsid w:val="00794BE6"/>
    <w:rsid w:val="007A0E16"/>
    <w:rsid w:val="007A2E14"/>
    <w:rsid w:val="007A3E68"/>
    <w:rsid w:val="007A572C"/>
    <w:rsid w:val="007A57C8"/>
    <w:rsid w:val="007A758F"/>
    <w:rsid w:val="007A7E1D"/>
    <w:rsid w:val="007B1584"/>
    <w:rsid w:val="007B3C79"/>
    <w:rsid w:val="007B4BE7"/>
    <w:rsid w:val="007B520A"/>
    <w:rsid w:val="007B5215"/>
    <w:rsid w:val="007B62D6"/>
    <w:rsid w:val="007B6B18"/>
    <w:rsid w:val="007B7197"/>
    <w:rsid w:val="007C0269"/>
    <w:rsid w:val="007C0819"/>
    <w:rsid w:val="007C1908"/>
    <w:rsid w:val="007C1A23"/>
    <w:rsid w:val="007C3321"/>
    <w:rsid w:val="007C4583"/>
    <w:rsid w:val="007C56C3"/>
    <w:rsid w:val="007C5934"/>
    <w:rsid w:val="007C6A0E"/>
    <w:rsid w:val="007D0562"/>
    <w:rsid w:val="007D1054"/>
    <w:rsid w:val="007D414B"/>
    <w:rsid w:val="007E0967"/>
    <w:rsid w:val="007E0969"/>
    <w:rsid w:val="007E0F0E"/>
    <w:rsid w:val="007E2E2F"/>
    <w:rsid w:val="007E6017"/>
    <w:rsid w:val="007E631C"/>
    <w:rsid w:val="007E7152"/>
    <w:rsid w:val="007E7785"/>
    <w:rsid w:val="007F1467"/>
    <w:rsid w:val="007F18F1"/>
    <w:rsid w:val="007F3B41"/>
    <w:rsid w:val="007F3BD1"/>
    <w:rsid w:val="007F453C"/>
    <w:rsid w:val="007F7850"/>
    <w:rsid w:val="008016E6"/>
    <w:rsid w:val="00801EDD"/>
    <w:rsid w:val="00801FCC"/>
    <w:rsid w:val="008028EF"/>
    <w:rsid w:val="00804F6D"/>
    <w:rsid w:val="0080597A"/>
    <w:rsid w:val="00807BAF"/>
    <w:rsid w:val="008119DF"/>
    <w:rsid w:val="00812636"/>
    <w:rsid w:val="0081292D"/>
    <w:rsid w:val="00814996"/>
    <w:rsid w:val="0081769A"/>
    <w:rsid w:val="00817ABF"/>
    <w:rsid w:val="00817C63"/>
    <w:rsid w:val="00817CF4"/>
    <w:rsid w:val="0082025A"/>
    <w:rsid w:val="00821E03"/>
    <w:rsid w:val="00822400"/>
    <w:rsid w:val="00822EFF"/>
    <w:rsid w:val="00824167"/>
    <w:rsid w:val="00826255"/>
    <w:rsid w:val="008269E6"/>
    <w:rsid w:val="00827C61"/>
    <w:rsid w:val="00833834"/>
    <w:rsid w:val="00833EED"/>
    <w:rsid w:val="00835428"/>
    <w:rsid w:val="00835C89"/>
    <w:rsid w:val="00836FB0"/>
    <w:rsid w:val="00837C51"/>
    <w:rsid w:val="00840679"/>
    <w:rsid w:val="00840EAB"/>
    <w:rsid w:val="008422F3"/>
    <w:rsid w:val="00842749"/>
    <w:rsid w:val="008434D9"/>
    <w:rsid w:val="008456A0"/>
    <w:rsid w:val="008457F1"/>
    <w:rsid w:val="00846BA5"/>
    <w:rsid w:val="0084742D"/>
    <w:rsid w:val="008474AB"/>
    <w:rsid w:val="00852A6D"/>
    <w:rsid w:val="00852D01"/>
    <w:rsid w:val="00855568"/>
    <w:rsid w:val="0085624C"/>
    <w:rsid w:val="008610F7"/>
    <w:rsid w:val="00861E10"/>
    <w:rsid w:val="00862718"/>
    <w:rsid w:val="00862735"/>
    <w:rsid w:val="00862753"/>
    <w:rsid w:val="008653A9"/>
    <w:rsid w:val="00870CE0"/>
    <w:rsid w:val="00871A6C"/>
    <w:rsid w:val="00874686"/>
    <w:rsid w:val="00874F90"/>
    <w:rsid w:val="00875E62"/>
    <w:rsid w:val="00877D95"/>
    <w:rsid w:val="00880652"/>
    <w:rsid w:val="00881F80"/>
    <w:rsid w:val="0088405E"/>
    <w:rsid w:val="00885FC6"/>
    <w:rsid w:val="00886449"/>
    <w:rsid w:val="0088754B"/>
    <w:rsid w:val="00891AA0"/>
    <w:rsid w:val="0089225A"/>
    <w:rsid w:val="008926EE"/>
    <w:rsid w:val="00894FFE"/>
    <w:rsid w:val="0089558C"/>
    <w:rsid w:val="00896B31"/>
    <w:rsid w:val="008A2756"/>
    <w:rsid w:val="008A42E8"/>
    <w:rsid w:val="008A7409"/>
    <w:rsid w:val="008B1A27"/>
    <w:rsid w:val="008B1E61"/>
    <w:rsid w:val="008B20AE"/>
    <w:rsid w:val="008B3962"/>
    <w:rsid w:val="008B4335"/>
    <w:rsid w:val="008B6A57"/>
    <w:rsid w:val="008C1529"/>
    <w:rsid w:val="008C253E"/>
    <w:rsid w:val="008C4C9C"/>
    <w:rsid w:val="008C4E2A"/>
    <w:rsid w:val="008C76E9"/>
    <w:rsid w:val="008D0AF5"/>
    <w:rsid w:val="008D115C"/>
    <w:rsid w:val="008D168B"/>
    <w:rsid w:val="008D3708"/>
    <w:rsid w:val="008D54FE"/>
    <w:rsid w:val="008D5653"/>
    <w:rsid w:val="008D621E"/>
    <w:rsid w:val="008D6D2A"/>
    <w:rsid w:val="008D73D1"/>
    <w:rsid w:val="008D7C48"/>
    <w:rsid w:val="008D7DF9"/>
    <w:rsid w:val="008E0841"/>
    <w:rsid w:val="008E0AD1"/>
    <w:rsid w:val="008E24C7"/>
    <w:rsid w:val="008E3298"/>
    <w:rsid w:val="008E3308"/>
    <w:rsid w:val="008E33CB"/>
    <w:rsid w:val="008E4680"/>
    <w:rsid w:val="008E67B5"/>
    <w:rsid w:val="008E6CCE"/>
    <w:rsid w:val="008F0291"/>
    <w:rsid w:val="008F0657"/>
    <w:rsid w:val="008F1944"/>
    <w:rsid w:val="008F1DBD"/>
    <w:rsid w:val="008F3581"/>
    <w:rsid w:val="008F3803"/>
    <w:rsid w:val="00900134"/>
    <w:rsid w:val="009033B2"/>
    <w:rsid w:val="00904263"/>
    <w:rsid w:val="00906FD9"/>
    <w:rsid w:val="0090725A"/>
    <w:rsid w:val="00907B5B"/>
    <w:rsid w:val="00910D67"/>
    <w:rsid w:val="009135CB"/>
    <w:rsid w:val="00913E82"/>
    <w:rsid w:val="0091413F"/>
    <w:rsid w:val="0091459A"/>
    <w:rsid w:val="009165E7"/>
    <w:rsid w:val="009172E7"/>
    <w:rsid w:val="00920D31"/>
    <w:rsid w:val="00923B0C"/>
    <w:rsid w:val="00924CD5"/>
    <w:rsid w:val="00926B65"/>
    <w:rsid w:val="00926EE3"/>
    <w:rsid w:val="00927ECF"/>
    <w:rsid w:val="009300FF"/>
    <w:rsid w:val="00931223"/>
    <w:rsid w:val="00931293"/>
    <w:rsid w:val="0093155C"/>
    <w:rsid w:val="009328B0"/>
    <w:rsid w:val="00933C02"/>
    <w:rsid w:val="009344F9"/>
    <w:rsid w:val="009345C8"/>
    <w:rsid w:val="00935FE8"/>
    <w:rsid w:val="00936E67"/>
    <w:rsid w:val="009414D1"/>
    <w:rsid w:val="00945DCB"/>
    <w:rsid w:val="00946CFA"/>
    <w:rsid w:val="00950470"/>
    <w:rsid w:val="00951945"/>
    <w:rsid w:val="00951A5E"/>
    <w:rsid w:val="00951C78"/>
    <w:rsid w:val="00952449"/>
    <w:rsid w:val="0095249E"/>
    <w:rsid w:val="00954DCC"/>
    <w:rsid w:val="009575BD"/>
    <w:rsid w:val="00960534"/>
    <w:rsid w:val="00960861"/>
    <w:rsid w:val="00961584"/>
    <w:rsid w:val="00961714"/>
    <w:rsid w:val="00961FA0"/>
    <w:rsid w:val="00971758"/>
    <w:rsid w:val="009717F1"/>
    <w:rsid w:val="0097261C"/>
    <w:rsid w:val="00973FD7"/>
    <w:rsid w:val="00974CF8"/>
    <w:rsid w:val="00974EE5"/>
    <w:rsid w:val="00976E14"/>
    <w:rsid w:val="0097715D"/>
    <w:rsid w:val="00977A47"/>
    <w:rsid w:val="009827BA"/>
    <w:rsid w:val="009829E0"/>
    <w:rsid w:val="00986E4B"/>
    <w:rsid w:val="0099050C"/>
    <w:rsid w:val="0099090A"/>
    <w:rsid w:val="0099130E"/>
    <w:rsid w:val="00992AC4"/>
    <w:rsid w:val="009932ED"/>
    <w:rsid w:val="0099358E"/>
    <w:rsid w:val="00993E60"/>
    <w:rsid w:val="009956F4"/>
    <w:rsid w:val="00996551"/>
    <w:rsid w:val="00996AB1"/>
    <w:rsid w:val="009A1C3A"/>
    <w:rsid w:val="009A1D51"/>
    <w:rsid w:val="009A1EAC"/>
    <w:rsid w:val="009A2746"/>
    <w:rsid w:val="009A6469"/>
    <w:rsid w:val="009B3A31"/>
    <w:rsid w:val="009B45B9"/>
    <w:rsid w:val="009B5876"/>
    <w:rsid w:val="009B671B"/>
    <w:rsid w:val="009B7E47"/>
    <w:rsid w:val="009C0250"/>
    <w:rsid w:val="009C0367"/>
    <w:rsid w:val="009C087E"/>
    <w:rsid w:val="009C2A59"/>
    <w:rsid w:val="009C2C2A"/>
    <w:rsid w:val="009C2FE1"/>
    <w:rsid w:val="009C78AF"/>
    <w:rsid w:val="009D078B"/>
    <w:rsid w:val="009D0957"/>
    <w:rsid w:val="009D0F67"/>
    <w:rsid w:val="009D29B2"/>
    <w:rsid w:val="009D3199"/>
    <w:rsid w:val="009D3D65"/>
    <w:rsid w:val="009D4A89"/>
    <w:rsid w:val="009D538B"/>
    <w:rsid w:val="009D79D0"/>
    <w:rsid w:val="009D7E78"/>
    <w:rsid w:val="009E08DB"/>
    <w:rsid w:val="009E18CD"/>
    <w:rsid w:val="009E1B58"/>
    <w:rsid w:val="009E1F04"/>
    <w:rsid w:val="009E394D"/>
    <w:rsid w:val="009E4B15"/>
    <w:rsid w:val="009E5494"/>
    <w:rsid w:val="009E72BD"/>
    <w:rsid w:val="009F0FD8"/>
    <w:rsid w:val="009F38A7"/>
    <w:rsid w:val="009F4AAF"/>
    <w:rsid w:val="009F4BDB"/>
    <w:rsid w:val="009F4CB7"/>
    <w:rsid w:val="009F4D2F"/>
    <w:rsid w:val="009F6557"/>
    <w:rsid w:val="009F6BBF"/>
    <w:rsid w:val="009F7084"/>
    <w:rsid w:val="009F715E"/>
    <w:rsid w:val="009F7AA2"/>
    <w:rsid w:val="00A00823"/>
    <w:rsid w:val="00A02926"/>
    <w:rsid w:val="00A032BC"/>
    <w:rsid w:val="00A03B2A"/>
    <w:rsid w:val="00A0556C"/>
    <w:rsid w:val="00A06688"/>
    <w:rsid w:val="00A0671A"/>
    <w:rsid w:val="00A075BB"/>
    <w:rsid w:val="00A07915"/>
    <w:rsid w:val="00A106AE"/>
    <w:rsid w:val="00A10F37"/>
    <w:rsid w:val="00A11248"/>
    <w:rsid w:val="00A13B75"/>
    <w:rsid w:val="00A13EC0"/>
    <w:rsid w:val="00A13F16"/>
    <w:rsid w:val="00A14B4C"/>
    <w:rsid w:val="00A14F55"/>
    <w:rsid w:val="00A15D32"/>
    <w:rsid w:val="00A15F8B"/>
    <w:rsid w:val="00A16387"/>
    <w:rsid w:val="00A16C9C"/>
    <w:rsid w:val="00A17442"/>
    <w:rsid w:val="00A208F3"/>
    <w:rsid w:val="00A20BCC"/>
    <w:rsid w:val="00A221EC"/>
    <w:rsid w:val="00A23636"/>
    <w:rsid w:val="00A26F3B"/>
    <w:rsid w:val="00A27048"/>
    <w:rsid w:val="00A271DE"/>
    <w:rsid w:val="00A31955"/>
    <w:rsid w:val="00A3318E"/>
    <w:rsid w:val="00A34E7C"/>
    <w:rsid w:val="00A3583E"/>
    <w:rsid w:val="00A35C84"/>
    <w:rsid w:val="00A368F6"/>
    <w:rsid w:val="00A3762E"/>
    <w:rsid w:val="00A37C7F"/>
    <w:rsid w:val="00A40579"/>
    <w:rsid w:val="00A411E9"/>
    <w:rsid w:val="00A415F6"/>
    <w:rsid w:val="00A42422"/>
    <w:rsid w:val="00A4265F"/>
    <w:rsid w:val="00A42693"/>
    <w:rsid w:val="00A42BD1"/>
    <w:rsid w:val="00A459E0"/>
    <w:rsid w:val="00A461AA"/>
    <w:rsid w:val="00A4639B"/>
    <w:rsid w:val="00A47EE0"/>
    <w:rsid w:val="00A5180C"/>
    <w:rsid w:val="00A51CCF"/>
    <w:rsid w:val="00A52046"/>
    <w:rsid w:val="00A528D7"/>
    <w:rsid w:val="00A52AF9"/>
    <w:rsid w:val="00A537B6"/>
    <w:rsid w:val="00A553B2"/>
    <w:rsid w:val="00A5611E"/>
    <w:rsid w:val="00A565E9"/>
    <w:rsid w:val="00A57A17"/>
    <w:rsid w:val="00A60E9F"/>
    <w:rsid w:val="00A62F53"/>
    <w:rsid w:val="00A639D8"/>
    <w:rsid w:val="00A640B1"/>
    <w:rsid w:val="00A654E2"/>
    <w:rsid w:val="00A6557C"/>
    <w:rsid w:val="00A6585B"/>
    <w:rsid w:val="00A65E92"/>
    <w:rsid w:val="00A66CF9"/>
    <w:rsid w:val="00A706D7"/>
    <w:rsid w:val="00A72CD6"/>
    <w:rsid w:val="00A76198"/>
    <w:rsid w:val="00A7645C"/>
    <w:rsid w:val="00A76F5E"/>
    <w:rsid w:val="00A80104"/>
    <w:rsid w:val="00A81E1A"/>
    <w:rsid w:val="00A86D54"/>
    <w:rsid w:val="00A92BEA"/>
    <w:rsid w:val="00A94072"/>
    <w:rsid w:val="00A940D5"/>
    <w:rsid w:val="00A94D67"/>
    <w:rsid w:val="00A95154"/>
    <w:rsid w:val="00A961AA"/>
    <w:rsid w:val="00AA085F"/>
    <w:rsid w:val="00AA1ED0"/>
    <w:rsid w:val="00AA1F14"/>
    <w:rsid w:val="00AA27C3"/>
    <w:rsid w:val="00AA3746"/>
    <w:rsid w:val="00AA3904"/>
    <w:rsid w:val="00AA479A"/>
    <w:rsid w:val="00AA58A6"/>
    <w:rsid w:val="00AA59B7"/>
    <w:rsid w:val="00AA5BBE"/>
    <w:rsid w:val="00AA5F25"/>
    <w:rsid w:val="00AA6C64"/>
    <w:rsid w:val="00AA75B9"/>
    <w:rsid w:val="00AA7BCA"/>
    <w:rsid w:val="00AB00F6"/>
    <w:rsid w:val="00AB2354"/>
    <w:rsid w:val="00AB413E"/>
    <w:rsid w:val="00AB622B"/>
    <w:rsid w:val="00AB64D2"/>
    <w:rsid w:val="00AB7132"/>
    <w:rsid w:val="00AB753D"/>
    <w:rsid w:val="00AC0EE9"/>
    <w:rsid w:val="00AC27D1"/>
    <w:rsid w:val="00AC57A1"/>
    <w:rsid w:val="00AC5E47"/>
    <w:rsid w:val="00AC64AF"/>
    <w:rsid w:val="00AC770F"/>
    <w:rsid w:val="00AD0097"/>
    <w:rsid w:val="00AD1FD2"/>
    <w:rsid w:val="00AD2212"/>
    <w:rsid w:val="00AD4A29"/>
    <w:rsid w:val="00AD563F"/>
    <w:rsid w:val="00AD63F4"/>
    <w:rsid w:val="00AE01A9"/>
    <w:rsid w:val="00AE0FD5"/>
    <w:rsid w:val="00AE12BE"/>
    <w:rsid w:val="00AE678A"/>
    <w:rsid w:val="00AF03BB"/>
    <w:rsid w:val="00AF2583"/>
    <w:rsid w:val="00AF38C8"/>
    <w:rsid w:val="00AF39C4"/>
    <w:rsid w:val="00AF468F"/>
    <w:rsid w:val="00AF47B8"/>
    <w:rsid w:val="00AF4B52"/>
    <w:rsid w:val="00AF4C27"/>
    <w:rsid w:val="00AF5DF3"/>
    <w:rsid w:val="00AF6BF4"/>
    <w:rsid w:val="00B008E8"/>
    <w:rsid w:val="00B01760"/>
    <w:rsid w:val="00B0334E"/>
    <w:rsid w:val="00B04210"/>
    <w:rsid w:val="00B04418"/>
    <w:rsid w:val="00B04E17"/>
    <w:rsid w:val="00B05A7D"/>
    <w:rsid w:val="00B06FC1"/>
    <w:rsid w:val="00B07C20"/>
    <w:rsid w:val="00B1084A"/>
    <w:rsid w:val="00B152FC"/>
    <w:rsid w:val="00B17AFE"/>
    <w:rsid w:val="00B2116D"/>
    <w:rsid w:val="00B21290"/>
    <w:rsid w:val="00B230B8"/>
    <w:rsid w:val="00B23BE2"/>
    <w:rsid w:val="00B23D27"/>
    <w:rsid w:val="00B23E76"/>
    <w:rsid w:val="00B2425D"/>
    <w:rsid w:val="00B244D6"/>
    <w:rsid w:val="00B24E20"/>
    <w:rsid w:val="00B255E5"/>
    <w:rsid w:val="00B30AD7"/>
    <w:rsid w:val="00B314D5"/>
    <w:rsid w:val="00B31CE3"/>
    <w:rsid w:val="00B32AE7"/>
    <w:rsid w:val="00B3306C"/>
    <w:rsid w:val="00B3358B"/>
    <w:rsid w:val="00B335F0"/>
    <w:rsid w:val="00B3389D"/>
    <w:rsid w:val="00B33D32"/>
    <w:rsid w:val="00B340F2"/>
    <w:rsid w:val="00B34895"/>
    <w:rsid w:val="00B355FF"/>
    <w:rsid w:val="00B40BB5"/>
    <w:rsid w:val="00B43316"/>
    <w:rsid w:val="00B43757"/>
    <w:rsid w:val="00B443F3"/>
    <w:rsid w:val="00B44795"/>
    <w:rsid w:val="00B46F50"/>
    <w:rsid w:val="00B50CBD"/>
    <w:rsid w:val="00B5141F"/>
    <w:rsid w:val="00B51FEF"/>
    <w:rsid w:val="00B52ABE"/>
    <w:rsid w:val="00B52F98"/>
    <w:rsid w:val="00B52FE1"/>
    <w:rsid w:val="00B536FE"/>
    <w:rsid w:val="00B53EF2"/>
    <w:rsid w:val="00B54F27"/>
    <w:rsid w:val="00B55606"/>
    <w:rsid w:val="00B57228"/>
    <w:rsid w:val="00B605B0"/>
    <w:rsid w:val="00B64960"/>
    <w:rsid w:val="00B67500"/>
    <w:rsid w:val="00B703C6"/>
    <w:rsid w:val="00B70DF9"/>
    <w:rsid w:val="00B7103F"/>
    <w:rsid w:val="00B7122B"/>
    <w:rsid w:val="00B71596"/>
    <w:rsid w:val="00B7181C"/>
    <w:rsid w:val="00B7195D"/>
    <w:rsid w:val="00B72FE7"/>
    <w:rsid w:val="00B73102"/>
    <w:rsid w:val="00B731C6"/>
    <w:rsid w:val="00B73802"/>
    <w:rsid w:val="00B73C81"/>
    <w:rsid w:val="00B73DFB"/>
    <w:rsid w:val="00B74057"/>
    <w:rsid w:val="00B74EE4"/>
    <w:rsid w:val="00B74EFC"/>
    <w:rsid w:val="00B75873"/>
    <w:rsid w:val="00B7591F"/>
    <w:rsid w:val="00B77135"/>
    <w:rsid w:val="00B77237"/>
    <w:rsid w:val="00B77CF5"/>
    <w:rsid w:val="00B80537"/>
    <w:rsid w:val="00B80586"/>
    <w:rsid w:val="00B8383F"/>
    <w:rsid w:val="00B85244"/>
    <w:rsid w:val="00B861AA"/>
    <w:rsid w:val="00B86998"/>
    <w:rsid w:val="00B87F68"/>
    <w:rsid w:val="00B908EE"/>
    <w:rsid w:val="00B90B71"/>
    <w:rsid w:val="00B91574"/>
    <w:rsid w:val="00B9314E"/>
    <w:rsid w:val="00B937F1"/>
    <w:rsid w:val="00B946C9"/>
    <w:rsid w:val="00B95352"/>
    <w:rsid w:val="00B954DD"/>
    <w:rsid w:val="00B96AD7"/>
    <w:rsid w:val="00BA0C6D"/>
    <w:rsid w:val="00BA39DB"/>
    <w:rsid w:val="00BA3ACE"/>
    <w:rsid w:val="00BA47AC"/>
    <w:rsid w:val="00BA4887"/>
    <w:rsid w:val="00BA4C0E"/>
    <w:rsid w:val="00BA541D"/>
    <w:rsid w:val="00BA75B4"/>
    <w:rsid w:val="00BB2034"/>
    <w:rsid w:val="00BB22DF"/>
    <w:rsid w:val="00BB399C"/>
    <w:rsid w:val="00BB444B"/>
    <w:rsid w:val="00BB45AE"/>
    <w:rsid w:val="00BB5408"/>
    <w:rsid w:val="00BB56A6"/>
    <w:rsid w:val="00BB798F"/>
    <w:rsid w:val="00BC2B79"/>
    <w:rsid w:val="00BC4273"/>
    <w:rsid w:val="00BC6705"/>
    <w:rsid w:val="00BC6D06"/>
    <w:rsid w:val="00BC7E42"/>
    <w:rsid w:val="00BD52F1"/>
    <w:rsid w:val="00BD540F"/>
    <w:rsid w:val="00BD56B0"/>
    <w:rsid w:val="00BD6129"/>
    <w:rsid w:val="00BD6F29"/>
    <w:rsid w:val="00BD7A48"/>
    <w:rsid w:val="00BE0D8C"/>
    <w:rsid w:val="00BE1439"/>
    <w:rsid w:val="00BE207E"/>
    <w:rsid w:val="00BE228D"/>
    <w:rsid w:val="00BE3E13"/>
    <w:rsid w:val="00BE5798"/>
    <w:rsid w:val="00BE58A2"/>
    <w:rsid w:val="00BF259A"/>
    <w:rsid w:val="00BF27B2"/>
    <w:rsid w:val="00BF31A0"/>
    <w:rsid w:val="00BF36E4"/>
    <w:rsid w:val="00BF4BF9"/>
    <w:rsid w:val="00BF5537"/>
    <w:rsid w:val="00BF5C23"/>
    <w:rsid w:val="00BF5EA7"/>
    <w:rsid w:val="00BF6248"/>
    <w:rsid w:val="00BF7A39"/>
    <w:rsid w:val="00C005BF"/>
    <w:rsid w:val="00C03048"/>
    <w:rsid w:val="00C039A9"/>
    <w:rsid w:val="00C05BFA"/>
    <w:rsid w:val="00C06274"/>
    <w:rsid w:val="00C0694A"/>
    <w:rsid w:val="00C12487"/>
    <w:rsid w:val="00C156F3"/>
    <w:rsid w:val="00C17D61"/>
    <w:rsid w:val="00C247D0"/>
    <w:rsid w:val="00C252D1"/>
    <w:rsid w:val="00C25DF9"/>
    <w:rsid w:val="00C25F36"/>
    <w:rsid w:val="00C26FF9"/>
    <w:rsid w:val="00C274FB"/>
    <w:rsid w:val="00C30217"/>
    <w:rsid w:val="00C3024A"/>
    <w:rsid w:val="00C30C53"/>
    <w:rsid w:val="00C30ED3"/>
    <w:rsid w:val="00C31389"/>
    <w:rsid w:val="00C31AA3"/>
    <w:rsid w:val="00C32512"/>
    <w:rsid w:val="00C33E3E"/>
    <w:rsid w:val="00C34D31"/>
    <w:rsid w:val="00C34FF3"/>
    <w:rsid w:val="00C361A6"/>
    <w:rsid w:val="00C37EE8"/>
    <w:rsid w:val="00C41F7A"/>
    <w:rsid w:val="00C431D1"/>
    <w:rsid w:val="00C435E1"/>
    <w:rsid w:val="00C43D91"/>
    <w:rsid w:val="00C43E5A"/>
    <w:rsid w:val="00C459F0"/>
    <w:rsid w:val="00C46288"/>
    <w:rsid w:val="00C466B7"/>
    <w:rsid w:val="00C46D03"/>
    <w:rsid w:val="00C5220A"/>
    <w:rsid w:val="00C52C47"/>
    <w:rsid w:val="00C53C62"/>
    <w:rsid w:val="00C5464D"/>
    <w:rsid w:val="00C56B0E"/>
    <w:rsid w:val="00C57F0F"/>
    <w:rsid w:val="00C60C7A"/>
    <w:rsid w:val="00C610A6"/>
    <w:rsid w:val="00C610EF"/>
    <w:rsid w:val="00C61157"/>
    <w:rsid w:val="00C61A3B"/>
    <w:rsid w:val="00C63011"/>
    <w:rsid w:val="00C645FB"/>
    <w:rsid w:val="00C64BA2"/>
    <w:rsid w:val="00C65C91"/>
    <w:rsid w:val="00C65E35"/>
    <w:rsid w:val="00C65FD4"/>
    <w:rsid w:val="00C67147"/>
    <w:rsid w:val="00C7025D"/>
    <w:rsid w:val="00C720C4"/>
    <w:rsid w:val="00C72590"/>
    <w:rsid w:val="00C727E9"/>
    <w:rsid w:val="00C72818"/>
    <w:rsid w:val="00C72ECB"/>
    <w:rsid w:val="00C7403B"/>
    <w:rsid w:val="00C75DF3"/>
    <w:rsid w:val="00C75EE9"/>
    <w:rsid w:val="00C769BE"/>
    <w:rsid w:val="00C76AE3"/>
    <w:rsid w:val="00C76DC4"/>
    <w:rsid w:val="00C7755D"/>
    <w:rsid w:val="00C8074C"/>
    <w:rsid w:val="00C80E57"/>
    <w:rsid w:val="00C818F1"/>
    <w:rsid w:val="00C81A93"/>
    <w:rsid w:val="00C8440F"/>
    <w:rsid w:val="00C84BF5"/>
    <w:rsid w:val="00C90254"/>
    <w:rsid w:val="00C9064B"/>
    <w:rsid w:val="00C91991"/>
    <w:rsid w:val="00C93804"/>
    <w:rsid w:val="00C94552"/>
    <w:rsid w:val="00C95251"/>
    <w:rsid w:val="00C95414"/>
    <w:rsid w:val="00C9568D"/>
    <w:rsid w:val="00C96FDA"/>
    <w:rsid w:val="00C97B54"/>
    <w:rsid w:val="00CA1805"/>
    <w:rsid w:val="00CA2E50"/>
    <w:rsid w:val="00CA3F3E"/>
    <w:rsid w:val="00CA40DF"/>
    <w:rsid w:val="00CB082E"/>
    <w:rsid w:val="00CB2AAC"/>
    <w:rsid w:val="00CB5060"/>
    <w:rsid w:val="00CB5649"/>
    <w:rsid w:val="00CB5D00"/>
    <w:rsid w:val="00CC0458"/>
    <w:rsid w:val="00CC2E51"/>
    <w:rsid w:val="00CC30AB"/>
    <w:rsid w:val="00CC3C01"/>
    <w:rsid w:val="00CD015C"/>
    <w:rsid w:val="00CD1ABF"/>
    <w:rsid w:val="00CD2A22"/>
    <w:rsid w:val="00CD32FD"/>
    <w:rsid w:val="00CD68D6"/>
    <w:rsid w:val="00CD7B89"/>
    <w:rsid w:val="00CE0316"/>
    <w:rsid w:val="00CE069C"/>
    <w:rsid w:val="00CE2DA6"/>
    <w:rsid w:val="00CE31EB"/>
    <w:rsid w:val="00CE3493"/>
    <w:rsid w:val="00CE3AC1"/>
    <w:rsid w:val="00CE4187"/>
    <w:rsid w:val="00CE5B10"/>
    <w:rsid w:val="00CE5D13"/>
    <w:rsid w:val="00CE7790"/>
    <w:rsid w:val="00CE7E48"/>
    <w:rsid w:val="00CF009B"/>
    <w:rsid w:val="00CF196A"/>
    <w:rsid w:val="00CF1D5F"/>
    <w:rsid w:val="00CF2B72"/>
    <w:rsid w:val="00CF3401"/>
    <w:rsid w:val="00CF3C8C"/>
    <w:rsid w:val="00CF4B0F"/>
    <w:rsid w:val="00CF5091"/>
    <w:rsid w:val="00CF5635"/>
    <w:rsid w:val="00CF64A8"/>
    <w:rsid w:val="00CF6B42"/>
    <w:rsid w:val="00D01A02"/>
    <w:rsid w:val="00D0297F"/>
    <w:rsid w:val="00D02F96"/>
    <w:rsid w:val="00D02FB9"/>
    <w:rsid w:val="00D030D7"/>
    <w:rsid w:val="00D04050"/>
    <w:rsid w:val="00D0458A"/>
    <w:rsid w:val="00D060F0"/>
    <w:rsid w:val="00D06B2F"/>
    <w:rsid w:val="00D07BFB"/>
    <w:rsid w:val="00D1034A"/>
    <w:rsid w:val="00D111E2"/>
    <w:rsid w:val="00D11B12"/>
    <w:rsid w:val="00D12144"/>
    <w:rsid w:val="00D12CDC"/>
    <w:rsid w:val="00D143FE"/>
    <w:rsid w:val="00D14D4D"/>
    <w:rsid w:val="00D15830"/>
    <w:rsid w:val="00D169AC"/>
    <w:rsid w:val="00D17205"/>
    <w:rsid w:val="00D174F0"/>
    <w:rsid w:val="00D211CD"/>
    <w:rsid w:val="00D2138C"/>
    <w:rsid w:val="00D219FC"/>
    <w:rsid w:val="00D22D21"/>
    <w:rsid w:val="00D23819"/>
    <w:rsid w:val="00D305F9"/>
    <w:rsid w:val="00D31484"/>
    <w:rsid w:val="00D3343B"/>
    <w:rsid w:val="00D33AF4"/>
    <w:rsid w:val="00D33C1B"/>
    <w:rsid w:val="00D342B1"/>
    <w:rsid w:val="00D34A8A"/>
    <w:rsid w:val="00D35FE2"/>
    <w:rsid w:val="00D3641C"/>
    <w:rsid w:val="00D36B18"/>
    <w:rsid w:val="00D36FC3"/>
    <w:rsid w:val="00D37419"/>
    <w:rsid w:val="00D405A2"/>
    <w:rsid w:val="00D408F2"/>
    <w:rsid w:val="00D42355"/>
    <w:rsid w:val="00D43639"/>
    <w:rsid w:val="00D43CEF"/>
    <w:rsid w:val="00D4572E"/>
    <w:rsid w:val="00D45FA2"/>
    <w:rsid w:val="00D46BB8"/>
    <w:rsid w:val="00D477AD"/>
    <w:rsid w:val="00D47E44"/>
    <w:rsid w:val="00D5195F"/>
    <w:rsid w:val="00D5281C"/>
    <w:rsid w:val="00D52A21"/>
    <w:rsid w:val="00D53667"/>
    <w:rsid w:val="00D53ADB"/>
    <w:rsid w:val="00D53DF8"/>
    <w:rsid w:val="00D555BA"/>
    <w:rsid w:val="00D55ED2"/>
    <w:rsid w:val="00D57245"/>
    <w:rsid w:val="00D575A4"/>
    <w:rsid w:val="00D6258A"/>
    <w:rsid w:val="00D630BB"/>
    <w:rsid w:val="00D6316A"/>
    <w:rsid w:val="00D632FB"/>
    <w:rsid w:val="00D63318"/>
    <w:rsid w:val="00D638F5"/>
    <w:rsid w:val="00D63FAC"/>
    <w:rsid w:val="00D640B7"/>
    <w:rsid w:val="00D642B4"/>
    <w:rsid w:val="00D64DB6"/>
    <w:rsid w:val="00D65131"/>
    <w:rsid w:val="00D67515"/>
    <w:rsid w:val="00D67645"/>
    <w:rsid w:val="00D72627"/>
    <w:rsid w:val="00D72F83"/>
    <w:rsid w:val="00D73ADF"/>
    <w:rsid w:val="00D751DC"/>
    <w:rsid w:val="00D75F78"/>
    <w:rsid w:val="00D760C6"/>
    <w:rsid w:val="00D80B48"/>
    <w:rsid w:val="00D81670"/>
    <w:rsid w:val="00D81FCF"/>
    <w:rsid w:val="00D83C3F"/>
    <w:rsid w:val="00D859F6"/>
    <w:rsid w:val="00D86DCB"/>
    <w:rsid w:val="00D87E4F"/>
    <w:rsid w:val="00D91351"/>
    <w:rsid w:val="00D91A2B"/>
    <w:rsid w:val="00D9298A"/>
    <w:rsid w:val="00D92FB5"/>
    <w:rsid w:val="00D95C68"/>
    <w:rsid w:val="00D96A47"/>
    <w:rsid w:val="00DA1534"/>
    <w:rsid w:val="00DA1593"/>
    <w:rsid w:val="00DA34E5"/>
    <w:rsid w:val="00DA4387"/>
    <w:rsid w:val="00DA5F95"/>
    <w:rsid w:val="00DB131F"/>
    <w:rsid w:val="00DB1ADB"/>
    <w:rsid w:val="00DB1F92"/>
    <w:rsid w:val="00DB21E4"/>
    <w:rsid w:val="00DB2487"/>
    <w:rsid w:val="00DB364A"/>
    <w:rsid w:val="00DB4285"/>
    <w:rsid w:val="00DB44B9"/>
    <w:rsid w:val="00DB4A92"/>
    <w:rsid w:val="00DB4D54"/>
    <w:rsid w:val="00DB6100"/>
    <w:rsid w:val="00DB6DED"/>
    <w:rsid w:val="00DB7201"/>
    <w:rsid w:val="00DB7BC0"/>
    <w:rsid w:val="00DC0561"/>
    <w:rsid w:val="00DC236C"/>
    <w:rsid w:val="00DC6B55"/>
    <w:rsid w:val="00DC75C0"/>
    <w:rsid w:val="00DD1025"/>
    <w:rsid w:val="00DD192B"/>
    <w:rsid w:val="00DD1D24"/>
    <w:rsid w:val="00DD285F"/>
    <w:rsid w:val="00DD391A"/>
    <w:rsid w:val="00DD4E30"/>
    <w:rsid w:val="00DD64B6"/>
    <w:rsid w:val="00DD6742"/>
    <w:rsid w:val="00DD6F0B"/>
    <w:rsid w:val="00DD76E5"/>
    <w:rsid w:val="00DD771C"/>
    <w:rsid w:val="00DE0552"/>
    <w:rsid w:val="00DE1C0A"/>
    <w:rsid w:val="00DE2D5A"/>
    <w:rsid w:val="00DE2DFF"/>
    <w:rsid w:val="00DE5CD8"/>
    <w:rsid w:val="00DE77E8"/>
    <w:rsid w:val="00DF0387"/>
    <w:rsid w:val="00DF0CE6"/>
    <w:rsid w:val="00DF1D4B"/>
    <w:rsid w:val="00DF1FEA"/>
    <w:rsid w:val="00DF2D98"/>
    <w:rsid w:val="00DF3505"/>
    <w:rsid w:val="00DF4558"/>
    <w:rsid w:val="00DF45E3"/>
    <w:rsid w:val="00DF5D05"/>
    <w:rsid w:val="00DF616D"/>
    <w:rsid w:val="00DF64B3"/>
    <w:rsid w:val="00DF71BD"/>
    <w:rsid w:val="00DF7BE7"/>
    <w:rsid w:val="00E00146"/>
    <w:rsid w:val="00E00221"/>
    <w:rsid w:val="00E022AA"/>
    <w:rsid w:val="00E06EB0"/>
    <w:rsid w:val="00E07193"/>
    <w:rsid w:val="00E10B40"/>
    <w:rsid w:val="00E11C89"/>
    <w:rsid w:val="00E12676"/>
    <w:rsid w:val="00E13070"/>
    <w:rsid w:val="00E15800"/>
    <w:rsid w:val="00E165C7"/>
    <w:rsid w:val="00E21958"/>
    <w:rsid w:val="00E220C3"/>
    <w:rsid w:val="00E22A82"/>
    <w:rsid w:val="00E22B5B"/>
    <w:rsid w:val="00E22C34"/>
    <w:rsid w:val="00E2320A"/>
    <w:rsid w:val="00E26446"/>
    <w:rsid w:val="00E27C42"/>
    <w:rsid w:val="00E27F18"/>
    <w:rsid w:val="00E32817"/>
    <w:rsid w:val="00E32968"/>
    <w:rsid w:val="00E35604"/>
    <w:rsid w:val="00E42BC5"/>
    <w:rsid w:val="00E42D76"/>
    <w:rsid w:val="00E516D2"/>
    <w:rsid w:val="00E51BFE"/>
    <w:rsid w:val="00E53DCF"/>
    <w:rsid w:val="00E550D2"/>
    <w:rsid w:val="00E56050"/>
    <w:rsid w:val="00E57C59"/>
    <w:rsid w:val="00E61954"/>
    <w:rsid w:val="00E623C9"/>
    <w:rsid w:val="00E62563"/>
    <w:rsid w:val="00E64DAD"/>
    <w:rsid w:val="00E654ED"/>
    <w:rsid w:val="00E6602D"/>
    <w:rsid w:val="00E67228"/>
    <w:rsid w:val="00E67241"/>
    <w:rsid w:val="00E67965"/>
    <w:rsid w:val="00E67C96"/>
    <w:rsid w:val="00E71709"/>
    <w:rsid w:val="00E761B3"/>
    <w:rsid w:val="00E805E5"/>
    <w:rsid w:val="00E8081D"/>
    <w:rsid w:val="00E80B68"/>
    <w:rsid w:val="00E81C0D"/>
    <w:rsid w:val="00E81F69"/>
    <w:rsid w:val="00E8204B"/>
    <w:rsid w:val="00E82533"/>
    <w:rsid w:val="00E83AA9"/>
    <w:rsid w:val="00E83DAD"/>
    <w:rsid w:val="00E86485"/>
    <w:rsid w:val="00E9060B"/>
    <w:rsid w:val="00E90C96"/>
    <w:rsid w:val="00E940D8"/>
    <w:rsid w:val="00E94B17"/>
    <w:rsid w:val="00E96FAE"/>
    <w:rsid w:val="00E97218"/>
    <w:rsid w:val="00E974B5"/>
    <w:rsid w:val="00EA3565"/>
    <w:rsid w:val="00EA45AB"/>
    <w:rsid w:val="00EA7146"/>
    <w:rsid w:val="00EA7D96"/>
    <w:rsid w:val="00EA7E13"/>
    <w:rsid w:val="00EA7F6F"/>
    <w:rsid w:val="00EA7F72"/>
    <w:rsid w:val="00EB023A"/>
    <w:rsid w:val="00EB0C85"/>
    <w:rsid w:val="00EB2BC3"/>
    <w:rsid w:val="00EB3CB9"/>
    <w:rsid w:val="00EB3F49"/>
    <w:rsid w:val="00EB3F5E"/>
    <w:rsid w:val="00EB441B"/>
    <w:rsid w:val="00EB49FE"/>
    <w:rsid w:val="00EB5494"/>
    <w:rsid w:val="00EB594C"/>
    <w:rsid w:val="00EB7A71"/>
    <w:rsid w:val="00EC21CD"/>
    <w:rsid w:val="00EC273C"/>
    <w:rsid w:val="00EC27DC"/>
    <w:rsid w:val="00EC3B34"/>
    <w:rsid w:val="00EC4345"/>
    <w:rsid w:val="00EC4C4A"/>
    <w:rsid w:val="00EC7292"/>
    <w:rsid w:val="00ED112E"/>
    <w:rsid w:val="00ED1B56"/>
    <w:rsid w:val="00ED2419"/>
    <w:rsid w:val="00ED2F0C"/>
    <w:rsid w:val="00ED5DD7"/>
    <w:rsid w:val="00ED702B"/>
    <w:rsid w:val="00ED7502"/>
    <w:rsid w:val="00ED7D00"/>
    <w:rsid w:val="00ED7FD6"/>
    <w:rsid w:val="00EE4DDC"/>
    <w:rsid w:val="00EE53BD"/>
    <w:rsid w:val="00EE5860"/>
    <w:rsid w:val="00EE5AE1"/>
    <w:rsid w:val="00EE7897"/>
    <w:rsid w:val="00EE7D99"/>
    <w:rsid w:val="00EF02B2"/>
    <w:rsid w:val="00EF1FB3"/>
    <w:rsid w:val="00EF207A"/>
    <w:rsid w:val="00EF2480"/>
    <w:rsid w:val="00EF3173"/>
    <w:rsid w:val="00F03E58"/>
    <w:rsid w:val="00F042C9"/>
    <w:rsid w:val="00F04C97"/>
    <w:rsid w:val="00F051F7"/>
    <w:rsid w:val="00F0568A"/>
    <w:rsid w:val="00F057C1"/>
    <w:rsid w:val="00F119A0"/>
    <w:rsid w:val="00F11EAB"/>
    <w:rsid w:val="00F123D7"/>
    <w:rsid w:val="00F12C4E"/>
    <w:rsid w:val="00F133DF"/>
    <w:rsid w:val="00F16B27"/>
    <w:rsid w:val="00F1735A"/>
    <w:rsid w:val="00F2086E"/>
    <w:rsid w:val="00F236B5"/>
    <w:rsid w:val="00F23BE4"/>
    <w:rsid w:val="00F251DE"/>
    <w:rsid w:val="00F25E8B"/>
    <w:rsid w:val="00F26285"/>
    <w:rsid w:val="00F31F3D"/>
    <w:rsid w:val="00F32660"/>
    <w:rsid w:val="00F32EE0"/>
    <w:rsid w:val="00F34E69"/>
    <w:rsid w:val="00F34FB7"/>
    <w:rsid w:val="00F35B3D"/>
    <w:rsid w:val="00F36F45"/>
    <w:rsid w:val="00F3721D"/>
    <w:rsid w:val="00F37DA4"/>
    <w:rsid w:val="00F409C0"/>
    <w:rsid w:val="00F417B6"/>
    <w:rsid w:val="00F417EE"/>
    <w:rsid w:val="00F41DBF"/>
    <w:rsid w:val="00F43261"/>
    <w:rsid w:val="00F44173"/>
    <w:rsid w:val="00F47291"/>
    <w:rsid w:val="00F47647"/>
    <w:rsid w:val="00F47D2A"/>
    <w:rsid w:val="00F5068B"/>
    <w:rsid w:val="00F507D1"/>
    <w:rsid w:val="00F5111C"/>
    <w:rsid w:val="00F51F54"/>
    <w:rsid w:val="00F53598"/>
    <w:rsid w:val="00F53B40"/>
    <w:rsid w:val="00F54CF4"/>
    <w:rsid w:val="00F55609"/>
    <w:rsid w:val="00F55E9E"/>
    <w:rsid w:val="00F56113"/>
    <w:rsid w:val="00F57244"/>
    <w:rsid w:val="00F575C1"/>
    <w:rsid w:val="00F575E0"/>
    <w:rsid w:val="00F578E9"/>
    <w:rsid w:val="00F57A0D"/>
    <w:rsid w:val="00F57A6D"/>
    <w:rsid w:val="00F606EB"/>
    <w:rsid w:val="00F6294E"/>
    <w:rsid w:val="00F63263"/>
    <w:rsid w:val="00F63800"/>
    <w:rsid w:val="00F644E8"/>
    <w:rsid w:val="00F65EF2"/>
    <w:rsid w:val="00F6664F"/>
    <w:rsid w:val="00F66661"/>
    <w:rsid w:val="00F66AAE"/>
    <w:rsid w:val="00F67100"/>
    <w:rsid w:val="00F67A3B"/>
    <w:rsid w:val="00F70066"/>
    <w:rsid w:val="00F70276"/>
    <w:rsid w:val="00F70D14"/>
    <w:rsid w:val="00F71400"/>
    <w:rsid w:val="00F73917"/>
    <w:rsid w:val="00F766F7"/>
    <w:rsid w:val="00F80B2B"/>
    <w:rsid w:val="00F80BBE"/>
    <w:rsid w:val="00F80F21"/>
    <w:rsid w:val="00F81472"/>
    <w:rsid w:val="00F815DB"/>
    <w:rsid w:val="00F81AF1"/>
    <w:rsid w:val="00F81B1E"/>
    <w:rsid w:val="00F822B6"/>
    <w:rsid w:val="00F87EAE"/>
    <w:rsid w:val="00F90556"/>
    <w:rsid w:val="00F9246C"/>
    <w:rsid w:val="00F924FD"/>
    <w:rsid w:val="00F93ABD"/>
    <w:rsid w:val="00F94E82"/>
    <w:rsid w:val="00F95609"/>
    <w:rsid w:val="00F968BE"/>
    <w:rsid w:val="00FA0736"/>
    <w:rsid w:val="00FA7C6B"/>
    <w:rsid w:val="00FB0C83"/>
    <w:rsid w:val="00FB2E16"/>
    <w:rsid w:val="00FB3260"/>
    <w:rsid w:val="00FB3926"/>
    <w:rsid w:val="00FB3E79"/>
    <w:rsid w:val="00FB4484"/>
    <w:rsid w:val="00FB50D4"/>
    <w:rsid w:val="00FB526D"/>
    <w:rsid w:val="00FB57BE"/>
    <w:rsid w:val="00FB5F25"/>
    <w:rsid w:val="00FB778F"/>
    <w:rsid w:val="00FB782D"/>
    <w:rsid w:val="00FC03D1"/>
    <w:rsid w:val="00FC0BEB"/>
    <w:rsid w:val="00FC1800"/>
    <w:rsid w:val="00FC3A11"/>
    <w:rsid w:val="00FC619A"/>
    <w:rsid w:val="00FC696E"/>
    <w:rsid w:val="00FC6E8A"/>
    <w:rsid w:val="00FC717B"/>
    <w:rsid w:val="00FC7AA7"/>
    <w:rsid w:val="00FC7D54"/>
    <w:rsid w:val="00FD0042"/>
    <w:rsid w:val="00FD1655"/>
    <w:rsid w:val="00FD1D80"/>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C78"/>
    <w:rsid w:val="00FE03A5"/>
    <w:rsid w:val="00FE057E"/>
    <w:rsid w:val="00FE0FC1"/>
    <w:rsid w:val="00FE17B5"/>
    <w:rsid w:val="00FE289B"/>
    <w:rsid w:val="00FE4BCB"/>
    <w:rsid w:val="00FE5563"/>
    <w:rsid w:val="00FE7D72"/>
    <w:rsid w:val="00FF0BE2"/>
    <w:rsid w:val="00FF0FB0"/>
    <w:rsid w:val="00FF0FFD"/>
    <w:rsid w:val="00FF1807"/>
    <w:rsid w:val="00FF302D"/>
    <w:rsid w:val="00FF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pia/cdc-pia-summary-fy12q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hhs.gov/pia/cdc-pia-summary-fy12q4.pdf" TargetMode="External"/><Relationship Id="rId17" Type="http://schemas.openxmlformats.org/officeDocument/2006/relationships/hyperlink" Target="http://www.cdc.gov/mmwr/mmwr_nd/index.html" TargetMode="External"/><Relationship Id="rId2" Type="http://schemas.openxmlformats.org/officeDocument/2006/relationships/numbering" Target="numbering.xml"/><Relationship Id="rId16" Type="http://schemas.openxmlformats.org/officeDocument/2006/relationships/hyperlink" Target="http://www.cdc.gov/mmwr/mmwr_wk/wk_cvol.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fedreg/final_information_quality_guidelines.html/" TargetMode="External"/><Relationship Id="rId5" Type="http://schemas.openxmlformats.org/officeDocument/2006/relationships/settings" Target="settings.xml"/><Relationship Id="rId15" Type="http://schemas.openxmlformats.org/officeDocument/2006/relationships/hyperlink" Target="http://wonder.cdc.gov/mmwr/mmwrmorb.asp" TargetMode="External"/><Relationship Id="rId23" Type="http://schemas.openxmlformats.org/officeDocument/2006/relationships/theme" Target="theme/theme1.xml"/><Relationship Id="rId10" Type="http://schemas.openxmlformats.org/officeDocument/2006/relationships/hyperlink" Target="http://wonder.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jc5@cdc.gov" TargetMode="External"/><Relationship Id="rId14" Type="http://schemas.openxmlformats.org/officeDocument/2006/relationships/hyperlink" Target="http://wonder.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59AF-850D-4FCA-A097-F7237BAA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7468</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49937</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CDC User</dc:creator>
  <cp:lastModifiedBy>CDC User</cp:lastModifiedBy>
  <cp:revision>6</cp:revision>
  <cp:lastPrinted>2013-11-08T15:06:00Z</cp:lastPrinted>
  <dcterms:created xsi:type="dcterms:W3CDTF">2013-11-19T17:19:00Z</dcterms:created>
  <dcterms:modified xsi:type="dcterms:W3CDTF">2013-11-20T17:17:00Z</dcterms:modified>
</cp:coreProperties>
</file>