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46" w:rsidRDefault="00811D46" w:rsidP="00811D46">
      <w:pPr>
        <w:jc w:val="center"/>
      </w:pPr>
      <w:r>
        <w:t>Health Message Testing System, OMB No. 0920-0572, exp. 2/28/2015</w:t>
      </w:r>
    </w:p>
    <w:p w:rsidR="00DD49A5" w:rsidRDefault="005B2152" w:rsidP="005B2152">
      <w:pPr>
        <w:jc w:val="center"/>
      </w:pPr>
      <w:r>
        <w:t>Change Request</w:t>
      </w:r>
    </w:p>
    <w:p w:rsidR="00811D46" w:rsidRDefault="00811D46" w:rsidP="005B2152">
      <w:pPr>
        <w:jc w:val="center"/>
      </w:pPr>
      <w:r>
        <w:t>(Request for minor increase in burden hours to accommodate an immediate need)</w:t>
      </w:r>
    </w:p>
    <w:p w:rsidR="005B2152" w:rsidRDefault="009D203A" w:rsidP="005B2152">
      <w:pPr>
        <w:jc w:val="center"/>
      </w:pPr>
      <w:r>
        <w:t>December 30</w:t>
      </w:r>
      <w:r w:rsidR="005B2152">
        <w:t>, 2014</w:t>
      </w:r>
    </w:p>
    <w:p w:rsidR="005B2152" w:rsidRDefault="005B2152" w:rsidP="005B2152">
      <w:pPr>
        <w:spacing w:line="240" w:lineRule="auto"/>
      </w:pPr>
    </w:p>
    <w:p w:rsidR="0055662A" w:rsidRDefault="005B2152" w:rsidP="005B2152">
      <w:pPr>
        <w:spacing w:line="240" w:lineRule="auto"/>
      </w:pPr>
      <w:r>
        <w:t>The Health Message Testing S</w:t>
      </w:r>
      <w:r w:rsidR="0055662A">
        <w:t xml:space="preserve">ystem (HMTS) is a </w:t>
      </w:r>
      <w:r>
        <w:t>generic clearance managed by CDC’s Office of</w:t>
      </w:r>
      <w:r w:rsidR="0055662A">
        <w:t xml:space="preserve"> the</w:t>
      </w:r>
      <w:r>
        <w:t xml:space="preserve"> Associate Director for Communication (OADC)</w:t>
      </w:r>
      <w:r w:rsidR="00804909">
        <w:t>.  OADC</w:t>
      </w:r>
      <w:r w:rsidR="00034A5C">
        <w:t xml:space="preserve"> supports the HMTS as</w:t>
      </w:r>
      <w:r w:rsidR="009D203A">
        <w:t xml:space="preserve"> a shared resource for CDC programs.  The HMTS</w:t>
      </w:r>
      <w:r w:rsidR="00804909">
        <w:t xml:space="preserve"> </w:t>
      </w:r>
      <w:r w:rsidR="009D203A">
        <w:t>provides a clearance mechanism for</w:t>
      </w:r>
      <w:r w:rsidR="00804909">
        <w:t xml:space="preserve"> multiple</w:t>
      </w:r>
      <w:r w:rsidR="00BE023D">
        <w:t xml:space="preserve"> </w:t>
      </w:r>
      <w:r w:rsidR="00034A5C">
        <w:t xml:space="preserve">CDC </w:t>
      </w:r>
      <w:r>
        <w:t xml:space="preserve">programs </w:t>
      </w:r>
      <w:r w:rsidR="009D203A">
        <w:t xml:space="preserve">that need to collect </w:t>
      </w:r>
      <w:r>
        <w:t xml:space="preserve">information </w:t>
      </w:r>
      <w:r w:rsidR="009D203A">
        <w:t>for refining health message concepts and</w:t>
      </w:r>
      <w:r>
        <w:t xml:space="preserve"> test</w:t>
      </w:r>
      <w:r w:rsidR="009D203A">
        <w:t>ing</w:t>
      </w:r>
      <w:r>
        <w:t xml:space="preserve"> draft materials for clarity, salience, appeal, and persuasiveness to target </w:t>
      </w:r>
      <w:r w:rsidR="0055662A">
        <w:t>audiences.</w:t>
      </w:r>
    </w:p>
    <w:p w:rsidR="005B2152" w:rsidRDefault="0055662A" w:rsidP="005B2152">
      <w:pPr>
        <w:spacing w:line="240" w:lineRule="auto"/>
      </w:pPr>
      <w:r>
        <w:t xml:space="preserve">On November 21, 2014, CDC published a 60-day Notice in the Federal Register announcing plans to extend the HMTS for </w:t>
      </w:r>
      <w:r w:rsidR="009D203A">
        <w:t>three years</w:t>
      </w:r>
      <w:r>
        <w:t xml:space="preserve">.  CDC anticipates that the Extension ICR will be submitted to OMB in late January 2015, for review and approval in the </w:t>
      </w:r>
      <w:r w:rsidR="004C36AA">
        <w:t xml:space="preserve">late </w:t>
      </w:r>
      <w:bookmarkStart w:id="0" w:name="_GoBack"/>
      <w:bookmarkEnd w:id="0"/>
      <w:r>
        <w:t>February/March 2015 time frame.</w:t>
      </w:r>
    </w:p>
    <w:p w:rsidR="00594B86" w:rsidRDefault="00811D46" w:rsidP="00594B86">
      <w:pPr>
        <w:spacing w:line="240" w:lineRule="auto"/>
      </w:pPr>
      <w:r>
        <w:t xml:space="preserve">CDC would like to process a GenIC for information collection scheduled to occur in January-February 2015 (i.e., before the Extension ICR can be processed).  The </w:t>
      </w:r>
      <w:r w:rsidR="00754CF7">
        <w:t xml:space="preserve">number of responses </w:t>
      </w:r>
      <w:r w:rsidR="00F816DC">
        <w:t xml:space="preserve">available </w:t>
      </w:r>
      <w:r w:rsidR="00754CF7">
        <w:t xml:space="preserve">in the current HMTS inventory is sufficient to process the </w:t>
      </w:r>
      <w:proofErr w:type="gramStart"/>
      <w:r w:rsidR="00754CF7">
        <w:t>GenIC,</w:t>
      </w:r>
      <w:proofErr w:type="gramEnd"/>
      <w:r w:rsidR="00754CF7">
        <w:t xml:space="preserve"> however, the </w:t>
      </w:r>
      <w:r>
        <w:t>number of burden hours is in</w:t>
      </w:r>
      <w:r w:rsidR="00754CF7">
        <w:t>sufficient</w:t>
      </w:r>
      <w:r>
        <w:t>.</w:t>
      </w:r>
      <w:r w:rsidR="00594B86" w:rsidRPr="00594B86">
        <w:t xml:space="preserve"> </w:t>
      </w:r>
    </w:p>
    <w:p w:rsidR="00811D46" w:rsidRDefault="00594B86" w:rsidP="005B2152">
      <w:pPr>
        <w:spacing w:line="240" w:lineRule="auto"/>
      </w:pPr>
      <w:r>
        <w:t xml:space="preserve">CDC requests a minor adjustment (increase) </w:t>
      </w:r>
      <w:r w:rsidR="00BF4718">
        <w:t xml:space="preserve">in the number of burden </w:t>
      </w:r>
      <w:r>
        <w:t xml:space="preserve">hours </w:t>
      </w:r>
      <w:r w:rsidR="00BF4718">
        <w:t xml:space="preserve">currently </w:t>
      </w:r>
      <w:r>
        <w:t xml:space="preserve">allocated to the HMTS.  </w:t>
      </w:r>
      <w:r w:rsidR="00BE023D">
        <w:t>M</w:t>
      </w:r>
      <w:r>
        <w:t xml:space="preserve">inor adjustments </w:t>
      </w:r>
      <w:r w:rsidR="00BE023D">
        <w:t xml:space="preserve">to a generic clearance </w:t>
      </w:r>
      <w:r>
        <w:t xml:space="preserve">are sometimes needed due to </w:t>
      </w:r>
      <w:r w:rsidR="00BE023D">
        <w:t xml:space="preserve">the </w:t>
      </w:r>
      <w:r w:rsidR="00BF4718">
        <w:t xml:space="preserve">complexity of estimating </w:t>
      </w:r>
      <w:r w:rsidR="00BE023D">
        <w:t xml:space="preserve">demand for </w:t>
      </w:r>
      <w:r w:rsidR="00804909">
        <w:t>a shared resource</w:t>
      </w:r>
      <w:r w:rsidR="009D203A">
        <w:t xml:space="preserve"> over a multi</w:t>
      </w:r>
      <w:r w:rsidR="00BE023D">
        <w:t xml:space="preserve">-year </w:t>
      </w:r>
      <w:r w:rsidR="009D203A">
        <w:t xml:space="preserve">clearance </w:t>
      </w:r>
      <w:r w:rsidR="00BE023D">
        <w:t xml:space="preserve">period.  The requested </w:t>
      </w:r>
      <w:r>
        <w:t xml:space="preserve">adjustment will allow immediate processing of a GenIC and facilitate information collection </w:t>
      </w:r>
      <w:r w:rsidR="00804909">
        <w:t xml:space="preserve">as </w:t>
      </w:r>
      <w:r>
        <w:t>scheduled in January-February 2015.</w:t>
      </w:r>
    </w:p>
    <w:p w:rsidR="00397A7A" w:rsidRDefault="00397A7A" w:rsidP="005B2152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710"/>
        <w:gridCol w:w="1890"/>
      </w:tblGrid>
      <w:tr w:rsidR="00754CF7" w:rsidTr="00754CF7">
        <w:tc>
          <w:tcPr>
            <w:tcW w:w="5958" w:type="dxa"/>
          </w:tcPr>
          <w:p w:rsidR="00754CF7" w:rsidRDefault="00754CF7" w:rsidP="005B2152"/>
        </w:tc>
        <w:tc>
          <w:tcPr>
            <w:tcW w:w="1710" w:type="dxa"/>
          </w:tcPr>
          <w:p w:rsidR="00754CF7" w:rsidRDefault="00754CF7" w:rsidP="005B2152">
            <w:r>
              <w:t>No. Responses</w:t>
            </w:r>
          </w:p>
        </w:tc>
        <w:tc>
          <w:tcPr>
            <w:tcW w:w="1890" w:type="dxa"/>
          </w:tcPr>
          <w:p w:rsidR="00754CF7" w:rsidRDefault="00754CF7" w:rsidP="005B2152">
            <w:r>
              <w:t>No. Burden Hours</w:t>
            </w:r>
          </w:p>
        </w:tc>
      </w:tr>
      <w:tr w:rsidR="00754CF7" w:rsidTr="00754CF7">
        <w:tc>
          <w:tcPr>
            <w:tcW w:w="5958" w:type="dxa"/>
          </w:tcPr>
          <w:p w:rsidR="00754CF7" w:rsidRDefault="00754CF7" w:rsidP="005B2152">
            <w:r>
              <w:t xml:space="preserve">Total approved for February 29, 2012 – February 28, 2015 </w:t>
            </w:r>
          </w:p>
        </w:tc>
        <w:tc>
          <w:tcPr>
            <w:tcW w:w="1710" w:type="dxa"/>
          </w:tcPr>
          <w:p w:rsidR="00754CF7" w:rsidRDefault="00754CF7" w:rsidP="00754CF7">
            <w:pPr>
              <w:jc w:val="center"/>
            </w:pPr>
            <w:r>
              <w:t>55,575</w:t>
            </w:r>
          </w:p>
        </w:tc>
        <w:tc>
          <w:tcPr>
            <w:tcW w:w="1890" w:type="dxa"/>
          </w:tcPr>
          <w:p w:rsidR="00754CF7" w:rsidRDefault="00754CF7" w:rsidP="00754CF7">
            <w:pPr>
              <w:jc w:val="center"/>
            </w:pPr>
            <w:r>
              <w:t>7,410</w:t>
            </w:r>
          </w:p>
        </w:tc>
      </w:tr>
      <w:tr w:rsidR="00754CF7" w:rsidTr="00754CF7">
        <w:tc>
          <w:tcPr>
            <w:tcW w:w="5958" w:type="dxa"/>
          </w:tcPr>
          <w:p w:rsidR="00754CF7" w:rsidRDefault="00754CF7" w:rsidP="005B2152">
            <w:r>
              <w:t>Used from February 29, 2012 – December 9, 2014</w:t>
            </w:r>
          </w:p>
        </w:tc>
        <w:tc>
          <w:tcPr>
            <w:tcW w:w="1710" w:type="dxa"/>
          </w:tcPr>
          <w:p w:rsidR="00754CF7" w:rsidRDefault="00754CF7" w:rsidP="00754CF7">
            <w:pPr>
              <w:jc w:val="center"/>
            </w:pPr>
            <w:r>
              <w:t>13,252</w:t>
            </w:r>
          </w:p>
        </w:tc>
        <w:tc>
          <w:tcPr>
            <w:tcW w:w="1890" w:type="dxa"/>
          </w:tcPr>
          <w:p w:rsidR="00754CF7" w:rsidRDefault="00754CF7" w:rsidP="00754CF7">
            <w:pPr>
              <w:jc w:val="center"/>
            </w:pPr>
            <w:r>
              <w:t>5,926</w:t>
            </w:r>
          </w:p>
        </w:tc>
      </w:tr>
      <w:tr w:rsidR="00754CF7" w:rsidTr="00754CF7">
        <w:tc>
          <w:tcPr>
            <w:tcW w:w="5958" w:type="dxa"/>
          </w:tcPr>
          <w:p w:rsidR="00754CF7" w:rsidRDefault="00754CF7" w:rsidP="005B2152">
            <w:r>
              <w:t>Available in HMTS inventory as of December 10, 2014</w:t>
            </w:r>
          </w:p>
        </w:tc>
        <w:tc>
          <w:tcPr>
            <w:tcW w:w="1710" w:type="dxa"/>
          </w:tcPr>
          <w:p w:rsidR="00754CF7" w:rsidRDefault="00754CF7" w:rsidP="00754CF7">
            <w:pPr>
              <w:jc w:val="center"/>
            </w:pPr>
            <w:r>
              <w:t>42,323</w:t>
            </w:r>
          </w:p>
        </w:tc>
        <w:tc>
          <w:tcPr>
            <w:tcW w:w="1890" w:type="dxa"/>
          </w:tcPr>
          <w:p w:rsidR="00754CF7" w:rsidRDefault="00754CF7" w:rsidP="00754CF7">
            <w:pPr>
              <w:jc w:val="center"/>
            </w:pPr>
            <w:r>
              <w:t>1,484</w:t>
            </w:r>
          </w:p>
        </w:tc>
      </w:tr>
      <w:tr w:rsidR="00754CF7" w:rsidTr="00754CF7">
        <w:tc>
          <w:tcPr>
            <w:tcW w:w="5958" w:type="dxa"/>
          </w:tcPr>
          <w:p w:rsidR="00754CF7" w:rsidRDefault="00754CF7" w:rsidP="005B2152">
            <w:r>
              <w:t>Pending GenIC:  Information collection scheduled to occur in January-February 2015</w:t>
            </w:r>
          </w:p>
        </w:tc>
        <w:tc>
          <w:tcPr>
            <w:tcW w:w="1710" w:type="dxa"/>
          </w:tcPr>
          <w:p w:rsidR="00754CF7" w:rsidRDefault="00754CF7" w:rsidP="00754CF7">
            <w:pPr>
              <w:jc w:val="center"/>
            </w:pPr>
            <w:r>
              <w:t>3,800</w:t>
            </w:r>
          </w:p>
        </w:tc>
        <w:tc>
          <w:tcPr>
            <w:tcW w:w="1890" w:type="dxa"/>
          </w:tcPr>
          <w:p w:rsidR="00754CF7" w:rsidRDefault="00754CF7" w:rsidP="00754CF7">
            <w:pPr>
              <w:jc w:val="center"/>
            </w:pPr>
            <w:r>
              <w:t>1,585</w:t>
            </w:r>
          </w:p>
        </w:tc>
      </w:tr>
      <w:tr w:rsidR="00754CF7" w:rsidTr="00754CF7">
        <w:tc>
          <w:tcPr>
            <w:tcW w:w="5958" w:type="dxa"/>
          </w:tcPr>
          <w:p w:rsidR="00754CF7" w:rsidRDefault="00754CF7" w:rsidP="005B2152">
            <w:r>
              <w:t>Adjustment needed to accommodate the Pending GenIC</w:t>
            </w:r>
          </w:p>
        </w:tc>
        <w:tc>
          <w:tcPr>
            <w:tcW w:w="1710" w:type="dxa"/>
          </w:tcPr>
          <w:p w:rsidR="00754CF7" w:rsidRDefault="00F816DC" w:rsidP="00754CF7">
            <w:pPr>
              <w:jc w:val="center"/>
            </w:pPr>
            <w:r>
              <w:t>N/A</w:t>
            </w:r>
          </w:p>
        </w:tc>
        <w:tc>
          <w:tcPr>
            <w:tcW w:w="1890" w:type="dxa"/>
          </w:tcPr>
          <w:p w:rsidR="00754CF7" w:rsidRDefault="00754CF7" w:rsidP="00754CF7">
            <w:pPr>
              <w:jc w:val="center"/>
            </w:pPr>
            <w:r>
              <w:t>+100</w:t>
            </w:r>
          </w:p>
        </w:tc>
      </w:tr>
    </w:tbl>
    <w:p w:rsidR="00811D46" w:rsidRDefault="00811D46" w:rsidP="005B2152">
      <w:pPr>
        <w:spacing w:line="240" w:lineRule="auto"/>
      </w:pPr>
    </w:p>
    <w:p w:rsidR="00811D46" w:rsidRDefault="009D203A" w:rsidP="005B2152">
      <w:pPr>
        <w:spacing w:line="240" w:lineRule="auto"/>
      </w:pPr>
      <w:r>
        <w:t xml:space="preserve">Without this adjustment, </w:t>
      </w:r>
      <w:r w:rsidR="00594B86">
        <w:t xml:space="preserve">progress </w:t>
      </w:r>
      <w:r>
        <w:t xml:space="preserve">on a pending project </w:t>
      </w:r>
      <w:r w:rsidR="00594B86">
        <w:t>will be delayed and the HMTS will have unused capacity of 1,484 hours</w:t>
      </w:r>
      <w:r>
        <w:t xml:space="preserve"> for the period of </w:t>
      </w:r>
      <w:r>
        <w:t>February 29, 2012 – February 28, 2015</w:t>
      </w:r>
      <w:r w:rsidR="00594B86">
        <w:t>.</w:t>
      </w:r>
    </w:p>
    <w:p w:rsidR="009D203A" w:rsidRDefault="009D203A" w:rsidP="005B2152">
      <w:pPr>
        <w:spacing w:line="240" w:lineRule="auto"/>
      </w:pPr>
      <w:r>
        <w:t>OMB approval of the 100 hour adjustment is requested, effective immediately.</w:t>
      </w:r>
    </w:p>
    <w:p w:rsidR="0055662A" w:rsidRDefault="0055662A" w:rsidP="005B2152">
      <w:pPr>
        <w:spacing w:line="240" w:lineRule="auto"/>
      </w:pPr>
    </w:p>
    <w:p w:rsidR="0055662A" w:rsidRDefault="0055662A" w:rsidP="005B2152">
      <w:pPr>
        <w:spacing w:line="240" w:lineRule="auto"/>
      </w:pPr>
    </w:p>
    <w:p w:rsidR="005B2152" w:rsidRDefault="005B2152" w:rsidP="005B2152">
      <w:pPr>
        <w:spacing w:line="240" w:lineRule="auto"/>
      </w:pPr>
    </w:p>
    <w:sectPr w:rsidR="005B2152" w:rsidSect="0033119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A1"/>
    <w:rsid w:val="00034A5C"/>
    <w:rsid w:val="0033119F"/>
    <w:rsid w:val="00397A7A"/>
    <w:rsid w:val="004C36AA"/>
    <w:rsid w:val="0055662A"/>
    <w:rsid w:val="00594B86"/>
    <w:rsid w:val="005B2152"/>
    <w:rsid w:val="00754CF7"/>
    <w:rsid w:val="00804909"/>
    <w:rsid w:val="00811D46"/>
    <w:rsid w:val="009608A1"/>
    <w:rsid w:val="009D203A"/>
    <w:rsid w:val="009E69FE"/>
    <w:rsid w:val="00AE4627"/>
    <w:rsid w:val="00BE023D"/>
    <w:rsid w:val="00BF4718"/>
    <w:rsid w:val="00DD49A5"/>
    <w:rsid w:val="00E26C98"/>
    <w:rsid w:val="00F8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15</cp:revision>
  <dcterms:created xsi:type="dcterms:W3CDTF">2014-12-29T22:34:00Z</dcterms:created>
  <dcterms:modified xsi:type="dcterms:W3CDTF">2014-12-30T15:13:00Z</dcterms:modified>
</cp:coreProperties>
</file>