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9E5344" w14:textId="77777777" w:rsidR="00D945C2" w:rsidRDefault="00D945C2"/>
    <w:p w14:paraId="54ED1691" w14:textId="77777777" w:rsidR="00D945C2" w:rsidRDefault="00D945C2"/>
    <w:p w14:paraId="2687A1BA" w14:textId="77777777" w:rsidR="00D945C2" w:rsidRDefault="00D945C2"/>
    <w:p w14:paraId="3C5434D6" w14:textId="77777777" w:rsidR="00D945C2" w:rsidRDefault="00D945C2"/>
    <w:p w14:paraId="057BCE89" w14:textId="77777777" w:rsidR="00D945C2" w:rsidRDefault="00D945C2"/>
    <w:p w14:paraId="79AF1A9C" w14:textId="77777777" w:rsidR="00D945C2" w:rsidRDefault="00D945C2"/>
    <w:p w14:paraId="4D9CBF64" w14:textId="77777777" w:rsidR="00D945C2" w:rsidRDefault="00D945C2"/>
    <w:p w14:paraId="11674EC0" w14:textId="77777777" w:rsidR="00D945C2" w:rsidRDefault="00D945C2"/>
    <w:p w14:paraId="4344D30C" w14:textId="77777777" w:rsidR="00D945C2" w:rsidRDefault="00D945C2"/>
    <w:p w14:paraId="42614F26" w14:textId="77777777" w:rsidR="00D945C2" w:rsidRDefault="00D945C2"/>
    <w:p w14:paraId="2A262BD7" w14:textId="77777777" w:rsidR="00D945C2" w:rsidRDefault="00D945C2"/>
    <w:p w14:paraId="156C9214" w14:textId="77777777" w:rsidR="00277FC5" w:rsidRDefault="00736C81" w:rsidP="00DF52C8">
      <w:pPr>
        <w:jc w:val="center"/>
        <w:rPr>
          <w:b/>
        </w:rPr>
      </w:pPr>
      <w:r>
        <w:rPr>
          <w:b/>
        </w:rPr>
        <w:t>Ebola Virus Disease</w:t>
      </w:r>
      <w:r w:rsidR="00CA7BF6">
        <w:rPr>
          <w:b/>
        </w:rPr>
        <w:t xml:space="preserve"> in the United States</w:t>
      </w:r>
      <w:r w:rsidR="00D61036">
        <w:rPr>
          <w:b/>
        </w:rPr>
        <w:t>:</w:t>
      </w:r>
    </w:p>
    <w:p w14:paraId="012CBADF" w14:textId="77777777" w:rsidR="00D945C2" w:rsidRDefault="00277FC5" w:rsidP="00DF52C8">
      <w:pPr>
        <w:jc w:val="center"/>
        <w:rPr>
          <w:b/>
        </w:rPr>
      </w:pPr>
      <w:r>
        <w:rPr>
          <w:b/>
        </w:rPr>
        <w:t xml:space="preserve">CDC Support for </w:t>
      </w:r>
      <w:r w:rsidR="00D61036">
        <w:rPr>
          <w:b/>
        </w:rPr>
        <w:t>Case and Contact Investigation</w:t>
      </w:r>
    </w:p>
    <w:p w14:paraId="2C09B9EE" w14:textId="77777777" w:rsidR="00D945C2" w:rsidRDefault="00D945C2" w:rsidP="00D945C2">
      <w:pPr>
        <w:jc w:val="center"/>
        <w:rPr>
          <w:b/>
        </w:rPr>
      </w:pPr>
    </w:p>
    <w:p w14:paraId="0C2EACCB" w14:textId="77777777" w:rsidR="00D945C2" w:rsidRDefault="00D945C2" w:rsidP="00D945C2">
      <w:pPr>
        <w:jc w:val="center"/>
        <w:rPr>
          <w:b/>
        </w:rPr>
      </w:pPr>
    </w:p>
    <w:p w14:paraId="75A791BE" w14:textId="77777777" w:rsidR="00DF52C8" w:rsidRDefault="0086121D" w:rsidP="00D945C2">
      <w:pPr>
        <w:jc w:val="center"/>
        <w:rPr>
          <w:b/>
        </w:rPr>
      </w:pPr>
      <w:r>
        <w:rPr>
          <w:b/>
        </w:rPr>
        <w:t xml:space="preserve">Request for </w:t>
      </w:r>
      <w:r w:rsidR="00D945C2">
        <w:rPr>
          <w:b/>
        </w:rPr>
        <w:t xml:space="preserve">OMB Approval </w:t>
      </w:r>
      <w:r w:rsidR="00CA7BF6">
        <w:rPr>
          <w:b/>
        </w:rPr>
        <w:t>for</w:t>
      </w:r>
      <w:r w:rsidR="00D945C2">
        <w:rPr>
          <w:b/>
        </w:rPr>
        <w:t xml:space="preserve"> a</w:t>
      </w:r>
      <w:r w:rsidR="00053A03">
        <w:rPr>
          <w:b/>
        </w:rPr>
        <w:t>n</w:t>
      </w:r>
      <w:r w:rsidR="00D945C2">
        <w:rPr>
          <w:b/>
        </w:rPr>
        <w:t xml:space="preserve"> </w:t>
      </w:r>
    </w:p>
    <w:p w14:paraId="388F0BBD" w14:textId="77777777" w:rsidR="00D945C2" w:rsidRDefault="00053A03" w:rsidP="00DF52C8">
      <w:pPr>
        <w:jc w:val="center"/>
        <w:rPr>
          <w:b/>
        </w:rPr>
      </w:pPr>
      <w:r>
        <w:rPr>
          <w:b/>
        </w:rPr>
        <w:t>Emergency</w:t>
      </w:r>
      <w:r w:rsidR="00A76AFE">
        <w:rPr>
          <w:b/>
        </w:rPr>
        <w:t xml:space="preserve"> Information Collection Request</w:t>
      </w:r>
      <w:r w:rsidR="00A76AFE" w:rsidDel="000E2DF1">
        <w:rPr>
          <w:b/>
        </w:rPr>
        <w:t xml:space="preserve"> </w:t>
      </w:r>
    </w:p>
    <w:p w14:paraId="62C22E7F" w14:textId="77777777" w:rsidR="00D945C2" w:rsidRDefault="00D945C2" w:rsidP="00D945C2">
      <w:pPr>
        <w:jc w:val="center"/>
        <w:rPr>
          <w:b/>
        </w:rPr>
      </w:pPr>
    </w:p>
    <w:p w14:paraId="4E7E9A00" w14:textId="3F491960" w:rsidR="00D945C2" w:rsidRDefault="001000F7" w:rsidP="00B04AD5">
      <w:pPr>
        <w:jc w:val="center"/>
        <w:rPr>
          <w:b/>
        </w:rPr>
      </w:pPr>
      <w:r>
        <w:rPr>
          <w:b/>
        </w:rPr>
        <w:t xml:space="preserve">January </w:t>
      </w:r>
      <w:r w:rsidR="00466456">
        <w:rPr>
          <w:b/>
        </w:rPr>
        <w:t>23</w:t>
      </w:r>
      <w:r w:rsidR="00E426F9">
        <w:rPr>
          <w:b/>
        </w:rPr>
        <w:t xml:space="preserve">, </w:t>
      </w:r>
      <w:r>
        <w:rPr>
          <w:b/>
        </w:rPr>
        <w:t>2015</w:t>
      </w:r>
    </w:p>
    <w:p w14:paraId="69E6C000" w14:textId="77777777" w:rsidR="00CA7BF6" w:rsidRDefault="00CA7BF6" w:rsidP="00B04AD5">
      <w:pPr>
        <w:jc w:val="center"/>
        <w:rPr>
          <w:b/>
        </w:rPr>
      </w:pPr>
    </w:p>
    <w:p w14:paraId="54609D36" w14:textId="77777777" w:rsidR="00CA7BF6" w:rsidRDefault="00CA7BF6" w:rsidP="00B04AD5">
      <w:pPr>
        <w:jc w:val="center"/>
        <w:rPr>
          <w:b/>
        </w:rPr>
      </w:pPr>
      <w:r>
        <w:rPr>
          <w:b/>
        </w:rPr>
        <w:t>Supporting Statement A</w:t>
      </w:r>
    </w:p>
    <w:p w14:paraId="197BF8F6" w14:textId="77777777" w:rsidR="00CA7BF6" w:rsidRDefault="00CA7BF6" w:rsidP="00B04AD5">
      <w:pPr>
        <w:jc w:val="center"/>
        <w:rPr>
          <w:b/>
        </w:rPr>
      </w:pPr>
      <w:r>
        <w:rPr>
          <w:b/>
        </w:rPr>
        <w:t>Justification</w:t>
      </w:r>
    </w:p>
    <w:p w14:paraId="440AAEC3" w14:textId="77777777" w:rsidR="00D945C2" w:rsidRDefault="00D945C2" w:rsidP="00D945C2">
      <w:pPr>
        <w:jc w:val="center"/>
        <w:rPr>
          <w:b/>
        </w:rPr>
      </w:pPr>
    </w:p>
    <w:p w14:paraId="68DF4DEC" w14:textId="77777777" w:rsidR="00D945C2" w:rsidRDefault="00D945C2" w:rsidP="00D945C2">
      <w:pPr>
        <w:rPr>
          <w:b/>
        </w:rPr>
      </w:pPr>
    </w:p>
    <w:p w14:paraId="59BD43D4" w14:textId="77777777" w:rsidR="00637A45" w:rsidRDefault="00637A45" w:rsidP="00D945C2">
      <w:pPr>
        <w:rPr>
          <w:b/>
        </w:rPr>
      </w:pPr>
    </w:p>
    <w:p w14:paraId="4CE007D6" w14:textId="77777777" w:rsidR="00637A45" w:rsidRDefault="00637A45" w:rsidP="00D945C2">
      <w:pPr>
        <w:rPr>
          <w:b/>
        </w:rPr>
      </w:pPr>
    </w:p>
    <w:p w14:paraId="49998531" w14:textId="77777777" w:rsidR="00637A45" w:rsidRDefault="00637A45" w:rsidP="00D945C2">
      <w:pPr>
        <w:rPr>
          <w:b/>
        </w:rPr>
      </w:pPr>
    </w:p>
    <w:p w14:paraId="21978A96" w14:textId="77777777" w:rsidR="00BE2FFE" w:rsidRDefault="00BE2FFE" w:rsidP="00BE2FFE">
      <w:pPr>
        <w:outlineLvl w:val="0"/>
        <w:rPr>
          <w:b/>
        </w:rPr>
      </w:pPr>
    </w:p>
    <w:p w14:paraId="4DAC518A" w14:textId="77777777" w:rsidR="00BE2FFE" w:rsidRDefault="00BE2FFE" w:rsidP="00BE2FFE">
      <w:pPr>
        <w:outlineLvl w:val="0"/>
        <w:rPr>
          <w:b/>
        </w:rPr>
      </w:pPr>
    </w:p>
    <w:p w14:paraId="66C10C0C" w14:textId="77777777" w:rsidR="00BE2FFE" w:rsidRDefault="00BE2FFE" w:rsidP="00BE2FFE">
      <w:pPr>
        <w:outlineLvl w:val="0"/>
        <w:rPr>
          <w:b/>
        </w:rPr>
      </w:pPr>
    </w:p>
    <w:p w14:paraId="16F81E4D" w14:textId="77777777" w:rsidR="00BE2FFE" w:rsidRDefault="00BE2FFE" w:rsidP="00BE2FFE">
      <w:pPr>
        <w:outlineLvl w:val="0"/>
        <w:rPr>
          <w:b/>
        </w:rPr>
      </w:pPr>
    </w:p>
    <w:p w14:paraId="47AF1FB4" w14:textId="77777777" w:rsidR="00BE2FFE" w:rsidRDefault="00BE2FFE" w:rsidP="00BE2FFE">
      <w:pPr>
        <w:outlineLvl w:val="0"/>
        <w:rPr>
          <w:b/>
        </w:rPr>
      </w:pPr>
    </w:p>
    <w:p w14:paraId="24600AEB" w14:textId="77777777" w:rsidR="00BE2FFE" w:rsidRDefault="00BE2FFE" w:rsidP="00BE2FFE">
      <w:pPr>
        <w:outlineLvl w:val="0"/>
        <w:rPr>
          <w:b/>
        </w:rPr>
      </w:pPr>
    </w:p>
    <w:p w14:paraId="138F9AA3" w14:textId="77777777" w:rsidR="00BE2FFE" w:rsidRDefault="00BE2FFE" w:rsidP="00BE2FFE">
      <w:pPr>
        <w:outlineLvl w:val="0"/>
        <w:rPr>
          <w:b/>
        </w:rPr>
      </w:pPr>
    </w:p>
    <w:p w14:paraId="072C1AB6" w14:textId="77777777" w:rsidR="00BE2FFE" w:rsidRDefault="00BE2FFE" w:rsidP="00BE2FFE">
      <w:pPr>
        <w:outlineLvl w:val="0"/>
        <w:rPr>
          <w:b/>
        </w:rPr>
      </w:pPr>
    </w:p>
    <w:p w14:paraId="42097423" w14:textId="77777777" w:rsidR="00BE2FFE" w:rsidRDefault="00BE2FFE" w:rsidP="00BE2FFE">
      <w:pPr>
        <w:outlineLvl w:val="0"/>
        <w:rPr>
          <w:b/>
        </w:rPr>
      </w:pPr>
    </w:p>
    <w:p w14:paraId="7FB92925" w14:textId="77777777" w:rsidR="00BE2FFE" w:rsidRPr="00C77027" w:rsidRDefault="00BE2FFE" w:rsidP="00BE2FFE">
      <w:pPr>
        <w:outlineLvl w:val="0"/>
        <w:rPr>
          <w:b/>
        </w:rPr>
      </w:pPr>
      <w:r w:rsidRPr="00C77027">
        <w:rPr>
          <w:b/>
        </w:rPr>
        <w:t>Contact:</w:t>
      </w:r>
    </w:p>
    <w:p w14:paraId="7D6C66C0" w14:textId="1E16069E" w:rsidR="00BE2FFE" w:rsidRPr="00C77027" w:rsidRDefault="00BE2FFE" w:rsidP="00BE2FFE">
      <w:pPr>
        <w:outlineLvl w:val="0"/>
        <w:rPr>
          <w:b/>
        </w:rPr>
      </w:pPr>
      <w:r w:rsidRPr="00C77027">
        <w:rPr>
          <w:b/>
        </w:rPr>
        <w:t xml:space="preserve">Amy </w:t>
      </w:r>
      <w:proofErr w:type="spellStart"/>
      <w:r w:rsidRPr="00C77027">
        <w:rPr>
          <w:b/>
        </w:rPr>
        <w:t>McMill</w:t>
      </w:r>
      <w:r w:rsidR="00870C5B">
        <w:rPr>
          <w:b/>
        </w:rPr>
        <w:t>e</w:t>
      </w:r>
      <w:r w:rsidRPr="00C77027">
        <w:rPr>
          <w:b/>
        </w:rPr>
        <w:t>n</w:t>
      </w:r>
      <w:proofErr w:type="spellEnd"/>
    </w:p>
    <w:p w14:paraId="42AECCC2" w14:textId="77777777" w:rsidR="00BE2FFE" w:rsidRPr="00C77027" w:rsidRDefault="00BE2FFE" w:rsidP="00BE2FFE">
      <w:pPr>
        <w:outlineLvl w:val="0"/>
        <w:rPr>
          <w:b/>
        </w:rPr>
      </w:pPr>
      <w:bookmarkStart w:id="0" w:name="_Toc295819828"/>
      <w:bookmarkStart w:id="1" w:name="_Toc295818055"/>
      <w:bookmarkStart w:id="2" w:name="_Toc295817574"/>
      <w:bookmarkStart w:id="3" w:name="_Toc295817040"/>
      <w:r w:rsidRPr="00C77027">
        <w:rPr>
          <w:b/>
        </w:rPr>
        <w:t>Office of Policy and Planning</w:t>
      </w:r>
      <w:bookmarkEnd w:id="0"/>
      <w:bookmarkEnd w:id="1"/>
      <w:bookmarkEnd w:id="2"/>
      <w:bookmarkEnd w:id="3"/>
    </w:p>
    <w:p w14:paraId="46F215CD" w14:textId="77777777" w:rsidR="00BE2FFE" w:rsidRPr="00C77027" w:rsidRDefault="00BE2FFE" w:rsidP="00BE2FFE">
      <w:pPr>
        <w:outlineLvl w:val="0"/>
        <w:rPr>
          <w:b/>
        </w:rPr>
      </w:pPr>
      <w:bookmarkStart w:id="4" w:name="_Toc295819829"/>
      <w:bookmarkStart w:id="5" w:name="_Toc295818056"/>
      <w:bookmarkStart w:id="6" w:name="_Toc295817575"/>
      <w:bookmarkStart w:id="7" w:name="_Toc295817041"/>
      <w:r w:rsidRPr="00C77027">
        <w:rPr>
          <w:b/>
        </w:rPr>
        <w:t>National Center for Emerging and Zoonotic Infectious Diseases</w:t>
      </w:r>
      <w:bookmarkEnd w:id="4"/>
      <w:bookmarkEnd w:id="5"/>
      <w:bookmarkEnd w:id="6"/>
      <w:bookmarkEnd w:id="7"/>
    </w:p>
    <w:p w14:paraId="503B45D1" w14:textId="77777777" w:rsidR="00BE2FFE" w:rsidRPr="00C77027" w:rsidRDefault="00BE2FFE" w:rsidP="00BE2FFE">
      <w:pPr>
        <w:outlineLvl w:val="0"/>
        <w:rPr>
          <w:b/>
        </w:rPr>
      </w:pPr>
      <w:bookmarkStart w:id="8" w:name="_Toc295819830"/>
      <w:bookmarkStart w:id="9" w:name="_Toc295818057"/>
      <w:bookmarkStart w:id="10" w:name="_Toc295817576"/>
      <w:bookmarkStart w:id="11" w:name="_Toc295817042"/>
      <w:r w:rsidRPr="00C77027">
        <w:rPr>
          <w:b/>
        </w:rPr>
        <w:t>Centers for Disease Control and Prevention</w:t>
      </w:r>
      <w:bookmarkEnd w:id="8"/>
      <w:bookmarkEnd w:id="9"/>
      <w:bookmarkEnd w:id="10"/>
      <w:bookmarkEnd w:id="11"/>
    </w:p>
    <w:p w14:paraId="0CF255CB" w14:textId="77777777" w:rsidR="00BE2FFE" w:rsidRPr="00C77027" w:rsidRDefault="00BE2FFE" w:rsidP="00BE2FFE">
      <w:pPr>
        <w:outlineLvl w:val="0"/>
        <w:rPr>
          <w:b/>
        </w:rPr>
      </w:pPr>
      <w:bookmarkStart w:id="12" w:name="_Toc295819831"/>
      <w:bookmarkStart w:id="13" w:name="_Toc295818058"/>
      <w:bookmarkStart w:id="14" w:name="_Toc295817577"/>
      <w:bookmarkStart w:id="15" w:name="_Toc295817043"/>
      <w:r w:rsidRPr="00C77027">
        <w:rPr>
          <w:b/>
        </w:rPr>
        <w:t>1600 Clifton Road, N.E., MS D76</w:t>
      </w:r>
      <w:bookmarkEnd w:id="12"/>
      <w:bookmarkEnd w:id="13"/>
      <w:bookmarkEnd w:id="14"/>
      <w:bookmarkEnd w:id="15"/>
    </w:p>
    <w:p w14:paraId="47D211AE" w14:textId="77777777" w:rsidR="00BE2FFE" w:rsidRPr="00C77027" w:rsidRDefault="00BE2FFE" w:rsidP="00BE2FFE">
      <w:pPr>
        <w:outlineLvl w:val="0"/>
        <w:rPr>
          <w:b/>
        </w:rPr>
      </w:pPr>
      <w:bookmarkStart w:id="16" w:name="_Toc295819832"/>
      <w:bookmarkStart w:id="17" w:name="_Toc295818059"/>
      <w:bookmarkStart w:id="18" w:name="_Toc295817578"/>
      <w:bookmarkStart w:id="19" w:name="_Toc295817044"/>
      <w:r w:rsidRPr="00C77027">
        <w:rPr>
          <w:b/>
        </w:rPr>
        <w:t>Atlanta, Georgia 30333</w:t>
      </w:r>
      <w:bookmarkEnd w:id="16"/>
      <w:bookmarkEnd w:id="17"/>
      <w:bookmarkEnd w:id="18"/>
      <w:bookmarkEnd w:id="19"/>
    </w:p>
    <w:p w14:paraId="60FD1E3F" w14:textId="77777777" w:rsidR="00BE2FFE" w:rsidRPr="00C77027" w:rsidRDefault="00BE2FFE" w:rsidP="00BE2FFE">
      <w:pPr>
        <w:outlineLvl w:val="0"/>
        <w:rPr>
          <w:b/>
        </w:rPr>
      </w:pPr>
      <w:bookmarkStart w:id="20" w:name="_Toc295819833"/>
      <w:bookmarkStart w:id="21" w:name="_Toc295818060"/>
      <w:bookmarkStart w:id="22" w:name="_Toc295817579"/>
      <w:bookmarkStart w:id="23" w:name="_Toc295817045"/>
      <w:r w:rsidRPr="00C77027">
        <w:rPr>
          <w:b/>
        </w:rPr>
        <w:t>Phone: (404) 639-4895</w:t>
      </w:r>
      <w:bookmarkEnd w:id="20"/>
      <w:bookmarkEnd w:id="21"/>
      <w:bookmarkEnd w:id="22"/>
      <w:bookmarkEnd w:id="23"/>
    </w:p>
    <w:p w14:paraId="697E2F26" w14:textId="77777777" w:rsidR="00BE2FFE" w:rsidRPr="00C77027" w:rsidRDefault="00BE2FFE" w:rsidP="00BE2FFE">
      <w:pPr>
        <w:rPr>
          <w:rFonts w:ascii="Comic Sans MS" w:hAnsi="Comic Sans MS"/>
          <w:noProof/>
          <w:color w:val="403152"/>
          <w:sz w:val="20"/>
          <w:szCs w:val="20"/>
        </w:rPr>
      </w:pPr>
      <w:r w:rsidRPr="00C77027">
        <w:rPr>
          <w:b/>
        </w:rPr>
        <w:t>Fax: (404) 248-4146</w:t>
      </w:r>
    </w:p>
    <w:p w14:paraId="28E3C3F6" w14:textId="77777777" w:rsidR="00BE2FFE" w:rsidRPr="00C77027" w:rsidRDefault="00BE2FFE" w:rsidP="00BE2FFE">
      <w:pPr>
        <w:outlineLvl w:val="0"/>
      </w:pPr>
      <w:bookmarkStart w:id="24" w:name="_Toc295819834"/>
      <w:bookmarkStart w:id="25" w:name="_Toc295818061"/>
      <w:bookmarkStart w:id="26" w:name="_Toc295817580"/>
      <w:bookmarkStart w:id="27" w:name="_Toc295817046"/>
      <w:r w:rsidRPr="00C77027">
        <w:rPr>
          <w:b/>
        </w:rPr>
        <w:t>Email</w:t>
      </w:r>
      <w:r>
        <w:rPr>
          <w:b/>
        </w:rPr>
        <w:t>:</w:t>
      </w:r>
      <w:r w:rsidRPr="00C77027" w:rsidDel="005E46F9">
        <w:rPr>
          <w:b/>
        </w:rPr>
        <w:t xml:space="preserve"> </w:t>
      </w:r>
      <w:bookmarkEnd w:id="24"/>
      <w:bookmarkEnd w:id="25"/>
      <w:bookmarkEnd w:id="26"/>
      <w:bookmarkEnd w:id="27"/>
      <w:r w:rsidRPr="00C77027">
        <w:rPr>
          <w:b/>
        </w:rPr>
        <w:t>auh1@cdc.gov</w:t>
      </w:r>
    </w:p>
    <w:p w14:paraId="44E17136" w14:textId="77777777" w:rsidR="00B94CF2" w:rsidRPr="00A838E0" w:rsidRDefault="00B94CF2" w:rsidP="00B94CF2">
      <w:pPr>
        <w:jc w:val="center"/>
        <w:rPr>
          <w:b/>
        </w:rPr>
      </w:pPr>
      <w:r>
        <w:rPr>
          <w:b/>
        </w:rPr>
        <w:br w:type="page"/>
      </w:r>
      <w:r w:rsidRPr="00A838E0">
        <w:rPr>
          <w:b/>
        </w:rPr>
        <w:lastRenderedPageBreak/>
        <w:t>Table of Contents</w:t>
      </w:r>
    </w:p>
    <w:p w14:paraId="17C0EAFA" w14:textId="77777777" w:rsidR="00B94CF2" w:rsidRPr="00A838E0" w:rsidRDefault="00B94CF2" w:rsidP="00B94CF2">
      <w:pPr>
        <w:jc w:val="center"/>
        <w:rPr>
          <w:b/>
        </w:rPr>
      </w:pPr>
    </w:p>
    <w:tbl>
      <w:tblPr>
        <w:tblW w:w="9180" w:type="dxa"/>
        <w:tblInd w:w="-346" w:type="dxa"/>
        <w:tblLook w:val="01E0" w:firstRow="1" w:lastRow="1" w:firstColumn="1" w:lastColumn="1" w:noHBand="0" w:noVBand="0"/>
      </w:tblPr>
      <w:tblGrid>
        <w:gridCol w:w="8730"/>
        <w:gridCol w:w="450"/>
      </w:tblGrid>
      <w:tr w:rsidR="00B94CF2" w:rsidRPr="00A838E0" w14:paraId="70AB272A" w14:textId="77777777" w:rsidTr="0096492B">
        <w:tc>
          <w:tcPr>
            <w:tcW w:w="8730" w:type="dxa"/>
            <w:tcMar>
              <w:left w:w="14" w:type="dxa"/>
              <w:right w:w="14" w:type="dxa"/>
            </w:tcMar>
          </w:tcPr>
          <w:p w14:paraId="5F0341CD" w14:textId="77777777" w:rsidR="00B94CF2" w:rsidRPr="00A838E0" w:rsidRDefault="00B94CF2" w:rsidP="00B94CF2">
            <w:r w:rsidRPr="00A838E0">
              <w:t>A. Justification</w:t>
            </w:r>
          </w:p>
        </w:tc>
        <w:tc>
          <w:tcPr>
            <w:tcW w:w="450" w:type="dxa"/>
            <w:tcMar>
              <w:left w:w="14" w:type="dxa"/>
              <w:right w:w="14" w:type="dxa"/>
            </w:tcMar>
          </w:tcPr>
          <w:p w14:paraId="1B002C2B" w14:textId="77777777" w:rsidR="00B94CF2" w:rsidRPr="00A838E0" w:rsidRDefault="00B94CF2" w:rsidP="00B94CF2"/>
        </w:tc>
      </w:tr>
      <w:tr w:rsidR="00B94CF2" w:rsidRPr="00A838E0" w14:paraId="3A23A975" w14:textId="77777777" w:rsidTr="0096492B">
        <w:tc>
          <w:tcPr>
            <w:tcW w:w="8730" w:type="dxa"/>
            <w:tcMar>
              <w:left w:w="14" w:type="dxa"/>
              <w:right w:w="14" w:type="dxa"/>
            </w:tcMar>
          </w:tcPr>
          <w:p w14:paraId="710A6347" w14:textId="77777777" w:rsidR="00B94CF2" w:rsidRPr="00A838E0" w:rsidRDefault="00B94CF2" w:rsidP="00B94CF2">
            <w:pPr>
              <w:ind w:left="360"/>
            </w:pPr>
            <w:r w:rsidRPr="00A838E0">
              <w:t>1. Circumstances Making the Collection of Information Necessary</w:t>
            </w:r>
          </w:p>
        </w:tc>
        <w:tc>
          <w:tcPr>
            <w:tcW w:w="450" w:type="dxa"/>
            <w:tcMar>
              <w:left w:w="14" w:type="dxa"/>
              <w:right w:w="14" w:type="dxa"/>
            </w:tcMar>
          </w:tcPr>
          <w:p w14:paraId="368F7FB9" w14:textId="77777777" w:rsidR="00B94CF2" w:rsidRPr="00A838E0" w:rsidRDefault="00B94CF2" w:rsidP="00B94CF2"/>
        </w:tc>
      </w:tr>
      <w:tr w:rsidR="00B94CF2" w:rsidRPr="00A838E0" w14:paraId="50E887C5" w14:textId="77777777" w:rsidTr="0096492B">
        <w:tc>
          <w:tcPr>
            <w:tcW w:w="8730" w:type="dxa"/>
            <w:tcMar>
              <w:left w:w="14" w:type="dxa"/>
              <w:right w:w="14" w:type="dxa"/>
            </w:tcMar>
          </w:tcPr>
          <w:p w14:paraId="0528D1C3" w14:textId="77777777" w:rsidR="00B94CF2" w:rsidRPr="00A838E0" w:rsidRDefault="00B94CF2" w:rsidP="00B94CF2">
            <w:pPr>
              <w:ind w:left="360"/>
            </w:pPr>
            <w:r w:rsidRPr="00A838E0">
              <w:t>2. Purpose and Use of the Information Collection</w:t>
            </w:r>
          </w:p>
        </w:tc>
        <w:tc>
          <w:tcPr>
            <w:tcW w:w="450" w:type="dxa"/>
            <w:tcMar>
              <w:left w:w="14" w:type="dxa"/>
              <w:right w:w="14" w:type="dxa"/>
            </w:tcMar>
          </w:tcPr>
          <w:p w14:paraId="0A03DAAB" w14:textId="77777777" w:rsidR="00B94CF2" w:rsidRPr="00A838E0" w:rsidRDefault="00B94CF2" w:rsidP="00B94CF2"/>
        </w:tc>
      </w:tr>
      <w:tr w:rsidR="00B94CF2" w:rsidRPr="00A838E0" w14:paraId="3BD77578" w14:textId="77777777" w:rsidTr="0096492B">
        <w:tc>
          <w:tcPr>
            <w:tcW w:w="8730" w:type="dxa"/>
            <w:tcMar>
              <w:left w:w="14" w:type="dxa"/>
              <w:right w:w="14" w:type="dxa"/>
            </w:tcMar>
          </w:tcPr>
          <w:p w14:paraId="03AD6C82" w14:textId="77777777" w:rsidR="00B94CF2" w:rsidRPr="00A838E0" w:rsidRDefault="00B94CF2" w:rsidP="00B94CF2">
            <w:pPr>
              <w:ind w:left="360"/>
            </w:pPr>
            <w:r w:rsidRPr="00A838E0">
              <w:t>3. Use of Improved Information Technology and Burden Reduction</w:t>
            </w:r>
          </w:p>
        </w:tc>
        <w:tc>
          <w:tcPr>
            <w:tcW w:w="450" w:type="dxa"/>
            <w:tcMar>
              <w:left w:w="14" w:type="dxa"/>
              <w:right w:w="14" w:type="dxa"/>
            </w:tcMar>
          </w:tcPr>
          <w:p w14:paraId="2F2865D5" w14:textId="77777777" w:rsidR="00B94CF2" w:rsidRPr="00A838E0" w:rsidRDefault="00B94CF2" w:rsidP="00B94CF2"/>
        </w:tc>
      </w:tr>
      <w:tr w:rsidR="00B94CF2" w:rsidRPr="00A838E0" w14:paraId="44EB28AB" w14:textId="77777777" w:rsidTr="0096492B">
        <w:tc>
          <w:tcPr>
            <w:tcW w:w="8730" w:type="dxa"/>
            <w:tcMar>
              <w:left w:w="14" w:type="dxa"/>
              <w:right w:w="14" w:type="dxa"/>
            </w:tcMar>
          </w:tcPr>
          <w:p w14:paraId="53C2554F" w14:textId="77777777" w:rsidR="00B94CF2" w:rsidRPr="00A838E0" w:rsidRDefault="00B94CF2" w:rsidP="00B94CF2">
            <w:pPr>
              <w:ind w:left="360"/>
            </w:pPr>
            <w:r w:rsidRPr="00A838E0">
              <w:t>4. Efforts to Identify Duplication and Use of Similar Information</w:t>
            </w:r>
          </w:p>
        </w:tc>
        <w:tc>
          <w:tcPr>
            <w:tcW w:w="450" w:type="dxa"/>
            <w:tcMar>
              <w:left w:w="14" w:type="dxa"/>
              <w:right w:w="14" w:type="dxa"/>
            </w:tcMar>
          </w:tcPr>
          <w:p w14:paraId="614F93EF" w14:textId="77777777" w:rsidR="00B94CF2" w:rsidRPr="00A838E0" w:rsidRDefault="00B94CF2" w:rsidP="00B94CF2"/>
        </w:tc>
      </w:tr>
      <w:tr w:rsidR="00B94CF2" w:rsidRPr="00A838E0" w14:paraId="5033922B" w14:textId="77777777" w:rsidTr="0096492B">
        <w:tc>
          <w:tcPr>
            <w:tcW w:w="8730" w:type="dxa"/>
            <w:tcMar>
              <w:left w:w="14" w:type="dxa"/>
              <w:right w:w="14" w:type="dxa"/>
            </w:tcMar>
          </w:tcPr>
          <w:p w14:paraId="0C83F0BB" w14:textId="77777777" w:rsidR="00B94CF2" w:rsidRPr="00A838E0" w:rsidRDefault="00B94CF2" w:rsidP="00B94CF2">
            <w:pPr>
              <w:ind w:left="360"/>
            </w:pPr>
            <w:r w:rsidRPr="00A838E0">
              <w:t>5. Impact on Small Businesses or Other Small Entities</w:t>
            </w:r>
          </w:p>
        </w:tc>
        <w:tc>
          <w:tcPr>
            <w:tcW w:w="450" w:type="dxa"/>
            <w:tcMar>
              <w:left w:w="14" w:type="dxa"/>
              <w:right w:w="14" w:type="dxa"/>
            </w:tcMar>
          </w:tcPr>
          <w:p w14:paraId="3CB6E9C9" w14:textId="77777777" w:rsidR="00B94CF2" w:rsidRPr="00A838E0" w:rsidRDefault="00B94CF2" w:rsidP="00B94CF2"/>
        </w:tc>
      </w:tr>
      <w:tr w:rsidR="00B94CF2" w:rsidRPr="00A838E0" w14:paraId="24565144" w14:textId="77777777" w:rsidTr="0096492B">
        <w:tc>
          <w:tcPr>
            <w:tcW w:w="8730" w:type="dxa"/>
            <w:tcMar>
              <w:left w:w="14" w:type="dxa"/>
              <w:right w:w="14" w:type="dxa"/>
            </w:tcMar>
          </w:tcPr>
          <w:p w14:paraId="657B66C4" w14:textId="77777777" w:rsidR="00B94CF2" w:rsidRPr="00A838E0" w:rsidRDefault="00B94CF2" w:rsidP="00B94CF2">
            <w:pPr>
              <w:ind w:left="360"/>
            </w:pPr>
            <w:r w:rsidRPr="00A838E0">
              <w:t>6. Consequences of Collecting the Information Less Frequently</w:t>
            </w:r>
          </w:p>
        </w:tc>
        <w:tc>
          <w:tcPr>
            <w:tcW w:w="450" w:type="dxa"/>
            <w:tcMar>
              <w:left w:w="14" w:type="dxa"/>
              <w:right w:w="14" w:type="dxa"/>
            </w:tcMar>
          </w:tcPr>
          <w:p w14:paraId="4A2263AA" w14:textId="77777777" w:rsidR="00B94CF2" w:rsidRPr="00A838E0" w:rsidRDefault="00B94CF2" w:rsidP="00B94CF2"/>
        </w:tc>
      </w:tr>
      <w:tr w:rsidR="00B94CF2" w:rsidRPr="00A838E0" w14:paraId="43C71AA2" w14:textId="77777777" w:rsidTr="0096492B">
        <w:tc>
          <w:tcPr>
            <w:tcW w:w="8730" w:type="dxa"/>
            <w:tcMar>
              <w:left w:w="14" w:type="dxa"/>
              <w:right w:w="14" w:type="dxa"/>
            </w:tcMar>
          </w:tcPr>
          <w:p w14:paraId="1E7875BF" w14:textId="77777777" w:rsidR="00B94CF2" w:rsidRPr="00A838E0" w:rsidRDefault="00B94CF2" w:rsidP="00B94CF2">
            <w:pPr>
              <w:ind w:left="360"/>
            </w:pPr>
            <w:r w:rsidRPr="00A838E0">
              <w:t>7. Special Circumstances Relating to the Guidelines of 5 CFR 1320.5</w:t>
            </w:r>
          </w:p>
        </w:tc>
        <w:tc>
          <w:tcPr>
            <w:tcW w:w="450" w:type="dxa"/>
            <w:tcMar>
              <w:left w:w="14" w:type="dxa"/>
              <w:right w:w="14" w:type="dxa"/>
            </w:tcMar>
          </w:tcPr>
          <w:p w14:paraId="0E49E446" w14:textId="77777777" w:rsidR="00B94CF2" w:rsidRPr="00A838E0" w:rsidRDefault="00B94CF2" w:rsidP="00B94CF2"/>
        </w:tc>
      </w:tr>
      <w:tr w:rsidR="00B94CF2" w:rsidRPr="00A838E0" w14:paraId="4C906EEF" w14:textId="77777777" w:rsidTr="0096492B">
        <w:tc>
          <w:tcPr>
            <w:tcW w:w="8730" w:type="dxa"/>
            <w:tcMar>
              <w:left w:w="14" w:type="dxa"/>
              <w:right w:w="14" w:type="dxa"/>
            </w:tcMar>
          </w:tcPr>
          <w:p w14:paraId="4855A473" w14:textId="77777777" w:rsidR="00B94CF2" w:rsidRPr="00A838E0" w:rsidRDefault="00B94CF2" w:rsidP="00B94CF2">
            <w:pPr>
              <w:ind w:left="720" w:hanging="360"/>
            </w:pPr>
            <w:r w:rsidRPr="00A838E0">
              <w:t>8. Comments in Response to the Federal Register Notice and Efforts to Consult Outside the Agency</w:t>
            </w:r>
          </w:p>
        </w:tc>
        <w:tc>
          <w:tcPr>
            <w:tcW w:w="450" w:type="dxa"/>
            <w:tcMar>
              <w:left w:w="14" w:type="dxa"/>
              <w:right w:w="14" w:type="dxa"/>
            </w:tcMar>
            <w:vAlign w:val="bottom"/>
          </w:tcPr>
          <w:p w14:paraId="1892A353" w14:textId="77777777" w:rsidR="00B94CF2" w:rsidRPr="00A838E0" w:rsidRDefault="00B94CF2" w:rsidP="00B94CF2"/>
        </w:tc>
      </w:tr>
      <w:tr w:rsidR="00B94CF2" w:rsidRPr="00A838E0" w14:paraId="5848AFB1" w14:textId="77777777" w:rsidTr="0096492B">
        <w:tc>
          <w:tcPr>
            <w:tcW w:w="8730" w:type="dxa"/>
            <w:tcMar>
              <w:left w:w="14" w:type="dxa"/>
              <w:right w:w="14" w:type="dxa"/>
            </w:tcMar>
          </w:tcPr>
          <w:p w14:paraId="5BFCA11D" w14:textId="77777777" w:rsidR="00B94CF2" w:rsidRPr="00A838E0" w:rsidRDefault="00B94CF2" w:rsidP="00B94CF2">
            <w:pPr>
              <w:ind w:left="360"/>
            </w:pPr>
            <w:r w:rsidRPr="00A838E0">
              <w:t>9. Explanation of Any Payment or Gift to Respondents</w:t>
            </w:r>
          </w:p>
        </w:tc>
        <w:tc>
          <w:tcPr>
            <w:tcW w:w="450" w:type="dxa"/>
            <w:tcMar>
              <w:left w:w="14" w:type="dxa"/>
              <w:right w:w="14" w:type="dxa"/>
            </w:tcMar>
          </w:tcPr>
          <w:p w14:paraId="05BDAAA8" w14:textId="77777777" w:rsidR="00B94CF2" w:rsidRPr="00A838E0" w:rsidRDefault="00B94CF2" w:rsidP="00B94CF2"/>
        </w:tc>
      </w:tr>
      <w:tr w:rsidR="00B94CF2" w:rsidRPr="00A838E0" w14:paraId="1C2B1BE7" w14:textId="77777777" w:rsidTr="0096492B">
        <w:tc>
          <w:tcPr>
            <w:tcW w:w="8730" w:type="dxa"/>
            <w:tcMar>
              <w:left w:w="14" w:type="dxa"/>
              <w:right w:w="14" w:type="dxa"/>
            </w:tcMar>
          </w:tcPr>
          <w:p w14:paraId="77891022" w14:textId="77777777" w:rsidR="00B94CF2" w:rsidRPr="00A838E0" w:rsidRDefault="00B94CF2" w:rsidP="00B94CF2">
            <w:pPr>
              <w:ind w:left="360"/>
            </w:pPr>
            <w:r w:rsidRPr="00A838E0">
              <w:t>10. Assurance of Confidentiality Provided to Respondents</w:t>
            </w:r>
          </w:p>
        </w:tc>
        <w:tc>
          <w:tcPr>
            <w:tcW w:w="450" w:type="dxa"/>
            <w:tcMar>
              <w:left w:w="14" w:type="dxa"/>
              <w:right w:w="14" w:type="dxa"/>
            </w:tcMar>
          </w:tcPr>
          <w:p w14:paraId="603CEBB3" w14:textId="77777777" w:rsidR="00B94CF2" w:rsidRPr="00A838E0" w:rsidRDefault="00B94CF2" w:rsidP="00B94CF2"/>
        </w:tc>
      </w:tr>
      <w:tr w:rsidR="00B94CF2" w:rsidRPr="00A838E0" w14:paraId="760EF253" w14:textId="77777777" w:rsidTr="0096492B">
        <w:tc>
          <w:tcPr>
            <w:tcW w:w="8730" w:type="dxa"/>
            <w:tcMar>
              <w:left w:w="14" w:type="dxa"/>
              <w:right w:w="14" w:type="dxa"/>
            </w:tcMar>
          </w:tcPr>
          <w:p w14:paraId="3CDA39A5" w14:textId="77777777" w:rsidR="00B94CF2" w:rsidRPr="00A838E0" w:rsidRDefault="00B94CF2" w:rsidP="00B94CF2">
            <w:pPr>
              <w:ind w:left="360"/>
            </w:pPr>
            <w:r w:rsidRPr="00A838E0">
              <w:t>11. Justification for Sensitive Questions</w:t>
            </w:r>
          </w:p>
        </w:tc>
        <w:tc>
          <w:tcPr>
            <w:tcW w:w="450" w:type="dxa"/>
            <w:tcMar>
              <w:left w:w="14" w:type="dxa"/>
              <w:right w:w="14" w:type="dxa"/>
            </w:tcMar>
          </w:tcPr>
          <w:p w14:paraId="1AE248C8" w14:textId="77777777" w:rsidR="00B94CF2" w:rsidRPr="00A838E0" w:rsidRDefault="00B94CF2" w:rsidP="00B94CF2"/>
        </w:tc>
      </w:tr>
      <w:tr w:rsidR="00B94CF2" w:rsidRPr="00A838E0" w14:paraId="5B5D11D9" w14:textId="77777777" w:rsidTr="0096492B">
        <w:tc>
          <w:tcPr>
            <w:tcW w:w="8730" w:type="dxa"/>
            <w:tcMar>
              <w:left w:w="14" w:type="dxa"/>
              <w:right w:w="14" w:type="dxa"/>
            </w:tcMar>
          </w:tcPr>
          <w:p w14:paraId="367359E8" w14:textId="77777777" w:rsidR="00B94CF2" w:rsidRPr="00A838E0" w:rsidRDefault="00B94CF2" w:rsidP="00B94CF2">
            <w:pPr>
              <w:ind w:left="360"/>
            </w:pPr>
            <w:r w:rsidRPr="00A838E0">
              <w:t>12. Estimates of Annualized Burden Hours and Costs</w:t>
            </w:r>
          </w:p>
        </w:tc>
        <w:tc>
          <w:tcPr>
            <w:tcW w:w="450" w:type="dxa"/>
            <w:tcMar>
              <w:left w:w="14" w:type="dxa"/>
              <w:right w:w="14" w:type="dxa"/>
            </w:tcMar>
          </w:tcPr>
          <w:p w14:paraId="024CE796" w14:textId="77777777" w:rsidR="00B94CF2" w:rsidRPr="00A838E0" w:rsidRDefault="00B94CF2" w:rsidP="00B94CF2"/>
        </w:tc>
      </w:tr>
      <w:tr w:rsidR="00B94CF2" w:rsidRPr="00A838E0" w14:paraId="59092D7A" w14:textId="77777777" w:rsidTr="0096492B">
        <w:tc>
          <w:tcPr>
            <w:tcW w:w="8730" w:type="dxa"/>
            <w:tcMar>
              <w:left w:w="14" w:type="dxa"/>
              <w:right w:w="14" w:type="dxa"/>
            </w:tcMar>
          </w:tcPr>
          <w:p w14:paraId="1C82A00E" w14:textId="77777777" w:rsidR="00B94CF2" w:rsidRPr="00A838E0" w:rsidRDefault="00B94CF2" w:rsidP="00B94CF2">
            <w:pPr>
              <w:ind w:left="360"/>
            </w:pPr>
            <w:r w:rsidRPr="00A838E0">
              <w:t>13. Estimates of Other Total Annual Cost Burden to Respondents or Record Keepers</w:t>
            </w:r>
          </w:p>
        </w:tc>
        <w:tc>
          <w:tcPr>
            <w:tcW w:w="450" w:type="dxa"/>
            <w:tcMar>
              <w:left w:w="14" w:type="dxa"/>
              <w:right w:w="14" w:type="dxa"/>
            </w:tcMar>
          </w:tcPr>
          <w:p w14:paraId="5A430AFB" w14:textId="77777777" w:rsidR="00B94CF2" w:rsidRPr="00A838E0" w:rsidRDefault="00B94CF2" w:rsidP="00B94CF2"/>
        </w:tc>
      </w:tr>
      <w:tr w:rsidR="00B94CF2" w:rsidRPr="00A838E0" w14:paraId="1B3AF013" w14:textId="77777777" w:rsidTr="0096492B">
        <w:tc>
          <w:tcPr>
            <w:tcW w:w="8730" w:type="dxa"/>
            <w:tcMar>
              <w:left w:w="14" w:type="dxa"/>
              <w:right w:w="14" w:type="dxa"/>
            </w:tcMar>
          </w:tcPr>
          <w:p w14:paraId="5022898B" w14:textId="77777777" w:rsidR="00B94CF2" w:rsidRPr="00A838E0" w:rsidRDefault="00B94CF2" w:rsidP="00B94CF2">
            <w:pPr>
              <w:ind w:left="360"/>
            </w:pPr>
            <w:r w:rsidRPr="00A838E0">
              <w:t>14. Annualized Cost to the Government</w:t>
            </w:r>
          </w:p>
        </w:tc>
        <w:tc>
          <w:tcPr>
            <w:tcW w:w="450" w:type="dxa"/>
            <w:tcMar>
              <w:left w:w="14" w:type="dxa"/>
              <w:right w:w="14" w:type="dxa"/>
            </w:tcMar>
          </w:tcPr>
          <w:p w14:paraId="58038CBC" w14:textId="77777777" w:rsidR="00B94CF2" w:rsidRPr="00A838E0" w:rsidRDefault="00B94CF2" w:rsidP="00B94CF2"/>
        </w:tc>
      </w:tr>
      <w:tr w:rsidR="00B94CF2" w:rsidRPr="00A838E0" w14:paraId="4B4A43FF" w14:textId="77777777" w:rsidTr="0096492B">
        <w:tc>
          <w:tcPr>
            <w:tcW w:w="8730" w:type="dxa"/>
            <w:tcMar>
              <w:left w:w="14" w:type="dxa"/>
              <w:right w:w="14" w:type="dxa"/>
            </w:tcMar>
          </w:tcPr>
          <w:p w14:paraId="3F18D255" w14:textId="77777777" w:rsidR="00B94CF2" w:rsidRPr="00A838E0" w:rsidRDefault="00B94CF2" w:rsidP="00B94CF2">
            <w:pPr>
              <w:ind w:left="360"/>
            </w:pPr>
            <w:r w:rsidRPr="00A838E0">
              <w:t>15. Explanation for Program Changes or Adjustments</w:t>
            </w:r>
          </w:p>
        </w:tc>
        <w:tc>
          <w:tcPr>
            <w:tcW w:w="450" w:type="dxa"/>
            <w:tcMar>
              <w:left w:w="14" w:type="dxa"/>
              <w:right w:w="14" w:type="dxa"/>
            </w:tcMar>
          </w:tcPr>
          <w:p w14:paraId="3649E105" w14:textId="77777777" w:rsidR="00B94CF2" w:rsidRPr="00A838E0" w:rsidRDefault="00B94CF2" w:rsidP="00B94CF2"/>
        </w:tc>
      </w:tr>
      <w:tr w:rsidR="00B94CF2" w:rsidRPr="00A838E0" w14:paraId="79922A64" w14:textId="77777777" w:rsidTr="0096492B">
        <w:tc>
          <w:tcPr>
            <w:tcW w:w="8730" w:type="dxa"/>
            <w:tcMar>
              <w:left w:w="14" w:type="dxa"/>
              <w:right w:w="14" w:type="dxa"/>
            </w:tcMar>
          </w:tcPr>
          <w:p w14:paraId="7B1F7CE7" w14:textId="77777777" w:rsidR="00B94CF2" w:rsidRPr="00A838E0" w:rsidRDefault="00B94CF2" w:rsidP="00B94CF2">
            <w:pPr>
              <w:ind w:left="360"/>
            </w:pPr>
            <w:r w:rsidRPr="00A838E0">
              <w:t>16. Plans for Tabulation and Publication and Project Time Schedule</w:t>
            </w:r>
          </w:p>
        </w:tc>
        <w:tc>
          <w:tcPr>
            <w:tcW w:w="450" w:type="dxa"/>
            <w:tcMar>
              <w:left w:w="14" w:type="dxa"/>
              <w:right w:w="14" w:type="dxa"/>
            </w:tcMar>
          </w:tcPr>
          <w:p w14:paraId="0207A002" w14:textId="77777777" w:rsidR="00B94CF2" w:rsidRPr="00A838E0" w:rsidRDefault="00B94CF2" w:rsidP="00B94CF2"/>
        </w:tc>
      </w:tr>
      <w:tr w:rsidR="00B94CF2" w:rsidRPr="00A838E0" w14:paraId="1E0C7070" w14:textId="77777777" w:rsidTr="0096492B">
        <w:tc>
          <w:tcPr>
            <w:tcW w:w="8730" w:type="dxa"/>
            <w:tcMar>
              <w:left w:w="14" w:type="dxa"/>
              <w:right w:w="14" w:type="dxa"/>
            </w:tcMar>
          </w:tcPr>
          <w:p w14:paraId="77712AF9" w14:textId="77777777" w:rsidR="00B94CF2" w:rsidRPr="00A838E0" w:rsidRDefault="00B94CF2" w:rsidP="00B94CF2">
            <w:pPr>
              <w:ind w:left="360"/>
            </w:pPr>
            <w:r w:rsidRPr="00A838E0">
              <w:t>17. Reason(s) Display of OMB Expiration Date is Inappropriate</w:t>
            </w:r>
          </w:p>
        </w:tc>
        <w:tc>
          <w:tcPr>
            <w:tcW w:w="450" w:type="dxa"/>
            <w:tcMar>
              <w:left w:w="14" w:type="dxa"/>
              <w:right w:w="14" w:type="dxa"/>
            </w:tcMar>
          </w:tcPr>
          <w:p w14:paraId="4B8A91E9" w14:textId="77777777" w:rsidR="00B94CF2" w:rsidRPr="00A838E0" w:rsidRDefault="00B94CF2" w:rsidP="00B94CF2"/>
        </w:tc>
      </w:tr>
      <w:tr w:rsidR="00B94CF2" w:rsidRPr="00A838E0" w14:paraId="501BF02F" w14:textId="77777777" w:rsidTr="0096492B">
        <w:tc>
          <w:tcPr>
            <w:tcW w:w="8730" w:type="dxa"/>
            <w:tcMar>
              <w:left w:w="14" w:type="dxa"/>
              <w:right w:w="14" w:type="dxa"/>
            </w:tcMar>
          </w:tcPr>
          <w:p w14:paraId="5E423587" w14:textId="77777777" w:rsidR="00B94CF2" w:rsidRPr="00A838E0" w:rsidRDefault="00B94CF2" w:rsidP="00B94CF2">
            <w:pPr>
              <w:ind w:left="360"/>
            </w:pPr>
            <w:r w:rsidRPr="00A838E0">
              <w:t>18. Exceptions to Certification for Paperwork Reduction Act Submissions</w:t>
            </w:r>
          </w:p>
        </w:tc>
        <w:tc>
          <w:tcPr>
            <w:tcW w:w="450" w:type="dxa"/>
            <w:tcMar>
              <w:left w:w="14" w:type="dxa"/>
              <w:right w:w="14" w:type="dxa"/>
            </w:tcMar>
          </w:tcPr>
          <w:p w14:paraId="2D0C68C4" w14:textId="77777777" w:rsidR="00B94CF2" w:rsidRPr="00A838E0" w:rsidRDefault="00B94CF2" w:rsidP="00B94CF2"/>
        </w:tc>
      </w:tr>
      <w:tr w:rsidR="004B11A3" w:rsidRPr="00A838E0" w14:paraId="41885B31" w14:textId="77777777" w:rsidTr="0096492B">
        <w:trPr>
          <w:trHeight w:val="296"/>
        </w:trPr>
        <w:tc>
          <w:tcPr>
            <w:tcW w:w="8730" w:type="dxa"/>
            <w:tcMar>
              <w:left w:w="14" w:type="dxa"/>
              <w:right w:w="14" w:type="dxa"/>
            </w:tcMar>
          </w:tcPr>
          <w:p w14:paraId="5ADA11C4" w14:textId="77777777" w:rsidR="004B11A3" w:rsidRPr="00A838E0" w:rsidRDefault="004B11A3" w:rsidP="004B11A3"/>
        </w:tc>
        <w:tc>
          <w:tcPr>
            <w:tcW w:w="450" w:type="dxa"/>
            <w:tcMar>
              <w:left w:w="14" w:type="dxa"/>
              <w:right w:w="14" w:type="dxa"/>
            </w:tcMar>
          </w:tcPr>
          <w:p w14:paraId="7AE86C1C" w14:textId="77777777" w:rsidR="004B11A3" w:rsidRPr="00A838E0" w:rsidRDefault="004B11A3" w:rsidP="00B94CF2"/>
        </w:tc>
      </w:tr>
      <w:tr w:rsidR="00E50D7A" w:rsidRPr="00A838E0" w14:paraId="4F289975" w14:textId="77777777" w:rsidTr="0096492B">
        <w:trPr>
          <w:trHeight w:val="296"/>
        </w:trPr>
        <w:tc>
          <w:tcPr>
            <w:tcW w:w="8730" w:type="dxa"/>
            <w:tcMar>
              <w:left w:w="14" w:type="dxa"/>
              <w:right w:w="14" w:type="dxa"/>
            </w:tcMar>
          </w:tcPr>
          <w:p w14:paraId="271F4BBB" w14:textId="77777777" w:rsidR="00E50D7A" w:rsidRPr="00A838E0" w:rsidRDefault="0096492B" w:rsidP="00E50D7A">
            <w:r w:rsidRPr="00A838E0">
              <w:t>References</w:t>
            </w:r>
          </w:p>
        </w:tc>
        <w:tc>
          <w:tcPr>
            <w:tcW w:w="450" w:type="dxa"/>
            <w:tcMar>
              <w:left w:w="14" w:type="dxa"/>
              <w:right w:w="14" w:type="dxa"/>
            </w:tcMar>
          </w:tcPr>
          <w:p w14:paraId="76A9121B" w14:textId="77777777" w:rsidR="00E50D7A" w:rsidRPr="00A838E0" w:rsidRDefault="00E50D7A" w:rsidP="00E50D7A"/>
        </w:tc>
      </w:tr>
      <w:tr w:rsidR="00E50D7A" w:rsidRPr="00A838E0" w14:paraId="65A054E0" w14:textId="77777777" w:rsidTr="0096492B">
        <w:trPr>
          <w:trHeight w:val="296"/>
        </w:trPr>
        <w:tc>
          <w:tcPr>
            <w:tcW w:w="8730" w:type="dxa"/>
            <w:tcMar>
              <w:left w:w="14" w:type="dxa"/>
              <w:right w:w="14" w:type="dxa"/>
            </w:tcMar>
          </w:tcPr>
          <w:p w14:paraId="6393FCE3" w14:textId="77777777" w:rsidR="00E50D7A" w:rsidRPr="00A838E0" w:rsidRDefault="00E50D7A" w:rsidP="00E50D7A"/>
        </w:tc>
        <w:tc>
          <w:tcPr>
            <w:tcW w:w="450" w:type="dxa"/>
            <w:tcMar>
              <w:left w:w="14" w:type="dxa"/>
              <w:right w:w="14" w:type="dxa"/>
            </w:tcMar>
          </w:tcPr>
          <w:p w14:paraId="3F597312" w14:textId="77777777" w:rsidR="00E50D7A" w:rsidRPr="00A838E0" w:rsidRDefault="00E50D7A" w:rsidP="00E50D7A"/>
        </w:tc>
      </w:tr>
      <w:tr w:rsidR="00E50D7A" w:rsidRPr="00A838E0" w14:paraId="1A5BE88D" w14:textId="77777777" w:rsidTr="0096492B">
        <w:trPr>
          <w:trHeight w:val="296"/>
        </w:trPr>
        <w:tc>
          <w:tcPr>
            <w:tcW w:w="8730" w:type="dxa"/>
            <w:tcMar>
              <w:left w:w="14" w:type="dxa"/>
              <w:right w:w="14" w:type="dxa"/>
            </w:tcMar>
          </w:tcPr>
          <w:p w14:paraId="52E4FF53" w14:textId="77777777" w:rsidR="00E50D7A" w:rsidRPr="00A838E0" w:rsidRDefault="0096492B" w:rsidP="00E50D7A">
            <w:r>
              <w:t xml:space="preserve">List of </w:t>
            </w:r>
            <w:r w:rsidR="000510EE">
              <w:t xml:space="preserve">Appendices and </w:t>
            </w:r>
            <w:r>
              <w:t>Attachments</w:t>
            </w:r>
          </w:p>
        </w:tc>
        <w:tc>
          <w:tcPr>
            <w:tcW w:w="450" w:type="dxa"/>
            <w:tcMar>
              <w:left w:w="14" w:type="dxa"/>
              <w:right w:w="14" w:type="dxa"/>
            </w:tcMar>
          </w:tcPr>
          <w:p w14:paraId="3623E6D9" w14:textId="77777777" w:rsidR="00E50D7A" w:rsidRPr="00A838E0" w:rsidRDefault="00E50D7A" w:rsidP="00E50D7A"/>
        </w:tc>
      </w:tr>
    </w:tbl>
    <w:p w14:paraId="52F53B45" w14:textId="77777777" w:rsidR="006E5940" w:rsidRDefault="006E5940" w:rsidP="00B94CF2">
      <w:pPr>
        <w:rPr>
          <w:b/>
        </w:rPr>
      </w:pPr>
    </w:p>
    <w:p w14:paraId="24EF9BF0" w14:textId="77777777" w:rsidR="00277FC5" w:rsidRDefault="006E5940" w:rsidP="00AF170E">
      <w:pPr>
        <w:jc w:val="center"/>
        <w:rPr>
          <w:b/>
        </w:rPr>
      </w:pPr>
      <w:r>
        <w:rPr>
          <w:b/>
        </w:rPr>
        <w:br w:type="page"/>
      </w:r>
      <w:r w:rsidR="00AD1E1D">
        <w:rPr>
          <w:b/>
        </w:rPr>
        <w:lastRenderedPageBreak/>
        <w:t xml:space="preserve">Ebola </w:t>
      </w:r>
      <w:r w:rsidR="00736C81">
        <w:rPr>
          <w:b/>
        </w:rPr>
        <w:t>Virus Disease</w:t>
      </w:r>
      <w:r w:rsidR="00AD1E1D">
        <w:rPr>
          <w:b/>
        </w:rPr>
        <w:t xml:space="preserve"> in the United States</w:t>
      </w:r>
      <w:r w:rsidR="00D61036">
        <w:rPr>
          <w:b/>
        </w:rPr>
        <w:t xml:space="preserve">: </w:t>
      </w:r>
    </w:p>
    <w:p w14:paraId="173DFFCF" w14:textId="77777777" w:rsidR="00AD1E1D" w:rsidRDefault="00277FC5" w:rsidP="00AF170E">
      <w:pPr>
        <w:jc w:val="center"/>
        <w:rPr>
          <w:b/>
        </w:rPr>
      </w:pPr>
      <w:r>
        <w:rPr>
          <w:b/>
        </w:rPr>
        <w:t xml:space="preserve">CDC Support for </w:t>
      </w:r>
      <w:r w:rsidR="00D61036">
        <w:rPr>
          <w:b/>
        </w:rPr>
        <w:t>Case and Contact Investigation</w:t>
      </w:r>
    </w:p>
    <w:p w14:paraId="408B75D3" w14:textId="77777777" w:rsidR="00AD1E1D" w:rsidRDefault="00053A03" w:rsidP="00AD1E1D">
      <w:pPr>
        <w:jc w:val="center"/>
        <w:rPr>
          <w:b/>
        </w:rPr>
      </w:pPr>
      <w:r>
        <w:rPr>
          <w:b/>
        </w:rPr>
        <w:t>Emergency</w:t>
      </w:r>
      <w:r w:rsidR="00AD1E1D">
        <w:rPr>
          <w:b/>
        </w:rPr>
        <w:t xml:space="preserve"> Information Collection Request</w:t>
      </w:r>
      <w:r w:rsidR="00AD1E1D" w:rsidDel="000E2DF1">
        <w:rPr>
          <w:b/>
        </w:rPr>
        <w:t xml:space="preserve"> </w:t>
      </w:r>
    </w:p>
    <w:p w14:paraId="41340063" w14:textId="77777777" w:rsidR="00D945C2" w:rsidRDefault="00095659" w:rsidP="00095659">
      <w:pPr>
        <w:tabs>
          <w:tab w:val="left" w:pos="1628"/>
        </w:tabs>
      </w:pPr>
      <w:r>
        <w:tab/>
      </w:r>
    </w:p>
    <w:p w14:paraId="02FF9C8D" w14:textId="77777777" w:rsidR="00095659" w:rsidRDefault="00095659" w:rsidP="00095659">
      <w:pPr>
        <w:tabs>
          <w:tab w:val="left" w:pos="1628"/>
        </w:tabs>
      </w:pPr>
    </w:p>
    <w:p w14:paraId="232584BF" w14:textId="77777777" w:rsidR="0053091E" w:rsidRPr="003C7A61" w:rsidRDefault="0053091E" w:rsidP="0053091E">
      <w:pPr>
        <w:rPr>
          <w:b/>
        </w:rPr>
      </w:pPr>
      <w:r w:rsidRPr="003C7A61">
        <w:rPr>
          <w:b/>
          <w:u w:val="single"/>
        </w:rPr>
        <w:t>A.  Justification</w:t>
      </w:r>
    </w:p>
    <w:p w14:paraId="71625DB7" w14:textId="77777777" w:rsidR="0053091E" w:rsidRDefault="0053091E" w:rsidP="0053091E">
      <w:pPr>
        <w:rPr>
          <w:b/>
        </w:rPr>
      </w:pPr>
    </w:p>
    <w:p w14:paraId="65B22D83" w14:textId="77777777" w:rsidR="00053A03" w:rsidRDefault="00053A03" w:rsidP="000C6364">
      <w:r>
        <w:t>This is an emergency request fo</w:t>
      </w:r>
      <w:r w:rsidR="007E014F">
        <w:t xml:space="preserve">r </w:t>
      </w:r>
      <w:r w:rsidR="00F63AF7">
        <w:t xml:space="preserve">180-day </w:t>
      </w:r>
      <w:r w:rsidR="007E014F">
        <w:t>OMB approval to allow the Centers for Disease Control and Prevention (CDC) to provide uninterrupted emergency support for</w:t>
      </w:r>
      <w:r>
        <w:t xml:space="preserve"> domestic Ebola virus disease (EVD) case investigation and contact tracing activities</w:t>
      </w:r>
      <w:r w:rsidR="00F63AF7">
        <w:t xml:space="preserve"> on behalf of state, territorial, and local public health authorities</w:t>
      </w:r>
      <w:r w:rsidR="00AC29BE">
        <w:t xml:space="preserve"> in the United States (U.S.)</w:t>
      </w:r>
      <w:r w:rsidR="003B756B">
        <w:t>.</w:t>
      </w:r>
      <w:r w:rsidR="0080426B">
        <w:t xml:space="preserve"> As of December, 2014, continued </w:t>
      </w:r>
      <w:r w:rsidR="00AC29BE">
        <w:t xml:space="preserve">federal assistance in West Africa </w:t>
      </w:r>
      <w:r w:rsidR="0080426B">
        <w:t xml:space="preserve">indicates that domestic screening and monitoring of travelers from </w:t>
      </w:r>
      <w:r w:rsidR="008C44D3">
        <w:t>Ebola-</w:t>
      </w:r>
      <w:r w:rsidR="0080426B">
        <w:t>affected countries and their contacts here in the U.S.</w:t>
      </w:r>
      <w:r w:rsidR="008C44D3">
        <w:t xml:space="preserve"> remains a public health priority.</w:t>
      </w:r>
    </w:p>
    <w:p w14:paraId="7F88FA7D" w14:textId="77777777" w:rsidR="00053A03" w:rsidRPr="00053A03" w:rsidRDefault="00053A03" w:rsidP="000C6364"/>
    <w:p w14:paraId="44FE8FEF" w14:textId="77777777" w:rsidR="0053091E" w:rsidRPr="00034430" w:rsidRDefault="0053091E" w:rsidP="000C6364">
      <w:pPr>
        <w:rPr>
          <w:b/>
        </w:rPr>
      </w:pPr>
      <w:r w:rsidRPr="00034430">
        <w:rPr>
          <w:b/>
        </w:rPr>
        <w:t>1.  Circumstances making the Collection of Information Necessary</w:t>
      </w:r>
    </w:p>
    <w:p w14:paraId="74E4ADD8" w14:textId="77777777" w:rsidR="00340397" w:rsidRDefault="00340397" w:rsidP="00340397">
      <w:pPr>
        <w:outlineLvl w:val="1"/>
        <w:rPr>
          <w:bCs/>
          <w:color w:val="333333"/>
        </w:rPr>
      </w:pPr>
    </w:p>
    <w:p w14:paraId="03EE3880" w14:textId="77777777" w:rsidR="003A4248" w:rsidRDefault="00E8085B" w:rsidP="00AD4BD1">
      <w:pPr>
        <w:rPr>
          <w:lang w:val="en"/>
        </w:rPr>
      </w:pPr>
      <w:r>
        <w:rPr>
          <w:lang w:val="en"/>
        </w:rPr>
        <w:t>Beginning in</w:t>
      </w:r>
      <w:r w:rsidR="000C6364" w:rsidRPr="00E8085B">
        <w:rPr>
          <w:lang w:val="en"/>
        </w:rPr>
        <w:t xml:space="preserve"> March 10, 2014, West Africa experienced the largest known Ebola virus disease (EVD) epidemic with approximately 13,000 persons infected </w:t>
      </w:r>
      <w:r w:rsidR="008C2137">
        <w:rPr>
          <w:lang w:val="en"/>
        </w:rPr>
        <w:t>by</w:t>
      </w:r>
      <w:r w:rsidR="00340397">
        <w:rPr>
          <w:lang w:val="en"/>
        </w:rPr>
        <w:t xml:space="preserve"> the end of October</w:t>
      </w:r>
      <w:r w:rsidR="000C6364" w:rsidRPr="00E8085B">
        <w:rPr>
          <w:lang w:val="en"/>
        </w:rPr>
        <w:t xml:space="preserve"> (</w:t>
      </w:r>
      <w:r w:rsidR="000C6364" w:rsidRPr="00E8085B">
        <w:rPr>
          <w:i/>
          <w:iCs/>
          <w:lang w:val="en"/>
        </w:rPr>
        <w:t>1,2</w:t>
      </w:r>
      <w:r w:rsidR="000C6364" w:rsidRPr="00E8085B">
        <w:rPr>
          <w:lang w:val="en"/>
        </w:rPr>
        <w:t xml:space="preserve">). </w:t>
      </w:r>
      <w:r w:rsidR="005B3846">
        <w:rPr>
          <w:lang w:val="en"/>
        </w:rPr>
        <w:t>T</w:t>
      </w:r>
      <w:r w:rsidR="00644D91" w:rsidRPr="00E8085B">
        <w:rPr>
          <w:lang w:val="en"/>
        </w:rPr>
        <w:t>h</w:t>
      </w:r>
      <w:r w:rsidR="008C2137">
        <w:rPr>
          <w:lang w:val="en"/>
        </w:rPr>
        <w:t>is</w:t>
      </w:r>
      <w:r w:rsidR="005B3846">
        <w:rPr>
          <w:lang w:val="en"/>
        </w:rPr>
        <w:t xml:space="preserve"> international</w:t>
      </w:r>
      <w:r w:rsidR="005B3846" w:rsidRPr="00E8085B">
        <w:rPr>
          <w:lang w:val="en"/>
        </w:rPr>
        <w:t xml:space="preserve"> </w:t>
      </w:r>
      <w:r w:rsidR="008C2137">
        <w:rPr>
          <w:lang w:val="en"/>
        </w:rPr>
        <w:t>outbreak</w:t>
      </w:r>
      <w:r w:rsidR="005B3846" w:rsidRPr="00E8085B">
        <w:rPr>
          <w:lang w:val="en"/>
        </w:rPr>
        <w:t xml:space="preserve"> </w:t>
      </w:r>
      <w:r w:rsidR="005B3846">
        <w:rPr>
          <w:lang w:val="en"/>
        </w:rPr>
        <w:t xml:space="preserve">quickly became </w:t>
      </w:r>
      <w:r w:rsidR="007E6395">
        <w:rPr>
          <w:lang w:val="en"/>
        </w:rPr>
        <w:t xml:space="preserve">a </w:t>
      </w:r>
      <w:r w:rsidR="005B3846">
        <w:rPr>
          <w:lang w:val="en"/>
        </w:rPr>
        <w:t>domestic</w:t>
      </w:r>
      <w:r w:rsidR="007E6395">
        <w:rPr>
          <w:lang w:val="en"/>
        </w:rPr>
        <w:t xml:space="preserve"> one</w:t>
      </w:r>
      <w:r w:rsidR="00644D91" w:rsidRPr="00E8085B">
        <w:rPr>
          <w:lang w:val="en"/>
        </w:rPr>
        <w:t xml:space="preserve"> when a </w:t>
      </w:r>
      <w:r w:rsidR="008C2137" w:rsidRPr="00E8085B">
        <w:rPr>
          <w:lang w:val="en"/>
        </w:rPr>
        <w:t>45-year-old</w:t>
      </w:r>
      <w:r w:rsidR="00644D91" w:rsidRPr="00E8085B">
        <w:rPr>
          <w:lang w:val="en"/>
        </w:rPr>
        <w:t xml:space="preserve"> male with a recent history of </w:t>
      </w:r>
      <w:r w:rsidR="00EB109A">
        <w:rPr>
          <w:lang w:val="en"/>
        </w:rPr>
        <w:t xml:space="preserve">air </w:t>
      </w:r>
      <w:r w:rsidR="00644D91" w:rsidRPr="00E8085B">
        <w:rPr>
          <w:lang w:val="en"/>
        </w:rPr>
        <w:t>travel from Liberia presented to a Dallas County, Texas, emergency department. He became the first imported case of EVD diagnosed in the U.S. on September 30, 2014</w:t>
      </w:r>
      <w:r w:rsidR="00800ADB" w:rsidRPr="00E8085B">
        <w:rPr>
          <w:lang w:val="en"/>
        </w:rPr>
        <w:t xml:space="preserve"> </w:t>
      </w:r>
      <w:r w:rsidR="00800ADB" w:rsidRPr="00E8085B">
        <w:rPr>
          <w:i/>
          <w:lang w:val="en"/>
        </w:rPr>
        <w:t>(3)</w:t>
      </w:r>
      <w:r w:rsidR="00644D91" w:rsidRPr="00E8085B">
        <w:rPr>
          <w:lang w:val="en"/>
        </w:rPr>
        <w:t>.</w:t>
      </w:r>
      <w:r w:rsidR="0024433F">
        <w:rPr>
          <w:lang w:val="en"/>
        </w:rPr>
        <w:t xml:space="preserve"> </w:t>
      </w:r>
      <w:r w:rsidR="00035F40">
        <w:rPr>
          <w:lang w:val="en"/>
        </w:rPr>
        <w:t>Subsequently, two nurses who provi</w:t>
      </w:r>
      <w:r w:rsidR="00973E72">
        <w:rPr>
          <w:lang w:val="en"/>
        </w:rPr>
        <w:t>ded hospital bedside care to this</w:t>
      </w:r>
      <w:r w:rsidR="00035F40">
        <w:rPr>
          <w:lang w:val="en"/>
        </w:rPr>
        <w:t xml:space="preserve"> patient in Texas were later diagnosed with EVD. One of the nurses traveled by commercial airline between Dallas, Texas, </w:t>
      </w:r>
      <w:r w:rsidR="00C2611E">
        <w:rPr>
          <w:lang w:val="en"/>
        </w:rPr>
        <w:t xml:space="preserve">and </w:t>
      </w:r>
      <w:r w:rsidR="00160F92">
        <w:rPr>
          <w:lang w:val="en"/>
        </w:rPr>
        <w:t>Cleveland, Ohio, prior to</w:t>
      </w:r>
      <w:r w:rsidR="00035F40">
        <w:rPr>
          <w:lang w:val="en"/>
        </w:rPr>
        <w:t xml:space="preserve"> diagnosis</w:t>
      </w:r>
      <w:r w:rsidR="003D7C72">
        <w:rPr>
          <w:lang w:val="en"/>
        </w:rPr>
        <w:t xml:space="preserve"> upon </w:t>
      </w:r>
      <w:r w:rsidR="009470BD">
        <w:rPr>
          <w:lang w:val="en"/>
        </w:rPr>
        <w:t xml:space="preserve">her </w:t>
      </w:r>
      <w:r w:rsidR="003D7C72">
        <w:rPr>
          <w:lang w:val="en"/>
        </w:rPr>
        <w:t>return to Texas</w:t>
      </w:r>
      <w:r w:rsidR="000D5411">
        <w:rPr>
          <w:lang w:val="en"/>
        </w:rPr>
        <w:t xml:space="preserve"> </w:t>
      </w:r>
      <w:r w:rsidR="00035F40">
        <w:rPr>
          <w:i/>
          <w:lang w:val="en"/>
        </w:rPr>
        <w:t>(4)</w:t>
      </w:r>
      <w:r w:rsidR="00035F40">
        <w:rPr>
          <w:lang w:val="en"/>
        </w:rPr>
        <w:t xml:space="preserve">. </w:t>
      </w:r>
      <w:r w:rsidR="000D5411">
        <w:rPr>
          <w:lang w:val="en"/>
        </w:rPr>
        <w:t>Both the Texas Department of State Health Services and the Ohio Department of Health requested the CDC to assist with their respective investigations</w:t>
      </w:r>
      <w:r w:rsidR="004D7AF8">
        <w:rPr>
          <w:lang w:val="en"/>
        </w:rPr>
        <w:t>. The CDC collected case investigation and contact tracing information and reviewed plans for triaging and diagnostic testing and infection control</w:t>
      </w:r>
      <w:r w:rsidR="000D5411">
        <w:rPr>
          <w:lang w:val="en"/>
        </w:rPr>
        <w:t xml:space="preserve"> </w:t>
      </w:r>
      <w:r w:rsidR="000D5411">
        <w:rPr>
          <w:i/>
          <w:lang w:val="en"/>
        </w:rPr>
        <w:t>(3,4)</w:t>
      </w:r>
      <w:r w:rsidR="000D5411">
        <w:rPr>
          <w:lang w:val="en"/>
        </w:rPr>
        <w:t>.</w:t>
      </w:r>
      <w:r w:rsidR="004D7AF8">
        <w:rPr>
          <w:rStyle w:val="FootnoteReference"/>
          <w:lang w:val="en"/>
        </w:rPr>
        <w:footnoteReference w:id="2"/>
      </w:r>
      <w:r w:rsidR="000D5411">
        <w:rPr>
          <w:lang w:val="en"/>
        </w:rPr>
        <w:t xml:space="preserve"> </w:t>
      </w:r>
    </w:p>
    <w:p w14:paraId="64FA31E2" w14:textId="77777777" w:rsidR="009E773E" w:rsidRDefault="009E773E" w:rsidP="00C2042F">
      <w:pPr>
        <w:rPr>
          <w:bCs/>
        </w:rPr>
      </w:pPr>
    </w:p>
    <w:p w14:paraId="6D588B75" w14:textId="77777777" w:rsidR="00AD4BD1" w:rsidRPr="0054480B" w:rsidRDefault="00032C32" w:rsidP="00A12D7B">
      <w:pPr>
        <w:rPr>
          <w:lang w:val="en"/>
        </w:rPr>
      </w:pPr>
      <w:r w:rsidRPr="00E8085B">
        <w:rPr>
          <w:bCs/>
        </w:rPr>
        <w:t xml:space="preserve">This </w:t>
      </w:r>
      <w:r w:rsidR="0085217A">
        <w:rPr>
          <w:bCs/>
        </w:rPr>
        <w:t>sentinel</w:t>
      </w:r>
      <w:r w:rsidR="003A4248" w:rsidRPr="00E8085B">
        <w:rPr>
          <w:bCs/>
        </w:rPr>
        <w:t xml:space="preserve"> </w:t>
      </w:r>
      <w:r w:rsidRPr="00E8085B">
        <w:rPr>
          <w:bCs/>
        </w:rPr>
        <w:t>incide</w:t>
      </w:r>
      <w:r w:rsidR="000B678F" w:rsidRPr="00E8085B">
        <w:rPr>
          <w:bCs/>
        </w:rPr>
        <w:t xml:space="preserve">nt </w:t>
      </w:r>
      <w:r w:rsidR="0054480B">
        <w:rPr>
          <w:bCs/>
        </w:rPr>
        <w:t xml:space="preserve">demonstrated how </w:t>
      </w:r>
      <w:r w:rsidR="000B678F" w:rsidRPr="00E8085B">
        <w:rPr>
          <w:bCs/>
        </w:rPr>
        <w:t xml:space="preserve">the federal government and </w:t>
      </w:r>
      <w:r w:rsidRPr="00E8085B">
        <w:rPr>
          <w:bCs/>
        </w:rPr>
        <w:t>state, tribal</w:t>
      </w:r>
      <w:r w:rsidR="00EB109A">
        <w:rPr>
          <w:bCs/>
        </w:rPr>
        <w:t>, and local</w:t>
      </w:r>
      <w:r w:rsidRPr="00E8085B">
        <w:rPr>
          <w:bCs/>
        </w:rPr>
        <w:t xml:space="preserve"> </w:t>
      </w:r>
      <w:r w:rsidR="00EB109A">
        <w:rPr>
          <w:bCs/>
        </w:rPr>
        <w:t xml:space="preserve">(STL) </w:t>
      </w:r>
      <w:r w:rsidR="00794899">
        <w:rPr>
          <w:bCs/>
        </w:rPr>
        <w:t xml:space="preserve">public health </w:t>
      </w:r>
      <w:r w:rsidRPr="00E8085B">
        <w:rPr>
          <w:bCs/>
        </w:rPr>
        <w:t xml:space="preserve">authorities </w:t>
      </w:r>
      <w:r w:rsidR="00C2611E" w:rsidRPr="00E8085B">
        <w:rPr>
          <w:bCs/>
        </w:rPr>
        <w:t xml:space="preserve">coordinate and </w:t>
      </w:r>
      <w:r w:rsidR="000B678F" w:rsidRPr="00E8085B">
        <w:rPr>
          <w:bCs/>
        </w:rPr>
        <w:t>exercise their</w:t>
      </w:r>
      <w:r w:rsidR="00C2611E" w:rsidRPr="00E8085B">
        <w:rPr>
          <w:bCs/>
        </w:rPr>
        <w:t xml:space="preserve"> </w:t>
      </w:r>
      <w:r w:rsidRPr="00E8085B">
        <w:rPr>
          <w:bCs/>
        </w:rPr>
        <w:t>isolation and quarantine</w:t>
      </w:r>
      <w:r w:rsidR="00CC3EB9">
        <w:rPr>
          <w:rStyle w:val="FootnoteReference"/>
          <w:bCs/>
        </w:rPr>
        <w:footnoteReference w:id="3"/>
      </w:r>
      <w:r w:rsidR="000B678F" w:rsidRPr="00E8085B">
        <w:rPr>
          <w:bCs/>
        </w:rPr>
        <w:t xml:space="preserve"> powers to</w:t>
      </w:r>
      <w:r w:rsidR="00E62303" w:rsidRPr="00E8085B">
        <w:t xml:space="preserve"> protect the public</w:t>
      </w:r>
      <w:r w:rsidR="008746C3">
        <w:t xml:space="preserve"> </w:t>
      </w:r>
      <w:r w:rsidR="00E54D61">
        <w:rPr>
          <w:i/>
        </w:rPr>
        <w:t>(5,6)</w:t>
      </w:r>
      <w:r w:rsidR="00EB109A">
        <w:t>.</w:t>
      </w:r>
      <w:r w:rsidR="00E62303" w:rsidRPr="00E8085B">
        <w:t xml:space="preserve"> </w:t>
      </w:r>
      <w:r w:rsidR="00BB0CD5">
        <w:t>T</w:t>
      </w:r>
      <w:r w:rsidR="00E62303" w:rsidRPr="00AD6BCF">
        <w:t>he federal government</w:t>
      </w:r>
      <w:r w:rsidR="00504329" w:rsidRPr="008A24AB">
        <w:t xml:space="preserve"> a</w:t>
      </w:r>
      <w:r w:rsidR="00E62303" w:rsidRPr="008A24AB">
        <w:t>cts to prevent</w:t>
      </w:r>
      <w:r w:rsidR="00CB2C86">
        <w:t xml:space="preserve"> the entry of </w:t>
      </w:r>
      <w:r w:rsidR="0049728A">
        <w:t>communicable diseases</w:t>
      </w:r>
      <w:r w:rsidR="00504329" w:rsidRPr="00C77F68">
        <w:t xml:space="preserve"> into the U.S</w:t>
      </w:r>
      <w:r w:rsidR="00E62303" w:rsidRPr="00C77F68">
        <w:t xml:space="preserve">. </w:t>
      </w:r>
      <w:r w:rsidR="00575A8B">
        <w:t xml:space="preserve">where </w:t>
      </w:r>
      <w:r w:rsidR="003C514D">
        <w:t xml:space="preserve">its </w:t>
      </w:r>
      <w:r w:rsidR="00575A8B">
        <w:t>c</w:t>
      </w:r>
      <w:r w:rsidR="0049728A">
        <w:t>ontrol methods</w:t>
      </w:r>
      <w:r w:rsidR="00E62303" w:rsidRPr="00E8085B">
        <w:t xml:space="preserve"> may be used at U.S. ports of entry.</w:t>
      </w:r>
      <w:r w:rsidR="00504329" w:rsidRPr="0085217A">
        <w:t xml:space="preserve"> </w:t>
      </w:r>
      <w:r w:rsidR="00176910">
        <w:t xml:space="preserve">In order to facilitate these functions, </w:t>
      </w:r>
      <w:r w:rsidR="0049728A">
        <w:t xml:space="preserve">the CDC </w:t>
      </w:r>
      <w:r w:rsidR="00E81DF5">
        <w:t xml:space="preserve">has </w:t>
      </w:r>
      <w:r w:rsidR="007A7AAD">
        <w:t xml:space="preserve">previously </w:t>
      </w:r>
      <w:r w:rsidR="00E81DF5">
        <w:t>obtained OMB approval</w:t>
      </w:r>
      <w:r w:rsidR="003602B4" w:rsidRPr="00B56123">
        <w:t xml:space="preserve"> </w:t>
      </w:r>
      <w:r w:rsidR="0049728A">
        <w:t xml:space="preserve">for </w:t>
      </w:r>
      <w:r w:rsidR="00312D43">
        <w:t xml:space="preserve">Quarantine Officers </w:t>
      </w:r>
      <w:r w:rsidR="00557329">
        <w:t>to work with</w:t>
      </w:r>
      <w:r w:rsidR="00312D43">
        <w:t xml:space="preserve"> </w:t>
      </w:r>
      <w:r w:rsidR="0049728A">
        <w:t xml:space="preserve">the </w:t>
      </w:r>
      <w:r w:rsidR="00B76EFD">
        <w:t xml:space="preserve">U.S. Customs and Border Patrol (CBP) </w:t>
      </w:r>
      <w:r w:rsidR="003602B4" w:rsidRPr="00B56123">
        <w:t>to screen</w:t>
      </w:r>
      <w:r w:rsidR="00B330ED" w:rsidRPr="00235A22">
        <w:t xml:space="preserve">, </w:t>
      </w:r>
      <w:r w:rsidR="005F1B09" w:rsidRPr="00235A22">
        <w:t>detect</w:t>
      </w:r>
      <w:r w:rsidR="00B330ED" w:rsidRPr="00C40FF7">
        <w:t>, and refer</w:t>
      </w:r>
      <w:r w:rsidR="005F1B09" w:rsidRPr="00C40FF7">
        <w:t xml:space="preserve"> </w:t>
      </w:r>
      <w:r w:rsidR="00B330ED" w:rsidRPr="003D7A5C">
        <w:t>potential person</w:t>
      </w:r>
      <w:r w:rsidR="00BA7B8A">
        <w:t>s</w:t>
      </w:r>
      <w:r w:rsidR="00E21B8A">
        <w:t xml:space="preserve"> at risk for communicable diseases</w:t>
      </w:r>
      <w:r w:rsidR="00B330ED" w:rsidRPr="003D7A5C">
        <w:t xml:space="preserve"> to </w:t>
      </w:r>
      <w:r w:rsidR="00176910">
        <w:lastRenderedPageBreak/>
        <w:t>STL</w:t>
      </w:r>
      <w:r w:rsidR="00B330ED" w:rsidRPr="003D7A5C">
        <w:t xml:space="preserve"> </w:t>
      </w:r>
      <w:r w:rsidR="0049728A">
        <w:t xml:space="preserve">public health </w:t>
      </w:r>
      <w:r w:rsidR="00B330ED" w:rsidRPr="003D7A5C">
        <w:t>authorities</w:t>
      </w:r>
      <w:r w:rsidR="00B66C7B">
        <w:t>.</w:t>
      </w:r>
      <w:r w:rsidR="00B66C7B">
        <w:rPr>
          <w:rStyle w:val="FootnoteReference"/>
        </w:rPr>
        <w:footnoteReference w:id="4"/>
      </w:r>
      <w:r w:rsidR="00E21B8A">
        <w:rPr>
          <w:bCs/>
        </w:rPr>
        <w:t xml:space="preserve"> As of October 11, 2014, t</w:t>
      </w:r>
      <w:r w:rsidR="00AD4BD1" w:rsidRPr="00AD4BD1">
        <w:rPr>
          <w:bCs/>
        </w:rPr>
        <w:t>h</w:t>
      </w:r>
      <w:r w:rsidR="00952657">
        <w:rPr>
          <w:bCs/>
        </w:rPr>
        <w:t>e objective of this screening was modified</w:t>
      </w:r>
      <w:r w:rsidR="00AD4BD1" w:rsidRPr="00AD4BD1">
        <w:rPr>
          <w:bCs/>
        </w:rPr>
        <w:t xml:space="preserve"> to identify trav</w:t>
      </w:r>
      <w:r w:rsidR="0049728A">
        <w:rPr>
          <w:bCs/>
        </w:rPr>
        <w:t>elers who may be sick with EVD</w:t>
      </w:r>
      <w:r w:rsidR="00AD4BD1" w:rsidRPr="00AD4BD1">
        <w:rPr>
          <w:bCs/>
        </w:rPr>
        <w:t xml:space="preserve"> or may have had an exposure to Ebola when </w:t>
      </w:r>
      <w:r w:rsidR="00174E45">
        <w:rPr>
          <w:bCs/>
        </w:rPr>
        <w:t>they arrive in the U.S.</w:t>
      </w:r>
      <w:r w:rsidR="00AD4BD1" w:rsidRPr="00AD4BD1">
        <w:rPr>
          <w:bCs/>
        </w:rPr>
        <w:t xml:space="preserve">, and </w:t>
      </w:r>
      <w:r w:rsidR="00866D80">
        <w:rPr>
          <w:bCs/>
        </w:rPr>
        <w:t xml:space="preserve">to </w:t>
      </w:r>
      <w:r w:rsidR="00AD4BD1" w:rsidRPr="00AD4BD1">
        <w:rPr>
          <w:bCs/>
        </w:rPr>
        <w:t>ensure that these travelers are directed to appropriate care and monito</w:t>
      </w:r>
      <w:r w:rsidR="00EA4396">
        <w:rPr>
          <w:bCs/>
        </w:rPr>
        <w:t>ring, if needed, to</w:t>
      </w:r>
      <w:r w:rsidR="00AD4BD1" w:rsidRPr="00AD4BD1">
        <w:rPr>
          <w:bCs/>
        </w:rPr>
        <w:t xml:space="preserve"> prote</w:t>
      </w:r>
      <w:r w:rsidR="00AD4BD1">
        <w:rPr>
          <w:bCs/>
        </w:rPr>
        <w:t>ct the health of all Americans.</w:t>
      </w:r>
    </w:p>
    <w:p w14:paraId="78EAF7F8" w14:textId="77777777" w:rsidR="00AD4BD1" w:rsidRDefault="00AD4BD1" w:rsidP="00AC56DD"/>
    <w:p w14:paraId="6937D7A8" w14:textId="77777777" w:rsidR="000C0D4A" w:rsidRDefault="00837670" w:rsidP="00BF78AF">
      <w:pPr>
        <w:rPr>
          <w:color w:val="333333"/>
        </w:rPr>
      </w:pPr>
      <w:r>
        <w:t>T</w:t>
      </w:r>
      <w:r w:rsidR="000C0D4A">
        <w:t>he CDC released its “Interim Guidance for Monitoring and Movement of Persons with Potential Ebola Virus,” which provides STL public health authorities and other partners</w:t>
      </w:r>
      <w:r w:rsidR="00747A29">
        <w:t xml:space="preserve"> </w:t>
      </w:r>
      <w:r w:rsidR="000C0D4A">
        <w:t xml:space="preserve">with a framework for determining appropriate public </w:t>
      </w:r>
      <w:r w:rsidR="000C0D4A" w:rsidRPr="000321C9">
        <w:t>health actions based on risk factors and clinical presentation</w:t>
      </w:r>
      <w:r w:rsidR="00DD786B">
        <w:t xml:space="preserve"> </w:t>
      </w:r>
      <w:r w:rsidR="00DD786B">
        <w:rPr>
          <w:i/>
        </w:rPr>
        <w:t>(7)</w:t>
      </w:r>
      <w:r w:rsidR="000C0D4A" w:rsidRPr="000321C9">
        <w:t xml:space="preserve">. Included are criteria for </w:t>
      </w:r>
      <w:r w:rsidR="006F3CCE">
        <w:t xml:space="preserve">domestic </w:t>
      </w:r>
      <w:r w:rsidR="000C0D4A" w:rsidRPr="000321C9">
        <w:t xml:space="preserve">monitoring </w:t>
      </w:r>
      <w:r w:rsidR="006F3CCE">
        <w:t xml:space="preserve">of </w:t>
      </w:r>
      <w:r w:rsidR="000C0D4A" w:rsidRPr="000321C9">
        <w:t>people</w:t>
      </w:r>
      <w:r w:rsidR="00CA05CC">
        <w:t xml:space="preserve"> who may have had an exposure to Ebola</w:t>
      </w:r>
      <w:r w:rsidR="000C0D4A" w:rsidRPr="000321C9">
        <w:t xml:space="preserve"> </w:t>
      </w:r>
      <w:r w:rsidR="000C0D4A" w:rsidRPr="000321C9">
        <w:rPr>
          <w:color w:val="333333"/>
        </w:rPr>
        <w:t>and for evaluating their intended travel, including the application of movement restrictions when indicated</w:t>
      </w:r>
      <w:r w:rsidR="000C0D4A" w:rsidRPr="000321C9">
        <w:t>.</w:t>
      </w:r>
      <w:r w:rsidR="000C0D4A">
        <w:t xml:space="preserve"> </w:t>
      </w:r>
      <w:r w:rsidR="000C0D4A">
        <w:rPr>
          <w:color w:val="333333"/>
        </w:rPr>
        <w:t>As of November 16, 2014, t</w:t>
      </w:r>
      <w:r w:rsidR="000C0D4A" w:rsidRPr="000321C9">
        <w:rPr>
          <w:color w:val="333333"/>
        </w:rPr>
        <w:t>his interim guidanc</w:t>
      </w:r>
      <w:r w:rsidR="000C0D4A">
        <w:rPr>
          <w:color w:val="333333"/>
        </w:rPr>
        <w:t>e recommends</w:t>
      </w:r>
      <w:r w:rsidR="00CA05CC">
        <w:rPr>
          <w:color w:val="333333"/>
        </w:rPr>
        <w:t xml:space="preserve"> public health actions based on</w:t>
      </w:r>
      <w:r w:rsidR="000C0D4A">
        <w:rPr>
          <w:color w:val="333333"/>
        </w:rPr>
        <w:t xml:space="preserve"> high, some,</w:t>
      </w:r>
      <w:r w:rsidR="000C0D4A" w:rsidRPr="000321C9">
        <w:rPr>
          <w:color w:val="333333"/>
        </w:rPr>
        <w:t xml:space="preserve"> low (but not zero)</w:t>
      </w:r>
      <w:r w:rsidR="000C0D4A">
        <w:rPr>
          <w:color w:val="333333"/>
        </w:rPr>
        <w:t>, and no identifiable risk exposure categories; and adds</w:t>
      </w:r>
      <w:r w:rsidR="000C0D4A" w:rsidRPr="000321C9">
        <w:rPr>
          <w:color w:val="333333"/>
        </w:rPr>
        <w:t xml:space="preserve"> recommendations for specific groups and settings.</w:t>
      </w:r>
      <w:r w:rsidR="000C0D4A">
        <w:rPr>
          <w:rStyle w:val="FootnoteReference"/>
          <w:color w:val="333333"/>
        </w:rPr>
        <w:footnoteReference w:id="5"/>
      </w:r>
    </w:p>
    <w:p w14:paraId="1E593DE5" w14:textId="77777777" w:rsidR="000C0D4A" w:rsidRDefault="000C0D4A" w:rsidP="00485CC2"/>
    <w:p w14:paraId="60A84950" w14:textId="70707D4A" w:rsidR="008F2F3A" w:rsidRPr="008F2F3A" w:rsidRDefault="00674E24" w:rsidP="00ED2971">
      <w:pPr>
        <w:rPr>
          <w:lang w:val="en"/>
        </w:rPr>
      </w:pPr>
      <w:r>
        <w:t>T</w:t>
      </w:r>
      <w:r w:rsidR="006F3CCE">
        <w:t xml:space="preserve">his </w:t>
      </w:r>
      <w:r w:rsidR="001460BF">
        <w:t xml:space="preserve">information collection </w:t>
      </w:r>
      <w:r w:rsidR="006F3CCE">
        <w:t xml:space="preserve">request </w:t>
      </w:r>
      <w:r w:rsidR="001460BF">
        <w:t xml:space="preserve">(ICR) </w:t>
      </w:r>
      <w:r w:rsidR="00A12D7B">
        <w:t>will</w:t>
      </w:r>
      <w:r w:rsidR="0023724C">
        <w:t xml:space="preserve"> allow the CDC to </w:t>
      </w:r>
      <w:r w:rsidR="00063483">
        <w:t xml:space="preserve">conduct specified data collection activities that </w:t>
      </w:r>
      <w:r w:rsidR="0023724C">
        <w:t>support</w:t>
      </w:r>
      <w:r w:rsidR="008F2F3A">
        <w:t xml:space="preserve"> </w:t>
      </w:r>
      <w:r w:rsidR="008F2F3A" w:rsidRPr="009E773E">
        <w:t>S</w:t>
      </w:r>
      <w:r w:rsidR="008F2F3A" w:rsidRPr="005965AE">
        <w:t>TL</w:t>
      </w:r>
      <w:r w:rsidR="008F2F3A" w:rsidRPr="009E773E">
        <w:t xml:space="preserve"> </w:t>
      </w:r>
      <w:r w:rsidR="0023724C">
        <w:t>public health authorities</w:t>
      </w:r>
      <w:r w:rsidR="00653628">
        <w:t xml:space="preserve"> </w:t>
      </w:r>
      <w:r w:rsidR="00063483">
        <w:t>when they</w:t>
      </w:r>
      <w:r w:rsidR="00653628">
        <w:t xml:space="preserve"> </w:t>
      </w:r>
      <w:r w:rsidR="00AC56DD">
        <w:t>exercis</w:t>
      </w:r>
      <w:r w:rsidR="00653628">
        <w:t>e</w:t>
      </w:r>
      <w:r w:rsidR="008F2F3A" w:rsidRPr="009E773E">
        <w:t xml:space="preserve"> </w:t>
      </w:r>
      <w:r w:rsidR="008F2F3A">
        <w:t xml:space="preserve">their own </w:t>
      </w:r>
      <w:r w:rsidR="008F2F3A" w:rsidRPr="009E773E">
        <w:t>police power functions to protect the health, safety, and welfare of persons within their border</w:t>
      </w:r>
      <w:r w:rsidR="00B76EFD">
        <w:t>s</w:t>
      </w:r>
      <w:r w:rsidR="0023724C">
        <w:t>. These powers include</w:t>
      </w:r>
      <w:r w:rsidR="00B76EFD">
        <w:t xml:space="preserve"> </w:t>
      </w:r>
      <w:r w:rsidR="008F2F3A" w:rsidRPr="008746C3">
        <w:t>laws to enforce the use of isolation and quarantine.</w:t>
      </w:r>
      <w:r w:rsidR="008F2F3A" w:rsidRPr="00D3743E">
        <w:t xml:space="preserve"> These laws can vary from state to state and can be</w:t>
      </w:r>
      <w:r w:rsidR="008F2F3A" w:rsidRPr="005965AE">
        <w:t> specific</w:t>
      </w:r>
      <w:r w:rsidR="008F2F3A" w:rsidRPr="009E773E">
        <w:t xml:space="preserve"> or broad. In some states, local health author</w:t>
      </w:r>
      <w:r w:rsidR="00FC7D33">
        <w:t>ities implement state law</w:t>
      </w:r>
      <w:r w:rsidR="008F2F3A" w:rsidRPr="009E773E">
        <w:t>. Tribes also have police power authority to take actions that promote the health, safety, and welfare of their tribal members. Tribal health authorities may enforce their own isolation and quarantine laws within tr</w:t>
      </w:r>
      <w:r w:rsidR="008F2F3A" w:rsidRPr="008746C3">
        <w:t>ibal lands, if such laws exist.</w:t>
      </w:r>
      <w:r w:rsidR="008F2F3A" w:rsidRPr="005965AE">
        <w:t xml:space="preserve"> </w:t>
      </w:r>
      <w:r w:rsidR="008F2F3A" w:rsidRPr="009E773E">
        <w:t>It is po</w:t>
      </w:r>
      <w:r w:rsidR="00470D91">
        <w:t>ssible for federal, state, tribal, and loc</w:t>
      </w:r>
      <w:r w:rsidR="008F2F3A" w:rsidRPr="009E773E">
        <w:t xml:space="preserve">al </w:t>
      </w:r>
      <w:r w:rsidR="00BD081A">
        <w:t xml:space="preserve">public </w:t>
      </w:r>
      <w:r w:rsidR="008F2F3A" w:rsidRPr="009E773E">
        <w:t>health authorities to ha</w:t>
      </w:r>
      <w:r w:rsidR="00BD081A">
        <w:t xml:space="preserve">ve and use </w:t>
      </w:r>
      <w:r w:rsidR="008F2F3A" w:rsidRPr="009E773E">
        <w:t>separate but coexisting legal quarantine power in certain events</w:t>
      </w:r>
      <w:r w:rsidR="00BD081A">
        <w:t xml:space="preserve"> all at the same time</w:t>
      </w:r>
      <w:r w:rsidR="00FC0FB4">
        <w:t xml:space="preserve"> (</w:t>
      </w:r>
      <w:r w:rsidR="00EC42C1">
        <w:rPr>
          <w:i/>
        </w:rPr>
        <w:t>5</w:t>
      </w:r>
      <w:r w:rsidR="00FC0FB4">
        <w:t>)</w:t>
      </w:r>
      <w:r w:rsidR="008F2F3A" w:rsidRPr="009E773E">
        <w:t xml:space="preserve">. </w:t>
      </w:r>
    </w:p>
    <w:p w14:paraId="33117B13" w14:textId="77777777" w:rsidR="008F2F3A" w:rsidRDefault="008F2F3A" w:rsidP="00930DFA"/>
    <w:p w14:paraId="40AB48CA" w14:textId="50A9B4DD" w:rsidR="007861FB" w:rsidRPr="00745D10" w:rsidRDefault="006E515D" w:rsidP="00EC5E38">
      <w:pPr>
        <w:rPr>
          <w:bCs/>
          <w:color w:val="000000"/>
        </w:rPr>
      </w:pPr>
      <w:r>
        <w:t>T</w:t>
      </w:r>
      <w:r w:rsidR="00955D32">
        <w:t>hus, t</w:t>
      </w:r>
      <w:r w:rsidR="008B7FDE">
        <w:t>he CDC is seek</w:t>
      </w:r>
      <w:r>
        <w:t>ing a</w:t>
      </w:r>
      <w:r w:rsidR="00CC38C9">
        <w:t>n emergency 180-day</w:t>
      </w:r>
      <w:r>
        <w:t xml:space="preserve"> OMB appro</w:t>
      </w:r>
      <w:r w:rsidR="00DC266F">
        <w:t>val to</w:t>
      </w:r>
      <w:r w:rsidR="006842AC">
        <w:t xml:space="preserve"> </w:t>
      </w:r>
      <w:r w:rsidR="005E099E">
        <w:t xml:space="preserve">support </w:t>
      </w:r>
      <w:r w:rsidR="00F9370F">
        <w:t xml:space="preserve">and to </w:t>
      </w:r>
      <w:r w:rsidR="003F0A5E">
        <w:t>conduct</w:t>
      </w:r>
      <w:r>
        <w:t xml:space="preserve"> </w:t>
      </w:r>
      <w:r w:rsidR="00C30245">
        <w:t xml:space="preserve">field </w:t>
      </w:r>
      <w:r w:rsidR="00063483">
        <w:t xml:space="preserve">data collection activities related to </w:t>
      </w:r>
      <w:r>
        <w:t>EVD case investigations and contact tracing</w:t>
      </w:r>
      <w:r w:rsidR="00C32807">
        <w:t xml:space="preserve"> </w:t>
      </w:r>
      <w:r w:rsidR="008B7FDE">
        <w:t xml:space="preserve">on behalf of and </w:t>
      </w:r>
      <w:r w:rsidR="00C32807">
        <w:t>within the</w:t>
      </w:r>
      <w:r w:rsidR="00B33376">
        <w:t xml:space="preserve"> </w:t>
      </w:r>
      <w:r w:rsidR="009C3427">
        <w:t>jurisdiction</w:t>
      </w:r>
      <w:r w:rsidR="006842AC">
        <w:t>s</w:t>
      </w:r>
      <w:r w:rsidR="00B64166">
        <w:t xml:space="preserve"> of</w:t>
      </w:r>
      <w:r w:rsidR="00C32807">
        <w:t xml:space="preserve"> </w:t>
      </w:r>
      <w:r w:rsidR="00875FAC">
        <w:t xml:space="preserve">requesting </w:t>
      </w:r>
      <w:r w:rsidR="00C32807">
        <w:t xml:space="preserve">STL </w:t>
      </w:r>
      <w:r w:rsidR="000A23BC">
        <w:t xml:space="preserve">public health </w:t>
      </w:r>
      <w:r w:rsidR="00C32807">
        <w:t>authorities</w:t>
      </w:r>
      <w:r w:rsidR="005E099E">
        <w:t xml:space="preserve">. </w:t>
      </w:r>
      <w:r w:rsidR="002061EB">
        <w:t>In addition, CDC would like to collect</w:t>
      </w:r>
      <w:r w:rsidR="00C30245">
        <w:t xml:space="preserve"> daily </w:t>
      </w:r>
      <w:r w:rsidR="00F9370F">
        <w:t xml:space="preserve">updated </w:t>
      </w:r>
      <w:r w:rsidR="00E30B32">
        <w:t xml:space="preserve">active </w:t>
      </w:r>
      <w:r w:rsidR="00F9370F">
        <w:t>case and contact monitoring information</w:t>
      </w:r>
      <w:r w:rsidR="00C30245">
        <w:t xml:space="preserve"> from all STL </w:t>
      </w:r>
      <w:r w:rsidR="00BD0550">
        <w:t>jurisdictions</w:t>
      </w:r>
      <w:r w:rsidR="00F9370F">
        <w:t xml:space="preserve"> whether CDC is </w:t>
      </w:r>
      <w:r w:rsidR="00F51A7F">
        <w:t>conducting</w:t>
      </w:r>
      <w:r w:rsidR="00C30245">
        <w:t xml:space="preserve"> the investigations</w:t>
      </w:r>
      <w:r w:rsidR="00F9370F">
        <w:t xml:space="preserve"> or not</w:t>
      </w:r>
      <w:r w:rsidR="00C30245">
        <w:t xml:space="preserve">. </w:t>
      </w:r>
      <w:r w:rsidR="0057711E">
        <w:t>As</w:t>
      </w:r>
      <w:r w:rsidR="004675F8">
        <w:t xml:space="preserve"> </w:t>
      </w:r>
      <w:r w:rsidR="00B64166">
        <w:t>CDC</w:t>
      </w:r>
      <w:r w:rsidR="0057711E">
        <w:t xml:space="preserve"> assistance to the STL </w:t>
      </w:r>
      <w:r w:rsidR="00745D10">
        <w:t>authorities</w:t>
      </w:r>
      <w:r w:rsidR="0057711E">
        <w:t>, these</w:t>
      </w:r>
      <w:r w:rsidR="00B64166">
        <w:t xml:space="preserve"> </w:t>
      </w:r>
      <w:r w:rsidR="004675F8">
        <w:t>information collections are</w:t>
      </w:r>
      <w:r w:rsidR="008F2F3A" w:rsidRPr="00A838E0">
        <w:t xml:space="preserve"> authorized by Section 301 of the Public Health Service Act (42 U.S.C.</w:t>
      </w:r>
      <w:r w:rsidR="008F2F3A">
        <w:t xml:space="preserve"> </w:t>
      </w:r>
      <w:r w:rsidR="008F2F3A" w:rsidRPr="00A838E0">
        <w:t>241) (</w:t>
      </w:r>
      <w:r w:rsidR="00EC42C1">
        <w:rPr>
          <w:b/>
        </w:rPr>
        <w:t>Appendix</w:t>
      </w:r>
      <w:r w:rsidR="008F2F3A" w:rsidRPr="00822314">
        <w:rPr>
          <w:b/>
        </w:rPr>
        <w:t xml:space="preserve"> 1</w:t>
      </w:r>
      <w:r w:rsidR="008F2F3A" w:rsidRPr="00A838E0">
        <w:t>).</w:t>
      </w:r>
    </w:p>
    <w:p w14:paraId="061452C4" w14:textId="77777777" w:rsidR="00DA6C64" w:rsidRPr="00014364" w:rsidRDefault="00DA6C64" w:rsidP="00D945C2">
      <w:pPr>
        <w:rPr>
          <w:bCs/>
        </w:rPr>
      </w:pPr>
    </w:p>
    <w:p w14:paraId="6FF0F46A" w14:textId="09DD70C3" w:rsidR="00451C9C" w:rsidRDefault="006238EB">
      <w:pPr>
        <w:rPr>
          <w:b/>
          <w:bCs/>
        </w:rPr>
      </w:pPr>
      <w:r w:rsidRPr="0057500A">
        <w:rPr>
          <w:b/>
          <w:bCs/>
        </w:rPr>
        <w:t xml:space="preserve"> </w:t>
      </w:r>
      <w:r w:rsidR="00451C9C">
        <w:rPr>
          <w:b/>
          <w:bCs/>
        </w:rPr>
        <w:br w:type="page"/>
      </w:r>
    </w:p>
    <w:p w14:paraId="54B7D376" w14:textId="3B2E07E0" w:rsidR="00FD1194" w:rsidRPr="0057500A" w:rsidRDefault="00FD1194" w:rsidP="00D945C2">
      <w:pPr>
        <w:rPr>
          <w:b/>
          <w:bCs/>
        </w:rPr>
      </w:pPr>
      <w:r w:rsidRPr="0057500A">
        <w:rPr>
          <w:b/>
          <w:bCs/>
        </w:rPr>
        <w:lastRenderedPageBreak/>
        <w:t>2.  Purpose and Use of Information Collection</w:t>
      </w:r>
    </w:p>
    <w:p w14:paraId="2B3840CB" w14:textId="3A538392" w:rsidR="00BD2E59" w:rsidRDefault="003C3EEC" w:rsidP="00845972">
      <w:pPr>
        <w:pStyle w:val="NormalWeb"/>
      </w:pPr>
      <w:r>
        <w:rPr>
          <w:lang w:val="en"/>
        </w:rPr>
        <w:t xml:space="preserve">The </w:t>
      </w:r>
      <w:r w:rsidR="006F2350">
        <w:rPr>
          <w:lang w:val="en"/>
        </w:rPr>
        <w:t>CDC has used its</w:t>
      </w:r>
      <w:r w:rsidR="00513B7D">
        <w:rPr>
          <w:lang w:val="en"/>
        </w:rPr>
        <w:t xml:space="preserve"> </w:t>
      </w:r>
      <w:r w:rsidR="00A518D9">
        <w:rPr>
          <w:lang w:val="en"/>
        </w:rPr>
        <w:t>experience</w:t>
      </w:r>
      <w:r w:rsidR="00202014">
        <w:rPr>
          <w:lang w:val="en"/>
        </w:rPr>
        <w:t xml:space="preserve"> in Texas and Ohio to develop </w:t>
      </w:r>
      <w:r w:rsidR="00F51A7F">
        <w:rPr>
          <w:lang w:val="en"/>
        </w:rPr>
        <w:t xml:space="preserve">a toolkit of </w:t>
      </w:r>
      <w:r w:rsidR="008C717D">
        <w:rPr>
          <w:lang w:val="en"/>
        </w:rPr>
        <w:t>standardized</w:t>
      </w:r>
      <w:r w:rsidR="00A518D9">
        <w:rPr>
          <w:lang w:val="en"/>
        </w:rPr>
        <w:t xml:space="preserve"> forms</w:t>
      </w:r>
      <w:r w:rsidR="00953EF5">
        <w:rPr>
          <w:lang w:val="en"/>
        </w:rPr>
        <w:t xml:space="preserve"> and guides for STL public health authorities</w:t>
      </w:r>
      <w:r w:rsidR="00A518D9">
        <w:rPr>
          <w:lang w:val="en"/>
        </w:rPr>
        <w:t xml:space="preserve"> to </w:t>
      </w:r>
      <w:r w:rsidR="00AA0175">
        <w:rPr>
          <w:lang w:val="en"/>
        </w:rPr>
        <w:t xml:space="preserve">consider </w:t>
      </w:r>
      <w:r w:rsidR="00A518D9">
        <w:rPr>
          <w:lang w:val="en"/>
        </w:rPr>
        <w:t>us</w:t>
      </w:r>
      <w:r w:rsidR="00AA0175">
        <w:rPr>
          <w:lang w:val="en"/>
        </w:rPr>
        <w:t>ing</w:t>
      </w:r>
      <w:r w:rsidR="00A518D9">
        <w:rPr>
          <w:lang w:val="en"/>
        </w:rPr>
        <w:t xml:space="preserve"> whenever and wherever </w:t>
      </w:r>
      <w:r w:rsidR="00953EF5">
        <w:rPr>
          <w:lang w:val="en"/>
        </w:rPr>
        <w:t xml:space="preserve">active monitoring for EVD must occur. </w:t>
      </w:r>
      <w:r w:rsidR="00095FC6">
        <w:t xml:space="preserve">CDC developed toolkit as a resource and not as a requirement for the STL public health authorities to use. </w:t>
      </w:r>
      <w:r>
        <w:rPr>
          <w:lang w:val="en"/>
        </w:rPr>
        <w:t xml:space="preserve">The CDC’s goal for the use of these forms is to </w:t>
      </w:r>
      <w:r w:rsidR="00063483">
        <w:rPr>
          <w:lang w:val="en"/>
        </w:rPr>
        <w:t>encourage</w:t>
      </w:r>
      <w:r>
        <w:rPr>
          <w:lang w:val="en"/>
        </w:rPr>
        <w:t xml:space="preserve"> uniformity, and</w:t>
      </w:r>
      <w:r w:rsidR="00063483">
        <w:rPr>
          <w:lang w:val="en"/>
        </w:rPr>
        <w:t xml:space="preserve"> thus</w:t>
      </w:r>
      <w:r>
        <w:rPr>
          <w:lang w:val="en"/>
        </w:rPr>
        <w:t xml:space="preserve"> efficiency in federal EVD information collections in support of STL public health authorities. CDC is seeking OMB approval to use</w:t>
      </w:r>
      <w:r w:rsidR="00953EF5">
        <w:rPr>
          <w:lang w:val="en"/>
        </w:rPr>
        <w:t xml:space="preserve"> these forms whenever </w:t>
      </w:r>
      <w:r>
        <w:rPr>
          <w:lang w:val="en"/>
        </w:rPr>
        <w:t>the agency</w:t>
      </w:r>
      <w:r w:rsidR="00A518D9">
        <w:rPr>
          <w:lang w:val="en"/>
        </w:rPr>
        <w:t xml:space="preserve"> is requested </w:t>
      </w:r>
      <w:r w:rsidR="00085AFE">
        <w:rPr>
          <w:lang w:val="en"/>
        </w:rPr>
        <w:t>by STL</w:t>
      </w:r>
      <w:r w:rsidR="00A518D9">
        <w:rPr>
          <w:lang w:val="en"/>
        </w:rPr>
        <w:t xml:space="preserve"> </w:t>
      </w:r>
      <w:r w:rsidR="009B2F2D">
        <w:rPr>
          <w:lang w:val="en"/>
        </w:rPr>
        <w:t>public health authoritie</w:t>
      </w:r>
      <w:r w:rsidR="00A518D9">
        <w:rPr>
          <w:lang w:val="en"/>
        </w:rPr>
        <w:t xml:space="preserve">s or </w:t>
      </w:r>
      <w:r w:rsidR="00A518D9" w:rsidRPr="00EC42C1">
        <w:rPr>
          <w:lang w:val="en"/>
        </w:rPr>
        <w:t xml:space="preserve">by another federal agency </w:t>
      </w:r>
      <w:r w:rsidR="00A518D9">
        <w:rPr>
          <w:lang w:val="en"/>
        </w:rPr>
        <w:t>to assist in the control and preventio</w:t>
      </w:r>
      <w:r w:rsidR="00F12898">
        <w:rPr>
          <w:lang w:val="en"/>
        </w:rPr>
        <w:t xml:space="preserve">n of </w:t>
      </w:r>
      <w:r w:rsidR="006F2350">
        <w:rPr>
          <w:lang w:val="en"/>
        </w:rPr>
        <w:t xml:space="preserve">future </w:t>
      </w:r>
      <w:r w:rsidR="00F12898">
        <w:rPr>
          <w:lang w:val="en"/>
        </w:rPr>
        <w:t xml:space="preserve">EVD </w:t>
      </w:r>
      <w:r w:rsidR="008F3857">
        <w:rPr>
          <w:lang w:val="en"/>
        </w:rPr>
        <w:t xml:space="preserve">outbreaks. </w:t>
      </w:r>
      <w:r w:rsidR="00A518D9">
        <w:rPr>
          <w:lang w:val="en"/>
        </w:rPr>
        <w:t xml:space="preserve">Keeping this ready inventory of pre-approved forms for </w:t>
      </w:r>
      <w:r w:rsidR="00837670">
        <w:rPr>
          <w:lang w:val="en"/>
        </w:rPr>
        <w:t xml:space="preserve">emergency </w:t>
      </w:r>
      <w:r w:rsidR="00A518D9">
        <w:rPr>
          <w:lang w:val="en"/>
        </w:rPr>
        <w:t>domestic investigations will</w:t>
      </w:r>
      <w:r w:rsidR="00EE34F9">
        <w:rPr>
          <w:lang w:val="en"/>
        </w:rPr>
        <w:t xml:space="preserve"> reduce administrative </w:t>
      </w:r>
      <w:r w:rsidR="00EA113D">
        <w:rPr>
          <w:lang w:val="en"/>
        </w:rPr>
        <w:t xml:space="preserve">time </w:t>
      </w:r>
      <w:r w:rsidR="00B179BC">
        <w:rPr>
          <w:lang w:val="en"/>
        </w:rPr>
        <w:t xml:space="preserve">currently spent </w:t>
      </w:r>
      <w:r w:rsidR="00EA113D">
        <w:rPr>
          <w:lang w:val="en"/>
        </w:rPr>
        <w:t xml:space="preserve">seeking </w:t>
      </w:r>
      <w:r w:rsidR="002E225E">
        <w:rPr>
          <w:lang w:val="en"/>
        </w:rPr>
        <w:t xml:space="preserve">a </w:t>
      </w:r>
      <w:r w:rsidR="00837670">
        <w:rPr>
          <w:lang w:val="en"/>
        </w:rPr>
        <w:t xml:space="preserve">separate </w:t>
      </w:r>
      <w:r w:rsidR="00EA113D">
        <w:rPr>
          <w:lang w:val="en"/>
        </w:rPr>
        <w:t>OMB approval</w:t>
      </w:r>
      <w:r w:rsidR="00837670">
        <w:rPr>
          <w:lang w:val="en"/>
        </w:rPr>
        <w:t xml:space="preserve"> for each investigation</w:t>
      </w:r>
      <w:r w:rsidR="00875A01">
        <w:rPr>
          <w:lang w:val="en"/>
        </w:rPr>
        <w:t xml:space="preserve"> conducted by the CDC</w:t>
      </w:r>
      <w:r w:rsidR="00EA113D">
        <w:rPr>
          <w:lang w:val="en"/>
        </w:rPr>
        <w:t>. This,</w:t>
      </w:r>
      <w:r w:rsidR="00EE34F9">
        <w:rPr>
          <w:lang w:val="en"/>
        </w:rPr>
        <w:t xml:space="preserve"> in turn, will</w:t>
      </w:r>
      <w:r w:rsidR="00A518D9">
        <w:rPr>
          <w:lang w:val="en"/>
        </w:rPr>
        <w:t xml:space="preserve"> greatly enhance the CDC’s ability to </w:t>
      </w:r>
      <w:r w:rsidR="00063483">
        <w:rPr>
          <w:lang w:val="en"/>
        </w:rPr>
        <w:t>begin collecting data</w:t>
      </w:r>
      <w:r w:rsidR="00A518D9">
        <w:rPr>
          <w:lang w:val="en"/>
        </w:rPr>
        <w:t xml:space="preserve"> rapidly </w:t>
      </w:r>
      <w:r w:rsidR="00063483">
        <w:rPr>
          <w:lang w:val="en"/>
        </w:rPr>
        <w:t>when</w:t>
      </w:r>
      <w:r w:rsidR="00A518D9">
        <w:rPr>
          <w:lang w:val="en"/>
        </w:rPr>
        <w:t xml:space="preserve"> </w:t>
      </w:r>
      <w:r w:rsidR="00F12898">
        <w:rPr>
          <w:lang w:val="en"/>
        </w:rPr>
        <w:t>STL</w:t>
      </w:r>
      <w:r w:rsidR="00063483">
        <w:rPr>
          <w:lang w:val="en"/>
        </w:rPr>
        <w:t xml:space="preserve"> authorities</w:t>
      </w:r>
      <w:r w:rsidR="00F12898">
        <w:rPr>
          <w:lang w:val="en"/>
        </w:rPr>
        <w:t xml:space="preserve"> </w:t>
      </w:r>
      <w:r w:rsidR="00A518D9">
        <w:rPr>
          <w:lang w:val="en"/>
        </w:rPr>
        <w:t xml:space="preserve">request assistance during public health emergencies to control and reduce EVD </w:t>
      </w:r>
      <w:r w:rsidR="00E5081E">
        <w:rPr>
          <w:lang w:val="en"/>
        </w:rPr>
        <w:t>illness and death</w:t>
      </w:r>
      <w:r w:rsidR="00AB4AA4">
        <w:t>.</w:t>
      </w:r>
      <w:r w:rsidR="0081038D">
        <w:t xml:space="preserve"> </w:t>
      </w:r>
    </w:p>
    <w:p w14:paraId="281A66F1" w14:textId="77777777" w:rsidR="00085488" w:rsidRDefault="00B179BC" w:rsidP="00845972">
      <w:pPr>
        <w:pStyle w:val="NormalWeb"/>
      </w:pPr>
      <w:r>
        <w:t xml:space="preserve">Because </w:t>
      </w:r>
      <w:r w:rsidR="00DD786B">
        <w:t xml:space="preserve">the </w:t>
      </w:r>
      <w:r w:rsidR="00246DF5">
        <w:t xml:space="preserve">global </w:t>
      </w:r>
      <w:r w:rsidR="008C3F13">
        <w:t xml:space="preserve">2014 </w:t>
      </w:r>
      <w:r w:rsidR="00DD786B">
        <w:t>case fat</w:t>
      </w:r>
      <w:r w:rsidR="00BF3289">
        <w:t>ality rate averages about 50%</w:t>
      </w:r>
      <w:r w:rsidR="00DD786B">
        <w:t xml:space="preserve"> </w:t>
      </w:r>
      <w:r w:rsidR="00DD786B">
        <w:rPr>
          <w:i/>
        </w:rPr>
        <w:t>(8)</w:t>
      </w:r>
      <w:r w:rsidR="00DD786B">
        <w:t>, the urgency for CDC to quickly respond to STL requests for assistance</w:t>
      </w:r>
      <w:r w:rsidR="002D275A">
        <w:t xml:space="preserve"> and to efficiently receive</w:t>
      </w:r>
      <w:r w:rsidR="00DC3D3F">
        <w:t xml:space="preserve"> uniform monitoring information are</w:t>
      </w:r>
      <w:r w:rsidR="00DD786B">
        <w:t xml:space="preserve"> of the utmost importance</w:t>
      </w:r>
      <w:r w:rsidR="00631AAF">
        <w:t xml:space="preserve"> </w:t>
      </w:r>
      <w:r w:rsidR="00013C73">
        <w:t xml:space="preserve">to control transmission from foreign countries to </w:t>
      </w:r>
      <w:r w:rsidR="00783D69">
        <w:t>the</w:t>
      </w:r>
      <w:r w:rsidR="00631AAF">
        <w:t xml:space="preserve"> U.S</w:t>
      </w:r>
      <w:r w:rsidR="00DD786B">
        <w:t>.</w:t>
      </w:r>
      <w:r w:rsidR="005D278A">
        <w:t xml:space="preserve"> </w:t>
      </w:r>
      <w:r w:rsidR="00FD1194" w:rsidRPr="00014364">
        <w:rPr>
          <w:rFonts w:cs="Shruti"/>
          <w:bCs/>
        </w:rPr>
        <w:t xml:space="preserve">The information collected on the forms </w:t>
      </w:r>
      <w:r w:rsidR="008F3857">
        <w:rPr>
          <w:rFonts w:cs="Shruti"/>
          <w:bCs/>
        </w:rPr>
        <w:t xml:space="preserve">will </w:t>
      </w:r>
      <w:r w:rsidR="00FD1194" w:rsidRPr="00014364">
        <w:rPr>
          <w:rFonts w:cs="Shruti"/>
          <w:bCs/>
        </w:rPr>
        <w:t>enable</w:t>
      </w:r>
      <w:r w:rsidR="008F3857">
        <w:rPr>
          <w:rFonts w:cs="Shruti"/>
          <w:bCs/>
        </w:rPr>
        <w:t xml:space="preserve"> </w:t>
      </w:r>
      <w:r w:rsidR="0081038D">
        <w:rPr>
          <w:rFonts w:cs="Shruti"/>
          <w:bCs/>
        </w:rPr>
        <w:t xml:space="preserve">the STL </w:t>
      </w:r>
      <w:r w:rsidR="00D83101">
        <w:rPr>
          <w:rFonts w:cs="Shruti"/>
          <w:bCs/>
        </w:rPr>
        <w:t xml:space="preserve">public health </w:t>
      </w:r>
      <w:r w:rsidR="0081038D">
        <w:rPr>
          <w:rFonts w:cs="Shruti"/>
          <w:bCs/>
        </w:rPr>
        <w:t>authorities</w:t>
      </w:r>
      <w:r w:rsidR="004E4CFC">
        <w:rPr>
          <w:rFonts w:cs="Shruti"/>
          <w:bCs/>
        </w:rPr>
        <w:t xml:space="preserve"> to</w:t>
      </w:r>
      <w:r w:rsidR="00FD1194" w:rsidRPr="00014364">
        <w:rPr>
          <w:rFonts w:cs="Shruti"/>
          <w:bCs/>
        </w:rPr>
        <w:t xml:space="preserve"> rapidly implement appropriate control measures to prevent the introduction and spread of </w:t>
      </w:r>
      <w:r w:rsidR="0081038D">
        <w:rPr>
          <w:rFonts w:cs="Shruti"/>
          <w:bCs/>
        </w:rPr>
        <w:t>EVD</w:t>
      </w:r>
      <w:r w:rsidR="00FD1194" w:rsidRPr="00014364">
        <w:rPr>
          <w:rFonts w:cs="Shruti"/>
          <w:bCs/>
        </w:rPr>
        <w:t xml:space="preserve"> in</w:t>
      </w:r>
      <w:r w:rsidR="004F6694">
        <w:rPr>
          <w:rFonts w:cs="Shruti"/>
          <w:bCs/>
        </w:rPr>
        <w:t>to and within</w:t>
      </w:r>
      <w:r w:rsidR="00FD1194" w:rsidRPr="00014364">
        <w:rPr>
          <w:rFonts w:cs="Shruti"/>
          <w:bCs/>
        </w:rPr>
        <w:t xml:space="preserve"> </w:t>
      </w:r>
      <w:r w:rsidR="002950F0">
        <w:rPr>
          <w:rFonts w:cs="Shruti"/>
          <w:bCs/>
        </w:rPr>
        <w:t>their</w:t>
      </w:r>
      <w:r w:rsidR="004E4CFC">
        <w:rPr>
          <w:rFonts w:cs="Shruti"/>
          <w:bCs/>
        </w:rPr>
        <w:t xml:space="preserve"> </w:t>
      </w:r>
      <w:r>
        <w:rPr>
          <w:rFonts w:cs="Shruti"/>
          <w:bCs/>
        </w:rPr>
        <w:t>border</w:t>
      </w:r>
      <w:r w:rsidR="002950F0">
        <w:rPr>
          <w:rFonts w:cs="Shruti"/>
          <w:bCs/>
        </w:rPr>
        <w:t>s</w:t>
      </w:r>
      <w:r w:rsidR="00FD1194" w:rsidRPr="00014364">
        <w:rPr>
          <w:rFonts w:cs="Shruti"/>
          <w:bCs/>
        </w:rPr>
        <w:t>.</w:t>
      </w:r>
      <w:r w:rsidR="004F6694">
        <w:rPr>
          <w:rFonts w:cs="Shruti"/>
          <w:bCs/>
        </w:rPr>
        <w:t xml:space="preserve"> </w:t>
      </w:r>
      <w:bookmarkStart w:id="28" w:name="OLE_LINK24"/>
      <w:bookmarkStart w:id="29" w:name="OLE_LINK25"/>
      <w:r w:rsidR="00FD1194">
        <w:t xml:space="preserve">Data collected on these forms </w:t>
      </w:r>
      <w:r w:rsidR="0015320D">
        <w:t>will be</w:t>
      </w:r>
      <w:r w:rsidR="00FD1194" w:rsidRPr="00523EA5">
        <w:t xml:space="preserve"> used by </w:t>
      </w:r>
      <w:r w:rsidR="00844DB2">
        <w:t xml:space="preserve">STL </w:t>
      </w:r>
      <w:r w:rsidR="00FE0C74">
        <w:t>public health authoritie</w:t>
      </w:r>
      <w:r w:rsidR="00844DB2">
        <w:t>s</w:t>
      </w:r>
      <w:r w:rsidR="00FD1194">
        <w:t xml:space="preserve"> </w:t>
      </w:r>
      <w:r w:rsidR="00FD1194" w:rsidRPr="00523EA5">
        <w:t xml:space="preserve">to make decisions about </w:t>
      </w:r>
      <w:r w:rsidR="00844DB2">
        <w:t>risk</w:t>
      </w:r>
      <w:r w:rsidR="00CF18F6">
        <w:t>s</w:t>
      </w:r>
      <w:r w:rsidR="00844DB2">
        <w:t xml:space="preserve"> for</w:t>
      </w:r>
      <w:r w:rsidR="00FD1194" w:rsidRPr="00523EA5">
        <w:t xml:space="preserve"> illness</w:t>
      </w:r>
      <w:r w:rsidR="00A326AA">
        <w:t xml:space="preserve"> among people with potential </w:t>
      </w:r>
      <w:r w:rsidR="00BE4CE2">
        <w:t>exposure to the Ebola virus</w:t>
      </w:r>
      <w:r w:rsidR="00FD1194" w:rsidRPr="00523EA5">
        <w:t xml:space="preserve"> as well as its communicability.</w:t>
      </w:r>
    </w:p>
    <w:p w14:paraId="17EBF210" w14:textId="77777777" w:rsidR="00493519" w:rsidRDefault="008627D7" w:rsidP="00A47168">
      <w:pPr>
        <w:pStyle w:val="NormalWeb"/>
      </w:pPr>
      <w:r>
        <w:t>A uniform information collection</w:t>
      </w:r>
      <w:r w:rsidR="00CF18F6">
        <w:t xml:space="preserve"> is</w:t>
      </w:r>
      <w:r w:rsidR="004932E4">
        <w:t xml:space="preserve"> </w:t>
      </w:r>
      <w:r w:rsidR="00246DF5">
        <w:t xml:space="preserve">also </w:t>
      </w:r>
      <w:r w:rsidR="004932E4">
        <w:t>necessary to improve</w:t>
      </w:r>
      <w:r w:rsidR="00B179BC">
        <w:t xml:space="preserve"> information quality for </w:t>
      </w:r>
      <w:r w:rsidR="00694073">
        <w:t>publi</w:t>
      </w:r>
      <w:r w:rsidR="00B179BC">
        <w:t>c health surveillance</w:t>
      </w:r>
      <w:r w:rsidR="00694073">
        <w:t xml:space="preserve"> </w:t>
      </w:r>
      <w:r w:rsidR="00485CC2">
        <w:t>across</w:t>
      </w:r>
      <w:r w:rsidR="00BF78AF">
        <w:t xml:space="preserve"> STL jurisdictions </w:t>
      </w:r>
      <w:r w:rsidR="00694073">
        <w:t xml:space="preserve">and </w:t>
      </w:r>
      <w:r w:rsidR="00BF78AF">
        <w:t xml:space="preserve">for </w:t>
      </w:r>
      <w:r w:rsidR="00B179BC">
        <w:t xml:space="preserve">tracking and </w:t>
      </w:r>
      <w:r w:rsidR="00694073">
        <w:t>follow-up purposes</w:t>
      </w:r>
      <w:r w:rsidR="00BF78AF">
        <w:t xml:space="preserve"> among </w:t>
      </w:r>
      <w:r w:rsidR="00B179BC">
        <w:t>people under monitoring</w:t>
      </w:r>
      <w:r w:rsidR="00EC5E38">
        <w:t xml:space="preserve"> until diagnosis or until </w:t>
      </w:r>
      <w:r w:rsidR="00B179BC">
        <w:t xml:space="preserve">21 days </w:t>
      </w:r>
      <w:r w:rsidR="005C4599">
        <w:t xml:space="preserve">of monitoring </w:t>
      </w:r>
      <w:r w:rsidR="00B179BC">
        <w:t>has past</w:t>
      </w:r>
      <w:r w:rsidR="00694073">
        <w:t>.</w:t>
      </w:r>
      <w:bookmarkEnd w:id="28"/>
      <w:bookmarkEnd w:id="29"/>
    </w:p>
    <w:p w14:paraId="51B2005E" w14:textId="77777777" w:rsidR="00493519" w:rsidRDefault="00493519" w:rsidP="00D945C2">
      <w:r>
        <w:rPr>
          <w:b/>
        </w:rPr>
        <w:t>3. Use of Improved Information Technology and Burden Reduction</w:t>
      </w:r>
    </w:p>
    <w:p w14:paraId="34C4E499" w14:textId="77777777" w:rsidR="00493519" w:rsidRDefault="00493519">
      <w:pPr>
        <w:tabs>
          <w:tab w:val="left" w:pos="0"/>
          <w:tab w:val="left" w:pos="374"/>
        </w:tabs>
      </w:pPr>
    </w:p>
    <w:p w14:paraId="0082A23E" w14:textId="77777777" w:rsidR="00851E28" w:rsidRDefault="00851E28">
      <w:pPr>
        <w:tabs>
          <w:tab w:val="left" w:pos="0"/>
          <w:tab w:val="left" w:pos="374"/>
        </w:tabs>
      </w:pPr>
      <w:r>
        <w:t>In the field, t</w:t>
      </w:r>
      <w:r w:rsidR="00E65628">
        <w:t xml:space="preserve">he data needed to complete the forms </w:t>
      </w:r>
      <w:r w:rsidR="00336A37">
        <w:t>may be</w:t>
      </w:r>
      <w:r w:rsidR="000B5CA1">
        <w:t xml:space="preserve"> </w:t>
      </w:r>
      <w:r w:rsidR="00E65628">
        <w:t xml:space="preserve">collected by </w:t>
      </w:r>
      <w:r w:rsidR="00990E7E">
        <w:t>CDC</w:t>
      </w:r>
      <w:r w:rsidR="00E65628">
        <w:t xml:space="preserve"> staff (in-person, fax, email or phone)</w:t>
      </w:r>
      <w:r w:rsidR="00990E7E">
        <w:t xml:space="preserve"> </w:t>
      </w:r>
      <w:r>
        <w:t xml:space="preserve">from persons under investigation </w:t>
      </w:r>
      <w:r w:rsidR="00461F5B">
        <w:t>and confirmed EVD cases</w:t>
      </w:r>
      <w:r>
        <w:t xml:space="preserve"> </w:t>
      </w:r>
      <w:r w:rsidR="00990E7E">
        <w:t xml:space="preserve">on behalf of the STL </w:t>
      </w:r>
      <w:r w:rsidR="002E142B">
        <w:t>public health authoritie</w:t>
      </w:r>
      <w:r w:rsidR="00990E7E">
        <w:t>s</w:t>
      </w:r>
      <w:r w:rsidR="00E65628">
        <w:t xml:space="preserve">.  </w:t>
      </w:r>
      <w:r w:rsidR="00206C6C">
        <w:t>Because the signs and symptoms of EVD may appear from 2 to 21 days after exposure to the Ebola virus</w:t>
      </w:r>
      <w:r w:rsidR="00E65628">
        <w:t>, there is</w:t>
      </w:r>
      <w:r w:rsidR="000B5CA1">
        <w:t xml:space="preserve"> often</w:t>
      </w:r>
      <w:r w:rsidR="00E65628">
        <w:t xml:space="preserve"> only a </w:t>
      </w:r>
      <w:r w:rsidR="00E65628" w:rsidRPr="00523EA5">
        <w:t>short window of opportunity</w:t>
      </w:r>
      <w:r w:rsidR="00E65628">
        <w:t xml:space="preserve"> </w:t>
      </w:r>
      <w:r w:rsidR="00E65628" w:rsidRPr="00523EA5">
        <w:t>to collect data</w:t>
      </w:r>
      <w:r w:rsidR="00E65628">
        <w:t xml:space="preserve"> on illnesses and deaths as well as information </w:t>
      </w:r>
      <w:r w:rsidR="00E65628" w:rsidRPr="00042155">
        <w:t xml:space="preserve">on those persons who may have been exposed to the ill </w:t>
      </w:r>
      <w:r w:rsidR="00A240D5" w:rsidRPr="00042155">
        <w:t xml:space="preserve">or deceased </w:t>
      </w:r>
      <w:r w:rsidR="00E65628" w:rsidRPr="00042155">
        <w:t>person.</w:t>
      </w:r>
      <w:r w:rsidR="00380DEB" w:rsidRPr="00042155">
        <w:t xml:space="preserve"> </w:t>
      </w:r>
      <w:r w:rsidR="00360E40">
        <w:t xml:space="preserve">From the CDC Emergency Operations Center (EOC), the </w:t>
      </w:r>
      <w:r>
        <w:t>CDC also requests the STL pub</w:t>
      </w:r>
      <w:r w:rsidR="00011518">
        <w:t xml:space="preserve">lic health authorities to submit </w:t>
      </w:r>
      <w:r>
        <w:t xml:space="preserve">their daily summary statistics for </w:t>
      </w:r>
      <w:r w:rsidR="00D7241D">
        <w:t>situational aware</w:t>
      </w:r>
      <w:r w:rsidR="00027B52">
        <w:t>ness</w:t>
      </w:r>
      <w:r w:rsidR="00F9495E">
        <w:t xml:space="preserve"> reports for entities such as </w:t>
      </w:r>
      <w:r w:rsidR="00027B52">
        <w:t>the Department of Health and Human Services (</w:t>
      </w:r>
      <w:r>
        <w:t>HHS</w:t>
      </w:r>
      <w:r w:rsidR="00027B52">
        <w:t>)</w:t>
      </w:r>
      <w:r>
        <w:t xml:space="preserve"> and White House reports</w:t>
      </w:r>
      <w:r w:rsidR="00AD702B">
        <w:t xml:space="preserve"> via </w:t>
      </w:r>
      <w:r w:rsidR="00AD702B" w:rsidRPr="00EC42C1">
        <w:t>fax, email, or phone</w:t>
      </w:r>
      <w:r>
        <w:t>.</w:t>
      </w:r>
      <w:r w:rsidR="00321E03">
        <w:t xml:space="preserve"> In this role, STL public health authorities are </w:t>
      </w:r>
      <w:r w:rsidR="00336A37">
        <w:t xml:space="preserve">also </w:t>
      </w:r>
      <w:r w:rsidR="00321E03">
        <w:t>respondents</w:t>
      </w:r>
      <w:r w:rsidR="006619B3">
        <w:t xml:space="preserve"> who also incur reporting burden</w:t>
      </w:r>
      <w:r w:rsidR="00336A37">
        <w:t xml:space="preserve"> to the federal government</w:t>
      </w:r>
      <w:r w:rsidR="00321E03">
        <w:t>.</w:t>
      </w:r>
    </w:p>
    <w:p w14:paraId="2E96E424" w14:textId="77777777" w:rsidR="00321E03" w:rsidRDefault="00321E03">
      <w:pPr>
        <w:tabs>
          <w:tab w:val="left" w:pos="0"/>
          <w:tab w:val="left" w:pos="374"/>
        </w:tabs>
      </w:pPr>
    </w:p>
    <w:p w14:paraId="6DBAF4B8" w14:textId="77777777" w:rsidR="00AD702B" w:rsidRDefault="00321E03">
      <w:pPr>
        <w:tabs>
          <w:tab w:val="left" w:pos="0"/>
          <w:tab w:val="left" w:pos="374"/>
        </w:tabs>
        <w:rPr>
          <w:i/>
        </w:rPr>
      </w:pPr>
      <w:r w:rsidRPr="00042155">
        <w:lastRenderedPageBreak/>
        <w:t xml:space="preserve">Therefore, </w:t>
      </w:r>
      <w:r w:rsidR="00CD480B" w:rsidRPr="00EC42C1">
        <w:t>in the event of a U.S. Ebola case</w:t>
      </w:r>
      <w:r w:rsidR="00EC42C1">
        <w:t>,</w:t>
      </w:r>
      <w:r w:rsidR="00CD480B" w:rsidRPr="00EC42C1">
        <w:t xml:space="preserve"> </w:t>
      </w:r>
      <w:r w:rsidRPr="00CD480B">
        <w:t xml:space="preserve">the CDC plans to </w:t>
      </w:r>
      <w:r w:rsidR="00CD480B" w:rsidRPr="00CD480B">
        <w:t xml:space="preserve">collect data related to the case and case contacts. </w:t>
      </w:r>
      <w:r w:rsidR="00CD480B" w:rsidRPr="00EC42C1">
        <w:t xml:space="preserve"> D</w:t>
      </w:r>
      <w:r w:rsidR="00CD480B">
        <w:t>a</w:t>
      </w:r>
      <w:r w:rsidR="00CD480B" w:rsidRPr="00EC42C1">
        <w:t xml:space="preserve">ta collected will be </w:t>
      </w:r>
      <w:r w:rsidR="00CD480B">
        <w:t>entered</w:t>
      </w:r>
      <w:r w:rsidR="00CD480B" w:rsidRPr="00EC42C1">
        <w:t xml:space="preserve"> into Epi-Info, or a database designed by the STL, to be able to track and identify ill patients. </w:t>
      </w:r>
      <w:r w:rsidR="00CD480B">
        <w:t xml:space="preserve">Data will be aggregated and a summary shared with CDC.  </w:t>
      </w:r>
      <w:r w:rsidR="00CD480B" w:rsidRPr="00EC42C1">
        <w:t>Epi-Info is a suite of software tools for public health professionals which includes a screen form design module, data entry module, analysis module, reporting module, and a mapping module as well as several utilities.  The modules can be used independently for ad hoc data gathering and analytical needs, or they can be used as a rapid development environment for quickly programming public health focused outbreak and surveillance data applications.  When information technology is not available, hardcopy forms will be completed and transmitted through fax, email, or other means when data bases are not available and will be treated in a secure manner and will not be disclosed, unless otherwise compelled by law</w:t>
      </w:r>
      <w:r w:rsidR="00820EA5">
        <w:t>.</w:t>
      </w:r>
    </w:p>
    <w:p w14:paraId="384B32AA" w14:textId="77777777" w:rsidR="00AD702B" w:rsidRPr="00E702AA" w:rsidRDefault="00AD702B">
      <w:pPr>
        <w:tabs>
          <w:tab w:val="left" w:pos="0"/>
          <w:tab w:val="left" w:pos="374"/>
        </w:tabs>
      </w:pPr>
    </w:p>
    <w:p w14:paraId="37E370B6" w14:textId="77777777" w:rsidR="00321E03" w:rsidRPr="009A3702" w:rsidRDefault="00820EA5">
      <w:pPr>
        <w:tabs>
          <w:tab w:val="left" w:pos="0"/>
          <w:tab w:val="left" w:pos="374"/>
        </w:tabs>
        <w:rPr>
          <w:rFonts w:cs="Arial"/>
        </w:rPr>
      </w:pPr>
      <w:r>
        <w:t>We estimate that t</w:t>
      </w:r>
      <w:r w:rsidR="00321E03">
        <w:t>he percentage of estimated annualized burden hours that will be conducted using improved information technology</w:t>
      </w:r>
      <w:r w:rsidR="00727D26">
        <w:t xml:space="preserve"> such as Epi-Info</w:t>
      </w:r>
      <w:r>
        <w:t xml:space="preserve"> by the CDC</w:t>
      </w:r>
      <w:r w:rsidR="00321E03">
        <w:t xml:space="preserve"> is </w:t>
      </w:r>
      <w:r w:rsidR="00727D26">
        <w:t>approximately 20</w:t>
      </w:r>
      <w:r w:rsidR="00321E03">
        <w:t xml:space="preserve"> percent.</w:t>
      </w:r>
    </w:p>
    <w:p w14:paraId="2B67BE80" w14:textId="77777777" w:rsidR="00493519" w:rsidRDefault="00493519" w:rsidP="00D945C2"/>
    <w:p w14:paraId="4603F9CF" w14:textId="77777777" w:rsidR="00493519" w:rsidRDefault="00493519" w:rsidP="00D945C2">
      <w:r>
        <w:rPr>
          <w:b/>
        </w:rPr>
        <w:t>4. Efforts to Identify Duplication and Use of Similar Information</w:t>
      </w:r>
    </w:p>
    <w:p w14:paraId="219354B7" w14:textId="77777777" w:rsidR="00493519" w:rsidRDefault="00493519" w:rsidP="00D945C2"/>
    <w:p w14:paraId="2C25B424" w14:textId="77777777" w:rsidR="00FD4D52" w:rsidRPr="00DB2CEF" w:rsidRDefault="00010ED7" w:rsidP="00493519">
      <w:pPr>
        <w:widowControl w:val="0"/>
      </w:pPr>
      <w:r>
        <w:t xml:space="preserve">STL </w:t>
      </w:r>
      <w:r w:rsidR="00312D43">
        <w:t xml:space="preserve">public </w:t>
      </w:r>
      <w:r>
        <w:t>health</w:t>
      </w:r>
      <w:r w:rsidR="00312D43">
        <w:t xml:space="preserve"> authorities</w:t>
      </w:r>
      <w:r w:rsidR="001F68F7">
        <w:t xml:space="preserve"> are notified</w:t>
      </w:r>
      <w:r w:rsidR="00763062">
        <w:t xml:space="preserve"> </w:t>
      </w:r>
      <w:r w:rsidR="00E75277">
        <w:t xml:space="preserve">by the CBP </w:t>
      </w:r>
      <w:r>
        <w:t>of</w:t>
      </w:r>
      <w:r w:rsidR="00F95015">
        <w:t xml:space="preserve"> </w:t>
      </w:r>
      <w:r>
        <w:t>people</w:t>
      </w:r>
      <w:r w:rsidR="00F95015">
        <w:t xml:space="preserve"> with potential Ebola exposure</w:t>
      </w:r>
      <w:r>
        <w:t xml:space="preserve"> </w:t>
      </w:r>
      <w:r w:rsidR="00763062">
        <w:t xml:space="preserve">arriving </w:t>
      </w:r>
      <w:r w:rsidR="00950C12">
        <w:t>in their border</w:t>
      </w:r>
      <w:r>
        <w:t>s</w:t>
      </w:r>
      <w:r w:rsidR="00950C12">
        <w:t xml:space="preserve">. Each investigation </w:t>
      </w:r>
      <w:r>
        <w:t>will be unique</w:t>
      </w:r>
      <w:r w:rsidR="00201C55">
        <w:t xml:space="preserve"> because each scenario </w:t>
      </w:r>
      <w:r w:rsidR="00763062">
        <w:t xml:space="preserve">of potential </w:t>
      </w:r>
      <w:r w:rsidR="00A6473B">
        <w:t>cases,</w:t>
      </w:r>
      <w:r w:rsidR="00763062">
        <w:t xml:space="preserve"> their contacts</w:t>
      </w:r>
      <w:r w:rsidR="00A6473B">
        <w:t xml:space="preserve">, </w:t>
      </w:r>
      <w:r w:rsidR="00950C12">
        <w:t xml:space="preserve">their personal lifestyles and habits, </w:t>
      </w:r>
      <w:r w:rsidR="00A6473B">
        <w:t>and their movements</w:t>
      </w:r>
      <w:r w:rsidR="00201C55">
        <w:t xml:space="preserve"> will be unique</w:t>
      </w:r>
      <w:r w:rsidR="00493519">
        <w:rPr>
          <w:rFonts w:cs="Arial"/>
        </w:rPr>
        <w:t>.</w:t>
      </w:r>
      <w:r w:rsidR="00763062">
        <w:rPr>
          <w:rFonts w:cs="Arial"/>
        </w:rPr>
        <w:t xml:space="preserve"> </w:t>
      </w:r>
      <w:r w:rsidR="00493519">
        <w:rPr>
          <w:rFonts w:cs="Arial"/>
        </w:rPr>
        <w:t>As a result, CDC</w:t>
      </w:r>
      <w:r w:rsidR="00201C55">
        <w:rPr>
          <w:rFonts w:cs="Arial"/>
        </w:rPr>
        <w:t xml:space="preserve"> and any</w:t>
      </w:r>
      <w:r w:rsidR="00837C12">
        <w:rPr>
          <w:rFonts w:cs="Arial"/>
        </w:rPr>
        <w:t xml:space="preserve"> </w:t>
      </w:r>
      <w:r w:rsidR="00A6473B">
        <w:rPr>
          <w:rFonts w:cs="Arial"/>
        </w:rPr>
        <w:t xml:space="preserve">federal, state, or local </w:t>
      </w:r>
      <w:r w:rsidR="00FC2B77">
        <w:rPr>
          <w:rFonts w:cs="Arial"/>
        </w:rPr>
        <w:t xml:space="preserve">partner </w:t>
      </w:r>
      <w:r w:rsidR="00837C12">
        <w:rPr>
          <w:rFonts w:cs="Arial"/>
        </w:rPr>
        <w:t xml:space="preserve">will </w:t>
      </w:r>
      <w:r w:rsidR="00837C12" w:rsidRPr="0032774B">
        <w:rPr>
          <w:rFonts w:cs="Arial"/>
        </w:rPr>
        <w:t>be part of a coordinated effort to</w:t>
      </w:r>
      <w:r w:rsidR="00950C12" w:rsidRPr="00E44A07">
        <w:rPr>
          <w:rFonts w:cs="Arial"/>
        </w:rPr>
        <w:t xml:space="preserve"> collect unique</w:t>
      </w:r>
      <w:r w:rsidR="00485CC2" w:rsidRPr="00E44A07">
        <w:rPr>
          <w:rFonts w:cs="Arial"/>
        </w:rPr>
        <w:t xml:space="preserve"> case investigation and contact tracing</w:t>
      </w:r>
      <w:r w:rsidR="00950C12" w:rsidRPr="00E44A07">
        <w:rPr>
          <w:rFonts w:cs="Arial"/>
        </w:rPr>
        <w:t xml:space="preserve"> information</w:t>
      </w:r>
      <w:r w:rsidR="00493519" w:rsidRPr="00DB2CEF">
        <w:rPr>
          <w:rFonts w:cs="Arial"/>
        </w:rPr>
        <w:t xml:space="preserve"> related to </w:t>
      </w:r>
      <w:r w:rsidR="00950C12" w:rsidRPr="00DB2CEF">
        <w:rPr>
          <w:rFonts w:cs="Arial"/>
        </w:rPr>
        <w:t>each</w:t>
      </w:r>
      <w:r w:rsidR="00493519" w:rsidRPr="00DB2CEF">
        <w:rPr>
          <w:rFonts w:cs="Arial"/>
        </w:rPr>
        <w:t xml:space="preserve"> introduction and transmission of </w:t>
      </w:r>
      <w:r w:rsidR="00837C12" w:rsidRPr="00DB2CEF">
        <w:rPr>
          <w:rFonts w:cs="Arial"/>
        </w:rPr>
        <w:t>EVD</w:t>
      </w:r>
      <w:r w:rsidR="00950C12" w:rsidRPr="00DB2CEF">
        <w:rPr>
          <w:rFonts w:cs="Arial"/>
        </w:rPr>
        <w:t xml:space="preserve"> into a STL jurisdiction</w:t>
      </w:r>
      <w:r w:rsidR="00493519" w:rsidRPr="00DB2CEF">
        <w:t>.</w:t>
      </w:r>
    </w:p>
    <w:p w14:paraId="72381BA5" w14:textId="77777777" w:rsidR="00CC6EDC" w:rsidRDefault="00CC6EDC" w:rsidP="00D945C2">
      <w:pPr>
        <w:rPr>
          <w:rStyle w:val="CommentReference"/>
        </w:rPr>
      </w:pPr>
    </w:p>
    <w:p w14:paraId="24D4DA4F" w14:textId="6CA5B96D" w:rsidR="00493519" w:rsidRDefault="00493519" w:rsidP="00D945C2">
      <w:r>
        <w:rPr>
          <w:b/>
        </w:rPr>
        <w:t>5. Impact on Small Businesses or Other Small Entities</w:t>
      </w:r>
    </w:p>
    <w:p w14:paraId="14C7CC10" w14:textId="77777777" w:rsidR="00493519" w:rsidRDefault="00493519" w:rsidP="00D945C2"/>
    <w:p w14:paraId="4FEC409A" w14:textId="77777777" w:rsidR="00493519" w:rsidRPr="006E6D24" w:rsidRDefault="00493519" w:rsidP="00493519">
      <w:pPr>
        <w:autoSpaceDE w:val="0"/>
        <w:autoSpaceDN w:val="0"/>
        <w:adjustRightInd w:val="0"/>
      </w:pPr>
      <w:r w:rsidRPr="006E6D24">
        <w:t>Some of the respondents may be small businesses</w:t>
      </w:r>
      <w:r w:rsidR="0014158C">
        <w:t xml:space="preserve"> or other small entities</w:t>
      </w:r>
      <w:r w:rsidRPr="006E6D24">
        <w:t xml:space="preserve">.  However, </w:t>
      </w:r>
      <w:r w:rsidR="00BE6F22">
        <w:t xml:space="preserve">the </w:t>
      </w:r>
      <w:r w:rsidR="00A1430F">
        <w:t xml:space="preserve">number of </w:t>
      </w:r>
      <w:r w:rsidR="00A1430F" w:rsidRPr="006E6D24">
        <w:t xml:space="preserve">variables </w:t>
      </w:r>
      <w:r w:rsidR="00A1430F">
        <w:t xml:space="preserve">collected </w:t>
      </w:r>
      <w:r w:rsidR="00A1430F" w:rsidRPr="006E6D24">
        <w:t>is</w:t>
      </w:r>
      <w:r w:rsidRPr="006E6D24">
        <w:t xml:space="preserve"> kept to </w:t>
      </w:r>
      <w:r w:rsidR="00717BA6">
        <w:t xml:space="preserve">the </w:t>
      </w:r>
      <w:r w:rsidR="00BE6F22">
        <w:t>fewest number</w:t>
      </w:r>
      <w:r w:rsidR="0014158C">
        <w:t xml:space="preserve"> necessary</w:t>
      </w:r>
      <w:r w:rsidRPr="006E6D24">
        <w:t xml:space="preserve"> to minimize burden on small businesses.</w:t>
      </w:r>
      <w:r w:rsidR="0014158C">
        <w:t xml:space="preserve"> We estimate that</w:t>
      </w:r>
      <w:r w:rsidR="00E702AA">
        <w:t xml:space="preserve"> </w:t>
      </w:r>
      <w:r w:rsidR="004B733E">
        <w:t>5</w:t>
      </w:r>
      <w:r w:rsidR="00E702AA">
        <w:t xml:space="preserve"> percent</w:t>
      </w:r>
      <w:r w:rsidR="0014158C">
        <w:t xml:space="preserve"> of the </w:t>
      </w:r>
      <w:r w:rsidR="002C5FE6">
        <w:t>respondents</w:t>
      </w:r>
      <w:r w:rsidR="0014158C">
        <w:t xml:space="preserve"> will be </w:t>
      </w:r>
      <w:r w:rsidR="002C5FE6">
        <w:t>associated with</w:t>
      </w:r>
      <w:r w:rsidR="0014158C">
        <w:t xml:space="preserve"> small businesses</w:t>
      </w:r>
      <w:r w:rsidR="00E561AD">
        <w:t>.</w:t>
      </w:r>
    </w:p>
    <w:p w14:paraId="35773607" w14:textId="77777777" w:rsidR="00493519" w:rsidRDefault="00493519" w:rsidP="00D945C2"/>
    <w:p w14:paraId="39607B77" w14:textId="77777777" w:rsidR="00493519" w:rsidRDefault="00493519" w:rsidP="00D945C2">
      <w:r>
        <w:rPr>
          <w:b/>
        </w:rPr>
        <w:t>6. Consequences of Collecting the Information Less Frequently</w:t>
      </w:r>
    </w:p>
    <w:p w14:paraId="456D64AA" w14:textId="77777777" w:rsidR="00493519" w:rsidRDefault="00493519" w:rsidP="00D945C2"/>
    <w:p w14:paraId="10BB9ED5" w14:textId="16A54DDA" w:rsidR="00414DE7" w:rsidRDefault="004E31C0" w:rsidP="00924CA4">
      <w:pPr>
        <w:widowControl w:val="0"/>
      </w:pPr>
      <w:r>
        <w:t>On an individual basis, i</w:t>
      </w:r>
      <w:r w:rsidR="006F467E">
        <w:t xml:space="preserve">t is anticipated that each </w:t>
      </w:r>
      <w:r w:rsidR="00FA0F7E">
        <w:t xml:space="preserve">general public </w:t>
      </w:r>
      <w:r w:rsidR="006F467E">
        <w:t xml:space="preserve">respondent </w:t>
      </w:r>
      <w:r w:rsidR="003B79B3">
        <w:t>(</w:t>
      </w:r>
      <w:r w:rsidR="00F1463E">
        <w:t>case, PUI, contact</w:t>
      </w:r>
      <w:r w:rsidR="003B79B3">
        <w:t xml:space="preserve">) </w:t>
      </w:r>
      <w:r w:rsidR="006F467E">
        <w:t xml:space="preserve">will be requested to </w:t>
      </w:r>
      <w:r w:rsidR="00924CA4">
        <w:t>provide information</w:t>
      </w:r>
      <w:r w:rsidR="00FC2B77">
        <w:t xml:space="preserve"> at most</w:t>
      </w:r>
      <w:r w:rsidR="00924CA4">
        <w:t xml:space="preserve"> </w:t>
      </w:r>
      <w:r w:rsidR="00414DE7">
        <w:t>5</w:t>
      </w:r>
      <w:r w:rsidR="00B14F33">
        <w:t>7</w:t>
      </w:r>
      <w:r w:rsidR="004B733E">
        <w:t xml:space="preserve"> times</w:t>
      </w:r>
      <w:r w:rsidR="00E702AA">
        <w:t xml:space="preserve"> (</w:t>
      </w:r>
      <w:r w:rsidR="000C7170">
        <w:t>15 times</w:t>
      </w:r>
      <w:r w:rsidR="00466B3E">
        <w:t xml:space="preserve"> during care for Ebola case plus </w:t>
      </w:r>
      <w:r w:rsidR="00F830F8">
        <w:t xml:space="preserve">at least </w:t>
      </w:r>
      <w:r w:rsidR="00E702AA">
        <w:t>da</w:t>
      </w:r>
      <w:r w:rsidR="00F830F8">
        <w:t>il</w:t>
      </w:r>
      <w:r w:rsidR="00E702AA">
        <w:t>y over a 21-day monitoring period</w:t>
      </w:r>
      <w:r w:rsidR="00466B3E">
        <w:t xml:space="preserve"> after last exposure</w:t>
      </w:r>
      <w:r w:rsidR="00E702AA">
        <w:t>)</w:t>
      </w:r>
      <w:r w:rsidR="00924CA4">
        <w:rPr>
          <w:i/>
        </w:rPr>
        <w:t xml:space="preserve">. </w:t>
      </w:r>
      <w:r w:rsidR="00AE5294">
        <w:t>Likewise, h</w:t>
      </w:r>
      <w:r w:rsidR="000C7170">
        <w:t>ealthcare workers, l</w:t>
      </w:r>
      <w:r w:rsidR="00F1463E">
        <w:t xml:space="preserve">aboratory </w:t>
      </w:r>
      <w:r w:rsidR="000C7170">
        <w:t>personnel,</w:t>
      </w:r>
      <w:r w:rsidR="00F1463E">
        <w:t xml:space="preserve"> and environmental services </w:t>
      </w:r>
      <w:r w:rsidR="000C7170">
        <w:t>personnel</w:t>
      </w:r>
      <w:r w:rsidR="00F1463E">
        <w:t xml:space="preserve"> will be requested to provide information at most</w:t>
      </w:r>
      <w:r w:rsidR="004B733E">
        <w:t xml:space="preserve"> </w:t>
      </w:r>
      <w:r w:rsidR="00414DE7">
        <w:t>5</w:t>
      </w:r>
      <w:r w:rsidR="00B14F33">
        <w:t>7</w:t>
      </w:r>
      <w:r w:rsidR="004B733E">
        <w:t xml:space="preserve"> times</w:t>
      </w:r>
      <w:r w:rsidR="00E702AA">
        <w:t xml:space="preserve"> (</w:t>
      </w:r>
      <w:r w:rsidR="00E37DAC" w:rsidRPr="00414DE7">
        <w:t>1</w:t>
      </w:r>
      <w:r w:rsidR="00466B3E" w:rsidRPr="00414DE7">
        <w:t>5</w:t>
      </w:r>
      <w:r w:rsidR="00466B3E">
        <w:t xml:space="preserve"> times during care for Ebola case plus </w:t>
      </w:r>
      <w:r w:rsidR="00F830F8">
        <w:t>at least daily</w:t>
      </w:r>
      <w:r w:rsidR="00466B3E">
        <w:t xml:space="preserve"> over a 21-day monitoring period after last exposure</w:t>
      </w:r>
      <w:r w:rsidR="00E702AA">
        <w:t>)</w:t>
      </w:r>
      <w:r w:rsidR="004B733E">
        <w:t>.</w:t>
      </w:r>
    </w:p>
    <w:p w14:paraId="08C91964" w14:textId="3C08225E" w:rsidR="00414DE7" w:rsidRDefault="00EC4AAC" w:rsidP="00EC4AAC">
      <w:pPr>
        <w:widowControl w:val="0"/>
      </w:pPr>
      <w:r>
        <w:tab/>
      </w:r>
    </w:p>
    <w:p w14:paraId="25DFB3CC" w14:textId="36520235" w:rsidR="003B79B3" w:rsidRPr="00EA3840" w:rsidRDefault="005110A0" w:rsidP="00924CA4">
      <w:pPr>
        <w:widowControl w:val="0"/>
      </w:pPr>
      <w:r>
        <w:t xml:space="preserve">Over a </w:t>
      </w:r>
      <w:r w:rsidR="00AE5294">
        <w:t>180-day period</w:t>
      </w:r>
      <w:r>
        <w:t>, i</w:t>
      </w:r>
      <w:r w:rsidR="003B79B3">
        <w:t xml:space="preserve">t is also anticipated that each STL public health authority will be requested to provide information at most </w:t>
      </w:r>
      <w:r w:rsidR="00AE5294">
        <w:t>336</w:t>
      </w:r>
      <w:r w:rsidR="00B14F33">
        <w:t xml:space="preserve"> times</w:t>
      </w:r>
      <w:r w:rsidR="00466B3E">
        <w:t xml:space="preserve"> </w:t>
      </w:r>
      <w:r w:rsidR="00414DE7">
        <w:t>by a</w:t>
      </w:r>
      <w:r w:rsidR="00466B3E">
        <w:t>ssum</w:t>
      </w:r>
      <w:r w:rsidR="00414DE7">
        <w:t>ing</w:t>
      </w:r>
      <w:r w:rsidR="00466B3E">
        <w:t xml:space="preserve"> </w:t>
      </w:r>
      <w:r w:rsidR="00414DE7">
        <w:t xml:space="preserve">daily reporting for 42 days for </w:t>
      </w:r>
      <w:r w:rsidR="000C7170">
        <w:t xml:space="preserve">up to </w:t>
      </w:r>
      <w:r w:rsidR="00AE5294">
        <w:t>8</w:t>
      </w:r>
      <w:r w:rsidR="00466B3E">
        <w:t xml:space="preserve"> Ebola cases </w:t>
      </w:r>
      <w:r w:rsidR="00414DE7">
        <w:t>(21 hospitalization days and 21 days post discharge active monitoring)</w:t>
      </w:r>
      <w:r w:rsidR="003B79B3">
        <w:rPr>
          <w:i/>
        </w:rPr>
        <w:t xml:space="preserve">. </w:t>
      </w:r>
      <w:r w:rsidR="003B79B3">
        <w:t>These estimates are based on CDC’s current experience in the EOC.</w:t>
      </w:r>
    </w:p>
    <w:p w14:paraId="120161DE" w14:textId="77777777" w:rsidR="003B79B3" w:rsidRPr="008515E1" w:rsidRDefault="003B79B3" w:rsidP="00924CA4">
      <w:pPr>
        <w:widowControl w:val="0"/>
      </w:pPr>
    </w:p>
    <w:p w14:paraId="5A14436F" w14:textId="33A4292C" w:rsidR="005110A0" w:rsidRDefault="0021476B" w:rsidP="008253E0">
      <w:pPr>
        <w:widowControl w:val="0"/>
      </w:pPr>
      <w:r w:rsidRPr="00523EA5">
        <w:lastRenderedPageBreak/>
        <w:t>If data are not collected</w:t>
      </w:r>
      <w:r>
        <w:t xml:space="preserve"> </w:t>
      </w:r>
      <w:r w:rsidR="00FC2B77">
        <w:t xml:space="preserve">at the </w:t>
      </w:r>
      <w:r w:rsidR="00A8155A">
        <w:t xml:space="preserve">above </w:t>
      </w:r>
      <w:r w:rsidR="00FC2B77">
        <w:t>recommend</w:t>
      </w:r>
      <w:r w:rsidR="00F749CB">
        <w:t>ed frequency</w:t>
      </w:r>
      <w:r w:rsidRPr="00523EA5">
        <w:t xml:space="preserve">, there is a risk of </w:t>
      </w:r>
      <w:r>
        <w:t xml:space="preserve">introduction and </w:t>
      </w:r>
      <w:r w:rsidRPr="00523EA5">
        <w:t xml:space="preserve">spread of </w:t>
      </w:r>
      <w:r w:rsidR="00924CA4">
        <w:t>EVD</w:t>
      </w:r>
      <w:r w:rsidRPr="00523EA5">
        <w:t xml:space="preserve"> to the U.S. public.</w:t>
      </w:r>
      <w:r w:rsidR="00AE5294">
        <w:t xml:space="preserve"> </w:t>
      </w:r>
      <w:r w:rsidRPr="00523EA5">
        <w:t>There are no legal obstacles to reducing the burden.</w:t>
      </w:r>
    </w:p>
    <w:p w14:paraId="5DF1FA5C" w14:textId="77777777" w:rsidR="00F5544F" w:rsidRPr="00F5544F" w:rsidRDefault="00F5544F" w:rsidP="008253E0">
      <w:pPr>
        <w:widowControl w:val="0"/>
        <w:rPr>
          <w:b/>
        </w:rPr>
      </w:pPr>
    </w:p>
    <w:p w14:paraId="0453E41F" w14:textId="77777777" w:rsidR="0021476B" w:rsidRDefault="0021476B" w:rsidP="00D945C2">
      <w:r>
        <w:rPr>
          <w:b/>
        </w:rPr>
        <w:t>7. Special Circumstances Relating to the Guidelines of 5 CFR 1320.5</w:t>
      </w:r>
    </w:p>
    <w:p w14:paraId="21631BF5" w14:textId="77777777" w:rsidR="00044DC1" w:rsidRPr="00EA3840" w:rsidRDefault="00044DC1" w:rsidP="00D945C2"/>
    <w:p w14:paraId="72343D4C" w14:textId="77777777" w:rsidR="00677C75" w:rsidRPr="00677C75" w:rsidRDefault="00677C75" w:rsidP="00D945C2">
      <w:r w:rsidRPr="00677C75">
        <w:t>This request fully complies with the regulation 5 CFR 1320.5.</w:t>
      </w:r>
    </w:p>
    <w:p w14:paraId="59208EC2" w14:textId="77777777" w:rsidR="0021476B" w:rsidRDefault="0021476B" w:rsidP="00D945C2"/>
    <w:p w14:paraId="511195F2" w14:textId="77777777" w:rsidR="00AA56A8" w:rsidRDefault="00AA56A8" w:rsidP="00D945C2">
      <w:r>
        <w:rPr>
          <w:b/>
        </w:rPr>
        <w:t>8. Comments in Response to the Federal Register Notice and Efforts to Consult Outside the Agency</w:t>
      </w:r>
    </w:p>
    <w:p w14:paraId="2AB24D37" w14:textId="77777777" w:rsidR="00AA56A8" w:rsidRDefault="00AA56A8" w:rsidP="00D945C2"/>
    <w:p w14:paraId="15490AD4" w14:textId="61CA7002" w:rsidR="000510AA" w:rsidRDefault="000510AA" w:rsidP="000510AA">
      <w:r>
        <w:t xml:space="preserve">A. </w:t>
      </w:r>
      <w:r w:rsidR="00BF7CDC">
        <w:t>OMB has waived the requirement to publish a 60-day and a 30-day Federal Register Notice seeking public comment</w:t>
      </w:r>
      <w:r w:rsidR="00170EA3">
        <w:t>.</w:t>
      </w:r>
    </w:p>
    <w:p w14:paraId="2E31244F" w14:textId="77777777" w:rsidR="000510AA" w:rsidRDefault="000510AA" w:rsidP="000510AA">
      <w:pPr>
        <w:rPr>
          <w:b/>
        </w:rPr>
      </w:pPr>
    </w:p>
    <w:p w14:paraId="2E4AB481" w14:textId="77777777" w:rsidR="005B52C2" w:rsidRDefault="000510AA" w:rsidP="00EA3840">
      <w:pPr>
        <w:pStyle w:val="Default"/>
      </w:pPr>
      <w:r w:rsidRPr="008A68C9">
        <w:t xml:space="preserve">B. </w:t>
      </w:r>
      <w:r w:rsidR="003271A9" w:rsidRPr="008A68C9">
        <w:t>T</w:t>
      </w:r>
      <w:r w:rsidR="00BA2EC2" w:rsidRPr="008A68C9">
        <w:t xml:space="preserve">he CDC is the </w:t>
      </w:r>
      <w:r w:rsidR="00AB202F">
        <w:t xml:space="preserve">nation’s </w:t>
      </w:r>
      <w:r w:rsidR="00BA2EC2" w:rsidRPr="008A68C9">
        <w:t>lead</w:t>
      </w:r>
      <w:r w:rsidR="003C42AE">
        <w:t>ing</w:t>
      </w:r>
      <w:r w:rsidR="00BA2EC2" w:rsidRPr="008A68C9">
        <w:t xml:space="preserve"> federal public health agency</w:t>
      </w:r>
      <w:r w:rsidR="00BA2EC2" w:rsidRPr="00E82518">
        <w:t xml:space="preserve"> </w:t>
      </w:r>
      <w:r w:rsidR="00554DB2">
        <w:t xml:space="preserve">making recommendations </w:t>
      </w:r>
      <w:r w:rsidR="00BA2EC2" w:rsidRPr="00E82518">
        <w:t>for developing and applying disease prevention and control, health promotion</w:t>
      </w:r>
      <w:r w:rsidR="007B1E12">
        <w:t>,</w:t>
      </w:r>
      <w:r w:rsidR="00BA2EC2" w:rsidRPr="00E82518">
        <w:t xml:space="preserve"> and heal</w:t>
      </w:r>
      <w:r w:rsidR="00554DB2">
        <w:t>th education activities</w:t>
      </w:r>
      <w:r w:rsidR="00BA2EC2" w:rsidRPr="00E82518">
        <w:t xml:space="preserve"> to improve the health of the </w:t>
      </w:r>
      <w:r w:rsidR="00A40314">
        <w:t>U.S. public</w:t>
      </w:r>
      <w:r w:rsidR="00AB202F">
        <w:t>. I</w:t>
      </w:r>
      <w:r w:rsidR="00BA2EC2" w:rsidRPr="00E82518">
        <w:t xml:space="preserve">t </w:t>
      </w:r>
      <w:r w:rsidR="00AB202F">
        <w:t xml:space="preserve">also </w:t>
      </w:r>
      <w:r w:rsidR="00BA2EC2" w:rsidRPr="00E82518">
        <w:t xml:space="preserve">provides consultation and assistance to other nations and international agencies to assist in improving their disease prevention and control. </w:t>
      </w:r>
      <w:r w:rsidR="003271A9" w:rsidRPr="008A68C9">
        <w:t>In addition,</w:t>
      </w:r>
      <w:r w:rsidR="003271A9" w:rsidRPr="00E82518">
        <w:t xml:space="preserve"> CDC is responsible for controlling the introduction and spread of communicable diseases by providing program expertise a</w:t>
      </w:r>
      <w:r w:rsidR="00AB202F">
        <w:t xml:space="preserve">nd assistance </w:t>
      </w:r>
      <w:r w:rsidR="003271A9" w:rsidRPr="00E82518">
        <w:t>in responding to federal, state, territorial, local, and private entities.</w:t>
      </w:r>
    </w:p>
    <w:p w14:paraId="02FB8F7C" w14:textId="77777777" w:rsidR="00BF7CDC" w:rsidRDefault="00BF7CDC" w:rsidP="0073016E">
      <w:pPr>
        <w:pStyle w:val="Default"/>
      </w:pPr>
    </w:p>
    <w:p w14:paraId="5971FDAD" w14:textId="77777777" w:rsidR="006A07A0" w:rsidRDefault="00BF7CDC" w:rsidP="00875A01">
      <w:pPr>
        <w:pStyle w:val="Default"/>
      </w:pPr>
      <w:r>
        <w:t>On November 6-11, 2014, the CDC requested</w:t>
      </w:r>
      <w:r w:rsidR="005F1B26">
        <w:t xml:space="preserve"> review and comments </w:t>
      </w:r>
      <w:r w:rsidR="00032203">
        <w:t xml:space="preserve">on the draft “CDC Domestic EVD Toolkit” </w:t>
      </w:r>
      <w:r w:rsidR="005F1B26">
        <w:t>from the Council of State and Territorial Epidemiologists (CSTE). Four CSTE members respon</w:t>
      </w:r>
      <w:r w:rsidR="00A5126D">
        <w:t>ded to this request, representing health departments in Massachusetts, Oklahoma, New Jersey, and New York City (Appendix 2</w:t>
      </w:r>
      <w:r w:rsidR="006D507A">
        <w:t>a</w:t>
      </w:r>
      <w:r w:rsidR="00A5126D">
        <w:t>). CDC took these c</w:t>
      </w:r>
      <w:r w:rsidR="00875A01">
        <w:t>omments in advisement in revis</w:t>
      </w:r>
      <w:r w:rsidR="00A5126D">
        <w:t>ing the EVD Toolkit</w:t>
      </w:r>
      <w:r w:rsidR="006A07A0">
        <w:t>.</w:t>
      </w:r>
    </w:p>
    <w:p w14:paraId="5F59DF90" w14:textId="77777777" w:rsidR="006A07A0" w:rsidRDefault="006A07A0" w:rsidP="00875A01">
      <w:pPr>
        <w:pStyle w:val="Default"/>
      </w:pPr>
    </w:p>
    <w:p w14:paraId="6F1CED8F" w14:textId="77777777" w:rsidR="009B524C" w:rsidRDefault="006A07A0" w:rsidP="00875A01">
      <w:pPr>
        <w:pStyle w:val="Default"/>
        <w:rPr>
          <w:rFonts w:eastAsia="Arial Unicode MS"/>
        </w:rPr>
      </w:pPr>
      <w:r>
        <w:t>On December 19, 2014, the revised draft</w:t>
      </w:r>
      <w:r w:rsidR="00875A01">
        <w:t xml:space="preserve"> </w:t>
      </w:r>
      <w:r>
        <w:t>“CDC Domestic EVD Toolkit”</w:t>
      </w:r>
      <w:r w:rsidR="00875A01">
        <w:t xml:space="preserve"> was then submitted to </w:t>
      </w:r>
      <w:r w:rsidR="002F15E1" w:rsidRPr="002F15E1">
        <w:t xml:space="preserve">the </w:t>
      </w:r>
      <w:r w:rsidR="002F15E1" w:rsidRPr="002F15E1">
        <w:rPr>
          <w:rFonts w:eastAsia="Arial Unicode MS"/>
        </w:rPr>
        <w:t xml:space="preserve">Association of State and Territorial Health Officials (ASTHO) and the </w:t>
      </w:r>
      <w:r w:rsidR="002F15E1" w:rsidRPr="002F15E1">
        <w:t xml:space="preserve">National Association of County and City Health Officials </w:t>
      </w:r>
      <w:r w:rsidR="002F15E1" w:rsidRPr="002F15E1">
        <w:rPr>
          <w:rFonts w:eastAsia="Arial Unicode MS"/>
        </w:rPr>
        <w:t>(NACCHO)</w:t>
      </w:r>
      <w:r>
        <w:t xml:space="preserve"> for review and comment.</w:t>
      </w:r>
      <w:r w:rsidR="004D1519">
        <w:rPr>
          <w:rFonts w:eastAsia="Arial Unicode MS"/>
        </w:rPr>
        <w:t xml:space="preserve"> </w:t>
      </w:r>
      <w:r w:rsidR="002F15E1">
        <w:rPr>
          <w:rFonts w:eastAsia="Arial Unicode MS"/>
        </w:rPr>
        <w:t xml:space="preserve">Both organizations sought review and comment from their membership and submitted responses presented in Appendix 2b </w:t>
      </w:r>
      <w:r w:rsidR="002F15E1" w:rsidRPr="002F15E1">
        <w:rPr>
          <w:rFonts w:eastAsia="Arial Unicode MS"/>
        </w:rPr>
        <w:t xml:space="preserve">(ASTHO) </w:t>
      </w:r>
      <w:r w:rsidR="002F15E1">
        <w:rPr>
          <w:rFonts w:eastAsia="Arial Unicode MS"/>
        </w:rPr>
        <w:t xml:space="preserve">and Appendix 2c </w:t>
      </w:r>
      <w:r w:rsidR="002F15E1" w:rsidRPr="002F15E1">
        <w:rPr>
          <w:rFonts w:eastAsia="Arial Unicode MS"/>
        </w:rPr>
        <w:t>(NACCHO)</w:t>
      </w:r>
      <w:r w:rsidR="002F15E1">
        <w:rPr>
          <w:rFonts w:eastAsia="Arial Unicode MS"/>
        </w:rPr>
        <w:t xml:space="preserve">.  </w:t>
      </w:r>
    </w:p>
    <w:p w14:paraId="7A3C6717" w14:textId="77777777" w:rsidR="009B524C" w:rsidRDefault="009B524C" w:rsidP="00875A01">
      <w:pPr>
        <w:pStyle w:val="Default"/>
        <w:rPr>
          <w:rFonts w:eastAsia="Arial Unicode MS"/>
        </w:rPr>
      </w:pPr>
    </w:p>
    <w:p w14:paraId="66BED605" w14:textId="2E38DB6F" w:rsidR="00E15393" w:rsidRPr="009B524C" w:rsidRDefault="002F15E1" w:rsidP="009B524C">
      <w:pPr>
        <w:pStyle w:val="Default"/>
        <w:rPr>
          <w:rFonts w:eastAsia="Arial Unicode MS"/>
        </w:rPr>
      </w:pPr>
      <w:r>
        <w:rPr>
          <w:rFonts w:eastAsia="Arial Unicode MS"/>
        </w:rPr>
        <w:t>The forms and guidance documents in the toolkit were impro</w:t>
      </w:r>
      <w:r w:rsidR="009B524C">
        <w:rPr>
          <w:rFonts w:eastAsia="Arial Unicode MS"/>
        </w:rPr>
        <w:t xml:space="preserve">ved based on their suggestions. </w:t>
      </w:r>
      <w:r w:rsidR="00E15393">
        <w:rPr>
          <w:rFonts w:eastAsia="Arial Unicode MS"/>
        </w:rPr>
        <w:t>Specifically, the numbering in the heading of the forms was corrected and the label of the form was added to distinguish forms that are used for traveler assessments from those in this toolkit, that is, for a US case and contacts. In addition, there was a word that was redundant (“in”) on one of the guidance forms.</w:t>
      </w:r>
    </w:p>
    <w:p w14:paraId="3EAB6F12" w14:textId="77777777" w:rsidR="002F15E1" w:rsidRDefault="002F15E1" w:rsidP="00D945C2">
      <w:pPr>
        <w:rPr>
          <w:b/>
        </w:rPr>
      </w:pPr>
    </w:p>
    <w:p w14:paraId="51D0D3EA" w14:textId="77777777" w:rsidR="00857D11" w:rsidRDefault="00857D11" w:rsidP="00D945C2">
      <w:r>
        <w:rPr>
          <w:b/>
        </w:rPr>
        <w:t>9. Explanation of Any Payment or Gift to Respondents</w:t>
      </w:r>
    </w:p>
    <w:p w14:paraId="535E91B2" w14:textId="77777777" w:rsidR="008F3D8A" w:rsidRDefault="008F3D8A" w:rsidP="00D945C2"/>
    <w:p w14:paraId="6E0843C3" w14:textId="77777777" w:rsidR="00857D11" w:rsidRDefault="00F66992" w:rsidP="00D945C2">
      <w:r>
        <w:t>There is no payment or gift to respondents</w:t>
      </w:r>
      <w:r w:rsidR="00EA3840">
        <w:t>.</w:t>
      </w:r>
    </w:p>
    <w:p w14:paraId="4E1C7179" w14:textId="77777777" w:rsidR="00DA6C64" w:rsidRDefault="00DA6C64" w:rsidP="00D945C2">
      <w:pPr>
        <w:rPr>
          <w:b/>
        </w:rPr>
      </w:pPr>
    </w:p>
    <w:p w14:paraId="0F3B8BD6" w14:textId="77777777" w:rsidR="00451C9C" w:rsidRDefault="00451C9C" w:rsidP="00D945C2">
      <w:pPr>
        <w:rPr>
          <w:b/>
        </w:rPr>
      </w:pPr>
    </w:p>
    <w:p w14:paraId="7A703D8C" w14:textId="77777777" w:rsidR="00451C9C" w:rsidRDefault="00451C9C" w:rsidP="00D945C2">
      <w:pPr>
        <w:rPr>
          <w:b/>
        </w:rPr>
      </w:pPr>
    </w:p>
    <w:p w14:paraId="3439FC82" w14:textId="77777777" w:rsidR="00857D11" w:rsidRDefault="00857D11" w:rsidP="00D945C2">
      <w:r>
        <w:rPr>
          <w:b/>
        </w:rPr>
        <w:t xml:space="preserve">10. Assurance of Confidentiality Provided to Respondents </w:t>
      </w:r>
    </w:p>
    <w:p w14:paraId="2F98E0FE" w14:textId="77777777" w:rsidR="00857D11" w:rsidRDefault="00857D11" w:rsidP="00D945C2"/>
    <w:p w14:paraId="16FC3AFB" w14:textId="77777777" w:rsidR="002E31F5" w:rsidRPr="00407AED" w:rsidRDefault="002E31F5" w:rsidP="002E31F5">
      <w:pPr>
        <w:rPr>
          <w:bCs/>
        </w:rPr>
      </w:pPr>
      <w:r>
        <w:rPr>
          <w:sz w:val="22"/>
          <w:szCs w:val="22"/>
        </w:rPr>
        <w:t xml:space="preserve">This ICR has been reviewed by the </w:t>
      </w:r>
      <w:r w:rsidR="00991C91">
        <w:rPr>
          <w:sz w:val="22"/>
          <w:szCs w:val="22"/>
        </w:rPr>
        <w:t>OMB</w:t>
      </w:r>
      <w:r>
        <w:rPr>
          <w:sz w:val="22"/>
          <w:szCs w:val="22"/>
        </w:rPr>
        <w:t xml:space="preserve"> PRA </w:t>
      </w:r>
      <w:r w:rsidR="00991C91">
        <w:rPr>
          <w:sz w:val="22"/>
          <w:szCs w:val="22"/>
        </w:rPr>
        <w:t>Advisor for the CDC emergency response</w:t>
      </w:r>
      <w:r>
        <w:rPr>
          <w:sz w:val="22"/>
          <w:szCs w:val="22"/>
        </w:rPr>
        <w:t xml:space="preserve"> who determined that the Privacy Act does apply. </w:t>
      </w:r>
    </w:p>
    <w:p w14:paraId="656F6654" w14:textId="77777777" w:rsidR="00A55FFB" w:rsidRPr="001636FA" w:rsidRDefault="00A55FFB" w:rsidP="002E31F5">
      <w:pPr>
        <w:rPr>
          <w:bCs/>
        </w:rPr>
      </w:pPr>
    </w:p>
    <w:p w14:paraId="7DB598BA" w14:textId="77777777" w:rsidR="00991C91" w:rsidRPr="00991C91" w:rsidRDefault="00991C91" w:rsidP="00991C91">
      <w:pPr>
        <w:rPr>
          <w:bCs/>
          <w:u w:val="single"/>
        </w:rPr>
      </w:pPr>
      <w:r>
        <w:t>In addition, the Human Subjects Regulatory Advisor for the CDC emergency response has reviewed the proposed information collect</w:t>
      </w:r>
      <w:r w:rsidR="00CB4661">
        <w:t xml:space="preserve">ion, which is determined to be public health response and not </w:t>
      </w:r>
      <w:r>
        <w:t xml:space="preserve">research. CDC </w:t>
      </w:r>
      <w:r w:rsidRPr="00A1430F">
        <w:rPr>
          <w:bCs/>
        </w:rPr>
        <w:t>Institutional Review Board (IRB) review and approval is not required.</w:t>
      </w:r>
    </w:p>
    <w:p w14:paraId="3AB10D35" w14:textId="77777777" w:rsidR="002E31F5" w:rsidRPr="00EC07C8" w:rsidRDefault="002E31F5" w:rsidP="001557AF">
      <w:pPr>
        <w:widowControl w:val="0"/>
      </w:pPr>
    </w:p>
    <w:p w14:paraId="35548AFD" w14:textId="77777777" w:rsidR="000933A8" w:rsidRPr="00E96FEB" w:rsidRDefault="00F07D86" w:rsidP="000933A8">
      <w:pPr>
        <w:rPr>
          <w:bCs/>
        </w:rPr>
      </w:pPr>
      <w:r w:rsidRPr="00E96FEB">
        <w:rPr>
          <w:bCs/>
        </w:rPr>
        <w:t xml:space="preserve">10.1. </w:t>
      </w:r>
      <w:r w:rsidR="000933A8" w:rsidRPr="00E96FEB">
        <w:rPr>
          <w:bCs/>
        </w:rPr>
        <w:t>Privacy Impact Assessment</w:t>
      </w:r>
    </w:p>
    <w:p w14:paraId="0764D27F" w14:textId="77777777" w:rsidR="000A21A2" w:rsidRPr="00653628" w:rsidRDefault="000A21A2" w:rsidP="000933A8">
      <w:pPr>
        <w:rPr>
          <w:bCs/>
          <w:u w:val="single"/>
        </w:rPr>
      </w:pPr>
    </w:p>
    <w:p w14:paraId="41EC09A9" w14:textId="77777777" w:rsidR="00581CCC" w:rsidRPr="00E96FEB" w:rsidRDefault="00F07D86" w:rsidP="00E96FEB">
      <w:pPr>
        <w:autoSpaceDE w:val="0"/>
        <w:autoSpaceDN w:val="0"/>
        <w:adjustRightInd w:val="0"/>
        <w:ind w:left="720"/>
        <w:rPr>
          <w:i/>
        </w:rPr>
      </w:pPr>
      <w:r w:rsidRPr="00E96FEB">
        <w:rPr>
          <w:i/>
        </w:rPr>
        <w:t>10.1.</w:t>
      </w:r>
      <w:r w:rsidR="000A21A2" w:rsidRPr="00E96FEB">
        <w:rPr>
          <w:i/>
        </w:rPr>
        <w:t>1. Overview of the data collection system</w:t>
      </w:r>
    </w:p>
    <w:p w14:paraId="173B62BA" w14:textId="77777777" w:rsidR="006B11D3" w:rsidRDefault="00F07D86" w:rsidP="00E96FEB">
      <w:pPr>
        <w:widowControl w:val="0"/>
        <w:ind w:left="720"/>
        <w:rPr>
          <w:rFonts w:cs="Shruti"/>
          <w:bCs/>
        </w:rPr>
      </w:pPr>
      <w:r>
        <w:rPr>
          <w:rFonts w:cs="Shruti"/>
          <w:bCs/>
        </w:rPr>
        <w:t xml:space="preserve">CDC </w:t>
      </w:r>
      <w:r w:rsidR="00581CCC" w:rsidRPr="00014364">
        <w:rPr>
          <w:rFonts w:cs="Shruti"/>
          <w:bCs/>
        </w:rPr>
        <w:t>ha</w:t>
      </w:r>
      <w:r w:rsidR="00581CCC">
        <w:rPr>
          <w:rFonts w:cs="Shruti"/>
          <w:bCs/>
        </w:rPr>
        <w:t>s</w:t>
      </w:r>
      <w:r>
        <w:rPr>
          <w:rFonts w:cs="Shruti"/>
          <w:bCs/>
        </w:rPr>
        <w:t xml:space="preserve"> developed forms to collect </w:t>
      </w:r>
      <w:r w:rsidR="00C56724">
        <w:rPr>
          <w:rFonts w:cs="Shruti"/>
          <w:bCs/>
        </w:rPr>
        <w:t xml:space="preserve">case and contact </w:t>
      </w:r>
      <w:r>
        <w:rPr>
          <w:rFonts w:cs="Shruti"/>
          <w:bCs/>
        </w:rPr>
        <w:t xml:space="preserve">information on </w:t>
      </w:r>
      <w:r w:rsidR="00C56724">
        <w:rPr>
          <w:rFonts w:cs="Shruti"/>
          <w:bCs/>
        </w:rPr>
        <w:t xml:space="preserve">types </w:t>
      </w:r>
      <w:r w:rsidR="00647481">
        <w:rPr>
          <w:rFonts w:cs="Shruti"/>
          <w:bCs/>
        </w:rPr>
        <w:t xml:space="preserve">of respondents </w:t>
      </w:r>
      <w:r w:rsidR="00B7624C">
        <w:rPr>
          <w:rFonts w:cs="Shruti"/>
          <w:bCs/>
        </w:rPr>
        <w:t>that may require monitoring for EVD</w:t>
      </w:r>
      <w:r w:rsidR="00452D83">
        <w:rPr>
          <w:rFonts w:cs="Shruti"/>
          <w:bCs/>
        </w:rPr>
        <w:t xml:space="preserve"> [</w:t>
      </w:r>
      <w:r w:rsidR="00D6238C">
        <w:rPr>
          <w:rFonts w:cs="Shruti"/>
          <w:bCs/>
        </w:rPr>
        <w:t>confirmed EVD cases, persons under investigation (PUI), contact</w:t>
      </w:r>
      <w:r w:rsidR="00452D83">
        <w:rPr>
          <w:rFonts w:cs="Shruti"/>
          <w:bCs/>
        </w:rPr>
        <w:t>s</w:t>
      </w:r>
      <w:r w:rsidR="00D6238C">
        <w:rPr>
          <w:rFonts w:cs="Shruti"/>
          <w:bCs/>
        </w:rPr>
        <w:t xml:space="preserve"> of an EVD case, healthcare workers (HCWs) </w:t>
      </w:r>
      <w:r w:rsidR="00B53AE8">
        <w:rPr>
          <w:rFonts w:cs="Shruti"/>
          <w:bCs/>
        </w:rPr>
        <w:t xml:space="preserve">with direct EVD patient contact, laboratory personnel, </w:t>
      </w:r>
      <w:r w:rsidR="00C56724">
        <w:rPr>
          <w:rFonts w:cs="Shruti"/>
          <w:bCs/>
        </w:rPr>
        <w:t xml:space="preserve">and </w:t>
      </w:r>
      <w:r w:rsidR="00B53AE8">
        <w:rPr>
          <w:rFonts w:cs="Shruti"/>
          <w:bCs/>
        </w:rPr>
        <w:t>en</w:t>
      </w:r>
      <w:r w:rsidR="00C56724">
        <w:rPr>
          <w:rFonts w:cs="Shruti"/>
          <w:bCs/>
        </w:rPr>
        <w:t>vironmental services personnel</w:t>
      </w:r>
      <w:r w:rsidR="00452D83">
        <w:rPr>
          <w:rFonts w:cs="Shruti"/>
          <w:bCs/>
        </w:rPr>
        <w:t>]</w:t>
      </w:r>
      <w:r w:rsidR="005B08EC">
        <w:rPr>
          <w:rFonts w:cs="Shruti"/>
          <w:bCs/>
        </w:rPr>
        <w:t xml:space="preserve"> (</w:t>
      </w:r>
      <w:r w:rsidR="005B08EC" w:rsidRPr="000518E5">
        <w:rPr>
          <w:rFonts w:cs="Shruti"/>
          <w:b/>
          <w:bCs/>
        </w:rPr>
        <w:t xml:space="preserve">Attachment </w:t>
      </w:r>
      <w:r w:rsidR="00242225">
        <w:rPr>
          <w:rFonts w:cs="Shruti"/>
          <w:b/>
          <w:bCs/>
        </w:rPr>
        <w:t>1</w:t>
      </w:r>
      <w:r w:rsidR="005B08EC" w:rsidRPr="000518E5">
        <w:rPr>
          <w:rFonts w:cs="Shruti"/>
          <w:b/>
          <w:bCs/>
        </w:rPr>
        <w:t>-</w:t>
      </w:r>
      <w:r w:rsidR="00242225">
        <w:rPr>
          <w:rFonts w:cs="Shruti"/>
          <w:b/>
          <w:bCs/>
        </w:rPr>
        <w:t>2, 5a-6</w:t>
      </w:r>
      <w:r w:rsidR="005B08EC">
        <w:rPr>
          <w:rFonts w:cs="Shruti"/>
          <w:bCs/>
        </w:rPr>
        <w:t>)</w:t>
      </w:r>
      <w:r w:rsidR="006B11D3">
        <w:rPr>
          <w:rFonts w:cs="Shruti"/>
          <w:bCs/>
        </w:rPr>
        <w:t xml:space="preserve">. In addition, the CDC requests that STL public health authorities provide daily </w:t>
      </w:r>
      <w:r w:rsidR="0085621D">
        <w:rPr>
          <w:rFonts w:cs="Shruti"/>
          <w:bCs/>
        </w:rPr>
        <w:t xml:space="preserve">reports of active surveillance </w:t>
      </w:r>
      <w:r w:rsidR="006B11D3">
        <w:rPr>
          <w:rFonts w:cs="Shruti"/>
          <w:bCs/>
        </w:rPr>
        <w:t>updates</w:t>
      </w:r>
      <w:r w:rsidR="005B08EC">
        <w:rPr>
          <w:rFonts w:cs="Shruti"/>
          <w:bCs/>
        </w:rPr>
        <w:t xml:space="preserve"> (</w:t>
      </w:r>
      <w:r w:rsidR="005B08EC" w:rsidRPr="000518E5">
        <w:rPr>
          <w:rFonts w:cs="Shruti"/>
          <w:b/>
          <w:bCs/>
        </w:rPr>
        <w:t xml:space="preserve">Attachment </w:t>
      </w:r>
      <w:r w:rsidR="00242225">
        <w:rPr>
          <w:rFonts w:cs="Shruti"/>
          <w:b/>
          <w:bCs/>
        </w:rPr>
        <w:t>8</w:t>
      </w:r>
      <w:r w:rsidR="005B08EC">
        <w:rPr>
          <w:rFonts w:cs="Shruti"/>
          <w:bCs/>
        </w:rPr>
        <w:t>)</w:t>
      </w:r>
      <w:r w:rsidR="006B11D3">
        <w:rPr>
          <w:rFonts w:cs="Shruti"/>
          <w:bCs/>
        </w:rPr>
        <w:t>.</w:t>
      </w:r>
    </w:p>
    <w:p w14:paraId="5C47343D" w14:textId="77777777" w:rsidR="006B11D3" w:rsidRDefault="006B11D3" w:rsidP="00E96FEB">
      <w:pPr>
        <w:widowControl w:val="0"/>
        <w:ind w:left="720"/>
        <w:rPr>
          <w:rFonts w:cs="Shruti"/>
          <w:bCs/>
        </w:rPr>
      </w:pPr>
    </w:p>
    <w:p w14:paraId="0674383C" w14:textId="1147E920" w:rsidR="0073016E" w:rsidRDefault="00647481" w:rsidP="00E96FEB">
      <w:pPr>
        <w:widowControl w:val="0"/>
        <w:ind w:left="720"/>
        <w:rPr>
          <w:rFonts w:cs="Shruti"/>
          <w:bCs/>
        </w:rPr>
      </w:pPr>
      <w:r>
        <w:rPr>
          <w:rFonts w:cs="Shruti"/>
          <w:bCs/>
        </w:rPr>
        <w:t>Each of t</w:t>
      </w:r>
      <w:r w:rsidR="00581CCC" w:rsidRPr="00014364">
        <w:rPr>
          <w:rFonts w:cs="Shruti"/>
          <w:bCs/>
        </w:rPr>
        <w:t>hese forms</w:t>
      </w:r>
      <w:r>
        <w:rPr>
          <w:rFonts w:cs="Shruti"/>
          <w:bCs/>
        </w:rPr>
        <w:t xml:space="preserve"> </w:t>
      </w:r>
      <w:r w:rsidR="003D28A4">
        <w:rPr>
          <w:rFonts w:cs="Shruti"/>
          <w:bCs/>
        </w:rPr>
        <w:t>is</w:t>
      </w:r>
      <w:r>
        <w:rPr>
          <w:rFonts w:cs="Shruti"/>
          <w:bCs/>
        </w:rPr>
        <w:t xml:space="preserve"> listed in Table A.12.A</w:t>
      </w:r>
      <w:r w:rsidR="00C56724">
        <w:rPr>
          <w:rFonts w:cs="Shruti"/>
          <w:bCs/>
        </w:rPr>
        <w:t>.</w:t>
      </w:r>
      <w:r w:rsidR="004F6A99">
        <w:rPr>
          <w:rFonts w:cs="Shruti"/>
          <w:bCs/>
        </w:rPr>
        <w:t xml:space="preserve"> </w:t>
      </w:r>
      <w:r w:rsidR="008A3E3D">
        <w:rPr>
          <w:rFonts w:cs="Shruti"/>
          <w:bCs/>
        </w:rPr>
        <w:t>T</w:t>
      </w:r>
      <w:r w:rsidR="0077479E">
        <w:rPr>
          <w:rFonts w:cs="Shruti"/>
          <w:bCs/>
        </w:rPr>
        <w:t>he CDC anticipates that one-half of the data collections will be conducted by the STL public health authorities</w:t>
      </w:r>
      <w:r w:rsidR="00094F11">
        <w:rPr>
          <w:rFonts w:cs="Shruti"/>
          <w:bCs/>
        </w:rPr>
        <w:t>. Their reports are</w:t>
      </w:r>
      <w:r w:rsidR="0077479E">
        <w:rPr>
          <w:rFonts w:cs="Shruti"/>
          <w:bCs/>
        </w:rPr>
        <w:t xml:space="preserve"> reported in aggregate back to the CDC for daily reporting and situational awareness</w:t>
      </w:r>
      <w:r w:rsidR="00B323AF">
        <w:rPr>
          <w:rFonts w:cs="Shruti"/>
          <w:bCs/>
        </w:rPr>
        <w:t xml:space="preserve"> (Attachment 8)</w:t>
      </w:r>
      <w:r w:rsidR="0077479E">
        <w:rPr>
          <w:rFonts w:cs="Shruti"/>
          <w:bCs/>
        </w:rPr>
        <w:t>.</w:t>
      </w:r>
      <w:r w:rsidR="004F6A99">
        <w:rPr>
          <w:rFonts w:cs="Shruti"/>
          <w:bCs/>
        </w:rPr>
        <w:t xml:space="preserve"> </w:t>
      </w:r>
      <w:r w:rsidR="00B323AF">
        <w:t>C</w:t>
      </w:r>
      <w:r w:rsidR="004F6A99">
        <w:rPr>
          <w:rFonts w:cs="Shruti"/>
          <w:bCs/>
        </w:rPr>
        <w:t>DC anticipates it will collect one-half of the data collections at the request of the STL public health authorities</w:t>
      </w:r>
      <w:r w:rsidR="00B323AF">
        <w:rPr>
          <w:rFonts w:cs="Shruti"/>
          <w:bCs/>
        </w:rPr>
        <w:t xml:space="preserve"> (Attachments 1-7)</w:t>
      </w:r>
      <w:r w:rsidR="0077479E">
        <w:rPr>
          <w:rFonts w:cs="Shruti"/>
          <w:bCs/>
        </w:rPr>
        <w:t xml:space="preserve">. Its field officers </w:t>
      </w:r>
      <w:r w:rsidR="003433BF">
        <w:rPr>
          <w:rFonts w:cs="Shruti"/>
          <w:bCs/>
        </w:rPr>
        <w:t xml:space="preserve">can </w:t>
      </w:r>
      <w:r w:rsidR="0077479E">
        <w:rPr>
          <w:rFonts w:cs="Shruti"/>
          <w:bCs/>
        </w:rPr>
        <w:t>provide the daily situational awareness reporting back to CDC</w:t>
      </w:r>
      <w:r w:rsidR="00094F11">
        <w:rPr>
          <w:rFonts w:cs="Shruti"/>
          <w:bCs/>
        </w:rPr>
        <w:t xml:space="preserve"> (Attachment 8)</w:t>
      </w:r>
      <w:r w:rsidR="0077479E">
        <w:rPr>
          <w:rFonts w:cs="Shruti"/>
          <w:bCs/>
        </w:rPr>
        <w:t>; the STL public health authorities will incur no reporting burden in this situation.</w:t>
      </w:r>
    </w:p>
    <w:p w14:paraId="51BF751F" w14:textId="77777777" w:rsidR="0073016E" w:rsidRDefault="0073016E" w:rsidP="00E96FEB">
      <w:pPr>
        <w:widowControl w:val="0"/>
        <w:ind w:left="720"/>
        <w:rPr>
          <w:rFonts w:cs="Shruti"/>
          <w:bCs/>
        </w:rPr>
      </w:pPr>
    </w:p>
    <w:p w14:paraId="32ABEA9E" w14:textId="0EC728AD" w:rsidR="00D87C24" w:rsidRDefault="0073016E" w:rsidP="00E96FEB">
      <w:pPr>
        <w:widowControl w:val="0"/>
        <w:ind w:left="720"/>
        <w:rPr>
          <w:rFonts w:cs="Shruti"/>
          <w:bCs/>
        </w:rPr>
      </w:pPr>
      <w:r>
        <w:t>When a health department already has, and is comfortable with, its own forms, it can use these forms.</w:t>
      </w:r>
      <w:r>
        <w:rPr>
          <w:rFonts w:cs="Shruti"/>
          <w:bCs/>
        </w:rPr>
        <w:t xml:space="preserve"> In these cases, if CDC is requested to use STL-customized forms at the request of STL public health authorities, the forms will be submitted to OMB </w:t>
      </w:r>
      <w:r w:rsidR="003B5AAE">
        <w:rPr>
          <w:rFonts w:cs="Shruti"/>
          <w:bCs/>
        </w:rPr>
        <w:t xml:space="preserve">for PRA clearance </w:t>
      </w:r>
      <w:r>
        <w:rPr>
          <w:rFonts w:cs="Shruti"/>
          <w:bCs/>
        </w:rPr>
        <w:t xml:space="preserve">as a change request. Burden tables will be adjusted to subtract hours from the standard EVD Toolkit </w:t>
      </w:r>
      <w:r w:rsidR="003B5AAE">
        <w:rPr>
          <w:rFonts w:cs="Shruti"/>
          <w:bCs/>
        </w:rPr>
        <w:t xml:space="preserve">requested herein </w:t>
      </w:r>
      <w:r>
        <w:rPr>
          <w:rFonts w:cs="Shruti"/>
          <w:bCs/>
        </w:rPr>
        <w:t>and accounted for by the use of the STL-customized forms.</w:t>
      </w:r>
    </w:p>
    <w:p w14:paraId="08547CCE" w14:textId="77777777" w:rsidR="00D87C24" w:rsidRDefault="00D87C24" w:rsidP="00E96FEB">
      <w:pPr>
        <w:widowControl w:val="0"/>
        <w:ind w:left="720"/>
        <w:rPr>
          <w:rFonts w:cs="Shruti"/>
          <w:bCs/>
        </w:rPr>
      </w:pPr>
    </w:p>
    <w:p w14:paraId="2C44904D" w14:textId="79BC80AB" w:rsidR="00522F88" w:rsidRDefault="005C2D94" w:rsidP="00E96FEB">
      <w:pPr>
        <w:widowControl w:val="0"/>
        <w:ind w:left="720"/>
        <w:rPr>
          <w:rFonts w:cs="Shruti"/>
          <w:bCs/>
        </w:rPr>
      </w:pPr>
      <w:r>
        <w:rPr>
          <w:rFonts w:cs="Shruti"/>
          <w:bCs/>
        </w:rPr>
        <w:t>T</w:t>
      </w:r>
      <w:r w:rsidR="005B362C">
        <w:rPr>
          <w:rFonts w:cs="Shruti"/>
          <w:bCs/>
        </w:rPr>
        <w:t xml:space="preserve">he estimates </w:t>
      </w:r>
      <w:r w:rsidR="00F23AC8">
        <w:rPr>
          <w:rFonts w:cs="Shruti"/>
          <w:bCs/>
        </w:rPr>
        <w:t>presented in Table A.12.A</w:t>
      </w:r>
      <w:r w:rsidR="004F6A99">
        <w:rPr>
          <w:rFonts w:cs="Shruti"/>
          <w:bCs/>
        </w:rPr>
        <w:t xml:space="preserve"> </w:t>
      </w:r>
      <w:r w:rsidR="005B362C">
        <w:rPr>
          <w:rFonts w:cs="Shruti"/>
          <w:bCs/>
        </w:rPr>
        <w:t>are t</w:t>
      </w:r>
      <w:r w:rsidR="00E949DA">
        <w:rPr>
          <w:rFonts w:cs="Shruti"/>
          <w:bCs/>
        </w:rPr>
        <w:t>he numbers of respondents reflect</w:t>
      </w:r>
      <w:r>
        <w:rPr>
          <w:rFonts w:cs="Shruti"/>
          <w:bCs/>
        </w:rPr>
        <w:t>ing</w:t>
      </w:r>
      <w:r w:rsidR="00E949DA">
        <w:rPr>
          <w:rFonts w:cs="Shruti"/>
          <w:bCs/>
        </w:rPr>
        <w:t xml:space="preserve"> one-fourth of the annual </w:t>
      </w:r>
      <w:r w:rsidR="0053433E">
        <w:rPr>
          <w:rFonts w:cs="Shruti"/>
          <w:bCs/>
        </w:rPr>
        <w:t xml:space="preserve">national </w:t>
      </w:r>
      <w:r w:rsidR="00E949DA">
        <w:rPr>
          <w:rFonts w:cs="Shruti"/>
          <w:bCs/>
        </w:rPr>
        <w:t xml:space="preserve">estimates </w:t>
      </w:r>
      <w:r w:rsidR="0053433E">
        <w:rPr>
          <w:rFonts w:cs="Shruti"/>
          <w:bCs/>
        </w:rPr>
        <w:t>described below</w:t>
      </w:r>
      <w:r>
        <w:rPr>
          <w:rFonts w:cs="Shruti"/>
          <w:bCs/>
        </w:rPr>
        <w:t>,</w:t>
      </w:r>
      <w:r w:rsidR="00E949DA">
        <w:rPr>
          <w:rFonts w:cs="Shruti"/>
          <w:bCs/>
        </w:rPr>
        <w:t xml:space="preserve"> </w:t>
      </w:r>
      <w:r w:rsidR="005C5B24">
        <w:rPr>
          <w:rFonts w:cs="Shruti"/>
          <w:bCs/>
        </w:rPr>
        <w:t>limited to</w:t>
      </w:r>
      <w:r w:rsidR="0053433E">
        <w:rPr>
          <w:rFonts w:cs="Shruti"/>
          <w:bCs/>
        </w:rPr>
        <w:t xml:space="preserve"> the 6-month approval</w:t>
      </w:r>
      <w:r w:rsidR="00E949DA">
        <w:rPr>
          <w:rFonts w:cs="Shruti"/>
          <w:bCs/>
        </w:rPr>
        <w:t xml:space="preserve"> and the assumption that CDC will conduct one-half of the data collections on behalf of the STL public health departments.</w:t>
      </w:r>
    </w:p>
    <w:p w14:paraId="38A10BB8" w14:textId="77777777" w:rsidR="00466456" w:rsidRDefault="00466456" w:rsidP="00E96FEB">
      <w:pPr>
        <w:widowControl w:val="0"/>
        <w:ind w:left="720"/>
        <w:rPr>
          <w:rFonts w:cs="Shruti"/>
          <w:bCs/>
        </w:rPr>
      </w:pPr>
    </w:p>
    <w:p w14:paraId="5D60ACEB" w14:textId="6EC61CFD" w:rsidR="005B362C" w:rsidRPr="003F7350" w:rsidRDefault="00466456" w:rsidP="00E96FEB">
      <w:pPr>
        <w:widowControl w:val="0"/>
        <w:ind w:left="720"/>
        <w:rPr>
          <w:rFonts w:cs="Shruti"/>
          <w:bCs/>
          <w:i/>
        </w:rPr>
      </w:pPr>
      <w:r w:rsidRPr="003F7350">
        <w:rPr>
          <w:rFonts w:cs="Shruti"/>
          <w:bCs/>
          <w:i/>
        </w:rPr>
        <w:t>Methods for annual national Ebola case and contact tracing estimates</w:t>
      </w:r>
      <w:r w:rsidR="003B5AAE">
        <w:rPr>
          <w:rFonts w:cs="Shruti"/>
          <w:bCs/>
          <w:i/>
        </w:rPr>
        <w:t xml:space="preserve"> used for the 180-day estimates</w:t>
      </w:r>
    </w:p>
    <w:p w14:paraId="2AC08209" w14:textId="77777777" w:rsidR="00466456" w:rsidRDefault="00466456" w:rsidP="005B362C">
      <w:pPr>
        <w:ind w:left="720"/>
        <w:outlineLvl w:val="1"/>
        <w:rPr>
          <w:u w:val="single"/>
        </w:rPr>
      </w:pPr>
    </w:p>
    <w:p w14:paraId="60D69021" w14:textId="77777777" w:rsidR="005B362C" w:rsidRDefault="00723242" w:rsidP="005B362C">
      <w:pPr>
        <w:ind w:left="720"/>
        <w:outlineLvl w:val="1"/>
        <w:rPr>
          <w:u w:val="single"/>
        </w:rPr>
      </w:pPr>
      <w:r>
        <w:rPr>
          <w:u w:val="single"/>
        </w:rPr>
        <w:t>R</w:t>
      </w:r>
      <w:r w:rsidR="005B362C">
        <w:rPr>
          <w:u w:val="single"/>
        </w:rPr>
        <w:t>espondents</w:t>
      </w:r>
      <w:r>
        <w:rPr>
          <w:u w:val="single"/>
        </w:rPr>
        <w:t xml:space="preserve"> from the general public</w:t>
      </w:r>
    </w:p>
    <w:p w14:paraId="22643D3F" w14:textId="70A7613F" w:rsidR="005B362C" w:rsidRDefault="005B362C" w:rsidP="005B362C">
      <w:pPr>
        <w:ind w:left="720"/>
        <w:outlineLvl w:val="1"/>
      </w:pPr>
      <w:r>
        <w:lastRenderedPageBreak/>
        <w:t xml:space="preserve">We used our current experience to base our estimated number of </w:t>
      </w:r>
      <w:r w:rsidR="00723242">
        <w:t xml:space="preserve">respondents from the </w:t>
      </w:r>
      <w:r>
        <w:t>general public and their required number of responses per form. For example, current CDC Ebola prediction models estimate 25 U.S. cases per year. In Dallas,</w:t>
      </w:r>
      <w:r w:rsidR="004F6A99">
        <w:t xml:space="preserve"> TX, there were</w:t>
      </w:r>
      <w:r>
        <w:t xml:space="preserve"> 15 </w:t>
      </w:r>
      <w:r w:rsidR="00466B3E">
        <w:t>contacts that developed symptoms requiring evaluation for Ebola (patient under evaluation form</w:t>
      </w:r>
      <w:r w:rsidR="00A1430F">
        <w:t>) and</w:t>
      </w:r>
      <w:r w:rsidR="00E37DAC">
        <w:t xml:space="preserve"> we used this number to estimate the number of contacts that will need to fill out this form.  For community contacts, in Dallas there w</w:t>
      </w:r>
      <w:r w:rsidR="001A62F4">
        <w:t>ere</w:t>
      </w:r>
      <w:r w:rsidR="00E37DAC">
        <w:t xml:space="preserve"> </w:t>
      </w:r>
      <w:r>
        <w:t>17 community contacts for one case</w:t>
      </w:r>
      <w:r w:rsidR="001A62F4">
        <w:t>,</w:t>
      </w:r>
      <w:r w:rsidR="00E37DAC">
        <w:t xml:space="preserve"> and i</w:t>
      </w:r>
      <w:r>
        <w:t xml:space="preserve">n New York City, </w:t>
      </w:r>
      <w:r w:rsidR="00466B3E">
        <w:t xml:space="preserve">2 community contacts for one case.  </w:t>
      </w:r>
      <w:r w:rsidR="001A62F4">
        <w:t>With enhanced screening at entry into the U.S. and enhanced contact tracing, we now estimate fewer contact investigations will be necessary, approximately 5 contacts per case.</w:t>
      </w:r>
    </w:p>
    <w:p w14:paraId="7A8E6C01" w14:textId="77777777" w:rsidR="005B362C" w:rsidRDefault="005B362C" w:rsidP="005B362C">
      <w:pPr>
        <w:ind w:left="720"/>
        <w:outlineLvl w:val="1"/>
      </w:pPr>
    </w:p>
    <w:p w14:paraId="44D26590" w14:textId="281A6889" w:rsidR="009045A2" w:rsidRDefault="005B362C" w:rsidP="0048549F">
      <w:pPr>
        <w:ind w:left="720"/>
        <w:outlineLvl w:val="1"/>
      </w:pPr>
      <w:r>
        <w:t>It is impossible to know how many future cases will be investigated and treated in the U.S. In order to assure that we request sufficient burden hours from OMB for future activities, we increase</w:t>
      </w:r>
      <w:r w:rsidR="00A1430F">
        <w:t>d</w:t>
      </w:r>
      <w:r>
        <w:t xml:space="preserve"> our estimate to 30 cases in the U.S. per year with 20 PUIs per case (30 times 20 = 600 PUIs).</w:t>
      </w:r>
      <w:r w:rsidR="001A62F4">
        <w:t xml:space="preserve"> W</w:t>
      </w:r>
      <w:r>
        <w:t xml:space="preserve">e </w:t>
      </w:r>
      <w:r w:rsidR="001A62F4">
        <w:t xml:space="preserve">also </w:t>
      </w:r>
      <w:r>
        <w:t xml:space="preserve">slightly overestimate the number </w:t>
      </w:r>
      <w:r w:rsidR="001A62F4">
        <w:t xml:space="preserve">of contacts per case </w:t>
      </w:r>
      <w:r>
        <w:t xml:space="preserve">to 7 to assure we request sufficient burden hours (30 times 7 = 210 contacts). Each of these contacts will be required to </w:t>
      </w:r>
      <w:r w:rsidR="00FE296A">
        <w:t xml:space="preserve">monitor their temperature </w:t>
      </w:r>
      <w:r>
        <w:t xml:space="preserve">twice-a-day </w:t>
      </w:r>
      <w:r w:rsidR="00FE296A">
        <w:t xml:space="preserve">and report at least once a day </w:t>
      </w:r>
      <w:r>
        <w:t>for 21 days (42 responses).</w:t>
      </w:r>
      <w:r w:rsidR="008A3E3D">
        <w:t xml:space="preserve"> </w:t>
      </w:r>
      <w:r w:rsidR="00723242">
        <w:t>In a 180-day period</w:t>
      </w:r>
      <w:r w:rsidR="008A3E3D">
        <w:t>, t</w:t>
      </w:r>
      <w:r w:rsidR="004F6A99" w:rsidRPr="001755AA">
        <w:t>he total</w:t>
      </w:r>
      <w:r w:rsidR="008A3E3D">
        <w:t xml:space="preserve"> </w:t>
      </w:r>
      <w:r w:rsidR="004F6A99" w:rsidRPr="001755AA">
        <w:t xml:space="preserve">burden hours for EVD case investigations and contact tracings </w:t>
      </w:r>
      <w:r w:rsidR="004F6A99">
        <w:t xml:space="preserve">for the general public </w:t>
      </w:r>
      <w:r w:rsidR="004F6A99" w:rsidRPr="001755AA">
        <w:t xml:space="preserve">would be approximately </w:t>
      </w:r>
      <w:r w:rsidR="00723242">
        <w:t>224</w:t>
      </w:r>
      <w:r w:rsidR="004F6A99" w:rsidRPr="001755AA">
        <w:t xml:space="preserve"> hours</w:t>
      </w:r>
      <w:r w:rsidR="00723242">
        <w:t>, rounding to whole numbers.</w:t>
      </w:r>
    </w:p>
    <w:p w14:paraId="568F2140" w14:textId="77777777" w:rsidR="009045A2" w:rsidRDefault="009045A2" w:rsidP="004F6A99">
      <w:pPr>
        <w:ind w:left="720"/>
        <w:outlineLvl w:val="1"/>
      </w:pPr>
    </w:p>
    <w:p w14:paraId="4BFB6938" w14:textId="77777777" w:rsidR="00BD636D" w:rsidRDefault="001E41A6" w:rsidP="00BD636D">
      <w:pPr>
        <w:numPr>
          <w:ilvl w:val="0"/>
          <w:numId w:val="14"/>
        </w:numPr>
        <w:outlineLvl w:val="1"/>
      </w:pPr>
      <w:r>
        <w:t xml:space="preserve">Group 1 attachments are forms for EVD cases and PUI. </w:t>
      </w:r>
    </w:p>
    <w:p w14:paraId="07006270" w14:textId="77777777" w:rsidR="00BD636D" w:rsidRDefault="001E41A6" w:rsidP="00BD636D">
      <w:pPr>
        <w:numPr>
          <w:ilvl w:val="0"/>
          <w:numId w:val="14"/>
        </w:numPr>
        <w:outlineLvl w:val="1"/>
      </w:pPr>
      <w:r>
        <w:t>Attachment 2 is a form for tracing contacts of EV</w:t>
      </w:r>
      <w:r w:rsidR="009045A2">
        <w:t xml:space="preserve">D cases. </w:t>
      </w:r>
    </w:p>
    <w:p w14:paraId="34CD150A" w14:textId="77777777" w:rsidR="004F6A99" w:rsidRDefault="009045A2" w:rsidP="00BD636D">
      <w:pPr>
        <w:numPr>
          <w:ilvl w:val="0"/>
          <w:numId w:val="14"/>
        </w:numPr>
        <w:outlineLvl w:val="1"/>
      </w:pPr>
      <w:r>
        <w:t>Attachment 4a is guidance for contacts of EVD patients in the U.S.</w:t>
      </w:r>
    </w:p>
    <w:p w14:paraId="3AACFCDF" w14:textId="77777777" w:rsidR="003433BF" w:rsidRPr="003433BF" w:rsidRDefault="003433BF" w:rsidP="00BD636D">
      <w:pPr>
        <w:numPr>
          <w:ilvl w:val="0"/>
          <w:numId w:val="14"/>
        </w:numPr>
        <w:outlineLvl w:val="1"/>
      </w:pPr>
      <w:r w:rsidRPr="003433BF">
        <w:t>At</w:t>
      </w:r>
      <w:r>
        <w:t>tachment 6 is a t</w:t>
      </w:r>
      <w:r w:rsidRPr="003433BF">
        <w:rPr>
          <w:rFonts w:eastAsia="Arial Unicode MS"/>
        </w:rPr>
        <w:t>emplate to facilitate twice da</w:t>
      </w:r>
      <w:r>
        <w:rPr>
          <w:rFonts w:eastAsia="Arial Unicode MS"/>
        </w:rPr>
        <w:t xml:space="preserve">ily </w:t>
      </w:r>
      <w:r w:rsidR="00FE296A">
        <w:rPr>
          <w:rFonts w:eastAsia="Arial Unicode MS"/>
        </w:rPr>
        <w:t xml:space="preserve">measurements during the </w:t>
      </w:r>
      <w:r>
        <w:rPr>
          <w:rFonts w:eastAsia="Arial Unicode MS"/>
        </w:rPr>
        <w:t>21-</w:t>
      </w:r>
      <w:r w:rsidRPr="003433BF">
        <w:rPr>
          <w:rFonts w:eastAsia="Arial Unicode MS"/>
        </w:rPr>
        <w:t>day follow-up</w:t>
      </w:r>
      <w:r w:rsidR="00FE296A">
        <w:rPr>
          <w:rFonts w:eastAsia="Arial Unicode MS"/>
        </w:rPr>
        <w:t>,</w:t>
      </w:r>
      <w:r>
        <w:rPr>
          <w:rFonts w:eastAsia="Arial Unicode MS"/>
        </w:rPr>
        <w:t xml:space="preserve"> which may be used for general population respondents.</w:t>
      </w:r>
    </w:p>
    <w:p w14:paraId="196DC17E" w14:textId="77777777" w:rsidR="005B362C" w:rsidRDefault="005B362C" w:rsidP="005B362C">
      <w:pPr>
        <w:ind w:left="720"/>
        <w:outlineLvl w:val="1"/>
      </w:pPr>
    </w:p>
    <w:p w14:paraId="22A4C762" w14:textId="77777777" w:rsidR="005B362C" w:rsidRDefault="005B362C" w:rsidP="005B362C">
      <w:pPr>
        <w:ind w:left="720"/>
        <w:outlineLvl w:val="1"/>
      </w:pPr>
      <w:r>
        <w:rPr>
          <w:u w:val="single"/>
        </w:rPr>
        <w:t>Worker respondents</w:t>
      </w:r>
    </w:p>
    <w:p w14:paraId="2681AE74" w14:textId="77777777" w:rsidR="005B362C" w:rsidRDefault="005B362C" w:rsidP="005B362C">
      <w:pPr>
        <w:ind w:left="720"/>
        <w:outlineLvl w:val="1"/>
      </w:pPr>
      <w:r>
        <w:t xml:space="preserve">Based on </w:t>
      </w:r>
      <w:r w:rsidR="00E37DAC">
        <w:t xml:space="preserve">reports from Ebola cases cared for in the U.S., </w:t>
      </w:r>
      <w:r>
        <w:t xml:space="preserve">we estimate that each case will be hospitalized for three weeks and cared for by as many as 120 hospital staff (30 times 120 = 3,600). As a simplifying assumption, we evenly divide the staff into 40 healthcare workers with direct patient contact, 40 laboratory personnel, and 40 environmental services personnel (1,200 in each worker group for 30 cases). We also assume that each hospital staff will have 5 exposures to a case per week for three weeks (5 times 3 = 15 exposures). </w:t>
      </w:r>
      <w:r w:rsidR="00220666">
        <w:t>For a 180-day period, w</w:t>
      </w:r>
      <w:r w:rsidR="00723242">
        <w:t>e are requesting approval for a total of 5,400 burden hours for worker respondents.</w:t>
      </w:r>
    </w:p>
    <w:p w14:paraId="580E664A" w14:textId="77777777" w:rsidR="004F6A99" w:rsidRDefault="004F6A99" w:rsidP="005B362C">
      <w:pPr>
        <w:ind w:left="720"/>
        <w:outlineLvl w:val="1"/>
      </w:pPr>
    </w:p>
    <w:p w14:paraId="3B771008" w14:textId="6CF5EF9C" w:rsidR="004F6A99" w:rsidRDefault="004F6A99" w:rsidP="004F6A99">
      <w:pPr>
        <w:ind w:left="720"/>
        <w:outlineLvl w:val="1"/>
      </w:pPr>
      <w:r w:rsidRPr="001755AA">
        <w:t xml:space="preserve">The </w:t>
      </w:r>
      <w:r w:rsidR="00723242">
        <w:t xml:space="preserve">estimated </w:t>
      </w:r>
      <w:r w:rsidRPr="001755AA">
        <w:t xml:space="preserve">burden hours for EVD case investigations and contact tracings </w:t>
      </w:r>
      <w:r>
        <w:t xml:space="preserve">for healthcare workers would be approximately </w:t>
      </w:r>
      <w:r w:rsidR="00723242">
        <w:t>1,8</w:t>
      </w:r>
      <w:r>
        <w:t>00</w:t>
      </w:r>
      <w:r w:rsidRPr="001755AA">
        <w:t xml:space="preserve"> hours</w:t>
      </w:r>
      <w:r>
        <w:t xml:space="preserve">. </w:t>
      </w:r>
    </w:p>
    <w:p w14:paraId="61AED301" w14:textId="77777777" w:rsidR="004F6A99" w:rsidRDefault="004F6A99" w:rsidP="004F6A99">
      <w:pPr>
        <w:ind w:left="720"/>
        <w:outlineLvl w:val="1"/>
      </w:pPr>
    </w:p>
    <w:p w14:paraId="0AE1ADE0" w14:textId="4914D974" w:rsidR="004F6A99" w:rsidRDefault="004F6A99" w:rsidP="004F6A99">
      <w:pPr>
        <w:ind w:left="720"/>
        <w:outlineLvl w:val="1"/>
      </w:pPr>
      <w:r w:rsidRPr="001755AA">
        <w:t xml:space="preserve">The </w:t>
      </w:r>
      <w:r w:rsidR="00723242">
        <w:t xml:space="preserve">estimated </w:t>
      </w:r>
      <w:r w:rsidRPr="001755AA">
        <w:t xml:space="preserve">burden hours for EVD case investigations and contact tracings </w:t>
      </w:r>
      <w:r>
        <w:t xml:space="preserve">for laboratory personnel </w:t>
      </w:r>
      <w:r w:rsidRPr="001755AA">
        <w:t>would be approximately</w:t>
      </w:r>
      <w:r>
        <w:t xml:space="preserve"> </w:t>
      </w:r>
      <w:r w:rsidR="00723242">
        <w:t>1,8</w:t>
      </w:r>
      <w:r>
        <w:t>00</w:t>
      </w:r>
      <w:r w:rsidRPr="001755AA">
        <w:t xml:space="preserve"> hours.</w:t>
      </w:r>
    </w:p>
    <w:p w14:paraId="0ED81C0E" w14:textId="77777777" w:rsidR="004F6A99" w:rsidRDefault="004F6A99" w:rsidP="004F6A99">
      <w:pPr>
        <w:ind w:left="720"/>
        <w:outlineLvl w:val="1"/>
      </w:pPr>
    </w:p>
    <w:p w14:paraId="13B908F9" w14:textId="214EFEA8" w:rsidR="004F6A99" w:rsidRDefault="004F6A99" w:rsidP="004F6A99">
      <w:pPr>
        <w:ind w:left="720"/>
        <w:outlineLvl w:val="1"/>
      </w:pPr>
      <w:r w:rsidRPr="001755AA">
        <w:lastRenderedPageBreak/>
        <w:t xml:space="preserve">The </w:t>
      </w:r>
      <w:r w:rsidR="00723242">
        <w:t xml:space="preserve">estimated </w:t>
      </w:r>
      <w:r w:rsidRPr="001755AA">
        <w:t xml:space="preserve">burden hours for EVD case investigations and contact tracings </w:t>
      </w:r>
      <w:r>
        <w:t xml:space="preserve">for environmental services personnel would be approximately </w:t>
      </w:r>
      <w:r w:rsidR="00723242">
        <w:t>1,8</w:t>
      </w:r>
      <w:r>
        <w:t>00</w:t>
      </w:r>
      <w:r w:rsidRPr="001755AA">
        <w:t xml:space="preserve"> hours.  </w:t>
      </w:r>
    </w:p>
    <w:p w14:paraId="3C9A01AA" w14:textId="77777777" w:rsidR="009045A2" w:rsidRDefault="009045A2" w:rsidP="004F6A99">
      <w:pPr>
        <w:ind w:left="720"/>
        <w:outlineLvl w:val="1"/>
      </w:pPr>
    </w:p>
    <w:p w14:paraId="7B3E9BFD" w14:textId="53269778" w:rsidR="00BD636D" w:rsidRDefault="009045A2" w:rsidP="00BD636D">
      <w:pPr>
        <w:numPr>
          <w:ilvl w:val="0"/>
          <w:numId w:val="15"/>
        </w:numPr>
        <w:outlineLvl w:val="1"/>
      </w:pPr>
      <w:r>
        <w:t>Attachment 4b is guidance for healthcare workers who may be returning from countries with widespread Ebola transmission or who may be treating Ebola patients in the U.S.</w:t>
      </w:r>
      <w:r w:rsidR="00BD636D">
        <w:t xml:space="preserve"> </w:t>
      </w:r>
      <w:r w:rsidR="0048549F">
        <w:t>See Section A.8.B for discussion of CDC’s efforts to seek public comment outside the federal government.</w:t>
      </w:r>
    </w:p>
    <w:p w14:paraId="2BF332D2" w14:textId="77777777" w:rsidR="009045A2" w:rsidRPr="003433BF" w:rsidRDefault="00BD636D" w:rsidP="00BD636D">
      <w:pPr>
        <w:numPr>
          <w:ilvl w:val="0"/>
          <w:numId w:val="15"/>
        </w:numPr>
        <w:outlineLvl w:val="1"/>
      </w:pPr>
      <w:r>
        <w:t>Group 5 attachmen</w:t>
      </w:r>
      <w:r w:rsidRPr="00BD636D">
        <w:t xml:space="preserve">ts are </w:t>
      </w:r>
      <w:r>
        <w:t xml:space="preserve">data collection </w:t>
      </w:r>
      <w:r>
        <w:rPr>
          <w:rFonts w:eastAsia="Arial Unicode MS"/>
        </w:rPr>
        <w:t>templates for</w:t>
      </w:r>
      <w:r w:rsidRPr="00BD636D">
        <w:rPr>
          <w:rFonts w:eastAsia="Arial Unicode MS"/>
        </w:rPr>
        <w:t xml:space="preserve"> p</w:t>
      </w:r>
      <w:r>
        <w:rPr>
          <w:rFonts w:eastAsia="Arial Unicode MS"/>
        </w:rPr>
        <w:t>rospective monitoring of the three healthcare respondent groups</w:t>
      </w:r>
      <w:r w:rsidRPr="00BD636D">
        <w:rPr>
          <w:rFonts w:eastAsia="Arial Unicode MS"/>
        </w:rPr>
        <w:t xml:space="preserve"> caring for Ebola patient</w:t>
      </w:r>
      <w:r>
        <w:rPr>
          <w:rFonts w:eastAsia="Arial Unicode MS"/>
        </w:rPr>
        <w:t>s</w:t>
      </w:r>
      <w:r w:rsidRPr="00BD636D">
        <w:rPr>
          <w:rFonts w:eastAsia="Arial Unicode MS"/>
        </w:rPr>
        <w:t>.</w:t>
      </w:r>
    </w:p>
    <w:p w14:paraId="2BF16A26" w14:textId="130FAAFF" w:rsidR="003433BF" w:rsidRDefault="003433BF" w:rsidP="00AF69D8">
      <w:pPr>
        <w:numPr>
          <w:ilvl w:val="0"/>
          <w:numId w:val="15"/>
        </w:numPr>
        <w:outlineLvl w:val="1"/>
      </w:pPr>
      <w:r w:rsidRPr="003433BF">
        <w:t>At</w:t>
      </w:r>
      <w:r>
        <w:t>tachment 6 is a t</w:t>
      </w:r>
      <w:r w:rsidRPr="003433BF">
        <w:rPr>
          <w:rFonts w:eastAsia="Arial Unicode MS"/>
        </w:rPr>
        <w:t xml:space="preserve">emplate to facilitate </w:t>
      </w:r>
      <w:r w:rsidR="00EF5997">
        <w:rPr>
          <w:rFonts w:eastAsia="Arial Unicode MS"/>
        </w:rPr>
        <w:t>the</w:t>
      </w:r>
      <w:r>
        <w:rPr>
          <w:rFonts w:eastAsia="Arial Unicode MS"/>
        </w:rPr>
        <w:t xml:space="preserve"> 21-</w:t>
      </w:r>
      <w:r w:rsidRPr="003433BF">
        <w:rPr>
          <w:rFonts w:eastAsia="Arial Unicode MS"/>
        </w:rPr>
        <w:t>day follow-up</w:t>
      </w:r>
      <w:r>
        <w:rPr>
          <w:rFonts w:eastAsia="Arial Unicode MS"/>
        </w:rPr>
        <w:t xml:space="preserve"> which may be used for the three healthcare respondent groups.</w:t>
      </w:r>
    </w:p>
    <w:p w14:paraId="6781EEB2" w14:textId="77777777" w:rsidR="005B362C" w:rsidRDefault="005B362C" w:rsidP="005B362C">
      <w:pPr>
        <w:ind w:left="720"/>
        <w:outlineLvl w:val="1"/>
      </w:pPr>
    </w:p>
    <w:p w14:paraId="7EAF1A05" w14:textId="77777777" w:rsidR="005B362C" w:rsidRDefault="005B362C" w:rsidP="005B362C">
      <w:pPr>
        <w:ind w:left="720"/>
        <w:outlineLvl w:val="1"/>
      </w:pPr>
      <w:r>
        <w:rPr>
          <w:u w:val="single"/>
        </w:rPr>
        <w:t>STL respondents</w:t>
      </w:r>
    </w:p>
    <w:p w14:paraId="1E863F95" w14:textId="67D2F4F3" w:rsidR="005B362C" w:rsidRPr="000C6661" w:rsidRDefault="005B362C" w:rsidP="005B362C">
      <w:pPr>
        <w:ind w:left="720"/>
        <w:outlineLvl w:val="1"/>
      </w:pPr>
      <w:r>
        <w:t xml:space="preserve">The CDC provides updates for daily situational awareness reports to </w:t>
      </w:r>
      <w:r w:rsidR="00A1430F">
        <w:t>requesting</w:t>
      </w:r>
      <w:r>
        <w:t xml:space="preserve"> federal departments such as HHS and the White House. Often, CDC field personnel</w:t>
      </w:r>
      <w:r w:rsidRPr="000C6661">
        <w:t xml:space="preserve"> can gather this information and report it back to the CDC EOC without i</w:t>
      </w:r>
      <w:r w:rsidR="0060199C">
        <w:t>mposing any reporting</w:t>
      </w:r>
      <w:r w:rsidRPr="000C6661">
        <w:t xml:space="preserve"> burden on the STL public health authority. In order to request sufficient burden hours, here, we presume that </w:t>
      </w:r>
      <w:r w:rsidR="0060199C">
        <w:t>one-half of the daily</w:t>
      </w:r>
      <w:r w:rsidRPr="000C6661">
        <w:t xml:space="preserve"> reporting back to CDC is performed by the STL authorities.</w:t>
      </w:r>
    </w:p>
    <w:p w14:paraId="1F420415" w14:textId="77777777" w:rsidR="005B362C" w:rsidRPr="000C6661" w:rsidRDefault="005B362C" w:rsidP="005B362C">
      <w:pPr>
        <w:ind w:left="720"/>
        <w:outlineLvl w:val="1"/>
      </w:pPr>
    </w:p>
    <w:p w14:paraId="42A36203" w14:textId="77777777" w:rsidR="005B362C" w:rsidRDefault="005B362C" w:rsidP="004908E5">
      <w:pPr>
        <w:pStyle w:val="CommentText"/>
        <w:ind w:left="720"/>
        <w:rPr>
          <w:sz w:val="24"/>
          <w:szCs w:val="24"/>
        </w:rPr>
      </w:pPr>
      <w:r>
        <w:rPr>
          <w:sz w:val="24"/>
          <w:szCs w:val="24"/>
        </w:rPr>
        <w:t>CDC receives one report per day for each case while in hospital for 3 weeks</w:t>
      </w:r>
      <w:r w:rsidRPr="000C6661">
        <w:rPr>
          <w:sz w:val="24"/>
          <w:szCs w:val="24"/>
        </w:rPr>
        <w:t xml:space="preserve"> and for 21 days after discharge</w:t>
      </w:r>
      <w:r>
        <w:rPr>
          <w:sz w:val="24"/>
          <w:szCs w:val="24"/>
        </w:rPr>
        <w:t xml:space="preserve"> (42 days of update reports). The report length varies (</w:t>
      </w:r>
      <w:r w:rsidRPr="000C6661">
        <w:rPr>
          <w:sz w:val="24"/>
          <w:szCs w:val="24"/>
        </w:rPr>
        <w:t>15 min</w:t>
      </w:r>
      <w:r>
        <w:rPr>
          <w:sz w:val="24"/>
          <w:szCs w:val="24"/>
        </w:rPr>
        <w:t>utes while hospitalized and 5 minutes after discharge).  T</w:t>
      </w:r>
      <w:r w:rsidR="00AB2C06">
        <w:rPr>
          <w:sz w:val="24"/>
          <w:szCs w:val="24"/>
        </w:rPr>
        <w:t>herefore, t</w:t>
      </w:r>
      <w:r>
        <w:rPr>
          <w:sz w:val="24"/>
          <w:szCs w:val="24"/>
        </w:rPr>
        <w:t>he median reporting burden</w:t>
      </w:r>
      <w:r w:rsidRPr="000C6661">
        <w:rPr>
          <w:sz w:val="24"/>
          <w:szCs w:val="24"/>
        </w:rPr>
        <w:t xml:space="preserve"> is 10 min</w:t>
      </w:r>
      <w:r>
        <w:rPr>
          <w:sz w:val="24"/>
          <w:szCs w:val="24"/>
        </w:rPr>
        <w:t>utes per daily report</w:t>
      </w:r>
      <w:r w:rsidRPr="000C6661">
        <w:rPr>
          <w:sz w:val="24"/>
          <w:szCs w:val="24"/>
        </w:rPr>
        <w:t>.</w:t>
      </w:r>
    </w:p>
    <w:p w14:paraId="10F3D267" w14:textId="77777777" w:rsidR="004F6A99" w:rsidRDefault="004F6A99" w:rsidP="004908E5">
      <w:pPr>
        <w:outlineLvl w:val="1"/>
      </w:pPr>
    </w:p>
    <w:p w14:paraId="74DB6D91" w14:textId="1C2D890E" w:rsidR="004F6A99" w:rsidRDefault="00220666" w:rsidP="003C4302">
      <w:pPr>
        <w:ind w:left="720"/>
        <w:outlineLvl w:val="1"/>
      </w:pPr>
      <w:r>
        <w:t>In a given 180-day period, t</w:t>
      </w:r>
      <w:r w:rsidR="004F6A99" w:rsidRPr="001755AA">
        <w:t xml:space="preserve">he </w:t>
      </w:r>
      <w:r>
        <w:t>estimat</w:t>
      </w:r>
      <w:r w:rsidR="004F6A99" w:rsidRPr="001755AA">
        <w:t xml:space="preserve">ed burden hours for </w:t>
      </w:r>
      <w:r w:rsidR="004F6A99">
        <w:t xml:space="preserve">reporting daily updates on </w:t>
      </w:r>
      <w:r w:rsidR="004F6A99" w:rsidRPr="001755AA">
        <w:t xml:space="preserve">EVD case investigations and contact tracings </w:t>
      </w:r>
      <w:r w:rsidR="004F6A99">
        <w:t>for STL public health authorities and their delegates</w:t>
      </w:r>
      <w:r w:rsidR="004F6A99">
        <w:rPr>
          <w:rStyle w:val="FootnoteReference"/>
        </w:rPr>
        <w:footnoteReference w:id="6"/>
      </w:r>
      <w:r w:rsidR="004F6A99">
        <w:t xml:space="preserve"> would be approximately </w:t>
      </w:r>
      <w:r>
        <w:t>56</w:t>
      </w:r>
      <w:r w:rsidR="004F6A99" w:rsidRPr="001755AA">
        <w:t xml:space="preserve"> hours</w:t>
      </w:r>
      <w:r w:rsidR="004F6A99">
        <w:t>.</w:t>
      </w:r>
    </w:p>
    <w:p w14:paraId="21073DB4" w14:textId="77777777" w:rsidR="009045A2" w:rsidRDefault="009045A2" w:rsidP="003C4302">
      <w:pPr>
        <w:ind w:left="720"/>
        <w:outlineLvl w:val="1"/>
      </w:pPr>
    </w:p>
    <w:p w14:paraId="2DD6D6C4" w14:textId="709D2475" w:rsidR="00BD636D" w:rsidRDefault="009045A2" w:rsidP="00611165">
      <w:pPr>
        <w:numPr>
          <w:ilvl w:val="0"/>
          <w:numId w:val="16"/>
        </w:numPr>
        <w:outlineLvl w:val="1"/>
      </w:pPr>
      <w:r>
        <w:t>Group 3 attachments are guidance for health departments</w:t>
      </w:r>
      <w:r w:rsidR="00BD636D">
        <w:t>.</w:t>
      </w:r>
      <w:r w:rsidR="0048549F">
        <w:t xml:space="preserve"> See Section A.8.B for discussion of CDC’s efforts to seek public comment out</w:t>
      </w:r>
      <w:r w:rsidR="00F31A2B">
        <w:t>side the agency</w:t>
      </w:r>
      <w:r w:rsidR="0048549F">
        <w:t>.</w:t>
      </w:r>
    </w:p>
    <w:p w14:paraId="25F9F5C5" w14:textId="77777777" w:rsidR="009045A2" w:rsidRPr="004908E5" w:rsidRDefault="00BD636D" w:rsidP="00611165">
      <w:pPr>
        <w:numPr>
          <w:ilvl w:val="0"/>
          <w:numId w:val="16"/>
        </w:numPr>
        <w:outlineLvl w:val="1"/>
      </w:pPr>
      <w:r>
        <w:t xml:space="preserve">Attachment 8 shows the data elements STL public health authorities report to CDC for its </w:t>
      </w:r>
      <w:r w:rsidR="00611165">
        <w:t xml:space="preserve">daily </w:t>
      </w:r>
      <w:r>
        <w:t>White House Evening Report.</w:t>
      </w:r>
    </w:p>
    <w:p w14:paraId="015654DF" w14:textId="77777777" w:rsidR="00522F88" w:rsidRPr="00E96FEB" w:rsidRDefault="00522F88" w:rsidP="00E96FEB">
      <w:pPr>
        <w:widowControl w:val="0"/>
        <w:ind w:left="720"/>
        <w:rPr>
          <w:rFonts w:cs="Shruti"/>
          <w:bCs/>
          <w:i/>
        </w:rPr>
      </w:pPr>
    </w:p>
    <w:p w14:paraId="68029B5E" w14:textId="77777777" w:rsidR="00522F88" w:rsidRPr="00E96FEB" w:rsidRDefault="00F07D86" w:rsidP="00E96FEB">
      <w:pPr>
        <w:widowControl w:val="0"/>
        <w:ind w:left="720"/>
        <w:rPr>
          <w:rFonts w:cs="Shruti"/>
          <w:bCs/>
          <w:i/>
        </w:rPr>
      </w:pPr>
      <w:r w:rsidRPr="00E96FEB">
        <w:rPr>
          <w:i/>
        </w:rPr>
        <w:t>10.1.</w:t>
      </w:r>
      <w:r w:rsidR="000A21A2" w:rsidRPr="00E96FEB">
        <w:rPr>
          <w:i/>
        </w:rPr>
        <w:t>2. I</w:t>
      </w:r>
      <w:r w:rsidR="00121B7F" w:rsidRPr="00E96FEB">
        <w:rPr>
          <w:i/>
        </w:rPr>
        <w:t>tems of i</w:t>
      </w:r>
      <w:r w:rsidR="000A21A2" w:rsidRPr="00E96FEB">
        <w:rPr>
          <w:i/>
        </w:rPr>
        <w:t>nformation to be collected</w:t>
      </w:r>
    </w:p>
    <w:p w14:paraId="470F535E" w14:textId="77777777" w:rsidR="005D6464" w:rsidRDefault="00620DD5" w:rsidP="0085621D">
      <w:pPr>
        <w:widowControl w:val="0"/>
        <w:ind w:left="720"/>
        <w:rPr>
          <w:bCs/>
        </w:rPr>
      </w:pPr>
      <w:r w:rsidRPr="00014364">
        <w:rPr>
          <w:bCs/>
        </w:rPr>
        <w:t xml:space="preserve">This data collection includes the following information in identifiable form: </w:t>
      </w:r>
    </w:p>
    <w:p w14:paraId="31FE29DF" w14:textId="77777777" w:rsidR="005D6464" w:rsidRPr="00E702AA" w:rsidRDefault="005D6464" w:rsidP="004070F9">
      <w:pPr>
        <w:pStyle w:val="Default"/>
        <w:spacing w:after="38"/>
        <w:ind w:left="1080"/>
      </w:pPr>
      <w:r w:rsidRPr="00E702AA">
        <w:t xml:space="preserve"> Name </w:t>
      </w:r>
    </w:p>
    <w:p w14:paraId="52609EF7" w14:textId="0595D579" w:rsidR="005D6464" w:rsidRPr="00E702AA" w:rsidRDefault="005D6464" w:rsidP="003B5AAE">
      <w:pPr>
        <w:pStyle w:val="Default"/>
        <w:spacing w:after="38"/>
        <w:ind w:left="1080"/>
      </w:pPr>
      <w:r w:rsidRPr="00E702AA">
        <w:t> Date of Birth</w:t>
      </w:r>
    </w:p>
    <w:p w14:paraId="5FBF49B6" w14:textId="77777777" w:rsidR="005D6464" w:rsidRPr="00E702AA" w:rsidRDefault="005D6464" w:rsidP="004070F9">
      <w:pPr>
        <w:pStyle w:val="Default"/>
        <w:spacing w:after="38"/>
        <w:ind w:left="1080"/>
      </w:pPr>
      <w:r w:rsidRPr="00E702AA">
        <w:t xml:space="preserve"> Mailing Address </w:t>
      </w:r>
    </w:p>
    <w:p w14:paraId="487BBF1B" w14:textId="77777777" w:rsidR="005D6464" w:rsidRPr="00E702AA" w:rsidRDefault="005D6464" w:rsidP="004070F9">
      <w:pPr>
        <w:pStyle w:val="Default"/>
        <w:spacing w:after="38"/>
        <w:ind w:left="1080"/>
      </w:pPr>
      <w:r w:rsidRPr="00E702AA">
        <w:lastRenderedPageBreak/>
        <w:t xml:space="preserve"> Phone Numbers </w:t>
      </w:r>
    </w:p>
    <w:p w14:paraId="4E5F4F8A" w14:textId="77777777" w:rsidR="005D6464" w:rsidRPr="00E702AA" w:rsidRDefault="005D6464" w:rsidP="004070F9">
      <w:pPr>
        <w:pStyle w:val="Default"/>
        <w:spacing w:after="38"/>
        <w:ind w:left="1080"/>
      </w:pPr>
      <w:r w:rsidRPr="00E702AA">
        <w:t xml:space="preserve"> Medical Information and Notes </w:t>
      </w:r>
    </w:p>
    <w:p w14:paraId="397B4E14" w14:textId="77777777" w:rsidR="005D6464" w:rsidRPr="00E702AA" w:rsidRDefault="005D6464" w:rsidP="004070F9">
      <w:pPr>
        <w:pStyle w:val="Default"/>
        <w:spacing w:after="38"/>
        <w:ind w:left="1080"/>
      </w:pPr>
      <w:r w:rsidRPr="00E702AA">
        <w:t xml:space="preserve"> Medical Records Numbers </w:t>
      </w:r>
    </w:p>
    <w:p w14:paraId="4A6F3327" w14:textId="77777777" w:rsidR="005D6464" w:rsidRPr="00E702AA" w:rsidRDefault="005D6464" w:rsidP="004070F9">
      <w:pPr>
        <w:pStyle w:val="Default"/>
        <w:spacing w:after="38"/>
        <w:ind w:left="1080"/>
      </w:pPr>
      <w:r w:rsidRPr="00E702AA">
        <w:t xml:space="preserve"> Biological Specimens </w:t>
      </w:r>
    </w:p>
    <w:p w14:paraId="270A2980" w14:textId="77777777" w:rsidR="005D6464" w:rsidRPr="00E702AA" w:rsidRDefault="005D6464" w:rsidP="004070F9">
      <w:pPr>
        <w:pStyle w:val="Default"/>
        <w:spacing w:after="38"/>
        <w:ind w:left="1080"/>
      </w:pPr>
      <w:r w:rsidRPr="00E702AA">
        <w:t xml:space="preserve"> Email Address </w:t>
      </w:r>
    </w:p>
    <w:p w14:paraId="4BE6CE2B" w14:textId="77777777" w:rsidR="005D6464" w:rsidRPr="00E702AA" w:rsidRDefault="005D6464" w:rsidP="004070F9">
      <w:pPr>
        <w:pStyle w:val="Default"/>
        <w:spacing w:after="38"/>
        <w:ind w:left="1080"/>
      </w:pPr>
      <w:r w:rsidRPr="00E702AA">
        <w:t xml:space="preserve"> Employment Status </w:t>
      </w:r>
    </w:p>
    <w:p w14:paraId="70802A13" w14:textId="77777777" w:rsidR="005D6464" w:rsidRPr="00E702AA" w:rsidRDefault="005D6464" w:rsidP="008515E1">
      <w:pPr>
        <w:pStyle w:val="Default"/>
        <w:spacing w:after="38"/>
        <w:ind w:left="1350" w:hanging="270"/>
      </w:pPr>
      <w:r w:rsidRPr="00E702AA">
        <w:t xml:space="preserve"> Foreign Activities </w:t>
      </w:r>
      <w:r w:rsidR="0058706B" w:rsidRPr="00E702AA">
        <w:t>– citizenship</w:t>
      </w:r>
      <w:r w:rsidR="003C2431" w:rsidRPr="00E702AA">
        <w:t>,</w:t>
      </w:r>
      <w:r w:rsidR="0058706B" w:rsidRPr="00E702AA">
        <w:t xml:space="preserve"> and address </w:t>
      </w:r>
      <w:r w:rsidR="003C2431" w:rsidRPr="00E702AA">
        <w:t>in</w:t>
      </w:r>
      <w:r w:rsidR="0058706B" w:rsidRPr="00E702AA">
        <w:t xml:space="preserve"> </w:t>
      </w:r>
      <w:r w:rsidR="00B35192" w:rsidRPr="00E702AA">
        <w:t xml:space="preserve">foreign </w:t>
      </w:r>
      <w:r w:rsidR="0058706B" w:rsidRPr="00E702AA">
        <w:t>country of residence</w:t>
      </w:r>
    </w:p>
    <w:p w14:paraId="7FDB0EAA" w14:textId="77777777" w:rsidR="005D6464" w:rsidRPr="00BF6092" w:rsidRDefault="005D6464" w:rsidP="008515E1">
      <w:pPr>
        <w:pStyle w:val="Default"/>
        <w:ind w:left="1350" w:hanging="270"/>
      </w:pPr>
      <w:r w:rsidRPr="00E702AA">
        <w:t xml:space="preserve"> Other </w:t>
      </w:r>
      <w:r w:rsidR="00EC4A88" w:rsidRPr="00E702AA">
        <w:t xml:space="preserve">– list of </w:t>
      </w:r>
      <w:r w:rsidR="003F6F71" w:rsidRPr="00E702AA">
        <w:t xml:space="preserve">personal identities of </w:t>
      </w:r>
      <w:r w:rsidR="00EC4A88" w:rsidRPr="00E702AA">
        <w:t xml:space="preserve">community </w:t>
      </w:r>
      <w:r w:rsidR="00D45492" w:rsidRPr="00E702AA">
        <w:t xml:space="preserve">and worker contacts at </w:t>
      </w:r>
      <w:r w:rsidR="00E42B44" w:rsidRPr="00E702AA">
        <w:t xml:space="preserve">time of </w:t>
      </w:r>
      <w:r w:rsidR="00D45492" w:rsidRPr="00E702AA">
        <w:t>onse</w:t>
      </w:r>
      <w:r w:rsidR="00EC4A88" w:rsidRPr="00E702AA">
        <w:t>t</w:t>
      </w:r>
      <w:r w:rsidR="003C2431" w:rsidRPr="00E702AA">
        <w:t xml:space="preserve"> of </w:t>
      </w:r>
      <w:r w:rsidR="00E42B44" w:rsidRPr="00E702AA">
        <w:t xml:space="preserve">EVD </w:t>
      </w:r>
      <w:r w:rsidR="007F761B" w:rsidRPr="00E702AA">
        <w:t xml:space="preserve">case </w:t>
      </w:r>
      <w:r w:rsidR="003C2431" w:rsidRPr="00E702AA">
        <w:t>symptoms</w:t>
      </w:r>
    </w:p>
    <w:p w14:paraId="11CE8207" w14:textId="77777777" w:rsidR="00522F88" w:rsidRPr="00BF6092" w:rsidRDefault="00522F88" w:rsidP="00E96FEB">
      <w:pPr>
        <w:widowControl w:val="0"/>
        <w:ind w:left="720"/>
        <w:rPr>
          <w:rFonts w:cs="Shruti"/>
          <w:bCs/>
          <w:i/>
        </w:rPr>
      </w:pPr>
    </w:p>
    <w:p w14:paraId="3A5EFA2B" w14:textId="77777777" w:rsidR="00522F88" w:rsidRPr="00E96FEB" w:rsidRDefault="00F07D86" w:rsidP="00E96FEB">
      <w:pPr>
        <w:widowControl w:val="0"/>
        <w:ind w:left="720"/>
        <w:rPr>
          <w:rFonts w:cs="Shruti"/>
          <w:bCs/>
          <w:i/>
        </w:rPr>
      </w:pPr>
      <w:r w:rsidRPr="00BF6092">
        <w:rPr>
          <w:i/>
        </w:rPr>
        <w:t>10.1.</w:t>
      </w:r>
      <w:r w:rsidR="000A21A2" w:rsidRPr="00BF6092">
        <w:rPr>
          <w:i/>
        </w:rPr>
        <w:t>3. How information</w:t>
      </w:r>
      <w:r w:rsidR="000A21A2" w:rsidRPr="00E96FEB">
        <w:rPr>
          <w:i/>
        </w:rPr>
        <w:t xml:space="preserve"> will be shared and for what purpose</w:t>
      </w:r>
    </w:p>
    <w:p w14:paraId="68B0233A" w14:textId="602B3D8D" w:rsidR="0058235B" w:rsidRPr="00E050AC" w:rsidRDefault="0058235B" w:rsidP="00E50D7A">
      <w:pPr>
        <w:ind w:left="720"/>
        <w:rPr>
          <w:bCs/>
          <w:i/>
        </w:rPr>
      </w:pPr>
      <w:r>
        <w:t>In addition to providing assistance for the STL public health authorities, CDC seeks to obtain this information either for or from the STL authorities to be included in daily situational awareness reports to the U.S. Department of Health and Human Services (HHS) and the White House</w:t>
      </w:r>
      <w:r w:rsidR="00B20173">
        <w:t xml:space="preserve"> (Attachment </w:t>
      </w:r>
      <w:r w:rsidR="00014595">
        <w:t>8</w:t>
      </w:r>
      <w:r w:rsidR="00B20173">
        <w:t>)</w:t>
      </w:r>
      <w:r>
        <w:t>.</w:t>
      </w:r>
      <w:r w:rsidR="00E50D7A">
        <w:t xml:space="preserve"> </w:t>
      </w:r>
      <w:r w:rsidR="00E50D7A" w:rsidRPr="003F7DE8">
        <w:rPr>
          <w:bCs/>
        </w:rPr>
        <w:t>The data will not be shared except in de-id</w:t>
      </w:r>
      <w:r w:rsidR="00E50D7A">
        <w:rPr>
          <w:bCs/>
        </w:rPr>
        <w:t xml:space="preserve">entified or aggregate formats. </w:t>
      </w:r>
    </w:p>
    <w:p w14:paraId="48445F95" w14:textId="77777777" w:rsidR="005D6464" w:rsidRDefault="005D6464" w:rsidP="0058235B">
      <w:pPr>
        <w:widowControl w:val="0"/>
        <w:rPr>
          <w:rFonts w:cs="Shruti"/>
          <w:bCs/>
        </w:rPr>
      </w:pPr>
    </w:p>
    <w:p w14:paraId="0213A61C" w14:textId="77777777" w:rsidR="00522F88" w:rsidRPr="00E96FEB" w:rsidRDefault="00F07D86" w:rsidP="00E96FEB">
      <w:pPr>
        <w:widowControl w:val="0"/>
        <w:ind w:left="720"/>
        <w:rPr>
          <w:rFonts w:cs="Shruti"/>
          <w:bCs/>
          <w:i/>
        </w:rPr>
      </w:pPr>
      <w:r w:rsidRPr="00E96FEB">
        <w:rPr>
          <w:i/>
        </w:rPr>
        <w:t>10.1.</w:t>
      </w:r>
      <w:r w:rsidR="000A21A2" w:rsidRPr="00E96FEB">
        <w:rPr>
          <w:i/>
        </w:rPr>
        <w:t>4. I</w:t>
      </w:r>
      <w:r w:rsidR="00522F88" w:rsidRPr="00E96FEB">
        <w:rPr>
          <w:i/>
        </w:rPr>
        <w:t xml:space="preserve">mpact </w:t>
      </w:r>
      <w:r w:rsidR="000A21A2" w:rsidRPr="00E96FEB">
        <w:rPr>
          <w:i/>
        </w:rPr>
        <w:t>on the respondent’s privacy</w:t>
      </w:r>
    </w:p>
    <w:p w14:paraId="46D81E85" w14:textId="77777777" w:rsidR="00522F88" w:rsidRDefault="00EE3DFE" w:rsidP="00E96FEB">
      <w:pPr>
        <w:widowControl w:val="0"/>
        <w:ind w:left="720"/>
        <w:rPr>
          <w:bCs/>
        </w:rPr>
      </w:pPr>
      <w:r>
        <w:rPr>
          <w:rFonts w:eastAsia="Calibri"/>
        </w:rPr>
        <w:t>Data are treated in a private manner, unless otherwise compelled by law.</w:t>
      </w:r>
      <w:r w:rsidRPr="00014364">
        <w:rPr>
          <w:bCs/>
        </w:rPr>
        <w:t xml:space="preserve"> </w:t>
      </w:r>
      <w:r w:rsidR="00FE07A0" w:rsidRPr="00014364">
        <w:rPr>
          <w:bCs/>
        </w:rPr>
        <w:t>Highly sensitive information is being collected and would affect a respondent’s privacy if there were a breach of confidential</w:t>
      </w:r>
      <w:r w:rsidR="00FE07A0">
        <w:rPr>
          <w:bCs/>
        </w:rPr>
        <w:t xml:space="preserve">ity. </w:t>
      </w:r>
      <w:r w:rsidR="00F25EF3">
        <w:rPr>
          <w:bCs/>
        </w:rPr>
        <w:t xml:space="preserve">CDC will </w:t>
      </w:r>
      <w:r w:rsidR="005421D8">
        <w:rPr>
          <w:bCs/>
        </w:rPr>
        <w:t xml:space="preserve">make every effort to </w:t>
      </w:r>
      <w:r w:rsidR="00F25EF3">
        <w:rPr>
          <w:bCs/>
        </w:rPr>
        <w:t xml:space="preserve">secure the information as described in Section </w:t>
      </w:r>
      <w:r w:rsidR="005421D8">
        <w:rPr>
          <w:bCs/>
        </w:rPr>
        <w:t>A.10.1.7</w:t>
      </w:r>
      <w:r w:rsidR="00F25EF3">
        <w:rPr>
          <w:bCs/>
        </w:rPr>
        <w:t>.</w:t>
      </w:r>
    </w:p>
    <w:p w14:paraId="6C179D72" w14:textId="77777777" w:rsidR="00CC65DB" w:rsidRDefault="00CC65DB" w:rsidP="00D76217">
      <w:pPr>
        <w:rPr>
          <w:rFonts w:eastAsia="Calibri"/>
        </w:rPr>
      </w:pPr>
    </w:p>
    <w:p w14:paraId="61001A0B" w14:textId="77777777" w:rsidR="00522F88" w:rsidRDefault="00F07D86" w:rsidP="00CC65DB">
      <w:pPr>
        <w:widowControl w:val="0"/>
        <w:ind w:left="720"/>
        <w:rPr>
          <w:rFonts w:cs="Shruti"/>
          <w:bCs/>
          <w:i/>
        </w:rPr>
      </w:pPr>
      <w:r w:rsidRPr="00E96FEB">
        <w:rPr>
          <w:i/>
        </w:rPr>
        <w:t>10.1.</w:t>
      </w:r>
      <w:r w:rsidR="000A21A2" w:rsidRPr="00E96FEB">
        <w:rPr>
          <w:i/>
        </w:rPr>
        <w:t>5. Whether individuals are informed that providing the information is voluntary or mandatory</w:t>
      </w:r>
    </w:p>
    <w:p w14:paraId="5BF40D1C" w14:textId="77777777" w:rsidR="00F732D9" w:rsidRPr="00E96FEB" w:rsidRDefault="00F732D9" w:rsidP="00E96FEB">
      <w:pPr>
        <w:widowControl w:val="0"/>
        <w:ind w:left="720"/>
        <w:rPr>
          <w:rFonts w:cs="Shruti"/>
          <w:bCs/>
          <w:i/>
        </w:rPr>
      </w:pPr>
      <w:r>
        <w:t xml:space="preserve">Respondents are informed about the voluntary nature of their response. </w:t>
      </w:r>
      <w:r w:rsidR="00D9200F">
        <w:t>However, STL</w:t>
      </w:r>
      <w:r w:rsidR="00E702AA">
        <w:t xml:space="preserve"> public health authorities</w:t>
      </w:r>
      <w:r w:rsidR="00D9200F">
        <w:t xml:space="preserve"> may have local requirements that are different.  </w:t>
      </w:r>
      <w:r>
        <w:t>If an illness of public health concern is suspected based on the information collected using these forms, the individual in question may be required to undergo further assessment and questioning.</w:t>
      </w:r>
    </w:p>
    <w:p w14:paraId="3CA7C157" w14:textId="77777777" w:rsidR="004E6DE5" w:rsidRPr="00EC07C8" w:rsidRDefault="004E6DE5" w:rsidP="000A21A2">
      <w:pPr>
        <w:autoSpaceDE w:val="0"/>
        <w:autoSpaceDN w:val="0"/>
        <w:adjustRightInd w:val="0"/>
      </w:pPr>
    </w:p>
    <w:p w14:paraId="0AB0FC1A" w14:textId="77777777" w:rsidR="000A21A2" w:rsidRDefault="00F07D86" w:rsidP="00E96FEB">
      <w:pPr>
        <w:autoSpaceDE w:val="0"/>
        <w:autoSpaceDN w:val="0"/>
        <w:adjustRightInd w:val="0"/>
        <w:ind w:left="720"/>
        <w:rPr>
          <w:i/>
        </w:rPr>
      </w:pPr>
      <w:r w:rsidRPr="00E96FEB">
        <w:rPr>
          <w:i/>
        </w:rPr>
        <w:t>10.1.</w:t>
      </w:r>
      <w:r w:rsidR="000A21A2" w:rsidRPr="00E96FEB">
        <w:rPr>
          <w:i/>
        </w:rPr>
        <w:t>6. Opportunities to consent, if any, to sharing and submission of information</w:t>
      </w:r>
    </w:p>
    <w:p w14:paraId="42C42E96" w14:textId="77777777" w:rsidR="0058235B" w:rsidRPr="00EC07C8" w:rsidRDefault="00F75AFF" w:rsidP="008253E0">
      <w:pPr>
        <w:autoSpaceDE w:val="0"/>
        <w:autoSpaceDN w:val="0"/>
        <w:adjustRightInd w:val="0"/>
        <w:ind w:left="720"/>
      </w:pPr>
      <w:r w:rsidRPr="00E702AA">
        <w:t>Respondents do not have to participate in any surveys to collect data.  Participation is voluntary.</w:t>
      </w:r>
    </w:p>
    <w:p w14:paraId="7B3C12B8" w14:textId="77777777" w:rsidR="00384DD3" w:rsidRPr="003F7350" w:rsidRDefault="00384DD3" w:rsidP="003F7350">
      <w:pPr>
        <w:autoSpaceDE w:val="0"/>
        <w:autoSpaceDN w:val="0"/>
        <w:adjustRightInd w:val="0"/>
        <w:ind w:left="720"/>
        <w:rPr>
          <w:i/>
        </w:rPr>
      </w:pPr>
    </w:p>
    <w:p w14:paraId="4AA72211" w14:textId="77777777" w:rsidR="00522F88" w:rsidRDefault="00F07D86" w:rsidP="00E96FEB">
      <w:pPr>
        <w:autoSpaceDE w:val="0"/>
        <w:autoSpaceDN w:val="0"/>
        <w:adjustRightInd w:val="0"/>
        <w:ind w:left="720"/>
        <w:rPr>
          <w:i/>
        </w:rPr>
      </w:pPr>
      <w:r w:rsidRPr="00E96FEB">
        <w:rPr>
          <w:i/>
        </w:rPr>
        <w:t>10.1.</w:t>
      </w:r>
      <w:r w:rsidR="000A21A2" w:rsidRPr="00E96FEB">
        <w:rPr>
          <w:i/>
        </w:rPr>
        <w:t xml:space="preserve">7. How the </w:t>
      </w:r>
      <w:r w:rsidR="004E6DE5" w:rsidRPr="00E96FEB">
        <w:rPr>
          <w:i/>
        </w:rPr>
        <w:t>information will be secured</w:t>
      </w:r>
    </w:p>
    <w:p w14:paraId="08D2BE85" w14:textId="72E488A3" w:rsidR="004E6DE5" w:rsidRPr="00D76217" w:rsidRDefault="004E6DE5" w:rsidP="00E96FEB">
      <w:pPr>
        <w:autoSpaceDE w:val="0"/>
        <w:autoSpaceDN w:val="0"/>
        <w:adjustRightInd w:val="0"/>
        <w:ind w:left="720"/>
        <w:rPr>
          <w:i/>
        </w:rPr>
      </w:pPr>
      <w:r>
        <w:rPr>
          <w:bCs/>
        </w:rPr>
        <w:t>S</w:t>
      </w:r>
      <w:r w:rsidRPr="00014364">
        <w:rPr>
          <w:bCs/>
        </w:rPr>
        <w:t xml:space="preserve">tringent safeguards are in place to ensure a respondent’s privacy including </w:t>
      </w:r>
      <w:r>
        <w:rPr>
          <w:bCs/>
        </w:rPr>
        <w:t xml:space="preserve">restriction of access to </w:t>
      </w:r>
      <w:r w:rsidRPr="00014364">
        <w:rPr>
          <w:bCs/>
        </w:rPr>
        <w:t xml:space="preserve">authorized users, physical safeguards, and procedural safeguards. </w:t>
      </w:r>
      <w:r w:rsidRPr="00014364">
        <w:rPr>
          <w:bCs/>
          <w:u w:val="single"/>
        </w:rPr>
        <w:t>Authorized users:</w:t>
      </w:r>
      <w:r w:rsidRPr="00014364">
        <w:rPr>
          <w:bCs/>
        </w:rPr>
        <w:t xml:space="preserve"> A database security package is implemented on CDC’s computer systems to control unauthorized access to the system.  Attempts to gain access by unauthorized individuals are automatically recorded and reviewed on a regular basis.  Access is granted to only a limited number of physicians, scientists, statisticians, and designated support staff of CDC or its contractors as authorized by the system manager to accomplish the stated purposes for which the data in this system have been collected.  </w:t>
      </w:r>
      <w:r w:rsidRPr="00014364">
        <w:rPr>
          <w:bCs/>
          <w:u w:val="single"/>
        </w:rPr>
        <w:t xml:space="preserve">Physical </w:t>
      </w:r>
      <w:r w:rsidRPr="00014364">
        <w:rPr>
          <w:bCs/>
          <w:u w:val="single"/>
        </w:rPr>
        <w:lastRenderedPageBreak/>
        <w:t>safeguards:</w:t>
      </w:r>
      <w:r w:rsidRPr="00014364">
        <w:rPr>
          <w:bCs/>
        </w:rPr>
        <w:t xml:space="preserve">  Access to the CDC facility where the mainframe computer is located is controlled by a cardkey system.  Access to the computer room is controlled by a cardkey and security code (numeric code) system.  Access to the data entry area is also controlled by a cardkey system.  Guard service in buildings provides personnel screening of visitors.  The computer room is protected by an automatic sprinkler system, numerous automatic sensors are installed, and a proper mix of portable fire extinguishers is located throughout the computer room.  Computer files are backed up on a routine basis.  Hard copy records are stored in locked cabinets at CDC headquarters</w:t>
      </w:r>
      <w:r>
        <w:rPr>
          <w:bCs/>
        </w:rPr>
        <w:t>.</w:t>
      </w:r>
      <w:r w:rsidRPr="00014364">
        <w:rPr>
          <w:bCs/>
        </w:rPr>
        <w:t xml:space="preserve"> </w:t>
      </w:r>
      <w:r w:rsidRPr="00014364">
        <w:rPr>
          <w:bCs/>
          <w:u w:val="single"/>
        </w:rPr>
        <w:t>Procedural safeguards:</w:t>
      </w:r>
      <w:r w:rsidRPr="00014364">
        <w:rPr>
          <w:bCs/>
        </w:rPr>
        <w:t xml:space="preserve">  Protections for computerized records includes programmed verification of valid user identification code and password prior to logging on to the system, mandatory password changes, limited log-ins, virus protection, and user rights/file attribute restrictions.  Password protection imposes user name and password log-in requirements to prevent unauthorized access.  Each user name is assigned limited access rights to files and directories at varying levels to control file sharing.  There are routine daily back-up procedures, and secure off-site storage is available.  To avoid inadvertent data disclosure, measures are taken to ensure that all data are removed from electronic media containing Privacy Act information.  Finally, CDC and contractor employees who maintain </w:t>
      </w:r>
      <w:r>
        <w:rPr>
          <w:bCs/>
        </w:rPr>
        <w:t xml:space="preserve">and use </w:t>
      </w:r>
      <w:r w:rsidRPr="00014364">
        <w:rPr>
          <w:bCs/>
        </w:rPr>
        <w:t>records are instructed to check with the system manager prior to making disclosures of data.  When individually identified data are being used in a room, admittance at either CDC or contractor sites is restricted to specifically authorized personnel.  Privacy Act provisions are included in contracts</w:t>
      </w:r>
      <w:r>
        <w:rPr>
          <w:bCs/>
        </w:rPr>
        <w:t>,</w:t>
      </w:r>
      <w:r w:rsidRPr="00014364">
        <w:rPr>
          <w:bCs/>
        </w:rPr>
        <w:t xml:space="preserve"> the CDC Project Director, contract officers and project officers oversee compliance with these requirements</w:t>
      </w:r>
      <w:r>
        <w:rPr>
          <w:bCs/>
        </w:rPr>
        <w:t>, and CDC employees and contractors are required to be trained on the Privacy Act and receive information security awareness training at least annually.</w:t>
      </w:r>
    </w:p>
    <w:p w14:paraId="17E3ADB7" w14:textId="77777777" w:rsidR="004E6DE5" w:rsidRPr="00EC07C8" w:rsidRDefault="004E6DE5" w:rsidP="000A21A2">
      <w:pPr>
        <w:autoSpaceDE w:val="0"/>
        <w:autoSpaceDN w:val="0"/>
        <w:adjustRightInd w:val="0"/>
      </w:pPr>
    </w:p>
    <w:p w14:paraId="148BFE34" w14:textId="77777777" w:rsidR="00FE48CF" w:rsidRPr="00D76217" w:rsidRDefault="00F07D86" w:rsidP="00D76217">
      <w:pPr>
        <w:ind w:left="720"/>
        <w:rPr>
          <w:bCs/>
          <w:i/>
        </w:rPr>
      </w:pPr>
      <w:r w:rsidRPr="00D76217">
        <w:rPr>
          <w:i/>
        </w:rPr>
        <w:t>10.1.</w:t>
      </w:r>
      <w:r w:rsidR="000A21A2" w:rsidRPr="00D76217">
        <w:rPr>
          <w:i/>
        </w:rPr>
        <w:t>8. Whether a system of records is being created under the Privacy Act.</w:t>
      </w:r>
      <w:r w:rsidR="00C81CFB">
        <w:rPr>
          <w:bCs/>
          <w:i/>
        </w:rPr>
        <w:t xml:space="preserve"> </w:t>
      </w:r>
      <w:r w:rsidR="00FE07A0">
        <w:rPr>
          <w:rFonts w:eastAsia="Arial Unicode MS"/>
        </w:rPr>
        <w:t>Records are covered under CDC Privacy Act System Notice 09-20-0113, “Epidemic Investigation Case Records Systems Notice” (</w:t>
      </w:r>
      <w:r w:rsidR="00A1430F">
        <w:rPr>
          <w:rFonts w:eastAsia="Arial Unicode MS"/>
          <w:b/>
        </w:rPr>
        <w:t>Appendix</w:t>
      </w:r>
      <w:r w:rsidR="00FE07A0" w:rsidRPr="000B3396">
        <w:rPr>
          <w:rFonts w:eastAsia="Arial Unicode MS"/>
          <w:b/>
        </w:rPr>
        <w:t xml:space="preserve"> 3</w:t>
      </w:r>
      <w:r w:rsidR="00FE07A0" w:rsidRPr="007965FF">
        <w:rPr>
          <w:rFonts w:eastAsia="Arial Unicode MS"/>
        </w:rPr>
        <w:t xml:space="preserve">). </w:t>
      </w:r>
      <w:r w:rsidR="00FE07A0" w:rsidRPr="00014364">
        <w:rPr>
          <w:bCs/>
        </w:rPr>
        <w:t>Th</w:t>
      </w:r>
      <w:r w:rsidR="00FE07A0">
        <w:rPr>
          <w:bCs/>
        </w:rPr>
        <w:t>ese</w:t>
      </w:r>
      <w:r w:rsidR="00FE07A0" w:rsidRPr="00014364">
        <w:rPr>
          <w:bCs/>
        </w:rPr>
        <w:t xml:space="preserve"> data </w:t>
      </w:r>
      <w:r w:rsidR="00FE07A0">
        <w:rPr>
          <w:bCs/>
        </w:rPr>
        <w:t>are</w:t>
      </w:r>
      <w:r w:rsidR="00FE07A0" w:rsidRPr="00014364">
        <w:rPr>
          <w:bCs/>
        </w:rPr>
        <w:t xml:space="preserve"> being collected to fulfill regulatory requirements under </w:t>
      </w:r>
      <w:r w:rsidR="00FE07A0">
        <w:rPr>
          <w:bCs/>
        </w:rPr>
        <w:t xml:space="preserve">the Public Health Service Act, </w:t>
      </w:r>
      <w:r w:rsidR="00FE07A0" w:rsidRPr="003F7DE8">
        <w:rPr>
          <w:bCs/>
        </w:rPr>
        <w:t>Section 301, “Research and Investigations, (42 U.S.C. 241); Sections 304, 306, and 308(d), which discusses authority to maintain this data (</w:t>
      </w:r>
      <w:r w:rsidR="00A1430F">
        <w:rPr>
          <w:b/>
          <w:bCs/>
        </w:rPr>
        <w:t>Appendix</w:t>
      </w:r>
      <w:r w:rsidR="00FE07A0" w:rsidRPr="003F7DE8">
        <w:rPr>
          <w:b/>
          <w:bCs/>
        </w:rPr>
        <w:t xml:space="preserve"> 1</w:t>
      </w:r>
      <w:r w:rsidR="00FE07A0" w:rsidRPr="003F7DE8">
        <w:rPr>
          <w:bCs/>
        </w:rPr>
        <w:t xml:space="preserve">). The data will not be shared except in de-identified or aggregate formats.  </w:t>
      </w:r>
      <w:r w:rsidR="00EC4040">
        <w:t>The personal information will be maintained according to CDC Records Control Schedule B-321 (</w:t>
      </w:r>
      <w:hyperlink r:id="rId9" w:history="1">
        <w:r w:rsidR="00EC4040">
          <w:rPr>
            <w:rStyle w:val="Hyperlink"/>
          </w:rPr>
          <w:t>http://intranet.cdc.gov/maso/RM/pdfs/rmcontrol.pdf</w:t>
        </w:r>
      </w:hyperlink>
      <w:r w:rsidR="00EC4040">
        <w:t>).</w:t>
      </w:r>
    </w:p>
    <w:p w14:paraId="59A3D79F" w14:textId="77777777" w:rsidR="00384DD3" w:rsidRDefault="00384DD3" w:rsidP="00857D11">
      <w:pPr>
        <w:widowControl w:val="0"/>
        <w:rPr>
          <w:b/>
        </w:rPr>
      </w:pPr>
    </w:p>
    <w:p w14:paraId="7D93DA95" w14:textId="77777777" w:rsidR="00FE48CF" w:rsidRDefault="00FE48CF" w:rsidP="00857D11">
      <w:pPr>
        <w:widowControl w:val="0"/>
      </w:pPr>
      <w:r>
        <w:rPr>
          <w:b/>
        </w:rPr>
        <w:t>11. Justification for Sensitive Questions</w:t>
      </w:r>
    </w:p>
    <w:p w14:paraId="2C356E95" w14:textId="77777777" w:rsidR="00FE48CF" w:rsidRDefault="00FE48CF" w:rsidP="00857D11">
      <w:pPr>
        <w:widowControl w:val="0"/>
      </w:pPr>
    </w:p>
    <w:p w14:paraId="18E005B3" w14:textId="77777777" w:rsidR="00FE48CF" w:rsidRPr="001E6A06" w:rsidRDefault="00FE48CF" w:rsidP="00FE48CF">
      <w:pPr>
        <w:widowControl w:val="0"/>
      </w:pPr>
      <w:r>
        <w:t>These forms collect three types of data</w:t>
      </w:r>
      <w:r w:rsidR="000518E5">
        <w:t xml:space="preserve"> (</w:t>
      </w:r>
      <w:r w:rsidR="00C934E0" w:rsidRPr="000518E5">
        <w:rPr>
          <w:rFonts w:cs="Shruti"/>
          <w:b/>
          <w:bCs/>
        </w:rPr>
        <w:t xml:space="preserve">Attachment </w:t>
      </w:r>
      <w:r w:rsidR="00C934E0">
        <w:rPr>
          <w:rFonts w:cs="Shruti"/>
          <w:b/>
          <w:bCs/>
        </w:rPr>
        <w:t>1</w:t>
      </w:r>
      <w:r w:rsidR="00C934E0" w:rsidRPr="000518E5">
        <w:rPr>
          <w:rFonts w:cs="Shruti"/>
          <w:b/>
          <w:bCs/>
        </w:rPr>
        <w:t>-</w:t>
      </w:r>
      <w:r w:rsidR="00C934E0">
        <w:rPr>
          <w:rFonts w:cs="Shruti"/>
          <w:b/>
          <w:bCs/>
        </w:rPr>
        <w:t>2, 5a-6, 8</w:t>
      </w:r>
      <w:r w:rsidR="000518E5">
        <w:t>)</w:t>
      </w:r>
      <w:r>
        <w:t xml:space="preserve">:  1) </w:t>
      </w:r>
      <w:r w:rsidRPr="00523EA5">
        <w:t xml:space="preserve">Epidemiologic </w:t>
      </w:r>
      <w:r>
        <w:t xml:space="preserve">data such as </w:t>
      </w:r>
      <w:r w:rsidR="00BD6D63">
        <w:t xml:space="preserve">additional </w:t>
      </w:r>
      <w:r>
        <w:t xml:space="preserve">travel </w:t>
      </w:r>
      <w:r w:rsidR="00BD6D63">
        <w:t>plans after arrival to the U.S.</w:t>
      </w:r>
      <w:r>
        <w:t>, clinical signs and symptoms, exposure to ill people or animals, history of illness are essential to accurately determining the public health risk; 2) Demographic data such as a</w:t>
      </w:r>
      <w:r w:rsidRPr="00523EA5">
        <w:t xml:space="preserve">ge, race, sex, and geographic location are routinely collected </w:t>
      </w:r>
      <w:r>
        <w:t xml:space="preserve">as part of standard public health surveillance; and 3) </w:t>
      </w:r>
      <w:r w:rsidR="00131DB4">
        <w:t xml:space="preserve">identifying and </w:t>
      </w:r>
      <w:r>
        <w:t xml:space="preserve">contact information such as </w:t>
      </w:r>
      <w:r w:rsidR="00131DB4">
        <w:t xml:space="preserve">name, </w:t>
      </w:r>
      <w:r>
        <w:t>telephone number, address</w:t>
      </w:r>
      <w:r w:rsidR="00131DB4">
        <w:t xml:space="preserve"> </w:t>
      </w:r>
      <w:r>
        <w:t xml:space="preserve">for follow-up or contact tracing.  All of these data elements are essential to </w:t>
      </w:r>
      <w:r>
        <w:rPr>
          <w:rFonts w:cs="Shruti"/>
        </w:rPr>
        <w:t xml:space="preserve">efficiently detect a </w:t>
      </w:r>
      <w:r>
        <w:rPr>
          <w:rFonts w:cs="Shruti"/>
        </w:rPr>
        <w:lastRenderedPageBreak/>
        <w:t>public health threat and rapidly implement appropriate public health control measures</w:t>
      </w:r>
      <w:r w:rsidRPr="00D47B5E">
        <w:rPr>
          <w:rFonts w:cs="Shruti"/>
        </w:rPr>
        <w:t xml:space="preserve"> </w:t>
      </w:r>
      <w:r>
        <w:rPr>
          <w:rFonts w:cs="Shruti"/>
        </w:rPr>
        <w:t>to prevent the introduction and spread of communicable disease in</w:t>
      </w:r>
      <w:r w:rsidR="00131DB4">
        <w:rPr>
          <w:rFonts w:cs="Shruti"/>
        </w:rPr>
        <w:t>to and within</w:t>
      </w:r>
      <w:r>
        <w:rPr>
          <w:rFonts w:cs="Shruti"/>
        </w:rPr>
        <w:t xml:space="preserve"> the U</w:t>
      </w:r>
      <w:r>
        <w:rPr>
          <w:b/>
        </w:rPr>
        <w:t>.</w:t>
      </w:r>
      <w:r w:rsidRPr="001E6A06">
        <w:t>S.</w:t>
      </w:r>
    </w:p>
    <w:p w14:paraId="65476703" w14:textId="77777777" w:rsidR="001E09A8" w:rsidRDefault="001E09A8" w:rsidP="00857D11">
      <w:pPr>
        <w:widowControl w:val="0"/>
        <w:rPr>
          <w:b/>
        </w:rPr>
      </w:pPr>
    </w:p>
    <w:p w14:paraId="7F47C6C3" w14:textId="445AC708" w:rsidR="00917B03" w:rsidRPr="00034430" w:rsidRDefault="00BB14A0" w:rsidP="00917B03">
      <w:pPr>
        <w:widowControl w:val="0"/>
      </w:pPr>
      <w:r>
        <w:rPr>
          <w:b/>
        </w:rPr>
        <w:t>12. Estimates of Burden Hours and Costs</w:t>
      </w:r>
    </w:p>
    <w:p w14:paraId="7FA11D86" w14:textId="77777777" w:rsidR="00946C49" w:rsidRDefault="00946C49" w:rsidP="000C6661">
      <w:pPr>
        <w:pStyle w:val="CommentText"/>
        <w:rPr>
          <w:sz w:val="24"/>
          <w:szCs w:val="24"/>
        </w:rPr>
      </w:pPr>
    </w:p>
    <w:p w14:paraId="62F69317" w14:textId="4DD6C666" w:rsidR="00AB2C06" w:rsidRDefault="003B5AAE" w:rsidP="00946C49">
      <w:pPr>
        <w:outlineLvl w:val="1"/>
      </w:pPr>
      <w:r>
        <w:t xml:space="preserve">As a </w:t>
      </w:r>
      <w:r w:rsidR="005603E7">
        <w:t>“worst-case” scenario, t</w:t>
      </w:r>
      <w:r w:rsidR="00946C49">
        <w:t xml:space="preserve">he CDC is presuming that the agency will conduct one-half of the </w:t>
      </w:r>
      <w:r w:rsidR="0048549F">
        <w:t xml:space="preserve">nation’s </w:t>
      </w:r>
      <w:r w:rsidR="00946C49">
        <w:t xml:space="preserve">data collections </w:t>
      </w:r>
      <w:r w:rsidR="0048549F">
        <w:t>related to EVD case and contact investigations</w:t>
      </w:r>
      <w:r w:rsidR="003F5C76">
        <w:t xml:space="preserve"> on behalf</w:t>
      </w:r>
      <w:r w:rsidR="00946C49">
        <w:t xml:space="preserve"> of the STL public health authorities</w:t>
      </w:r>
      <w:r w:rsidR="00AE6274">
        <w:t xml:space="preserve"> </w:t>
      </w:r>
      <w:r w:rsidR="001758DF">
        <w:t xml:space="preserve">as </w:t>
      </w:r>
      <w:r w:rsidR="00AE6274">
        <w:t>described in Section A.10.1.A (Overview of the Data Collection System)</w:t>
      </w:r>
      <w:r w:rsidR="00946C49">
        <w:t xml:space="preserve">. </w:t>
      </w:r>
      <w:r w:rsidR="00AB2C06">
        <w:t>The STL authorities will conduct the other one-half of the EVD case and contact investigations in their own jurisdictions.</w:t>
      </w:r>
      <w:r w:rsidR="008C52AA">
        <w:t xml:space="preserve"> Therefore, in 180-days, CDC is requesting OMB approval for one-fourth of the annual </w:t>
      </w:r>
      <w:r w:rsidR="00B771AF">
        <w:t xml:space="preserve">national </w:t>
      </w:r>
      <w:r w:rsidR="008C52AA">
        <w:t>estimates outlined in Section A.10.1.1.</w:t>
      </w:r>
    </w:p>
    <w:p w14:paraId="2875CB79" w14:textId="77777777" w:rsidR="00AB2C06" w:rsidRDefault="00AB2C06" w:rsidP="00946C49">
      <w:pPr>
        <w:outlineLvl w:val="1"/>
      </w:pPr>
    </w:p>
    <w:p w14:paraId="4A0BACEF" w14:textId="0C8C5583" w:rsidR="00946C49" w:rsidRPr="000C6661" w:rsidRDefault="003F5C76" w:rsidP="00946C49">
      <w:pPr>
        <w:outlineLvl w:val="1"/>
      </w:pPr>
      <w:r>
        <w:t>For CDC, t</w:t>
      </w:r>
      <w:r w:rsidR="006939B1">
        <w:t xml:space="preserve">his includes </w:t>
      </w:r>
      <w:r w:rsidR="00A823A8">
        <w:t xml:space="preserve">contacting </w:t>
      </w:r>
      <w:r w:rsidR="006939B1">
        <w:t>2,072</w:t>
      </w:r>
      <w:r w:rsidR="00946C49">
        <w:t xml:space="preserve"> r</w:t>
      </w:r>
      <w:r w:rsidR="007D6FAB">
        <w:t xml:space="preserve">espondents who will incur </w:t>
      </w:r>
      <w:r w:rsidR="006939B1">
        <w:t>5,6</w:t>
      </w:r>
      <w:r w:rsidR="00492920">
        <w:t>80</w:t>
      </w:r>
      <w:r w:rsidR="00946C49">
        <w:t xml:space="preserve"> burden hours</w:t>
      </w:r>
      <w:r w:rsidR="004908E5">
        <w:t xml:space="preserve"> at a cost and wage</w:t>
      </w:r>
      <w:r w:rsidR="00C54ABA">
        <w:t xml:space="preserve"> burden of $</w:t>
      </w:r>
      <w:r w:rsidR="002304C3">
        <w:t>163,214</w:t>
      </w:r>
      <w:r w:rsidR="0033533A">
        <w:t xml:space="preserve"> in a 180-day period</w:t>
      </w:r>
      <w:r w:rsidR="004908E5">
        <w:t>.</w:t>
      </w:r>
    </w:p>
    <w:p w14:paraId="3CF62DB5" w14:textId="77777777" w:rsidR="00917B03" w:rsidRPr="001755AA" w:rsidRDefault="00917B03" w:rsidP="001755AA">
      <w:pPr>
        <w:widowControl w:val="0"/>
      </w:pPr>
    </w:p>
    <w:p w14:paraId="4B444D46" w14:textId="22F454FF" w:rsidR="00917B03" w:rsidRPr="001755AA" w:rsidRDefault="00917B03" w:rsidP="001755AA">
      <w:pPr>
        <w:outlineLvl w:val="0"/>
      </w:pPr>
      <w:r w:rsidRPr="001755AA">
        <w:t>A.  Estimate</w:t>
      </w:r>
      <w:r w:rsidR="00033C94" w:rsidRPr="001755AA">
        <w:t>d</w:t>
      </w:r>
      <w:r w:rsidRPr="001755AA">
        <w:t xml:space="preserve"> Burden Hours</w:t>
      </w:r>
    </w:p>
    <w:p w14:paraId="16554C13" w14:textId="77777777" w:rsidR="00033C94" w:rsidRDefault="00033C94" w:rsidP="00917B03">
      <w:pPr>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1449"/>
        <w:gridCol w:w="1474"/>
        <w:gridCol w:w="1471"/>
        <w:gridCol w:w="1462"/>
        <w:gridCol w:w="1455"/>
      </w:tblGrid>
      <w:tr w:rsidR="008548CE" w:rsidRPr="00CF41B4" w14:paraId="575B0D81" w14:textId="77777777" w:rsidTr="00C34A8B">
        <w:tc>
          <w:tcPr>
            <w:tcW w:w="1545" w:type="dxa"/>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1329"/>
            </w:tblGrid>
            <w:tr w:rsidR="00033C94" w:rsidRPr="00F74BB0" w14:paraId="78275A2B" w14:textId="77777777" w:rsidTr="00033C94">
              <w:trPr>
                <w:trHeight w:val="477"/>
              </w:trPr>
              <w:tc>
                <w:tcPr>
                  <w:tcW w:w="0" w:type="auto"/>
                </w:tcPr>
                <w:p w14:paraId="61543FFB" w14:textId="77777777" w:rsidR="00033C94" w:rsidRPr="00F74BB0" w:rsidRDefault="00033C94" w:rsidP="00033C94">
                  <w:pPr>
                    <w:pStyle w:val="Default"/>
                    <w:jc w:val="center"/>
                    <w:rPr>
                      <w:sz w:val="20"/>
                      <w:szCs w:val="20"/>
                    </w:rPr>
                  </w:pPr>
                  <w:r w:rsidRPr="00F74BB0">
                    <w:rPr>
                      <w:b/>
                      <w:bCs/>
                      <w:sz w:val="20"/>
                      <w:szCs w:val="20"/>
                    </w:rPr>
                    <w:t>Type of Respondent</w:t>
                  </w:r>
                </w:p>
              </w:tc>
            </w:tr>
          </w:tbl>
          <w:p w14:paraId="18BB2998" w14:textId="77777777" w:rsidR="00033C94" w:rsidRPr="00F74BB0" w:rsidRDefault="00033C94" w:rsidP="00C34A8B">
            <w:pPr>
              <w:jc w:val="center"/>
              <w:outlineLvl w:val="0"/>
              <w:rPr>
                <w:sz w:val="20"/>
                <w:szCs w:val="20"/>
              </w:rPr>
            </w:pPr>
          </w:p>
        </w:tc>
        <w:tc>
          <w:tcPr>
            <w:tcW w:w="1449" w:type="dxa"/>
            <w:shd w:val="clear" w:color="auto" w:fill="auto"/>
            <w:vAlign w:val="center"/>
          </w:tcPr>
          <w:p w14:paraId="5F377D5D" w14:textId="77777777" w:rsidR="00033C94" w:rsidRPr="00F74BB0" w:rsidRDefault="00033C94" w:rsidP="00C34A8B">
            <w:pPr>
              <w:jc w:val="center"/>
              <w:outlineLvl w:val="0"/>
              <w:rPr>
                <w:sz w:val="20"/>
                <w:szCs w:val="20"/>
              </w:rPr>
            </w:pPr>
            <w:r w:rsidRPr="00F74BB0">
              <w:rPr>
                <w:b/>
                <w:bCs/>
                <w:sz w:val="20"/>
                <w:szCs w:val="20"/>
              </w:rPr>
              <w:t>Form Name</w:t>
            </w:r>
          </w:p>
        </w:tc>
        <w:tc>
          <w:tcPr>
            <w:tcW w:w="1474" w:type="dxa"/>
            <w:shd w:val="clear" w:color="auto" w:fill="auto"/>
            <w:vAlign w:val="center"/>
          </w:tcPr>
          <w:p w14:paraId="6ED14E1F" w14:textId="77777777" w:rsidR="00033C94" w:rsidRPr="00F74BB0" w:rsidRDefault="00033C94" w:rsidP="00C34A8B">
            <w:pPr>
              <w:jc w:val="center"/>
              <w:outlineLvl w:val="0"/>
              <w:rPr>
                <w:sz w:val="20"/>
                <w:szCs w:val="20"/>
              </w:rPr>
            </w:pPr>
            <w:r w:rsidRPr="00F74BB0">
              <w:rPr>
                <w:b/>
                <w:bCs/>
                <w:sz w:val="20"/>
                <w:szCs w:val="20"/>
              </w:rPr>
              <w:t>No. of Respondents</w:t>
            </w:r>
          </w:p>
        </w:tc>
        <w:tc>
          <w:tcPr>
            <w:tcW w:w="1471" w:type="dxa"/>
            <w:shd w:val="clear" w:color="auto" w:fill="auto"/>
            <w:vAlign w:val="center"/>
          </w:tcPr>
          <w:p w14:paraId="6EAEE655" w14:textId="77777777" w:rsidR="00033C94" w:rsidRPr="00F74BB0" w:rsidRDefault="00033C94" w:rsidP="00C34A8B">
            <w:pPr>
              <w:jc w:val="center"/>
              <w:outlineLvl w:val="0"/>
              <w:rPr>
                <w:sz w:val="20"/>
                <w:szCs w:val="20"/>
              </w:rPr>
            </w:pPr>
            <w:r w:rsidRPr="00F74BB0">
              <w:rPr>
                <w:b/>
                <w:bCs/>
                <w:sz w:val="20"/>
                <w:szCs w:val="20"/>
              </w:rPr>
              <w:t>No. of Responses per Respondent</w:t>
            </w:r>
          </w:p>
        </w:tc>
        <w:tc>
          <w:tcPr>
            <w:tcW w:w="1462" w:type="dxa"/>
            <w:shd w:val="clear" w:color="auto" w:fill="auto"/>
            <w:vAlign w:val="center"/>
          </w:tcPr>
          <w:p w14:paraId="46C73A72" w14:textId="77777777" w:rsidR="00033C94" w:rsidRPr="00F74BB0" w:rsidRDefault="00033C94" w:rsidP="00C34A8B">
            <w:pPr>
              <w:jc w:val="center"/>
              <w:outlineLvl w:val="0"/>
              <w:rPr>
                <w:sz w:val="20"/>
                <w:szCs w:val="20"/>
              </w:rPr>
            </w:pPr>
            <w:r w:rsidRPr="00F74BB0">
              <w:rPr>
                <w:b/>
                <w:bCs/>
                <w:sz w:val="20"/>
                <w:szCs w:val="20"/>
              </w:rPr>
              <w:t>Average Burden per Response (in hours)</w:t>
            </w:r>
          </w:p>
        </w:tc>
        <w:tc>
          <w:tcPr>
            <w:tcW w:w="1455" w:type="dxa"/>
            <w:shd w:val="clear" w:color="auto" w:fill="auto"/>
            <w:vAlign w:val="center"/>
          </w:tcPr>
          <w:p w14:paraId="641A1316" w14:textId="77777777" w:rsidR="00033C94" w:rsidRPr="00F74BB0" w:rsidRDefault="00033C94" w:rsidP="00C34A8B">
            <w:pPr>
              <w:jc w:val="center"/>
              <w:outlineLvl w:val="0"/>
              <w:rPr>
                <w:sz w:val="20"/>
                <w:szCs w:val="20"/>
              </w:rPr>
            </w:pPr>
            <w:r w:rsidRPr="00F74BB0">
              <w:rPr>
                <w:b/>
                <w:bCs/>
                <w:sz w:val="20"/>
                <w:szCs w:val="20"/>
              </w:rPr>
              <w:t>Total Burden Hours</w:t>
            </w:r>
          </w:p>
        </w:tc>
      </w:tr>
      <w:tr w:rsidR="006A1EB4" w:rsidRPr="00CF41B4" w14:paraId="486B0A56" w14:textId="77777777" w:rsidTr="00F77F14">
        <w:tc>
          <w:tcPr>
            <w:tcW w:w="1545" w:type="dxa"/>
            <w:vMerge w:val="restart"/>
            <w:shd w:val="clear" w:color="auto" w:fill="auto"/>
            <w:vAlign w:val="center"/>
          </w:tcPr>
          <w:p w14:paraId="5B21F7E3" w14:textId="77777777" w:rsidR="006A1EB4" w:rsidRPr="00F74BB0" w:rsidRDefault="006A1EB4" w:rsidP="00A47168">
            <w:pPr>
              <w:outlineLvl w:val="0"/>
              <w:rPr>
                <w:sz w:val="20"/>
                <w:szCs w:val="20"/>
              </w:rPr>
            </w:pPr>
            <w:r w:rsidRPr="00F74BB0">
              <w:rPr>
                <w:sz w:val="20"/>
                <w:szCs w:val="20"/>
              </w:rPr>
              <w:t>General public</w:t>
            </w:r>
          </w:p>
        </w:tc>
        <w:tc>
          <w:tcPr>
            <w:tcW w:w="1449" w:type="dxa"/>
            <w:shd w:val="clear" w:color="auto" w:fill="auto"/>
          </w:tcPr>
          <w:p w14:paraId="412F9A21" w14:textId="77777777" w:rsidR="006A1EB4" w:rsidRPr="00F74BB0" w:rsidRDefault="006A1EB4" w:rsidP="00626F78">
            <w:pPr>
              <w:rPr>
                <w:sz w:val="20"/>
                <w:szCs w:val="20"/>
              </w:rPr>
            </w:pPr>
            <w:r w:rsidRPr="00F74BB0">
              <w:rPr>
                <w:sz w:val="20"/>
                <w:szCs w:val="20"/>
              </w:rPr>
              <w:t>Ebola Virus Disease Case Investigation Form – United States</w:t>
            </w:r>
          </w:p>
        </w:tc>
        <w:tc>
          <w:tcPr>
            <w:tcW w:w="1474" w:type="dxa"/>
            <w:shd w:val="clear" w:color="auto" w:fill="auto"/>
            <w:vAlign w:val="center"/>
          </w:tcPr>
          <w:p w14:paraId="5A38B595" w14:textId="77777777" w:rsidR="006A1EB4" w:rsidRPr="00F74BB0" w:rsidRDefault="00AB2C06" w:rsidP="00F77F14">
            <w:pPr>
              <w:jc w:val="center"/>
              <w:outlineLvl w:val="0"/>
              <w:rPr>
                <w:sz w:val="20"/>
                <w:szCs w:val="20"/>
              </w:rPr>
            </w:pPr>
            <w:r>
              <w:rPr>
                <w:sz w:val="20"/>
                <w:szCs w:val="20"/>
              </w:rPr>
              <w:t>8</w:t>
            </w:r>
          </w:p>
        </w:tc>
        <w:tc>
          <w:tcPr>
            <w:tcW w:w="1471" w:type="dxa"/>
            <w:shd w:val="clear" w:color="auto" w:fill="auto"/>
            <w:vAlign w:val="center"/>
          </w:tcPr>
          <w:p w14:paraId="4C9B0DEA" w14:textId="77777777" w:rsidR="006A1EB4" w:rsidRPr="00F74BB0" w:rsidRDefault="0018659B" w:rsidP="00F77F14">
            <w:pPr>
              <w:jc w:val="center"/>
              <w:outlineLvl w:val="0"/>
              <w:rPr>
                <w:sz w:val="20"/>
                <w:szCs w:val="20"/>
              </w:rPr>
            </w:pPr>
            <w:r w:rsidRPr="00F74BB0">
              <w:rPr>
                <w:sz w:val="20"/>
                <w:szCs w:val="20"/>
              </w:rPr>
              <w:t>1</w:t>
            </w:r>
          </w:p>
        </w:tc>
        <w:tc>
          <w:tcPr>
            <w:tcW w:w="1462" w:type="dxa"/>
            <w:shd w:val="clear" w:color="auto" w:fill="auto"/>
            <w:vAlign w:val="center"/>
          </w:tcPr>
          <w:p w14:paraId="73719C5A" w14:textId="77777777" w:rsidR="006A1EB4" w:rsidRPr="00F74BB0" w:rsidRDefault="006C4761" w:rsidP="0018659B">
            <w:pPr>
              <w:jc w:val="center"/>
              <w:outlineLvl w:val="0"/>
              <w:rPr>
                <w:sz w:val="20"/>
                <w:szCs w:val="20"/>
              </w:rPr>
            </w:pPr>
            <w:r w:rsidRPr="00F74BB0">
              <w:rPr>
                <w:sz w:val="20"/>
                <w:szCs w:val="20"/>
              </w:rPr>
              <w:t>30/60</w:t>
            </w:r>
          </w:p>
        </w:tc>
        <w:tc>
          <w:tcPr>
            <w:tcW w:w="1455" w:type="dxa"/>
            <w:shd w:val="clear" w:color="auto" w:fill="auto"/>
            <w:vAlign w:val="center"/>
          </w:tcPr>
          <w:p w14:paraId="68881A6F" w14:textId="77777777" w:rsidR="006A1EB4" w:rsidRPr="00F74BB0" w:rsidRDefault="006939B1" w:rsidP="00F77F14">
            <w:pPr>
              <w:jc w:val="center"/>
              <w:outlineLvl w:val="0"/>
              <w:rPr>
                <w:sz w:val="20"/>
                <w:szCs w:val="20"/>
              </w:rPr>
            </w:pPr>
            <w:r>
              <w:rPr>
                <w:sz w:val="20"/>
                <w:szCs w:val="20"/>
              </w:rPr>
              <w:t>4</w:t>
            </w:r>
          </w:p>
        </w:tc>
      </w:tr>
      <w:tr w:rsidR="006A1EB4" w:rsidRPr="00CF41B4" w14:paraId="583AA7F0" w14:textId="77777777" w:rsidTr="00F77F14">
        <w:tc>
          <w:tcPr>
            <w:tcW w:w="1545" w:type="dxa"/>
            <w:vMerge/>
            <w:shd w:val="clear" w:color="auto" w:fill="auto"/>
          </w:tcPr>
          <w:p w14:paraId="4D78624D" w14:textId="77777777" w:rsidR="006A1EB4" w:rsidRPr="00F74BB0" w:rsidRDefault="006A1EB4" w:rsidP="00CF41B4">
            <w:pPr>
              <w:outlineLvl w:val="0"/>
              <w:rPr>
                <w:sz w:val="20"/>
                <w:szCs w:val="20"/>
              </w:rPr>
            </w:pPr>
          </w:p>
        </w:tc>
        <w:tc>
          <w:tcPr>
            <w:tcW w:w="1449" w:type="dxa"/>
            <w:shd w:val="clear" w:color="auto" w:fill="auto"/>
          </w:tcPr>
          <w:p w14:paraId="1E6014BE" w14:textId="77777777" w:rsidR="006A1EB4" w:rsidRPr="00F74BB0" w:rsidRDefault="006A1EB4" w:rsidP="00626F78">
            <w:pPr>
              <w:outlineLvl w:val="0"/>
              <w:rPr>
                <w:sz w:val="20"/>
                <w:szCs w:val="20"/>
              </w:rPr>
            </w:pPr>
            <w:r w:rsidRPr="00F74BB0">
              <w:rPr>
                <w:sz w:val="20"/>
                <w:szCs w:val="20"/>
              </w:rPr>
              <w:t>Ebola Virus Disease Person Under Investigation (PUI) Form</w:t>
            </w:r>
          </w:p>
        </w:tc>
        <w:tc>
          <w:tcPr>
            <w:tcW w:w="1474" w:type="dxa"/>
            <w:shd w:val="clear" w:color="auto" w:fill="auto"/>
            <w:vAlign w:val="center"/>
          </w:tcPr>
          <w:p w14:paraId="67087EA9" w14:textId="77777777" w:rsidR="006A1EB4" w:rsidRPr="00F74BB0" w:rsidRDefault="00AB2C06" w:rsidP="00F77F14">
            <w:pPr>
              <w:jc w:val="center"/>
              <w:outlineLvl w:val="0"/>
              <w:rPr>
                <w:sz w:val="20"/>
                <w:szCs w:val="20"/>
              </w:rPr>
            </w:pPr>
            <w:r>
              <w:rPr>
                <w:sz w:val="20"/>
                <w:szCs w:val="20"/>
              </w:rPr>
              <w:t>150</w:t>
            </w:r>
          </w:p>
        </w:tc>
        <w:tc>
          <w:tcPr>
            <w:tcW w:w="1471" w:type="dxa"/>
            <w:shd w:val="clear" w:color="auto" w:fill="auto"/>
            <w:vAlign w:val="center"/>
          </w:tcPr>
          <w:p w14:paraId="4BEFF7BB" w14:textId="77777777" w:rsidR="006A1EB4" w:rsidRPr="00F74BB0" w:rsidRDefault="0018659B" w:rsidP="00F77F14">
            <w:pPr>
              <w:jc w:val="center"/>
              <w:outlineLvl w:val="0"/>
              <w:rPr>
                <w:sz w:val="20"/>
                <w:szCs w:val="20"/>
              </w:rPr>
            </w:pPr>
            <w:r w:rsidRPr="00F74BB0">
              <w:rPr>
                <w:sz w:val="20"/>
                <w:szCs w:val="20"/>
              </w:rPr>
              <w:t>1</w:t>
            </w:r>
          </w:p>
        </w:tc>
        <w:tc>
          <w:tcPr>
            <w:tcW w:w="1462" w:type="dxa"/>
            <w:shd w:val="clear" w:color="auto" w:fill="auto"/>
            <w:vAlign w:val="center"/>
          </w:tcPr>
          <w:p w14:paraId="4FFF8EB5" w14:textId="77777777" w:rsidR="006A1EB4" w:rsidRPr="00F74BB0" w:rsidRDefault="00D82EBB" w:rsidP="006C4761">
            <w:pPr>
              <w:jc w:val="center"/>
              <w:outlineLvl w:val="0"/>
              <w:rPr>
                <w:sz w:val="20"/>
                <w:szCs w:val="20"/>
              </w:rPr>
            </w:pPr>
            <w:r w:rsidRPr="00F74BB0">
              <w:rPr>
                <w:sz w:val="20"/>
                <w:szCs w:val="20"/>
              </w:rPr>
              <w:t>1</w:t>
            </w:r>
            <w:r w:rsidR="006C4761" w:rsidRPr="00F74BB0">
              <w:rPr>
                <w:sz w:val="20"/>
                <w:szCs w:val="20"/>
              </w:rPr>
              <w:t>0</w:t>
            </w:r>
            <w:r w:rsidR="006A1EB4" w:rsidRPr="00F74BB0">
              <w:rPr>
                <w:sz w:val="20"/>
                <w:szCs w:val="20"/>
              </w:rPr>
              <w:t>/60</w:t>
            </w:r>
          </w:p>
        </w:tc>
        <w:tc>
          <w:tcPr>
            <w:tcW w:w="1455" w:type="dxa"/>
            <w:shd w:val="clear" w:color="auto" w:fill="auto"/>
            <w:vAlign w:val="center"/>
          </w:tcPr>
          <w:p w14:paraId="1A12A46D" w14:textId="77777777" w:rsidR="006A1EB4" w:rsidRPr="00F74BB0" w:rsidRDefault="006939B1" w:rsidP="00D82EBB">
            <w:pPr>
              <w:jc w:val="center"/>
              <w:outlineLvl w:val="0"/>
              <w:rPr>
                <w:sz w:val="20"/>
                <w:szCs w:val="20"/>
              </w:rPr>
            </w:pPr>
            <w:r>
              <w:rPr>
                <w:sz w:val="20"/>
                <w:szCs w:val="20"/>
              </w:rPr>
              <w:t>25</w:t>
            </w:r>
          </w:p>
        </w:tc>
      </w:tr>
      <w:tr w:rsidR="006A1EB4" w:rsidRPr="00CF41B4" w14:paraId="459BBEAF" w14:textId="77777777" w:rsidTr="006A1EB4">
        <w:trPr>
          <w:trHeight w:val="578"/>
        </w:trPr>
        <w:tc>
          <w:tcPr>
            <w:tcW w:w="1545" w:type="dxa"/>
            <w:vMerge/>
            <w:shd w:val="clear" w:color="auto" w:fill="auto"/>
          </w:tcPr>
          <w:p w14:paraId="5D4980D2" w14:textId="77777777" w:rsidR="006A1EB4" w:rsidRPr="00F74BB0" w:rsidRDefault="006A1EB4" w:rsidP="00CF41B4">
            <w:pPr>
              <w:outlineLvl w:val="0"/>
              <w:rPr>
                <w:sz w:val="20"/>
                <w:szCs w:val="20"/>
              </w:rPr>
            </w:pPr>
          </w:p>
        </w:tc>
        <w:tc>
          <w:tcPr>
            <w:tcW w:w="1449" w:type="dxa"/>
            <w:shd w:val="clear" w:color="auto" w:fill="auto"/>
          </w:tcPr>
          <w:p w14:paraId="67DFE1F0" w14:textId="77777777" w:rsidR="006A1EB4" w:rsidRPr="00F74BB0" w:rsidRDefault="006A1EB4" w:rsidP="00626F78">
            <w:pPr>
              <w:rPr>
                <w:sz w:val="20"/>
                <w:szCs w:val="20"/>
              </w:rPr>
            </w:pPr>
            <w:r w:rsidRPr="00F74BB0">
              <w:rPr>
                <w:sz w:val="20"/>
                <w:szCs w:val="20"/>
              </w:rPr>
              <w:t>Ebola Virus Disease Contact Tracing Form – United States</w:t>
            </w:r>
          </w:p>
        </w:tc>
        <w:tc>
          <w:tcPr>
            <w:tcW w:w="1474" w:type="dxa"/>
            <w:shd w:val="clear" w:color="auto" w:fill="auto"/>
            <w:vAlign w:val="center"/>
          </w:tcPr>
          <w:p w14:paraId="12EB9260" w14:textId="77777777" w:rsidR="006A1EB4" w:rsidRPr="00F74BB0" w:rsidRDefault="00AB2C06" w:rsidP="00F77F14">
            <w:pPr>
              <w:jc w:val="center"/>
              <w:outlineLvl w:val="0"/>
              <w:rPr>
                <w:sz w:val="20"/>
                <w:szCs w:val="20"/>
              </w:rPr>
            </w:pPr>
            <w:r>
              <w:rPr>
                <w:sz w:val="20"/>
                <w:szCs w:val="20"/>
              </w:rPr>
              <w:t>53</w:t>
            </w:r>
          </w:p>
        </w:tc>
        <w:tc>
          <w:tcPr>
            <w:tcW w:w="1471" w:type="dxa"/>
            <w:shd w:val="clear" w:color="auto" w:fill="auto"/>
            <w:vAlign w:val="center"/>
          </w:tcPr>
          <w:p w14:paraId="725B2CB6" w14:textId="77777777" w:rsidR="006A1EB4" w:rsidRPr="00F74BB0" w:rsidRDefault="0038198B" w:rsidP="00F77F14">
            <w:pPr>
              <w:jc w:val="center"/>
              <w:outlineLvl w:val="0"/>
              <w:rPr>
                <w:sz w:val="20"/>
                <w:szCs w:val="20"/>
              </w:rPr>
            </w:pPr>
            <w:r w:rsidRPr="00F74BB0">
              <w:rPr>
                <w:sz w:val="20"/>
                <w:szCs w:val="20"/>
              </w:rPr>
              <w:t>1</w:t>
            </w:r>
          </w:p>
        </w:tc>
        <w:tc>
          <w:tcPr>
            <w:tcW w:w="1462" w:type="dxa"/>
            <w:shd w:val="clear" w:color="auto" w:fill="auto"/>
            <w:vAlign w:val="center"/>
          </w:tcPr>
          <w:p w14:paraId="2ECF3908" w14:textId="77777777" w:rsidR="006A1EB4" w:rsidRPr="00F74BB0" w:rsidRDefault="006C4761" w:rsidP="006C4761">
            <w:pPr>
              <w:jc w:val="center"/>
              <w:outlineLvl w:val="0"/>
              <w:rPr>
                <w:sz w:val="20"/>
                <w:szCs w:val="20"/>
              </w:rPr>
            </w:pPr>
            <w:r w:rsidRPr="00F74BB0">
              <w:rPr>
                <w:sz w:val="20"/>
                <w:szCs w:val="20"/>
              </w:rPr>
              <w:t>10</w:t>
            </w:r>
            <w:r w:rsidR="006A1EB4" w:rsidRPr="00F74BB0">
              <w:rPr>
                <w:sz w:val="20"/>
                <w:szCs w:val="20"/>
              </w:rPr>
              <w:t>/60</w:t>
            </w:r>
          </w:p>
        </w:tc>
        <w:tc>
          <w:tcPr>
            <w:tcW w:w="1455" w:type="dxa"/>
            <w:shd w:val="clear" w:color="auto" w:fill="auto"/>
            <w:vAlign w:val="center"/>
          </w:tcPr>
          <w:p w14:paraId="5ECBA592" w14:textId="77777777" w:rsidR="006A1EB4" w:rsidRPr="00F74BB0" w:rsidRDefault="006939B1" w:rsidP="00F77F14">
            <w:pPr>
              <w:jc w:val="center"/>
              <w:outlineLvl w:val="0"/>
              <w:rPr>
                <w:sz w:val="20"/>
                <w:szCs w:val="20"/>
              </w:rPr>
            </w:pPr>
            <w:r>
              <w:rPr>
                <w:sz w:val="20"/>
                <w:szCs w:val="20"/>
              </w:rPr>
              <w:t>9</w:t>
            </w:r>
          </w:p>
        </w:tc>
      </w:tr>
      <w:tr w:rsidR="006A1EB4" w:rsidRPr="00CF41B4" w14:paraId="20226FD0" w14:textId="77777777" w:rsidTr="00F77F14">
        <w:trPr>
          <w:trHeight w:val="577"/>
        </w:trPr>
        <w:tc>
          <w:tcPr>
            <w:tcW w:w="1545" w:type="dxa"/>
            <w:vMerge/>
            <w:shd w:val="clear" w:color="auto" w:fill="auto"/>
          </w:tcPr>
          <w:p w14:paraId="02EF27F4" w14:textId="77777777" w:rsidR="006A1EB4" w:rsidRPr="00F74BB0" w:rsidRDefault="006A1EB4" w:rsidP="00CF41B4">
            <w:pPr>
              <w:outlineLvl w:val="0"/>
              <w:rPr>
                <w:sz w:val="20"/>
                <w:szCs w:val="20"/>
              </w:rPr>
            </w:pPr>
          </w:p>
        </w:tc>
        <w:tc>
          <w:tcPr>
            <w:tcW w:w="1449" w:type="dxa"/>
            <w:shd w:val="clear" w:color="auto" w:fill="auto"/>
          </w:tcPr>
          <w:p w14:paraId="2BDC7018" w14:textId="77777777" w:rsidR="006A1EB4" w:rsidRPr="000E7AFC" w:rsidRDefault="000E7AFC" w:rsidP="00626F78">
            <w:pPr>
              <w:rPr>
                <w:sz w:val="20"/>
                <w:szCs w:val="20"/>
              </w:rPr>
            </w:pPr>
            <w:r w:rsidRPr="00384DD3">
              <w:rPr>
                <w:sz w:val="20"/>
                <w:szCs w:val="20"/>
              </w:rPr>
              <w:t>Symptom Monitoring Form</w:t>
            </w:r>
          </w:p>
        </w:tc>
        <w:tc>
          <w:tcPr>
            <w:tcW w:w="1474" w:type="dxa"/>
            <w:shd w:val="clear" w:color="auto" w:fill="auto"/>
            <w:vAlign w:val="center"/>
          </w:tcPr>
          <w:p w14:paraId="42C501E4" w14:textId="77777777" w:rsidR="006A1EB4" w:rsidRPr="00F74BB0" w:rsidRDefault="00AB2C06" w:rsidP="00F77F14">
            <w:pPr>
              <w:jc w:val="center"/>
              <w:outlineLvl w:val="0"/>
              <w:rPr>
                <w:sz w:val="20"/>
                <w:szCs w:val="20"/>
              </w:rPr>
            </w:pPr>
            <w:r>
              <w:rPr>
                <w:sz w:val="20"/>
                <w:szCs w:val="20"/>
              </w:rPr>
              <w:t>53</w:t>
            </w:r>
          </w:p>
        </w:tc>
        <w:tc>
          <w:tcPr>
            <w:tcW w:w="1471" w:type="dxa"/>
            <w:shd w:val="clear" w:color="auto" w:fill="auto"/>
            <w:vAlign w:val="center"/>
          </w:tcPr>
          <w:p w14:paraId="1AE66903" w14:textId="77777777" w:rsidR="006A1EB4" w:rsidRPr="00F74BB0" w:rsidRDefault="0038198B" w:rsidP="00F77F14">
            <w:pPr>
              <w:jc w:val="center"/>
              <w:outlineLvl w:val="0"/>
              <w:rPr>
                <w:sz w:val="20"/>
                <w:szCs w:val="20"/>
              </w:rPr>
            </w:pPr>
            <w:r w:rsidRPr="00F74BB0">
              <w:rPr>
                <w:sz w:val="20"/>
                <w:szCs w:val="20"/>
              </w:rPr>
              <w:t>42</w:t>
            </w:r>
          </w:p>
        </w:tc>
        <w:tc>
          <w:tcPr>
            <w:tcW w:w="1462" w:type="dxa"/>
            <w:shd w:val="clear" w:color="auto" w:fill="auto"/>
            <w:vAlign w:val="center"/>
          </w:tcPr>
          <w:p w14:paraId="1457621F" w14:textId="77777777" w:rsidR="006A1EB4" w:rsidRPr="00F74BB0" w:rsidRDefault="00D82EBB" w:rsidP="00F77F14">
            <w:pPr>
              <w:jc w:val="center"/>
              <w:outlineLvl w:val="0"/>
              <w:rPr>
                <w:sz w:val="20"/>
                <w:szCs w:val="20"/>
              </w:rPr>
            </w:pPr>
            <w:r w:rsidRPr="00F74BB0">
              <w:rPr>
                <w:sz w:val="20"/>
                <w:szCs w:val="20"/>
              </w:rPr>
              <w:t>5</w:t>
            </w:r>
            <w:r w:rsidR="006A1EB4" w:rsidRPr="00F74BB0">
              <w:rPr>
                <w:sz w:val="20"/>
                <w:szCs w:val="20"/>
              </w:rPr>
              <w:t>/60</w:t>
            </w:r>
          </w:p>
        </w:tc>
        <w:tc>
          <w:tcPr>
            <w:tcW w:w="1455" w:type="dxa"/>
            <w:shd w:val="clear" w:color="auto" w:fill="auto"/>
            <w:vAlign w:val="center"/>
          </w:tcPr>
          <w:p w14:paraId="775C046B" w14:textId="77777777" w:rsidR="006A1EB4" w:rsidRPr="00F74BB0" w:rsidRDefault="006939B1" w:rsidP="00F77F14">
            <w:pPr>
              <w:jc w:val="center"/>
              <w:outlineLvl w:val="0"/>
              <w:rPr>
                <w:sz w:val="20"/>
                <w:szCs w:val="20"/>
              </w:rPr>
            </w:pPr>
            <w:r>
              <w:rPr>
                <w:sz w:val="20"/>
                <w:szCs w:val="20"/>
              </w:rPr>
              <w:t>186</w:t>
            </w:r>
          </w:p>
        </w:tc>
      </w:tr>
      <w:tr w:rsidR="00514E52" w:rsidRPr="00CF41B4" w14:paraId="37C2F7FA" w14:textId="77777777" w:rsidTr="00020E62">
        <w:tc>
          <w:tcPr>
            <w:tcW w:w="1545" w:type="dxa"/>
            <w:vMerge w:val="restart"/>
            <w:shd w:val="clear" w:color="auto" w:fill="auto"/>
            <w:vAlign w:val="center"/>
          </w:tcPr>
          <w:p w14:paraId="64284A9D" w14:textId="77777777" w:rsidR="00514E52" w:rsidRPr="00F74BB0" w:rsidRDefault="00514E52" w:rsidP="0058362A">
            <w:pPr>
              <w:outlineLvl w:val="0"/>
              <w:rPr>
                <w:sz w:val="20"/>
                <w:szCs w:val="20"/>
              </w:rPr>
            </w:pPr>
            <w:r w:rsidRPr="00F74BB0">
              <w:rPr>
                <w:sz w:val="20"/>
                <w:szCs w:val="20"/>
              </w:rPr>
              <w:t>Healthcare Workers</w:t>
            </w:r>
          </w:p>
        </w:tc>
        <w:tc>
          <w:tcPr>
            <w:tcW w:w="1449" w:type="dxa"/>
            <w:shd w:val="clear" w:color="auto" w:fill="auto"/>
            <w:vAlign w:val="center"/>
          </w:tcPr>
          <w:p w14:paraId="78C350E2" w14:textId="77777777" w:rsidR="00514E52" w:rsidRPr="00F74BB0" w:rsidRDefault="00514E52" w:rsidP="00626F78">
            <w:pPr>
              <w:outlineLvl w:val="0"/>
              <w:rPr>
                <w:sz w:val="20"/>
                <w:szCs w:val="20"/>
              </w:rPr>
            </w:pPr>
            <w:r w:rsidRPr="00F74BB0">
              <w:rPr>
                <w:sz w:val="20"/>
                <w:szCs w:val="20"/>
              </w:rPr>
              <w:t>EVD Tracking Form for Healthcare Workers with Direct Patient Contact</w:t>
            </w:r>
          </w:p>
        </w:tc>
        <w:tc>
          <w:tcPr>
            <w:tcW w:w="1474" w:type="dxa"/>
            <w:shd w:val="clear" w:color="auto" w:fill="auto"/>
            <w:vAlign w:val="center"/>
          </w:tcPr>
          <w:p w14:paraId="7802E4DC" w14:textId="77777777" w:rsidR="00514E52" w:rsidRPr="00F74BB0" w:rsidRDefault="00AB2C06" w:rsidP="00F77F14">
            <w:pPr>
              <w:jc w:val="center"/>
              <w:outlineLvl w:val="0"/>
              <w:rPr>
                <w:sz w:val="20"/>
                <w:szCs w:val="20"/>
              </w:rPr>
            </w:pPr>
            <w:r>
              <w:rPr>
                <w:sz w:val="20"/>
                <w:szCs w:val="20"/>
              </w:rPr>
              <w:t>300</w:t>
            </w:r>
          </w:p>
        </w:tc>
        <w:tc>
          <w:tcPr>
            <w:tcW w:w="1471" w:type="dxa"/>
            <w:shd w:val="clear" w:color="auto" w:fill="auto"/>
            <w:vAlign w:val="center"/>
          </w:tcPr>
          <w:p w14:paraId="2212C861" w14:textId="77777777" w:rsidR="00514E52" w:rsidRPr="00F74BB0" w:rsidRDefault="006B3BCC" w:rsidP="00F77F14">
            <w:pPr>
              <w:jc w:val="center"/>
              <w:outlineLvl w:val="0"/>
              <w:rPr>
                <w:sz w:val="20"/>
                <w:szCs w:val="20"/>
              </w:rPr>
            </w:pPr>
            <w:r w:rsidRPr="00F74BB0">
              <w:rPr>
                <w:sz w:val="20"/>
                <w:szCs w:val="20"/>
              </w:rPr>
              <w:t>1</w:t>
            </w:r>
            <w:r w:rsidR="00514E52" w:rsidRPr="00F74BB0">
              <w:rPr>
                <w:sz w:val="20"/>
                <w:szCs w:val="20"/>
              </w:rPr>
              <w:t>5</w:t>
            </w:r>
          </w:p>
        </w:tc>
        <w:tc>
          <w:tcPr>
            <w:tcW w:w="1462" w:type="dxa"/>
            <w:shd w:val="clear" w:color="auto" w:fill="auto"/>
            <w:vAlign w:val="center"/>
          </w:tcPr>
          <w:p w14:paraId="459DFFD7" w14:textId="77777777" w:rsidR="00514E52" w:rsidRPr="00F74BB0" w:rsidRDefault="00514E52" w:rsidP="00F77F14">
            <w:pPr>
              <w:jc w:val="center"/>
              <w:outlineLvl w:val="0"/>
              <w:rPr>
                <w:sz w:val="20"/>
                <w:szCs w:val="20"/>
              </w:rPr>
            </w:pPr>
            <w:r w:rsidRPr="00F74BB0">
              <w:rPr>
                <w:sz w:val="20"/>
                <w:szCs w:val="20"/>
              </w:rPr>
              <w:t>10/60</w:t>
            </w:r>
          </w:p>
        </w:tc>
        <w:tc>
          <w:tcPr>
            <w:tcW w:w="1455" w:type="dxa"/>
            <w:shd w:val="clear" w:color="auto" w:fill="auto"/>
            <w:vAlign w:val="center"/>
          </w:tcPr>
          <w:p w14:paraId="596CA356" w14:textId="77777777" w:rsidR="00514E52" w:rsidRPr="00F74BB0" w:rsidRDefault="006939B1" w:rsidP="00F77F14">
            <w:pPr>
              <w:jc w:val="center"/>
              <w:outlineLvl w:val="0"/>
              <w:rPr>
                <w:sz w:val="20"/>
                <w:szCs w:val="20"/>
              </w:rPr>
            </w:pPr>
            <w:r>
              <w:rPr>
                <w:sz w:val="20"/>
                <w:szCs w:val="20"/>
              </w:rPr>
              <w:t>750</w:t>
            </w:r>
          </w:p>
        </w:tc>
      </w:tr>
      <w:tr w:rsidR="00514E52" w:rsidRPr="00CF41B4" w14:paraId="3CF58DDF" w14:textId="77777777" w:rsidTr="00020E62">
        <w:tc>
          <w:tcPr>
            <w:tcW w:w="1545" w:type="dxa"/>
            <w:vMerge/>
            <w:shd w:val="clear" w:color="auto" w:fill="auto"/>
            <w:vAlign w:val="center"/>
          </w:tcPr>
          <w:p w14:paraId="4DB01493" w14:textId="77777777" w:rsidR="00514E52" w:rsidRPr="00F74BB0" w:rsidRDefault="00514E52" w:rsidP="0058362A">
            <w:pPr>
              <w:outlineLvl w:val="0"/>
              <w:rPr>
                <w:sz w:val="20"/>
                <w:szCs w:val="20"/>
              </w:rPr>
            </w:pPr>
          </w:p>
        </w:tc>
        <w:tc>
          <w:tcPr>
            <w:tcW w:w="1449" w:type="dxa"/>
            <w:shd w:val="clear" w:color="auto" w:fill="auto"/>
            <w:vAlign w:val="center"/>
          </w:tcPr>
          <w:p w14:paraId="771234AC" w14:textId="77777777" w:rsidR="00514E52" w:rsidRPr="00F74BB0" w:rsidRDefault="000E7AFC" w:rsidP="00626F78">
            <w:pPr>
              <w:outlineLvl w:val="0"/>
              <w:rPr>
                <w:sz w:val="20"/>
                <w:szCs w:val="20"/>
              </w:rPr>
            </w:pPr>
            <w:r w:rsidRPr="00B82EA3">
              <w:rPr>
                <w:sz w:val="20"/>
                <w:szCs w:val="20"/>
              </w:rPr>
              <w:t>Symptom Monitoring Form</w:t>
            </w:r>
          </w:p>
        </w:tc>
        <w:tc>
          <w:tcPr>
            <w:tcW w:w="1474" w:type="dxa"/>
            <w:shd w:val="clear" w:color="auto" w:fill="auto"/>
            <w:vAlign w:val="center"/>
          </w:tcPr>
          <w:p w14:paraId="107BB28F" w14:textId="77777777" w:rsidR="00514E52" w:rsidRPr="00F74BB0" w:rsidRDefault="00AB2C06" w:rsidP="00F77F14">
            <w:pPr>
              <w:jc w:val="center"/>
              <w:outlineLvl w:val="0"/>
              <w:rPr>
                <w:sz w:val="20"/>
                <w:szCs w:val="20"/>
              </w:rPr>
            </w:pPr>
            <w:r>
              <w:rPr>
                <w:sz w:val="20"/>
                <w:szCs w:val="20"/>
              </w:rPr>
              <w:t>300</w:t>
            </w:r>
          </w:p>
        </w:tc>
        <w:tc>
          <w:tcPr>
            <w:tcW w:w="1471" w:type="dxa"/>
            <w:shd w:val="clear" w:color="auto" w:fill="auto"/>
            <w:vAlign w:val="center"/>
          </w:tcPr>
          <w:p w14:paraId="747DC607" w14:textId="77777777" w:rsidR="00514E52" w:rsidRPr="00F74BB0" w:rsidRDefault="00514E52" w:rsidP="00F77F14">
            <w:pPr>
              <w:jc w:val="center"/>
              <w:outlineLvl w:val="0"/>
              <w:rPr>
                <w:sz w:val="20"/>
                <w:szCs w:val="20"/>
              </w:rPr>
            </w:pPr>
            <w:r w:rsidRPr="00F74BB0">
              <w:rPr>
                <w:sz w:val="20"/>
                <w:szCs w:val="20"/>
              </w:rPr>
              <w:t>42</w:t>
            </w:r>
          </w:p>
        </w:tc>
        <w:tc>
          <w:tcPr>
            <w:tcW w:w="1462" w:type="dxa"/>
            <w:shd w:val="clear" w:color="auto" w:fill="auto"/>
            <w:vAlign w:val="center"/>
          </w:tcPr>
          <w:p w14:paraId="1822EF95" w14:textId="77777777" w:rsidR="00514E52" w:rsidRPr="00F74BB0" w:rsidRDefault="00514E52" w:rsidP="00F77F14">
            <w:pPr>
              <w:jc w:val="center"/>
              <w:outlineLvl w:val="0"/>
              <w:rPr>
                <w:sz w:val="20"/>
                <w:szCs w:val="20"/>
              </w:rPr>
            </w:pPr>
            <w:r w:rsidRPr="00F74BB0">
              <w:rPr>
                <w:sz w:val="20"/>
                <w:szCs w:val="20"/>
              </w:rPr>
              <w:t>5/60</w:t>
            </w:r>
          </w:p>
        </w:tc>
        <w:tc>
          <w:tcPr>
            <w:tcW w:w="1455" w:type="dxa"/>
            <w:shd w:val="clear" w:color="auto" w:fill="auto"/>
            <w:vAlign w:val="center"/>
          </w:tcPr>
          <w:p w14:paraId="0F4DF67B" w14:textId="77777777" w:rsidR="00514E52" w:rsidRPr="00F74BB0" w:rsidRDefault="006939B1" w:rsidP="00F77F14">
            <w:pPr>
              <w:jc w:val="center"/>
              <w:outlineLvl w:val="0"/>
              <w:rPr>
                <w:sz w:val="20"/>
                <w:szCs w:val="20"/>
              </w:rPr>
            </w:pPr>
            <w:r>
              <w:rPr>
                <w:sz w:val="20"/>
                <w:szCs w:val="20"/>
              </w:rPr>
              <w:t>1,050</w:t>
            </w:r>
          </w:p>
        </w:tc>
      </w:tr>
      <w:tr w:rsidR="006B3BCC" w:rsidRPr="00CF41B4" w14:paraId="6A54F4B2" w14:textId="77777777" w:rsidTr="00F77F14">
        <w:tc>
          <w:tcPr>
            <w:tcW w:w="1545" w:type="dxa"/>
            <w:vMerge w:val="restart"/>
            <w:shd w:val="clear" w:color="auto" w:fill="auto"/>
            <w:vAlign w:val="center"/>
          </w:tcPr>
          <w:p w14:paraId="33507EE7" w14:textId="77777777" w:rsidR="006B3BCC" w:rsidRPr="00F74BB0" w:rsidRDefault="006B3BCC" w:rsidP="0058362A">
            <w:pPr>
              <w:outlineLvl w:val="0"/>
              <w:rPr>
                <w:sz w:val="20"/>
                <w:szCs w:val="20"/>
              </w:rPr>
            </w:pPr>
            <w:r w:rsidRPr="00F74BB0">
              <w:rPr>
                <w:sz w:val="20"/>
                <w:szCs w:val="20"/>
              </w:rPr>
              <w:t>Laboratory Personnel</w:t>
            </w:r>
          </w:p>
        </w:tc>
        <w:tc>
          <w:tcPr>
            <w:tcW w:w="1449" w:type="dxa"/>
            <w:shd w:val="clear" w:color="auto" w:fill="auto"/>
          </w:tcPr>
          <w:p w14:paraId="3221240F" w14:textId="77777777" w:rsidR="006B3BCC" w:rsidRPr="00F74BB0" w:rsidRDefault="006B3BCC" w:rsidP="006E230C">
            <w:pPr>
              <w:outlineLvl w:val="0"/>
              <w:rPr>
                <w:sz w:val="20"/>
                <w:szCs w:val="20"/>
              </w:rPr>
            </w:pPr>
            <w:r w:rsidRPr="00F74BB0">
              <w:rPr>
                <w:sz w:val="20"/>
                <w:szCs w:val="20"/>
              </w:rPr>
              <w:t xml:space="preserve">Ebola Tracking Form for Laboratory </w:t>
            </w:r>
            <w:r w:rsidRPr="00F74BB0">
              <w:rPr>
                <w:sz w:val="20"/>
                <w:szCs w:val="20"/>
              </w:rPr>
              <w:lastRenderedPageBreak/>
              <w:t>Personnel</w:t>
            </w:r>
          </w:p>
        </w:tc>
        <w:tc>
          <w:tcPr>
            <w:tcW w:w="1474" w:type="dxa"/>
            <w:shd w:val="clear" w:color="auto" w:fill="auto"/>
            <w:vAlign w:val="center"/>
          </w:tcPr>
          <w:p w14:paraId="3C711982" w14:textId="77777777" w:rsidR="006B3BCC" w:rsidRPr="00F74BB0" w:rsidRDefault="00AB2C06" w:rsidP="00F77F14">
            <w:pPr>
              <w:jc w:val="center"/>
              <w:outlineLvl w:val="0"/>
              <w:rPr>
                <w:sz w:val="20"/>
                <w:szCs w:val="20"/>
              </w:rPr>
            </w:pPr>
            <w:r>
              <w:rPr>
                <w:sz w:val="20"/>
                <w:szCs w:val="20"/>
              </w:rPr>
              <w:lastRenderedPageBreak/>
              <w:t>300</w:t>
            </w:r>
          </w:p>
        </w:tc>
        <w:tc>
          <w:tcPr>
            <w:tcW w:w="1471" w:type="dxa"/>
            <w:shd w:val="clear" w:color="auto" w:fill="auto"/>
            <w:vAlign w:val="center"/>
          </w:tcPr>
          <w:p w14:paraId="59EC63B2" w14:textId="77777777" w:rsidR="006B3BCC" w:rsidRPr="00F74BB0" w:rsidRDefault="006B3BCC" w:rsidP="00F77F14">
            <w:pPr>
              <w:jc w:val="center"/>
              <w:outlineLvl w:val="0"/>
              <w:rPr>
                <w:sz w:val="20"/>
                <w:szCs w:val="20"/>
              </w:rPr>
            </w:pPr>
            <w:r w:rsidRPr="00F74BB0">
              <w:rPr>
                <w:sz w:val="20"/>
                <w:szCs w:val="20"/>
              </w:rPr>
              <w:t>15</w:t>
            </w:r>
          </w:p>
        </w:tc>
        <w:tc>
          <w:tcPr>
            <w:tcW w:w="1462" w:type="dxa"/>
            <w:shd w:val="clear" w:color="auto" w:fill="auto"/>
            <w:vAlign w:val="center"/>
          </w:tcPr>
          <w:p w14:paraId="5CB98AD7" w14:textId="77777777" w:rsidR="006B3BCC" w:rsidRPr="00F74BB0" w:rsidRDefault="006B3BCC" w:rsidP="00F77F14">
            <w:pPr>
              <w:jc w:val="center"/>
              <w:outlineLvl w:val="0"/>
              <w:rPr>
                <w:sz w:val="20"/>
                <w:szCs w:val="20"/>
              </w:rPr>
            </w:pPr>
            <w:r w:rsidRPr="00F74BB0">
              <w:rPr>
                <w:sz w:val="20"/>
                <w:szCs w:val="20"/>
              </w:rPr>
              <w:t>10/60</w:t>
            </w:r>
          </w:p>
        </w:tc>
        <w:tc>
          <w:tcPr>
            <w:tcW w:w="1455" w:type="dxa"/>
            <w:shd w:val="clear" w:color="auto" w:fill="auto"/>
            <w:vAlign w:val="center"/>
          </w:tcPr>
          <w:p w14:paraId="55103884" w14:textId="77777777" w:rsidR="006B3BCC" w:rsidRPr="00F74BB0" w:rsidRDefault="006939B1" w:rsidP="00F77F14">
            <w:pPr>
              <w:jc w:val="center"/>
              <w:outlineLvl w:val="0"/>
              <w:rPr>
                <w:sz w:val="20"/>
                <w:szCs w:val="20"/>
              </w:rPr>
            </w:pPr>
            <w:r>
              <w:rPr>
                <w:sz w:val="20"/>
                <w:szCs w:val="20"/>
              </w:rPr>
              <w:t>750</w:t>
            </w:r>
          </w:p>
        </w:tc>
      </w:tr>
      <w:tr w:rsidR="006B3BCC" w:rsidRPr="00CF41B4" w14:paraId="4454614A" w14:textId="77777777" w:rsidTr="00384DD3">
        <w:trPr>
          <w:trHeight w:val="620"/>
        </w:trPr>
        <w:tc>
          <w:tcPr>
            <w:tcW w:w="1545" w:type="dxa"/>
            <w:vMerge/>
            <w:shd w:val="clear" w:color="auto" w:fill="auto"/>
            <w:vAlign w:val="center"/>
          </w:tcPr>
          <w:p w14:paraId="583C3B36" w14:textId="77777777" w:rsidR="006B3BCC" w:rsidRPr="00F74BB0" w:rsidRDefault="006B3BCC" w:rsidP="0058362A">
            <w:pPr>
              <w:outlineLvl w:val="0"/>
              <w:rPr>
                <w:sz w:val="20"/>
                <w:szCs w:val="20"/>
              </w:rPr>
            </w:pPr>
          </w:p>
        </w:tc>
        <w:tc>
          <w:tcPr>
            <w:tcW w:w="1449" w:type="dxa"/>
            <w:shd w:val="clear" w:color="auto" w:fill="auto"/>
          </w:tcPr>
          <w:p w14:paraId="19B86BB3" w14:textId="77777777" w:rsidR="006B3BCC" w:rsidRPr="00F74BB0" w:rsidRDefault="000E7AFC" w:rsidP="006E230C">
            <w:pPr>
              <w:outlineLvl w:val="0"/>
              <w:rPr>
                <w:sz w:val="20"/>
                <w:szCs w:val="20"/>
              </w:rPr>
            </w:pPr>
            <w:r w:rsidRPr="00B82EA3">
              <w:rPr>
                <w:sz w:val="20"/>
                <w:szCs w:val="20"/>
              </w:rPr>
              <w:t>Symptom Monitoring Form</w:t>
            </w:r>
          </w:p>
        </w:tc>
        <w:tc>
          <w:tcPr>
            <w:tcW w:w="1474" w:type="dxa"/>
            <w:shd w:val="clear" w:color="auto" w:fill="auto"/>
            <w:vAlign w:val="center"/>
          </w:tcPr>
          <w:p w14:paraId="530866C7" w14:textId="77777777" w:rsidR="006B3BCC" w:rsidRPr="00F74BB0" w:rsidRDefault="00AB2C06" w:rsidP="00F77F14">
            <w:pPr>
              <w:jc w:val="center"/>
              <w:outlineLvl w:val="0"/>
              <w:rPr>
                <w:sz w:val="20"/>
                <w:szCs w:val="20"/>
              </w:rPr>
            </w:pPr>
            <w:r>
              <w:rPr>
                <w:sz w:val="20"/>
                <w:szCs w:val="20"/>
              </w:rPr>
              <w:t>300</w:t>
            </w:r>
          </w:p>
        </w:tc>
        <w:tc>
          <w:tcPr>
            <w:tcW w:w="1471" w:type="dxa"/>
            <w:shd w:val="clear" w:color="auto" w:fill="auto"/>
            <w:vAlign w:val="center"/>
          </w:tcPr>
          <w:p w14:paraId="045BB557" w14:textId="77777777" w:rsidR="006B3BCC" w:rsidRPr="00F74BB0" w:rsidRDefault="006B3BCC" w:rsidP="00F77F14">
            <w:pPr>
              <w:jc w:val="center"/>
              <w:outlineLvl w:val="0"/>
              <w:rPr>
                <w:sz w:val="20"/>
                <w:szCs w:val="20"/>
              </w:rPr>
            </w:pPr>
            <w:r w:rsidRPr="00F74BB0">
              <w:rPr>
                <w:sz w:val="20"/>
                <w:szCs w:val="20"/>
              </w:rPr>
              <w:t>42</w:t>
            </w:r>
          </w:p>
        </w:tc>
        <w:tc>
          <w:tcPr>
            <w:tcW w:w="1462" w:type="dxa"/>
            <w:shd w:val="clear" w:color="auto" w:fill="auto"/>
            <w:vAlign w:val="center"/>
          </w:tcPr>
          <w:p w14:paraId="4D48844D" w14:textId="77777777" w:rsidR="006B3BCC" w:rsidRPr="00F74BB0" w:rsidRDefault="006B3BCC" w:rsidP="00F77F14">
            <w:pPr>
              <w:jc w:val="center"/>
              <w:outlineLvl w:val="0"/>
              <w:rPr>
                <w:sz w:val="20"/>
                <w:szCs w:val="20"/>
              </w:rPr>
            </w:pPr>
            <w:r w:rsidRPr="00F74BB0">
              <w:rPr>
                <w:sz w:val="20"/>
                <w:szCs w:val="20"/>
              </w:rPr>
              <w:t>5/60</w:t>
            </w:r>
          </w:p>
        </w:tc>
        <w:tc>
          <w:tcPr>
            <w:tcW w:w="1455" w:type="dxa"/>
            <w:shd w:val="clear" w:color="auto" w:fill="auto"/>
            <w:vAlign w:val="center"/>
          </w:tcPr>
          <w:p w14:paraId="72085290" w14:textId="77777777" w:rsidR="006B3BCC" w:rsidRPr="00F74BB0" w:rsidRDefault="006939B1" w:rsidP="00F77F14">
            <w:pPr>
              <w:jc w:val="center"/>
              <w:outlineLvl w:val="0"/>
              <w:rPr>
                <w:sz w:val="20"/>
                <w:szCs w:val="20"/>
              </w:rPr>
            </w:pPr>
            <w:r>
              <w:rPr>
                <w:sz w:val="20"/>
                <w:szCs w:val="20"/>
              </w:rPr>
              <w:t>1,050</w:t>
            </w:r>
          </w:p>
        </w:tc>
      </w:tr>
      <w:tr w:rsidR="006B3BCC" w:rsidRPr="00CF41B4" w14:paraId="4A8C5720" w14:textId="77777777" w:rsidTr="00F77F14">
        <w:tc>
          <w:tcPr>
            <w:tcW w:w="1545" w:type="dxa"/>
            <w:vMerge w:val="restart"/>
            <w:shd w:val="clear" w:color="auto" w:fill="auto"/>
            <w:vAlign w:val="center"/>
          </w:tcPr>
          <w:p w14:paraId="74251AD6" w14:textId="77777777" w:rsidR="006B3BCC" w:rsidRPr="00F74BB0" w:rsidRDefault="006B3BCC" w:rsidP="0058362A">
            <w:pPr>
              <w:outlineLvl w:val="0"/>
              <w:rPr>
                <w:sz w:val="20"/>
                <w:szCs w:val="20"/>
              </w:rPr>
            </w:pPr>
            <w:r w:rsidRPr="00F74BB0">
              <w:rPr>
                <w:sz w:val="20"/>
                <w:szCs w:val="20"/>
              </w:rPr>
              <w:t>Environmental Services Personnel</w:t>
            </w:r>
          </w:p>
        </w:tc>
        <w:tc>
          <w:tcPr>
            <w:tcW w:w="1449" w:type="dxa"/>
            <w:shd w:val="clear" w:color="auto" w:fill="auto"/>
          </w:tcPr>
          <w:p w14:paraId="4E838478" w14:textId="77777777" w:rsidR="006B3BCC" w:rsidRPr="00F74BB0" w:rsidRDefault="006B3BCC" w:rsidP="006E230C">
            <w:pPr>
              <w:outlineLvl w:val="0"/>
              <w:rPr>
                <w:sz w:val="20"/>
                <w:szCs w:val="20"/>
              </w:rPr>
            </w:pPr>
            <w:r w:rsidRPr="00F74BB0">
              <w:rPr>
                <w:sz w:val="20"/>
                <w:szCs w:val="20"/>
              </w:rPr>
              <w:t>Ebola Tracking Form for Environmental Services Personnel</w:t>
            </w:r>
          </w:p>
        </w:tc>
        <w:tc>
          <w:tcPr>
            <w:tcW w:w="1474" w:type="dxa"/>
            <w:shd w:val="clear" w:color="auto" w:fill="auto"/>
            <w:vAlign w:val="center"/>
          </w:tcPr>
          <w:p w14:paraId="267DCBD5" w14:textId="77777777" w:rsidR="006B3BCC" w:rsidRPr="00F74BB0" w:rsidRDefault="00AB2C06" w:rsidP="00F77F14">
            <w:pPr>
              <w:jc w:val="center"/>
              <w:outlineLvl w:val="0"/>
              <w:rPr>
                <w:sz w:val="20"/>
                <w:szCs w:val="20"/>
              </w:rPr>
            </w:pPr>
            <w:r>
              <w:rPr>
                <w:sz w:val="20"/>
                <w:szCs w:val="20"/>
              </w:rPr>
              <w:t>300</w:t>
            </w:r>
          </w:p>
        </w:tc>
        <w:tc>
          <w:tcPr>
            <w:tcW w:w="1471" w:type="dxa"/>
            <w:shd w:val="clear" w:color="auto" w:fill="auto"/>
            <w:vAlign w:val="center"/>
          </w:tcPr>
          <w:p w14:paraId="430174DC" w14:textId="77777777" w:rsidR="006B3BCC" w:rsidRPr="00F74BB0" w:rsidRDefault="006B3BCC" w:rsidP="00F77F14">
            <w:pPr>
              <w:jc w:val="center"/>
              <w:outlineLvl w:val="0"/>
              <w:rPr>
                <w:sz w:val="20"/>
                <w:szCs w:val="20"/>
              </w:rPr>
            </w:pPr>
            <w:r w:rsidRPr="00F74BB0">
              <w:rPr>
                <w:sz w:val="20"/>
                <w:szCs w:val="20"/>
              </w:rPr>
              <w:t>15</w:t>
            </w:r>
          </w:p>
        </w:tc>
        <w:tc>
          <w:tcPr>
            <w:tcW w:w="1462" w:type="dxa"/>
            <w:shd w:val="clear" w:color="auto" w:fill="auto"/>
            <w:vAlign w:val="center"/>
          </w:tcPr>
          <w:p w14:paraId="29ECE487" w14:textId="77777777" w:rsidR="006B3BCC" w:rsidRPr="00F74BB0" w:rsidRDefault="006B3BCC" w:rsidP="00F77F14">
            <w:pPr>
              <w:jc w:val="center"/>
              <w:outlineLvl w:val="0"/>
              <w:rPr>
                <w:sz w:val="20"/>
                <w:szCs w:val="20"/>
              </w:rPr>
            </w:pPr>
            <w:r w:rsidRPr="00F74BB0">
              <w:rPr>
                <w:sz w:val="20"/>
                <w:szCs w:val="20"/>
              </w:rPr>
              <w:t>10/60</w:t>
            </w:r>
          </w:p>
        </w:tc>
        <w:tc>
          <w:tcPr>
            <w:tcW w:w="1455" w:type="dxa"/>
            <w:shd w:val="clear" w:color="auto" w:fill="auto"/>
            <w:vAlign w:val="center"/>
          </w:tcPr>
          <w:p w14:paraId="0007E943" w14:textId="77777777" w:rsidR="006B3BCC" w:rsidRPr="00F74BB0" w:rsidRDefault="006939B1" w:rsidP="00F77F14">
            <w:pPr>
              <w:jc w:val="center"/>
              <w:outlineLvl w:val="0"/>
              <w:rPr>
                <w:sz w:val="20"/>
                <w:szCs w:val="20"/>
              </w:rPr>
            </w:pPr>
            <w:r>
              <w:rPr>
                <w:sz w:val="20"/>
                <w:szCs w:val="20"/>
              </w:rPr>
              <w:t>750</w:t>
            </w:r>
          </w:p>
        </w:tc>
      </w:tr>
      <w:tr w:rsidR="006B3BCC" w:rsidRPr="00CF41B4" w14:paraId="6698F897" w14:textId="77777777" w:rsidTr="00F77F14">
        <w:tc>
          <w:tcPr>
            <w:tcW w:w="1545" w:type="dxa"/>
            <w:vMerge/>
            <w:shd w:val="clear" w:color="auto" w:fill="auto"/>
            <w:vAlign w:val="center"/>
          </w:tcPr>
          <w:p w14:paraId="04F751C7" w14:textId="77777777" w:rsidR="006B3BCC" w:rsidRPr="00F74BB0" w:rsidRDefault="006B3BCC" w:rsidP="0058362A">
            <w:pPr>
              <w:outlineLvl w:val="0"/>
              <w:rPr>
                <w:sz w:val="20"/>
                <w:szCs w:val="20"/>
              </w:rPr>
            </w:pPr>
          </w:p>
        </w:tc>
        <w:tc>
          <w:tcPr>
            <w:tcW w:w="1449" w:type="dxa"/>
            <w:shd w:val="clear" w:color="auto" w:fill="auto"/>
          </w:tcPr>
          <w:p w14:paraId="1F08F6AB" w14:textId="77777777" w:rsidR="006B3BCC" w:rsidRPr="00F74BB0" w:rsidRDefault="000E7AFC" w:rsidP="006E230C">
            <w:pPr>
              <w:outlineLvl w:val="0"/>
              <w:rPr>
                <w:sz w:val="20"/>
                <w:szCs w:val="20"/>
              </w:rPr>
            </w:pPr>
            <w:r w:rsidRPr="00B82EA3">
              <w:rPr>
                <w:sz w:val="20"/>
                <w:szCs w:val="20"/>
              </w:rPr>
              <w:t>Symptom Monitoring Form</w:t>
            </w:r>
          </w:p>
        </w:tc>
        <w:tc>
          <w:tcPr>
            <w:tcW w:w="1474" w:type="dxa"/>
            <w:shd w:val="clear" w:color="auto" w:fill="auto"/>
            <w:vAlign w:val="center"/>
          </w:tcPr>
          <w:p w14:paraId="35EBBA84" w14:textId="77777777" w:rsidR="006B3BCC" w:rsidRPr="00F74BB0" w:rsidRDefault="00AB2C06" w:rsidP="00F77F14">
            <w:pPr>
              <w:jc w:val="center"/>
              <w:outlineLvl w:val="0"/>
              <w:rPr>
                <w:sz w:val="20"/>
                <w:szCs w:val="20"/>
              </w:rPr>
            </w:pPr>
            <w:r>
              <w:rPr>
                <w:sz w:val="20"/>
                <w:szCs w:val="20"/>
              </w:rPr>
              <w:t>300</w:t>
            </w:r>
          </w:p>
        </w:tc>
        <w:tc>
          <w:tcPr>
            <w:tcW w:w="1471" w:type="dxa"/>
            <w:shd w:val="clear" w:color="auto" w:fill="auto"/>
            <w:vAlign w:val="center"/>
          </w:tcPr>
          <w:p w14:paraId="2F5F1CDE" w14:textId="77777777" w:rsidR="006B3BCC" w:rsidRPr="00F74BB0" w:rsidRDefault="006B3BCC" w:rsidP="00F77F14">
            <w:pPr>
              <w:jc w:val="center"/>
              <w:outlineLvl w:val="0"/>
              <w:rPr>
                <w:sz w:val="20"/>
                <w:szCs w:val="20"/>
              </w:rPr>
            </w:pPr>
            <w:r w:rsidRPr="00F74BB0">
              <w:rPr>
                <w:sz w:val="20"/>
                <w:szCs w:val="20"/>
              </w:rPr>
              <w:t>42</w:t>
            </w:r>
          </w:p>
        </w:tc>
        <w:tc>
          <w:tcPr>
            <w:tcW w:w="1462" w:type="dxa"/>
            <w:shd w:val="clear" w:color="auto" w:fill="auto"/>
            <w:vAlign w:val="center"/>
          </w:tcPr>
          <w:p w14:paraId="6EE32BFD" w14:textId="77777777" w:rsidR="006B3BCC" w:rsidRPr="00F74BB0" w:rsidRDefault="006B3BCC" w:rsidP="00F77F14">
            <w:pPr>
              <w:jc w:val="center"/>
              <w:outlineLvl w:val="0"/>
              <w:rPr>
                <w:sz w:val="20"/>
                <w:szCs w:val="20"/>
              </w:rPr>
            </w:pPr>
            <w:r w:rsidRPr="00F74BB0">
              <w:rPr>
                <w:sz w:val="20"/>
                <w:szCs w:val="20"/>
              </w:rPr>
              <w:t>5/60</w:t>
            </w:r>
          </w:p>
        </w:tc>
        <w:tc>
          <w:tcPr>
            <w:tcW w:w="1455" w:type="dxa"/>
            <w:shd w:val="clear" w:color="auto" w:fill="auto"/>
            <w:vAlign w:val="center"/>
          </w:tcPr>
          <w:p w14:paraId="1C1B83B8" w14:textId="77777777" w:rsidR="006B3BCC" w:rsidRPr="00F74BB0" w:rsidRDefault="006939B1" w:rsidP="00F77F14">
            <w:pPr>
              <w:jc w:val="center"/>
              <w:outlineLvl w:val="0"/>
              <w:rPr>
                <w:sz w:val="20"/>
                <w:szCs w:val="20"/>
              </w:rPr>
            </w:pPr>
            <w:r>
              <w:rPr>
                <w:sz w:val="20"/>
                <w:szCs w:val="20"/>
              </w:rPr>
              <w:t>1,050</w:t>
            </w:r>
          </w:p>
        </w:tc>
      </w:tr>
      <w:tr w:rsidR="001D22A8" w:rsidRPr="00CF41B4" w14:paraId="76108324" w14:textId="77777777" w:rsidTr="003F189C">
        <w:trPr>
          <w:trHeight w:val="764"/>
        </w:trPr>
        <w:tc>
          <w:tcPr>
            <w:tcW w:w="1545" w:type="dxa"/>
            <w:shd w:val="clear" w:color="auto" w:fill="auto"/>
            <w:vAlign w:val="center"/>
          </w:tcPr>
          <w:p w14:paraId="1585B564" w14:textId="77777777" w:rsidR="001D22A8" w:rsidRPr="00F74BB0" w:rsidRDefault="001D22A8" w:rsidP="00F77F14">
            <w:pPr>
              <w:outlineLvl w:val="0"/>
              <w:rPr>
                <w:sz w:val="20"/>
                <w:szCs w:val="20"/>
              </w:rPr>
            </w:pPr>
            <w:r w:rsidRPr="00F74BB0">
              <w:rPr>
                <w:sz w:val="20"/>
                <w:szCs w:val="20"/>
              </w:rPr>
              <w:t>State, Territorial, and Local Public Health Authorities and Their Delegates</w:t>
            </w:r>
          </w:p>
        </w:tc>
        <w:tc>
          <w:tcPr>
            <w:tcW w:w="1449" w:type="dxa"/>
            <w:shd w:val="clear" w:color="auto" w:fill="auto"/>
            <w:vAlign w:val="center"/>
          </w:tcPr>
          <w:p w14:paraId="458C6C75" w14:textId="77777777" w:rsidR="001D22A8" w:rsidRPr="00F74BB0" w:rsidRDefault="001E41A6" w:rsidP="00F77F14">
            <w:pPr>
              <w:outlineLvl w:val="0"/>
              <w:rPr>
                <w:sz w:val="20"/>
                <w:szCs w:val="20"/>
              </w:rPr>
            </w:pPr>
            <w:r>
              <w:rPr>
                <w:sz w:val="20"/>
                <w:szCs w:val="20"/>
              </w:rPr>
              <w:t>White House Evening Report</w:t>
            </w:r>
          </w:p>
        </w:tc>
        <w:tc>
          <w:tcPr>
            <w:tcW w:w="1474" w:type="dxa"/>
            <w:shd w:val="clear" w:color="auto" w:fill="auto"/>
            <w:vAlign w:val="center"/>
          </w:tcPr>
          <w:p w14:paraId="3729A802" w14:textId="77777777" w:rsidR="001D22A8" w:rsidRPr="00F74BB0" w:rsidRDefault="00AB2C06" w:rsidP="00F77F14">
            <w:pPr>
              <w:jc w:val="center"/>
              <w:outlineLvl w:val="0"/>
              <w:rPr>
                <w:sz w:val="20"/>
                <w:szCs w:val="20"/>
              </w:rPr>
            </w:pPr>
            <w:r>
              <w:rPr>
                <w:sz w:val="20"/>
                <w:szCs w:val="20"/>
              </w:rPr>
              <w:t>8</w:t>
            </w:r>
          </w:p>
        </w:tc>
        <w:tc>
          <w:tcPr>
            <w:tcW w:w="1471" w:type="dxa"/>
            <w:shd w:val="clear" w:color="auto" w:fill="auto"/>
            <w:vAlign w:val="center"/>
          </w:tcPr>
          <w:p w14:paraId="541F36F5" w14:textId="77777777" w:rsidR="001D22A8" w:rsidRPr="00F74BB0" w:rsidRDefault="00E26D67" w:rsidP="00F77F14">
            <w:pPr>
              <w:jc w:val="center"/>
              <w:outlineLvl w:val="0"/>
              <w:rPr>
                <w:sz w:val="20"/>
                <w:szCs w:val="20"/>
              </w:rPr>
            </w:pPr>
            <w:r w:rsidRPr="00F74BB0">
              <w:rPr>
                <w:sz w:val="20"/>
                <w:szCs w:val="20"/>
              </w:rPr>
              <w:t>42</w:t>
            </w:r>
          </w:p>
        </w:tc>
        <w:tc>
          <w:tcPr>
            <w:tcW w:w="1462" w:type="dxa"/>
            <w:shd w:val="clear" w:color="auto" w:fill="auto"/>
            <w:vAlign w:val="center"/>
          </w:tcPr>
          <w:p w14:paraId="4C8C33DD" w14:textId="77777777" w:rsidR="001D22A8" w:rsidRPr="00F74BB0" w:rsidRDefault="00E26D67" w:rsidP="00056CF8">
            <w:pPr>
              <w:jc w:val="center"/>
              <w:outlineLvl w:val="0"/>
              <w:rPr>
                <w:sz w:val="20"/>
                <w:szCs w:val="20"/>
              </w:rPr>
            </w:pPr>
            <w:r w:rsidRPr="00F74BB0">
              <w:rPr>
                <w:sz w:val="20"/>
                <w:szCs w:val="20"/>
              </w:rPr>
              <w:t>10</w:t>
            </w:r>
            <w:r w:rsidR="001D22A8" w:rsidRPr="00F74BB0">
              <w:rPr>
                <w:sz w:val="20"/>
                <w:szCs w:val="20"/>
              </w:rPr>
              <w:t>/60</w:t>
            </w:r>
          </w:p>
        </w:tc>
        <w:tc>
          <w:tcPr>
            <w:tcW w:w="1455" w:type="dxa"/>
            <w:shd w:val="clear" w:color="auto" w:fill="auto"/>
            <w:vAlign w:val="center"/>
          </w:tcPr>
          <w:p w14:paraId="39AE7D7A" w14:textId="77777777" w:rsidR="001D22A8" w:rsidRPr="00F74BB0" w:rsidRDefault="006939B1" w:rsidP="00F77F14">
            <w:pPr>
              <w:jc w:val="center"/>
              <w:outlineLvl w:val="0"/>
              <w:rPr>
                <w:sz w:val="20"/>
                <w:szCs w:val="20"/>
              </w:rPr>
            </w:pPr>
            <w:r>
              <w:rPr>
                <w:sz w:val="20"/>
                <w:szCs w:val="20"/>
              </w:rPr>
              <w:t>56</w:t>
            </w:r>
          </w:p>
        </w:tc>
      </w:tr>
      <w:tr w:rsidR="001D22A8" w:rsidRPr="00CF41B4" w14:paraId="2682AF73" w14:textId="77777777" w:rsidTr="00F77F14">
        <w:tc>
          <w:tcPr>
            <w:tcW w:w="1545" w:type="dxa"/>
            <w:shd w:val="clear" w:color="auto" w:fill="auto"/>
          </w:tcPr>
          <w:p w14:paraId="7283E367" w14:textId="77777777" w:rsidR="001D22A8" w:rsidRPr="00F74BB0" w:rsidRDefault="001D22A8" w:rsidP="005E73C1">
            <w:pPr>
              <w:jc w:val="right"/>
              <w:outlineLvl w:val="0"/>
              <w:rPr>
                <w:b/>
                <w:sz w:val="20"/>
                <w:szCs w:val="20"/>
              </w:rPr>
            </w:pPr>
            <w:r w:rsidRPr="00F74BB0">
              <w:rPr>
                <w:b/>
                <w:sz w:val="20"/>
                <w:szCs w:val="20"/>
              </w:rPr>
              <w:t>Total</w:t>
            </w:r>
          </w:p>
        </w:tc>
        <w:tc>
          <w:tcPr>
            <w:tcW w:w="5856" w:type="dxa"/>
            <w:gridSpan w:val="4"/>
            <w:shd w:val="clear" w:color="auto" w:fill="auto"/>
          </w:tcPr>
          <w:p w14:paraId="48B7D2D7" w14:textId="77777777" w:rsidR="001D22A8" w:rsidRPr="00F74BB0" w:rsidRDefault="001D22A8" w:rsidP="00C34A8B">
            <w:pPr>
              <w:outlineLvl w:val="0"/>
              <w:rPr>
                <w:sz w:val="20"/>
                <w:szCs w:val="20"/>
              </w:rPr>
            </w:pPr>
          </w:p>
        </w:tc>
        <w:tc>
          <w:tcPr>
            <w:tcW w:w="1455" w:type="dxa"/>
            <w:shd w:val="clear" w:color="auto" w:fill="auto"/>
            <w:vAlign w:val="center"/>
          </w:tcPr>
          <w:p w14:paraId="4F2055A6" w14:textId="126D7981" w:rsidR="001D22A8" w:rsidRPr="00F74BB0" w:rsidRDefault="006939B1" w:rsidP="009909EE">
            <w:pPr>
              <w:jc w:val="center"/>
              <w:outlineLvl w:val="0"/>
              <w:rPr>
                <w:sz w:val="20"/>
                <w:szCs w:val="20"/>
              </w:rPr>
            </w:pPr>
            <w:r>
              <w:rPr>
                <w:sz w:val="20"/>
                <w:szCs w:val="20"/>
              </w:rPr>
              <w:t>5,6</w:t>
            </w:r>
            <w:r w:rsidR="00492920">
              <w:rPr>
                <w:sz w:val="20"/>
                <w:szCs w:val="20"/>
              </w:rPr>
              <w:t>80</w:t>
            </w:r>
          </w:p>
        </w:tc>
      </w:tr>
    </w:tbl>
    <w:p w14:paraId="7E91A910" w14:textId="77777777" w:rsidR="00033C94" w:rsidRPr="00CF41B4" w:rsidRDefault="00033C94" w:rsidP="00917B03">
      <w:pPr>
        <w:outlineLvl w:val="0"/>
        <w:rPr>
          <w:sz w:val="20"/>
          <w:szCs w:val="20"/>
        </w:rPr>
      </w:pPr>
    </w:p>
    <w:p w14:paraId="350FC64C" w14:textId="77777777" w:rsidR="00C2662B" w:rsidRDefault="00C2662B" w:rsidP="00917B03"/>
    <w:p w14:paraId="39371246" w14:textId="0CDB0C8E" w:rsidR="00917B03" w:rsidRDefault="00917B03" w:rsidP="00917B03">
      <w:r w:rsidRPr="00034430">
        <w:t>B.  Estimate</w:t>
      </w:r>
      <w:r w:rsidR="0004416B">
        <w:t>d</w:t>
      </w:r>
      <w:r w:rsidRPr="00034430">
        <w:t xml:space="preserve"> </w:t>
      </w:r>
      <w:r w:rsidR="0004416B">
        <w:t xml:space="preserve">Burden </w:t>
      </w:r>
      <w:r w:rsidRPr="00034430">
        <w:t xml:space="preserve">Costs  </w:t>
      </w:r>
    </w:p>
    <w:p w14:paraId="10C4D7E8" w14:textId="77777777" w:rsidR="00F87B4A" w:rsidRPr="00034430" w:rsidRDefault="00F87B4A" w:rsidP="00917B0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2116"/>
        <w:gridCol w:w="1656"/>
        <w:gridCol w:w="1652"/>
        <w:gridCol w:w="1703"/>
      </w:tblGrid>
      <w:tr w:rsidR="0004416B" w14:paraId="65304B75" w14:textId="77777777" w:rsidTr="00E050AC">
        <w:tc>
          <w:tcPr>
            <w:tcW w:w="1729" w:type="dxa"/>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1513"/>
            </w:tblGrid>
            <w:tr w:rsidR="0004416B" w:rsidRPr="0041348C" w14:paraId="6DD2A8B7" w14:textId="77777777" w:rsidTr="0004416B">
              <w:trPr>
                <w:trHeight w:val="224"/>
              </w:trPr>
              <w:tc>
                <w:tcPr>
                  <w:tcW w:w="0" w:type="auto"/>
                </w:tcPr>
                <w:p w14:paraId="6A9B95E7" w14:textId="77777777" w:rsidR="0004416B" w:rsidRPr="0041348C" w:rsidRDefault="0004416B" w:rsidP="0004416B">
                  <w:pPr>
                    <w:pStyle w:val="Default"/>
                    <w:jc w:val="center"/>
                    <w:rPr>
                      <w:sz w:val="20"/>
                      <w:szCs w:val="20"/>
                    </w:rPr>
                  </w:pPr>
                  <w:r w:rsidRPr="0041348C">
                    <w:rPr>
                      <w:b/>
                      <w:bCs/>
                      <w:sz w:val="20"/>
                      <w:szCs w:val="20"/>
                    </w:rPr>
                    <w:t>Type of Respondent</w:t>
                  </w:r>
                </w:p>
              </w:tc>
            </w:tr>
          </w:tbl>
          <w:p w14:paraId="459F609A" w14:textId="77777777" w:rsidR="0004416B" w:rsidRPr="0041348C" w:rsidRDefault="0004416B" w:rsidP="00C34A8B">
            <w:pPr>
              <w:jc w:val="center"/>
              <w:rPr>
                <w:sz w:val="20"/>
                <w:szCs w:val="20"/>
              </w:rPr>
            </w:pPr>
          </w:p>
        </w:tc>
        <w:tc>
          <w:tcPr>
            <w:tcW w:w="2116" w:type="dxa"/>
            <w:shd w:val="clear" w:color="auto" w:fill="auto"/>
            <w:vAlign w:val="center"/>
          </w:tcPr>
          <w:p w14:paraId="0E49D1FC" w14:textId="77777777" w:rsidR="0004416B" w:rsidRPr="0041348C" w:rsidRDefault="0004416B" w:rsidP="00C34A8B">
            <w:pPr>
              <w:jc w:val="center"/>
              <w:rPr>
                <w:sz w:val="20"/>
                <w:szCs w:val="20"/>
              </w:rPr>
            </w:pPr>
            <w:r w:rsidRPr="0041348C">
              <w:rPr>
                <w:b/>
                <w:bCs/>
                <w:sz w:val="20"/>
                <w:szCs w:val="20"/>
              </w:rPr>
              <w:t>Form Name</w:t>
            </w:r>
          </w:p>
        </w:tc>
        <w:tc>
          <w:tcPr>
            <w:tcW w:w="1656" w:type="dxa"/>
            <w:shd w:val="clear" w:color="auto" w:fill="auto"/>
            <w:vAlign w:val="center"/>
          </w:tcPr>
          <w:p w14:paraId="41096273" w14:textId="77777777" w:rsidR="0004416B" w:rsidRPr="0041348C" w:rsidRDefault="0004416B" w:rsidP="00C34A8B">
            <w:pPr>
              <w:jc w:val="center"/>
              <w:rPr>
                <w:sz w:val="20"/>
                <w:szCs w:val="20"/>
              </w:rPr>
            </w:pPr>
            <w:r w:rsidRPr="0041348C">
              <w:rPr>
                <w:b/>
                <w:bCs/>
                <w:sz w:val="20"/>
                <w:szCs w:val="20"/>
              </w:rPr>
              <w:t>Total Burden Hours</w:t>
            </w:r>
          </w:p>
        </w:tc>
        <w:tc>
          <w:tcPr>
            <w:tcW w:w="1652" w:type="dxa"/>
            <w:shd w:val="clear" w:color="auto" w:fill="auto"/>
            <w:vAlign w:val="center"/>
          </w:tcPr>
          <w:p w14:paraId="2012AE92" w14:textId="77777777" w:rsidR="0004416B" w:rsidRPr="0041348C" w:rsidRDefault="0004416B" w:rsidP="00C34A8B">
            <w:pPr>
              <w:jc w:val="center"/>
              <w:rPr>
                <w:sz w:val="20"/>
                <w:szCs w:val="20"/>
              </w:rPr>
            </w:pPr>
            <w:r w:rsidRPr="0041348C">
              <w:rPr>
                <w:b/>
                <w:bCs/>
                <w:sz w:val="20"/>
                <w:szCs w:val="20"/>
              </w:rPr>
              <w:t>Hourly Wage Rate</w:t>
            </w:r>
          </w:p>
        </w:tc>
        <w:tc>
          <w:tcPr>
            <w:tcW w:w="1703" w:type="dxa"/>
            <w:shd w:val="clear" w:color="auto" w:fill="auto"/>
            <w:vAlign w:val="center"/>
          </w:tcPr>
          <w:p w14:paraId="07BFD3E2" w14:textId="77777777" w:rsidR="0004416B" w:rsidRPr="0041348C" w:rsidRDefault="0004416B" w:rsidP="00C34A8B">
            <w:pPr>
              <w:jc w:val="center"/>
              <w:rPr>
                <w:sz w:val="20"/>
                <w:szCs w:val="20"/>
              </w:rPr>
            </w:pPr>
            <w:r w:rsidRPr="0041348C">
              <w:rPr>
                <w:b/>
                <w:bCs/>
                <w:sz w:val="20"/>
                <w:szCs w:val="20"/>
              </w:rPr>
              <w:t>Total Respondent Costs</w:t>
            </w:r>
          </w:p>
        </w:tc>
      </w:tr>
      <w:tr w:rsidR="006939B1" w14:paraId="38D1F59F" w14:textId="77777777" w:rsidTr="002304C3">
        <w:tc>
          <w:tcPr>
            <w:tcW w:w="1729" w:type="dxa"/>
            <w:vMerge w:val="restart"/>
            <w:shd w:val="clear" w:color="auto" w:fill="auto"/>
            <w:vAlign w:val="center"/>
          </w:tcPr>
          <w:p w14:paraId="08CBB6DA" w14:textId="77777777" w:rsidR="006939B1" w:rsidRPr="0041348C" w:rsidRDefault="006939B1" w:rsidP="00C77F38">
            <w:pPr>
              <w:rPr>
                <w:sz w:val="20"/>
                <w:szCs w:val="20"/>
              </w:rPr>
            </w:pPr>
            <w:r w:rsidRPr="0041348C">
              <w:rPr>
                <w:sz w:val="20"/>
                <w:szCs w:val="20"/>
              </w:rPr>
              <w:t>General public</w:t>
            </w:r>
          </w:p>
        </w:tc>
        <w:tc>
          <w:tcPr>
            <w:tcW w:w="2116" w:type="dxa"/>
            <w:shd w:val="clear" w:color="auto" w:fill="auto"/>
          </w:tcPr>
          <w:p w14:paraId="0A327987" w14:textId="77777777" w:rsidR="006939B1" w:rsidRPr="0041348C" w:rsidRDefault="006939B1" w:rsidP="00020E62">
            <w:pPr>
              <w:rPr>
                <w:sz w:val="20"/>
                <w:szCs w:val="20"/>
              </w:rPr>
            </w:pPr>
            <w:r w:rsidRPr="0041348C">
              <w:rPr>
                <w:sz w:val="20"/>
                <w:szCs w:val="20"/>
              </w:rPr>
              <w:t>Ebola Virus Disease Case Investigation Form – United States</w:t>
            </w:r>
          </w:p>
        </w:tc>
        <w:tc>
          <w:tcPr>
            <w:tcW w:w="1656" w:type="dxa"/>
            <w:shd w:val="clear" w:color="auto" w:fill="auto"/>
            <w:vAlign w:val="center"/>
          </w:tcPr>
          <w:p w14:paraId="4D6CE996" w14:textId="77777777" w:rsidR="006939B1" w:rsidRPr="0041348C" w:rsidRDefault="006939B1" w:rsidP="00C77F38">
            <w:pPr>
              <w:jc w:val="center"/>
              <w:rPr>
                <w:sz w:val="20"/>
                <w:szCs w:val="20"/>
              </w:rPr>
            </w:pPr>
            <w:r>
              <w:rPr>
                <w:sz w:val="20"/>
                <w:szCs w:val="20"/>
              </w:rPr>
              <w:t>4</w:t>
            </w:r>
          </w:p>
        </w:tc>
        <w:tc>
          <w:tcPr>
            <w:tcW w:w="1652" w:type="dxa"/>
            <w:shd w:val="clear" w:color="auto" w:fill="auto"/>
            <w:vAlign w:val="center"/>
          </w:tcPr>
          <w:p w14:paraId="664A0C83" w14:textId="77777777" w:rsidR="006939B1" w:rsidRPr="0041348C" w:rsidRDefault="006939B1" w:rsidP="00C77F38">
            <w:pPr>
              <w:jc w:val="center"/>
              <w:rPr>
                <w:sz w:val="20"/>
                <w:szCs w:val="20"/>
              </w:rPr>
            </w:pPr>
            <w:r w:rsidRPr="0041348C">
              <w:rPr>
                <w:sz w:val="20"/>
                <w:szCs w:val="20"/>
              </w:rPr>
              <w:t>$22.33</w:t>
            </w:r>
          </w:p>
        </w:tc>
        <w:tc>
          <w:tcPr>
            <w:tcW w:w="1703" w:type="dxa"/>
            <w:shd w:val="clear" w:color="auto" w:fill="auto"/>
            <w:vAlign w:val="center"/>
          </w:tcPr>
          <w:p w14:paraId="41CEE272" w14:textId="77777777" w:rsidR="006939B1" w:rsidRPr="002304C3" w:rsidRDefault="002304C3" w:rsidP="002304C3">
            <w:pPr>
              <w:jc w:val="center"/>
              <w:rPr>
                <w:sz w:val="20"/>
                <w:szCs w:val="20"/>
              </w:rPr>
            </w:pPr>
            <w:r>
              <w:rPr>
                <w:color w:val="000000"/>
                <w:sz w:val="20"/>
                <w:szCs w:val="20"/>
              </w:rPr>
              <w:t>$</w:t>
            </w:r>
            <w:r w:rsidR="006939B1" w:rsidRPr="002304C3">
              <w:rPr>
                <w:color w:val="000000"/>
                <w:sz w:val="20"/>
                <w:szCs w:val="20"/>
              </w:rPr>
              <w:t xml:space="preserve">89 </w:t>
            </w:r>
          </w:p>
        </w:tc>
      </w:tr>
      <w:tr w:rsidR="006939B1" w14:paraId="03631721" w14:textId="77777777" w:rsidTr="002304C3">
        <w:tc>
          <w:tcPr>
            <w:tcW w:w="1729" w:type="dxa"/>
            <w:vMerge/>
            <w:shd w:val="clear" w:color="auto" w:fill="auto"/>
            <w:vAlign w:val="center"/>
          </w:tcPr>
          <w:p w14:paraId="69C8B62B" w14:textId="77777777" w:rsidR="006939B1" w:rsidRPr="0041348C" w:rsidRDefault="006939B1" w:rsidP="009E2752">
            <w:pPr>
              <w:rPr>
                <w:sz w:val="20"/>
                <w:szCs w:val="20"/>
              </w:rPr>
            </w:pPr>
          </w:p>
        </w:tc>
        <w:tc>
          <w:tcPr>
            <w:tcW w:w="2116" w:type="dxa"/>
            <w:shd w:val="clear" w:color="auto" w:fill="auto"/>
          </w:tcPr>
          <w:p w14:paraId="54016E8E" w14:textId="77777777" w:rsidR="006939B1" w:rsidRPr="0041348C" w:rsidRDefault="006939B1" w:rsidP="00020E62">
            <w:pPr>
              <w:rPr>
                <w:sz w:val="20"/>
                <w:szCs w:val="20"/>
              </w:rPr>
            </w:pPr>
            <w:r w:rsidRPr="0041348C">
              <w:rPr>
                <w:sz w:val="20"/>
                <w:szCs w:val="20"/>
              </w:rPr>
              <w:t>Ebola Virus Disease Person Under Investigation (PUI) Form</w:t>
            </w:r>
          </w:p>
        </w:tc>
        <w:tc>
          <w:tcPr>
            <w:tcW w:w="1656" w:type="dxa"/>
            <w:shd w:val="clear" w:color="auto" w:fill="auto"/>
            <w:vAlign w:val="center"/>
          </w:tcPr>
          <w:p w14:paraId="55FB1CBE" w14:textId="77777777" w:rsidR="006939B1" w:rsidRPr="0041348C" w:rsidRDefault="006939B1" w:rsidP="009E2752">
            <w:pPr>
              <w:jc w:val="center"/>
              <w:rPr>
                <w:sz w:val="20"/>
                <w:szCs w:val="20"/>
              </w:rPr>
            </w:pPr>
            <w:r>
              <w:rPr>
                <w:sz w:val="20"/>
                <w:szCs w:val="20"/>
              </w:rPr>
              <w:t>25</w:t>
            </w:r>
          </w:p>
        </w:tc>
        <w:tc>
          <w:tcPr>
            <w:tcW w:w="1652" w:type="dxa"/>
            <w:shd w:val="clear" w:color="auto" w:fill="auto"/>
            <w:vAlign w:val="center"/>
          </w:tcPr>
          <w:p w14:paraId="1D8A9917" w14:textId="77777777" w:rsidR="006939B1" w:rsidRPr="0041348C" w:rsidRDefault="006939B1" w:rsidP="009E2752">
            <w:pPr>
              <w:jc w:val="center"/>
              <w:rPr>
                <w:sz w:val="20"/>
                <w:szCs w:val="20"/>
              </w:rPr>
            </w:pPr>
            <w:r w:rsidRPr="0041348C">
              <w:rPr>
                <w:sz w:val="20"/>
                <w:szCs w:val="20"/>
              </w:rPr>
              <w:t>$22.33</w:t>
            </w:r>
          </w:p>
        </w:tc>
        <w:tc>
          <w:tcPr>
            <w:tcW w:w="1703" w:type="dxa"/>
            <w:shd w:val="clear" w:color="auto" w:fill="auto"/>
            <w:vAlign w:val="center"/>
          </w:tcPr>
          <w:p w14:paraId="691FC8B1" w14:textId="77777777" w:rsidR="006939B1" w:rsidRPr="002304C3" w:rsidRDefault="002304C3" w:rsidP="002304C3">
            <w:pPr>
              <w:jc w:val="center"/>
              <w:rPr>
                <w:sz w:val="20"/>
                <w:szCs w:val="20"/>
              </w:rPr>
            </w:pPr>
            <w:r>
              <w:rPr>
                <w:color w:val="000000"/>
                <w:sz w:val="20"/>
                <w:szCs w:val="20"/>
              </w:rPr>
              <w:t>$</w:t>
            </w:r>
            <w:r w:rsidR="006939B1" w:rsidRPr="002304C3">
              <w:rPr>
                <w:color w:val="000000"/>
                <w:sz w:val="20"/>
                <w:szCs w:val="20"/>
              </w:rPr>
              <w:t xml:space="preserve">558 </w:t>
            </w:r>
          </w:p>
        </w:tc>
      </w:tr>
      <w:tr w:rsidR="006939B1" w14:paraId="0A0632A8" w14:textId="77777777" w:rsidTr="002304C3">
        <w:trPr>
          <w:trHeight w:val="345"/>
        </w:trPr>
        <w:tc>
          <w:tcPr>
            <w:tcW w:w="1729" w:type="dxa"/>
            <w:vMerge/>
            <w:shd w:val="clear" w:color="auto" w:fill="auto"/>
            <w:vAlign w:val="center"/>
          </w:tcPr>
          <w:p w14:paraId="0B7B04E3" w14:textId="77777777" w:rsidR="006939B1" w:rsidRPr="0041348C" w:rsidRDefault="006939B1" w:rsidP="009E2752">
            <w:pPr>
              <w:rPr>
                <w:sz w:val="20"/>
                <w:szCs w:val="20"/>
              </w:rPr>
            </w:pPr>
          </w:p>
        </w:tc>
        <w:tc>
          <w:tcPr>
            <w:tcW w:w="2116" w:type="dxa"/>
            <w:shd w:val="clear" w:color="auto" w:fill="auto"/>
          </w:tcPr>
          <w:p w14:paraId="09773F47" w14:textId="77777777" w:rsidR="006939B1" w:rsidRPr="0041348C" w:rsidRDefault="006939B1" w:rsidP="00020E62">
            <w:pPr>
              <w:rPr>
                <w:sz w:val="20"/>
                <w:szCs w:val="20"/>
              </w:rPr>
            </w:pPr>
            <w:r w:rsidRPr="0041348C">
              <w:rPr>
                <w:sz w:val="20"/>
                <w:szCs w:val="20"/>
              </w:rPr>
              <w:t>Ebola Virus Disease Contact Tracing Form – United States</w:t>
            </w:r>
          </w:p>
        </w:tc>
        <w:tc>
          <w:tcPr>
            <w:tcW w:w="1656" w:type="dxa"/>
            <w:shd w:val="clear" w:color="auto" w:fill="auto"/>
            <w:vAlign w:val="center"/>
          </w:tcPr>
          <w:p w14:paraId="3EC32CDB" w14:textId="77777777" w:rsidR="006939B1" w:rsidRPr="0041348C" w:rsidRDefault="006939B1" w:rsidP="009E2752">
            <w:pPr>
              <w:jc w:val="center"/>
              <w:rPr>
                <w:sz w:val="20"/>
                <w:szCs w:val="20"/>
              </w:rPr>
            </w:pPr>
            <w:r>
              <w:rPr>
                <w:sz w:val="20"/>
                <w:szCs w:val="20"/>
              </w:rPr>
              <w:t>9</w:t>
            </w:r>
          </w:p>
        </w:tc>
        <w:tc>
          <w:tcPr>
            <w:tcW w:w="1652" w:type="dxa"/>
            <w:shd w:val="clear" w:color="auto" w:fill="auto"/>
            <w:vAlign w:val="center"/>
          </w:tcPr>
          <w:p w14:paraId="609CB1E3" w14:textId="77777777" w:rsidR="006939B1" w:rsidRPr="0041348C" w:rsidRDefault="006939B1" w:rsidP="009E2752">
            <w:pPr>
              <w:jc w:val="center"/>
              <w:rPr>
                <w:sz w:val="20"/>
                <w:szCs w:val="20"/>
              </w:rPr>
            </w:pPr>
            <w:r w:rsidRPr="0041348C">
              <w:rPr>
                <w:sz w:val="20"/>
                <w:szCs w:val="20"/>
              </w:rPr>
              <w:t>$22.33</w:t>
            </w:r>
          </w:p>
        </w:tc>
        <w:tc>
          <w:tcPr>
            <w:tcW w:w="1703" w:type="dxa"/>
            <w:shd w:val="clear" w:color="auto" w:fill="auto"/>
            <w:vAlign w:val="center"/>
          </w:tcPr>
          <w:p w14:paraId="7661339E" w14:textId="77777777" w:rsidR="006939B1" w:rsidRPr="002304C3" w:rsidRDefault="002304C3" w:rsidP="002304C3">
            <w:pPr>
              <w:jc w:val="center"/>
              <w:rPr>
                <w:sz w:val="20"/>
                <w:szCs w:val="20"/>
              </w:rPr>
            </w:pPr>
            <w:r>
              <w:rPr>
                <w:color w:val="000000"/>
                <w:sz w:val="20"/>
                <w:szCs w:val="20"/>
              </w:rPr>
              <w:t>$</w:t>
            </w:r>
            <w:r w:rsidR="006939B1" w:rsidRPr="002304C3">
              <w:rPr>
                <w:color w:val="000000"/>
                <w:sz w:val="20"/>
                <w:szCs w:val="20"/>
              </w:rPr>
              <w:t xml:space="preserve">201 </w:t>
            </w:r>
          </w:p>
        </w:tc>
      </w:tr>
      <w:tr w:rsidR="006939B1" w14:paraId="05780A41" w14:textId="77777777" w:rsidTr="002304C3">
        <w:trPr>
          <w:trHeight w:val="345"/>
        </w:trPr>
        <w:tc>
          <w:tcPr>
            <w:tcW w:w="1729" w:type="dxa"/>
            <w:vMerge/>
            <w:shd w:val="clear" w:color="auto" w:fill="auto"/>
            <w:vAlign w:val="center"/>
          </w:tcPr>
          <w:p w14:paraId="2AD20D0E" w14:textId="77777777" w:rsidR="006939B1" w:rsidRPr="0041348C" w:rsidRDefault="006939B1" w:rsidP="009E2752">
            <w:pPr>
              <w:rPr>
                <w:sz w:val="20"/>
                <w:szCs w:val="20"/>
              </w:rPr>
            </w:pPr>
          </w:p>
        </w:tc>
        <w:tc>
          <w:tcPr>
            <w:tcW w:w="2116" w:type="dxa"/>
            <w:shd w:val="clear" w:color="auto" w:fill="auto"/>
          </w:tcPr>
          <w:p w14:paraId="574BAA80" w14:textId="77777777" w:rsidR="006939B1" w:rsidRPr="0041348C" w:rsidRDefault="000E7AFC" w:rsidP="00020E62">
            <w:pPr>
              <w:rPr>
                <w:sz w:val="20"/>
                <w:szCs w:val="20"/>
              </w:rPr>
            </w:pPr>
            <w:r w:rsidRPr="00B82EA3">
              <w:rPr>
                <w:sz w:val="20"/>
                <w:szCs w:val="20"/>
              </w:rPr>
              <w:t>Symptom Monitoring Form</w:t>
            </w:r>
          </w:p>
        </w:tc>
        <w:tc>
          <w:tcPr>
            <w:tcW w:w="1656" w:type="dxa"/>
            <w:shd w:val="clear" w:color="auto" w:fill="auto"/>
            <w:vAlign w:val="center"/>
          </w:tcPr>
          <w:p w14:paraId="0CD8D73B" w14:textId="77777777" w:rsidR="006939B1" w:rsidRPr="0041348C" w:rsidRDefault="006939B1" w:rsidP="009E2752">
            <w:pPr>
              <w:jc w:val="center"/>
              <w:rPr>
                <w:sz w:val="20"/>
                <w:szCs w:val="20"/>
              </w:rPr>
            </w:pPr>
            <w:r>
              <w:rPr>
                <w:sz w:val="20"/>
                <w:szCs w:val="20"/>
              </w:rPr>
              <w:t>186</w:t>
            </w:r>
          </w:p>
        </w:tc>
        <w:tc>
          <w:tcPr>
            <w:tcW w:w="1652" w:type="dxa"/>
            <w:shd w:val="clear" w:color="auto" w:fill="auto"/>
            <w:vAlign w:val="center"/>
          </w:tcPr>
          <w:p w14:paraId="75C5A708" w14:textId="77777777" w:rsidR="006939B1" w:rsidRPr="0041348C" w:rsidRDefault="006939B1" w:rsidP="009E2752">
            <w:pPr>
              <w:jc w:val="center"/>
              <w:rPr>
                <w:sz w:val="20"/>
                <w:szCs w:val="20"/>
              </w:rPr>
            </w:pPr>
            <w:r w:rsidRPr="0041348C">
              <w:rPr>
                <w:sz w:val="20"/>
                <w:szCs w:val="20"/>
              </w:rPr>
              <w:t>$22.33</w:t>
            </w:r>
          </w:p>
        </w:tc>
        <w:tc>
          <w:tcPr>
            <w:tcW w:w="1703" w:type="dxa"/>
            <w:shd w:val="clear" w:color="auto" w:fill="auto"/>
            <w:vAlign w:val="center"/>
          </w:tcPr>
          <w:p w14:paraId="3AA5CB61" w14:textId="77777777" w:rsidR="006939B1" w:rsidRPr="002304C3" w:rsidRDefault="002304C3" w:rsidP="002304C3">
            <w:pPr>
              <w:jc w:val="center"/>
              <w:rPr>
                <w:sz w:val="20"/>
                <w:szCs w:val="20"/>
              </w:rPr>
            </w:pPr>
            <w:r>
              <w:rPr>
                <w:color w:val="000000"/>
                <w:sz w:val="20"/>
                <w:szCs w:val="20"/>
              </w:rPr>
              <w:t>$</w:t>
            </w:r>
            <w:r w:rsidR="006939B1" w:rsidRPr="002304C3">
              <w:rPr>
                <w:color w:val="000000"/>
                <w:sz w:val="20"/>
                <w:szCs w:val="20"/>
              </w:rPr>
              <w:t xml:space="preserve">4,153 </w:t>
            </w:r>
          </w:p>
        </w:tc>
      </w:tr>
      <w:tr w:rsidR="006939B1" w14:paraId="10DBEB16" w14:textId="77777777" w:rsidTr="002304C3">
        <w:tc>
          <w:tcPr>
            <w:tcW w:w="1729" w:type="dxa"/>
            <w:vMerge w:val="restart"/>
            <w:shd w:val="clear" w:color="auto" w:fill="auto"/>
            <w:vAlign w:val="center"/>
          </w:tcPr>
          <w:p w14:paraId="692E1410" w14:textId="77777777" w:rsidR="006939B1" w:rsidRPr="0041348C" w:rsidRDefault="006939B1" w:rsidP="00C77F38">
            <w:pPr>
              <w:rPr>
                <w:sz w:val="20"/>
                <w:szCs w:val="20"/>
              </w:rPr>
            </w:pPr>
            <w:r w:rsidRPr="0041348C">
              <w:rPr>
                <w:sz w:val="20"/>
                <w:szCs w:val="20"/>
              </w:rPr>
              <w:t>Healthcare Workers</w:t>
            </w:r>
          </w:p>
        </w:tc>
        <w:tc>
          <w:tcPr>
            <w:tcW w:w="2116" w:type="dxa"/>
            <w:shd w:val="clear" w:color="auto" w:fill="auto"/>
            <w:vAlign w:val="center"/>
          </w:tcPr>
          <w:p w14:paraId="27C48959" w14:textId="77777777" w:rsidR="006939B1" w:rsidRPr="0041348C" w:rsidRDefault="006939B1" w:rsidP="00020E62">
            <w:pPr>
              <w:rPr>
                <w:sz w:val="20"/>
                <w:szCs w:val="20"/>
              </w:rPr>
            </w:pPr>
            <w:r w:rsidRPr="0041348C">
              <w:rPr>
                <w:sz w:val="20"/>
                <w:szCs w:val="20"/>
              </w:rPr>
              <w:t>EVD Tracking Form for Healthcare Workers with Direct Patient Contact</w:t>
            </w:r>
          </w:p>
        </w:tc>
        <w:tc>
          <w:tcPr>
            <w:tcW w:w="1656" w:type="dxa"/>
            <w:shd w:val="clear" w:color="auto" w:fill="auto"/>
            <w:vAlign w:val="center"/>
          </w:tcPr>
          <w:p w14:paraId="39D5E583" w14:textId="77777777" w:rsidR="006939B1" w:rsidRPr="0041348C" w:rsidRDefault="006939B1" w:rsidP="00C77F38">
            <w:pPr>
              <w:jc w:val="center"/>
              <w:rPr>
                <w:sz w:val="20"/>
                <w:szCs w:val="20"/>
              </w:rPr>
            </w:pPr>
            <w:r>
              <w:rPr>
                <w:sz w:val="20"/>
                <w:szCs w:val="20"/>
              </w:rPr>
              <w:t>750</w:t>
            </w:r>
          </w:p>
        </w:tc>
        <w:tc>
          <w:tcPr>
            <w:tcW w:w="1652" w:type="dxa"/>
            <w:shd w:val="clear" w:color="auto" w:fill="auto"/>
            <w:vAlign w:val="center"/>
          </w:tcPr>
          <w:p w14:paraId="5DD2A5AF" w14:textId="77777777" w:rsidR="006939B1" w:rsidRPr="0041348C" w:rsidRDefault="006939B1" w:rsidP="00C77F38">
            <w:pPr>
              <w:jc w:val="center"/>
              <w:rPr>
                <w:sz w:val="20"/>
                <w:szCs w:val="20"/>
              </w:rPr>
            </w:pPr>
            <w:r w:rsidRPr="0041348C">
              <w:rPr>
                <w:sz w:val="20"/>
                <w:szCs w:val="20"/>
              </w:rPr>
              <w:t>$35.93</w:t>
            </w:r>
          </w:p>
        </w:tc>
        <w:tc>
          <w:tcPr>
            <w:tcW w:w="1703" w:type="dxa"/>
            <w:shd w:val="clear" w:color="auto" w:fill="auto"/>
            <w:vAlign w:val="center"/>
          </w:tcPr>
          <w:p w14:paraId="752B1545" w14:textId="77777777" w:rsidR="006939B1" w:rsidRPr="002304C3" w:rsidRDefault="002304C3" w:rsidP="002304C3">
            <w:pPr>
              <w:jc w:val="center"/>
              <w:rPr>
                <w:sz w:val="20"/>
                <w:szCs w:val="20"/>
              </w:rPr>
            </w:pPr>
            <w:r>
              <w:rPr>
                <w:color w:val="000000"/>
                <w:sz w:val="20"/>
                <w:szCs w:val="20"/>
              </w:rPr>
              <w:t>$</w:t>
            </w:r>
            <w:r w:rsidR="006939B1" w:rsidRPr="002304C3">
              <w:rPr>
                <w:color w:val="000000"/>
                <w:sz w:val="20"/>
                <w:szCs w:val="20"/>
              </w:rPr>
              <w:t xml:space="preserve">26,948 </w:t>
            </w:r>
          </w:p>
        </w:tc>
      </w:tr>
      <w:tr w:rsidR="006939B1" w14:paraId="2D017EC8" w14:textId="77777777" w:rsidTr="002304C3">
        <w:tc>
          <w:tcPr>
            <w:tcW w:w="1729" w:type="dxa"/>
            <w:vMerge/>
            <w:shd w:val="clear" w:color="auto" w:fill="auto"/>
            <w:vAlign w:val="center"/>
          </w:tcPr>
          <w:p w14:paraId="5FD65793" w14:textId="77777777" w:rsidR="006939B1" w:rsidRPr="0041348C" w:rsidRDefault="006939B1" w:rsidP="00C77F38">
            <w:pPr>
              <w:rPr>
                <w:sz w:val="20"/>
                <w:szCs w:val="20"/>
              </w:rPr>
            </w:pPr>
          </w:p>
        </w:tc>
        <w:tc>
          <w:tcPr>
            <w:tcW w:w="2116" w:type="dxa"/>
            <w:shd w:val="clear" w:color="auto" w:fill="auto"/>
          </w:tcPr>
          <w:p w14:paraId="3CEA7F2A" w14:textId="77777777" w:rsidR="006939B1" w:rsidRPr="0041348C" w:rsidRDefault="000E7AFC" w:rsidP="00020E62">
            <w:pPr>
              <w:rPr>
                <w:sz w:val="20"/>
                <w:szCs w:val="20"/>
              </w:rPr>
            </w:pPr>
            <w:r w:rsidRPr="00B82EA3">
              <w:rPr>
                <w:sz w:val="20"/>
                <w:szCs w:val="20"/>
              </w:rPr>
              <w:t>Symptom Monitoring Form</w:t>
            </w:r>
          </w:p>
        </w:tc>
        <w:tc>
          <w:tcPr>
            <w:tcW w:w="1656" w:type="dxa"/>
            <w:shd w:val="clear" w:color="auto" w:fill="auto"/>
            <w:vAlign w:val="center"/>
          </w:tcPr>
          <w:p w14:paraId="0B1D4328" w14:textId="77777777" w:rsidR="006939B1" w:rsidRPr="0041348C" w:rsidRDefault="006939B1" w:rsidP="00C77F38">
            <w:pPr>
              <w:jc w:val="center"/>
              <w:rPr>
                <w:sz w:val="20"/>
                <w:szCs w:val="20"/>
              </w:rPr>
            </w:pPr>
            <w:r>
              <w:rPr>
                <w:sz w:val="20"/>
                <w:szCs w:val="20"/>
              </w:rPr>
              <w:t>1,050</w:t>
            </w:r>
          </w:p>
        </w:tc>
        <w:tc>
          <w:tcPr>
            <w:tcW w:w="1652" w:type="dxa"/>
            <w:shd w:val="clear" w:color="auto" w:fill="auto"/>
            <w:vAlign w:val="center"/>
          </w:tcPr>
          <w:p w14:paraId="7CA60149" w14:textId="77777777" w:rsidR="006939B1" w:rsidRPr="0041348C" w:rsidRDefault="006939B1" w:rsidP="00C77F38">
            <w:pPr>
              <w:jc w:val="center"/>
              <w:rPr>
                <w:sz w:val="20"/>
                <w:szCs w:val="20"/>
              </w:rPr>
            </w:pPr>
            <w:r w:rsidRPr="0041348C">
              <w:rPr>
                <w:sz w:val="20"/>
                <w:szCs w:val="20"/>
              </w:rPr>
              <w:t>$35.93</w:t>
            </w:r>
          </w:p>
        </w:tc>
        <w:tc>
          <w:tcPr>
            <w:tcW w:w="1703" w:type="dxa"/>
            <w:shd w:val="clear" w:color="auto" w:fill="auto"/>
            <w:vAlign w:val="center"/>
          </w:tcPr>
          <w:p w14:paraId="078C50B9" w14:textId="77777777" w:rsidR="006939B1" w:rsidRPr="002304C3" w:rsidRDefault="002304C3" w:rsidP="002304C3">
            <w:pPr>
              <w:jc w:val="center"/>
              <w:rPr>
                <w:sz w:val="20"/>
                <w:szCs w:val="20"/>
              </w:rPr>
            </w:pPr>
            <w:r>
              <w:rPr>
                <w:color w:val="000000"/>
                <w:sz w:val="20"/>
                <w:szCs w:val="20"/>
              </w:rPr>
              <w:t>$</w:t>
            </w:r>
            <w:r w:rsidR="006939B1" w:rsidRPr="002304C3">
              <w:rPr>
                <w:color w:val="000000"/>
                <w:sz w:val="20"/>
                <w:szCs w:val="20"/>
              </w:rPr>
              <w:t xml:space="preserve">37,727 </w:t>
            </w:r>
          </w:p>
        </w:tc>
      </w:tr>
      <w:tr w:rsidR="006939B1" w14:paraId="777669A8" w14:textId="77777777" w:rsidTr="002304C3">
        <w:tc>
          <w:tcPr>
            <w:tcW w:w="1729" w:type="dxa"/>
            <w:vMerge w:val="restart"/>
            <w:shd w:val="clear" w:color="auto" w:fill="auto"/>
            <w:vAlign w:val="center"/>
          </w:tcPr>
          <w:p w14:paraId="2D6993A0" w14:textId="77777777" w:rsidR="006939B1" w:rsidRPr="0041348C" w:rsidRDefault="006939B1" w:rsidP="00C77F38">
            <w:pPr>
              <w:rPr>
                <w:sz w:val="20"/>
                <w:szCs w:val="20"/>
              </w:rPr>
            </w:pPr>
            <w:r w:rsidRPr="0041348C">
              <w:rPr>
                <w:sz w:val="20"/>
                <w:szCs w:val="20"/>
              </w:rPr>
              <w:t>Laboratory Personnel</w:t>
            </w:r>
          </w:p>
        </w:tc>
        <w:tc>
          <w:tcPr>
            <w:tcW w:w="2116" w:type="dxa"/>
            <w:shd w:val="clear" w:color="auto" w:fill="auto"/>
          </w:tcPr>
          <w:p w14:paraId="46513A37" w14:textId="77777777" w:rsidR="006939B1" w:rsidRPr="0041348C" w:rsidRDefault="006939B1" w:rsidP="00020E62">
            <w:pPr>
              <w:rPr>
                <w:sz w:val="20"/>
                <w:szCs w:val="20"/>
              </w:rPr>
            </w:pPr>
            <w:r w:rsidRPr="0041348C">
              <w:rPr>
                <w:sz w:val="20"/>
                <w:szCs w:val="20"/>
              </w:rPr>
              <w:t>Ebola Tracking Form for Laboratory Personnel</w:t>
            </w:r>
          </w:p>
        </w:tc>
        <w:tc>
          <w:tcPr>
            <w:tcW w:w="1656" w:type="dxa"/>
            <w:shd w:val="clear" w:color="auto" w:fill="auto"/>
            <w:vAlign w:val="center"/>
          </w:tcPr>
          <w:p w14:paraId="353328B2" w14:textId="77777777" w:rsidR="006939B1" w:rsidRPr="0041348C" w:rsidRDefault="006939B1" w:rsidP="00C77F38">
            <w:pPr>
              <w:jc w:val="center"/>
              <w:rPr>
                <w:sz w:val="20"/>
                <w:szCs w:val="20"/>
              </w:rPr>
            </w:pPr>
            <w:r>
              <w:rPr>
                <w:sz w:val="20"/>
                <w:szCs w:val="20"/>
              </w:rPr>
              <w:t>750</w:t>
            </w:r>
          </w:p>
        </w:tc>
        <w:tc>
          <w:tcPr>
            <w:tcW w:w="1652" w:type="dxa"/>
            <w:shd w:val="clear" w:color="auto" w:fill="auto"/>
            <w:vAlign w:val="center"/>
          </w:tcPr>
          <w:p w14:paraId="06AD10E8" w14:textId="77777777" w:rsidR="006939B1" w:rsidRPr="0041348C" w:rsidRDefault="006939B1" w:rsidP="00C77F38">
            <w:pPr>
              <w:jc w:val="center"/>
              <w:rPr>
                <w:sz w:val="20"/>
                <w:szCs w:val="20"/>
              </w:rPr>
            </w:pPr>
            <w:r w:rsidRPr="0041348C">
              <w:rPr>
                <w:sz w:val="20"/>
                <w:szCs w:val="20"/>
              </w:rPr>
              <w:t>$28.59</w:t>
            </w:r>
          </w:p>
        </w:tc>
        <w:tc>
          <w:tcPr>
            <w:tcW w:w="1703" w:type="dxa"/>
            <w:shd w:val="clear" w:color="auto" w:fill="auto"/>
            <w:vAlign w:val="center"/>
          </w:tcPr>
          <w:p w14:paraId="386E3866" w14:textId="77777777" w:rsidR="006939B1" w:rsidRPr="002304C3" w:rsidRDefault="002304C3" w:rsidP="002304C3">
            <w:pPr>
              <w:jc w:val="center"/>
              <w:rPr>
                <w:sz w:val="20"/>
                <w:szCs w:val="20"/>
              </w:rPr>
            </w:pPr>
            <w:r>
              <w:rPr>
                <w:color w:val="000000"/>
                <w:sz w:val="20"/>
                <w:szCs w:val="20"/>
              </w:rPr>
              <w:t>$</w:t>
            </w:r>
            <w:r w:rsidR="006939B1" w:rsidRPr="002304C3">
              <w:rPr>
                <w:color w:val="000000"/>
                <w:sz w:val="20"/>
                <w:szCs w:val="20"/>
              </w:rPr>
              <w:t xml:space="preserve">21,443 </w:t>
            </w:r>
          </w:p>
        </w:tc>
      </w:tr>
      <w:tr w:rsidR="006939B1" w14:paraId="5A937515" w14:textId="77777777" w:rsidTr="002304C3">
        <w:tc>
          <w:tcPr>
            <w:tcW w:w="1729" w:type="dxa"/>
            <w:vMerge/>
            <w:shd w:val="clear" w:color="auto" w:fill="auto"/>
            <w:vAlign w:val="center"/>
          </w:tcPr>
          <w:p w14:paraId="14C0529C" w14:textId="77777777" w:rsidR="006939B1" w:rsidRPr="0041348C" w:rsidRDefault="006939B1" w:rsidP="00C77F38">
            <w:pPr>
              <w:rPr>
                <w:sz w:val="20"/>
                <w:szCs w:val="20"/>
              </w:rPr>
            </w:pPr>
          </w:p>
        </w:tc>
        <w:tc>
          <w:tcPr>
            <w:tcW w:w="2116" w:type="dxa"/>
            <w:shd w:val="clear" w:color="auto" w:fill="auto"/>
          </w:tcPr>
          <w:p w14:paraId="312DF8D3" w14:textId="77777777" w:rsidR="006939B1" w:rsidRPr="0041348C" w:rsidRDefault="000E7AFC" w:rsidP="00020E62">
            <w:pPr>
              <w:rPr>
                <w:sz w:val="20"/>
                <w:szCs w:val="20"/>
              </w:rPr>
            </w:pPr>
            <w:r w:rsidRPr="00B82EA3">
              <w:rPr>
                <w:sz w:val="20"/>
                <w:szCs w:val="20"/>
              </w:rPr>
              <w:t>Symptom Monitoring Form</w:t>
            </w:r>
          </w:p>
        </w:tc>
        <w:tc>
          <w:tcPr>
            <w:tcW w:w="1656" w:type="dxa"/>
            <w:shd w:val="clear" w:color="auto" w:fill="auto"/>
            <w:vAlign w:val="center"/>
          </w:tcPr>
          <w:p w14:paraId="4BAF7B70" w14:textId="77777777" w:rsidR="006939B1" w:rsidRPr="0041348C" w:rsidRDefault="006939B1" w:rsidP="00C77F38">
            <w:pPr>
              <w:jc w:val="center"/>
              <w:rPr>
                <w:sz w:val="20"/>
                <w:szCs w:val="20"/>
              </w:rPr>
            </w:pPr>
            <w:r>
              <w:rPr>
                <w:sz w:val="20"/>
                <w:szCs w:val="20"/>
              </w:rPr>
              <w:t>1,050</w:t>
            </w:r>
          </w:p>
        </w:tc>
        <w:tc>
          <w:tcPr>
            <w:tcW w:w="1652" w:type="dxa"/>
            <w:shd w:val="clear" w:color="auto" w:fill="auto"/>
            <w:vAlign w:val="center"/>
          </w:tcPr>
          <w:p w14:paraId="261F47CA" w14:textId="77777777" w:rsidR="006939B1" w:rsidRPr="0041348C" w:rsidRDefault="006939B1" w:rsidP="00C77F38">
            <w:pPr>
              <w:jc w:val="center"/>
              <w:rPr>
                <w:sz w:val="20"/>
                <w:szCs w:val="20"/>
              </w:rPr>
            </w:pPr>
            <w:r w:rsidRPr="0041348C">
              <w:rPr>
                <w:sz w:val="20"/>
                <w:szCs w:val="20"/>
              </w:rPr>
              <w:t>$28.59</w:t>
            </w:r>
          </w:p>
        </w:tc>
        <w:tc>
          <w:tcPr>
            <w:tcW w:w="1703" w:type="dxa"/>
            <w:shd w:val="clear" w:color="auto" w:fill="auto"/>
            <w:vAlign w:val="center"/>
          </w:tcPr>
          <w:p w14:paraId="1911CA88" w14:textId="77777777" w:rsidR="006939B1" w:rsidRPr="002304C3" w:rsidRDefault="002304C3" w:rsidP="002304C3">
            <w:pPr>
              <w:jc w:val="center"/>
              <w:rPr>
                <w:sz w:val="20"/>
                <w:szCs w:val="20"/>
              </w:rPr>
            </w:pPr>
            <w:r>
              <w:rPr>
                <w:color w:val="000000"/>
                <w:sz w:val="20"/>
                <w:szCs w:val="20"/>
              </w:rPr>
              <w:t>$</w:t>
            </w:r>
            <w:r w:rsidR="006939B1" w:rsidRPr="002304C3">
              <w:rPr>
                <w:color w:val="000000"/>
                <w:sz w:val="20"/>
                <w:szCs w:val="20"/>
              </w:rPr>
              <w:t xml:space="preserve">30,020 </w:t>
            </w:r>
          </w:p>
        </w:tc>
      </w:tr>
      <w:tr w:rsidR="006939B1" w14:paraId="2649409C" w14:textId="77777777" w:rsidTr="002304C3">
        <w:tc>
          <w:tcPr>
            <w:tcW w:w="1729" w:type="dxa"/>
            <w:vMerge w:val="restart"/>
            <w:shd w:val="clear" w:color="auto" w:fill="auto"/>
            <w:vAlign w:val="center"/>
          </w:tcPr>
          <w:p w14:paraId="65FF90E0" w14:textId="77777777" w:rsidR="006939B1" w:rsidRPr="0041348C" w:rsidRDefault="006939B1" w:rsidP="00C77F38">
            <w:pPr>
              <w:rPr>
                <w:sz w:val="20"/>
                <w:szCs w:val="20"/>
              </w:rPr>
            </w:pPr>
            <w:r w:rsidRPr="0041348C">
              <w:rPr>
                <w:sz w:val="20"/>
                <w:szCs w:val="20"/>
              </w:rPr>
              <w:t>Environmental Services Personnel</w:t>
            </w:r>
          </w:p>
        </w:tc>
        <w:tc>
          <w:tcPr>
            <w:tcW w:w="2116" w:type="dxa"/>
            <w:shd w:val="clear" w:color="auto" w:fill="auto"/>
          </w:tcPr>
          <w:p w14:paraId="1865D0F2" w14:textId="77777777" w:rsidR="006939B1" w:rsidRPr="0041348C" w:rsidRDefault="006939B1" w:rsidP="00020E62">
            <w:pPr>
              <w:rPr>
                <w:sz w:val="20"/>
                <w:szCs w:val="20"/>
              </w:rPr>
            </w:pPr>
            <w:r w:rsidRPr="0041348C">
              <w:rPr>
                <w:sz w:val="20"/>
                <w:szCs w:val="20"/>
              </w:rPr>
              <w:t>Ebola Tracking Form for Environmental Services Personnel</w:t>
            </w:r>
          </w:p>
        </w:tc>
        <w:tc>
          <w:tcPr>
            <w:tcW w:w="1656" w:type="dxa"/>
            <w:shd w:val="clear" w:color="auto" w:fill="auto"/>
            <w:vAlign w:val="center"/>
          </w:tcPr>
          <w:p w14:paraId="150D9927" w14:textId="77777777" w:rsidR="006939B1" w:rsidRPr="0041348C" w:rsidRDefault="006939B1" w:rsidP="00C77F38">
            <w:pPr>
              <w:jc w:val="center"/>
              <w:rPr>
                <w:sz w:val="20"/>
                <w:szCs w:val="20"/>
              </w:rPr>
            </w:pPr>
            <w:r>
              <w:rPr>
                <w:sz w:val="20"/>
                <w:szCs w:val="20"/>
              </w:rPr>
              <w:t>750</w:t>
            </w:r>
          </w:p>
        </w:tc>
        <w:tc>
          <w:tcPr>
            <w:tcW w:w="1652" w:type="dxa"/>
            <w:shd w:val="clear" w:color="auto" w:fill="auto"/>
            <w:vAlign w:val="center"/>
          </w:tcPr>
          <w:p w14:paraId="45B91A5A" w14:textId="77777777" w:rsidR="006939B1" w:rsidRPr="0041348C" w:rsidRDefault="006939B1" w:rsidP="00C77F38">
            <w:pPr>
              <w:jc w:val="center"/>
              <w:rPr>
                <w:sz w:val="20"/>
                <w:szCs w:val="20"/>
              </w:rPr>
            </w:pPr>
            <w:r w:rsidRPr="0041348C">
              <w:rPr>
                <w:sz w:val="20"/>
                <w:szCs w:val="20"/>
              </w:rPr>
              <w:t>$21.86</w:t>
            </w:r>
          </w:p>
        </w:tc>
        <w:tc>
          <w:tcPr>
            <w:tcW w:w="1703" w:type="dxa"/>
            <w:shd w:val="clear" w:color="auto" w:fill="auto"/>
            <w:vAlign w:val="center"/>
          </w:tcPr>
          <w:p w14:paraId="6934B679" w14:textId="77777777" w:rsidR="006939B1" w:rsidRPr="002304C3" w:rsidRDefault="002304C3" w:rsidP="002304C3">
            <w:pPr>
              <w:jc w:val="center"/>
              <w:rPr>
                <w:sz w:val="20"/>
                <w:szCs w:val="20"/>
              </w:rPr>
            </w:pPr>
            <w:r>
              <w:rPr>
                <w:color w:val="000000"/>
                <w:sz w:val="20"/>
                <w:szCs w:val="20"/>
              </w:rPr>
              <w:t>$</w:t>
            </w:r>
            <w:r w:rsidR="006939B1" w:rsidRPr="002304C3">
              <w:rPr>
                <w:color w:val="000000"/>
                <w:sz w:val="20"/>
                <w:szCs w:val="20"/>
              </w:rPr>
              <w:t xml:space="preserve">16,395 </w:t>
            </w:r>
          </w:p>
        </w:tc>
      </w:tr>
      <w:tr w:rsidR="006939B1" w14:paraId="50E51D2D" w14:textId="77777777" w:rsidTr="002304C3">
        <w:tc>
          <w:tcPr>
            <w:tcW w:w="1729" w:type="dxa"/>
            <w:vMerge/>
            <w:shd w:val="clear" w:color="auto" w:fill="auto"/>
            <w:vAlign w:val="center"/>
          </w:tcPr>
          <w:p w14:paraId="634075CA" w14:textId="77777777" w:rsidR="006939B1" w:rsidRPr="0041348C" w:rsidRDefault="006939B1" w:rsidP="00C77F38">
            <w:pPr>
              <w:rPr>
                <w:sz w:val="20"/>
                <w:szCs w:val="20"/>
              </w:rPr>
            </w:pPr>
          </w:p>
        </w:tc>
        <w:tc>
          <w:tcPr>
            <w:tcW w:w="2116" w:type="dxa"/>
            <w:shd w:val="clear" w:color="auto" w:fill="auto"/>
          </w:tcPr>
          <w:p w14:paraId="3AF3AD69" w14:textId="77777777" w:rsidR="006939B1" w:rsidRPr="0041348C" w:rsidRDefault="000E7AFC" w:rsidP="00020E62">
            <w:pPr>
              <w:rPr>
                <w:sz w:val="20"/>
                <w:szCs w:val="20"/>
              </w:rPr>
            </w:pPr>
            <w:r w:rsidRPr="00B82EA3">
              <w:rPr>
                <w:sz w:val="20"/>
                <w:szCs w:val="20"/>
              </w:rPr>
              <w:t xml:space="preserve">Symptom Monitoring </w:t>
            </w:r>
            <w:r w:rsidRPr="00B82EA3">
              <w:rPr>
                <w:sz w:val="20"/>
                <w:szCs w:val="20"/>
              </w:rPr>
              <w:lastRenderedPageBreak/>
              <w:t>Form</w:t>
            </w:r>
          </w:p>
        </w:tc>
        <w:tc>
          <w:tcPr>
            <w:tcW w:w="1656" w:type="dxa"/>
            <w:shd w:val="clear" w:color="auto" w:fill="auto"/>
            <w:vAlign w:val="center"/>
          </w:tcPr>
          <w:p w14:paraId="3150659E" w14:textId="77777777" w:rsidR="006939B1" w:rsidRPr="0041348C" w:rsidRDefault="006939B1" w:rsidP="00C77F38">
            <w:pPr>
              <w:jc w:val="center"/>
              <w:rPr>
                <w:sz w:val="20"/>
                <w:szCs w:val="20"/>
              </w:rPr>
            </w:pPr>
            <w:r>
              <w:rPr>
                <w:sz w:val="20"/>
                <w:szCs w:val="20"/>
              </w:rPr>
              <w:lastRenderedPageBreak/>
              <w:t>1,050</w:t>
            </w:r>
          </w:p>
        </w:tc>
        <w:tc>
          <w:tcPr>
            <w:tcW w:w="1652" w:type="dxa"/>
            <w:shd w:val="clear" w:color="auto" w:fill="auto"/>
            <w:vAlign w:val="center"/>
          </w:tcPr>
          <w:p w14:paraId="74573B62" w14:textId="77777777" w:rsidR="006939B1" w:rsidRPr="0041348C" w:rsidRDefault="006939B1" w:rsidP="00C77F38">
            <w:pPr>
              <w:jc w:val="center"/>
              <w:rPr>
                <w:sz w:val="20"/>
                <w:szCs w:val="20"/>
              </w:rPr>
            </w:pPr>
            <w:r w:rsidRPr="0041348C">
              <w:rPr>
                <w:sz w:val="20"/>
                <w:szCs w:val="20"/>
              </w:rPr>
              <w:t>$21.86</w:t>
            </w:r>
          </w:p>
        </w:tc>
        <w:tc>
          <w:tcPr>
            <w:tcW w:w="1703" w:type="dxa"/>
            <w:shd w:val="clear" w:color="auto" w:fill="auto"/>
            <w:vAlign w:val="center"/>
          </w:tcPr>
          <w:p w14:paraId="518E0866" w14:textId="77777777" w:rsidR="006939B1" w:rsidRPr="002304C3" w:rsidRDefault="002304C3" w:rsidP="002304C3">
            <w:pPr>
              <w:jc w:val="center"/>
              <w:rPr>
                <w:sz w:val="20"/>
                <w:szCs w:val="20"/>
              </w:rPr>
            </w:pPr>
            <w:r>
              <w:rPr>
                <w:color w:val="000000"/>
                <w:sz w:val="20"/>
                <w:szCs w:val="20"/>
              </w:rPr>
              <w:t>$</w:t>
            </w:r>
            <w:r w:rsidR="006939B1" w:rsidRPr="002304C3">
              <w:rPr>
                <w:color w:val="000000"/>
                <w:sz w:val="20"/>
                <w:szCs w:val="20"/>
              </w:rPr>
              <w:t xml:space="preserve">22,953 </w:t>
            </w:r>
          </w:p>
        </w:tc>
      </w:tr>
      <w:tr w:rsidR="006939B1" w14:paraId="3F053C99" w14:textId="77777777" w:rsidTr="002304C3">
        <w:trPr>
          <w:trHeight w:val="773"/>
        </w:trPr>
        <w:tc>
          <w:tcPr>
            <w:tcW w:w="1729" w:type="dxa"/>
            <w:shd w:val="clear" w:color="auto" w:fill="auto"/>
            <w:vAlign w:val="center"/>
          </w:tcPr>
          <w:p w14:paraId="009D2550" w14:textId="77777777" w:rsidR="006939B1" w:rsidRPr="0041348C" w:rsidRDefault="006939B1" w:rsidP="00FD1691">
            <w:pPr>
              <w:rPr>
                <w:sz w:val="20"/>
                <w:szCs w:val="20"/>
              </w:rPr>
            </w:pPr>
            <w:r w:rsidRPr="0041348C">
              <w:rPr>
                <w:sz w:val="20"/>
                <w:szCs w:val="20"/>
              </w:rPr>
              <w:lastRenderedPageBreak/>
              <w:t>State, Territorial, and Local Public Health Authorities and Their Delegates</w:t>
            </w:r>
          </w:p>
        </w:tc>
        <w:tc>
          <w:tcPr>
            <w:tcW w:w="2116" w:type="dxa"/>
            <w:shd w:val="clear" w:color="auto" w:fill="auto"/>
            <w:vAlign w:val="center"/>
          </w:tcPr>
          <w:p w14:paraId="27AD1900" w14:textId="77777777" w:rsidR="006939B1" w:rsidRPr="0041348C" w:rsidRDefault="001E41A6" w:rsidP="00020E62">
            <w:pPr>
              <w:rPr>
                <w:sz w:val="20"/>
                <w:szCs w:val="20"/>
              </w:rPr>
            </w:pPr>
            <w:r>
              <w:rPr>
                <w:sz w:val="20"/>
                <w:szCs w:val="20"/>
              </w:rPr>
              <w:t>White House Evening Report</w:t>
            </w:r>
          </w:p>
        </w:tc>
        <w:tc>
          <w:tcPr>
            <w:tcW w:w="1656" w:type="dxa"/>
            <w:shd w:val="clear" w:color="auto" w:fill="auto"/>
            <w:vAlign w:val="center"/>
          </w:tcPr>
          <w:p w14:paraId="36A4CB8D" w14:textId="77777777" w:rsidR="006939B1" w:rsidRPr="0041348C" w:rsidRDefault="006939B1" w:rsidP="00C77F38">
            <w:pPr>
              <w:jc w:val="center"/>
              <w:rPr>
                <w:sz w:val="20"/>
                <w:szCs w:val="20"/>
              </w:rPr>
            </w:pPr>
            <w:r>
              <w:rPr>
                <w:sz w:val="20"/>
                <w:szCs w:val="20"/>
              </w:rPr>
              <w:t>56</w:t>
            </w:r>
          </w:p>
        </w:tc>
        <w:tc>
          <w:tcPr>
            <w:tcW w:w="1652" w:type="dxa"/>
            <w:shd w:val="clear" w:color="auto" w:fill="auto"/>
            <w:vAlign w:val="center"/>
          </w:tcPr>
          <w:p w14:paraId="6B21A830" w14:textId="77777777" w:rsidR="006939B1" w:rsidRPr="0041348C" w:rsidRDefault="006939B1" w:rsidP="00C77F38">
            <w:pPr>
              <w:jc w:val="center"/>
              <w:rPr>
                <w:sz w:val="20"/>
                <w:szCs w:val="20"/>
              </w:rPr>
            </w:pPr>
            <w:r w:rsidRPr="0041348C">
              <w:rPr>
                <w:sz w:val="20"/>
                <w:szCs w:val="20"/>
              </w:rPr>
              <w:t>$48.72</w:t>
            </w:r>
          </w:p>
        </w:tc>
        <w:tc>
          <w:tcPr>
            <w:tcW w:w="1703" w:type="dxa"/>
            <w:shd w:val="clear" w:color="auto" w:fill="auto"/>
            <w:vAlign w:val="center"/>
          </w:tcPr>
          <w:p w14:paraId="053E385F" w14:textId="77777777" w:rsidR="006939B1" w:rsidRPr="002304C3" w:rsidRDefault="002304C3" w:rsidP="002304C3">
            <w:pPr>
              <w:jc w:val="center"/>
              <w:rPr>
                <w:sz w:val="20"/>
                <w:szCs w:val="20"/>
              </w:rPr>
            </w:pPr>
            <w:r>
              <w:rPr>
                <w:color w:val="000000"/>
                <w:sz w:val="20"/>
                <w:szCs w:val="20"/>
              </w:rPr>
              <w:t>$</w:t>
            </w:r>
            <w:r w:rsidR="006939B1" w:rsidRPr="002304C3">
              <w:rPr>
                <w:color w:val="000000"/>
                <w:sz w:val="20"/>
                <w:szCs w:val="20"/>
              </w:rPr>
              <w:t xml:space="preserve">2,728 </w:t>
            </w:r>
          </w:p>
        </w:tc>
      </w:tr>
      <w:tr w:rsidR="007D6FAB" w14:paraId="7A3AFF28" w14:textId="77777777" w:rsidTr="002304C3">
        <w:tc>
          <w:tcPr>
            <w:tcW w:w="1729" w:type="dxa"/>
            <w:shd w:val="clear" w:color="auto" w:fill="auto"/>
          </w:tcPr>
          <w:p w14:paraId="46F29A3D" w14:textId="77777777" w:rsidR="007D6FAB" w:rsidRPr="0041348C" w:rsidRDefault="007D6FAB" w:rsidP="005E73C1">
            <w:pPr>
              <w:jc w:val="right"/>
              <w:rPr>
                <w:b/>
                <w:sz w:val="20"/>
                <w:szCs w:val="20"/>
              </w:rPr>
            </w:pPr>
            <w:r w:rsidRPr="0041348C">
              <w:rPr>
                <w:b/>
                <w:sz w:val="20"/>
                <w:szCs w:val="20"/>
              </w:rPr>
              <w:t>Total</w:t>
            </w:r>
          </w:p>
        </w:tc>
        <w:tc>
          <w:tcPr>
            <w:tcW w:w="5424" w:type="dxa"/>
            <w:gridSpan w:val="3"/>
            <w:shd w:val="clear" w:color="auto" w:fill="auto"/>
          </w:tcPr>
          <w:p w14:paraId="6413FC23" w14:textId="77777777" w:rsidR="007D6FAB" w:rsidRPr="0041348C" w:rsidRDefault="007D6FAB" w:rsidP="00917B03">
            <w:pPr>
              <w:rPr>
                <w:sz w:val="20"/>
                <w:szCs w:val="20"/>
              </w:rPr>
            </w:pPr>
          </w:p>
        </w:tc>
        <w:tc>
          <w:tcPr>
            <w:tcW w:w="1703" w:type="dxa"/>
            <w:shd w:val="clear" w:color="auto" w:fill="auto"/>
            <w:vAlign w:val="center"/>
          </w:tcPr>
          <w:p w14:paraId="6DBCACB8" w14:textId="4A7D4A06" w:rsidR="007D6FAB" w:rsidRPr="002304C3" w:rsidRDefault="007D6FAB" w:rsidP="002304C3">
            <w:pPr>
              <w:jc w:val="center"/>
              <w:rPr>
                <w:color w:val="000000"/>
                <w:sz w:val="20"/>
                <w:szCs w:val="20"/>
              </w:rPr>
            </w:pPr>
            <w:r w:rsidRPr="002304C3">
              <w:rPr>
                <w:color w:val="000000"/>
                <w:sz w:val="20"/>
                <w:szCs w:val="20"/>
              </w:rPr>
              <w:t>$</w:t>
            </w:r>
            <w:r w:rsidR="002304C3" w:rsidRPr="002304C3">
              <w:rPr>
                <w:color w:val="000000"/>
                <w:sz w:val="20"/>
                <w:szCs w:val="20"/>
              </w:rPr>
              <w:t>163,21</w:t>
            </w:r>
            <w:r w:rsidR="00492920">
              <w:rPr>
                <w:color w:val="000000"/>
                <w:sz w:val="20"/>
                <w:szCs w:val="20"/>
              </w:rPr>
              <w:t>5</w:t>
            </w:r>
          </w:p>
        </w:tc>
      </w:tr>
    </w:tbl>
    <w:p w14:paraId="445BAC86" w14:textId="77777777" w:rsidR="00917B03" w:rsidRPr="005110A0" w:rsidRDefault="005110A0" w:rsidP="005110A0">
      <w:pPr>
        <w:outlineLvl w:val="1"/>
        <w:rPr>
          <w:kern w:val="36"/>
          <w:sz w:val="18"/>
          <w:szCs w:val="18"/>
        </w:rPr>
      </w:pPr>
      <w:r w:rsidRPr="00AD4AAA">
        <w:rPr>
          <w:kern w:val="36"/>
          <w:sz w:val="18"/>
          <w:szCs w:val="18"/>
        </w:rPr>
        <w:t xml:space="preserve">May 2013 National Occupational Employment and Wage Estimates: United States available December 1, 2014 at </w:t>
      </w:r>
      <w:r w:rsidRPr="00AD4AAA">
        <w:rPr>
          <w:sz w:val="18"/>
          <w:szCs w:val="18"/>
        </w:rPr>
        <w:t>http://www.bls.gov/oes/current/oes_nat.htm#00-0000.  Job Series 00-0000; 29-0000; 29-2011; 19-4091; 11-9111.</w:t>
      </w:r>
    </w:p>
    <w:p w14:paraId="6567C695" w14:textId="77777777" w:rsidR="00F018E6" w:rsidRDefault="00F018E6" w:rsidP="00D945C2">
      <w:pPr>
        <w:rPr>
          <w:b/>
        </w:rPr>
      </w:pPr>
    </w:p>
    <w:p w14:paraId="593A3238" w14:textId="77777777" w:rsidR="00F018E6" w:rsidRDefault="00F018E6" w:rsidP="00D945C2">
      <w:pPr>
        <w:rPr>
          <w:b/>
        </w:rPr>
      </w:pPr>
    </w:p>
    <w:p w14:paraId="28A5845C" w14:textId="77777777" w:rsidR="00F018E6" w:rsidRDefault="00F018E6" w:rsidP="00D945C2">
      <w:pPr>
        <w:rPr>
          <w:b/>
        </w:rPr>
      </w:pPr>
    </w:p>
    <w:p w14:paraId="2979CB5D" w14:textId="438DA8FD" w:rsidR="00C171F1" w:rsidRDefault="00C171F1" w:rsidP="00D945C2">
      <w:r>
        <w:rPr>
          <w:b/>
        </w:rPr>
        <w:t xml:space="preserve">13. Estimates of Other Total </w:t>
      </w:r>
      <w:r w:rsidR="00E156E3">
        <w:rPr>
          <w:b/>
        </w:rPr>
        <w:t>C</w:t>
      </w:r>
      <w:r>
        <w:rPr>
          <w:b/>
        </w:rPr>
        <w:t xml:space="preserve">ost </w:t>
      </w:r>
      <w:r w:rsidR="00E156E3">
        <w:rPr>
          <w:b/>
        </w:rPr>
        <w:t>B</w:t>
      </w:r>
      <w:r>
        <w:rPr>
          <w:b/>
        </w:rPr>
        <w:t>urden to Respondents or Record Keepers</w:t>
      </w:r>
    </w:p>
    <w:p w14:paraId="407B7285" w14:textId="77777777" w:rsidR="00C171F1" w:rsidRDefault="00C171F1" w:rsidP="00D945C2"/>
    <w:p w14:paraId="5AE539F2" w14:textId="77777777" w:rsidR="00C171F1" w:rsidRPr="00523EA5" w:rsidRDefault="00C171F1" w:rsidP="00C171F1">
      <w:pPr>
        <w:widowControl w:val="0"/>
      </w:pPr>
      <w:r w:rsidRPr="00523EA5">
        <w:t>There are no capital and maintenance costs incurred by respondents.</w:t>
      </w:r>
    </w:p>
    <w:p w14:paraId="26ECECC1" w14:textId="77777777" w:rsidR="00645E32" w:rsidRDefault="00645E32" w:rsidP="00D945C2">
      <w:pPr>
        <w:rPr>
          <w:b/>
        </w:rPr>
      </w:pPr>
    </w:p>
    <w:p w14:paraId="6A437AE8" w14:textId="2C98BF76" w:rsidR="00C171F1" w:rsidRDefault="00C171F1" w:rsidP="00D945C2">
      <w:r>
        <w:rPr>
          <w:b/>
        </w:rPr>
        <w:t>14. Cost to the Government</w:t>
      </w:r>
    </w:p>
    <w:p w14:paraId="39CF0B78" w14:textId="77777777" w:rsidR="00C171F1" w:rsidRDefault="00C171F1" w:rsidP="00D945C2"/>
    <w:p w14:paraId="56F7D7BB" w14:textId="25B522FE" w:rsidR="00C171F1" w:rsidRDefault="00C171F1" w:rsidP="00C171F1">
      <w:pPr>
        <w:widowControl w:val="0"/>
      </w:pPr>
      <w:r w:rsidRPr="00523EA5">
        <w:t xml:space="preserve">The cost to the federal government is </w:t>
      </w:r>
      <w:r w:rsidRPr="00E21DA5">
        <w:t>estimated at $</w:t>
      </w:r>
      <w:r w:rsidR="009444CB">
        <w:t>165,6</w:t>
      </w:r>
      <w:r w:rsidR="0047254F">
        <w:t>8</w:t>
      </w:r>
      <w:r w:rsidR="009444CB">
        <w:t>6</w:t>
      </w:r>
      <w:r w:rsidRPr="00E21DA5">
        <w:t>.  This estimate</w:t>
      </w:r>
      <w:r w:rsidRPr="00523EA5">
        <w:t xml:space="preserve"> </w:t>
      </w:r>
      <w:r>
        <w:t xml:space="preserve">represents the amount of time for the </w:t>
      </w:r>
      <w:r w:rsidR="001B6337">
        <w:t xml:space="preserve">CDC </w:t>
      </w:r>
      <w:r>
        <w:t xml:space="preserve">staff to complete the </w:t>
      </w:r>
      <w:r w:rsidR="001B6337">
        <w:t>information collections on behalf of the STL public health authorities</w:t>
      </w:r>
      <w:r w:rsidR="008A13CF">
        <w:t xml:space="preserve"> in the field</w:t>
      </w:r>
      <w:r>
        <w:t xml:space="preserve">, in addition to the </w:t>
      </w:r>
      <w:r w:rsidR="00843C28">
        <w:t>time spent managing the response in the EOC.</w:t>
      </w:r>
      <w:r w:rsidR="00865CF2">
        <w:t xml:space="preserve"> We presume that the CDC will conduct </w:t>
      </w:r>
      <w:r w:rsidR="00612B2A">
        <w:t xml:space="preserve">data collections among </w:t>
      </w:r>
      <w:r w:rsidR="009444CB">
        <w:t>2,072</w:t>
      </w:r>
      <w:r w:rsidR="00612B2A">
        <w:t xml:space="preserve"> respondents and </w:t>
      </w:r>
      <w:r w:rsidR="009444CB">
        <w:t>5,6</w:t>
      </w:r>
      <w:r w:rsidR="00492920">
        <w:t>80</w:t>
      </w:r>
      <w:r w:rsidR="00865CF2">
        <w:t xml:space="preserve"> burden hours over a given </w:t>
      </w:r>
      <w:r w:rsidR="009444CB">
        <w:t>180-day emergency approval period.</w:t>
      </w:r>
    </w:p>
    <w:p w14:paraId="7D1BF24D" w14:textId="77777777" w:rsidR="00C171F1" w:rsidRDefault="00C171F1" w:rsidP="00C171F1">
      <w:pPr>
        <w:widowControl w:val="0"/>
      </w:pPr>
    </w:p>
    <w:p w14:paraId="342B7E37" w14:textId="77777777" w:rsidR="00617AD8" w:rsidRDefault="00617AD8" w:rsidP="00C171F1">
      <w:pPr>
        <w:widowControl w:val="0"/>
      </w:pPr>
      <w:r>
        <w:t>Breakdown of costs:</w:t>
      </w:r>
    </w:p>
    <w:p w14:paraId="0395E2C5" w14:textId="77777777" w:rsidR="00617AD8" w:rsidRDefault="00617AD8" w:rsidP="00C171F1">
      <w:pPr>
        <w:widowControl w:val="0"/>
      </w:pPr>
    </w:p>
    <w:p w14:paraId="28294A6D" w14:textId="77777777" w:rsidR="00617AD8" w:rsidRPr="00617AD8" w:rsidRDefault="00617AD8" w:rsidP="00C171F1">
      <w:pPr>
        <w:widowControl w:val="0"/>
        <w:rPr>
          <w:u w:val="single"/>
        </w:rPr>
      </w:pPr>
      <w:r>
        <w:t xml:space="preserve">     </w:t>
      </w:r>
      <w:r w:rsidR="00D856AF">
        <w:rPr>
          <w:u w:val="single"/>
        </w:rPr>
        <w:t>Respondents</w:t>
      </w:r>
      <w:r>
        <w:rPr>
          <w:u w:val="single"/>
        </w:rPr>
        <w:t>:</w:t>
      </w:r>
    </w:p>
    <w:p w14:paraId="53190D8A" w14:textId="77777777" w:rsidR="00617AD8" w:rsidRDefault="00617AD8" w:rsidP="00C171F1">
      <w:pPr>
        <w:widowControl w:val="0"/>
      </w:pPr>
      <w:r>
        <w:tab/>
      </w:r>
      <w:r w:rsidR="00D856AF">
        <w:t>Respondents Interviewed</w:t>
      </w:r>
      <w:r>
        <w:t xml:space="preserve"> per year</w:t>
      </w:r>
      <w:r>
        <w:tab/>
      </w:r>
      <w:r w:rsidR="009444CB">
        <w:t>2,072</w:t>
      </w:r>
    </w:p>
    <w:p w14:paraId="03294E17" w14:textId="310C24DE" w:rsidR="00617AD8" w:rsidRDefault="00617AD8" w:rsidP="00C171F1">
      <w:pPr>
        <w:widowControl w:val="0"/>
      </w:pPr>
      <w:r>
        <w:tab/>
      </w:r>
      <w:r w:rsidR="00D856AF">
        <w:t>Staff Time</w:t>
      </w:r>
      <w:r w:rsidR="00D856AF">
        <w:tab/>
      </w:r>
      <w:r w:rsidR="00D856AF">
        <w:tab/>
      </w:r>
      <w:r>
        <w:tab/>
      </w:r>
      <w:r>
        <w:tab/>
      </w:r>
      <w:r w:rsidR="009444CB">
        <w:t>5,6</w:t>
      </w:r>
      <w:r w:rsidR="00492920">
        <w:t>80</w:t>
      </w:r>
      <w:r w:rsidR="001B5EBA">
        <w:t xml:space="preserve"> hours</w:t>
      </w:r>
    </w:p>
    <w:p w14:paraId="62A56B7F" w14:textId="77777777" w:rsidR="00617AD8" w:rsidRDefault="00617AD8" w:rsidP="00C171F1">
      <w:pPr>
        <w:widowControl w:val="0"/>
      </w:pPr>
      <w:r>
        <w:tab/>
      </w:r>
      <w:r w:rsidR="008342FB">
        <w:t xml:space="preserve">CDC </w:t>
      </w:r>
      <w:r w:rsidR="00384DD3">
        <w:t>GS-12 FTE</w:t>
      </w:r>
      <w:r w:rsidR="008342FB">
        <w:t xml:space="preserve"> </w:t>
      </w:r>
      <w:r>
        <w:t>Hourly rate</w:t>
      </w:r>
      <w:r>
        <w:tab/>
      </w:r>
      <w:r w:rsidR="00384DD3">
        <w:tab/>
      </w:r>
      <w:r>
        <w:t>$</w:t>
      </w:r>
      <w:r w:rsidR="001B5EBA">
        <w:t>29.17</w:t>
      </w:r>
    </w:p>
    <w:p w14:paraId="7F19C83E" w14:textId="39EF3423" w:rsidR="00617AD8" w:rsidRPr="00617AD8" w:rsidRDefault="00612B2A" w:rsidP="00C171F1">
      <w:pPr>
        <w:widowControl w:val="0"/>
      </w:pPr>
      <w:r>
        <w:t xml:space="preserve">     </w:t>
      </w:r>
      <w:r w:rsidR="00617AD8">
        <w:rPr>
          <w:u w:val="single"/>
        </w:rPr>
        <w:t xml:space="preserve">Total annual </w:t>
      </w:r>
      <w:r>
        <w:rPr>
          <w:u w:val="single"/>
        </w:rPr>
        <w:t xml:space="preserve">salary </w:t>
      </w:r>
      <w:r w:rsidR="00617AD8">
        <w:rPr>
          <w:u w:val="single"/>
        </w:rPr>
        <w:t>costs:</w:t>
      </w:r>
      <w:r w:rsidR="00617AD8">
        <w:tab/>
      </w:r>
      <w:r w:rsidR="00617AD8">
        <w:tab/>
      </w:r>
      <w:r w:rsidR="00617AD8">
        <w:tab/>
        <w:t>$</w:t>
      </w:r>
      <w:r w:rsidR="009444CB">
        <w:t>165,6</w:t>
      </w:r>
      <w:r w:rsidR="00A138C2">
        <w:t>8</w:t>
      </w:r>
      <w:r w:rsidR="009444CB">
        <w:t>6</w:t>
      </w:r>
    </w:p>
    <w:p w14:paraId="1B23F2F4" w14:textId="77777777" w:rsidR="00617AD8" w:rsidRDefault="00617AD8" w:rsidP="00C171F1">
      <w:pPr>
        <w:widowControl w:val="0"/>
      </w:pPr>
    </w:p>
    <w:p w14:paraId="4D2C3B01" w14:textId="77777777" w:rsidR="00617AD8" w:rsidRDefault="00617AD8" w:rsidP="00C171F1">
      <w:pPr>
        <w:widowControl w:val="0"/>
      </w:pPr>
    </w:p>
    <w:p w14:paraId="34E07054" w14:textId="77777777" w:rsidR="00C171F1" w:rsidRDefault="00C171F1" w:rsidP="00C171F1">
      <w:pPr>
        <w:widowControl w:val="0"/>
      </w:pPr>
      <w:r>
        <w:rPr>
          <w:b/>
        </w:rPr>
        <w:t>15. Explanation for Program Changes or Adjustments</w:t>
      </w:r>
    </w:p>
    <w:p w14:paraId="21420DA0" w14:textId="77777777" w:rsidR="00C171F1" w:rsidRDefault="00C171F1" w:rsidP="00C171F1">
      <w:pPr>
        <w:widowControl w:val="0"/>
      </w:pPr>
    </w:p>
    <w:p w14:paraId="7E11750F" w14:textId="77777777" w:rsidR="00E819EB" w:rsidRPr="00034430" w:rsidRDefault="00602A1E" w:rsidP="00E67671">
      <w:pPr>
        <w:widowControl w:val="0"/>
      </w:pPr>
      <w:r>
        <w:t>This is a</w:t>
      </w:r>
      <w:r w:rsidR="003F189C">
        <w:t>n emergency</w:t>
      </w:r>
      <w:r w:rsidR="00A3654D">
        <w:t xml:space="preserve"> information collection</w:t>
      </w:r>
      <w:r>
        <w:t xml:space="preserve"> request</w:t>
      </w:r>
      <w:r w:rsidR="00473D1E">
        <w:t>.</w:t>
      </w:r>
    </w:p>
    <w:p w14:paraId="5C39A2C2" w14:textId="77777777" w:rsidR="007F2311" w:rsidRDefault="007F2311" w:rsidP="00C171F1">
      <w:pPr>
        <w:widowControl w:val="0"/>
        <w:rPr>
          <w:b/>
        </w:rPr>
      </w:pPr>
    </w:p>
    <w:p w14:paraId="2A25E3B0" w14:textId="77777777" w:rsidR="00C171F1" w:rsidRDefault="00C171F1" w:rsidP="00C171F1">
      <w:pPr>
        <w:widowControl w:val="0"/>
      </w:pPr>
      <w:r>
        <w:rPr>
          <w:b/>
        </w:rPr>
        <w:t>16. Plans for Tabulation and Publication and Project Time Schedule</w:t>
      </w:r>
    </w:p>
    <w:p w14:paraId="0A9CB068" w14:textId="77777777" w:rsidR="00C171F1" w:rsidRDefault="00C171F1" w:rsidP="00C171F1">
      <w:pPr>
        <w:widowControl w:val="0"/>
      </w:pPr>
    </w:p>
    <w:p w14:paraId="3828349D" w14:textId="77777777" w:rsidR="00C171F1" w:rsidRDefault="00E27850" w:rsidP="00C171F1">
      <w:pPr>
        <w:tabs>
          <w:tab w:val="left" w:pos="720"/>
        </w:tabs>
      </w:pPr>
      <w:r>
        <w:t>Over the course of a year, t</w:t>
      </w:r>
      <w:r w:rsidR="00C171F1" w:rsidRPr="00523EA5">
        <w:t xml:space="preserve">hese </w:t>
      </w:r>
      <w:r>
        <w:t>will be</w:t>
      </w:r>
      <w:r w:rsidR="00C171F1" w:rsidRPr="00523EA5">
        <w:t xml:space="preserve"> recurring data collections, the time schedules for which are determined by the frequency that traveler</w:t>
      </w:r>
      <w:r w:rsidR="00E156E3">
        <w:t>s</w:t>
      </w:r>
      <w:r w:rsidR="003F189C">
        <w:t xml:space="preserve"> in applicable Ebola risk categories</w:t>
      </w:r>
      <w:r w:rsidR="00C171F1" w:rsidRPr="00523EA5">
        <w:t xml:space="preserve"> </w:t>
      </w:r>
      <w:r w:rsidR="00C171F1">
        <w:t xml:space="preserve">or death </w:t>
      </w:r>
      <w:r w:rsidR="00C171F1" w:rsidRPr="00523EA5">
        <w:t>report</w:t>
      </w:r>
      <w:r w:rsidR="00E156E3">
        <w:t>s</w:t>
      </w:r>
      <w:r w:rsidR="00C171F1" w:rsidRPr="00523EA5">
        <w:t xml:space="preserve"> from conveyance</w:t>
      </w:r>
      <w:r w:rsidR="00E156E3">
        <w:t>s</w:t>
      </w:r>
      <w:r w:rsidR="00C171F1" w:rsidRPr="00523EA5">
        <w:t xml:space="preserve"> </w:t>
      </w:r>
      <w:r w:rsidR="00C171F1">
        <w:t>or at land border crossing</w:t>
      </w:r>
      <w:r w:rsidR="00E156E3">
        <w:t>s</w:t>
      </w:r>
      <w:r w:rsidR="00C171F1">
        <w:t xml:space="preserve"> </w:t>
      </w:r>
      <w:r w:rsidR="00E156E3">
        <w:t>are</w:t>
      </w:r>
      <w:r w:rsidR="00E156E3" w:rsidRPr="00523EA5">
        <w:t xml:space="preserve"> </w:t>
      </w:r>
      <w:r w:rsidR="00C171F1" w:rsidRPr="00523EA5">
        <w:t xml:space="preserve">received by </w:t>
      </w:r>
      <w:r w:rsidR="00C171F1">
        <w:t>Q</w:t>
      </w:r>
      <w:r w:rsidR="00C171F1" w:rsidRPr="00523EA5">
        <w:t xml:space="preserve">uarantine </w:t>
      </w:r>
      <w:r w:rsidR="00C171F1">
        <w:t>S</w:t>
      </w:r>
      <w:r w:rsidR="00C171F1" w:rsidRPr="00523EA5">
        <w:t>tation</w:t>
      </w:r>
      <w:r w:rsidR="00E156E3">
        <w:t>s at ports of entry</w:t>
      </w:r>
      <w:r w:rsidR="00C171F1" w:rsidRPr="00523EA5">
        <w:t xml:space="preserve">. </w:t>
      </w:r>
      <w:r w:rsidR="00C171F1">
        <w:t xml:space="preserve"> </w:t>
      </w:r>
      <w:r w:rsidR="007A295C">
        <w:t xml:space="preserve">In addition, these arriving travelers may become cases that later come in contact with others locally, who in turn will also require contact investigation. </w:t>
      </w:r>
      <w:r>
        <w:t>While the CDC EOC is activated, it is anticipated that daily r</w:t>
      </w:r>
      <w:r w:rsidR="00440530">
        <w:t xml:space="preserve">eports </w:t>
      </w:r>
      <w:r>
        <w:t>will be generated for situational awareness</w:t>
      </w:r>
      <w:r w:rsidR="00C171F1">
        <w:t xml:space="preserve">.  In addition, </w:t>
      </w:r>
      <w:r w:rsidR="00F76418">
        <w:t>NCEZID</w:t>
      </w:r>
      <w:r w:rsidR="00440530">
        <w:t xml:space="preserve"> </w:t>
      </w:r>
      <w:r w:rsidR="00C171F1">
        <w:t>plan</w:t>
      </w:r>
      <w:r w:rsidR="00440530">
        <w:t>s</w:t>
      </w:r>
      <w:r w:rsidR="00C171F1">
        <w:t xml:space="preserve"> to use the </w:t>
      </w:r>
      <w:r w:rsidR="00440530">
        <w:t xml:space="preserve">de-identified, aggregated </w:t>
      </w:r>
      <w:r w:rsidR="00C171F1">
        <w:t xml:space="preserve">data, to provide partners and other stakeholders information about CDC’s </w:t>
      </w:r>
      <w:r w:rsidR="00F76418">
        <w:lastRenderedPageBreak/>
        <w:t>EVD</w:t>
      </w:r>
      <w:r w:rsidR="00C171F1">
        <w:t xml:space="preserve"> response activities and to evaluate and improve CDC’s </w:t>
      </w:r>
      <w:r w:rsidR="003F189C">
        <w:t xml:space="preserve">EVD screening and monitoring </w:t>
      </w:r>
      <w:r w:rsidR="00C171F1">
        <w:t>activities at ports of entry</w:t>
      </w:r>
      <w:r w:rsidR="003F189C">
        <w:t xml:space="preserve"> and in its notification process to the STL public health authorities.</w:t>
      </w:r>
    </w:p>
    <w:p w14:paraId="797732AA" w14:textId="77777777" w:rsidR="00C171F1" w:rsidRDefault="00C171F1" w:rsidP="00C171F1">
      <w:pPr>
        <w:widowControl w:val="0"/>
      </w:pPr>
    </w:p>
    <w:p w14:paraId="6CDF9678" w14:textId="77777777" w:rsidR="00C171F1" w:rsidRPr="007966C9" w:rsidRDefault="00C171F1" w:rsidP="00C171F1">
      <w:pPr>
        <w:widowControl w:val="0"/>
      </w:pPr>
      <w:r w:rsidRPr="007966C9">
        <w:rPr>
          <w:b/>
        </w:rPr>
        <w:t>17. Reason(s) Display of OMB Expiration Date is Inappropriate</w:t>
      </w:r>
    </w:p>
    <w:p w14:paraId="589C7D64" w14:textId="77777777" w:rsidR="00C171F1" w:rsidRPr="00473D1E" w:rsidRDefault="00C171F1" w:rsidP="00C171F1">
      <w:pPr>
        <w:widowControl w:val="0"/>
      </w:pPr>
    </w:p>
    <w:p w14:paraId="068352A7" w14:textId="77777777" w:rsidR="007966C9" w:rsidRPr="007966C9" w:rsidRDefault="00374D80" w:rsidP="00C171F1">
      <w:pPr>
        <w:widowControl w:val="0"/>
      </w:pPr>
      <w:r w:rsidRPr="007966C9">
        <w:t>The display of t</w:t>
      </w:r>
      <w:r w:rsidR="00C80B7B">
        <w:t xml:space="preserve">he OMB expiration date is </w:t>
      </w:r>
      <w:r w:rsidRPr="007966C9">
        <w:t>appropriate</w:t>
      </w:r>
      <w:r w:rsidR="007966C9">
        <w:t>.</w:t>
      </w:r>
      <w:r w:rsidRPr="007966C9">
        <w:t xml:space="preserve"> </w:t>
      </w:r>
    </w:p>
    <w:p w14:paraId="770684AA" w14:textId="77777777" w:rsidR="00C171F1" w:rsidRPr="007966C9" w:rsidRDefault="00C171F1" w:rsidP="00C171F1">
      <w:pPr>
        <w:widowControl w:val="0"/>
      </w:pPr>
    </w:p>
    <w:p w14:paraId="70D3741E" w14:textId="77777777" w:rsidR="00F018E6" w:rsidRDefault="00F018E6" w:rsidP="00C171F1">
      <w:pPr>
        <w:widowControl w:val="0"/>
        <w:rPr>
          <w:b/>
        </w:rPr>
      </w:pPr>
    </w:p>
    <w:p w14:paraId="7B1A93AA" w14:textId="77777777" w:rsidR="00F018E6" w:rsidRDefault="00F018E6" w:rsidP="00C171F1">
      <w:pPr>
        <w:widowControl w:val="0"/>
        <w:rPr>
          <w:b/>
        </w:rPr>
      </w:pPr>
    </w:p>
    <w:p w14:paraId="501C7035" w14:textId="77777777" w:rsidR="00503BD1" w:rsidRDefault="00503BD1" w:rsidP="00C171F1">
      <w:pPr>
        <w:widowControl w:val="0"/>
      </w:pPr>
      <w:r>
        <w:rPr>
          <w:b/>
        </w:rPr>
        <w:t>18. Exceptions to Certification for Paperwork Reduction Act Submissions</w:t>
      </w:r>
    </w:p>
    <w:p w14:paraId="6E09843B" w14:textId="77777777" w:rsidR="00503BD1" w:rsidRDefault="00503BD1" w:rsidP="00C171F1">
      <w:pPr>
        <w:widowControl w:val="0"/>
      </w:pPr>
    </w:p>
    <w:p w14:paraId="7E22C99C" w14:textId="77777777" w:rsidR="00503BD1" w:rsidRDefault="0099722B" w:rsidP="00C171F1">
      <w:pPr>
        <w:widowControl w:val="0"/>
      </w:pPr>
      <w:r>
        <w:t>There are no exceptions to the certification.</w:t>
      </w:r>
    </w:p>
    <w:p w14:paraId="179D6162" w14:textId="77777777" w:rsidR="00F9515E" w:rsidRDefault="00F9515E" w:rsidP="00336F8A">
      <w:pPr>
        <w:widowControl w:val="0"/>
      </w:pPr>
    </w:p>
    <w:p w14:paraId="0BAD9BE3" w14:textId="77777777" w:rsidR="00F9515E" w:rsidRDefault="00F9515E" w:rsidP="00336F8A">
      <w:pPr>
        <w:widowControl w:val="0"/>
        <w:rPr>
          <w:b/>
        </w:rPr>
      </w:pPr>
      <w:r>
        <w:rPr>
          <w:b/>
        </w:rPr>
        <w:br w:type="page"/>
      </w:r>
      <w:r>
        <w:rPr>
          <w:b/>
        </w:rPr>
        <w:lastRenderedPageBreak/>
        <w:t>References</w:t>
      </w:r>
    </w:p>
    <w:p w14:paraId="1E41F82F" w14:textId="77777777" w:rsidR="00F9515E" w:rsidRDefault="00F9515E" w:rsidP="00336F8A">
      <w:pPr>
        <w:widowControl w:val="0"/>
        <w:rPr>
          <w:b/>
        </w:rPr>
      </w:pPr>
    </w:p>
    <w:p w14:paraId="63DAD6B3" w14:textId="77777777" w:rsidR="00F9515E" w:rsidRPr="00F9515E" w:rsidRDefault="00F9515E" w:rsidP="00F9515E">
      <w:pPr>
        <w:numPr>
          <w:ilvl w:val="0"/>
          <w:numId w:val="7"/>
        </w:numPr>
        <w:spacing w:before="100" w:beforeAutospacing="1" w:after="100" w:afterAutospacing="1"/>
        <w:rPr>
          <w:lang w:val="en"/>
        </w:rPr>
      </w:pPr>
      <w:r>
        <w:rPr>
          <w:lang w:val="en"/>
        </w:rPr>
        <w:t xml:space="preserve">Baize S, </w:t>
      </w:r>
      <w:proofErr w:type="spellStart"/>
      <w:r>
        <w:rPr>
          <w:lang w:val="en"/>
        </w:rPr>
        <w:t>Pannetier</w:t>
      </w:r>
      <w:proofErr w:type="spellEnd"/>
      <w:r>
        <w:rPr>
          <w:lang w:val="en"/>
        </w:rPr>
        <w:t xml:space="preserve"> D, </w:t>
      </w:r>
      <w:proofErr w:type="spellStart"/>
      <w:r>
        <w:rPr>
          <w:lang w:val="en"/>
        </w:rPr>
        <w:t>Oestereich</w:t>
      </w:r>
      <w:proofErr w:type="spellEnd"/>
      <w:r>
        <w:rPr>
          <w:lang w:val="en"/>
        </w:rPr>
        <w:t xml:space="preserve"> L, et al. Emergence of Zaire Ebola virus disease in Guinea. N </w:t>
      </w:r>
      <w:proofErr w:type="spellStart"/>
      <w:r>
        <w:rPr>
          <w:lang w:val="en"/>
        </w:rPr>
        <w:t>Engl</w:t>
      </w:r>
      <w:proofErr w:type="spellEnd"/>
      <w:r>
        <w:rPr>
          <w:lang w:val="en"/>
        </w:rPr>
        <w:t xml:space="preserve"> J Med 2014;371:1418–25.</w:t>
      </w:r>
    </w:p>
    <w:p w14:paraId="5D6B70A2" w14:textId="77777777" w:rsidR="00F9515E" w:rsidRDefault="00F9515E" w:rsidP="00F9515E">
      <w:pPr>
        <w:numPr>
          <w:ilvl w:val="0"/>
          <w:numId w:val="7"/>
        </w:numPr>
        <w:spacing w:before="100" w:beforeAutospacing="1" w:after="100" w:afterAutospacing="1"/>
        <w:rPr>
          <w:lang w:val="en"/>
        </w:rPr>
      </w:pPr>
      <w:r>
        <w:rPr>
          <w:lang w:val="en"/>
        </w:rPr>
        <w:t xml:space="preserve">CDC. Ebola (Ebola virus disease). Ebola outbreak in West Africa 2014. Atlanta, GA: US Department of Health and Human Services, CDC; 2014. Available at </w:t>
      </w:r>
      <w:hyperlink r:id="rId10" w:history="1">
        <w:r>
          <w:rPr>
            <w:rStyle w:val="Hyperlink"/>
            <w:lang w:val="en"/>
          </w:rPr>
          <w:t>http://www.cdc.gov/vhf/E</w:t>
        </w:r>
        <w:bookmarkStart w:id="30" w:name="_Hlt405307939"/>
        <w:bookmarkStart w:id="31" w:name="_Hlt405307940"/>
        <w:r>
          <w:rPr>
            <w:rStyle w:val="Hyperlink"/>
            <w:lang w:val="en"/>
          </w:rPr>
          <w:t>b</w:t>
        </w:r>
        <w:bookmarkEnd w:id="30"/>
        <w:bookmarkEnd w:id="31"/>
        <w:r>
          <w:rPr>
            <w:rStyle w:val="Hyperlink"/>
            <w:lang w:val="en"/>
          </w:rPr>
          <w:t>ola/outbreaks/2014-west-africa/index.html</w:t>
        </w:r>
      </w:hyperlink>
      <w:r>
        <w:rPr>
          <w:lang w:val="en"/>
        </w:rPr>
        <w:t>.</w:t>
      </w:r>
    </w:p>
    <w:p w14:paraId="7DCCEE5C" w14:textId="77777777" w:rsidR="00C56D64" w:rsidRPr="00C56D64" w:rsidRDefault="00CC0875" w:rsidP="00CC0875">
      <w:pPr>
        <w:numPr>
          <w:ilvl w:val="0"/>
          <w:numId w:val="7"/>
        </w:numPr>
        <w:spacing w:before="100" w:beforeAutospacing="1" w:after="100" w:afterAutospacing="1"/>
        <w:rPr>
          <w:lang w:val="en"/>
        </w:rPr>
      </w:pPr>
      <w:proofErr w:type="spellStart"/>
      <w:r w:rsidRPr="00CC0875">
        <w:rPr>
          <w:lang w:val="en"/>
        </w:rPr>
        <w:t>Chervalier</w:t>
      </w:r>
      <w:proofErr w:type="spellEnd"/>
      <w:r w:rsidRPr="00CC0875">
        <w:rPr>
          <w:lang w:val="en"/>
        </w:rPr>
        <w:t xml:space="preserve"> MS, Chung W, Smith J, et al. Ebola virus disease cluster in the United States—Dallas County, Texas, 2014. MMWR </w:t>
      </w:r>
      <w:proofErr w:type="spellStart"/>
      <w:r w:rsidRPr="00CC0875">
        <w:rPr>
          <w:lang w:val="en"/>
        </w:rPr>
        <w:t>Morb</w:t>
      </w:r>
      <w:proofErr w:type="spellEnd"/>
      <w:r w:rsidRPr="00CC0875">
        <w:rPr>
          <w:lang w:val="en"/>
        </w:rPr>
        <w:t xml:space="preserve"> Mortal </w:t>
      </w:r>
      <w:proofErr w:type="spellStart"/>
      <w:r w:rsidRPr="00CC0875">
        <w:rPr>
          <w:lang w:val="en"/>
        </w:rPr>
        <w:t>Wkly</w:t>
      </w:r>
      <w:proofErr w:type="spellEnd"/>
      <w:r w:rsidRPr="00CC0875">
        <w:rPr>
          <w:lang w:val="en"/>
        </w:rPr>
        <w:t xml:space="preserve"> Rep 2014;63.</w:t>
      </w:r>
      <w:r>
        <w:rPr>
          <w:lang w:val="en"/>
        </w:rPr>
        <w:t xml:space="preserve"> Available December 3, 2014 at </w:t>
      </w:r>
      <w:hyperlink r:id="rId11" w:history="1">
        <w:r w:rsidRPr="00183D10">
          <w:rPr>
            <w:rStyle w:val="Hyperlink"/>
            <w:lang w:val="en"/>
          </w:rPr>
          <w:t>http://www.cdc.gov/mmwr/preview/mmwrhtml/mm6346a11.htm</w:t>
        </w:r>
      </w:hyperlink>
      <w:r>
        <w:rPr>
          <w:lang w:val="en"/>
        </w:rPr>
        <w:t xml:space="preserve">. </w:t>
      </w:r>
    </w:p>
    <w:p w14:paraId="39E134C3" w14:textId="77777777" w:rsidR="00025A88" w:rsidRPr="00973E72" w:rsidRDefault="00CC0875" w:rsidP="00D3743E">
      <w:pPr>
        <w:numPr>
          <w:ilvl w:val="0"/>
          <w:numId w:val="7"/>
        </w:numPr>
        <w:spacing w:before="100" w:beforeAutospacing="1" w:after="100" w:afterAutospacing="1"/>
        <w:rPr>
          <w:rStyle w:val="Strong"/>
          <w:b w:val="0"/>
          <w:bCs w:val="0"/>
          <w:lang w:val="en"/>
        </w:rPr>
      </w:pPr>
      <w:r w:rsidRPr="00CC0875">
        <w:rPr>
          <w:lang w:val="en"/>
        </w:rPr>
        <w:t xml:space="preserve">McCarty CL, Basler C, </w:t>
      </w:r>
      <w:proofErr w:type="spellStart"/>
      <w:r w:rsidRPr="00CC0875">
        <w:rPr>
          <w:lang w:val="en"/>
        </w:rPr>
        <w:t>Karwowski</w:t>
      </w:r>
      <w:proofErr w:type="spellEnd"/>
      <w:r w:rsidRPr="00CC0875">
        <w:rPr>
          <w:lang w:val="en"/>
        </w:rPr>
        <w:t xml:space="preserve"> M. Response to importation of a case of Ebola virus disease – Ohio, October 2014. MMWR </w:t>
      </w:r>
      <w:proofErr w:type="spellStart"/>
      <w:r w:rsidRPr="00CC0875">
        <w:rPr>
          <w:lang w:val="en"/>
        </w:rPr>
        <w:t>Morb</w:t>
      </w:r>
      <w:proofErr w:type="spellEnd"/>
      <w:r w:rsidRPr="00CC0875">
        <w:rPr>
          <w:lang w:val="en"/>
        </w:rPr>
        <w:t xml:space="preserve"> Mortal </w:t>
      </w:r>
      <w:proofErr w:type="spellStart"/>
      <w:r w:rsidRPr="00CC0875">
        <w:rPr>
          <w:lang w:val="en"/>
        </w:rPr>
        <w:t>Wkly</w:t>
      </w:r>
      <w:proofErr w:type="spellEnd"/>
      <w:r w:rsidRPr="00CC0875">
        <w:rPr>
          <w:lang w:val="en"/>
        </w:rPr>
        <w:t xml:space="preserve"> Rep 2014. [In press]</w:t>
      </w:r>
      <w:r w:rsidR="00025A88" w:rsidRPr="002C4BD4">
        <w:rPr>
          <w:lang w:val="en"/>
        </w:rPr>
        <w:t xml:space="preserve">.  </w:t>
      </w:r>
      <w:r w:rsidR="00025A88" w:rsidRPr="002C4BD4">
        <w:rPr>
          <w:rStyle w:val="Strong"/>
          <w:b w:val="0"/>
          <w:lang w:val="en"/>
        </w:rPr>
        <w:t>November 14, 2014 / 63(Early Release);1-3</w:t>
      </w:r>
      <w:r>
        <w:rPr>
          <w:rStyle w:val="Strong"/>
          <w:b w:val="0"/>
          <w:lang w:val="en"/>
        </w:rPr>
        <w:t>.</w:t>
      </w:r>
      <w:r w:rsidR="009D2410" w:rsidRPr="002C4BD4">
        <w:rPr>
          <w:rStyle w:val="Strong"/>
          <w:b w:val="0"/>
          <w:lang w:val="en"/>
        </w:rPr>
        <w:t xml:space="preserve"> </w:t>
      </w:r>
      <w:r>
        <w:rPr>
          <w:lang w:val="en"/>
        </w:rPr>
        <w:t xml:space="preserve">Available December 3, 2014 at </w:t>
      </w:r>
      <w:hyperlink r:id="rId12" w:history="1">
        <w:r w:rsidR="009D2410" w:rsidRPr="00E54D61">
          <w:rPr>
            <w:rStyle w:val="Hyperlink"/>
            <w:lang w:val="en"/>
          </w:rPr>
          <w:t>http://www.cdc.gov/mmwr/pdf/wk/mm63e1114a6.pdf</w:t>
        </w:r>
      </w:hyperlink>
      <w:r w:rsidR="009D2410" w:rsidRPr="00E54D61">
        <w:rPr>
          <w:rStyle w:val="Strong"/>
          <w:lang w:val="en"/>
        </w:rPr>
        <w:t xml:space="preserve"> </w:t>
      </w:r>
    </w:p>
    <w:p w14:paraId="0FB1E1B4" w14:textId="77777777" w:rsidR="00555CDD" w:rsidRDefault="006921E4" w:rsidP="00555CDD">
      <w:pPr>
        <w:numPr>
          <w:ilvl w:val="0"/>
          <w:numId w:val="7"/>
        </w:numPr>
        <w:spacing w:before="100" w:beforeAutospacing="1" w:after="100" w:afterAutospacing="1"/>
        <w:rPr>
          <w:rStyle w:val="Strong"/>
          <w:b w:val="0"/>
          <w:bCs w:val="0"/>
          <w:lang w:val="en"/>
        </w:rPr>
      </w:pPr>
      <w:r>
        <w:rPr>
          <w:rStyle w:val="Strong"/>
          <w:b w:val="0"/>
          <w:bCs w:val="0"/>
          <w:lang w:val="en"/>
        </w:rPr>
        <w:t xml:space="preserve">CDC. Factsheet – Legal Authorities on Isolation and Quarantine, October, 2014. Available December 2, 2014 at </w:t>
      </w:r>
      <w:hyperlink r:id="rId13" w:history="1">
        <w:r w:rsidRPr="00555CDD">
          <w:rPr>
            <w:rStyle w:val="Hyperlink"/>
            <w:lang w:val="en"/>
          </w:rPr>
          <w:t>http://www.cdc.gov/quarantine/pdf/legal-authorities-isolation-quarantine.pdf</w:t>
        </w:r>
      </w:hyperlink>
      <w:r w:rsidRPr="00555CDD">
        <w:rPr>
          <w:rStyle w:val="Strong"/>
          <w:b w:val="0"/>
          <w:bCs w:val="0"/>
          <w:lang w:val="en"/>
        </w:rPr>
        <w:t xml:space="preserve">. </w:t>
      </w:r>
    </w:p>
    <w:p w14:paraId="362C6718" w14:textId="77777777" w:rsidR="00555CDD" w:rsidRPr="00555CDD" w:rsidRDefault="00555CDD" w:rsidP="00555CDD">
      <w:pPr>
        <w:numPr>
          <w:ilvl w:val="0"/>
          <w:numId w:val="7"/>
        </w:numPr>
        <w:spacing w:before="100" w:beforeAutospacing="1" w:after="100" w:afterAutospacing="1"/>
        <w:rPr>
          <w:lang w:val="en"/>
        </w:rPr>
      </w:pPr>
      <w:r>
        <w:rPr>
          <w:rStyle w:val="Strong"/>
          <w:b w:val="0"/>
          <w:lang w:val="en"/>
        </w:rPr>
        <w:t>Cole JP</w:t>
      </w:r>
      <w:r w:rsidR="00E54D61" w:rsidRPr="00555CDD">
        <w:rPr>
          <w:rStyle w:val="Strong"/>
          <w:b w:val="0"/>
          <w:lang w:val="en"/>
        </w:rPr>
        <w:t xml:space="preserve">. </w:t>
      </w:r>
      <w:r w:rsidRPr="00555CDD">
        <w:rPr>
          <w:bCs/>
        </w:rPr>
        <w:t>Federal and State Quarantine and Isolation</w:t>
      </w:r>
      <w:r>
        <w:rPr>
          <w:bCs/>
        </w:rPr>
        <w:t xml:space="preserve">. October 9, 2014. Congressional Research Service. Available December 3, 2014 at </w:t>
      </w:r>
      <w:hyperlink r:id="rId14" w:history="1">
        <w:r w:rsidRPr="00183D10">
          <w:rPr>
            <w:rStyle w:val="Hyperlink"/>
            <w:bCs/>
          </w:rPr>
          <w:t>http://cdn5.freedomoutpost.com/wp-content/uploads/2014/10/RL33201.pdf</w:t>
        </w:r>
      </w:hyperlink>
      <w:r>
        <w:rPr>
          <w:bCs/>
        </w:rPr>
        <w:t>.</w:t>
      </w:r>
    </w:p>
    <w:p w14:paraId="607BE01B" w14:textId="77777777" w:rsidR="00DD786B" w:rsidRPr="006921E4" w:rsidRDefault="00DB1A89" w:rsidP="00555CDD">
      <w:pPr>
        <w:numPr>
          <w:ilvl w:val="0"/>
          <w:numId w:val="7"/>
        </w:numPr>
        <w:spacing w:before="100" w:beforeAutospacing="1" w:after="100" w:afterAutospacing="1"/>
        <w:rPr>
          <w:rStyle w:val="Strong"/>
          <w:b w:val="0"/>
          <w:bCs w:val="0"/>
          <w:lang w:val="en"/>
        </w:rPr>
      </w:pPr>
      <w:r w:rsidRPr="006921E4">
        <w:rPr>
          <w:rStyle w:val="Strong"/>
          <w:b w:val="0"/>
          <w:lang w:val="en"/>
        </w:rPr>
        <w:t>CDC</w:t>
      </w:r>
      <w:r w:rsidR="006921E4">
        <w:rPr>
          <w:rStyle w:val="Strong"/>
          <w:b w:val="0"/>
          <w:lang w:val="en"/>
        </w:rPr>
        <w:t>.</w:t>
      </w:r>
      <w:r w:rsidRPr="006921E4">
        <w:rPr>
          <w:rStyle w:val="Strong"/>
          <w:b w:val="0"/>
          <w:lang w:val="en"/>
        </w:rPr>
        <w:t xml:space="preserve"> </w:t>
      </w:r>
      <w:r w:rsidR="006921E4">
        <w:rPr>
          <w:color w:val="333333"/>
        </w:rPr>
        <w:t>Interim U.S. Guidance for Monitoring and Movement of Persons with Potential Ebola Virus Exposure</w:t>
      </w:r>
      <w:r w:rsidR="006921E4">
        <w:rPr>
          <w:rStyle w:val="Strong"/>
          <w:b w:val="0"/>
          <w:lang w:val="en"/>
        </w:rPr>
        <w:t xml:space="preserve">, November 28, 2014. Available December 2, 2014 at </w:t>
      </w:r>
      <w:hyperlink r:id="rId15" w:history="1">
        <w:r w:rsidR="00247A71" w:rsidRPr="006921E4">
          <w:rPr>
            <w:rStyle w:val="Hyperlink"/>
            <w:lang w:val="en"/>
          </w:rPr>
          <w:t>h</w:t>
        </w:r>
        <w:bookmarkStart w:id="32" w:name="_Hlt405307487"/>
        <w:bookmarkStart w:id="33" w:name="_Hlt405307488"/>
        <w:r w:rsidR="00247A71" w:rsidRPr="006921E4">
          <w:rPr>
            <w:rStyle w:val="Hyperlink"/>
            <w:lang w:val="en"/>
          </w:rPr>
          <w:t>t</w:t>
        </w:r>
        <w:bookmarkEnd w:id="32"/>
        <w:bookmarkEnd w:id="33"/>
        <w:r w:rsidR="00247A71" w:rsidRPr="006921E4">
          <w:rPr>
            <w:rStyle w:val="Hyperlink"/>
            <w:lang w:val="en"/>
          </w:rPr>
          <w:t>tp://www.cd</w:t>
        </w:r>
        <w:bookmarkStart w:id="34" w:name="_Hlt405307690"/>
        <w:bookmarkStart w:id="35" w:name="_Hlt405307691"/>
        <w:bookmarkStart w:id="36" w:name="_Hlt405307692"/>
        <w:bookmarkStart w:id="37" w:name="_Hlt405307693"/>
        <w:r w:rsidR="00247A71" w:rsidRPr="006921E4">
          <w:rPr>
            <w:rStyle w:val="Hyperlink"/>
            <w:lang w:val="en"/>
          </w:rPr>
          <w:t>c</w:t>
        </w:r>
        <w:bookmarkEnd w:id="34"/>
        <w:bookmarkEnd w:id="35"/>
        <w:bookmarkEnd w:id="36"/>
        <w:bookmarkEnd w:id="37"/>
        <w:r w:rsidR="00247A71" w:rsidRPr="006921E4">
          <w:rPr>
            <w:rStyle w:val="Hyperlink"/>
            <w:lang w:val="en"/>
          </w:rPr>
          <w:t>.gov/vhf/ebola/exposure/monitoring-and-movement-of-persons-with-exposure.html</w:t>
        </w:r>
      </w:hyperlink>
      <w:r w:rsidR="006921E4">
        <w:rPr>
          <w:rStyle w:val="Strong"/>
          <w:b w:val="0"/>
          <w:lang w:val="en"/>
        </w:rPr>
        <w:t>.</w:t>
      </w:r>
    </w:p>
    <w:p w14:paraId="0B51443A" w14:textId="77777777" w:rsidR="00DD786B" w:rsidRPr="002B58BE" w:rsidRDefault="00DD786B" w:rsidP="00555CDD">
      <w:pPr>
        <w:numPr>
          <w:ilvl w:val="0"/>
          <w:numId w:val="7"/>
        </w:numPr>
        <w:spacing w:before="100" w:beforeAutospacing="1" w:after="100" w:afterAutospacing="1"/>
        <w:rPr>
          <w:lang w:val="en"/>
        </w:rPr>
      </w:pPr>
      <w:r w:rsidRPr="006921E4">
        <w:rPr>
          <w:rStyle w:val="Strong"/>
          <w:b w:val="0"/>
          <w:lang w:val="en"/>
        </w:rPr>
        <w:t>World Health Organization (WHO)</w:t>
      </w:r>
      <w:r w:rsidR="006921E4" w:rsidRPr="006921E4">
        <w:rPr>
          <w:rStyle w:val="Strong"/>
          <w:b w:val="0"/>
          <w:lang w:val="en"/>
        </w:rPr>
        <w:t>.</w:t>
      </w:r>
      <w:r w:rsidR="006921E4">
        <w:rPr>
          <w:rStyle w:val="Strong"/>
          <w:lang w:val="en"/>
        </w:rPr>
        <w:t xml:space="preserve"> </w:t>
      </w:r>
      <w:r>
        <w:t>Ebola virus disease. Fact sheet N°103</w:t>
      </w:r>
      <w:r w:rsidR="006921E4">
        <w:t xml:space="preserve">, September 2014. Available December 2, 2014 at </w:t>
      </w:r>
      <w:r>
        <w:t xml:space="preserve"> </w:t>
      </w:r>
      <w:hyperlink r:id="rId16" w:history="1">
        <w:r w:rsidRPr="009601DB">
          <w:rPr>
            <w:rStyle w:val="Hyperlink"/>
          </w:rPr>
          <w:t>http://www.who.int/mediacentre/factsheets/fs103/en/</w:t>
        </w:r>
      </w:hyperlink>
      <w:r w:rsidR="006921E4">
        <w:t>.</w:t>
      </w:r>
    </w:p>
    <w:p w14:paraId="47B3256F" w14:textId="77777777" w:rsidR="00026ECA" w:rsidRDefault="007B6BBD" w:rsidP="002C4BD4">
      <w:pPr>
        <w:widowControl w:val="0"/>
      </w:pPr>
      <w:r>
        <w:br w:type="page"/>
      </w:r>
    </w:p>
    <w:tbl>
      <w:tblPr>
        <w:tblW w:w="9208" w:type="dxa"/>
        <w:tblInd w:w="-346" w:type="dxa"/>
        <w:tblBorders>
          <w:insideV w:val="single" w:sz="4" w:space="0" w:color="auto"/>
        </w:tblBorders>
        <w:shd w:val="clear" w:color="auto" w:fill="FFFFFF"/>
        <w:tblLook w:val="01E0" w:firstRow="1" w:lastRow="1" w:firstColumn="1" w:lastColumn="1" w:noHBand="0" w:noVBand="0"/>
      </w:tblPr>
      <w:tblGrid>
        <w:gridCol w:w="9208"/>
      </w:tblGrid>
      <w:tr w:rsidR="007060C6" w:rsidRPr="00A838E0" w14:paraId="7E5553FC" w14:textId="77777777" w:rsidTr="00897B73">
        <w:trPr>
          <w:trHeight w:val="260"/>
        </w:trPr>
        <w:tc>
          <w:tcPr>
            <w:tcW w:w="9208" w:type="dxa"/>
            <w:shd w:val="clear" w:color="auto" w:fill="FFFFFF"/>
            <w:tcMar>
              <w:top w:w="0" w:type="dxa"/>
              <w:left w:w="14" w:type="dxa"/>
              <w:bottom w:w="0" w:type="dxa"/>
              <w:right w:w="14" w:type="dxa"/>
            </w:tcMar>
          </w:tcPr>
          <w:tbl>
            <w:tblPr>
              <w:tblW w:w="9180" w:type="dxa"/>
              <w:tblBorders>
                <w:insideV w:val="single" w:sz="4" w:space="0" w:color="auto"/>
              </w:tblBorders>
              <w:tblLook w:val="01E0" w:firstRow="1" w:lastRow="1" w:firstColumn="1" w:lastColumn="1" w:noHBand="0" w:noVBand="0"/>
            </w:tblPr>
            <w:tblGrid>
              <w:gridCol w:w="9180"/>
            </w:tblGrid>
            <w:tr w:rsidR="007060C6" w:rsidRPr="00DC5541" w14:paraId="4DA23407" w14:textId="77777777" w:rsidTr="008A5915">
              <w:trPr>
                <w:trHeight w:val="260"/>
              </w:trPr>
              <w:tc>
                <w:tcPr>
                  <w:tcW w:w="9180" w:type="dxa"/>
                  <w:shd w:val="clear" w:color="auto" w:fill="auto"/>
                  <w:tcMar>
                    <w:top w:w="0" w:type="dxa"/>
                    <w:left w:w="14" w:type="dxa"/>
                    <w:bottom w:w="0" w:type="dxa"/>
                    <w:right w:w="14" w:type="dxa"/>
                  </w:tcMar>
                </w:tcPr>
                <w:p w14:paraId="70C4EC17" w14:textId="77777777" w:rsidR="007060C6" w:rsidRPr="00DC5541" w:rsidRDefault="007060C6" w:rsidP="008A5915">
                  <w:pPr>
                    <w:ind w:left="360" w:hanging="360"/>
                    <w:rPr>
                      <w:rFonts w:eastAsia="Arial Unicode MS"/>
                      <w:b/>
                    </w:rPr>
                  </w:pPr>
                  <w:r w:rsidRPr="00DC5541">
                    <w:rPr>
                      <w:rFonts w:eastAsia="Arial Unicode MS"/>
                    </w:rPr>
                    <w:lastRenderedPageBreak/>
                    <w:br w:type="page"/>
                  </w:r>
                  <w:r w:rsidRPr="00DC5541">
                    <w:rPr>
                      <w:rFonts w:eastAsia="Arial Unicode MS"/>
                      <w:b/>
                    </w:rPr>
                    <w:t>List of Appendices</w:t>
                  </w:r>
                </w:p>
              </w:tc>
            </w:tr>
            <w:tr w:rsidR="007060C6" w:rsidRPr="00DC5541" w14:paraId="004FE02C" w14:textId="77777777" w:rsidTr="008A5915">
              <w:trPr>
                <w:trHeight w:val="260"/>
              </w:trPr>
              <w:tc>
                <w:tcPr>
                  <w:tcW w:w="9180" w:type="dxa"/>
                  <w:shd w:val="clear" w:color="auto" w:fill="auto"/>
                  <w:tcMar>
                    <w:top w:w="0" w:type="dxa"/>
                    <w:left w:w="14" w:type="dxa"/>
                    <w:bottom w:w="0" w:type="dxa"/>
                    <w:right w:w="14" w:type="dxa"/>
                  </w:tcMar>
                </w:tcPr>
                <w:p w14:paraId="62B2CC2E" w14:textId="77777777" w:rsidR="007060C6" w:rsidRPr="00DC5541" w:rsidRDefault="007060C6" w:rsidP="008A5915">
                  <w:pPr>
                    <w:ind w:left="360" w:hanging="360"/>
                    <w:rPr>
                      <w:rFonts w:eastAsia="Arial Unicode MS"/>
                    </w:rPr>
                  </w:pPr>
                  <w:r w:rsidRPr="00DC5541">
                    <w:rPr>
                      <w:rFonts w:eastAsia="Arial Unicode MS"/>
                    </w:rPr>
                    <w:t>Appendix 1.  Authorizing Legislation</w:t>
                  </w:r>
                </w:p>
              </w:tc>
            </w:tr>
            <w:tr w:rsidR="007060C6" w:rsidRPr="00DC5541" w14:paraId="27B54462" w14:textId="77777777" w:rsidTr="008A5915">
              <w:trPr>
                <w:trHeight w:val="260"/>
              </w:trPr>
              <w:tc>
                <w:tcPr>
                  <w:tcW w:w="9180" w:type="dxa"/>
                  <w:shd w:val="clear" w:color="auto" w:fill="auto"/>
                  <w:tcMar>
                    <w:top w:w="0" w:type="dxa"/>
                    <w:left w:w="14" w:type="dxa"/>
                    <w:bottom w:w="0" w:type="dxa"/>
                    <w:right w:w="14" w:type="dxa"/>
                  </w:tcMar>
                </w:tcPr>
                <w:p w14:paraId="1357BB33" w14:textId="77777777" w:rsidR="007060C6" w:rsidRPr="00DC5541" w:rsidRDefault="007060C6" w:rsidP="008A5915">
                  <w:pPr>
                    <w:ind w:left="360" w:hanging="360"/>
                    <w:rPr>
                      <w:rFonts w:eastAsia="Arial Unicode MS"/>
                    </w:rPr>
                  </w:pPr>
                  <w:r w:rsidRPr="00DC5541">
                    <w:rPr>
                      <w:rFonts w:eastAsia="Arial Unicode MS"/>
                    </w:rPr>
                    <w:t>Appendix 2.  Consultations</w:t>
                  </w:r>
                </w:p>
              </w:tc>
            </w:tr>
            <w:tr w:rsidR="007060C6" w:rsidRPr="00DC5541" w14:paraId="45DABEB5" w14:textId="77777777" w:rsidTr="008A5915">
              <w:trPr>
                <w:trHeight w:val="260"/>
              </w:trPr>
              <w:tc>
                <w:tcPr>
                  <w:tcW w:w="9180" w:type="dxa"/>
                  <w:shd w:val="clear" w:color="auto" w:fill="auto"/>
                  <w:tcMar>
                    <w:top w:w="0" w:type="dxa"/>
                    <w:left w:w="14" w:type="dxa"/>
                    <w:bottom w:w="0" w:type="dxa"/>
                    <w:right w:w="14" w:type="dxa"/>
                  </w:tcMar>
                </w:tcPr>
                <w:p w14:paraId="700D35ED" w14:textId="77777777" w:rsidR="007060C6" w:rsidRPr="00DC5541" w:rsidRDefault="007060C6" w:rsidP="008A5915">
                  <w:pPr>
                    <w:ind w:left="360" w:firstLine="166"/>
                    <w:rPr>
                      <w:rFonts w:eastAsia="Arial Unicode MS"/>
                    </w:rPr>
                  </w:pPr>
                  <w:r w:rsidRPr="00DC5541">
                    <w:rPr>
                      <w:rFonts w:eastAsia="Arial Unicode MS"/>
                    </w:rPr>
                    <w:t>2a. Council of State and Territorial Epidemiologists (CSTE)</w:t>
                  </w:r>
                </w:p>
              </w:tc>
            </w:tr>
            <w:tr w:rsidR="007060C6" w:rsidRPr="00DC5541" w14:paraId="7F84C8D2" w14:textId="77777777" w:rsidTr="008A5915">
              <w:trPr>
                <w:trHeight w:val="260"/>
              </w:trPr>
              <w:tc>
                <w:tcPr>
                  <w:tcW w:w="9180" w:type="dxa"/>
                  <w:shd w:val="clear" w:color="auto" w:fill="auto"/>
                  <w:tcMar>
                    <w:top w:w="0" w:type="dxa"/>
                    <w:left w:w="14" w:type="dxa"/>
                    <w:bottom w:w="0" w:type="dxa"/>
                    <w:right w:w="14" w:type="dxa"/>
                  </w:tcMar>
                </w:tcPr>
                <w:p w14:paraId="73D2F819" w14:textId="77777777" w:rsidR="007060C6" w:rsidRPr="00DC5541" w:rsidRDefault="007060C6" w:rsidP="008A5915">
                  <w:pPr>
                    <w:ind w:left="360" w:firstLine="166"/>
                    <w:rPr>
                      <w:rFonts w:eastAsia="Arial Unicode MS"/>
                    </w:rPr>
                  </w:pPr>
                  <w:r w:rsidRPr="00DC5541">
                    <w:rPr>
                      <w:rFonts w:eastAsia="Arial Unicode MS"/>
                    </w:rPr>
                    <w:t>2b. Association of State and Territorial Health Officials (ASTHO)</w:t>
                  </w:r>
                </w:p>
              </w:tc>
            </w:tr>
            <w:tr w:rsidR="007060C6" w:rsidRPr="00DC5541" w14:paraId="7179651B" w14:textId="77777777" w:rsidTr="008A5915">
              <w:trPr>
                <w:trHeight w:val="260"/>
              </w:trPr>
              <w:tc>
                <w:tcPr>
                  <w:tcW w:w="9180" w:type="dxa"/>
                  <w:shd w:val="clear" w:color="auto" w:fill="auto"/>
                  <w:tcMar>
                    <w:top w:w="0" w:type="dxa"/>
                    <w:left w:w="14" w:type="dxa"/>
                    <w:bottom w:w="0" w:type="dxa"/>
                    <w:right w:w="14" w:type="dxa"/>
                  </w:tcMar>
                </w:tcPr>
                <w:p w14:paraId="2419164E" w14:textId="77777777" w:rsidR="007060C6" w:rsidRPr="00DC5541" w:rsidRDefault="007060C6" w:rsidP="008A5915">
                  <w:pPr>
                    <w:ind w:left="360" w:firstLine="166"/>
                    <w:rPr>
                      <w:rFonts w:eastAsia="Arial Unicode MS"/>
                    </w:rPr>
                  </w:pPr>
                  <w:r w:rsidRPr="00DC5541">
                    <w:rPr>
                      <w:rFonts w:eastAsia="Arial Unicode MS"/>
                    </w:rPr>
                    <w:t xml:space="preserve">2c. </w:t>
                  </w:r>
                  <w:r w:rsidRPr="00DC5541">
                    <w:rPr>
                      <w:rStyle w:val="Strong"/>
                      <w:rFonts w:eastAsia="Arial Unicode MS"/>
                    </w:rPr>
                    <w:t>National Association of County and City Health Officials</w:t>
                  </w:r>
                  <w:r w:rsidRPr="00DC5541">
                    <w:rPr>
                      <w:rFonts w:eastAsia="Arial Unicode MS"/>
                    </w:rPr>
                    <w:t xml:space="preserve"> (</w:t>
                  </w:r>
                  <w:r w:rsidRPr="00DC5541">
                    <w:rPr>
                      <w:rStyle w:val="Strong"/>
                      <w:rFonts w:eastAsia="Arial Unicode MS"/>
                    </w:rPr>
                    <w:t>NACCHO</w:t>
                  </w:r>
                  <w:r w:rsidRPr="00DC5541">
                    <w:rPr>
                      <w:rFonts w:eastAsia="Arial Unicode MS"/>
                    </w:rPr>
                    <w:t>)</w:t>
                  </w:r>
                </w:p>
              </w:tc>
            </w:tr>
            <w:tr w:rsidR="007060C6" w:rsidRPr="00DC5541" w14:paraId="09A31C87" w14:textId="77777777" w:rsidTr="00897B73">
              <w:trPr>
                <w:trHeight w:val="333"/>
              </w:trPr>
              <w:tc>
                <w:tcPr>
                  <w:tcW w:w="9180" w:type="dxa"/>
                  <w:shd w:val="clear" w:color="auto" w:fill="auto"/>
                  <w:tcMar>
                    <w:top w:w="0" w:type="dxa"/>
                    <w:left w:w="14" w:type="dxa"/>
                    <w:bottom w:w="0" w:type="dxa"/>
                    <w:right w:w="14" w:type="dxa"/>
                  </w:tcMar>
                </w:tcPr>
                <w:p w14:paraId="5928B48B" w14:textId="77777777" w:rsidR="007060C6" w:rsidRPr="00DC5541" w:rsidRDefault="007060C6" w:rsidP="008A5915">
                  <w:pPr>
                    <w:ind w:left="360" w:hanging="360"/>
                    <w:rPr>
                      <w:rFonts w:eastAsia="Arial Unicode MS"/>
                    </w:rPr>
                  </w:pPr>
                  <w:r w:rsidRPr="00DC5541">
                    <w:rPr>
                      <w:rFonts w:eastAsia="Arial Unicode MS"/>
                    </w:rPr>
                    <w:t>Appendix 3.  CDC Privacy Act System of Records Notice 09-20-0113</w:t>
                  </w:r>
                </w:p>
              </w:tc>
            </w:tr>
            <w:tr w:rsidR="007060C6" w:rsidRPr="00DC5541" w14:paraId="3CF9B187" w14:textId="77777777" w:rsidTr="008A5915">
              <w:trPr>
                <w:trHeight w:val="260"/>
              </w:trPr>
              <w:tc>
                <w:tcPr>
                  <w:tcW w:w="9180" w:type="dxa"/>
                  <w:shd w:val="clear" w:color="auto" w:fill="auto"/>
                  <w:tcMar>
                    <w:top w:w="0" w:type="dxa"/>
                    <w:left w:w="14" w:type="dxa"/>
                    <w:bottom w:w="0" w:type="dxa"/>
                    <w:right w:w="14" w:type="dxa"/>
                  </w:tcMar>
                </w:tcPr>
                <w:p w14:paraId="518A2D53" w14:textId="77777777" w:rsidR="007060C6" w:rsidRPr="00DC5541" w:rsidRDefault="007060C6" w:rsidP="008A5915">
                  <w:pPr>
                    <w:ind w:left="360" w:hanging="360"/>
                    <w:rPr>
                      <w:rFonts w:eastAsia="Arial Unicode MS"/>
                    </w:rPr>
                  </w:pPr>
                </w:p>
              </w:tc>
            </w:tr>
            <w:tr w:rsidR="007060C6" w:rsidRPr="00DC5541" w14:paraId="26094B18" w14:textId="77777777" w:rsidTr="008A5915">
              <w:trPr>
                <w:trHeight w:val="260"/>
              </w:trPr>
              <w:tc>
                <w:tcPr>
                  <w:tcW w:w="9180" w:type="dxa"/>
                  <w:shd w:val="clear" w:color="auto" w:fill="auto"/>
                  <w:tcMar>
                    <w:top w:w="0" w:type="dxa"/>
                    <w:left w:w="14" w:type="dxa"/>
                    <w:bottom w:w="0" w:type="dxa"/>
                    <w:right w:w="14" w:type="dxa"/>
                  </w:tcMar>
                </w:tcPr>
                <w:p w14:paraId="521C62DB" w14:textId="77777777" w:rsidR="007060C6" w:rsidRPr="00DC5541" w:rsidRDefault="007060C6" w:rsidP="008A5915">
                  <w:pPr>
                    <w:ind w:left="360" w:hanging="360"/>
                    <w:rPr>
                      <w:rFonts w:eastAsia="Arial Unicode MS"/>
                      <w:b/>
                    </w:rPr>
                  </w:pPr>
                  <w:r w:rsidRPr="00DC5541">
                    <w:rPr>
                      <w:rFonts w:eastAsia="Arial Unicode MS"/>
                      <w:b/>
                    </w:rPr>
                    <w:t>List of Attachments for CDC Domestic Ebola Virus Disease Toolkit</w:t>
                  </w:r>
                </w:p>
              </w:tc>
            </w:tr>
            <w:tr w:rsidR="007060C6" w:rsidRPr="00DC5541" w14:paraId="0D59C7A7" w14:textId="77777777" w:rsidTr="008A5915">
              <w:trPr>
                <w:trHeight w:val="260"/>
              </w:trPr>
              <w:tc>
                <w:tcPr>
                  <w:tcW w:w="9180" w:type="dxa"/>
                  <w:shd w:val="clear" w:color="auto" w:fill="auto"/>
                  <w:tcMar>
                    <w:top w:w="0" w:type="dxa"/>
                    <w:left w:w="14" w:type="dxa"/>
                    <w:bottom w:w="0" w:type="dxa"/>
                    <w:right w:w="14" w:type="dxa"/>
                  </w:tcMar>
                </w:tcPr>
                <w:p w14:paraId="4D92A1E6" w14:textId="77777777" w:rsidR="007060C6" w:rsidRPr="00DC5541" w:rsidRDefault="007060C6" w:rsidP="008A5915">
                  <w:pPr>
                    <w:ind w:left="360" w:hanging="360"/>
                    <w:rPr>
                      <w:rFonts w:eastAsia="Arial Unicode MS"/>
                      <w:i/>
                    </w:rPr>
                  </w:pPr>
                  <w:r w:rsidRPr="00DC5541">
                    <w:rPr>
                      <w:rFonts w:eastAsia="Arial Unicode MS"/>
                      <w:i/>
                    </w:rPr>
                    <w:t>Forms for Cases and Persons Under Investigation</w:t>
                  </w:r>
                </w:p>
              </w:tc>
            </w:tr>
            <w:tr w:rsidR="007060C6" w:rsidRPr="00DC5541" w14:paraId="5051F104" w14:textId="77777777" w:rsidTr="008A5915">
              <w:trPr>
                <w:trHeight w:val="260"/>
              </w:trPr>
              <w:tc>
                <w:tcPr>
                  <w:tcW w:w="9180" w:type="dxa"/>
                  <w:shd w:val="clear" w:color="auto" w:fill="auto"/>
                  <w:tcMar>
                    <w:top w:w="0" w:type="dxa"/>
                    <w:left w:w="14" w:type="dxa"/>
                    <w:bottom w:w="0" w:type="dxa"/>
                    <w:right w:w="14" w:type="dxa"/>
                  </w:tcMar>
                </w:tcPr>
                <w:p w14:paraId="484D1601" w14:textId="77777777" w:rsidR="007060C6" w:rsidRPr="00DC5541" w:rsidRDefault="007060C6" w:rsidP="008A5915">
                  <w:pPr>
                    <w:ind w:left="360" w:hanging="14"/>
                    <w:rPr>
                      <w:rFonts w:eastAsia="Arial Unicode MS"/>
                    </w:rPr>
                  </w:pPr>
                  <w:r w:rsidRPr="00DC5541">
                    <w:rPr>
                      <w:rFonts w:eastAsia="Arial Unicode MS"/>
                    </w:rPr>
                    <w:t>Attachment 1.  Ebola Virus Disease Case Investigation Form – United States</w:t>
                  </w:r>
                </w:p>
              </w:tc>
            </w:tr>
            <w:tr w:rsidR="007060C6" w:rsidRPr="00DC5541" w14:paraId="4B44BAF2" w14:textId="77777777" w:rsidTr="008A5915">
              <w:trPr>
                <w:trHeight w:val="260"/>
              </w:trPr>
              <w:tc>
                <w:tcPr>
                  <w:tcW w:w="9180" w:type="dxa"/>
                  <w:shd w:val="clear" w:color="auto" w:fill="auto"/>
                  <w:tcMar>
                    <w:top w:w="0" w:type="dxa"/>
                    <w:left w:w="14" w:type="dxa"/>
                    <w:bottom w:w="0" w:type="dxa"/>
                    <w:right w:w="14" w:type="dxa"/>
                  </w:tcMar>
                </w:tcPr>
                <w:p w14:paraId="7297F952" w14:textId="77777777" w:rsidR="007060C6" w:rsidRPr="00DC5541" w:rsidRDefault="007060C6" w:rsidP="008A5915">
                  <w:pPr>
                    <w:ind w:left="360" w:hanging="14"/>
                    <w:rPr>
                      <w:rFonts w:eastAsia="Arial Unicode MS"/>
                    </w:rPr>
                  </w:pPr>
                  <w:r w:rsidRPr="00DC5541">
                    <w:rPr>
                      <w:rFonts w:eastAsia="Arial Unicode MS"/>
                    </w:rPr>
                    <w:t>Attachment 1b.  Ebola Virus Disease Person Under Investigation (PUI) Form</w:t>
                  </w:r>
                </w:p>
              </w:tc>
            </w:tr>
            <w:tr w:rsidR="007060C6" w:rsidRPr="00DC5541" w14:paraId="627A9214" w14:textId="77777777" w:rsidTr="008A5915">
              <w:trPr>
                <w:trHeight w:val="260"/>
              </w:trPr>
              <w:tc>
                <w:tcPr>
                  <w:tcW w:w="9180" w:type="dxa"/>
                  <w:shd w:val="clear" w:color="auto" w:fill="auto"/>
                  <w:tcMar>
                    <w:top w:w="0" w:type="dxa"/>
                    <w:left w:w="14" w:type="dxa"/>
                    <w:bottom w:w="0" w:type="dxa"/>
                    <w:right w:w="14" w:type="dxa"/>
                  </w:tcMar>
                </w:tcPr>
                <w:p w14:paraId="26C4AF01" w14:textId="77777777" w:rsidR="007060C6" w:rsidRPr="00DC5541" w:rsidRDefault="007060C6" w:rsidP="008A5915">
                  <w:pPr>
                    <w:ind w:left="360" w:hanging="360"/>
                    <w:rPr>
                      <w:rFonts w:eastAsia="Arial Unicode MS"/>
                      <w:i/>
                    </w:rPr>
                  </w:pPr>
                  <w:r w:rsidRPr="00DC5541">
                    <w:rPr>
                      <w:rFonts w:eastAsia="Arial Unicode MS"/>
                      <w:i/>
                    </w:rPr>
                    <w:t>Forms for Contacts</w:t>
                  </w:r>
                </w:p>
              </w:tc>
            </w:tr>
            <w:tr w:rsidR="007060C6" w:rsidRPr="00DC5541" w14:paraId="086B5059" w14:textId="77777777" w:rsidTr="008A5915">
              <w:trPr>
                <w:trHeight w:val="260"/>
              </w:trPr>
              <w:tc>
                <w:tcPr>
                  <w:tcW w:w="9180" w:type="dxa"/>
                  <w:shd w:val="clear" w:color="auto" w:fill="auto"/>
                  <w:tcMar>
                    <w:top w:w="0" w:type="dxa"/>
                    <w:left w:w="14" w:type="dxa"/>
                    <w:bottom w:w="0" w:type="dxa"/>
                    <w:right w:w="14" w:type="dxa"/>
                  </w:tcMar>
                </w:tcPr>
                <w:p w14:paraId="1342E581" w14:textId="77777777" w:rsidR="007060C6" w:rsidRPr="00DC5541" w:rsidRDefault="007060C6" w:rsidP="008A5915">
                  <w:pPr>
                    <w:ind w:left="360" w:hanging="14"/>
                    <w:rPr>
                      <w:rFonts w:eastAsia="Arial Unicode MS"/>
                    </w:rPr>
                  </w:pPr>
                  <w:r w:rsidRPr="00DC5541">
                    <w:rPr>
                      <w:rFonts w:eastAsia="Arial Unicode MS"/>
                    </w:rPr>
                    <w:t>Attachment 2.  Ebola Virus Disease (Ebola) Contact Tracing Form – United States</w:t>
                  </w:r>
                </w:p>
              </w:tc>
            </w:tr>
            <w:tr w:rsidR="007060C6" w:rsidRPr="00DC5541" w14:paraId="54B3C99D" w14:textId="77777777" w:rsidTr="008A5915">
              <w:trPr>
                <w:trHeight w:val="260"/>
              </w:trPr>
              <w:tc>
                <w:tcPr>
                  <w:tcW w:w="9180" w:type="dxa"/>
                  <w:shd w:val="clear" w:color="auto" w:fill="auto"/>
                  <w:tcMar>
                    <w:top w:w="0" w:type="dxa"/>
                    <w:left w:w="14" w:type="dxa"/>
                    <w:bottom w:w="0" w:type="dxa"/>
                    <w:right w:w="14" w:type="dxa"/>
                  </w:tcMar>
                </w:tcPr>
                <w:p w14:paraId="17F60894" w14:textId="77777777" w:rsidR="007060C6" w:rsidRPr="00DC5541" w:rsidRDefault="007060C6" w:rsidP="008A5915">
                  <w:pPr>
                    <w:ind w:left="360" w:hanging="360"/>
                    <w:rPr>
                      <w:rFonts w:eastAsia="Arial Unicode MS"/>
                      <w:i/>
                    </w:rPr>
                  </w:pPr>
                  <w:r w:rsidRPr="00DC5541">
                    <w:rPr>
                      <w:rFonts w:eastAsia="Arial Unicode MS"/>
                      <w:i/>
                    </w:rPr>
                    <w:t>Guidance for Health Departments</w:t>
                  </w:r>
                </w:p>
              </w:tc>
            </w:tr>
            <w:tr w:rsidR="007060C6" w:rsidRPr="00DC5541" w14:paraId="15326603" w14:textId="77777777" w:rsidTr="008A5915">
              <w:trPr>
                <w:trHeight w:val="260"/>
              </w:trPr>
              <w:tc>
                <w:tcPr>
                  <w:tcW w:w="9180" w:type="dxa"/>
                  <w:shd w:val="clear" w:color="auto" w:fill="auto"/>
                  <w:tcMar>
                    <w:top w:w="0" w:type="dxa"/>
                    <w:left w:w="14" w:type="dxa"/>
                    <w:bottom w:w="0" w:type="dxa"/>
                    <w:right w:w="14" w:type="dxa"/>
                  </w:tcMar>
                </w:tcPr>
                <w:p w14:paraId="104A808D" w14:textId="77777777" w:rsidR="007060C6" w:rsidRPr="00DC5541" w:rsidRDefault="007060C6" w:rsidP="008A5915">
                  <w:pPr>
                    <w:ind w:left="706" w:hanging="360"/>
                    <w:rPr>
                      <w:rFonts w:eastAsia="Arial Unicode MS"/>
                    </w:rPr>
                  </w:pPr>
                  <w:r w:rsidRPr="00DC5541">
                    <w:rPr>
                      <w:rFonts w:eastAsia="Arial Unicode MS"/>
                    </w:rPr>
                    <w:t>Attachment 3a.  Guidance for Health Departments for Travelers (Not Health Care Workers*) Arriving in the U.S. from Countries with Widespread Ebola Transmission</w:t>
                  </w:r>
                </w:p>
              </w:tc>
            </w:tr>
            <w:tr w:rsidR="007060C6" w:rsidRPr="00DC5541" w14:paraId="54F7C129" w14:textId="77777777" w:rsidTr="008A5915">
              <w:trPr>
                <w:trHeight w:val="260"/>
              </w:trPr>
              <w:tc>
                <w:tcPr>
                  <w:tcW w:w="9180" w:type="dxa"/>
                  <w:shd w:val="clear" w:color="auto" w:fill="auto"/>
                  <w:tcMar>
                    <w:top w:w="0" w:type="dxa"/>
                    <w:left w:w="14" w:type="dxa"/>
                    <w:bottom w:w="0" w:type="dxa"/>
                    <w:right w:w="14" w:type="dxa"/>
                  </w:tcMar>
                </w:tcPr>
                <w:p w14:paraId="49802AD3" w14:textId="77777777" w:rsidR="007060C6" w:rsidRPr="00DC5541" w:rsidRDefault="007060C6" w:rsidP="008A5915">
                  <w:pPr>
                    <w:ind w:left="706" w:hanging="360"/>
                    <w:rPr>
                      <w:rFonts w:eastAsia="Arial Unicode MS"/>
                    </w:rPr>
                  </w:pPr>
                  <w:r w:rsidRPr="00DC5541">
                    <w:rPr>
                      <w:rFonts w:eastAsia="Arial Unicode MS"/>
                    </w:rPr>
                    <w:t>Attachment 3b.  Guidance for the Evaluation and Triage of Contacts of Confirmed Ebola Virus Disease (Ebola) Cases for Routine or Urgent Medical Concerns, including Symptoms Compatible with Ebola</w:t>
                  </w:r>
                </w:p>
              </w:tc>
            </w:tr>
            <w:tr w:rsidR="007060C6" w:rsidRPr="00DC5541" w14:paraId="6181D012" w14:textId="77777777" w:rsidTr="008A5915">
              <w:trPr>
                <w:trHeight w:val="260"/>
              </w:trPr>
              <w:tc>
                <w:tcPr>
                  <w:tcW w:w="9180" w:type="dxa"/>
                  <w:shd w:val="clear" w:color="auto" w:fill="auto"/>
                  <w:tcMar>
                    <w:top w:w="0" w:type="dxa"/>
                    <w:left w:w="14" w:type="dxa"/>
                    <w:bottom w:w="0" w:type="dxa"/>
                    <w:right w:w="14" w:type="dxa"/>
                  </w:tcMar>
                </w:tcPr>
                <w:p w14:paraId="3FBA19F0" w14:textId="77777777" w:rsidR="007060C6" w:rsidRPr="00DC5541" w:rsidRDefault="007060C6" w:rsidP="008A5915">
                  <w:pPr>
                    <w:ind w:left="706" w:hanging="360"/>
                    <w:rPr>
                      <w:rFonts w:eastAsia="Arial Unicode MS"/>
                    </w:rPr>
                  </w:pPr>
                  <w:r w:rsidRPr="00DC5541">
                    <w:rPr>
                      <w:rFonts w:eastAsia="Arial Unicode MS"/>
                    </w:rPr>
                    <w:t>Attachment 3c.  Guidance for Health Departments for Identifying and Monitoring Community Contacts of Persons Under Investigation (PUI) for Ebola Virus Disease (Ebola) or Ebola Cases</w:t>
                  </w:r>
                </w:p>
              </w:tc>
            </w:tr>
            <w:tr w:rsidR="007060C6" w:rsidRPr="00DC5541" w14:paraId="57472168" w14:textId="77777777" w:rsidTr="008A5915">
              <w:trPr>
                <w:trHeight w:val="260"/>
              </w:trPr>
              <w:tc>
                <w:tcPr>
                  <w:tcW w:w="9180" w:type="dxa"/>
                  <w:shd w:val="clear" w:color="auto" w:fill="auto"/>
                  <w:tcMar>
                    <w:top w:w="0" w:type="dxa"/>
                    <w:left w:w="14" w:type="dxa"/>
                    <w:bottom w:w="0" w:type="dxa"/>
                    <w:right w:w="14" w:type="dxa"/>
                  </w:tcMar>
                </w:tcPr>
                <w:p w14:paraId="4C18321B" w14:textId="77777777" w:rsidR="007060C6" w:rsidRPr="00DC5541" w:rsidRDefault="007060C6" w:rsidP="008A5915">
                  <w:pPr>
                    <w:ind w:left="360" w:hanging="360"/>
                    <w:rPr>
                      <w:rFonts w:eastAsia="Arial Unicode MS"/>
                      <w:i/>
                    </w:rPr>
                  </w:pPr>
                  <w:r w:rsidRPr="00DC5541">
                    <w:rPr>
                      <w:rFonts w:eastAsia="Arial Unicode MS"/>
                      <w:i/>
                    </w:rPr>
                    <w:t>Guidance for Individuals</w:t>
                  </w:r>
                </w:p>
              </w:tc>
            </w:tr>
            <w:tr w:rsidR="007060C6" w:rsidRPr="00DC5541" w14:paraId="55376C4C" w14:textId="77777777" w:rsidTr="008A5915">
              <w:trPr>
                <w:trHeight w:val="260"/>
              </w:trPr>
              <w:tc>
                <w:tcPr>
                  <w:tcW w:w="9180" w:type="dxa"/>
                  <w:shd w:val="clear" w:color="auto" w:fill="auto"/>
                  <w:tcMar>
                    <w:top w:w="0" w:type="dxa"/>
                    <w:left w:w="14" w:type="dxa"/>
                    <w:bottom w:w="0" w:type="dxa"/>
                    <w:right w:w="14" w:type="dxa"/>
                  </w:tcMar>
                </w:tcPr>
                <w:p w14:paraId="5ED96653" w14:textId="77777777" w:rsidR="007060C6" w:rsidRPr="00DC5541" w:rsidRDefault="007060C6" w:rsidP="008A5915">
                  <w:pPr>
                    <w:ind w:left="706" w:hanging="360"/>
                    <w:rPr>
                      <w:rFonts w:eastAsia="Arial Unicode MS"/>
                    </w:rPr>
                  </w:pPr>
                  <w:r w:rsidRPr="00DC5541">
                    <w:rPr>
                      <w:rFonts w:eastAsia="Arial Unicode MS"/>
                    </w:rPr>
                    <w:t>Attachment 4a.  Guidance for Contacts of Ebola Virus Disease (Ebola) Patients, United States</w:t>
                  </w:r>
                </w:p>
              </w:tc>
            </w:tr>
            <w:tr w:rsidR="007060C6" w:rsidRPr="00DC5541" w14:paraId="734B41AC" w14:textId="77777777" w:rsidTr="008A5915">
              <w:trPr>
                <w:trHeight w:val="260"/>
              </w:trPr>
              <w:tc>
                <w:tcPr>
                  <w:tcW w:w="9180" w:type="dxa"/>
                  <w:shd w:val="clear" w:color="auto" w:fill="auto"/>
                  <w:tcMar>
                    <w:top w:w="0" w:type="dxa"/>
                    <w:left w:w="14" w:type="dxa"/>
                    <w:bottom w:w="0" w:type="dxa"/>
                    <w:right w:w="14" w:type="dxa"/>
                  </w:tcMar>
                </w:tcPr>
                <w:p w14:paraId="4A4279E6" w14:textId="77777777" w:rsidR="007060C6" w:rsidRPr="00DC5541" w:rsidRDefault="007060C6" w:rsidP="008A5915">
                  <w:pPr>
                    <w:ind w:left="706" w:hanging="360"/>
                    <w:rPr>
                      <w:rFonts w:eastAsia="Arial Unicode MS"/>
                    </w:rPr>
                  </w:pPr>
                  <w:r w:rsidRPr="00DC5541">
                    <w:rPr>
                      <w:rFonts w:eastAsia="Arial Unicode MS"/>
                    </w:rPr>
                    <w:t>Attachment 4b.  Information for Healthcare Workers Returning from Countries with Widespread Ebola Transmission or Treating Patients with Ebola in the United States</w:t>
                  </w:r>
                </w:p>
              </w:tc>
            </w:tr>
            <w:tr w:rsidR="007060C6" w:rsidRPr="00DC5541" w14:paraId="49EE5423" w14:textId="77777777" w:rsidTr="008A5915">
              <w:trPr>
                <w:trHeight w:val="260"/>
              </w:trPr>
              <w:tc>
                <w:tcPr>
                  <w:tcW w:w="9180" w:type="dxa"/>
                  <w:shd w:val="clear" w:color="auto" w:fill="auto"/>
                  <w:tcMar>
                    <w:top w:w="0" w:type="dxa"/>
                    <w:left w:w="14" w:type="dxa"/>
                    <w:bottom w:w="0" w:type="dxa"/>
                    <w:right w:w="14" w:type="dxa"/>
                  </w:tcMar>
                </w:tcPr>
                <w:p w14:paraId="29234A83" w14:textId="77777777" w:rsidR="007060C6" w:rsidRPr="00DC5541" w:rsidRDefault="007060C6" w:rsidP="008A5915">
                  <w:pPr>
                    <w:ind w:left="360" w:hanging="360"/>
                    <w:rPr>
                      <w:rFonts w:eastAsia="Arial Unicode MS"/>
                      <w:i/>
                    </w:rPr>
                  </w:pPr>
                  <w:r w:rsidRPr="00DC5541">
                    <w:rPr>
                      <w:rFonts w:eastAsia="Arial Unicode MS"/>
                      <w:i/>
                    </w:rPr>
                    <w:t>Templates to facilitate data collection during prospective monitoring of health care personnel caring for Ebola patients</w:t>
                  </w:r>
                </w:p>
              </w:tc>
            </w:tr>
            <w:tr w:rsidR="007060C6" w:rsidRPr="00DC5541" w14:paraId="4DECD3CC" w14:textId="77777777" w:rsidTr="008A5915">
              <w:trPr>
                <w:trHeight w:val="260"/>
              </w:trPr>
              <w:tc>
                <w:tcPr>
                  <w:tcW w:w="9180" w:type="dxa"/>
                  <w:shd w:val="clear" w:color="auto" w:fill="auto"/>
                  <w:tcMar>
                    <w:top w:w="0" w:type="dxa"/>
                    <w:left w:w="14" w:type="dxa"/>
                    <w:bottom w:w="0" w:type="dxa"/>
                    <w:right w:w="14" w:type="dxa"/>
                  </w:tcMar>
                </w:tcPr>
                <w:p w14:paraId="571EA6AB" w14:textId="77777777" w:rsidR="007060C6" w:rsidRPr="00DC5541" w:rsidRDefault="007060C6" w:rsidP="008A5915">
                  <w:pPr>
                    <w:ind w:left="360" w:hanging="14"/>
                    <w:rPr>
                      <w:rFonts w:eastAsia="Arial Unicode MS"/>
                    </w:rPr>
                  </w:pPr>
                  <w:r w:rsidRPr="00DC5541">
                    <w:rPr>
                      <w:rFonts w:eastAsia="Arial Unicode MS"/>
                    </w:rPr>
                    <w:t>Attachment 5a.  EVD Tracking Form for Healthcare Workers with Direct Patient Contact (e.g. nurses, physicians, respiratory therapists, others)</w:t>
                  </w:r>
                </w:p>
              </w:tc>
            </w:tr>
            <w:tr w:rsidR="007060C6" w:rsidRPr="00DC5541" w14:paraId="625D85BF" w14:textId="77777777" w:rsidTr="008A5915">
              <w:trPr>
                <w:trHeight w:val="260"/>
              </w:trPr>
              <w:tc>
                <w:tcPr>
                  <w:tcW w:w="9180" w:type="dxa"/>
                  <w:shd w:val="clear" w:color="auto" w:fill="auto"/>
                  <w:tcMar>
                    <w:top w:w="0" w:type="dxa"/>
                    <w:left w:w="14" w:type="dxa"/>
                    <w:bottom w:w="0" w:type="dxa"/>
                    <w:right w:w="14" w:type="dxa"/>
                  </w:tcMar>
                </w:tcPr>
                <w:p w14:paraId="1186259C" w14:textId="77777777" w:rsidR="007060C6" w:rsidRPr="00DC5541" w:rsidRDefault="007060C6" w:rsidP="008A5915">
                  <w:pPr>
                    <w:ind w:left="360" w:hanging="14"/>
                    <w:rPr>
                      <w:rFonts w:eastAsia="Arial Unicode MS"/>
                    </w:rPr>
                  </w:pPr>
                  <w:r w:rsidRPr="00DC5541">
                    <w:rPr>
                      <w:rFonts w:eastAsia="Arial Unicode MS"/>
                    </w:rPr>
                    <w:t>Attachment 5b.  Ebola Tracking Form for Laboratory Personnel</w:t>
                  </w:r>
                </w:p>
              </w:tc>
            </w:tr>
            <w:tr w:rsidR="007060C6" w:rsidRPr="00DC5541" w14:paraId="241C74D6" w14:textId="77777777" w:rsidTr="008A5915">
              <w:trPr>
                <w:trHeight w:val="260"/>
              </w:trPr>
              <w:tc>
                <w:tcPr>
                  <w:tcW w:w="9180" w:type="dxa"/>
                  <w:shd w:val="clear" w:color="auto" w:fill="auto"/>
                  <w:tcMar>
                    <w:top w:w="0" w:type="dxa"/>
                    <w:left w:w="14" w:type="dxa"/>
                    <w:bottom w:w="0" w:type="dxa"/>
                    <w:right w:w="14" w:type="dxa"/>
                  </w:tcMar>
                </w:tcPr>
                <w:p w14:paraId="38E0D371" w14:textId="77777777" w:rsidR="007060C6" w:rsidRPr="00DC5541" w:rsidRDefault="007060C6" w:rsidP="008A5915">
                  <w:pPr>
                    <w:ind w:left="360" w:hanging="14"/>
                    <w:rPr>
                      <w:rFonts w:eastAsia="Arial Unicode MS"/>
                    </w:rPr>
                  </w:pPr>
                  <w:r w:rsidRPr="00DC5541">
                    <w:rPr>
                      <w:rFonts w:eastAsia="Arial Unicode MS"/>
                    </w:rPr>
                    <w:t>Attachment 5c.  Ebola Tracking Form for Environmental Services Personnel</w:t>
                  </w:r>
                </w:p>
              </w:tc>
            </w:tr>
            <w:tr w:rsidR="007060C6" w:rsidRPr="00DC5541" w14:paraId="0C0707AD" w14:textId="77777777" w:rsidTr="008A5915">
              <w:trPr>
                <w:trHeight w:val="260"/>
              </w:trPr>
              <w:tc>
                <w:tcPr>
                  <w:tcW w:w="9180" w:type="dxa"/>
                  <w:shd w:val="clear" w:color="auto" w:fill="auto"/>
                  <w:tcMar>
                    <w:top w:w="0" w:type="dxa"/>
                    <w:left w:w="14" w:type="dxa"/>
                    <w:bottom w:w="0" w:type="dxa"/>
                    <w:right w:w="14" w:type="dxa"/>
                  </w:tcMar>
                </w:tcPr>
                <w:p w14:paraId="72BB06F6" w14:textId="77777777" w:rsidR="007060C6" w:rsidRPr="00DC5541" w:rsidRDefault="007060C6" w:rsidP="008A5915">
                  <w:pPr>
                    <w:ind w:left="360" w:hanging="360"/>
                    <w:rPr>
                      <w:rFonts w:eastAsia="Arial Unicode MS"/>
                      <w:i/>
                    </w:rPr>
                  </w:pPr>
                  <w:r w:rsidRPr="00DC5541">
                    <w:rPr>
                      <w:rFonts w:eastAsia="Arial Unicode MS"/>
                      <w:i/>
                    </w:rPr>
                    <w:t>Template to facilitate twice daily 21-day follow-up</w:t>
                  </w:r>
                </w:p>
              </w:tc>
            </w:tr>
            <w:tr w:rsidR="007060C6" w:rsidRPr="00DC5541" w14:paraId="108ACA11" w14:textId="77777777" w:rsidTr="008A5915">
              <w:trPr>
                <w:trHeight w:val="260"/>
              </w:trPr>
              <w:tc>
                <w:tcPr>
                  <w:tcW w:w="9180" w:type="dxa"/>
                  <w:shd w:val="clear" w:color="auto" w:fill="auto"/>
                  <w:tcMar>
                    <w:top w:w="0" w:type="dxa"/>
                    <w:left w:w="14" w:type="dxa"/>
                    <w:bottom w:w="0" w:type="dxa"/>
                    <w:right w:w="14" w:type="dxa"/>
                  </w:tcMar>
                </w:tcPr>
                <w:p w14:paraId="04BE3884" w14:textId="77777777" w:rsidR="007060C6" w:rsidRPr="00DC5541" w:rsidRDefault="007060C6" w:rsidP="008A5915">
                  <w:pPr>
                    <w:ind w:left="360" w:hanging="14"/>
                    <w:rPr>
                      <w:rFonts w:eastAsia="Arial Unicode MS"/>
                    </w:rPr>
                  </w:pPr>
                  <w:r w:rsidRPr="00DC5541">
                    <w:rPr>
                      <w:rFonts w:eastAsia="Arial Unicode MS"/>
                    </w:rPr>
                    <w:t>Attachment 6.  Symptom Monitoring Form</w:t>
                  </w:r>
                </w:p>
              </w:tc>
            </w:tr>
            <w:tr w:rsidR="007060C6" w:rsidRPr="00DC5541" w14:paraId="5D9D0FE8" w14:textId="77777777" w:rsidTr="008A5915">
              <w:trPr>
                <w:trHeight w:val="260"/>
              </w:trPr>
              <w:tc>
                <w:tcPr>
                  <w:tcW w:w="9180" w:type="dxa"/>
                  <w:shd w:val="clear" w:color="auto" w:fill="auto"/>
                  <w:tcMar>
                    <w:top w:w="0" w:type="dxa"/>
                    <w:left w:w="14" w:type="dxa"/>
                    <w:bottom w:w="0" w:type="dxa"/>
                    <w:right w:w="14" w:type="dxa"/>
                  </w:tcMar>
                </w:tcPr>
                <w:p w14:paraId="3776A4CD" w14:textId="77777777" w:rsidR="007060C6" w:rsidRPr="00DC5541" w:rsidRDefault="007060C6" w:rsidP="008A5915">
                  <w:pPr>
                    <w:ind w:left="360" w:hanging="360"/>
                    <w:rPr>
                      <w:rFonts w:eastAsia="Arial Unicode MS"/>
                      <w:i/>
                    </w:rPr>
                  </w:pPr>
                  <w:r w:rsidRPr="00DC5541">
                    <w:rPr>
                      <w:rFonts w:eastAsia="Arial Unicode MS"/>
                      <w:i/>
                    </w:rPr>
                    <w:t>Generic end-of-monitoring letter</w:t>
                  </w:r>
                </w:p>
              </w:tc>
            </w:tr>
            <w:tr w:rsidR="007060C6" w:rsidRPr="00DC5541" w14:paraId="34F30461" w14:textId="77777777" w:rsidTr="008A5915">
              <w:trPr>
                <w:trHeight w:val="260"/>
              </w:trPr>
              <w:tc>
                <w:tcPr>
                  <w:tcW w:w="9180" w:type="dxa"/>
                  <w:shd w:val="clear" w:color="auto" w:fill="auto"/>
                  <w:tcMar>
                    <w:top w:w="0" w:type="dxa"/>
                    <w:left w:w="14" w:type="dxa"/>
                    <w:bottom w:w="0" w:type="dxa"/>
                    <w:right w:w="14" w:type="dxa"/>
                  </w:tcMar>
                </w:tcPr>
                <w:p w14:paraId="6D782366" w14:textId="77777777" w:rsidR="007060C6" w:rsidRPr="00DC5541" w:rsidRDefault="007060C6" w:rsidP="008A5915">
                  <w:pPr>
                    <w:ind w:left="360" w:hanging="14"/>
                    <w:rPr>
                      <w:rFonts w:eastAsia="Arial Unicode MS"/>
                    </w:rPr>
                  </w:pPr>
                  <w:r w:rsidRPr="00DC5541">
                    <w:rPr>
                      <w:rFonts w:eastAsia="Arial Unicode MS"/>
                    </w:rPr>
                    <w:t>Attachment 7. Generic End-of-Monitoring Letter</w:t>
                  </w:r>
                </w:p>
              </w:tc>
            </w:tr>
            <w:tr w:rsidR="007060C6" w:rsidRPr="00DC5541" w14:paraId="7C34FA6B" w14:textId="77777777" w:rsidTr="008A5915">
              <w:trPr>
                <w:trHeight w:val="260"/>
              </w:trPr>
              <w:tc>
                <w:tcPr>
                  <w:tcW w:w="9180" w:type="dxa"/>
                  <w:shd w:val="clear" w:color="auto" w:fill="auto"/>
                  <w:tcMar>
                    <w:top w:w="0" w:type="dxa"/>
                    <w:left w:w="14" w:type="dxa"/>
                    <w:bottom w:w="0" w:type="dxa"/>
                    <w:right w:w="14" w:type="dxa"/>
                  </w:tcMar>
                </w:tcPr>
                <w:p w14:paraId="69FBCEAF" w14:textId="77777777" w:rsidR="007060C6" w:rsidRPr="00DC5541" w:rsidRDefault="007060C6" w:rsidP="008A5915">
                  <w:pPr>
                    <w:ind w:left="360" w:hanging="360"/>
                    <w:rPr>
                      <w:rFonts w:eastAsia="Arial Unicode MS"/>
                      <w:i/>
                    </w:rPr>
                  </w:pPr>
                  <w:r w:rsidRPr="00DC5541">
                    <w:rPr>
                      <w:rFonts w:eastAsia="Arial Unicode MS"/>
                      <w:i/>
                    </w:rPr>
                    <w:t>Data requests by federal government</w:t>
                  </w:r>
                </w:p>
              </w:tc>
            </w:tr>
            <w:tr w:rsidR="007060C6" w:rsidRPr="00DC5541" w14:paraId="6C38F85A" w14:textId="77777777" w:rsidTr="008A5915">
              <w:trPr>
                <w:trHeight w:val="260"/>
              </w:trPr>
              <w:tc>
                <w:tcPr>
                  <w:tcW w:w="9180" w:type="dxa"/>
                  <w:shd w:val="clear" w:color="auto" w:fill="auto"/>
                  <w:tcMar>
                    <w:top w:w="0" w:type="dxa"/>
                    <w:left w:w="14" w:type="dxa"/>
                    <w:bottom w:w="0" w:type="dxa"/>
                    <w:right w:w="14" w:type="dxa"/>
                  </w:tcMar>
                </w:tcPr>
                <w:p w14:paraId="1777DBD3" w14:textId="77777777" w:rsidR="007060C6" w:rsidRPr="00DC5541" w:rsidRDefault="007060C6" w:rsidP="008A5915">
                  <w:pPr>
                    <w:ind w:left="360" w:hanging="14"/>
                    <w:rPr>
                      <w:rFonts w:eastAsia="Arial Unicode MS"/>
                    </w:rPr>
                  </w:pPr>
                  <w:r w:rsidRPr="00DC5541">
                    <w:rPr>
                      <w:rFonts w:eastAsia="Arial Unicode MS"/>
                    </w:rPr>
                    <w:t xml:space="preserve">Attachment 8: White House Evening Report </w:t>
                  </w:r>
                </w:p>
              </w:tc>
            </w:tr>
          </w:tbl>
          <w:p w14:paraId="3EAFEE4A" w14:textId="0EDDDF1C" w:rsidR="007060C6" w:rsidRPr="00D47527" w:rsidRDefault="007060C6" w:rsidP="00C77EE2">
            <w:pPr>
              <w:ind w:left="360" w:hanging="360"/>
              <w:rPr>
                <w:rFonts w:eastAsia="Arial Unicode MS"/>
                <w:b/>
              </w:rPr>
            </w:pPr>
          </w:p>
        </w:tc>
      </w:tr>
    </w:tbl>
    <w:p w14:paraId="5967DE6C" w14:textId="77777777" w:rsidR="009A1889" w:rsidRDefault="009A1889" w:rsidP="00E15184">
      <w:bookmarkStart w:id="38" w:name="_GoBack"/>
      <w:bookmarkEnd w:id="38"/>
    </w:p>
    <w:p w14:paraId="00CCBC0A" w14:textId="77777777" w:rsidR="001522E2" w:rsidRDefault="001522E2" w:rsidP="00E15184"/>
    <w:sectPr w:rsidR="001522E2" w:rsidSect="00D945C2">
      <w:headerReference w:type="default" r:id="rId17"/>
      <w:footerReference w:type="even" r:id="rId18"/>
      <w:footerReference w:type="default" r:id="rId19"/>
      <w:pgSz w:w="12240" w:h="15840"/>
      <w:pgMar w:top="1440" w:right="1800" w:bottom="1440" w:left="180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617E85" w15:done="0"/>
  <w15:commentEx w15:paraId="10ED5BE7" w15:done="0"/>
  <w15:commentEx w15:paraId="04A91788" w15:done="0"/>
  <w15:commentEx w15:paraId="4BAD7AF8" w15:done="0"/>
  <w15:commentEx w15:paraId="4B117ADE" w15:done="0"/>
  <w15:commentEx w15:paraId="0CBB9498" w15:done="0"/>
  <w15:commentEx w15:paraId="677BC21C" w15:done="0"/>
  <w15:commentEx w15:paraId="2C04576B" w15:done="0"/>
  <w15:commentEx w15:paraId="45E61327" w15:done="0"/>
  <w15:commentEx w15:paraId="50D9A280" w15:done="0"/>
  <w15:commentEx w15:paraId="4F698158" w15:done="0"/>
  <w15:commentEx w15:paraId="74A5B5B2" w15:done="0"/>
  <w15:commentEx w15:paraId="0A8DA712" w15:done="0"/>
  <w15:commentEx w15:paraId="578C9FC7" w15:done="0"/>
  <w15:commentEx w15:paraId="63161D9A" w15:done="0"/>
  <w15:commentEx w15:paraId="4A9035C3" w15:done="0"/>
  <w15:commentEx w15:paraId="5C8E095D" w15:done="0"/>
  <w15:commentEx w15:paraId="42E00050" w15:done="0"/>
  <w15:commentEx w15:paraId="58133CB9" w15:done="0"/>
  <w15:commentEx w15:paraId="4C34EA8D" w15:done="0"/>
  <w15:commentEx w15:paraId="103AA17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B08399" w14:textId="77777777" w:rsidR="00466456" w:rsidRDefault="00466456">
      <w:r>
        <w:separator/>
      </w:r>
    </w:p>
  </w:endnote>
  <w:endnote w:type="continuationSeparator" w:id="0">
    <w:p w14:paraId="30302D2C" w14:textId="77777777" w:rsidR="00466456" w:rsidRDefault="00466456">
      <w:r>
        <w:continuationSeparator/>
      </w:r>
    </w:p>
  </w:endnote>
  <w:endnote w:type="continuationNotice" w:id="1">
    <w:p w14:paraId="4BD2CC0F" w14:textId="77777777" w:rsidR="00466456" w:rsidRDefault="004664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00" w:usb2="00000000" w:usb3="00000000" w:csb0="0000009F"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41ED4" w14:textId="77777777" w:rsidR="00466456" w:rsidRDefault="00466456" w:rsidP="008F79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1FA1ED" w14:textId="77777777" w:rsidR="00466456" w:rsidRDefault="00466456" w:rsidP="00D945C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9E945" w14:textId="77777777" w:rsidR="00466456" w:rsidRDefault="00466456" w:rsidP="008F79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97B73">
      <w:rPr>
        <w:rStyle w:val="PageNumber"/>
        <w:noProof/>
      </w:rPr>
      <w:t>18</w:t>
    </w:r>
    <w:r>
      <w:rPr>
        <w:rStyle w:val="PageNumber"/>
      </w:rPr>
      <w:fldChar w:fldCharType="end"/>
    </w:r>
  </w:p>
  <w:p w14:paraId="7A06E470" w14:textId="77777777" w:rsidR="00466456" w:rsidRDefault="00466456" w:rsidP="00D945C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1A6E84" w14:textId="77777777" w:rsidR="00466456" w:rsidRDefault="00466456">
      <w:r>
        <w:separator/>
      </w:r>
    </w:p>
  </w:footnote>
  <w:footnote w:type="continuationSeparator" w:id="0">
    <w:p w14:paraId="6BD13036" w14:textId="77777777" w:rsidR="00466456" w:rsidRDefault="00466456">
      <w:r>
        <w:continuationSeparator/>
      </w:r>
    </w:p>
  </w:footnote>
  <w:footnote w:type="continuationNotice" w:id="1">
    <w:p w14:paraId="7989E512" w14:textId="77777777" w:rsidR="00466456" w:rsidRDefault="00466456"/>
  </w:footnote>
  <w:footnote w:id="2">
    <w:p w14:paraId="49568733" w14:textId="77777777" w:rsidR="00466456" w:rsidRPr="00861404" w:rsidRDefault="00466456" w:rsidP="004D7AF8">
      <w:pPr>
        <w:rPr>
          <w:sz w:val="18"/>
          <w:szCs w:val="18"/>
          <w:lang w:val="en"/>
        </w:rPr>
      </w:pPr>
      <w:r w:rsidRPr="00861404">
        <w:rPr>
          <w:rStyle w:val="FootnoteReference"/>
          <w:sz w:val="18"/>
          <w:szCs w:val="18"/>
        </w:rPr>
        <w:footnoteRef/>
      </w:r>
      <w:r w:rsidRPr="00861404">
        <w:rPr>
          <w:sz w:val="18"/>
          <w:szCs w:val="18"/>
        </w:rPr>
        <w:t xml:space="preserve"> </w:t>
      </w:r>
      <w:r>
        <w:rPr>
          <w:sz w:val="18"/>
          <w:szCs w:val="18"/>
          <w:lang w:val="en"/>
        </w:rPr>
        <w:t>Information collected u</w:t>
      </w:r>
      <w:r w:rsidRPr="00861404">
        <w:rPr>
          <w:sz w:val="18"/>
          <w:szCs w:val="18"/>
          <w:lang w:val="en"/>
        </w:rPr>
        <w:t>nder a 90-day Office of Management and Budget (OMB) approval titled “</w:t>
      </w:r>
      <w:r w:rsidRPr="00861404">
        <w:rPr>
          <w:sz w:val="18"/>
          <w:szCs w:val="18"/>
        </w:rPr>
        <w:t>Emergency Epidemic Investigation Data Collections - Expedited Reviews” (</w:t>
      </w:r>
      <w:r w:rsidRPr="00861404">
        <w:rPr>
          <w:sz w:val="18"/>
          <w:szCs w:val="18"/>
          <w:lang w:val="en"/>
        </w:rPr>
        <w:t>OMB Control No. 0920-1011; expiration date: December 30, 2014).</w:t>
      </w:r>
    </w:p>
    <w:p w14:paraId="178D98E1" w14:textId="77777777" w:rsidR="00466456" w:rsidRPr="00861404" w:rsidRDefault="00466456">
      <w:pPr>
        <w:pStyle w:val="FootnoteText"/>
        <w:rPr>
          <w:sz w:val="18"/>
          <w:szCs w:val="18"/>
        </w:rPr>
      </w:pPr>
    </w:p>
  </w:footnote>
  <w:footnote w:id="3">
    <w:p w14:paraId="2E2EBD84" w14:textId="77777777" w:rsidR="00466456" w:rsidRPr="00B2572E" w:rsidRDefault="00466456" w:rsidP="00AD4BD1">
      <w:pPr>
        <w:pStyle w:val="FootnoteText"/>
        <w:spacing w:after="240"/>
        <w:rPr>
          <w:sz w:val="18"/>
          <w:szCs w:val="18"/>
        </w:rPr>
      </w:pPr>
      <w:r w:rsidRPr="00407AED">
        <w:rPr>
          <w:rStyle w:val="FootnoteReference"/>
          <w:sz w:val="18"/>
          <w:szCs w:val="18"/>
        </w:rPr>
        <w:footnoteRef/>
      </w:r>
      <w:r w:rsidRPr="001636FA">
        <w:rPr>
          <w:sz w:val="18"/>
          <w:szCs w:val="18"/>
        </w:rPr>
        <w:t xml:space="preserve"> </w:t>
      </w:r>
      <w:r w:rsidRPr="001636FA">
        <w:rPr>
          <w:bCs/>
          <w:sz w:val="18"/>
          <w:szCs w:val="18"/>
        </w:rPr>
        <w:t>Isolation</w:t>
      </w:r>
      <w:r w:rsidRPr="001636FA">
        <w:rPr>
          <w:sz w:val="18"/>
          <w:szCs w:val="18"/>
        </w:rPr>
        <w:t xml:space="preserve"> is used to separate sick people with a contagious disease from people who are not sick.</w:t>
      </w:r>
      <w:r w:rsidRPr="001636FA">
        <w:rPr>
          <w:bCs/>
          <w:sz w:val="18"/>
          <w:szCs w:val="18"/>
        </w:rPr>
        <w:t xml:space="preserve"> Quarantine</w:t>
      </w:r>
      <w:r w:rsidRPr="001636FA">
        <w:rPr>
          <w:sz w:val="18"/>
          <w:szCs w:val="18"/>
        </w:rPr>
        <w:t xml:space="preserve"> is used to separate and restrict</w:t>
      </w:r>
      <w:r w:rsidRPr="00B2572E">
        <w:rPr>
          <w:sz w:val="18"/>
          <w:szCs w:val="18"/>
        </w:rPr>
        <w:t xml:space="preserve"> the movement of people who were exposed to a contagious disease to see if they become sick.</w:t>
      </w:r>
    </w:p>
  </w:footnote>
  <w:footnote w:id="4">
    <w:p w14:paraId="52293942" w14:textId="77777777" w:rsidR="00466456" w:rsidRDefault="00466456">
      <w:pPr>
        <w:pStyle w:val="FootnoteText"/>
        <w:rPr>
          <w:sz w:val="18"/>
          <w:szCs w:val="18"/>
        </w:rPr>
      </w:pPr>
      <w:r w:rsidRPr="00B2572E">
        <w:rPr>
          <w:rStyle w:val="FootnoteReference"/>
          <w:sz w:val="18"/>
          <w:szCs w:val="18"/>
        </w:rPr>
        <w:footnoteRef/>
      </w:r>
      <w:r w:rsidRPr="00B2572E">
        <w:rPr>
          <w:sz w:val="18"/>
          <w:szCs w:val="18"/>
        </w:rPr>
        <w:t xml:space="preserve"> These two OMB approval mec</w:t>
      </w:r>
      <w:r>
        <w:rPr>
          <w:sz w:val="18"/>
          <w:szCs w:val="18"/>
        </w:rPr>
        <w:t>hanisms are update</w:t>
      </w:r>
      <w:r w:rsidRPr="00B2572E">
        <w:rPr>
          <w:sz w:val="18"/>
          <w:szCs w:val="18"/>
        </w:rPr>
        <w:t xml:space="preserve">d to include specific data collection forms and materials recently developed to detect and control the introduction and spread of EVD in the U.S. “Quarantine Station Illness Response Forms: Airline, Maritime, and Land/Border Crossing” (OMB Control No. 0920-0821; expiration date: August 31, </w:t>
      </w:r>
      <w:r w:rsidRPr="0096492B">
        <w:rPr>
          <w:sz w:val="18"/>
          <w:szCs w:val="18"/>
        </w:rPr>
        <w:t xml:space="preserve">2015); “Contact Investigation Outcome Reporting Forms” (OMB Control No. 0920-0900; expiration date: October 31, 2017). </w:t>
      </w:r>
    </w:p>
    <w:p w14:paraId="12867DAF" w14:textId="77777777" w:rsidR="00466456" w:rsidRPr="0096492B" w:rsidRDefault="00466456">
      <w:pPr>
        <w:pStyle w:val="FootnoteText"/>
        <w:rPr>
          <w:sz w:val="18"/>
          <w:szCs w:val="18"/>
        </w:rPr>
      </w:pPr>
    </w:p>
  </w:footnote>
  <w:footnote w:id="5">
    <w:p w14:paraId="4C905AD8" w14:textId="77777777" w:rsidR="00466456" w:rsidRDefault="00466456" w:rsidP="000C0D4A">
      <w:pPr>
        <w:pStyle w:val="FootnoteText"/>
      </w:pPr>
      <w:r w:rsidRPr="0096492B">
        <w:rPr>
          <w:rStyle w:val="FootnoteReference"/>
          <w:sz w:val="18"/>
          <w:szCs w:val="18"/>
        </w:rPr>
        <w:footnoteRef/>
      </w:r>
      <w:r w:rsidRPr="0096492B">
        <w:rPr>
          <w:sz w:val="18"/>
          <w:szCs w:val="18"/>
        </w:rPr>
        <w:t xml:space="preserve"> Periodically updated, it is available at </w:t>
      </w:r>
      <w:hyperlink r:id="rId1" w:history="1">
        <w:r w:rsidRPr="0096492B">
          <w:rPr>
            <w:rStyle w:val="Hyperlink"/>
            <w:sz w:val="18"/>
            <w:szCs w:val="18"/>
          </w:rPr>
          <w:t>http://www.cdc.gov/vhf/ebola/exposure/monitoring-and-movement-of-persons-with-exposure.html</w:t>
        </w:r>
      </w:hyperlink>
      <w:r w:rsidRPr="0096492B">
        <w:rPr>
          <w:sz w:val="18"/>
          <w:szCs w:val="18"/>
        </w:rPr>
        <w:t>.</w:t>
      </w:r>
      <w:r>
        <w:t xml:space="preserve"> </w:t>
      </w:r>
    </w:p>
  </w:footnote>
  <w:footnote w:id="6">
    <w:p w14:paraId="58F9FA1E" w14:textId="77777777" w:rsidR="00466456" w:rsidRDefault="00466456" w:rsidP="004F6A99">
      <w:pPr>
        <w:pStyle w:val="FootnoteText"/>
        <w:rPr>
          <w:sz w:val="18"/>
          <w:szCs w:val="18"/>
        </w:rPr>
      </w:pPr>
      <w:r w:rsidRPr="008F1F44">
        <w:rPr>
          <w:rStyle w:val="FootnoteReference"/>
          <w:sz w:val="18"/>
          <w:szCs w:val="18"/>
        </w:rPr>
        <w:footnoteRef/>
      </w:r>
      <w:r w:rsidRPr="008F1F44">
        <w:rPr>
          <w:sz w:val="18"/>
          <w:szCs w:val="18"/>
        </w:rPr>
        <w:t xml:space="preserve"> For healthcare workers under direct active monitoring, public health authorities can delegate the responsibility for direct active monitoring to the healthcare facility’s occupational health program or the hospital epidemiologist.</w:t>
      </w:r>
    </w:p>
    <w:p w14:paraId="08FD2F16" w14:textId="77777777" w:rsidR="00466456" w:rsidRPr="008F1F44" w:rsidRDefault="00466456" w:rsidP="004F6A99">
      <w:pPr>
        <w:pStyle w:val="FootnoteText"/>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8D00E" w14:textId="77777777" w:rsidR="00466456" w:rsidRDefault="004664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F09A1"/>
    <w:multiLevelType w:val="hybridMultilevel"/>
    <w:tmpl w:val="01A6AF14"/>
    <w:lvl w:ilvl="0" w:tplc="6D1089E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B500299"/>
    <w:multiLevelType w:val="hybridMultilevel"/>
    <w:tmpl w:val="977CF0EE"/>
    <w:lvl w:ilvl="0" w:tplc="A30C773C">
      <w:start w:val="1"/>
      <w:numFmt w:val="bullet"/>
      <w:lvlText w:val="•"/>
      <w:lvlJc w:val="left"/>
      <w:pPr>
        <w:tabs>
          <w:tab w:val="num" w:pos="720"/>
        </w:tabs>
        <w:ind w:left="720" w:hanging="360"/>
      </w:pPr>
      <w:rPr>
        <w:rFonts w:ascii="Times New Roman" w:hAnsi="Times New Roman" w:hint="default"/>
      </w:rPr>
    </w:lvl>
    <w:lvl w:ilvl="1" w:tplc="C9E048DA">
      <w:start w:val="170"/>
      <w:numFmt w:val="bullet"/>
      <w:lvlText w:val="–"/>
      <w:lvlJc w:val="left"/>
      <w:pPr>
        <w:tabs>
          <w:tab w:val="num" w:pos="1440"/>
        </w:tabs>
        <w:ind w:left="1440" w:hanging="360"/>
      </w:pPr>
      <w:rPr>
        <w:rFonts w:ascii="Times New Roman" w:hAnsi="Times New Roman" w:hint="default"/>
      </w:rPr>
    </w:lvl>
    <w:lvl w:ilvl="2" w:tplc="40E04254" w:tentative="1">
      <w:start w:val="1"/>
      <w:numFmt w:val="bullet"/>
      <w:lvlText w:val="•"/>
      <w:lvlJc w:val="left"/>
      <w:pPr>
        <w:tabs>
          <w:tab w:val="num" w:pos="2160"/>
        </w:tabs>
        <w:ind w:left="2160" w:hanging="360"/>
      </w:pPr>
      <w:rPr>
        <w:rFonts w:ascii="Times New Roman" w:hAnsi="Times New Roman" w:hint="default"/>
      </w:rPr>
    </w:lvl>
    <w:lvl w:ilvl="3" w:tplc="E7DA149A" w:tentative="1">
      <w:start w:val="1"/>
      <w:numFmt w:val="bullet"/>
      <w:lvlText w:val="•"/>
      <w:lvlJc w:val="left"/>
      <w:pPr>
        <w:tabs>
          <w:tab w:val="num" w:pos="2880"/>
        </w:tabs>
        <w:ind w:left="2880" w:hanging="360"/>
      </w:pPr>
      <w:rPr>
        <w:rFonts w:ascii="Times New Roman" w:hAnsi="Times New Roman" w:hint="default"/>
      </w:rPr>
    </w:lvl>
    <w:lvl w:ilvl="4" w:tplc="9F7A8544" w:tentative="1">
      <w:start w:val="1"/>
      <w:numFmt w:val="bullet"/>
      <w:lvlText w:val="•"/>
      <w:lvlJc w:val="left"/>
      <w:pPr>
        <w:tabs>
          <w:tab w:val="num" w:pos="3600"/>
        </w:tabs>
        <w:ind w:left="3600" w:hanging="360"/>
      </w:pPr>
      <w:rPr>
        <w:rFonts w:ascii="Times New Roman" w:hAnsi="Times New Roman" w:hint="default"/>
      </w:rPr>
    </w:lvl>
    <w:lvl w:ilvl="5" w:tplc="E8FA81F2" w:tentative="1">
      <w:start w:val="1"/>
      <w:numFmt w:val="bullet"/>
      <w:lvlText w:val="•"/>
      <w:lvlJc w:val="left"/>
      <w:pPr>
        <w:tabs>
          <w:tab w:val="num" w:pos="4320"/>
        </w:tabs>
        <w:ind w:left="4320" w:hanging="360"/>
      </w:pPr>
      <w:rPr>
        <w:rFonts w:ascii="Times New Roman" w:hAnsi="Times New Roman" w:hint="default"/>
      </w:rPr>
    </w:lvl>
    <w:lvl w:ilvl="6" w:tplc="A5B6E254" w:tentative="1">
      <w:start w:val="1"/>
      <w:numFmt w:val="bullet"/>
      <w:lvlText w:val="•"/>
      <w:lvlJc w:val="left"/>
      <w:pPr>
        <w:tabs>
          <w:tab w:val="num" w:pos="5040"/>
        </w:tabs>
        <w:ind w:left="5040" w:hanging="360"/>
      </w:pPr>
      <w:rPr>
        <w:rFonts w:ascii="Times New Roman" w:hAnsi="Times New Roman" w:hint="default"/>
      </w:rPr>
    </w:lvl>
    <w:lvl w:ilvl="7" w:tplc="5BCE4510" w:tentative="1">
      <w:start w:val="1"/>
      <w:numFmt w:val="bullet"/>
      <w:lvlText w:val="•"/>
      <w:lvlJc w:val="left"/>
      <w:pPr>
        <w:tabs>
          <w:tab w:val="num" w:pos="5760"/>
        </w:tabs>
        <w:ind w:left="5760" w:hanging="360"/>
      </w:pPr>
      <w:rPr>
        <w:rFonts w:ascii="Times New Roman" w:hAnsi="Times New Roman" w:hint="default"/>
      </w:rPr>
    </w:lvl>
    <w:lvl w:ilvl="8" w:tplc="0812D7B4" w:tentative="1">
      <w:start w:val="1"/>
      <w:numFmt w:val="bullet"/>
      <w:lvlText w:val="•"/>
      <w:lvlJc w:val="left"/>
      <w:pPr>
        <w:tabs>
          <w:tab w:val="num" w:pos="6480"/>
        </w:tabs>
        <w:ind w:left="6480" w:hanging="360"/>
      </w:pPr>
      <w:rPr>
        <w:rFonts w:ascii="Times New Roman" w:hAnsi="Times New Roman" w:hint="default"/>
      </w:rPr>
    </w:lvl>
  </w:abstractNum>
  <w:abstractNum w:abstractNumId="2">
    <w:nsid w:val="1F497C5F"/>
    <w:multiLevelType w:val="hybridMultilevel"/>
    <w:tmpl w:val="4DECA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15001E"/>
    <w:multiLevelType w:val="multilevel"/>
    <w:tmpl w:val="633ED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814B78"/>
    <w:multiLevelType w:val="hybridMultilevel"/>
    <w:tmpl w:val="E1D4F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281089"/>
    <w:multiLevelType w:val="hybridMultilevel"/>
    <w:tmpl w:val="29864E2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30B66A3"/>
    <w:multiLevelType w:val="multilevel"/>
    <w:tmpl w:val="8DEE4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567EDC"/>
    <w:multiLevelType w:val="hybridMultilevel"/>
    <w:tmpl w:val="094E60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472BEF"/>
    <w:multiLevelType w:val="hybridMultilevel"/>
    <w:tmpl w:val="5A3E5C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2771368"/>
    <w:multiLevelType w:val="hybridMultilevel"/>
    <w:tmpl w:val="76840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7192862"/>
    <w:multiLevelType w:val="hybridMultilevel"/>
    <w:tmpl w:val="3BF21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2621AA"/>
    <w:multiLevelType w:val="multilevel"/>
    <w:tmpl w:val="3C18C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2018F0"/>
    <w:multiLevelType w:val="hybridMultilevel"/>
    <w:tmpl w:val="C46607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D55BE2"/>
    <w:multiLevelType w:val="multilevel"/>
    <w:tmpl w:val="FB545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1891566"/>
    <w:multiLevelType w:val="hybridMultilevel"/>
    <w:tmpl w:val="34A29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2811F63"/>
    <w:multiLevelType w:val="hybridMultilevel"/>
    <w:tmpl w:val="956007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CB57D3E"/>
    <w:multiLevelType w:val="multilevel"/>
    <w:tmpl w:val="FB545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15"/>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16"/>
  </w:num>
  <w:num w:numId="8">
    <w:abstractNumId w:val="3"/>
  </w:num>
  <w:num w:numId="9">
    <w:abstractNumId w:val="6"/>
  </w:num>
  <w:num w:numId="10">
    <w:abstractNumId w:val="11"/>
  </w:num>
  <w:num w:numId="11">
    <w:abstractNumId w:val="5"/>
  </w:num>
  <w:num w:numId="12">
    <w:abstractNumId w:val="4"/>
  </w:num>
  <w:num w:numId="13">
    <w:abstractNumId w:val="13"/>
  </w:num>
  <w:num w:numId="14">
    <w:abstractNumId w:val="8"/>
  </w:num>
  <w:num w:numId="15">
    <w:abstractNumId w:val="9"/>
  </w:num>
  <w:num w:numId="16">
    <w:abstractNumId w:val="14"/>
  </w:num>
  <w:num w:numId="17">
    <w:abstractNumId w:val="2"/>
  </w:num>
  <w:num w:numId="18">
    <w:abstractNumId w:val="10"/>
  </w:num>
  <w:num w:numId="19">
    <w:abstractNumId w:val="12"/>
  </w:num>
  <w:num w:numId="2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iggins, Cortney">
    <w15:presenceInfo w15:providerId="AD" w15:userId="S-1-5-21-1454471165-117609710-725345543-35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5C2"/>
    <w:rsid w:val="00002276"/>
    <w:rsid w:val="00002C6D"/>
    <w:rsid w:val="00004461"/>
    <w:rsid w:val="00010ED7"/>
    <w:rsid w:val="00011518"/>
    <w:rsid w:val="00013215"/>
    <w:rsid w:val="00013C73"/>
    <w:rsid w:val="00014364"/>
    <w:rsid w:val="00014595"/>
    <w:rsid w:val="0001490B"/>
    <w:rsid w:val="0001539F"/>
    <w:rsid w:val="00015D17"/>
    <w:rsid w:val="00020E62"/>
    <w:rsid w:val="000229A4"/>
    <w:rsid w:val="00025547"/>
    <w:rsid w:val="00025A88"/>
    <w:rsid w:val="00026ECA"/>
    <w:rsid w:val="00027B52"/>
    <w:rsid w:val="00030C56"/>
    <w:rsid w:val="000321C9"/>
    <w:rsid w:val="00032203"/>
    <w:rsid w:val="00032C32"/>
    <w:rsid w:val="00032FA8"/>
    <w:rsid w:val="00033C94"/>
    <w:rsid w:val="00034C4E"/>
    <w:rsid w:val="00035F40"/>
    <w:rsid w:val="00040484"/>
    <w:rsid w:val="00040A40"/>
    <w:rsid w:val="00040C8C"/>
    <w:rsid w:val="00042155"/>
    <w:rsid w:val="00043302"/>
    <w:rsid w:val="0004416B"/>
    <w:rsid w:val="00044DC1"/>
    <w:rsid w:val="00047943"/>
    <w:rsid w:val="000510AA"/>
    <w:rsid w:val="000510EE"/>
    <w:rsid w:val="000518E5"/>
    <w:rsid w:val="00053A03"/>
    <w:rsid w:val="00056A04"/>
    <w:rsid w:val="00056CF8"/>
    <w:rsid w:val="000570D4"/>
    <w:rsid w:val="00062925"/>
    <w:rsid w:val="00063483"/>
    <w:rsid w:val="00065584"/>
    <w:rsid w:val="00070034"/>
    <w:rsid w:val="00085488"/>
    <w:rsid w:val="00085AFE"/>
    <w:rsid w:val="000933A8"/>
    <w:rsid w:val="0009416E"/>
    <w:rsid w:val="00094F11"/>
    <w:rsid w:val="00095659"/>
    <w:rsid w:val="00095FC6"/>
    <w:rsid w:val="00097504"/>
    <w:rsid w:val="000A01D2"/>
    <w:rsid w:val="000A21A2"/>
    <w:rsid w:val="000A23BC"/>
    <w:rsid w:val="000A4D86"/>
    <w:rsid w:val="000A74DA"/>
    <w:rsid w:val="000B3396"/>
    <w:rsid w:val="000B3853"/>
    <w:rsid w:val="000B4AD7"/>
    <w:rsid w:val="000B4B36"/>
    <w:rsid w:val="000B5CA1"/>
    <w:rsid w:val="000B678F"/>
    <w:rsid w:val="000C08C7"/>
    <w:rsid w:val="000C0AC7"/>
    <w:rsid w:val="000C0D4A"/>
    <w:rsid w:val="000C6364"/>
    <w:rsid w:val="000C6661"/>
    <w:rsid w:val="000C7170"/>
    <w:rsid w:val="000D3E31"/>
    <w:rsid w:val="000D5411"/>
    <w:rsid w:val="000D5A87"/>
    <w:rsid w:val="000D7F36"/>
    <w:rsid w:val="000E0011"/>
    <w:rsid w:val="000E05C8"/>
    <w:rsid w:val="000E12AA"/>
    <w:rsid w:val="000E2DF1"/>
    <w:rsid w:val="000E3E8B"/>
    <w:rsid w:val="000E4357"/>
    <w:rsid w:val="000E7AFC"/>
    <w:rsid w:val="000F09EB"/>
    <w:rsid w:val="000F4D63"/>
    <w:rsid w:val="000F5493"/>
    <w:rsid w:val="001000F7"/>
    <w:rsid w:val="00101491"/>
    <w:rsid w:val="00101495"/>
    <w:rsid w:val="00104107"/>
    <w:rsid w:val="0010644D"/>
    <w:rsid w:val="00114B7F"/>
    <w:rsid w:val="00121A08"/>
    <w:rsid w:val="00121A8D"/>
    <w:rsid w:val="00121B7F"/>
    <w:rsid w:val="001220A5"/>
    <w:rsid w:val="00126F78"/>
    <w:rsid w:val="001279BF"/>
    <w:rsid w:val="00131CCA"/>
    <w:rsid w:val="00131DB4"/>
    <w:rsid w:val="00132C11"/>
    <w:rsid w:val="0014158C"/>
    <w:rsid w:val="00143B1D"/>
    <w:rsid w:val="00144B14"/>
    <w:rsid w:val="001460BF"/>
    <w:rsid w:val="00146543"/>
    <w:rsid w:val="001478BE"/>
    <w:rsid w:val="00151E51"/>
    <w:rsid w:val="001522E2"/>
    <w:rsid w:val="00152855"/>
    <w:rsid w:val="0015320D"/>
    <w:rsid w:val="001557AF"/>
    <w:rsid w:val="00156B25"/>
    <w:rsid w:val="00160F92"/>
    <w:rsid w:val="001636FA"/>
    <w:rsid w:val="00165887"/>
    <w:rsid w:val="0017037A"/>
    <w:rsid w:val="00170EA3"/>
    <w:rsid w:val="001737FD"/>
    <w:rsid w:val="00174E45"/>
    <w:rsid w:val="0017541E"/>
    <w:rsid w:val="001755AA"/>
    <w:rsid w:val="001755FE"/>
    <w:rsid w:val="001758DF"/>
    <w:rsid w:val="00176670"/>
    <w:rsid w:val="00176910"/>
    <w:rsid w:val="00177995"/>
    <w:rsid w:val="001841E3"/>
    <w:rsid w:val="00184949"/>
    <w:rsid w:val="0018659B"/>
    <w:rsid w:val="00190015"/>
    <w:rsid w:val="001929BA"/>
    <w:rsid w:val="001A235D"/>
    <w:rsid w:val="001A2802"/>
    <w:rsid w:val="001A2E68"/>
    <w:rsid w:val="001A4F8F"/>
    <w:rsid w:val="001A62F4"/>
    <w:rsid w:val="001A7153"/>
    <w:rsid w:val="001B0ECB"/>
    <w:rsid w:val="001B36B2"/>
    <w:rsid w:val="001B376F"/>
    <w:rsid w:val="001B5EBA"/>
    <w:rsid w:val="001B6337"/>
    <w:rsid w:val="001C01E3"/>
    <w:rsid w:val="001C7D43"/>
    <w:rsid w:val="001D035C"/>
    <w:rsid w:val="001D0D61"/>
    <w:rsid w:val="001D22A8"/>
    <w:rsid w:val="001D7CE2"/>
    <w:rsid w:val="001E09A8"/>
    <w:rsid w:val="001E0EEA"/>
    <w:rsid w:val="001E41A6"/>
    <w:rsid w:val="001E77A0"/>
    <w:rsid w:val="001F1F59"/>
    <w:rsid w:val="001F6766"/>
    <w:rsid w:val="001F68F7"/>
    <w:rsid w:val="00200BA5"/>
    <w:rsid w:val="00201C55"/>
    <w:rsid w:val="00202014"/>
    <w:rsid w:val="002033F2"/>
    <w:rsid w:val="00203E10"/>
    <w:rsid w:val="002061EB"/>
    <w:rsid w:val="00206C6C"/>
    <w:rsid w:val="00210B3D"/>
    <w:rsid w:val="0021153B"/>
    <w:rsid w:val="002123DB"/>
    <w:rsid w:val="0021476B"/>
    <w:rsid w:val="002176E9"/>
    <w:rsid w:val="00220666"/>
    <w:rsid w:val="00221799"/>
    <w:rsid w:val="002220CD"/>
    <w:rsid w:val="00223AB6"/>
    <w:rsid w:val="00224973"/>
    <w:rsid w:val="00227886"/>
    <w:rsid w:val="0023013E"/>
    <w:rsid w:val="002304C3"/>
    <w:rsid w:val="002335AC"/>
    <w:rsid w:val="00235A22"/>
    <w:rsid w:val="00236838"/>
    <w:rsid w:val="0023724C"/>
    <w:rsid w:val="00237904"/>
    <w:rsid w:val="002408CE"/>
    <w:rsid w:val="00241105"/>
    <w:rsid w:val="00242218"/>
    <w:rsid w:val="00242225"/>
    <w:rsid w:val="0024433F"/>
    <w:rsid w:val="00246774"/>
    <w:rsid w:val="00246DF5"/>
    <w:rsid w:val="00247A71"/>
    <w:rsid w:val="0025092F"/>
    <w:rsid w:val="002562DA"/>
    <w:rsid w:val="002569E6"/>
    <w:rsid w:val="00264BB0"/>
    <w:rsid w:val="002732A0"/>
    <w:rsid w:val="00277FC5"/>
    <w:rsid w:val="0028098D"/>
    <w:rsid w:val="00280AA8"/>
    <w:rsid w:val="00281046"/>
    <w:rsid w:val="002828B6"/>
    <w:rsid w:val="0028527C"/>
    <w:rsid w:val="00287926"/>
    <w:rsid w:val="00291B7F"/>
    <w:rsid w:val="00293E1F"/>
    <w:rsid w:val="00294F11"/>
    <w:rsid w:val="002950F0"/>
    <w:rsid w:val="00296EFE"/>
    <w:rsid w:val="002A5486"/>
    <w:rsid w:val="002A5FCB"/>
    <w:rsid w:val="002B58BE"/>
    <w:rsid w:val="002B59DF"/>
    <w:rsid w:val="002B6A89"/>
    <w:rsid w:val="002C25C2"/>
    <w:rsid w:val="002C4BD4"/>
    <w:rsid w:val="002C5F29"/>
    <w:rsid w:val="002C5FE6"/>
    <w:rsid w:val="002C6746"/>
    <w:rsid w:val="002C7AC8"/>
    <w:rsid w:val="002D0528"/>
    <w:rsid w:val="002D0673"/>
    <w:rsid w:val="002D2406"/>
    <w:rsid w:val="002D275A"/>
    <w:rsid w:val="002D60B9"/>
    <w:rsid w:val="002E04F3"/>
    <w:rsid w:val="002E142B"/>
    <w:rsid w:val="002E225E"/>
    <w:rsid w:val="002E31F5"/>
    <w:rsid w:val="002E594B"/>
    <w:rsid w:val="002F1576"/>
    <w:rsid w:val="002F15E1"/>
    <w:rsid w:val="002F1A22"/>
    <w:rsid w:val="002F249B"/>
    <w:rsid w:val="002F2ED3"/>
    <w:rsid w:val="002F417B"/>
    <w:rsid w:val="002F6E00"/>
    <w:rsid w:val="00302279"/>
    <w:rsid w:val="00303555"/>
    <w:rsid w:val="00307D93"/>
    <w:rsid w:val="00310466"/>
    <w:rsid w:val="00312D43"/>
    <w:rsid w:val="00312D9E"/>
    <w:rsid w:val="0031385E"/>
    <w:rsid w:val="0031506F"/>
    <w:rsid w:val="00321E03"/>
    <w:rsid w:val="00322291"/>
    <w:rsid w:val="00326193"/>
    <w:rsid w:val="003271A9"/>
    <w:rsid w:val="0032774B"/>
    <w:rsid w:val="0033294B"/>
    <w:rsid w:val="00333231"/>
    <w:rsid w:val="0033533A"/>
    <w:rsid w:val="00335511"/>
    <w:rsid w:val="00336A37"/>
    <w:rsid w:val="00336F8A"/>
    <w:rsid w:val="00340397"/>
    <w:rsid w:val="003433BF"/>
    <w:rsid w:val="00346D12"/>
    <w:rsid w:val="00355C35"/>
    <w:rsid w:val="00356387"/>
    <w:rsid w:val="00356B43"/>
    <w:rsid w:val="003602B4"/>
    <w:rsid w:val="00360E40"/>
    <w:rsid w:val="00361E93"/>
    <w:rsid w:val="00365089"/>
    <w:rsid w:val="00366D35"/>
    <w:rsid w:val="00371E60"/>
    <w:rsid w:val="00374D80"/>
    <w:rsid w:val="00380DEB"/>
    <w:rsid w:val="00380E7D"/>
    <w:rsid w:val="0038198B"/>
    <w:rsid w:val="00384DD3"/>
    <w:rsid w:val="003877AF"/>
    <w:rsid w:val="003968E2"/>
    <w:rsid w:val="0039722C"/>
    <w:rsid w:val="003A1F4A"/>
    <w:rsid w:val="003A21EB"/>
    <w:rsid w:val="003A272D"/>
    <w:rsid w:val="003A4248"/>
    <w:rsid w:val="003A4B24"/>
    <w:rsid w:val="003A5102"/>
    <w:rsid w:val="003B0FBF"/>
    <w:rsid w:val="003B17BF"/>
    <w:rsid w:val="003B35BB"/>
    <w:rsid w:val="003B4259"/>
    <w:rsid w:val="003B5883"/>
    <w:rsid w:val="003B5AAE"/>
    <w:rsid w:val="003B6C04"/>
    <w:rsid w:val="003B756B"/>
    <w:rsid w:val="003B79B3"/>
    <w:rsid w:val="003C059B"/>
    <w:rsid w:val="003C0F61"/>
    <w:rsid w:val="003C2431"/>
    <w:rsid w:val="003C2D7F"/>
    <w:rsid w:val="003C3EEC"/>
    <w:rsid w:val="003C42AE"/>
    <w:rsid w:val="003C4302"/>
    <w:rsid w:val="003C514D"/>
    <w:rsid w:val="003C793B"/>
    <w:rsid w:val="003D28A4"/>
    <w:rsid w:val="003D3078"/>
    <w:rsid w:val="003D5663"/>
    <w:rsid w:val="003D6FE7"/>
    <w:rsid w:val="003D784D"/>
    <w:rsid w:val="003D7A5C"/>
    <w:rsid w:val="003D7C72"/>
    <w:rsid w:val="003E4E63"/>
    <w:rsid w:val="003E4F71"/>
    <w:rsid w:val="003E6DDB"/>
    <w:rsid w:val="003F0A5E"/>
    <w:rsid w:val="003F189C"/>
    <w:rsid w:val="003F1E01"/>
    <w:rsid w:val="003F2528"/>
    <w:rsid w:val="003F5988"/>
    <w:rsid w:val="003F5C76"/>
    <w:rsid w:val="003F6F71"/>
    <w:rsid w:val="003F6FED"/>
    <w:rsid w:val="003F7350"/>
    <w:rsid w:val="00402990"/>
    <w:rsid w:val="004038E1"/>
    <w:rsid w:val="004046CC"/>
    <w:rsid w:val="004070F9"/>
    <w:rsid w:val="00407AED"/>
    <w:rsid w:val="00411628"/>
    <w:rsid w:val="00411FF6"/>
    <w:rsid w:val="0041348C"/>
    <w:rsid w:val="00414DE7"/>
    <w:rsid w:val="00421DE8"/>
    <w:rsid w:val="00423E37"/>
    <w:rsid w:val="00425559"/>
    <w:rsid w:val="00425F60"/>
    <w:rsid w:val="0043012C"/>
    <w:rsid w:val="004307C8"/>
    <w:rsid w:val="0043226F"/>
    <w:rsid w:val="00437A0B"/>
    <w:rsid w:val="00440530"/>
    <w:rsid w:val="00443F5A"/>
    <w:rsid w:val="00450D85"/>
    <w:rsid w:val="00451C9C"/>
    <w:rsid w:val="004524B5"/>
    <w:rsid w:val="00452D83"/>
    <w:rsid w:val="00457453"/>
    <w:rsid w:val="0046080A"/>
    <w:rsid w:val="0046176E"/>
    <w:rsid w:val="00461F5B"/>
    <w:rsid w:val="00462A9D"/>
    <w:rsid w:val="00463DA5"/>
    <w:rsid w:val="004641D0"/>
    <w:rsid w:val="00466456"/>
    <w:rsid w:val="00466B3E"/>
    <w:rsid w:val="004675F8"/>
    <w:rsid w:val="00470D91"/>
    <w:rsid w:val="0047254F"/>
    <w:rsid w:val="00473D1E"/>
    <w:rsid w:val="00474E9E"/>
    <w:rsid w:val="00476D23"/>
    <w:rsid w:val="0048549F"/>
    <w:rsid w:val="00485CC2"/>
    <w:rsid w:val="004908E5"/>
    <w:rsid w:val="00492920"/>
    <w:rsid w:val="004932E4"/>
    <w:rsid w:val="00493519"/>
    <w:rsid w:val="00494250"/>
    <w:rsid w:val="0049728A"/>
    <w:rsid w:val="0049756A"/>
    <w:rsid w:val="004A208B"/>
    <w:rsid w:val="004A4A3B"/>
    <w:rsid w:val="004A6DDD"/>
    <w:rsid w:val="004A7028"/>
    <w:rsid w:val="004B1051"/>
    <w:rsid w:val="004B11A3"/>
    <w:rsid w:val="004B5D49"/>
    <w:rsid w:val="004B660F"/>
    <w:rsid w:val="004B733E"/>
    <w:rsid w:val="004B7ABF"/>
    <w:rsid w:val="004D1519"/>
    <w:rsid w:val="004D3624"/>
    <w:rsid w:val="004D44C9"/>
    <w:rsid w:val="004D5944"/>
    <w:rsid w:val="004D7AF8"/>
    <w:rsid w:val="004E0378"/>
    <w:rsid w:val="004E31C0"/>
    <w:rsid w:val="004E4CFC"/>
    <w:rsid w:val="004E6DE5"/>
    <w:rsid w:val="004E719D"/>
    <w:rsid w:val="004F2B80"/>
    <w:rsid w:val="004F6694"/>
    <w:rsid w:val="004F6A99"/>
    <w:rsid w:val="0050219F"/>
    <w:rsid w:val="00503BD1"/>
    <w:rsid w:val="00504329"/>
    <w:rsid w:val="0050527C"/>
    <w:rsid w:val="00510B4B"/>
    <w:rsid w:val="005110A0"/>
    <w:rsid w:val="00513B7D"/>
    <w:rsid w:val="00514E52"/>
    <w:rsid w:val="005161C5"/>
    <w:rsid w:val="00516884"/>
    <w:rsid w:val="00517976"/>
    <w:rsid w:val="00517998"/>
    <w:rsid w:val="00522F88"/>
    <w:rsid w:val="0052429F"/>
    <w:rsid w:val="005250F0"/>
    <w:rsid w:val="005258C3"/>
    <w:rsid w:val="0053091E"/>
    <w:rsid w:val="00532E85"/>
    <w:rsid w:val="00532F23"/>
    <w:rsid w:val="00532F68"/>
    <w:rsid w:val="0053433E"/>
    <w:rsid w:val="00534524"/>
    <w:rsid w:val="00540800"/>
    <w:rsid w:val="00541E9D"/>
    <w:rsid w:val="005421D8"/>
    <w:rsid w:val="005437F4"/>
    <w:rsid w:val="0054480B"/>
    <w:rsid w:val="00546CF3"/>
    <w:rsid w:val="00553504"/>
    <w:rsid w:val="00554DB2"/>
    <w:rsid w:val="00555CDD"/>
    <w:rsid w:val="00555EA4"/>
    <w:rsid w:val="00557329"/>
    <w:rsid w:val="00560045"/>
    <w:rsid w:val="005603E7"/>
    <w:rsid w:val="00565566"/>
    <w:rsid w:val="00570502"/>
    <w:rsid w:val="005708AA"/>
    <w:rsid w:val="0057153C"/>
    <w:rsid w:val="00574FC9"/>
    <w:rsid w:val="0057500A"/>
    <w:rsid w:val="005758A4"/>
    <w:rsid w:val="00575A8B"/>
    <w:rsid w:val="0057711E"/>
    <w:rsid w:val="00577CF6"/>
    <w:rsid w:val="00580AF0"/>
    <w:rsid w:val="0058120F"/>
    <w:rsid w:val="00581CCC"/>
    <w:rsid w:val="0058235B"/>
    <w:rsid w:val="00582515"/>
    <w:rsid w:val="0058362A"/>
    <w:rsid w:val="005843A0"/>
    <w:rsid w:val="00584563"/>
    <w:rsid w:val="00585925"/>
    <w:rsid w:val="0058594D"/>
    <w:rsid w:val="00585B6A"/>
    <w:rsid w:val="0058706B"/>
    <w:rsid w:val="00587885"/>
    <w:rsid w:val="005903F5"/>
    <w:rsid w:val="00594823"/>
    <w:rsid w:val="005959F1"/>
    <w:rsid w:val="005965AE"/>
    <w:rsid w:val="005A0651"/>
    <w:rsid w:val="005A0733"/>
    <w:rsid w:val="005A0B6A"/>
    <w:rsid w:val="005A319D"/>
    <w:rsid w:val="005A3D4B"/>
    <w:rsid w:val="005A646C"/>
    <w:rsid w:val="005A726D"/>
    <w:rsid w:val="005B08EC"/>
    <w:rsid w:val="005B2E3B"/>
    <w:rsid w:val="005B2E3C"/>
    <w:rsid w:val="005B362C"/>
    <w:rsid w:val="005B3846"/>
    <w:rsid w:val="005B4197"/>
    <w:rsid w:val="005B52C2"/>
    <w:rsid w:val="005B63A2"/>
    <w:rsid w:val="005B73CD"/>
    <w:rsid w:val="005C2D94"/>
    <w:rsid w:val="005C4599"/>
    <w:rsid w:val="005C534A"/>
    <w:rsid w:val="005C5B24"/>
    <w:rsid w:val="005C711A"/>
    <w:rsid w:val="005C7DC8"/>
    <w:rsid w:val="005D0907"/>
    <w:rsid w:val="005D227F"/>
    <w:rsid w:val="005D278A"/>
    <w:rsid w:val="005D6464"/>
    <w:rsid w:val="005E099E"/>
    <w:rsid w:val="005E12EA"/>
    <w:rsid w:val="005E6ACF"/>
    <w:rsid w:val="005E73C1"/>
    <w:rsid w:val="005F1B09"/>
    <w:rsid w:val="005F1B26"/>
    <w:rsid w:val="005F5C62"/>
    <w:rsid w:val="005F6169"/>
    <w:rsid w:val="005F6D1F"/>
    <w:rsid w:val="005F7BED"/>
    <w:rsid w:val="0060199C"/>
    <w:rsid w:val="00602073"/>
    <w:rsid w:val="00602A1E"/>
    <w:rsid w:val="00604387"/>
    <w:rsid w:val="00604BAF"/>
    <w:rsid w:val="00605D54"/>
    <w:rsid w:val="00611165"/>
    <w:rsid w:val="00612B2A"/>
    <w:rsid w:val="006139E9"/>
    <w:rsid w:val="00615403"/>
    <w:rsid w:val="006168ED"/>
    <w:rsid w:val="00617AD8"/>
    <w:rsid w:val="006208C9"/>
    <w:rsid w:val="00620DD5"/>
    <w:rsid w:val="006211AF"/>
    <w:rsid w:val="00622AE0"/>
    <w:rsid w:val="006238EB"/>
    <w:rsid w:val="00623A1C"/>
    <w:rsid w:val="00626F78"/>
    <w:rsid w:val="0062721B"/>
    <w:rsid w:val="00631AAF"/>
    <w:rsid w:val="00632FA3"/>
    <w:rsid w:val="00634996"/>
    <w:rsid w:val="00637A45"/>
    <w:rsid w:val="00637BFD"/>
    <w:rsid w:val="00640AA0"/>
    <w:rsid w:val="006412FE"/>
    <w:rsid w:val="006430E0"/>
    <w:rsid w:val="00643578"/>
    <w:rsid w:val="0064387E"/>
    <w:rsid w:val="0064472A"/>
    <w:rsid w:val="00644D91"/>
    <w:rsid w:val="00645E32"/>
    <w:rsid w:val="00647481"/>
    <w:rsid w:val="00650B25"/>
    <w:rsid w:val="00653628"/>
    <w:rsid w:val="0065393B"/>
    <w:rsid w:val="00660455"/>
    <w:rsid w:val="006619B3"/>
    <w:rsid w:val="00665174"/>
    <w:rsid w:val="00665340"/>
    <w:rsid w:val="00670FE8"/>
    <w:rsid w:val="006746AD"/>
    <w:rsid w:val="00674E24"/>
    <w:rsid w:val="00676A28"/>
    <w:rsid w:val="00677C75"/>
    <w:rsid w:val="00681DF8"/>
    <w:rsid w:val="006832B6"/>
    <w:rsid w:val="00683899"/>
    <w:rsid w:val="006842AC"/>
    <w:rsid w:val="0068701B"/>
    <w:rsid w:val="006900BD"/>
    <w:rsid w:val="006921E4"/>
    <w:rsid w:val="006939B1"/>
    <w:rsid w:val="00693DDA"/>
    <w:rsid w:val="00694073"/>
    <w:rsid w:val="006A07A0"/>
    <w:rsid w:val="006A1EB4"/>
    <w:rsid w:val="006A209D"/>
    <w:rsid w:val="006A3AFA"/>
    <w:rsid w:val="006A5496"/>
    <w:rsid w:val="006A6A96"/>
    <w:rsid w:val="006A6F6A"/>
    <w:rsid w:val="006B07D2"/>
    <w:rsid w:val="006B11D3"/>
    <w:rsid w:val="006B3BCC"/>
    <w:rsid w:val="006B4A8D"/>
    <w:rsid w:val="006B631B"/>
    <w:rsid w:val="006B6496"/>
    <w:rsid w:val="006C2429"/>
    <w:rsid w:val="006C2E9E"/>
    <w:rsid w:val="006C4761"/>
    <w:rsid w:val="006C5517"/>
    <w:rsid w:val="006D3B5C"/>
    <w:rsid w:val="006D3D9A"/>
    <w:rsid w:val="006D4528"/>
    <w:rsid w:val="006D507A"/>
    <w:rsid w:val="006D5F4F"/>
    <w:rsid w:val="006D64CD"/>
    <w:rsid w:val="006E230C"/>
    <w:rsid w:val="006E329C"/>
    <w:rsid w:val="006E3D5D"/>
    <w:rsid w:val="006E515D"/>
    <w:rsid w:val="006E5940"/>
    <w:rsid w:val="006E603F"/>
    <w:rsid w:val="006F1C66"/>
    <w:rsid w:val="006F2350"/>
    <w:rsid w:val="006F3CCE"/>
    <w:rsid w:val="006F467E"/>
    <w:rsid w:val="006F5BA9"/>
    <w:rsid w:val="006F6B0D"/>
    <w:rsid w:val="00703480"/>
    <w:rsid w:val="0070395F"/>
    <w:rsid w:val="00703D28"/>
    <w:rsid w:val="00704377"/>
    <w:rsid w:val="007060C6"/>
    <w:rsid w:val="00712A41"/>
    <w:rsid w:val="00717137"/>
    <w:rsid w:val="00717A56"/>
    <w:rsid w:val="00717BA6"/>
    <w:rsid w:val="00720A28"/>
    <w:rsid w:val="00721DCC"/>
    <w:rsid w:val="00722697"/>
    <w:rsid w:val="007227B3"/>
    <w:rsid w:val="00723242"/>
    <w:rsid w:val="00724CE5"/>
    <w:rsid w:val="00725639"/>
    <w:rsid w:val="00727D26"/>
    <w:rsid w:val="00727E8C"/>
    <w:rsid w:val="0073016E"/>
    <w:rsid w:val="007353E1"/>
    <w:rsid w:val="00736C81"/>
    <w:rsid w:val="00736CDC"/>
    <w:rsid w:val="0073784D"/>
    <w:rsid w:val="00737CCE"/>
    <w:rsid w:val="007417D1"/>
    <w:rsid w:val="007421C0"/>
    <w:rsid w:val="00745AA6"/>
    <w:rsid w:val="00745D10"/>
    <w:rsid w:val="00747521"/>
    <w:rsid w:val="00747A29"/>
    <w:rsid w:val="0075043F"/>
    <w:rsid w:val="00750F46"/>
    <w:rsid w:val="007526A0"/>
    <w:rsid w:val="00753382"/>
    <w:rsid w:val="00753D25"/>
    <w:rsid w:val="007574F4"/>
    <w:rsid w:val="007607A7"/>
    <w:rsid w:val="00760AE2"/>
    <w:rsid w:val="00763062"/>
    <w:rsid w:val="007651F2"/>
    <w:rsid w:val="00765AC6"/>
    <w:rsid w:val="00770A0C"/>
    <w:rsid w:val="00771491"/>
    <w:rsid w:val="0077272E"/>
    <w:rsid w:val="0077479E"/>
    <w:rsid w:val="00774A7F"/>
    <w:rsid w:val="00775621"/>
    <w:rsid w:val="00780A6B"/>
    <w:rsid w:val="00783D69"/>
    <w:rsid w:val="00785224"/>
    <w:rsid w:val="00785A53"/>
    <w:rsid w:val="007861FB"/>
    <w:rsid w:val="007867A5"/>
    <w:rsid w:val="00787639"/>
    <w:rsid w:val="00791DC3"/>
    <w:rsid w:val="007938C5"/>
    <w:rsid w:val="00794591"/>
    <w:rsid w:val="00794899"/>
    <w:rsid w:val="007965FF"/>
    <w:rsid w:val="007966C9"/>
    <w:rsid w:val="00796B3C"/>
    <w:rsid w:val="007A295C"/>
    <w:rsid w:val="007A50A4"/>
    <w:rsid w:val="007A6C96"/>
    <w:rsid w:val="007A7AAD"/>
    <w:rsid w:val="007B11EE"/>
    <w:rsid w:val="007B1AE7"/>
    <w:rsid w:val="007B1E12"/>
    <w:rsid w:val="007B36E3"/>
    <w:rsid w:val="007B3B9F"/>
    <w:rsid w:val="007B6BBD"/>
    <w:rsid w:val="007B70CD"/>
    <w:rsid w:val="007B766C"/>
    <w:rsid w:val="007B79F4"/>
    <w:rsid w:val="007C048E"/>
    <w:rsid w:val="007C24D4"/>
    <w:rsid w:val="007D1C46"/>
    <w:rsid w:val="007D2B33"/>
    <w:rsid w:val="007D5ED4"/>
    <w:rsid w:val="007D6E2F"/>
    <w:rsid w:val="007D6FAB"/>
    <w:rsid w:val="007E014F"/>
    <w:rsid w:val="007E0469"/>
    <w:rsid w:val="007E4F02"/>
    <w:rsid w:val="007E6395"/>
    <w:rsid w:val="007E6DE9"/>
    <w:rsid w:val="007F2311"/>
    <w:rsid w:val="007F259D"/>
    <w:rsid w:val="007F6DC0"/>
    <w:rsid w:val="007F761B"/>
    <w:rsid w:val="007F7DF2"/>
    <w:rsid w:val="00800ADB"/>
    <w:rsid w:val="00802BD0"/>
    <w:rsid w:val="00802D28"/>
    <w:rsid w:val="00803610"/>
    <w:rsid w:val="0080426B"/>
    <w:rsid w:val="0081038D"/>
    <w:rsid w:val="0081572A"/>
    <w:rsid w:val="00820EA5"/>
    <w:rsid w:val="00820F42"/>
    <w:rsid w:val="00823DA0"/>
    <w:rsid w:val="00824EB1"/>
    <w:rsid w:val="008253E0"/>
    <w:rsid w:val="00832CEC"/>
    <w:rsid w:val="0083302D"/>
    <w:rsid w:val="008342FB"/>
    <w:rsid w:val="00837670"/>
    <w:rsid w:val="00837B10"/>
    <w:rsid w:val="00837C12"/>
    <w:rsid w:val="00837C93"/>
    <w:rsid w:val="00843C28"/>
    <w:rsid w:val="00844DB2"/>
    <w:rsid w:val="00845972"/>
    <w:rsid w:val="00847400"/>
    <w:rsid w:val="008508BB"/>
    <w:rsid w:val="00850C49"/>
    <w:rsid w:val="008515E1"/>
    <w:rsid w:val="00851E28"/>
    <w:rsid w:val="0085217A"/>
    <w:rsid w:val="00852249"/>
    <w:rsid w:val="008545F9"/>
    <w:rsid w:val="008548CE"/>
    <w:rsid w:val="008553FF"/>
    <w:rsid w:val="0085621D"/>
    <w:rsid w:val="0085759D"/>
    <w:rsid w:val="00857D11"/>
    <w:rsid w:val="0086121D"/>
    <w:rsid w:val="00861404"/>
    <w:rsid w:val="008627D7"/>
    <w:rsid w:val="00862A2B"/>
    <w:rsid w:val="00865CF2"/>
    <w:rsid w:val="00866D80"/>
    <w:rsid w:val="00870C5B"/>
    <w:rsid w:val="008746C3"/>
    <w:rsid w:val="00875A01"/>
    <w:rsid w:val="00875FAC"/>
    <w:rsid w:val="008820C3"/>
    <w:rsid w:val="008848A2"/>
    <w:rsid w:val="0088704C"/>
    <w:rsid w:val="0089236A"/>
    <w:rsid w:val="00896451"/>
    <w:rsid w:val="00897B73"/>
    <w:rsid w:val="008A0B9A"/>
    <w:rsid w:val="008A0FE1"/>
    <w:rsid w:val="008A13CF"/>
    <w:rsid w:val="008A24AB"/>
    <w:rsid w:val="008A3DEF"/>
    <w:rsid w:val="008A3E3D"/>
    <w:rsid w:val="008A68C9"/>
    <w:rsid w:val="008B03B1"/>
    <w:rsid w:val="008B5276"/>
    <w:rsid w:val="008B7FDE"/>
    <w:rsid w:val="008C09D1"/>
    <w:rsid w:val="008C1544"/>
    <w:rsid w:val="008C2137"/>
    <w:rsid w:val="008C3E58"/>
    <w:rsid w:val="008C3F13"/>
    <w:rsid w:val="008C44D3"/>
    <w:rsid w:val="008C52AA"/>
    <w:rsid w:val="008C5FEA"/>
    <w:rsid w:val="008C64C1"/>
    <w:rsid w:val="008C6974"/>
    <w:rsid w:val="008C717D"/>
    <w:rsid w:val="008C746B"/>
    <w:rsid w:val="008C76A1"/>
    <w:rsid w:val="008D0A75"/>
    <w:rsid w:val="008D2F11"/>
    <w:rsid w:val="008D4746"/>
    <w:rsid w:val="008D4EFE"/>
    <w:rsid w:val="008D58AC"/>
    <w:rsid w:val="008D733B"/>
    <w:rsid w:val="008E068E"/>
    <w:rsid w:val="008E1EC9"/>
    <w:rsid w:val="008E23B7"/>
    <w:rsid w:val="008E741C"/>
    <w:rsid w:val="008F05A4"/>
    <w:rsid w:val="008F1F44"/>
    <w:rsid w:val="008F2F3A"/>
    <w:rsid w:val="008F3857"/>
    <w:rsid w:val="008F3D8A"/>
    <w:rsid w:val="008F57F8"/>
    <w:rsid w:val="008F79EC"/>
    <w:rsid w:val="0090402D"/>
    <w:rsid w:val="009045A2"/>
    <w:rsid w:val="00905520"/>
    <w:rsid w:val="00907EAC"/>
    <w:rsid w:val="00912680"/>
    <w:rsid w:val="0091607B"/>
    <w:rsid w:val="00917B03"/>
    <w:rsid w:val="00921851"/>
    <w:rsid w:val="00922C82"/>
    <w:rsid w:val="00924CA4"/>
    <w:rsid w:val="009257BC"/>
    <w:rsid w:val="00930DFA"/>
    <w:rsid w:val="0093727E"/>
    <w:rsid w:val="009410CF"/>
    <w:rsid w:val="009444CB"/>
    <w:rsid w:val="00945246"/>
    <w:rsid w:val="00946C49"/>
    <w:rsid w:val="009470BD"/>
    <w:rsid w:val="00947DB8"/>
    <w:rsid w:val="00950C12"/>
    <w:rsid w:val="00952657"/>
    <w:rsid w:val="00953EF5"/>
    <w:rsid w:val="00954355"/>
    <w:rsid w:val="00955D32"/>
    <w:rsid w:val="00956ED8"/>
    <w:rsid w:val="00957534"/>
    <w:rsid w:val="0096084D"/>
    <w:rsid w:val="0096236D"/>
    <w:rsid w:val="00962CF8"/>
    <w:rsid w:val="0096492B"/>
    <w:rsid w:val="009670BC"/>
    <w:rsid w:val="0097172E"/>
    <w:rsid w:val="0097208F"/>
    <w:rsid w:val="009722B2"/>
    <w:rsid w:val="00973E72"/>
    <w:rsid w:val="009757CC"/>
    <w:rsid w:val="00976097"/>
    <w:rsid w:val="00982F84"/>
    <w:rsid w:val="009845E5"/>
    <w:rsid w:val="009867DA"/>
    <w:rsid w:val="009909EE"/>
    <w:rsid w:val="00990E7E"/>
    <w:rsid w:val="00991C91"/>
    <w:rsid w:val="00993EF7"/>
    <w:rsid w:val="00994939"/>
    <w:rsid w:val="0099715A"/>
    <w:rsid w:val="0099722B"/>
    <w:rsid w:val="009A03B2"/>
    <w:rsid w:val="009A0F22"/>
    <w:rsid w:val="009A1889"/>
    <w:rsid w:val="009A3702"/>
    <w:rsid w:val="009A5440"/>
    <w:rsid w:val="009A745B"/>
    <w:rsid w:val="009B02EF"/>
    <w:rsid w:val="009B0703"/>
    <w:rsid w:val="009B0A55"/>
    <w:rsid w:val="009B2F2D"/>
    <w:rsid w:val="009B524C"/>
    <w:rsid w:val="009B56FE"/>
    <w:rsid w:val="009B7E41"/>
    <w:rsid w:val="009C3427"/>
    <w:rsid w:val="009C6916"/>
    <w:rsid w:val="009D0CD3"/>
    <w:rsid w:val="009D2410"/>
    <w:rsid w:val="009D4C90"/>
    <w:rsid w:val="009E08D7"/>
    <w:rsid w:val="009E2752"/>
    <w:rsid w:val="009E2D7B"/>
    <w:rsid w:val="009E3C42"/>
    <w:rsid w:val="009E4001"/>
    <w:rsid w:val="009E61E6"/>
    <w:rsid w:val="009E6F6C"/>
    <w:rsid w:val="009E7003"/>
    <w:rsid w:val="009E773E"/>
    <w:rsid w:val="009F3411"/>
    <w:rsid w:val="009F3C21"/>
    <w:rsid w:val="009F5342"/>
    <w:rsid w:val="009F5730"/>
    <w:rsid w:val="00A12993"/>
    <w:rsid w:val="00A12D7B"/>
    <w:rsid w:val="00A138C2"/>
    <w:rsid w:val="00A1430F"/>
    <w:rsid w:val="00A1779B"/>
    <w:rsid w:val="00A20913"/>
    <w:rsid w:val="00A21BB7"/>
    <w:rsid w:val="00A22DFF"/>
    <w:rsid w:val="00A23DAC"/>
    <w:rsid w:val="00A240D5"/>
    <w:rsid w:val="00A24387"/>
    <w:rsid w:val="00A326AA"/>
    <w:rsid w:val="00A334B5"/>
    <w:rsid w:val="00A33704"/>
    <w:rsid w:val="00A33BAE"/>
    <w:rsid w:val="00A33E7B"/>
    <w:rsid w:val="00A3654D"/>
    <w:rsid w:val="00A40314"/>
    <w:rsid w:val="00A42896"/>
    <w:rsid w:val="00A47168"/>
    <w:rsid w:val="00A5126D"/>
    <w:rsid w:val="00A518D9"/>
    <w:rsid w:val="00A551F0"/>
    <w:rsid w:val="00A55FFB"/>
    <w:rsid w:val="00A63082"/>
    <w:rsid w:val="00A63868"/>
    <w:rsid w:val="00A64599"/>
    <w:rsid w:val="00A6473B"/>
    <w:rsid w:val="00A7143B"/>
    <w:rsid w:val="00A7240C"/>
    <w:rsid w:val="00A76AFE"/>
    <w:rsid w:val="00A8139E"/>
    <w:rsid w:val="00A8155A"/>
    <w:rsid w:val="00A8181D"/>
    <w:rsid w:val="00A823A8"/>
    <w:rsid w:val="00A83185"/>
    <w:rsid w:val="00A83C99"/>
    <w:rsid w:val="00A873A6"/>
    <w:rsid w:val="00A9188D"/>
    <w:rsid w:val="00A91F6A"/>
    <w:rsid w:val="00AA0175"/>
    <w:rsid w:val="00AA0395"/>
    <w:rsid w:val="00AA29DF"/>
    <w:rsid w:val="00AA39DB"/>
    <w:rsid w:val="00AA56A8"/>
    <w:rsid w:val="00AA68D4"/>
    <w:rsid w:val="00AA6AA6"/>
    <w:rsid w:val="00AA762D"/>
    <w:rsid w:val="00AA78F2"/>
    <w:rsid w:val="00AB202F"/>
    <w:rsid w:val="00AB2C06"/>
    <w:rsid w:val="00AB3372"/>
    <w:rsid w:val="00AB371F"/>
    <w:rsid w:val="00AB4AA4"/>
    <w:rsid w:val="00AB537B"/>
    <w:rsid w:val="00AC29BE"/>
    <w:rsid w:val="00AC357C"/>
    <w:rsid w:val="00AC36F5"/>
    <w:rsid w:val="00AC50BC"/>
    <w:rsid w:val="00AC56DD"/>
    <w:rsid w:val="00AD0F66"/>
    <w:rsid w:val="00AD1600"/>
    <w:rsid w:val="00AD1E1D"/>
    <w:rsid w:val="00AD4AAA"/>
    <w:rsid w:val="00AD4BD1"/>
    <w:rsid w:val="00AD6BCF"/>
    <w:rsid w:val="00AD6EE4"/>
    <w:rsid w:val="00AD702B"/>
    <w:rsid w:val="00AE01C3"/>
    <w:rsid w:val="00AE1235"/>
    <w:rsid w:val="00AE437C"/>
    <w:rsid w:val="00AE5294"/>
    <w:rsid w:val="00AE57DF"/>
    <w:rsid w:val="00AE6274"/>
    <w:rsid w:val="00AE63A4"/>
    <w:rsid w:val="00AF170E"/>
    <w:rsid w:val="00AF3594"/>
    <w:rsid w:val="00AF4B5B"/>
    <w:rsid w:val="00AF69D8"/>
    <w:rsid w:val="00AF69D9"/>
    <w:rsid w:val="00B02CDC"/>
    <w:rsid w:val="00B04239"/>
    <w:rsid w:val="00B04AD5"/>
    <w:rsid w:val="00B05E96"/>
    <w:rsid w:val="00B065E3"/>
    <w:rsid w:val="00B103AD"/>
    <w:rsid w:val="00B1134A"/>
    <w:rsid w:val="00B12A8E"/>
    <w:rsid w:val="00B14F33"/>
    <w:rsid w:val="00B179BC"/>
    <w:rsid w:val="00B20173"/>
    <w:rsid w:val="00B2572E"/>
    <w:rsid w:val="00B2597F"/>
    <w:rsid w:val="00B323AF"/>
    <w:rsid w:val="00B330ED"/>
    <w:rsid w:val="00B33376"/>
    <w:rsid w:val="00B35192"/>
    <w:rsid w:val="00B367E1"/>
    <w:rsid w:val="00B37396"/>
    <w:rsid w:val="00B43A7C"/>
    <w:rsid w:val="00B43AF2"/>
    <w:rsid w:val="00B43E1A"/>
    <w:rsid w:val="00B45E81"/>
    <w:rsid w:val="00B527BD"/>
    <w:rsid w:val="00B53AE8"/>
    <w:rsid w:val="00B53B29"/>
    <w:rsid w:val="00B56123"/>
    <w:rsid w:val="00B62355"/>
    <w:rsid w:val="00B63565"/>
    <w:rsid w:val="00B64166"/>
    <w:rsid w:val="00B648D0"/>
    <w:rsid w:val="00B66C7B"/>
    <w:rsid w:val="00B71063"/>
    <w:rsid w:val="00B7624C"/>
    <w:rsid w:val="00B76EFD"/>
    <w:rsid w:val="00B76F4F"/>
    <w:rsid w:val="00B771AF"/>
    <w:rsid w:val="00B86953"/>
    <w:rsid w:val="00B91C7A"/>
    <w:rsid w:val="00B924E0"/>
    <w:rsid w:val="00B932A2"/>
    <w:rsid w:val="00B93332"/>
    <w:rsid w:val="00B94631"/>
    <w:rsid w:val="00B94CF2"/>
    <w:rsid w:val="00B96A0B"/>
    <w:rsid w:val="00B97374"/>
    <w:rsid w:val="00BA033E"/>
    <w:rsid w:val="00BA055E"/>
    <w:rsid w:val="00BA1AF6"/>
    <w:rsid w:val="00BA1D4C"/>
    <w:rsid w:val="00BA2EC2"/>
    <w:rsid w:val="00BA3139"/>
    <w:rsid w:val="00BA389B"/>
    <w:rsid w:val="00BA4BCD"/>
    <w:rsid w:val="00BA540D"/>
    <w:rsid w:val="00BA7B8A"/>
    <w:rsid w:val="00BB066D"/>
    <w:rsid w:val="00BB0CD5"/>
    <w:rsid w:val="00BB14A0"/>
    <w:rsid w:val="00BB3F1E"/>
    <w:rsid w:val="00BB439A"/>
    <w:rsid w:val="00BC0365"/>
    <w:rsid w:val="00BC7481"/>
    <w:rsid w:val="00BD0550"/>
    <w:rsid w:val="00BD081A"/>
    <w:rsid w:val="00BD15E8"/>
    <w:rsid w:val="00BD28D2"/>
    <w:rsid w:val="00BD2E59"/>
    <w:rsid w:val="00BD636D"/>
    <w:rsid w:val="00BD6381"/>
    <w:rsid w:val="00BD6D63"/>
    <w:rsid w:val="00BE2FFE"/>
    <w:rsid w:val="00BE4CE2"/>
    <w:rsid w:val="00BE68B9"/>
    <w:rsid w:val="00BE6F22"/>
    <w:rsid w:val="00BF0760"/>
    <w:rsid w:val="00BF23EE"/>
    <w:rsid w:val="00BF3289"/>
    <w:rsid w:val="00BF4BD0"/>
    <w:rsid w:val="00BF6092"/>
    <w:rsid w:val="00BF78AF"/>
    <w:rsid w:val="00BF7CDC"/>
    <w:rsid w:val="00C0414A"/>
    <w:rsid w:val="00C0535C"/>
    <w:rsid w:val="00C05557"/>
    <w:rsid w:val="00C1170C"/>
    <w:rsid w:val="00C11B80"/>
    <w:rsid w:val="00C126F7"/>
    <w:rsid w:val="00C133D2"/>
    <w:rsid w:val="00C13B17"/>
    <w:rsid w:val="00C1697C"/>
    <w:rsid w:val="00C171F1"/>
    <w:rsid w:val="00C2037F"/>
    <w:rsid w:val="00C2042F"/>
    <w:rsid w:val="00C21CBB"/>
    <w:rsid w:val="00C226EE"/>
    <w:rsid w:val="00C229A5"/>
    <w:rsid w:val="00C250A0"/>
    <w:rsid w:val="00C2563B"/>
    <w:rsid w:val="00C2611E"/>
    <w:rsid w:val="00C2662B"/>
    <w:rsid w:val="00C30245"/>
    <w:rsid w:val="00C30C39"/>
    <w:rsid w:val="00C32475"/>
    <w:rsid w:val="00C32807"/>
    <w:rsid w:val="00C34A8B"/>
    <w:rsid w:val="00C3532C"/>
    <w:rsid w:val="00C35357"/>
    <w:rsid w:val="00C37C71"/>
    <w:rsid w:val="00C40FF7"/>
    <w:rsid w:val="00C446C8"/>
    <w:rsid w:val="00C51766"/>
    <w:rsid w:val="00C51E12"/>
    <w:rsid w:val="00C54ABA"/>
    <w:rsid w:val="00C5576B"/>
    <w:rsid w:val="00C55DB1"/>
    <w:rsid w:val="00C56724"/>
    <w:rsid w:val="00C56D64"/>
    <w:rsid w:val="00C57DB4"/>
    <w:rsid w:val="00C606D6"/>
    <w:rsid w:val="00C60E16"/>
    <w:rsid w:val="00C63A7B"/>
    <w:rsid w:val="00C63C86"/>
    <w:rsid w:val="00C63D30"/>
    <w:rsid w:val="00C64F57"/>
    <w:rsid w:val="00C6632E"/>
    <w:rsid w:val="00C67FA1"/>
    <w:rsid w:val="00C72C69"/>
    <w:rsid w:val="00C77335"/>
    <w:rsid w:val="00C77EE2"/>
    <w:rsid w:val="00C77F38"/>
    <w:rsid w:val="00C77F68"/>
    <w:rsid w:val="00C80B7B"/>
    <w:rsid w:val="00C8143F"/>
    <w:rsid w:val="00C81CFB"/>
    <w:rsid w:val="00C8313E"/>
    <w:rsid w:val="00C8351E"/>
    <w:rsid w:val="00C87648"/>
    <w:rsid w:val="00C934E0"/>
    <w:rsid w:val="00C93992"/>
    <w:rsid w:val="00C945A1"/>
    <w:rsid w:val="00C9510C"/>
    <w:rsid w:val="00C95BD6"/>
    <w:rsid w:val="00C96A28"/>
    <w:rsid w:val="00C977B5"/>
    <w:rsid w:val="00CA05CC"/>
    <w:rsid w:val="00CA0B14"/>
    <w:rsid w:val="00CA54D4"/>
    <w:rsid w:val="00CA5CB7"/>
    <w:rsid w:val="00CA72E0"/>
    <w:rsid w:val="00CA76C3"/>
    <w:rsid w:val="00CA7BF6"/>
    <w:rsid w:val="00CB2C86"/>
    <w:rsid w:val="00CB4661"/>
    <w:rsid w:val="00CC0638"/>
    <w:rsid w:val="00CC0875"/>
    <w:rsid w:val="00CC38C9"/>
    <w:rsid w:val="00CC3EB9"/>
    <w:rsid w:val="00CC522B"/>
    <w:rsid w:val="00CC65DB"/>
    <w:rsid w:val="00CC6EDC"/>
    <w:rsid w:val="00CD1173"/>
    <w:rsid w:val="00CD3592"/>
    <w:rsid w:val="00CD480B"/>
    <w:rsid w:val="00CD7BBF"/>
    <w:rsid w:val="00CE4B13"/>
    <w:rsid w:val="00CE563C"/>
    <w:rsid w:val="00CF18F6"/>
    <w:rsid w:val="00CF1B87"/>
    <w:rsid w:val="00CF3B01"/>
    <w:rsid w:val="00CF3FE6"/>
    <w:rsid w:val="00CF41B4"/>
    <w:rsid w:val="00CF507B"/>
    <w:rsid w:val="00CF554F"/>
    <w:rsid w:val="00CF6B55"/>
    <w:rsid w:val="00D01FAF"/>
    <w:rsid w:val="00D024A7"/>
    <w:rsid w:val="00D0293F"/>
    <w:rsid w:val="00D03D46"/>
    <w:rsid w:val="00D05D14"/>
    <w:rsid w:val="00D072F2"/>
    <w:rsid w:val="00D07CC9"/>
    <w:rsid w:val="00D11089"/>
    <w:rsid w:val="00D14B48"/>
    <w:rsid w:val="00D14B9B"/>
    <w:rsid w:val="00D210F4"/>
    <w:rsid w:val="00D225F5"/>
    <w:rsid w:val="00D25A7D"/>
    <w:rsid w:val="00D25B38"/>
    <w:rsid w:val="00D3087C"/>
    <w:rsid w:val="00D32372"/>
    <w:rsid w:val="00D33662"/>
    <w:rsid w:val="00D348BD"/>
    <w:rsid w:val="00D34DFC"/>
    <w:rsid w:val="00D3743E"/>
    <w:rsid w:val="00D378BD"/>
    <w:rsid w:val="00D43DCA"/>
    <w:rsid w:val="00D43E6C"/>
    <w:rsid w:val="00D45492"/>
    <w:rsid w:val="00D46803"/>
    <w:rsid w:val="00D5317D"/>
    <w:rsid w:val="00D53CD8"/>
    <w:rsid w:val="00D55971"/>
    <w:rsid w:val="00D61036"/>
    <w:rsid w:val="00D61F3A"/>
    <w:rsid w:val="00D6238C"/>
    <w:rsid w:val="00D6709E"/>
    <w:rsid w:val="00D7241D"/>
    <w:rsid w:val="00D76217"/>
    <w:rsid w:val="00D77D06"/>
    <w:rsid w:val="00D77E09"/>
    <w:rsid w:val="00D80B5F"/>
    <w:rsid w:val="00D827B4"/>
    <w:rsid w:val="00D82EBB"/>
    <w:rsid w:val="00D83101"/>
    <w:rsid w:val="00D84911"/>
    <w:rsid w:val="00D856AF"/>
    <w:rsid w:val="00D8641A"/>
    <w:rsid w:val="00D87C24"/>
    <w:rsid w:val="00D906A4"/>
    <w:rsid w:val="00D91D65"/>
    <w:rsid w:val="00D9200F"/>
    <w:rsid w:val="00D9369E"/>
    <w:rsid w:val="00D945C2"/>
    <w:rsid w:val="00D9517C"/>
    <w:rsid w:val="00D957CB"/>
    <w:rsid w:val="00D9594C"/>
    <w:rsid w:val="00DA2555"/>
    <w:rsid w:val="00DA6C64"/>
    <w:rsid w:val="00DB1A89"/>
    <w:rsid w:val="00DB2CEF"/>
    <w:rsid w:val="00DB3282"/>
    <w:rsid w:val="00DB3BAA"/>
    <w:rsid w:val="00DC266F"/>
    <w:rsid w:val="00DC3D3F"/>
    <w:rsid w:val="00DC628E"/>
    <w:rsid w:val="00DC6BA2"/>
    <w:rsid w:val="00DC739F"/>
    <w:rsid w:val="00DD1228"/>
    <w:rsid w:val="00DD1A52"/>
    <w:rsid w:val="00DD649A"/>
    <w:rsid w:val="00DD726B"/>
    <w:rsid w:val="00DD786B"/>
    <w:rsid w:val="00DE0B4F"/>
    <w:rsid w:val="00DE1BEB"/>
    <w:rsid w:val="00DE2C23"/>
    <w:rsid w:val="00DE2CC6"/>
    <w:rsid w:val="00DE3783"/>
    <w:rsid w:val="00DE5648"/>
    <w:rsid w:val="00DF09B0"/>
    <w:rsid w:val="00DF379F"/>
    <w:rsid w:val="00DF52C8"/>
    <w:rsid w:val="00DF561A"/>
    <w:rsid w:val="00DF5EFC"/>
    <w:rsid w:val="00E00CF4"/>
    <w:rsid w:val="00E025AE"/>
    <w:rsid w:val="00E0274C"/>
    <w:rsid w:val="00E050AC"/>
    <w:rsid w:val="00E051FD"/>
    <w:rsid w:val="00E14199"/>
    <w:rsid w:val="00E15184"/>
    <w:rsid w:val="00E15393"/>
    <w:rsid w:val="00E156E3"/>
    <w:rsid w:val="00E2193E"/>
    <w:rsid w:val="00E21B8A"/>
    <w:rsid w:val="00E22679"/>
    <w:rsid w:val="00E23205"/>
    <w:rsid w:val="00E26403"/>
    <w:rsid w:val="00E266C3"/>
    <w:rsid w:val="00E26D67"/>
    <w:rsid w:val="00E27850"/>
    <w:rsid w:val="00E30B32"/>
    <w:rsid w:val="00E37013"/>
    <w:rsid w:val="00E37DAC"/>
    <w:rsid w:val="00E426F9"/>
    <w:rsid w:val="00E42B44"/>
    <w:rsid w:val="00E43828"/>
    <w:rsid w:val="00E44A07"/>
    <w:rsid w:val="00E457C9"/>
    <w:rsid w:val="00E4687E"/>
    <w:rsid w:val="00E5081E"/>
    <w:rsid w:val="00E50D7A"/>
    <w:rsid w:val="00E53A9D"/>
    <w:rsid w:val="00E54D61"/>
    <w:rsid w:val="00E54DA8"/>
    <w:rsid w:val="00E55594"/>
    <w:rsid w:val="00E561AD"/>
    <w:rsid w:val="00E570ED"/>
    <w:rsid w:val="00E62303"/>
    <w:rsid w:val="00E62A52"/>
    <w:rsid w:val="00E64F55"/>
    <w:rsid w:val="00E65628"/>
    <w:rsid w:val="00E67671"/>
    <w:rsid w:val="00E67A42"/>
    <w:rsid w:val="00E702AA"/>
    <w:rsid w:val="00E704A6"/>
    <w:rsid w:val="00E75277"/>
    <w:rsid w:val="00E8085B"/>
    <w:rsid w:val="00E819EB"/>
    <w:rsid w:val="00E81DF5"/>
    <w:rsid w:val="00E82133"/>
    <w:rsid w:val="00E82518"/>
    <w:rsid w:val="00E84B76"/>
    <w:rsid w:val="00E9294A"/>
    <w:rsid w:val="00E92E35"/>
    <w:rsid w:val="00E94236"/>
    <w:rsid w:val="00E949DA"/>
    <w:rsid w:val="00E96F76"/>
    <w:rsid w:val="00E96FEB"/>
    <w:rsid w:val="00EA113D"/>
    <w:rsid w:val="00EA1569"/>
    <w:rsid w:val="00EA1B2D"/>
    <w:rsid w:val="00EA3840"/>
    <w:rsid w:val="00EA4142"/>
    <w:rsid w:val="00EA4396"/>
    <w:rsid w:val="00EA50AE"/>
    <w:rsid w:val="00EA6C6E"/>
    <w:rsid w:val="00EB0899"/>
    <w:rsid w:val="00EB109A"/>
    <w:rsid w:val="00EB19D2"/>
    <w:rsid w:val="00EB3A77"/>
    <w:rsid w:val="00EB617C"/>
    <w:rsid w:val="00EC07C8"/>
    <w:rsid w:val="00EC109E"/>
    <w:rsid w:val="00EC4040"/>
    <w:rsid w:val="00EC42C1"/>
    <w:rsid w:val="00EC4A88"/>
    <w:rsid w:val="00EC4AAC"/>
    <w:rsid w:val="00EC51DC"/>
    <w:rsid w:val="00EC5E38"/>
    <w:rsid w:val="00EC77D8"/>
    <w:rsid w:val="00ED00EE"/>
    <w:rsid w:val="00ED1F94"/>
    <w:rsid w:val="00ED2971"/>
    <w:rsid w:val="00ED6F4A"/>
    <w:rsid w:val="00EE0C1D"/>
    <w:rsid w:val="00EE2A51"/>
    <w:rsid w:val="00EE31FE"/>
    <w:rsid w:val="00EE34F9"/>
    <w:rsid w:val="00EE3DFE"/>
    <w:rsid w:val="00EE6B7A"/>
    <w:rsid w:val="00EF34F4"/>
    <w:rsid w:val="00EF3809"/>
    <w:rsid w:val="00EF491F"/>
    <w:rsid w:val="00EF5997"/>
    <w:rsid w:val="00F018E6"/>
    <w:rsid w:val="00F03388"/>
    <w:rsid w:val="00F0462A"/>
    <w:rsid w:val="00F0696A"/>
    <w:rsid w:val="00F07D86"/>
    <w:rsid w:val="00F106CD"/>
    <w:rsid w:val="00F117CD"/>
    <w:rsid w:val="00F125BA"/>
    <w:rsid w:val="00F12898"/>
    <w:rsid w:val="00F13353"/>
    <w:rsid w:val="00F137C2"/>
    <w:rsid w:val="00F140F2"/>
    <w:rsid w:val="00F1463E"/>
    <w:rsid w:val="00F14CFB"/>
    <w:rsid w:val="00F165DD"/>
    <w:rsid w:val="00F21DB5"/>
    <w:rsid w:val="00F22F36"/>
    <w:rsid w:val="00F23688"/>
    <w:rsid w:val="00F23AC8"/>
    <w:rsid w:val="00F25EF3"/>
    <w:rsid w:val="00F2663E"/>
    <w:rsid w:val="00F274C1"/>
    <w:rsid w:val="00F30453"/>
    <w:rsid w:val="00F31A2B"/>
    <w:rsid w:val="00F338DE"/>
    <w:rsid w:val="00F34134"/>
    <w:rsid w:val="00F35CD7"/>
    <w:rsid w:val="00F41476"/>
    <w:rsid w:val="00F51A7F"/>
    <w:rsid w:val="00F52701"/>
    <w:rsid w:val="00F52AF0"/>
    <w:rsid w:val="00F5410A"/>
    <w:rsid w:val="00F55104"/>
    <w:rsid w:val="00F5544F"/>
    <w:rsid w:val="00F55F65"/>
    <w:rsid w:val="00F627AE"/>
    <w:rsid w:val="00F63AF7"/>
    <w:rsid w:val="00F66992"/>
    <w:rsid w:val="00F71526"/>
    <w:rsid w:val="00F732D9"/>
    <w:rsid w:val="00F74493"/>
    <w:rsid w:val="00F749CB"/>
    <w:rsid w:val="00F74BB0"/>
    <w:rsid w:val="00F75AFF"/>
    <w:rsid w:val="00F76418"/>
    <w:rsid w:val="00F77F14"/>
    <w:rsid w:val="00F8299D"/>
    <w:rsid w:val="00F830F8"/>
    <w:rsid w:val="00F87B4A"/>
    <w:rsid w:val="00F9212D"/>
    <w:rsid w:val="00F9370F"/>
    <w:rsid w:val="00F9495E"/>
    <w:rsid w:val="00F95015"/>
    <w:rsid w:val="00F9515E"/>
    <w:rsid w:val="00F95735"/>
    <w:rsid w:val="00F95911"/>
    <w:rsid w:val="00FA0739"/>
    <w:rsid w:val="00FA0F7E"/>
    <w:rsid w:val="00FA101C"/>
    <w:rsid w:val="00FA2C21"/>
    <w:rsid w:val="00FA460F"/>
    <w:rsid w:val="00FA6CBD"/>
    <w:rsid w:val="00FB055D"/>
    <w:rsid w:val="00FB3483"/>
    <w:rsid w:val="00FB5B4C"/>
    <w:rsid w:val="00FB6A04"/>
    <w:rsid w:val="00FC0FB4"/>
    <w:rsid w:val="00FC138B"/>
    <w:rsid w:val="00FC2B77"/>
    <w:rsid w:val="00FC7D33"/>
    <w:rsid w:val="00FD0749"/>
    <w:rsid w:val="00FD1194"/>
    <w:rsid w:val="00FD1691"/>
    <w:rsid w:val="00FD40C6"/>
    <w:rsid w:val="00FD4D52"/>
    <w:rsid w:val="00FE00C0"/>
    <w:rsid w:val="00FE07A0"/>
    <w:rsid w:val="00FE0C74"/>
    <w:rsid w:val="00FE0ECF"/>
    <w:rsid w:val="00FE2342"/>
    <w:rsid w:val="00FE296A"/>
    <w:rsid w:val="00FE48CF"/>
    <w:rsid w:val="00FE57ED"/>
    <w:rsid w:val="00FF5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DD786B"/>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EC77D8"/>
    <w:pPr>
      <w:spacing w:before="150" w:after="150" w:line="480" w:lineRule="atLeast"/>
      <w:outlineLvl w:val="1"/>
    </w:pPr>
    <w:rPr>
      <w:rFonts w:ascii="inherit" w:hAnsi="inherit"/>
      <w:b/>
      <w:bCs/>
      <w:sz w:val="33"/>
      <w:szCs w:val="33"/>
    </w:rPr>
  </w:style>
  <w:style w:type="paragraph" w:styleId="Heading4">
    <w:name w:val="heading 4"/>
    <w:basedOn w:val="Normal"/>
    <w:next w:val="Normal"/>
    <w:link w:val="Heading4Char"/>
    <w:unhideWhenUsed/>
    <w:qFormat/>
    <w:rsid w:val="00EC77D8"/>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945C2"/>
    <w:rPr>
      <w:color w:val="0000FF"/>
      <w:u w:val="single"/>
    </w:rPr>
  </w:style>
  <w:style w:type="paragraph" w:styleId="Footer">
    <w:name w:val="footer"/>
    <w:basedOn w:val="Normal"/>
    <w:rsid w:val="00D945C2"/>
    <w:pPr>
      <w:tabs>
        <w:tab w:val="center" w:pos="4320"/>
        <w:tab w:val="right" w:pos="8640"/>
      </w:tabs>
    </w:pPr>
  </w:style>
  <w:style w:type="character" w:styleId="PageNumber">
    <w:name w:val="page number"/>
    <w:basedOn w:val="DefaultParagraphFont"/>
    <w:rsid w:val="00D945C2"/>
  </w:style>
  <w:style w:type="character" w:styleId="FootnoteReference">
    <w:name w:val="footnote reference"/>
    <w:semiHidden/>
    <w:rsid w:val="00D945C2"/>
    <w:rPr>
      <w:vertAlign w:val="superscript"/>
    </w:rPr>
  </w:style>
  <w:style w:type="table" w:styleId="TableGrid">
    <w:name w:val="Table Grid"/>
    <w:basedOn w:val="TableNormal"/>
    <w:rsid w:val="001F6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3F6FED"/>
    <w:rPr>
      <w:sz w:val="16"/>
      <w:szCs w:val="16"/>
    </w:rPr>
  </w:style>
  <w:style w:type="paragraph" w:styleId="CommentText">
    <w:name w:val="annotation text"/>
    <w:basedOn w:val="Normal"/>
    <w:link w:val="CommentTextChar"/>
    <w:semiHidden/>
    <w:rsid w:val="003F6FED"/>
    <w:rPr>
      <w:sz w:val="20"/>
      <w:szCs w:val="20"/>
    </w:rPr>
  </w:style>
  <w:style w:type="paragraph" w:styleId="CommentSubject">
    <w:name w:val="annotation subject"/>
    <w:basedOn w:val="CommentText"/>
    <w:next w:val="CommentText"/>
    <w:semiHidden/>
    <w:rsid w:val="003F6FED"/>
    <w:rPr>
      <w:b/>
      <w:bCs/>
    </w:rPr>
  </w:style>
  <w:style w:type="paragraph" w:styleId="BalloonText">
    <w:name w:val="Balloon Text"/>
    <w:basedOn w:val="Normal"/>
    <w:semiHidden/>
    <w:rsid w:val="003F6FED"/>
    <w:rPr>
      <w:rFonts w:ascii="Tahoma" w:hAnsi="Tahoma" w:cs="Tahoma"/>
      <w:sz w:val="16"/>
      <w:szCs w:val="16"/>
    </w:rPr>
  </w:style>
  <w:style w:type="paragraph" w:styleId="Header">
    <w:name w:val="header"/>
    <w:basedOn w:val="Normal"/>
    <w:rsid w:val="003B6C04"/>
    <w:pPr>
      <w:tabs>
        <w:tab w:val="center" w:pos="4320"/>
        <w:tab w:val="right" w:pos="8640"/>
      </w:tabs>
    </w:pPr>
  </w:style>
  <w:style w:type="paragraph" w:styleId="ListParagraph">
    <w:name w:val="List Paragraph"/>
    <w:basedOn w:val="Normal"/>
    <w:uiPriority w:val="34"/>
    <w:qFormat/>
    <w:rsid w:val="0053091E"/>
    <w:pPr>
      <w:ind w:left="720"/>
      <w:contextualSpacing/>
    </w:pPr>
    <w:rPr>
      <w:rFonts w:ascii="Cambria" w:eastAsia="Cambria" w:hAnsi="Cambria"/>
    </w:rPr>
  </w:style>
  <w:style w:type="paragraph" w:styleId="NormalWeb">
    <w:name w:val="Normal (Web)"/>
    <w:basedOn w:val="Normal"/>
    <w:uiPriority w:val="99"/>
    <w:unhideWhenUsed/>
    <w:rsid w:val="009F5342"/>
    <w:pPr>
      <w:spacing w:before="100" w:beforeAutospacing="1" w:after="100" w:afterAutospacing="1"/>
    </w:pPr>
  </w:style>
  <w:style w:type="character" w:styleId="FollowedHyperlink">
    <w:name w:val="FollowedHyperlink"/>
    <w:rsid w:val="00585B6A"/>
    <w:rPr>
      <w:color w:val="800080"/>
      <w:u w:val="single"/>
    </w:rPr>
  </w:style>
  <w:style w:type="character" w:styleId="Strong">
    <w:name w:val="Strong"/>
    <w:uiPriority w:val="22"/>
    <w:qFormat/>
    <w:rsid w:val="00025A88"/>
    <w:rPr>
      <w:b/>
      <w:bCs/>
    </w:rPr>
  </w:style>
  <w:style w:type="character" w:customStyle="1" w:styleId="superscript">
    <w:name w:val="superscript"/>
    <w:rsid w:val="00FA2C21"/>
  </w:style>
  <w:style w:type="paragraph" w:customStyle="1" w:styleId="Body1">
    <w:name w:val="Body 1"/>
    <w:rsid w:val="006A209D"/>
    <w:pPr>
      <w:outlineLvl w:val="0"/>
    </w:pPr>
    <w:rPr>
      <w:rFonts w:eastAsia="Arial Unicode MS"/>
      <w:color w:val="000000"/>
      <w:sz w:val="24"/>
      <w:u w:color="000000"/>
    </w:rPr>
  </w:style>
  <w:style w:type="character" w:customStyle="1" w:styleId="Heading2Char">
    <w:name w:val="Heading 2 Char"/>
    <w:link w:val="Heading2"/>
    <w:uiPriority w:val="9"/>
    <w:rsid w:val="00EC77D8"/>
    <w:rPr>
      <w:rFonts w:ascii="inherit" w:hAnsi="inherit"/>
      <w:b/>
      <w:bCs/>
      <w:sz w:val="33"/>
      <w:szCs w:val="33"/>
    </w:rPr>
  </w:style>
  <w:style w:type="character" w:customStyle="1" w:styleId="Heading4Char">
    <w:name w:val="Heading 4 Char"/>
    <w:link w:val="Heading4"/>
    <w:rsid w:val="00EC77D8"/>
    <w:rPr>
      <w:rFonts w:ascii="Calibri" w:eastAsia="Times New Roman" w:hAnsi="Calibri" w:cs="Times New Roman"/>
      <w:b/>
      <w:bCs/>
      <w:sz w:val="28"/>
      <w:szCs w:val="28"/>
    </w:rPr>
  </w:style>
  <w:style w:type="paragraph" w:styleId="FootnoteText">
    <w:name w:val="footnote text"/>
    <w:basedOn w:val="Normal"/>
    <w:link w:val="FootnoteTextChar"/>
    <w:rsid w:val="002569E6"/>
    <w:rPr>
      <w:sz w:val="20"/>
      <w:szCs w:val="20"/>
    </w:rPr>
  </w:style>
  <w:style w:type="character" w:customStyle="1" w:styleId="FootnoteTextChar">
    <w:name w:val="Footnote Text Char"/>
    <w:basedOn w:val="DefaultParagraphFont"/>
    <w:link w:val="FootnoteText"/>
    <w:rsid w:val="002569E6"/>
  </w:style>
  <w:style w:type="paragraph" w:styleId="HTMLPreformatted">
    <w:name w:val="HTML Preformatted"/>
    <w:basedOn w:val="Normal"/>
    <w:link w:val="HTMLPreformattedChar"/>
    <w:rsid w:val="00B94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B94CF2"/>
    <w:rPr>
      <w:rFonts w:ascii="Courier New" w:hAnsi="Courier New" w:cs="Courier New"/>
    </w:rPr>
  </w:style>
  <w:style w:type="character" w:customStyle="1" w:styleId="ptext-41">
    <w:name w:val="ptext-41"/>
    <w:rsid w:val="008A0FE1"/>
  </w:style>
  <w:style w:type="paragraph" w:customStyle="1" w:styleId="Default">
    <w:name w:val="Default"/>
    <w:rsid w:val="00033C94"/>
    <w:pPr>
      <w:autoSpaceDE w:val="0"/>
      <w:autoSpaceDN w:val="0"/>
      <w:adjustRightInd w:val="0"/>
    </w:pPr>
    <w:rPr>
      <w:color w:val="000000"/>
      <w:sz w:val="24"/>
      <w:szCs w:val="24"/>
    </w:rPr>
  </w:style>
  <w:style w:type="paragraph" w:customStyle="1" w:styleId="CM3">
    <w:name w:val="CM3"/>
    <w:basedOn w:val="Default"/>
    <w:next w:val="Default"/>
    <w:uiPriority w:val="99"/>
    <w:rsid w:val="00DE1BEB"/>
    <w:rPr>
      <w:color w:val="auto"/>
    </w:rPr>
  </w:style>
  <w:style w:type="paragraph" w:customStyle="1" w:styleId="CM1">
    <w:name w:val="CM1"/>
    <w:basedOn w:val="Default"/>
    <w:next w:val="Default"/>
    <w:uiPriority w:val="99"/>
    <w:rsid w:val="00DE1BEB"/>
    <w:pPr>
      <w:spacing w:line="280" w:lineRule="atLeast"/>
    </w:pPr>
    <w:rPr>
      <w:color w:val="auto"/>
    </w:rPr>
  </w:style>
  <w:style w:type="character" w:customStyle="1" w:styleId="Heading1Char">
    <w:name w:val="Heading 1 Char"/>
    <w:link w:val="Heading1"/>
    <w:rsid w:val="00DD786B"/>
    <w:rPr>
      <w:rFonts w:ascii="Cambria" w:eastAsia="Times New Roman" w:hAnsi="Cambria" w:cs="Times New Roman"/>
      <w:b/>
      <w:bCs/>
      <w:kern w:val="32"/>
      <w:sz w:val="32"/>
      <w:szCs w:val="32"/>
    </w:rPr>
  </w:style>
  <w:style w:type="paragraph" w:styleId="Revision">
    <w:name w:val="Revision"/>
    <w:hidden/>
    <w:uiPriority w:val="99"/>
    <w:semiHidden/>
    <w:rsid w:val="00E96FEB"/>
    <w:rPr>
      <w:sz w:val="24"/>
      <w:szCs w:val="24"/>
    </w:rPr>
  </w:style>
  <w:style w:type="character" w:customStyle="1" w:styleId="enumxml1">
    <w:name w:val="enumxml1"/>
    <w:rsid w:val="002408CE"/>
    <w:rPr>
      <w:b/>
      <w:bCs/>
    </w:rPr>
  </w:style>
  <w:style w:type="character" w:customStyle="1" w:styleId="ptext-25">
    <w:name w:val="ptext-25"/>
    <w:rsid w:val="002408CE"/>
  </w:style>
  <w:style w:type="character" w:customStyle="1" w:styleId="ptext-31">
    <w:name w:val="ptext-31"/>
    <w:rsid w:val="002408CE"/>
  </w:style>
  <w:style w:type="paragraph" w:styleId="NoSpacing">
    <w:name w:val="No Spacing"/>
    <w:uiPriority w:val="1"/>
    <w:qFormat/>
    <w:rsid w:val="005A3D4B"/>
    <w:rPr>
      <w:rFonts w:ascii="Calibri" w:eastAsia="Calibri" w:hAnsi="Calibri"/>
      <w:sz w:val="22"/>
      <w:szCs w:val="22"/>
    </w:rPr>
  </w:style>
  <w:style w:type="character" w:customStyle="1" w:styleId="CommentTextChar">
    <w:name w:val="Comment Text Char"/>
    <w:link w:val="CommentText"/>
    <w:semiHidden/>
    <w:rsid w:val="001522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DD786B"/>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EC77D8"/>
    <w:pPr>
      <w:spacing w:before="150" w:after="150" w:line="480" w:lineRule="atLeast"/>
      <w:outlineLvl w:val="1"/>
    </w:pPr>
    <w:rPr>
      <w:rFonts w:ascii="inherit" w:hAnsi="inherit"/>
      <w:b/>
      <w:bCs/>
      <w:sz w:val="33"/>
      <w:szCs w:val="33"/>
    </w:rPr>
  </w:style>
  <w:style w:type="paragraph" w:styleId="Heading4">
    <w:name w:val="heading 4"/>
    <w:basedOn w:val="Normal"/>
    <w:next w:val="Normal"/>
    <w:link w:val="Heading4Char"/>
    <w:unhideWhenUsed/>
    <w:qFormat/>
    <w:rsid w:val="00EC77D8"/>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945C2"/>
    <w:rPr>
      <w:color w:val="0000FF"/>
      <w:u w:val="single"/>
    </w:rPr>
  </w:style>
  <w:style w:type="paragraph" w:styleId="Footer">
    <w:name w:val="footer"/>
    <w:basedOn w:val="Normal"/>
    <w:rsid w:val="00D945C2"/>
    <w:pPr>
      <w:tabs>
        <w:tab w:val="center" w:pos="4320"/>
        <w:tab w:val="right" w:pos="8640"/>
      </w:tabs>
    </w:pPr>
  </w:style>
  <w:style w:type="character" w:styleId="PageNumber">
    <w:name w:val="page number"/>
    <w:basedOn w:val="DefaultParagraphFont"/>
    <w:rsid w:val="00D945C2"/>
  </w:style>
  <w:style w:type="character" w:styleId="FootnoteReference">
    <w:name w:val="footnote reference"/>
    <w:semiHidden/>
    <w:rsid w:val="00D945C2"/>
    <w:rPr>
      <w:vertAlign w:val="superscript"/>
    </w:rPr>
  </w:style>
  <w:style w:type="table" w:styleId="TableGrid">
    <w:name w:val="Table Grid"/>
    <w:basedOn w:val="TableNormal"/>
    <w:rsid w:val="001F6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3F6FED"/>
    <w:rPr>
      <w:sz w:val="16"/>
      <w:szCs w:val="16"/>
    </w:rPr>
  </w:style>
  <w:style w:type="paragraph" w:styleId="CommentText">
    <w:name w:val="annotation text"/>
    <w:basedOn w:val="Normal"/>
    <w:link w:val="CommentTextChar"/>
    <w:semiHidden/>
    <w:rsid w:val="003F6FED"/>
    <w:rPr>
      <w:sz w:val="20"/>
      <w:szCs w:val="20"/>
    </w:rPr>
  </w:style>
  <w:style w:type="paragraph" w:styleId="CommentSubject">
    <w:name w:val="annotation subject"/>
    <w:basedOn w:val="CommentText"/>
    <w:next w:val="CommentText"/>
    <w:semiHidden/>
    <w:rsid w:val="003F6FED"/>
    <w:rPr>
      <w:b/>
      <w:bCs/>
    </w:rPr>
  </w:style>
  <w:style w:type="paragraph" w:styleId="BalloonText">
    <w:name w:val="Balloon Text"/>
    <w:basedOn w:val="Normal"/>
    <w:semiHidden/>
    <w:rsid w:val="003F6FED"/>
    <w:rPr>
      <w:rFonts w:ascii="Tahoma" w:hAnsi="Tahoma" w:cs="Tahoma"/>
      <w:sz w:val="16"/>
      <w:szCs w:val="16"/>
    </w:rPr>
  </w:style>
  <w:style w:type="paragraph" w:styleId="Header">
    <w:name w:val="header"/>
    <w:basedOn w:val="Normal"/>
    <w:rsid w:val="003B6C04"/>
    <w:pPr>
      <w:tabs>
        <w:tab w:val="center" w:pos="4320"/>
        <w:tab w:val="right" w:pos="8640"/>
      </w:tabs>
    </w:pPr>
  </w:style>
  <w:style w:type="paragraph" w:styleId="ListParagraph">
    <w:name w:val="List Paragraph"/>
    <w:basedOn w:val="Normal"/>
    <w:uiPriority w:val="34"/>
    <w:qFormat/>
    <w:rsid w:val="0053091E"/>
    <w:pPr>
      <w:ind w:left="720"/>
      <w:contextualSpacing/>
    </w:pPr>
    <w:rPr>
      <w:rFonts w:ascii="Cambria" w:eastAsia="Cambria" w:hAnsi="Cambria"/>
    </w:rPr>
  </w:style>
  <w:style w:type="paragraph" w:styleId="NormalWeb">
    <w:name w:val="Normal (Web)"/>
    <w:basedOn w:val="Normal"/>
    <w:uiPriority w:val="99"/>
    <w:unhideWhenUsed/>
    <w:rsid w:val="009F5342"/>
    <w:pPr>
      <w:spacing w:before="100" w:beforeAutospacing="1" w:after="100" w:afterAutospacing="1"/>
    </w:pPr>
  </w:style>
  <w:style w:type="character" w:styleId="FollowedHyperlink">
    <w:name w:val="FollowedHyperlink"/>
    <w:rsid w:val="00585B6A"/>
    <w:rPr>
      <w:color w:val="800080"/>
      <w:u w:val="single"/>
    </w:rPr>
  </w:style>
  <w:style w:type="character" w:styleId="Strong">
    <w:name w:val="Strong"/>
    <w:uiPriority w:val="22"/>
    <w:qFormat/>
    <w:rsid w:val="00025A88"/>
    <w:rPr>
      <w:b/>
      <w:bCs/>
    </w:rPr>
  </w:style>
  <w:style w:type="character" w:customStyle="1" w:styleId="superscript">
    <w:name w:val="superscript"/>
    <w:rsid w:val="00FA2C21"/>
  </w:style>
  <w:style w:type="paragraph" w:customStyle="1" w:styleId="Body1">
    <w:name w:val="Body 1"/>
    <w:rsid w:val="006A209D"/>
    <w:pPr>
      <w:outlineLvl w:val="0"/>
    </w:pPr>
    <w:rPr>
      <w:rFonts w:eastAsia="Arial Unicode MS"/>
      <w:color w:val="000000"/>
      <w:sz w:val="24"/>
      <w:u w:color="000000"/>
    </w:rPr>
  </w:style>
  <w:style w:type="character" w:customStyle="1" w:styleId="Heading2Char">
    <w:name w:val="Heading 2 Char"/>
    <w:link w:val="Heading2"/>
    <w:uiPriority w:val="9"/>
    <w:rsid w:val="00EC77D8"/>
    <w:rPr>
      <w:rFonts w:ascii="inherit" w:hAnsi="inherit"/>
      <w:b/>
      <w:bCs/>
      <w:sz w:val="33"/>
      <w:szCs w:val="33"/>
    </w:rPr>
  </w:style>
  <w:style w:type="character" w:customStyle="1" w:styleId="Heading4Char">
    <w:name w:val="Heading 4 Char"/>
    <w:link w:val="Heading4"/>
    <w:rsid w:val="00EC77D8"/>
    <w:rPr>
      <w:rFonts w:ascii="Calibri" w:eastAsia="Times New Roman" w:hAnsi="Calibri" w:cs="Times New Roman"/>
      <w:b/>
      <w:bCs/>
      <w:sz w:val="28"/>
      <w:szCs w:val="28"/>
    </w:rPr>
  </w:style>
  <w:style w:type="paragraph" w:styleId="FootnoteText">
    <w:name w:val="footnote text"/>
    <w:basedOn w:val="Normal"/>
    <w:link w:val="FootnoteTextChar"/>
    <w:rsid w:val="002569E6"/>
    <w:rPr>
      <w:sz w:val="20"/>
      <w:szCs w:val="20"/>
    </w:rPr>
  </w:style>
  <w:style w:type="character" w:customStyle="1" w:styleId="FootnoteTextChar">
    <w:name w:val="Footnote Text Char"/>
    <w:basedOn w:val="DefaultParagraphFont"/>
    <w:link w:val="FootnoteText"/>
    <w:rsid w:val="002569E6"/>
  </w:style>
  <w:style w:type="paragraph" w:styleId="HTMLPreformatted">
    <w:name w:val="HTML Preformatted"/>
    <w:basedOn w:val="Normal"/>
    <w:link w:val="HTMLPreformattedChar"/>
    <w:rsid w:val="00B94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B94CF2"/>
    <w:rPr>
      <w:rFonts w:ascii="Courier New" w:hAnsi="Courier New" w:cs="Courier New"/>
    </w:rPr>
  </w:style>
  <w:style w:type="character" w:customStyle="1" w:styleId="ptext-41">
    <w:name w:val="ptext-41"/>
    <w:rsid w:val="008A0FE1"/>
  </w:style>
  <w:style w:type="paragraph" w:customStyle="1" w:styleId="Default">
    <w:name w:val="Default"/>
    <w:rsid w:val="00033C94"/>
    <w:pPr>
      <w:autoSpaceDE w:val="0"/>
      <w:autoSpaceDN w:val="0"/>
      <w:adjustRightInd w:val="0"/>
    </w:pPr>
    <w:rPr>
      <w:color w:val="000000"/>
      <w:sz w:val="24"/>
      <w:szCs w:val="24"/>
    </w:rPr>
  </w:style>
  <w:style w:type="paragraph" w:customStyle="1" w:styleId="CM3">
    <w:name w:val="CM3"/>
    <w:basedOn w:val="Default"/>
    <w:next w:val="Default"/>
    <w:uiPriority w:val="99"/>
    <w:rsid w:val="00DE1BEB"/>
    <w:rPr>
      <w:color w:val="auto"/>
    </w:rPr>
  </w:style>
  <w:style w:type="paragraph" w:customStyle="1" w:styleId="CM1">
    <w:name w:val="CM1"/>
    <w:basedOn w:val="Default"/>
    <w:next w:val="Default"/>
    <w:uiPriority w:val="99"/>
    <w:rsid w:val="00DE1BEB"/>
    <w:pPr>
      <w:spacing w:line="280" w:lineRule="atLeast"/>
    </w:pPr>
    <w:rPr>
      <w:color w:val="auto"/>
    </w:rPr>
  </w:style>
  <w:style w:type="character" w:customStyle="1" w:styleId="Heading1Char">
    <w:name w:val="Heading 1 Char"/>
    <w:link w:val="Heading1"/>
    <w:rsid w:val="00DD786B"/>
    <w:rPr>
      <w:rFonts w:ascii="Cambria" w:eastAsia="Times New Roman" w:hAnsi="Cambria" w:cs="Times New Roman"/>
      <w:b/>
      <w:bCs/>
      <w:kern w:val="32"/>
      <w:sz w:val="32"/>
      <w:szCs w:val="32"/>
    </w:rPr>
  </w:style>
  <w:style w:type="paragraph" w:styleId="Revision">
    <w:name w:val="Revision"/>
    <w:hidden/>
    <w:uiPriority w:val="99"/>
    <w:semiHidden/>
    <w:rsid w:val="00E96FEB"/>
    <w:rPr>
      <w:sz w:val="24"/>
      <w:szCs w:val="24"/>
    </w:rPr>
  </w:style>
  <w:style w:type="character" w:customStyle="1" w:styleId="enumxml1">
    <w:name w:val="enumxml1"/>
    <w:rsid w:val="002408CE"/>
    <w:rPr>
      <w:b/>
      <w:bCs/>
    </w:rPr>
  </w:style>
  <w:style w:type="character" w:customStyle="1" w:styleId="ptext-25">
    <w:name w:val="ptext-25"/>
    <w:rsid w:val="002408CE"/>
  </w:style>
  <w:style w:type="character" w:customStyle="1" w:styleId="ptext-31">
    <w:name w:val="ptext-31"/>
    <w:rsid w:val="002408CE"/>
  </w:style>
  <w:style w:type="paragraph" w:styleId="NoSpacing">
    <w:name w:val="No Spacing"/>
    <w:uiPriority w:val="1"/>
    <w:qFormat/>
    <w:rsid w:val="005A3D4B"/>
    <w:rPr>
      <w:rFonts w:ascii="Calibri" w:eastAsia="Calibri" w:hAnsi="Calibri"/>
      <w:sz w:val="22"/>
      <w:szCs w:val="22"/>
    </w:rPr>
  </w:style>
  <w:style w:type="character" w:customStyle="1" w:styleId="CommentTextChar">
    <w:name w:val="Comment Text Char"/>
    <w:link w:val="CommentText"/>
    <w:semiHidden/>
    <w:rsid w:val="00152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44164">
      <w:bodyDiv w:val="1"/>
      <w:marLeft w:val="0"/>
      <w:marRight w:val="0"/>
      <w:marTop w:val="0"/>
      <w:marBottom w:val="0"/>
      <w:divBdr>
        <w:top w:val="none" w:sz="0" w:space="0" w:color="auto"/>
        <w:left w:val="none" w:sz="0" w:space="0" w:color="auto"/>
        <w:bottom w:val="none" w:sz="0" w:space="0" w:color="auto"/>
        <w:right w:val="none" w:sz="0" w:space="0" w:color="auto"/>
      </w:divBdr>
    </w:div>
    <w:div w:id="101850583">
      <w:bodyDiv w:val="1"/>
      <w:marLeft w:val="0"/>
      <w:marRight w:val="0"/>
      <w:marTop w:val="0"/>
      <w:marBottom w:val="0"/>
      <w:divBdr>
        <w:top w:val="none" w:sz="0" w:space="0" w:color="auto"/>
        <w:left w:val="none" w:sz="0" w:space="0" w:color="auto"/>
        <w:bottom w:val="none" w:sz="0" w:space="0" w:color="auto"/>
        <w:right w:val="none" w:sz="0" w:space="0" w:color="auto"/>
      </w:divBdr>
    </w:div>
    <w:div w:id="416054447">
      <w:bodyDiv w:val="1"/>
      <w:marLeft w:val="0"/>
      <w:marRight w:val="0"/>
      <w:marTop w:val="0"/>
      <w:marBottom w:val="0"/>
      <w:divBdr>
        <w:top w:val="none" w:sz="0" w:space="0" w:color="auto"/>
        <w:left w:val="none" w:sz="0" w:space="0" w:color="auto"/>
        <w:bottom w:val="none" w:sz="0" w:space="0" w:color="auto"/>
        <w:right w:val="none" w:sz="0" w:space="0" w:color="auto"/>
      </w:divBdr>
      <w:divsChild>
        <w:div w:id="148836257">
          <w:marLeft w:val="0"/>
          <w:marRight w:val="0"/>
          <w:marTop w:val="0"/>
          <w:marBottom w:val="0"/>
          <w:divBdr>
            <w:top w:val="none" w:sz="0" w:space="0" w:color="auto"/>
            <w:left w:val="none" w:sz="0" w:space="0" w:color="auto"/>
            <w:bottom w:val="none" w:sz="0" w:space="0" w:color="auto"/>
            <w:right w:val="none" w:sz="0" w:space="0" w:color="auto"/>
          </w:divBdr>
          <w:divsChild>
            <w:div w:id="695041410">
              <w:marLeft w:val="0"/>
              <w:marRight w:val="0"/>
              <w:marTop w:val="0"/>
              <w:marBottom w:val="0"/>
              <w:divBdr>
                <w:top w:val="none" w:sz="0" w:space="0" w:color="auto"/>
                <w:left w:val="single" w:sz="6" w:space="0" w:color="E2E2E2"/>
                <w:bottom w:val="none" w:sz="0" w:space="0" w:color="auto"/>
                <w:right w:val="single" w:sz="6" w:space="0" w:color="E2E2E2"/>
              </w:divBdr>
              <w:divsChild>
                <w:div w:id="1444422846">
                  <w:marLeft w:val="0"/>
                  <w:marRight w:val="0"/>
                  <w:marTop w:val="0"/>
                  <w:marBottom w:val="0"/>
                  <w:divBdr>
                    <w:top w:val="none" w:sz="0" w:space="0" w:color="auto"/>
                    <w:left w:val="none" w:sz="0" w:space="0" w:color="auto"/>
                    <w:bottom w:val="none" w:sz="0" w:space="0" w:color="auto"/>
                    <w:right w:val="none" w:sz="0" w:space="0" w:color="auto"/>
                  </w:divBdr>
                  <w:divsChild>
                    <w:div w:id="3501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944907">
      <w:bodyDiv w:val="1"/>
      <w:marLeft w:val="0"/>
      <w:marRight w:val="0"/>
      <w:marTop w:val="0"/>
      <w:marBottom w:val="0"/>
      <w:divBdr>
        <w:top w:val="none" w:sz="0" w:space="0" w:color="auto"/>
        <w:left w:val="none" w:sz="0" w:space="0" w:color="auto"/>
        <w:bottom w:val="none" w:sz="0" w:space="0" w:color="auto"/>
        <w:right w:val="none" w:sz="0" w:space="0" w:color="auto"/>
      </w:divBdr>
    </w:div>
    <w:div w:id="481625931">
      <w:bodyDiv w:val="1"/>
      <w:marLeft w:val="0"/>
      <w:marRight w:val="0"/>
      <w:marTop w:val="0"/>
      <w:marBottom w:val="0"/>
      <w:divBdr>
        <w:top w:val="none" w:sz="0" w:space="0" w:color="auto"/>
        <w:left w:val="none" w:sz="0" w:space="0" w:color="auto"/>
        <w:bottom w:val="none" w:sz="0" w:space="0" w:color="auto"/>
        <w:right w:val="none" w:sz="0" w:space="0" w:color="auto"/>
      </w:divBdr>
      <w:divsChild>
        <w:div w:id="490826573">
          <w:marLeft w:val="0"/>
          <w:marRight w:val="0"/>
          <w:marTop w:val="0"/>
          <w:marBottom w:val="0"/>
          <w:divBdr>
            <w:top w:val="none" w:sz="0" w:space="0" w:color="auto"/>
            <w:left w:val="none" w:sz="0" w:space="0" w:color="auto"/>
            <w:bottom w:val="none" w:sz="0" w:space="0" w:color="auto"/>
            <w:right w:val="none" w:sz="0" w:space="0" w:color="auto"/>
          </w:divBdr>
          <w:divsChild>
            <w:div w:id="1570185716">
              <w:marLeft w:val="0"/>
              <w:marRight w:val="0"/>
              <w:marTop w:val="0"/>
              <w:marBottom w:val="0"/>
              <w:divBdr>
                <w:top w:val="none" w:sz="0" w:space="0" w:color="auto"/>
                <w:left w:val="none" w:sz="0" w:space="0" w:color="auto"/>
                <w:bottom w:val="none" w:sz="0" w:space="0" w:color="auto"/>
                <w:right w:val="none" w:sz="0" w:space="0" w:color="auto"/>
              </w:divBdr>
              <w:divsChild>
                <w:div w:id="247465363">
                  <w:marLeft w:val="0"/>
                  <w:marRight w:val="0"/>
                  <w:marTop w:val="150"/>
                  <w:marBottom w:val="0"/>
                  <w:divBdr>
                    <w:top w:val="none" w:sz="0" w:space="0" w:color="auto"/>
                    <w:left w:val="none" w:sz="0" w:space="0" w:color="auto"/>
                    <w:bottom w:val="none" w:sz="0" w:space="0" w:color="auto"/>
                    <w:right w:val="none" w:sz="0" w:space="0" w:color="auto"/>
                  </w:divBdr>
                  <w:divsChild>
                    <w:div w:id="1105152072">
                      <w:marLeft w:val="-150"/>
                      <w:marRight w:val="0"/>
                      <w:marTop w:val="0"/>
                      <w:marBottom w:val="0"/>
                      <w:divBdr>
                        <w:top w:val="none" w:sz="0" w:space="0" w:color="auto"/>
                        <w:left w:val="none" w:sz="0" w:space="0" w:color="auto"/>
                        <w:bottom w:val="none" w:sz="0" w:space="0" w:color="auto"/>
                        <w:right w:val="none" w:sz="0" w:space="0" w:color="auto"/>
                      </w:divBdr>
                      <w:divsChild>
                        <w:div w:id="765345278">
                          <w:marLeft w:val="0"/>
                          <w:marRight w:val="0"/>
                          <w:marTop w:val="0"/>
                          <w:marBottom w:val="0"/>
                          <w:divBdr>
                            <w:top w:val="none" w:sz="0" w:space="0" w:color="auto"/>
                            <w:left w:val="none" w:sz="0" w:space="0" w:color="auto"/>
                            <w:bottom w:val="none" w:sz="0" w:space="0" w:color="auto"/>
                            <w:right w:val="none" w:sz="0" w:space="0" w:color="auto"/>
                          </w:divBdr>
                          <w:divsChild>
                            <w:div w:id="1356345121">
                              <w:marLeft w:val="0"/>
                              <w:marRight w:val="0"/>
                              <w:marTop w:val="0"/>
                              <w:marBottom w:val="0"/>
                              <w:divBdr>
                                <w:top w:val="none" w:sz="0" w:space="0" w:color="auto"/>
                                <w:left w:val="none" w:sz="0" w:space="0" w:color="auto"/>
                                <w:bottom w:val="none" w:sz="0" w:space="0" w:color="auto"/>
                                <w:right w:val="none" w:sz="0" w:space="0" w:color="auto"/>
                              </w:divBdr>
                              <w:divsChild>
                                <w:div w:id="1655915000">
                                  <w:marLeft w:val="-150"/>
                                  <w:marRight w:val="0"/>
                                  <w:marTop w:val="0"/>
                                  <w:marBottom w:val="0"/>
                                  <w:divBdr>
                                    <w:top w:val="none" w:sz="0" w:space="0" w:color="auto"/>
                                    <w:left w:val="none" w:sz="0" w:space="0" w:color="auto"/>
                                    <w:bottom w:val="none" w:sz="0" w:space="0" w:color="auto"/>
                                    <w:right w:val="none" w:sz="0" w:space="0" w:color="auto"/>
                                  </w:divBdr>
                                  <w:divsChild>
                                    <w:div w:id="251790022">
                                      <w:marLeft w:val="0"/>
                                      <w:marRight w:val="0"/>
                                      <w:marTop w:val="0"/>
                                      <w:marBottom w:val="0"/>
                                      <w:divBdr>
                                        <w:top w:val="none" w:sz="0" w:space="0" w:color="auto"/>
                                        <w:left w:val="none" w:sz="0" w:space="0" w:color="auto"/>
                                        <w:bottom w:val="none" w:sz="0" w:space="0" w:color="auto"/>
                                        <w:right w:val="none" w:sz="0" w:space="0" w:color="auto"/>
                                      </w:divBdr>
                                      <w:divsChild>
                                        <w:div w:id="1190410454">
                                          <w:marLeft w:val="0"/>
                                          <w:marRight w:val="0"/>
                                          <w:marTop w:val="0"/>
                                          <w:marBottom w:val="0"/>
                                          <w:divBdr>
                                            <w:top w:val="none" w:sz="0" w:space="0" w:color="auto"/>
                                            <w:left w:val="none" w:sz="0" w:space="0" w:color="auto"/>
                                            <w:bottom w:val="none" w:sz="0" w:space="0" w:color="auto"/>
                                            <w:right w:val="none" w:sz="0" w:space="0" w:color="auto"/>
                                          </w:divBdr>
                                          <w:divsChild>
                                            <w:div w:id="1416827797">
                                              <w:marLeft w:val="0"/>
                                              <w:marRight w:val="0"/>
                                              <w:marTop w:val="0"/>
                                              <w:marBottom w:val="0"/>
                                              <w:divBdr>
                                                <w:top w:val="none" w:sz="0" w:space="0" w:color="auto"/>
                                                <w:left w:val="none" w:sz="0" w:space="0" w:color="auto"/>
                                                <w:bottom w:val="none" w:sz="0" w:space="0" w:color="auto"/>
                                                <w:right w:val="none" w:sz="0" w:space="0" w:color="auto"/>
                                              </w:divBdr>
                                              <w:divsChild>
                                                <w:div w:id="134338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3932636">
      <w:bodyDiv w:val="1"/>
      <w:marLeft w:val="0"/>
      <w:marRight w:val="0"/>
      <w:marTop w:val="0"/>
      <w:marBottom w:val="0"/>
      <w:divBdr>
        <w:top w:val="none" w:sz="0" w:space="0" w:color="auto"/>
        <w:left w:val="none" w:sz="0" w:space="0" w:color="auto"/>
        <w:bottom w:val="none" w:sz="0" w:space="0" w:color="auto"/>
        <w:right w:val="none" w:sz="0" w:space="0" w:color="auto"/>
      </w:divBdr>
      <w:divsChild>
        <w:div w:id="1898472666">
          <w:marLeft w:val="0"/>
          <w:marRight w:val="0"/>
          <w:marTop w:val="0"/>
          <w:marBottom w:val="0"/>
          <w:divBdr>
            <w:top w:val="none" w:sz="0" w:space="0" w:color="auto"/>
            <w:left w:val="none" w:sz="0" w:space="0" w:color="auto"/>
            <w:bottom w:val="none" w:sz="0" w:space="0" w:color="auto"/>
            <w:right w:val="none" w:sz="0" w:space="0" w:color="auto"/>
          </w:divBdr>
          <w:divsChild>
            <w:div w:id="1692951398">
              <w:marLeft w:val="0"/>
              <w:marRight w:val="0"/>
              <w:marTop w:val="0"/>
              <w:marBottom w:val="0"/>
              <w:divBdr>
                <w:top w:val="none" w:sz="0" w:space="0" w:color="auto"/>
                <w:left w:val="none" w:sz="0" w:space="0" w:color="auto"/>
                <w:bottom w:val="none" w:sz="0" w:space="0" w:color="auto"/>
                <w:right w:val="none" w:sz="0" w:space="0" w:color="auto"/>
              </w:divBdr>
              <w:divsChild>
                <w:div w:id="1002777375">
                  <w:marLeft w:val="0"/>
                  <w:marRight w:val="0"/>
                  <w:marTop w:val="0"/>
                  <w:marBottom w:val="0"/>
                  <w:divBdr>
                    <w:top w:val="none" w:sz="0" w:space="0" w:color="auto"/>
                    <w:left w:val="none" w:sz="0" w:space="0" w:color="auto"/>
                    <w:bottom w:val="none" w:sz="0" w:space="0" w:color="auto"/>
                    <w:right w:val="none" w:sz="0" w:space="0" w:color="auto"/>
                  </w:divBdr>
                  <w:divsChild>
                    <w:div w:id="2086293681">
                      <w:marLeft w:val="0"/>
                      <w:marRight w:val="0"/>
                      <w:marTop w:val="0"/>
                      <w:marBottom w:val="0"/>
                      <w:divBdr>
                        <w:top w:val="none" w:sz="0" w:space="0" w:color="auto"/>
                        <w:left w:val="none" w:sz="0" w:space="0" w:color="auto"/>
                        <w:bottom w:val="none" w:sz="0" w:space="0" w:color="auto"/>
                        <w:right w:val="none" w:sz="0" w:space="0" w:color="auto"/>
                      </w:divBdr>
                      <w:divsChild>
                        <w:div w:id="665523908">
                          <w:marLeft w:val="0"/>
                          <w:marRight w:val="0"/>
                          <w:marTop w:val="0"/>
                          <w:marBottom w:val="0"/>
                          <w:divBdr>
                            <w:top w:val="none" w:sz="0" w:space="0" w:color="auto"/>
                            <w:left w:val="none" w:sz="0" w:space="0" w:color="auto"/>
                            <w:bottom w:val="none" w:sz="0" w:space="0" w:color="auto"/>
                            <w:right w:val="none" w:sz="0" w:space="0" w:color="auto"/>
                          </w:divBdr>
                          <w:divsChild>
                            <w:div w:id="910507287">
                              <w:marLeft w:val="0"/>
                              <w:marRight w:val="0"/>
                              <w:marTop w:val="0"/>
                              <w:marBottom w:val="0"/>
                              <w:divBdr>
                                <w:top w:val="none" w:sz="0" w:space="0" w:color="auto"/>
                                <w:left w:val="none" w:sz="0" w:space="0" w:color="auto"/>
                                <w:bottom w:val="none" w:sz="0" w:space="0" w:color="auto"/>
                                <w:right w:val="none" w:sz="0" w:space="0" w:color="auto"/>
                              </w:divBdr>
                              <w:divsChild>
                                <w:div w:id="957105895">
                                  <w:marLeft w:val="0"/>
                                  <w:marRight w:val="0"/>
                                  <w:marTop w:val="0"/>
                                  <w:marBottom w:val="0"/>
                                  <w:divBdr>
                                    <w:top w:val="none" w:sz="0" w:space="0" w:color="auto"/>
                                    <w:left w:val="none" w:sz="0" w:space="0" w:color="auto"/>
                                    <w:bottom w:val="none" w:sz="0" w:space="0" w:color="auto"/>
                                    <w:right w:val="none" w:sz="0" w:space="0" w:color="auto"/>
                                  </w:divBdr>
                                  <w:divsChild>
                                    <w:div w:id="1909344526">
                                      <w:marLeft w:val="0"/>
                                      <w:marRight w:val="0"/>
                                      <w:marTop w:val="0"/>
                                      <w:marBottom w:val="0"/>
                                      <w:divBdr>
                                        <w:top w:val="none" w:sz="0" w:space="0" w:color="auto"/>
                                        <w:left w:val="none" w:sz="0" w:space="0" w:color="auto"/>
                                        <w:bottom w:val="none" w:sz="0" w:space="0" w:color="auto"/>
                                        <w:right w:val="none" w:sz="0" w:space="0" w:color="auto"/>
                                      </w:divBdr>
                                      <w:divsChild>
                                        <w:div w:id="996030494">
                                          <w:marLeft w:val="0"/>
                                          <w:marRight w:val="0"/>
                                          <w:marTop w:val="0"/>
                                          <w:marBottom w:val="0"/>
                                          <w:divBdr>
                                            <w:top w:val="none" w:sz="0" w:space="0" w:color="auto"/>
                                            <w:left w:val="none" w:sz="0" w:space="0" w:color="auto"/>
                                            <w:bottom w:val="none" w:sz="0" w:space="0" w:color="auto"/>
                                            <w:right w:val="none" w:sz="0" w:space="0" w:color="auto"/>
                                          </w:divBdr>
                                          <w:divsChild>
                                            <w:div w:id="386994799">
                                              <w:marLeft w:val="0"/>
                                              <w:marRight w:val="0"/>
                                              <w:marTop w:val="0"/>
                                              <w:marBottom w:val="0"/>
                                              <w:divBdr>
                                                <w:top w:val="none" w:sz="0" w:space="0" w:color="auto"/>
                                                <w:left w:val="none" w:sz="0" w:space="0" w:color="auto"/>
                                                <w:bottom w:val="none" w:sz="0" w:space="0" w:color="auto"/>
                                                <w:right w:val="none" w:sz="0" w:space="0" w:color="auto"/>
                                              </w:divBdr>
                                            </w:div>
                                            <w:div w:id="202239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2292479">
      <w:bodyDiv w:val="1"/>
      <w:marLeft w:val="0"/>
      <w:marRight w:val="0"/>
      <w:marTop w:val="0"/>
      <w:marBottom w:val="0"/>
      <w:divBdr>
        <w:top w:val="none" w:sz="0" w:space="0" w:color="auto"/>
        <w:left w:val="none" w:sz="0" w:space="0" w:color="auto"/>
        <w:bottom w:val="none" w:sz="0" w:space="0" w:color="auto"/>
        <w:right w:val="none" w:sz="0" w:space="0" w:color="auto"/>
      </w:divBdr>
      <w:divsChild>
        <w:div w:id="957415875">
          <w:marLeft w:val="0"/>
          <w:marRight w:val="0"/>
          <w:marTop w:val="0"/>
          <w:marBottom w:val="0"/>
          <w:divBdr>
            <w:top w:val="none" w:sz="0" w:space="0" w:color="auto"/>
            <w:left w:val="none" w:sz="0" w:space="0" w:color="auto"/>
            <w:bottom w:val="none" w:sz="0" w:space="0" w:color="auto"/>
            <w:right w:val="none" w:sz="0" w:space="0" w:color="auto"/>
          </w:divBdr>
          <w:divsChild>
            <w:div w:id="417335511">
              <w:marLeft w:val="0"/>
              <w:marRight w:val="0"/>
              <w:marTop w:val="0"/>
              <w:marBottom w:val="0"/>
              <w:divBdr>
                <w:top w:val="none" w:sz="0" w:space="0" w:color="auto"/>
                <w:left w:val="none" w:sz="0" w:space="0" w:color="auto"/>
                <w:bottom w:val="none" w:sz="0" w:space="0" w:color="auto"/>
                <w:right w:val="none" w:sz="0" w:space="0" w:color="auto"/>
              </w:divBdr>
              <w:divsChild>
                <w:div w:id="803156062">
                  <w:marLeft w:val="0"/>
                  <w:marRight w:val="0"/>
                  <w:marTop w:val="0"/>
                  <w:marBottom w:val="0"/>
                  <w:divBdr>
                    <w:top w:val="none" w:sz="0" w:space="0" w:color="auto"/>
                    <w:left w:val="none" w:sz="0" w:space="0" w:color="auto"/>
                    <w:bottom w:val="none" w:sz="0" w:space="0" w:color="auto"/>
                    <w:right w:val="none" w:sz="0" w:space="0" w:color="auto"/>
                  </w:divBdr>
                  <w:divsChild>
                    <w:div w:id="1013924266">
                      <w:marLeft w:val="0"/>
                      <w:marRight w:val="0"/>
                      <w:marTop w:val="0"/>
                      <w:marBottom w:val="0"/>
                      <w:divBdr>
                        <w:top w:val="none" w:sz="0" w:space="0" w:color="auto"/>
                        <w:left w:val="none" w:sz="0" w:space="0" w:color="auto"/>
                        <w:bottom w:val="none" w:sz="0" w:space="0" w:color="auto"/>
                        <w:right w:val="none" w:sz="0" w:space="0" w:color="auto"/>
                      </w:divBdr>
                      <w:divsChild>
                        <w:div w:id="1121070111">
                          <w:marLeft w:val="0"/>
                          <w:marRight w:val="0"/>
                          <w:marTop w:val="0"/>
                          <w:marBottom w:val="0"/>
                          <w:divBdr>
                            <w:top w:val="none" w:sz="0" w:space="0" w:color="auto"/>
                            <w:left w:val="none" w:sz="0" w:space="0" w:color="auto"/>
                            <w:bottom w:val="none" w:sz="0" w:space="0" w:color="auto"/>
                            <w:right w:val="none" w:sz="0" w:space="0" w:color="auto"/>
                          </w:divBdr>
                          <w:divsChild>
                            <w:div w:id="161090846">
                              <w:marLeft w:val="0"/>
                              <w:marRight w:val="0"/>
                              <w:marTop w:val="0"/>
                              <w:marBottom w:val="0"/>
                              <w:divBdr>
                                <w:top w:val="none" w:sz="0" w:space="0" w:color="auto"/>
                                <w:left w:val="none" w:sz="0" w:space="0" w:color="auto"/>
                                <w:bottom w:val="none" w:sz="0" w:space="0" w:color="auto"/>
                                <w:right w:val="none" w:sz="0" w:space="0" w:color="auto"/>
                              </w:divBdr>
                              <w:divsChild>
                                <w:div w:id="340394685">
                                  <w:marLeft w:val="0"/>
                                  <w:marRight w:val="0"/>
                                  <w:marTop w:val="0"/>
                                  <w:marBottom w:val="0"/>
                                  <w:divBdr>
                                    <w:top w:val="none" w:sz="0" w:space="0" w:color="auto"/>
                                    <w:left w:val="none" w:sz="0" w:space="0" w:color="auto"/>
                                    <w:bottom w:val="none" w:sz="0" w:space="0" w:color="auto"/>
                                    <w:right w:val="none" w:sz="0" w:space="0" w:color="auto"/>
                                  </w:divBdr>
                                  <w:divsChild>
                                    <w:div w:id="134266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925671">
      <w:bodyDiv w:val="1"/>
      <w:marLeft w:val="0"/>
      <w:marRight w:val="0"/>
      <w:marTop w:val="0"/>
      <w:marBottom w:val="0"/>
      <w:divBdr>
        <w:top w:val="none" w:sz="0" w:space="0" w:color="auto"/>
        <w:left w:val="none" w:sz="0" w:space="0" w:color="auto"/>
        <w:bottom w:val="none" w:sz="0" w:space="0" w:color="auto"/>
        <w:right w:val="none" w:sz="0" w:space="0" w:color="auto"/>
      </w:divBdr>
      <w:divsChild>
        <w:div w:id="316541100">
          <w:marLeft w:val="0"/>
          <w:marRight w:val="0"/>
          <w:marTop w:val="0"/>
          <w:marBottom w:val="0"/>
          <w:divBdr>
            <w:top w:val="none" w:sz="0" w:space="0" w:color="auto"/>
            <w:left w:val="none" w:sz="0" w:space="0" w:color="auto"/>
            <w:bottom w:val="none" w:sz="0" w:space="0" w:color="auto"/>
            <w:right w:val="none" w:sz="0" w:space="0" w:color="auto"/>
          </w:divBdr>
          <w:divsChild>
            <w:div w:id="3676546">
              <w:marLeft w:val="0"/>
              <w:marRight w:val="0"/>
              <w:marTop w:val="0"/>
              <w:marBottom w:val="0"/>
              <w:divBdr>
                <w:top w:val="none" w:sz="0" w:space="0" w:color="auto"/>
                <w:left w:val="single" w:sz="6" w:space="0" w:color="E2E2E2"/>
                <w:bottom w:val="none" w:sz="0" w:space="0" w:color="auto"/>
                <w:right w:val="single" w:sz="6" w:space="0" w:color="E2E2E2"/>
              </w:divBdr>
              <w:divsChild>
                <w:div w:id="1965116098">
                  <w:marLeft w:val="0"/>
                  <w:marRight w:val="0"/>
                  <w:marTop w:val="0"/>
                  <w:marBottom w:val="0"/>
                  <w:divBdr>
                    <w:top w:val="none" w:sz="0" w:space="0" w:color="auto"/>
                    <w:left w:val="none" w:sz="0" w:space="0" w:color="auto"/>
                    <w:bottom w:val="none" w:sz="0" w:space="0" w:color="auto"/>
                    <w:right w:val="none" w:sz="0" w:space="0" w:color="auto"/>
                  </w:divBdr>
                  <w:divsChild>
                    <w:div w:id="327174065">
                      <w:marLeft w:val="0"/>
                      <w:marRight w:val="0"/>
                      <w:marTop w:val="0"/>
                      <w:marBottom w:val="0"/>
                      <w:divBdr>
                        <w:top w:val="none" w:sz="0" w:space="0" w:color="auto"/>
                        <w:left w:val="none" w:sz="0" w:space="0" w:color="auto"/>
                        <w:bottom w:val="none" w:sz="0" w:space="0" w:color="auto"/>
                        <w:right w:val="none" w:sz="0" w:space="0" w:color="auto"/>
                      </w:divBdr>
                      <w:divsChild>
                        <w:div w:id="50374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659579">
      <w:bodyDiv w:val="1"/>
      <w:marLeft w:val="0"/>
      <w:marRight w:val="0"/>
      <w:marTop w:val="0"/>
      <w:marBottom w:val="0"/>
      <w:divBdr>
        <w:top w:val="none" w:sz="0" w:space="0" w:color="auto"/>
        <w:left w:val="none" w:sz="0" w:space="0" w:color="auto"/>
        <w:bottom w:val="none" w:sz="0" w:space="0" w:color="auto"/>
        <w:right w:val="none" w:sz="0" w:space="0" w:color="auto"/>
      </w:divBdr>
    </w:div>
    <w:div w:id="1070423594">
      <w:bodyDiv w:val="1"/>
      <w:marLeft w:val="0"/>
      <w:marRight w:val="0"/>
      <w:marTop w:val="0"/>
      <w:marBottom w:val="0"/>
      <w:divBdr>
        <w:top w:val="none" w:sz="0" w:space="0" w:color="auto"/>
        <w:left w:val="none" w:sz="0" w:space="0" w:color="auto"/>
        <w:bottom w:val="none" w:sz="0" w:space="0" w:color="auto"/>
        <w:right w:val="none" w:sz="0" w:space="0" w:color="auto"/>
      </w:divBdr>
    </w:div>
    <w:div w:id="1216963474">
      <w:bodyDiv w:val="1"/>
      <w:marLeft w:val="0"/>
      <w:marRight w:val="0"/>
      <w:marTop w:val="0"/>
      <w:marBottom w:val="0"/>
      <w:divBdr>
        <w:top w:val="none" w:sz="0" w:space="0" w:color="auto"/>
        <w:left w:val="none" w:sz="0" w:space="0" w:color="auto"/>
        <w:bottom w:val="none" w:sz="0" w:space="0" w:color="auto"/>
        <w:right w:val="none" w:sz="0" w:space="0" w:color="auto"/>
      </w:divBdr>
      <w:divsChild>
        <w:div w:id="2090735306">
          <w:marLeft w:val="0"/>
          <w:marRight w:val="0"/>
          <w:marTop w:val="0"/>
          <w:marBottom w:val="0"/>
          <w:divBdr>
            <w:top w:val="none" w:sz="0" w:space="0" w:color="auto"/>
            <w:left w:val="none" w:sz="0" w:space="0" w:color="auto"/>
            <w:bottom w:val="none" w:sz="0" w:space="0" w:color="auto"/>
            <w:right w:val="none" w:sz="0" w:space="0" w:color="auto"/>
          </w:divBdr>
          <w:divsChild>
            <w:div w:id="1617298425">
              <w:marLeft w:val="0"/>
              <w:marRight w:val="0"/>
              <w:marTop w:val="0"/>
              <w:marBottom w:val="0"/>
              <w:divBdr>
                <w:top w:val="none" w:sz="0" w:space="0" w:color="auto"/>
                <w:left w:val="none" w:sz="0" w:space="0" w:color="auto"/>
                <w:bottom w:val="none" w:sz="0" w:space="0" w:color="auto"/>
                <w:right w:val="none" w:sz="0" w:space="0" w:color="auto"/>
              </w:divBdr>
              <w:divsChild>
                <w:div w:id="544488428">
                  <w:marLeft w:val="0"/>
                  <w:marRight w:val="0"/>
                  <w:marTop w:val="0"/>
                  <w:marBottom w:val="0"/>
                  <w:divBdr>
                    <w:top w:val="none" w:sz="0" w:space="0" w:color="auto"/>
                    <w:left w:val="none" w:sz="0" w:space="0" w:color="auto"/>
                    <w:bottom w:val="none" w:sz="0" w:space="0" w:color="auto"/>
                    <w:right w:val="none" w:sz="0" w:space="0" w:color="auto"/>
                  </w:divBdr>
                  <w:divsChild>
                    <w:div w:id="885532605">
                      <w:marLeft w:val="0"/>
                      <w:marRight w:val="0"/>
                      <w:marTop w:val="0"/>
                      <w:marBottom w:val="0"/>
                      <w:divBdr>
                        <w:top w:val="none" w:sz="0" w:space="0" w:color="auto"/>
                        <w:left w:val="none" w:sz="0" w:space="0" w:color="auto"/>
                        <w:bottom w:val="none" w:sz="0" w:space="0" w:color="auto"/>
                        <w:right w:val="none" w:sz="0" w:space="0" w:color="auto"/>
                      </w:divBdr>
                      <w:divsChild>
                        <w:div w:id="389887468">
                          <w:marLeft w:val="0"/>
                          <w:marRight w:val="0"/>
                          <w:marTop w:val="0"/>
                          <w:marBottom w:val="0"/>
                          <w:divBdr>
                            <w:top w:val="none" w:sz="0" w:space="0" w:color="auto"/>
                            <w:left w:val="none" w:sz="0" w:space="0" w:color="auto"/>
                            <w:bottom w:val="none" w:sz="0" w:space="0" w:color="auto"/>
                            <w:right w:val="none" w:sz="0" w:space="0" w:color="auto"/>
                          </w:divBdr>
                          <w:divsChild>
                            <w:div w:id="987706032">
                              <w:marLeft w:val="0"/>
                              <w:marRight w:val="0"/>
                              <w:marTop w:val="0"/>
                              <w:marBottom w:val="0"/>
                              <w:divBdr>
                                <w:top w:val="none" w:sz="0" w:space="0" w:color="auto"/>
                                <w:left w:val="none" w:sz="0" w:space="0" w:color="auto"/>
                                <w:bottom w:val="none" w:sz="0" w:space="0" w:color="auto"/>
                                <w:right w:val="none" w:sz="0" w:space="0" w:color="auto"/>
                              </w:divBdr>
                              <w:divsChild>
                                <w:div w:id="973489775">
                                  <w:marLeft w:val="0"/>
                                  <w:marRight w:val="0"/>
                                  <w:marTop w:val="0"/>
                                  <w:marBottom w:val="0"/>
                                  <w:divBdr>
                                    <w:top w:val="none" w:sz="0" w:space="0" w:color="auto"/>
                                    <w:left w:val="none" w:sz="0" w:space="0" w:color="auto"/>
                                    <w:bottom w:val="none" w:sz="0" w:space="0" w:color="auto"/>
                                    <w:right w:val="none" w:sz="0" w:space="0" w:color="auto"/>
                                  </w:divBdr>
                                  <w:divsChild>
                                    <w:div w:id="208614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230217">
      <w:bodyDiv w:val="1"/>
      <w:marLeft w:val="0"/>
      <w:marRight w:val="0"/>
      <w:marTop w:val="0"/>
      <w:marBottom w:val="0"/>
      <w:divBdr>
        <w:top w:val="none" w:sz="0" w:space="0" w:color="auto"/>
        <w:left w:val="none" w:sz="0" w:space="0" w:color="auto"/>
        <w:bottom w:val="none" w:sz="0" w:space="0" w:color="auto"/>
        <w:right w:val="none" w:sz="0" w:space="0" w:color="auto"/>
      </w:divBdr>
    </w:div>
    <w:div w:id="1562986459">
      <w:bodyDiv w:val="1"/>
      <w:marLeft w:val="0"/>
      <w:marRight w:val="0"/>
      <w:marTop w:val="0"/>
      <w:marBottom w:val="0"/>
      <w:divBdr>
        <w:top w:val="none" w:sz="0" w:space="0" w:color="auto"/>
        <w:left w:val="none" w:sz="0" w:space="0" w:color="auto"/>
        <w:bottom w:val="none" w:sz="0" w:space="0" w:color="auto"/>
        <w:right w:val="none" w:sz="0" w:space="0" w:color="auto"/>
      </w:divBdr>
      <w:divsChild>
        <w:div w:id="2142723488">
          <w:marLeft w:val="0"/>
          <w:marRight w:val="0"/>
          <w:marTop w:val="0"/>
          <w:marBottom w:val="0"/>
          <w:divBdr>
            <w:top w:val="none" w:sz="0" w:space="0" w:color="auto"/>
            <w:left w:val="none" w:sz="0" w:space="0" w:color="auto"/>
            <w:bottom w:val="none" w:sz="0" w:space="0" w:color="auto"/>
            <w:right w:val="none" w:sz="0" w:space="0" w:color="auto"/>
          </w:divBdr>
          <w:divsChild>
            <w:div w:id="594099541">
              <w:marLeft w:val="0"/>
              <w:marRight w:val="0"/>
              <w:marTop w:val="0"/>
              <w:marBottom w:val="0"/>
              <w:divBdr>
                <w:top w:val="none" w:sz="0" w:space="0" w:color="auto"/>
                <w:left w:val="none" w:sz="0" w:space="0" w:color="auto"/>
                <w:bottom w:val="none" w:sz="0" w:space="0" w:color="auto"/>
                <w:right w:val="none" w:sz="0" w:space="0" w:color="auto"/>
              </w:divBdr>
              <w:divsChild>
                <w:div w:id="755588217">
                  <w:marLeft w:val="0"/>
                  <w:marRight w:val="0"/>
                  <w:marTop w:val="0"/>
                  <w:marBottom w:val="0"/>
                  <w:divBdr>
                    <w:top w:val="none" w:sz="0" w:space="0" w:color="auto"/>
                    <w:left w:val="none" w:sz="0" w:space="0" w:color="auto"/>
                    <w:bottom w:val="none" w:sz="0" w:space="0" w:color="auto"/>
                    <w:right w:val="none" w:sz="0" w:space="0" w:color="auto"/>
                  </w:divBdr>
                  <w:divsChild>
                    <w:div w:id="128868173">
                      <w:marLeft w:val="0"/>
                      <w:marRight w:val="0"/>
                      <w:marTop w:val="0"/>
                      <w:marBottom w:val="0"/>
                      <w:divBdr>
                        <w:top w:val="none" w:sz="0" w:space="0" w:color="auto"/>
                        <w:left w:val="none" w:sz="0" w:space="0" w:color="auto"/>
                        <w:bottom w:val="none" w:sz="0" w:space="0" w:color="auto"/>
                        <w:right w:val="none" w:sz="0" w:space="0" w:color="auto"/>
                      </w:divBdr>
                      <w:divsChild>
                        <w:div w:id="648095570">
                          <w:marLeft w:val="0"/>
                          <w:marRight w:val="0"/>
                          <w:marTop w:val="0"/>
                          <w:marBottom w:val="0"/>
                          <w:divBdr>
                            <w:top w:val="none" w:sz="0" w:space="0" w:color="auto"/>
                            <w:left w:val="none" w:sz="0" w:space="0" w:color="auto"/>
                            <w:bottom w:val="none" w:sz="0" w:space="0" w:color="auto"/>
                            <w:right w:val="none" w:sz="0" w:space="0" w:color="auto"/>
                          </w:divBdr>
                          <w:divsChild>
                            <w:div w:id="1437559536">
                              <w:marLeft w:val="0"/>
                              <w:marRight w:val="0"/>
                              <w:marTop w:val="0"/>
                              <w:marBottom w:val="0"/>
                              <w:divBdr>
                                <w:top w:val="none" w:sz="0" w:space="0" w:color="auto"/>
                                <w:left w:val="none" w:sz="0" w:space="0" w:color="auto"/>
                                <w:bottom w:val="none" w:sz="0" w:space="0" w:color="auto"/>
                                <w:right w:val="none" w:sz="0" w:space="0" w:color="auto"/>
                              </w:divBdr>
                              <w:divsChild>
                                <w:div w:id="1747339284">
                                  <w:marLeft w:val="0"/>
                                  <w:marRight w:val="0"/>
                                  <w:marTop w:val="0"/>
                                  <w:marBottom w:val="0"/>
                                  <w:divBdr>
                                    <w:top w:val="none" w:sz="0" w:space="0" w:color="auto"/>
                                    <w:left w:val="none" w:sz="0" w:space="0" w:color="auto"/>
                                    <w:bottom w:val="none" w:sz="0" w:space="0" w:color="auto"/>
                                    <w:right w:val="none" w:sz="0" w:space="0" w:color="auto"/>
                                  </w:divBdr>
                                  <w:divsChild>
                                    <w:div w:id="2141797560">
                                      <w:marLeft w:val="0"/>
                                      <w:marRight w:val="0"/>
                                      <w:marTop w:val="0"/>
                                      <w:marBottom w:val="0"/>
                                      <w:divBdr>
                                        <w:top w:val="none" w:sz="0" w:space="0" w:color="auto"/>
                                        <w:left w:val="none" w:sz="0" w:space="0" w:color="auto"/>
                                        <w:bottom w:val="none" w:sz="0" w:space="0" w:color="auto"/>
                                        <w:right w:val="none" w:sz="0" w:space="0" w:color="auto"/>
                                      </w:divBdr>
                                      <w:divsChild>
                                        <w:div w:id="2012445204">
                                          <w:marLeft w:val="0"/>
                                          <w:marRight w:val="0"/>
                                          <w:marTop w:val="0"/>
                                          <w:marBottom w:val="0"/>
                                          <w:divBdr>
                                            <w:top w:val="none" w:sz="0" w:space="0" w:color="auto"/>
                                            <w:left w:val="none" w:sz="0" w:space="0" w:color="auto"/>
                                            <w:bottom w:val="none" w:sz="0" w:space="0" w:color="auto"/>
                                            <w:right w:val="none" w:sz="0" w:space="0" w:color="auto"/>
                                          </w:divBdr>
                                          <w:divsChild>
                                            <w:div w:id="269120390">
                                              <w:marLeft w:val="0"/>
                                              <w:marRight w:val="0"/>
                                              <w:marTop w:val="0"/>
                                              <w:marBottom w:val="0"/>
                                              <w:divBdr>
                                                <w:top w:val="none" w:sz="0" w:space="0" w:color="auto"/>
                                                <w:left w:val="none" w:sz="0" w:space="0" w:color="auto"/>
                                                <w:bottom w:val="none" w:sz="0" w:space="0" w:color="auto"/>
                                                <w:right w:val="none" w:sz="0" w:space="0" w:color="auto"/>
                                              </w:divBdr>
                                            </w:div>
                                            <w:div w:id="202416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7958468">
      <w:bodyDiv w:val="1"/>
      <w:marLeft w:val="0"/>
      <w:marRight w:val="0"/>
      <w:marTop w:val="0"/>
      <w:marBottom w:val="0"/>
      <w:divBdr>
        <w:top w:val="none" w:sz="0" w:space="0" w:color="auto"/>
        <w:left w:val="none" w:sz="0" w:space="0" w:color="auto"/>
        <w:bottom w:val="none" w:sz="0" w:space="0" w:color="auto"/>
        <w:right w:val="none" w:sz="0" w:space="0" w:color="auto"/>
      </w:divBdr>
      <w:divsChild>
        <w:div w:id="1447773261">
          <w:marLeft w:val="0"/>
          <w:marRight w:val="0"/>
          <w:marTop w:val="0"/>
          <w:marBottom w:val="0"/>
          <w:divBdr>
            <w:top w:val="none" w:sz="0" w:space="0" w:color="auto"/>
            <w:left w:val="none" w:sz="0" w:space="0" w:color="auto"/>
            <w:bottom w:val="none" w:sz="0" w:space="0" w:color="auto"/>
            <w:right w:val="none" w:sz="0" w:space="0" w:color="auto"/>
          </w:divBdr>
          <w:divsChild>
            <w:div w:id="15157879">
              <w:marLeft w:val="0"/>
              <w:marRight w:val="0"/>
              <w:marTop w:val="0"/>
              <w:marBottom w:val="0"/>
              <w:divBdr>
                <w:top w:val="none" w:sz="0" w:space="0" w:color="auto"/>
                <w:left w:val="single" w:sz="6" w:space="0" w:color="E2E2E2"/>
                <w:bottom w:val="none" w:sz="0" w:space="0" w:color="auto"/>
                <w:right w:val="single" w:sz="6" w:space="0" w:color="E2E2E2"/>
              </w:divBdr>
              <w:divsChild>
                <w:div w:id="526335817">
                  <w:marLeft w:val="0"/>
                  <w:marRight w:val="0"/>
                  <w:marTop w:val="0"/>
                  <w:marBottom w:val="0"/>
                  <w:divBdr>
                    <w:top w:val="none" w:sz="0" w:space="0" w:color="auto"/>
                    <w:left w:val="none" w:sz="0" w:space="0" w:color="auto"/>
                    <w:bottom w:val="none" w:sz="0" w:space="0" w:color="auto"/>
                    <w:right w:val="none" w:sz="0" w:space="0" w:color="auto"/>
                  </w:divBdr>
                  <w:divsChild>
                    <w:div w:id="1834830727">
                      <w:marLeft w:val="0"/>
                      <w:marRight w:val="0"/>
                      <w:marTop w:val="0"/>
                      <w:marBottom w:val="0"/>
                      <w:divBdr>
                        <w:top w:val="none" w:sz="0" w:space="0" w:color="auto"/>
                        <w:left w:val="none" w:sz="0" w:space="0" w:color="auto"/>
                        <w:bottom w:val="none" w:sz="0" w:space="0" w:color="auto"/>
                        <w:right w:val="none" w:sz="0" w:space="0" w:color="auto"/>
                      </w:divBdr>
                      <w:divsChild>
                        <w:div w:id="18182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357864">
      <w:bodyDiv w:val="1"/>
      <w:marLeft w:val="0"/>
      <w:marRight w:val="0"/>
      <w:marTop w:val="0"/>
      <w:marBottom w:val="0"/>
      <w:divBdr>
        <w:top w:val="none" w:sz="0" w:space="0" w:color="auto"/>
        <w:left w:val="none" w:sz="0" w:space="0" w:color="auto"/>
        <w:bottom w:val="none" w:sz="0" w:space="0" w:color="auto"/>
        <w:right w:val="none" w:sz="0" w:space="0" w:color="auto"/>
      </w:divBdr>
      <w:divsChild>
        <w:div w:id="563953401">
          <w:marLeft w:val="0"/>
          <w:marRight w:val="0"/>
          <w:marTop w:val="0"/>
          <w:marBottom w:val="0"/>
          <w:divBdr>
            <w:top w:val="none" w:sz="0" w:space="0" w:color="auto"/>
            <w:left w:val="none" w:sz="0" w:space="0" w:color="auto"/>
            <w:bottom w:val="none" w:sz="0" w:space="0" w:color="auto"/>
            <w:right w:val="none" w:sz="0" w:space="0" w:color="auto"/>
          </w:divBdr>
          <w:divsChild>
            <w:div w:id="704408798">
              <w:marLeft w:val="0"/>
              <w:marRight w:val="0"/>
              <w:marTop w:val="0"/>
              <w:marBottom w:val="0"/>
              <w:divBdr>
                <w:top w:val="none" w:sz="0" w:space="0" w:color="auto"/>
                <w:left w:val="none" w:sz="0" w:space="0" w:color="auto"/>
                <w:bottom w:val="none" w:sz="0" w:space="0" w:color="auto"/>
                <w:right w:val="none" w:sz="0" w:space="0" w:color="auto"/>
              </w:divBdr>
              <w:divsChild>
                <w:div w:id="1554537433">
                  <w:marLeft w:val="0"/>
                  <w:marRight w:val="0"/>
                  <w:marTop w:val="150"/>
                  <w:marBottom w:val="0"/>
                  <w:divBdr>
                    <w:top w:val="none" w:sz="0" w:space="0" w:color="auto"/>
                    <w:left w:val="none" w:sz="0" w:space="0" w:color="auto"/>
                    <w:bottom w:val="none" w:sz="0" w:space="0" w:color="auto"/>
                    <w:right w:val="none" w:sz="0" w:space="0" w:color="auto"/>
                  </w:divBdr>
                  <w:divsChild>
                    <w:div w:id="1889411777">
                      <w:marLeft w:val="-150"/>
                      <w:marRight w:val="0"/>
                      <w:marTop w:val="0"/>
                      <w:marBottom w:val="0"/>
                      <w:divBdr>
                        <w:top w:val="none" w:sz="0" w:space="0" w:color="auto"/>
                        <w:left w:val="none" w:sz="0" w:space="0" w:color="auto"/>
                        <w:bottom w:val="none" w:sz="0" w:space="0" w:color="auto"/>
                        <w:right w:val="none" w:sz="0" w:space="0" w:color="auto"/>
                      </w:divBdr>
                      <w:divsChild>
                        <w:div w:id="796215738">
                          <w:marLeft w:val="0"/>
                          <w:marRight w:val="0"/>
                          <w:marTop w:val="0"/>
                          <w:marBottom w:val="0"/>
                          <w:divBdr>
                            <w:top w:val="none" w:sz="0" w:space="0" w:color="auto"/>
                            <w:left w:val="none" w:sz="0" w:space="0" w:color="auto"/>
                            <w:bottom w:val="none" w:sz="0" w:space="0" w:color="auto"/>
                            <w:right w:val="none" w:sz="0" w:space="0" w:color="auto"/>
                          </w:divBdr>
                          <w:divsChild>
                            <w:div w:id="398091956">
                              <w:marLeft w:val="0"/>
                              <w:marRight w:val="0"/>
                              <w:marTop w:val="0"/>
                              <w:marBottom w:val="0"/>
                              <w:divBdr>
                                <w:top w:val="none" w:sz="0" w:space="0" w:color="auto"/>
                                <w:left w:val="none" w:sz="0" w:space="0" w:color="auto"/>
                                <w:bottom w:val="none" w:sz="0" w:space="0" w:color="auto"/>
                                <w:right w:val="none" w:sz="0" w:space="0" w:color="auto"/>
                              </w:divBdr>
                              <w:divsChild>
                                <w:div w:id="1973513941">
                                  <w:marLeft w:val="0"/>
                                  <w:marRight w:val="0"/>
                                  <w:marTop w:val="0"/>
                                  <w:marBottom w:val="0"/>
                                  <w:divBdr>
                                    <w:top w:val="none" w:sz="0" w:space="0" w:color="auto"/>
                                    <w:left w:val="none" w:sz="0" w:space="0" w:color="auto"/>
                                    <w:bottom w:val="none" w:sz="0" w:space="0" w:color="auto"/>
                                    <w:right w:val="none" w:sz="0" w:space="0" w:color="auto"/>
                                  </w:divBdr>
                                  <w:divsChild>
                                    <w:div w:id="1435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002217">
      <w:bodyDiv w:val="1"/>
      <w:marLeft w:val="0"/>
      <w:marRight w:val="0"/>
      <w:marTop w:val="0"/>
      <w:marBottom w:val="0"/>
      <w:divBdr>
        <w:top w:val="none" w:sz="0" w:space="0" w:color="auto"/>
        <w:left w:val="none" w:sz="0" w:space="0" w:color="auto"/>
        <w:bottom w:val="none" w:sz="0" w:space="0" w:color="auto"/>
        <w:right w:val="none" w:sz="0" w:space="0" w:color="auto"/>
      </w:divBdr>
      <w:divsChild>
        <w:div w:id="265775564">
          <w:marLeft w:val="0"/>
          <w:marRight w:val="0"/>
          <w:marTop w:val="0"/>
          <w:marBottom w:val="0"/>
          <w:divBdr>
            <w:top w:val="none" w:sz="0" w:space="0" w:color="auto"/>
            <w:left w:val="none" w:sz="0" w:space="0" w:color="auto"/>
            <w:bottom w:val="none" w:sz="0" w:space="0" w:color="auto"/>
            <w:right w:val="none" w:sz="0" w:space="0" w:color="auto"/>
          </w:divBdr>
          <w:divsChild>
            <w:div w:id="1397046400">
              <w:marLeft w:val="0"/>
              <w:marRight w:val="0"/>
              <w:marTop w:val="0"/>
              <w:marBottom w:val="0"/>
              <w:divBdr>
                <w:top w:val="none" w:sz="0" w:space="0" w:color="auto"/>
                <w:left w:val="single" w:sz="6" w:space="0" w:color="E2E2E2"/>
                <w:bottom w:val="none" w:sz="0" w:space="0" w:color="auto"/>
                <w:right w:val="single" w:sz="6" w:space="0" w:color="E2E2E2"/>
              </w:divBdr>
              <w:divsChild>
                <w:div w:id="665865740">
                  <w:marLeft w:val="0"/>
                  <w:marRight w:val="0"/>
                  <w:marTop w:val="0"/>
                  <w:marBottom w:val="0"/>
                  <w:divBdr>
                    <w:top w:val="none" w:sz="0" w:space="0" w:color="auto"/>
                    <w:left w:val="none" w:sz="0" w:space="0" w:color="auto"/>
                    <w:bottom w:val="none" w:sz="0" w:space="0" w:color="auto"/>
                    <w:right w:val="none" w:sz="0" w:space="0" w:color="auto"/>
                  </w:divBdr>
                  <w:divsChild>
                    <w:div w:id="142813471">
                      <w:marLeft w:val="0"/>
                      <w:marRight w:val="0"/>
                      <w:marTop w:val="0"/>
                      <w:marBottom w:val="0"/>
                      <w:divBdr>
                        <w:top w:val="none" w:sz="0" w:space="0" w:color="auto"/>
                        <w:left w:val="none" w:sz="0" w:space="0" w:color="auto"/>
                        <w:bottom w:val="none" w:sz="0" w:space="0" w:color="auto"/>
                        <w:right w:val="none" w:sz="0" w:space="0" w:color="auto"/>
                      </w:divBdr>
                      <w:divsChild>
                        <w:div w:id="29769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142633">
      <w:bodyDiv w:val="1"/>
      <w:marLeft w:val="0"/>
      <w:marRight w:val="0"/>
      <w:marTop w:val="0"/>
      <w:marBottom w:val="0"/>
      <w:divBdr>
        <w:top w:val="none" w:sz="0" w:space="0" w:color="auto"/>
        <w:left w:val="none" w:sz="0" w:space="0" w:color="auto"/>
        <w:bottom w:val="none" w:sz="0" w:space="0" w:color="auto"/>
        <w:right w:val="none" w:sz="0" w:space="0" w:color="auto"/>
      </w:divBdr>
      <w:divsChild>
        <w:div w:id="368528405">
          <w:marLeft w:val="0"/>
          <w:marRight w:val="0"/>
          <w:marTop w:val="0"/>
          <w:marBottom w:val="0"/>
          <w:divBdr>
            <w:top w:val="none" w:sz="0" w:space="0" w:color="auto"/>
            <w:left w:val="none" w:sz="0" w:space="0" w:color="auto"/>
            <w:bottom w:val="none" w:sz="0" w:space="0" w:color="auto"/>
            <w:right w:val="none" w:sz="0" w:space="0" w:color="auto"/>
          </w:divBdr>
          <w:divsChild>
            <w:div w:id="1532842254">
              <w:marLeft w:val="0"/>
              <w:marRight w:val="0"/>
              <w:marTop w:val="0"/>
              <w:marBottom w:val="0"/>
              <w:divBdr>
                <w:top w:val="none" w:sz="0" w:space="0" w:color="auto"/>
                <w:left w:val="single" w:sz="6" w:space="0" w:color="E2E2E2"/>
                <w:bottom w:val="none" w:sz="0" w:space="0" w:color="auto"/>
                <w:right w:val="single" w:sz="6" w:space="0" w:color="E2E2E2"/>
              </w:divBdr>
              <w:divsChild>
                <w:div w:id="1459034239">
                  <w:marLeft w:val="0"/>
                  <w:marRight w:val="0"/>
                  <w:marTop w:val="0"/>
                  <w:marBottom w:val="0"/>
                  <w:divBdr>
                    <w:top w:val="none" w:sz="0" w:space="0" w:color="auto"/>
                    <w:left w:val="none" w:sz="0" w:space="0" w:color="auto"/>
                    <w:bottom w:val="none" w:sz="0" w:space="0" w:color="auto"/>
                    <w:right w:val="none" w:sz="0" w:space="0" w:color="auto"/>
                  </w:divBdr>
                  <w:divsChild>
                    <w:div w:id="1093434429">
                      <w:marLeft w:val="0"/>
                      <w:marRight w:val="0"/>
                      <w:marTop w:val="0"/>
                      <w:marBottom w:val="0"/>
                      <w:divBdr>
                        <w:top w:val="none" w:sz="0" w:space="0" w:color="auto"/>
                        <w:left w:val="none" w:sz="0" w:space="0" w:color="auto"/>
                        <w:bottom w:val="none" w:sz="0" w:space="0" w:color="auto"/>
                        <w:right w:val="none" w:sz="0" w:space="0" w:color="auto"/>
                      </w:divBdr>
                      <w:divsChild>
                        <w:div w:id="12873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23339">
      <w:bodyDiv w:val="1"/>
      <w:marLeft w:val="0"/>
      <w:marRight w:val="0"/>
      <w:marTop w:val="0"/>
      <w:marBottom w:val="0"/>
      <w:divBdr>
        <w:top w:val="none" w:sz="0" w:space="0" w:color="auto"/>
        <w:left w:val="none" w:sz="0" w:space="0" w:color="auto"/>
        <w:bottom w:val="none" w:sz="0" w:space="0" w:color="auto"/>
        <w:right w:val="none" w:sz="0" w:space="0" w:color="auto"/>
      </w:divBdr>
      <w:divsChild>
        <w:div w:id="1431438369">
          <w:marLeft w:val="0"/>
          <w:marRight w:val="0"/>
          <w:marTop w:val="0"/>
          <w:marBottom w:val="0"/>
          <w:divBdr>
            <w:top w:val="none" w:sz="0" w:space="0" w:color="auto"/>
            <w:left w:val="none" w:sz="0" w:space="0" w:color="auto"/>
            <w:bottom w:val="none" w:sz="0" w:space="0" w:color="auto"/>
            <w:right w:val="none" w:sz="0" w:space="0" w:color="auto"/>
          </w:divBdr>
          <w:divsChild>
            <w:div w:id="1815171467">
              <w:marLeft w:val="0"/>
              <w:marRight w:val="0"/>
              <w:marTop w:val="0"/>
              <w:marBottom w:val="0"/>
              <w:divBdr>
                <w:top w:val="none" w:sz="0" w:space="0" w:color="auto"/>
                <w:left w:val="none" w:sz="0" w:space="0" w:color="auto"/>
                <w:bottom w:val="none" w:sz="0" w:space="0" w:color="auto"/>
                <w:right w:val="none" w:sz="0" w:space="0" w:color="auto"/>
              </w:divBdr>
              <w:divsChild>
                <w:div w:id="1373458173">
                  <w:marLeft w:val="0"/>
                  <w:marRight w:val="0"/>
                  <w:marTop w:val="0"/>
                  <w:marBottom w:val="0"/>
                  <w:divBdr>
                    <w:top w:val="none" w:sz="0" w:space="0" w:color="auto"/>
                    <w:left w:val="none" w:sz="0" w:space="0" w:color="auto"/>
                    <w:bottom w:val="none" w:sz="0" w:space="0" w:color="auto"/>
                    <w:right w:val="none" w:sz="0" w:space="0" w:color="auto"/>
                  </w:divBdr>
                  <w:divsChild>
                    <w:div w:id="1024938679">
                      <w:marLeft w:val="0"/>
                      <w:marRight w:val="0"/>
                      <w:marTop w:val="0"/>
                      <w:marBottom w:val="0"/>
                      <w:divBdr>
                        <w:top w:val="none" w:sz="0" w:space="0" w:color="auto"/>
                        <w:left w:val="none" w:sz="0" w:space="0" w:color="auto"/>
                        <w:bottom w:val="none" w:sz="0" w:space="0" w:color="auto"/>
                        <w:right w:val="none" w:sz="0" w:space="0" w:color="auto"/>
                      </w:divBdr>
                      <w:divsChild>
                        <w:div w:id="1230455551">
                          <w:marLeft w:val="0"/>
                          <w:marRight w:val="0"/>
                          <w:marTop w:val="0"/>
                          <w:marBottom w:val="0"/>
                          <w:divBdr>
                            <w:top w:val="none" w:sz="0" w:space="0" w:color="auto"/>
                            <w:left w:val="none" w:sz="0" w:space="0" w:color="auto"/>
                            <w:bottom w:val="none" w:sz="0" w:space="0" w:color="auto"/>
                            <w:right w:val="none" w:sz="0" w:space="0" w:color="auto"/>
                          </w:divBdr>
                          <w:divsChild>
                            <w:div w:id="14466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6762600">
      <w:bodyDiv w:val="1"/>
      <w:marLeft w:val="0"/>
      <w:marRight w:val="0"/>
      <w:marTop w:val="0"/>
      <w:marBottom w:val="0"/>
      <w:divBdr>
        <w:top w:val="none" w:sz="0" w:space="0" w:color="auto"/>
        <w:left w:val="none" w:sz="0" w:space="0" w:color="auto"/>
        <w:bottom w:val="none" w:sz="0" w:space="0" w:color="auto"/>
        <w:right w:val="none" w:sz="0" w:space="0" w:color="auto"/>
      </w:divBdr>
      <w:divsChild>
        <w:div w:id="157548924">
          <w:marLeft w:val="0"/>
          <w:marRight w:val="0"/>
          <w:marTop w:val="0"/>
          <w:marBottom w:val="0"/>
          <w:divBdr>
            <w:top w:val="none" w:sz="0" w:space="0" w:color="auto"/>
            <w:left w:val="none" w:sz="0" w:space="0" w:color="auto"/>
            <w:bottom w:val="none" w:sz="0" w:space="0" w:color="auto"/>
            <w:right w:val="none" w:sz="0" w:space="0" w:color="auto"/>
          </w:divBdr>
          <w:divsChild>
            <w:div w:id="1257135327">
              <w:marLeft w:val="0"/>
              <w:marRight w:val="0"/>
              <w:marTop w:val="0"/>
              <w:marBottom w:val="0"/>
              <w:divBdr>
                <w:top w:val="none" w:sz="0" w:space="0" w:color="auto"/>
                <w:left w:val="none" w:sz="0" w:space="0" w:color="auto"/>
                <w:bottom w:val="none" w:sz="0" w:space="0" w:color="auto"/>
                <w:right w:val="none" w:sz="0" w:space="0" w:color="auto"/>
              </w:divBdr>
              <w:divsChild>
                <w:div w:id="1100833390">
                  <w:marLeft w:val="0"/>
                  <w:marRight w:val="0"/>
                  <w:marTop w:val="150"/>
                  <w:marBottom w:val="0"/>
                  <w:divBdr>
                    <w:top w:val="none" w:sz="0" w:space="0" w:color="auto"/>
                    <w:left w:val="none" w:sz="0" w:space="0" w:color="auto"/>
                    <w:bottom w:val="none" w:sz="0" w:space="0" w:color="auto"/>
                    <w:right w:val="none" w:sz="0" w:space="0" w:color="auto"/>
                  </w:divBdr>
                  <w:divsChild>
                    <w:div w:id="1482576199">
                      <w:marLeft w:val="-150"/>
                      <w:marRight w:val="0"/>
                      <w:marTop w:val="0"/>
                      <w:marBottom w:val="0"/>
                      <w:divBdr>
                        <w:top w:val="none" w:sz="0" w:space="0" w:color="auto"/>
                        <w:left w:val="none" w:sz="0" w:space="0" w:color="auto"/>
                        <w:bottom w:val="none" w:sz="0" w:space="0" w:color="auto"/>
                        <w:right w:val="none" w:sz="0" w:space="0" w:color="auto"/>
                      </w:divBdr>
                      <w:divsChild>
                        <w:div w:id="1265654803">
                          <w:marLeft w:val="0"/>
                          <w:marRight w:val="0"/>
                          <w:marTop w:val="0"/>
                          <w:marBottom w:val="0"/>
                          <w:divBdr>
                            <w:top w:val="none" w:sz="0" w:space="0" w:color="auto"/>
                            <w:left w:val="none" w:sz="0" w:space="0" w:color="auto"/>
                            <w:bottom w:val="none" w:sz="0" w:space="0" w:color="auto"/>
                            <w:right w:val="none" w:sz="0" w:space="0" w:color="auto"/>
                          </w:divBdr>
                          <w:divsChild>
                            <w:div w:id="1110322645">
                              <w:marLeft w:val="0"/>
                              <w:marRight w:val="0"/>
                              <w:marTop w:val="0"/>
                              <w:marBottom w:val="0"/>
                              <w:divBdr>
                                <w:top w:val="none" w:sz="0" w:space="0" w:color="auto"/>
                                <w:left w:val="none" w:sz="0" w:space="0" w:color="auto"/>
                                <w:bottom w:val="none" w:sz="0" w:space="0" w:color="auto"/>
                                <w:right w:val="none" w:sz="0" w:space="0" w:color="auto"/>
                              </w:divBdr>
                              <w:divsChild>
                                <w:div w:id="1342006517">
                                  <w:marLeft w:val="0"/>
                                  <w:marRight w:val="0"/>
                                  <w:marTop w:val="0"/>
                                  <w:marBottom w:val="0"/>
                                  <w:divBdr>
                                    <w:top w:val="none" w:sz="0" w:space="0" w:color="auto"/>
                                    <w:left w:val="none" w:sz="0" w:space="0" w:color="auto"/>
                                    <w:bottom w:val="none" w:sz="0" w:space="0" w:color="auto"/>
                                    <w:right w:val="none" w:sz="0" w:space="0" w:color="auto"/>
                                  </w:divBdr>
                                  <w:divsChild>
                                    <w:div w:id="69372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002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dc.gov/quarantine/pdf/legal-authorities-isolation-quarantine.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dc.gov/mmwr/pdf/wk/mm63e1114a6.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who.int/mediacentre/factsheets/fs103/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mmwr/preview/mmwrhtml/mm6346a11.htm" TargetMode="External"/><Relationship Id="rId5" Type="http://schemas.openxmlformats.org/officeDocument/2006/relationships/settings" Target="settings.xml"/><Relationship Id="rId15" Type="http://schemas.openxmlformats.org/officeDocument/2006/relationships/hyperlink" Target="http://www.cdc.gov/vhf/ebola/exposure/monitoring-and-movement-of-persons-with-exposure.html" TargetMode="External"/><Relationship Id="rId23" Type="http://schemas.microsoft.com/office/2011/relationships/commentsExtended" Target="commentsExtended.xml"/><Relationship Id="rId10" Type="http://schemas.openxmlformats.org/officeDocument/2006/relationships/hyperlink" Target="http://www.cdc.gov/vhf/Ebola/outbreaks/2014-west-africa/index.html"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intranet.cdc.gov/maso/RM/pdfs/rmcontrol.pdf" TargetMode="External"/><Relationship Id="rId14" Type="http://schemas.openxmlformats.org/officeDocument/2006/relationships/hyperlink" Target="http://cdn5.freedomoutpost.com/wp-content/uploads/2014/10/RL33201.pdf" TargetMode="External"/><Relationship Id="rId22"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www.cdc.gov/vhf/ebola/exposure/monitoring-and-movement-of-persons-with-exposu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FB7B3-5DC4-4961-8A37-8C7065396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18</Pages>
  <Words>5683</Words>
  <Characters>32833</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Quarantine Station Illness Response Forms:</vt:lpstr>
    </vt:vector>
  </TitlesOfParts>
  <Company>ITSO</Company>
  <LinksUpToDate>false</LinksUpToDate>
  <CharactersWithSpaces>38440</CharactersWithSpaces>
  <SharedDoc>false</SharedDoc>
  <HLinks>
    <vt:vector size="54" baseType="variant">
      <vt:variant>
        <vt:i4>7864417</vt:i4>
      </vt:variant>
      <vt:variant>
        <vt:i4>21</vt:i4>
      </vt:variant>
      <vt:variant>
        <vt:i4>0</vt:i4>
      </vt:variant>
      <vt:variant>
        <vt:i4>5</vt:i4>
      </vt:variant>
      <vt:variant>
        <vt:lpwstr>http://www.who.int/mediacentre/factsheets/fs103/en/</vt:lpwstr>
      </vt:variant>
      <vt:variant>
        <vt:lpwstr/>
      </vt:variant>
      <vt:variant>
        <vt:i4>7929981</vt:i4>
      </vt:variant>
      <vt:variant>
        <vt:i4>18</vt:i4>
      </vt:variant>
      <vt:variant>
        <vt:i4>0</vt:i4>
      </vt:variant>
      <vt:variant>
        <vt:i4>5</vt:i4>
      </vt:variant>
      <vt:variant>
        <vt:lpwstr>http://www.cdc.gov/vhf/ebola/exposure/monitoring-and-movement-of-persons-with-exposure.html</vt:lpwstr>
      </vt:variant>
      <vt:variant>
        <vt:lpwstr/>
      </vt:variant>
      <vt:variant>
        <vt:i4>1376259</vt:i4>
      </vt:variant>
      <vt:variant>
        <vt:i4>15</vt:i4>
      </vt:variant>
      <vt:variant>
        <vt:i4>0</vt:i4>
      </vt:variant>
      <vt:variant>
        <vt:i4>5</vt:i4>
      </vt:variant>
      <vt:variant>
        <vt:lpwstr>http://cdn5.freedomoutpost.com/wp-content/uploads/2014/10/RL33201.pdf</vt:lpwstr>
      </vt:variant>
      <vt:variant>
        <vt:lpwstr/>
      </vt:variant>
      <vt:variant>
        <vt:i4>1376262</vt:i4>
      </vt:variant>
      <vt:variant>
        <vt:i4>12</vt:i4>
      </vt:variant>
      <vt:variant>
        <vt:i4>0</vt:i4>
      </vt:variant>
      <vt:variant>
        <vt:i4>5</vt:i4>
      </vt:variant>
      <vt:variant>
        <vt:lpwstr>http://www.cdc.gov/quarantine/pdf/legal-authorities-isolation-quarantine.pdf</vt:lpwstr>
      </vt:variant>
      <vt:variant>
        <vt:lpwstr/>
      </vt:variant>
      <vt:variant>
        <vt:i4>3407998</vt:i4>
      </vt:variant>
      <vt:variant>
        <vt:i4>9</vt:i4>
      </vt:variant>
      <vt:variant>
        <vt:i4>0</vt:i4>
      </vt:variant>
      <vt:variant>
        <vt:i4>5</vt:i4>
      </vt:variant>
      <vt:variant>
        <vt:lpwstr>http://www.cdc.gov/mmwr/pdf/wk/mm63e1114a6.pdf</vt:lpwstr>
      </vt:variant>
      <vt:variant>
        <vt:lpwstr/>
      </vt:variant>
      <vt:variant>
        <vt:i4>8126589</vt:i4>
      </vt:variant>
      <vt:variant>
        <vt:i4>6</vt:i4>
      </vt:variant>
      <vt:variant>
        <vt:i4>0</vt:i4>
      </vt:variant>
      <vt:variant>
        <vt:i4>5</vt:i4>
      </vt:variant>
      <vt:variant>
        <vt:lpwstr>http://www.cdc.gov/mmwr/preview/mmwrhtml/mm6346a11.htm</vt:lpwstr>
      </vt:variant>
      <vt:variant>
        <vt:lpwstr/>
      </vt:variant>
      <vt:variant>
        <vt:i4>6750265</vt:i4>
      </vt:variant>
      <vt:variant>
        <vt:i4>3</vt:i4>
      </vt:variant>
      <vt:variant>
        <vt:i4>0</vt:i4>
      </vt:variant>
      <vt:variant>
        <vt:i4>5</vt:i4>
      </vt:variant>
      <vt:variant>
        <vt:lpwstr>http://www.cdc.gov/vhf/Ebola/outbreaks/2014-west-africa/index.html</vt:lpwstr>
      </vt:variant>
      <vt:variant>
        <vt:lpwstr/>
      </vt:variant>
      <vt:variant>
        <vt:i4>2424872</vt:i4>
      </vt:variant>
      <vt:variant>
        <vt:i4>0</vt:i4>
      </vt:variant>
      <vt:variant>
        <vt:i4>0</vt:i4>
      </vt:variant>
      <vt:variant>
        <vt:i4>5</vt:i4>
      </vt:variant>
      <vt:variant>
        <vt:lpwstr>http://intranet.cdc.gov/maso/RM/pdfs/rmcontrol.pdf</vt:lpwstr>
      </vt:variant>
      <vt:variant>
        <vt:lpwstr/>
      </vt:variant>
      <vt:variant>
        <vt:i4>7929981</vt:i4>
      </vt:variant>
      <vt:variant>
        <vt:i4>0</vt:i4>
      </vt:variant>
      <vt:variant>
        <vt:i4>0</vt:i4>
      </vt:variant>
      <vt:variant>
        <vt:i4>5</vt:i4>
      </vt:variant>
      <vt:variant>
        <vt:lpwstr>http://www.cdc.gov/vhf/ebola/exposure/monitoring-and-movement-of-persons-with-exposure.html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Quarantine Station Illness Response Forms:</dc:title>
  <dc:creator>aeo1</dc:creator>
  <cp:lastModifiedBy>CDC User</cp:lastModifiedBy>
  <cp:revision>10</cp:revision>
  <cp:lastPrinted>2015-01-21T20:23:00Z</cp:lastPrinted>
  <dcterms:created xsi:type="dcterms:W3CDTF">2015-01-23T15:43:00Z</dcterms:created>
  <dcterms:modified xsi:type="dcterms:W3CDTF">2015-01-24T00:14:00Z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