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9679A6">
        <w:rPr>
          <w:sz w:val="28"/>
        </w:rPr>
        <w:t xml:space="preserve">Number: </w:t>
      </w:r>
      <w:r w:rsidR="00D1439B" w:rsidRPr="009679A6">
        <w:t xml:space="preserve">0925-0648 </w:t>
      </w:r>
      <w:r w:rsidRPr="009679A6">
        <w:rPr>
          <w:sz w:val="28"/>
        </w:rPr>
        <w:t>-</w:t>
      </w:r>
      <w:r w:rsidR="00D1439B" w:rsidRPr="009679A6">
        <w:rPr>
          <w:sz w:val="28"/>
        </w:rPr>
        <w:t>3/31/18</w:t>
      </w:r>
      <w:r w:rsidRPr="009679A6">
        <w:rPr>
          <w:sz w:val="28"/>
        </w:rPr>
        <w:t>)</w:t>
      </w:r>
    </w:p>
    <w:p w:rsidR="00E50293" w:rsidRPr="009239AA" w:rsidRDefault="00F726D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33F103" wp14:editId="52EB5E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F8EFB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D1439B" w:rsidRDefault="00D1439B"/>
    <w:p w:rsidR="005E714A" w:rsidRPr="004338DA" w:rsidRDefault="00D1439B">
      <w:proofErr w:type="spellStart"/>
      <w:r w:rsidRPr="004338DA">
        <w:t>WiTS</w:t>
      </w:r>
      <w:proofErr w:type="spellEnd"/>
      <w:r w:rsidRPr="004338DA">
        <w:t xml:space="preserve"> Climate Survey 2015 </w:t>
      </w:r>
    </w:p>
    <w:p w:rsidR="0018453E" w:rsidRDefault="0018453E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1439B" w:rsidRDefault="00D1439B"/>
    <w:p w:rsidR="00C8488C" w:rsidRPr="004338DA" w:rsidRDefault="0018453E">
      <w:r w:rsidRPr="004338DA">
        <w:t xml:space="preserve">The </w:t>
      </w:r>
      <w:proofErr w:type="spellStart"/>
      <w:r w:rsidR="00B86DC2" w:rsidRPr="004338DA">
        <w:t>WiTS</w:t>
      </w:r>
      <w:proofErr w:type="spellEnd"/>
      <w:r w:rsidR="00B86DC2" w:rsidRPr="004338DA">
        <w:t xml:space="preserve"> Climate Survey</w:t>
      </w:r>
      <w:r w:rsidRPr="004338DA">
        <w:t xml:space="preserve"> is used to assess </w:t>
      </w:r>
      <w:r w:rsidR="00B86DC2" w:rsidRPr="004338DA">
        <w:t>the effectiveness and satisfaction with the Workflow information Tracking System (</w:t>
      </w:r>
      <w:proofErr w:type="spellStart"/>
      <w:r w:rsidR="00B86DC2" w:rsidRPr="004338DA">
        <w:t>WiTS</w:t>
      </w:r>
      <w:proofErr w:type="spellEnd"/>
      <w:r w:rsidR="00B86DC2" w:rsidRPr="004338DA">
        <w:t xml:space="preserve">) of HR SAID. </w:t>
      </w:r>
      <w:r w:rsidRPr="004338DA">
        <w:t>Results of t</w:t>
      </w:r>
      <w:r w:rsidR="00B86DC2" w:rsidRPr="004338DA">
        <w:t xml:space="preserve">he survey are used to gather action items to improve </w:t>
      </w:r>
      <w:proofErr w:type="spellStart"/>
      <w:r w:rsidR="00B86DC2" w:rsidRPr="004338DA">
        <w:t>WiTS</w:t>
      </w:r>
      <w:proofErr w:type="spellEnd"/>
      <w:r w:rsidR="00B86DC2" w:rsidRPr="004338DA">
        <w:t xml:space="preserve">, specifically in the area of </w:t>
      </w:r>
      <w:proofErr w:type="spellStart"/>
      <w:r w:rsidR="00B86DC2" w:rsidRPr="004338DA">
        <w:t>WiTS</w:t>
      </w:r>
      <w:proofErr w:type="spellEnd"/>
      <w:r w:rsidR="00B86DC2" w:rsidRPr="004338DA">
        <w:t xml:space="preserve"> enhancements, as well as communications, support, and training efforts. </w:t>
      </w:r>
    </w:p>
    <w:p w:rsidR="00B86DC2" w:rsidRDefault="00B86DC2"/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735D8" w:rsidRDefault="00F735D8"/>
    <w:p w:rsidR="00F15956" w:rsidRPr="004338DA" w:rsidRDefault="0018453E">
      <w:r w:rsidRPr="004338DA">
        <w:t xml:space="preserve">The survey will be open to all </w:t>
      </w:r>
      <w:proofErr w:type="spellStart"/>
      <w:r w:rsidR="00B86DC2" w:rsidRPr="004338DA">
        <w:t>WiTS</w:t>
      </w:r>
      <w:proofErr w:type="spellEnd"/>
      <w:r w:rsidR="00B86DC2" w:rsidRPr="004338DA">
        <w:t xml:space="preserve"> users</w:t>
      </w:r>
      <w:r w:rsidRPr="004338DA">
        <w:t xml:space="preserve"> </w:t>
      </w:r>
      <w:r w:rsidR="00B86DC2" w:rsidRPr="004338DA">
        <w:t xml:space="preserve">within the NIH </w:t>
      </w:r>
      <w:r w:rsidRPr="004338DA">
        <w:t>(federal and contract staff).</w:t>
      </w:r>
      <w:r w:rsidR="00185304" w:rsidRPr="004338DA">
        <w:t xml:space="preserve"> The survey is sent to certain </w:t>
      </w:r>
      <w:r w:rsidR="00AD0E59" w:rsidRPr="004338DA">
        <w:t>divisions of the O</w:t>
      </w:r>
      <w:r w:rsidR="00185304" w:rsidRPr="004338DA">
        <w:t xml:space="preserve">ffice of Human Resources (OHR), </w:t>
      </w:r>
      <w:r w:rsidR="00AD0E59" w:rsidRPr="004338DA">
        <w:t>as well as a sample of individuals in other i</w:t>
      </w:r>
      <w:r w:rsidR="00185304" w:rsidRPr="004338DA">
        <w:t xml:space="preserve">nstitutes/center across the NIH, who </w:t>
      </w:r>
      <w:proofErr w:type="gramStart"/>
      <w:r w:rsidR="00185304" w:rsidRPr="004338DA">
        <w:t>use</w:t>
      </w:r>
      <w:proofErr w:type="gramEnd"/>
      <w:r w:rsidR="00185304" w:rsidRPr="004338DA">
        <w:t xml:space="preserve"> </w:t>
      </w:r>
      <w:proofErr w:type="spellStart"/>
      <w:r w:rsidR="00185304" w:rsidRPr="004338DA">
        <w:t>WiTS</w:t>
      </w:r>
      <w:proofErr w:type="spellEnd"/>
      <w:r w:rsidR="00185304" w:rsidRPr="004338DA">
        <w:t xml:space="preserve"> system. </w:t>
      </w:r>
    </w:p>
    <w:p w:rsidR="00C8488C" w:rsidRPr="004338DA" w:rsidRDefault="00C8488C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F735D8">
        <w:rPr>
          <w:bCs/>
          <w:sz w:val="24"/>
        </w:rPr>
        <w:t>[</w:t>
      </w:r>
      <w:bookmarkStart w:id="0" w:name="_GoBack"/>
      <w:r w:rsidR="00061A57" w:rsidRPr="004338DA">
        <w:rPr>
          <w:bCs/>
          <w:sz w:val="24"/>
        </w:rPr>
        <w:t>X</w:t>
      </w:r>
      <w:bookmarkEnd w:id="0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F735D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735D8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061A57">
        <w:rPr>
          <w:bCs/>
          <w:sz w:val="24"/>
          <w:u w:val="single"/>
        </w:rPr>
        <w:t>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__________</w:t>
      </w:r>
      <w:r w:rsidR="00AB4576">
        <w:t>Ava</w:t>
      </w:r>
      <w:proofErr w:type="spellEnd"/>
      <w:r w:rsidR="00AB4576">
        <w:t xml:space="preserve"> </w:t>
      </w:r>
      <w:proofErr w:type="spellStart"/>
      <w:r w:rsidR="00AB4576">
        <w:t>Safaie</w:t>
      </w:r>
      <w:proofErr w:type="spellEnd"/>
      <w:r>
        <w:t>_____________________________________</w:t>
      </w:r>
    </w:p>
    <w:p w:rsidR="009C13B9" w:rsidRDefault="009C13B9" w:rsidP="009C13B9">
      <w:pPr>
        <w:pStyle w:val="ListParagraph"/>
        <w:ind w:left="360"/>
      </w:pPr>
    </w:p>
    <w:p w:rsidR="00EF4378" w:rsidRDefault="00EF4378" w:rsidP="009C13B9"/>
    <w:p w:rsidR="00EF4378" w:rsidRDefault="00EF4378" w:rsidP="009C13B9"/>
    <w:p w:rsidR="00EF4378" w:rsidRDefault="00EF4378" w:rsidP="009C13B9"/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370B" w:rsidRPr="004338D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8370B" w:rsidRPr="004338DA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34093F" w:rsidRPr="00BC676D" w:rsidRDefault="0034093F" w:rsidP="0034093F">
      <w:pPr>
        <w:rPr>
          <w:b/>
          <w:i/>
        </w:rPr>
      </w:pPr>
      <w:r w:rsidRPr="00AD0E59">
        <w:rPr>
          <w:b/>
        </w:rPr>
        <w:t>ESTIMATED BURDEN HOURS and COSTS</w:t>
      </w:r>
    </w:p>
    <w:p w:rsidR="0034093F" w:rsidRPr="006832D9" w:rsidRDefault="0034093F" w:rsidP="0034093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4093F" w:rsidTr="009A3549">
        <w:trPr>
          <w:trHeight w:val="274"/>
        </w:trPr>
        <w:tc>
          <w:tcPr>
            <w:tcW w:w="2790" w:type="dxa"/>
          </w:tcPr>
          <w:p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4093F" w:rsidTr="009A3549">
        <w:trPr>
          <w:trHeight w:val="260"/>
        </w:trPr>
        <w:tc>
          <w:tcPr>
            <w:tcW w:w="2790" w:type="dxa"/>
          </w:tcPr>
          <w:p w:rsidR="0034093F" w:rsidRPr="001D4249" w:rsidRDefault="0034093F" w:rsidP="009A3549">
            <w:pPr>
              <w:rPr>
                <w:color w:val="1F497D"/>
              </w:rPr>
            </w:pPr>
            <w:r w:rsidRPr="004338DA">
              <w:t xml:space="preserve">Federal Government Contractors </w:t>
            </w:r>
          </w:p>
        </w:tc>
        <w:tc>
          <w:tcPr>
            <w:tcW w:w="2250" w:type="dxa"/>
          </w:tcPr>
          <w:p w:rsidR="0034093F" w:rsidRPr="009C7FD4" w:rsidRDefault="00E22C90" w:rsidP="009A3549">
            <w:pPr>
              <w:rPr>
                <w:color w:val="002060"/>
              </w:rPr>
            </w:pPr>
            <w:r>
              <w:rPr>
                <w:color w:val="002060"/>
              </w:rPr>
              <w:t xml:space="preserve">40 </w:t>
            </w:r>
          </w:p>
        </w:tc>
        <w:tc>
          <w:tcPr>
            <w:tcW w:w="2520" w:type="dxa"/>
          </w:tcPr>
          <w:p w:rsidR="0034093F" w:rsidRPr="009C7FD4" w:rsidRDefault="00E22C90" w:rsidP="009A3549">
            <w:pPr>
              <w:rPr>
                <w:color w:val="002060"/>
              </w:rPr>
            </w:pPr>
            <w:r>
              <w:rPr>
                <w:color w:val="002060"/>
              </w:rPr>
              <w:t xml:space="preserve">1 </w:t>
            </w:r>
          </w:p>
        </w:tc>
        <w:tc>
          <w:tcPr>
            <w:tcW w:w="1620" w:type="dxa"/>
          </w:tcPr>
          <w:p w:rsidR="0034093F" w:rsidRPr="009C7FD4" w:rsidRDefault="0034093F" w:rsidP="009A3549">
            <w:pPr>
              <w:rPr>
                <w:color w:val="002060"/>
              </w:rPr>
            </w:pPr>
            <w:r w:rsidRPr="004338DA">
              <w:t>5/60 hours</w:t>
            </w:r>
            <w:r w:rsidR="00E22C90" w:rsidRPr="004338DA">
              <w:t xml:space="preserve"> </w:t>
            </w:r>
          </w:p>
        </w:tc>
        <w:tc>
          <w:tcPr>
            <w:tcW w:w="1260" w:type="dxa"/>
          </w:tcPr>
          <w:p w:rsidR="0034093F" w:rsidRPr="009C7FD4" w:rsidRDefault="002E4136" w:rsidP="009A3549">
            <w:pPr>
              <w:rPr>
                <w:color w:val="002060"/>
              </w:rPr>
            </w:pPr>
            <w:r w:rsidRPr="004338DA">
              <w:t>3</w:t>
            </w:r>
            <w:r w:rsidR="0034093F" w:rsidRPr="004338DA">
              <w:t xml:space="preserve"> hours</w:t>
            </w:r>
          </w:p>
        </w:tc>
      </w:tr>
      <w:tr w:rsidR="0034093F" w:rsidTr="009A3549">
        <w:trPr>
          <w:trHeight w:val="274"/>
        </w:trPr>
        <w:tc>
          <w:tcPr>
            <w:tcW w:w="2790" w:type="dxa"/>
          </w:tcPr>
          <w:p w:rsidR="0034093F" w:rsidRDefault="0034093F" w:rsidP="009A3549"/>
        </w:tc>
        <w:tc>
          <w:tcPr>
            <w:tcW w:w="2250" w:type="dxa"/>
          </w:tcPr>
          <w:p w:rsidR="0034093F" w:rsidRDefault="0034093F" w:rsidP="009A3549"/>
        </w:tc>
        <w:tc>
          <w:tcPr>
            <w:tcW w:w="2520" w:type="dxa"/>
          </w:tcPr>
          <w:p w:rsidR="0034093F" w:rsidRDefault="0034093F" w:rsidP="009A3549"/>
        </w:tc>
        <w:tc>
          <w:tcPr>
            <w:tcW w:w="1620" w:type="dxa"/>
          </w:tcPr>
          <w:p w:rsidR="0034093F" w:rsidRDefault="0034093F" w:rsidP="009A3549"/>
        </w:tc>
        <w:tc>
          <w:tcPr>
            <w:tcW w:w="1260" w:type="dxa"/>
          </w:tcPr>
          <w:p w:rsidR="0034093F" w:rsidRDefault="0034093F" w:rsidP="009A3549"/>
        </w:tc>
      </w:tr>
      <w:tr w:rsidR="0034093F" w:rsidTr="009A3549">
        <w:trPr>
          <w:trHeight w:val="289"/>
        </w:trPr>
        <w:tc>
          <w:tcPr>
            <w:tcW w:w="2790" w:type="dxa"/>
          </w:tcPr>
          <w:p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4093F" w:rsidRPr="003D2E82" w:rsidRDefault="00E22C90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40 </w:t>
            </w:r>
          </w:p>
        </w:tc>
        <w:tc>
          <w:tcPr>
            <w:tcW w:w="2520" w:type="dxa"/>
          </w:tcPr>
          <w:p w:rsidR="0034093F" w:rsidRPr="003D2E82" w:rsidRDefault="002E4136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40</w:t>
            </w:r>
          </w:p>
        </w:tc>
        <w:tc>
          <w:tcPr>
            <w:tcW w:w="1620" w:type="dxa"/>
          </w:tcPr>
          <w:p w:rsidR="0034093F" w:rsidRPr="00F926A4" w:rsidRDefault="0034093F" w:rsidP="009A3549">
            <w:pPr>
              <w:rPr>
                <w:b/>
                <w:color w:val="002060"/>
              </w:rPr>
            </w:pPr>
          </w:p>
        </w:tc>
        <w:tc>
          <w:tcPr>
            <w:tcW w:w="1260" w:type="dxa"/>
          </w:tcPr>
          <w:p w:rsidR="0034093F" w:rsidRPr="00F926A4" w:rsidRDefault="002E4136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  <w:r w:rsidR="00E22C90">
              <w:rPr>
                <w:b/>
                <w:color w:val="002060"/>
              </w:rPr>
              <w:t xml:space="preserve"> hours </w:t>
            </w:r>
          </w:p>
        </w:tc>
      </w:tr>
    </w:tbl>
    <w:p w:rsidR="0034093F" w:rsidRDefault="0034093F" w:rsidP="0034093F"/>
    <w:p w:rsidR="0034093F" w:rsidRPr="009A036B" w:rsidRDefault="0034093F" w:rsidP="0034093F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34093F" w:rsidRPr="009A036B" w:rsidTr="009A3549">
        <w:trPr>
          <w:trHeight w:val="274"/>
        </w:trPr>
        <w:tc>
          <w:tcPr>
            <w:tcW w:w="2790" w:type="dxa"/>
          </w:tcPr>
          <w:p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2250" w:type="dxa"/>
          </w:tcPr>
          <w:p w:rsidR="0034093F" w:rsidRPr="00CA2010" w:rsidRDefault="0034093F" w:rsidP="009A3549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34093F" w:rsidRPr="009A036B" w:rsidRDefault="0034093F" w:rsidP="009A3549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34093F" w:rsidRPr="009A036B" w:rsidRDefault="0034093F" w:rsidP="009A3549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="0034093F" w:rsidRPr="009A036B" w:rsidRDefault="0034093F" w:rsidP="009A3549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34093F" w:rsidRPr="009A036B" w:rsidTr="009A3549">
        <w:trPr>
          <w:trHeight w:val="260"/>
        </w:trPr>
        <w:tc>
          <w:tcPr>
            <w:tcW w:w="2790" w:type="dxa"/>
          </w:tcPr>
          <w:p w:rsidR="0034093F" w:rsidRPr="004338DA" w:rsidRDefault="0034093F" w:rsidP="009A3549">
            <w:r w:rsidRPr="004338DA">
              <w:t>Federal Government Contractors</w:t>
            </w:r>
          </w:p>
        </w:tc>
        <w:tc>
          <w:tcPr>
            <w:tcW w:w="2250" w:type="dxa"/>
          </w:tcPr>
          <w:p w:rsidR="0034093F" w:rsidRPr="004338DA" w:rsidRDefault="002E4136" w:rsidP="009A3549">
            <w:r w:rsidRPr="004338DA">
              <w:t>3</w:t>
            </w:r>
            <w:r w:rsidR="00E22C90" w:rsidRPr="004338DA">
              <w:t xml:space="preserve"> hours </w:t>
            </w:r>
          </w:p>
        </w:tc>
        <w:tc>
          <w:tcPr>
            <w:tcW w:w="2520" w:type="dxa"/>
          </w:tcPr>
          <w:p w:rsidR="0034093F" w:rsidRPr="004338DA" w:rsidRDefault="0034093F" w:rsidP="009A3549">
            <w:r w:rsidRPr="004338DA">
              <w:t>$29.28</w:t>
            </w:r>
            <w:r w:rsidR="00E22C90" w:rsidRPr="004338DA">
              <w:t xml:space="preserve"> </w:t>
            </w:r>
            <w:r w:rsidRPr="004338DA">
              <w:t xml:space="preserve"> </w:t>
            </w:r>
          </w:p>
        </w:tc>
        <w:tc>
          <w:tcPr>
            <w:tcW w:w="1620" w:type="dxa"/>
          </w:tcPr>
          <w:p w:rsidR="0034093F" w:rsidRPr="004338DA" w:rsidRDefault="002E4136" w:rsidP="009A3549">
            <w:r w:rsidRPr="004338DA">
              <w:t>$87.81</w:t>
            </w:r>
            <w:r w:rsidR="00E22C90" w:rsidRPr="004338DA">
              <w:t xml:space="preserve"> </w:t>
            </w:r>
          </w:p>
        </w:tc>
      </w:tr>
      <w:tr w:rsidR="0034093F" w:rsidRPr="009A036B" w:rsidTr="009A3549">
        <w:trPr>
          <w:trHeight w:val="274"/>
        </w:trPr>
        <w:tc>
          <w:tcPr>
            <w:tcW w:w="2790" w:type="dxa"/>
          </w:tcPr>
          <w:p w:rsidR="0034093F" w:rsidRPr="004338DA" w:rsidRDefault="0034093F" w:rsidP="009A3549"/>
        </w:tc>
        <w:tc>
          <w:tcPr>
            <w:tcW w:w="2250" w:type="dxa"/>
          </w:tcPr>
          <w:p w:rsidR="0034093F" w:rsidRPr="004338DA" w:rsidRDefault="0034093F" w:rsidP="009A3549"/>
        </w:tc>
        <w:tc>
          <w:tcPr>
            <w:tcW w:w="2520" w:type="dxa"/>
          </w:tcPr>
          <w:p w:rsidR="0034093F" w:rsidRPr="004338DA" w:rsidRDefault="0034093F" w:rsidP="009A3549"/>
        </w:tc>
        <w:tc>
          <w:tcPr>
            <w:tcW w:w="1620" w:type="dxa"/>
          </w:tcPr>
          <w:p w:rsidR="0034093F" w:rsidRPr="004338DA" w:rsidRDefault="0034093F" w:rsidP="009A3549"/>
        </w:tc>
      </w:tr>
      <w:tr w:rsidR="0034093F" w:rsidRPr="009A036B" w:rsidTr="009A3549">
        <w:trPr>
          <w:trHeight w:val="289"/>
        </w:trPr>
        <w:tc>
          <w:tcPr>
            <w:tcW w:w="2790" w:type="dxa"/>
          </w:tcPr>
          <w:p w:rsidR="0034093F" w:rsidRPr="004338DA" w:rsidRDefault="0034093F" w:rsidP="009A3549">
            <w:pPr>
              <w:rPr>
                <w:b/>
              </w:rPr>
            </w:pPr>
            <w:r w:rsidRPr="004338DA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4093F" w:rsidRPr="004338DA" w:rsidRDefault="0034093F" w:rsidP="009A3549">
            <w:pPr>
              <w:rPr>
                <w:b/>
              </w:rPr>
            </w:pPr>
          </w:p>
        </w:tc>
        <w:tc>
          <w:tcPr>
            <w:tcW w:w="2520" w:type="dxa"/>
          </w:tcPr>
          <w:p w:rsidR="0034093F" w:rsidRPr="004338DA" w:rsidRDefault="0034093F" w:rsidP="009A3549">
            <w:pPr>
              <w:rPr>
                <w:b/>
              </w:rPr>
            </w:pPr>
          </w:p>
        </w:tc>
        <w:tc>
          <w:tcPr>
            <w:tcW w:w="1620" w:type="dxa"/>
          </w:tcPr>
          <w:p w:rsidR="0034093F" w:rsidRPr="004338DA" w:rsidRDefault="002E4136" w:rsidP="009A3549">
            <w:pPr>
              <w:rPr>
                <w:b/>
              </w:rPr>
            </w:pPr>
            <w:r w:rsidRPr="004338DA">
              <w:rPr>
                <w:b/>
              </w:rPr>
              <w:t>$8</w:t>
            </w:r>
            <w:r w:rsidR="00E22C90" w:rsidRPr="004338DA">
              <w:rPr>
                <w:b/>
              </w:rPr>
              <w:t>7.</w:t>
            </w:r>
            <w:r w:rsidRPr="004338DA">
              <w:rPr>
                <w:b/>
              </w:rPr>
              <w:t>84</w:t>
            </w:r>
          </w:p>
        </w:tc>
      </w:tr>
    </w:tbl>
    <w:p w:rsidR="0034093F" w:rsidRPr="009A036B" w:rsidRDefault="0034093F" w:rsidP="0034093F"/>
    <w:p w:rsidR="0034093F" w:rsidRDefault="0034093F" w:rsidP="0034093F">
      <w:r>
        <w:t>*Cite source per bls.gov if applicable</w:t>
      </w:r>
    </w:p>
    <w:p w:rsidR="0034093F" w:rsidRDefault="0034093F" w:rsidP="0034093F">
      <w:r>
        <w:t xml:space="preserve">Bls.gov Occupational Employment and Wages, May 2014, Bethesda-Rockville-Frederick, MD Metropolitan Division </w:t>
      </w:r>
      <w:hyperlink r:id="rId8" w:anchor="00-0000" w:history="1">
        <w:r w:rsidRPr="00902A36">
          <w:rPr>
            <w:rStyle w:val="Hyperlink"/>
          </w:rPr>
          <w:t>http://www.bls.gov/oes/current/oes_13644.htm#00-0000</w:t>
        </w:r>
      </w:hyperlink>
    </w:p>
    <w:p w:rsidR="0034093F" w:rsidRDefault="0034093F" w:rsidP="0034093F"/>
    <w:p w:rsidR="0034093F" w:rsidRDefault="0034093F" w:rsidP="0034093F"/>
    <w:p w:rsidR="0034093F" w:rsidRDefault="0034093F" w:rsidP="0034093F"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</w:t>
      </w:r>
      <w:r w:rsidR="00EE72EE">
        <w:rPr>
          <w:b/>
          <w:color w:val="1F497D"/>
        </w:rPr>
        <w:t>$8,147</w:t>
      </w:r>
      <w:r>
        <w:t>________</w:t>
      </w:r>
    </w:p>
    <w:p w:rsidR="0034093F" w:rsidRPr="009A036B" w:rsidRDefault="0034093F" w:rsidP="0034093F">
      <w:r>
        <w:rPr>
          <w:b/>
        </w:rPr>
        <w:t xml:space="preserve">                         </w:t>
      </w:r>
    </w:p>
    <w:p w:rsidR="0034093F" w:rsidRPr="009A036B" w:rsidRDefault="0034093F" w:rsidP="0034093F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34093F" w:rsidRPr="009A036B" w:rsidTr="009A3549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093F" w:rsidRPr="009A036B" w:rsidRDefault="0034093F" w:rsidP="009A3549">
            <w:pPr>
              <w:rPr>
                <w:b/>
                <w:bCs/>
              </w:rPr>
            </w:pPr>
          </w:p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EE72EE" w:rsidP="009A3549">
            <w:r>
              <w:t xml:space="preserve">GS 12/3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EE72EE" w:rsidP="009A3549">
            <w:r>
              <w:t xml:space="preserve">$81,471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r>
              <w:t>10%</w:t>
            </w:r>
            <w:r w:rsidR="00EE72EE"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093F" w:rsidRPr="009A036B" w:rsidRDefault="00EE72EE" w:rsidP="009A3549">
            <w:r>
              <w:t xml:space="preserve">$8,147  </w:t>
            </w:r>
          </w:p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lastRenderedPageBreak/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>
            <w:pPr>
              <w:rPr>
                <w:b/>
              </w:rPr>
            </w:pPr>
          </w:p>
        </w:tc>
      </w:tr>
      <w:tr w:rsidR="0034093F" w:rsidRPr="009A036B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093F" w:rsidRPr="009A036B" w:rsidRDefault="00EE72EE" w:rsidP="009A3549">
            <w:r>
              <w:t xml:space="preserve">$8,147 </w:t>
            </w:r>
          </w:p>
        </w:tc>
      </w:tr>
    </w:tbl>
    <w:p w:rsidR="0034093F" w:rsidRPr="009A036B" w:rsidRDefault="0034093F" w:rsidP="0034093F"/>
    <w:p w:rsidR="0034093F" w:rsidRDefault="0034093F" w:rsidP="0034093F">
      <w:pPr>
        <w:rPr>
          <w:b/>
        </w:rPr>
      </w:pPr>
    </w:p>
    <w:p w:rsidR="0034093F" w:rsidRDefault="0034093F" w:rsidP="00C86E91">
      <w:pPr>
        <w:rPr>
          <w:b/>
        </w:rPr>
      </w:pPr>
      <w:r>
        <w:rPr>
          <w:b/>
        </w:rPr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31211">
        <w:t>[</w:t>
      </w:r>
      <w:r w:rsidR="00031211">
        <w:rPr>
          <w:color w:val="1F497D" w:themeColor="text2"/>
        </w:rPr>
        <w:t>X</w:t>
      </w:r>
      <w:r>
        <w:t>] Yes</w:t>
      </w:r>
      <w:r>
        <w:tab/>
        <w:t>[</w:t>
      </w:r>
      <w:r w:rsidR="00031211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03121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031211">
        <w:t xml:space="preserve"> </w:t>
      </w:r>
    </w:p>
    <w:p w:rsidR="00031211" w:rsidRPr="00031211" w:rsidRDefault="00031211" w:rsidP="001B0AAA"/>
    <w:p w:rsidR="00A403BB" w:rsidRPr="00031211" w:rsidRDefault="00A403BB" w:rsidP="00A403BB">
      <w:pPr>
        <w:pStyle w:val="ListParagraph"/>
        <w:rPr>
          <w:color w:val="1F497D" w:themeColor="text2"/>
        </w:rPr>
      </w:pPr>
    </w:p>
    <w:p w:rsidR="00A403BB" w:rsidRPr="004338DA" w:rsidRDefault="00AD0E59" w:rsidP="00A403BB">
      <w:r w:rsidRPr="004338DA">
        <w:t>The survey will be sent to all individuals within the O</w:t>
      </w:r>
      <w:r w:rsidR="00185304" w:rsidRPr="004338DA">
        <w:t xml:space="preserve">ffice of Human Resources (OHR), who are registered as </w:t>
      </w:r>
      <w:proofErr w:type="spellStart"/>
      <w:r w:rsidR="00185304" w:rsidRPr="004338DA">
        <w:t>WiTS</w:t>
      </w:r>
      <w:proofErr w:type="spellEnd"/>
      <w:r w:rsidR="00185304" w:rsidRPr="004338DA">
        <w:t xml:space="preserve"> </w:t>
      </w:r>
      <w:proofErr w:type="gramStart"/>
      <w:r w:rsidR="00185304" w:rsidRPr="004338DA">
        <w:t>users,</w:t>
      </w:r>
      <w:proofErr w:type="gramEnd"/>
      <w:r w:rsidR="00185304" w:rsidRPr="004338DA">
        <w:t xml:space="preserve"> and </w:t>
      </w:r>
      <w:r w:rsidRPr="004338DA">
        <w:t xml:space="preserve">as a sample of individuals in other institutes and centers across the NIH. That sample will consist of individuals who are termed as “IC users” and are currently using the </w:t>
      </w:r>
      <w:proofErr w:type="spellStart"/>
      <w:r w:rsidRPr="004338DA">
        <w:t>WiTS</w:t>
      </w:r>
      <w:proofErr w:type="spellEnd"/>
      <w:r w:rsidRPr="004338DA">
        <w:t xml:space="preserve"> System. </w:t>
      </w:r>
    </w:p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224FA" w:rsidP="001B0AAA">
      <w:pPr>
        <w:ind w:left="720"/>
      </w:pPr>
      <w:r>
        <w:t>[</w:t>
      </w:r>
      <w:r w:rsidR="00EF4378" w:rsidRPr="004338DA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224FA">
        <w:t xml:space="preserve">ilitators be used?  [  ] Yes [ </w:t>
      </w:r>
      <w:r w:rsidR="00EF4378" w:rsidRPr="005224FA">
        <w:rPr>
          <w:color w:val="1F497D" w:themeColor="text2"/>
        </w:rPr>
        <w:t>X</w:t>
      </w:r>
      <w:r>
        <w:t>] No</w:t>
      </w:r>
      <w:r w:rsidR="000F36EF">
        <w:t xml:space="preserve">   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23" w:rsidRDefault="009A4D23">
      <w:r>
        <w:separator/>
      </w:r>
    </w:p>
  </w:endnote>
  <w:endnote w:type="continuationSeparator" w:id="0">
    <w:p w:rsidR="009A4D23" w:rsidRDefault="009A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0B" w:rsidRDefault="00D837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38D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23" w:rsidRDefault="009A4D23">
      <w:r>
        <w:separator/>
      </w:r>
    </w:p>
  </w:footnote>
  <w:footnote w:type="continuationSeparator" w:id="0">
    <w:p w:rsidR="009A4D23" w:rsidRDefault="009A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904A6"/>
    <w:multiLevelType w:val="hybridMultilevel"/>
    <w:tmpl w:val="FD3479B0"/>
    <w:lvl w:ilvl="0" w:tplc="B9F44420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A2D8C"/>
    <w:multiLevelType w:val="hybridMultilevel"/>
    <w:tmpl w:val="76D413C4"/>
    <w:lvl w:ilvl="0" w:tplc="CA0A7EEA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1211"/>
    <w:rsid w:val="00047A64"/>
    <w:rsid w:val="00061A57"/>
    <w:rsid w:val="00067329"/>
    <w:rsid w:val="000B2838"/>
    <w:rsid w:val="000D44CA"/>
    <w:rsid w:val="000E200B"/>
    <w:rsid w:val="000F36EF"/>
    <w:rsid w:val="000F68BE"/>
    <w:rsid w:val="00162F83"/>
    <w:rsid w:val="0018453E"/>
    <w:rsid w:val="00185304"/>
    <w:rsid w:val="001927A4"/>
    <w:rsid w:val="00194AC6"/>
    <w:rsid w:val="001A23B0"/>
    <w:rsid w:val="001A25CC"/>
    <w:rsid w:val="001B0AAA"/>
    <w:rsid w:val="001C39F7"/>
    <w:rsid w:val="001E770C"/>
    <w:rsid w:val="00237B48"/>
    <w:rsid w:val="0024521E"/>
    <w:rsid w:val="00263C3D"/>
    <w:rsid w:val="00274D0B"/>
    <w:rsid w:val="00284110"/>
    <w:rsid w:val="002B3C95"/>
    <w:rsid w:val="002D0B92"/>
    <w:rsid w:val="002D26E2"/>
    <w:rsid w:val="002E4136"/>
    <w:rsid w:val="0034093F"/>
    <w:rsid w:val="00350C04"/>
    <w:rsid w:val="003A4E31"/>
    <w:rsid w:val="003D5BBE"/>
    <w:rsid w:val="003E3C61"/>
    <w:rsid w:val="003F1C5B"/>
    <w:rsid w:val="003F6166"/>
    <w:rsid w:val="004141D1"/>
    <w:rsid w:val="004338DA"/>
    <w:rsid w:val="00434E33"/>
    <w:rsid w:val="00441434"/>
    <w:rsid w:val="0045264C"/>
    <w:rsid w:val="004876EC"/>
    <w:rsid w:val="004D6E14"/>
    <w:rsid w:val="005009B0"/>
    <w:rsid w:val="005224FA"/>
    <w:rsid w:val="005A1006"/>
    <w:rsid w:val="005E714A"/>
    <w:rsid w:val="00611D72"/>
    <w:rsid w:val="006140A0"/>
    <w:rsid w:val="006357B6"/>
    <w:rsid w:val="00636621"/>
    <w:rsid w:val="00642B49"/>
    <w:rsid w:val="006832D9"/>
    <w:rsid w:val="00684E43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0327"/>
    <w:rsid w:val="00946B6C"/>
    <w:rsid w:val="00955A71"/>
    <w:rsid w:val="0096108F"/>
    <w:rsid w:val="009679A6"/>
    <w:rsid w:val="009A4D23"/>
    <w:rsid w:val="009C13B9"/>
    <w:rsid w:val="009D01A2"/>
    <w:rsid w:val="009F5923"/>
    <w:rsid w:val="00A403BB"/>
    <w:rsid w:val="00A674DF"/>
    <w:rsid w:val="00A83AA6"/>
    <w:rsid w:val="00AB4576"/>
    <w:rsid w:val="00AD0E59"/>
    <w:rsid w:val="00AE1809"/>
    <w:rsid w:val="00B80D76"/>
    <w:rsid w:val="00B86DC2"/>
    <w:rsid w:val="00BA2105"/>
    <w:rsid w:val="00BA7E06"/>
    <w:rsid w:val="00BB43B5"/>
    <w:rsid w:val="00BB6219"/>
    <w:rsid w:val="00BD290F"/>
    <w:rsid w:val="00C14CC4"/>
    <w:rsid w:val="00C33C52"/>
    <w:rsid w:val="00C40D8B"/>
    <w:rsid w:val="00C650E5"/>
    <w:rsid w:val="00C8407A"/>
    <w:rsid w:val="00C8488C"/>
    <w:rsid w:val="00C86E91"/>
    <w:rsid w:val="00CA2650"/>
    <w:rsid w:val="00CA29DE"/>
    <w:rsid w:val="00CB1078"/>
    <w:rsid w:val="00CC10C3"/>
    <w:rsid w:val="00CC6FAF"/>
    <w:rsid w:val="00D1439B"/>
    <w:rsid w:val="00D24698"/>
    <w:rsid w:val="00D6383F"/>
    <w:rsid w:val="00D77D5B"/>
    <w:rsid w:val="00D8370B"/>
    <w:rsid w:val="00DB59D0"/>
    <w:rsid w:val="00DC33D3"/>
    <w:rsid w:val="00DD6F3E"/>
    <w:rsid w:val="00E22C90"/>
    <w:rsid w:val="00E26329"/>
    <w:rsid w:val="00E40B50"/>
    <w:rsid w:val="00E50293"/>
    <w:rsid w:val="00E65FFC"/>
    <w:rsid w:val="00E80951"/>
    <w:rsid w:val="00E86CC6"/>
    <w:rsid w:val="00E911B5"/>
    <w:rsid w:val="00EB56B3"/>
    <w:rsid w:val="00ED6492"/>
    <w:rsid w:val="00EE2C47"/>
    <w:rsid w:val="00EE72EE"/>
    <w:rsid w:val="00EF2095"/>
    <w:rsid w:val="00EF4378"/>
    <w:rsid w:val="00F06866"/>
    <w:rsid w:val="00F15956"/>
    <w:rsid w:val="00F24CFC"/>
    <w:rsid w:val="00F3170F"/>
    <w:rsid w:val="00F726DD"/>
    <w:rsid w:val="00F735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34093F"/>
    <w:rPr>
      <w:color w:val="0000FF"/>
      <w:u w:val="single"/>
    </w:rPr>
  </w:style>
  <w:style w:type="paragraph" w:customStyle="1" w:styleId="normaltext">
    <w:name w:val="normaltext"/>
    <w:rsid w:val="009679A6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sid w:val="009679A6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67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34093F"/>
    <w:rPr>
      <w:color w:val="0000FF"/>
      <w:u w:val="single"/>
    </w:rPr>
  </w:style>
  <w:style w:type="paragraph" w:customStyle="1" w:styleId="normaltext">
    <w:name w:val="normaltext"/>
    <w:rsid w:val="009679A6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sid w:val="009679A6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67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1364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(NIH/NCI) [E]</cp:lastModifiedBy>
  <cp:revision>2</cp:revision>
  <cp:lastPrinted>2010-10-04T17:59:00Z</cp:lastPrinted>
  <dcterms:created xsi:type="dcterms:W3CDTF">2015-11-16T21:13:00Z</dcterms:created>
  <dcterms:modified xsi:type="dcterms:W3CDTF">2015-11-16T21:13:00Z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