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579AE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="00252752">
        <w:t xml:space="preserve">: 0925-0648 </w:t>
      </w:r>
      <w:proofErr w:type="spellStart"/>
      <w:r w:rsidR="00252752">
        <w:t>E</w:t>
      </w:r>
      <w:r w:rsidR="00686301">
        <w:t>xp</w:t>
      </w:r>
      <w:proofErr w:type="spellEnd"/>
      <w:r w:rsidR="002438AF">
        <w:t xml:space="preserve"> </w:t>
      </w:r>
      <w:r w:rsidR="00686301" w:rsidRPr="00686301">
        <w:t>Date:</w:t>
      </w:r>
      <w:r w:rsidR="00252752">
        <w:t xml:space="preserve"> 03/31/2018</w:t>
      </w:r>
      <w:r>
        <w:rPr>
          <w:sz w:val="28"/>
        </w:rPr>
        <w:t>)</w:t>
      </w:r>
    </w:p>
    <w:p w14:paraId="0C29D1A5" w14:textId="77777777" w:rsidR="00E50293" w:rsidRDefault="00BB0A21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BB8456" wp14:editId="67D0AE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F4FB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B5C5AB8" w14:textId="77777777" w:rsidR="00EB3C33" w:rsidRPr="009239AA" w:rsidRDefault="00EB3C33" w:rsidP="00434E33">
      <w:pPr>
        <w:rPr>
          <w:b/>
        </w:rPr>
      </w:pPr>
    </w:p>
    <w:p w14:paraId="61110C06" w14:textId="77777777" w:rsidR="00EB3C33" w:rsidRPr="0048021A" w:rsidRDefault="00CF16FE" w:rsidP="00EB3C33">
      <w:r w:rsidRPr="0048021A">
        <w:t>National Institute of Mental Health (NIMH)</w:t>
      </w:r>
      <w:r w:rsidR="004A160C" w:rsidRPr="0048021A">
        <w:t xml:space="preserve"> </w:t>
      </w:r>
      <w:r w:rsidR="00EB1824">
        <w:t xml:space="preserve">Office of the Director and Extramural Programs Workforce Resource Analysis </w:t>
      </w:r>
    </w:p>
    <w:p w14:paraId="66073172" w14:textId="77777777" w:rsidR="005E714A" w:rsidRDefault="005E714A"/>
    <w:p w14:paraId="3D00D880" w14:textId="77777777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647E8A87" w14:textId="77777777" w:rsidR="001B0AAA" w:rsidRDefault="00C14CC4">
      <w:r w:rsidRPr="009239AA">
        <w:rPr>
          <w:b/>
        </w:rPr>
        <w:t xml:space="preserve"> </w:t>
      </w:r>
    </w:p>
    <w:p w14:paraId="659549B0" w14:textId="77777777" w:rsidR="001B0AAA" w:rsidRPr="0048021A" w:rsidRDefault="00EB3C33">
      <w:r w:rsidRPr="0048021A">
        <w:t xml:space="preserve">The </w:t>
      </w:r>
      <w:r w:rsidR="00CF16FE" w:rsidRPr="0048021A">
        <w:t>National Institute of Mental Health</w:t>
      </w:r>
      <w:r w:rsidR="00726048" w:rsidRPr="0048021A">
        <w:t xml:space="preserve"> (NIMH)</w:t>
      </w:r>
      <w:r w:rsidR="004A160C" w:rsidRPr="0048021A">
        <w:t xml:space="preserve"> </w:t>
      </w:r>
      <w:r w:rsidR="00EB1824">
        <w:t xml:space="preserve">Workforce Resource Analysis </w:t>
      </w:r>
      <w:r w:rsidR="004A3686">
        <w:t xml:space="preserve">is an internal employee engagement and workforce analysis assessment launched by the </w:t>
      </w:r>
      <w:r w:rsidR="00772D71">
        <w:t xml:space="preserve">NIMH </w:t>
      </w:r>
      <w:r w:rsidR="004A3686">
        <w:t>Office of the Director. This assessment of NIMH staff and contractors will be</w:t>
      </w:r>
      <w:r w:rsidRPr="0048021A">
        <w:t xml:space="preserve"> used to assess </w:t>
      </w:r>
      <w:r w:rsidR="00EB1824">
        <w:t xml:space="preserve">and identify solutions to </w:t>
      </w:r>
      <w:r w:rsidR="00EB1824">
        <w:rPr>
          <w:bCs/>
        </w:rPr>
        <w:t>optimize and align the workforce with future goals and the strategic direction of the Institute.</w:t>
      </w:r>
      <w:r w:rsidR="00EB1824" w:rsidRPr="00EB1824">
        <w:t xml:space="preserve"> </w:t>
      </w:r>
      <w:r w:rsidR="004A3686">
        <w:rPr>
          <w:bCs/>
        </w:rPr>
        <w:t>N</w:t>
      </w:r>
      <w:r w:rsidR="00EB1824" w:rsidRPr="00EB1824">
        <w:rPr>
          <w:bCs/>
        </w:rPr>
        <w:t xml:space="preserve">IMH </w:t>
      </w:r>
      <w:r w:rsidR="00EB1824">
        <w:rPr>
          <w:bCs/>
        </w:rPr>
        <w:t>is assessing the alignment of the</w:t>
      </w:r>
      <w:r w:rsidR="00EB1824" w:rsidRPr="00EB1824">
        <w:rPr>
          <w:bCs/>
        </w:rPr>
        <w:t xml:space="preserve"> </w:t>
      </w:r>
      <w:r w:rsidR="004A3686">
        <w:rPr>
          <w:bCs/>
        </w:rPr>
        <w:t xml:space="preserve">institute’s </w:t>
      </w:r>
      <w:r w:rsidR="00EB1824" w:rsidRPr="00EB1824">
        <w:rPr>
          <w:bCs/>
        </w:rPr>
        <w:t xml:space="preserve">strategy and resources, scientific priorities, process, people, and culture </w:t>
      </w:r>
      <w:r w:rsidR="00EB1824">
        <w:rPr>
          <w:bCs/>
        </w:rPr>
        <w:t xml:space="preserve">of the institute to ensure organizational alignment. </w:t>
      </w:r>
      <w:r w:rsidRPr="0048021A">
        <w:t xml:space="preserve">Results of the </w:t>
      </w:r>
      <w:r w:rsidR="004A3686">
        <w:t>assessment</w:t>
      </w:r>
      <w:r w:rsidRPr="0048021A">
        <w:t xml:space="preserve"> </w:t>
      </w:r>
      <w:r w:rsidR="00EB1824">
        <w:t>will be</w:t>
      </w:r>
      <w:r w:rsidRPr="0048021A">
        <w:t xml:space="preserve"> used to determine action areas and initiatives to increase employee engagement and satisfaction and improve organizational health.</w:t>
      </w:r>
    </w:p>
    <w:p w14:paraId="2B38CD50" w14:textId="77777777" w:rsidR="00C8488C" w:rsidRDefault="00C8488C"/>
    <w:p w14:paraId="3D2950E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51080E8" w14:textId="77777777" w:rsidR="00F15956" w:rsidRDefault="00F15956"/>
    <w:p w14:paraId="152E34D4" w14:textId="77777777" w:rsidR="00434E33" w:rsidRPr="0048021A" w:rsidRDefault="00772D71">
      <w:r>
        <w:t>A</w:t>
      </w:r>
      <w:r w:rsidR="00EB3C33" w:rsidRPr="0048021A">
        <w:t xml:space="preserve">ll </w:t>
      </w:r>
      <w:r w:rsidR="00726048" w:rsidRPr="0048021A">
        <w:t>NIMH</w:t>
      </w:r>
      <w:r w:rsidR="00EB3C33" w:rsidRPr="0048021A">
        <w:t xml:space="preserve"> employe</w:t>
      </w:r>
      <w:r w:rsidR="00726048" w:rsidRPr="0048021A">
        <w:t>es (federal and contract staff)</w:t>
      </w:r>
      <w:r>
        <w:t xml:space="preserve"> are welcome to participate in the assessment</w:t>
      </w:r>
      <w:r w:rsidR="00EB3C33" w:rsidRPr="0048021A">
        <w:t>. All respo</w:t>
      </w:r>
      <w:r w:rsidR="00FE083A">
        <w:t xml:space="preserve">ndents are current employees of </w:t>
      </w:r>
      <w:r w:rsidR="00726048" w:rsidRPr="0048021A">
        <w:t>NIMH</w:t>
      </w:r>
      <w:r w:rsidR="00EB3C33" w:rsidRPr="0048021A">
        <w:t>.</w:t>
      </w:r>
    </w:p>
    <w:p w14:paraId="28AD55E6" w14:textId="77777777" w:rsidR="00E26329" w:rsidRDefault="00E26329">
      <w:pPr>
        <w:rPr>
          <w:b/>
        </w:rPr>
      </w:pPr>
    </w:p>
    <w:p w14:paraId="1CC52AD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308CB6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370E838" w14:textId="77777777" w:rsidR="00F06866" w:rsidRPr="0048021A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EB1824">
        <w:rPr>
          <w:bCs/>
          <w:sz w:val="24"/>
        </w:rPr>
        <w:t xml:space="preserve">[ </w:t>
      </w:r>
      <w:r w:rsidR="00725129" w:rsidRPr="0048021A">
        <w:rPr>
          <w:bCs/>
          <w:sz w:val="24"/>
        </w:rPr>
        <w:t xml:space="preserve">] </w:t>
      </w:r>
      <w:r w:rsidR="00F06866" w:rsidRPr="0048021A">
        <w:rPr>
          <w:bCs/>
          <w:sz w:val="24"/>
        </w:rPr>
        <w:t>Customer Satisfaction Survey</w:t>
      </w:r>
      <w:r w:rsidRPr="0048021A">
        <w:rPr>
          <w:bCs/>
          <w:sz w:val="24"/>
        </w:rPr>
        <w:t xml:space="preserve"> </w:t>
      </w:r>
      <w:r w:rsidR="00CA2650" w:rsidRPr="0048021A">
        <w:rPr>
          <w:bCs/>
          <w:sz w:val="24"/>
        </w:rPr>
        <w:t xml:space="preserve">  </w:t>
      </w:r>
      <w:r w:rsidRPr="0048021A">
        <w:rPr>
          <w:bCs/>
          <w:sz w:val="24"/>
        </w:rPr>
        <w:t xml:space="preserve"> </w:t>
      </w:r>
    </w:p>
    <w:p w14:paraId="6D897B17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8021A">
        <w:rPr>
          <w:bCs/>
          <w:sz w:val="24"/>
        </w:rPr>
        <w:t xml:space="preserve">[ ] </w:t>
      </w:r>
      <w:r w:rsidR="00F06866" w:rsidRPr="0048021A">
        <w:rPr>
          <w:bCs/>
          <w:sz w:val="24"/>
        </w:rPr>
        <w:t>Usability</w:t>
      </w:r>
      <w:r w:rsidR="009239AA" w:rsidRPr="0048021A">
        <w:rPr>
          <w:bCs/>
          <w:sz w:val="24"/>
        </w:rPr>
        <w:t xml:space="preserve"> Testing (e.g., Website or Software</w:t>
      </w:r>
      <w:r w:rsidR="00F06866" w:rsidRPr="0048021A">
        <w:rPr>
          <w:bCs/>
          <w:sz w:val="24"/>
        </w:rPr>
        <w:tab/>
        <w:t>[ ] S</w:t>
      </w:r>
      <w:r w:rsidR="00F06866">
        <w:rPr>
          <w:bCs/>
          <w:sz w:val="24"/>
        </w:rPr>
        <w:t>mall Discussion Group</w:t>
      </w:r>
    </w:p>
    <w:p w14:paraId="4E441DE3" w14:textId="2B6B7C0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72D71">
        <w:rPr>
          <w:bCs/>
          <w:sz w:val="24"/>
        </w:rPr>
        <w:t>X</w:t>
      </w:r>
      <w:r w:rsidR="006D5F4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426511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426511">
        <w:rPr>
          <w:bCs/>
          <w:sz w:val="24"/>
          <w:u w:val="single"/>
        </w:rPr>
        <w:t xml:space="preserve"> Interviews </w:t>
      </w:r>
      <w:bookmarkStart w:id="0" w:name="_GoBack"/>
      <w:bookmarkEnd w:id="0"/>
    </w:p>
    <w:p w14:paraId="263B631C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F55F440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F88153D" w14:textId="77777777" w:rsidR="00441434" w:rsidRDefault="00441434">
      <w:pPr>
        <w:rPr>
          <w:sz w:val="16"/>
          <w:szCs w:val="16"/>
        </w:rPr>
      </w:pPr>
    </w:p>
    <w:p w14:paraId="12A3A4C6" w14:textId="77777777" w:rsidR="008101A5" w:rsidRPr="009C13B9" w:rsidRDefault="008101A5" w:rsidP="008101A5">
      <w:r>
        <w:t xml:space="preserve">I certify the following to be true: </w:t>
      </w:r>
    </w:p>
    <w:p w14:paraId="2AF4EAB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0DD3D7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28B763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42E51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05C47C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proofErr w:type="gramStart"/>
      <w:r>
        <w:t>policy</w:t>
      </w:r>
      <w:proofErr w:type="gramEnd"/>
      <w:r>
        <w:t xml:space="preserve"> decisions. </w:t>
      </w:r>
    </w:p>
    <w:p w14:paraId="0F3B5B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3243B7B" w14:textId="77777777" w:rsidR="009C13B9" w:rsidRDefault="009C13B9" w:rsidP="009C13B9"/>
    <w:p w14:paraId="500AE1DB" w14:textId="77777777" w:rsidR="009C13B9" w:rsidRPr="0048021A" w:rsidRDefault="009C13B9" w:rsidP="009C13B9">
      <w:pPr>
        <w:rPr>
          <w:u w:val="single"/>
        </w:rPr>
      </w:pPr>
      <w:r>
        <w:t>Name:</w:t>
      </w:r>
      <w:r w:rsidR="004F3C6B">
        <w:t xml:space="preserve"> </w:t>
      </w:r>
      <w:r w:rsidR="00EB1824">
        <w:rPr>
          <w:u w:val="single"/>
        </w:rPr>
        <w:t>Nicole Martino, NIMH</w:t>
      </w:r>
      <w:r w:rsidR="00772D71">
        <w:rPr>
          <w:u w:val="single"/>
        </w:rPr>
        <w:t>___________________________________________________</w:t>
      </w:r>
      <w:r w:rsidR="00D70920" w:rsidRPr="0048021A">
        <w:rPr>
          <w:u w:val="single"/>
        </w:rPr>
        <w:t xml:space="preserve"> </w:t>
      </w:r>
    </w:p>
    <w:p w14:paraId="4C877848" w14:textId="77777777" w:rsidR="009C13B9" w:rsidRDefault="009C13B9" w:rsidP="009C13B9">
      <w:pPr>
        <w:pStyle w:val="ListParagraph"/>
        <w:ind w:left="360"/>
      </w:pPr>
    </w:p>
    <w:p w14:paraId="041E4750" w14:textId="77777777" w:rsidR="009C13B9" w:rsidRDefault="009C13B9" w:rsidP="009C13B9">
      <w:r>
        <w:t>To assist review, please provide answers to the following question:</w:t>
      </w:r>
    </w:p>
    <w:p w14:paraId="18A283C8" w14:textId="77777777" w:rsidR="009C13B9" w:rsidRDefault="009C13B9" w:rsidP="009C13B9">
      <w:pPr>
        <w:pStyle w:val="ListParagraph"/>
        <w:ind w:left="360"/>
      </w:pPr>
    </w:p>
    <w:p w14:paraId="2DA6609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2D3EE3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48021A">
        <w:t>[</w:t>
      </w:r>
      <w:r w:rsidR="00EB3C33" w:rsidRPr="0048021A">
        <w:t>X</w:t>
      </w:r>
      <w:r w:rsidR="009239AA" w:rsidRPr="0048021A">
        <w:t>]</w:t>
      </w:r>
      <w:r w:rsidR="009239AA">
        <w:t xml:space="preserve">  No </w:t>
      </w:r>
    </w:p>
    <w:p w14:paraId="7765EB9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1C0C3AF4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772D71">
        <w:t xml:space="preserve">[X] </w:t>
      </w:r>
      <w:r w:rsidR="0048021A">
        <w:t xml:space="preserve">N/A </w:t>
      </w:r>
      <w:r>
        <w:t>[ ] Yes  [ ] No</w:t>
      </w:r>
      <w:r w:rsidR="0048021A">
        <w:t xml:space="preserve"> </w:t>
      </w:r>
    </w:p>
    <w:p w14:paraId="1C3E6B8C" w14:textId="77777777" w:rsidR="00633F74" w:rsidRDefault="00633F74" w:rsidP="00633F74">
      <w:pPr>
        <w:pStyle w:val="ListParagraph"/>
        <w:ind w:left="360"/>
      </w:pPr>
    </w:p>
    <w:p w14:paraId="21B0A99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1669D29" w14:textId="77777777" w:rsidR="00C86E91" w:rsidRDefault="00C86E91" w:rsidP="00C86E91">
      <w:r>
        <w:t>Is an incentive (e.g., money or reimbursement of expenses, token of appreciation) provided to participants?  [  ] Yes</w:t>
      </w:r>
      <w:r w:rsidRPr="0048021A">
        <w:t xml:space="preserve"> [</w:t>
      </w:r>
      <w:r w:rsidR="00EB3C33" w:rsidRPr="0048021A">
        <w:t>X</w:t>
      </w:r>
      <w:r w:rsidR="0048021A" w:rsidRPr="0048021A">
        <w:t>]</w:t>
      </w:r>
      <w:r w:rsidRPr="0048021A">
        <w:t xml:space="preserve"> No </w:t>
      </w:r>
      <w:r>
        <w:t xml:space="preserve"> </w:t>
      </w:r>
    </w:p>
    <w:p w14:paraId="28A7F42E" w14:textId="77777777" w:rsidR="004D6E14" w:rsidRDefault="004D6E14">
      <w:pPr>
        <w:rPr>
          <w:b/>
        </w:rPr>
      </w:pPr>
    </w:p>
    <w:p w14:paraId="4E4F4AB9" w14:textId="77777777" w:rsidR="00F24CFC" w:rsidRDefault="00F24CFC">
      <w:pPr>
        <w:rPr>
          <w:b/>
        </w:rPr>
      </w:pPr>
    </w:p>
    <w:p w14:paraId="52F27605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3AA67D5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FBBB44B" w14:textId="77777777" w:rsidTr="0048021A">
        <w:trPr>
          <w:trHeight w:val="274"/>
        </w:trPr>
        <w:tc>
          <w:tcPr>
            <w:tcW w:w="2790" w:type="dxa"/>
            <w:vAlign w:val="center"/>
          </w:tcPr>
          <w:p w14:paraId="2023AFE0" w14:textId="77777777" w:rsidR="003668D6" w:rsidRPr="002D26E2" w:rsidRDefault="003668D6" w:rsidP="0048021A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2250" w:type="dxa"/>
            <w:vAlign w:val="center"/>
          </w:tcPr>
          <w:p w14:paraId="141EF779" w14:textId="77777777" w:rsidR="003668D6" w:rsidRPr="002D26E2" w:rsidRDefault="003668D6" w:rsidP="0048021A">
            <w:pPr>
              <w:jc w:val="center"/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  <w:vAlign w:val="center"/>
          </w:tcPr>
          <w:p w14:paraId="0308A14C" w14:textId="77777777" w:rsidR="003668D6" w:rsidRPr="002D26E2" w:rsidRDefault="003668D6" w:rsidP="0048021A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  <w:vAlign w:val="center"/>
          </w:tcPr>
          <w:p w14:paraId="7D2086E5" w14:textId="77777777" w:rsidR="003668D6" w:rsidRDefault="003668D6" w:rsidP="0048021A">
            <w:pPr>
              <w:jc w:val="center"/>
              <w:rPr>
                <w:b/>
              </w:rPr>
            </w:pPr>
            <w:r>
              <w:rPr>
                <w:b/>
              </w:rPr>
              <w:t>Time per</w:t>
            </w:r>
          </w:p>
          <w:p w14:paraId="63E3F86D" w14:textId="77777777" w:rsidR="003668D6" w:rsidRDefault="003668D6" w:rsidP="0048021A">
            <w:pPr>
              <w:jc w:val="center"/>
              <w:rPr>
                <w:b/>
              </w:rPr>
            </w:pPr>
            <w:r>
              <w:rPr>
                <w:b/>
              </w:rPr>
              <w:t>Response</w:t>
            </w:r>
          </w:p>
          <w:p w14:paraId="3BBE5A78" w14:textId="77777777" w:rsidR="003668D6" w:rsidRPr="002D26E2" w:rsidRDefault="003668D6" w:rsidP="0048021A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260" w:type="dxa"/>
            <w:vAlign w:val="center"/>
          </w:tcPr>
          <w:p w14:paraId="10A18484" w14:textId="77777777" w:rsidR="003668D6" w:rsidRDefault="003668D6" w:rsidP="0048021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F65640B" w14:textId="77777777" w:rsidR="003668D6" w:rsidRPr="002D26E2" w:rsidRDefault="003668D6" w:rsidP="0048021A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48021A" w:rsidRPr="0048021A" w14:paraId="7E56971D" w14:textId="77777777" w:rsidTr="0048021A">
        <w:trPr>
          <w:trHeight w:val="260"/>
        </w:trPr>
        <w:tc>
          <w:tcPr>
            <w:tcW w:w="2790" w:type="dxa"/>
          </w:tcPr>
          <w:p w14:paraId="2F0060DD" w14:textId="7352CC43" w:rsidR="003D2E82" w:rsidRPr="0048021A" w:rsidRDefault="00696EC2" w:rsidP="008A667A">
            <w:r w:rsidRPr="0048021A">
              <w:t xml:space="preserve">Federal Government </w:t>
            </w:r>
            <w:r w:rsidR="003D2E82" w:rsidRPr="0048021A">
              <w:t>Contractor</w:t>
            </w:r>
            <w:r w:rsidRPr="0048021A">
              <w:t>s</w:t>
            </w:r>
            <w:r w:rsidR="003D2E82" w:rsidRPr="0048021A">
              <w:t xml:space="preserve"> </w:t>
            </w:r>
            <w:r w:rsidR="008A667A">
              <w:t xml:space="preserve">– Individual </w:t>
            </w:r>
            <w:r w:rsidR="00A334C4">
              <w:t>Interview</w:t>
            </w:r>
            <w:r w:rsidR="008A667A">
              <w:t xml:space="preserve"> Discussion Guide</w:t>
            </w:r>
          </w:p>
        </w:tc>
        <w:tc>
          <w:tcPr>
            <w:tcW w:w="2250" w:type="dxa"/>
            <w:vAlign w:val="center"/>
          </w:tcPr>
          <w:p w14:paraId="3C90B9EE" w14:textId="77777777" w:rsidR="003D2E82" w:rsidRPr="0048021A" w:rsidRDefault="00EB1824" w:rsidP="0048021A">
            <w:pPr>
              <w:jc w:val="center"/>
            </w:pPr>
            <w:r>
              <w:t>20</w:t>
            </w:r>
          </w:p>
        </w:tc>
        <w:tc>
          <w:tcPr>
            <w:tcW w:w="2520" w:type="dxa"/>
            <w:vAlign w:val="center"/>
          </w:tcPr>
          <w:p w14:paraId="1739A96B" w14:textId="77777777" w:rsidR="003D2E82" w:rsidRPr="0048021A" w:rsidRDefault="00726048" w:rsidP="0048021A">
            <w:pPr>
              <w:jc w:val="center"/>
            </w:pPr>
            <w:r w:rsidRPr="0048021A">
              <w:t>1</w:t>
            </w:r>
          </w:p>
        </w:tc>
        <w:tc>
          <w:tcPr>
            <w:tcW w:w="1620" w:type="dxa"/>
            <w:vAlign w:val="center"/>
          </w:tcPr>
          <w:p w14:paraId="1A252C10" w14:textId="34FCD68C" w:rsidR="003D2E82" w:rsidRPr="0048021A" w:rsidRDefault="004624E6" w:rsidP="00B84A29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1F183283" w14:textId="6BBB1B04" w:rsidR="003D2E82" w:rsidRPr="0048021A" w:rsidRDefault="001168BB" w:rsidP="0048021A">
            <w:pPr>
              <w:jc w:val="center"/>
            </w:pPr>
            <w:r>
              <w:t>20</w:t>
            </w:r>
          </w:p>
        </w:tc>
      </w:tr>
      <w:tr w:rsidR="008A667A" w:rsidRPr="0048021A" w14:paraId="18D19880" w14:textId="77777777" w:rsidTr="0048021A">
        <w:trPr>
          <w:trHeight w:val="274"/>
        </w:trPr>
        <w:tc>
          <w:tcPr>
            <w:tcW w:w="2790" w:type="dxa"/>
          </w:tcPr>
          <w:p w14:paraId="4B2A32D9" w14:textId="3288549B" w:rsidR="008A667A" w:rsidRPr="0048021A" w:rsidRDefault="008A667A" w:rsidP="008A667A">
            <w:r w:rsidRPr="0048021A">
              <w:t xml:space="preserve">Federal Government Contractors </w:t>
            </w:r>
            <w:r>
              <w:t>– Focus Group Discussion Guide</w:t>
            </w:r>
          </w:p>
        </w:tc>
        <w:tc>
          <w:tcPr>
            <w:tcW w:w="2250" w:type="dxa"/>
            <w:vAlign w:val="center"/>
          </w:tcPr>
          <w:p w14:paraId="2CED7C29" w14:textId="33228604" w:rsidR="008A667A" w:rsidRPr="0048021A" w:rsidRDefault="008A667A" w:rsidP="0048021A">
            <w:pPr>
              <w:jc w:val="center"/>
            </w:pPr>
            <w:r>
              <w:t>20</w:t>
            </w:r>
          </w:p>
        </w:tc>
        <w:tc>
          <w:tcPr>
            <w:tcW w:w="2520" w:type="dxa"/>
            <w:vAlign w:val="center"/>
          </w:tcPr>
          <w:p w14:paraId="2DC0F5C1" w14:textId="45658952" w:rsidR="008A667A" w:rsidRPr="0048021A" w:rsidRDefault="008A667A" w:rsidP="0048021A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14:paraId="5EA0C42E" w14:textId="26BBC451" w:rsidR="008A667A" w:rsidRPr="0048021A" w:rsidRDefault="008A667A" w:rsidP="00B84A29">
            <w:pPr>
              <w:jc w:val="center"/>
            </w:pPr>
            <w:r>
              <w:t>90/60</w:t>
            </w:r>
          </w:p>
        </w:tc>
        <w:tc>
          <w:tcPr>
            <w:tcW w:w="1260" w:type="dxa"/>
            <w:vAlign w:val="center"/>
          </w:tcPr>
          <w:p w14:paraId="5892F519" w14:textId="040852B5" w:rsidR="008A667A" w:rsidRPr="0048021A" w:rsidRDefault="001168BB" w:rsidP="0048021A">
            <w:pPr>
              <w:jc w:val="center"/>
            </w:pPr>
            <w:r>
              <w:t>30</w:t>
            </w:r>
          </w:p>
        </w:tc>
      </w:tr>
      <w:tr w:rsidR="0048021A" w:rsidRPr="0048021A" w14:paraId="4CF61CE7" w14:textId="77777777" w:rsidTr="0048021A">
        <w:trPr>
          <w:trHeight w:val="289"/>
        </w:trPr>
        <w:tc>
          <w:tcPr>
            <w:tcW w:w="2790" w:type="dxa"/>
          </w:tcPr>
          <w:p w14:paraId="10CCF007" w14:textId="77777777" w:rsidR="00F926A4" w:rsidRPr="0048021A" w:rsidRDefault="00F926A4" w:rsidP="00843796">
            <w:pPr>
              <w:rPr>
                <w:b/>
              </w:rPr>
            </w:pPr>
            <w:r w:rsidRPr="0048021A">
              <w:rPr>
                <w:b/>
              </w:rPr>
              <w:t>Totals</w:t>
            </w:r>
          </w:p>
        </w:tc>
        <w:tc>
          <w:tcPr>
            <w:tcW w:w="2250" w:type="dxa"/>
            <w:vAlign w:val="center"/>
          </w:tcPr>
          <w:p w14:paraId="2120EB60" w14:textId="66CF7924" w:rsidR="00F926A4" w:rsidRPr="0048021A" w:rsidRDefault="001168BB" w:rsidP="0048021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520" w:type="dxa"/>
            <w:vAlign w:val="center"/>
          </w:tcPr>
          <w:p w14:paraId="06F28983" w14:textId="3F489823" w:rsidR="00F926A4" w:rsidRPr="0048021A" w:rsidRDefault="00547054" w:rsidP="0048021A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620" w:type="dxa"/>
            <w:vAlign w:val="center"/>
          </w:tcPr>
          <w:p w14:paraId="21920C95" w14:textId="77777777" w:rsidR="00F926A4" w:rsidRPr="0048021A" w:rsidRDefault="00F926A4" w:rsidP="0048021A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14:paraId="7AF9671F" w14:textId="4E598CBF" w:rsidR="00F926A4" w:rsidRPr="0048021A" w:rsidRDefault="001168BB" w:rsidP="001168BB">
            <w:pPr>
              <w:jc w:val="center"/>
              <w:rPr>
                <w:b/>
              </w:rPr>
            </w:pPr>
            <w:r>
              <w:rPr>
                <w:b/>
              </w:rPr>
              <w:t xml:space="preserve">50 </w:t>
            </w:r>
            <w:r w:rsidR="00A91E11" w:rsidRPr="0048021A">
              <w:rPr>
                <w:b/>
              </w:rPr>
              <w:t>hours</w:t>
            </w:r>
          </w:p>
        </w:tc>
      </w:tr>
    </w:tbl>
    <w:p w14:paraId="18BFA183" w14:textId="77777777" w:rsidR="00F3170F" w:rsidRDefault="00F3170F" w:rsidP="00F3170F"/>
    <w:p w14:paraId="0AA3DF08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424B837F" w14:textId="77777777" w:rsidTr="0048021A">
        <w:trPr>
          <w:trHeight w:val="274"/>
        </w:trPr>
        <w:tc>
          <w:tcPr>
            <w:tcW w:w="2790" w:type="dxa"/>
            <w:vAlign w:val="center"/>
          </w:tcPr>
          <w:p w14:paraId="4BAFF179" w14:textId="77777777" w:rsidR="00CA2010" w:rsidRPr="009A036B" w:rsidRDefault="00CA2010" w:rsidP="0048021A">
            <w:pPr>
              <w:jc w:val="center"/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14:paraId="37CF984F" w14:textId="77777777" w:rsidR="00CA2010" w:rsidRPr="009A036B" w:rsidRDefault="00CA2010" w:rsidP="0048021A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3212D103" w14:textId="77777777" w:rsidR="00CA2010" w:rsidRPr="00CA2010" w:rsidRDefault="00CA2010" w:rsidP="0048021A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6E9306A" w14:textId="77777777" w:rsidR="00CA2010" w:rsidRPr="009A036B" w:rsidRDefault="00CA2010" w:rsidP="0048021A">
            <w:pPr>
              <w:jc w:val="center"/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  <w:vAlign w:val="center"/>
          </w:tcPr>
          <w:p w14:paraId="0AF32190" w14:textId="77777777" w:rsidR="00CA2010" w:rsidRPr="009A036B" w:rsidRDefault="00F94D8C" w:rsidP="0048021A">
            <w:pPr>
              <w:jc w:val="center"/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  <w:vAlign w:val="center"/>
          </w:tcPr>
          <w:p w14:paraId="2C5B36A1" w14:textId="77777777" w:rsidR="00CA2010" w:rsidRPr="009A036B" w:rsidRDefault="00CA2010" w:rsidP="0048021A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="00F90DAD" w:rsidRPr="00D8748F" w14:paraId="7F4102C7" w14:textId="77777777" w:rsidTr="0048021A">
        <w:trPr>
          <w:trHeight w:val="260"/>
        </w:trPr>
        <w:tc>
          <w:tcPr>
            <w:tcW w:w="2790" w:type="dxa"/>
          </w:tcPr>
          <w:p w14:paraId="66008423" w14:textId="77777777" w:rsidR="00CA2010" w:rsidRPr="0048021A" w:rsidRDefault="00F90DAD" w:rsidP="009A036B">
            <w:r w:rsidRPr="0048021A">
              <w:t>Federal Government Contractors</w:t>
            </w:r>
          </w:p>
        </w:tc>
        <w:tc>
          <w:tcPr>
            <w:tcW w:w="2250" w:type="dxa"/>
            <w:vAlign w:val="center"/>
          </w:tcPr>
          <w:p w14:paraId="3CDA2D39" w14:textId="7DD6AD29" w:rsidR="00CA2010" w:rsidRPr="0048021A" w:rsidRDefault="001168BB" w:rsidP="0048021A">
            <w:pPr>
              <w:jc w:val="center"/>
            </w:pPr>
            <w:r>
              <w:t>50</w:t>
            </w:r>
          </w:p>
        </w:tc>
        <w:tc>
          <w:tcPr>
            <w:tcW w:w="2520" w:type="dxa"/>
            <w:vAlign w:val="center"/>
          </w:tcPr>
          <w:p w14:paraId="1905BCE0" w14:textId="77777777" w:rsidR="00CA2010" w:rsidRPr="0048021A" w:rsidRDefault="00D70920" w:rsidP="002438AF">
            <w:pPr>
              <w:jc w:val="center"/>
            </w:pPr>
            <w:r w:rsidRPr="0048021A">
              <w:t>$3</w:t>
            </w:r>
            <w:r w:rsidR="002438AF">
              <w:t>1.69</w:t>
            </w:r>
          </w:p>
        </w:tc>
        <w:tc>
          <w:tcPr>
            <w:tcW w:w="1620" w:type="dxa"/>
            <w:vAlign w:val="center"/>
          </w:tcPr>
          <w:p w14:paraId="0C2B96B3" w14:textId="678E2B8E" w:rsidR="00CA2010" w:rsidRPr="0048021A" w:rsidRDefault="00A65FA5" w:rsidP="001168BB">
            <w:pPr>
              <w:jc w:val="center"/>
            </w:pPr>
            <w:r w:rsidRPr="0048021A">
              <w:t>$</w:t>
            </w:r>
            <w:r w:rsidR="001168BB">
              <w:t>1,585</w:t>
            </w:r>
          </w:p>
        </w:tc>
      </w:tr>
      <w:tr w:rsidR="00D602AA" w:rsidRPr="009A036B" w14:paraId="0D9D01B3" w14:textId="77777777" w:rsidTr="0048021A">
        <w:trPr>
          <w:trHeight w:val="289"/>
        </w:trPr>
        <w:tc>
          <w:tcPr>
            <w:tcW w:w="2790" w:type="dxa"/>
          </w:tcPr>
          <w:p w14:paraId="0AEA2CF1" w14:textId="77777777" w:rsidR="00D602AA" w:rsidRPr="0048021A" w:rsidRDefault="00D602AA" w:rsidP="009A036B">
            <w:pPr>
              <w:rPr>
                <w:b/>
              </w:rPr>
            </w:pPr>
            <w:r w:rsidRPr="0048021A">
              <w:rPr>
                <w:b/>
              </w:rPr>
              <w:t>Totals</w:t>
            </w:r>
          </w:p>
        </w:tc>
        <w:tc>
          <w:tcPr>
            <w:tcW w:w="2250" w:type="dxa"/>
            <w:vAlign w:val="center"/>
          </w:tcPr>
          <w:p w14:paraId="54CACBE7" w14:textId="77777777" w:rsidR="00D602AA" w:rsidRPr="0048021A" w:rsidRDefault="00D602AA" w:rsidP="0048021A">
            <w:pPr>
              <w:jc w:val="center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02FD3929" w14:textId="77777777" w:rsidR="00D602AA" w:rsidRPr="0048021A" w:rsidRDefault="00D602AA" w:rsidP="0048021A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47867E03" w14:textId="097483FF" w:rsidR="00D602AA" w:rsidRPr="0048021A" w:rsidRDefault="00A65FA5" w:rsidP="001168BB">
            <w:pPr>
              <w:jc w:val="center"/>
              <w:rPr>
                <w:b/>
              </w:rPr>
            </w:pPr>
            <w:r w:rsidRPr="0048021A">
              <w:rPr>
                <w:b/>
              </w:rPr>
              <w:t>$</w:t>
            </w:r>
            <w:r w:rsidR="001168BB">
              <w:rPr>
                <w:b/>
              </w:rPr>
              <w:t>1,585</w:t>
            </w:r>
          </w:p>
        </w:tc>
      </w:tr>
    </w:tbl>
    <w:p w14:paraId="5B56FAE1" w14:textId="77777777" w:rsidR="0048021A" w:rsidRDefault="0048021A" w:rsidP="00F3170F"/>
    <w:p w14:paraId="32E37530" w14:textId="77777777" w:rsidR="009A036B" w:rsidRPr="002438AF" w:rsidRDefault="0048021A" w:rsidP="002438AF">
      <w:pPr>
        <w:pStyle w:val="Heading1"/>
        <w:shd w:val="clear" w:color="auto" w:fill="FFFFFF"/>
        <w:rPr>
          <w:i/>
          <w:sz w:val="20"/>
          <w:szCs w:val="20"/>
        </w:rPr>
      </w:pPr>
      <w:r w:rsidRPr="002438AF">
        <w:rPr>
          <w:b w:val="0"/>
          <w:i/>
          <w:sz w:val="20"/>
          <w:szCs w:val="20"/>
        </w:rPr>
        <w:t>*</w:t>
      </w:r>
      <w:r w:rsidR="00D70920" w:rsidRPr="002438AF">
        <w:rPr>
          <w:b w:val="0"/>
          <w:i/>
          <w:sz w:val="20"/>
          <w:szCs w:val="20"/>
        </w:rPr>
        <w:t>Source:</w:t>
      </w:r>
      <w:r w:rsidRPr="002438AF">
        <w:rPr>
          <w:b w:val="0"/>
          <w:i/>
          <w:sz w:val="20"/>
          <w:szCs w:val="20"/>
        </w:rPr>
        <w:t xml:space="preserve"> U</w:t>
      </w:r>
      <w:r w:rsidR="002438AF" w:rsidRPr="002438AF">
        <w:rPr>
          <w:b w:val="0"/>
          <w:i/>
          <w:sz w:val="20"/>
          <w:szCs w:val="20"/>
        </w:rPr>
        <w:t xml:space="preserve">.S. </w:t>
      </w:r>
      <w:r w:rsidRPr="002438AF">
        <w:rPr>
          <w:b w:val="0"/>
          <w:i/>
          <w:sz w:val="20"/>
          <w:szCs w:val="20"/>
        </w:rPr>
        <w:t>Department of Labor</w:t>
      </w:r>
      <w:r w:rsidR="002438AF" w:rsidRPr="002438AF">
        <w:rPr>
          <w:b w:val="0"/>
          <w:i/>
          <w:sz w:val="20"/>
          <w:szCs w:val="20"/>
        </w:rPr>
        <w:t xml:space="preserve">, </w:t>
      </w:r>
      <w:r w:rsidRPr="002438AF">
        <w:rPr>
          <w:b w:val="0"/>
          <w:i/>
          <w:sz w:val="20"/>
          <w:szCs w:val="20"/>
        </w:rPr>
        <w:t xml:space="preserve">Bureau of Labor Statistics (May 2015) </w:t>
      </w:r>
      <w:r w:rsidR="002438AF" w:rsidRPr="002438AF">
        <w:rPr>
          <w:b w:val="0"/>
          <w:bCs w:val="0"/>
          <w:i/>
          <w:sz w:val="20"/>
          <w:szCs w:val="20"/>
        </w:rPr>
        <w:t>Metropolitan and Nonmetropolitan Area Occupational Employment and Wage Estimates</w:t>
      </w:r>
      <w:r w:rsidR="002438AF">
        <w:rPr>
          <w:b w:val="0"/>
          <w:bCs w:val="0"/>
          <w:i/>
          <w:sz w:val="20"/>
          <w:szCs w:val="20"/>
        </w:rPr>
        <w:t xml:space="preserve"> </w:t>
      </w:r>
      <w:r w:rsidR="002438AF" w:rsidRPr="002438AF">
        <w:rPr>
          <w:b w:val="0"/>
          <w:i/>
          <w:sz w:val="20"/>
          <w:szCs w:val="20"/>
        </w:rPr>
        <w:t xml:space="preserve">(All Occupations) </w:t>
      </w:r>
      <w:r w:rsidR="002438AF" w:rsidRPr="002438AF">
        <w:rPr>
          <w:b w:val="0"/>
          <w:bCs w:val="0"/>
          <w:i/>
          <w:sz w:val="20"/>
          <w:szCs w:val="20"/>
        </w:rPr>
        <w:t>Washington-Arlington-Alexandria, DC-VA-MD-WV</w:t>
      </w:r>
      <w:r w:rsidR="002438AF" w:rsidRPr="002438AF">
        <w:rPr>
          <w:b w:val="0"/>
          <w:i/>
          <w:sz w:val="20"/>
          <w:szCs w:val="20"/>
        </w:rPr>
        <w:t xml:space="preserve"> Area </w:t>
      </w:r>
      <w:r w:rsidRPr="002438AF">
        <w:rPr>
          <w:b w:val="0"/>
          <w:i/>
          <w:sz w:val="20"/>
          <w:szCs w:val="20"/>
        </w:rPr>
        <w:t>-</w:t>
      </w:r>
      <w:r w:rsidRPr="002438AF">
        <w:rPr>
          <w:i/>
          <w:sz w:val="20"/>
          <w:szCs w:val="20"/>
        </w:rPr>
        <w:t xml:space="preserve"> </w:t>
      </w:r>
      <w:hyperlink r:id="rId11" w:anchor="00-0000" w:history="1">
        <w:r w:rsidR="002438AF" w:rsidRPr="002438AF">
          <w:rPr>
            <w:rStyle w:val="Hyperlink"/>
            <w:b w:val="0"/>
            <w:i/>
            <w:sz w:val="20"/>
            <w:szCs w:val="20"/>
          </w:rPr>
          <w:t>https://www.bls.gov/oes/current/oes_47900.htm#00-0000</w:t>
        </w:r>
      </w:hyperlink>
      <w:r w:rsidR="002438AF" w:rsidRPr="002438AF">
        <w:rPr>
          <w:b w:val="0"/>
          <w:i/>
          <w:sz w:val="20"/>
          <w:szCs w:val="20"/>
        </w:rPr>
        <w:t xml:space="preserve"> </w:t>
      </w:r>
    </w:p>
    <w:p w14:paraId="5B13780B" w14:textId="77777777" w:rsidR="00441434" w:rsidRDefault="00441434" w:rsidP="00F3170F"/>
    <w:p w14:paraId="14F13463" w14:textId="77777777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26048">
        <w:t xml:space="preserve">t to the Federal government is: </w:t>
      </w:r>
      <w:r w:rsidR="004A3686">
        <w:t>$242,095</w:t>
      </w:r>
    </w:p>
    <w:p w14:paraId="04736D25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B2EDA3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725"/>
        <w:gridCol w:w="1260"/>
        <w:gridCol w:w="1363"/>
        <w:gridCol w:w="1363"/>
        <w:gridCol w:w="1363"/>
      </w:tblGrid>
      <w:tr w:rsidR="009A036B" w:rsidRPr="009A036B" w14:paraId="78CF594C" w14:textId="77777777" w:rsidTr="0048021A">
        <w:trPr>
          <w:trHeight w:val="900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4009" w14:textId="77777777" w:rsidR="009A036B" w:rsidRPr="009A036B" w:rsidRDefault="009A036B" w:rsidP="0048021A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06600" w14:textId="77777777" w:rsidR="009A036B" w:rsidRPr="009A036B" w:rsidRDefault="009A036B" w:rsidP="0048021A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C17B" w14:textId="77777777" w:rsidR="009A036B" w:rsidRPr="009A036B" w:rsidRDefault="009A036B" w:rsidP="0048021A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36FE" w14:textId="77777777" w:rsidR="009A036B" w:rsidRPr="009A036B" w:rsidRDefault="009A036B" w:rsidP="0048021A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687A9" w14:textId="77777777" w:rsidR="009A036B" w:rsidRPr="009A036B" w:rsidRDefault="009A036B" w:rsidP="0048021A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52FB" w14:textId="77777777" w:rsidR="009A036B" w:rsidRPr="009A036B" w:rsidRDefault="009A036B" w:rsidP="0048021A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74533B0B" w14:textId="77777777" w:rsidTr="0048021A">
        <w:trPr>
          <w:trHeight w:val="30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AB06" w14:textId="77777777" w:rsidR="00D70920" w:rsidRPr="009A036B" w:rsidRDefault="009A036B" w:rsidP="0048021A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ED1A" w14:textId="77777777" w:rsidR="009A036B" w:rsidRPr="009A036B" w:rsidRDefault="009A036B" w:rsidP="0048021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FC2E" w14:textId="77777777" w:rsidR="009A036B" w:rsidRPr="009A036B" w:rsidRDefault="009A036B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1C3F" w14:textId="77777777" w:rsidR="009A036B" w:rsidRPr="009A036B" w:rsidRDefault="009A036B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964D1" w14:textId="77777777" w:rsidR="009A036B" w:rsidRPr="009A036B" w:rsidRDefault="009A036B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D8E28" w14:textId="77777777" w:rsidR="009A036B" w:rsidRPr="009A036B" w:rsidRDefault="009A036B" w:rsidP="0048021A">
            <w:pPr>
              <w:jc w:val="center"/>
            </w:pPr>
          </w:p>
        </w:tc>
      </w:tr>
      <w:tr w:rsidR="003D4A28" w:rsidRPr="009A036B" w14:paraId="04081428" w14:textId="77777777" w:rsidTr="0048021A">
        <w:trPr>
          <w:trHeight w:val="30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CFCC6" w14:textId="77777777" w:rsidR="003D4A28" w:rsidRPr="009A036B" w:rsidRDefault="0048021A" w:rsidP="009A036B">
            <w:r>
              <w:t>Management Analyst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A185C" w14:textId="77777777" w:rsidR="003D4A28" w:rsidRPr="009A036B" w:rsidRDefault="00B9287A" w:rsidP="0048021A">
            <w:pPr>
              <w:jc w:val="center"/>
            </w:pPr>
            <w:r>
              <w:t>GS 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78DB" w14:textId="77777777" w:rsidR="003D4A28" w:rsidRPr="009A036B" w:rsidRDefault="00B9287A" w:rsidP="0048021A">
            <w:pPr>
              <w:jc w:val="center"/>
            </w:pPr>
            <w:r>
              <w:t>$92,145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A57EE" w14:textId="77777777" w:rsidR="003D4A28" w:rsidRPr="009A036B" w:rsidRDefault="00CE5F2B" w:rsidP="00EB1824">
            <w:pPr>
              <w:jc w:val="center"/>
            </w:pPr>
            <w:r>
              <w:t>10</w:t>
            </w:r>
            <w:r w:rsidR="00B9287A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C0E4B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D1C00" w14:textId="77777777" w:rsidR="003D4A28" w:rsidRPr="009A036B" w:rsidRDefault="004A3686" w:rsidP="00EB1824">
            <w:pPr>
              <w:jc w:val="center"/>
            </w:pPr>
            <w:r>
              <w:t>$9,2145</w:t>
            </w:r>
          </w:p>
        </w:tc>
      </w:tr>
      <w:tr w:rsidR="003D4A28" w:rsidRPr="009A036B" w14:paraId="79C46588" w14:textId="77777777" w:rsidTr="0048021A">
        <w:trPr>
          <w:trHeight w:val="30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9E23A" w14:textId="77777777" w:rsidR="003D4A28" w:rsidRPr="009A036B" w:rsidRDefault="003D4A28" w:rsidP="009A036B"/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89E8A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FB4F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E41B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2DAEB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52DA1" w14:textId="77777777" w:rsidR="003D4A28" w:rsidRPr="009A036B" w:rsidRDefault="003D4A28" w:rsidP="0048021A">
            <w:pPr>
              <w:jc w:val="center"/>
            </w:pPr>
          </w:p>
        </w:tc>
      </w:tr>
      <w:tr w:rsidR="003D4A28" w:rsidRPr="009A036B" w14:paraId="30AF3030" w14:textId="77777777" w:rsidTr="0048021A">
        <w:trPr>
          <w:trHeight w:val="30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80FC2" w14:textId="77777777" w:rsidR="003D4A28" w:rsidRDefault="003D4A28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  <w:p w14:paraId="5F018155" w14:textId="77777777" w:rsidR="00CE5F2B" w:rsidRPr="009A036B" w:rsidRDefault="00CE5F2B" w:rsidP="009A036B">
            <w:pPr>
              <w:rPr>
                <w:b/>
              </w:rPr>
            </w:pPr>
            <w:r>
              <w:rPr>
                <w:b/>
              </w:rPr>
              <w:t xml:space="preserve">(Total including NITAAC Fee)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B7D75" w14:textId="5F013BA6" w:rsidR="003D4A28" w:rsidRPr="009A036B" w:rsidRDefault="003D4A28" w:rsidP="0048021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DAB4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0620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6F88E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A2DE3" w14:textId="77777777" w:rsidR="003D4A28" w:rsidRPr="009A036B" w:rsidRDefault="00CE5F2B" w:rsidP="0048021A">
            <w:pPr>
              <w:jc w:val="center"/>
            </w:pPr>
            <w:r>
              <w:t>$149</w:t>
            </w:r>
            <w:r w:rsidR="004A3686">
              <w:t>,000</w:t>
            </w:r>
          </w:p>
        </w:tc>
      </w:tr>
      <w:tr w:rsidR="003D4A28" w:rsidRPr="009A036B" w14:paraId="6B3F1FA4" w14:textId="77777777" w:rsidTr="0048021A">
        <w:trPr>
          <w:trHeight w:val="30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9E15A" w14:textId="77777777" w:rsidR="003D4A28" w:rsidRPr="009A036B" w:rsidRDefault="003D4A28" w:rsidP="009A036B">
            <w:r w:rsidRPr="009A036B">
              <w:t>Other Cost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7078C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5521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D9EF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C84E8" w14:textId="77777777" w:rsidR="003D4A28" w:rsidRPr="009A036B" w:rsidRDefault="003D4A28" w:rsidP="0048021A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3A573" w14:textId="77777777" w:rsidR="003D4A28" w:rsidRPr="009A036B" w:rsidRDefault="003D4A28" w:rsidP="0048021A">
            <w:pPr>
              <w:jc w:val="center"/>
            </w:pPr>
          </w:p>
        </w:tc>
      </w:tr>
      <w:tr w:rsidR="003D4A28" w:rsidRPr="004F23FC" w14:paraId="7C73020B" w14:textId="77777777" w:rsidTr="0048021A">
        <w:trPr>
          <w:trHeight w:val="300"/>
        </w:trPr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3757D" w14:textId="77777777" w:rsidR="003D4A28" w:rsidRPr="004F23FC" w:rsidRDefault="003D4A28" w:rsidP="009A036B">
            <w:pPr>
              <w:rPr>
                <w:b/>
              </w:rPr>
            </w:pPr>
            <w:r w:rsidRPr="004F23FC">
              <w:rPr>
                <w:b/>
              </w:rPr>
              <w:t>Total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F266F" w14:textId="77777777" w:rsidR="003D4A28" w:rsidRPr="004F23FC" w:rsidRDefault="003D4A28" w:rsidP="0048021A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4AFD" w14:textId="77777777" w:rsidR="003D4A28" w:rsidRPr="004F23FC" w:rsidRDefault="003D4A28" w:rsidP="0048021A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9D83" w14:textId="77777777" w:rsidR="003D4A28" w:rsidRPr="004F23FC" w:rsidRDefault="003D4A28" w:rsidP="0048021A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E56A7" w14:textId="77777777" w:rsidR="003D4A28" w:rsidRPr="004F23FC" w:rsidRDefault="003D4A28" w:rsidP="0048021A">
            <w:pPr>
              <w:jc w:val="center"/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EF0A6" w14:textId="77777777" w:rsidR="003D4A28" w:rsidRPr="004F23FC" w:rsidRDefault="004A3686" w:rsidP="0048021A">
            <w:pPr>
              <w:jc w:val="center"/>
              <w:rPr>
                <w:b/>
              </w:rPr>
            </w:pPr>
            <w:r>
              <w:rPr>
                <w:b/>
              </w:rPr>
              <w:t>$241,145</w:t>
            </w:r>
          </w:p>
        </w:tc>
      </w:tr>
    </w:tbl>
    <w:p w14:paraId="63225602" w14:textId="77777777" w:rsidR="009A036B" w:rsidRPr="004F23FC" w:rsidRDefault="009A036B" w:rsidP="009A036B">
      <w:pPr>
        <w:rPr>
          <w:b/>
        </w:rPr>
      </w:pPr>
    </w:p>
    <w:p w14:paraId="374A67DD" w14:textId="77777777" w:rsidR="009A036B" w:rsidRDefault="009A036B">
      <w:pPr>
        <w:rPr>
          <w:b/>
        </w:rPr>
      </w:pPr>
    </w:p>
    <w:p w14:paraId="3C7F5AA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438AF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7CC5C2E8" w14:textId="77777777" w:rsidR="0069403B" w:rsidRDefault="0069403B" w:rsidP="00F06866">
      <w:pPr>
        <w:rPr>
          <w:b/>
        </w:rPr>
      </w:pPr>
    </w:p>
    <w:p w14:paraId="49D3435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8CBC450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30345D">
        <w:t>[</w:t>
      </w:r>
      <w:r w:rsidR="00C82FCC">
        <w:t xml:space="preserve"> X</w:t>
      </w:r>
      <w:r w:rsidRPr="0030345D">
        <w:t>] Y</w:t>
      </w:r>
      <w:r>
        <w:t>es</w:t>
      </w:r>
      <w:r>
        <w:tab/>
        <w:t>[ ] No</w:t>
      </w:r>
    </w:p>
    <w:p w14:paraId="4C370B20" w14:textId="77777777" w:rsidR="00636621" w:rsidRDefault="00636621" w:rsidP="00636621">
      <w:pPr>
        <w:pStyle w:val="ListParagraph"/>
      </w:pPr>
    </w:p>
    <w:p w14:paraId="76B2B13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044E4EB" w14:textId="77777777" w:rsidR="00927C05" w:rsidRDefault="00927C05" w:rsidP="00947429">
      <w:pPr>
        <w:rPr>
          <w:color w:val="002060"/>
        </w:rPr>
      </w:pPr>
    </w:p>
    <w:p w14:paraId="2E0EDAB9" w14:textId="77777777" w:rsidR="00947429" w:rsidRPr="0030345D" w:rsidRDefault="00947429" w:rsidP="00C82FCC">
      <w:pPr>
        <w:ind w:left="720"/>
      </w:pPr>
      <w:r w:rsidRPr="0030345D">
        <w:t>This is</w:t>
      </w:r>
      <w:r w:rsidR="00EB1824">
        <w:t xml:space="preserve"> a voluntary individual interview for current </w:t>
      </w:r>
      <w:r w:rsidR="00726048" w:rsidRPr="0030345D">
        <w:t xml:space="preserve">NIMH </w:t>
      </w:r>
      <w:r w:rsidR="00EB1824">
        <w:t>O</w:t>
      </w:r>
      <w:r w:rsidR="00772D71">
        <w:t xml:space="preserve">ffice of the Director </w:t>
      </w:r>
      <w:r w:rsidR="00EB1824">
        <w:t xml:space="preserve">and Extramural leadership </w:t>
      </w:r>
      <w:r w:rsidR="00772D71">
        <w:t xml:space="preserve">staff </w:t>
      </w:r>
      <w:r w:rsidR="00EB1824">
        <w:t>(Directors, Team Leads, Branch Chiefs), and voluntary</w:t>
      </w:r>
      <w:r w:rsidR="00C82FCC">
        <w:t xml:space="preserve"> opportunity to for participation in a focus group</w:t>
      </w:r>
      <w:r w:rsidR="00EB1824">
        <w:t xml:space="preserve"> for federal and contract staff. </w:t>
      </w:r>
    </w:p>
    <w:p w14:paraId="0AE9AC66" w14:textId="77777777" w:rsidR="00A403BB" w:rsidRDefault="00A403BB" w:rsidP="00A403BB">
      <w:pPr>
        <w:pStyle w:val="ListParagraph"/>
      </w:pPr>
    </w:p>
    <w:p w14:paraId="41877994" w14:textId="77777777" w:rsidR="00A403BB" w:rsidRDefault="00A403BB" w:rsidP="00A403BB"/>
    <w:p w14:paraId="0550094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A80621F" w14:textId="77777777" w:rsidR="0030345D" w:rsidRDefault="0030345D" w:rsidP="00A403BB">
      <w:pPr>
        <w:rPr>
          <w:b/>
        </w:rPr>
      </w:pPr>
    </w:p>
    <w:p w14:paraId="5A41391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33834E6" w14:textId="77777777" w:rsidR="0030345D" w:rsidRDefault="0030345D" w:rsidP="0030345D">
      <w:pPr>
        <w:pStyle w:val="ListParagraph"/>
        <w:ind w:left="360"/>
      </w:pPr>
    </w:p>
    <w:p w14:paraId="6E521399" w14:textId="77777777" w:rsidR="001B0AAA" w:rsidRPr="0030345D" w:rsidRDefault="00A403BB" w:rsidP="001B0AAA">
      <w:pPr>
        <w:ind w:left="720"/>
      </w:pPr>
      <w:r w:rsidRPr="0030345D">
        <w:t>[] Web-based</w:t>
      </w:r>
      <w:r w:rsidR="001B0AAA" w:rsidRPr="0030345D">
        <w:t xml:space="preserve"> or other forms of Social Media </w:t>
      </w:r>
    </w:p>
    <w:p w14:paraId="5DC6CFB0" w14:textId="77777777" w:rsidR="001B0AAA" w:rsidRPr="0030345D" w:rsidRDefault="00A403BB" w:rsidP="001B0AAA">
      <w:pPr>
        <w:ind w:left="720"/>
      </w:pPr>
      <w:r w:rsidRPr="0030345D">
        <w:t xml:space="preserve">[ </w:t>
      </w:r>
      <w:r w:rsidR="001B0AAA" w:rsidRPr="0030345D">
        <w:t xml:space="preserve"> </w:t>
      </w:r>
      <w:r w:rsidRPr="0030345D">
        <w:t>] Telephone</w:t>
      </w:r>
      <w:r w:rsidRPr="0030345D">
        <w:tab/>
      </w:r>
    </w:p>
    <w:p w14:paraId="2F1A7D90" w14:textId="77777777" w:rsidR="001B0AAA" w:rsidRPr="0030345D" w:rsidRDefault="00A403BB" w:rsidP="001B0AAA">
      <w:pPr>
        <w:ind w:left="720"/>
      </w:pPr>
      <w:r w:rsidRPr="0030345D">
        <w:t>[</w:t>
      </w:r>
      <w:r w:rsidR="00772D71">
        <w:t>X</w:t>
      </w:r>
      <w:r w:rsidRPr="0030345D">
        <w:t>] In-person</w:t>
      </w:r>
      <w:r w:rsidRPr="0030345D">
        <w:tab/>
      </w:r>
    </w:p>
    <w:p w14:paraId="264FC2FF" w14:textId="77777777" w:rsidR="001B0AAA" w:rsidRPr="0030345D" w:rsidRDefault="00A403BB" w:rsidP="001B0AAA">
      <w:pPr>
        <w:ind w:left="720"/>
      </w:pPr>
      <w:r w:rsidRPr="0030345D">
        <w:t xml:space="preserve">[ </w:t>
      </w:r>
      <w:r w:rsidR="001B0AAA" w:rsidRPr="0030345D">
        <w:t xml:space="preserve"> </w:t>
      </w:r>
      <w:r w:rsidRPr="0030345D">
        <w:t>] Mail</w:t>
      </w:r>
      <w:r w:rsidR="001B0AAA" w:rsidRPr="0030345D">
        <w:t xml:space="preserve"> </w:t>
      </w:r>
    </w:p>
    <w:p w14:paraId="5CF887A1" w14:textId="77777777" w:rsidR="001B0AAA" w:rsidRPr="0030345D" w:rsidRDefault="00A403BB" w:rsidP="001B0AAA">
      <w:pPr>
        <w:ind w:left="720"/>
      </w:pPr>
      <w:r w:rsidRPr="0030345D">
        <w:t xml:space="preserve">[ </w:t>
      </w:r>
      <w:r w:rsidR="001B0AAA" w:rsidRPr="0030345D">
        <w:t xml:space="preserve"> </w:t>
      </w:r>
      <w:r w:rsidRPr="0030345D">
        <w:t>] Other, Explain</w:t>
      </w:r>
    </w:p>
    <w:p w14:paraId="457800E8" w14:textId="77777777" w:rsidR="0030345D" w:rsidRPr="0030345D" w:rsidRDefault="0030345D" w:rsidP="001B0AAA">
      <w:pPr>
        <w:ind w:left="720"/>
      </w:pPr>
    </w:p>
    <w:p w14:paraId="27C7A0D2" w14:textId="77777777" w:rsidR="00F24CFC" w:rsidRPr="0030345D" w:rsidRDefault="00F24CFC" w:rsidP="00F24CFC">
      <w:pPr>
        <w:pStyle w:val="ListParagraph"/>
        <w:numPr>
          <w:ilvl w:val="0"/>
          <w:numId w:val="17"/>
        </w:numPr>
      </w:pPr>
      <w:r w:rsidRPr="0030345D">
        <w:t>Will interviewer</w:t>
      </w:r>
      <w:r w:rsidR="00772D71">
        <w:t>s or facilitators be used?  [X</w:t>
      </w:r>
      <w:r w:rsidRPr="0030345D">
        <w:t>] Yes [] No</w:t>
      </w:r>
    </w:p>
    <w:p w14:paraId="30715847" w14:textId="77777777" w:rsidR="00F24CFC" w:rsidRPr="0030345D" w:rsidRDefault="00F24CFC" w:rsidP="00F24CFC">
      <w:pPr>
        <w:pStyle w:val="ListParagraph"/>
        <w:ind w:left="360"/>
      </w:pPr>
      <w:r w:rsidRPr="0030345D">
        <w:t xml:space="preserve"> </w:t>
      </w:r>
    </w:p>
    <w:p w14:paraId="07547A48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4EE3D181" w14:textId="77777777" w:rsidR="00AE14B1" w:rsidRPr="00AE14B1" w:rsidRDefault="00AE14B1" w:rsidP="00AE14B1"/>
    <w:p w14:paraId="14E9284B" w14:textId="77777777" w:rsidR="007669AD" w:rsidRDefault="007669AD" w:rsidP="00F24CFC">
      <w:pPr>
        <w:tabs>
          <w:tab w:val="left" w:pos="5670"/>
        </w:tabs>
        <w:suppressAutoHyphens/>
      </w:pPr>
    </w:p>
    <w:sectPr w:rsidR="007669AD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9CD3A" w14:textId="77777777" w:rsidR="00FA2110" w:rsidRDefault="00FA2110">
      <w:r>
        <w:separator/>
      </w:r>
    </w:p>
  </w:endnote>
  <w:endnote w:type="continuationSeparator" w:id="0">
    <w:p w14:paraId="07762C5A" w14:textId="77777777" w:rsidR="00FA2110" w:rsidRDefault="00FA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CB02C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651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9463F" w14:textId="77777777" w:rsidR="00FA2110" w:rsidRDefault="00FA2110">
      <w:r>
        <w:separator/>
      </w:r>
    </w:p>
  </w:footnote>
  <w:footnote w:type="continuationSeparator" w:id="0">
    <w:p w14:paraId="054A5873" w14:textId="77777777" w:rsidR="00FA2110" w:rsidRDefault="00FA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19AC"/>
    <w:rsid w:val="00047A64"/>
    <w:rsid w:val="00067329"/>
    <w:rsid w:val="000722CE"/>
    <w:rsid w:val="000913EC"/>
    <w:rsid w:val="00095AAF"/>
    <w:rsid w:val="000B2060"/>
    <w:rsid w:val="000B2838"/>
    <w:rsid w:val="000D44CA"/>
    <w:rsid w:val="000E200B"/>
    <w:rsid w:val="000F68BE"/>
    <w:rsid w:val="001168BB"/>
    <w:rsid w:val="00162F83"/>
    <w:rsid w:val="00173A8B"/>
    <w:rsid w:val="001855D1"/>
    <w:rsid w:val="001927A4"/>
    <w:rsid w:val="00194AC6"/>
    <w:rsid w:val="001A23B0"/>
    <w:rsid w:val="001A25CC"/>
    <w:rsid w:val="001B0AAA"/>
    <w:rsid w:val="001C39F7"/>
    <w:rsid w:val="001D4249"/>
    <w:rsid w:val="00237B48"/>
    <w:rsid w:val="002438AF"/>
    <w:rsid w:val="0024521E"/>
    <w:rsid w:val="00252752"/>
    <w:rsid w:val="00263C3D"/>
    <w:rsid w:val="00274D0B"/>
    <w:rsid w:val="00284110"/>
    <w:rsid w:val="002A0422"/>
    <w:rsid w:val="002B3C95"/>
    <w:rsid w:val="002D0B92"/>
    <w:rsid w:val="002D26E2"/>
    <w:rsid w:val="0030345D"/>
    <w:rsid w:val="003668D6"/>
    <w:rsid w:val="003A7074"/>
    <w:rsid w:val="003D2E82"/>
    <w:rsid w:val="003D4A28"/>
    <w:rsid w:val="003D5BBE"/>
    <w:rsid w:val="003E3C61"/>
    <w:rsid w:val="003F1C5B"/>
    <w:rsid w:val="00422F56"/>
    <w:rsid w:val="00426511"/>
    <w:rsid w:val="00431EB1"/>
    <w:rsid w:val="00434E33"/>
    <w:rsid w:val="00441434"/>
    <w:rsid w:val="0045264C"/>
    <w:rsid w:val="004624E6"/>
    <w:rsid w:val="0048021A"/>
    <w:rsid w:val="004876EC"/>
    <w:rsid w:val="004A160C"/>
    <w:rsid w:val="004A3686"/>
    <w:rsid w:val="004D6E14"/>
    <w:rsid w:val="004F23FC"/>
    <w:rsid w:val="004F3C6B"/>
    <w:rsid w:val="005009B0"/>
    <w:rsid w:val="00547054"/>
    <w:rsid w:val="005A1006"/>
    <w:rsid w:val="005A772A"/>
    <w:rsid w:val="005E5301"/>
    <w:rsid w:val="005E714A"/>
    <w:rsid w:val="006140A0"/>
    <w:rsid w:val="00633F74"/>
    <w:rsid w:val="00636621"/>
    <w:rsid w:val="00642B49"/>
    <w:rsid w:val="0065005E"/>
    <w:rsid w:val="006832D9"/>
    <w:rsid w:val="00686301"/>
    <w:rsid w:val="0069403B"/>
    <w:rsid w:val="00696EC2"/>
    <w:rsid w:val="006D5F47"/>
    <w:rsid w:val="006F3DDE"/>
    <w:rsid w:val="00704678"/>
    <w:rsid w:val="00711A48"/>
    <w:rsid w:val="00725129"/>
    <w:rsid w:val="00726048"/>
    <w:rsid w:val="00733CF2"/>
    <w:rsid w:val="007425E7"/>
    <w:rsid w:val="007669AD"/>
    <w:rsid w:val="00766D95"/>
    <w:rsid w:val="00772D71"/>
    <w:rsid w:val="0077703F"/>
    <w:rsid w:val="007C24CA"/>
    <w:rsid w:val="007D0341"/>
    <w:rsid w:val="007F4464"/>
    <w:rsid w:val="00802607"/>
    <w:rsid w:val="008101A5"/>
    <w:rsid w:val="00822664"/>
    <w:rsid w:val="00843796"/>
    <w:rsid w:val="00884B8A"/>
    <w:rsid w:val="00895229"/>
    <w:rsid w:val="008A667A"/>
    <w:rsid w:val="008F0203"/>
    <w:rsid w:val="008F50D4"/>
    <w:rsid w:val="009239AA"/>
    <w:rsid w:val="00927C05"/>
    <w:rsid w:val="00935ADA"/>
    <w:rsid w:val="00935D90"/>
    <w:rsid w:val="00946B6C"/>
    <w:rsid w:val="00947429"/>
    <w:rsid w:val="00955A71"/>
    <w:rsid w:val="0096108F"/>
    <w:rsid w:val="009A036B"/>
    <w:rsid w:val="009B6C5D"/>
    <w:rsid w:val="009C13B9"/>
    <w:rsid w:val="009D01A2"/>
    <w:rsid w:val="009F5923"/>
    <w:rsid w:val="00A229F1"/>
    <w:rsid w:val="00A334C4"/>
    <w:rsid w:val="00A403BB"/>
    <w:rsid w:val="00A56C96"/>
    <w:rsid w:val="00A65FA5"/>
    <w:rsid w:val="00A674DF"/>
    <w:rsid w:val="00A83AA6"/>
    <w:rsid w:val="00A91E11"/>
    <w:rsid w:val="00AC60E8"/>
    <w:rsid w:val="00AE14B1"/>
    <w:rsid w:val="00AE1809"/>
    <w:rsid w:val="00B80D76"/>
    <w:rsid w:val="00B84A29"/>
    <w:rsid w:val="00B9287A"/>
    <w:rsid w:val="00BA2105"/>
    <w:rsid w:val="00BA7E06"/>
    <w:rsid w:val="00BB0A21"/>
    <w:rsid w:val="00BB43B5"/>
    <w:rsid w:val="00BB6219"/>
    <w:rsid w:val="00BC1F53"/>
    <w:rsid w:val="00BC676D"/>
    <w:rsid w:val="00BD290F"/>
    <w:rsid w:val="00C14CC4"/>
    <w:rsid w:val="00C2460A"/>
    <w:rsid w:val="00C33C52"/>
    <w:rsid w:val="00C40D8B"/>
    <w:rsid w:val="00C65FD0"/>
    <w:rsid w:val="00C72B14"/>
    <w:rsid w:val="00C82FCC"/>
    <w:rsid w:val="00C8407A"/>
    <w:rsid w:val="00C8488C"/>
    <w:rsid w:val="00C86E91"/>
    <w:rsid w:val="00CA19A3"/>
    <w:rsid w:val="00CA2010"/>
    <w:rsid w:val="00CA2650"/>
    <w:rsid w:val="00CB05FA"/>
    <w:rsid w:val="00CB1078"/>
    <w:rsid w:val="00CC6FAF"/>
    <w:rsid w:val="00CE5F2B"/>
    <w:rsid w:val="00CF16FE"/>
    <w:rsid w:val="00D04C61"/>
    <w:rsid w:val="00D24698"/>
    <w:rsid w:val="00D602AA"/>
    <w:rsid w:val="00D6383F"/>
    <w:rsid w:val="00D70920"/>
    <w:rsid w:val="00D8748F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1824"/>
    <w:rsid w:val="00EB3C33"/>
    <w:rsid w:val="00EB56B3"/>
    <w:rsid w:val="00ED6492"/>
    <w:rsid w:val="00EF2095"/>
    <w:rsid w:val="00F016BE"/>
    <w:rsid w:val="00F06866"/>
    <w:rsid w:val="00F15956"/>
    <w:rsid w:val="00F24CFC"/>
    <w:rsid w:val="00F3170F"/>
    <w:rsid w:val="00F75C27"/>
    <w:rsid w:val="00F90DAD"/>
    <w:rsid w:val="00F926A4"/>
    <w:rsid w:val="00F94D8C"/>
    <w:rsid w:val="00F976B0"/>
    <w:rsid w:val="00FA2110"/>
    <w:rsid w:val="00FA6DE7"/>
    <w:rsid w:val="00FC0A8E"/>
    <w:rsid w:val="00FD1EC9"/>
    <w:rsid w:val="00FE083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5000A"/>
  <w15:chartTrackingRefBased/>
  <w15:docId w15:val="{3E053E80-46A6-4E7C-B897-FFBF51AA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rsid w:val="00B928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17" ma:contentTypeDescription="Create a new document." ma:contentTypeScope="" ma:versionID="e98c11bfe5ed3417fc01aeb0feb4e78c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e0b67d1da3a0324b23523e89f21f8248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 minOccurs="0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 minOccurs="0"/>
                <xsd:element ref="ns3:OMB_x0020_Approval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nillable="true" ma:displayName="Application Type" ma:format="Dropdown" ma:internalName="Application_x0020_Typ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</xsd:restriction>
      </xsd:simpleType>
    </xsd:element>
    <xsd:element name="NIMH_x0020_Office_x002f_Division" ma:index="9" nillable="true" ma:displayName="NIMH Office/Division" ma:default="Office on AIDS (OA)" ma:format="Dropdown" ma:hidden="true" ma:internalName="NIMH_x0020_Office_x002F_Division" ma:readOnly="false">
      <xsd:simpleType>
        <xsd:union memberTypes="dms:Text">
          <xsd:simpleType>
            <xsd:restriction base="dms:Choice"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Resource Management (OR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nillable="true" ma:displayName="Application Status" ma:default="Pending" ma:format="Dropdown" ma:internalName="Application_x0020_Status" ma:readOnly="false">
      <xsd:simpleType>
        <xsd:restriction base="dms:Choice">
          <xsd:enumeration value="Pending"/>
          <xsd:enumeration value="Submitted to OMB"/>
          <xsd:enumeration value="Approved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lication_x0020_Type xmlns="c06a0f3a-59ac-4ab7-bf02-e6bd551ded59">New</Application_x0020_Type>
    <OMB_x0020_Approval_x0020_Date xmlns="5bad5e29-abca-4678-baee-37f59ef58108" xsi:nil="true"/>
    <Application_x0020_Status xmlns="5bad5e29-abca-4678-baee-37f59ef58108">Pending</Application_x0020_Status>
    <NIMH_x0020_Office_x002f_Division xmlns="c06a0f3a-59ac-4ab7-bf02-e6bd551ded59">Office on AIDS (OA)</NIMH_x0020_Office_x002f_Division>
    <OMB_x0020_expiration_x0020_date xmlns="c06a0f3a-59ac-4ab7-bf02-e6bd551ded59" xsi:nil="true"/>
    <Staff_x0020_contact xmlns="c06a0f3a-59ac-4ab7-bf02-e6bd551ded59">
      <UserInfo>
        <DisplayName/>
        <AccountId xsi:nil="true"/>
        <AccountType/>
      </UserInfo>
    </Staff_x0020_contact>
    <OMB_x0020_Number xmlns="c06a0f3a-59ac-4ab7-bf02-e6bd551ded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A545-5929-484A-B5D0-16033F9A3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E77F0-6343-4964-ABE5-CC84AD85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145F0-82A2-4C73-B5B8-6CDB272CF8E9}">
  <ds:schemaRefs>
    <ds:schemaRef ds:uri="http://schemas.microsoft.com/office/2006/metadata/properties"/>
    <ds:schemaRef ds:uri="http://schemas.microsoft.com/office/infopath/2007/PartnerControls"/>
    <ds:schemaRef ds:uri="c06a0f3a-59ac-4ab7-bf02-e6bd551ded59"/>
    <ds:schemaRef ds:uri="5bad5e29-abca-4678-baee-37f59ef58108"/>
  </ds:schemaRefs>
</ds:datastoreItem>
</file>

<file path=customXml/itemProps4.xml><?xml version="1.0" encoding="utf-8"?>
<ds:datastoreItem xmlns:ds="http://schemas.openxmlformats.org/officeDocument/2006/customXml" ds:itemID="{FE3A54FB-1F90-4C2D-A8E6-4EDA010B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5034</CharactersWithSpaces>
  <SharedDoc>false</SharedDoc>
  <HLinks>
    <vt:vector size="6" baseType="variant">
      <vt:variant>
        <vt:i4>1114168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https://www.bls.gov/oes/current/oes_47900.htm</vt:lpwstr>
      </vt:variant>
      <vt:variant>
        <vt:lpwstr>00-0000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Fountain, Marisa (NIH/OD) [E]</cp:lastModifiedBy>
  <cp:revision>3</cp:revision>
  <cp:lastPrinted>2010-10-04T17:59:00Z</cp:lastPrinted>
  <dcterms:created xsi:type="dcterms:W3CDTF">2017-01-19T16:55:00Z</dcterms:created>
  <dcterms:modified xsi:type="dcterms:W3CDTF">2017-01-19T16:55:00Z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0x010100474DCBF5E2077E49B225DC9C76EDC06A</vt:lpwstr>
  </property>
</Properties>
</file>