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C6201" w14:textId="77777777" w:rsidR="00FF5F9C" w:rsidRPr="00D36EE4" w:rsidRDefault="00FF5F9C" w:rsidP="00BA77CD">
      <w:pPr>
        <w:pStyle w:val="NoSpacing"/>
        <w:jc w:val="center"/>
        <w:rPr>
          <w:b/>
        </w:rPr>
      </w:pPr>
    </w:p>
    <w:p w14:paraId="39888AC5" w14:textId="77777777" w:rsidR="00FF5F9C" w:rsidRPr="00D36EE4" w:rsidRDefault="00FF5F9C" w:rsidP="00BA77CD">
      <w:pPr>
        <w:pStyle w:val="NoSpacing"/>
        <w:jc w:val="center"/>
        <w:rPr>
          <w:b/>
        </w:rPr>
      </w:pPr>
    </w:p>
    <w:p w14:paraId="46406934" w14:textId="77777777" w:rsidR="00FF5F9C" w:rsidRPr="00D36EE4" w:rsidRDefault="00FF5F9C" w:rsidP="00BA77CD">
      <w:pPr>
        <w:pStyle w:val="NoSpacing"/>
        <w:jc w:val="center"/>
        <w:rPr>
          <w:b/>
        </w:rPr>
      </w:pPr>
    </w:p>
    <w:p w14:paraId="3010CE3A" w14:textId="77777777" w:rsidR="00FF5F9C" w:rsidRPr="00D36EE4" w:rsidRDefault="00FF5F9C" w:rsidP="00BA77CD">
      <w:pPr>
        <w:pStyle w:val="NoSpacing"/>
        <w:jc w:val="center"/>
        <w:rPr>
          <w:b/>
        </w:rPr>
      </w:pPr>
    </w:p>
    <w:p w14:paraId="0FC454D9" w14:textId="77777777" w:rsidR="00FF5F9C" w:rsidRPr="00D36EE4" w:rsidRDefault="00FF5F9C" w:rsidP="00BA77CD">
      <w:pPr>
        <w:pStyle w:val="NoSpacing"/>
        <w:jc w:val="center"/>
        <w:rPr>
          <w:b/>
        </w:rPr>
      </w:pPr>
    </w:p>
    <w:p w14:paraId="79F7D122" w14:textId="77777777" w:rsidR="00FF5F9C" w:rsidRPr="00D36EE4" w:rsidRDefault="00FF5F9C" w:rsidP="00BA77CD">
      <w:pPr>
        <w:pStyle w:val="NoSpacing"/>
        <w:jc w:val="center"/>
        <w:rPr>
          <w:b/>
        </w:rPr>
      </w:pPr>
    </w:p>
    <w:p w14:paraId="331F106B" w14:textId="77777777" w:rsidR="00FF5F9C" w:rsidRPr="00D36EE4" w:rsidRDefault="00FF5F9C" w:rsidP="00BA77CD">
      <w:pPr>
        <w:pStyle w:val="NoSpacing"/>
        <w:jc w:val="center"/>
        <w:rPr>
          <w:b/>
        </w:rPr>
      </w:pPr>
    </w:p>
    <w:p w14:paraId="49C5B781" w14:textId="77777777" w:rsidR="00FF5F9C" w:rsidRPr="00D36EE4" w:rsidRDefault="00FF5F9C" w:rsidP="00BA77CD">
      <w:pPr>
        <w:pStyle w:val="NoSpacing"/>
        <w:jc w:val="center"/>
        <w:rPr>
          <w:b/>
        </w:rPr>
      </w:pPr>
    </w:p>
    <w:p w14:paraId="411DB983" w14:textId="77777777" w:rsidR="00FF5F9C" w:rsidRPr="00D36EE4" w:rsidRDefault="00FF5F9C" w:rsidP="00BA77CD">
      <w:pPr>
        <w:pStyle w:val="NoSpacing"/>
        <w:jc w:val="center"/>
        <w:rPr>
          <w:b/>
        </w:rPr>
      </w:pPr>
    </w:p>
    <w:p w14:paraId="2C62B4C7" w14:textId="77777777" w:rsidR="003F4C88" w:rsidRPr="00D36EE4" w:rsidRDefault="00BA77CD" w:rsidP="00BA77CD">
      <w:pPr>
        <w:pStyle w:val="NoSpacing"/>
        <w:jc w:val="center"/>
        <w:rPr>
          <w:b/>
          <w:sz w:val="32"/>
        </w:rPr>
      </w:pPr>
      <w:r w:rsidRPr="00D36EE4">
        <w:rPr>
          <w:b/>
          <w:sz w:val="32"/>
        </w:rPr>
        <w:t>Supporting Statement for the Title X Sustainability Assessment Tool</w:t>
      </w:r>
    </w:p>
    <w:p w14:paraId="61BDF621" w14:textId="77777777" w:rsidR="00BA77CD" w:rsidRPr="00D36EE4" w:rsidRDefault="00BA77CD" w:rsidP="00BA77CD">
      <w:pPr>
        <w:pStyle w:val="NoSpacing"/>
        <w:jc w:val="center"/>
        <w:rPr>
          <w:b/>
          <w:sz w:val="32"/>
        </w:rPr>
      </w:pPr>
      <w:r w:rsidRPr="00D36EE4">
        <w:rPr>
          <w:b/>
          <w:sz w:val="32"/>
        </w:rPr>
        <w:t>For Grantees and Service Sites</w:t>
      </w:r>
    </w:p>
    <w:p w14:paraId="4F9846E6" w14:textId="77777777" w:rsidR="00B53BDE" w:rsidRPr="00D36EE4" w:rsidRDefault="00B53BDE" w:rsidP="00BA77CD">
      <w:pPr>
        <w:pStyle w:val="NoSpacing"/>
        <w:jc w:val="center"/>
        <w:rPr>
          <w:b/>
        </w:rPr>
      </w:pPr>
    </w:p>
    <w:p w14:paraId="1FE4C983" w14:textId="77777777" w:rsidR="00B53BDE" w:rsidRPr="00D36EE4" w:rsidRDefault="00B53BDE" w:rsidP="00BA77CD">
      <w:pPr>
        <w:pStyle w:val="NoSpacing"/>
        <w:jc w:val="center"/>
        <w:rPr>
          <w:b/>
        </w:rPr>
      </w:pPr>
    </w:p>
    <w:p w14:paraId="271365E8" w14:textId="77777777" w:rsidR="00FF5F9C" w:rsidRPr="00D36EE4" w:rsidRDefault="00FF5F9C" w:rsidP="00BA77CD">
      <w:pPr>
        <w:pStyle w:val="NoSpacing"/>
        <w:jc w:val="center"/>
        <w:rPr>
          <w:b/>
        </w:rPr>
      </w:pPr>
    </w:p>
    <w:p w14:paraId="2E393B6A" w14:textId="77777777" w:rsidR="00FF5F9C" w:rsidRPr="00D36EE4" w:rsidRDefault="00FF5F9C" w:rsidP="00BA77CD">
      <w:pPr>
        <w:pStyle w:val="NoSpacing"/>
        <w:jc w:val="center"/>
        <w:rPr>
          <w:b/>
        </w:rPr>
      </w:pPr>
    </w:p>
    <w:p w14:paraId="64A92BF2" w14:textId="77777777" w:rsidR="00FF5F9C" w:rsidRPr="00D36EE4" w:rsidRDefault="00FF5F9C" w:rsidP="00BA77CD">
      <w:pPr>
        <w:pStyle w:val="NoSpacing"/>
        <w:jc w:val="center"/>
        <w:rPr>
          <w:b/>
        </w:rPr>
      </w:pPr>
    </w:p>
    <w:p w14:paraId="4907C5F8" w14:textId="77777777" w:rsidR="00FF5F9C" w:rsidRPr="00D36EE4" w:rsidRDefault="00FF5F9C" w:rsidP="00BA77CD">
      <w:pPr>
        <w:pStyle w:val="NoSpacing"/>
        <w:jc w:val="center"/>
        <w:rPr>
          <w:b/>
        </w:rPr>
      </w:pPr>
    </w:p>
    <w:p w14:paraId="4A4299E1" w14:textId="77777777" w:rsidR="00FF5F9C" w:rsidRPr="00D36EE4" w:rsidRDefault="00FF5F9C" w:rsidP="00BA77CD">
      <w:pPr>
        <w:pStyle w:val="NoSpacing"/>
        <w:jc w:val="center"/>
        <w:rPr>
          <w:b/>
        </w:rPr>
      </w:pPr>
    </w:p>
    <w:p w14:paraId="78161DF5" w14:textId="77777777" w:rsidR="00FF5F9C" w:rsidRPr="00D36EE4" w:rsidRDefault="00FF5F9C" w:rsidP="00BA77CD">
      <w:pPr>
        <w:pStyle w:val="NoSpacing"/>
        <w:jc w:val="center"/>
        <w:rPr>
          <w:b/>
        </w:rPr>
      </w:pPr>
    </w:p>
    <w:p w14:paraId="03883C50" w14:textId="77777777" w:rsidR="00FF5F9C" w:rsidRPr="00D36EE4" w:rsidRDefault="00FF5F9C" w:rsidP="00BA77CD">
      <w:pPr>
        <w:pStyle w:val="NoSpacing"/>
        <w:jc w:val="center"/>
        <w:rPr>
          <w:b/>
        </w:rPr>
      </w:pPr>
    </w:p>
    <w:p w14:paraId="1C7E89BA" w14:textId="77777777" w:rsidR="00FF5F9C" w:rsidRPr="00D36EE4" w:rsidRDefault="00FF5F9C" w:rsidP="00BA77CD">
      <w:pPr>
        <w:pStyle w:val="NoSpacing"/>
        <w:jc w:val="center"/>
        <w:rPr>
          <w:b/>
        </w:rPr>
      </w:pPr>
    </w:p>
    <w:p w14:paraId="3D76750B" w14:textId="77777777" w:rsidR="00FF5F9C" w:rsidRPr="00D36EE4" w:rsidRDefault="00FF5F9C" w:rsidP="00BA77CD">
      <w:pPr>
        <w:pStyle w:val="NoSpacing"/>
        <w:jc w:val="center"/>
        <w:rPr>
          <w:b/>
        </w:rPr>
      </w:pPr>
    </w:p>
    <w:p w14:paraId="047503FC" w14:textId="77777777" w:rsidR="00B53BDE" w:rsidRPr="00D36EE4" w:rsidRDefault="00B53BDE" w:rsidP="00BA77CD">
      <w:pPr>
        <w:pStyle w:val="NoSpacing"/>
        <w:jc w:val="center"/>
        <w:rPr>
          <w:b/>
        </w:rPr>
      </w:pPr>
    </w:p>
    <w:p w14:paraId="18269DFC" w14:textId="77777777" w:rsidR="00B53BDE" w:rsidRPr="00D36EE4" w:rsidRDefault="00B53BDE" w:rsidP="00BA77CD">
      <w:pPr>
        <w:pStyle w:val="NoSpacing"/>
        <w:jc w:val="center"/>
        <w:rPr>
          <w:b/>
        </w:rPr>
      </w:pPr>
    </w:p>
    <w:p w14:paraId="1C87924F" w14:textId="77777777" w:rsidR="00B53BDE" w:rsidRPr="00D36EE4" w:rsidRDefault="00B53BDE" w:rsidP="00BA77CD">
      <w:pPr>
        <w:pStyle w:val="NoSpacing"/>
        <w:jc w:val="center"/>
        <w:rPr>
          <w:sz w:val="24"/>
        </w:rPr>
      </w:pPr>
      <w:r w:rsidRPr="00D36EE4">
        <w:rPr>
          <w:b/>
          <w:sz w:val="24"/>
        </w:rPr>
        <w:t>Submitted To</w:t>
      </w:r>
    </w:p>
    <w:p w14:paraId="1804984C" w14:textId="77777777" w:rsidR="00B53BDE" w:rsidRPr="00D36EE4" w:rsidRDefault="00B53BDE" w:rsidP="00BA77CD">
      <w:pPr>
        <w:pStyle w:val="NoSpacing"/>
        <w:jc w:val="center"/>
        <w:rPr>
          <w:sz w:val="24"/>
        </w:rPr>
      </w:pPr>
      <w:r w:rsidRPr="00D36EE4">
        <w:rPr>
          <w:sz w:val="24"/>
        </w:rPr>
        <w:t>Office of Management and Budget</w:t>
      </w:r>
    </w:p>
    <w:p w14:paraId="03536CE9" w14:textId="77777777" w:rsidR="00B53BDE" w:rsidRPr="00D36EE4" w:rsidRDefault="00B53BDE" w:rsidP="00BA77CD">
      <w:pPr>
        <w:pStyle w:val="NoSpacing"/>
        <w:jc w:val="center"/>
        <w:rPr>
          <w:sz w:val="24"/>
        </w:rPr>
      </w:pPr>
      <w:r w:rsidRPr="00D36EE4">
        <w:rPr>
          <w:sz w:val="24"/>
        </w:rPr>
        <w:t>Office of Information and Regulatory Affairs</w:t>
      </w:r>
    </w:p>
    <w:p w14:paraId="3285DD32" w14:textId="77777777" w:rsidR="00B53BDE" w:rsidRPr="00D36EE4" w:rsidRDefault="00B53BDE" w:rsidP="00BA77CD">
      <w:pPr>
        <w:pStyle w:val="NoSpacing"/>
        <w:jc w:val="center"/>
        <w:rPr>
          <w:sz w:val="24"/>
        </w:rPr>
      </w:pPr>
    </w:p>
    <w:p w14:paraId="548383A2" w14:textId="77777777" w:rsidR="00FF5F9C" w:rsidRPr="00D36EE4" w:rsidRDefault="00FF5F9C" w:rsidP="00BA77CD">
      <w:pPr>
        <w:pStyle w:val="NoSpacing"/>
        <w:jc w:val="center"/>
        <w:rPr>
          <w:sz w:val="24"/>
        </w:rPr>
      </w:pPr>
    </w:p>
    <w:p w14:paraId="545DBEBC" w14:textId="77777777" w:rsidR="00FF5F9C" w:rsidRPr="00D36EE4" w:rsidRDefault="00FF5F9C" w:rsidP="00BA77CD">
      <w:pPr>
        <w:pStyle w:val="NoSpacing"/>
        <w:jc w:val="center"/>
        <w:rPr>
          <w:sz w:val="24"/>
        </w:rPr>
      </w:pPr>
    </w:p>
    <w:p w14:paraId="2B6B06D1" w14:textId="77777777" w:rsidR="00FF5F9C" w:rsidRPr="00D36EE4" w:rsidRDefault="00FF5F9C" w:rsidP="00BA77CD">
      <w:pPr>
        <w:pStyle w:val="NoSpacing"/>
        <w:jc w:val="center"/>
        <w:rPr>
          <w:sz w:val="24"/>
        </w:rPr>
      </w:pPr>
    </w:p>
    <w:p w14:paraId="43F15592" w14:textId="77777777" w:rsidR="00FF5F9C" w:rsidRPr="00D36EE4" w:rsidRDefault="00FF5F9C" w:rsidP="00BA77CD">
      <w:pPr>
        <w:pStyle w:val="NoSpacing"/>
        <w:jc w:val="center"/>
        <w:rPr>
          <w:sz w:val="24"/>
        </w:rPr>
      </w:pPr>
    </w:p>
    <w:p w14:paraId="1C6C8D1F" w14:textId="77777777" w:rsidR="00B53BDE" w:rsidRPr="00D36EE4" w:rsidRDefault="00B53BDE" w:rsidP="00BA77CD">
      <w:pPr>
        <w:pStyle w:val="NoSpacing"/>
        <w:jc w:val="center"/>
        <w:rPr>
          <w:sz w:val="24"/>
        </w:rPr>
      </w:pPr>
      <w:r w:rsidRPr="00D36EE4">
        <w:rPr>
          <w:b/>
          <w:sz w:val="24"/>
        </w:rPr>
        <w:t>Submitted By</w:t>
      </w:r>
    </w:p>
    <w:p w14:paraId="0B6E91E4" w14:textId="77777777" w:rsidR="00B53BDE" w:rsidRPr="00D36EE4" w:rsidRDefault="00B53BDE" w:rsidP="00BA77CD">
      <w:pPr>
        <w:pStyle w:val="NoSpacing"/>
        <w:jc w:val="center"/>
        <w:rPr>
          <w:sz w:val="24"/>
        </w:rPr>
      </w:pPr>
      <w:r w:rsidRPr="00D36EE4">
        <w:rPr>
          <w:sz w:val="24"/>
        </w:rPr>
        <w:t>Department of Health and Human Services</w:t>
      </w:r>
    </w:p>
    <w:p w14:paraId="2BDF9113" w14:textId="77777777" w:rsidR="00B53BDE" w:rsidRPr="00D36EE4" w:rsidRDefault="00B53BDE" w:rsidP="00BA77CD">
      <w:pPr>
        <w:pStyle w:val="NoSpacing"/>
        <w:jc w:val="center"/>
        <w:rPr>
          <w:sz w:val="24"/>
        </w:rPr>
      </w:pPr>
      <w:r w:rsidRPr="00D36EE4">
        <w:rPr>
          <w:sz w:val="24"/>
        </w:rPr>
        <w:t>Office of the Assistant Secretary for Health</w:t>
      </w:r>
    </w:p>
    <w:p w14:paraId="3ACD570D" w14:textId="77777777" w:rsidR="00B53BDE" w:rsidRPr="00D36EE4" w:rsidRDefault="00B53BDE" w:rsidP="00BA77CD">
      <w:pPr>
        <w:pStyle w:val="NoSpacing"/>
        <w:jc w:val="center"/>
        <w:rPr>
          <w:sz w:val="24"/>
        </w:rPr>
      </w:pPr>
      <w:r w:rsidRPr="00D36EE4">
        <w:rPr>
          <w:sz w:val="24"/>
        </w:rPr>
        <w:t>Office of Population Affairs</w:t>
      </w:r>
    </w:p>
    <w:p w14:paraId="72915CB2" w14:textId="77777777" w:rsidR="00B53BDE" w:rsidRPr="00D36EE4" w:rsidRDefault="00B53BDE" w:rsidP="00BA77CD">
      <w:pPr>
        <w:pStyle w:val="NoSpacing"/>
        <w:jc w:val="center"/>
        <w:rPr>
          <w:sz w:val="24"/>
        </w:rPr>
      </w:pPr>
    </w:p>
    <w:p w14:paraId="4D9E03BC" w14:textId="77777777" w:rsidR="00B53BDE" w:rsidRPr="00D36EE4" w:rsidRDefault="00B53BDE" w:rsidP="00BA77CD">
      <w:pPr>
        <w:pStyle w:val="NoSpacing"/>
        <w:jc w:val="center"/>
        <w:rPr>
          <w:sz w:val="24"/>
        </w:rPr>
      </w:pPr>
    </w:p>
    <w:p w14:paraId="420232DE" w14:textId="77777777" w:rsidR="00B53BDE" w:rsidRPr="00D36EE4" w:rsidRDefault="00B53BDE" w:rsidP="00BA77CD">
      <w:pPr>
        <w:pStyle w:val="NoSpacing"/>
        <w:jc w:val="center"/>
        <w:rPr>
          <w:sz w:val="24"/>
        </w:rPr>
      </w:pPr>
    </w:p>
    <w:p w14:paraId="696633E1" w14:textId="77777777" w:rsidR="00FF5F9C" w:rsidRPr="00D36EE4" w:rsidRDefault="00FF5F9C" w:rsidP="00BA77CD">
      <w:pPr>
        <w:pStyle w:val="NoSpacing"/>
        <w:jc w:val="center"/>
        <w:rPr>
          <w:sz w:val="24"/>
        </w:rPr>
      </w:pPr>
    </w:p>
    <w:p w14:paraId="10E138A6" w14:textId="77777777" w:rsidR="00FF5F9C" w:rsidRPr="00D36EE4" w:rsidRDefault="00FF5F9C" w:rsidP="00BA77CD">
      <w:pPr>
        <w:pStyle w:val="NoSpacing"/>
        <w:jc w:val="center"/>
        <w:rPr>
          <w:sz w:val="24"/>
        </w:rPr>
      </w:pPr>
    </w:p>
    <w:p w14:paraId="2B470016" w14:textId="77777777" w:rsidR="00FF5F9C" w:rsidRPr="00D36EE4" w:rsidRDefault="00FF5F9C" w:rsidP="00BA77CD">
      <w:pPr>
        <w:pStyle w:val="NoSpacing"/>
        <w:jc w:val="center"/>
        <w:rPr>
          <w:sz w:val="24"/>
        </w:rPr>
      </w:pPr>
    </w:p>
    <w:p w14:paraId="5DDB2647" w14:textId="77777777" w:rsidR="00FF5F9C" w:rsidRPr="00D36EE4" w:rsidRDefault="00FF5F9C" w:rsidP="00BA77CD">
      <w:pPr>
        <w:pStyle w:val="NoSpacing"/>
        <w:jc w:val="center"/>
        <w:rPr>
          <w:sz w:val="24"/>
        </w:rPr>
      </w:pPr>
    </w:p>
    <w:p w14:paraId="3B586D47" w14:textId="77777777" w:rsidR="00B53BDE" w:rsidRPr="00D36EE4" w:rsidRDefault="00B53BDE" w:rsidP="00BA77CD">
      <w:pPr>
        <w:pStyle w:val="NoSpacing"/>
        <w:jc w:val="center"/>
        <w:rPr>
          <w:sz w:val="24"/>
        </w:rPr>
      </w:pPr>
    </w:p>
    <w:p w14:paraId="4A64FD75" w14:textId="77777777" w:rsidR="00FF5F9C" w:rsidRPr="00D36EE4" w:rsidRDefault="000F0EE0" w:rsidP="00BA77CD">
      <w:pPr>
        <w:pStyle w:val="NoSpacing"/>
        <w:jc w:val="center"/>
        <w:rPr>
          <w:sz w:val="24"/>
        </w:rPr>
      </w:pPr>
      <w:r>
        <w:rPr>
          <w:sz w:val="24"/>
        </w:rPr>
        <w:t>May 20, 2015</w:t>
      </w:r>
    </w:p>
    <w:p w14:paraId="1F5C41FB" w14:textId="77777777" w:rsidR="00B53BDE" w:rsidRPr="00D36EE4" w:rsidRDefault="00FF5F9C" w:rsidP="00FD3A33">
      <w:r w:rsidRPr="00D36EE4">
        <w:rPr>
          <w:sz w:val="24"/>
        </w:rPr>
        <w:br w:type="page"/>
      </w:r>
      <w:bookmarkStart w:id="0" w:name="_Toc401127368"/>
      <w:r w:rsidRPr="00D36EE4">
        <w:lastRenderedPageBreak/>
        <w:t>Table of Contents</w:t>
      </w:r>
      <w:bookmarkEnd w:id="0"/>
    </w:p>
    <w:sdt>
      <w:sdtPr>
        <w:rPr>
          <w:rFonts w:asciiTheme="minorHAnsi" w:eastAsiaTheme="minorHAnsi" w:hAnsiTheme="minorHAnsi" w:cstheme="minorBidi"/>
          <w:b w:val="0"/>
          <w:bCs w:val="0"/>
          <w:color w:val="auto"/>
          <w:sz w:val="22"/>
          <w:szCs w:val="22"/>
          <w:lang w:eastAsia="en-US"/>
        </w:rPr>
        <w:id w:val="-876390569"/>
        <w:docPartObj>
          <w:docPartGallery w:val="Table of Contents"/>
          <w:docPartUnique/>
        </w:docPartObj>
      </w:sdtPr>
      <w:sdtEndPr>
        <w:rPr>
          <w:noProof/>
        </w:rPr>
      </w:sdtEndPr>
      <w:sdtContent>
        <w:p w14:paraId="315BF0CF" w14:textId="77777777" w:rsidR="00797619" w:rsidRDefault="00797619">
          <w:pPr>
            <w:pStyle w:val="TOCHeading"/>
          </w:pPr>
          <w:r>
            <w:t>Contents</w:t>
          </w:r>
        </w:p>
        <w:p w14:paraId="2F31F8A3" w14:textId="77777777" w:rsidR="00797619" w:rsidRDefault="00797619">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01127368" w:history="1">
            <w:r w:rsidRPr="00881D54">
              <w:rPr>
                <w:rStyle w:val="Hyperlink"/>
                <w:noProof/>
              </w:rPr>
              <w:t>Table of Contents</w:t>
            </w:r>
            <w:r>
              <w:rPr>
                <w:noProof/>
                <w:webHidden/>
              </w:rPr>
              <w:tab/>
            </w:r>
            <w:r>
              <w:rPr>
                <w:noProof/>
                <w:webHidden/>
              </w:rPr>
              <w:fldChar w:fldCharType="begin"/>
            </w:r>
            <w:r>
              <w:rPr>
                <w:noProof/>
                <w:webHidden/>
              </w:rPr>
              <w:instrText xml:space="preserve"> PAGEREF _Toc401127368 \h </w:instrText>
            </w:r>
            <w:r>
              <w:rPr>
                <w:noProof/>
                <w:webHidden/>
              </w:rPr>
            </w:r>
            <w:r>
              <w:rPr>
                <w:noProof/>
                <w:webHidden/>
              </w:rPr>
              <w:fldChar w:fldCharType="separate"/>
            </w:r>
            <w:r w:rsidR="00844452">
              <w:rPr>
                <w:noProof/>
                <w:webHidden/>
              </w:rPr>
              <w:t>2</w:t>
            </w:r>
            <w:r>
              <w:rPr>
                <w:noProof/>
                <w:webHidden/>
              </w:rPr>
              <w:fldChar w:fldCharType="end"/>
            </w:r>
          </w:hyperlink>
        </w:p>
        <w:p w14:paraId="2B1C4AFA" w14:textId="77777777" w:rsidR="00797619" w:rsidRDefault="00337A54">
          <w:pPr>
            <w:pStyle w:val="TOC2"/>
            <w:tabs>
              <w:tab w:val="left" w:pos="660"/>
              <w:tab w:val="right" w:leader="dot" w:pos="9350"/>
            </w:tabs>
            <w:rPr>
              <w:noProof/>
            </w:rPr>
          </w:pPr>
          <w:hyperlink w:anchor="_Toc401127369" w:history="1">
            <w:r w:rsidR="00797619" w:rsidRPr="00881D54">
              <w:rPr>
                <w:rStyle w:val="Hyperlink"/>
                <w:noProof/>
              </w:rPr>
              <w:t>A.</w:t>
            </w:r>
            <w:r w:rsidR="00797619">
              <w:rPr>
                <w:noProof/>
              </w:rPr>
              <w:tab/>
            </w:r>
            <w:r w:rsidR="00797619" w:rsidRPr="00881D54">
              <w:rPr>
                <w:rStyle w:val="Hyperlink"/>
                <w:noProof/>
              </w:rPr>
              <w:t>Justification</w:t>
            </w:r>
            <w:r w:rsidR="00797619">
              <w:rPr>
                <w:noProof/>
                <w:webHidden/>
              </w:rPr>
              <w:tab/>
            </w:r>
            <w:r w:rsidR="00797619">
              <w:rPr>
                <w:noProof/>
                <w:webHidden/>
              </w:rPr>
              <w:fldChar w:fldCharType="begin"/>
            </w:r>
            <w:r w:rsidR="00797619">
              <w:rPr>
                <w:noProof/>
                <w:webHidden/>
              </w:rPr>
              <w:instrText xml:space="preserve"> PAGEREF _Toc401127369 \h </w:instrText>
            </w:r>
            <w:r w:rsidR="00797619">
              <w:rPr>
                <w:noProof/>
                <w:webHidden/>
              </w:rPr>
            </w:r>
            <w:r w:rsidR="00797619">
              <w:rPr>
                <w:noProof/>
                <w:webHidden/>
              </w:rPr>
              <w:fldChar w:fldCharType="separate"/>
            </w:r>
            <w:r w:rsidR="00844452">
              <w:rPr>
                <w:noProof/>
                <w:webHidden/>
              </w:rPr>
              <w:t>3</w:t>
            </w:r>
            <w:r w:rsidR="00797619">
              <w:rPr>
                <w:noProof/>
                <w:webHidden/>
              </w:rPr>
              <w:fldChar w:fldCharType="end"/>
            </w:r>
          </w:hyperlink>
        </w:p>
        <w:p w14:paraId="7775106A" w14:textId="77777777" w:rsidR="00797619" w:rsidRDefault="00337A54">
          <w:pPr>
            <w:pStyle w:val="TOC3"/>
            <w:tabs>
              <w:tab w:val="left" w:pos="880"/>
              <w:tab w:val="right" w:leader="dot" w:pos="9350"/>
            </w:tabs>
            <w:rPr>
              <w:noProof/>
            </w:rPr>
          </w:pPr>
          <w:hyperlink w:anchor="_Toc401127370" w:history="1">
            <w:r w:rsidR="00797619" w:rsidRPr="00881D54">
              <w:rPr>
                <w:rStyle w:val="Hyperlink"/>
                <w:noProof/>
              </w:rPr>
              <w:t>1.</w:t>
            </w:r>
            <w:r w:rsidR="00797619">
              <w:rPr>
                <w:noProof/>
              </w:rPr>
              <w:tab/>
            </w:r>
            <w:r w:rsidR="00797619" w:rsidRPr="00881D54">
              <w:rPr>
                <w:rStyle w:val="Hyperlink"/>
                <w:noProof/>
              </w:rPr>
              <w:t>Circumstances Making the Collection of Information Necessary</w:t>
            </w:r>
            <w:r w:rsidR="00797619">
              <w:rPr>
                <w:noProof/>
                <w:webHidden/>
              </w:rPr>
              <w:tab/>
            </w:r>
            <w:r w:rsidR="00797619">
              <w:rPr>
                <w:noProof/>
                <w:webHidden/>
              </w:rPr>
              <w:fldChar w:fldCharType="begin"/>
            </w:r>
            <w:r w:rsidR="00797619">
              <w:rPr>
                <w:noProof/>
                <w:webHidden/>
              </w:rPr>
              <w:instrText xml:space="preserve"> PAGEREF _Toc401127370 \h </w:instrText>
            </w:r>
            <w:r w:rsidR="00797619">
              <w:rPr>
                <w:noProof/>
                <w:webHidden/>
              </w:rPr>
            </w:r>
            <w:r w:rsidR="00797619">
              <w:rPr>
                <w:noProof/>
                <w:webHidden/>
              </w:rPr>
              <w:fldChar w:fldCharType="separate"/>
            </w:r>
            <w:r w:rsidR="00844452">
              <w:rPr>
                <w:noProof/>
                <w:webHidden/>
              </w:rPr>
              <w:t>5</w:t>
            </w:r>
            <w:r w:rsidR="00797619">
              <w:rPr>
                <w:noProof/>
                <w:webHidden/>
              </w:rPr>
              <w:fldChar w:fldCharType="end"/>
            </w:r>
          </w:hyperlink>
        </w:p>
        <w:p w14:paraId="6103AA2B" w14:textId="77777777" w:rsidR="00797619" w:rsidRDefault="00337A54">
          <w:pPr>
            <w:pStyle w:val="TOC3"/>
            <w:tabs>
              <w:tab w:val="left" w:pos="880"/>
              <w:tab w:val="right" w:leader="dot" w:pos="9350"/>
            </w:tabs>
            <w:rPr>
              <w:noProof/>
            </w:rPr>
          </w:pPr>
          <w:hyperlink w:anchor="_Toc401127371" w:history="1">
            <w:r w:rsidR="00797619" w:rsidRPr="00881D54">
              <w:rPr>
                <w:rStyle w:val="Hyperlink"/>
                <w:noProof/>
              </w:rPr>
              <w:t>2.</w:t>
            </w:r>
            <w:r w:rsidR="00797619">
              <w:rPr>
                <w:noProof/>
              </w:rPr>
              <w:tab/>
            </w:r>
            <w:r w:rsidR="00797619" w:rsidRPr="00881D54">
              <w:rPr>
                <w:rStyle w:val="Hyperlink"/>
                <w:noProof/>
              </w:rPr>
              <w:t>Purpose and Use of Information Collection</w:t>
            </w:r>
            <w:r w:rsidR="00797619">
              <w:rPr>
                <w:noProof/>
                <w:webHidden/>
              </w:rPr>
              <w:tab/>
            </w:r>
            <w:r w:rsidR="00797619">
              <w:rPr>
                <w:noProof/>
                <w:webHidden/>
              </w:rPr>
              <w:fldChar w:fldCharType="begin"/>
            </w:r>
            <w:r w:rsidR="00797619">
              <w:rPr>
                <w:noProof/>
                <w:webHidden/>
              </w:rPr>
              <w:instrText xml:space="preserve"> PAGEREF _Toc401127371 \h </w:instrText>
            </w:r>
            <w:r w:rsidR="00797619">
              <w:rPr>
                <w:noProof/>
                <w:webHidden/>
              </w:rPr>
            </w:r>
            <w:r w:rsidR="00797619">
              <w:rPr>
                <w:noProof/>
                <w:webHidden/>
              </w:rPr>
              <w:fldChar w:fldCharType="separate"/>
            </w:r>
            <w:r w:rsidR="00844452">
              <w:rPr>
                <w:noProof/>
                <w:webHidden/>
              </w:rPr>
              <w:t>6</w:t>
            </w:r>
            <w:r w:rsidR="00797619">
              <w:rPr>
                <w:noProof/>
                <w:webHidden/>
              </w:rPr>
              <w:fldChar w:fldCharType="end"/>
            </w:r>
          </w:hyperlink>
        </w:p>
        <w:p w14:paraId="64A4109B" w14:textId="77777777" w:rsidR="00797619" w:rsidRDefault="00337A54">
          <w:pPr>
            <w:pStyle w:val="TOC3"/>
            <w:tabs>
              <w:tab w:val="left" w:pos="880"/>
              <w:tab w:val="right" w:leader="dot" w:pos="9350"/>
            </w:tabs>
            <w:rPr>
              <w:noProof/>
            </w:rPr>
          </w:pPr>
          <w:hyperlink w:anchor="_Toc401127372" w:history="1">
            <w:r w:rsidR="00797619" w:rsidRPr="00881D54">
              <w:rPr>
                <w:rStyle w:val="Hyperlink"/>
                <w:noProof/>
              </w:rPr>
              <w:t>3.</w:t>
            </w:r>
            <w:r w:rsidR="00797619">
              <w:rPr>
                <w:noProof/>
              </w:rPr>
              <w:tab/>
            </w:r>
            <w:r w:rsidR="00797619" w:rsidRPr="00881D54">
              <w:rPr>
                <w:rStyle w:val="Hyperlink"/>
                <w:noProof/>
              </w:rPr>
              <w:t>Use of Improved Information Technology and Burden Reduction</w:t>
            </w:r>
            <w:r w:rsidR="00797619">
              <w:rPr>
                <w:noProof/>
                <w:webHidden/>
              </w:rPr>
              <w:tab/>
            </w:r>
            <w:r w:rsidR="00797619">
              <w:rPr>
                <w:noProof/>
                <w:webHidden/>
              </w:rPr>
              <w:fldChar w:fldCharType="begin"/>
            </w:r>
            <w:r w:rsidR="00797619">
              <w:rPr>
                <w:noProof/>
                <w:webHidden/>
              </w:rPr>
              <w:instrText xml:space="preserve"> PAGEREF _Toc401127372 \h </w:instrText>
            </w:r>
            <w:r w:rsidR="00797619">
              <w:rPr>
                <w:noProof/>
                <w:webHidden/>
              </w:rPr>
            </w:r>
            <w:r w:rsidR="00797619">
              <w:rPr>
                <w:noProof/>
                <w:webHidden/>
              </w:rPr>
              <w:fldChar w:fldCharType="separate"/>
            </w:r>
            <w:r w:rsidR="00844452">
              <w:rPr>
                <w:noProof/>
                <w:webHidden/>
              </w:rPr>
              <w:t>7</w:t>
            </w:r>
            <w:r w:rsidR="00797619">
              <w:rPr>
                <w:noProof/>
                <w:webHidden/>
              </w:rPr>
              <w:fldChar w:fldCharType="end"/>
            </w:r>
          </w:hyperlink>
        </w:p>
        <w:p w14:paraId="051DF41C" w14:textId="77777777" w:rsidR="00797619" w:rsidRDefault="00337A54">
          <w:pPr>
            <w:pStyle w:val="TOC3"/>
            <w:tabs>
              <w:tab w:val="left" w:pos="880"/>
              <w:tab w:val="right" w:leader="dot" w:pos="9350"/>
            </w:tabs>
            <w:rPr>
              <w:noProof/>
            </w:rPr>
          </w:pPr>
          <w:hyperlink w:anchor="_Toc401127373" w:history="1">
            <w:r w:rsidR="00797619" w:rsidRPr="00881D54">
              <w:rPr>
                <w:rStyle w:val="Hyperlink"/>
                <w:noProof/>
              </w:rPr>
              <w:t>4.</w:t>
            </w:r>
            <w:r w:rsidR="00797619">
              <w:rPr>
                <w:noProof/>
              </w:rPr>
              <w:tab/>
            </w:r>
            <w:r w:rsidR="00797619" w:rsidRPr="00881D54">
              <w:rPr>
                <w:rStyle w:val="Hyperlink"/>
                <w:noProof/>
              </w:rPr>
              <w:t>Efforts to Identify Duplication and Use of Similar Information</w:t>
            </w:r>
            <w:r w:rsidR="00797619">
              <w:rPr>
                <w:noProof/>
                <w:webHidden/>
              </w:rPr>
              <w:tab/>
            </w:r>
            <w:r w:rsidR="00797619">
              <w:rPr>
                <w:noProof/>
                <w:webHidden/>
              </w:rPr>
              <w:fldChar w:fldCharType="begin"/>
            </w:r>
            <w:r w:rsidR="00797619">
              <w:rPr>
                <w:noProof/>
                <w:webHidden/>
              </w:rPr>
              <w:instrText xml:space="preserve"> PAGEREF _Toc401127373 \h </w:instrText>
            </w:r>
            <w:r w:rsidR="00797619">
              <w:rPr>
                <w:noProof/>
                <w:webHidden/>
              </w:rPr>
            </w:r>
            <w:r w:rsidR="00797619">
              <w:rPr>
                <w:noProof/>
                <w:webHidden/>
              </w:rPr>
              <w:fldChar w:fldCharType="separate"/>
            </w:r>
            <w:r w:rsidR="00844452">
              <w:rPr>
                <w:noProof/>
                <w:webHidden/>
              </w:rPr>
              <w:t>7</w:t>
            </w:r>
            <w:r w:rsidR="00797619">
              <w:rPr>
                <w:noProof/>
                <w:webHidden/>
              </w:rPr>
              <w:fldChar w:fldCharType="end"/>
            </w:r>
          </w:hyperlink>
        </w:p>
        <w:p w14:paraId="692A9BEE" w14:textId="77777777" w:rsidR="00797619" w:rsidRDefault="00337A54">
          <w:pPr>
            <w:pStyle w:val="TOC3"/>
            <w:tabs>
              <w:tab w:val="left" w:pos="880"/>
              <w:tab w:val="right" w:leader="dot" w:pos="9350"/>
            </w:tabs>
            <w:rPr>
              <w:noProof/>
            </w:rPr>
          </w:pPr>
          <w:hyperlink w:anchor="_Toc401127374" w:history="1">
            <w:r w:rsidR="00797619" w:rsidRPr="00881D54">
              <w:rPr>
                <w:rStyle w:val="Hyperlink"/>
                <w:noProof/>
              </w:rPr>
              <w:t>5.</w:t>
            </w:r>
            <w:r w:rsidR="00797619">
              <w:rPr>
                <w:noProof/>
              </w:rPr>
              <w:tab/>
            </w:r>
            <w:r w:rsidR="00797619" w:rsidRPr="00881D54">
              <w:rPr>
                <w:rStyle w:val="Hyperlink"/>
                <w:noProof/>
              </w:rPr>
              <w:t>Impact on Small Businesses or Other Small Entities</w:t>
            </w:r>
            <w:r w:rsidR="00797619">
              <w:rPr>
                <w:noProof/>
                <w:webHidden/>
              </w:rPr>
              <w:tab/>
            </w:r>
            <w:r w:rsidR="00797619">
              <w:rPr>
                <w:noProof/>
                <w:webHidden/>
              </w:rPr>
              <w:fldChar w:fldCharType="begin"/>
            </w:r>
            <w:r w:rsidR="00797619">
              <w:rPr>
                <w:noProof/>
                <w:webHidden/>
              </w:rPr>
              <w:instrText xml:space="preserve"> PAGEREF _Toc401127374 \h </w:instrText>
            </w:r>
            <w:r w:rsidR="00797619">
              <w:rPr>
                <w:noProof/>
                <w:webHidden/>
              </w:rPr>
            </w:r>
            <w:r w:rsidR="00797619">
              <w:rPr>
                <w:noProof/>
                <w:webHidden/>
              </w:rPr>
              <w:fldChar w:fldCharType="separate"/>
            </w:r>
            <w:r w:rsidR="00844452">
              <w:rPr>
                <w:noProof/>
                <w:webHidden/>
              </w:rPr>
              <w:t>7</w:t>
            </w:r>
            <w:r w:rsidR="00797619">
              <w:rPr>
                <w:noProof/>
                <w:webHidden/>
              </w:rPr>
              <w:fldChar w:fldCharType="end"/>
            </w:r>
          </w:hyperlink>
        </w:p>
        <w:p w14:paraId="22ACD76C" w14:textId="77777777" w:rsidR="00797619" w:rsidRDefault="00337A54">
          <w:pPr>
            <w:pStyle w:val="TOC3"/>
            <w:tabs>
              <w:tab w:val="left" w:pos="880"/>
              <w:tab w:val="right" w:leader="dot" w:pos="9350"/>
            </w:tabs>
            <w:rPr>
              <w:noProof/>
            </w:rPr>
          </w:pPr>
          <w:hyperlink w:anchor="_Toc401127375" w:history="1">
            <w:r w:rsidR="00797619" w:rsidRPr="00881D54">
              <w:rPr>
                <w:rStyle w:val="Hyperlink"/>
                <w:noProof/>
              </w:rPr>
              <w:t>6.</w:t>
            </w:r>
            <w:r w:rsidR="00797619">
              <w:rPr>
                <w:noProof/>
              </w:rPr>
              <w:tab/>
            </w:r>
            <w:r w:rsidR="00797619" w:rsidRPr="00881D54">
              <w:rPr>
                <w:rStyle w:val="Hyperlink"/>
                <w:noProof/>
              </w:rPr>
              <w:t>Consequences of Collecting the Information Less Frequent Collection</w:t>
            </w:r>
            <w:r w:rsidR="00797619">
              <w:rPr>
                <w:noProof/>
                <w:webHidden/>
              </w:rPr>
              <w:tab/>
            </w:r>
            <w:r w:rsidR="00797619">
              <w:rPr>
                <w:noProof/>
                <w:webHidden/>
              </w:rPr>
              <w:fldChar w:fldCharType="begin"/>
            </w:r>
            <w:r w:rsidR="00797619">
              <w:rPr>
                <w:noProof/>
                <w:webHidden/>
              </w:rPr>
              <w:instrText xml:space="preserve"> PAGEREF _Toc401127375 \h </w:instrText>
            </w:r>
            <w:r w:rsidR="00797619">
              <w:rPr>
                <w:noProof/>
                <w:webHidden/>
              </w:rPr>
            </w:r>
            <w:r w:rsidR="00797619">
              <w:rPr>
                <w:noProof/>
                <w:webHidden/>
              </w:rPr>
              <w:fldChar w:fldCharType="separate"/>
            </w:r>
            <w:r w:rsidR="00844452">
              <w:rPr>
                <w:noProof/>
                <w:webHidden/>
              </w:rPr>
              <w:t>7</w:t>
            </w:r>
            <w:r w:rsidR="00797619">
              <w:rPr>
                <w:noProof/>
                <w:webHidden/>
              </w:rPr>
              <w:fldChar w:fldCharType="end"/>
            </w:r>
          </w:hyperlink>
        </w:p>
        <w:p w14:paraId="5BD11B88" w14:textId="77777777" w:rsidR="00797619" w:rsidRDefault="00337A54">
          <w:pPr>
            <w:pStyle w:val="TOC3"/>
            <w:tabs>
              <w:tab w:val="left" w:pos="880"/>
              <w:tab w:val="right" w:leader="dot" w:pos="9350"/>
            </w:tabs>
            <w:rPr>
              <w:noProof/>
            </w:rPr>
          </w:pPr>
          <w:hyperlink w:anchor="_Toc401127376" w:history="1">
            <w:r w:rsidR="00797619" w:rsidRPr="00881D54">
              <w:rPr>
                <w:rStyle w:val="Hyperlink"/>
                <w:noProof/>
              </w:rPr>
              <w:t>7.</w:t>
            </w:r>
            <w:r w:rsidR="00797619">
              <w:rPr>
                <w:noProof/>
              </w:rPr>
              <w:tab/>
            </w:r>
            <w:r w:rsidR="00797619" w:rsidRPr="00881D54">
              <w:rPr>
                <w:rStyle w:val="Hyperlink"/>
                <w:noProof/>
              </w:rPr>
              <w:t>Special Circumstances Relating to the Guidelines of 5 CFR 1320.5</w:t>
            </w:r>
            <w:r w:rsidR="00797619">
              <w:rPr>
                <w:noProof/>
                <w:webHidden/>
              </w:rPr>
              <w:tab/>
            </w:r>
            <w:r w:rsidR="00797619">
              <w:rPr>
                <w:noProof/>
                <w:webHidden/>
              </w:rPr>
              <w:fldChar w:fldCharType="begin"/>
            </w:r>
            <w:r w:rsidR="00797619">
              <w:rPr>
                <w:noProof/>
                <w:webHidden/>
              </w:rPr>
              <w:instrText xml:space="preserve"> PAGEREF _Toc401127376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001A0D52" w14:textId="77777777" w:rsidR="00797619" w:rsidRDefault="00337A54">
          <w:pPr>
            <w:pStyle w:val="TOC3"/>
            <w:tabs>
              <w:tab w:val="left" w:pos="880"/>
              <w:tab w:val="right" w:leader="dot" w:pos="9350"/>
            </w:tabs>
            <w:rPr>
              <w:noProof/>
            </w:rPr>
          </w:pPr>
          <w:hyperlink w:anchor="_Toc401127377" w:history="1">
            <w:r w:rsidR="00797619" w:rsidRPr="00881D54">
              <w:rPr>
                <w:rStyle w:val="Hyperlink"/>
                <w:noProof/>
              </w:rPr>
              <w:t>8.</w:t>
            </w:r>
            <w:r w:rsidR="00797619">
              <w:rPr>
                <w:noProof/>
              </w:rPr>
              <w:tab/>
            </w:r>
            <w:r w:rsidR="00797619" w:rsidRPr="00881D54">
              <w:rPr>
                <w:rStyle w:val="Hyperlink"/>
                <w:noProof/>
              </w:rPr>
              <w:t>Comments in Response to the Federal Register Notice/Outside Consultation</w:t>
            </w:r>
            <w:r w:rsidR="00797619">
              <w:rPr>
                <w:noProof/>
                <w:webHidden/>
              </w:rPr>
              <w:tab/>
            </w:r>
            <w:r w:rsidR="00797619">
              <w:rPr>
                <w:noProof/>
                <w:webHidden/>
              </w:rPr>
              <w:fldChar w:fldCharType="begin"/>
            </w:r>
            <w:r w:rsidR="00797619">
              <w:rPr>
                <w:noProof/>
                <w:webHidden/>
              </w:rPr>
              <w:instrText xml:space="preserve"> PAGEREF _Toc401127377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027DBF43" w14:textId="77777777" w:rsidR="00797619" w:rsidRDefault="00337A54">
          <w:pPr>
            <w:pStyle w:val="TOC3"/>
            <w:tabs>
              <w:tab w:val="left" w:pos="880"/>
              <w:tab w:val="right" w:leader="dot" w:pos="9350"/>
            </w:tabs>
            <w:rPr>
              <w:noProof/>
            </w:rPr>
          </w:pPr>
          <w:hyperlink w:anchor="_Toc401127378" w:history="1">
            <w:r w:rsidR="00797619" w:rsidRPr="00881D54">
              <w:rPr>
                <w:rStyle w:val="Hyperlink"/>
                <w:noProof/>
              </w:rPr>
              <w:t>9.</w:t>
            </w:r>
            <w:r w:rsidR="00797619">
              <w:rPr>
                <w:noProof/>
              </w:rPr>
              <w:tab/>
            </w:r>
            <w:r w:rsidR="00797619" w:rsidRPr="00881D54">
              <w:rPr>
                <w:rStyle w:val="Hyperlink"/>
                <w:noProof/>
              </w:rPr>
              <w:t>Explanation of any Payment/Gift to Respondents</w:t>
            </w:r>
            <w:r w:rsidR="00797619">
              <w:rPr>
                <w:noProof/>
                <w:webHidden/>
              </w:rPr>
              <w:tab/>
            </w:r>
            <w:r w:rsidR="00797619">
              <w:rPr>
                <w:noProof/>
                <w:webHidden/>
              </w:rPr>
              <w:fldChar w:fldCharType="begin"/>
            </w:r>
            <w:r w:rsidR="00797619">
              <w:rPr>
                <w:noProof/>
                <w:webHidden/>
              </w:rPr>
              <w:instrText xml:space="preserve"> PAGEREF _Toc401127378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2D1F10DC" w14:textId="77777777" w:rsidR="00797619" w:rsidRDefault="00337A54">
          <w:pPr>
            <w:pStyle w:val="TOC3"/>
            <w:tabs>
              <w:tab w:val="left" w:pos="1100"/>
              <w:tab w:val="right" w:leader="dot" w:pos="9350"/>
            </w:tabs>
            <w:rPr>
              <w:noProof/>
            </w:rPr>
          </w:pPr>
          <w:hyperlink w:anchor="_Toc401127379" w:history="1">
            <w:r w:rsidR="00797619" w:rsidRPr="00881D54">
              <w:rPr>
                <w:rStyle w:val="Hyperlink"/>
                <w:noProof/>
              </w:rPr>
              <w:t>10.</w:t>
            </w:r>
            <w:r w:rsidR="00797619">
              <w:rPr>
                <w:noProof/>
              </w:rPr>
              <w:tab/>
            </w:r>
            <w:r w:rsidR="00797619" w:rsidRPr="00881D54">
              <w:rPr>
                <w:rStyle w:val="Hyperlink"/>
                <w:noProof/>
              </w:rPr>
              <w:t>Assurance of Confidentiality Provided to Respondents</w:t>
            </w:r>
            <w:r w:rsidR="00797619">
              <w:rPr>
                <w:noProof/>
                <w:webHidden/>
              </w:rPr>
              <w:tab/>
            </w:r>
            <w:r w:rsidR="00797619">
              <w:rPr>
                <w:noProof/>
                <w:webHidden/>
              </w:rPr>
              <w:fldChar w:fldCharType="begin"/>
            </w:r>
            <w:r w:rsidR="00797619">
              <w:rPr>
                <w:noProof/>
                <w:webHidden/>
              </w:rPr>
              <w:instrText xml:space="preserve"> PAGEREF _Toc401127379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1BD68D85" w14:textId="77777777" w:rsidR="00797619" w:rsidRDefault="00337A54">
          <w:pPr>
            <w:pStyle w:val="TOC3"/>
            <w:tabs>
              <w:tab w:val="left" w:pos="1100"/>
              <w:tab w:val="right" w:leader="dot" w:pos="9350"/>
            </w:tabs>
            <w:rPr>
              <w:noProof/>
            </w:rPr>
          </w:pPr>
          <w:hyperlink w:anchor="_Toc401127380" w:history="1">
            <w:r w:rsidR="00797619" w:rsidRPr="00881D54">
              <w:rPr>
                <w:rStyle w:val="Hyperlink"/>
                <w:noProof/>
              </w:rPr>
              <w:t>11.</w:t>
            </w:r>
            <w:r w:rsidR="00797619">
              <w:rPr>
                <w:noProof/>
              </w:rPr>
              <w:tab/>
            </w:r>
            <w:r w:rsidR="00797619" w:rsidRPr="00881D54">
              <w:rPr>
                <w:rStyle w:val="Hyperlink"/>
                <w:noProof/>
              </w:rPr>
              <w:t>Justification for Sensitive Questions</w:t>
            </w:r>
            <w:r w:rsidR="00797619">
              <w:rPr>
                <w:noProof/>
                <w:webHidden/>
              </w:rPr>
              <w:tab/>
            </w:r>
            <w:r w:rsidR="00797619">
              <w:rPr>
                <w:noProof/>
                <w:webHidden/>
              </w:rPr>
              <w:fldChar w:fldCharType="begin"/>
            </w:r>
            <w:r w:rsidR="00797619">
              <w:rPr>
                <w:noProof/>
                <w:webHidden/>
              </w:rPr>
              <w:instrText xml:space="preserve"> PAGEREF _Toc401127380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10FFF775" w14:textId="77777777" w:rsidR="00797619" w:rsidRDefault="00337A54">
          <w:pPr>
            <w:pStyle w:val="TOC3"/>
            <w:tabs>
              <w:tab w:val="left" w:pos="1100"/>
              <w:tab w:val="right" w:leader="dot" w:pos="9350"/>
            </w:tabs>
            <w:rPr>
              <w:noProof/>
            </w:rPr>
          </w:pPr>
          <w:hyperlink w:anchor="_Toc401127381" w:history="1">
            <w:r w:rsidR="00797619" w:rsidRPr="00881D54">
              <w:rPr>
                <w:rStyle w:val="Hyperlink"/>
                <w:noProof/>
              </w:rPr>
              <w:t>12.</w:t>
            </w:r>
            <w:r w:rsidR="00797619">
              <w:rPr>
                <w:noProof/>
              </w:rPr>
              <w:tab/>
            </w:r>
            <w:r w:rsidR="00797619" w:rsidRPr="00881D54">
              <w:rPr>
                <w:rStyle w:val="Hyperlink"/>
                <w:noProof/>
              </w:rPr>
              <w:t>Estimates of Annualized Hour and Cost Burden</w:t>
            </w:r>
            <w:r w:rsidR="00797619">
              <w:rPr>
                <w:noProof/>
                <w:webHidden/>
              </w:rPr>
              <w:tab/>
            </w:r>
            <w:r w:rsidR="00797619">
              <w:rPr>
                <w:noProof/>
                <w:webHidden/>
              </w:rPr>
              <w:fldChar w:fldCharType="begin"/>
            </w:r>
            <w:r w:rsidR="00797619">
              <w:rPr>
                <w:noProof/>
                <w:webHidden/>
              </w:rPr>
              <w:instrText xml:space="preserve"> PAGEREF _Toc401127381 \h </w:instrText>
            </w:r>
            <w:r w:rsidR="00797619">
              <w:rPr>
                <w:noProof/>
                <w:webHidden/>
              </w:rPr>
            </w:r>
            <w:r w:rsidR="00797619">
              <w:rPr>
                <w:noProof/>
                <w:webHidden/>
              </w:rPr>
              <w:fldChar w:fldCharType="separate"/>
            </w:r>
            <w:r w:rsidR="00844452">
              <w:rPr>
                <w:noProof/>
                <w:webHidden/>
              </w:rPr>
              <w:t>8</w:t>
            </w:r>
            <w:r w:rsidR="00797619">
              <w:rPr>
                <w:noProof/>
                <w:webHidden/>
              </w:rPr>
              <w:fldChar w:fldCharType="end"/>
            </w:r>
          </w:hyperlink>
        </w:p>
        <w:p w14:paraId="46C4EDF3" w14:textId="77777777" w:rsidR="00797619" w:rsidRDefault="00797619">
          <w:r>
            <w:rPr>
              <w:b/>
              <w:bCs/>
              <w:noProof/>
            </w:rPr>
            <w:fldChar w:fldCharType="end"/>
          </w:r>
        </w:p>
      </w:sdtContent>
    </w:sdt>
    <w:p w14:paraId="0BE96C71" w14:textId="77777777" w:rsidR="00FF5F9C" w:rsidRPr="00D36EE4" w:rsidRDefault="00FF5F9C">
      <w:pPr>
        <w:rPr>
          <w:sz w:val="24"/>
        </w:rPr>
      </w:pPr>
      <w:r w:rsidRPr="00D36EE4">
        <w:rPr>
          <w:sz w:val="24"/>
        </w:rPr>
        <w:br w:type="page"/>
      </w:r>
    </w:p>
    <w:p w14:paraId="14F1EF17" w14:textId="77777777" w:rsidR="00FF5F9C" w:rsidRDefault="00FF5F9C" w:rsidP="00B44D14">
      <w:pPr>
        <w:pStyle w:val="Heading2"/>
        <w:numPr>
          <w:ilvl w:val="0"/>
          <w:numId w:val="1"/>
        </w:numPr>
        <w:ind w:left="360"/>
        <w:rPr>
          <w:color w:val="auto"/>
        </w:rPr>
      </w:pPr>
      <w:bookmarkStart w:id="1" w:name="_Toc401127369"/>
      <w:r w:rsidRPr="00D36EE4">
        <w:rPr>
          <w:color w:val="auto"/>
        </w:rPr>
        <w:lastRenderedPageBreak/>
        <w:t>Justification</w:t>
      </w:r>
      <w:bookmarkEnd w:id="1"/>
    </w:p>
    <w:p w14:paraId="206DF623" w14:textId="77777777" w:rsidR="00B44D14" w:rsidRPr="00B44D14" w:rsidRDefault="00B94700" w:rsidP="00B94700">
      <w:pPr>
        <w:pStyle w:val="StyleTOC1Linespacing15lines"/>
        <w:numPr>
          <w:ilvl w:val="0"/>
          <w:numId w:val="35"/>
        </w:numPr>
        <w:tabs>
          <w:tab w:val="clear" w:pos="480"/>
        </w:tabs>
      </w:pPr>
      <w:r>
        <w:rPr>
          <w:u w:val="single"/>
        </w:rPr>
        <w:t>Circumstances Making the Collection of Information Necessary</w:t>
      </w:r>
    </w:p>
    <w:p w14:paraId="358859B5" w14:textId="77777777" w:rsidR="00B44D14" w:rsidRPr="006532E7" w:rsidRDefault="00B44D14" w:rsidP="00B44D14">
      <w:pPr>
        <w:pStyle w:val="bodytext-gph"/>
        <w:spacing w:before="240" w:after="240"/>
        <w:ind w:left="90"/>
        <w:rPr>
          <w:sz w:val="24"/>
          <w:szCs w:val="24"/>
        </w:rPr>
      </w:pPr>
      <w:r w:rsidRPr="006532E7">
        <w:rPr>
          <w:sz w:val="24"/>
          <w:szCs w:val="24"/>
        </w:rPr>
        <w:t>The Title X Family Planning Program (“Title X program” or “program”) is the only Federal grant program dedicated solely to providing individuals with comprehensive family planning and related preventive health services (e.g., screening for breast and cervical cancer, sexually transmitted diseases (STDs), and human immunodeficiency virus [HIV]). The program’s purpose is to assist individuals in determining the number and spacing of their children, thereby contributing to positive birth outcomes and healthy families. The program is designed to provide access to contraceptive services, supplies, and information to all who want and need them. By law, priority is given to persons from low-income families (Section 1006[c] of Title X of the Public Health Service Act, 42 USC 300).</w:t>
      </w:r>
      <w:hyperlink w:anchor="_ENREF_2" w:tooltip=", 1970 #577" w:history="1">
        <w:r w:rsidRPr="006532E7">
          <w:rPr>
            <w:sz w:val="24"/>
            <w:szCs w:val="24"/>
          </w:rPr>
          <w:fldChar w:fldCharType="begin"/>
        </w:r>
        <w:r w:rsidRPr="006532E7">
          <w:rPr>
            <w:sz w:val="24"/>
            <w:szCs w:val="24"/>
          </w:rPr>
          <w:instrText xml:space="preserve"> ADDIN EN.CITE &lt;EndNote&gt;&lt;Cite&gt;&lt;Year&gt;1970&lt;/Year&gt;&lt;RecNum&gt;577&lt;/RecNum&gt;&lt;DisplayText&gt;&lt;style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Pr="006532E7">
          <w:rPr>
            <w:sz w:val="24"/>
            <w:szCs w:val="24"/>
          </w:rPr>
          <w:fldChar w:fldCharType="separate"/>
        </w:r>
        <w:r w:rsidRPr="006532E7">
          <w:rPr>
            <w:noProof/>
            <w:sz w:val="24"/>
            <w:szCs w:val="24"/>
            <w:vertAlign w:val="superscript"/>
          </w:rPr>
          <w:t>2</w:t>
        </w:r>
        <w:r w:rsidRPr="006532E7">
          <w:rPr>
            <w:sz w:val="24"/>
            <w:szCs w:val="24"/>
          </w:rPr>
          <w:fldChar w:fldCharType="end"/>
        </w:r>
      </w:hyperlink>
      <w:r w:rsidRPr="006532E7">
        <w:rPr>
          <w:sz w:val="24"/>
          <w:szCs w:val="24"/>
        </w:rPr>
        <w:t xml:space="preserve"> The Office of Population Affairs (OPA) within the Office of the Assistant Secretary for Health administers the Title X program. </w:t>
      </w:r>
    </w:p>
    <w:p w14:paraId="4AE6490C" w14:textId="77777777" w:rsidR="00B44D14" w:rsidRPr="006532E7" w:rsidRDefault="00063A81" w:rsidP="00B44D14">
      <w:pPr>
        <w:pStyle w:val="bodytext-gph"/>
        <w:spacing w:after="240"/>
        <w:ind w:left="90"/>
        <w:rPr>
          <w:sz w:val="24"/>
          <w:szCs w:val="24"/>
        </w:rPr>
      </w:pPr>
      <w:r w:rsidRPr="006532E7">
        <w:rPr>
          <w:sz w:val="24"/>
          <w:szCs w:val="24"/>
        </w:rPr>
        <w:t>In fiscal year 2014</w:t>
      </w:r>
      <w:r w:rsidR="00B44D14" w:rsidRPr="006532E7">
        <w:rPr>
          <w:sz w:val="24"/>
          <w:szCs w:val="24"/>
        </w:rPr>
        <w:t>, Congress appropriated approximately $296.8 million for Title X family planning activities</w:t>
      </w:r>
      <w:r w:rsidRPr="006532E7">
        <w:rPr>
          <w:sz w:val="24"/>
          <w:szCs w:val="24"/>
        </w:rPr>
        <w:t xml:space="preserve"> under a continuing resolution (as of December 29, 2014)</w:t>
      </w:r>
      <w:r w:rsidR="00B44D14" w:rsidRPr="006532E7">
        <w:rPr>
          <w:sz w:val="24"/>
          <w:szCs w:val="24"/>
        </w:rPr>
        <w:t>. In accordance with the statute and regulations (42 Code of Federal Regulations [CFR] Part 59),</w:t>
      </w:r>
      <w:hyperlink w:anchor="_ENREF_3" w:tooltip=",  #565" w:history="1">
        <w:r w:rsidR="00B44D14" w:rsidRPr="006532E7">
          <w:rPr>
            <w:sz w:val="24"/>
            <w:szCs w:val="24"/>
          </w:rPr>
          <w:fldChar w:fldCharType="begin"/>
        </w:r>
        <w:r w:rsidR="00B44D14" w:rsidRPr="006532E7">
          <w:rPr>
            <w:sz w:val="24"/>
            <w:szCs w:val="24"/>
          </w:rPr>
          <w:instrText xml:space="preserve"> ADDIN EN.CITE &lt;EndNote&gt;&lt;Cite ExcludeAuth="1"&gt;&lt;RecNum&gt;565&lt;/RecNum&gt;&lt;DisplayText&gt;&lt;style face="superscript"&gt;3&lt;/style&gt;&lt;/DisplayText&gt;&lt;record&gt;&lt;rec-number&gt;565&lt;/rec-number&gt;&lt;foreign-keys&gt;&lt;key app="EN" db-id="ww5sp020aesvf3eztw5vtr9hxesfrppaerps"&gt;565&lt;/key&gt;&lt;/foreign-keys&gt;&lt;ref-type name="Statute"&gt;31&lt;/ref-type&gt;&lt;contributors&gt;&lt;/contributors&gt;&lt;titles&gt;&lt;title&gt;42 Code of Federal Regulations (CFR) Part 59, Grants for Family Planning Services (October 1, 2000)&lt;/title&gt;&lt;/titles&gt;&lt;dates&gt;&lt;/dates&gt;&lt;pub-location&gt;Retrieved March 1, 2013, from http://www.hhs.gov/opa/pdfs/42-cfr-59-b.pdf&amp;#xD;&lt;/pub-location&gt;&lt;urls&gt;&lt;/urls&gt;&lt;access-date&gt;May 11, 2010&lt;/access-date&gt;&lt;/record&gt;&lt;/Cite&gt;&lt;/EndNote&gt;</w:instrText>
        </w:r>
        <w:r w:rsidR="00B44D14" w:rsidRPr="006532E7">
          <w:rPr>
            <w:sz w:val="24"/>
            <w:szCs w:val="24"/>
          </w:rPr>
          <w:fldChar w:fldCharType="separate"/>
        </w:r>
        <w:r w:rsidR="00B44D14" w:rsidRPr="006532E7">
          <w:rPr>
            <w:noProof/>
            <w:sz w:val="24"/>
            <w:szCs w:val="24"/>
            <w:vertAlign w:val="superscript"/>
          </w:rPr>
          <w:t>3</w:t>
        </w:r>
        <w:r w:rsidR="00B44D14" w:rsidRPr="006532E7">
          <w:rPr>
            <w:sz w:val="24"/>
            <w:szCs w:val="24"/>
          </w:rPr>
          <w:fldChar w:fldCharType="end"/>
        </w:r>
      </w:hyperlink>
      <w:r w:rsidR="00B44D14" w:rsidRPr="006532E7">
        <w:rPr>
          <w:sz w:val="24"/>
          <w:szCs w:val="24"/>
        </w:rPr>
        <w:t xml:space="preserve"> at least 90% of the appropriation is used for clinical family planning services.</w:t>
      </w:r>
      <w:hyperlink w:anchor="_ENREF_2" w:tooltip=", 1970 #577" w:history="1">
        <w:r w:rsidR="00B44D14" w:rsidRPr="006532E7">
          <w:rPr>
            <w:sz w:val="24"/>
            <w:szCs w:val="24"/>
            <w:vertAlign w:val="superscript"/>
          </w:rPr>
          <w:fldChar w:fldCharType="begin"/>
        </w:r>
        <w:r w:rsidR="00B44D14" w:rsidRPr="006532E7">
          <w:rPr>
            <w:sz w:val="24"/>
            <w:szCs w:val="24"/>
            <w:vertAlign w:val="superscript"/>
          </w:rPr>
          <w:instrText xml:space="preserve"> ADDIN EN.CITE &lt;EndNote&gt;&lt;Cite ExcludeAuth="1"&gt;&lt;Year&gt;1970&lt;/Year&gt;&lt;RecNum&gt;577&lt;/RecNum&gt;&lt;DisplayText&gt;&lt;style face="superscript"&gt;2&lt;/style&gt;&lt;/DisplayText&gt;&lt;record&gt;&lt;rec-number&gt;577&lt;/rec-number&gt;&lt;foreign-keys&gt;&lt;key app="EN" db-id="ww5sp020aesvf3eztw5vtr9hxesfrppaerps"&gt;577&lt;/key&gt;&lt;/foreign-keys&gt;&lt;ref-type name="Statute"&gt;31&lt;/ref-type&gt;&lt;contributors&gt;&lt;/contributors&gt;&lt;titles&gt;&lt;title&gt;42 USC 300 Section 1006 [300a-4], Regulations and Payments&lt;/title&gt;&lt;/titles&gt;&lt;dates&gt;&lt;year&gt;1970&lt;/year&gt;&lt;/dates&gt;&lt;pub-location&gt;Retrieved March 1, 2013, from http://www.hhs.gov/opa/pdfs/title-x-statute-attachment-a.pdf&lt;/pub-location&gt;&lt;urls&gt;&lt;/urls&gt;&lt;access-date&gt;May 11, 2010&lt;/access-date&gt;&lt;/record&gt;&lt;/Cite&gt;&lt;/EndNote&gt;</w:instrText>
        </w:r>
        <w:r w:rsidR="00B44D14" w:rsidRPr="006532E7">
          <w:rPr>
            <w:sz w:val="24"/>
            <w:szCs w:val="24"/>
            <w:vertAlign w:val="superscript"/>
          </w:rPr>
          <w:fldChar w:fldCharType="separate"/>
        </w:r>
        <w:r w:rsidR="00B44D14" w:rsidRPr="006532E7">
          <w:rPr>
            <w:noProof/>
            <w:sz w:val="24"/>
            <w:szCs w:val="24"/>
            <w:vertAlign w:val="superscript"/>
          </w:rPr>
          <w:t>2</w:t>
        </w:r>
        <w:r w:rsidR="00B44D14" w:rsidRPr="006532E7">
          <w:rPr>
            <w:sz w:val="24"/>
            <w:szCs w:val="24"/>
            <w:vertAlign w:val="superscript"/>
          </w:rPr>
          <w:fldChar w:fldCharType="end"/>
        </w:r>
      </w:hyperlink>
      <w:r w:rsidR="00B44D14" w:rsidRPr="006532E7">
        <w:rPr>
          <w:sz w:val="24"/>
          <w:szCs w:val="24"/>
          <w:vertAlign w:val="superscript"/>
        </w:rPr>
        <w:t xml:space="preserve"> </w:t>
      </w:r>
      <w:r w:rsidR="00B44D14" w:rsidRPr="006532E7">
        <w:rPr>
          <w:sz w:val="24"/>
          <w:szCs w:val="24"/>
        </w:rPr>
        <w:t>In 201</w:t>
      </w:r>
      <w:r w:rsidR="003D788E" w:rsidRPr="006532E7">
        <w:rPr>
          <w:sz w:val="24"/>
          <w:szCs w:val="24"/>
        </w:rPr>
        <w:t>3</w:t>
      </w:r>
      <w:r w:rsidR="00B44D14" w:rsidRPr="006532E7">
        <w:rPr>
          <w:sz w:val="24"/>
          <w:szCs w:val="24"/>
        </w:rPr>
        <w:t>, 9</w:t>
      </w:r>
      <w:r w:rsidR="003D788E" w:rsidRPr="006532E7">
        <w:rPr>
          <w:sz w:val="24"/>
          <w:szCs w:val="24"/>
        </w:rPr>
        <w:t>3</w:t>
      </w:r>
      <w:r w:rsidR="00B44D14" w:rsidRPr="006532E7">
        <w:rPr>
          <w:sz w:val="24"/>
          <w:szCs w:val="24"/>
        </w:rPr>
        <w:t xml:space="preserve"> Title X grantees provided family planning services to five million women and men through a network of 4,</w:t>
      </w:r>
      <w:r w:rsidR="003D788E" w:rsidRPr="006532E7">
        <w:rPr>
          <w:sz w:val="24"/>
          <w:szCs w:val="24"/>
        </w:rPr>
        <w:t>2</w:t>
      </w:r>
      <w:r w:rsidR="00B44D14" w:rsidRPr="006532E7">
        <w:rPr>
          <w:sz w:val="24"/>
          <w:szCs w:val="24"/>
        </w:rPr>
        <w:t xml:space="preserve">00 community-based </w:t>
      </w:r>
      <w:r w:rsidR="003D788E" w:rsidRPr="006532E7">
        <w:rPr>
          <w:sz w:val="24"/>
          <w:szCs w:val="24"/>
        </w:rPr>
        <w:t>centers</w:t>
      </w:r>
      <w:r w:rsidR="00B44D14" w:rsidRPr="006532E7">
        <w:rPr>
          <w:sz w:val="24"/>
          <w:szCs w:val="24"/>
        </w:rPr>
        <w:t xml:space="preserve"> that include state and local health departments, tribal organizations, and other public and private nonprofit agencies. There is at least one clinic that receives Title X funds and provides services as required under the Title X statute in 73% of U.S. counties.</w:t>
      </w:r>
      <w:hyperlink w:anchor="_ENREF_5" w:tooltip="Frost, 2004 #568" w:history="1">
        <w:r w:rsidR="00B44D14" w:rsidRPr="006532E7">
          <w:rPr>
            <w:sz w:val="24"/>
            <w:szCs w:val="24"/>
          </w:rPr>
          <w:fldChar w:fldCharType="begin"/>
        </w:r>
        <w:r w:rsidR="00B44D14" w:rsidRPr="006532E7">
          <w:rPr>
            <w:sz w:val="24"/>
            <w:szCs w:val="24"/>
          </w:rPr>
          <w:instrText xml:space="preserve"> ADDIN EN.CITE &lt;EndNote&gt;&lt;Cite&gt;&lt;Author&gt;Frost&lt;/Author&gt;&lt;Year&gt;2004&lt;/Year&gt;&lt;RecNum&gt;568&lt;/RecNum&gt;&lt;DisplayText&gt;&lt;style face="superscript"&gt;5&lt;/style&gt;&lt;/DisplayText&gt;&lt;record&gt;&lt;rec-number&gt;568&lt;/rec-number&gt;&lt;foreign-keys&gt;&lt;key app="EN" db-id="ww5sp020aesvf3eztw5vtr9hxesfrppaerps"&gt;568&lt;/key&gt;&lt;/foreign-keys&gt;&lt;ref-type name="Journal Article"&gt;17&lt;/ref-type&gt;&lt;contributors&gt;&lt;authors&gt;&lt;author&gt;Frost, J.J.&lt;/author&gt;&lt;author&gt;Frohwirth, L.&lt;/author&gt;&lt;author&gt;Purcell, A.&lt;/author&gt;&lt;/authors&gt;&lt;/contributors&gt;&lt;titles&gt;&lt;title&gt;The Availability and Use of Publicly Funded Family Planning Clinics: U.S. Trends, 1994–2001&lt;/title&gt;&lt;secondary-title&gt;Perspectives on Sexual and Reproductive Health&lt;/secondary-title&gt;&lt;/titles&gt;&lt;periodical&gt;&lt;full-title&gt;Perspectives on Sexual and Reproductive Health&lt;/full-title&gt;&lt;/periodical&gt;&lt;pages&gt;206-215&lt;/pages&gt;&lt;volume&gt;36&lt;/volume&gt;&lt;number&gt;5&lt;/number&gt;&lt;dates&gt;&lt;year&gt;2004&lt;/year&gt;&lt;/dates&gt;&lt;urls&gt;&lt;related-urls&gt;&lt;url&gt;http://www.guttmacher.org/pubs/psrh/full/3620604.pdf&lt;/url&gt;&lt;/related-urls&gt;&lt;/urls&gt;&lt;access-date&gt;May 27, 2010&lt;/access-date&gt;&lt;/record&gt;&lt;/Cite&gt;&lt;/EndNote&gt;</w:instrText>
        </w:r>
        <w:r w:rsidR="00B44D14" w:rsidRPr="006532E7">
          <w:rPr>
            <w:sz w:val="24"/>
            <w:szCs w:val="24"/>
          </w:rPr>
          <w:fldChar w:fldCharType="separate"/>
        </w:r>
        <w:r w:rsidR="00B44D14" w:rsidRPr="006532E7">
          <w:rPr>
            <w:noProof/>
            <w:sz w:val="24"/>
            <w:szCs w:val="24"/>
            <w:vertAlign w:val="superscript"/>
          </w:rPr>
          <w:t>5</w:t>
        </w:r>
        <w:r w:rsidR="00B44D14" w:rsidRPr="006532E7">
          <w:rPr>
            <w:sz w:val="24"/>
            <w:szCs w:val="24"/>
          </w:rPr>
          <w:fldChar w:fldCharType="end"/>
        </w:r>
      </w:hyperlink>
      <w:r w:rsidR="00B44D14" w:rsidRPr="006532E7">
        <w:rPr>
          <w:sz w:val="24"/>
          <w:szCs w:val="24"/>
        </w:rPr>
        <w:t xml:space="preserve"> </w:t>
      </w:r>
    </w:p>
    <w:p w14:paraId="7F8D3875" w14:textId="77777777" w:rsidR="00063A81" w:rsidRPr="006532E7" w:rsidRDefault="00133362" w:rsidP="00063A81">
      <w:pPr>
        <w:pStyle w:val="bodytext-gph"/>
        <w:spacing w:after="240" w:line="240" w:lineRule="auto"/>
        <w:ind w:left="0"/>
        <w:rPr>
          <w:sz w:val="24"/>
          <w:szCs w:val="24"/>
        </w:rPr>
      </w:pPr>
      <w:r w:rsidRPr="006532E7">
        <w:rPr>
          <w:sz w:val="24"/>
          <w:szCs w:val="24"/>
        </w:rPr>
        <w:t>The American health care system is experiencing unprecedented levels of change as a result of the Patient Protection and Affordable Care Act</w:t>
      </w:r>
      <w:r w:rsidR="00FB323B" w:rsidRPr="006532E7">
        <w:rPr>
          <w:sz w:val="24"/>
          <w:szCs w:val="24"/>
        </w:rPr>
        <w:t xml:space="preserve"> (ACA)</w:t>
      </w:r>
      <w:r w:rsidRPr="006532E7">
        <w:rPr>
          <w:sz w:val="24"/>
          <w:szCs w:val="24"/>
        </w:rPr>
        <w:t xml:space="preserve">. </w:t>
      </w:r>
      <w:r w:rsidR="00063A81" w:rsidRPr="006532E7">
        <w:rPr>
          <w:sz w:val="24"/>
          <w:szCs w:val="24"/>
        </w:rPr>
        <w:t>The exact impact of these health system changes to the Title X service sites is unknown but can be hypothesized as follows:</w:t>
      </w:r>
    </w:p>
    <w:p w14:paraId="67BBDE4E" w14:textId="77777777" w:rsidR="00063A81" w:rsidRPr="00FD3A33" w:rsidRDefault="00AB3AD6" w:rsidP="00FD3A33">
      <w:pPr>
        <w:pStyle w:val="bodytext-gph"/>
        <w:numPr>
          <w:ilvl w:val="0"/>
          <w:numId w:val="32"/>
        </w:numPr>
        <w:spacing w:after="240" w:line="240" w:lineRule="auto"/>
        <w:ind w:left="0"/>
        <w:rPr>
          <w:sz w:val="24"/>
          <w:szCs w:val="24"/>
        </w:rPr>
      </w:pPr>
      <w:r>
        <w:rPr>
          <w:sz w:val="24"/>
          <w:szCs w:val="24"/>
        </w:rPr>
        <w:t xml:space="preserve">OPA expects that the number of uninsured clients in Title X will drop. Currently 63% of clients in Title X centers are uninsured. </w:t>
      </w:r>
      <w:r w:rsidRPr="00DE7D5E">
        <w:rPr>
          <w:sz w:val="24"/>
          <w:szCs w:val="24"/>
        </w:rPr>
        <w:t xml:space="preserve">Some have hypothesized that the need for Title X may decline after ACA is implemented </w:t>
      </w:r>
      <w:r>
        <w:rPr>
          <w:sz w:val="24"/>
          <w:szCs w:val="24"/>
        </w:rPr>
        <w:t>fully</w:t>
      </w:r>
      <w:r w:rsidRPr="00DE7D5E">
        <w:rPr>
          <w:sz w:val="24"/>
          <w:szCs w:val="24"/>
        </w:rPr>
        <w:t>.  However, the experience in Massachusetts</w:t>
      </w:r>
      <w:r>
        <w:rPr>
          <w:sz w:val="24"/>
          <w:szCs w:val="24"/>
        </w:rPr>
        <w:t>,</w:t>
      </w:r>
      <w:r w:rsidRPr="00DE7D5E">
        <w:rPr>
          <w:sz w:val="24"/>
          <w:szCs w:val="24"/>
        </w:rPr>
        <w:t xml:space="preserve"> which implemented </w:t>
      </w:r>
      <w:r>
        <w:rPr>
          <w:sz w:val="24"/>
          <w:szCs w:val="24"/>
        </w:rPr>
        <w:t xml:space="preserve">coverage-expanding </w:t>
      </w:r>
      <w:r w:rsidRPr="00DE7D5E">
        <w:rPr>
          <w:sz w:val="24"/>
          <w:szCs w:val="24"/>
        </w:rPr>
        <w:t>health reform in 2006</w:t>
      </w:r>
      <w:r>
        <w:rPr>
          <w:sz w:val="24"/>
          <w:szCs w:val="24"/>
        </w:rPr>
        <w:t>,</w:t>
      </w:r>
      <w:r w:rsidRPr="00DE7D5E">
        <w:rPr>
          <w:sz w:val="24"/>
          <w:szCs w:val="24"/>
        </w:rPr>
        <w:t xml:space="preserve"> shows that </w:t>
      </w:r>
      <w:r w:rsidR="00A611A6">
        <w:rPr>
          <w:sz w:val="24"/>
          <w:szCs w:val="24"/>
        </w:rPr>
        <w:t>disproportionate share of uninsured clients</w:t>
      </w:r>
      <w:r w:rsidRPr="00DE7D5E">
        <w:rPr>
          <w:sz w:val="24"/>
          <w:szCs w:val="24"/>
        </w:rPr>
        <w:t xml:space="preserve"> continue to utilize Title X centers</w:t>
      </w:r>
      <w:r>
        <w:rPr>
          <w:sz w:val="24"/>
          <w:szCs w:val="24"/>
        </w:rPr>
        <w:t xml:space="preserve"> even when coverage is made available more broadly</w:t>
      </w:r>
      <w:r w:rsidRPr="00DE7D5E">
        <w:rPr>
          <w:sz w:val="24"/>
          <w:szCs w:val="24"/>
        </w:rPr>
        <w:t>.</w:t>
      </w:r>
      <w:r w:rsidRPr="00DE7D5E">
        <w:rPr>
          <w:rStyle w:val="FootnoteReference"/>
          <w:sz w:val="24"/>
          <w:szCs w:val="24"/>
        </w:rPr>
        <w:footnoteReference w:id="1"/>
      </w:r>
      <w:r w:rsidRPr="00D56CDB">
        <w:rPr>
          <w:sz w:val="24"/>
          <w:szCs w:val="24"/>
          <w:vertAlign w:val="superscript"/>
        </w:rPr>
        <w:t>,</w:t>
      </w:r>
      <w:r>
        <w:rPr>
          <w:rStyle w:val="FootnoteReference"/>
          <w:sz w:val="24"/>
          <w:szCs w:val="24"/>
        </w:rPr>
        <w:footnoteReference w:id="2"/>
      </w:r>
      <w:r>
        <w:rPr>
          <w:sz w:val="24"/>
          <w:szCs w:val="24"/>
          <w:vertAlign w:val="superscript"/>
        </w:rPr>
        <w:t xml:space="preserve">  </w:t>
      </w:r>
      <w:r w:rsidR="00A611A6">
        <w:rPr>
          <w:sz w:val="24"/>
          <w:szCs w:val="24"/>
        </w:rPr>
        <w:t>Although the current Family Planning Annual Report (FPAR) data will provide OPA with information on the insurance status of clients, FPAR data will not allow OPA to understand how changing insurance status is affecting the center’</w:t>
      </w:r>
      <w:r w:rsidR="00FD3A33">
        <w:rPr>
          <w:sz w:val="24"/>
          <w:szCs w:val="24"/>
        </w:rPr>
        <w:t>s financial viability.</w:t>
      </w:r>
      <w:r w:rsidR="00A611A6">
        <w:rPr>
          <w:sz w:val="24"/>
          <w:szCs w:val="24"/>
        </w:rPr>
        <w:t xml:space="preserve"> For example, a</w:t>
      </w:r>
      <w:r w:rsidR="00063A81" w:rsidRPr="00A611A6">
        <w:rPr>
          <w:sz w:val="24"/>
          <w:szCs w:val="24"/>
        </w:rPr>
        <w:t xml:space="preserve"> greater number of insured clients will mean that Title X centers will have to contract with private insurers to a greater degree than they have in the past.</w:t>
      </w:r>
      <w:r w:rsidR="003D788E" w:rsidRPr="00A611A6">
        <w:rPr>
          <w:sz w:val="24"/>
          <w:szCs w:val="24"/>
        </w:rPr>
        <w:t xml:space="preserve"> Title X sites have anecdotally reported significant challenges with contracting with private health plans that are part of the Marketplaces, including negotiating adequate payment terms. However, most of the 93 grantees that administer the 4200 centers have not assessed their networks to determine the extent of the problem or the impact to the revenue of individual centers. </w:t>
      </w:r>
      <w:r w:rsidR="00FD3A33">
        <w:rPr>
          <w:sz w:val="24"/>
          <w:szCs w:val="24"/>
        </w:rPr>
        <w:t xml:space="preserve">FPAR data also does not indicate </w:t>
      </w:r>
      <w:r w:rsidR="00FD3A33">
        <w:rPr>
          <w:sz w:val="24"/>
          <w:szCs w:val="24"/>
        </w:rPr>
        <w:lastRenderedPageBreak/>
        <w:t xml:space="preserve">whether centers who continue to see a high rate of uninsured clients have made efforts to enroll clients into affordable health insurance programs. </w:t>
      </w:r>
      <w:r w:rsidR="00A611A6" w:rsidRPr="00FD3A33">
        <w:rPr>
          <w:sz w:val="24"/>
          <w:szCs w:val="24"/>
        </w:rPr>
        <w:t xml:space="preserve">This data collection will provide both OPA and the grantees with information on what’s happening at the individual center level to better explain shifts in revenue sources and payer mixes seen in FPAR data. </w:t>
      </w:r>
    </w:p>
    <w:p w14:paraId="2D4C55A4" w14:textId="77777777" w:rsidR="00063A81" w:rsidRPr="006532E7" w:rsidRDefault="00063A81" w:rsidP="00063A81">
      <w:pPr>
        <w:pStyle w:val="bodytext-gph"/>
        <w:numPr>
          <w:ilvl w:val="0"/>
          <w:numId w:val="32"/>
        </w:numPr>
        <w:spacing w:after="240" w:line="240" w:lineRule="auto"/>
        <w:ind w:left="0"/>
        <w:rPr>
          <w:sz w:val="24"/>
          <w:szCs w:val="24"/>
        </w:rPr>
      </w:pPr>
      <w:r w:rsidRPr="006532E7">
        <w:rPr>
          <w:sz w:val="24"/>
          <w:szCs w:val="24"/>
        </w:rPr>
        <w:t xml:space="preserve">For States expanding Medicaid a greater percentage of the Title X centers will see shifts in revenue sources. According to data collected </w:t>
      </w:r>
      <w:r w:rsidR="00A611A6">
        <w:rPr>
          <w:sz w:val="24"/>
          <w:szCs w:val="24"/>
        </w:rPr>
        <w:t>through FPAR</w:t>
      </w:r>
      <w:r w:rsidRPr="006532E7">
        <w:rPr>
          <w:sz w:val="24"/>
          <w:szCs w:val="24"/>
        </w:rPr>
        <w:t>, Medicaid accounts for 40% of total revenue for Title X funded centers and private third party reimbursements accounted for 5%. Client fees accounted for 6% of the revenue.  It is unclear how the revenue streams will change for Title X sites in 2015 and beyond. In terms of Medicaid, varying reimbursement policies around onsite dispensing of contraceptives and education and counseling are continuing challenges for Title X providers.  Reimbursement under Medicaid alternative benefit plans (ABPs) may also vary from traditional Medicaid reimbursement.  The effect of these ongoing issues and how they will translate to the financial operations of Title X</w:t>
      </w:r>
      <w:r w:rsidR="003D788E" w:rsidRPr="006532E7">
        <w:rPr>
          <w:sz w:val="24"/>
          <w:szCs w:val="24"/>
        </w:rPr>
        <w:t xml:space="preserve"> centers is not well understood by OPA or by the 93 grantee</w:t>
      </w:r>
      <w:r w:rsidR="006532E7">
        <w:rPr>
          <w:sz w:val="24"/>
          <w:szCs w:val="24"/>
        </w:rPr>
        <w:t>s for their individual centers.</w:t>
      </w:r>
    </w:p>
    <w:p w14:paraId="647E3F5B" w14:textId="77777777" w:rsidR="003D788E" w:rsidRPr="006532E7" w:rsidRDefault="003D788E" w:rsidP="00063A81">
      <w:pPr>
        <w:pStyle w:val="bodytext-gph"/>
        <w:numPr>
          <w:ilvl w:val="0"/>
          <w:numId w:val="32"/>
        </w:numPr>
        <w:spacing w:after="240" w:line="240" w:lineRule="auto"/>
        <w:ind w:left="0"/>
        <w:rPr>
          <w:sz w:val="24"/>
          <w:szCs w:val="24"/>
        </w:rPr>
      </w:pPr>
      <w:r w:rsidRPr="006532E7">
        <w:rPr>
          <w:sz w:val="24"/>
          <w:szCs w:val="24"/>
        </w:rPr>
        <w:t>The majority (92%) of family planning users are women who, for those with coverage through Medicaid or a non-grandfathered health insurance plan or policy, have access to a broad range of preventive services as a result of the ACA. Six out of ten women who use publicly funded family planning centers cite the family planning center as their usual source of medical care.</w:t>
      </w:r>
      <w:r w:rsidRPr="006532E7">
        <w:rPr>
          <w:rStyle w:val="FootnoteReference"/>
          <w:sz w:val="24"/>
          <w:szCs w:val="24"/>
        </w:rPr>
        <w:footnoteReference w:id="3"/>
      </w:r>
      <w:r w:rsidRPr="006532E7">
        <w:rPr>
          <w:sz w:val="24"/>
          <w:szCs w:val="24"/>
        </w:rPr>
        <w:t xml:space="preserve"> Thus, Title X clearly serves as an access point to healthcare. There may be a greater demand for primary care services and given the geographic diversity and existing relationships Title X centers in the community, OPA has encouraged centers to partner with primary care providers or consider expanding their own services. Again, OPA, nor the 93 grantees have assessed to what degree such pri</w:t>
      </w:r>
      <w:r w:rsidR="00094DC5" w:rsidRPr="006532E7">
        <w:rPr>
          <w:sz w:val="24"/>
          <w:szCs w:val="24"/>
        </w:rPr>
        <w:t xml:space="preserve">mary care partnerships exist within individual Title X centers. </w:t>
      </w:r>
    </w:p>
    <w:p w14:paraId="5A516A89" w14:textId="77777777" w:rsidR="00063A81" w:rsidRDefault="00094DC5" w:rsidP="006532E7">
      <w:pPr>
        <w:pStyle w:val="bodytext-gph"/>
        <w:numPr>
          <w:ilvl w:val="0"/>
          <w:numId w:val="32"/>
        </w:numPr>
        <w:spacing w:after="240"/>
        <w:ind w:left="0"/>
        <w:rPr>
          <w:sz w:val="24"/>
          <w:szCs w:val="24"/>
        </w:rPr>
      </w:pPr>
      <w:r w:rsidRPr="006532E7">
        <w:rPr>
          <w:sz w:val="24"/>
          <w:szCs w:val="24"/>
        </w:rPr>
        <w:t xml:space="preserve">There has been a national focus on investing in health information technology to improve care quality. OPA has encouraged grantees to invest in Electronic Health Records (EHR) but anecdotal information indicates that a significant portion of individual centers have not made such investments.  In 2013, OPA provided competitive grants for purchases and upgrades to EHR systems. In 2017, OPA plans to OPA has no concrete information on the prevalence of </w:t>
      </w:r>
      <w:r w:rsidR="006532E7" w:rsidRPr="006532E7">
        <w:rPr>
          <w:sz w:val="24"/>
          <w:szCs w:val="24"/>
        </w:rPr>
        <w:t>EHR’s within individual Title X centers or how those with EHR’s actually use them (i.e. are they maximizing use of their EHR’s for evaluating patient care quality).</w:t>
      </w:r>
      <w:r w:rsidR="00F67A1E">
        <w:rPr>
          <w:sz w:val="24"/>
          <w:szCs w:val="24"/>
        </w:rPr>
        <w:t xml:space="preserve"> Care quality will be an important factor in ensuring that Title X centers retain their current clients but OPA does not know how many centers routinely evaluate such data. </w:t>
      </w:r>
    </w:p>
    <w:p w14:paraId="0070F9DE" w14:textId="77777777" w:rsidR="006532E7" w:rsidRDefault="006532E7" w:rsidP="006532E7">
      <w:pPr>
        <w:pStyle w:val="bodytext-gph"/>
        <w:numPr>
          <w:ilvl w:val="0"/>
          <w:numId w:val="32"/>
        </w:numPr>
        <w:spacing w:after="240"/>
        <w:ind w:left="0"/>
        <w:rPr>
          <w:sz w:val="24"/>
          <w:szCs w:val="24"/>
        </w:rPr>
      </w:pPr>
      <w:r>
        <w:rPr>
          <w:sz w:val="24"/>
          <w:szCs w:val="24"/>
        </w:rPr>
        <w:t xml:space="preserve">Given the changing health system landscape, OPA believes it’s important for Title X grantees to be involved at the local level so they understand how their individual health system is changing and what they need to do in response. However, OPA has no mechanism to understand whether grantees are involved within their local health systems. </w:t>
      </w:r>
    </w:p>
    <w:p w14:paraId="092E62F0" w14:textId="77777777" w:rsidR="006532E7" w:rsidRDefault="006532E7" w:rsidP="006532E7">
      <w:pPr>
        <w:pStyle w:val="bodytext-gph"/>
        <w:spacing w:after="240"/>
        <w:ind w:left="0"/>
        <w:rPr>
          <w:sz w:val="24"/>
          <w:szCs w:val="24"/>
        </w:rPr>
      </w:pPr>
      <w:r>
        <w:rPr>
          <w:sz w:val="24"/>
          <w:szCs w:val="24"/>
        </w:rPr>
        <w:t xml:space="preserve">OPA requires information in all of the aforementioned areas in order to understand the impact of health system changes to the Title X network to better assist grantees in ensuring sustainability of the centers that provide much needed family planning services to low income populations. </w:t>
      </w:r>
    </w:p>
    <w:p w14:paraId="539647E3" w14:textId="77777777" w:rsidR="00A611A6" w:rsidRDefault="00A611A6" w:rsidP="006532E7">
      <w:pPr>
        <w:pStyle w:val="bodytext-gph"/>
        <w:spacing w:after="240"/>
        <w:ind w:left="0"/>
        <w:rPr>
          <w:sz w:val="24"/>
          <w:szCs w:val="24"/>
        </w:rPr>
      </w:pPr>
    </w:p>
    <w:p w14:paraId="4750A55F" w14:textId="77777777" w:rsidR="00A611A6" w:rsidRPr="006532E7" w:rsidRDefault="00A611A6" w:rsidP="006532E7">
      <w:pPr>
        <w:pStyle w:val="bodytext-gph"/>
        <w:spacing w:after="240"/>
        <w:ind w:left="0"/>
        <w:rPr>
          <w:sz w:val="24"/>
          <w:szCs w:val="24"/>
        </w:rPr>
      </w:pPr>
    </w:p>
    <w:p w14:paraId="7BE4FDD5" w14:textId="77777777" w:rsidR="00FF5F9C" w:rsidRDefault="00FF5F9C" w:rsidP="009012AD">
      <w:pPr>
        <w:pStyle w:val="Heading3"/>
        <w:numPr>
          <w:ilvl w:val="0"/>
          <w:numId w:val="2"/>
        </w:numPr>
        <w:ind w:left="360"/>
        <w:rPr>
          <w:color w:val="auto"/>
        </w:rPr>
      </w:pPr>
      <w:bookmarkStart w:id="2" w:name="_Toc401127370"/>
      <w:r w:rsidRPr="00D36EE4">
        <w:rPr>
          <w:color w:val="auto"/>
        </w:rPr>
        <w:t>Circumstances Making the Collection of Information Necessary</w:t>
      </w:r>
      <w:bookmarkEnd w:id="2"/>
      <w:r w:rsidR="00B94700">
        <w:rPr>
          <w:color w:val="auto"/>
        </w:rPr>
        <w:t xml:space="preserve"> (continued)</w:t>
      </w:r>
    </w:p>
    <w:p w14:paraId="1AEAC9CB" w14:textId="77777777" w:rsidR="00B8793D" w:rsidRDefault="00B8793D" w:rsidP="007F246F">
      <w:pPr>
        <w:pStyle w:val="NoSpacing"/>
        <w:rPr>
          <w:sz w:val="20"/>
        </w:rPr>
      </w:pPr>
    </w:p>
    <w:p w14:paraId="3C4C3C80" w14:textId="77777777" w:rsidR="00B13D23" w:rsidRPr="00A611A6" w:rsidRDefault="006532E7" w:rsidP="009012AD">
      <w:pPr>
        <w:ind w:left="90"/>
        <w:rPr>
          <w:rFonts w:ascii="Times New Roman" w:hAnsi="Times New Roman" w:cs="Times New Roman"/>
          <w:sz w:val="24"/>
          <w:szCs w:val="24"/>
        </w:rPr>
      </w:pPr>
      <w:r w:rsidRPr="00A611A6">
        <w:rPr>
          <w:rFonts w:ascii="Times New Roman" w:hAnsi="Times New Roman" w:cs="Times New Roman"/>
          <w:sz w:val="24"/>
          <w:szCs w:val="24"/>
        </w:rPr>
        <w:t xml:space="preserve">As indicated in the background, </w:t>
      </w:r>
      <w:r w:rsidR="00B13D23" w:rsidRPr="00A611A6">
        <w:rPr>
          <w:rFonts w:ascii="Times New Roman" w:hAnsi="Times New Roman" w:cs="Times New Roman"/>
          <w:sz w:val="24"/>
          <w:szCs w:val="24"/>
        </w:rPr>
        <w:t xml:space="preserve">The implementation of the Patient Protection and Affordable Care Act (ACA)—PL 111-148 has resulted in myriad changes for the American healthcare system, and the Title X network must adapt to become resilient to these changes. Currently, the majority of Title X family planning service providers to not have diversified revenue streams, the ability to bill private health insurance plans, or the electronic health record systems infrastructure that is now requisite for contracting with private health insurance agencies. </w:t>
      </w:r>
    </w:p>
    <w:p w14:paraId="53B9C67A" w14:textId="77777777" w:rsidR="009012AD" w:rsidRPr="00A611A6" w:rsidRDefault="009012AD" w:rsidP="009012AD">
      <w:pPr>
        <w:ind w:left="90"/>
        <w:rPr>
          <w:rStyle w:val="Hyperlink"/>
          <w:rFonts w:ascii="Times New Roman" w:hAnsi="Times New Roman"/>
          <w:sz w:val="24"/>
          <w:szCs w:val="24"/>
        </w:rPr>
      </w:pPr>
      <w:r w:rsidRPr="00A611A6">
        <w:rPr>
          <w:rFonts w:ascii="Times New Roman" w:hAnsi="Times New Roman" w:cs="Times New Roman"/>
          <w:sz w:val="24"/>
          <w:szCs w:val="24"/>
        </w:rPr>
        <w:t xml:space="preserve">This is a request to the Office of Management and Budget (OMB) for approval of a new </w:t>
      </w:r>
      <w:r w:rsidR="00160209" w:rsidRPr="00A611A6">
        <w:rPr>
          <w:rFonts w:ascii="Times New Roman" w:hAnsi="Times New Roman" w:cs="Times New Roman"/>
          <w:sz w:val="24"/>
          <w:szCs w:val="24"/>
        </w:rPr>
        <w:t xml:space="preserve">data collection and grantee </w:t>
      </w:r>
      <w:r w:rsidR="00197270" w:rsidRPr="00A611A6">
        <w:rPr>
          <w:rFonts w:ascii="Times New Roman" w:hAnsi="Times New Roman" w:cs="Times New Roman"/>
          <w:sz w:val="24"/>
          <w:szCs w:val="24"/>
        </w:rPr>
        <w:t>assessment tool</w:t>
      </w:r>
      <w:r w:rsidRPr="00A611A6">
        <w:rPr>
          <w:rFonts w:ascii="Times New Roman" w:hAnsi="Times New Roman" w:cs="Times New Roman"/>
          <w:sz w:val="24"/>
          <w:szCs w:val="24"/>
        </w:rPr>
        <w:t xml:space="preserve"> to </w:t>
      </w:r>
      <w:r w:rsidR="008C3C7B" w:rsidRPr="00A611A6">
        <w:rPr>
          <w:rFonts w:ascii="Times New Roman" w:hAnsi="Times New Roman" w:cs="Times New Roman"/>
          <w:sz w:val="24"/>
          <w:szCs w:val="24"/>
        </w:rPr>
        <w:t>assist Title X grantees and sub-recipient service sites in understanding their readiness to respond</w:t>
      </w:r>
      <w:r w:rsidR="00B13D23" w:rsidRPr="00A611A6">
        <w:rPr>
          <w:rFonts w:ascii="Times New Roman" w:hAnsi="Times New Roman" w:cs="Times New Roman"/>
          <w:sz w:val="24"/>
          <w:szCs w:val="24"/>
        </w:rPr>
        <w:t xml:space="preserve"> and adapt</w:t>
      </w:r>
      <w:r w:rsidR="008C3C7B" w:rsidRPr="00A611A6">
        <w:rPr>
          <w:rFonts w:ascii="Times New Roman" w:hAnsi="Times New Roman" w:cs="Times New Roman"/>
          <w:sz w:val="24"/>
          <w:szCs w:val="24"/>
        </w:rPr>
        <w:t xml:space="preserve"> to health system changes</w:t>
      </w:r>
      <w:r w:rsidR="00B13D23" w:rsidRPr="00A611A6">
        <w:rPr>
          <w:rFonts w:ascii="Times New Roman" w:hAnsi="Times New Roman" w:cs="Times New Roman"/>
          <w:sz w:val="24"/>
          <w:szCs w:val="24"/>
        </w:rPr>
        <w:t>.</w:t>
      </w:r>
      <w:r w:rsidR="008C3C7B" w:rsidRPr="00A611A6">
        <w:rPr>
          <w:rFonts w:ascii="Times New Roman" w:hAnsi="Times New Roman" w:cs="Times New Roman"/>
          <w:sz w:val="24"/>
          <w:szCs w:val="24"/>
        </w:rPr>
        <w:t xml:space="preserve"> </w:t>
      </w:r>
      <w:r w:rsidR="007F246F" w:rsidRPr="00A611A6">
        <w:rPr>
          <w:rFonts w:ascii="Times New Roman" w:hAnsi="Times New Roman" w:cs="Times New Roman"/>
          <w:sz w:val="24"/>
          <w:szCs w:val="24"/>
        </w:rPr>
        <w:t xml:space="preserve">This </w:t>
      </w:r>
      <w:r w:rsidR="0021223E" w:rsidRPr="00A611A6">
        <w:rPr>
          <w:rFonts w:ascii="Times New Roman" w:hAnsi="Times New Roman" w:cs="Times New Roman"/>
          <w:b/>
          <w:i/>
          <w:sz w:val="24"/>
          <w:szCs w:val="24"/>
        </w:rPr>
        <w:t>annual</w:t>
      </w:r>
      <w:r w:rsidR="007F246F" w:rsidRPr="00A611A6">
        <w:rPr>
          <w:rFonts w:ascii="Times New Roman" w:hAnsi="Times New Roman" w:cs="Times New Roman"/>
          <w:i/>
          <w:sz w:val="24"/>
          <w:szCs w:val="24"/>
        </w:rPr>
        <w:t xml:space="preserve"> </w:t>
      </w:r>
      <w:r w:rsidR="007F246F" w:rsidRPr="00A611A6">
        <w:rPr>
          <w:rFonts w:ascii="Times New Roman" w:hAnsi="Times New Roman" w:cs="Times New Roman"/>
          <w:sz w:val="24"/>
          <w:szCs w:val="24"/>
        </w:rPr>
        <w:t xml:space="preserve"> reporting requirement is for family planning services delivery projects authorized and funded by the Title X Family Planning Program ["Population Research and Voluntary Family Planning Programs" (Public Law 91-572)], which was enacted in 1970 as Title X of the Public Health Service Act (Section 1001 of Title X of the Public Health Service Act, 42 United States Code [USC] 300).</w:t>
      </w:r>
      <w:hyperlink w:anchor="_ENREF_1" w:tooltip=", 1970 #567" w:history="1">
        <w:r w:rsidR="007F246F" w:rsidRPr="00A611A6">
          <w:rPr>
            <w:rStyle w:val="Hyperlink"/>
            <w:rFonts w:ascii="Times New Roman" w:hAnsi="Times New Roman"/>
            <w:sz w:val="24"/>
            <w:szCs w:val="24"/>
          </w:rPr>
          <w:fldChar w:fldCharType="begin"/>
        </w:r>
        <w:r w:rsidR="007F246F" w:rsidRPr="00A611A6">
          <w:rPr>
            <w:rStyle w:val="Hyperlink"/>
            <w:rFonts w:ascii="Times New Roman" w:hAnsi="Times New Roman"/>
            <w:sz w:val="24"/>
            <w:szCs w:val="24"/>
          </w:rPr>
          <w:instrText xml:space="preserve"> ADDIN EN.CITE &lt;EndNote&gt;&lt;Cite&gt;&lt;Year&gt;1970&lt;/Year&gt;&lt;RecNum&gt;567&lt;/RecNum&gt;&lt;DisplayText&gt;&lt;style face="superscript"&gt;1&lt;/style&gt;&lt;/DisplayText&gt;&lt;record&gt;&lt;rec-number&gt;567&lt;/rec-number&gt;&lt;foreign-keys&gt;&lt;key app="EN" db-id="ww5sp020aesvf3eztw5vtr9hxesfrppaerps"&gt;567&lt;/key&gt;&lt;/foreign-keys&gt;&lt;ref-type name="Statute"&gt;31&lt;/ref-type&gt;&lt;contributors&gt;&lt;/contributors&gt;&lt;titles&gt;&lt;title&gt;42 USC 300 Section 1001 [300], Project Grants and Contracts for Family Planning Services&lt;/title&gt;&lt;/titles&gt;&lt;dates&gt;&lt;year&gt;1970&lt;/year&gt;&lt;/dates&gt;&lt;pub-location&gt;Retrieved March 1, 2013, from http://www.hhs.gov/opa/pdfs/title-x-statute-attachment-a.pdf&amp;#xD;&lt;/pub-location&gt;&lt;urls&gt;&lt;/urls&gt;&lt;access-date&gt;May 11, 2010&lt;/access-date&gt;&lt;/record&gt;&lt;/Cite&gt;&lt;/EndNote&gt;</w:instrText>
        </w:r>
        <w:r w:rsidR="007F246F" w:rsidRPr="00A611A6">
          <w:rPr>
            <w:rStyle w:val="Hyperlink"/>
            <w:rFonts w:ascii="Times New Roman" w:hAnsi="Times New Roman"/>
            <w:sz w:val="24"/>
            <w:szCs w:val="24"/>
          </w:rPr>
          <w:fldChar w:fldCharType="separate"/>
        </w:r>
        <w:r w:rsidR="007F246F" w:rsidRPr="00A611A6">
          <w:rPr>
            <w:rStyle w:val="Hyperlink"/>
            <w:rFonts w:ascii="Times New Roman" w:hAnsi="Times New Roman"/>
            <w:sz w:val="24"/>
            <w:szCs w:val="24"/>
            <w:vertAlign w:val="superscript"/>
          </w:rPr>
          <w:t>1</w:t>
        </w:r>
        <w:r w:rsidR="007F246F" w:rsidRPr="00A611A6">
          <w:rPr>
            <w:rStyle w:val="Hyperlink"/>
            <w:rFonts w:ascii="Times New Roman" w:hAnsi="Times New Roman"/>
            <w:sz w:val="24"/>
            <w:szCs w:val="24"/>
          </w:rPr>
          <w:fldChar w:fldCharType="end"/>
        </w:r>
      </w:hyperlink>
    </w:p>
    <w:p w14:paraId="19001735" w14:textId="77777777" w:rsidR="00A9329B" w:rsidRPr="00F67A1E" w:rsidRDefault="00A9329B" w:rsidP="00832F45">
      <w:pPr>
        <w:ind w:left="90"/>
        <w:rPr>
          <w:rFonts w:ascii="Times New Roman" w:hAnsi="Times New Roman" w:cs="Times New Roman"/>
          <w:sz w:val="24"/>
          <w:szCs w:val="24"/>
        </w:rPr>
      </w:pPr>
      <w:r w:rsidRPr="00A611A6">
        <w:rPr>
          <w:rFonts w:ascii="Times New Roman" w:hAnsi="Times New Roman" w:cs="Times New Roman"/>
          <w:sz w:val="24"/>
          <w:szCs w:val="24"/>
        </w:rPr>
        <w:t xml:space="preserve">Title X grantees and sub-grantee service sites vary widely in terms of the state funding contexts in which they operate, the number of revenue sources they have, respective billing policies, </w:t>
      </w:r>
      <w:r w:rsidR="00EC0625" w:rsidRPr="00A611A6">
        <w:rPr>
          <w:rFonts w:ascii="Times New Roman" w:hAnsi="Times New Roman" w:cs="Times New Roman"/>
          <w:sz w:val="24"/>
          <w:szCs w:val="24"/>
        </w:rPr>
        <w:t xml:space="preserve">use of electronic health records systems, quality improvement efforts, and </w:t>
      </w:r>
      <w:r w:rsidR="00450EFA" w:rsidRPr="00A611A6">
        <w:rPr>
          <w:rFonts w:ascii="Times New Roman" w:hAnsi="Times New Roman" w:cs="Times New Roman"/>
          <w:sz w:val="24"/>
          <w:szCs w:val="24"/>
        </w:rPr>
        <w:t>changing client dynamics</w:t>
      </w:r>
      <w:r w:rsidR="00EC0625" w:rsidRPr="00A611A6">
        <w:rPr>
          <w:rFonts w:ascii="Times New Roman" w:hAnsi="Times New Roman" w:cs="Times New Roman"/>
          <w:sz w:val="24"/>
          <w:szCs w:val="24"/>
        </w:rPr>
        <w:t>.</w:t>
      </w:r>
      <w:r w:rsidRPr="00A611A6">
        <w:rPr>
          <w:rFonts w:ascii="Times New Roman" w:hAnsi="Times New Roman" w:cs="Times New Roman"/>
          <w:sz w:val="24"/>
          <w:szCs w:val="24"/>
        </w:rPr>
        <w:t xml:space="preserve"> OPA is n</w:t>
      </w:r>
      <w:r w:rsidR="00EC0625" w:rsidRPr="00A611A6">
        <w:rPr>
          <w:rFonts w:ascii="Times New Roman" w:hAnsi="Times New Roman" w:cs="Times New Roman"/>
          <w:sz w:val="24"/>
          <w:szCs w:val="24"/>
        </w:rPr>
        <w:t xml:space="preserve">ot currently collecting data on these important sustainability elements for grantees and service sites. </w:t>
      </w:r>
      <w:r w:rsidR="00B13D23" w:rsidRPr="00A611A6">
        <w:rPr>
          <w:rFonts w:ascii="Times New Roman" w:hAnsi="Times New Roman" w:cs="Times New Roman"/>
          <w:sz w:val="24"/>
          <w:szCs w:val="24"/>
        </w:rPr>
        <w:t>The proposed survey tool will inform OPA around which forms of technical assistance will be most useful to grantees</w:t>
      </w:r>
      <w:r w:rsidR="00450EFA" w:rsidRPr="00A611A6">
        <w:rPr>
          <w:rFonts w:ascii="Times New Roman" w:hAnsi="Times New Roman" w:cs="Times New Roman"/>
          <w:sz w:val="24"/>
          <w:szCs w:val="24"/>
        </w:rPr>
        <w:t>, and help OPA better inform the department as to the financial viability of Title X centers</w:t>
      </w:r>
      <w:r w:rsidR="00B13D23" w:rsidRPr="00A611A6">
        <w:rPr>
          <w:rFonts w:ascii="Times New Roman" w:hAnsi="Times New Roman" w:cs="Times New Roman"/>
          <w:sz w:val="24"/>
          <w:szCs w:val="24"/>
        </w:rPr>
        <w:t xml:space="preserve">. </w:t>
      </w:r>
      <w:r w:rsidR="00EC0625" w:rsidRPr="00A611A6">
        <w:rPr>
          <w:rFonts w:ascii="Times New Roman" w:hAnsi="Times New Roman" w:cs="Times New Roman"/>
          <w:sz w:val="24"/>
          <w:szCs w:val="24"/>
        </w:rPr>
        <w:t xml:space="preserve">OPA will not use collected data to make funding </w:t>
      </w:r>
      <w:r w:rsidR="00EC0625" w:rsidRPr="00F67A1E">
        <w:rPr>
          <w:rFonts w:ascii="Times New Roman" w:hAnsi="Times New Roman" w:cs="Times New Roman"/>
          <w:sz w:val="24"/>
          <w:szCs w:val="24"/>
        </w:rPr>
        <w:t xml:space="preserve">decisions, but </w:t>
      </w:r>
      <w:r w:rsidR="006349E4" w:rsidRPr="00F67A1E">
        <w:rPr>
          <w:rFonts w:ascii="Times New Roman" w:hAnsi="Times New Roman" w:cs="Times New Roman"/>
          <w:sz w:val="24"/>
          <w:szCs w:val="24"/>
        </w:rPr>
        <w:t>will utilize it to assess the need for additional resources to improve the sustainability of the Title X network.</w:t>
      </w:r>
    </w:p>
    <w:p w14:paraId="3386FA69" w14:textId="77777777" w:rsidR="00F67A1E" w:rsidRDefault="00F67A1E" w:rsidP="00F67A1E">
      <w:pPr>
        <w:ind w:left="90"/>
        <w:rPr>
          <w:rFonts w:ascii="Times New Roman" w:hAnsi="Times New Roman" w:cs="Times New Roman"/>
          <w:sz w:val="24"/>
          <w:szCs w:val="24"/>
        </w:rPr>
      </w:pPr>
      <w:r w:rsidRPr="00F67A1E">
        <w:rPr>
          <w:rFonts w:ascii="Times New Roman" w:hAnsi="Times New Roman" w:cs="Times New Roman"/>
          <w:sz w:val="24"/>
          <w:szCs w:val="24"/>
        </w:rPr>
        <w:t>Data will be collected electronically using two sets of survey questions. One set will be questions for overall grantees to assess their role and knowledge of local and state level policies and their monitoring of enrollment efforts care quality for the service sites they oversee.</w:t>
      </w:r>
    </w:p>
    <w:p w14:paraId="5C4163C9" w14:textId="77777777" w:rsidR="00F67A1E" w:rsidRPr="00F67A1E" w:rsidRDefault="00F67A1E" w:rsidP="00F67A1E">
      <w:pPr>
        <w:ind w:left="90"/>
        <w:rPr>
          <w:rFonts w:ascii="Times New Roman" w:hAnsi="Times New Roman" w:cs="Times New Roman"/>
          <w:sz w:val="24"/>
          <w:szCs w:val="24"/>
        </w:rPr>
      </w:pPr>
      <w:r w:rsidRPr="00F67A1E">
        <w:rPr>
          <w:rFonts w:ascii="Times New Roman" w:hAnsi="Times New Roman" w:cs="Times New Roman"/>
          <w:sz w:val="24"/>
          <w:szCs w:val="24"/>
        </w:rPr>
        <w:t xml:space="preserve">Data will separately be collected from services sites to assess their efforts related to; 1) assisting individuals in obtaining health insurance; </w:t>
      </w:r>
      <w:commentRangeStart w:id="3"/>
      <w:commentRangeStart w:id="4"/>
      <w:r w:rsidRPr="00F67A1E">
        <w:rPr>
          <w:rFonts w:ascii="Times New Roman" w:hAnsi="Times New Roman" w:cs="Times New Roman"/>
          <w:sz w:val="24"/>
          <w:szCs w:val="24"/>
        </w:rPr>
        <w:t>2) partnerships with primary care providers; 3) availability and use of electronic health records; 4) monitoring patient care quality;</w:t>
      </w:r>
      <w:commentRangeEnd w:id="3"/>
      <w:r w:rsidR="00F47ABF">
        <w:rPr>
          <w:rStyle w:val="CommentReference"/>
        </w:rPr>
        <w:commentReference w:id="3"/>
      </w:r>
      <w:commentRangeEnd w:id="4"/>
      <w:r w:rsidR="004E0049">
        <w:rPr>
          <w:rStyle w:val="CommentReference"/>
        </w:rPr>
        <w:commentReference w:id="4"/>
      </w:r>
      <w:r w:rsidRPr="00F67A1E">
        <w:rPr>
          <w:rFonts w:ascii="Times New Roman" w:hAnsi="Times New Roman" w:cs="Times New Roman"/>
          <w:sz w:val="24"/>
          <w:szCs w:val="24"/>
        </w:rPr>
        <w:t xml:space="preserve"> 5) factors affecting revenue sources; and 6) the way that sites conduct analyses to consider the cost of providing services.</w:t>
      </w:r>
    </w:p>
    <w:p w14:paraId="539E0776" w14:textId="77777777" w:rsidR="00F67A1E" w:rsidRPr="00A611A6" w:rsidRDefault="00F67A1E" w:rsidP="00832F45">
      <w:pPr>
        <w:ind w:left="90"/>
        <w:rPr>
          <w:rFonts w:ascii="Times New Roman" w:hAnsi="Times New Roman" w:cs="Times New Roman"/>
          <w:sz w:val="24"/>
          <w:szCs w:val="24"/>
        </w:rPr>
      </w:pPr>
    </w:p>
    <w:p w14:paraId="709113DA" w14:textId="77777777" w:rsidR="00A9329B" w:rsidRDefault="00A9329B" w:rsidP="00832F45">
      <w:pPr>
        <w:ind w:left="90"/>
        <w:rPr>
          <w:rFonts w:ascii="Times New Roman" w:hAnsi="Times New Roman" w:cs="Times New Roman"/>
          <w:sz w:val="24"/>
          <w:szCs w:val="24"/>
        </w:rPr>
      </w:pPr>
      <w:r w:rsidRPr="00A611A6">
        <w:rPr>
          <w:rFonts w:ascii="Times New Roman" w:hAnsi="Times New Roman" w:cs="Times New Roman"/>
          <w:b/>
          <w:bCs/>
          <w:sz w:val="24"/>
          <w:szCs w:val="24"/>
        </w:rPr>
        <w:lastRenderedPageBreak/>
        <w:t>Attachment A</w:t>
      </w:r>
      <w:r w:rsidRPr="00A611A6">
        <w:rPr>
          <w:rFonts w:ascii="Times New Roman" w:hAnsi="Times New Roman" w:cs="Times New Roman"/>
          <w:sz w:val="24"/>
          <w:szCs w:val="24"/>
        </w:rPr>
        <w:t xml:space="preserve"> to this statement contains a copy of the authorizing Title X program regulations that necessitate the collection of the information, </w:t>
      </w:r>
      <w:r w:rsidRPr="00A611A6">
        <w:rPr>
          <w:rFonts w:ascii="Times New Roman" w:hAnsi="Times New Roman" w:cs="Times New Roman"/>
          <w:b/>
          <w:bCs/>
          <w:sz w:val="24"/>
          <w:szCs w:val="24"/>
        </w:rPr>
        <w:t>Attachment B</w:t>
      </w:r>
      <w:r w:rsidRPr="00A611A6">
        <w:rPr>
          <w:rFonts w:ascii="Times New Roman" w:hAnsi="Times New Roman" w:cs="Times New Roman"/>
          <w:sz w:val="24"/>
          <w:szCs w:val="24"/>
        </w:rPr>
        <w:t xml:space="preserve"> is the </w:t>
      </w:r>
      <w:r w:rsidR="00C236C6" w:rsidRPr="00A611A6">
        <w:rPr>
          <w:rFonts w:ascii="Times New Roman" w:hAnsi="Times New Roman" w:cs="Times New Roman"/>
          <w:iCs/>
          <w:sz w:val="24"/>
          <w:szCs w:val="24"/>
        </w:rPr>
        <w:t xml:space="preserve">proposed data collection survey for Title X grantees, and </w:t>
      </w:r>
      <w:r w:rsidR="00C236C6" w:rsidRPr="00A611A6">
        <w:rPr>
          <w:rFonts w:ascii="Times New Roman" w:hAnsi="Times New Roman" w:cs="Times New Roman"/>
          <w:b/>
          <w:iCs/>
          <w:sz w:val="24"/>
          <w:szCs w:val="24"/>
        </w:rPr>
        <w:t>Attachment C</w:t>
      </w:r>
      <w:r w:rsidR="00C236C6" w:rsidRPr="00A611A6">
        <w:rPr>
          <w:rFonts w:ascii="Times New Roman" w:hAnsi="Times New Roman" w:cs="Times New Roman"/>
          <w:iCs/>
          <w:sz w:val="24"/>
          <w:szCs w:val="24"/>
        </w:rPr>
        <w:t xml:space="preserve"> is the proposed data collection survey for Title X service sites</w:t>
      </w:r>
      <w:r w:rsidR="00CF04A5" w:rsidRPr="00A611A6">
        <w:rPr>
          <w:rFonts w:ascii="Times New Roman" w:hAnsi="Times New Roman" w:cs="Times New Roman"/>
          <w:sz w:val="24"/>
          <w:szCs w:val="24"/>
        </w:rPr>
        <w:t>.</w:t>
      </w:r>
    </w:p>
    <w:p w14:paraId="08B3982C" w14:textId="77777777" w:rsidR="00F67A1E" w:rsidRPr="00A611A6" w:rsidRDefault="00F67A1E" w:rsidP="00832F45">
      <w:pPr>
        <w:ind w:left="90"/>
        <w:rPr>
          <w:rFonts w:ascii="Times New Roman" w:hAnsi="Times New Roman" w:cs="Times New Roman"/>
          <w:sz w:val="24"/>
          <w:szCs w:val="24"/>
        </w:rPr>
      </w:pPr>
    </w:p>
    <w:p w14:paraId="6CE17AC4" w14:textId="77777777" w:rsidR="00FF5F9C" w:rsidRPr="00B94700" w:rsidRDefault="00FF5F9C" w:rsidP="00E06C74">
      <w:pPr>
        <w:pStyle w:val="Heading3"/>
        <w:numPr>
          <w:ilvl w:val="0"/>
          <w:numId w:val="2"/>
        </w:numPr>
        <w:ind w:left="360"/>
        <w:rPr>
          <w:color w:val="auto"/>
          <w:u w:val="single"/>
        </w:rPr>
      </w:pPr>
      <w:bookmarkStart w:id="5" w:name="_Toc401127371"/>
      <w:r w:rsidRPr="00B94700">
        <w:rPr>
          <w:color w:val="auto"/>
          <w:u w:val="single"/>
        </w:rPr>
        <w:t>Purpose and Use of Information Collection</w:t>
      </w:r>
      <w:bookmarkEnd w:id="5"/>
    </w:p>
    <w:p w14:paraId="212FA68B" w14:textId="77777777" w:rsidR="004E2FDD" w:rsidRDefault="004E2FDD" w:rsidP="00160209">
      <w:pPr>
        <w:pStyle w:val="NoSpacing"/>
      </w:pPr>
    </w:p>
    <w:p w14:paraId="3C14E75B" w14:textId="77777777" w:rsidR="006842D2" w:rsidRPr="00A611A6" w:rsidRDefault="00A611A6" w:rsidP="006842D2">
      <w:pPr>
        <w:pStyle w:val="NoSpacing"/>
        <w:rPr>
          <w:rFonts w:ascii="Times New Roman" w:hAnsi="Times New Roman" w:cs="Times New Roman"/>
          <w:sz w:val="24"/>
          <w:szCs w:val="24"/>
        </w:rPr>
      </w:pPr>
      <w:r>
        <w:rPr>
          <w:rFonts w:ascii="Times New Roman" w:hAnsi="Times New Roman" w:cs="Times New Roman"/>
          <w:sz w:val="24"/>
          <w:szCs w:val="24"/>
        </w:rPr>
        <w:t xml:space="preserve">This data collection is necessary to explain trends in client volume, insurance status of clients and revenue sources for Title X centers (data already collected in FPAR). </w:t>
      </w:r>
      <w:r w:rsidR="00C469A4">
        <w:rPr>
          <w:rFonts w:ascii="Times New Roman" w:hAnsi="Times New Roman" w:cs="Times New Roman"/>
          <w:sz w:val="24"/>
          <w:szCs w:val="24"/>
        </w:rPr>
        <w:t xml:space="preserve">FPAR data is collected in aggregate for the 4200 centers through 93 grantees. This data will be collected directly from individual centers in order to explain national trends in FPAR data. </w:t>
      </w:r>
    </w:p>
    <w:p w14:paraId="08FC6521" w14:textId="77777777" w:rsidR="006842D2" w:rsidRPr="00A611A6" w:rsidRDefault="006842D2" w:rsidP="00160209">
      <w:pPr>
        <w:pStyle w:val="NoSpacing"/>
        <w:rPr>
          <w:rFonts w:ascii="Times New Roman" w:hAnsi="Times New Roman" w:cs="Times New Roman"/>
          <w:sz w:val="24"/>
          <w:szCs w:val="24"/>
        </w:rPr>
      </w:pPr>
    </w:p>
    <w:p w14:paraId="55C05903" w14:textId="77777777" w:rsidR="00BD429F" w:rsidRPr="00A611A6" w:rsidRDefault="00BD429F" w:rsidP="00160209">
      <w:pPr>
        <w:pStyle w:val="NoSpacing"/>
        <w:rPr>
          <w:rFonts w:ascii="Times New Roman" w:hAnsi="Times New Roman" w:cs="Times New Roman"/>
          <w:sz w:val="24"/>
          <w:szCs w:val="24"/>
        </w:rPr>
      </w:pPr>
      <w:r w:rsidRPr="00A611A6">
        <w:rPr>
          <w:rFonts w:ascii="Times New Roman" w:hAnsi="Times New Roman" w:cs="Times New Roman"/>
          <w:sz w:val="24"/>
          <w:szCs w:val="24"/>
        </w:rPr>
        <w:t>OPA will utilize these data in t</w:t>
      </w:r>
      <w:r w:rsidR="00C469A4">
        <w:rPr>
          <w:rFonts w:ascii="Times New Roman" w:hAnsi="Times New Roman" w:cs="Times New Roman"/>
          <w:sz w:val="24"/>
          <w:szCs w:val="24"/>
        </w:rPr>
        <w:t>hree</w:t>
      </w:r>
      <w:r w:rsidRPr="00A611A6">
        <w:rPr>
          <w:rFonts w:ascii="Times New Roman" w:hAnsi="Times New Roman" w:cs="Times New Roman"/>
          <w:sz w:val="24"/>
          <w:szCs w:val="24"/>
        </w:rPr>
        <w:t xml:space="preserve"> main ways: </w:t>
      </w:r>
    </w:p>
    <w:p w14:paraId="4F23A081" w14:textId="77777777" w:rsidR="00BD429F" w:rsidRPr="00A611A6" w:rsidRDefault="00BD429F" w:rsidP="00160209">
      <w:pPr>
        <w:pStyle w:val="NoSpacing"/>
        <w:rPr>
          <w:rFonts w:ascii="Times New Roman" w:hAnsi="Times New Roman" w:cs="Times New Roman"/>
          <w:sz w:val="24"/>
          <w:szCs w:val="24"/>
        </w:rPr>
      </w:pPr>
    </w:p>
    <w:p w14:paraId="24D15B98" w14:textId="7D88A267" w:rsidR="00417845" w:rsidRPr="00A611A6" w:rsidRDefault="00BD429F" w:rsidP="00160209">
      <w:pPr>
        <w:pStyle w:val="NoSpacing"/>
        <w:rPr>
          <w:rFonts w:ascii="Times New Roman" w:hAnsi="Times New Roman" w:cs="Times New Roman"/>
          <w:sz w:val="24"/>
          <w:szCs w:val="24"/>
        </w:rPr>
      </w:pPr>
      <w:r w:rsidRPr="00A611A6">
        <w:rPr>
          <w:rFonts w:ascii="Times New Roman" w:hAnsi="Times New Roman" w:cs="Times New Roman"/>
          <w:sz w:val="24"/>
          <w:szCs w:val="24"/>
        </w:rPr>
        <w:t xml:space="preserve">First, </w:t>
      </w:r>
      <w:r w:rsidR="00417845" w:rsidRPr="00A611A6">
        <w:rPr>
          <w:rFonts w:ascii="Times New Roman" w:hAnsi="Times New Roman" w:cs="Times New Roman"/>
          <w:sz w:val="24"/>
          <w:szCs w:val="24"/>
        </w:rPr>
        <w:t xml:space="preserve">OPA needs to prepare grantees to operate in the new healthcare environment. OPA is unable understand where to direct resources without fully understanding the status of the network. For example, without quantitative data on where Title X centers are related to being able to contract with private health insurance plans, </w:t>
      </w:r>
      <w:r w:rsidR="00F67A1E">
        <w:rPr>
          <w:rFonts w:ascii="Times New Roman" w:hAnsi="Times New Roman" w:cs="Times New Roman"/>
          <w:sz w:val="24"/>
          <w:szCs w:val="24"/>
        </w:rPr>
        <w:t xml:space="preserve">OPA </w:t>
      </w:r>
      <w:proofErr w:type="spellStart"/>
      <w:r w:rsidR="00724553">
        <w:rPr>
          <w:rFonts w:ascii="Times New Roman" w:hAnsi="Times New Roman" w:cs="Times New Roman"/>
          <w:sz w:val="24"/>
          <w:szCs w:val="24"/>
        </w:rPr>
        <w:t>can</w:t>
      </w:r>
      <w:r w:rsidR="00724553">
        <w:rPr>
          <w:rFonts w:ascii="Times New Roman" w:hAnsi="Times New Roman" w:cs="Times New Roman"/>
          <w:sz w:val="24"/>
          <w:szCs w:val="24"/>
        </w:rPr>
        <w:t xml:space="preserve"> </w:t>
      </w:r>
      <w:r w:rsidR="00724553">
        <w:rPr>
          <w:rFonts w:ascii="Times New Roman" w:hAnsi="Times New Roman" w:cs="Times New Roman"/>
          <w:sz w:val="24"/>
          <w:szCs w:val="24"/>
        </w:rPr>
        <w:t>not</w:t>
      </w:r>
      <w:proofErr w:type="spellEnd"/>
      <w:r w:rsidR="00F67A1E">
        <w:rPr>
          <w:rFonts w:ascii="Times New Roman" w:hAnsi="Times New Roman" w:cs="Times New Roman"/>
          <w:sz w:val="24"/>
          <w:szCs w:val="24"/>
        </w:rPr>
        <w:t xml:space="preserve"> </w:t>
      </w:r>
      <w:r w:rsidR="00F67A1E">
        <w:rPr>
          <w:rFonts w:ascii="Times New Roman" w:hAnsi="Times New Roman" w:cs="Times New Roman"/>
          <w:sz w:val="24"/>
          <w:szCs w:val="24"/>
        </w:rPr>
        <w:t>assess</w:t>
      </w:r>
      <w:r w:rsidR="00417845" w:rsidRPr="00A611A6">
        <w:rPr>
          <w:rFonts w:ascii="Times New Roman" w:hAnsi="Times New Roman" w:cs="Times New Roman"/>
          <w:sz w:val="24"/>
          <w:szCs w:val="24"/>
        </w:rPr>
        <w:t xml:space="preserve"> what revenue sources will look like for Title X funded centers. This hinders OPA’s ability to advise </w:t>
      </w:r>
      <w:r w:rsidR="00F67A1E">
        <w:rPr>
          <w:rFonts w:ascii="Times New Roman" w:hAnsi="Times New Roman" w:cs="Times New Roman"/>
          <w:sz w:val="24"/>
          <w:szCs w:val="24"/>
        </w:rPr>
        <w:t xml:space="preserve">HHS </w:t>
      </w:r>
      <w:r w:rsidR="00417845" w:rsidRPr="00A611A6">
        <w:rPr>
          <w:rFonts w:ascii="Times New Roman" w:hAnsi="Times New Roman" w:cs="Times New Roman"/>
          <w:sz w:val="24"/>
          <w:szCs w:val="24"/>
        </w:rPr>
        <w:t xml:space="preserve">as to </w:t>
      </w:r>
      <w:r w:rsidR="0035072E" w:rsidRPr="00A611A6">
        <w:rPr>
          <w:rFonts w:ascii="Times New Roman" w:hAnsi="Times New Roman" w:cs="Times New Roman"/>
          <w:sz w:val="24"/>
          <w:szCs w:val="24"/>
        </w:rPr>
        <w:t>the future fu</w:t>
      </w:r>
      <w:r w:rsidR="00C469A4">
        <w:rPr>
          <w:rFonts w:ascii="Times New Roman" w:hAnsi="Times New Roman" w:cs="Times New Roman"/>
          <w:sz w:val="24"/>
          <w:szCs w:val="24"/>
        </w:rPr>
        <w:t>nding needs of Title X centers. OPA also needs this inform</w:t>
      </w:r>
      <w:r w:rsidR="00F67A1E">
        <w:rPr>
          <w:rFonts w:ascii="Times New Roman" w:hAnsi="Times New Roman" w:cs="Times New Roman"/>
          <w:sz w:val="24"/>
          <w:szCs w:val="24"/>
        </w:rPr>
        <w:t>ation to understand where to direct</w:t>
      </w:r>
      <w:r w:rsidR="00C469A4">
        <w:rPr>
          <w:rFonts w:ascii="Times New Roman" w:hAnsi="Times New Roman" w:cs="Times New Roman"/>
          <w:sz w:val="24"/>
          <w:szCs w:val="24"/>
        </w:rPr>
        <w:t xml:space="preserve"> resources</w:t>
      </w:r>
      <w:r w:rsidR="00F67A1E">
        <w:rPr>
          <w:rFonts w:ascii="Times New Roman" w:hAnsi="Times New Roman" w:cs="Times New Roman"/>
          <w:sz w:val="24"/>
          <w:szCs w:val="24"/>
        </w:rPr>
        <w:t xml:space="preserve"> to grantees</w:t>
      </w:r>
      <w:r w:rsidR="00C469A4">
        <w:rPr>
          <w:rFonts w:ascii="Times New Roman" w:hAnsi="Times New Roman" w:cs="Times New Roman"/>
          <w:sz w:val="24"/>
          <w:szCs w:val="24"/>
        </w:rPr>
        <w:t xml:space="preserve">. </w:t>
      </w:r>
      <w:commentRangeStart w:id="6"/>
      <w:commentRangeStart w:id="7"/>
      <w:r w:rsidR="00C469A4">
        <w:rPr>
          <w:rFonts w:ascii="Times New Roman" w:hAnsi="Times New Roman" w:cs="Times New Roman"/>
          <w:sz w:val="24"/>
          <w:szCs w:val="24"/>
        </w:rPr>
        <w:t>In 2013, OPA provided funding</w:t>
      </w:r>
      <w:r w:rsidR="00F67A1E">
        <w:rPr>
          <w:rFonts w:ascii="Times New Roman" w:hAnsi="Times New Roman" w:cs="Times New Roman"/>
          <w:sz w:val="24"/>
          <w:szCs w:val="24"/>
        </w:rPr>
        <w:t xml:space="preserve"> for sites to purchase and upgra</w:t>
      </w:r>
      <w:r w:rsidR="00C469A4">
        <w:rPr>
          <w:rFonts w:ascii="Times New Roman" w:hAnsi="Times New Roman" w:cs="Times New Roman"/>
          <w:sz w:val="24"/>
          <w:szCs w:val="24"/>
        </w:rPr>
        <w:t xml:space="preserve">de EHR systems. Without quantitative information on the state of EHR use amongst all the Title X centers, OPA </w:t>
      </w:r>
      <w:proofErr w:type="spellStart"/>
      <w:r w:rsidR="00724553">
        <w:rPr>
          <w:rFonts w:ascii="Times New Roman" w:hAnsi="Times New Roman" w:cs="Times New Roman"/>
          <w:sz w:val="24"/>
          <w:szCs w:val="24"/>
        </w:rPr>
        <w:t>can not</w:t>
      </w:r>
      <w:proofErr w:type="spellEnd"/>
      <w:r w:rsidR="00C469A4">
        <w:rPr>
          <w:rFonts w:ascii="Times New Roman" w:hAnsi="Times New Roman" w:cs="Times New Roman"/>
          <w:sz w:val="24"/>
          <w:szCs w:val="24"/>
        </w:rPr>
        <w:t xml:space="preserve"> </w:t>
      </w:r>
      <w:r w:rsidR="00C469A4">
        <w:rPr>
          <w:rFonts w:ascii="Times New Roman" w:hAnsi="Times New Roman" w:cs="Times New Roman"/>
          <w:sz w:val="24"/>
          <w:szCs w:val="24"/>
        </w:rPr>
        <w:t xml:space="preserve">assess whether this is a good investment in future years. </w:t>
      </w:r>
      <w:commentRangeEnd w:id="6"/>
      <w:r w:rsidR="0029166F">
        <w:rPr>
          <w:rStyle w:val="CommentReference"/>
        </w:rPr>
        <w:commentReference w:id="6"/>
      </w:r>
      <w:commentRangeEnd w:id="7"/>
      <w:r w:rsidR="00724553">
        <w:rPr>
          <w:rStyle w:val="CommentReference"/>
        </w:rPr>
        <w:commentReference w:id="7"/>
      </w:r>
    </w:p>
    <w:p w14:paraId="0EB38AD2" w14:textId="77777777" w:rsidR="00417845" w:rsidRPr="00A611A6" w:rsidRDefault="00417845" w:rsidP="00160209">
      <w:pPr>
        <w:pStyle w:val="NoSpacing"/>
        <w:rPr>
          <w:rFonts w:ascii="Times New Roman" w:hAnsi="Times New Roman" w:cs="Times New Roman"/>
          <w:sz w:val="24"/>
          <w:szCs w:val="24"/>
        </w:rPr>
      </w:pPr>
    </w:p>
    <w:p w14:paraId="18E16166" w14:textId="1AE4CBAF" w:rsidR="00C262AB" w:rsidRDefault="00417845" w:rsidP="00160209">
      <w:pPr>
        <w:pStyle w:val="NoSpacing"/>
        <w:rPr>
          <w:rFonts w:ascii="Times New Roman" w:hAnsi="Times New Roman" w:cs="Times New Roman"/>
          <w:sz w:val="24"/>
          <w:szCs w:val="24"/>
        </w:rPr>
      </w:pPr>
      <w:r w:rsidRPr="00A611A6">
        <w:rPr>
          <w:rFonts w:ascii="Times New Roman" w:hAnsi="Times New Roman" w:cs="Times New Roman"/>
          <w:sz w:val="24"/>
          <w:szCs w:val="24"/>
        </w:rPr>
        <w:t xml:space="preserve">Second, </w:t>
      </w:r>
      <w:r w:rsidR="00BD429F" w:rsidRPr="00A611A6">
        <w:rPr>
          <w:rFonts w:ascii="Times New Roman" w:hAnsi="Times New Roman" w:cs="Times New Roman"/>
          <w:sz w:val="24"/>
          <w:szCs w:val="24"/>
        </w:rPr>
        <w:t>OPA funds five national training centers through six cooperative agreements .The training centers are charged with providing national training, resources and technical assistance to grantees. One training center is specifically dedicated to management and systems improvement. They are charged with providing one on one technical assi</w:t>
      </w:r>
      <w:r w:rsidR="00F67A1E">
        <w:rPr>
          <w:rFonts w:ascii="Times New Roman" w:hAnsi="Times New Roman" w:cs="Times New Roman"/>
          <w:sz w:val="24"/>
          <w:szCs w:val="24"/>
        </w:rPr>
        <w:t>stance to grantees in addition to</w:t>
      </w:r>
      <w:r w:rsidR="00BD429F" w:rsidRPr="00A611A6">
        <w:rPr>
          <w:rFonts w:ascii="Times New Roman" w:hAnsi="Times New Roman" w:cs="Times New Roman"/>
          <w:sz w:val="24"/>
          <w:szCs w:val="24"/>
        </w:rPr>
        <w:t xml:space="preserve"> national training and resources. OPA does not have specific data to </w:t>
      </w:r>
      <w:r w:rsidR="00F67A1E">
        <w:rPr>
          <w:rFonts w:ascii="Times New Roman" w:hAnsi="Times New Roman" w:cs="Times New Roman"/>
          <w:sz w:val="24"/>
          <w:szCs w:val="24"/>
        </w:rPr>
        <w:t xml:space="preserve">inform </w:t>
      </w:r>
      <w:r w:rsidR="00BD429F" w:rsidRPr="00A611A6">
        <w:rPr>
          <w:rFonts w:ascii="Times New Roman" w:hAnsi="Times New Roman" w:cs="Times New Roman"/>
          <w:sz w:val="24"/>
          <w:szCs w:val="24"/>
        </w:rPr>
        <w:t xml:space="preserve">the activities of these training centers to where they will be most useful. </w:t>
      </w:r>
      <w:commentRangeStart w:id="8"/>
      <w:commentRangeStart w:id="9"/>
      <w:r w:rsidR="00BD429F" w:rsidRPr="00A611A6">
        <w:rPr>
          <w:rFonts w:ascii="Times New Roman" w:hAnsi="Times New Roman" w:cs="Times New Roman"/>
          <w:sz w:val="24"/>
          <w:szCs w:val="24"/>
        </w:rPr>
        <w:t xml:space="preserve">For example, without specific information on what types of EHR systems exist within the Title X network, training centers </w:t>
      </w:r>
      <w:proofErr w:type="spellStart"/>
      <w:r w:rsidR="00BD429F" w:rsidRPr="00A611A6">
        <w:rPr>
          <w:rFonts w:ascii="Times New Roman" w:hAnsi="Times New Roman" w:cs="Times New Roman"/>
          <w:sz w:val="24"/>
          <w:szCs w:val="24"/>
        </w:rPr>
        <w:t>can not</w:t>
      </w:r>
      <w:proofErr w:type="spellEnd"/>
      <w:r w:rsidR="00BD429F" w:rsidRPr="00A611A6">
        <w:rPr>
          <w:rFonts w:ascii="Times New Roman" w:hAnsi="Times New Roman" w:cs="Times New Roman"/>
          <w:sz w:val="24"/>
          <w:szCs w:val="24"/>
        </w:rPr>
        <w:t xml:space="preserve"> develop resources to help grantees understand how to use their EHR’s. </w:t>
      </w:r>
      <w:commentRangeEnd w:id="8"/>
      <w:r w:rsidR="0029166F">
        <w:rPr>
          <w:rStyle w:val="CommentReference"/>
        </w:rPr>
        <w:commentReference w:id="8"/>
      </w:r>
      <w:commentRangeEnd w:id="9"/>
      <w:r w:rsidR="00CC3E62">
        <w:rPr>
          <w:rStyle w:val="CommentReference"/>
        </w:rPr>
        <w:commentReference w:id="9"/>
      </w:r>
      <w:r w:rsidR="00BD429F" w:rsidRPr="00A611A6">
        <w:rPr>
          <w:rFonts w:ascii="Times New Roman" w:hAnsi="Times New Roman" w:cs="Times New Roman"/>
          <w:sz w:val="24"/>
          <w:szCs w:val="24"/>
        </w:rPr>
        <w:t>Data collected from this effort will b</w:t>
      </w:r>
      <w:r w:rsidRPr="00A611A6">
        <w:rPr>
          <w:rFonts w:ascii="Times New Roman" w:hAnsi="Times New Roman" w:cs="Times New Roman"/>
          <w:sz w:val="24"/>
          <w:szCs w:val="24"/>
        </w:rPr>
        <w:t xml:space="preserve">e used to inform the work of the training centers so they can better support the Title X grantees. </w:t>
      </w:r>
      <w:r w:rsidR="00BD429F" w:rsidRPr="00A611A6">
        <w:rPr>
          <w:rFonts w:ascii="Times New Roman" w:hAnsi="Times New Roman" w:cs="Times New Roman"/>
          <w:sz w:val="24"/>
          <w:szCs w:val="24"/>
        </w:rPr>
        <w:t xml:space="preserve"> </w:t>
      </w:r>
    </w:p>
    <w:p w14:paraId="196247FF" w14:textId="77777777" w:rsidR="00C469A4" w:rsidRDefault="00C469A4" w:rsidP="00160209">
      <w:pPr>
        <w:pStyle w:val="NoSpacing"/>
        <w:rPr>
          <w:rFonts w:ascii="Times New Roman" w:hAnsi="Times New Roman" w:cs="Times New Roman"/>
          <w:sz w:val="24"/>
          <w:szCs w:val="24"/>
        </w:rPr>
      </w:pPr>
    </w:p>
    <w:p w14:paraId="6A70AF1E" w14:textId="77777777" w:rsidR="00C469A4" w:rsidRDefault="00C469A4" w:rsidP="00160209">
      <w:pPr>
        <w:pStyle w:val="NoSpacing"/>
        <w:rPr>
          <w:rFonts w:ascii="Times New Roman" w:hAnsi="Times New Roman" w:cs="Times New Roman"/>
          <w:sz w:val="24"/>
          <w:szCs w:val="24"/>
        </w:rPr>
      </w:pPr>
      <w:r>
        <w:rPr>
          <w:rFonts w:ascii="Times New Roman" w:hAnsi="Times New Roman" w:cs="Times New Roman"/>
          <w:sz w:val="24"/>
          <w:szCs w:val="24"/>
        </w:rPr>
        <w:t xml:space="preserve">Third, OPA works with several partners within HHS and external stakeholders to assist publicly funded family planning centers and provide leadership in the area of family planning. OPA needs information on challenges Title X centers are facing to more effectively work with our partners. For example, one such area is assisting Title X and similar centers with obtaining contracts with health insurance plans, including those who sell qualified health plans in the new health care marketplace. In order to better work with national stakeholders and provide needed assistance, </w:t>
      </w:r>
      <w:commentRangeStart w:id="10"/>
      <w:commentRangeStart w:id="11"/>
      <w:r>
        <w:rPr>
          <w:rFonts w:ascii="Times New Roman" w:hAnsi="Times New Roman" w:cs="Times New Roman"/>
          <w:sz w:val="24"/>
          <w:szCs w:val="24"/>
        </w:rPr>
        <w:t xml:space="preserve">OPA needs to understand how Title X centers contract with private plans and challenges they are facing so we can work with the appropriate HHS entities to address these barriers. </w:t>
      </w:r>
      <w:commentRangeEnd w:id="10"/>
      <w:r w:rsidR="0029166F">
        <w:rPr>
          <w:rStyle w:val="CommentReference"/>
        </w:rPr>
        <w:commentReference w:id="10"/>
      </w:r>
      <w:commentRangeEnd w:id="11"/>
      <w:r w:rsidR="0007473A">
        <w:rPr>
          <w:rStyle w:val="CommentReference"/>
        </w:rPr>
        <w:commentReference w:id="11"/>
      </w:r>
    </w:p>
    <w:p w14:paraId="7FFAF58D" w14:textId="77777777" w:rsidR="00C469A4" w:rsidRDefault="00C469A4" w:rsidP="00160209">
      <w:pPr>
        <w:pStyle w:val="NoSpacing"/>
        <w:rPr>
          <w:rFonts w:ascii="Times New Roman" w:hAnsi="Times New Roman" w:cs="Times New Roman"/>
          <w:sz w:val="24"/>
          <w:szCs w:val="24"/>
        </w:rPr>
      </w:pPr>
    </w:p>
    <w:p w14:paraId="59AB1264" w14:textId="77777777" w:rsidR="00C469A4" w:rsidRDefault="00C469A4" w:rsidP="00160209">
      <w:pPr>
        <w:pStyle w:val="NoSpacing"/>
        <w:rPr>
          <w:rFonts w:ascii="Times New Roman" w:hAnsi="Times New Roman" w:cs="Times New Roman"/>
          <w:sz w:val="24"/>
          <w:szCs w:val="24"/>
        </w:rPr>
      </w:pPr>
      <w:r>
        <w:rPr>
          <w:rFonts w:ascii="Times New Roman" w:hAnsi="Times New Roman" w:cs="Times New Roman"/>
          <w:sz w:val="24"/>
          <w:szCs w:val="24"/>
        </w:rPr>
        <w:lastRenderedPageBreak/>
        <w:t>In conclusion, OPA will utilize this information to better understand factors that are affecting the long term financial viability of Title X centers and better channel resources to provide assistance to Title X centers and better inform HHS of the future needs of the Title X program.</w:t>
      </w:r>
    </w:p>
    <w:p w14:paraId="12ED5D06" w14:textId="77777777" w:rsidR="00F67A1E" w:rsidRPr="00A611A6" w:rsidRDefault="00F67A1E" w:rsidP="00160209">
      <w:pPr>
        <w:pStyle w:val="NoSpacing"/>
        <w:rPr>
          <w:rFonts w:ascii="Times New Roman" w:hAnsi="Times New Roman" w:cs="Times New Roman"/>
          <w:sz w:val="24"/>
          <w:szCs w:val="24"/>
        </w:rPr>
      </w:pPr>
    </w:p>
    <w:p w14:paraId="371668BA" w14:textId="77777777" w:rsidR="00FF5F9C" w:rsidRPr="00B94700" w:rsidRDefault="00FF5F9C" w:rsidP="00160209">
      <w:pPr>
        <w:pStyle w:val="Heading3"/>
        <w:numPr>
          <w:ilvl w:val="0"/>
          <w:numId w:val="2"/>
        </w:numPr>
        <w:ind w:left="360"/>
        <w:rPr>
          <w:color w:val="auto"/>
          <w:u w:val="single"/>
        </w:rPr>
      </w:pPr>
      <w:bookmarkStart w:id="13" w:name="_Toc401127372"/>
      <w:r w:rsidRPr="00B94700">
        <w:rPr>
          <w:color w:val="auto"/>
          <w:u w:val="single"/>
        </w:rPr>
        <w:t>Use of Improved Information Technology and Burden Reduction</w:t>
      </w:r>
      <w:bookmarkEnd w:id="13"/>
    </w:p>
    <w:p w14:paraId="71BC6E3A" w14:textId="77777777" w:rsidR="00915C31" w:rsidRDefault="00915C31" w:rsidP="00C262AB">
      <w:pPr>
        <w:pStyle w:val="NoSpacing"/>
        <w:rPr>
          <w:sz w:val="20"/>
          <w:szCs w:val="20"/>
        </w:rPr>
      </w:pPr>
    </w:p>
    <w:p w14:paraId="64DD8BEC" w14:textId="77777777" w:rsidR="003E72D5" w:rsidRDefault="00915C31" w:rsidP="003E72D5">
      <w:pPr>
        <w:pStyle w:val="NoSpacing"/>
        <w:rPr>
          <w:rFonts w:ascii="Times New Roman" w:hAnsi="Times New Roman" w:cs="Times New Roman"/>
          <w:sz w:val="24"/>
          <w:szCs w:val="24"/>
        </w:rPr>
      </w:pPr>
      <w:r w:rsidRPr="003E72D5">
        <w:rPr>
          <w:rFonts w:ascii="Times New Roman" w:hAnsi="Times New Roman" w:cs="Times New Roman"/>
          <w:sz w:val="24"/>
          <w:szCs w:val="24"/>
        </w:rPr>
        <w:t xml:space="preserve">OPA central staff will utilize a web-based </w:t>
      </w:r>
      <w:r w:rsidR="00C262AB" w:rsidRPr="003E72D5">
        <w:rPr>
          <w:rFonts w:ascii="Times New Roman" w:hAnsi="Times New Roman" w:cs="Times New Roman"/>
          <w:sz w:val="24"/>
          <w:szCs w:val="24"/>
        </w:rPr>
        <w:t xml:space="preserve">survey platform called </w:t>
      </w:r>
      <w:proofErr w:type="spellStart"/>
      <w:r w:rsidR="00C262AB" w:rsidRPr="003E72D5">
        <w:rPr>
          <w:rFonts w:ascii="Times New Roman" w:hAnsi="Times New Roman" w:cs="Times New Roman"/>
          <w:sz w:val="24"/>
          <w:szCs w:val="24"/>
        </w:rPr>
        <w:t>SurveyMonkey</w:t>
      </w:r>
      <w:proofErr w:type="spellEnd"/>
      <w:r w:rsidR="00C262AB" w:rsidRPr="003E72D5">
        <w:rPr>
          <w:rFonts w:ascii="Times New Roman" w:hAnsi="Times New Roman" w:cs="Times New Roman"/>
          <w:sz w:val="24"/>
          <w:szCs w:val="24"/>
        </w:rPr>
        <w:t xml:space="preserve"> to collect the proposed sustainability assessment data</w:t>
      </w:r>
      <w:r w:rsidRPr="003E72D5">
        <w:rPr>
          <w:rFonts w:ascii="Times New Roman" w:hAnsi="Times New Roman" w:cs="Times New Roman"/>
          <w:sz w:val="24"/>
          <w:szCs w:val="24"/>
        </w:rPr>
        <w:t xml:space="preserve"> efficiently</w:t>
      </w:r>
      <w:r w:rsidR="00C262AB" w:rsidRPr="003E72D5">
        <w:rPr>
          <w:rFonts w:ascii="Times New Roman" w:hAnsi="Times New Roman" w:cs="Times New Roman"/>
          <w:sz w:val="24"/>
          <w:szCs w:val="24"/>
        </w:rPr>
        <w:t xml:space="preserve"> from Title X grantees and services sites. OPA utilized this survey platform to collect data in </w:t>
      </w:r>
      <w:proofErr w:type="gramStart"/>
      <w:r w:rsidR="00C262AB" w:rsidRPr="003E72D5">
        <w:rPr>
          <w:rFonts w:ascii="Times New Roman" w:hAnsi="Times New Roman" w:cs="Times New Roman"/>
          <w:sz w:val="24"/>
          <w:szCs w:val="24"/>
        </w:rPr>
        <w:t>Spring</w:t>
      </w:r>
      <w:proofErr w:type="gramEnd"/>
      <w:r w:rsidR="00C262AB" w:rsidRPr="003E72D5">
        <w:rPr>
          <w:rFonts w:ascii="Times New Roman" w:hAnsi="Times New Roman" w:cs="Times New Roman"/>
          <w:sz w:val="24"/>
          <w:szCs w:val="24"/>
        </w:rPr>
        <w:t xml:space="preserve"> 2014 on Title X Outreach and Enrollment efforts</w:t>
      </w:r>
      <w:r w:rsidRPr="003E72D5">
        <w:rPr>
          <w:rFonts w:ascii="Times New Roman" w:hAnsi="Times New Roman" w:cs="Times New Roman"/>
          <w:sz w:val="24"/>
          <w:szCs w:val="24"/>
        </w:rPr>
        <w:t xml:space="preserve"> and</w:t>
      </w:r>
      <w:r w:rsidR="00C262AB" w:rsidRPr="003E72D5">
        <w:rPr>
          <w:rFonts w:ascii="Times New Roman" w:hAnsi="Times New Roman" w:cs="Times New Roman"/>
          <w:sz w:val="24"/>
          <w:szCs w:val="24"/>
        </w:rPr>
        <w:t xml:space="preserve"> </w:t>
      </w:r>
      <w:r w:rsidRPr="003E72D5">
        <w:rPr>
          <w:rFonts w:ascii="Times New Roman" w:hAnsi="Times New Roman" w:cs="Times New Roman"/>
          <w:sz w:val="24"/>
          <w:szCs w:val="24"/>
        </w:rPr>
        <w:t>g</w:t>
      </w:r>
      <w:r w:rsidR="00C262AB" w:rsidRPr="003E72D5">
        <w:rPr>
          <w:rFonts w:ascii="Times New Roman" w:hAnsi="Times New Roman" w:cs="Times New Roman"/>
          <w:sz w:val="24"/>
          <w:szCs w:val="24"/>
        </w:rPr>
        <w:t>rantees appreciated the straightforward, electronic survey format. This data collection and reporting method reduces the time burden on grantees, as they only need to respond to multiple choice or brief fill-in-the blank questions, as opposed to drafting narratives and data tables in Microsoft Word or Excel.</w:t>
      </w:r>
      <w:r w:rsidRPr="003E72D5">
        <w:rPr>
          <w:rFonts w:ascii="Times New Roman" w:hAnsi="Times New Roman" w:cs="Times New Roman"/>
          <w:sz w:val="24"/>
          <w:szCs w:val="24"/>
        </w:rPr>
        <w:t xml:space="preserve"> Survey respondents do not need to do any further follow-up after clicking “submit,” and the results become immediately available to OPA</w:t>
      </w:r>
      <w:r w:rsidR="003E72D5">
        <w:rPr>
          <w:rFonts w:ascii="Times New Roman" w:hAnsi="Times New Roman" w:cs="Times New Roman"/>
          <w:sz w:val="24"/>
          <w:szCs w:val="24"/>
        </w:rPr>
        <w:t xml:space="preserve"> without the need for additional data entry</w:t>
      </w:r>
      <w:r w:rsidRPr="003E72D5">
        <w:rPr>
          <w:rFonts w:ascii="Times New Roman" w:hAnsi="Times New Roman" w:cs="Times New Roman"/>
          <w:sz w:val="24"/>
          <w:szCs w:val="24"/>
        </w:rPr>
        <w:t xml:space="preserve">. </w:t>
      </w:r>
      <w:bookmarkStart w:id="14" w:name="_Toc401127373"/>
    </w:p>
    <w:p w14:paraId="224DC975" w14:textId="77777777" w:rsidR="00A41B04" w:rsidRDefault="00A41B04" w:rsidP="003E72D5">
      <w:pPr>
        <w:pStyle w:val="NoSpacing"/>
        <w:rPr>
          <w:rFonts w:ascii="Times New Roman" w:hAnsi="Times New Roman" w:cs="Times New Roman"/>
          <w:sz w:val="24"/>
          <w:szCs w:val="24"/>
        </w:rPr>
      </w:pPr>
    </w:p>
    <w:p w14:paraId="1D36567D" w14:textId="77777777" w:rsidR="00A41B04" w:rsidRDefault="00A41B04" w:rsidP="003E72D5">
      <w:pPr>
        <w:pStyle w:val="NoSpacing"/>
        <w:rPr>
          <w:rFonts w:ascii="Times New Roman" w:hAnsi="Times New Roman" w:cs="Times New Roman"/>
          <w:sz w:val="24"/>
          <w:szCs w:val="24"/>
        </w:rPr>
      </w:pPr>
      <w:r>
        <w:rPr>
          <w:rFonts w:ascii="Times New Roman" w:hAnsi="Times New Roman" w:cs="Times New Roman"/>
          <w:sz w:val="24"/>
          <w:szCs w:val="24"/>
        </w:rPr>
        <w:t xml:space="preserve">The survey monkey site is available from any computer with an internet connection and survey responses can be saved. </w:t>
      </w:r>
    </w:p>
    <w:p w14:paraId="48A0A9BD" w14:textId="77777777" w:rsidR="003E72D5" w:rsidRPr="00B94700" w:rsidRDefault="003E72D5" w:rsidP="003E72D5">
      <w:pPr>
        <w:pStyle w:val="NoSpacing"/>
        <w:rPr>
          <w:rFonts w:ascii="Times New Roman" w:hAnsi="Times New Roman" w:cs="Times New Roman"/>
          <w:sz w:val="24"/>
          <w:szCs w:val="24"/>
        </w:rPr>
      </w:pPr>
    </w:p>
    <w:p w14:paraId="569C9791" w14:textId="77777777" w:rsidR="00FF5F9C" w:rsidRPr="00B94700" w:rsidRDefault="00FF5F9C" w:rsidP="00B94700">
      <w:pPr>
        <w:pStyle w:val="NoSpacing"/>
        <w:numPr>
          <w:ilvl w:val="0"/>
          <w:numId w:val="2"/>
        </w:numPr>
        <w:rPr>
          <w:b/>
          <w:sz w:val="24"/>
          <w:szCs w:val="24"/>
          <w:u w:val="single"/>
        </w:rPr>
      </w:pPr>
      <w:r w:rsidRPr="00B94700">
        <w:rPr>
          <w:b/>
          <w:sz w:val="24"/>
          <w:szCs w:val="24"/>
          <w:u w:val="single"/>
        </w:rPr>
        <w:t>Efforts to Identify Duplication and Use of Similar Information</w:t>
      </w:r>
      <w:bookmarkEnd w:id="14"/>
    </w:p>
    <w:p w14:paraId="506F82B2" w14:textId="77777777" w:rsidR="00A41B04" w:rsidRDefault="00A41B04" w:rsidP="003E72D5">
      <w:pPr>
        <w:pStyle w:val="NoSpacing"/>
        <w:rPr>
          <w:rFonts w:ascii="Times New Roman" w:hAnsi="Times New Roman" w:cs="Times New Roman"/>
          <w:sz w:val="24"/>
          <w:szCs w:val="24"/>
        </w:rPr>
      </w:pPr>
    </w:p>
    <w:p w14:paraId="60F5CB84" w14:textId="77777777" w:rsidR="00F67A1E" w:rsidRDefault="00A41B04" w:rsidP="003E72D5">
      <w:pPr>
        <w:pStyle w:val="NoSpacing"/>
        <w:rPr>
          <w:rFonts w:ascii="Times New Roman" w:hAnsi="Times New Roman" w:cs="Times New Roman"/>
          <w:sz w:val="24"/>
          <w:szCs w:val="24"/>
        </w:rPr>
      </w:pPr>
      <w:r>
        <w:rPr>
          <w:rFonts w:ascii="Times New Roman" w:hAnsi="Times New Roman" w:cs="Times New Roman"/>
          <w:sz w:val="24"/>
          <w:szCs w:val="24"/>
        </w:rPr>
        <w:t>Aside from OPA, t</w:t>
      </w:r>
      <w:r w:rsidRPr="00A41B04">
        <w:rPr>
          <w:rFonts w:ascii="Times New Roman" w:hAnsi="Times New Roman" w:cs="Times New Roman"/>
          <w:sz w:val="24"/>
          <w:szCs w:val="24"/>
        </w:rPr>
        <w:t xml:space="preserve">here are no other entities within HHS that collect data from Title X centers </w:t>
      </w:r>
      <w:r>
        <w:rPr>
          <w:rFonts w:ascii="Times New Roman" w:hAnsi="Times New Roman" w:cs="Times New Roman"/>
          <w:sz w:val="24"/>
          <w:szCs w:val="24"/>
        </w:rPr>
        <w:t xml:space="preserve">generally. The Health Resources and Services Administration (HRSA) collects information from federally qualified health centers (FQHC). Approximately 20% of Title X centers are also FQHC’s, however HRSA does not collect this data.  </w:t>
      </w:r>
    </w:p>
    <w:p w14:paraId="508D7386" w14:textId="77777777" w:rsidR="00F67A1E" w:rsidRDefault="00F67A1E" w:rsidP="003E72D5">
      <w:pPr>
        <w:pStyle w:val="NoSpacing"/>
        <w:rPr>
          <w:rFonts w:ascii="Times New Roman" w:hAnsi="Times New Roman" w:cs="Times New Roman"/>
          <w:sz w:val="24"/>
          <w:szCs w:val="24"/>
        </w:rPr>
      </w:pPr>
    </w:p>
    <w:p w14:paraId="5D95BD16" w14:textId="77777777" w:rsidR="00A41B04" w:rsidRDefault="00A41B04" w:rsidP="003E72D5">
      <w:pPr>
        <w:pStyle w:val="NoSpacing"/>
        <w:rPr>
          <w:rFonts w:ascii="Times New Roman" w:hAnsi="Times New Roman" w:cs="Times New Roman"/>
          <w:sz w:val="24"/>
          <w:szCs w:val="24"/>
        </w:rPr>
      </w:pPr>
      <w:r w:rsidRPr="00A41B04">
        <w:rPr>
          <w:rFonts w:ascii="Times New Roman" w:hAnsi="Times New Roman" w:cs="Times New Roman"/>
          <w:sz w:val="24"/>
          <w:szCs w:val="24"/>
        </w:rPr>
        <w:t xml:space="preserve">OPA has ensured that this data collection complements and does not duplicate data already collected through FPAR. </w:t>
      </w:r>
      <w:r>
        <w:rPr>
          <w:rFonts w:ascii="Times New Roman" w:hAnsi="Times New Roman" w:cs="Times New Roman"/>
          <w:sz w:val="24"/>
          <w:szCs w:val="24"/>
        </w:rPr>
        <w:t xml:space="preserve">Since the FPAR data collection system is designed to collect aggregate data from grantees, this is a new request and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added to FPAR. In order to understand the national trends seen in FPAR data, OPA needs qualitative information directly from service sites on the factors affecting these trends. Thus this separate data collection system is needed. </w:t>
      </w:r>
    </w:p>
    <w:p w14:paraId="5483D3ED" w14:textId="77777777" w:rsidR="00A41B04" w:rsidRDefault="00A41B04" w:rsidP="003E72D5">
      <w:pPr>
        <w:pStyle w:val="NoSpacing"/>
        <w:rPr>
          <w:rFonts w:ascii="Times New Roman" w:hAnsi="Times New Roman" w:cs="Times New Roman"/>
          <w:sz w:val="24"/>
          <w:szCs w:val="24"/>
        </w:rPr>
      </w:pPr>
    </w:p>
    <w:p w14:paraId="60660A41" w14:textId="77777777" w:rsidR="00A41B04" w:rsidRPr="00A41B04" w:rsidRDefault="00A41B04" w:rsidP="003E72D5">
      <w:pPr>
        <w:pStyle w:val="NoSpacing"/>
        <w:rPr>
          <w:rFonts w:ascii="Times New Roman" w:hAnsi="Times New Roman" w:cs="Times New Roman"/>
          <w:sz w:val="24"/>
          <w:szCs w:val="24"/>
        </w:rPr>
      </w:pPr>
      <w:r w:rsidRPr="00A41B04">
        <w:rPr>
          <w:rFonts w:ascii="Times New Roman" w:hAnsi="Times New Roman" w:cs="Times New Roman"/>
          <w:sz w:val="24"/>
          <w:szCs w:val="24"/>
        </w:rPr>
        <w:t>OPA has also worked with private entities that collect data from publicly funded family planning clinics to ensure that they are aware of this data collection and it does not duplicate any data they are planning to collect.</w:t>
      </w:r>
    </w:p>
    <w:p w14:paraId="45A453AD" w14:textId="77777777" w:rsidR="00A41B04" w:rsidRPr="00A41B04" w:rsidRDefault="00A41B04" w:rsidP="003E72D5">
      <w:pPr>
        <w:pStyle w:val="NoSpacing"/>
        <w:rPr>
          <w:sz w:val="24"/>
          <w:szCs w:val="24"/>
        </w:rPr>
      </w:pPr>
    </w:p>
    <w:p w14:paraId="4C2AFB8C" w14:textId="77777777" w:rsidR="00FF5F9C" w:rsidRPr="00B94700" w:rsidRDefault="00FF5F9C" w:rsidP="00B94700">
      <w:pPr>
        <w:pStyle w:val="Heading3"/>
        <w:numPr>
          <w:ilvl w:val="0"/>
          <w:numId w:val="2"/>
        </w:numPr>
        <w:rPr>
          <w:color w:val="auto"/>
          <w:u w:val="single"/>
        </w:rPr>
      </w:pPr>
      <w:bookmarkStart w:id="15" w:name="_Toc401127374"/>
      <w:r w:rsidRPr="00B94700">
        <w:rPr>
          <w:color w:val="auto"/>
          <w:u w:val="single"/>
        </w:rPr>
        <w:t>Impact on Small Businesses or Other Small Entities</w:t>
      </w:r>
      <w:bookmarkEnd w:id="15"/>
    </w:p>
    <w:p w14:paraId="280112B0" w14:textId="77777777" w:rsidR="00915C31" w:rsidRPr="00DE068D" w:rsidRDefault="00915C31" w:rsidP="00915C31">
      <w:pPr>
        <w:pStyle w:val="NoSpacing"/>
        <w:ind w:left="720"/>
        <w:rPr>
          <w:i/>
          <w:sz w:val="20"/>
        </w:rPr>
      </w:pPr>
    </w:p>
    <w:p w14:paraId="4C36A1D5" w14:textId="77777777" w:rsidR="00FF5F9C" w:rsidRPr="00A41B04" w:rsidRDefault="00A41B04" w:rsidP="00FF5F9C">
      <w:pPr>
        <w:rPr>
          <w:rFonts w:ascii="Times New Roman" w:hAnsi="Times New Roman" w:cs="Times New Roman"/>
          <w:sz w:val="24"/>
          <w:szCs w:val="24"/>
        </w:rPr>
      </w:pPr>
      <w:r>
        <w:rPr>
          <w:rFonts w:ascii="Times New Roman" w:hAnsi="Times New Roman" w:cs="Times New Roman"/>
          <w:sz w:val="24"/>
          <w:szCs w:val="24"/>
        </w:rPr>
        <w:t xml:space="preserve">This data will be collected from Title X centers using a mechanism </w:t>
      </w:r>
      <w:r w:rsidR="00F67A1E">
        <w:rPr>
          <w:rFonts w:ascii="Times New Roman" w:hAnsi="Times New Roman" w:cs="Times New Roman"/>
          <w:sz w:val="24"/>
          <w:szCs w:val="24"/>
        </w:rPr>
        <w:t xml:space="preserve">that has been used before. There is no specific impact to small businesses. </w:t>
      </w:r>
    </w:p>
    <w:p w14:paraId="66EB558C" w14:textId="77777777" w:rsidR="00FF5F9C" w:rsidRPr="00B94700" w:rsidRDefault="00FF5F9C" w:rsidP="00B94700">
      <w:pPr>
        <w:pStyle w:val="Heading3"/>
        <w:numPr>
          <w:ilvl w:val="0"/>
          <w:numId w:val="2"/>
        </w:numPr>
        <w:rPr>
          <w:color w:val="auto"/>
          <w:u w:val="single"/>
        </w:rPr>
      </w:pPr>
      <w:bookmarkStart w:id="16" w:name="_Toc401127375"/>
      <w:r w:rsidRPr="00B94700">
        <w:rPr>
          <w:color w:val="auto"/>
          <w:u w:val="single"/>
        </w:rPr>
        <w:t xml:space="preserve">Consequences of Collecting the Information </w:t>
      </w:r>
      <w:proofErr w:type="gramStart"/>
      <w:r w:rsidRPr="00B94700">
        <w:rPr>
          <w:color w:val="auto"/>
          <w:u w:val="single"/>
        </w:rPr>
        <w:t>Less</w:t>
      </w:r>
      <w:proofErr w:type="gramEnd"/>
      <w:r w:rsidRPr="00B94700">
        <w:rPr>
          <w:color w:val="auto"/>
          <w:u w:val="single"/>
        </w:rPr>
        <w:t xml:space="preserve"> Frequent Collection</w:t>
      </w:r>
      <w:bookmarkEnd w:id="16"/>
    </w:p>
    <w:p w14:paraId="6D3DCEA6" w14:textId="77777777" w:rsidR="00915C31" w:rsidRDefault="00915C31" w:rsidP="00915C31">
      <w:pPr>
        <w:pStyle w:val="NoSpacing"/>
        <w:rPr>
          <w:sz w:val="20"/>
        </w:rPr>
      </w:pPr>
    </w:p>
    <w:p w14:paraId="772D9AA1" w14:textId="77777777" w:rsidR="00915C31" w:rsidRDefault="00A41B04" w:rsidP="00915C31">
      <w:pPr>
        <w:pStyle w:val="NoSpacing"/>
        <w:rPr>
          <w:rFonts w:ascii="Times New Roman" w:hAnsi="Times New Roman" w:cs="Times New Roman"/>
          <w:sz w:val="24"/>
          <w:szCs w:val="24"/>
        </w:rPr>
      </w:pPr>
      <w:r>
        <w:rPr>
          <w:rFonts w:ascii="Times New Roman" w:hAnsi="Times New Roman" w:cs="Times New Roman"/>
          <w:sz w:val="24"/>
          <w:szCs w:val="24"/>
        </w:rPr>
        <w:t xml:space="preserve">In order to reduce the burden on Title X centers, OPA is requesting annual data collection. Less frequent collection will hinder OPA’s ability to analyze trends nationally, particularly at a time </w:t>
      </w:r>
      <w:r>
        <w:rPr>
          <w:rFonts w:ascii="Times New Roman" w:hAnsi="Times New Roman" w:cs="Times New Roman"/>
          <w:sz w:val="24"/>
          <w:szCs w:val="24"/>
        </w:rPr>
        <w:lastRenderedPageBreak/>
        <w:t xml:space="preserve">when there are significant health system changes happening nationally. The purpose of this data collection is to help grantees respond to such changes so annual data checks are necessary to ensure OPA is responsively assisting grantees. </w:t>
      </w:r>
    </w:p>
    <w:p w14:paraId="2B921B16" w14:textId="77777777" w:rsidR="006B7335" w:rsidRPr="00A41B04" w:rsidRDefault="006B7335" w:rsidP="00915C31">
      <w:pPr>
        <w:pStyle w:val="NoSpacing"/>
        <w:rPr>
          <w:rFonts w:ascii="Times New Roman" w:hAnsi="Times New Roman" w:cs="Times New Roman"/>
          <w:sz w:val="24"/>
          <w:szCs w:val="24"/>
        </w:rPr>
      </w:pPr>
    </w:p>
    <w:p w14:paraId="1F25D391" w14:textId="77777777" w:rsidR="00FF5F9C" w:rsidRPr="00B94700" w:rsidRDefault="00FF5F9C" w:rsidP="00B94700">
      <w:pPr>
        <w:pStyle w:val="Heading3"/>
        <w:numPr>
          <w:ilvl w:val="0"/>
          <w:numId w:val="2"/>
        </w:numPr>
        <w:rPr>
          <w:color w:val="auto"/>
          <w:u w:val="single"/>
        </w:rPr>
      </w:pPr>
      <w:bookmarkStart w:id="17" w:name="_Toc401127376"/>
      <w:r w:rsidRPr="00B94700">
        <w:rPr>
          <w:color w:val="auto"/>
          <w:u w:val="single"/>
        </w:rPr>
        <w:t>Special Circumstances Relating to the Guidelines of 5 CFR 1320.5</w:t>
      </w:r>
      <w:bookmarkEnd w:id="17"/>
    </w:p>
    <w:p w14:paraId="09321A7A" w14:textId="77777777" w:rsidR="002A7965" w:rsidRDefault="002A7965" w:rsidP="00FF5F9C">
      <w:pPr>
        <w:rPr>
          <w:rFonts w:ascii="Times New Roman" w:hAnsi="Times New Roman" w:cs="Times New Roman"/>
          <w:sz w:val="24"/>
          <w:szCs w:val="24"/>
        </w:rPr>
      </w:pPr>
      <w:r w:rsidRPr="006B7335">
        <w:rPr>
          <w:rFonts w:ascii="Times New Roman" w:hAnsi="Times New Roman" w:cs="Times New Roman"/>
          <w:sz w:val="24"/>
          <w:szCs w:val="24"/>
        </w:rPr>
        <w:t>The proposed data collection will be consistent with guidelines set forth in 5 CFR 1320.5.</w:t>
      </w:r>
      <w:r w:rsidR="00A41B04" w:rsidRPr="006B7335">
        <w:rPr>
          <w:rFonts w:ascii="Times New Roman" w:hAnsi="Times New Roman" w:cs="Times New Roman"/>
          <w:sz w:val="24"/>
          <w:szCs w:val="24"/>
        </w:rPr>
        <w:t xml:space="preserve"> There are no special circumstances related to this request. Grantees will be notified of the intent to collect data at least 60 days in advance and will not be required to submit multiple copies. They will submit one electronic form. </w:t>
      </w:r>
    </w:p>
    <w:p w14:paraId="622E61A8" w14:textId="77777777" w:rsidR="006B7335" w:rsidRPr="006B7335" w:rsidRDefault="006B7335" w:rsidP="00FF5F9C">
      <w:pPr>
        <w:rPr>
          <w:rFonts w:ascii="Times New Roman" w:hAnsi="Times New Roman" w:cs="Times New Roman"/>
          <w:sz w:val="24"/>
          <w:szCs w:val="24"/>
        </w:rPr>
      </w:pPr>
    </w:p>
    <w:p w14:paraId="286551BC" w14:textId="77777777" w:rsidR="00FF5F9C" w:rsidRPr="00B94700" w:rsidRDefault="00FF5F9C" w:rsidP="00B94700">
      <w:pPr>
        <w:pStyle w:val="Heading3"/>
        <w:numPr>
          <w:ilvl w:val="0"/>
          <w:numId w:val="2"/>
        </w:numPr>
        <w:rPr>
          <w:rFonts w:cs="Times New Roman"/>
          <w:color w:val="auto"/>
          <w:u w:val="single"/>
        </w:rPr>
      </w:pPr>
      <w:bookmarkStart w:id="18" w:name="_Toc401127377"/>
      <w:r w:rsidRPr="00B94700">
        <w:rPr>
          <w:rFonts w:cs="Times New Roman"/>
          <w:color w:val="auto"/>
          <w:u w:val="single"/>
        </w:rPr>
        <w:t>Comments in Response to the Federal Register Notice/Outside Consultation</w:t>
      </w:r>
      <w:bookmarkEnd w:id="18"/>
    </w:p>
    <w:p w14:paraId="51FD5BC2" w14:textId="77777777" w:rsidR="00651DBB" w:rsidRPr="002F2E9D" w:rsidRDefault="00651DBB" w:rsidP="00651DBB">
      <w:pPr>
        <w:pStyle w:val="NoSpacing"/>
        <w:rPr>
          <w:rFonts w:ascii="Times New Roman" w:hAnsi="Times New Roman" w:cs="Times New Roman"/>
        </w:rPr>
      </w:pPr>
    </w:p>
    <w:p w14:paraId="7FB5FFBC" w14:textId="77777777" w:rsidR="00C803BD" w:rsidRDefault="002F2E9D" w:rsidP="002F2E9D">
      <w:pPr>
        <w:pStyle w:val="NoSpacing"/>
        <w:rPr>
          <w:rFonts w:ascii="Times New Roman" w:hAnsi="Times New Roman" w:cs="Times New Roman"/>
          <w:sz w:val="24"/>
        </w:rPr>
      </w:pPr>
      <w:bookmarkStart w:id="19" w:name="_Toc401127378"/>
      <w:r w:rsidRPr="002F2E9D">
        <w:rPr>
          <w:rFonts w:ascii="Times New Roman" w:hAnsi="Times New Roman" w:cs="Times New Roman"/>
          <w:sz w:val="24"/>
        </w:rPr>
        <w:t xml:space="preserve">OPA received comments from one organization in response to the ICR 60-day FRN issued Federal Register Volume 80, Number 15 issued Friday, January 23, 2015) on pages 3593-3594. The organization also expressed general support for collecting the information generally but requested clarification on the following: 1) effort required to complete this data collection, noting it would take longer for their organization than the burden estimate; 2) whether this survey will collect data that are distinctly different from other OPA data collection efforts, and 3) whether sub-recipient agencies would be allowed to complete the data for the service sites. </w:t>
      </w:r>
    </w:p>
    <w:p w14:paraId="0420BC79" w14:textId="77777777" w:rsidR="00C803BD" w:rsidRDefault="00C803BD" w:rsidP="002F2E9D">
      <w:pPr>
        <w:pStyle w:val="NoSpacing"/>
        <w:rPr>
          <w:rFonts w:ascii="Times New Roman" w:hAnsi="Times New Roman" w:cs="Times New Roman"/>
          <w:sz w:val="24"/>
        </w:rPr>
      </w:pPr>
    </w:p>
    <w:p w14:paraId="76EB1418" w14:textId="77777777" w:rsidR="002F2E9D" w:rsidRPr="002F2E9D" w:rsidRDefault="002F2E9D" w:rsidP="002F2E9D">
      <w:pPr>
        <w:pStyle w:val="NoSpacing"/>
        <w:rPr>
          <w:rFonts w:ascii="Times New Roman" w:hAnsi="Times New Roman" w:cs="Times New Roman"/>
          <w:sz w:val="24"/>
        </w:rPr>
      </w:pPr>
      <w:r w:rsidRPr="002F2E9D">
        <w:rPr>
          <w:rFonts w:ascii="Times New Roman" w:hAnsi="Times New Roman" w:cs="Times New Roman"/>
          <w:sz w:val="24"/>
        </w:rPr>
        <w:t xml:space="preserve">OPA addressed the comments as follows; 1) we piloted this survey tool with Title X grantees and service sites and found that respondents took an average of 0.66 hours (39.9 minutes) per respondent to complete the survey. 2) The data collected is distinct from the data OPA collects for enrollment and through the Family Planning Annual Report (FPAR); and 3) OPA will allow organizational level staff to report the requested data, as long as one survey form is completed per service site. This means that Title X grantees may complete the survey form on behalf of service sites in their respective networks, reducing potential burden placed directly on clinical service sites. </w:t>
      </w:r>
    </w:p>
    <w:p w14:paraId="336EC804" w14:textId="77777777" w:rsidR="00FF5F9C" w:rsidRPr="00B94700" w:rsidRDefault="00FF5F9C" w:rsidP="00B94700">
      <w:pPr>
        <w:pStyle w:val="Heading3"/>
        <w:numPr>
          <w:ilvl w:val="0"/>
          <w:numId w:val="2"/>
        </w:numPr>
        <w:rPr>
          <w:color w:val="auto"/>
          <w:u w:val="single"/>
        </w:rPr>
      </w:pPr>
      <w:r w:rsidRPr="00B94700">
        <w:rPr>
          <w:rFonts w:ascii="Times New Roman" w:hAnsi="Times New Roman" w:cs="Times New Roman"/>
          <w:color w:val="auto"/>
          <w:sz w:val="24"/>
          <w:u w:val="single"/>
        </w:rPr>
        <w:t>Explanation of any</w:t>
      </w:r>
      <w:r w:rsidRPr="00B94700">
        <w:rPr>
          <w:color w:val="auto"/>
          <w:sz w:val="24"/>
          <w:u w:val="single"/>
        </w:rPr>
        <w:t xml:space="preserve"> </w:t>
      </w:r>
      <w:r w:rsidRPr="00B94700">
        <w:rPr>
          <w:color w:val="auto"/>
          <w:u w:val="single"/>
        </w:rPr>
        <w:t>Payment/Gift to Respondents</w:t>
      </w:r>
      <w:bookmarkEnd w:id="19"/>
    </w:p>
    <w:p w14:paraId="3BFC1F7D" w14:textId="77777777" w:rsidR="00FF5F9C" w:rsidRDefault="00751A5C" w:rsidP="00FF5F9C">
      <w:pPr>
        <w:rPr>
          <w:rFonts w:ascii="Times New Roman" w:hAnsi="Times New Roman" w:cs="Times New Roman"/>
          <w:sz w:val="24"/>
          <w:szCs w:val="24"/>
        </w:rPr>
      </w:pPr>
      <w:r w:rsidRPr="006B7335">
        <w:rPr>
          <w:rFonts w:ascii="Times New Roman" w:hAnsi="Times New Roman" w:cs="Times New Roman"/>
          <w:sz w:val="24"/>
          <w:szCs w:val="24"/>
        </w:rPr>
        <w:t>No</w:t>
      </w:r>
      <w:r w:rsidR="00620B2D" w:rsidRPr="006B7335">
        <w:rPr>
          <w:rFonts w:ascii="Times New Roman" w:hAnsi="Times New Roman" w:cs="Times New Roman"/>
          <w:sz w:val="24"/>
          <w:szCs w:val="24"/>
        </w:rPr>
        <w:t xml:space="preserve"> payment or gifts </w:t>
      </w:r>
      <w:r w:rsidRPr="006B7335">
        <w:rPr>
          <w:rFonts w:ascii="Times New Roman" w:hAnsi="Times New Roman" w:cs="Times New Roman"/>
          <w:sz w:val="24"/>
          <w:szCs w:val="24"/>
        </w:rPr>
        <w:t xml:space="preserve">will be provided </w:t>
      </w:r>
      <w:r w:rsidR="00620B2D" w:rsidRPr="006B7335">
        <w:rPr>
          <w:rFonts w:ascii="Times New Roman" w:hAnsi="Times New Roman" w:cs="Times New Roman"/>
          <w:sz w:val="24"/>
          <w:szCs w:val="24"/>
        </w:rPr>
        <w:t>to respondents in this proposed survey.</w:t>
      </w:r>
    </w:p>
    <w:p w14:paraId="5250D6AD" w14:textId="77777777" w:rsidR="006B7335" w:rsidRPr="006B7335" w:rsidRDefault="006B7335" w:rsidP="00FF5F9C">
      <w:pPr>
        <w:rPr>
          <w:rFonts w:ascii="Times New Roman" w:hAnsi="Times New Roman" w:cs="Times New Roman"/>
          <w:sz w:val="24"/>
          <w:szCs w:val="24"/>
        </w:rPr>
      </w:pPr>
    </w:p>
    <w:p w14:paraId="024883A4" w14:textId="77777777" w:rsidR="00FF5F9C" w:rsidRPr="00B94700" w:rsidRDefault="00FF5F9C" w:rsidP="00B94700">
      <w:pPr>
        <w:pStyle w:val="Heading3"/>
        <w:numPr>
          <w:ilvl w:val="0"/>
          <w:numId w:val="2"/>
        </w:numPr>
        <w:rPr>
          <w:color w:val="auto"/>
          <w:u w:val="single"/>
        </w:rPr>
      </w:pPr>
      <w:bookmarkStart w:id="20" w:name="_Toc401127379"/>
      <w:r w:rsidRPr="00B94700">
        <w:rPr>
          <w:color w:val="auto"/>
          <w:u w:val="single"/>
        </w:rPr>
        <w:t>Assurance of Confidentiality Provided to Respondents</w:t>
      </w:r>
      <w:bookmarkEnd w:id="20"/>
    </w:p>
    <w:p w14:paraId="32EEE76C" w14:textId="77777777" w:rsidR="00FF5F9C" w:rsidRDefault="00751A5C" w:rsidP="00FF5F9C">
      <w:pPr>
        <w:rPr>
          <w:rFonts w:ascii="Times New Roman" w:hAnsi="Times New Roman" w:cs="Times New Roman"/>
          <w:sz w:val="24"/>
          <w:szCs w:val="24"/>
        </w:rPr>
      </w:pPr>
      <w:r w:rsidRPr="00651DBB">
        <w:rPr>
          <w:rFonts w:ascii="Times New Roman" w:hAnsi="Times New Roman" w:cs="Times New Roman"/>
          <w:sz w:val="24"/>
          <w:szCs w:val="24"/>
        </w:rPr>
        <w:t>Data will be submitted directly to OPA via the web-based survey platform, Survey</w:t>
      </w:r>
      <w:r w:rsidR="006B7335">
        <w:rPr>
          <w:rFonts w:ascii="Times New Roman" w:hAnsi="Times New Roman" w:cs="Times New Roman"/>
          <w:sz w:val="24"/>
          <w:szCs w:val="24"/>
        </w:rPr>
        <w:t xml:space="preserve"> </w:t>
      </w:r>
      <w:r w:rsidRPr="00651DBB">
        <w:rPr>
          <w:rFonts w:ascii="Times New Roman" w:hAnsi="Times New Roman" w:cs="Times New Roman"/>
          <w:sz w:val="24"/>
          <w:szCs w:val="24"/>
        </w:rPr>
        <w:t xml:space="preserve">Monkey. No data will be collected at the client level, to protect the confidentiality of individuals who receive the Title X-funded services (42 CFR Part 59). No individual identifiers will be collected in the surveys, and no </w:t>
      </w:r>
      <w:r w:rsidR="00C927A0">
        <w:rPr>
          <w:rFonts w:ascii="Times New Roman" w:hAnsi="Times New Roman" w:cs="Times New Roman"/>
          <w:sz w:val="24"/>
          <w:szCs w:val="24"/>
        </w:rPr>
        <w:t>Title X client</w:t>
      </w:r>
      <w:r w:rsidRPr="00651DBB">
        <w:rPr>
          <w:rFonts w:ascii="Times New Roman" w:hAnsi="Times New Roman" w:cs="Times New Roman"/>
          <w:sz w:val="24"/>
          <w:szCs w:val="24"/>
        </w:rPr>
        <w:t xml:space="preserve"> can be identified based on the information requested from the grantees and service sites.</w:t>
      </w:r>
    </w:p>
    <w:p w14:paraId="1230E099" w14:textId="77777777" w:rsidR="006B7335" w:rsidRPr="00651DBB" w:rsidRDefault="006B7335" w:rsidP="00FF5F9C">
      <w:pPr>
        <w:rPr>
          <w:rFonts w:ascii="Times New Roman" w:hAnsi="Times New Roman" w:cs="Times New Roman"/>
          <w:sz w:val="24"/>
          <w:szCs w:val="24"/>
        </w:rPr>
      </w:pPr>
    </w:p>
    <w:p w14:paraId="78250733" w14:textId="77777777" w:rsidR="00FF5F9C" w:rsidRPr="00B94700" w:rsidRDefault="00FF5F9C" w:rsidP="00B94700">
      <w:pPr>
        <w:pStyle w:val="Heading3"/>
        <w:numPr>
          <w:ilvl w:val="0"/>
          <w:numId w:val="2"/>
        </w:numPr>
        <w:rPr>
          <w:color w:val="auto"/>
          <w:u w:val="single"/>
        </w:rPr>
      </w:pPr>
      <w:r w:rsidRPr="00B94700">
        <w:rPr>
          <w:color w:val="auto"/>
          <w:u w:val="single"/>
        </w:rPr>
        <w:lastRenderedPageBreak/>
        <w:t xml:space="preserve"> </w:t>
      </w:r>
      <w:bookmarkStart w:id="21" w:name="_Toc401127380"/>
      <w:r w:rsidRPr="00B94700">
        <w:rPr>
          <w:color w:val="auto"/>
          <w:u w:val="single"/>
        </w:rPr>
        <w:t>Justification for Sensitive Questions</w:t>
      </w:r>
      <w:bookmarkEnd w:id="21"/>
    </w:p>
    <w:p w14:paraId="3F922384" w14:textId="77777777" w:rsidR="006C7DD6" w:rsidRDefault="00751A5C" w:rsidP="00C927A0">
      <w:pPr>
        <w:ind w:left="90"/>
        <w:rPr>
          <w:rFonts w:ascii="Times New Roman" w:hAnsi="Times New Roman" w:cs="Times New Roman"/>
          <w:sz w:val="24"/>
        </w:rPr>
      </w:pPr>
      <w:r w:rsidRPr="006B7335">
        <w:rPr>
          <w:rFonts w:ascii="Times New Roman" w:hAnsi="Times New Roman" w:cs="Times New Roman"/>
          <w:sz w:val="24"/>
        </w:rPr>
        <w:t>There are no sensitive questions on the form.</w:t>
      </w:r>
      <w:r w:rsidR="00C927A0" w:rsidRPr="006B7335">
        <w:rPr>
          <w:rFonts w:ascii="Times New Roman" w:hAnsi="Times New Roman" w:cs="Times New Roman"/>
          <w:sz w:val="24"/>
        </w:rPr>
        <w:t xml:space="preserve"> All questions relate to center level characteristics. Individual client information is not collected. </w:t>
      </w:r>
    </w:p>
    <w:p w14:paraId="64695FAF" w14:textId="77777777" w:rsidR="006B7335" w:rsidRPr="006B7335" w:rsidRDefault="006B7335" w:rsidP="00C927A0">
      <w:pPr>
        <w:ind w:left="90"/>
        <w:rPr>
          <w:rFonts w:ascii="Times New Roman" w:hAnsi="Times New Roman" w:cs="Times New Roman"/>
          <w:sz w:val="24"/>
        </w:rPr>
      </w:pPr>
    </w:p>
    <w:p w14:paraId="3988A985" w14:textId="77777777" w:rsidR="00FF5F9C" w:rsidRPr="00B94700" w:rsidRDefault="00FF5F9C" w:rsidP="00B94700">
      <w:pPr>
        <w:pStyle w:val="Heading3"/>
        <w:numPr>
          <w:ilvl w:val="0"/>
          <w:numId w:val="2"/>
        </w:numPr>
        <w:rPr>
          <w:color w:val="auto"/>
          <w:u w:val="single"/>
        </w:rPr>
      </w:pPr>
      <w:bookmarkStart w:id="22" w:name="_Toc401127381"/>
      <w:r w:rsidRPr="00B94700">
        <w:rPr>
          <w:color w:val="auto"/>
          <w:u w:val="single"/>
        </w:rPr>
        <w:t>Estimates of Annualized Hour and Cost Burden</w:t>
      </w:r>
      <w:bookmarkEnd w:id="22"/>
    </w:p>
    <w:p w14:paraId="4ADC3134" w14:textId="77777777" w:rsidR="00751A5C" w:rsidRPr="006B7335" w:rsidRDefault="00C927A0" w:rsidP="00FF5F9C">
      <w:pPr>
        <w:rPr>
          <w:rFonts w:ascii="Times New Roman" w:hAnsi="Times New Roman" w:cs="Times New Roman"/>
          <w:sz w:val="24"/>
          <w:szCs w:val="24"/>
        </w:rPr>
      </w:pPr>
      <w:r w:rsidRPr="006B7335">
        <w:rPr>
          <w:rFonts w:ascii="Times New Roman" w:hAnsi="Times New Roman" w:cs="Times New Roman"/>
          <w:sz w:val="24"/>
          <w:szCs w:val="24"/>
        </w:rPr>
        <w:t>I</w:t>
      </w:r>
      <w:r w:rsidR="00751A5C" w:rsidRPr="006B7335">
        <w:rPr>
          <w:rFonts w:ascii="Times New Roman" w:hAnsi="Times New Roman" w:cs="Times New Roman"/>
          <w:sz w:val="24"/>
          <w:szCs w:val="24"/>
        </w:rPr>
        <w:t>n August 2014, OPA</w:t>
      </w:r>
      <w:r w:rsidRPr="006B7335">
        <w:rPr>
          <w:rFonts w:ascii="Times New Roman" w:hAnsi="Times New Roman" w:cs="Times New Roman"/>
          <w:sz w:val="24"/>
          <w:szCs w:val="24"/>
        </w:rPr>
        <w:t xml:space="preserve"> requested grantee volunteers to  pilot</w:t>
      </w:r>
      <w:r w:rsidR="00751A5C" w:rsidRPr="006B7335">
        <w:rPr>
          <w:rFonts w:ascii="Times New Roman" w:hAnsi="Times New Roman" w:cs="Times New Roman"/>
          <w:sz w:val="24"/>
          <w:szCs w:val="24"/>
        </w:rPr>
        <w:t xml:space="preserve"> the sustainability assessment survey via </w:t>
      </w:r>
      <w:r w:rsidRPr="006B7335">
        <w:rPr>
          <w:rFonts w:ascii="Times New Roman" w:hAnsi="Times New Roman" w:cs="Times New Roman"/>
          <w:sz w:val="24"/>
          <w:szCs w:val="24"/>
        </w:rPr>
        <w:t>the web-based platform and the</w:t>
      </w:r>
      <w:r w:rsidR="00751A5C" w:rsidRPr="006B7335">
        <w:rPr>
          <w:rFonts w:ascii="Times New Roman" w:hAnsi="Times New Roman" w:cs="Times New Roman"/>
          <w:sz w:val="24"/>
          <w:szCs w:val="24"/>
        </w:rPr>
        <w:t xml:space="preserve"> respondents took an average of </w:t>
      </w:r>
      <w:r w:rsidR="00F17C56" w:rsidRPr="006B7335">
        <w:rPr>
          <w:rFonts w:ascii="Times New Roman" w:hAnsi="Times New Roman" w:cs="Times New Roman"/>
          <w:sz w:val="24"/>
          <w:szCs w:val="24"/>
        </w:rPr>
        <w:t>.66 hours (</w:t>
      </w:r>
      <w:r w:rsidR="00751A5C" w:rsidRPr="006B7335">
        <w:rPr>
          <w:rFonts w:ascii="Times New Roman" w:hAnsi="Times New Roman" w:cs="Times New Roman"/>
          <w:sz w:val="24"/>
          <w:szCs w:val="24"/>
        </w:rPr>
        <w:t>39.9 minutes</w:t>
      </w:r>
      <w:r w:rsidR="00F17C56" w:rsidRPr="006B7335">
        <w:rPr>
          <w:rFonts w:ascii="Times New Roman" w:hAnsi="Times New Roman" w:cs="Times New Roman"/>
          <w:sz w:val="24"/>
          <w:szCs w:val="24"/>
        </w:rPr>
        <w:t>)</w:t>
      </w:r>
      <w:r w:rsidR="00751A5C" w:rsidRPr="006B7335">
        <w:rPr>
          <w:rFonts w:ascii="Times New Roman" w:hAnsi="Times New Roman" w:cs="Times New Roman"/>
          <w:sz w:val="24"/>
          <w:szCs w:val="24"/>
        </w:rPr>
        <w:t xml:space="preserve"> </w:t>
      </w:r>
      <w:r w:rsidR="00753CC4" w:rsidRPr="006B7335">
        <w:rPr>
          <w:rFonts w:ascii="Times New Roman" w:hAnsi="Times New Roman" w:cs="Times New Roman"/>
          <w:sz w:val="24"/>
          <w:szCs w:val="24"/>
        </w:rPr>
        <w:t xml:space="preserve">per one respondent </w:t>
      </w:r>
      <w:r w:rsidR="00751A5C" w:rsidRPr="006B7335">
        <w:rPr>
          <w:rFonts w:ascii="Times New Roman" w:hAnsi="Times New Roman" w:cs="Times New Roman"/>
          <w:sz w:val="24"/>
          <w:szCs w:val="24"/>
        </w:rPr>
        <w:t>to complete the survey.</w:t>
      </w:r>
      <w:r w:rsidR="00F17C56" w:rsidRPr="006B7335">
        <w:rPr>
          <w:rFonts w:ascii="Times New Roman" w:hAnsi="Times New Roman" w:cs="Times New Roman"/>
          <w:sz w:val="24"/>
          <w:szCs w:val="24"/>
        </w:rPr>
        <w:t xml:space="preserve"> The total hour burden on grantee and servi</w:t>
      </w:r>
      <w:r w:rsidR="008077F5" w:rsidRPr="006B7335">
        <w:rPr>
          <w:rFonts w:ascii="Times New Roman" w:hAnsi="Times New Roman" w:cs="Times New Roman"/>
          <w:sz w:val="24"/>
          <w:szCs w:val="24"/>
        </w:rPr>
        <w:t>ce site respondents will be 2,8</w:t>
      </w:r>
      <w:r w:rsidR="00DE54CE" w:rsidRPr="006B7335">
        <w:rPr>
          <w:rFonts w:ascii="Times New Roman" w:hAnsi="Times New Roman" w:cs="Times New Roman"/>
          <w:sz w:val="24"/>
          <w:szCs w:val="24"/>
        </w:rPr>
        <w:t>11.6</w:t>
      </w:r>
      <w:r w:rsidR="008077F5" w:rsidRPr="006B7335">
        <w:rPr>
          <w:rFonts w:ascii="Times New Roman" w:hAnsi="Times New Roman" w:cs="Times New Roman"/>
          <w:sz w:val="24"/>
          <w:szCs w:val="24"/>
        </w:rPr>
        <w:t>0</w:t>
      </w:r>
      <w:r w:rsidR="00F17C56" w:rsidRPr="006B7335">
        <w:rPr>
          <w:rFonts w:ascii="Times New Roman" w:hAnsi="Times New Roman" w:cs="Times New Roman"/>
          <w:sz w:val="24"/>
          <w:szCs w:val="24"/>
        </w:rPr>
        <w:t xml:space="preserve"> hours (see Exhibit 1). </w:t>
      </w:r>
      <w:r w:rsidR="00753CC4" w:rsidRPr="006B7335">
        <w:rPr>
          <w:rFonts w:ascii="Times New Roman" w:hAnsi="Times New Roman" w:cs="Times New Roman"/>
          <w:sz w:val="24"/>
          <w:szCs w:val="24"/>
        </w:rPr>
        <w:t xml:space="preserve"> The hour burden estimates include the time spent by the grantee or service site staff to retrieve, compile, verify, and report the data and exclude any hour burden associated with customary and usual practices that the grantee or service site would carry out in the absence of the reporting requirement (e.g., regular communications with service sites). </w:t>
      </w:r>
    </w:p>
    <w:p w14:paraId="7C586237" w14:textId="77777777" w:rsidR="00F17C56" w:rsidRPr="00F17C56" w:rsidRDefault="00B94700" w:rsidP="00FF5F9C">
      <w:pPr>
        <w:rPr>
          <w:b/>
        </w:rPr>
      </w:pPr>
      <w:r>
        <w:rPr>
          <w:b/>
        </w:rPr>
        <w:t>12A.</w:t>
      </w:r>
      <w:r w:rsidR="00F17C56">
        <w:rPr>
          <w:b/>
        </w:rPr>
        <w:t xml:space="preserve"> </w:t>
      </w:r>
      <w:r w:rsidR="00F17C56" w:rsidRPr="00B94700">
        <w:rPr>
          <w:b/>
          <w:u w:val="single"/>
        </w:rPr>
        <w:t>Total Hour Burden for Requested Data</w:t>
      </w:r>
    </w:p>
    <w:tbl>
      <w:tblPr>
        <w:tblW w:w="9015" w:type="dxa"/>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0"/>
        <w:gridCol w:w="1260"/>
        <w:gridCol w:w="1168"/>
        <w:gridCol w:w="1805"/>
        <w:gridCol w:w="1806"/>
        <w:gridCol w:w="1806"/>
      </w:tblGrid>
      <w:tr w:rsidR="00F17C56" w14:paraId="3F83A692" w14:textId="77777777" w:rsidTr="0073024B">
        <w:tc>
          <w:tcPr>
            <w:tcW w:w="1170" w:type="dxa"/>
            <w:tcBorders>
              <w:top w:val="single" w:sz="8" w:space="0" w:color="auto"/>
              <w:left w:val="single" w:sz="8"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bottom"/>
            <w:hideMark/>
          </w:tcPr>
          <w:p w14:paraId="65BCDF60"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Type of Respondent</w:t>
            </w:r>
          </w:p>
        </w:tc>
        <w:tc>
          <w:tcPr>
            <w:tcW w:w="1260" w:type="dxa"/>
            <w:tcBorders>
              <w:top w:val="single" w:sz="8"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bottom"/>
            <w:hideMark/>
          </w:tcPr>
          <w:p w14:paraId="19D24869"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Form Name</w:t>
            </w:r>
          </w:p>
        </w:tc>
        <w:tc>
          <w:tcPr>
            <w:tcW w:w="1168"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33309227"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Number of Respondents</w:t>
            </w:r>
          </w:p>
        </w:tc>
        <w:tc>
          <w:tcPr>
            <w:tcW w:w="1805"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6963A9DF"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Number of Responses per Respondent</w:t>
            </w:r>
          </w:p>
        </w:tc>
        <w:tc>
          <w:tcPr>
            <w:tcW w:w="1806" w:type="dxa"/>
            <w:tcBorders>
              <w:top w:val="single" w:sz="8"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bottom"/>
            <w:hideMark/>
          </w:tcPr>
          <w:p w14:paraId="2F78C9B2"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Average Annualized Burden per Response (Hours)</w:t>
            </w:r>
          </w:p>
        </w:tc>
        <w:tc>
          <w:tcPr>
            <w:tcW w:w="1806" w:type="dxa"/>
            <w:tcBorders>
              <w:top w:val="single" w:sz="8" w:space="0" w:color="auto"/>
              <w:left w:val="single" w:sz="4" w:space="0" w:color="auto"/>
              <w:bottom w:val="single" w:sz="4" w:space="0" w:color="auto"/>
              <w:right w:val="single" w:sz="8" w:space="0" w:color="auto"/>
            </w:tcBorders>
            <w:shd w:val="clear" w:color="auto" w:fill="F2F2F2" w:themeFill="background1" w:themeFillShade="F2"/>
            <w:vAlign w:val="bottom"/>
            <w:hideMark/>
          </w:tcPr>
          <w:p w14:paraId="47DE8AE7" w14:textId="77777777" w:rsidR="00F17C56" w:rsidRDefault="00F17C56">
            <w:pPr>
              <w:spacing w:before="40"/>
              <w:jc w:val="center"/>
              <w:rPr>
                <w:rFonts w:asciiTheme="minorBidi" w:hAnsiTheme="minorBidi"/>
                <w:b/>
                <w:bCs/>
                <w:sz w:val="16"/>
                <w:szCs w:val="16"/>
              </w:rPr>
            </w:pPr>
            <w:r>
              <w:rPr>
                <w:rFonts w:asciiTheme="minorBidi" w:hAnsiTheme="minorBidi"/>
                <w:b/>
                <w:bCs/>
                <w:sz w:val="16"/>
                <w:szCs w:val="16"/>
              </w:rPr>
              <w:t>Annualized Total Burden (Hours)</w:t>
            </w:r>
          </w:p>
        </w:tc>
      </w:tr>
      <w:tr w:rsidR="00F17C56" w14:paraId="67560D91" w14:textId="77777777" w:rsidTr="0073024B">
        <w:tc>
          <w:tcPr>
            <w:tcW w:w="117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89A0309" w14:textId="77777777" w:rsidR="00F17C56" w:rsidRDefault="00F17C56">
            <w:pPr>
              <w:spacing w:before="60" w:after="60"/>
              <w:rPr>
                <w:rFonts w:ascii="Arial Narrow" w:hAnsi="Arial Narrow"/>
                <w:sz w:val="20"/>
                <w:szCs w:val="20"/>
              </w:rPr>
            </w:pPr>
            <w:r>
              <w:rPr>
                <w:rFonts w:ascii="Arial Narrow" w:hAnsi="Arial Narrow"/>
                <w:sz w:val="20"/>
                <w:szCs w:val="20"/>
              </w:rPr>
              <w:t>Grantees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733B80" w14:textId="77777777" w:rsidR="00F17C56" w:rsidRDefault="00F17C56" w:rsidP="00F17C56">
            <w:pPr>
              <w:spacing w:before="60" w:after="60"/>
              <w:rPr>
                <w:rFonts w:ascii="Arial Narrow" w:hAnsi="Arial Narrow"/>
                <w:sz w:val="20"/>
                <w:szCs w:val="20"/>
              </w:rPr>
            </w:pPr>
            <w:r>
              <w:rPr>
                <w:rFonts w:ascii="Arial Narrow" w:hAnsi="Arial Narrow"/>
                <w:sz w:val="20"/>
                <w:szCs w:val="20"/>
              </w:rPr>
              <w:t>Sustainability Assessment- Grantees</w:t>
            </w:r>
          </w:p>
        </w:tc>
        <w:tc>
          <w:tcPr>
            <w:tcW w:w="1168" w:type="dxa"/>
            <w:tcBorders>
              <w:top w:val="single" w:sz="4" w:space="0" w:color="auto"/>
              <w:left w:val="single" w:sz="4" w:space="0" w:color="auto"/>
              <w:bottom w:val="single" w:sz="4" w:space="0" w:color="auto"/>
              <w:right w:val="single" w:sz="4" w:space="0" w:color="auto"/>
            </w:tcBorders>
            <w:hideMark/>
          </w:tcPr>
          <w:p w14:paraId="6ABE5F0F" w14:textId="77777777" w:rsidR="00F17C56" w:rsidRDefault="00C927A0" w:rsidP="00F17C56">
            <w:pPr>
              <w:spacing w:before="60" w:after="60"/>
              <w:jc w:val="center"/>
              <w:rPr>
                <w:rFonts w:ascii="Arial Narrow" w:hAnsi="Arial Narrow"/>
                <w:sz w:val="20"/>
                <w:szCs w:val="20"/>
              </w:rPr>
            </w:pPr>
            <w:r>
              <w:rPr>
                <w:rFonts w:ascii="Arial Narrow" w:hAnsi="Arial Narrow"/>
                <w:sz w:val="20"/>
                <w:szCs w:val="20"/>
              </w:rPr>
              <w:t xml:space="preserve"> 92</w:t>
            </w:r>
            <w:r w:rsidR="00F17C56">
              <w:rPr>
                <w:rFonts w:ascii="Arial Narrow" w:hAnsi="Arial Narrow"/>
                <w:sz w:val="20"/>
                <w:szCs w:val="20"/>
              </w:rPr>
              <w:t xml:space="preserve"> Grantees</w:t>
            </w:r>
          </w:p>
        </w:tc>
        <w:tc>
          <w:tcPr>
            <w:tcW w:w="1805" w:type="dxa"/>
            <w:tcBorders>
              <w:top w:val="single" w:sz="4" w:space="0" w:color="auto"/>
              <w:left w:val="single" w:sz="4" w:space="0" w:color="auto"/>
              <w:bottom w:val="single" w:sz="4" w:space="0" w:color="auto"/>
              <w:right w:val="single" w:sz="4" w:space="0" w:color="auto"/>
            </w:tcBorders>
            <w:hideMark/>
          </w:tcPr>
          <w:p w14:paraId="2451C02E" w14:textId="77777777" w:rsidR="00F17C56" w:rsidRDefault="00F17C56">
            <w:pPr>
              <w:spacing w:before="60" w:after="60"/>
              <w:jc w:val="center"/>
              <w:rPr>
                <w:rFonts w:ascii="Arial Narrow" w:hAnsi="Arial Narrow"/>
                <w:sz w:val="20"/>
                <w:szCs w:val="20"/>
              </w:rPr>
            </w:pPr>
            <w:r>
              <w:rPr>
                <w:rFonts w:ascii="Arial Narrow" w:hAnsi="Arial Narrow"/>
                <w:sz w:val="20"/>
                <w:szCs w:val="20"/>
              </w:rPr>
              <w:t>1</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6769B" w14:textId="77777777" w:rsidR="00B60B7C" w:rsidRDefault="00B60B7C">
            <w:pPr>
              <w:spacing w:before="60" w:after="60"/>
              <w:jc w:val="center"/>
              <w:rPr>
                <w:rFonts w:ascii="Arial Narrow" w:hAnsi="Arial Narrow"/>
                <w:sz w:val="20"/>
                <w:szCs w:val="20"/>
              </w:rPr>
            </w:pPr>
            <w:r>
              <w:rPr>
                <w:rFonts w:ascii="Arial Narrow" w:hAnsi="Arial Narrow"/>
                <w:sz w:val="20"/>
                <w:szCs w:val="20"/>
              </w:rPr>
              <w:t>40 minutes</w:t>
            </w:r>
          </w:p>
          <w:p w14:paraId="7D41069A" w14:textId="77777777" w:rsidR="00F17C56" w:rsidRDefault="00B60B7C">
            <w:pPr>
              <w:spacing w:before="60" w:after="60"/>
              <w:jc w:val="center"/>
              <w:rPr>
                <w:rFonts w:ascii="Arial Narrow" w:hAnsi="Arial Narrow"/>
                <w:sz w:val="20"/>
                <w:szCs w:val="20"/>
              </w:rPr>
            </w:pPr>
            <w:r>
              <w:rPr>
                <w:rFonts w:ascii="Arial Narrow" w:hAnsi="Arial Narrow"/>
                <w:sz w:val="20"/>
                <w:szCs w:val="20"/>
              </w:rPr>
              <w:t>(</w:t>
            </w:r>
            <w:r w:rsidR="00450F38">
              <w:rPr>
                <w:rFonts w:ascii="Arial Narrow" w:hAnsi="Arial Narrow"/>
                <w:sz w:val="20"/>
                <w:szCs w:val="20"/>
              </w:rPr>
              <w:t>0</w:t>
            </w:r>
            <w:r w:rsidR="008077F5">
              <w:rPr>
                <w:rFonts w:ascii="Arial Narrow" w:hAnsi="Arial Narrow"/>
                <w:sz w:val="20"/>
                <w:szCs w:val="20"/>
              </w:rPr>
              <w:t>.66</w:t>
            </w:r>
            <w:r>
              <w:rPr>
                <w:rFonts w:ascii="Arial Narrow" w:hAnsi="Arial Narrow"/>
                <w:sz w:val="20"/>
                <w:szCs w:val="20"/>
              </w:rPr>
              <w:t xml:space="preserve"> hours)</w:t>
            </w:r>
          </w:p>
          <w:p w14:paraId="42A72A2C" w14:textId="77777777" w:rsidR="00B60B7C" w:rsidRDefault="00B60B7C">
            <w:pPr>
              <w:spacing w:before="60" w:after="60"/>
              <w:jc w:val="center"/>
              <w:rPr>
                <w:rFonts w:ascii="Arial Narrow" w:hAnsi="Arial Narrow"/>
                <w:sz w:val="20"/>
                <w:szCs w:val="20"/>
              </w:rPr>
            </w:pPr>
          </w:p>
        </w:tc>
        <w:tc>
          <w:tcPr>
            <w:tcW w:w="1806" w:type="dxa"/>
            <w:tcBorders>
              <w:top w:val="single" w:sz="4" w:space="0" w:color="auto"/>
              <w:left w:val="single" w:sz="4" w:space="0" w:color="auto"/>
              <w:bottom w:val="single" w:sz="4" w:space="0" w:color="auto"/>
              <w:right w:val="single" w:sz="8" w:space="0" w:color="auto"/>
            </w:tcBorders>
            <w:hideMark/>
          </w:tcPr>
          <w:p w14:paraId="2209A6F0" w14:textId="77777777" w:rsidR="00F17C56" w:rsidRDefault="00DE54CE">
            <w:pPr>
              <w:spacing w:before="60" w:after="60"/>
              <w:jc w:val="center"/>
              <w:rPr>
                <w:rFonts w:ascii="Arial Narrow" w:hAnsi="Arial Narrow"/>
                <w:sz w:val="20"/>
                <w:szCs w:val="20"/>
              </w:rPr>
            </w:pPr>
            <w:r>
              <w:rPr>
                <w:rFonts w:ascii="Arial Narrow" w:hAnsi="Arial Narrow"/>
                <w:sz w:val="20"/>
                <w:szCs w:val="20"/>
              </w:rPr>
              <w:t>60.7</w:t>
            </w:r>
            <w:r w:rsidR="008077F5">
              <w:rPr>
                <w:rFonts w:ascii="Arial Narrow" w:hAnsi="Arial Narrow"/>
                <w:sz w:val="20"/>
                <w:szCs w:val="20"/>
              </w:rPr>
              <w:t>2</w:t>
            </w:r>
          </w:p>
        </w:tc>
      </w:tr>
      <w:tr w:rsidR="00F17C56" w14:paraId="147DCB3C" w14:textId="77777777" w:rsidTr="0073024B">
        <w:tc>
          <w:tcPr>
            <w:tcW w:w="117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6B535F58" w14:textId="77777777" w:rsidR="00F17C56" w:rsidRDefault="008077F5">
            <w:pPr>
              <w:spacing w:before="60" w:after="60"/>
              <w:rPr>
                <w:rFonts w:ascii="Arial Narrow" w:hAnsi="Arial Narrow"/>
                <w:sz w:val="20"/>
                <w:szCs w:val="20"/>
              </w:rPr>
            </w:pPr>
            <w:r>
              <w:rPr>
                <w:rFonts w:ascii="Arial Narrow" w:hAnsi="Arial Narrow"/>
                <w:sz w:val="20"/>
                <w:szCs w:val="20"/>
              </w:rPr>
              <w:t>Service Sites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DB3D8" w14:textId="77777777" w:rsidR="00F17C56" w:rsidRDefault="008077F5">
            <w:pPr>
              <w:spacing w:before="60" w:after="60"/>
              <w:rPr>
                <w:rFonts w:ascii="Arial Narrow" w:hAnsi="Arial Narrow"/>
                <w:sz w:val="20"/>
                <w:szCs w:val="20"/>
              </w:rPr>
            </w:pPr>
            <w:r>
              <w:rPr>
                <w:rFonts w:ascii="Arial Narrow" w:hAnsi="Arial Narrow"/>
                <w:sz w:val="20"/>
                <w:szCs w:val="20"/>
              </w:rPr>
              <w:t>Sustainability Assessment-Sites</w:t>
            </w:r>
          </w:p>
        </w:tc>
        <w:tc>
          <w:tcPr>
            <w:tcW w:w="1168" w:type="dxa"/>
            <w:tcBorders>
              <w:top w:val="single" w:sz="4" w:space="0" w:color="auto"/>
              <w:left w:val="single" w:sz="4" w:space="0" w:color="auto"/>
              <w:bottom w:val="single" w:sz="4" w:space="0" w:color="auto"/>
              <w:right w:val="single" w:sz="4" w:space="0" w:color="auto"/>
            </w:tcBorders>
          </w:tcPr>
          <w:p w14:paraId="09694F7F" w14:textId="77777777" w:rsidR="00F17C56" w:rsidRDefault="008077F5">
            <w:pPr>
              <w:spacing w:before="60" w:after="60"/>
              <w:jc w:val="center"/>
              <w:rPr>
                <w:rFonts w:ascii="Arial Narrow" w:hAnsi="Arial Narrow"/>
                <w:sz w:val="20"/>
                <w:szCs w:val="20"/>
              </w:rPr>
            </w:pPr>
            <w:r>
              <w:rPr>
                <w:rFonts w:ascii="Arial Narrow" w:hAnsi="Arial Narrow"/>
                <w:sz w:val="20"/>
                <w:szCs w:val="20"/>
              </w:rPr>
              <w:t>4,168</w:t>
            </w:r>
          </w:p>
        </w:tc>
        <w:tc>
          <w:tcPr>
            <w:tcW w:w="1805" w:type="dxa"/>
            <w:tcBorders>
              <w:top w:val="single" w:sz="4" w:space="0" w:color="auto"/>
              <w:left w:val="single" w:sz="4" w:space="0" w:color="auto"/>
              <w:bottom w:val="single" w:sz="4" w:space="0" w:color="auto"/>
              <w:right w:val="single" w:sz="4" w:space="0" w:color="auto"/>
            </w:tcBorders>
          </w:tcPr>
          <w:p w14:paraId="281B6F83" w14:textId="77777777" w:rsidR="00F17C56" w:rsidRDefault="008077F5">
            <w:pPr>
              <w:spacing w:before="60" w:after="60"/>
              <w:jc w:val="center"/>
              <w:rPr>
                <w:rFonts w:ascii="Arial Narrow" w:hAnsi="Arial Narrow"/>
                <w:sz w:val="20"/>
                <w:szCs w:val="20"/>
              </w:rPr>
            </w:pPr>
            <w:r>
              <w:rPr>
                <w:rFonts w:ascii="Arial Narrow" w:hAnsi="Arial Narrow"/>
                <w:sz w:val="20"/>
                <w:szCs w:val="20"/>
              </w:rPr>
              <w:t>1</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1CD28" w14:textId="77777777" w:rsidR="00B60B7C" w:rsidRDefault="00B60B7C">
            <w:pPr>
              <w:spacing w:before="60" w:after="60"/>
              <w:jc w:val="center"/>
              <w:rPr>
                <w:rFonts w:ascii="Arial Narrow" w:hAnsi="Arial Narrow"/>
                <w:sz w:val="20"/>
                <w:szCs w:val="20"/>
              </w:rPr>
            </w:pPr>
            <w:r>
              <w:rPr>
                <w:rFonts w:ascii="Arial Narrow" w:hAnsi="Arial Narrow"/>
                <w:sz w:val="20"/>
                <w:szCs w:val="20"/>
              </w:rPr>
              <w:t>40 minutes</w:t>
            </w:r>
          </w:p>
          <w:p w14:paraId="577845D5" w14:textId="77777777" w:rsidR="00F17C56" w:rsidRDefault="00B60B7C">
            <w:pPr>
              <w:spacing w:before="60" w:after="60"/>
              <w:jc w:val="center"/>
              <w:rPr>
                <w:rFonts w:ascii="Arial Narrow" w:hAnsi="Arial Narrow"/>
                <w:sz w:val="20"/>
                <w:szCs w:val="20"/>
              </w:rPr>
            </w:pPr>
            <w:r>
              <w:rPr>
                <w:rFonts w:ascii="Arial Narrow" w:hAnsi="Arial Narrow"/>
                <w:sz w:val="20"/>
                <w:szCs w:val="20"/>
              </w:rPr>
              <w:t>(</w:t>
            </w:r>
            <w:r w:rsidR="00450F38">
              <w:rPr>
                <w:rFonts w:ascii="Arial Narrow" w:hAnsi="Arial Narrow"/>
                <w:sz w:val="20"/>
                <w:szCs w:val="20"/>
              </w:rPr>
              <w:t>0</w:t>
            </w:r>
            <w:r w:rsidR="008077F5">
              <w:rPr>
                <w:rFonts w:ascii="Arial Narrow" w:hAnsi="Arial Narrow"/>
                <w:sz w:val="20"/>
                <w:szCs w:val="20"/>
              </w:rPr>
              <w:t>.66</w:t>
            </w:r>
            <w:r>
              <w:rPr>
                <w:rFonts w:ascii="Arial Narrow" w:hAnsi="Arial Narrow"/>
                <w:sz w:val="20"/>
                <w:szCs w:val="20"/>
              </w:rPr>
              <w:t xml:space="preserve"> hours)</w:t>
            </w:r>
          </w:p>
          <w:p w14:paraId="3C1BCF1A" w14:textId="77777777" w:rsidR="00B60B7C" w:rsidRDefault="00B60B7C">
            <w:pPr>
              <w:spacing w:before="60" w:after="60"/>
              <w:jc w:val="center"/>
              <w:rPr>
                <w:rFonts w:ascii="Arial Narrow" w:hAnsi="Arial Narrow"/>
                <w:sz w:val="20"/>
                <w:szCs w:val="20"/>
              </w:rPr>
            </w:pPr>
          </w:p>
        </w:tc>
        <w:tc>
          <w:tcPr>
            <w:tcW w:w="1806" w:type="dxa"/>
            <w:tcBorders>
              <w:top w:val="single" w:sz="4" w:space="0" w:color="auto"/>
              <w:left w:val="single" w:sz="4" w:space="0" w:color="auto"/>
              <w:bottom w:val="single" w:sz="4" w:space="0" w:color="auto"/>
              <w:right w:val="single" w:sz="8" w:space="0" w:color="auto"/>
            </w:tcBorders>
          </w:tcPr>
          <w:p w14:paraId="11E4E04E" w14:textId="77777777" w:rsidR="00F17C56" w:rsidRDefault="008077F5">
            <w:pPr>
              <w:spacing w:before="60" w:after="60"/>
              <w:jc w:val="center"/>
              <w:rPr>
                <w:rFonts w:ascii="Arial Narrow" w:hAnsi="Arial Narrow"/>
                <w:sz w:val="20"/>
                <w:szCs w:val="20"/>
              </w:rPr>
            </w:pPr>
            <w:r>
              <w:rPr>
                <w:rFonts w:ascii="Arial Narrow" w:hAnsi="Arial Narrow"/>
                <w:sz w:val="20"/>
                <w:szCs w:val="20"/>
              </w:rPr>
              <w:t>2,750.88</w:t>
            </w:r>
          </w:p>
        </w:tc>
      </w:tr>
      <w:tr w:rsidR="00DE54CE" w14:paraId="16BE4CDC" w14:textId="77777777" w:rsidTr="0073024B">
        <w:tc>
          <w:tcPr>
            <w:tcW w:w="117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38EA676F" w14:textId="77777777" w:rsidR="00DE54CE" w:rsidRPr="00DE54CE" w:rsidRDefault="00DE54CE">
            <w:pPr>
              <w:spacing w:before="60" w:after="60"/>
              <w:rPr>
                <w:rFonts w:ascii="Arial Narrow" w:hAnsi="Arial Narrow"/>
                <w:b/>
                <w:sz w:val="20"/>
                <w:szCs w:val="20"/>
              </w:rPr>
            </w:pPr>
            <w:r>
              <w:rPr>
                <w:rFonts w:ascii="Arial Narrow" w:hAnsi="Arial Narrow"/>
                <w:b/>
                <w:sz w:val="20"/>
                <w:szCs w:val="20"/>
              </w:rPr>
              <w:t>Totals</w:t>
            </w:r>
          </w:p>
        </w:tc>
        <w:tc>
          <w:tcPr>
            <w:tcW w:w="126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38ECE5D" w14:textId="77777777" w:rsidR="00DE54CE" w:rsidRDefault="00DE54CE">
            <w:pPr>
              <w:spacing w:before="60" w:after="60"/>
              <w:rPr>
                <w:rFonts w:ascii="Arial Narrow" w:hAnsi="Arial Narrow"/>
                <w:sz w:val="20"/>
                <w:szCs w:val="20"/>
              </w:rPr>
            </w:pPr>
          </w:p>
        </w:tc>
        <w:tc>
          <w:tcPr>
            <w:tcW w:w="1168" w:type="dxa"/>
            <w:tcBorders>
              <w:top w:val="single" w:sz="4" w:space="0" w:color="auto"/>
              <w:left w:val="single" w:sz="4" w:space="0" w:color="auto"/>
              <w:bottom w:val="single" w:sz="8" w:space="0" w:color="auto"/>
              <w:right w:val="single" w:sz="4" w:space="0" w:color="auto"/>
            </w:tcBorders>
          </w:tcPr>
          <w:p w14:paraId="688F92BC" w14:textId="77777777" w:rsidR="00DE54CE" w:rsidRDefault="00DE54CE">
            <w:pPr>
              <w:spacing w:before="60" w:after="60"/>
              <w:jc w:val="center"/>
              <w:rPr>
                <w:rFonts w:ascii="Arial Narrow" w:hAnsi="Arial Narrow"/>
                <w:sz w:val="20"/>
                <w:szCs w:val="20"/>
              </w:rPr>
            </w:pPr>
            <w:r>
              <w:rPr>
                <w:rFonts w:ascii="Arial Narrow" w:hAnsi="Arial Narrow"/>
                <w:sz w:val="20"/>
                <w:szCs w:val="20"/>
              </w:rPr>
              <w:t>4,260</w:t>
            </w:r>
          </w:p>
        </w:tc>
        <w:tc>
          <w:tcPr>
            <w:tcW w:w="1805" w:type="dxa"/>
            <w:tcBorders>
              <w:top w:val="single" w:sz="4" w:space="0" w:color="auto"/>
              <w:left w:val="single" w:sz="4" w:space="0" w:color="auto"/>
              <w:bottom w:val="single" w:sz="8" w:space="0" w:color="auto"/>
              <w:right w:val="single" w:sz="4" w:space="0" w:color="auto"/>
            </w:tcBorders>
          </w:tcPr>
          <w:p w14:paraId="66FD250A" w14:textId="77777777" w:rsidR="00DE54CE" w:rsidRDefault="00DE54CE">
            <w:pPr>
              <w:spacing w:before="60" w:after="60"/>
              <w:jc w:val="center"/>
              <w:rPr>
                <w:rFonts w:ascii="Arial Narrow" w:hAnsi="Arial Narrow"/>
                <w:sz w:val="20"/>
                <w:szCs w:val="20"/>
              </w:rPr>
            </w:pPr>
          </w:p>
        </w:tc>
        <w:tc>
          <w:tcPr>
            <w:tcW w:w="1806"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14:paraId="1882DC4F" w14:textId="77777777" w:rsidR="00DE54CE" w:rsidRDefault="00DE54CE">
            <w:pPr>
              <w:spacing w:before="60" w:after="60"/>
              <w:jc w:val="center"/>
              <w:rPr>
                <w:rFonts w:ascii="Arial Narrow" w:hAnsi="Arial Narrow"/>
                <w:sz w:val="20"/>
                <w:szCs w:val="20"/>
              </w:rPr>
            </w:pPr>
          </w:p>
        </w:tc>
        <w:tc>
          <w:tcPr>
            <w:tcW w:w="1806" w:type="dxa"/>
            <w:tcBorders>
              <w:top w:val="single" w:sz="4" w:space="0" w:color="auto"/>
              <w:left w:val="single" w:sz="4" w:space="0" w:color="auto"/>
              <w:bottom w:val="single" w:sz="8" w:space="0" w:color="auto"/>
              <w:right w:val="single" w:sz="8" w:space="0" w:color="auto"/>
            </w:tcBorders>
          </w:tcPr>
          <w:p w14:paraId="6F4A76D9" w14:textId="77777777" w:rsidR="00DE54CE" w:rsidRDefault="00DE54CE">
            <w:pPr>
              <w:spacing w:before="60" w:after="60"/>
              <w:jc w:val="center"/>
              <w:rPr>
                <w:rFonts w:ascii="Arial Narrow" w:hAnsi="Arial Narrow"/>
                <w:sz w:val="20"/>
                <w:szCs w:val="20"/>
              </w:rPr>
            </w:pPr>
            <w:r>
              <w:rPr>
                <w:rFonts w:ascii="Arial Narrow" w:hAnsi="Arial Narrow"/>
                <w:sz w:val="20"/>
                <w:szCs w:val="20"/>
              </w:rPr>
              <w:t>2811.60</w:t>
            </w:r>
          </w:p>
        </w:tc>
      </w:tr>
    </w:tbl>
    <w:p w14:paraId="1D97484D" w14:textId="77777777" w:rsidR="00796E3B" w:rsidRDefault="00796E3B" w:rsidP="00796E3B">
      <w:pPr>
        <w:keepNext/>
        <w:widowControl w:val="0"/>
        <w:autoSpaceDE w:val="0"/>
        <w:autoSpaceDN w:val="0"/>
        <w:adjustRightInd w:val="0"/>
        <w:spacing w:before="120" w:after="120" w:line="240" w:lineRule="auto"/>
        <w:outlineLvl w:val="3"/>
        <w:rPr>
          <w:rFonts w:ascii="Times New Roman" w:eastAsia="Times New Roman" w:hAnsi="Times New Roman" w:cs="Times New Roman"/>
          <w:b/>
          <w:iCs/>
          <w:sz w:val="24"/>
          <w:szCs w:val="24"/>
        </w:rPr>
      </w:pPr>
    </w:p>
    <w:p w14:paraId="4FBD642D" w14:textId="77777777" w:rsidR="00796E3B" w:rsidRPr="00B94700" w:rsidRDefault="00B94700" w:rsidP="00B94700">
      <w:pPr>
        <w:keepNext/>
        <w:widowControl w:val="0"/>
        <w:autoSpaceDE w:val="0"/>
        <w:autoSpaceDN w:val="0"/>
        <w:adjustRightInd w:val="0"/>
        <w:spacing w:before="120" w:after="120" w:line="240" w:lineRule="auto"/>
        <w:outlineLvl w:val="3"/>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12B. </w:t>
      </w:r>
      <w:r w:rsidR="00796E3B" w:rsidRPr="00B94700">
        <w:rPr>
          <w:rFonts w:ascii="Times New Roman" w:eastAsia="Times New Roman" w:hAnsi="Times New Roman" w:cs="Times New Roman"/>
          <w:b/>
          <w:iCs/>
          <w:sz w:val="24"/>
          <w:szCs w:val="24"/>
          <w:u w:val="single"/>
        </w:rPr>
        <w:t>Estimated Annualized Respondent Cost Burden</w:t>
      </w:r>
    </w:p>
    <w:p w14:paraId="2FB8E0A6" w14:textId="77777777" w:rsidR="00796E3B" w:rsidRPr="00796E3B" w:rsidRDefault="00796E3B" w:rsidP="00796E3B">
      <w:pPr>
        <w:spacing w:after="120" w:line="260" w:lineRule="atLeast"/>
        <w:rPr>
          <w:rFonts w:ascii="Times New Roman" w:eastAsia="Times New Roman" w:hAnsi="Times New Roman" w:cs="Times New Roman"/>
          <w:b/>
          <w:bCs/>
          <w:sz w:val="24"/>
          <w:szCs w:val="24"/>
        </w:rPr>
      </w:pPr>
      <w:r w:rsidRPr="00796E3B">
        <w:rPr>
          <w:rFonts w:ascii="Times New Roman" w:eastAsia="Times New Roman" w:hAnsi="Times New Roman" w:cs="Times New Roman"/>
          <w:sz w:val="24"/>
          <w:szCs w:val="24"/>
        </w:rPr>
        <w:t xml:space="preserve">The estimated total annualized labor cost to respond to the outreach and enrollment form is </w:t>
      </w:r>
      <w:r w:rsidRPr="00796E3B">
        <w:rPr>
          <w:rFonts w:ascii="Times New Roman" w:eastAsia="Times New Roman" w:hAnsi="Times New Roman" w:cs="Times New Roman"/>
          <w:b/>
          <w:bCs/>
          <w:sz w:val="24"/>
          <w:szCs w:val="24"/>
        </w:rPr>
        <w:t>$</w:t>
      </w:r>
      <w:r w:rsidR="00A45DAF" w:rsidRPr="006B7335">
        <w:rPr>
          <w:rFonts w:ascii="Times New Roman" w:eastAsia="Times New Roman" w:hAnsi="Times New Roman" w:cs="Times New Roman"/>
          <w:b/>
          <w:bCs/>
          <w:sz w:val="24"/>
          <w:szCs w:val="24"/>
        </w:rPr>
        <w:t>112,817</w:t>
      </w:r>
      <w:r w:rsidRPr="00796E3B">
        <w:rPr>
          <w:rFonts w:ascii="Times New Roman" w:eastAsia="Times New Roman" w:hAnsi="Times New Roman" w:cs="Times New Roman"/>
          <w:b/>
          <w:bCs/>
          <w:sz w:val="24"/>
          <w:szCs w:val="24"/>
        </w:rPr>
        <w:t xml:space="preserve"> </w:t>
      </w:r>
      <w:r w:rsidRPr="00796E3B">
        <w:rPr>
          <w:rFonts w:ascii="Times New Roman" w:eastAsia="Times New Roman" w:hAnsi="Times New Roman" w:cs="Times New Roman"/>
          <w:sz w:val="24"/>
          <w:szCs w:val="24"/>
        </w:rPr>
        <w:t xml:space="preserve">or an average of </w:t>
      </w:r>
      <w:r w:rsidRPr="00796E3B">
        <w:rPr>
          <w:rFonts w:ascii="Times New Roman" w:eastAsia="Times New Roman" w:hAnsi="Times New Roman" w:cs="Times New Roman"/>
          <w:b/>
          <w:bCs/>
          <w:sz w:val="24"/>
          <w:szCs w:val="24"/>
        </w:rPr>
        <w:t>$</w:t>
      </w:r>
      <w:r w:rsidR="00A45DAF" w:rsidRPr="006B7335">
        <w:rPr>
          <w:rFonts w:ascii="Times New Roman" w:eastAsia="Times New Roman" w:hAnsi="Times New Roman" w:cs="Times New Roman"/>
          <w:b/>
          <w:bCs/>
          <w:sz w:val="24"/>
          <w:szCs w:val="24"/>
        </w:rPr>
        <w:t>25.90</w:t>
      </w:r>
      <w:r w:rsidRPr="00796E3B">
        <w:rPr>
          <w:rFonts w:ascii="Times New Roman" w:eastAsia="Times New Roman" w:hAnsi="Times New Roman" w:cs="Times New Roman"/>
          <w:sz w:val="24"/>
          <w:szCs w:val="24"/>
        </w:rPr>
        <w:t xml:space="preserve"> per respondent (see </w:t>
      </w:r>
      <w:r w:rsidRPr="00796E3B">
        <w:rPr>
          <w:rFonts w:ascii="Times New Roman" w:eastAsia="Times New Roman" w:hAnsi="Times New Roman" w:cs="Times New Roman"/>
          <w:b/>
          <w:bCs/>
          <w:sz w:val="24"/>
          <w:szCs w:val="24"/>
        </w:rPr>
        <w:t>Exhibit 2</w:t>
      </w:r>
      <w:r w:rsidRPr="00796E3B">
        <w:rPr>
          <w:rFonts w:ascii="Times New Roman" w:eastAsia="Times New Roman" w:hAnsi="Times New Roman" w:cs="Times New Roman"/>
          <w:sz w:val="24"/>
          <w:szCs w:val="24"/>
        </w:rPr>
        <w:t xml:space="preserve">). The estimated hourly wage rate ($40.12) is a weighted average based on the distribution of the hour burden across four different categories of grantee labor (i.e., clerical/unskilled, skilled/technical, managerial or professional, and executive). This hour burden across labor categories is based on findings from the </w:t>
      </w:r>
      <w:r w:rsidRPr="00796E3B">
        <w:rPr>
          <w:rFonts w:ascii="Times New Roman" w:eastAsia="Times New Roman" w:hAnsi="Times New Roman" w:cs="Times New Roman"/>
          <w:i/>
          <w:iCs/>
          <w:sz w:val="24"/>
          <w:szCs w:val="24"/>
        </w:rPr>
        <w:t>2009 FPAR Burden Study</w:t>
      </w:r>
      <w:hyperlink w:anchor="_ENREF_22" w:tooltip="RTI International, 2009 #573" w:history="1">
        <w:r w:rsidRPr="00796E3B">
          <w:rPr>
            <w:rFonts w:ascii="Times New Roman" w:eastAsia="Times New Roman" w:hAnsi="Times New Roman" w:cs="Times New Roman"/>
            <w:sz w:val="24"/>
            <w:szCs w:val="24"/>
          </w:rPr>
          <w:fldChar w:fldCharType="begin"/>
        </w:r>
        <w:r w:rsidRPr="00796E3B">
          <w:rPr>
            <w:rFonts w:ascii="Times New Roman" w:eastAsia="Times New Roman" w:hAnsi="Times New Roman" w:cs="Times New Roman"/>
            <w:sz w:val="24"/>
            <w:szCs w:val="24"/>
          </w:rPr>
          <w:instrText xml:space="preserve"> ADDIN EN.CITE &lt;EndNote&gt;&lt;Cite&gt;&lt;Author&gt;RTI International&lt;/Author&gt;&lt;Year&gt;2009&lt;/Year&gt;&lt;RecNum&gt;573&lt;/RecNum&gt;&lt;DisplayText&gt;&lt;style face="superscript"&gt;22&lt;/style&gt;&lt;/DisplayText&gt;&lt;record&gt;&lt;rec-number&gt;573&lt;/rec-number&gt;&lt;foreign-keys&gt;&lt;key app="EN" db-id="ww5sp020aesvf3eztw5vtr9hxesfrppaerps"&gt;573&lt;/key&gt;&lt;/foreign-keys&gt;&lt;ref-type name="Report"&gt;27&lt;/ref-type&gt;&lt;contributors&gt;&lt;authors&gt;&lt;author&gt;RTI International,&lt;/author&gt;&lt;/authors&gt;&lt;secondary-authors&gt;&lt;author&gt;Prepared for the Office of Population Affairs/Office of Family Planning under Contract No. 233-02-0090 (Task Order 36),&lt;/author&gt;&lt;/secondary-authors&gt;&lt;/contributors&gt;&lt;titles&gt;&lt;title&gt;Family Planning Annual Report Burden Study&lt;/title&gt;&lt;/titles&gt;&lt;dates&gt;&lt;year&gt;2009&lt;/year&gt;&lt;/dates&gt;&lt;pub-location&gt;Research Triangle Park, NC&lt;/pub-location&gt;&lt;publisher&gt;RTI&lt;/publisher&gt;&lt;urls&gt;&lt;/urls&gt;&lt;/record&gt;&lt;/Cite&gt;&lt;/EndNote&gt;</w:instrText>
        </w:r>
        <w:r w:rsidRPr="00796E3B">
          <w:rPr>
            <w:rFonts w:ascii="Times New Roman" w:eastAsia="Times New Roman" w:hAnsi="Times New Roman" w:cs="Times New Roman"/>
            <w:sz w:val="24"/>
            <w:szCs w:val="24"/>
          </w:rPr>
          <w:fldChar w:fldCharType="separate"/>
        </w:r>
        <w:r w:rsidRPr="00796E3B">
          <w:rPr>
            <w:rFonts w:ascii="Times New Roman" w:eastAsia="Times New Roman" w:hAnsi="Times New Roman" w:cs="Times New Roman"/>
            <w:noProof/>
            <w:sz w:val="24"/>
            <w:szCs w:val="24"/>
            <w:vertAlign w:val="superscript"/>
          </w:rPr>
          <w:t>22</w:t>
        </w:r>
        <w:r w:rsidRPr="00796E3B">
          <w:rPr>
            <w:rFonts w:ascii="Times New Roman" w:eastAsia="Times New Roman" w:hAnsi="Times New Roman" w:cs="Times New Roman"/>
            <w:sz w:val="24"/>
            <w:szCs w:val="24"/>
          </w:rPr>
          <w:fldChar w:fldCharType="end"/>
        </w:r>
      </w:hyperlink>
      <w:r w:rsidRPr="00796E3B">
        <w:rPr>
          <w:rFonts w:ascii="Times New Roman" w:eastAsia="Times New Roman" w:hAnsi="Times New Roman" w:cs="Times New Roman"/>
          <w:sz w:val="24"/>
          <w:szCs w:val="24"/>
        </w:rPr>
        <w:t xml:space="preserve"> which was conducted for a larger data collection effort by an OPA contractor. The average wage rate for each labor category was obtained from the U.S. Bureau of Labor Statistics 2011 wage rates for the health care and social assistance sector.</w:t>
      </w:r>
      <w:hyperlink w:anchor="_ENREF_23" w:tooltip="Bureau of Labor Statistics, March 2012 #574" w:history="1">
        <w:r w:rsidRPr="00796E3B">
          <w:rPr>
            <w:rFonts w:ascii="Times New Roman" w:eastAsia="Times New Roman" w:hAnsi="Times New Roman" w:cs="Times New Roman"/>
            <w:sz w:val="24"/>
            <w:szCs w:val="24"/>
          </w:rPr>
          <w:fldChar w:fldCharType="begin"/>
        </w:r>
        <w:r w:rsidRPr="00796E3B">
          <w:rPr>
            <w:rFonts w:ascii="Times New Roman" w:eastAsia="Times New Roman" w:hAnsi="Times New Roman" w:cs="Times New Roman"/>
            <w:sz w:val="24"/>
            <w:szCs w:val="24"/>
          </w:rPr>
          <w:instrText xml:space="preserve"> ADDIN EN.CITE &lt;EndNote&gt;&lt;Cite&gt;&lt;Author&gt;Bureau of Labor Statistics&lt;/Author&gt;&lt;Year&gt;March 2012&lt;/Year&gt;&lt;RecNum&gt;574&lt;/RecNum&gt;&lt;DisplayText&gt;&lt;style face="superscript"&gt;23&lt;/style&gt;&lt;/DisplayText&gt;&lt;record&gt;&lt;rec-number&gt;574&lt;/rec-number&gt;&lt;foreign-keys&gt;&lt;key app="EN" db-id="ww5sp020aesvf3eztw5vtr9hxesfrppaerps"&gt;574&lt;/key&gt;&lt;/foreign-keys&gt;&lt;ref-type name="Report"&gt;27&lt;/ref-type&gt;&lt;contributors&gt;&lt;authors&gt;&lt;author&gt;Bureau of Labor Statistics,&lt;/author&gt;&lt;/authors&gt;&lt;/contributors&gt;&lt;titles&gt;&lt;title&gt;May 2011 National Industry-Specific Occupational Employment and Wage Estimates: Sector 62-Health Care and Social Assistance&lt;/title&gt;&lt;/titles&gt;&lt;dates&gt;&lt;year&gt;March 2012&lt;/year&gt;&lt;/dates&gt;&lt;urls&gt;&lt;related-urls&gt;&lt;url&gt;May 20, 2010 &lt;/url&gt;&lt;/related-urls&gt;&lt;/urls&gt;&lt;access-date&gt;http://www.bls.gov/oes/current/naics2_62.htm#11-0000&lt;/access-date&gt;&lt;/record&gt;&lt;/Cite&gt;&lt;/EndNote&gt;</w:instrText>
        </w:r>
        <w:r w:rsidRPr="00796E3B">
          <w:rPr>
            <w:rFonts w:ascii="Times New Roman" w:eastAsia="Times New Roman" w:hAnsi="Times New Roman" w:cs="Times New Roman"/>
            <w:sz w:val="24"/>
            <w:szCs w:val="24"/>
          </w:rPr>
          <w:fldChar w:fldCharType="separate"/>
        </w:r>
        <w:r w:rsidRPr="00796E3B">
          <w:rPr>
            <w:rFonts w:ascii="Times New Roman" w:eastAsia="Times New Roman" w:hAnsi="Times New Roman" w:cs="Times New Roman"/>
            <w:noProof/>
            <w:sz w:val="24"/>
            <w:szCs w:val="24"/>
            <w:vertAlign w:val="superscript"/>
          </w:rPr>
          <w:t>23</w:t>
        </w:r>
        <w:r w:rsidRPr="00796E3B">
          <w:rPr>
            <w:rFonts w:ascii="Times New Roman" w:eastAsia="Times New Roman" w:hAnsi="Times New Roman" w:cs="Times New Roman"/>
            <w:sz w:val="24"/>
            <w:szCs w:val="24"/>
          </w:rPr>
          <w:fldChar w:fldCharType="end"/>
        </w:r>
      </w:hyperlink>
    </w:p>
    <w:p w14:paraId="628F1306" w14:textId="77777777" w:rsidR="00796E3B" w:rsidRPr="00796E3B" w:rsidRDefault="00796E3B" w:rsidP="00796E3B">
      <w:pPr>
        <w:keepNext/>
        <w:tabs>
          <w:tab w:val="left" w:pos="360"/>
        </w:tabs>
        <w:spacing w:after="20" w:line="240" w:lineRule="auto"/>
        <w:rPr>
          <w:rFonts w:ascii="Times New Roman" w:eastAsia="Times New Roman" w:hAnsi="Times New Roman" w:cs="Times New Roman"/>
          <w:b/>
          <w:bCs/>
          <w:sz w:val="20"/>
          <w:szCs w:val="20"/>
        </w:rPr>
      </w:pPr>
      <w:bookmarkStart w:id="23" w:name="_Toc275085716"/>
      <w:r w:rsidRPr="00796E3B">
        <w:rPr>
          <w:rFonts w:ascii="Times New Roman" w:eastAsia="Times New Roman" w:hAnsi="Times New Roman" w:cs="Times New Roman"/>
          <w:b/>
          <w:bCs/>
          <w:sz w:val="20"/>
          <w:szCs w:val="20"/>
        </w:rPr>
        <w:t>Exhibit 2–Estimated Annualized Cost to Respondents for Information Collection</w:t>
      </w:r>
      <w:bookmarkEnd w:id="23"/>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796E3B" w:rsidRPr="00796E3B" w14:paraId="7F3D8125" w14:textId="77777777" w:rsidTr="00D83714">
        <w:tc>
          <w:tcPr>
            <w:tcW w:w="1890" w:type="dxa"/>
            <w:shd w:val="clear" w:color="auto" w:fill="F2F2F2" w:themeFill="background1" w:themeFillShade="F2"/>
            <w:tcMar>
              <w:top w:w="0" w:type="dxa"/>
              <w:left w:w="108" w:type="dxa"/>
              <w:bottom w:w="0" w:type="dxa"/>
              <w:right w:w="108" w:type="dxa"/>
            </w:tcMar>
            <w:vAlign w:val="bottom"/>
          </w:tcPr>
          <w:p w14:paraId="25D9BB67" w14:textId="77777777" w:rsidR="00796E3B" w:rsidRPr="00796E3B" w:rsidRDefault="00796E3B" w:rsidP="00796E3B">
            <w:pPr>
              <w:spacing w:after="0" w:line="240" w:lineRule="auto"/>
              <w:jc w:val="center"/>
              <w:rPr>
                <w:rFonts w:ascii="Arial Narrow" w:eastAsia="Times New Roman" w:hAnsi="Arial Narrow" w:cs="Times New Roman"/>
                <w:b/>
                <w:bCs/>
                <w:sz w:val="16"/>
                <w:szCs w:val="16"/>
              </w:rPr>
            </w:pPr>
            <w:r w:rsidRPr="00796E3B">
              <w:rPr>
                <w:rFonts w:ascii="Arial Narrow" w:eastAsia="Times New Roman" w:hAnsi="Arial Narrow" w:cs="Times New Roman"/>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14:paraId="2CF71950" w14:textId="77777777" w:rsidR="00796E3B" w:rsidRPr="00796E3B" w:rsidRDefault="00796E3B" w:rsidP="00796E3B">
            <w:pPr>
              <w:spacing w:after="0" w:line="240" w:lineRule="auto"/>
              <w:jc w:val="center"/>
              <w:rPr>
                <w:rFonts w:ascii="Arial Narrow" w:eastAsia="Times New Roman" w:hAnsi="Arial Narrow" w:cs="Times New Roman"/>
                <w:b/>
                <w:bCs/>
                <w:sz w:val="16"/>
                <w:szCs w:val="16"/>
              </w:rPr>
            </w:pPr>
            <w:r w:rsidRPr="00796E3B">
              <w:rPr>
                <w:rFonts w:ascii="Arial Narrow" w:eastAsia="Times New Roman" w:hAnsi="Arial Narrow" w:cs="Times New Roman"/>
                <w:b/>
                <w:bCs/>
                <w:sz w:val="16"/>
                <w:szCs w:val="16"/>
              </w:rPr>
              <w:t>Total Burden Hours</w:t>
            </w:r>
          </w:p>
        </w:tc>
        <w:tc>
          <w:tcPr>
            <w:tcW w:w="2160" w:type="dxa"/>
            <w:shd w:val="clear" w:color="auto" w:fill="F2F2F2" w:themeFill="background1" w:themeFillShade="F2"/>
            <w:vAlign w:val="bottom"/>
          </w:tcPr>
          <w:p w14:paraId="1E92E310" w14:textId="77777777" w:rsidR="00796E3B" w:rsidRPr="00796E3B" w:rsidRDefault="00796E3B" w:rsidP="00796E3B">
            <w:pPr>
              <w:spacing w:after="0" w:line="240" w:lineRule="auto"/>
              <w:jc w:val="center"/>
              <w:rPr>
                <w:rFonts w:ascii="Arial Narrow" w:eastAsia="Times New Roman" w:hAnsi="Arial Narrow" w:cs="Times New Roman"/>
                <w:b/>
                <w:bCs/>
                <w:sz w:val="16"/>
                <w:szCs w:val="16"/>
              </w:rPr>
            </w:pPr>
            <w:r w:rsidRPr="00796E3B">
              <w:rPr>
                <w:rFonts w:ascii="Arial Narrow" w:eastAsia="Times New Roman" w:hAnsi="Arial Narrow" w:cs="Times New Roman"/>
                <w:b/>
                <w:bCs/>
                <w:sz w:val="16"/>
                <w:szCs w:val="16"/>
              </w:rPr>
              <w:t>Average (Weighted)</w:t>
            </w:r>
            <w:r w:rsidRPr="00796E3B">
              <w:rPr>
                <w:rFonts w:ascii="Arial Narrow" w:eastAsia="Times New Roman" w:hAnsi="Arial Narrow" w:cs="Times New Roman"/>
                <w:b/>
                <w:bCs/>
                <w:sz w:val="16"/>
                <w:szCs w:val="16"/>
              </w:rPr>
              <w:br/>
              <w:t>Hourly Wage Rate</w:t>
            </w:r>
          </w:p>
        </w:tc>
        <w:tc>
          <w:tcPr>
            <w:tcW w:w="2430" w:type="dxa"/>
            <w:shd w:val="clear" w:color="auto" w:fill="F2F2F2" w:themeFill="background1" w:themeFillShade="F2"/>
            <w:vAlign w:val="bottom"/>
          </w:tcPr>
          <w:p w14:paraId="041D9DDB" w14:textId="77777777" w:rsidR="00796E3B" w:rsidRPr="00796E3B" w:rsidRDefault="00796E3B" w:rsidP="00796E3B">
            <w:pPr>
              <w:spacing w:after="0" w:line="240" w:lineRule="auto"/>
              <w:jc w:val="center"/>
              <w:rPr>
                <w:rFonts w:ascii="Arial Narrow" w:eastAsia="Times New Roman" w:hAnsi="Arial Narrow" w:cs="Times New Roman"/>
                <w:b/>
                <w:bCs/>
                <w:sz w:val="16"/>
                <w:szCs w:val="16"/>
              </w:rPr>
            </w:pPr>
            <w:r w:rsidRPr="00796E3B">
              <w:rPr>
                <w:rFonts w:ascii="Arial Narrow" w:eastAsia="Times New Roman" w:hAnsi="Arial Narrow" w:cs="Times New Roman"/>
                <w:b/>
                <w:bCs/>
                <w:sz w:val="16"/>
                <w:szCs w:val="16"/>
              </w:rPr>
              <w:t>Total Respondent Cost</w:t>
            </w:r>
          </w:p>
        </w:tc>
      </w:tr>
      <w:tr w:rsidR="00796E3B" w:rsidRPr="00796E3B" w14:paraId="00EF25BB" w14:textId="77777777" w:rsidTr="00D83714">
        <w:tc>
          <w:tcPr>
            <w:tcW w:w="1890" w:type="dxa"/>
            <w:tcMar>
              <w:top w:w="0" w:type="dxa"/>
              <w:left w:w="108" w:type="dxa"/>
              <w:bottom w:w="0" w:type="dxa"/>
              <w:right w:w="108" w:type="dxa"/>
            </w:tcMar>
          </w:tcPr>
          <w:p w14:paraId="7590572F" w14:textId="77777777" w:rsidR="00796E3B" w:rsidRPr="00796E3B" w:rsidRDefault="00796E3B" w:rsidP="00796E3B">
            <w:pPr>
              <w:spacing w:before="60" w:after="60" w:line="240" w:lineRule="auto"/>
              <w:ind w:left="72"/>
              <w:rPr>
                <w:rFonts w:ascii="Arial Narrow" w:eastAsia="Times New Roman" w:hAnsi="Arial Narrow" w:cs="Times New Roman"/>
                <w:sz w:val="20"/>
                <w:szCs w:val="20"/>
              </w:rPr>
            </w:pPr>
            <w:r>
              <w:rPr>
                <w:rFonts w:ascii="Arial Narrow" w:eastAsia="Times New Roman" w:hAnsi="Arial Narrow" w:cs="Times New Roman"/>
                <w:sz w:val="20"/>
                <w:szCs w:val="20"/>
              </w:rPr>
              <w:t>Grantees</w:t>
            </w:r>
          </w:p>
        </w:tc>
        <w:tc>
          <w:tcPr>
            <w:tcW w:w="2160" w:type="dxa"/>
            <w:tcMar>
              <w:top w:w="0" w:type="dxa"/>
              <w:left w:w="108" w:type="dxa"/>
              <w:bottom w:w="0" w:type="dxa"/>
              <w:right w:w="108" w:type="dxa"/>
            </w:tcMar>
          </w:tcPr>
          <w:p w14:paraId="3D6D91E6" w14:textId="77777777" w:rsidR="00796E3B" w:rsidRDefault="00A45DAF" w:rsidP="00796E3B">
            <w:pPr>
              <w:spacing w:before="60" w:after="60" w:line="240" w:lineRule="auto"/>
              <w:ind w:right="792"/>
              <w:jc w:val="right"/>
              <w:rPr>
                <w:rFonts w:ascii="Arial Narrow" w:eastAsia="Times New Roman" w:hAnsi="Arial Narrow" w:cs="Times New Roman"/>
                <w:sz w:val="20"/>
                <w:szCs w:val="20"/>
              </w:rPr>
            </w:pPr>
            <w:r>
              <w:rPr>
                <w:rFonts w:ascii="Arial Narrow" w:eastAsia="Times New Roman" w:hAnsi="Arial Narrow" w:cs="Times New Roman"/>
                <w:sz w:val="20"/>
                <w:szCs w:val="20"/>
              </w:rPr>
              <w:t>61</w:t>
            </w:r>
          </w:p>
        </w:tc>
        <w:tc>
          <w:tcPr>
            <w:tcW w:w="2160" w:type="dxa"/>
          </w:tcPr>
          <w:p w14:paraId="2F82E6B8" w14:textId="77777777" w:rsidR="00796E3B" w:rsidRPr="00796E3B" w:rsidRDefault="00796E3B" w:rsidP="00796E3B">
            <w:pPr>
              <w:spacing w:before="60" w:after="60" w:line="240" w:lineRule="auto"/>
              <w:ind w:right="720"/>
              <w:jc w:val="right"/>
              <w:rPr>
                <w:rFonts w:ascii="Arial Narrow" w:eastAsia="Times New Roman" w:hAnsi="Arial Narrow" w:cs="Times New Roman"/>
                <w:sz w:val="20"/>
                <w:szCs w:val="20"/>
              </w:rPr>
            </w:pPr>
            <w:r>
              <w:rPr>
                <w:rFonts w:ascii="Arial Narrow" w:eastAsia="Times New Roman" w:hAnsi="Arial Narrow" w:cs="Times New Roman"/>
                <w:sz w:val="20"/>
                <w:szCs w:val="20"/>
              </w:rPr>
              <w:t>$40.12</w:t>
            </w:r>
          </w:p>
        </w:tc>
        <w:tc>
          <w:tcPr>
            <w:tcW w:w="2430" w:type="dxa"/>
          </w:tcPr>
          <w:p w14:paraId="4BD9E33B" w14:textId="77777777" w:rsidR="00796E3B" w:rsidRPr="00796E3B" w:rsidRDefault="00A45DAF" w:rsidP="00796E3B">
            <w:pPr>
              <w:spacing w:before="60" w:after="60" w:line="240" w:lineRule="auto"/>
              <w:ind w:right="720"/>
              <w:jc w:val="right"/>
              <w:rPr>
                <w:rFonts w:ascii="Arial Narrow" w:eastAsia="Times New Roman" w:hAnsi="Arial Narrow" w:cs="Times New Roman"/>
                <w:b/>
                <w:bCs/>
                <w:sz w:val="20"/>
                <w:szCs w:val="20"/>
              </w:rPr>
            </w:pPr>
            <w:r>
              <w:rPr>
                <w:rFonts w:ascii="Arial Narrow" w:eastAsia="Times New Roman" w:hAnsi="Arial Narrow" w:cs="Times New Roman"/>
                <w:b/>
                <w:bCs/>
                <w:sz w:val="20"/>
                <w:szCs w:val="20"/>
              </w:rPr>
              <w:t>$2,447</w:t>
            </w:r>
          </w:p>
        </w:tc>
      </w:tr>
      <w:tr w:rsidR="00796E3B" w:rsidRPr="00796E3B" w14:paraId="28F8E00B" w14:textId="77777777" w:rsidTr="00D83714">
        <w:tc>
          <w:tcPr>
            <w:tcW w:w="1890" w:type="dxa"/>
            <w:tcMar>
              <w:top w:w="0" w:type="dxa"/>
              <w:left w:w="108" w:type="dxa"/>
              <w:bottom w:w="0" w:type="dxa"/>
              <w:right w:w="108" w:type="dxa"/>
            </w:tcMar>
          </w:tcPr>
          <w:p w14:paraId="71871B7F" w14:textId="77777777" w:rsidR="00796E3B" w:rsidRPr="00796E3B" w:rsidRDefault="00796E3B" w:rsidP="00796E3B">
            <w:pPr>
              <w:spacing w:before="60" w:after="60" w:line="240" w:lineRule="auto"/>
              <w:ind w:left="72"/>
              <w:rPr>
                <w:rFonts w:ascii="Arial Narrow" w:eastAsia="Times New Roman" w:hAnsi="Arial Narrow" w:cs="Times New Roman"/>
                <w:sz w:val="20"/>
                <w:szCs w:val="20"/>
              </w:rPr>
            </w:pPr>
            <w:r w:rsidRPr="00796E3B">
              <w:rPr>
                <w:rFonts w:ascii="Arial Narrow" w:eastAsia="Times New Roman" w:hAnsi="Arial Narrow" w:cs="Times New Roman"/>
                <w:sz w:val="20"/>
                <w:szCs w:val="20"/>
              </w:rPr>
              <w:lastRenderedPageBreak/>
              <w:t>Service sites</w:t>
            </w:r>
          </w:p>
        </w:tc>
        <w:tc>
          <w:tcPr>
            <w:tcW w:w="2160" w:type="dxa"/>
            <w:tcMar>
              <w:top w:w="0" w:type="dxa"/>
              <w:left w:w="108" w:type="dxa"/>
              <w:bottom w:w="0" w:type="dxa"/>
              <w:right w:w="108" w:type="dxa"/>
            </w:tcMar>
          </w:tcPr>
          <w:p w14:paraId="6736C98D" w14:textId="77777777" w:rsidR="00796E3B" w:rsidRPr="00796E3B" w:rsidRDefault="00796E3B" w:rsidP="00796E3B">
            <w:pPr>
              <w:spacing w:before="60" w:after="60" w:line="240" w:lineRule="auto"/>
              <w:ind w:right="792"/>
              <w:jc w:val="right"/>
              <w:rPr>
                <w:rFonts w:ascii="Arial Narrow" w:eastAsia="Times New Roman" w:hAnsi="Arial Narrow" w:cs="Times New Roman"/>
                <w:sz w:val="20"/>
                <w:szCs w:val="20"/>
              </w:rPr>
            </w:pPr>
            <w:r>
              <w:rPr>
                <w:rFonts w:ascii="Arial Narrow" w:eastAsia="Times New Roman" w:hAnsi="Arial Narrow" w:cs="Times New Roman"/>
                <w:sz w:val="20"/>
                <w:szCs w:val="20"/>
              </w:rPr>
              <w:t>2751</w:t>
            </w:r>
          </w:p>
        </w:tc>
        <w:tc>
          <w:tcPr>
            <w:tcW w:w="2160" w:type="dxa"/>
          </w:tcPr>
          <w:p w14:paraId="3BDF19B0" w14:textId="77777777" w:rsidR="00796E3B" w:rsidRPr="00796E3B" w:rsidRDefault="00796E3B" w:rsidP="00796E3B">
            <w:pPr>
              <w:spacing w:before="60" w:after="60" w:line="240" w:lineRule="auto"/>
              <w:ind w:right="720"/>
              <w:jc w:val="right"/>
              <w:rPr>
                <w:rFonts w:ascii="Arial Narrow" w:eastAsia="Times New Roman" w:hAnsi="Arial Narrow" w:cs="Times New Roman"/>
                <w:sz w:val="20"/>
                <w:szCs w:val="20"/>
              </w:rPr>
            </w:pPr>
            <w:r w:rsidRPr="00796E3B">
              <w:rPr>
                <w:rFonts w:ascii="Arial Narrow" w:eastAsia="Times New Roman" w:hAnsi="Arial Narrow" w:cs="Times New Roman"/>
                <w:sz w:val="20"/>
                <w:szCs w:val="20"/>
              </w:rPr>
              <w:t>$40.12</w:t>
            </w:r>
          </w:p>
        </w:tc>
        <w:tc>
          <w:tcPr>
            <w:tcW w:w="2430" w:type="dxa"/>
          </w:tcPr>
          <w:p w14:paraId="78E94B40" w14:textId="77777777" w:rsidR="00796E3B" w:rsidRPr="00796E3B" w:rsidRDefault="00796E3B" w:rsidP="00A45DAF">
            <w:pPr>
              <w:spacing w:before="60" w:after="60" w:line="240" w:lineRule="auto"/>
              <w:ind w:right="720"/>
              <w:jc w:val="right"/>
              <w:rPr>
                <w:rFonts w:ascii="Arial Narrow" w:eastAsia="Times New Roman" w:hAnsi="Arial Narrow" w:cs="Times New Roman"/>
                <w:b/>
                <w:bCs/>
                <w:sz w:val="20"/>
                <w:szCs w:val="20"/>
              </w:rPr>
            </w:pPr>
            <w:r w:rsidRPr="00796E3B">
              <w:rPr>
                <w:rFonts w:ascii="Arial Narrow" w:eastAsia="Times New Roman" w:hAnsi="Arial Narrow" w:cs="Times New Roman"/>
                <w:b/>
                <w:bCs/>
                <w:sz w:val="20"/>
                <w:szCs w:val="20"/>
              </w:rPr>
              <w:t>$</w:t>
            </w:r>
            <w:r w:rsidR="00A45DAF">
              <w:rPr>
                <w:rFonts w:ascii="Arial Narrow" w:eastAsia="Times New Roman" w:hAnsi="Arial Narrow" w:cs="Times New Roman"/>
                <w:b/>
                <w:bCs/>
                <w:sz w:val="20"/>
                <w:szCs w:val="20"/>
              </w:rPr>
              <w:t>110,370</w:t>
            </w:r>
          </w:p>
        </w:tc>
      </w:tr>
      <w:tr w:rsidR="00796E3B" w:rsidRPr="00796E3B" w14:paraId="565ECD92" w14:textId="77777777" w:rsidTr="00D83714">
        <w:tc>
          <w:tcPr>
            <w:tcW w:w="1890" w:type="dxa"/>
            <w:tcMar>
              <w:top w:w="0" w:type="dxa"/>
              <w:left w:w="108" w:type="dxa"/>
              <w:bottom w:w="0" w:type="dxa"/>
              <w:right w:w="108" w:type="dxa"/>
            </w:tcMar>
          </w:tcPr>
          <w:p w14:paraId="6EB7E155" w14:textId="77777777" w:rsidR="00796E3B" w:rsidRPr="00796E3B" w:rsidRDefault="00796E3B" w:rsidP="00796E3B">
            <w:pPr>
              <w:spacing w:before="60" w:after="60" w:line="240" w:lineRule="auto"/>
              <w:ind w:left="72"/>
              <w:rPr>
                <w:rFonts w:ascii="Arial Narrow" w:eastAsia="Times New Roman" w:hAnsi="Arial Narrow" w:cs="Times New Roman"/>
                <w:sz w:val="20"/>
                <w:szCs w:val="20"/>
              </w:rPr>
            </w:pPr>
            <w:r>
              <w:rPr>
                <w:rFonts w:ascii="Arial Narrow" w:eastAsia="Times New Roman" w:hAnsi="Arial Narrow" w:cs="Times New Roman"/>
                <w:sz w:val="20"/>
                <w:szCs w:val="20"/>
              </w:rPr>
              <w:t>Total</w:t>
            </w:r>
          </w:p>
        </w:tc>
        <w:tc>
          <w:tcPr>
            <w:tcW w:w="2160" w:type="dxa"/>
            <w:tcMar>
              <w:top w:w="0" w:type="dxa"/>
              <w:left w:w="108" w:type="dxa"/>
              <w:bottom w:w="0" w:type="dxa"/>
              <w:right w:w="108" w:type="dxa"/>
            </w:tcMar>
          </w:tcPr>
          <w:p w14:paraId="1F4C63D4" w14:textId="77777777" w:rsidR="00796E3B" w:rsidRDefault="00796E3B" w:rsidP="00796E3B">
            <w:pPr>
              <w:spacing w:before="60" w:after="60" w:line="240" w:lineRule="auto"/>
              <w:ind w:right="792"/>
              <w:jc w:val="right"/>
              <w:rPr>
                <w:rFonts w:ascii="Arial Narrow" w:eastAsia="Times New Roman" w:hAnsi="Arial Narrow" w:cs="Times New Roman"/>
                <w:sz w:val="20"/>
                <w:szCs w:val="20"/>
              </w:rPr>
            </w:pPr>
          </w:p>
        </w:tc>
        <w:tc>
          <w:tcPr>
            <w:tcW w:w="2160" w:type="dxa"/>
          </w:tcPr>
          <w:p w14:paraId="509E8FDC" w14:textId="77777777" w:rsidR="00796E3B" w:rsidRPr="00796E3B" w:rsidRDefault="00796E3B" w:rsidP="00796E3B">
            <w:pPr>
              <w:spacing w:before="60" w:after="60" w:line="240" w:lineRule="auto"/>
              <w:ind w:right="720"/>
              <w:jc w:val="right"/>
              <w:rPr>
                <w:rFonts w:ascii="Arial Narrow" w:eastAsia="Times New Roman" w:hAnsi="Arial Narrow" w:cs="Times New Roman"/>
                <w:sz w:val="20"/>
                <w:szCs w:val="20"/>
              </w:rPr>
            </w:pPr>
          </w:p>
        </w:tc>
        <w:tc>
          <w:tcPr>
            <w:tcW w:w="2430" w:type="dxa"/>
          </w:tcPr>
          <w:p w14:paraId="6E01CE93" w14:textId="77777777" w:rsidR="00796E3B" w:rsidRPr="00796E3B" w:rsidRDefault="00A45DAF" w:rsidP="00796E3B">
            <w:pPr>
              <w:spacing w:before="60" w:after="60" w:line="240" w:lineRule="auto"/>
              <w:ind w:right="720"/>
              <w:jc w:val="right"/>
              <w:rPr>
                <w:rFonts w:ascii="Arial Narrow" w:eastAsia="Times New Roman" w:hAnsi="Arial Narrow" w:cs="Times New Roman"/>
                <w:b/>
                <w:bCs/>
                <w:sz w:val="20"/>
                <w:szCs w:val="20"/>
              </w:rPr>
            </w:pPr>
            <w:r>
              <w:rPr>
                <w:rFonts w:ascii="Arial Narrow" w:eastAsia="Times New Roman" w:hAnsi="Arial Narrow" w:cs="Times New Roman"/>
                <w:b/>
                <w:bCs/>
                <w:sz w:val="20"/>
                <w:szCs w:val="20"/>
              </w:rPr>
              <w:t>$112,817</w:t>
            </w:r>
          </w:p>
        </w:tc>
      </w:tr>
    </w:tbl>
    <w:p w14:paraId="0E0130BC" w14:textId="77777777" w:rsidR="00796E3B" w:rsidRPr="00796E3B" w:rsidRDefault="00796E3B" w:rsidP="00796E3B">
      <w:pPr>
        <w:spacing w:after="120" w:line="260" w:lineRule="atLeast"/>
        <w:ind w:left="360"/>
        <w:rPr>
          <w:rFonts w:ascii="Times New Roman" w:eastAsia="Times New Roman" w:hAnsi="Times New Roman" w:cs="Times New Roman"/>
          <w:sz w:val="23"/>
        </w:rPr>
      </w:pPr>
    </w:p>
    <w:p w14:paraId="5EB755D7" w14:textId="77777777" w:rsidR="006B7335" w:rsidRDefault="006B7335" w:rsidP="00A45DAF">
      <w:pPr>
        <w:keepNext/>
        <w:widowControl w:val="0"/>
        <w:tabs>
          <w:tab w:val="num" w:pos="360"/>
        </w:tabs>
        <w:autoSpaceDE w:val="0"/>
        <w:autoSpaceDN w:val="0"/>
        <w:adjustRightInd w:val="0"/>
        <w:spacing w:after="120" w:line="240" w:lineRule="auto"/>
        <w:outlineLvl w:val="2"/>
        <w:rPr>
          <w:rFonts w:ascii="Times New Roman" w:eastAsia="Times New Roman" w:hAnsi="Times New Roman" w:cs="Times New Roman"/>
          <w:b/>
          <w:sz w:val="24"/>
          <w:szCs w:val="24"/>
          <w:u w:val="single"/>
        </w:rPr>
      </w:pPr>
      <w:bookmarkStart w:id="24" w:name="_Toc370899487"/>
    </w:p>
    <w:p w14:paraId="3A650620" w14:textId="77777777" w:rsidR="00796E3B" w:rsidRPr="00B94700" w:rsidRDefault="00796E3B" w:rsidP="006B7335">
      <w:pPr>
        <w:pStyle w:val="ListParagraph"/>
        <w:keepNext/>
        <w:widowControl w:val="0"/>
        <w:numPr>
          <w:ilvl w:val="0"/>
          <w:numId w:val="2"/>
        </w:numPr>
        <w:tabs>
          <w:tab w:val="num" w:pos="360"/>
        </w:tabs>
        <w:autoSpaceDE w:val="0"/>
        <w:autoSpaceDN w:val="0"/>
        <w:adjustRightInd w:val="0"/>
        <w:spacing w:after="120" w:line="240" w:lineRule="auto"/>
        <w:outlineLvl w:val="2"/>
        <w:rPr>
          <w:rFonts w:ascii="Times New Roman" w:eastAsia="Times New Roman" w:hAnsi="Times New Roman" w:cs="Times New Roman"/>
          <w:b/>
          <w:sz w:val="24"/>
          <w:szCs w:val="24"/>
          <w:u w:val="single"/>
        </w:rPr>
      </w:pPr>
      <w:r w:rsidRPr="00B94700">
        <w:rPr>
          <w:rFonts w:ascii="Times New Roman" w:eastAsia="Times New Roman" w:hAnsi="Times New Roman" w:cs="Times New Roman"/>
          <w:b/>
          <w:sz w:val="24"/>
          <w:szCs w:val="24"/>
          <w:u w:val="single"/>
        </w:rPr>
        <w:t xml:space="preserve">Estimated Annualized Respondent </w:t>
      </w:r>
      <w:proofErr w:type="spellStart"/>
      <w:r w:rsidRPr="00B94700">
        <w:rPr>
          <w:rFonts w:ascii="Times New Roman" w:eastAsia="Times New Roman" w:hAnsi="Times New Roman" w:cs="Times New Roman"/>
          <w:b/>
          <w:sz w:val="24"/>
          <w:szCs w:val="24"/>
          <w:u w:val="single"/>
        </w:rPr>
        <w:t>Nonlabor</w:t>
      </w:r>
      <w:proofErr w:type="spellEnd"/>
      <w:r w:rsidRPr="00B94700">
        <w:rPr>
          <w:rFonts w:ascii="Times New Roman" w:eastAsia="Times New Roman" w:hAnsi="Times New Roman" w:cs="Times New Roman"/>
          <w:b/>
          <w:sz w:val="24"/>
          <w:szCs w:val="24"/>
          <w:u w:val="single"/>
        </w:rPr>
        <w:t xml:space="preserve"> Cost Burden</w:t>
      </w:r>
      <w:bookmarkEnd w:id="24"/>
    </w:p>
    <w:p w14:paraId="50A8DE7A" w14:textId="77777777" w:rsidR="00796E3B" w:rsidRPr="00796E3B" w:rsidRDefault="00796E3B" w:rsidP="00796E3B">
      <w:pPr>
        <w:spacing w:after="120" w:line="260" w:lineRule="atLeast"/>
        <w:rPr>
          <w:rFonts w:ascii="Times New Roman" w:eastAsia="Times New Roman" w:hAnsi="Times New Roman" w:cs="Times New Roman"/>
          <w:sz w:val="23"/>
        </w:rPr>
      </w:pPr>
      <w:r w:rsidRPr="00796E3B">
        <w:rPr>
          <w:rFonts w:ascii="Times New Roman" w:eastAsia="Times New Roman" w:hAnsi="Times New Roman" w:cs="Times New Roman"/>
          <w:sz w:val="23"/>
        </w:rPr>
        <w:t xml:space="preserve">The estimated total annualized non-labor cost of this reporting are negligible because grantees are already expected to collect data for reporting to the Family Planning Annual Report (FPAR) (OMB No. 0990-0221, expiration January 31, 2016) and have the infrastructure (computer, phone lines etc.) to do so. </w:t>
      </w:r>
    </w:p>
    <w:p w14:paraId="796BDAE3" w14:textId="77777777" w:rsidR="00796E3B" w:rsidRPr="00796E3B" w:rsidRDefault="00796E3B" w:rsidP="00796E3B">
      <w:pPr>
        <w:spacing w:after="120" w:line="260" w:lineRule="atLeast"/>
        <w:rPr>
          <w:rFonts w:ascii="Times New Roman" w:eastAsia="Times New Roman" w:hAnsi="Times New Roman" w:cs="Times New Roman"/>
          <w:sz w:val="23"/>
        </w:rPr>
      </w:pPr>
    </w:p>
    <w:p w14:paraId="39B93E3C" w14:textId="77777777" w:rsidR="00796E3B" w:rsidRPr="00B94700" w:rsidRDefault="00A45DAF" w:rsidP="006B7335">
      <w:pPr>
        <w:pStyle w:val="ListParagraph"/>
        <w:keepNext/>
        <w:widowControl w:val="0"/>
        <w:numPr>
          <w:ilvl w:val="0"/>
          <w:numId w:val="2"/>
        </w:numPr>
        <w:tabs>
          <w:tab w:val="num" w:pos="360"/>
        </w:tabs>
        <w:autoSpaceDE w:val="0"/>
        <w:autoSpaceDN w:val="0"/>
        <w:adjustRightInd w:val="0"/>
        <w:spacing w:after="120" w:line="240" w:lineRule="auto"/>
        <w:outlineLvl w:val="2"/>
        <w:rPr>
          <w:rFonts w:ascii="Times New Roman" w:eastAsia="Times New Roman" w:hAnsi="Times New Roman" w:cs="Times New Roman"/>
          <w:b/>
          <w:sz w:val="24"/>
          <w:szCs w:val="24"/>
          <w:u w:val="single"/>
        </w:rPr>
      </w:pPr>
      <w:bookmarkStart w:id="25" w:name="_Toc370899488"/>
      <w:r w:rsidRPr="006B7335">
        <w:rPr>
          <w:rFonts w:ascii="Times New Roman" w:eastAsia="Times New Roman" w:hAnsi="Times New Roman" w:cs="Times New Roman"/>
          <w:b/>
          <w:sz w:val="24"/>
          <w:szCs w:val="24"/>
        </w:rPr>
        <w:t xml:space="preserve"> </w:t>
      </w:r>
      <w:r w:rsidR="00796E3B" w:rsidRPr="00B94700">
        <w:rPr>
          <w:rFonts w:ascii="Times New Roman" w:eastAsia="Times New Roman" w:hAnsi="Times New Roman" w:cs="Times New Roman"/>
          <w:b/>
          <w:sz w:val="24"/>
          <w:szCs w:val="24"/>
          <w:u w:val="single"/>
        </w:rPr>
        <w:t>Annualized Cost to Federal Government</w:t>
      </w:r>
      <w:bookmarkEnd w:id="25"/>
    </w:p>
    <w:p w14:paraId="129562BC" w14:textId="77777777" w:rsidR="00796E3B" w:rsidRPr="00796E3B" w:rsidRDefault="00796E3B" w:rsidP="00796E3B">
      <w:pPr>
        <w:spacing w:after="120" w:line="260" w:lineRule="atLeast"/>
        <w:rPr>
          <w:rFonts w:ascii="Times New Roman" w:eastAsia="Times New Roman" w:hAnsi="Times New Roman" w:cs="Times New Roman"/>
          <w:sz w:val="23"/>
        </w:rPr>
      </w:pPr>
      <w:r w:rsidRPr="00796E3B">
        <w:rPr>
          <w:rFonts w:ascii="Times New Roman" w:eastAsia="Times New Roman" w:hAnsi="Times New Roman" w:cs="Times New Roman"/>
          <w:sz w:val="23"/>
        </w:rPr>
        <w:t xml:space="preserve">The estimated annualized cost to the federal government for collecting this data is </w:t>
      </w:r>
      <w:r w:rsidRPr="00796E3B">
        <w:rPr>
          <w:rFonts w:ascii="Times New Roman" w:eastAsia="Times New Roman" w:hAnsi="Times New Roman" w:cs="Times New Roman"/>
          <w:b/>
          <w:bCs/>
          <w:sz w:val="23"/>
        </w:rPr>
        <w:t>$8,000</w:t>
      </w:r>
      <w:r w:rsidRPr="00796E3B">
        <w:rPr>
          <w:rFonts w:ascii="Times New Roman" w:eastAsia="Times New Roman" w:hAnsi="Times New Roman" w:cs="Times New Roman"/>
          <w:sz w:val="23"/>
        </w:rPr>
        <w:t xml:space="preserve">. </w:t>
      </w:r>
      <w:r w:rsidRPr="00796E3B">
        <w:rPr>
          <w:rFonts w:ascii="Times New Roman" w:eastAsia="Times New Roman" w:hAnsi="Times New Roman" w:cs="Times New Roman"/>
          <w:b/>
          <w:bCs/>
          <w:sz w:val="23"/>
        </w:rPr>
        <w:t xml:space="preserve">Exhibit 2 </w:t>
      </w:r>
      <w:r w:rsidRPr="00796E3B">
        <w:rPr>
          <w:rFonts w:ascii="Times New Roman" w:eastAsia="Times New Roman" w:hAnsi="Times New Roman" w:cs="Times New Roman"/>
          <w:sz w:val="23"/>
        </w:rPr>
        <w:t>presents a breakdown of this total. The estimate includes costs by federal staff at the regional and central levels and by a contractor for the following activities:</w:t>
      </w:r>
    </w:p>
    <w:p w14:paraId="07F97F19" w14:textId="77777777" w:rsidR="00796E3B" w:rsidRPr="00796E3B" w:rsidRDefault="00796E3B" w:rsidP="00796E3B">
      <w:pPr>
        <w:numPr>
          <w:ilvl w:val="0"/>
          <w:numId w:val="34"/>
        </w:numPr>
        <w:spacing w:after="120" w:line="260" w:lineRule="atLeast"/>
        <w:rPr>
          <w:rFonts w:ascii="Times New Roman" w:eastAsia="Times New Roman" w:hAnsi="Times New Roman" w:cs="Times New Roman"/>
          <w:sz w:val="23"/>
        </w:rPr>
      </w:pPr>
      <w:r w:rsidRPr="00796E3B">
        <w:rPr>
          <w:rFonts w:ascii="Times New Roman" w:eastAsia="Times New Roman" w:hAnsi="Times New Roman" w:cs="Times New Roman"/>
          <w:b/>
          <w:bCs/>
          <w:sz w:val="23"/>
        </w:rPr>
        <w:t>Regional Office–</w:t>
      </w:r>
      <w:r w:rsidRPr="00796E3B">
        <w:rPr>
          <w:rFonts w:ascii="Times New Roman" w:eastAsia="Times New Roman" w:hAnsi="Times New Roman" w:cs="Times New Roman"/>
          <w:sz w:val="23"/>
        </w:rPr>
        <w:t>To review, correct, and approve grantee submissions and assisting grantees in understanding data definitions.</w:t>
      </w:r>
    </w:p>
    <w:p w14:paraId="098D896C" w14:textId="77777777" w:rsidR="00796E3B" w:rsidRPr="00796E3B" w:rsidRDefault="00796E3B" w:rsidP="00796E3B">
      <w:pPr>
        <w:numPr>
          <w:ilvl w:val="0"/>
          <w:numId w:val="34"/>
        </w:numPr>
        <w:spacing w:after="120" w:line="260" w:lineRule="atLeast"/>
        <w:rPr>
          <w:rFonts w:ascii="Times New Roman" w:eastAsia="Times New Roman" w:hAnsi="Times New Roman" w:cs="Times New Roman"/>
          <w:sz w:val="23"/>
        </w:rPr>
      </w:pPr>
      <w:r w:rsidRPr="00796E3B">
        <w:rPr>
          <w:rFonts w:ascii="Times New Roman" w:eastAsia="Times New Roman" w:hAnsi="Times New Roman" w:cs="Times New Roman"/>
          <w:b/>
          <w:bCs/>
          <w:sz w:val="23"/>
        </w:rPr>
        <w:t>Central OPA Staff–</w:t>
      </w:r>
      <w:r w:rsidRPr="00796E3B">
        <w:rPr>
          <w:rFonts w:ascii="Times New Roman" w:eastAsia="Times New Roman" w:hAnsi="Times New Roman" w:cs="Times New Roman"/>
          <w:sz w:val="23"/>
        </w:rPr>
        <w:t xml:space="preserve">To review and final submissions, oversee and coordinate the work of the contractor, analyze and report collected data.   </w:t>
      </w:r>
    </w:p>
    <w:p w14:paraId="15DDB593" w14:textId="77777777" w:rsidR="00796E3B" w:rsidRPr="00796E3B" w:rsidRDefault="00796E3B" w:rsidP="00796E3B">
      <w:pPr>
        <w:keepNext/>
        <w:spacing w:after="20" w:line="240" w:lineRule="auto"/>
        <w:ind w:left="360"/>
        <w:rPr>
          <w:rFonts w:ascii="Times New Roman" w:eastAsia="Times New Roman" w:hAnsi="Times New Roman" w:cs="Times New Roman"/>
          <w:b/>
          <w:bCs/>
          <w:sz w:val="20"/>
          <w:szCs w:val="20"/>
        </w:rPr>
      </w:pPr>
      <w:bookmarkStart w:id="26" w:name="_Toc275085717"/>
      <w:r w:rsidRPr="00796E3B">
        <w:rPr>
          <w:rFonts w:ascii="Times New Roman" w:eastAsia="Times New Roman" w:hAnsi="Times New Roman" w:cs="Times New Roman"/>
          <w:b/>
          <w:bCs/>
          <w:sz w:val="20"/>
          <w:szCs w:val="20"/>
        </w:rPr>
        <w:t>Exhibit 3–Annualized Cost of FPAR Reporting to Federal Government</w:t>
      </w:r>
      <w:bookmarkEnd w:id="26"/>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796E3B" w:rsidRPr="00796E3B" w14:paraId="13AFA7D2" w14:textId="77777777" w:rsidTr="00D83714">
        <w:tc>
          <w:tcPr>
            <w:tcW w:w="7740" w:type="dxa"/>
            <w:shd w:val="clear" w:color="auto" w:fill="F2F2F2" w:themeFill="background1" w:themeFillShade="F2"/>
          </w:tcPr>
          <w:p w14:paraId="758B8ADC" w14:textId="77777777" w:rsidR="00796E3B" w:rsidRPr="00796E3B" w:rsidRDefault="00796E3B" w:rsidP="00796E3B">
            <w:pPr>
              <w:widowControl w:val="0"/>
              <w:autoSpaceDE w:val="0"/>
              <w:autoSpaceDN w:val="0"/>
              <w:adjustRightInd w:val="0"/>
              <w:spacing w:before="60" w:after="60" w:line="240" w:lineRule="atLeast"/>
              <w:jc w:val="center"/>
              <w:rPr>
                <w:rFonts w:ascii="Arial Narrow" w:eastAsia="Times New Roman" w:hAnsi="Arial Narrow" w:cs="Times New Roman"/>
                <w:b/>
                <w:bCs/>
                <w:color w:val="000000"/>
                <w:sz w:val="20"/>
                <w:szCs w:val="20"/>
              </w:rPr>
            </w:pPr>
            <w:r w:rsidRPr="00796E3B">
              <w:rPr>
                <w:rFonts w:ascii="Arial Narrow" w:eastAsia="Times New Roman" w:hAnsi="Arial Narrow" w:cs="Times New Roman"/>
                <w:b/>
                <w:bCs/>
                <w:color w:val="000000"/>
                <w:sz w:val="20"/>
                <w:szCs w:val="20"/>
              </w:rPr>
              <w:t>Source</w:t>
            </w:r>
          </w:p>
        </w:tc>
        <w:tc>
          <w:tcPr>
            <w:tcW w:w="1530" w:type="dxa"/>
            <w:shd w:val="clear" w:color="auto" w:fill="F2F2F2" w:themeFill="background1" w:themeFillShade="F2"/>
          </w:tcPr>
          <w:p w14:paraId="055B1E8D" w14:textId="77777777" w:rsidR="00796E3B" w:rsidRPr="00796E3B" w:rsidRDefault="00796E3B" w:rsidP="00796E3B">
            <w:pPr>
              <w:widowControl w:val="0"/>
              <w:autoSpaceDE w:val="0"/>
              <w:autoSpaceDN w:val="0"/>
              <w:adjustRightInd w:val="0"/>
              <w:spacing w:before="60" w:after="60" w:line="240" w:lineRule="atLeast"/>
              <w:jc w:val="center"/>
              <w:rPr>
                <w:rFonts w:ascii="Arial Narrow" w:eastAsia="Times New Roman" w:hAnsi="Arial Narrow" w:cs="Times New Roman"/>
                <w:b/>
                <w:bCs/>
                <w:color w:val="000000"/>
                <w:sz w:val="20"/>
                <w:szCs w:val="20"/>
              </w:rPr>
            </w:pPr>
            <w:r w:rsidRPr="00796E3B">
              <w:rPr>
                <w:rFonts w:ascii="Arial Narrow" w:eastAsia="Times New Roman" w:hAnsi="Arial Narrow" w:cs="Times New Roman"/>
                <w:b/>
                <w:bCs/>
                <w:color w:val="000000"/>
                <w:sz w:val="20"/>
                <w:szCs w:val="20"/>
              </w:rPr>
              <w:t>Amount ($)</w:t>
            </w:r>
          </w:p>
        </w:tc>
      </w:tr>
      <w:tr w:rsidR="00796E3B" w:rsidRPr="00796E3B" w14:paraId="08E1C601" w14:textId="77777777" w:rsidTr="00D83714">
        <w:tc>
          <w:tcPr>
            <w:tcW w:w="7740" w:type="dxa"/>
          </w:tcPr>
          <w:p w14:paraId="54C5D74A" w14:textId="77777777" w:rsidR="00796E3B" w:rsidRPr="00796E3B" w:rsidRDefault="00796E3B" w:rsidP="00796E3B">
            <w:pPr>
              <w:widowControl w:val="0"/>
              <w:tabs>
                <w:tab w:val="left" w:pos="9960"/>
              </w:tabs>
              <w:autoSpaceDE w:val="0"/>
              <w:autoSpaceDN w:val="0"/>
              <w:adjustRightInd w:val="0"/>
              <w:spacing w:before="60" w:after="60" w:line="240" w:lineRule="atLeast"/>
              <w:rPr>
                <w:rFonts w:ascii="Arial Narrow" w:eastAsia="Times New Roman" w:hAnsi="Arial Narrow" w:cs="Times New Roman"/>
                <w:color w:val="000000"/>
                <w:sz w:val="20"/>
                <w:szCs w:val="20"/>
              </w:rPr>
            </w:pPr>
            <w:r w:rsidRPr="00796E3B">
              <w:rPr>
                <w:rFonts w:ascii="Arial Narrow" w:eastAsia="Times New Roman" w:hAnsi="Arial Narrow" w:cs="Times New Roman"/>
                <w:color w:val="000000"/>
                <w:sz w:val="20"/>
                <w:szCs w:val="20"/>
              </w:rPr>
              <w:t>FPAR review/approval and validation resolution, seed data review by OPA central and Regional Office Staff (</w:t>
            </w:r>
            <w:r w:rsidR="00A45DAF">
              <w:rPr>
                <w:rFonts w:ascii="Arial Narrow" w:eastAsia="Times New Roman" w:hAnsi="Arial Narrow" w:cs="Times New Roman"/>
                <w:color w:val="000000"/>
                <w:sz w:val="20"/>
                <w:szCs w:val="20"/>
              </w:rPr>
              <w:t>2</w:t>
            </w:r>
            <w:r w:rsidRPr="00796E3B">
              <w:rPr>
                <w:rFonts w:ascii="Arial Narrow" w:eastAsia="Times New Roman" w:hAnsi="Arial Narrow" w:cs="Times New Roman"/>
                <w:color w:val="000000"/>
                <w:sz w:val="20"/>
                <w:szCs w:val="20"/>
              </w:rPr>
              <w:t>00 hours x $40/hour)</w:t>
            </w:r>
            <w:r w:rsidRPr="00796E3B">
              <w:rPr>
                <w:rFonts w:ascii="Arial Narrow" w:eastAsia="Times New Roman" w:hAnsi="Arial Narrow" w:cs="Times New Roman"/>
                <w:color w:val="000000"/>
                <w:sz w:val="20"/>
                <w:szCs w:val="20"/>
              </w:rPr>
              <w:tab/>
              <w:t>$25,200</w:t>
            </w:r>
          </w:p>
        </w:tc>
        <w:tc>
          <w:tcPr>
            <w:tcW w:w="1530" w:type="dxa"/>
          </w:tcPr>
          <w:p w14:paraId="44E10DF8" w14:textId="77777777" w:rsidR="00796E3B" w:rsidRPr="00796E3B" w:rsidRDefault="00796E3B" w:rsidP="00796E3B">
            <w:pPr>
              <w:widowControl w:val="0"/>
              <w:autoSpaceDE w:val="0"/>
              <w:autoSpaceDN w:val="0"/>
              <w:adjustRightInd w:val="0"/>
              <w:spacing w:before="60" w:after="60" w:line="240" w:lineRule="atLeast"/>
              <w:jc w:val="center"/>
              <w:rPr>
                <w:rFonts w:ascii="Arial Narrow" w:eastAsia="Times New Roman" w:hAnsi="Arial Narrow" w:cs="Times New Roman"/>
                <w:color w:val="000000"/>
                <w:sz w:val="20"/>
                <w:szCs w:val="20"/>
              </w:rPr>
            </w:pPr>
            <w:r w:rsidRPr="00796E3B">
              <w:rPr>
                <w:rFonts w:ascii="Arial Narrow" w:eastAsia="Times New Roman" w:hAnsi="Arial Narrow" w:cs="Times New Roman"/>
                <w:color w:val="000000"/>
                <w:sz w:val="20"/>
                <w:szCs w:val="20"/>
              </w:rPr>
              <w:t>$</w:t>
            </w:r>
            <w:r w:rsidR="00A45DAF">
              <w:rPr>
                <w:rFonts w:ascii="Arial Narrow" w:eastAsia="Times New Roman" w:hAnsi="Arial Narrow" w:cs="Times New Roman"/>
                <w:color w:val="000000"/>
                <w:sz w:val="20"/>
                <w:szCs w:val="20"/>
              </w:rPr>
              <w:t>8,</w:t>
            </w:r>
            <w:r w:rsidRPr="00796E3B">
              <w:rPr>
                <w:rFonts w:ascii="Arial Narrow" w:eastAsia="Times New Roman" w:hAnsi="Arial Narrow" w:cs="Times New Roman"/>
                <w:color w:val="000000"/>
                <w:sz w:val="20"/>
                <w:szCs w:val="20"/>
              </w:rPr>
              <w:t>000</w:t>
            </w:r>
          </w:p>
        </w:tc>
      </w:tr>
      <w:tr w:rsidR="00796E3B" w:rsidRPr="00796E3B" w14:paraId="5A3F8CCD" w14:textId="77777777" w:rsidTr="00D83714">
        <w:tc>
          <w:tcPr>
            <w:tcW w:w="7740" w:type="dxa"/>
          </w:tcPr>
          <w:p w14:paraId="5875BED9" w14:textId="77777777" w:rsidR="00796E3B" w:rsidRPr="00796E3B" w:rsidRDefault="00796E3B" w:rsidP="00796E3B">
            <w:pPr>
              <w:widowControl w:val="0"/>
              <w:tabs>
                <w:tab w:val="left" w:pos="9960"/>
              </w:tabs>
              <w:autoSpaceDE w:val="0"/>
              <w:autoSpaceDN w:val="0"/>
              <w:adjustRightInd w:val="0"/>
              <w:spacing w:before="60" w:after="60" w:line="240" w:lineRule="atLeast"/>
              <w:rPr>
                <w:rFonts w:ascii="Arial Narrow" w:eastAsia="Times New Roman" w:hAnsi="Arial Narrow" w:cs="Times New Roman"/>
                <w:b/>
                <w:bCs/>
                <w:color w:val="000000"/>
                <w:sz w:val="20"/>
                <w:szCs w:val="20"/>
              </w:rPr>
            </w:pPr>
            <w:r w:rsidRPr="00796E3B">
              <w:rPr>
                <w:rFonts w:ascii="Arial Narrow" w:eastAsia="Times New Roman" w:hAnsi="Arial Narrow" w:cs="Times New Roman"/>
                <w:b/>
                <w:bCs/>
                <w:color w:val="000000"/>
                <w:sz w:val="20"/>
                <w:szCs w:val="20"/>
              </w:rPr>
              <w:t>Total Annualized Cost</w:t>
            </w:r>
          </w:p>
        </w:tc>
        <w:tc>
          <w:tcPr>
            <w:tcW w:w="1530" w:type="dxa"/>
          </w:tcPr>
          <w:p w14:paraId="3827644C" w14:textId="77777777" w:rsidR="00796E3B" w:rsidRPr="00796E3B" w:rsidRDefault="00796E3B" w:rsidP="00796E3B">
            <w:pPr>
              <w:widowControl w:val="0"/>
              <w:autoSpaceDE w:val="0"/>
              <w:autoSpaceDN w:val="0"/>
              <w:adjustRightInd w:val="0"/>
              <w:spacing w:before="60" w:after="60" w:line="240" w:lineRule="atLeast"/>
              <w:jc w:val="center"/>
              <w:rPr>
                <w:rFonts w:ascii="Arial Narrow" w:eastAsia="Times New Roman" w:hAnsi="Arial Narrow" w:cs="Times New Roman"/>
                <w:b/>
                <w:bCs/>
                <w:color w:val="000000"/>
                <w:sz w:val="20"/>
                <w:szCs w:val="20"/>
              </w:rPr>
            </w:pPr>
            <w:r w:rsidRPr="00796E3B">
              <w:rPr>
                <w:rFonts w:ascii="Arial Narrow" w:eastAsia="Times New Roman" w:hAnsi="Arial Narrow" w:cs="Times New Roman"/>
                <w:b/>
                <w:bCs/>
                <w:color w:val="000000"/>
                <w:sz w:val="20"/>
                <w:szCs w:val="20"/>
              </w:rPr>
              <w:t>$8,000</w:t>
            </w:r>
          </w:p>
        </w:tc>
      </w:tr>
    </w:tbl>
    <w:p w14:paraId="53098277" w14:textId="77777777" w:rsidR="00796E3B" w:rsidRPr="00796E3B" w:rsidRDefault="00796E3B" w:rsidP="00796E3B">
      <w:pPr>
        <w:spacing w:after="0" w:line="240" w:lineRule="auto"/>
        <w:rPr>
          <w:rFonts w:ascii="Times New Roman" w:eastAsia="Times New Roman" w:hAnsi="Times New Roman" w:cs="Times New Roman"/>
          <w:sz w:val="24"/>
          <w:szCs w:val="24"/>
        </w:rPr>
      </w:pPr>
    </w:p>
    <w:p w14:paraId="2EDF01F2" w14:textId="77777777" w:rsidR="006B7335" w:rsidRDefault="006B7335" w:rsidP="00796E3B">
      <w:pPr>
        <w:keepNext/>
        <w:widowControl w:val="0"/>
        <w:tabs>
          <w:tab w:val="num" w:pos="360"/>
        </w:tabs>
        <w:autoSpaceDE w:val="0"/>
        <w:autoSpaceDN w:val="0"/>
        <w:adjustRightInd w:val="0"/>
        <w:spacing w:after="120" w:line="240" w:lineRule="auto"/>
        <w:ind w:left="360" w:hanging="360"/>
        <w:outlineLvl w:val="2"/>
        <w:rPr>
          <w:rFonts w:ascii="Times New Roman" w:eastAsia="Times New Roman" w:hAnsi="Times New Roman" w:cs="Times New Roman"/>
          <w:b/>
          <w:sz w:val="24"/>
          <w:szCs w:val="24"/>
        </w:rPr>
      </w:pPr>
      <w:bookmarkStart w:id="27" w:name="_Toc370899489"/>
    </w:p>
    <w:p w14:paraId="3C5A7E46" w14:textId="77777777" w:rsidR="00796E3B" w:rsidRPr="00B94700" w:rsidRDefault="00796E3B" w:rsidP="006B7335">
      <w:pPr>
        <w:pStyle w:val="ListParagraph"/>
        <w:keepNext/>
        <w:widowControl w:val="0"/>
        <w:numPr>
          <w:ilvl w:val="0"/>
          <w:numId w:val="2"/>
        </w:numPr>
        <w:tabs>
          <w:tab w:val="num" w:pos="360"/>
        </w:tabs>
        <w:autoSpaceDE w:val="0"/>
        <w:autoSpaceDN w:val="0"/>
        <w:adjustRightInd w:val="0"/>
        <w:spacing w:after="120" w:line="240" w:lineRule="auto"/>
        <w:outlineLvl w:val="2"/>
        <w:rPr>
          <w:rFonts w:ascii="Times New Roman" w:eastAsia="Times New Roman" w:hAnsi="Times New Roman" w:cs="Times New Roman"/>
          <w:b/>
          <w:sz w:val="24"/>
          <w:szCs w:val="24"/>
          <w:u w:val="single"/>
        </w:rPr>
      </w:pPr>
      <w:r w:rsidRPr="00B94700">
        <w:rPr>
          <w:rFonts w:ascii="Times New Roman" w:eastAsia="Times New Roman" w:hAnsi="Times New Roman" w:cs="Times New Roman"/>
          <w:b/>
          <w:sz w:val="24"/>
          <w:szCs w:val="24"/>
          <w:u w:val="single"/>
        </w:rPr>
        <w:t>Explanation for Program Changes or Adjustments</w:t>
      </w:r>
      <w:bookmarkEnd w:id="27"/>
      <w:r w:rsidR="006B7335" w:rsidRPr="00B94700">
        <w:rPr>
          <w:rFonts w:ascii="Times New Roman" w:eastAsia="Times New Roman" w:hAnsi="Times New Roman" w:cs="Times New Roman"/>
          <w:b/>
          <w:sz w:val="24"/>
          <w:szCs w:val="24"/>
          <w:u w:val="single"/>
        </w:rPr>
        <w:t xml:space="preserve"> </w:t>
      </w:r>
    </w:p>
    <w:p w14:paraId="76AB29B4" w14:textId="77777777" w:rsidR="00796E3B" w:rsidRPr="006B7335" w:rsidRDefault="00796E3B" w:rsidP="00796E3B">
      <w:pPr>
        <w:spacing w:before="100" w:beforeAutospacing="1" w:after="100" w:afterAutospacing="1" w:line="240" w:lineRule="auto"/>
        <w:ind w:left="360"/>
        <w:rPr>
          <w:rFonts w:ascii="Times New Roman" w:eastAsia="Times New Roman" w:hAnsi="Times New Roman" w:cs="Times New Roman"/>
          <w:bCs/>
          <w:iCs/>
          <w:sz w:val="24"/>
          <w:szCs w:val="24"/>
        </w:rPr>
      </w:pPr>
      <w:r w:rsidRPr="00796E3B">
        <w:rPr>
          <w:rFonts w:ascii="Times New Roman" w:eastAsia="Times New Roman" w:hAnsi="Times New Roman" w:cs="Times New Roman"/>
          <w:bCs/>
          <w:iCs/>
          <w:sz w:val="24"/>
          <w:szCs w:val="24"/>
        </w:rPr>
        <w:t xml:space="preserve">This is a new data collection. </w:t>
      </w:r>
    </w:p>
    <w:p w14:paraId="1F6BDC46" w14:textId="77777777" w:rsidR="006B7335" w:rsidRPr="00796E3B" w:rsidRDefault="006B7335" w:rsidP="00796E3B">
      <w:pPr>
        <w:spacing w:before="100" w:beforeAutospacing="1" w:after="100" w:afterAutospacing="1" w:line="240" w:lineRule="auto"/>
        <w:ind w:left="360"/>
        <w:rPr>
          <w:rFonts w:ascii="Times New Roman" w:eastAsia="Times New Roman" w:hAnsi="Times New Roman" w:cs="Times New Roman"/>
          <w:sz w:val="23"/>
          <w:szCs w:val="23"/>
        </w:rPr>
      </w:pPr>
    </w:p>
    <w:p w14:paraId="07EE22E7" w14:textId="77777777" w:rsidR="00796E3B" w:rsidRPr="00B94700" w:rsidRDefault="00796E3B" w:rsidP="00B94700">
      <w:pPr>
        <w:pStyle w:val="ListParagraph"/>
        <w:keepNext/>
        <w:widowControl w:val="0"/>
        <w:numPr>
          <w:ilvl w:val="0"/>
          <w:numId w:val="2"/>
        </w:numPr>
        <w:autoSpaceDE w:val="0"/>
        <w:autoSpaceDN w:val="0"/>
        <w:adjustRightInd w:val="0"/>
        <w:spacing w:after="120" w:line="240" w:lineRule="auto"/>
        <w:outlineLvl w:val="2"/>
        <w:rPr>
          <w:rFonts w:ascii="Times New Roman" w:eastAsia="Times New Roman" w:hAnsi="Times New Roman" w:cs="Times New Roman"/>
          <w:b/>
          <w:sz w:val="24"/>
          <w:szCs w:val="24"/>
          <w:u w:val="single"/>
        </w:rPr>
      </w:pPr>
      <w:bookmarkStart w:id="28" w:name="_Toc352230269"/>
      <w:bookmarkStart w:id="29" w:name="_Toc370899490"/>
      <w:bookmarkEnd w:id="28"/>
      <w:r w:rsidRPr="00B94700">
        <w:rPr>
          <w:rFonts w:ascii="Times New Roman" w:eastAsia="Times New Roman" w:hAnsi="Times New Roman" w:cs="Times New Roman"/>
          <w:b/>
          <w:sz w:val="24"/>
          <w:szCs w:val="24"/>
          <w:u w:val="single"/>
        </w:rPr>
        <w:t>Plans for Tabulation and Publication and Project Time Schedule</w:t>
      </w:r>
      <w:bookmarkEnd w:id="29"/>
    </w:p>
    <w:p w14:paraId="55BDB79B" w14:textId="77777777" w:rsidR="00796E3B" w:rsidRPr="00796E3B" w:rsidRDefault="00796E3B" w:rsidP="00796E3B">
      <w:pPr>
        <w:spacing w:after="120" w:line="260" w:lineRule="atLeast"/>
        <w:ind w:left="360"/>
        <w:rPr>
          <w:rFonts w:ascii="Times New Roman" w:eastAsia="Times New Roman" w:hAnsi="Times New Roman" w:cs="Times New Roman"/>
          <w:sz w:val="24"/>
          <w:szCs w:val="24"/>
        </w:rPr>
      </w:pPr>
      <w:r w:rsidRPr="00796E3B">
        <w:rPr>
          <w:rFonts w:ascii="Times New Roman" w:eastAsia="Times New Roman" w:hAnsi="Times New Roman" w:cs="Times New Roman"/>
          <w:sz w:val="24"/>
          <w:szCs w:val="24"/>
        </w:rPr>
        <w:t xml:space="preserve">Annually, OPA may tabulate, analyze, and disseminates the data in the form of a national summary and a regional summary for each HHS region. The data may also be analyzed for publication in a peer reviewed format such as a medical journal. All data will be presented in aggregate form with no individual information presented. </w:t>
      </w:r>
    </w:p>
    <w:p w14:paraId="6A399E48" w14:textId="77777777" w:rsidR="00796E3B" w:rsidRDefault="00796E3B" w:rsidP="00796E3B">
      <w:pPr>
        <w:spacing w:after="120" w:line="260" w:lineRule="atLeast"/>
        <w:ind w:left="360"/>
        <w:rPr>
          <w:rFonts w:ascii="Times New Roman" w:eastAsia="Times New Roman" w:hAnsi="Times New Roman" w:cs="Times New Roman"/>
          <w:sz w:val="24"/>
          <w:szCs w:val="24"/>
        </w:rPr>
      </w:pPr>
      <w:r w:rsidRPr="00796E3B">
        <w:rPr>
          <w:rFonts w:ascii="Times New Roman" w:eastAsia="Times New Roman" w:hAnsi="Times New Roman" w:cs="Times New Roman"/>
          <w:sz w:val="24"/>
          <w:szCs w:val="24"/>
        </w:rPr>
        <w:t xml:space="preserve">This request is for a 3-year clearance. Data will be submitted semi-annually each year. The data collection period will include prior open outreach and enrollment periods. </w:t>
      </w:r>
      <w:r w:rsidRPr="00796E3B">
        <w:rPr>
          <w:rFonts w:ascii="Times New Roman" w:eastAsia="Times New Roman" w:hAnsi="Times New Roman" w:cs="Times New Roman"/>
          <w:b/>
          <w:bCs/>
          <w:sz w:val="24"/>
          <w:szCs w:val="24"/>
        </w:rPr>
        <w:t xml:space="preserve">Exhibit 4 </w:t>
      </w:r>
      <w:r w:rsidRPr="00796E3B">
        <w:rPr>
          <w:rFonts w:ascii="Times New Roman" w:eastAsia="Times New Roman" w:hAnsi="Times New Roman" w:cs="Times New Roman"/>
          <w:sz w:val="24"/>
          <w:szCs w:val="24"/>
        </w:rPr>
        <w:t>presents the timetable</w:t>
      </w:r>
      <w:r w:rsidRPr="00796E3B">
        <w:rPr>
          <w:rFonts w:ascii="Times New Roman" w:eastAsia="Times New Roman" w:hAnsi="Times New Roman" w:cs="Times New Roman"/>
          <w:b/>
          <w:bCs/>
          <w:sz w:val="24"/>
          <w:szCs w:val="24"/>
        </w:rPr>
        <w:t xml:space="preserve"> </w:t>
      </w:r>
      <w:r w:rsidRPr="00796E3B">
        <w:rPr>
          <w:rFonts w:ascii="Times New Roman" w:eastAsia="Times New Roman" w:hAnsi="Times New Roman" w:cs="Times New Roman"/>
          <w:sz w:val="24"/>
          <w:szCs w:val="24"/>
        </w:rPr>
        <w:t xml:space="preserve">for key activities following OMB approval. </w:t>
      </w:r>
    </w:p>
    <w:p w14:paraId="3F7A1C5A" w14:textId="77777777" w:rsidR="006B7335" w:rsidRPr="00796E3B" w:rsidRDefault="006B7335" w:rsidP="00796E3B">
      <w:pPr>
        <w:spacing w:after="120" w:line="260" w:lineRule="atLeast"/>
        <w:ind w:left="360"/>
        <w:rPr>
          <w:rFonts w:ascii="Times New Roman" w:eastAsia="Times New Roman" w:hAnsi="Times New Roman" w:cs="Times New Roman"/>
          <w:b/>
          <w:bCs/>
          <w:sz w:val="24"/>
          <w:szCs w:val="24"/>
        </w:rPr>
      </w:pPr>
    </w:p>
    <w:p w14:paraId="4A9E8DA0" w14:textId="77777777" w:rsidR="00796E3B" w:rsidRPr="00796E3B" w:rsidRDefault="00796E3B" w:rsidP="00796E3B">
      <w:pPr>
        <w:keepNext/>
        <w:tabs>
          <w:tab w:val="left" w:pos="360"/>
        </w:tabs>
        <w:spacing w:after="20" w:line="240" w:lineRule="auto"/>
        <w:ind w:left="360"/>
        <w:rPr>
          <w:rFonts w:ascii="Times New Roman" w:eastAsia="Times New Roman" w:hAnsi="Times New Roman" w:cs="Times New Roman"/>
          <w:b/>
          <w:bCs/>
          <w:sz w:val="20"/>
          <w:szCs w:val="20"/>
        </w:rPr>
      </w:pPr>
      <w:bookmarkStart w:id="30" w:name="_Toc275085718"/>
      <w:r w:rsidRPr="00796E3B">
        <w:rPr>
          <w:rFonts w:ascii="Times New Roman" w:eastAsia="Times New Roman" w:hAnsi="Times New Roman" w:cs="Times New Roman"/>
          <w:b/>
          <w:bCs/>
          <w:sz w:val="20"/>
          <w:szCs w:val="20"/>
        </w:rPr>
        <w:lastRenderedPageBreak/>
        <w:t>Exhibit 6–Timetable for Data Collection, Analysis, and Publication</w:t>
      </w:r>
      <w:bookmarkEnd w:id="30"/>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796E3B" w:rsidRPr="00796E3B" w14:paraId="0C4A2E4A" w14:textId="77777777" w:rsidTr="00D83714">
        <w:tc>
          <w:tcPr>
            <w:tcW w:w="6120" w:type="dxa"/>
            <w:shd w:val="clear" w:color="auto" w:fill="F2F2F2" w:themeFill="background1" w:themeFillShade="F2"/>
          </w:tcPr>
          <w:p w14:paraId="3FAC004D" w14:textId="77777777" w:rsidR="00796E3B" w:rsidRPr="00796E3B" w:rsidRDefault="00796E3B" w:rsidP="00796E3B">
            <w:pPr>
              <w:spacing w:before="40" w:after="40" w:line="240" w:lineRule="auto"/>
              <w:rPr>
                <w:rFonts w:ascii="Arial Narrow" w:eastAsia="Times New Roman" w:hAnsi="Arial Narrow" w:cs="Times New Roman"/>
                <w:b/>
                <w:bCs/>
                <w:sz w:val="20"/>
                <w:szCs w:val="20"/>
              </w:rPr>
            </w:pPr>
            <w:r w:rsidRPr="00796E3B">
              <w:rPr>
                <w:rFonts w:ascii="Arial Narrow" w:eastAsia="Times New Roman" w:hAnsi="Arial Narrow" w:cs="Times New Roman"/>
                <w:b/>
                <w:bCs/>
                <w:sz w:val="20"/>
                <w:szCs w:val="20"/>
              </w:rPr>
              <w:t>Activity</w:t>
            </w:r>
          </w:p>
        </w:tc>
        <w:tc>
          <w:tcPr>
            <w:tcW w:w="2970" w:type="dxa"/>
            <w:shd w:val="clear" w:color="auto" w:fill="F2F2F2" w:themeFill="background1" w:themeFillShade="F2"/>
          </w:tcPr>
          <w:p w14:paraId="44946742" w14:textId="77777777" w:rsidR="00796E3B" w:rsidRPr="00796E3B" w:rsidRDefault="00796E3B" w:rsidP="00796E3B">
            <w:pPr>
              <w:spacing w:before="40" w:after="40" w:line="240" w:lineRule="auto"/>
              <w:rPr>
                <w:rFonts w:ascii="Arial Narrow" w:eastAsia="Times New Roman" w:hAnsi="Arial Narrow" w:cs="Times New Roman"/>
                <w:b/>
                <w:bCs/>
                <w:sz w:val="20"/>
                <w:szCs w:val="20"/>
              </w:rPr>
            </w:pPr>
            <w:r w:rsidRPr="00796E3B">
              <w:rPr>
                <w:rFonts w:ascii="Arial Narrow" w:eastAsia="Times New Roman" w:hAnsi="Arial Narrow" w:cs="Times New Roman"/>
                <w:b/>
                <w:bCs/>
                <w:sz w:val="20"/>
                <w:szCs w:val="20"/>
              </w:rPr>
              <w:t>Expected Date of Completion</w:t>
            </w:r>
          </w:p>
        </w:tc>
      </w:tr>
      <w:tr w:rsidR="00796E3B" w:rsidRPr="00796E3B" w14:paraId="64892E7B" w14:textId="77777777" w:rsidTr="00D83714">
        <w:tc>
          <w:tcPr>
            <w:tcW w:w="6120" w:type="dxa"/>
          </w:tcPr>
          <w:p w14:paraId="14DE8229" w14:textId="77777777" w:rsidR="00796E3B" w:rsidRPr="00796E3B" w:rsidRDefault="00796E3B" w:rsidP="00796E3B">
            <w:pPr>
              <w:spacing w:before="40" w:after="40" w:line="240" w:lineRule="auto"/>
              <w:ind w:left="72" w:hanging="72"/>
              <w:rPr>
                <w:rFonts w:ascii="Arial Narrow" w:eastAsia="Times New Roman" w:hAnsi="Arial Narrow" w:cs="Times New Roman"/>
                <w:sz w:val="20"/>
                <w:szCs w:val="20"/>
              </w:rPr>
            </w:pPr>
            <w:r w:rsidRPr="00796E3B">
              <w:rPr>
                <w:rFonts w:ascii="Arial Narrow" w:eastAsia="Times New Roman" w:hAnsi="Arial Narrow" w:cs="Times New Roman"/>
                <w:sz w:val="20"/>
                <w:szCs w:val="20"/>
              </w:rPr>
              <w:t>End of reporting period</w:t>
            </w:r>
          </w:p>
        </w:tc>
        <w:tc>
          <w:tcPr>
            <w:tcW w:w="2970" w:type="dxa"/>
          </w:tcPr>
          <w:p w14:paraId="373417FE" w14:textId="77777777" w:rsidR="00796E3B" w:rsidRPr="00796E3B" w:rsidRDefault="00796E3B" w:rsidP="00796E3B">
            <w:pPr>
              <w:spacing w:before="40" w:after="40" w:line="240" w:lineRule="auto"/>
              <w:rPr>
                <w:rFonts w:ascii="Arial Narrow" w:eastAsia="Times New Roman" w:hAnsi="Arial Narrow" w:cs="Times New Roman"/>
                <w:sz w:val="20"/>
                <w:szCs w:val="20"/>
              </w:rPr>
            </w:pPr>
            <w:r w:rsidRPr="00796E3B">
              <w:rPr>
                <w:rFonts w:ascii="Arial Narrow" w:eastAsia="Times New Roman" w:hAnsi="Arial Narrow" w:cs="Times New Roman"/>
                <w:sz w:val="20"/>
                <w:szCs w:val="20"/>
              </w:rPr>
              <w:t>0 months following OMB approval</w:t>
            </w:r>
          </w:p>
        </w:tc>
      </w:tr>
      <w:tr w:rsidR="00796E3B" w:rsidRPr="00796E3B" w14:paraId="79BAA001" w14:textId="77777777" w:rsidTr="00D83714">
        <w:tc>
          <w:tcPr>
            <w:tcW w:w="6120" w:type="dxa"/>
          </w:tcPr>
          <w:p w14:paraId="7DC92243" w14:textId="77777777" w:rsidR="00796E3B" w:rsidRPr="00796E3B" w:rsidRDefault="00796E3B" w:rsidP="00796E3B">
            <w:pPr>
              <w:spacing w:before="40" w:after="40" w:line="240" w:lineRule="auto"/>
              <w:ind w:left="72" w:hanging="72"/>
              <w:rPr>
                <w:rFonts w:ascii="Arial Narrow" w:eastAsia="Times New Roman" w:hAnsi="Arial Narrow" w:cs="Times New Roman"/>
                <w:sz w:val="20"/>
                <w:szCs w:val="20"/>
              </w:rPr>
            </w:pPr>
            <w:r w:rsidRPr="00796E3B">
              <w:rPr>
                <w:rFonts w:ascii="Arial Narrow" w:eastAsia="Times New Roman" w:hAnsi="Arial Narrow" w:cs="Times New Roman"/>
                <w:sz w:val="20"/>
                <w:szCs w:val="20"/>
              </w:rPr>
              <w:t>Due date for data submission</w:t>
            </w:r>
          </w:p>
        </w:tc>
        <w:tc>
          <w:tcPr>
            <w:tcW w:w="2970" w:type="dxa"/>
          </w:tcPr>
          <w:p w14:paraId="28344EAA" w14:textId="77777777" w:rsidR="00796E3B" w:rsidRPr="00796E3B" w:rsidRDefault="00A45DAF" w:rsidP="00796E3B">
            <w:pPr>
              <w:spacing w:before="40" w:after="4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 xml:space="preserve">2 </w:t>
            </w:r>
            <w:r w:rsidR="00796E3B" w:rsidRPr="00796E3B">
              <w:rPr>
                <w:rFonts w:ascii="Arial Narrow" w:eastAsia="Times New Roman" w:hAnsi="Arial Narrow" w:cs="Times New Roman"/>
                <w:sz w:val="20"/>
                <w:szCs w:val="20"/>
              </w:rPr>
              <w:t xml:space="preserve"> months following OMB approval</w:t>
            </w:r>
          </w:p>
        </w:tc>
      </w:tr>
      <w:tr w:rsidR="00796E3B" w:rsidRPr="00796E3B" w14:paraId="5A4AB960" w14:textId="77777777" w:rsidTr="00D83714">
        <w:tc>
          <w:tcPr>
            <w:tcW w:w="6120" w:type="dxa"/>
          </w:tcPr>
          <w:p w14:paraId="079934D0" w14:textId="77777777" w:rsidR="00796E3B" w:rsidRPr="00796E3B" w:rsidRDefault="00796E3B" w:rsidP="00796E3B">
            <w:pPr>
              <w:spacing w:before="40" w:after="40" w:line="240" w:lineRule="auto"/>
              <w:ind w:left="72" w:hanging="72"/>
              <w:rPr>
                <w:rFonts w:ascii="Arial Narrow" w:eastAsia="Times New Roman" w:hAnsi="Arial Narrow" w:cs="Times New Roman"/>
                <w:sz w:val="20"/>
                <w:szCs w:val="20"/>
              </w:rPr>
            </w:pPr>
            <w:r w:rsidRPr="00796E3B">
              <w:rPr>
                <w:rFonts w:ascii="Arial Narrow" w:eastAsia="Times New Roman" w:hAnsi="Arial Narrow" w:cs="Times New Roman"/>
                <w:sz w:val="20"/>
                <w:szCs w:val="20"/>
              </w:rPr>
              <w:t>Export initial data to regional staff for review and validation</w:t>
            </w:r>
          </w:p>
        </w:tc>
        <w:tc>
          <w:tcPr>
            <w:tcW w:w="2970" w:type="dxa"/>
          </w:tcPr>
          <w:p w14:paraId="1B8BB926" w14:textId="77777777" w:rsidR="00796E3B" w:rsidRPr="00796E3B" w:rsidRDefault="00796E3B" w:rsidP="00796E3B">
            <w:pPr>
              <w:spacing w:before="40" w:after="40" w:line="240" w:lineRule="auto"/>
              <w:rPr>
                <w:rFonts w:ascii="Arial Narrow" w:eastAsia="Times New Roman" w:hAnsi="Arial Narrow" w:cs="Times New Roman"/>
                <w:sz w:val="20"/>
                <w:szCs w:val="20"/>
              </w:rPr>
            </w:pPr>
            <w:r w:rsidRPr="00796E3B">
              <w:rPr>
                <w:rFonts w:ascii="Arial Narrow" w:eastAsia="Times New Roman" w:hAnsi="Arial Narrow" w:cs="Times New Roman"/>
                <w:sz w:val="20"/>
                <w:szCs w:val="20"/>
              </w:rPr>
              <w:t>2</w:t>
            </w:r>
            <w:r w:rsidR="00A45DAF">
              <w:rPr>
                <w:rFonts w:ascii="Arial Narrow" w:eastAsia="Times New Roman" w:hAnsi="Arial Narrow" w:cs="Times New Roman"/>
                <w:sz w:val="20"/>
                <w:szCs w:val="20"/>
              </w:rPr>
              <w:t>-3</w:t>
            </w:r>
            <w:r w:rsidRPr="00796E3B">
              <w:rPr>
                <w:rFonts w:ascii="Arial Narrow" w:eastAsia="Times New Roman" w:hAnsi="Arial Narrow" w:cs="Times New Roman"/>
                <w:sz w:val="20"/>
                <w:szCs w:val="20"/>
              </w:rPr>
              <w:t xml:space="preserve"> months following OMB approval</w:t>
            </w:r>
          </w:p>
        </w:tc>
      </w:tr>
      <w:tr w:rsidR="00796E3B" w:rsidRPr="00796E3B" w14:paraId="44388328" w14:textId="77777777" w:rsidTr="00D83714">
        <w:tc>
          <w:tcPr>
            <w:tcW w:w="6120" w:type="dxa"/>
          </w:tcPr>
          <w:p w14:paraId="7FB67827" w14:textId="77777777" w:rsidR="00796E3B" w:rsidRPr="00796E3B" w:rsidRDefault="00796E3B" w:rsidP="00796E3B">
            <w:pPr>
              <w:spacing w:before="40" w:after="40" w:line="240" w:lineRule="auto"/>
              <w:ind w:left="72" w:hanging="72"/>
              <w:rPr>
                <w:rFonts w:ascii="Arial Narrow" w:eastAsia="Times New Roman" w:hAnsi="Arial Narrow" w:cs="Times New Roman"/>
                <w:sz w:val="20"/>
                <w:szCs w:val="20"/>
              </w:rPr>
            </w:pPr>
            <w:r w:rsidRPr="00796E3B">
              <w:rPr>
                <w:rFonts w:ascii="Arial Narrow" w:eastAsia="Times New Roman" w:hAnsi="Arial Narrow" w:cs="Times New Roman"/>
                <w:sz w:val="20"/>
                <w:szCs w:val="20"/>
              </w:rPr>
              <w:t>Resolve validation issues</w:t>
            </w:r>
          </w:p>
        </w:tc>
        <w:tc>
          <w:tcPr>
            <w:tcW w:w="2970" w:type="dxa"/>
          </w:tcPr>
          <w:p w14:paraId="162C8008" w14:textId="77777777" w:rsidR="00796E3B" w:rsidRPr="00796E3B" w:rsidRDefault="00796E3B" w:rsidP="00796E3B">
            <w:pPr>
              <w:spacing w:before="40" w:after="40" w:line="240" w:lineRule="auto"/>
              <w:rPr>
                <w:rFonts w:ascii="Arial Narrow" w:eastAsia="Times New Roman" w:hAnsi="Arial Narrow" w:cs="Times New Roman"/>
                <w:sz w:val="20"/>
                <w:szCs w:val="20"/>
              </w:rPr>
            </w:pPr>
            <w:r w:rsidRPr="00796E3B">
              <w:rPr>
                <w:rFonts w:ascii="Arial Narrow" w:eastAsia="Times New Roman" w:hAnsi="Arial Narrow" w:cs="Times New Roman"/>
                <w:sz w:val="20"/>
                <w:szCs w:val="20"/>
              </w:rPr>
              <w:t>2-3 months following OMB approval</w:t>
            </w:r>
          </w:p>
        </w:tc>
      </w:tr>
      <w:tr w:rsidR="00796E3B" w:rsidRPr="00796E3B" w14:paraId="28821961" w14:textId="77777777" w:rsidTr="00D83714">
        <w:trPr>
          <w:trHeight w:val="70"/>
        </w:trPr>
        <w:tc>
          <w:tcPr>
            <w:tcW w:w="6120" w:type="dxa"/>
          </w:tcPr>
          <w:p w14:paraId="470C5D9D" w14:textId="77777777" w:rsidR="00796E3B" w:rsidRPr="00796E3B" w:rsidRDefault="00796E3B" w:rsidP="00796E3B">
            <w:pPr>
              <w:spacing w:before="40" w:after="40" w:line="240" w:lineRule="auto"/>
              <w:ind w:left="72" w:hanging="72"/>
              <w:rPr>
                <w:rFonts w:ascii="Arial Narrow" w:eastAsia="Times New Roman" w:hAnsi="Arial Narrow" w:cs="Times New Roman"/>
                <w:sz w:val="20"/>
                <w:szCs w:val="20"/>
              </w:rPr>
            </w:pPr>
            <w:r w:rsidRPr="00796E3B">
              <w:rPr>
                <w:rFonts w:ascii="Arial Narrow" w:eastAsia="Times New Roman" w:hAnsi="Arial Narrow" w:cs="Times New Roman"/>
                <w:sz w:val="20"/>
                <w:szCs w:val="20"/>
              </w:rPr>
              <w:t>Analyze and report final data</w:t>
            </w:r>
          </w:p>
        </w:tc>
        <w:tc>
          <w:tcPr>
            <w:tcW w:w="2970" w:type="dxa"/>
          </w:tcPr>
          <w:p w14:paraId="40701FD6" w14:textId="77777777" w:rsidR="00796E3B" w:rsidRPr="00796E3B" w:rsidRDefault="00796E3B" w:rsidP="00A45DAF">
            <w:pPr>
              <w:spacing w:before="40" w:after="40" w:line="240" w:lineRule="auto"/>
              <w:rPr>
                <w:rFonts w:ascii="Arial Narrow" w:eastAsia="Times New Roman" w:hAnsi="Arial Narrow" w:cs="Times New Roman"/>
                <w:sz w:val="20"/>
                <w:szCs w:val="20"/>
              </w:rPr>
            </w:pPr>
            <w:r w:rsidRPr="00796E3B">
              <w:rPr>
                <w:rFonts w:ascii="Arial Narrow" w:eastAsia="Times New Roman" w:hAnsi="Arial Narrow" w:cs="Times New Roman"/>
                <w:sz w:val="20"/>
                <w:szCs w:val="20"/>
              </w:rPr>
              <w:t>3-</w:t>
            </w:r>
            <w:r w:rsidR="00A45DAF">
              <w:rPr>
                <w:rFonts w:ascii="Arial Narrow" w:eastAsia="Times New Roman" w:hAnsi="Arial Narrow" w:cs="Times New Roman"/>
                <w:sz w:val="20"/>
                <w:szCs w:val="20"/>
              </w:rPr>
              <w:t>6</w:t>
            </w:r>
            <w:r w:rsidRPr="00796E3B">
              <w:rPr>
                <w:rFonts w:ascii="Arial Narrow" w:eastAsia="Times New Roman" w:hAnsi="Arial Narrow" w:cs="Times New Roman"/>
                <w:sz w:val="20"/>
                <w:szCs w:val="20"/>
              </w:rPr>
              <w:t xml:space="preserve"> months following OMB approval</w:t>
            </w:r>
          </w:p>
        </w:tc>
      </w:tr>
    </w:tbl>
    <w:p w14:paraId="22146067" w14:textId="77777777" w:rsidR="00796E3B" w:rsidRDefault="00796E3B" w:rsidP="00796E3B">
      <w:pPr>
        <w:spacing w:after="0" w:line="240" w:lineRule="auto"/>
        <w:rPr>
          <w:rFonts w:ascii="Times New Roman" w:eastAsia="Times New Roman" w:hAnsi="Times New Roman" w:cs="Times New Roman"/>
          <w:sz w:val="24"/>
          <w:szCs w:val="24"/>
        </w:rPr>
      </w:pPr>
    </w:p>
    <w:p w14:paraId="02C311CF" w14:textId="77777777" w:rsidR="006B7335" w:rsidRDefault="006B7335" w:rsidP="00796E3B">
      <w:pPr>
        <w:spacing w:after="0" w:line="240" w:lineRule="auto"/>
        <w:rPr>
          <w:rFonts w:ascii="Times New Roman" w:eastAsia="Times New Roman" w:hAnsi="Times New Roman" w:cs="Times New Roman"/>
          <w:sz w:val="24"/>
          <w:szCs w:val="24"/>
        </w:rPr>
      </w:pPr>
    </w:p>
    <w:p w14:paraId="108EE321" w14:textId="77777777" w:rsidR="006B7335" w:rsidRPr="00796E3B" w:rsidRDefault="006B7335" w:rsidP="00796E3B">
      <w:pPr>
        <w:spacing w:after="0" w:line="240" w:lineRule="auto"/>
        <w:rPr>
          <w:rFonts w:ascii="Times New Roman" w:eastAsia="Times New Roman" w:hAnsi="Times New Roman" w:cs="Times New Roman"/>
          <w:sz w:val="24"/>
          <w:szCs w:val="24"/>
        </w:rPr>
      </w:pPr>
    </w:p>
    <w:p w14:paraId="54AC33EB" w14:textId="77777777" w:rsidR="00796E3B" w:rsidRPr="00B94700" w:rsidRDefault="00796E3B" w:rsidP="006B7335">
      <w:pPr>
        <w:pStyle w:val="ListParagraph"/>
        <w:keepNext/>
        <w:widowControl w:val="0"/>
        <w:numPr>
          <w:ilvl w:val="0"/>
          <w:numId w:val="2"/>
        </w:numPr>
        <w:tabs>
          <w:tab w:val="num" w:pos="360"/>
        </w:tabs>
        <w:autoSpaceDE w:val="0"/>
        <w:autoSpaceDN w:val="0"/>
        <w:adjustRightInd w:val="0"/>
        <w:spacing w:after="120" w:line="240" w:lineRule="auto"/>
        <w:outlineLvl w:val="2"/>
        <w:rPr>
          <w:rFonts w:ascii="Times New Roman" w:eastAsia="Times New Roman" w:hAnsi="Times New Roman" w:cs="Times New Roman"/>
          <w:b/>
          <w:sz w:val="24"/>
          <w:szCs w:val="24"/>
          <w:u w:val="single"/>
        </w:rPr>
      </w:pPr>
      <w:bookmarkStart w:id="31" w:name="_Toc370899491"/>
      <w:r w:rsidRPr="00B94700">
        <w:rPr>
          <w:rFonts w:ascii="Times New Roman" w:eastAsia="Times New Roman" w:hAnsi="Times New Roman" w:cs="Times New Roman"/>
          <w:b/>
          <w:sz w:val="24"/>
          <w:szCs w:val="24"/>
          <w:u w:val="single"/>
        </w:rPr>
        <w:t>Reason(s) Display of OMB Expiration Date Is Inappropriate</w:t>
      </w:r>
      <w:bookmarkEnd w:id="31"/>
    </w:p>
    <w:p w14:paraId="6D50A16D" w14:textId="77777777" w:rsidR="00796E3B" w:rsidRPr="00796E3B" w:rsidRDefault="00796E3B" w:rsidP="00796E3B">
      <w:pPr>
        <w:spacing w:after="120" w:line="260" w:lineRule="atLeast"/>
        <w:rPr>
          <w:rFonts w:ascii="Times New Roman" w:eastAsia="Times New Roman" w:hAnsi="Times New Roman" w:cs="Times New Roman"/>
          <w:sz w:val="23"/>
        </w:rPr>
      </w:pPr>
    </w:p>
    <w:p w14:paraId="494DB162" w14:textId="77777777" w:rsidR="00796E3B" w:rsidRPr="00796E3B" w:rsidRDefault="00796E3B" w:rsidP="00796E3B">
      <w:pPr>
        <w:spacing w:after="120" w:line="260" w:lineRule="atLeast"/>
        <w:rPr>
          <w:rFonts w:ascii="Times New Roman" w:eastAsia="Times New Roman" w:hAnsi="Times New Roman" w:cs="Times New Roman"/>
          <w:sz w:val="24"/>
          <w:szCs w:val="24"/>
        </w:rPr>
      </w:pPr>
      <w:r w:rsidRPr="00796E3B">
        <w:rPr>
          <w:rFonts w:ascii="Times New Roman" w:eastAsia="Times New Roman" w:hAnsi="Times New Roman" w:cs="Times New Roman"/>
          <w:sz w:val="24"/>
          <w:szCs w:val="24"/>
        </w:rPr>
        <w:t xml:space="preserve">The 3-year expiration date for OMB approval will be displayed on all versions of the form (i.e., electronic, Web-based, and hard-copy). </w:t>
      </w:r>
    </w:p>
    <w:p w14:paraId="449ACDE6" w14:textId="77777777" w:rsidR="00A45DAF" w:rsidRDefault="00A45DAF" w:rsidP="00A45DAF">
      <w:pPr>
        <w:widowControl w:val="0"/>
        <w:tabs>
          <w:tab w:val="num" w:pos="450"/>
        </w:tabs>
        <w:autoSpaceDE w:val="0"/>
        <w:autoSpaceDN w:val="0"/>
        <w:adjustRightInd w:val="0"/>
        <w:spacing w:before="240" w:after="0" w:line="240" w:lineRule="auto"/>
        <w:outlineLvl w:val="2"/>
        <w:rPr>
          <w:rFonts w:ascii="Times New Roman" w:eastAsia="Times New Roman" w:hAnsi="Times New Roman" w:cs="Times New Roman"/>
          <w:b/>
          <w:sz w:val="24"/>
          <w:szCs w:val="24"/>
          <w:u w:val="single"/>
        </w:rPr>
      </w:pPr>
      <w:bookmarkStart w:id="32" w:name="_Toc370899492"/>
    </w:p>
    <w:p w14:paraId="01D9CD78" w14:textId="77777777" w:rsidR="00796E3B" w:rsidRPr="00B94700" w:rsidRDefault="00796E3B" w:rsidP="006B7335">
      <w:pPr>
        <w:pStyle w:val="ListParagraph"/>
        <w:widowControl w:val="0"/>
        <w:numPr>
          <w:ilvl w:val="0"/>
          <w:numId w:val="2"/>
        </w:numPr>
        <w:tabs>
          <w:tab w:val="num" w:pos="450"/>
        </w:tabs>
        <w:autoSpaceDE w:val="0"/>
        <w:autoSpaceDN w:val="0"/>
        <w:adjustRightInd w:val="0"/>
        <w:spacing w:before="240" w:after="0" w:line="240" w:lineRule="auto"/>
        <w:outlineLvl w:val="2"/>
        <w:rPr>
          <w:rFonts w:ascii="Times New Roman" w:eastAsia="Times New Roman" w:hAnsi="Times New Roman" w:cs="Times New Roman"/>
          <w:b/>
          <w:sz w:val="24"/>
          <w:szCs w:val="24"/>
          <w:u w:val="single"/>
        </w:rPr>
      </w:pPr>
      <w:r w:rsidRPr="00B94700">
        <w:rPr>
          <w:rFonts w:ascii="Times New Roman" w:eastAsia="Times New Roman" w:hAnsi="Times New Roman" w:cs="Times New Roman"/>
          <w:b/>
          <w:sz w:val="24"/>
          <w:szCs w:val="24"/>
          <w:u w:val="single"/>
        </w:rPr>
        <w:t>Exceptions to Certification for Paperwork Reduction Act Submissions</w:t>
      </w:r>
      <w:bookmarkEnd w:id="32"/>
    </w:p>
    <w:p w14:paraId="1BAC3110" w14:textId="77777777" w:rsidR="00796E3B" w:rsidRPr="00796E3B" w:rsidRDefault="00796E3B" w:rsidP="00796E3B">
      <w:pPr>
        <w:spacing w:after="120" w:line="260" w:lineRule="atLeast"/>
        <w:rPr>
          <w:rFonts w:ascii="Times New Roman" w:eastAsia="Times New Roman" w:hAnsi="Times New Roman" w:cs="Times New Roman"/>
          <w:sz w:val="24"/>
          <w:szCs w:val="24"/>
        </w:rPr>
      </w:pPr>
      <w:r w:rsidRPr="00796E3B">
        <w:rPr>
          <w:rFonts w:ascii="Times New Roman" w:eastAsia="Times New Roman" w:hAnsi="Times New Roman" w:cs="Times New Roman"/>
          <w:sz w:val="24"/>
          <w:szCs w:val="24"/>
        </w:rPr>
        <w:t xml:space="preserve">There are no exceptions to the certification. </w:t>
      </w:r>
    </w:p>
    <w:p w14:paraId="37E2FCB2" w14:textId="77777777" w:rsidR="00F17C56" w:rsidRPr="00F17C56" w:rsidRDefault="00F17C56" w:rsidP="00FF5F9C"/>
    <w:sectPr w:rsidR="00F17C56" w:rsidRPr="00F17C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uthor" w:date="2015-11-03T13:21:00Z" w:initials="A">
    <w:p w14:paraId="1BD9D0B2" w14:textId="77777777" w:rsidR="00F47ABF" w:rsidRDefault="00F47ABF">
      <w:pPr>
        <w:pStyle w:val="CommentText"/>
      </w:pPr>
      <w:r>
        <w:rPr>
          <w:rStyle w:val="CommentReference"/>
        </w:rPr>
        <w:annotationRef/>
      </w:r>
      <w:r>
        <w:t>I don’t’ see that the information requested in the survey informs these three areas.</w:t>
      </w:r>
    </w:p>
  </w:comment>
  <w:comment w:id="4" w:author="Windows User" w:date="2015-12-08T13:31:00Z" w:initials="CL">
    <w:p w14:paraId="6B7B2347" w14:textId="06E28122" w:rsidR="004E0049" w:rsidRDefault="004E0049">
      <w:pPr>
        <w:pStyle w:val="CommentText"/>
      </w:pPr>
      <w:r>
        <w:rPr>
          <w:rStyle w:val="CommentReference"/>
        </w:rPr>
        <w:annotationRef/>
      </w:r>
      <w:r>
        <w:t xml:space="preserve">To assess the extent to which sites have </w:t>
      </w:r>
      <w:r w:rsidRPr="004E0049">
        <w:rPr>
          <w:b/>
        </w:rPr>
        <w:t>partnerships with primary care providers</w:t>
      </w:r>
      <w:r>
        <w:t xml:space="preserve">, </w:t>
      </w:r>
      <w:r w:rsidR="00696D58">
        <w:t>OPA</w:t>
      </w:r>
      <w:r>
        <w:t xml:space="preserve"> included question #17 </w:t>
      </w:r>
      <w:r w:rsidR="006C7902">
        <w:t>i</w:t>
      </w:r>
      <w:r>
        <w:t>n the Sustainability Assessment for Sites</w:t>
      </w:r>
      <w:r w:rsidR="00640B94">
        <w:t xml:space="preserve"> (Attachment </w:t>
      </w:r>
      <w:r w:rsidR="00652196">
        <w:t>C</w:t>
      </w:r>
      <w:r w:rsidR="00640B94">
        <w:t>)</w:t>
      </w:r>
      <w:r>
        <w:t xml:space="preserve">. Question 17 will inform us which sites 1) already provide primary care services, 2) are co-located with another primary care organization, 3) have a </w:t>
      </w:r>
      <w:r w:rsidRPr="004E0049">
        <w:rPr>
          <w:u w:val="single"/>
        </w:rPr>
        <w:t xml:space="preserve">formal </w:t>
      </w:r>
      <w:r>
        <w:t xml:space="preserve">referral agreement with primary care providers, 4) provide referrals but do not have specific agreements with those providers, or 5) do not have any type of relationship with any primary care providers. The information gathered will provide OPA with a snapshot of the extent to which sites have or do not have any partnerships with primary care providers and why (e.g. already provide primary care services, so there is no need for partnering).  </w:t>
      </w:r>
    </w:p>
    <w:p w14:paraId="0207F48E" w14:textId="77777777" w:rsidR="00696D58" w:rsidRDefault="00696D58">
      <w:pPr>
        <w:pStyle w:val="CommentText"/>
      </w:pPr>
    </w:p>
    <w:p w14:paraId="7A382CC4" w14:textId="0A057D01" w:rsidR="00EB164F" w:rsidRDefault="00696D58">
      <w:pPr>
        <w:pStyle w:val="CommentText"/>
      </w:pPr>
      <w:r>
        <w:t xml:space="preserve">To evaluate service sites’ </w:t>
      </w:r>
      <w:r w:rsidRPr="00696D58">
        <w:rPr>
          <w:b/>
        </w:rPr>
        <w:t>availability and use of electronic health records</w:t>
      </w:r>
      <w:r w:rsidR="00EB164F">
        <w:rPr>
          <w:b/>
        </w:rPr>
        <w:t xml:space="preserve"> (EHR)</w:t>
      </w:r>
      <w:r w:rsidRPr="00696D58">
        <w:t xml:space="preserve">, </w:t>
      </w:r>
      <w:r w:rsidR="006C7902">
        <w:t xml:space="preserve">OPA incorporated a wide range of </w:t>
      </w:r>
      <w:r w:rsidRPr="00696D58">
        <w:t xml:space="preserve">questions </w:t>
      </w:r>
      <w:r w:rsidR="006C7902">
        <w:t xml:space="preserve">(#s </w:t>
      </w:r>
      <w:r w:rsidRPr="00696D58">
        <w:t>18-3</w:t>
      </w:r>
      <w:r w:rsidR="00724553">
        <w:t>6</w:t>
      </w:r>
      <w:r w:rsidR="006C7902">
        <w:t>) in the Sustainability Assessment for Sites</w:t>
      </w:r>
      <w:r w:rsidR="00640B94">
        <w:t xml:space="preserve"> (Attachment </w:t>
      </w:r>
      <w:r w:rsidR="00652196">
        <w:t>C</w:t>
      </w:r>
      <w:r w:rsidR="00640B94">
        <w:t>)</w:t>
      </w:r>
      <w:r w:rsidR="006C7902">
        <w:t xml:space="preserve">. </w:t>
      </w:r>
      <w:r w:rsidR="00640B94">
        <w:t>The scope of q</w:t>
      </w:r>
      <w:r w:rsidR="006C7902">
        <w:t>uestions</w:t>
      </w:r>
      <w:r w:rsidR="00640B94">
        <w:t xml:space="preserve"> include but are not limited to the following topics: </w:t>
      </w:r>
    </w:p>
    <w:p w14:paraId="0767E891" w14:textId="1E4428E0" w:rsidR="00EB164F" w:rsidRDefault="00EB164F">
      <w:pPr>
        <w:pStyle w:val="CommentText"/>
      </w:pPr>
      <w:r>
        <w:t>[</w:t>
      </w:r>
      <w:r w:rsidRPr="0018732D">
        <w:rPr>
          <w:b/>
          <w:smallCaps/>
        </w:rPr>
        <w:t>Availability</w:t>
      </w:r>
      <w:r>
        <w:t xml:space="preserve">] </w:t>
      </w:r>
      <w:r w:rsidR="00B61B82">
        <w:t xml:space="preserve">1) </w:t>
      </w:r>
      <w:r w:rsidR="006C7902">
        <w:t>whether sites have an Electronic Practice Management System</w:t>
      </w:r>
      <w:r w:rsidR="00640B94">
        <w:t xml:space="preserve">, </w:t>
      </w:r>
      <w:r w:rsidR="006C7902">
        <w:t xml:space="preserve">from which vendor, and </w:t>
      </w:r>
      <w:r w:rsidR="00B61B82">
        <w:t>whether</w:t>
      </w:r>
      <w:r w:rsidR="006C7902">
        <w:t xml:space="preserve"> it is integrated with their </w:t>
      </w:r>
      <w:r w:rsidR="00640B94">
        <w:t>Electronic Health Record system;</w:t>
      </w:r>
      <w:r w:rsidR="006C7902">
        <w:t xml:space="preserve"> </w:t>
      </w:r>
      <w:r w:rsidR="00B61B82">
        <w:t xml:space="preserve">2) </w:t>
      </w:r>
      <w:r>
        <w:t xml:space="preserve">whether sites have adopted an Electronic Health System (EHR); 3) </w:t>
      </w:r>
      <w:r w:rsidR="006C7902">
        <w:t>types of sys</w:t>
      </w:r>
      <w:r w:rsidR="00640B94">
        <w:t>tems used to collect FPAR data;</w:t>
      </w:r>
      <w:r w:rsidR="00DE2012">
        <w:t xml:space="preserve"> </w:t>
      </w:r>
    </w:p>
    <w:p w14:paraId="063D8EA8" w14:textId="461CB8FF" w:rsidR="00696D58" w:rsidRDefault="00EB164F">
      <w:pPr>
        <w:pStyle w:val="CommentText"/>
      </w:pPr>
      <w:r w:rsidRPr="0018732D">
        <w:rPr>
          <w:b/>
          <w:smallCaps/>
        </w:rPr>
        <w:t>[Use]</w:t>
      </w:r>
      <w:r>
        <w:t xml:space="preserve"> 4</w:t>
      </w:r>
      <w:r w:rsidR="000259A5">
        <w:t xml:space="preserve">) </w:t>
      </w:r>
      <w:r w:rsidR="00DE2012">
        <w:t>methods through which sites receive clinical care summaries (e.g. within E</w:t>
      </w:r>
      <w:r>
        <w:t>H</w:t>
      </w:r>
      <w:r w:rsidR="00DE2012">
        <w:t>R, paper records, secure electronic mail, etc</w:t>
      </w:r>
      <w:r w:rsidR="00DE2012" w:rsidRPr="00EB164F">
        <w:t>.)</w:t>
      </w:r>
      <w:r w:rsidR="00640B94" w:rsidRPr="00EB164F">
        <w:t>;</w:t>
      </w:r>
      <w:r w:rsidR="00696D58" w:rsidRPr="00EB164F">
        <w:t xml:space="preserve"> </w:t>
      </w:r>
      <w:r w:rsidR="000259A5" w:rsidRPr="00EB164F">
        <w:t xml:space="preserve">4) </w:t>
      </w:r>
      <w:r w:rsidRPr="00EB164F">
        <w:t>if sites have an</w:t>
      </w:r>
      <w:r w:rsidR="00696D58" w:rsidRPr="00EB164F">
        <w:t xml:space="preserve"> </w:t>
      </w:r>
      <w:r w:rsidRPr="00EB164F">
        <w:t>EHR system, which type/is it certified/can it export data to another industry-standards format</w:t>
      </w:r>
      <w:r>
        <w:t xml:space="preserve"> for analysis and reporting. Such questions allow OPA to assess which and how many sites have/don’t have EHR systems, whether they intend of adopting one, whether they can be used for analyses, and whether some sites may need assistance in obtaining/using EHR systems.</w:t>
      </w:r>
    </w:p>
    <w:p w14:paraId="0CD43CFB" w14:textId="77777777" w:rsidR="00EB164F" w:rsidRDefault="00EB164F">
      <w:pPr>
        <w:pStyle w:val="CommentText"/>
      </w:pPr>
    </w:p>
    <w:p w14:paraId="453415E1" w14:textId="0ED21C8F" w:rsidR="00EB164F" w:rsidRPr="00EB164F" w:rsidRDefault="006F3FA6">
      <w:pPr>
        <w:pStyle w:val="CommentText"/>
      </w:pPr>
      <w:r>
        <w:t>To assess the efforts</w:t>
      </w:r>
      <w:r w:rsidR="00652196">
        <w:t xml:space="preserve"> </w:t>
      </w:r>
      <w:r>
        <w:t xml:space="preserve">of grantees’ </w:t>
      </w:r>
      <w:r w:rsidR="00652196" w:rsidRPr="006F3FA6">
        <w:rPr>
          <w:b/>
        </w:rPr>
        <w:t>monitoring of patient</w:t>
      </w:r>
      <w:r>
        <w:rPr>
          <w:b/>
        </w:rPr>
        <w:t xml:space="preserve"> care quality, </w:t>
      </w:r>
      <w:r>
        <w:t xml:space="preserve">question 11 of the Sustainability Assessment for Grantees (Attachment B) asks grantees to best describe their present efforts to measure quality in their service delivery network. Information obtained will inform OPA whether there are established performance measures which they already apply, have such measures, in the process of establishing performance measures, or if there is no intention in the future to develop and establish measures to monitor quality. </w:t>
      </w:r>
      <w:r w:rsidR="00724553">
        <w:t>Questions 37-41 in the Sustainability Assessment for Sit</w:t>
      </w:r>
      <w:r w:rsidR="00724553">
        <w:t xml:space="preserve">es (Attachment </w:t>
      </w:r>
      <w:r w:rsidR="00724553">
        <w:t>C</w:t>
      </w:r>
      <w:r w:rsidR="00724553">
        <w:t>)</w:t>
      </w:r>
      <w:r w:rsidR="00724553">
        <w:t xml:space="preserve"> focus on measuring patient care quality (e.g. questions #37 asks whether sites currently measure contraceptive use, chlamydia screening, and patient experience).  </w:t>
      </w:r>
    </w:p>
  </w:comment>
  <w:comment w:id="6" w:author="Author" w:date="2015-11-03T12:09:00Z" w:initials="A">
    <w:p w14:paraId="0E27EAD3" w14:textId="77777777" w:rsidR="0029166F" w:rsidRDefault="0029166F">
      <w:pPr>
        <w:pStyle w:val="CommentText"/>
      </w:pPr>
      <w:r>
        <w:rPr>
          <w:rStyle w:val="CommentReference"/>
        </w:rPr>
        <w:annotationRef/>
      </w:r>
      <w:r>
        <w:t>Thi</w:t>
      </w:r>
      <w:r w:rsidR="00F47ABF">
        <w:t xml:space="preserve">s question is not in the current survey on ROCIS. The information asked for in the survey seems like it would inform Title X work, but does not get at this specific question at all. </w:t>
      </w:r>
    </w:p>
  </w:comment>
  <w:comment w:id="7" w:author="Windows User" w:date="2015-12-08T13:34:00Z" w:initials="CL">
    <w:p w14:paraId="3F1D00E2" w14:textId="4EACBA44" w:rsidR="00724553" w:rsidRDefault="00724553">
      <w:pPr>
        <w:pStyle w:val="CommentText"/>
      </w:pPr>
      <w:r>
        <w:rPr>
          <w:rStyle w:val="CommentReference"/>
        </w:rPr>
        <w:annotationRef/>
      </w:r>
      <w:r>
        <w:t xml:space="preserve">Sorry you did not find the appropriate question in the current survey on ROCIS. Perhaps you did not receive the most recent version of the Sustainability Assessment for Sites. Questions #18-36 were designed to inform OPA on the availability and extent of EHRs in the Title X network.  </w:t>
      </w:r>
    </w:p>
  </w:comment>
  <w:comment w:id="8" w:author="Author" w:date="2015-11-03T12:12:00Z" w:initials="A">
    <w:p w14:paraId="2C684FEF" w14:textId="77777777" w:rsidR="0029166F" w:rsidRDefault="0029166F">
      <w:pPr>
        <w:pStyle w:val="CommentText"/>
      </w:pPr>
      <w:r>
        <w:rPr>
          <w:rStyle w:val="CommentReference"/>
        </w:rPr>
        <w:annotationRef/>
      </w:r>
      <w:r w:rsidR="00F47ABF">
        <w:t>This question is not in the current survey on ROCIS. See above.</w:t>
      </w:r>
    </w:p>
  </w:comment>
  <w:comment w:id="9" w:author="Windows User" w:date="2015-12-08T13:41:00Z" w:initials="CL">
    <w:p w14:paraId="004D8102" w14:textId="66987BEB" w:rsidR="00CC3E62" w:rsidRDefault="00CC3E62">
      <w:pPr>
        <w:pStyle w:val="CommentText"/>
      </w:pPr>
      <w:r>
        <w:rPr>
          <w:rStyle w:val="CommentReference"/>
        </w:rPr>
        <w:annotationRef/>
      </w:r>
      <w:r w:rsidR="0007473A">
        <w:t xml:space="preserve">See comment </w:t>
      </w:r>
      <w:r>
        <w:t xml:space="preserve">above. </w:t>
      </w:r>
      <w:r w:rsidR="0007473A">
        <w:t>Please review question #27 (asks sites using EHR</w:t>
      </w:r>
      <w:r w:rsidR="0007473A" w:rsidRPr="0007473A">
        <w:t xml:space="preserve"> </w:t>
      </w:r>
      <w:r w:rsidR="0007473A">
        <w:t>to report their EHR vendor).</w:t>
      </w:r>
    </w:p>
  </w:comment>
  <w:comment w:id="10" w:author="Author" w:date="2015-11-03T12:13:00Z" w:initials="A">
    <w:p w14:paraId="38CF4EE7" w14:textId="77777777" w:rsidR="0029166F" w:rsidRDefault="0029166F">
      <w:pPr>
        <w:pStyle w:val="CommentText"/>
      </w:pPr>
      <w:r>
        <w:rPr>
          <w:rStyle w:val="CommentReference"/>
        </w:rPr>
        <w:annotationRef/>
      </w:r>
      <w:r w:rsidR="00F47ABF">
        <w:t>This question is not in the current survey on ROCIS. See above.</w:t>
      </w:r>
    </w:p>
  </w:comment>
  <w:comment w:id="11" w:author="Windows User" w:date="2015-12-08T13:43:00Z" w:initials="CL">
    <w:p w14:paraId="3C1C4EBF" w14:textId="5B0515CF" w:rsidR="0007473A" w:rsidRDefault="0007473A">
      <w:pPr>
        <w:pStyle w:val="CommentText"/>
      </w:pPr>
      <w:r>
        <w:rPr>
          <w:rStyle w:val="CommentReference"/>
        </w:rPr>
        <w:annotationRef/>
      </w:r>
      <w:r>
        <w:t xml:space="preserve">See comment above. Please review questions #42-48 </w:t>
      </w:r>
      <w:r>
        <w:t>under</w:t>
      </w:r>
      <w:bookmarkStart w:id="12" w:name="_GoBack"/>
      <w:bookmarkEnd w:id="12"/>
      <w:r>
        <w:t xml:space="preserve"> the “Revenue” section of the survey.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D9D0B2" w15:done="0"/>
  <w15:commentEx w15:paraId="0E27EAD3" w15:done="0"/>
  <w15:commentEx w15:paraId="2C684FEF" w15:done="0"/>
  <w15:commentEx w15:paraId="38CF4E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4E0F3" w14:textId="77777777" w:rsidR="00337A54" w:rsidRDefault="00337A54" w:rsidP="003D788E">
      <w:pPr>
        <w:spacing w:after="0" w:line="240" w:lineRule="auto"/>
      </w:pPr>
      <w:r>
        <w:separator/>
      </w:r>
    </w:p>
  </w:endnote>
  <w:endnote w:type="continuationSeparator" w:id="0">
    <w:p w14:paraId="1070348A" w14:textId="77777777" w:rsidR="00337A54" w:rsidRDefault="00337A54" w:rsidP="003D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C5A14" w14:textId="77777777" w:rsidR="00337A54" w:rsidRDefault="00337A54" w:rsidP="003D788E">
      <w:pPr>
        <w:spacing w:after="0" w:line="240" w:lineRule="auto"/>
      </w:pPr>
      <w:r>
        <w:separator/>
      </w:r>
    </w:p>
  </w:footnote>
  <w:footnote w:type="continuationSeparator" w:id="0">
    <w:p w14:paraId="15377762" w14:textId="77777777" w:rsidR="00337A54" w:rsidRDefault="00337A54" w:rsidP="003D788E">
      <w:pPr>
        <w:spacing w:after="0" w:line="240" w:lineRule="auto"/>
      </w:pPr>
      <w:r>
        <w:continuationSeparator/>
      </w:r>
    </w:p>
  </w:footnote>
  <w:footnote w:id="1">
    <w:p w14:paraId="093F876C" w14:textId="77777777" w:rsidR="00AB3AD6" w:rsidRPr="006436BA" w:rsidRDefault="00AB3AD6" w:rsidP="00AB3AD6">
      <w:pPr>
        <w:pStyle w:val="FootnoteText"/>
        <w:rPr>
          <w:rFonts w:asciiTheme="minorHAnsi" w:hAnsiTheme="minorHAnsi"/>
        </w:rPr>
      </w:pPr>
      <w:r w:rsidRPr="006436BA">
        <w:rPr>
          <w:rStyle w:val="FootnoteReference"/>
          <w:rFonts w:asciiTheme="minorHAnsi" w:hAnsiTheme="minorHAnsi"/>
        </w:rPr>
        <w:footnoteRef/>
      </w:r>
      <w:r w:rsidRPr="006436BA">
        <w:rPr>
          <w:rFonts w:asciiTheme="minorHAnsi" w:hAnsiTheme="minorHAnsi"/>
        </w:rPr>
        <w:t xml:space="preserve"> </w:t>
      </w:r>
      <w:r w:rsidRPr="006436BA">
        <w:rPr>
          <w:rFonts w:asciiTheme="minorHAnsi" w:hAnsiTheme="minorHAnsi"/>
          <w:noProof/>
        </w:rPr>
        <w:t xml:space="preserve">Gold RB. </w:t>
      </w:r>
      <w:r w:rsidRPr="006436BA">
        <w:rPr>
          <w:rFonts w:asciiTheme="minorHAnsi" w:hAnsiTheme="minorHAnsi"/>
          <w:i/>
          <w:noProof/>
        </w:rPr>
        <w:t>Family Planning Centers Meet Health Care Reform: Lessons from Massachusetts</w:t>
      </w:r>
      <w:r w:rsidRPr="006436BA">
        <w:rPr>
          <w:rFonts w:asciiTheme="minorHAnsi" w:hAnsiTheme="minorHAnsi"/>
          <w:noProof/>
        </w:rPr>
        <w:t>. Guttmacher Policy Review 2009;12(3):2-10.</w:t>
      </w:r>
    </w:p>
  </w:footnote>
  <w:footnote w:id="2">
    <w:p w14:paraId="653AF919" w14:textId="77777777" w:rsidR="00AB3AD6" w:rsidRPr="00502410" w:rsidRDefault="00AB3AD6" w:rsidP="00AB3AD6">
      <w:pPr>
        <w:pStyle w:val="FootnoteText"/>
      </w:pPr>
      <w:r w:rsidRPr="006436BA">
        <w:rPr>
          <w:rStyle w:val="FootnoteReference"/>
          <w:rFonts w:asciiTheme="minorHAnsi" w:hAnsiTheme="minorHAnsi"/>
        </w:rPr>
        <w:footnoteRef/>
      </w:r>
      <w:r w:rsidRPr="006436BA">
        <w:rPr>
          <w:rFonts w:asciiTheme="minorHAnsi" w:hAnsiTheme="minorHAnsi"/>
        </w:rPr>
        <w:t xml:space="preserve"> Carter, M, Desilets K, Gavin L, Moskosky S, Clark J.  </w:t>
      </w:r>
      <w:r w:rsidRPr="006436BA">
        <w:rPr>
          <w:rFonts w:asciiTheme="minorHAnsi" w:hAnsiTheme="minorHAnsi"/>
          <w:i/>
        </w:rPr>
        <w:t xml:space="preserve">Trends in Uninsured Clients Visiting Health Centers Funded by the Title X Family Planning Program—Massachusetts, 2005-2012. </w:t>
      </w:r>
      <w:r w:rsidRPr="006436BA">
        <w:rPr>
          <w:rFonts w:asciiTheme="minorHAnsi" w:hAnsiTheme="minorHAnsi"/>
        </w:rPr>
        <w:t>Morbidity and Mortality Weekly Report. January 24, 2014. 63 (03); 59-62</w:t>
      </w:r>
      <w:r>
        <w:t>.</w:t>
      </w:r>
    </w:p>
  </w:footnote>
  <w:footnote w:id="3">
    <w:p w14:paraId="22731D22" w14:textId="77777777" w:rsidR="003D788E" w:rsidRPr="00BF3B16" w:rsidRDefault="003D788E" w:rsidP="003D788E">
      <w:pPr>
        <w:pStyle w:val="FootnoteText"/>
        <w:rPr>
          <w:rFonts w:asciiTheme="minorHAnsi" w:hAnsiTheme="minorHAnsi"/>
        </w:rPr>
      </w:pPr>
      <w:r w:rsidRPr="00BF3B16">
        <w:rPr>
          <w:rStyle w:val="FootnoteReference"/>
          <w:rFonts w:asciiTheme="minorHAnsi" w:hAnsiTheme="minorHAnsi"/>
        </w:rPr>
        <w:footnoteRef/>
      </w:r>
      <w:r w:rsidRPr="00BF3B16">
        <w:rPr>
          <w:rFonts w:asciiTheme="minorHAnsi" w:hAnsiTheme="minorHAnsi"/>
        </w:rPr>
        <w:t xml:space="preserve"> Guttmacher Institute. </w:t>
      </w:r>
      <w:r w:rsidRPr="00BF3B16">
        <w:rPr>
          <w:rFonts w:asciiTheme="minorHAnsi" w:hAnsiTheme="minorHAnsi"/>
          <w:i/>
        </w:rPr>
        <w:t>Next Steps for America’s Family Planning Programs</w:t>
      </w:r>
      <w:r w:rsidRPr="00BF3B16">
        <w:rPr>
          <w:rFonts w:asciiTheme="minorHAnsi" w:hAnsiTheme="minorHAnsi"/>
        </w:rPr>
        <w:t xml:space="preserve">. Available at </w:t>
      </w:r>
      <w:hyperlink r:id="rId1" w:history="1">
        <w:r w:rsidRPr="00BF3B16">
          <w:rPr>
            <w:rStyle w:val="Hyperlink"/>
            <w:rFonts w:asciiTheme="minorHAnsi" w:hAnsiTheme="minorHAnsi"/>
          </w:rPr>
          <w:t>http://www.guttmacher.org/pubs/NextSteps.pdf</w:t>
        </w:r>
      </w:hyperlink>
      <w:r w:rsidRPr="00BF3B16">
        <w:rPr>
          <w:rFonts w:asciiTheme="minorHAnsi" w:hAnsiTheme="minorHAnsi"/>
        </w:rPr>
        <w:t xml:space="preserve">  Accessed May 22,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17B"/>
    <w:multiLevelType w:val="hybridMultilevel"/>
    <w:tmpl w:val="BFE64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0454F44"/>
    <w:multiLevelType w:val="hybridMultilevel"/>
    <w:tmpl w:val="CA9A0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03C0F"/>
    <w:multiLevelType w:val="hybridMultilevel"/>
    <w:tmpl w:val="F8466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81C9D"/>
    <w:multiLevelType w:val="hybridMultilevel"/>
    <w:tmpl w:val="E1F06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F0AC4"/>
    <w:multiLevelType w:val="hybridMultilevel"/>
    <w:tmpl w:val="830C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242E3DA0"/>
    <w:multiLevelType w:val="hybridMultilevel"/>
    <w:tmpl w:val="AC82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E95369"/>
    <w:multiLevelType w:val="hybridMultilevel"/>
    <w:tmpl w:val="60AC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99E1417"/>
    <w:multiLevelType w:val="hybridMultilevel"/>
    <w:tmpl w:val="B412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52775"/>
    <w:multiLevelType w:val="hybridMultilevel"/>
    <w:tmpl w:val="B59A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B67B41"/>
    <w:multiLevelType w:val="hybridMultilevel"/>
    <w:tmpl w:val="0942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53818C2"/>
    <w:multiLevelType w:val="hybridMultilevel"/>
    <w:tmpl w:val="F43C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DD0023"/>
    <w:multiLevelType w:val="hybridMultilevel"/>
    <w:tmpl w:val="D7BE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027819"/>
    <w:multiLevelType w:val="hybridMultilevel"/>
    <w:tmpl w:val="FDEC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F806990"/>
    <w:multiLevelType w:val="hybridMultilevel"/>
    <w:tmpl w:val="111A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68DB7659"/>
    <w:multiLevelType w:val="hybridMultilevel"/>
    <w:tmpl w:val="FF8E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3E5B95"/>
    <w:multiLevelType w:val="hybridMultilevel"/>
    <w:tmpl w:val="65E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0036762"/>
    <w:multiLevelType w:val="hybridMultilevel"/>
    <w:tmpl w:val="19BA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53F5103"/>
    <w:multiLevelType w:val="hybridMultilevel"/>
    <w:tmpl w:val="A358F8F6"/>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5ED5F0F"/>
    <w:multiLevelType w:val="hybridMultilevel"/>
    <w:tmpl w:val="E42C105C"/>
    <w:lvl w:ilvl="0" w:tplc="159A1A0E">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DF91703"/>
    <w:multiLevelType w:val="hybridMultilevel"/>
    <w:tmpl w:val="000A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5"/>
  </w:num>
  <w:num w:numId="4">
    <w:abstractNumId w:val="16"/>
  </w:num>
  <w:num w:numId="5">
    <w:abstractNumId w:val="3"/>
  </w:num>
  <w:num w:numId="6">
    <w:abstractNumId w:val="14"/>
  </w:num>
  <w:num w:numId="7">
    <w:abstractNumId w:val="17"/>
  </w:num>
  <w:num w:numId="8">
    <w:abstractNumId w:val="1"/>
  </w:num>
  <w:num w:numId="9">
    <w:abstractNumId w:val="25"/>
  </w:num>
  <w:num w:numId="10">
    <w:abstractNumId w:val="26"/>
  </w:num>
  <w:num w:numId="11">
    <w:abstractNumId w:val="12"/>
  </w:num>
  <w:num w:numId="12">
    <w:abstractNumId w:val="22"/>
  </w:num>
  <w:num w:numId="13">
    <w:abstractNumId w:val="0"/>
  </w:num>
  <w:num w:numId="14">
    <w:abstractNumId w:val="20"/>
  </w:num>
  <w:num w:numId="15">
    <w:abstractNumId w:val="18"/>
  </w:num>
  <w:num w:numId="16">
    <w:abstractNumId w:val="21"/>
  </w:num>
  <w:num w:numId="17">
    <w:abstractNumId w:val="28"/>
  </w:num>
  <w:num w:numId="18">
    <w:abstractNumId w:val="9"/>
  </w:num>
  <w:num w:numId="19">
    <w:abstractNumId w:val="33"/>
  </w:num>
  <w:num w:numId="20">
    <w:abstractNumId w:val="30"/>
  </w:num>
  <w:num w:numId="21">
    <w:abstractNumId w:val="6"/>
  </w:num>
  <w:num w:numId="22">
    <w:abstractNumId w:val="34"/>
  </w:num>
  <w:num w:numId="23">
    <w:abstractNumId w:val="2"/>
  </w:num>
  <w:num w:numId="24">
    <w:abstractNumId w:val="11"/>
  </w:num>
  <w:num w:numId="25">
    <w:abstractNumId w:val="10"/>
  </w:num>
  <w:num w:numId="26">
    <w:abstractNumId w:val="19"/>
  </w:num>
  <w:num w:numId="27">
    <w:abstractNumId w:val="7"/>
  </w:num>
  <w:num w:numId="28">
    <w:abstractNumId w:val="8"/>
  </w:num>
  <w:num w:numId="29">
    <w:abstractNumId w:val="27"/>
  </w:num>
  <w:num w:numId="30">
    <w:abstractNumId w:val="29"/>
  </w:num>
  <w:num w:numId="31">
    <w:abstractNumId w:val="32"/>
  </w:num>
  <w:num w:numId="32">
    <w:abstractNumId w:val="31"/>
  </w:num>
  <w:num w:numId="33">
    <w:abstractNumId w:val="5"/>
  </w:num>
  <w:num w:numId="34">
    <w:abstractNumId w:val="2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CD"/>
    <w:rsid w:val="000259A5"/>
    <w:rsid w:val="00063A81"/>
    <w:rsid w:val="0007473A"/>
    <w:rsid w:val="00094DC5"/>
    <w:rsid w:val="000C275A"/>
    <w:rsid w:val="000F0EE0"/>
    <w:rsid w:val="000F7B25"/>
    <w:rsid w:val="0012590E"/>
    <w:rsid w:val="00133362"/>
    <w:rsid w:val="00160209"/>
    <w:rsid w:val="001825B9"/>
    <w:rsid w:val="0018732D"/>
    <w:rsid w:val="00197270"/>
    <w:rsid w:val="0021223E"/>
    <w:rsid w:val="00233A3A"/>
    <w:rsid w:val="00241B63"/>
    <w:rsid w:val="0029166F"/>
    <w:rsid w:val="002A7965"/>
    <w:rsid w:val="002F2E9D"/>
    <w:rsid w:val="00337A54"/>
    <w:rsid w:val="0035072E"/>
    <w:rsid w:val="003D788E"/>
    <w:rsid w:val="003E72D5"/>
    <w:rsid w:val="003F4C88"/>
    <w:rsid w:val="004018B0"/>
    <w:rsid w:val="004155E2"/>
    <w:rsid w:val="00417845"/>
    <w:rsid w:val="00450EFA"/>
    <w:rsid w:val="00450F38"/>
    <w:rsid w:val="00486B58"/>
    <w:rsid w:val="004E0049"/>
    <w:rsid w:val="004E2FDD"/>
    <w:rsid w:val="005336AC"/>
    <w:rsid w:val="005748E5"/>
    <w:rsid w:val="005A758F"/>
    <w:rsid w:val="005B0E1B"/>
    <w:rsid w:val="00606709"/>
    <w:rsid w:val="00620B2D"/>
    <w:rsid w:val="00634996"/>
    <w:rsid w:val="006349E4"/>
    <w:rsid w:val="00640B94"/>
    <w:rsid w:val="00651DBB"/>
    <w:rsid w:val="00652196"/>
    <w:rsid w:val="006532E7"/>
    <w:rsid w:val="006842D2"/>
    <w:rsid w:val="006949A0"/>
    <w:rsid w:val="00696D58"/>
    <w:rsid w:val="006978F5"/>
    <w:rsid w:val="006B7335"/>
    <w:rsid w:val="006C6429"/>
    <w:rsid w:val="006C7902"/>
    <w:rsid w:val="006C7DD6"/>
    <w:rsid w:val="006F3FA6"/>
    <w:rsid w:val="00724553"/>
    <w:rsid w:val="0073024B"/>
    <w:rsid w:val="00751A5C"/>
    <w:rsid w:val="00753CC4"/>
    <w:rsid w:val="00760092"/>
    <w:rsid w:val="00796E3B"/>
    <w:rsid w:val="00797619"/>
    <w:rsid w:val="007F246F"/>
    <w:rsid w:val="008077F5"/>
    <w:rsid w:val="00832F45"/>
    <w:rsid w:val="00844452"/>
    <w:rsid w:val="008C3C7B"/>
    <w:rsid w:val="009012AD"/>
    <w:rsid w:val="00911CDA"/>
    <w:rsid w:val="00915C31"/>
    <w:rsid w:val="0095326B"/>
    <w:rsid w:val="00A33C33"/>
    <w:rsid w:val="00A40FC2"/>
    <w:rsid w:val="00A41B04"/>
    <w:rsid w:val="00A45DAF"/>
    <w:rsid w:val="00A611A6"/>
    <w:rsid w:val="00A9329B"/>
    <w:rsid w:val="00AA1BA5"/>
    <w:rsid w:val="00AB3AD6"/>
    <w:rsid w:val="00AC1DC2"/>
    <w:rsid w:val="00AD2409"/>
    <w:rsid w:val="00AD7043"/>
    <w:rsid w:val="00B122C3"/>
    <w:rsid w:val="00B13D23"/>
    <w:rsid w:val="00B44D14"/>
    <w:rsid w:val="00B53BDE"/>
    <w:rsid w:val="00B57321"/>
    <w:rsid w:val="00B60B7C"/>
    <w:rsid w:val="00B61B82"/>
    <w:rsid w:val="00B8793D"/>
    <w:rsid w:val="00B94700"/>
    <w:rsid w:val="00BA77CD"/>
    <w:rsid w:val="00BD429F"/>
    <w:rsid w:val="00C00273"/>
    <w:rsid w:val="00C16DE3"/>
    <w:rsid w:val="00C236C6"/>
    <w:rsid w:val="00C262AB"/>
    <w:rsid w:val="00C428D1"/>
    <w:rsid w:val="00C441F1"/>
    <w:rsid w:val="00C469A4"/>
    <w:rsid w:val="00C803BD"/>
    <w:rsid w:val="00C927A0"/>
    <w:rsid w:val="00C96956"/>
    <w:rsid w:val="00CC3E62"/>
    <w:rsid w:val="00CD6C6E"/>
    <w:rsid w:val="00CF04A5"/>
    <w:rsid w:val="00D30A2C"/>
    <w:rsid w:val="00D36EE4"/>
    <w:rsid w:val="00DE068D"/>
    <w:rsid w:val="00DE2012"/>
    <w:rsid w:val="00DE54CE"/>
    <w:rsid w:val="00E06C74"/>
    <w:rsid w:val="00E55A4F"/>
    <w:rsid w:val="00EB164F"/>
    <w:rsid w:val="00EC0625"/>
    <w:rsid w:val="00F17C56"/>
    <w:rsid w:val="00F47ABF"/>
    <w:rsid w:val="00F67A1E"/>
    <w:rsid w:val="00FB323B"/>
    <w:rsid w:val="00FB744F"/>
    <w:rsid w:val="00FD3A33"/>
    <w:rsid w:val="00FF5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4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5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F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5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7CD"/>
    <w:pPr>
      <w:spacing w:after="0" w:line="240" w:lineRule="auto"/>
    </w:pPr>
  </w:style>
  <w:style w:type="character" w:customStyle="1" w:styleId="Heading1Char">
    <w:name w:val="Heading 1 Char"/>
    <w:basedOn w:val="DefaultParagraphFont"/>
    <w:link w:val="Heading1"/>
    <w:uiPriority w:val="9"/>
    <w:rsid w:val="00FF5F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5F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5F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F5F9C"/>
    <w:pPr>
      <w:ind w:left="720"/>
      <w:contextualSpacing/>
    </w:pPr>
  </w:style>
  <w:style w:type="paragraph" w:customStyle="1" w:styleId="bodytext-gph">
    <w:name w:val="body text-gph"/>
    <w:link w:val="bodytext-gphChar"/>
    <w:rsid w:val="00B44D14"/>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B44D14"/>
    <w:rPr>
      <w:rFonts w:ascii="Times New Roman" w:eastAsia="Times New Roman" w:hAnsi="Times New Roman" w:cs="Times New Roman"/>
      <w:sz w:val="23"/>
    </w:rPr>
  </w:style>
  <w:style w:type="paragraph" w:customStyle="1" w:styleId="StyleTOC1Linespacing15lines">
    <w:name w:val="Style TOC 1 + Line spacing:  1.5 lines"/>
    <w:basedOn w:val="TOC1"/>
    <w:rsid w:val="00B44D14"/>
    <w:pPr>
      <w:tabs>
        <w:tab w:val="left" w:pos="480"/>
        <w:tab w:val="right" w:leader="dot" w:pos="9000"/>
      </w:tabs>
      <w:spacing w:before="120" w:after="0" w:line="260" w:lineRule="atLeast"/>
      <w:ind w:right="560"/>
    </w:pPr>
    <w:rPr>
      <w:rFonts w:ascii="Times New Roman" w:eastAsia="Times New Roman" w:hAnsi="Times New Roman" w:cs="Times New Roman"/>
      <w:b/>
      <w:bCs/>
      <w:noProof/>
      <w:sz w:val="24"/>
      <w:szCs w:val="24"/>
    </w:rPr>
  </w:style>
  <w:style w:type="paragraph" w:styleId="TOC1">
    <w:name w:val="toc 1"/>
    <w:basedOn w:val="Normal"/>
    <w:next w:val="Normal"/>
    <w:autoRedefine/>
    <w:uiPriority w:val="39"/>
    <w:unhideWhenUsed/>
    <w:rsid w:val="00B44D14"/>
    <w:pPr>
      <w:spacing w:after="100"/>
    </w:pPr>
  </w:style>
  <w:style w:type="character" w:styleId="Hyperlink">
    <w:name w:val="Hyperlink"/>
    <w:uiPriority w:val="99"/>
    <w:rsid w:val="007F246F"/>
    <w:rPr>
      <w:rFonts w:cs="Times New Roman"/>
      <w:color w:val="0000FF"/>
      <w:u w:val="single"/>
    </w:rPr>
  </w:style>
  <w:style w:type="table" w:styleId="TableGrid">
    <w:name w:val="Table Grid"/>
    <w:basedOn w:val="TableNormal"/>
    <w:rsid w:val="000F7B2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97619"/>
    <w:pPr>
      <w:outlineLvl w:val="9"/>
    </w:pPr>
    <w:rPr>
      <w:lang w:eastAsia="ja-JP"/>
    </w:rPr>
  </w:style>
  <w:style w:type="paragraph" w:styleId="TOC2">
    <w:name w:val="toc 2"/>
    <w:basedOn w:val="Normal"/>
    <w:next w:val="Normal"/>
    <w:autoRedefine/>
    <w:uiPriority w:val="39"/>
    <w:unhideWhenUsed/>
    <w:rsid w:val="00797619"/>
    <w:pPr>
      <w:spacing w:after="100"/>
      <w:ind w:left="220"/>
    </w:pPr>
  </w:style>
  <w:style w:type="paragraph" w:styleId="TOC3">
    <w:name w:val="toc 3"/>
    <w:basedOn w:val="Normal"/>
    <w:next w:val="Normal"/>
    <w:autoRedefine/>
    <w:uiPriority w:val="39"/>
    <w:unhideWhenUsed/>
    <w:rsid w:val="00797619"/>
    <w:pPr>
      <w:spacing w:after="100"/>
      <w:ind w:left="440"/>
    </w:pPr>
  </w:style>
  <w:style w:type="paragraph" w:styleId="BalloonText">
    <w:name w:val="Balloon Text"/>
    <w:basedOn w:val="Normal"/>
    <w:link w:val="BalloonTextChar"/>
    <w:uiPriority w:val="99"/>
    <w:semiHidden/>
    <w:unhideWhenUsed/>
    <w:rsid w:val="0079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619"/>
    <w:rPr>
      <w:rFonts w:ascii="Tahoma" w:hAnsi="Tahoma" w:cs="Tahoma"/>
      <w:sz w:val="16"/>
      <w:szCs w:val="16"/>
    </w:rPr>
  </w:style>
  <w:style w:type="paragraph" w:styleId="FootnoteText">
    <w:name w:val="footnote text"/>
    <w:basedOn w:val="Normal"/>
    <w:link w:val="FootnoteTextChar"/>
    <w:uiPriority w:val="99"/>
    <w:semiHidden/>
    <w:unhideWhenUsed/>
    <w:rsid w:val="003D788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788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D788E"/>
    <w:rPr>
      <w:vertAlign w:val="superscript"/>
    </w:rPr>
  </w:style>
  <w:style w:type="paragraph" w:styleId="HTMLPreformatted">
    <w:name w:val="HTML Preformatted"/>
    <w:basedOn w:val="Normal"/>
    <w:link w:val="HTMLPreformattedChar"/>
    <w:uiPriority w:val="99"/>
    <w:rsid w:val="002F2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pPr>
    <w:rPr>
      <w:rFonts w:ascii="Arial Unicode MS" w:eastAsia="Times New Roman" w:hAnsi="Times New Roman" w:cs="Arial Unicode MS"/>
      <w:sz w:val="20"/>
      <w:szCs w:val="20"/>
    </w:rPr>
  </w:style>
  <w:style w:type="character" w:customStyle="1" w:styleId="HTMLPreformattedChar">
    <w:name w:val="HTML Preformatted Char"/>
    <w:basedOn w:val="DefaultParagraphFont"/>
    <w:link w:val="HTMLPreformatted"/>
    <w:uiPriority w:val="99"/>
    <w:rsid w:val="002F2E9D"/>
    <w:rPr>
      <w:rFonts w:ascii="Arial Unicode MS" w:eastAsia="Times New Roman" w:hAnsi="Times New Roman" w:cs="Arial Unicode MS"/>
      <w:sz w:val="20"/>
      <w:szCs w:val="20"/>
    </w:rPr>
  </w:style>
  <w:style w:type="character" w:styleId="CommentReference">
    <w:name w:val="annotation reference"/>
    <w:basedOn w:val="DefaultParagraphFont"/>
    <w:uiPriority w:val="99"/>
    <w:semiHidden/>
    <w:unhideWhenUsed/>
    <w:rsid w:val="0029166F"/>
    <w:rPr>
      <w:sz w:val="16"/>
      <w:szCs w:val="16"/>
    </w:rPr>
  </w:style>
  <w:style w:type="paragraph" w:styleId="CommentText">
    <w:name w:val="annotation text"/>
    <w:basedOn w:val="Normal"/>
    <w:link w:val="CommentTextChar"/>
    <w:uiPriority w:val="99"/>
    <w:semiHidden/>
    <w:unhideWhenUsed/>
    <w:rsid w:val="0029166F"/>
    <w:pPr>
      <w:spacing w:line="240" w:lineRule="auto"/>
    </w:pPr>
    <w:rPr>
      <w:sz w:val="20"/>
      <w:szCs w:val="20"/>
    </w:rPr>
  </w:style>
  <w:style w:type="character" w:customStyle="1" w:styleId="CommentTextChar">
    <w:name w:val="Comment Text Char"/>
    <w:basedOn w:val="DefaultParagraphFont"/>
    <w:link w:val="CommentText"/>
    <w:uiPriority w:val="99"/>
    <w:semiHidden/>
    <w:rsid w:val="0029166F"/>
    <w:rPr>
      <w:sz w:val="20"/>
      <w:szCs w:val="20"/>
    </w:rPr>
  </w:style>
  <w:style w:type="paragraph" w:styleId="CommentSubject">
    <w:name w:val="annotation subject"/>
    <w:basedOn w:val="CommentText"/>
    <w:next w:val="CommentText"/>
    <w:link w:val="CommentSubjectChar"/>
    <w:uiPriority w:val="99"/>
    <w:semiHidden/>
    <w:unhideWhenUsed/>
    <w:rsid w:val="0029166F"/>
    <w:rPr>
      <w:b/>
      <w:bCs/>
    </w:rPr>
  </w:style>
  <w:style w:type="character" w:customStyle="1" w:styleId="CommentSubjectChar">
    <w:name w:val="Comment Subject Char"/>
    <w:basedOn w:val="CommentTextChar"/>
    <w:link w:val="CommentSubject"/>
    <w:uiPriority w:val="99"/>
    <w:semiHidden/>
    <w:rsid w:val="002916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F5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5F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5F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7CD"/>
    <w:pPr>
      <w:spacing w:after="0" w:line="240" w:lineRule="auto"/>
    </w:pPr>
  </w:style>
  <w:style w:type="character" w:customStyle="1" w:styleId="Heading1Char">
    <w:name w:val="Heading 1 Char"/>
    <w:basedOn w:val="DefaultParagraphFont"/>
    <w:link w:val="Heading1"/>
    <w:uiPriority w:val="9"/>
    <w:rsid w:val="00FF5F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5F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5F9C"/>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F5F9C"/>
    <w:pPr>
      <w:ind w:left="720"/>
      <w:contextualSpacing/>
    </w:pPr>
  </w:style>
  <w:style w:type="paragraph" w:customStyle="1" w:styleId="bodytext-gph">
    <w:name w:val="body text-gph"/>
    <w:link w:val="bodytext-gphChar"/>
    <w:rsid w:val="00B44D14"/>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link w:val="bodytext-gph"/>
    <w:rsid w:val="00B44D14"/>
    <w:rPr>
      <w:rFonts w:ascii="Times New Roman" w:eastAsia="Times New Roman" w:hAnsi="Times New Roman" w:cs="Times New Roman"/>
      <w:sz w:val="23"/>
    </w:rPr>
  </w:style>
  <w:style w:type="paragraph" w:customStyle="1" w:styleId="StyleTOC1Linespacing15lines">
    <w:name w:val="Style TOC 1 + Line spacing:  1.5 lines"/>
    <w:basedOn w:val="TOC1"/>
    <w:rsid w:val="00B44D14"/>
    <w:pPr>
      <w:tabs>
        <w:tab w:val="left" w:pos="480"/>
        <w:tab w:val="right" w:leader="dot" w:pos="9000"/>
      </w:tabs>
      <w:spacing w:before="120" w:after="0" w:line="260" w:lineRule="atLeast"/>
      <w:ind w:right="560"/>
    </w:pPr>
    <w:rPr>
      <w:rFonts w:ascii="Times New Roman" w:eastAsia="Times New Roman" w:hAnsi="Times New Roman" w:cs="Times New Roman"/>
      <w:b/>
      <w:bCs/>
      <w:noProof/>
      <w:sz w:val="24"/>
      <w:szCs w:val="24"/>
    </w:rPr>
  </w:style>
  <w:style w:type="paragraph" w:styleId="TOC1">
    <w:name w:val="toc 1"/>
    <w:basedOn w:val="Normal"/>
    <w:next w:val="Normal"/>
    <w:autoRedefine/>
    <w:uiPriority w:val="39"/>
    <w:unhideWhenUsed/>
    <w:rsid w:val="00B44D14"/>
    <w:pPr>
      <w:spacing w:after="100"/>
    </w:pPr>
  </w:style>
  <w:style w:type="character" w:styleId="Hyperlink">
    <w:name w:val="Hyperlink"/>
    <w:uiPriority w:val="99"/>
    <w:rsid w:val="007F246F"/>
    <w:rPr>
      <w:rFonts w:cs="Times New Roman"/>
      <w:color w:val="0000FF"/>
      <w:u w:val="single"/>
    </w:rPr>
  </w:style>
  <w:style w:type="table" w:styleId="TableGrid">
    <w:name w:val="Table Grid"/>
    <w:basedOn w:val="TableNormal"/>
    <w:rsid w:val="000F7B2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97619"/>
    <w:pPr>
      <w:outlineLvl w:val="9"/>
    </w:pPr>
    <w:rPr>
      <w:lang w:eastAsia="ja-JP"/>
    </w:rPr>
  </w:style>
  <w:style w:type="paragraph" w:styleId="TOC2">
    <w:name w:val="toc 2"/>
    <w:basedOn w:val="Normal"/>
    <w:next w:val="Normal"/>
    <w:autoRedefine/>
    <w:uiPriority w:val="39"/>
    <w:unhideWhenUsed/>
    <w:rsid w:val="00797619"/>
    <w:pPr>
      <w:spacing w:after="100"/>
      <w:ind w:left="220"/>
    </w:pPr>
  </w:style>
  <w:style w:type="paragraph" w:styleId="TOC3">
    <w:name w:val="toc 3"/>
    <w:basedOn w:val="Normal"/>
    <w:next w:val="Normal"/>
    <w:autoRedefine/>
    <w:uiPriority w:val="39"/>
    <w:unhideWhenUsed/>
    <w:rsid w:val="00797619"/>
    <w:pPr>
      <w:spacing w:after="100"/>
      <w:ind w:left="440"/>
    </w:pPr>
  </w:style>
  <w:style w:type="paragraph" w:styleId="BalloonText">
    <w:name w:val="Balloon Text"/>
    <w:basedOn w:val="Normal"/>
    <w:link w:val="BalloonTextChar"/>
    <w:uiPriority w:val="99"/>
    <w:semiHidden/>
    <w:unhideWhenUsed/>
    <w:rsid w:val="00797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619"/>
    <w:rPr>
      <w:rFonts w:ascii="Tahoma" w:hAnsi="Tahoma" w:cs="Tahoma"/>
      <w:sz w:val="16"/>
      <w:szCs w:val="16"/>
    </w:rPr>
  </w:style>
  <w:style w:type="paragraph" w:styleId="FootnoteText">
    <w:name w:val="footnote text"/>
    <w:basedOn w:val="Normal"/>
    <w:link w:val="FootnoteTextChar"/>
    <w:uiPriority w:val="99"/>
    <w:semiHidden/>
    <w:unhideWhenUsed/>
    <w:rsid w:val="003D788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788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D788E"/>
    <w:rPr>
      <w:vertAlign w:val="superscript"/>
    </w:rPr>
  </w:style>
  <w:style w:type="paragraph" w:styleId="HTMLPreformatted">
    <w:name w:val="HTML Preformatted"/>
    <w:basedOn w:val="Normal"/>
    <w:link w:val="HTMLPreformattedChar"/>
    <w:uiPriority w:val="99"/>
    <w:rsid w:val="002F2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pPr>
    <w:rPr>
      <w:rFonts w:ascii="Arial Unicode MS" w:eastAsia="Times New Roman" w:hAnsi="Times New Roman" w:cs="Arial Unicode MS"/>
      <w:sz w:val="20"/>
      <w:szCs w:val="20"/>
    </w:rPr>
  </w:style>
  <w:style w:type="character" w:customStyle="1" w:styleId="HTMLPreformattedChar">
    <w:name w:val="HTML Preformatted Char"/>
    <w:basedOn w:val="DefaultParagraphFont"/>
    <w:link w:val="HTMLPreformatted"/>
    <w:uiPriority w:val="99"/>
    <w:rsid w:val="002F2E9D"/>
    <w:rPr>
      <w:rFonts w:ascii="Arial Unicode MS" w:eastAsia="Times New Roman" w:hAnsi="Times New Roman" w:cs="Arial Unicode MS"/>
      <w:sz w:val="20"/>
      <w:szCs w:val="20"/>
    </w:rPr>
  </w:style>
  <w:style w:type="character" w:styleId="CommentReference">
    <w:name w:val="annotation reference"/>
    <w:basedOn w:val="DefaultParagraphFont"/>
    <w:uiPriority w:val="99"/>
    <w:semiHidden/>
    <w:unhideWhenUsed/>
    <w:rsid w:val="0029166F"/>
    <w:rPr>
      <w:sz w:val="16"/>
      <w:szCs w:val="16"/>
    </w:rPr>
  </w:style>
  <w:style w:type="paragraph" w:styleId="CommentText">
    <w:name w:val="annotation text"/>
    <w:basedOn w:val="Normal"/>
    <w:link w:val="CommentTextChar"/>
    <w:uiPriority w:val="99"/>
    <w:semiHidden/>
    <w:unhideWhenUsed/>
    <w:rsid w:val="0029166F"/>
    <w:pPr>
      <w:spacing w:line="240" w:lineRule="auto"/>
    </w:pPr>
    <w:rPr>
      <w:sz w:val="20"/>
      <w:szCs w:val="20"/>
    </w:rPr>
  </w:style>
  <w:style w:type="character" w:customStyle="1" w:styleId="CommentTextChar">
    <w:name w:val="Comment Text Char"/>
    <w:basedOn w:val="DefaultParagraphFont"/>
    <w:link w:val="CommentText"/>
    <w:uiPriority w:val="99"/>
    <w:semiHidden/>
    <w:rsid w:val="0029166F"/>
    <w:rPr>
      <w:sz w:val="20"/>
      <w:szCs w:val="20"/>
    </w:rPr>
  </w:style>
  <w:style w:type="paragraph" w:styleId="CommentSubject">
    <w:name w:val="annotation subject"/>
    <w:basedOn w:val="CommentText"/>
    <w:next w:val="CommentText"/>
    <w:link w:val="CommentSubjectChar"/>
    <w:uiPriority w:val="99"/>
    <w:semiHidden/>
    <w:unhideWhenUsed/>
    <w:rsid w:val="0029166F"/>
    <w:rPr>
      <w:b/>
      <w:bCs/>
    </w:rPr>
  </w:style>
  <w:style w:type="character" w:customStyle="1" w:styleId="CommentSubjectChar">
    <w:name w:val="Comment Subject Char"/>
    <w:basedOn w:val="CommentTextChar"/>
    <w:link w:val="CommentSubject"/>
    <w:uiPriority w:val="99"/>
    <w:semiHidden/>
    <w:rsid w:val="002916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8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guttmacher.org/pubs/NextSte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E44242E-CF44-493B-A8E6-B60B05A2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4640</Words>
  <Characters>26453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Jones</dc:creator>
  <cp:lastModifiedBy>Windows User</cp:lastModifiedBy>
  <cp:revision>8</cp:revision>
  <dcterms:created xsi:type="dcterms:W3CDTF">2015-12-07T15:03:00Z</dcterms:created>
  <dcterms:modified xsi:type="dcterms:W3CDTF">2015-12-08T18:43:00Z</dcterms:modified>
</cp:coreProperties>
</file>