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377C8" w14:textId="37A4C58A" w:rsidR="00F838BF" w:rsidRPr="00057AF7" w:rsidRDefault="00FD66F1" w:rsidP="00057AF7">
      <w:pPr>
        <w:spacing w:after="0"/>
        <w:jc w:val="center"/>
        <w:rPr>
          <w:rFonts w:ascii="Times New Roman" w:hAnsi="Times New Roman" w:cs="Times New Roman"/>
          <w:b/>
          <w:i/>
          <w:sz w:val="24"/>
          <w:szCs w:val="24"/>
        </w:rPr>
      </w:pPr>
      <w:r>
        <w:rPr>
          <w:rFonts w:ascii="Times New Roman" w:hAnsi="Times New Roman" w:cs="Times New Roman"/>
          <w:sz w:val="24"/>
          <w:szCs w:val="24"/>
        </w:rPr>
        <w:t>Supporting Statement</w:t>
      </w:r>
      <w:r w:rsidR="00057AF7">
        <w:rPr>
          <w:rFonts w:ascii="Times New Roman" w:hAnsi="Times New Roman" w:cs="Times New Roman"/>
          <w:sz w:val="24"/>
          <w:szCs w:val="24"/>
        </w:rPr>
        <w:t xml:space="preserve"> </w:t>
      </w:r>
      <w:r w:rsidR="00057AF7" w:rsidRPr="00057AF7">
        <w:rPr>
          <w:rFonts w:ascii="Times New Roman" w:hAnsi="Times New Roman" w:cs="Times New Roman"/>
          <w:sz w:val="24"/>
          <w:szCs w:val="24"/>
        </w:rPr>
        <w:t>for</w:t>
      </w:r>
    </w:p>
    <w:p w14:paraId="24A3CC24" w14:textId="77777777" w:rsidR="00ED5469" w:rsidRDefault="00342296"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FERC-566 (Annual Report of Twenty Largest Purchasers)</w:t>
      </w:r>
      <w:r w:rsidR="00ED5469">
        <w:rPr>
          <w:rFonts w:ascii="Times New Roman" w:hAnsi="Times New Roman" w:cs="Times New Roman"/>
          <w:b/>
          <w:sz w:val="24"/>
          <w:szCs w:val="24"/>
        </w:rPr>
        <w:t xml:space="preserve">, </w:t>
      </w:r>
    </w:p>
    <w:p w14:paraId="0220D3DB" w14:textId="3D518838" w:rsidR="00342296" w:rsidRDefault="00ED5469" w:rsidP="00FD66F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as</w:t>
      </w:r>
      <w:proofErr w:type="gramEnd"/>
      <w:r>
        <w:rPr>
          <w:rFonts w:ascii="Times New Roman" w:hAnsi="Times New Roman" w:cs="Times New Roman"/>
          <w:b/>
          <w:sz w:val="24"/>
          <w:szCs w:val="24"/>
        </w:rPr>
        <w:t xml:space="preserve"> modified in the NOPR in </w:t>
      </w:r>
      <w:r w:rsidR="003B66FD">
        <w:rPr>
          <w:rFonts w:ascii="Times New Roman" w:hAnsi="Times New Roman" w:cs="Times New Roman"/>
          <w:b/>
          <w:sz w:val="24"/>
          <w:szCs w:val="24"/>
        </w:rPr>
        <w:t xml:space="preserve">Docket </w:t>
      </w:r>
      <w:r>
        <w:rPr>
          <w:rFonts w:ascii="Times New Roman" w:hAnsi="Times New Roman" w:cs="Times New Roman"/>
          <w:b/>
          <w:sz w:val="24"/>
          <w:szCs w:val="24"/>
        </w:rPr>
        <w:t>RM15-3</w:t>
      </w:r>
    </w:p>
    <w:p w14:paraId="406C22D2" w14:textId="77777777" w:rsidR="00FD66F1" w:rsidRPr="00F52FA7" w:rsidRDefault="00FD66F1" w:rsidP="00FD66F1">
      <w:pPr>
        <w:spacing w:after="0"/>
        <w:jc w:val="center"/>
        <w:rPr>
          <w:rFonts w:ascii="Times New Roman" w:hAnsi="Times New Roman" w:cs="Times New Roman"/>
          <w:sz w:val="24"/>
          <w:szCs w:val="24"/>
        </w:rPr>
      </w:pPr>
    </w:p>
    <w:p w14:paraId="0F8096DB" w14:textId="2647A2E9" w:rsidR="0002242D" w:rsidRPr="00F52FA7" w:rsidRDefault="00FE2317" w:rsidP="00FD66F1">
      <w:pPr>
        <w:spacing w:after="0"/>
        <w:rPr>
          <w:rFonts w:ascii="Times New Roman" w:hAnsi="Times New Roman" w:cs="Times New Roman"/>
          <w:sz w:val="24"/>
          <w:szCs w:val="24"/>
        </w:rPr>
      </w:pPr>
      <w:r w:rsidRPr="00F52FA7">
        <w:rPr>
          <w:rFonts w:ascii="Times New Roman" w:hAnsi="Times New Roman" w:cs="Times New Roman"/>
          <w:sz w:val="24"/>
          <w:szCs w:val="24"/>
        </w:rPr>
        <w:t>The Federal Energy Regulatory Commission (FERC or Commission) request</w:t>
      </w:r>
      <w:r w:rsidR="00EC19DF" w:rsidRPr="00F52FA7">
        <w:rPr>
          <w:rFonts w:ascii="Times New Roman" w:hAnsi="Times New Roman" w:cs="Times New Roman"/>
          <w:sz w:val="24"/>
          <w:szCs w:val="24"/>
        </w:rPr>
        <w:t>s</w:t>
      </w:r>
      <w:r w:rsidRPr="00F52FA7">
        <w:rPr>
          <w:rFonts w:ascii="Times New Roman" w:hAnsi="Times New Roman" w:cs="Times New Roman"/>
          <w:sz w:val="24"/>
          <w:szCs w:val="24"/>
        </w:rPr>
        <w:t xml:space="preserve"> that the Office of Management and Budget (OMB) review </w:t>
      </w:r>
      <w:r w:rsidR="006A0DFC" w:rsidRPr="00F52FA7">
        <w:rPr>
          <w:rFonts w:ascii="Times New Roman" w:hAnsi="Times New Roman" w:cs="Times New Roman"/>
          <w:sz w:val="24"/>
          <w:szCs w:val="24"/>
        </w:rPr>
        <w:t xml:space="preserve">the information collection requirements in </w:t>
      </w:r>
      <w:r w:rsidR="003F4DED" w:rsidRPr="00F52FA7">
        <w:rPr>
          <w:rFonts w:ascii="Times New Roman" w:hAnsi="Times New Roman" w:cs="Times New Roman"/>
          <w:sz w:val="24"/>
          <w:szCs w:val="24"/>
        </w:rPr>
        <w:t xml:space="preserve">the </w:t>
      </w:r>
      <w:r w:rsidR="00342296" w:rsidRPr="00F52FA7">
        <w:rPr>
          <w:rFonts w:ascii="Times New Roman" w:hAnsi="Times New Roman" w:cs="Times New Roman"/>
          <w:sz w:val="24"/>
          <w:szCs w:val="24"/>
        </w:rPr>
        <w:t>FERC-566 (OMB Control No. 1902-0114)</w:t>
      </w:r>
      <w:r w:rsidR="003A2CE6" w:rsidRPr="00F52FA7">
        <w:rPr>
          <w:rFonts w:ascii="Times New Roman" w:hAnsi="Times New Roman" w:cs="Times New Roman"/>
          <w:sz w:val="24"/>
          <w:szCs w:val="24"/>
        </w:rPr>
        <w:t xml:space="preserve"> and extend its approval of </w:t>
      </w:r>
      <w:r w:rsidR="000F4642" w:rsidRPr="00F52FA7">
        <w:rPr>
          <w:rFonts w:ascii="Times New Roman" w:hAnsi="Times New Roman" w:cs="Times New Roman"/>
          <w:sz w:val="24"/>
          <w:szCs w:val="24"/>
        </w:rPr>
        <w:t>th</w:t>
      </w:r>
      <w:r w:rsidR="000F4642">
        <w:rPr>
          <w:rFonts w:ascii="Times New Roman" w:hAnsi="Times New Roman" w:cs="Times New Roman"/>
          <w:sz w:val="24"/>
          <w:szCs w:val="24"/>
        </w:rPr>
        <w:t>is</w:t>
      </w:r>
      <w:r w:rsidR="000F4642" w:rsidRPr="00F52FA7">
        <w:rPr>
          <w:rFonts w:ascii="Times New Roman" w:hAnsi="Times New Roman" w:cs="Times New Roman"/>
          <w:sz w:val="24"/>
          <w:szCs w:val="24"/>
        </w:rPr>
        <w:t xml:space="preserve"> </w:t>
      </w:r>
      <w:r w:rsidR="003A2CE6" w:rsidRPr="00F52FA7">
        <w:rPr>
          <w:rFonts w:ascii="Times New Roman" w:hAnsi="Times New Roman" w:cs="Times New Roman"/>
          <w:sz w:val="24"/>
          <w:szCs w:val="24"/>
        </w:rPr>
        <w:t xml:space="preserve">information collection for three years.  </w:t>
      </w:r>
      <w:r w:rsidR="00342296" w:rsidRPr="00F52FA7">
        <w:rPr>
          <w:rFonts w:ascii="Times New Roman" w:hAnsi="Times New Roman" w:cs="Times New Roman"/>
          <w:sz w:val="24"/>
          <w:szCs w:val="24"/>
        </w:rPr>
        <w:t>FERC-566</w:t>
      </w:r>
      <w:r w:rsidR="003A2CE6" w:rsidRPr="00F52FA7">
        <w:rPr>
          <w:rFonts w:ascii="Times New Roman" w:hAnsi="Times New Roman" w:cs="Times New Roman"/>
          <w:sz w:val="24"/>
          <w:szCs w:val="24"/>
        </w:rPr>
        <w:t xml:space="preserve"> </w:t>
      </w:r>
      <w:r w:rsidR="00F52FA7" w:rsidRPr="00F52FA7">
        <w:rPr>
          <w:rFonts w:ascii="Times New Roman" w:hAnsi="Times New Roman" w:cs="Times New Roman"/>
          <w:sz w:val="24"/>
          <w:szCs w:val="24"/>
        </w:rPr>
        <w:t>is an</w:t>
      </w:r>
      <w:r w:rsidR="003A2CE6" w:rsidRPr="00F52FA7">
        <w:rPr>
          <w:rFonts w:ascii="Times New Roman" w:hAnsi="Times New Roman" w:cs="Times New Roman"/>
          <w:sz w:val="24"/>
          <w:szCs w:val="24"/>
        </w:rPr>
        <w:t xml:space="preserve"> existing data collection whose filing requirements are contained in 18 Code of F</w:t>
      </w:r>
      <w:r w:rsidR="0007063B" w:rsidRPr="00F52FA7">
        <w:rPr>
          <w:rFonts w:ascii="Times New Roman" w:hAnsi="Times New Roman" w:cs="Times New Roman"/>
          <w:sz w:val="24"/>
          <w:szCs w:val="24"/>
        </w:rPr>
        <w:t>ederal Regulations (CFR) Part</w:t>
      </w:r>
      <w:r w:rsidR="00FE4D5A">
        <w:rPr>
          <w:rFonts w:ascii="Times New Roman" w:hAnsi="Times New Roman" w:cs="Times New Roman"/>
          <w:sz w:val="24"/>
          <w:szCs w:val="24"/>
        </w:rPr>
        <w:t xml:space="preserve"> 46.3.</w:t>
      </w:r>
    </w:p>
    <w:p w14:paraId="52FC87F2" w14:textId="77777777" w:rsidR="00F52FA7" w:rsidRPr="00F52FA7" w:rsidRDefault="00F52FA7" w:rsidP="00FD66F1">
      <w:pPr>
        <w:spacing w:after="0"/>
        <w:rPr>
          <w:rFonts w:ascii="Times New Roman" w:hAnsi="Times New Roman" w:cs="Times New Roman"/>
          <w:sz w:val="24"/>
          <w:szCs w:val="24"/>
        </w:rPr>
      </w:pPr>
    </w:p>
    <w:p w14:paraId="17B6207C" w14:textId="4964EFDF" w:rsidR="00F52FA7" w:rsidRPr="00F52FA7" w:rsidRDefault="00F52FA7" w:rsidP="00F52FA7">
      <w:pPr>
        <w:rPr>
          <w:rFonts w:ascii="Times New Roman" w:hAnsi="Times New Roman" w:cs="Times New Roman"/>
          <w:sz w:val="24"/>
          <w:szCs w:val="24"/>
        </w:rPr>
      </w:pPr>
      <w:r w:rsidRPr="00F52FA7">
        <w:rPr>
          <w:rFonts w:ascii="Times New Roman" w:hAnsi="Times New Roman" w:cs="Times New Roman"/>
          <w:sz w:val="24"/>
          <w:szCs w:val="24"/>
        </w:rPr>
        <w:t xml:space="preserve">The Commission has proposed revising its regulations </w:t>
      </w:r>
      <w:r w:rsidR="00546642">
        <w:rPr>
          <w:rFonts w:ascii="Times New Roman" w:hAnsi="Times New Roman" w:cs="Times New Roman"/>
          <w:sz w:val="24"/>
          <w:szCs w:val="24"/>
        </w:rPr>
        <w:t xml:space="preserve">(in the Notice of Proposed Rulemaking (NOPR) in Docket RM15-3) </w:t>
      </w:r>
      <w:r w:rsidRPr="00F52FA7">
        <w:rPr>
          <w:rFonts w:ascii="Times New Roman" w:hAnsi="Times New Roman" w:cs="Times New Roman"/>
          <w:sz w:val="24"/>
          <w:szCs w:val="24"/>
        </w:rPr>
        <w:t xml:space="preserve">to eliminate the requirement to submit FERC-566 for regional transmission organizations (RTOs), independent system operators (ISOs), and exempt wholesale generators (EWGs).  The Commission also proposed to revise its regulations to eliminate the requirement to submit FERC-566 for public utilities that have not made any reportable sales under FERC-566 in any of the three preceding years.  The Commission also proposed to eliminate the requirement for public utilities submitting FERC-566 to identify individual residential customers by name and address.  </w:t>
      </w:r>
    </w:p>
    <w:p w14:paraId="5327FB64" w14:textId="77777777" w:rsidR="00342296" w:rsidRDefault="00342296" w:rsidP="00FD66F1">
      <w:pPr>
        <w:spacing w:after="0"/>
        <w:rPr>
          <w:rFonts w:ascii="Times New Roman" w:hAnsi="Times New Roman" w:cs="Times New Roman"/>
          <w:sz w:val="24"/>
          <w:szCs w:val="24"/>
        </w:rPr>
      </w:pPr>
    </w:p>
    <w:p w14:paraId="54575E18"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6C19869" w14:textId="77777777" w:rsidR="00A72E7B" w:rsidRDefault="00A72E7B" w:rsidP="00EB3E6F">
      <w:pPr>
        <w:spacing w:after="0"/>
        <w:rPr>
          <w:rFonts w:ascii="Times New Roman" w:hAnsi="Times New Roman" w:cs="Times New Roman"/>
          <w:sz w:val="24"/>
          <w:szCs w:val="24"/>
        </w:rPr>
      </w:pPr>
    </w:p>
    <w:p w14:paraId="707C782B" w14:textId="352B8501" w:rsidR="006D53E7" w:rsidRPr="006D53E7" w:rsidRDefault="00EC1D23" w:rsidP="003D0A4A">
      <w:pPr>
        <w:pStyle w:val="FERCparanumber"/>
        <w:numPr>
          <w:ilvl w:val="0"/>
          <w:numId w:val="0"/>
        </w:numPr>
        <w:spacing w:line="276" w:lineRule="auto"/>
        <w:rPr>
          <w:sz w:val="24"/>
        </w:rPr>
      </w:pPr>
      <w:r w:rsidRPr="006D53E7">
        <w:rPr>
          <w:sz w:val="24"/>
        </w:rPr>
        <w:t xml:space="preserve">The </w:t>
      </w:r>
      <w:r w:rsidR="00342296" w:rsidRPr="006D53E7">
        <w:rPr>
          <w:sz w:val="24"/>
        </w:rPr>
        <w:t>Federal Power Act (FPA) mandates federal oversight and approval of certain electric corporate activities and implements related information filing requirements.</w:t>
      </w:r>
      <w:r w:rsidR="006D53E7" w:rsidRPr="006D53E7">
        <w:rPr>
          <w:sz w:val="24"/>
        </w:rPr>
        <w:t xml:space="preserve">  Section 305(c) of the Federal Power Act (FPA) requires, among other things, that, on or before January 31 of each calendar year, each public utility shall publish a list, pursuant to rules prescribed by the Commission, of any company, firm, or organization that </w:t>
      </w:r>
      <w:r w:rsidR="00996C89">
        <w:rPr>
          <w:sz w:val="24"/>
        </w:rPr>
        <w:t>identifies those</w:t>
      </w:r>
      <w:r w:rsidR="006D53E7" w:rsidRPr="006D53E7">
        <w:rPr>
          <w:sz w:val="24"/>
        </w:rPr>
        <w:t xml:space="preserve"> purchasers of electric energy which purchased (for purposes other than resale) one of the 20 largest annual amounts of electric energy sold by such public utility (or by any public utility which is part of the same holding company system) during any one of the three calendar years immediately preceding the filing date</w:t>
      </w:r>
      <w:r w:rsidR="006D53E7" w:rsidRPr="006D53E7">
        <w:rPr>
          <w:rStyle w:val="FootnoteTextChar"/>
        </w:rPr>
        <w:t>.</w:t>
      </w:r>
      <w:r w:rsidR="006D53E7" w:rsidRPr="00FE4D5A">
        <w:rPr>
          <w:rStyle w:val="FootnoteTextChar"/>
          <w:sz w:val="22"/>
          <w:vertAlign w:val="superscript"/>
        </w:rPr>
        <w:footnoteReference w:id="1"/>
      </w:r>
    </w:p>
    <w:p w14:paraId="59B09975" w14:textId="51F215FB" w:rsidR="006D53E7" w:rsidRDefault="006D53E7" w:rsidP="00EC1D23">
      <w:pPr>
        <w:spacing w:after="0"/>
        <w:rPr>
          <w:rFonts w:ascii="Times New Roman" w:hAnsi="Times New Roman" w:cs="Times New Roman"/>
          <w:sz w:val="24"/>
          <w:szCs w:val="24"/>
        </w:rPr>
      </w:pPr>
    </w:p>
    <w:p w14:paraId="3C00B7E1" w14:textId="25419AAA" w:rsidR="001E3D20" w:rsidRDefault="00342296" w:rsidP="00EC1D23">
      <w:pPr>
        <w:spacing w:after="0"/>
        <w:rPr>
          <w:rFonts w:ascii="Times New Roman" w:hAnsi="Times New Roman" w:cs="Times New Roman"/>
          <w:sz w:val="24"/>
          <w:szCs w:val="24"/>
        </w:rPr>
      </w:pPr>
      <w:r w:rsidRPr="006D53E7">
        <w:rPr>
          <w:rFonts w:ascii="Times New Roman" w:hAnsi="Times New Roman" w:cs="Times New Roman"/>
          <w:sz w:val="24"/>
          <w:szCs w:val="24"/>
        </w:rPr>
        <w:t xml:space="preserve">The </w:t>
      </w:r>
      <w:r w:rsidR="00666AF6" w:rsidRPr="006D53E7">
        <w:rPr>
          <w:rFonts w:ascii="Times New Roman" w:hAnsi="Times New Roman" w:cs="Times New Roman"/>
          <w:sz w:val="24"/>
          <w:szCs w:val="24"/>
        </w:rPr>
        <w:t xml:space="preserve">FERC-566 </w:t>
      </w:r>
      <w:r w:rsidR="000E4801" w:rsidRPr="006D53E7">
        <w:rPr>
          <w:rFonts w:ascii="Times New Roman" w:hAnsi="Times New Roman" w:cs="Times New Roman"/>
          <w:sz w:val="24"/>
          <w:szCs w:val="24"/>
        </w:rPr>
        <w:t>ensures</w:t>
      </w:r>
      <w:r w:rsidR="00666AF6" w:rsidRPr="006D53E7">
        <w:rPr>
          <w:rFonts w:ascii="Times New Roman" w:hAnsi="Times New Roman" w:cs="Times New Roman"/>
          <w:sz w:val="24"/>
          <w:szCs w:val="24"/>
        </w:rPr>
        <w:t xml:space="preserve"> that FPA-mandated oversight can occur.  Additionally, th</w:t>
      </w:r>
      <w:r w:rsidR="000E4801" w:rsidRPr="006D53E7">
        <w:rPr>
          <w:rFonts w:ascii="Times New Roman" w:hAnsi="Times New Roman" w:cs="Times New Roman"/>
          <w:sz w:val="24"/>
          <w:szCs w:val="24"/>
        </w:rPr>
        <w:t>is collection</w:t>
      </w:r>
      <w:r w:rsidR="00666AF6" w:rsidRPr="006D53E7">
        <w:rPr>
          <w:rFonts w:ascii="Times New Roman" w:hAnsi="Times New Roman" w:cs="Times New Roman"/>
          <w:sz w:val="24"/>
          <w:szCs w:val="24"/>
        </w:rPr>
        <w:t xml:space="preserve"> help</w:t>
      </w:r>
      <w:r w:rsidR="000E4801" w:rsidRPr="006D53E7">
        <w:rPr>
          <w:rFonts w:ascii="Times New Roman" w:hAnsi="Times New Roman" w:cs="Times New Roman"/>
          <w:sz w:val="24"/>
          <w:szCs w:val="24"/>
        </w:rPr>
        <w:t>s to</w:t>
      </w:r>
      <w:r w:rsidR="00666AF6" w:rsidRPr="006D53E7">
        <w:rPr>
          <w:rFonts w:ascii="Times New Roman" w:hAnsi="Times New Roman" w:cs="Times New Roman"/>
          <w:sz w:val="24"/>
          <w:szCs w:val="24"/>
        </w:rPr>
        <w:t xml:space="preserve"> ensure that neither public nor private interests are adversely affected by the electric activities th</w:t>
      </w:r>
      <w:r w:rsidR="00996C89">
        <w:rPr>
          <w:rFonts w:ascii="Times New Roman" w:hAnsi="Times New Roman" w:cs="Times New Roman"/>
          <w:sz w:val="24"/>
          <w:szCs w:val="24"/>
        </w:rPr>
        <w:t>is</w:t>
      </w:r>
      <w:r w:rsidR="00666AF6" w:rsidRPr="006D53E7">
        <w:rPr>
          <w:rFonts w:ascii="Times New Roman" w:hAnsi="Times New Roman" w:cs="Times New Roman"/>
          <w:sz w:val="24"/>
          <w:szCs w:val="24"/>
        </w:rPr>
        <w:t xml:space="preserve"> FPA provision cover</w:t>
      </w:r>
      <w:r w:rsidR="00996C89">
        <w:rPr>
          <w:rFonts w:ascii="Times New Roman" w:hAnsi="Times New Roman" w:cs="Times New Roman"/>
          <w:sz w:val="24"/>
          <w:szCs w:val="24"/>
        </w:rPr>
        <w:t>s</w:t>
      </w:r>
      <w:r w:rsidR="00666AF6" w:rsidRPr="006D53E7">
        <w:rPr>
          <w:rFonts w:ascii="Times New Roman" w:hAnsi="Times New Roman" w:cs="Times New Roman"/>
          <w:sz w:val="24"/>
          <w:szCs w:val="24"/>
        </w:rPr>
        <w:t>.  The regulatory requirements for the collection</w:t>
      </w:r>
      <w:r w:rsidR="00666AF6">
        <w:rPr>
          <w:rFonts w:ascii="Times New Roman" w:hAnsi="Times New Roman" w:cs="Times New Roman"/>
          <w:sz w:val="24"/>
          <w:szCs w:val="24"/>
        </w:rPr>
        <w:t xml:space="preserve"> are contained in 18 Code of Federal Regulations (CFR</w:t>
      </w:r>
      <w:r w:rsidR="006D53E7">
        <w:rPr>
          <w:rFonts w:ascii="Times New Roman" w:hAnsi="Times New Roman" w:cs="Times New Roman"/>
          <w:sz w:val="24"/>
          <w:szCs w:val="24"/>
        </w:rPr>
        <w:t>) Part 46.3</w:t>
      </w:r>
      <w:r w:rsidR="003B66FD">
        <w:rPr>
          <w:rFonts w:ascii="Times New Roman" w:hAnsi="Times New Roman" w:cs="Times New Roman"/>
          <w:sz w:val="24"/>
          <w:szCs w:val="24"/>
        </w:rPr>
        <w:t>.</w:t>
      </w:r>
      <w:r w:rsidR="00666AF6">
        <w:rPr>
          <w:rFonts w:ascii="Times New Roman" w:hAnsi="Times New Roman" w:cs="Times New Roman"/>
          <w:sz w:val="24"/>
          <w:szCs w:val="24"/>
        </w:rPr>
        <w:t xml:space="preserve"> </w:t>
      </w:r>
    </w:p>
    <w:p w14:paraId="7D3A82A7" w14:textId="77777777" w:rsidR="00F52FA7" w:rsidRDefault="00F52FA7" w:rsidP="00EC1D23">
      <w:pPr>
        <w:spacing w:after="0"/>
        <w:rPr>
          <w:rFonts w:ascii="Times New Roman" w:hAnsi="Times New Roman" w:cs="Times New Roman"/>
          <w:sz w:val="24"/>
          <w:szCs w:val="24"/>
        </w:rPr>
      </w:pPr>
    </w:p>
    <w:p w14:paraId="029B1460" w14:textId="77777777" w:rsidR="00EB3E6F" w:rsidRPr="00EB3E6F" w:rsidRDefault="00EB3E6F" w:rsidP="00EB3E6F">
      <w:pPr>
        <w:spacing w:after="0"/>
        <w:rPr>
          <w:rFonts w:ascii="Times New Roman" w:hAnsi="Times New Roman" w:cs="Times New Roman"/>
          <w:sz w:val="24"/>
          <w:szCs w:val="24"/>
        </w:rPr>
      </w:pPr>
    </w:p>
    <w:p w14:paraId="12694DFE"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HOW, BY WHOM, AND FOR WHAT PURPOSE THE INFORMATION IS TO BE USED AND THE CONSEQUENCES OF NOT COLLECTING THE INFORMATION</w:t>
      </w:r>
    </w:p>
    <w:p w14:paraId="6CE1B5B5" w14:textId="77777777" w:rsidR="00EB3E6F" w:rsidRDefault="00EB3E6F" w:rsidP="00EB3E6F">
      <w:pPr>
        <w:spacing w:after="0"/>
        <w:rPr>
          <w:rFonts w:ascii="Times New Roman" w:hAnsi="Times New Roman" w:cs="Times New Roman"/>
          <w:sz w:val="24"/>
          <w:szCs w:val="24"/>
        </w:rPr>
      </w:pPr>
    </w:p>
    <w:p w14:paraId="3505E066" w14:textId="4149FA7A" w:rsidR="00187E14" w:rsidRPr="00187E14" w:rsidRDefault="0015010C" w:rsidP="00187E14">
      <w:pPr>
        <w:spacing w:after="0"/>
        <w:rPr>
          <w:rFonts w:ascii="Times New Roman" w:hAnsi="Times New Roman" w:cs="Times New Roman"/>
          <w:sz w:val="24"/>
          <w:szCs w:val="24"/>
        </w:rPr>
      </w:pPr>
      <w:r>
        <w:rPr>
          <w:rFonts w:ascii="Times New Roman" w:hAnsi="Times New Roman" w:cs="Times New Roman"/>
          <w:sz w:val="24"/>
          <w:szCs w:val="24"/>
        </w:rPr>
        <w:t xml:space="preserve">The FERC-566 implements FPA requirements that each public utility annually publish a list of the purchasers of the 20 largest amounts of electric energy sold by such public utility during any of the three previous calendar </w:t>
      </w:r>
      <w:r w:rsidRPr="00FE4D5A">
        <w:rPr>
          <w:rFonts w:ascii="Times New Roman" w:hAnsi="Times New Roman" w:cs="Times New Roman"/>
          <w:sz w:val="24"/>
          <w:szCs w:val="24"/>
        </w:rPr>
        <w:t>years</w:t>
      </w:r>
      <w:r w:rsidRPr="00FE4D5A">
        <w:rPr>
          <w:rFonts w:ascii="Times New Roman" w:hAnsi="Times New Roman" w:cs="Times New Roman"/>
          <w:color w:val="FFFF00"/>
          <w:sz w:val="24"/>
          <w:szCs w:val="24"/>
        </w:rPr>
        <w:t xml:space="preserve">. </w:t>
      </w:r>
      <w:r w:rsidRPr="00FE4D5A">
        <w:rPr>
          <w:rFonts w:ascii="Times New Roman" w:hAnsi="Times New Roman" w:cs="Times New Roman"/>
          <w:sz w:val="24"/>
          <w:szCs w:val="24"/>
        </w:rPr>
        <w:t xml:space="preserve"> </w:t>
      </w:r>
      <w:r w:rsidR="00060D8B" w:rsidRPr="00FE4D5A">
        <w:rPr>
          <w:rFonts w:ascii="Times New Roman" w:hAnsi="Times New Roman" w:cs="Times New Roman"/>
          <w:sz w:val="24"/>
          <w:szCs w:val="24"/>
        </w:rPr>
        <w:t>T</w:t>
      </w:r>
      <w:r w:rsidR="000934BE" w:rsidRPr="00FE4D5A">
        <w:rPr>
          <w:rFonts w:ascii="Times New Roman" w:hAnsi="Times New Roman" w:cs="Times New Roman"/>
          <w:sz w:val="24"/>
          <w:szCs w:val="24"/>
        </w:rPr>
        <w:t xml:space="preserve">he statutory </w:t>
      </w:r>
      <w:r w:rsidR="00FE4D5A" w:rsidRPr="00FE4D5A">
        <w:rPr>
          <w:rFonts w:ascii="Times New Roman" w:hAnsi="Times New Roman" w:cs="Times New Roman"/>
          <w:sz w:val="24"/>
          <w:szCs w:val="24"/>
        </w:rPr>
        <w:t>requirements of the FPA identify</w:t>
      </w:r>
      <w:r w:rsidR="000934BE" w:rsidRPr="00FE4D5A">
        <w:rPr>
          <w:rFonts w:ascii="Times New Roman" w:hAnsi="Times New Roman" w:cs="Times New Roman"/>
          <w:sz w:val="24"/>
          <w:szCs w:val="24"/>
        </w:rPr>
        <w:t xml:space="preserve"> who must file the FERC-566 report and establishes a filing deadline.  </w:t>
      </w:r>
      <w:r w:rsidR="000934BE">
        <w:rPr>
          <w:rFonts w:ascii="Times New Roman" w:hAnsi="Times New Roman" w:cs="Times New Roman"/>
          <w:sz w:val="24"/>
          <w:szCs w:val="24"/>
        </w:rPr>
        <w:t xml:space="preserve">The FPA also specifies </w:t>
      </w:r>
      <w:r w:rsidR="00C64E97">
        <w:rPr>
          <w:rFonts w:ascii="Times New Roman" w:hAnsi="Times New Roman" w:cs="Times New Roman"/>
          <w:sz w:val="24"/>
          <w:szCs w:val="24"/>
        </w:rPr>
        <w:t xml:space="preserve">that those entities required to report who have a holding company system can calculate </w:t>
      </w:r>
      <w:r w:rsidR="00187E14">
        <w:rPr>
          <w:rFonts w:ascii="Times New Roman" w:hAnsi="Times New Roman" w:cs="Times New Roman"/>
          <w:sz w:val="24"/>
          <w:szCs w:val="24"/>
        </w:rPr>
        <w:t xml:space="preserve">their total volumes of energy sold by including the amounts sold by utilities within their holding company system.  FERC provides details in its regulations about the information </w:t>
      </w:r>
      <w:r w:rsidR="00290BB4">
        <w:rPr>
          <w:rFonts w:ascii="Times New Roman" w:hAnsi="Times New Roman" w:cs="Times New Roman"/>
          <w:sz w:val="24"/>
          <w:szCs w:val="24"/>
        </w:rPr>
        <w:t>required</w:t>
      </w:r>
      <w:r w:rsidR="00187E14">
        <w:rPr>
          <w:rFonts w:ascii="Times New Roman" w:hAnsi="Times New Roman" w:cs="Times New Roman"/>
          <w:sz w:val="24"/>
          <w:szCs w:val="24"/>
        </w:rPr>
        <w:t xml:space="preserve"> by the FERC-566 report.  </w:t>
      </w:r>
      <w:r w:rsidR="00187E14" w:rsidRPr="00187E14">
        <w:rPr>
          <w:rFonts w:ascii="Times New Roman" w:hAnsi="Times New Roman" w:cs="Times New Roman"/>
          <w:sz w:val="24"/>
          <w:szCs w:val="24"/>
        </w:rPr>
        <w:t>For example, FERC allows required filers to file estimates of volumes based on actual information available to them if actual volumes are not available by the statutory due date.  However, FERC also requires revisions of those filed estimates with final numbers by March 1</w:t>
      </w:r>
      <w:r w:rsidR="00187E14" w:rsidRPr="00187E14">
        <w:rPr>
          <w:rFonts w:ascii="Times New Roman" w:hAnsi="Times New Roman" w:cs="Times New Roman"/>
          <w:sz w:val="24"/>
          <w:szCs w:val="24"/>
          <w:vertAlign w:val="superscript"/>
        </w:rPr>
        <w:t>st</w:t>
      </w:r>
      <w:r w:rsidR="00187E14" w:rsidRPr="00187E14">
        <w:rPr>
          <w:rFonts w:ascii="Times New Roman" w:hAnsi="Times New Roman" w:cs="Times New Roman"/>
          <w:sz w:val="24"/>
          <w:szCs w:val="24"/>
        </w:rPr>
        <w:t xml:space="preserve"> each year. </w:t>
      </w:r>
      <w:r w:rsidR="00FD609E">
        <w:rPr>
          <w:rFonts w:ascii="Times New Roman" w:hAnsi="Times New Roman" w:cs="Times New Roman"/>
          <w:sz w:val="24"/>
          <w:szCs w:val="24"/>
        </w:rPr>
        <w:t xml:space="preserve"> </w:t>
      </w:r>
      <w:r w:rsidR="00187E14" w:rsidRPr="00187E14">
        <w:rPr>
          <w:rFonts w:ascii="Times New Roman" w:hAnsi="Times New Roman" w:cs="Times New Roman"/>
          <w:sz w:val="24"/>
          <w:szCs w:val="24"/>
        </w:rPr>
        <w:t>The public disclosure of this information provides</w:t>
      </w:r>
      <w:r w:rsidR="00290BB4">
        <w:rPr>
          <w:rFonts w:ascii="Times New Roman" w:hAnsi="Times New Roman" w:cs="Times New Roman"/>
          <w:sz w:val="24"/>
          <w:szCs w:val="24"/>
        </w:rPr>
        <w:t xml:space="preserve"> the Commission and public utility</w:t>
      </w:r>
      <w:r w:rsidR="00187E14" w:rsidRPr="00187E14">
        <w:rPr>
          <w:rFonts w:ascii="Times New Roman" w:hAnsi="Times New Roman" w:cs="Times New Roman"/>
          <w:sz w:val="24"/>
          <w:szCs w:val="24"/>
        </w:rPr>
        <w:t xml:space="preserve"> officers and directors with the </w:t>
      </w:r>
      <w:r w:rsidR="007B0D03">
        <w:rPr>
          <w:rFonts w:ascii="Times New Roman" w:hAnsi="Times New Roman" w:cs="Times New Roman"/>
          <w:sz w:val="24"/>
          <w:szCs w:val="24"/>
        </w:rPr>
        <w:t>necessary information</w:t>
      </w:r>
      <w:r w:rsidR="00187E14" w:rsidRPr="00187E14">
        <w:rPr>
          <w:rFonts w:ascii="Times New Roman" w:hAnsi="Times New Roman" w:cs="Times New Roman"/>
          <w:sz w:val="24"/>
          <w:szCs w:val="24"/>
        </w:rPr>
        <w:t xml:space="preserve"> to determine whether any of the </w:t>
      </w:r>
      <w:r w:rsidR="007B0D03">
        <w:rPr>
          <w:rFonts w:ascii="Times New Roman" w:hAnsi="Times New Roman" w:cs="Times New Roman"/>
          <w:sz w:val="24"/>
          <w:szCs w:val="24"/>
        </w:rPr>
        <w:t xml:space="preserve">interlocked </w:t>
      </w:r>
      <w:proofErr w:type="gramStart"/>
      <w:r w:rsidR="00187E14" w:rsidRPr="00187E14">
        <w:rPr>
          <w:rFonts w:ascii="Times New Roman" w:hAnsi="Times New Roman" w:cs="Times New Roman"/>
          <w:sz w:val="24"/>
          <w:szCs w:val="24"/>
        </w:rPr>
        <w:t>entities  are</w:t>
      </w:r>
      <w:proofErr w:type="gramEnd"/>
      <w:r w:rsidR="00187E14" w:rsidRPr="00187E14">
        <w:rPr>
          <w:rFonts w:ascii="Times New Roman" w:hAnsi="Times New Roman" w:cs="Times New Roman"/>
          <w:sz w:val="24"/>
          <w:szCs w:val="24"/>
        </w:rPr>
        <w:t xml:space="preserve"> any of the twenty</w:t>
      </w:r>
      <w:r w:rsidR="00F011AD">
        <w:rPr>
          <w:rFonts w:ascii="Times New Roman" w:hAnsi="Times New Roman" w:cs="Times New Roman"/>
          <w:sz w:val="24"/>
          <w:szCs w:val="24"/>
        </w:rPr>
        <w:t xml:space="preserve"> largest retail</w:t>
      </w:r>
      <w:r w:rsidR="00187E14" w:rsidRPr="00187E14">
        <w:rPr>
          <w:rFonts w:ascii="Times New Roman" w:hAnsi="Times New Roman" w:cs="Times New Roman"/>
          <w:sz w:val="24"/>
          <w:szCs w:val="24"/>
        </w:rPr>
        <w:t xml:space="preserve"> purchasers </w:t>
      </w:r>
      <w:r w:rsidR="00F011AD">
        <w:rPr>
          <w:rFonts w:ascii="Times New Roman" w:hAnsi="Times New Roman" w:cs="Times New Roman"/>
          <w:sz w:val="24"/>
          <w:szCs w:val="24"/>
        </w:rPr>
        <w:t>from</w:t>
      </w:r>
      <w:r w:rsidR="00187E14" w:rsidRPr="00187E14">
        <w:rPr>
          <w:rFonts w:ascii="Times New Roman" w:hAnsi="Times New Roman" w:cs="Times New Roman"/>
          <w:sz w:val="24"/>
          <w:szCs w:val="24"/>
        </w:rPr>
        <w:t xml:space="preserve"> the utility.</w:t>
      </w:r>
    </w:p>
    <w:p w14:paraId="3D7E7375" w14:textId="77777777" w:rsidR="00187E14" w:rsidRPr="00187E14" w:rsidRDefault="00187E14" w:rsidP="00187E14">
      <w:pPr>
        <w:spacing w:after="0"/>
        <w:rPr>
          <w:rFonts w:ascii="Times New Roman" w:hAnsi="Times New Roman" w:cs="Times New Roman"/>
          <w:sz w:val="24"/>
          <w:szCs w:val="24"/>
        </w:rPr>
      </w:pPr>
    </w:p>
    <w:p w14:paraId="37203781" w14:textId="46233D04" w:rsidR="00187E14" w:rsidRPr="00187E14" w:rsidRDefault="00D61A20" w:rsidP="00187E14">
      <w:pPr>
        <w:spacing w:after="0"/>
        <w:rPr>
          <w:rFonts w:ascii="Times New Roman" w:hAnsi="Times New Roman" w:cs="Times New Roman"/>
          <w:sz w:val="24"/>
          <w:szCs w:val="24"/>
        </w:rPr>
      </w:pPr>
      <w:r>
        <w:rPr>
          <w:rFonts w:ascii="Times New Roman" w:hAnsi="Times New Roman" w:cs="Times New Roman"/>
          <w:sz w:val="24"/>
          <w:szCs w:val="24"/>
        </w:rPr>
        <w:t>This data collection</w:t>
      </w:r>
      <w:r w:rsidR="00187E14" w:rsidRPr="00187E14">
        <w:rPr>
          <w:rFonts w:ascii="Times New Roman" w:hAnsi="Times New Roman" w:cs="Times New Roman"/>
          <w:sz w:val="24"/>
          <w:szCs w:val="24"/>
        </w:rPr>
        <w:t xml:space="preserve"> provide</w:t>
      </w:r>
      <w:r>
        <w:rPr>
          <w:rFonts w:ascii="Times New Roman" w:hAnsi="Times New Roman" w:cs="Times New Roman"/>
          <w:sz w:val="24"/>
          <w:szCs w:val="24"/>
        </w:rPr>
        <w:t>s</w:t>
      </w:r>
      <w:r w:rsidR="00187E14" w:rsidRPr="00187E14">
        <w:rPr>
          <w:rFonts w:ascii="Times New Roman" w:hAnsi="Times New Roman" w:cs="Times New Roman"/>
          <w:sz w:val="24"/>
          <w:szCs w:val="24"/>
        </w:rPr>
        <w:t xml:space="preserve"> </w:t>
      </w:r>
      <w:r w:rsidR="00626BE4">
        <w:rPr>
          <w:rFonts w:ascii="Times New Roman" w:hAnsi="Times New Roman" w:cs="Times New Roman"/>
          <w:sz w:val="24"/>
          <w:szCs w:val="24"/>
        </w:rPr>
        <w:t>insight</w:t>
      </w:r>
      <w:r w:rsidR="00626BE4" w:rsidRPr="00187E14">
        <w:rPr>
          <w:rFonts w:ascii="Times New Roman" w:hAnsi="Times New Roman" w:cs="Times New Roman"/>
          <w:sz w:val="24"/>
          <w:szCs w:val="24"/>
        </w:rPr>
        <w:t xml:space="preserve"> </w:t>
      </w:r>
      <w:r w:rsidR="00187E14" w:rsidRPr="00187E14">
        <w:rPr>
          <w:rFonts w:ascii="Times New Roman" w:hAnsi="Times New Roman" w:cs="Times New Roman"/>
          <w:sz w:val="24"/>
          <w:szCs w:val="24"/>
        </w:rPr>
        <w:t xml:space="preserve">into complex electric corporate activities.  </w:t>
      </w:r>
      <w:r w:rsidR="00C95045">
        <w:rPr>
          <w:rFonts w:ascii="Times New Roman" w:hAnsi="Times New Roman" w:cs="Times New Roman"/>
          <w:sz w:val="24"/>
          <w:szCs w:val="24"/>
        </w:rPr>
        <w:t xml:space="preserve">It serves </w:t>
      </w:r>
      <w:r w:rsidR="00187E14" w:rsidRPr="00187E14">
        <w:rPr>
          <w:rFonts w:ascii="Times New Roman" w:hAnsi="Times New Roman" w:cs="Times New Roman"/>
          <w:sz w:val="24"/>
          <w:szCs w:val="24"/>
        </w:rPr>
        <w:t>to safeguard public and private interests, as the FPA requires, by disclosing business relationships to both the public and the Commission for analyses.  The public can file a complaint</w:t>
      </w:r>
      <w:r w:rsidR="003C5844">
        <w:rPr>
          <w:rFonts w:ascii="Times New Roman" w:hAnsi="Times New Roman" w:cs="Times New Roman"/>
          <w:sz w:val="24"/>
          <w:szCs w:val="24"/>
        </w:rPr>
        <w:t xml:space="preserve"> or comment</w:t>
      </w:r>
      <w:r w:rsidR="00187E14" w:rsidRPr="00187E14">
        <w:rPr>
          <w:rFonts w:ascii="Times New Roman" w:hAnsi="Times New Roman" w:cs="Times New Roman"/>
          <w:sz w:val="24"/>
          <w:szCs w:val="24"/>
        </w:rPr>
        <w:t xml:space="preserve"> with the Commission if disclosures made under th</w:t>
      </w:r>
      <w:r w:rsidR="00060D8B">
        <w:rPr>
          <w:rFonts w:ascii="Times New Roman" w:hAnsi="Times New Roman" w:cs="Times New Roman"/>
          <w:sz w:val="24"/>
          <w:szCs w:val="24"/>
        </w:rPr>
        <w:t>is</w:t>
      </w:r>
      <w:r w:rsidR="00187E14" w:rsidRPr="00187E14">
        <w:rPr>
          <w:rFonts w:ascii="Times New Roman" w:hAnsi="Times New Roman" w:cs="Times New Roman"/>
          <w:sz w:val="24"/>
          <w:szCs w:val="24"/>
        </w:rPr>
        <w:t xml:space="preserve"> data collection provide evidence of corporate behavior that violates Commission policy.</w:t>
      </w:r>
    </w:p>
    <w:p w14:paraId="0DF77849" w14:textId="77777777" w:rsidR="008D0F5E" w:rsidRPr="0068509E" w:rsidRDefault="008D0F5E" w:rsidP="0068509E">
      <w:pPr>
        <w:spacing w:after="0"/>
        <w:rPr>
          <w:rFonts w:ascii="Times New Roman" w:hAnsi="Times New Roman" w:cs="Times New Roman"/>
          <w:sz w:val="24"/>
          <w:szCs w:val="24"/>
        </w:rPr>
      </w:pPr>
    </w:p>
    <w:p w14:paraId="69CE40CA"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28986F09" w14:textId="77777777" w:rsidR="00EB3E6F" w:rsidRDefault="00EB3E6F" w:rsidP="00EB3E6F">
      <w:pPr>
        <w:spacing w:after="0"/>
        <w:rPr>
          <w:rFonts w:ascii="Times New Roman" w:hAnsi="Times New Roman" w:cs="Times New Roman"/>
          <w:sz w:val="24"/>
          <w:szCs w:val="24"/>
        </w:rPr>
      </w:pPr>
    </w:p>
    <w:p w14:paraId="7AE86416" w14:textId="5D8AA584" w:rsidR="00A0495C" w:rsidRDefault="00F52CDD" w:rsidP="00EB3E6F">
      <w:pPr>
        <w:spacing w:after="0"/>
        <w:rPr>
          <w:rFonts w:ascii="Times New Roman" w:hAnsi="Times New Roman" w:cs="Times New Roman"/>
          <w:sz w:val="24"/>
          <w:szCs w:val="24"/>
        </w:rPr>
      </w:pPr>
      <w:r>
        <w:rPr>
          <w:rFonts w:ascii="Times New Roman" w:hAnsi="Times New Roman" w:cs="Times New Roman"/>
          <w:sz w:val="24"/>
          <w:szCs w:val="24"/>
        </w:rPr>
        <w:t xml:space="preserve">Under FERC regulations, respondents can file </w:t>
      </w:r>
      <w:r w:rsidR="0053567F">
        <w:rPr>
          <w:rFonts w:ascii="Times New Roman" w:hAnsi="Times New Roman" w:cs="Times New Roman"/>
          <w:sz w:val="24"/>
          <w:szCs w:val="24"/>
        </w:rPr>
        <w:t>their</w:t>
      </w:r>
      <w:r>
        <w:rPr>
          <w:rFonts w:ascii="Times New Roman" w:hAnsi="Times New Roman" w:cs="Times New Roman"/>
          <w:sz w:val="24"/>
          <w:szCs w:val="24"/>
        </w:rPr>
        <w:t xml:space="preserve"> FERC-566 in various formats including electronically via the Commission’s </w:t>
      </w:r>
      <w:proofErr w:type="spellStart"/>
      <w:r>
        <w:rPr>
          <w:rFonts w:ascii="Times New Roman" w:hAnsi="Times New Roman" w:cs="Times New Roman"/>
          <w:sz w:val="24"/>
          <w:szCs w:val="24"/>
        </w:rPr>
        <w:t>eFiling</w:t>
      </w:r>
      <w:proofErr w:type="spellEnd"/>
      <w:r>
        <w:rPr>
          <w:rFonts w:ascii="Times New Roman" w:hAnsi="Times New Roman" w:cs="Times New Roman"/>
          <w:sz w:val="24"/>
          <w:szCs w:val="24"/>
        </w:rPr>
        <w:t xml:space="preserve"> webpage.  </w:t>
      </w:r>
      <w:r w:rsidR="0053567F">
        <w:rPr>
          <w:rFonts w:ascii="Times New Roman" w:hAnsi="Times New Roman" w:cs="Times New Roman"/>
          <w:sz w:val="24"/>
          <w:szCs w:val="24"/>
        </w:rPr>
        <w:t>Approximately</w:t>
      </w:r>
      <w:r>
        <w:rPr>
          <w:rFonts w:ascii="Times New Roman" w:hAnsi="Times New Roman" w:cs="Times New Roman"/>
          <w:sz w:val="24"/>
          <w:szCs w:val="24"/>
        </w:rPr>
        <w:t xml:space="preserve"> 70% of FERC-566 filings </w:t>
      </w:r>
      <w:r w:rsidR="00626BE4">
        <w:rPr>
          <w:rFonts w:ascii="Times New Roman" w:hAnsi="Times New Roman" w:cs="Times New Roman"/>
          <w:sz w:val="24"/>
          <w:szCs w:val="24"/>
        </w:rPr>
        <w:t xml:space="preserve">are submitted </w:t>
      </w:r>
      <w:r>
        <w:rPr>
          <w:rFonts w:ascii="Times New Roman" w:hAnsi="Times New Roman" w:cs="Times New Roman"/>
          <w:sz w:val="24"/>
          <w:szCs w:val="24"/>
        </w:rPr>
        <w:t xml:space="preserve">electronically. </w:t>
      </w:r>
    </w:p>
    <w:p w14:paraId="4054AC8F" w14:textId="77777777" w:rsidR="00F52CDD" w:rsidRDefault="00F52CDD" w:rsidP="00EB3E6F">
      <w:pPr>
        <w:spacing w:after="0"/>
        <w:rPr>
          <w:rFonts w:ascii="Times New Roman" w:hAnsi="Times New Roman" w:cs="Times New Roman"/>
          <w:sz w:val="24"/>
          <w:szCs w:val="24"/>
        </w:rPr>
      </w:pPr>
    </w:p>
    <w:p w14:paraId="0B6CBA80" w14:textId="689330B6" w:rsidR="00F52CDD" w:rsidRDefault="00F52CDD" w:rsidP="00EB3E6F">
      <w:pPr>
        <w:spacing w:after="0"/>
        <w:rPr>
          <w:rFonts w:ascii="Times New Roman" w:hAnsi="Times New Roman" w:cs="Times New Roman"/>
          <w:sz w:val="24"/>
          <w:szCs w:val="24"/>
        </w:rPr>
      </w:pPr>
      <w:r>
        <w:rPr>
          <w:rFonts w:ascii="Times New Roman" w:hAnsi="Times New Roman" w:cs="Times New Roman"/>
          <w:sz w:val="24"/>
          <w:szCs w:val="24"/>
        </w:rPr>
        <w:t xml:space="preserve">FERC has made a preferred format in Excel </w:t>
      </w:r>
      <w:r w:rsidR="00626BE4">
        <w:rPr>
          <w:rFonts w:ascii="Times New Roman" w:hAnsi="Times New Roman" w:cs="Times New Roman"/>
          <w:sz w:val="24"/>
          <w:szCs w:val="24"/>
        </w:rPr>
        <w:t xml:space="preserve">available </w:t>
      </w:r>
      <w:r>
        <w:rPr>
          <w:rFonts w:ascii="Times New Roman" w:hAnsi="Times New Roman" w:cs="Times New Roman"/>
          <w:sz w:val="24"/>
          <w:szCs w:val="24"/>
        </w:rPr>
        <w:t>for use by filers of the FERC-566</w:t>
      </w:r>
      <w:r w:rsidR="00F011AD">
        <w:rPr>
          <w:rFonts w:ascii="Times New Roman" w:hAnsi="Times New Roman" w:cs="Times New Roman"/>
          <w:sz w:val="24"/>
          <w:szCs w:val="24"/>
        </w:rPr>
        <w:t xml:space="preserve"> filings</w:t>
      </w:r>
      <w:r>
        <w:rPr>
          <w:rFonts w:ascii="Times New Roman" w:hAnsi="Times New Roman" w:cs="Times New Roman"/>
          <w:sz w:val="24"/>
          <w:szCs w:val="24"/>
        </w:rPr>
        <w:t xml:space="preserve">.  </w:t>
      </w:r>
      <w:r w:rsidR="001D7069">
        <w:rPr>
          <w:rFonts w:ascii="Times New Roman" w:hAnsi="Times New Roman" w:cs="Times New Roman"/>
          <w:sz w:val="24"/>
          <w:szCs w:val="24"/>
        </w:rPr>
        <w:t>However, s</w:t>
      </w:r>
      <w:r>
        <w:rPr>
          <w:rFonts w:ascii="Times New Roman" w:hAnsi="Times New Roman" w:cs="Times New Roman"/>
          <w:sz w:val="24"/>
          <w:szCs w:val="24"/>
        </w:rPr>
        <w:t xml:space="preserve">ome </w:t>
      </w:r>
      <w:r w:rsidR="00626BE4">
        <w:rPr>
          <w:rFonts w:ascii="Times New Roman" w:hAnsi="Times New Roman" w:cs="Times New Roman"/>
          <w:sz w:val="24"/>
          <w:szCs w:val="24"/>
        </w:rPr>
        <w:t xml:space="preserve">respondents </w:t>
      </w:r>
      <w:r>
        <w:rPr>
          <w:rFonts w:ascii="Times New Roman" w:hAnsi="Times New Roman" w:cs="Times New Roman"/>
          <w:sz w:val="24"/>
          <w:szCs w:val="24"/>
        </w:rPr>
        <w:t>still</w:t>
      </w:r>
      <w:r w:rsidR="001D7069">
        <w:rPr>
          <w:rFonts w:ascii="Times New Roman" w:hAnsi="Times New Roman" w:cs="Times New Roman"/>
          <w:sz w:val="24"/>
          <w:szCs w:val="24"/>
        </w:rPr>
        <w:t xml:space="preserve"> </w:t>
      </w:r>
      <w:r>
        <w:rPr>
          <w:rFonts w:ascii="Times New Roman" w:hAnsi="Times New Roman" w:cs="Times New Roman"/>
          <w:sz w:val="24"/>
          <w:szCs w:val="24"/>
        </w:rPr>
        <w:t>file this form in hard copy</w:t>
      </w:r>
      <w:r w:rsidR="0071716F">
        <w:rPr>
          <w:rFonts w:ascii="Times New Roman" w:hAnsi="Times New Roman" w:cs="Times New Roman"/>
          <w:sz w:val="24"/>
          <w:szCs w:val="24"/>
        </w:rPr>
        <w:t xml:space="preserve"> or word processing formats</w:t>
      </w:r>
      <w:r>
        <w:rPr>
          <w:rFonts w:ascii="Times New Roman" w:hAnsi="Times New Roman" w:cs="Times New Roman"/>
          <w:sz w:val="24"/>
          <w:szCs w:val="24"/>
        </w:rPr>
        <w:t>.</w:t>
      </w:r>
    </w:p>
    <w:p w14:paraId="653B7E17" w14:textId="77777777" w:rsidR="003C5844" w:rsidRPr="00EB3E6F" w:rsidRDefault="003C5844" w:rsidP="00EB3E6F">
      <w:pPr>
        <w:spacing w:after="0"/>
        <w:rPr>
          <w:rFonts w:ascii="Times New Roman" w:hAnsi="Times New Roman" w:cs="Times New Roman"/>
          <w:sz w:val="24"/>
          <w:szCs w:val="24"/>
        </w:rPr>
      </w:pPr>
    </w:p>
    <w:p w14:paraId="36611E0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46CA0567" w14:textId="77777777" w:rsidR="00EB3E6F" w:rsidRDefault="00EB3E6F" w:rsidP="00EB3E6F">
      <w:pPr>
        <w:spacing w:after="0"/>
        <w:rPr>
          <w:rFonts w:ascii="Times New Roman" w:hAnsi="Times New Roman" w:cs="Times New Roman"/>
          <w:sz w:val="24"/>
          <w:szCs w:val="24"/>
        </w:rPr>
      </w:pPr>
    </w:p>
    <w:p w14:paraId="4F3E1ADB" w14:textId="5C624475" w:rsidR="00EB3E6F" w:rsidRDefault="005A4BB6"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T</w:t>
      </w:r>
      <w:r w:rsidR="001D7069">
        <w:rPr>
          <w:rFonts w:ascii="Times New Roman" w:hAnsi="Times New Roman" w:cs="Times New Roman"/>
          <w:sz w:val="24"/>
          <w:szCs w:val="24"/>
        </w:rPr>
        <w:t>his</w:t>
      </w:r>
      <w:r w:rsidR="00DE7B47">
        <w:rPr>
          <w:rFonts w:ascii="Times New Roman" w:hAnsi="Times New Roman" w:cs="Times New Roman"/>
          <w:sz w:val="24"/>
          <w:szCs w:val="24"/>
        </w:rPr>
        <w:t xml:space="preserve"> information collection is unique </w:t>
      </w:r>
      <w:r w:rsidR="00FD609E">
        <w:rPr>
          <w:rFonts w:ascii="Times New Roman" w:hAnsi="Times New Roman" w:cs="Times New Roman"/>
          <w:sz w:val="24"/>
          <w:szCs w:val="24"/>
        </w:rPr>
        <w:t>in</w:t>
      </w:r>
      <w:r w:rsidR="00DE7B47">
        <w:rPr>
          <w:rFonts w:ascii="Times New Roman" w:hAnsi="Times New Roman" w:cs="Times New Roman"/>
          <w:sz w:val="24"/>
          <w:szCs w:val="24"/>
        </w:rPr>
        <w:t xml:space="preserve"> that it describes specific corporate activities of individuals and businesses as </w:t>
      </w:r>
      <w:r w:rsidR="00F011AD">
        <w:rPr>
          <w:rFonts w:ascii="Times New Roman" w:hAnsi="Times New Roman" w:cs="Times New Roman"/>
          <w:sz w:val="24"/>
          <w:szCs w:val="24"/>
        </w:rPr>
        <w:t>required by</w:t>
      </w:r>
      <w:r w:rsidR="00DE7B47">
        <w:rPr>
          <w:rFonts w:ascii="Times New Roman" w:hAnsi="Times New Roman" w:cs="Times New Roman"/>
          <w:sz w:val="24"/>
          <w:szCs w:val="24"/>
        </w:rPr>
        <w:t xml:space="preserve"> the FPA.  There are no other sources for this data.</w:t>
      </w:r>
    </w:p>
    <w:p w14:paraId="1C99269E" w14:textId="77777777" w:rsidR="00A0495C" w:rsidRPr="00EB3E6F" w:rsidRDefault="00A0495C" w:rsidP="00EB3E6F">
      <w:pPr>
        <w:spacing w:after="0"/>
        <w:rPr>
          <w:rFonts w:ascii="Times New Roman" w:hAnsi="Times New Roman" w:cs="Times New Roman"/>
          <w:sz w:val="24"/>
          <w:szCs w:val="24"/>
        </w:rPr>
      </w:pPr>
    </w:p>
    <w:p w14:paraId="3A6B33D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3DAFD083" w14:textId="77777777" w:rsidR="00A0495C" w:rsidRDefault="00A0495C" w:rsidP="00EB3E6F">
      <w:pPr>
        <w:spacing w:after="0"/>
        <w:rPr>
          <w:rFonts w:ascii="Times New Roman" w:hAnsi="Times New Roman" w:cs="Times New Roman"/>
          <w:sz w:val="24"/>
          <w:szCs w:val="24"/>
        </w:rPr>
      </w:pPr>
    </w:p>
    <w:p w14:paraId="1CDF0789" w14:textId="13310815" w:rsidR="003C0C1E" w:rsidRDefault="0041251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E7B47">
        <w:rPr>
          <w:rFonts w:ascii="Times New Roman" w:hAnsi="Times New Roman" w:cs="Times New Roman"/>
          <w:sz w:val="24"/>
          <w:szCs w:val="24"/>
        </w:rPr>
        <w:t xml:space="preserve">data collection imposes the least possible burden on small entities while </w:t>
      </w:r>
      <w:r w:rsidR="00F011AD">
        <w:rPr>
          <w:rFonts w:ascii="Times New Roman" w:hAnsi="Times New Roman" w:cs="Times New Roman"/>
          <w:sz w:val="24"/>
          <w:szCs w:val="24"/>
        </w:rPr>
        <w:t xml:space="preserve">still </w:t>
      </w:r>
      <w:r w:rsidR="00DE7B47">
        <w:rPr>
          <w:rFonts w:ascii="Times New Roman" w:hAnsi="Times New Roman" w:cs="Times New Roman"/>
          <w:sz w:val="24"/>
          <w:szCs w:val="24"/>
        </w:rPr>
        <w:t>collecting information necessary to the Commission to fulfill statutory requirements.</w:t>
      </w:r>
      <w:r w:rsidR="0071716F">
        <w:rPr>
          <w:rFonts w:ascii="Times New Roman" w:hAnsi="Times New Roman" w:cs="Times New Roman"/>
          <w:sz w:val="24"/>
          <w:szCs w:val="24"/>
        </w:rPr>
        <w:t xml:space="preserve">  In addition, in the proposed rule, FERC is proposing to eliminate filing requirements for some entities</w:t>
      </w:r>
      <w:r w:rsidR="00F011AD">
        <w:rPr>
          <w:rFonts w:ascii="Times New Roman" w:hAnsi="Times New Roman" w:cs="Times New Roman"/>
          <w:sz w:val="24"/>
          <w:szCs w:val="24"/>
        </w:rPr>
        <w:t xml:space="preserve"> further minimizing burden</w:t>
      </w:r>
      <w:r w:rsidR="004A6CE8">
        <w:rPr>
          <w:rFonts w:ascii="Times New Roman" w:hAnsi="Times New Roman" w:cs="Times New Roman"/>
          <w:sz w:val="24"/>
          <w:szCs w:val="24"/>
        </w:rPr>
        <w:t>.</w:t>
      </w:r>
    </w:p>
    <w:p w14:paraId="3330D35C" w14:textId="77777777" w:rsidR="00DE7B47" w:rsidRPr="00EB3E6F" w:rsidRDefault="00DE7B47" w:rsidP="00EB3E6F">
      <w:pPr>
        <w:spacing w:after="0"/>
        <w:rPr>
          <w:rFonts w:ascii="Times New Roman" w:hAnsi="Times New Roman" w:cs="Times New Roman"/>
          <w:sz w:val="24"/>
          <w:szCs w:val="24"/>
        </w:rPr>
      </w:pPr>
    </w:p>
    <w:p w14:paraId="732939EC"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623CBAB4" w14:textId="77777777" w:rsidR="00DE7B47" w:rsidRPr="00271956" w:rsidRDefault="00DE7B47" w:rsidP="00DE7B47">
      <w:pPr>
        <w:spacing w:after="0"/>
        <w:rPr>
          <w:rFonts w:ascii="Times New Roman" w:hAnsi="Times New Roman" w:cs="Times New Roman"/>
          <w:sz w:val="24"/>
          <w:szCs w:val="24"/>
        </w:rPr>
      </w:pPr>
    </w:p>
    <w:p w14:paraId="4ED37DF5" w14:textId="40E91C0A" w:rsidR="00DE7B47" w:rsidRPr="00DE7B47" w:rsidRDefault="00271956" w:rsidP="00DE7B47">
      <w:pPr>
        <w:spacing w:after="0"/>
        <w:rPr>
          <w:rFonts w:ascii="Times New Roman" w:hAnsi="Times New Roman" w:cs="Times New Roman"/>
          <w:sz w:val="24"/>
          <w:szCs w:val="24"/>
        </w:rPr>
      </w:pPr>
      <w:r w:rsidRPr="00271956">
        <w:rPr>
          <w:rFonts w:ascii="Times New Roman" w:hAnsi="Times New Roman" w:cs="Times New Roman"/>
          <w:sz w:val="24"/>
        </w:rPr>
        <w:t>Section 305(c) of the Federal Power Act (FPA) requires submission of the data in the FERC-566</w:t>
      </w:r>
      <w:r w:rsidR="00B24807">
        <w:rPr>
          <w:rFonts w:ascii="Times New Roman" w:hAnsi="Times New Roman" w:cs="Times New Roman"/>
          <w:sz w:val="24"/>
        </w:rPr>
        <w:t xml:space="preserve"> (i.e. </w:t>
      </w:r>
      <w:r w:rsidR="00DB0C8C">
        <w:rPr>
          <w:rFonts w:ascii="Times New Roman" w:hAnsi="Times New Roman" w:cs="Times New Roman"/>
          <w:sz w:val="24"/>
        </w:rPr>
        <w:t>public utilities to publish a list, pursuant to rules prescribed by the Commission</w:t>
      </w:r>
      <w:r w:rsidR="00B24807">
        <w:rPr>
          <w:rFonts w:ascii="Times New Roman" w:hAnsi="Times New Roman" w:cs="Times New Roman"/>
          <w:sz w:val="24"/>
        </w:rPr>
        <w:t>)</w:t>
      </w:r>
      <w:r w:rsidRPr="00271956">
        <w:rPr>
          <w:rFonts w:ascii="Times New Roman" w:hAnsi="Times New Roman" w:cs="Times New Roman"/>
          <w:sz w:val="24"/>
        </w:rPr>
        <w:t xml:space="preserve"> on or before January 31 of each calendar year</w:t>
      </w:r>
      <w:r w:rsidR="001D7069" w:rsidRPr="00271956">
        <w:rPr>
          <w:rFonts w:ascii="Times New Roman" w:hAnsi="Times New Roman" w:cs="Times New Roman"/>
          <w:sz w:val="24"/>
          <w:szCs w:val="24"/>
        </w:rPr>
        <w:t xml:space="preserve">. </w:t>
      </w:r>
      <w:r w:rsidR="009D19A0">
        <w:rPr>
          <w:rFonts w:ascii="Times New Roman" w:hAnsi="Times New Roman" w:cs="Times New Roman"/>
          <w:sz w:val="24"/>
          <w:szCs w:val="24"/>
        </w:rPr>
        <w:t>The Commission</w:t>
      </w:r>
      <w:r w:rsidR="00DE7B47" w:rsidRPr="00271956">
        <w:rPr>
          <w:rFonts w:ascii="Times New Roman" w:hAnsi="Times New Roman" w:cs="Times New Roman"/>
          <w:sz w:val="24"/>
          <w:szCs w:val="24"/>
        </w:rPr>
        <w:t xml:space="preserve"> cannot change</w:t>
      </w:r>
      <w:r w:rsidR="0074425C">
        <w:rPr>
          <w:rFonts w:ascii="Times New Roman" w:hAnsi="Times New Roman" w:cs="Times New Roman"/>
          <w:sz w:val="24"/>
          <w:szCs w:val="24"/>
        </w:rPr>
        <w:t xml:space="preserve"> these</w:t>
      </w:r>
      <w:r w:rsidR="00DE7B47" w:rsidRPr="00271956">
        <w:rPr>
          <w:rFonts w:ascii="Times New Roman" w:hAnsi="Times New Roman" w:cs="Times New Roman"/>
          <w:sz w:val="24"/>
          <w:szCs w:val="24"/>
        </w:rPr>
        <w:t xml:space="preserve"> Congressionally-mandated</w:t>
      </w:r>
      <w:r w:rsidR="001D7069" w:rsidRPr="00271956">
        <w:rPr>
          <w:rFonts w:ascii="Times New Roman" w:hAnsi="Times New Roman" w:cs="Times New Roman"/>
          <w:sz w:val="24"/>
          <w:szCs w:val="24"/>
        </w:rPr>
        <w:t xml:space="preserve"> filing </w:t>
      </w:r>
      <w:r w:rsidR="004A6CE8">
        <w:rPr>
          <w:rFonts w:ascii="Times New Roman" w:hAnsi="Times New Roman" w:cs="Times New Roman"/>
          <w:sz w:val="24"/>
          <w:szCs w:val="24"/>
        </w:rPr>
        <w:t xml:space="preserve">requirements or </w:t>
      </w:r>
      <w:r w:rsidR="001D7069" w:rsidRPr="00271956">
        <w:rPr>
          <w:rFonts w:ascii="Times New Roman" w:hAnsi="Times New Roman" w:cs="Times New Roman"/>
          <w:sz w:val="24"/>
          <w:szCs w:val="24"/>
        </w:rPr>
        <w:t>date.  If the FERC-566</w:t>
      </w:r>
      <w:r w:rsidR="009D19A0">
        <w:rPr>
          <w:rFonts w:ascii="Times New Roman" w:hAnsi="Times New Roman" w:cs="Times New Roman"/>
          <w:sz w:val="24"/>
          <w:szCs w:val="24"/>
        </w:rPr>
        <w:t xml:space="preserve"> report</w:t>
      </w:r>
      <w:r w:rsidR="001D7069" w:rsidRPr="00271956">
        <w:rPr>
          <w:rFonts w:ascii="Times New Roman" w:hAnsi="Times New Roman" w:cs="Times New Roman"/>
          <w:sz w:val="24"/>
          <w:szCs w:val="24"/>
        </w:rPr>
        <w:t xml:space="preserve"> was</w:t>
      </w:r>
      <w:r w:rsidR="00DE7B47" w:rsidRPr="00271956">
        <w:rPr>
          <w:rFonts w:ascii="Times New Roman" w:hAnsi="Times New Roman" w:cs="Times New Roman"/>
          <w:sz w:val="24"/>
          <w:szCs w:val="24"/>
        </w:rPr>
        <w:t xml:space="preserve"> collected</w:t>
      </w:r>
      <w:r w:rsidR="00DE7B47" w:rsidRPr="00DE7B47">
        <w:rPr>
          <w:rFonts w:ascii="Times New Roman" w:hAnsi="Times New Roman" w:cs="Times New Roman"/>
          <w:sz w:val="24"/>
          <w:szCs w:val="24"/>
        </w:rPr>
        <w:t xml:space="preserve"> less frequently, the Commission would</w:t>
      </w:r>
      <w:r w:rsidR="009D19A0">
        <w:rPr>
          <w:rFonts w:ascii="Times New Roman" w:hAnsi="Times New Roman" w:cs="Times New Roman"/>
          <w:sz w:val="24"/>
          <w:szCs w:val="24"/>
        </w:rPr>
        <w:t xml:space="preserve"> not be acting in accordance with the statutory mandate and would</w:t>
      </w:r>
      <w:r w:rsidR="00DE7B47" w:rsidRPr="00DE7B47">
        <w:rPr>
          <w:rFonts w:ascii="Times New Roman" w:hAnsi="Times New Roman" w:cs="Times New Roman"/>
          <w:sz w:val="24"/>
          <w:szCs w:val="24"/>
        </w:rPr>
        <w:t xml:space="preserve"> be unable to perform its </w:t>
      </w:r>
      <w:r w:rsidR="009D19A0">
        <w:rPr>
          <w:rFonts w:ascii="Times New Roman" w:hAnsi="Times New Roman" w:cs="Times New Roman"/>
          <w:sz w:val="24"/>
          <w:szCs w:val="24"/>
        </w:rPr>
        <w:t>Congressionally-</w:t>
      </w:r>
      <w:r w:rsidR="00DE7B47" w:rsidRPr="00DE7B47">
        <w:rPr>
          <w:rFonts w:ascii="Times New Roman" w:hAnsi="Times New Roman" w:cs="Times New Roman"/>
          <w:sz w:val="24"/>
          <w:szCs w:val="24"/>
        </w:rPr>
        <w:t xml:space="preserve">mandated oversight and review responsibilities as effectively.  </w:t>
      </w:r>
    </w:p>
    <w:p w14:paraId="2293EF6E" w14:textId="77777777" w:rsidR="003C0C1E" w:rsidRPr="00EB3E6F" w:rsidRDefault="003C0C1E" w:rsidP="00EB3E6F">
      <w:pPr>
        <w:spacing w:after="0"/>
        <w:rPr>
          <w:rFonts w:ascii="Times New Roman" w:hAnsi="Times New Roman" w:cs="Times New Roman"/>
          <w:sz w:val="24"/>
          <w:szCs w:val="24"/>
        </w:rPr>
      </w:pPr>
    </w:p>
    <w:p w14:paraId="2055171F"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7B64B0A9" w14:textId="77777777" w:rsidR="00EB3E6F" w:rsidRDefault="00EB3E6F" w:rsidP="00EB3E6F">
      <w:pPr>
        <w:spacing w:after="0"/>
        <w:rPr>
          <w:rFonts w:ascii="Times New Roman" w:hAnsi="Times New Roman" w:cs="Times New Roman"/>
          <w:sz w:val="24"/>
          <w:szCs w:val="24"/>
        </w:rPr>
      </w:pPr>
    </w:p>
    <w:p w14:paraId="60DA50A2" w14:textId="77777777" w:rsidR="00EB3E6F" w:rsidRDefault="00867AF1"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32543FD4" w14:textId="77777777" w:rsidR="00867AF1" w:rsidRPr="00EB3E6F" w:rsidRDefault="00867AF1" w:rsidP="00EB3E6F">
      <w:pPr>
        <w:spacing w:after="0"/>
        <w:rPr>
          <w:rFonts w:ascii="Times New Roman" w:hAnsi="Times New Roman" w:cs="Times New Roman"/>
          <w:sz w:val="24"/>
          <w:szCs w:val="24"/>
        </w:rPr>
      </w:pPr>
    </w:p>
    <w:p w14:paraId="65216DD9" w14:textId="77777777" w:rsidR="00EB3E6F" w:rsidRPr="00FE4D5A" w:rsidRDefault="00EB3E6F" w:rsidP="00A72E7B">
      <w:pPr>
        <w:pStyle w:val="ListParagraph"/>
        <w:numPr>
          <w:ilvl w:val="0"/>
          <w:numId w:val="1"/>
        </w:numPr>
        <w:spacing w:after="0"/>
        <w:ind w:left="360"/>
        <w:rPr>
          <w:rFonts w:ascii="Times New Roman" w:hAnsi="Times New Roman" w:cs="Times New Roman"/>
          <w:b/>
          <w:sz w:val="24"/>
          <w:szCs w:val="24"/>
        </w:rPr>
      </w:pPr>
      <w:r w:rsidRPr="00FE4D5A">
        <w:rPr>
          <w:rFonts w:ascii="Times New Roman" w:hAnsi="Times New Roman" w:cs="Times New Roman"/>
          <w:b/>
          <w:sz w:val="24"/>
          <w:szCs w:val="24"/>
        </w:rPr>
        <w:t>DESCRIBE EFFORTS TO CONSULT OUTSIDE THE AGENCY: SUMMARIZE PUBLIC COMMENTS AND THE AGENCY’S RESPONSE</w:t>
      </w:r>
    </w:p>
    <w:p w14:paraId="6528C276" w14:textId="77777777" w:rsidR="00D61A20" w:rsidRDefault="00D61A20" w:rsidP="00A573D7">
      <w:pPr>
        <w:spacing w:after="0"/>
        <w:rPr>
          <w:rFonts w:ascii="Times New Roman" w:hAnsi="Times New Roman" w:cs="Times New Roman"/>
          <w:i/>
          <w:sz w:val="24"/>
          <w:szCs w:val="24"/>
        </w:rPr>
      </w:pPr>
    </w:p>
    <w:p w14:paraId="583136BD" w14:textId="76607D23" w:rsidR="00A573D7" w:rsidRDefault="00A573D7" w:rsidP="00FE4D5A">
      <w:pPr>
        <w:pStyle w:val="Default"/>
      </w:pPr>
      <w:proofErr w:type="gramStart"/>
      <w:r w:rsidRPr="00DB0C8C">
        <w:t xml:space="preserve">In </w:t>
      </w:r>
      <w:r w:rsidR="00467593" w:rsidRPr="00DB0C8C">
        <w:t>Docket No.</w:t>
      </w:r>
      <w:proofErr w:type="gramEnd"/>
      <w:r w:rsidR="00467593" w:rsidRPr="00DB0C8C">
        <w:t xml:space="preserve"> </w:t>
      </w:r>
      <w:r w:rsidR="00FE4D5A" w:rsidRPr="00B24807">
        <w:t xml:space="preserve">IC14-9-000 </w:t>
      </w:r>
      <w:r w:rsidR="00467593" w:rsidRPr="00DB0C8C">
        <w:t xml:space="preserve">(for the most recent renewal cycle), in </w:t>
      </w:r>
      <w:r w:rsidRPr="00DB0C8C">
        <w:t>accordance with OMB</w:t>
      </w:r>
      <w:r w:rsidRPr="00FE4D5A">
        <w:t xml:space="preserve"> requirements, the Commission published a 60-day notice</w:t>
      </w:r>
      <w:r w:rsidRPr="00FE4D5A">
        <w:rPr>
          <w:rStyle w:val="FootnoteReference"/>
          <w:vertAlign w:val="superscript"/>
        </w:rPr>
        <w:footnoteReference w:id="2"/>
      </w:r>
      <w:r w:rsidRPr="00FE4D5A">
        <w:t xml:space="preserve"> and a 30-day notice</w:t>
      </w:r>
      <w:r w:rsidRPr="00FE4D5A">
        <w:rPr>
          <w:rStyle w:val="FootnoteReference"/>
          <w:vertAlign w:val="superscript"/>
        </w:rPr>
        <w:footnoteReference w:id="3"/>
      </w:r>
      <w:r w:rsidRPr="00FE4D5A">
        <w:t xml:space="preserve"> to the</w:t>
      </w:r>
      <w:r w:rsidRPr="006601E3">
        <w:t xml:space="preserve"> public regarding t</w:t>
      </w:r>
      <w:r>
        <w:t xml:space="preserve">his information collection on </w:t>
      </w:r>
      <w:r w:rsidRPr="00A573D7">
        <w:t>3/4/2014 and</w:t>
      </w:r>
      <w:r w:rsidRPr="008C2D58">
        <w:t xml:space="preserve"> </w:t>
      </w:r>
      <w:r>
        <w:t>7/9</w:t>
      </w:r>
      <w:r w:rsidRPr="008C2D58">
        <w:t>/2014</w:t>
      </w:r>
      <w:r w:rsidRPr="00565AE9">
        <w:t xml:space="preserve"> </w:t>
      </w:r>
      <w:r w:rsidRPr="006601E3">
        <w:t>respectively.  Within the public notices, the Commission noted that it would be requesting a three-year extension of the public reporting bur</w:t>
      </w:r>
      <w:r>
        <w:t xml:space="preserve">den.  The Commission received </w:t>
      </w:r>
      <w:r w:rsidR="00DB0C8C">
        <w:t>four</w:t>
      </w:r>
      <w:r w:rsidRPr="006601E3">
        <w:t xml:space="preserve"> comments from the public regarding this information</w:t>
      </w:r>
      <w:r w:rsidR="00F724F3">
        <w:t xml:space="preserve"> </w:t>
      </w:r>
      <w:r w:rsidRPr="006601E3">
        <w:t>collection.</w:t>
      </w:r>
      <w:r w:rsidR="00467593">
        <w:t xml:space="preserve">  </w:t>
      </w:r>
    </w:p>
    <w:p w14:paraId="33EBEED9" w14:textId="77777777" w:rsidR="008B5BBF" w:rsidRPr="008B5BBF" w:rsidRDefault="008B5BBF" w:rsidP="008B5BBF">
      <w:pPr>
        <w:spacing w:after="0"/>
        <w:rPr>
          <w:rFonts w:ascii="Times New Roman" w:hAnsi="Times New Roman" w:cs="Times New Roman"/>
          <w:sz w:val="24"/>
          <w:szCs w:val="24"/>
        </w:rPr>
      </w:pPr>
    </w:p>
    <w:p w14:paraId="7D36D4E4" w14:textId="6CB8BD00" w:rsidR="008B5BBF" w:rsidRPr="008B5BBF"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rPr>
        <w:t>Commenters request</w:t>
      </w:r>
      <w:r w:rsidR="00467593">
        <w:rPr>
          <w:rFonts w:ascii="Times New Roman" w:hAnsi="Times New Roman" w:cs="Times New Roman"/>
          <w:sz w:val="24"/>
          <w:szCs w:val="24"/>
        </w:rPr>
        <w:t>ed</w:t>
      </w:r>
      <w:r w:rsidRPr="008B5BBF">
        <w:rPr>
          <w:rFonts w:ascii="Times New Roman" w:hAnsi="Times New Roman" w:cs="Times New Roman"/>
          <w:sz w:val="24"/>
          <w:szCs w:val="24"/>
        </w:rPr>
        <w:t xml:space="preserve"> certain exemptions from FERC-566 reporting requirements.  </w:t>
      </w:r>
    </w:p>
    <w:p w14:paraId="3B923BC5" w14:textId="77777777" w:rsidR="008B5BBF" w:rsidRDefault="008B5BBF" w:rsidP="008B5BBF">
      <w:pPr>
        <w:spacing w:after="0"/>
        <w:rPr>
          <w:rFonts w:ascii="Times New Roman" w:hAnsi="Times New Roman" w:cs="Times New Roman"/>
          <w:b/>
          <w:sz w:val="24"/>
          <w:szCs w:val="24"/>
          <w:u w:val="single"/>
        </w:rPr>
      </w:pPr>
    </w:p>
    <w:p w14:paraId="67A78CCA" w14:textId="7F2D0804" w:rsidR="00467593"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rPr>
        <w:lastRenderedPageBreak/>
        <w:t xml:space="preserve">The Commission shares commenters’ interest in identifying and implementing burden reductions to the benefit of filers as well as the Commission.  </w:t>
      </w:r>
      <w:r w:rsidR="00467593">
        <w:rPr>
          <w:rFonts w:ascii="Times New Roman" w:hAnsi="Times New Roman" w:cs="Times New Roman"/>
          <w:sz w:val="24"/>
          <w:szCs w:val="24"/>
        </w:rPr>
        <w:t xml:space="preserve">FERC studied the issues and requirements </w:t>
      </w:r>
      <w:r w:rsidR="00594065">
        <w:rPr>
          <w:rFonts w:ascii="Times New Roman" w:hAnsi="Times New Roman" w:cs="Times New Roman"/>
          <w:sz w:val="24"/>
          <w:szCs w:val="24"/>
        </w:rPr>
        <w:t xml:space="preserve">further </w:t>
      </w:r>
      <w:r w:rsidR="00467593">
        <w:rPr>
          <w:rFonts w:ascii="Times New Roman" w:hAnsi="Times New Roman" w:cs="Times New Roman"/>
          <w:sz w:val="24"/>
          <w:szCs w:val="24"/>
        </w:rPr>
        <w:t xml:space="preserve">and is proposing changes to the FERC-566 in this NOPR in Docket </w:t>
      </w:r>
      <w:r w:rsidR="004A6CE8">
        <w:rPr>
          <w:rFonts w:ascii="Times New Roman" w:hAnsi="Times New Roman" w:cs="Times New Roman"/>
          <w:sz w:val="24"/>
          <w:szCs w:val="24"/>
        </w:rPr>
        <w:t xml:space="preserve">No. </w:t>
      </w:r>
      <w:proofErr w:type="gramStart"/>
      <w:r w:rsidR="00467593">
        <w:rPr>
          <w:rFonts w:ascii="Times New Roman" w:hAnsi="Times New Roman" w:cs="Times New Roman"/>
          <w:sz w:val="24"/>
          <w:szCs w:val="24"/>
        </w:rPr>
        <w:t>RM15-3.</w:t>
      </w:r>
      <w:proofErr w:type="gramEnd"/>
    </w:p>
    <w:p w14:paraId="02119371" w14:textId="77777777" w:rsidR="00EB3E6F" w:rsidRPr="00EB3E6F" w:rsidRDefault="00EB3E6F" w:rsidP="00EB3E6F">
      <w:pPr>
        <w:spacing w:after="0"/>
        <w:rPr>
          <w:rFonts w:ascii="Times New Roman" w:hAnsi="Times New Roman" w:cs="Times New Roman"/>
          <w:sz w:val="24"/>
          <w:szCs w:val="24"/>
        </w:rPr>
      </w:pPr>
    </w:p>
    <w:p w14:paraId="7752131D"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22B4412A" w14:textId="77777777" w:rsidR="00D80FBD" w:rsidRDefault="00D80FBD" w:rsidP="00D80FBD">
      <w:pPr>
        <w:spacing w:after="0"/>
        <w:rPr>
          <w:rFonts w:ascii="Times New Roman" w:hAnsi="Times New Roman" w:cs="Times New Roman"/>
          <w:sz w:val="24"/>
          <w:szCs w:val="24"/>
        </w:rPr>
      </w:pPr>
    </w:p>
    <w:p w14:paraId="7834BBF3"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1A1B555C" w14:textId="77777777" w:rsidR="00867AF1" w:rsidRPr="00D80FBD" w:rsidRDefault="00867AF1" w:rsidP="00D80FBD">
      <w:pPr>
        <w:spacing w:after="0"/>
        <w:rPr>
          <w:rFonts w:ascii="Times New Roman" w:hAnsi="Times New Roman" w:cs="Times New Roman"/>
          <w:sz w:val="24"/>
          <w:szCs w:val="24"/>
        </w:rPr>
      </w:pPr>
    </w:p>
    <w:p w14:paraId="25A67C78"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F01DD75" w14:textId="77777777" w:rsidR="00D80FBD" w:rsidRDefault="00D80FBD" w:rsidP="00D80FBD">
      <w:pPr>
        <w:spacing w:after="0"/>
        <w:rPr>
          <w:rFonts w:ascii="Times New Roman" w:hAnsi="Times New Roman" w:cs="Times New Roman"/>
          <w:sz w:val="24"/>
          <w:szCs w:val="24"/>
        </w:rPr>
      </w:pPr>
    </w:p>
    <w:p w14:paraId="0599D7DB" w14:textId="6B6849C4" w:rsidR="00D86DD0" w:rsidRPr="00D86DD0" w:rsidRDefault="00D86DD0" w:rsidP="00D86DD0">
      <w:pPr>
        <w:spacing w:after="0"/>
        <w:rPr>
          <w:rFonts w:ascii="Times New Roman" w:hAnsi="Times New Roman" w:cs="Times New Roman"/>
          <w:sz w:val="24"/>
          <w:szCs w:val="24"/>
        </w:rPr>
      </w:pPr>
      <w:r w:rsidRPr="00D86DD0">
        <w:rPr>
          <w:rFonts w:ascii="Times New Roman" w:hAnsi="Times New Roman" w:cs="Times New Roman"/>
          <w:sz w:val="24"/>
          <w:szCs w:val="24"/>
        </w:rPr>
        <w:t xml:space="preserve">The FERC-566 information submitted to the Commission is made publically available.  Specific requests for confidential treatment to the extent permitted by law are considered pursuant to 18 CFR 388.112.  </w:t>
      </w:r>
    </w:p>
    <w:p w14:paraId="79FA93E5" w14:textId="77777777" w:rsidR="00D80FBD" w:rsidRPr="00D80FBD" w:rsidRDefault="00D80FBD" w:rsidP="00D80FBD">
      <w:pPr>
        <w:spacing w:after="0"/>
        <w:rPr>
          <w:rFonts w:ascii="Times New Roman" w:hAnsi="Times New Roman" w:cs="Times New Roman"/>
          <w:sz w:val="24"/>
          <w:szCs w:val="24"/>
        </w:rPr>
      </w:pPr>
    </w:p>
    <w:p w14:paraId="1D089FE5" w14:textId="46B87E41"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ADDITIONAL </w:t>
      </w:r>
      <w:r w:rsidR="00917EBA" w:rsidRPr="00917EBA">
        <w:rPr>
          <w:rFonts w:ascii="Times New Roman" w:hAnsi="Times New Roman" w:cs="Times New Roman"/>
          <w:b/>
          <w:sz w:val="24"/>
          <w:szCs w:val="24"/>
        </w:rPr>
        <w:t>JUSTIFICATION FOR ANY QUESTIONS OF A SENSITIVE NATURE, SUCH AS SEXUAL BEHAVIOR AND ATTITUDES, RELIGIOUS BELIEFS, AND OTHER MATTERS THAT ARE COMMONLY CONSIDERED PRIVATE</w:t>
      </w:r>
    </w:p>
    <w:p w14:paraId="6EEAD6A6" w14:textId="77777777" w:rsidR="00D80FBD" w:rsidRDefault="00D80FBD" w:rsidP="00D80FBD">
      <w:pPr>
        <w:spacing w:after="0"/>
        <w:rPr>
          <w:rFonts w:ascii="Times New Roman" w:hAnsi="Times New Roman" w:cs="Times New Roman"/>
          <w:sz w:val="24"/>
          <w:szCs w:val="24"/>
        </w:rPr>
      </w:pPr>
    </w:p>
    <w:p w14:paraId="4239A2EE" w14:textId="395F3ABB" w:rsidR="00D80FBD" w:rsidRDefault="004A6CE8" w:rsidP="00D80FBD">
      <w:pPr>
        <w:spacing w:after="0"/>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is</w:t>
      </w:r>
      <w:r>
        <w:rPr>
          <w:rFonts w:ascii="Times New Roman" w:hAnsi="Times New Roman" w:cs="Times New Roman"/>
          <w:sz w:val="24"/>
          <w:szCs w:val="24"/>
        </w:rPr>
        <w:t xml:space="preserve"> </w:t>
      </w:r>
      <w:r w:rsidR="00867AF1">
        <w:rPr>
          <w:rFonts w:ascii="Times New Roman" w:hAnsi="Times New Roman" w:cs="Times New Roman"/>
          <w:sz w:val="24"/>
          <w:szCs w:val="24"/>
        </w:rPr>
        <w:t>collection</w:t>
      </w:r>
      <w:r w:rsidR="00D86DD0">
        <w:rPr>
          <w:rFonts w:ascii="Times New Roman" w:hAnsi="Times New Roman" w:cs="Times New Roman"/>
          <w:sz w:val="24"/>
          <w:szCs w:val="24"/>
        </w:rPr>
        <w:t xml:space="preserve"> do</w:t>
      </w:r>
      <w:r>
        <w:rPr>
          <w:rFonts w:ascii="Times New Roman" w:hAnsi="Times New Roman" w:cs="Times New Roman"/>
          <w:sz w:val="24"/>
          <w:szCs w:val="24"/>
        </w:rPr>
        <w:t>es</w:t>
      </w:r>
      <w:r w:rsidR="00867AF1">
        <w:rPr>
          <w:rFonts w:ascii="Times New Roman" w:hAnsi="Times New Roman" w:cs="Times New Roman"/>
          <w:sz w:val="24"/>
          <w:szCs w:val="24"/>
        </w:rPr>
        <w:t xml:space="preserve"> not include any questions of a sensitive nature.</w:t>
      </w:r>
    </w:p>
    <w:p w14:paraId="382C4B6B" w14:textId="77777777" w:rsidR="00867AF1" w:rsidRPr="00D80FBD" w:rsidRDefault="00867AF1" w:rsidP="00D80FBD">
      <w:pPr>
        <w:spacing w:after="0"/>
        <w:rPr>
          <w:rFonts w:ascii="Times New Roman" w:hAnsi="Times New Roman" w:cs="Times New Roman"/>
          <w:sz w:val="24"/>
          <w:szCs w:val="24"/>
        </w:rPr>
      </w:pPr>
    </w:p>
    <w:p w14:paraId="1656223D"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016C33E3" w14:textId="77777777" w:rsidR="00D80FBD" w:rsidRDefault="00D80FBD" w:rsidP="00D80FBD">
      <w:pPr>
        <w:spacing w:after="0"/>
        <w:rPr>
          <w:rFonts w:ascii="Times New Roman" w:hAnsi="Times New Roman" w:cs="Times New Roman"/>
          <w:sz w:val="24"/>
          <w:szCs w:val="24"/>
        </w:rPr>
      </w:pPr>
    </w:p>
    <w:p w14:paraId="6F07FC04" w14:textId="33186953" w:rsidR="0007063B" w:rsidRPr="00CF0301"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The</w:t>
      </w:r>
      <w:r w:rsidR="00001508">
        <w:rPr>
          <w:rFonts w:ascii="Times New Roman" w:hAnsi="Times New Roman" w:cs="Times New Roman"/>
          <w:sz w:val="24"/>
          <w:szCs w:val="24"/>
        </w:rPr>
        <w:t xml:space="preserve"> </w:t>
      </w:r>
      <w:r w:rsidR="00C05008">
        <w:rPr>
          <w:rFonts w:ascii="Times New Roman" w:hAnsi="Times New Roman" w:cs="Times New Roman"/>
          <w:sz w:val="24"/>
          <w:szCs w:val="24"/>
        </w:rPr>
        <w:t xml:space="preserve">current </w:t>
      </w:r>
      <w:r w:rsidR="003229A7">
        <w:rPr>
          <w:rFonts w:ascii="Times New Roman" w:hAnsi="Times New Roman" w:cs="Times New Roman"/>
          <w:sz w:val="24"/>
          <w:szCs w:val="24"/>
        </w:rPr>
        <w:t xml:space="preserve">OMB-approved </w:t>
      </w:r>
      <w:r w:rsidR="00001508">
        <w:rPr>
          <w:rFonts w:ascii="Times New Roman" w:hAnsi="Times New Roman" w:cs="Times New Roman"/>
          <w:sz w:val="24"/>
          <w:szCs w:val="24"/>
        </w:rPr>
        <w:t>estimated</w:t>
      </w:r>
      <w:r>
        <w:rPr>
          <w:rFonts w:ascii="Times New Roman" w:hAnsi="Times New Roman" w:cs="Times New Roman"/>
          <w:sz w:val="24"/>
          <w:szCs w:val="24"/>
        </w:rPr>
        <w:t xml:space="preserve"> burden </w:t>
      </w:r>
      <w:r w:rsidR="00CF0301">
        <w:rPr>
          <w:rFonts w:ascii="Times New Roman" w:hAnsi="Times New Roman" w:cs="Times New Roman"/>
          <w:sz w:val="24"/>
          <w:szCs w:val="24"/>
        </w:rPr>
        <w:t>for this</w:t>
      </w:r>
      <w:r w:rsidR="00AE5DA5">
        <w:rPr>
          <w:rFonts w:ascii="Times New Roman" w:hAnsi="Times New Roman" w:cs="Times New Roman"/>
          <w:sz w:val="24"/>
          <w:szCs w:val="24"/>
        </w:rPr>
        <w:t xml:space="preserve"> collection </w:t>
      </w:r>
      <w:r w:rsidR="00F37B77">
        <w:rPr>
          <w:rFonts w:ascii="Times New Roman" w:hAnsi="Times New Roman" w:cs="Times New Roman"/>
          <w:sz w:val="24"/>
          <w:szCs w:val="24"/>
        </w:rPr>
        <w:t>follows</w:t>
      </w:r>
      <w:r>
        <w:rPr>
          <w:rFonts w:ascii="Times New Roman" w:hAnsi="Times New Roman" w:cs="Times New Roman"/>
          <w:sz w:val="24"/>
          <w:szCs w:val="24"/>
        </w:rPr>
        <w:t>:</w:t>
      </w:r>
    </w:p>
    <w:p w14:paraId="1766B8D5" w14:textId="77777777" w:rsidR="0007063B" w:rsidRPr="0007063B" w:rsidRDefault="0007063B" w:rsidP="00D80FBD">
      <w:pPr>
        <w:spacing w:after="0"/>
        <w:rPr>
          <w:rFonts w:ascii="Times New Roman" w:hAnsi="Times New Roman" w:cs="Times New Roman"/>
          <w:sz w:val="20"/>
          <w:szCs w:val="20"/>
        </w:rPr>
      </w:pPr>
    </w:p>
    <w:tbl>
      <w:tblPr>
        <w:tblW w:w="547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343"/>
        <w:gridCol w:w="1446"/>
        <w:gridCol w:w="1442"/>
        <w:gridCol w:w="1530"/>
        <w:gridCol w:w="2070"/>
        <w:gridCol w:w="1477"/>
      </w:tblGrid>
      <w:tr w:rsidR="0007063B" w:rsidRPr="0007063B" w14:paraId="0CDAB2A7" w14:textId="77777777" w:rsidTr="0007063B">
        <w:trPr>
          <w:cantSplit/>
          <w:trHeight w:val="1224"/>
        </w:trPr>
        <w:tc>
          <w:tcPr>
            <w:tcW w:w="558" w:type="pct"/>
            <w:shd w:val="clear" w:color="auto" w:fill="D9D9D9"/>
          </w:tcPr>
          <w:p w14:paraId="53AD465A" w14:textId="77777777" w:rsidR="0007063B" w:rsidRPr="0007063B" w:rsidRDefault="0007063B" w:rsidP="0007063B">
            <w:pPr>
              <w:spacing w:after="0"/>
              <w:rPr>
                <w:rFonts w:ascii="Times New Roman" w:hAnsi="Times New Roman" w:cs="Times New Roman"/>
                <w:b/>
                <w:sz w:val="20"/>
                <w:szCs w:val="20"/>
              </w:rPr>
            </w:pPr>
          </w:p>
        </w:tc>
        <w:tc>
          <w:tcPr>
            <w:tcW w:w="641" w:type="pct"/>
            <w:shd w:val="clear" w:color="auto" w:fill="D9D9D9"/>
            <w:vAlign w:val="bottom"/>
          </w:tcPr>
          <w:p w14:paraId="3970DB17"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Number of Respondents</w:t>
            </w:r>
            <w:r w:rsidRPr="0007063B">
              <w:rPr>
                <w:rFonts w:ascii="Times New Roman" w:hAnsi="Times New Roman" w:cs="Times New Roman"/>
                <w:b/>
                <w:sz w:val="20"/>
                <w:szCs w:val="20"/>
              </w:rPr>
              <w:br/>
              <w:t>(1)</w:t>
            </w:r>
          </w:p>
        </w:tc>
        <w:tc>
          <w:tcPr>
            <w:tcW w:w="690" w:type="pct"/>
            <w:shd w:val="clear" w:color="auto" w:fill="D9D9D9"/>
            <w:vAlign w:val="bottom"/>
          </w:tcPr>
          <w:p w14:paraId="3991C684"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Annual Number of Responses per Respondent</w:t>
            </w:r>
          </w:p>
          <w:p w14:paraId="28798288"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(2)</w:t>
            </w:r>
          </w:p>
        </w:tc>
        <w:tc>
          <w:tcPr>
            <w:tcW w:w="688" w:type="pct"/>
            <w:shd w:val="clear" w:color="auto" w:fill="D9D9D9"/>
            <w:vAlign w:val="bottom"/>
          </w:tcPr>
          <w:p w14:paraId="5891674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Number of Responses (1)*(2)=(3)</w:t>
            </w:r>
          </w:p>
        </w:tc>
        <w:tc>
          <w:tcPr>
            <w:tcW w:w="730" w:type="pct"/>
            <w:shd w:val="clear" w:color="auto" w:fill="D9D9D9"/>
            <w:vAlign w:val="bottom"/>
          </w:tcPr>
          <w:p w14:paraId="59712EAD" w14:textId="27BA385E" w:rsidR="0007063B" w:rsidRPr="0007063B" w:rsidRDefault="0007063B" w:rsidP="00F51F4F">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Average Burden/Cost Per Response</w:t>
            </w:r>
            <w:r w:rsidR="004A6CE8" w:rsidRPr="00001508" w:rsidDel="004A6CE8">
              <w:rPr>
                <w:rFonts w:ascii="Times New Roman" w:hAnsi="Times New Roman" w:cs="Times New Roman"/>
                <w:sz w:val="20"/>
                <w:szCs w:val="20"/>
                <w:vertAlign w:val="superscript"/>
              </w:rPr>
              <w:t xml:space="preserve"> </w:t>
            </w:r>
            <w:r w:rsidR="00F51F4F">
              <w:rPr>
                <w:rStyle w:val="FootnoteReference"/>
                <w:rFonts w:ascii="Times New Roman" w:hAnsi="Times New Roman" w:cs="Times New Roman"/>
                <w:sz w:val="20"/>
                <w:szCs w:val="20"/>
                <w:vertAlign w:val="superscript"/>
              </w:rPr>
              <w:footnoteReference w:id="4"/>
            </w:r>
            <w:r w:rsidRPr="0007063B">
              <w:rPr>
                <w:rFonts w:ascii="Times New Roman" w:hAnsi="Times New Roman" w:cs="Times New Roman"/>
                <w:b/>
                <w:sz w:val="20"/>
                <w:szCs w:val="20"/>
              </w:rPr>
              <w:t>(4)</w:t>
            </w:r>
          </w:p>
        </w:tc>
        <w:tc>
          <w:tcPr>
            <w:tcW w:w="988" w:type="pct"/>
            <w:shd w:val="clear" w:color="auto" w:fill="D9D9D9"/>
            <w:vAlign w:val="bottom"/>
          </w:tcPr>
          <w:p w14:paraId="6618781D" w14:textId="660C7D36"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Annual Burden Hours</w:t>
            </w:r>
            <w:r w:rsidR="00F51F4F">
              <w:rPr>
                <w:rFonts w:ascii="Times New Roman" w:hAnsi="Times New Roman" w:cs="Times New Roman"/>
                <w:b/>
                <w:sz w:val="20"/>
                <w:szCs w:val="20"/>
              </w:rPr>
              <w:t xml:space="preserve"> and</w:t>
            </w:r>
            <w:r w:rsidRPr="0007063B">
              <w:rPr>
                <w:rFonts w:ascii="Times New Roman" w:hAnsi="Times New Roman" w:cs="Times New Roman"/>
                <w:b/>
                <w:sz w:val="20"/>
                <w:szCs w:val="20"/>
              </w:rPr>
              <w:t xml:space="preserve"> Total Annual Cost</w:t>
            </w:r>
            <w:r w:rsidRPr="00001508">
              <w:rPr>
                <w:rFonts w:ascii="Times New Roman" w:hAnsi="Times New Roman" w:cs="Times New Roman"/>
                <w:sz w:val="20"/>
                <w:szCs w:val="20"/>
                <w:vertAlign w:val="superscript"/>
              </w:rPr>
              <w:fldChar w:fldCharType="begin"/>
            </w:r>
            <w:r w:rsidRPr="00001508">
              <w:rPr>
                <w:rFonts w:ascii="Times New Roman" w:hAnsi="Times New Roman" w:cs="Times New Roman"/>
                <w:sz w:val="20"/>
                <w:szCs w:val="20"/>
                <w:vertAlign w:val="superscript"/>
              </w:rPr>
              <w:instrText xml:space="preserve"> NOTEREF _Ref390243007 \h  \* MERGEFORMAT </w:instrText>
            </w:r>
            <w:r w:rsidRPr="00001508">
              <w:rPr>
                <w:rFonts w:ascii="Times New Roman" w:hAnsi="Times New Roman" w:cs="Times New Roman"/>
                <w:sz w:val="20"/>
                <w:szCs w:val="20"/>
                <w:vertAlign w:val="superscript"/>
              </w:rPr>
            </w:r>
            <w:r w:rsidRPr="00001508">
              <w:rPr>
                <w:rFonts w:ascii="Times New Roman" w:hAnsi="Times New Roman" w:cs="Times New Roman"/>
                <w:sz w:val="20"/>
                <w:szCs w:val="20"/>
                <w:vertAlign w:val="superscript"/>
              </w:rPr>
              <w:fldChar w:fldCharType="separate"/>
            </w:r>
            <w:r w:rsidR="00001508" w:rsidRPr="00001508">
              <w:rPr>
                <w:rFonts w:ascii="Times New Roman" w:hAnsi="Times New Roman" w:cs="Times New Roman"/>
                <w:sz w:val="20"/>
                <w:szCs w:val="20"/>
                <w:vertAlign w:val="superscript"/>
              </w:rPr>
              <w:t>4</w:t>
            </w:r>
            <w:r w:rsidRPr="00001508">
              <w:rPr>
                <w:rFonts w:ascii="Times New Roman" w:hAnsi="Times New Roman" w:cs="Times New Roman"/>
                <w:sz w:val="20"/>
                <w:szCs w:val="20"/>
                <w:vertAlign w:val="superscript"/>
              </w:rPr>
              <w:fldChar w:fldCharType="end"/>
            </w:r>
          </w:p>
          <w:p w14:paraId="53C4E57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(3)*(4)=(5)</w:t>
            </w:r>
          </w:p>
        </w:tc>
        <w:tc>
          <w:tcPr>
            <w:tcW w:w="705" w:type="pct"/>
            <w:shd w:val="clear" w:color="auto" w:fill="D9D9D9"/>
            <w:vAlign w:val="bottom"/>
          </w:tcPr>
          <w:p w14:paraId="43A527BB"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Cost per Respondent</w:t>
            </w:r>
          </w:p>
          <w:p w14:paraId="31F20EAC" w14:textId="4E188212"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w:t>
            </w:r>
          </w:p>
          <w:p w14:paraId="2E2998E1"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(5)÷(1)</w:t>
            </w:r>
          </w:p>
        </w:tc>
      </w:tr>
      <w:tr w:rsidR="0007063B" w:rsidRPr="0007063B" w14:paraId="4E046483" w14:textId="77777777" w:rsidTr="002C2D1D">
        <w:trPr>
          <w:cantSplit/>
          <w:trHeight w:val="469"/>
        </w:trPr>
        <w:tc>
          <w:tcPr>
            <w:tcW w:w="558" w:type="pct"/>
            <w:vAlign w:val="bottom"/>
          </w:tcPr>
          <w:p w14:paraId="3D046C03" w14:textId="77777777" w:rsidR="0007063B" w:rsidRPr="0007063B" w:rsidRDefault="0007063B" w:rsidP="002C2D1D">
            <w:pPr>
              <w:spacing w:after="0"/>
              <w:jc w:val="center"/>
              <w:rPr>
                <w:rFonts w:ascii="Times New Roman" w:hAnsi="Times New Roman" w:cs="Times New Roman"/>
                <w:sz w:val="20"/>
                <w:szCs w:val="20"/>
              </w:rPr>
            </w:pPr>
            <w:r w:rsidRPr="0007063B">
              <w:rPr>
                <w:rFonts w:ascii="Times New Roman" w:hAnsi="Times New Roman" w:cs="Times New Roman"/>
                <w:sz w:val="20"/>
                <w:szCs w:val="20"/>
              </w:rPr>
              <w:t>FERC-566</w:t>
            </w:r>
          </w:p>
        </w:tc>
        <w:tc>
          <w:tcPr>
            <w:tcW w:w="641" w:type="pct"/>
            <w:vAlign w:val="bottom"/>
          </w:tcPr>
          <w:p w14:paraId="27B2ED72" w14:textId="4A6836D5"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1,082</w:t>
            </w:r>
          </w:p>
        </w:tc>
        <w:tc>
          <w:tcPr>
            <w:tcW w:w="690" w:type="pct"/>
            <w:vAlign w:val="bottom"/>
          </w:tcPr>
          <w:p w14:paraId="164BFDC4"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688" w:type="pct"/>
            <w:vAlign w:val="bottom"/>
          </w:tcPr>
          <w:p w14:paraId="7C530963"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1,082</w:t>
            </w:r>
          </w:p>
        </w:tc>
        <w:tc>
          <w:tcPr>
            <w:tcW w:w="730" w:type="pct"/>
            <w:vAlign w:val="bottom"/>
          </w:tcPr>
          <w:p w14:paraId="189C1C38"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6</w:t>
            </w:r>
          </w:p>
          <w:p w14:paraId="37F3508F"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$423</w:t>
            </w:r>
          </w:p>
        </w:tc>
        <w:tc>
          <w:tcPr>
            <w:tcW w:w="988" w:type="pct"/>
            <w:vAlign w:val="bottom"/>
          </w:tcPr>
          <w:p w14:paraId="0C664AFB"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 6,492</w:t>
            </w:r>
          </w:p>
          <w:p w14:paraId="4B57282B"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$457,686 </w:t>
            </w:r>
          </w:p>
        </w:tc>
        <w:tc>
          <w:tcPr>
            <w:tcW w:w="705" w:type="pct"/>
            <w:vAlign w:val="bottom"/>
          </w:tcPr>
          <w:p w14:paraId="28472FE0" w14:textId="441F1A56"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$423 </w:t>
            </w:r>
          </w:p>
        </w:tc>
      </w:tr>
    </w:tbl>
    <w:p w14:paraId="6326FBB1" w14:textId="77777777" w:rsidR="00C62B86" w:rsidRDefault="00C62B86" w:rsidP="00D80FBD">
      <w:pPr>
        <w:spacing w:after="0"/>
        <w:rPr>
          <w:rFonts w:ascii="Times New Roman" w:hAnsi="Times New Roman" w:cs="Times New Roman"/>
          <w:sz w:val="24"/>
          <w:szCs w:val="24"/>
        </w:rPr>
      </w:pPr>
    </w:p>
    <w:p w14:paraId="6992A8B0"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A5E5DA7" w14:textId="77777777" w:rsidR="00E636D7" w:rsidRDefault="00E636D7" w:rsidP="00E636D7">
      <w:pPr>
        <w:spacing w:after="0"/>
        <w:rPr>
          <w:rFonts w:ascii="Times New Roman" w:hAnsi="Times New Roman" w:cs="Times New Roman"/>
          <w:sz w:val="24"/>
          <w:szCs w:val="24"/>
        </w:rPr>
      </w:pPr>
    </w:p>
    <w:p w14:paraId="513B90DB" w14:textId="2A5AF29E" w:rsidR="00E636D7" w:rsidRDefault="00C62B86" w:rsidP="00E636D7">
      <w:pPr>
        <w:spacing w:after="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start-up or</w:t>
      </w:r>
      <w:r w:rsidR="006039B3">
        <w:rPr>
          <w:rFonts w:ascii="Times New Roman" w:hAnsi="Times New Roman" w:cs="Times New Roman"/>
          <w:sz w:val="24"/>
          <w:szCs w:val="24"/>
        </w:rPr>
        <w:t xml:space="preserve"> other non-labor costs associated with </w:t>
      </w:r>
      <w:r w:rsidR="003229A7">
        <w:rPr>
          <w:rFonts w:ascii="Times New Roman" w:hAnsi="Times New Roman" w:cs="Times New Roman"/>
          <w:sz w:val="24"/>
          <w:szCs w:val="24"/>
        </w:rPr>
        <w:t>th</w:t>
      </w:r>
      <w:r w:rsidR="003229A7">
        <w:rPr>
          <w:rFonts w:ascii="Times New Roman" w:hAnsi="Times New Roman" w:cs="Times New Roman"/>
          <w:sz w:val="24"/>
          <w:szCs w:val="24"/>
        </w:rPr>
        <w:t>is</w:t>
      </w:r>
      <w:r w:rsidR="003229A7">
        <w:rPr>
          <w:rFonts w:ascii="Times New Roman" w:hAnsi="Times New Roman" w:cs="Times New Roman"/>
          <w:sz w:val="24"/>
          <w:szCs w:val="24"/>
        </w:rPr>
        <w:t xml:space="preserve"> </w:t>
      </w:r>
      <w:r w:rsidR="006039B3">
        <w:rPr>
          <w:rFonts w:ascii="Times New Roman" w:hAnsi="Times New Roman" w:cs="Times New Roman"/>
          <w:sz w:val="24"/>
          <w:szCs w:val="24"/>
        </w:rPr>
        <w:t>information collection.</w:t>
      </w:r>
    </w:p>
    <w:p w14:paraId="7530FC72" w14:textId="77777777" w:rsidR="006039B3" w:rsidRDefault="006039B3" w:rsidP="00E636D7">
      <w:pPr>
        <w:spacing w:after="0"/>
        <w:rPr>
          <w:rFonts w:ascii="Times New Roman" w:hAnsi="Times New Roman" w:cs="Times New Roman"/>
          <w:sz w:val="24"/>
          <w:szCs w:val="24"/>
        </w:rPr>
      </w:pPr>
    </w:p>
    <w:p w14:paraId="735187EA" w14:textId="77777777" w:rsidR="006039B3" w:rsidRDefault="006039B3" w:rsidP="006039B3">
      <w:pPr>
        <w:spacing w:after="0"/>
        <w:rPr>
          <w:rFonts w:ascii="Times New Roman" w:hAnsi="Times New Roman" w:cs="Times New Roman"/>
          <w:sz w:val="24"/>
          <w:szCs w:val="24"/>
        </w:rPr>
      </w:pPr>
      <w:r>
        <w:rPr>
          <w:rFonts w:ascii="Times New Roman" w:hAnsi="Times New Roman" w:cs="Times New Roman"/>
          <w:sz w:val="24"/>
          <w:szCs w:val="24"/>
        </w:rPr>
        <w:t>Total Capital and Start-up cost: $0</w:t>
      </w:r>
    </w:p>
    <w:p w14:paraId="19D8086F" w14:textId="77777777" w:rsidR="00183F28" w:rsidRDefault="006039B3" w:rsidP="006039B3">
      <w:pPr>
        <w:spacing w:after="0"/>
        <w:rPr>
          <w:rFonts w:ascii="Times New Roman" w:hAnsi="Times New Roman" w:cs="Times New Roman"/>
          <w:sz w:val="24"/>
          <w:szCs w:val="24"/>
        </w:rPr>
      </w:pPr>
      <w:r>
        <w:rPr>
          <w:rFonts w:ascii="Times New Roman" w:hAnsi="Times New Roman" w:cs="Times New Roman"/>
          <w:sz w:val="24"/>
          <w:szCs w:val="24"/>
        </w:rPr>
        <w:lastRenderedPageBreak/>
        <w:t>Total Operation, Maintenance, and Purchase of Services: $0</w:t>
      </w:r>
    </w:p>
    <w:p w14:paraId="0FC83782" w14:textId="77777777" w:rsidR="006039B3" w:rsidRPr="00E636D7" w:rsidRDefault="006039B3" w:rsidP="00E636D7">
      <w:pPr>
        <w:spacing w:after="0"/>
        <w:rPr>
          <w:rFonts w:ascii="Times New Roman" w:hAnsi="Times New Roman" w:cs="Times New Roman"/>
          <w:sz w:val="24"/>
          <w:szCs w:val="24"/>
        </w:rPr>
      </w:pPr>
    </w:p>
    <w:p w14:paraId="0F063E03"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7D85AD03" w14:textId="77777777" w:rsidR="00A276F5" w:rsidRDefault="00A276F5" w:rsidP="00A276F5">
      <w:pPr>
        <w:spacing w:after="0"/>
        <w:rPr>
          <w:rFonts w:ascii="Times New Roman" w:hAnsi="Times New Roman" w:cs="Times New Roman"/>
          <w:sz w:val="24"/>
          <w:szCs w:val="24"/>
        </w:rPr>
      </w:pPr>
    </w:p>
    <w:p w14:paraId="0C4B4793" w14:textId="309AE836" w:rsidR="00106E70" w:rsidRDefault="00AE0D4C"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following table contains the annualized effort and cost for </w:t>
      </w:r>
      <w:r w:rsidR="002F3B4E">
        <w:rPr>
          <w:rFonts w:ascii="Times New Roman" w:hAnsi="Times New Roman" w:cs="Times New Roman"/>
          <w:sz w:val="24"/>
          <w:szCs w:val="24"/>
        </w:rPr>
        <w:t>FERC-566.</w:t>
      </w:r>
      <w:r w:rsidR="00BF3479">
        <w:rPr>
          <w:rFonts w:ascii="Times New Roman" w:hAnsi="Times New Roman" w:cs="Times New Roman"/>
          <w:sz w:val="24"/>
          <w:szCs w:val="24"/>
        </w:rPr>
        <w:t xml:space="preserve">  </w:t>
      </w:r>
    </w:p>
    <w:p w14:paraId="3F059311" w14:textId="77777777" w:rsidR="00AE0D4C" w:rsidRDefault="00AE0D4C"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1FE83356" w14:textId="77777777" w:rsidTr="007C150D">
        <w:tc>
          <w:tcPr>
            <w:tcW w:w="3182" w:type="dxa"/>
            <w:shd w:val="clear" w:color="auto" w:fill="CCCCCC"/>
          </w:tcPr>
          <w:p w14:paraId="53E7C3A6" w14:textId="41CB3DCD" w:rsidR="006039B3" w:rsidRPr="00355D34" w:rsidRDefault="00A628FB" w:rsidP="002F3B4E">
            <w:pPr>
              <w:spacing w:after="0" w:line="240" w:lineRule="auto"/>
              <w:rPr>
                <w:rFonts w:ascii="Times New Roman" w:hAnsi="Times New Roman" w:cs="Times New Roman"/>
                <w:b/>
                <w:sz w:val="24"/>
                <w:szCs w:val="24"/>
              </w:rPr>
            </w:pPr>
            <w:r>
              <w:rPr>
                <w:rFonts w:ascii="Times New Roman" w:hAnsi="Times New Roman" w:cs="Times New Roman"/>
                <w:b/>
                <w:sz w:val="24"/>
                <w:szCs w:val="24"/>
              </w:rPr>
              <w:t>FERC-</w:t>
            </w:r>
            <w:r w:rsidR="00A72C17">
              <w:rPr>
                <w:rFonts w:ascii="Times New Roman" w:hAnsi="Times New Roman" w:cs="Times New Roman"/>
                <w:b/>
                <w:sz w:val="24"/>
                <w:szCs w:val="24"/>
              </w:rPr>
              <w:t>566</w:t>
            </w:r>
          </w:p>
        </w:tc>
        <w:tc>
          <w:tcPr>
            <w:tcW w:w="3201" w:type="dxa"/>
            <w:shd w:val="clear" w:color="auto" w:fill="CCCCCC"/>
          </w:tcPr>
          <w:p w14:paraId="7D49944A"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0ACAC4AF"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6039B3" w:rsidRPr="00A276F5" w14:paraId="4390CB59" w14:textId="77777777" w:rsidTr="007C150D">
        <w:tc>
          <w:tcPr>
            <w:tcW w:w="3182" w:type="dxa"/>
            <w:shd w:val="clear" w:color="auto" w:fill="auto"/>
          </w:tcPr>
          <w:p w14:paraId="2A0621D7" w14:textId="44FDAB61" w:rsidR="006039B3" w:rsidRPr="00A276F5" w:rsidRDefault="006039B3" w:rsidP="007C150D">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00021DDC" w:rsidRPr="00BC5C13">
              <w:rPr>
                <w:rStyle w:val="FootnoteReference"/>
                <w:rFonts w:ascii="Times New Roman" w:hAnsi="Times New Roman" w:cs="Times New Roman"/>
                <w:sz w:val="24"/>
                <w:szCs w:val="24"/>
                <w:vertAlign w:val="superscript"/>
              </w:rPr>
              <w:footnoteReference w:id="5"/>
            </w:r>
          </w:p>
        </w:tc>
        <w:tc>
          <w:tcPr>
            <w:tcW w:w="3201" w:type="dxa"/>
            <w:tcBorders>
              <w:bottom w:val="single" w:sz="4" w:space="0" w:color="auto"/>
            </w:tcBorders>
            <w:shd w:val="clear" w:color="auto" w:fill="auto"/>
            <w:vAlign w:val="center"/>
          </w:tcPr>
          <w:p w14:paraId="484D0667" w14:textId="7CED159E" w:rsidR="006039B3" w:rsidRPr="00A276F5" w:rsidRDefault="002F3B4E" w:rsidP="002F3B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995" w:type="dxa"/>
            <w:shd w:val="clear" w:color="auto" w:fill="auto"/>
            <w:vAlign w:val="center"/>
          </w:tcPr>
          <w:p w14:paraId="4DFB7A54" w14:textId="31A92F75" w:rsidR="006039B3" w:rsidRPr="00A276F5" w:rsidRDefault="006039B3" w:rsidP="002F3B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3B4E">
              <w:rPr>
                <w:rFonts w:ascii="Times New Roman" w:hAnsi="Times New Roman" w:cs="Times New Roman"/>
                <w:sz w:val="24"/>
                <w:szCs w:val="24"/>
              </w:rPr>
              <w:t>146</w:t>
            </w:r>
            <w:r w:rsidR="00001508">
              <w:rPr>
                <w:rFonts w:ascii="Times New Roman" w:hAnsi="Times New Roman" w:cs="Times New Roman"/>
                <w:sz w:val="24"/>
                <w:szCs w:val="24"/>
              </w:rPr>
              <w:t>,</w:t>
            </w:r>
            <w:r w:rsidR="002F3B4E">
              <w:rPr>
                <w:rFonts w:ascii="Times New Roman" w:hAnsi="Times New Roman" w:cs="Times New Roman"/>
                <w:sz w:val="24"/>
                <w:szCs w:val="24"/>
              </w:rPr>
              <w:t>591</w:t>
            </w:r>
          </w:p>
        </w:tc>
      </w:tr>
      <w:tr w:rsidR="006039B3" w:rsidRPr="00A276F5" w14:paraId="23FA8C46" w14:textId="77777777" w:rsidTr="007C150D">
        <w:tc>
          <w:tcPr>
            <w:tcW w:w="3182" w:type="dxa"/>
            <w:shd w:val="clear" w:color="auto" w:fill="auto"/>
          </w:tcPr>
          <w:p w14:paraId="24D5DF37" w14:textId="77777777" w:rsidR="006039B3" w:rsidRPr="00A276F5" w:rsidRDefault="006039B3"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bookmarkStart w:id="0" w:name="_Ref389748397"/>
            <w:r w:rsidRPr="00AE5B29">
              <w:rPr>
                <w:rFonts w:ascii="Times New Roman" w:eastAsia="Times New Roman" w:hAnsi="Times New Roman" w:cs="Times New Roman"/>
                <w:sz w:val="24"/>
                <w:szCs w:val="24"/>
                <w:vertAlign w:val="superscript"/>
              </w:rPr>
              <w:footnoteReference w:id="6"/>
            </w:r>
            <w:bookmarkEnd w:id="0"/>
          </w:p>
        </w:tc>
        <w:tc>
          <w:tcPr>
            <w:tcW w:w="3201" w:type="dxa"/>
            <w:shd w:val="clear" w:color="auto" w:fill="D9D9D9" w:themeFill="background1" w:themeFillShade="D9"/>
            <w:vAlign w:val="center"/>
          </w:tcPr>
          <w:p w14:paraId="3BE0F834" w14:textId="77777777" w:rsidR="006039B3" w:rsidRPr="00A276F5"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09EB7B6" w14:textId="7055C02A" w:rsidR="006039B3" w:rsidRPr="00A276F5" w:rsidRDefault="006039B3" w:rsidP="00001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3B4E">
              <w:rPr>
                <w:rFonts w:ascii="Times New Roman" w:hAnsi="Times New Roman" w:cs="Times New Roman"/>
                <w:sz w:val="24"/>
                <w:szCs w:val="24"/>
              </w:rPr>
              <w:t>5,092</w:t>
            </w:r>
          </w:p>
        </w:tc>
      </w:tr>
      <w:tr w:rsidR="00A72C17" w:rsidRPr="00A276F5" w14:paraId="12407F66" w14:textId="77777777" w:rsidTr="007C150D">
        <w:tc>
          <w:tcPr>
            <w:tcW w:w="3182" w:type="dxa"/>
            <w:shd w:val="clear" w:color="auto" w:fill="auto"/>
          </w:tcPr>
          <w:p w14:paraId="5DE41406" w14:textId="77777777" w:rsidR="00A72C17" w:rsidRPr="00CE2491" w:rsidRDefault="00A72C17" w:rsidP="007C150D">
            <w:pPr>
              <w:spacing w:after="0" w:line="240" w:lineRule="auto"/>
              <w:rPr>
                <w:rFonts w:ascii="Times New Roman" w:hAnsi="Times New Roman" w:cs="Times New Roman"/>
                <w:b/>
                <w:sz w:val="24"/>
                <w:szCs w:val="24"/>
              </w:rPr>
            </w:pPr>
            <w:r w:rsidRPr="00CE2491">
              <w:rPr>
                <w:rFonts w:ascii="Times New Roman" w:hAnsi="Times New Roman" w:cs="Times New Roman"/>
                <w:b/>
                <w:sz w:val="24"/>
                <w:szCs w:val="24"/>
              </w:rPr>
              <w:t>TOTAL</w:t>
            </w:r>
          </w:p>
        </w:tc>
        <w:tc>
          <w:tcPr>
            <w:tcW w:w="3201" w:type="dxa"/>
            <w:shd w:val="clear" w:color="auto" w:fill="D9D9D9" w:themeFill="background1" w:themeFillShade="D9"/>
            <w:vAlign w:val="center"/>
          </w:tcPr>
          <w:p w14:paraId="11E105AC" w14:textId="77777777" w:rsidR="00A72C17" w:rsidRPr="00CE2491" w:rsidRDefault="00A72C17" w:rsidP="007C150D">
            <w:pPr>
              <w:spacing w:after="0" w:line="240" w:lineRule="auto"/>
              <w:jc w:val="right"/>
              <w:rPr>
                <w:rFonts w:ascii="Times New Roman" w:hAnsi="Times New Roman" w:cs="Times New Roman"/>
                <w:b/>
                <w:sz w:val="24"/>
                <w:szCs w:val="24"/>
              </w:rPr>
            </w:pPr>
          </w:p>
        </w:tc>
        <w:tc>
          <w:tcPr>
            <w:tcW w:w="2995" w:type="dxa"/>
            <w:shd w:val="clear" w:color="auto" w:fill="auto"/>
            <w:vAlign w:val="center"/>
          </w:tcPr>
          <w:p w14:paraId="00A342A6" w14:textId="32DC1152" w:rsidR="00A72C17" w:rsidRPr="00CE2491" w:rsidRDefault="00A72C17" w:rsidP="002F3B4E">
            <w:pPr>
              <w:spacing w:after="0" w:line="240" w:lineRule="auto"/>
              <w:jc w:val="right"/>
              <w:rPr>
                <w:rFonts w:ascii="Times New Roman" w:hAnsi="Times New Roman" w:cs="Times New Roman"/>
                <w:b/>
                <w:sz w:val="24"/>
                <w:szCs w:val="24"/>
              </w:rPr>
            </w:pPr>
            <w:r w:rsidRPr="00CE2491">
              <w:rPr>
                <w:rFonts w:ascii="Times New Roman" w:hAnsi="Times New Roman" w:cs="Times New Roman"/>
                <w:b/>
                <w:sz w:val="24"/>
                <w:szCs w:val="24"/>
              </w:rPr>
              <w:t>$</w:t>
            </w:r>
            <w:r w:rsidR="002F3B4E">
              <w:rPr>
                <w:rFonts w:ascii="Times New Roman" w:hAnsi="Times New Roman" w:cs="Times New Roman"/>
                <w:b/>
                <w:sz w:val="24"/>
                <w:szCs w:val="24"/>
              </w:rPr>
              <w:t>151</w:t>
            </w:r>
            <w:r w:rsidR="00001508" w:rsidRPr="00CE2491">
              <w:rPr>
                <w:rFonts w:ascii="Times New Roman" w:hAnsi="Times New Roman" w:cs="Times New Roman"/>
                <w:b/>
                <w:sz w:val="24"/>
                <w:szCs w:val="24"/>
              </w:rPr>
              <w:t>,</w:t>
            </w:r>
            <w:r w:rsidR="002F3B4E">
              <w:rPr>
                <w:rFonts w:ascii="Times New Roman" w:hAnsi="Times New Roman" w:cs="Times New Roman"/>
                <w:b/>
                <w:sz w:val="24"/>
                <w:szCs w:val="24"/>
              </w:rPr>
              <w:t>683</w:t>
            </w:r>
          </w:p>
        </w:tc>
      </w:tr>
    </w:tbl>
    <w:p w14:paraId="4E992766" w14:textId="77777777" w:rsidR="00A276F5" w:rsidRPr="00A276F5" w:rsidRDefault="00A276F5" w:rsidP="00A276F5">
      <w:pPr>
        <w:spacing w:after="0"/>
        <w:rPr>
          <w:rFonts w:ascii="Times New Roman" w:hAnsi="Times New Roman" w:cs="Times New Roman"/>
          <w:sz w:val="24"/>
          <w:szCs w:val="24"/>
        </w:rPr>
      </w:pPr>
    </w:p>
    <w:p w14:paraId="648955C2" w14:textId="77777777" w:rsidR="00A276F5" w:rsidRDefault="00A276F5" w:rsidP="003D0A4A">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036441AD" w14:textId="77777777" w:rsidR="00C05008" w:rsidRDefault="00C05008" w:rsidP="0074425C">
      <w:pPr>
        <w:pStyle w:val="FERCparanumber"/>
        <w:numPr>
          <w:ilvl w:val="0"/>
          <w:numId w:val="0"/>
        </w:numPr>
        <w:spacing w:line="360" w:lineRule="auto"/>
        <w:rPr>
          <w:szCs w:val="26"/>
          <w:u w:val="single"/>
        </w:rPr>
      </w:pPr>
    </w:p>
    <w:p w14:paraId="5175EB38" w14:textId="1C22DAA1" w:rsidR="003B66FD" w:rsidRPr="002C2D1D" w:rsidRDefault="00C05008" w:rsidP="0074425C">
      <w:pPr>
        <w:pStyle w:val="FERCparanumber"/>
        <w:numPr>
          <w:ilvl w:val="0"/>
          <w:numId w:val="0"/>
        </w:numPr>
        <w:spacing w:line="276" w:lineRule="auto"/>
        <w:rPr>
          <w:sz w:val="24"/>
        </w:rPr>
      </w:pPr>
      <w:r w:rsidRPr="002C2D1D">
        <w:rPr>
          <w:sz w:val="24"/>
          <w:u w:val="single"/>
        </w:rPr>
        <w:t>Public Reporting Burden</w:t>
      </w:r>
      <w:r w:rsidRPr="002C2D1D">
        <w:rPr>
          <w:sz w:val="24"/>
        </w:rPr>
        <w:t>:  The burden and cost estimates below are based on the estimated reduction in burden for certain entities that would no longer have to file the annual report of twenty largest purchasers (as proposed in the NOPR in RM15-3).  The Commission estimates the annual report to require (on average) six hours</w:t>
      </w:r>
      <w:r w:rsidR="0027086C" w:rsidRPr="002C2D1D">
        <w:rPr>
          <w:sz w:val="24"/>
        </w:rPr>
        <w:t xml:space="preserve"> of burden</w:t>
      </w:r>
      <w:r w:rsidRPr="002C2D1D">
        <w:rPr>
          <w:sz w:val="24"/>
        </w:rPr>
        <w:t xml:space="preserve"> to prepare and to file.  The Commission estimates that there are six RTOs/ISOs and an additional 880 filers that report no purchasers. </w:t>
      </w:r>
      <w:r w:rsidR="0027086C" w:rsidRPr="002C2D1D">
        <w:rPr>
          <w:sz w:val="24"/>
        </w:rPr>
        <w:t xml:space="preserve">The latter category includes exempt wholesale generators (EWGs).  </w:t>
      </w:r>
      <w:r w:rsidR="00B2153C" w:rsidRPr="002C2D1D">
        <w:rPr>
          <w:sz w:val="24"/>
        </w:rPr>
        <w:t>All 886 entities affected by this rule will no longer have to expend the six hours of burden and will, thus, experience a reduction in burden.</w:t>
      </w:r>
      <w:r w:rsidRPr="002C2D1D">
        <w:rPr>
          <w:sz w:val="24"/>
        </w:rPr>
        <w:t xml:space="preserve"> The following table illustrates the burden reductions </w:t>
      </w:r>
      <w:r w:rsidR="009D19A0" w:rsidRPr="002C2D1D">
        <w:rPr>
          <w:sz w:val="24"/>
        </w:rPr>
        <w:t xml:space="preserve">that result from the proposed </w:t>
      </w:r>
      <w:proofErr w:type="gramStart"/>
      <w:r w:rsidR="009D19A0" w:rsidRPr="002C2D1D">
        <w:rPr>
          <w:sz w:val="24"/>
        </w:rPr>
        <w:t>change</w:t>
      </w:r>
      <w:proofErr w:type="gramEnd"/>
      <w:r w:rsidRPr="002C2D1D">
        <w:rPr>
          <w:sz w:val="24"/>
        </w:rPr>
        <w:t xml:space="preserve"> to the information collection:</w:t>
      </w:r>
    </w:p>
    <w:p w14:paraId="591E0756" w14:textId="77777777" w:rsidR="0074425C" w:rsidRPr="00532FF9" w:rsidRDefault="0074425C" w:rsidP="0074425C">
      <w:pPr>
        <w:pStyle w:val="FERCparanumber"/>
        <w:numPr>
          <w:ilvl w:val="0"/>
          <w:numId w:val="0"/>
        </w:numPr>
        <w:spacing w:line="276" w:lineRule="auto"/>
        <w:rPr>
          <w:szCs w:val="26"/>
        </w:rPr>
      </w:pPr>
    </w:p>
    <w:tbl>
      <w:tblPr>
        <w:tblW w:w="486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4"/>
        <w:gridCol w:w="1444"/>
        <w:gridCol w:w="1444"/>
        <w:gridCol w:w="1530"/>
        <w:gridCol w:w="2014"/>
      </w:tblGrid>
      <w:tr w:rsidR="00C05008" w:rsidRPr="00D61A20" w14:paraId="0434BC71" w14:textId="77777777" w:rsidTr="007B203C">
        <w:trPr>
          <w:cantSplit/>
          <w:trHeight w:val="1224"/>
        </w:trPr>
        <w:tc>
          <w:tcPr>
            <w:tcW w:w="773" w:type="pct"/>
            <w:shd w:val="clear" w:color="auto" w:fill="D9D9D9"/>
            <w:vAlign w:val="bottom"/>
          </w:tcPr>
          <w:p w14:paraId="6189BFD4"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Respondent Category</w:t>
            </w:r>
          </w:p>
        </w:tc>
        <w:tc>
          <w:tcPr>
            <w:tcW w:w="775" w:type="pct"/>
            <w:shd w:val="clear" w:color="auto" w:fill="D9D9D9"/>
            <w:vAlign w:val="bottom"/>
          </w:tcPr>
          <w:p w14:paraId="7C9122BF"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Number of Respondents</w:t>
            </w:r>
          </w:p>
          <w:p w14:paraId="66EEE774"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(1)</w:t>
            </w:r>
          </w:p>
        </w:tc>
        <w:tc>
          <w:tcPr>
            <w:tcW w:w="775" w:type="pct"/>
            <w:shd w:val="clear" w:color="auto" w:fill="D9D9D9"/>
            <w:vAlign w:val="bottom"/>
          </w:tcPr>
          <w:p w14:paraId="763246E5"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Annual Number of Responses per Respondent</w:t>
            </w:r>
          </w:p>
          <w:p w14:paraId="01D6C5C4"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(2)</w:t>
            </w:r>
          </w:p>
        </w:tc>
        <w:tc>
          <w:tcPr>
            <w:tcW w:w="775" w:type="pct"/>
            <w:shd w:val="clear" w:color="auto" w:fill="D9D9D9"/>
            <w:vAlign w:val="bottom"/>
          </w:tcPr>
          <w:p w14:paraId="276DAC5F"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 xml:space="preserve">Total Number of Responses </w:t>
            </w:r>
          </w:p>
          <w:p w14:paraId="357A8CE2"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(1)*(2)=(3)</w:t>
            </w:r>
          </w:p>
        </w:tc>
        <w:tc>
          <w:tcPr>
            <w:tcW w:w="821" w:type="pct"/>
            <w:shd w:val="clear" w:color="auto" w:fill="D9D9D9"/>
            <w:vAlign w:val="bottom"/>
          </w:tcPr>
          <w:p w14:paraId="397B98D0"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Reduction in Average Burden Hours &amp; Cost per Response</w:t>
            </w:r>
            <w:r w:rsidRPr="00D61A20">
              <w:rPr>
                <w:rFonts w:ascii="Times New Roman" w:hAnsi="Times New Roman" w:cs="Times New Roman"/>
                <w:b/>
                <w:sz w:val="20"/>
                <w:szCs w:val="20"/>
                <w:vertAlign w:val="superscript"/>
              </w:rPr>
              <w:footnoteReference w:id="7"/>
            </w:r>
          </w:p>
          <w:p w14:paraId="55A22DD1"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(4)</w:t>
            </w:r>
          </w:p>
        </w:tc>
        <w:tc>
          <w:tcPr>
            <w:tcW w:w="1081" w:type="pct"/>
            <w:shd w:val="clear" w:color="auto" w:fill="D9D9D9"/>
            <w:vAlign w:val="bottom"/>
          </w:tcPr>
          <w:p w14:paraId="49C484FD"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Total Reduction in Annual Burden Hours &amp; Total Annual Cost</w:t>
            </w:r>
            <w:r w:rsidRPr="00D61A20">
              <w:rPr>
                <w:rFonts w:ascii="Times New Roman" w:hAnsi="Times New Roman" w:cs="Times New Roman"/>
                <w:b/>
                <w:sz w:val="20"/>
                <w:szCs w:val="20"/>
                <w:vertAlign w:val="superscript"/>
              </w:rPr>
              <w:footnoteReference w:id="8"/>
            </w:r>
            <w:r w:rsidRPr="00D61A20">
              <w:rPr>
                <w:rFonts w:ascii="Times New Roman" w:hAnsi="Times New Roman" w:cs="Times New Roman"/>
                <w:b/>
                <w:sz w:val="20"/>
                <w:szCs w:val="20"/>
              </w:rPr>
              <w:t xml:space="preserve"> </w:t>
            </w:r>
          </w:p>
          <w:p w14:paraId="132EC47D" w14:textId="77777777" w:rsidR="00C05008" w:rsidRPr="00D61A20" w:rsidRDefault="00C05008" w:rsidP="0040322D">
            <w:pPr>
              <w:spacing w:after="0" w:line="240" w:lineRule="auto"/>
              <w:jc w:val="center"/>
              <w:rPr>
                <w:rFonts w:ascii="Times New Roman" w:hAnsi="Times New Roman" w:cs="Times New Roman"/>
                <w:b/>
                <w:sz w:val="20"/>
                <w:szCs w:val="20"/>
              </w:rPr>
            </w:pPr>
            <w:r w:rsidRPr="00D61A20">
              <w:rPr>
                <w:rFonts w:ascii="Times New Roman" w:hAnsi="Times New Roman" w:cs="Times New Roman"/>
                <w:b/>
                <w:sz w:val="20"/>
                <w:szCs w:val="20"/>
              </w:rPr>
              <w:t>(3)*(4)=(5)</w:t>
            </w:r>
          </w:p>
        </w:tc>
      </w:tr>
      <w:tr w:rsidR="00C05008" w:rsidRPr="00D61A20" w14:paraId="755103A1" w14:textId="77777777" w:rsidTr="007B203C">
        <w:trPr>
          <w:cantSplit/>
          <w:trHeight w:val="469"/>
        </w:trPr>
        <w:tc>
          <w:tcPr>
            <w:tcW w:w="773" w:type="pct"/>
          </w:tcPr>
          <w:p w14:paraId="762DE409"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t>RTOs/ISOs</w:t>
            </w:r>
          </w:p>
        </w:tc>
        <w:tc>
          <w:tcPr>
            <w:tcW w:w="775" w:type="pct"/>
            <w:vAlign w:val="bottom"/>
          </w:tcPr>
          <w:p w14:paraId="599214D2"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t>6</w:t>
            </w:r>
          </w:p>
        </w:tc>
        <w:tc>
          <w:tcPr>
            <w:tcW w:w="775" w:type="pct"/>
            <w:vAlign w:val="bottom"/>
          </w:tcPr>
          <w:p w14:paraId="5435972D"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t>1</w:t>
            </w:r>
          </w:p>
        </w:tc>
        <w:tc>
          <w:tcPr>
            <w:tcW w:w="775" w:type="pct"/>
            <w:vAlign w:val="bottom"/>
          </w:tcPr>
          <w:p w14:paraId="26F57FDA"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6</w:t>
            </w:r>
          </w:p>
        </w:tc>
        <w:tc>
          <w:tcPr>
            <w:tcW w:w="821" w:type="pct"/>
            <w:vAlign w:val="bottom"/>
          </w:tcPr>
          <w:p w14:paraId="33369441"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6</w:t>
            </w:r>
          </w:p>
          <w:p w14:paraId="4FE25515"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$423</w:t>
            </w:r>
          </w:p>
        </w:tc>
        <w:tc>
          <w:tcPr>
            <w:tcW w:w="1081" w:type="pct"/>
            <w:vAlign w:val="bottom"/>
          </w:tcPr>
          <w:p w14:paraId="38E6EDCE"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36</w:t>
            </w:r>
          </w:p>
          <w:p w14:paraId="0E3DD640"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 xml:space="preserve">$2,538 </w:t>
            </w:r>
          </w:p>
        </w:tc>
      </w:tr>
      <w:tr w:rsidR="00C05008" w:rsidRPr="00D61A20" w14:paraId="699A8E89" w14:textId="77777777" w:rsidTr="007B203C">
        <w:trPr>
          <w:cantSplit/>
          <w:trHeight w:val="469"/>
        </w:trPr>
        <w:tc>
          <w:tcPr>
            <w:tcW w:w="773" w:type="pct"/>
          </w:tcPr>
          <w:p w14:paraId="40052209"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lastRenderedPageBreak/>
              <w:t>Filers with No Purchasers (including EWGs)</w:t>
            </w:r>
          </w:p>
        </w:tc>
        <w:tc>
          <w:tcPr>
            <w:tcW w:w="775" w:type="pct"/>
            <w:vAlign w:val="bottom"/>
          </w:tcPr>
          <w:p w14:paraId="1FF7985A"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t>880</w:t>
            </w:r>
          </w:p>
        </w:tc>
        <w:tc>
          <w:tcPr>
            <w:tcW w:w="775" w:type="pct"/>
            <w:vAlign w:val="bottom"/>
          </w:tcPr>
          <w:p w14:paraId="789C6971" w14:textId="77777777" w:rsidR="00C05008" w:rsidRPr="00D61A20" w:rsidRDefault="00C05008" w:rsidP="0040322D">
            <w:pPr>
              <w:spacing w:after="0" w:line="240" w:lineRule="auto"/>
              <w:jc w:val="right"/>
              <w:rPr>
                <w:rFonts w:ascii="Times New Roman" w:hAnsi="Times New Roman" w:cs="Times New Roman"/>
                <w:sz w:val="20"/>
                <w:szCs w:val="20"/>
              </w:rPr>
            </w:pPr>
            <w:r w:rsidRPr="00D61A20">
              <w:rPr>
                <w:rFonts w:ascii="Times New Roman" w:hAnsi="Times New Roman" w:cs="Times New Roman"/>
                <w:sz w:val="20"/>
                <w:szCs w:val="20"/>
              </w:rPr>
              <w:t>1</w:t>
            </w:r>
          </w:p>
        </w:tc>
        <w:tc>
          <w:tcPr>
            <w:tcW w:w="775" w:type="pct"/>
            <w:vAlign w:val="bottom"/>
          </w:tcPr>
          <w:p w14:paraId="23860F76"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880</w:t>
            </w:r>
          </w:p>
        </w:tc>
        <w:tc>
          <w:tcPr>
            <w:tcW w:w="821" w:type="pct"/>
            <w:vAlign w:val="bottom"/>
          </w:tcPr>
          <w:p w14:paraId="690BDBA2"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6</w:t>
            </w:r>
          </w:p>
          <w:p w14:paraId="06F5D7C8"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$423</w:t>
            </w:r>
          </w:p>
        </w:tc>
        <w:tc>
          <w:tcPr>
            <w:tcW w:w="1081" w:type="pct"/>
            <w:vAlign w:val="bottom"/>
          </w:tcPr>
          <w:p w14:paraId="2063C5C9"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5,280</w:t>
            </w:r>
          </w:p>
          <w:p w14:paraId="2EA7775A" w14:textId="77777777" w:rsidR="00C05008" w:rsidRPr="00D61A20" w:rsidRDefault="00C05008" w:rsidP="0040322D">
            <w:pPr>
              <w:spacing w:after="0" w:line="240" w:lineRule="auto"/>
              <w:jc w:val="right"/>
              <w:rPr>
                <w:rFonts w:ascii="Times New Roman" w:eastAsiaTheme="majorEastAsia" w:hAnsi="Times New Roman" w:cs="Times New Roman"/>
                <w:color w:val="243F60" w:themeColor="accent1" w:themeShade="7F"/>
                <w:sz w:val="20"/>
                <w:szCs w:val="20"/>
              </w:rPr>
            </w:pPr>
            <w:r w:rsidRPr="00D61A20">
              <w:rPr>
                <w:rFonts w:ascii="Times New Roman" w:hAnsi="Times New Roman" w:cs="Times New Roman"/>
                <w:sz w:val="20"/>
                <w:szCs w:val="20"/>
              </w:rPr>
              <w:t>$372,240</w:t>
            </w:r>
          </w:p>
        </w:tc>
      </w:tr>
      <w:tr w:rsidR="00C05008" w:rsidRPr="00D61A20" w14:paraId="31945FB9" w14:textId="77777777" w:rsidTr="00E46FB6">
        <w:trPr>
          <w:cantSplit/>
          <w:trHeight w:val="469"/>
        </w:trPr>
        <w:tc>
          <w:tcPr>
            <w:tcW w:w="773" w:type="pct"/>
          </w:tcPr>
          <w:p w14:paraId="695B0B9D" w14:textId="77777777" w:rsidR="00C05008" w:rsidRPr="00D61A20" w:rsidRDefault="00C05008" w:rsidP="0040322D">
            <w:pPr>
              <w:spacing w:after="0" w:line="240" w:lineRule="auto"/>
              <w:jc w:val="right"/>
              <w:rPr>
                <w:rFonts w:ascii="Times New Roman" w:hAnsi="Times New Roman" w:cs="Times New Roman"/>
                <w:b/>
                <w:sz w:val="20"/>
                <w:szCs w:val="20"/>
              </w:rPr>
            </w:pPr>
            <w:r w:rsidRPr="00D61A20">
              <w:rPr>
                <w:rFonts w:ascii="Times New Roman" w:hAnsi="Times New Roman" w:cs="Times New Roman"/>
                <w:b/>
                <w:sz w:val="20"/>
                <w:szCs w:val="20"/>
              </w:rPr>
              <w:t>Total Reduction</w:t>
            </w:r>
          </w:p>
        </w:tc>
        <w:tc>
          <w:tcPr>
            <w:tcW w:w="1550" w:type="pct"/>
            <w:gridSpan w:val="2"/>
            <w:shd w:val="clear" w:color="auto" w:fill="D9D9D9" w:themeFill="background1" w:themeFillShade="D9"/>
            <w:vAlign w:val="bottom"/>
          </w:tcPr>
          <w:p w14:paraId="64D96AD0" w14:textId="77777777" w:rsidR="00C05008" w:rsidRPr="00D61A20" w:rsidRDefault="00C05008" w:rsidP="0040322D">
            <w:pPr>
              <w:spacing w:after="0" w:line="240" w:lineRule="auto"/>
              <w:jc w:val="right"/>
              <w:rPr>
                <w:rFonts w:ascii="Times New Roman" w:hAnsi="Times New Roman" w:cs="Times New Roman"/>
                <w:b/>
                <w:sz w:val="20"/>
                <w:szCs w:val="20"/>
              </w:rPr>
            </w:pPr>
          </w:p>
        </w:tc>
        <w:tc>
          <w:tcPr>
            <w:tcW w:w="775" w:type="pct"/>
            <w:vAlign w:val="bottom"/>
          </w:tcPr>
          <w:p w14:paraId="03E3932B" w14:textId="77777777" w:rsidR="00C05008" w:rsidRPr="00D61A20" w:rsidRDefault="00C05008" w:rsidP="0040322D">
            <w:pPr>
              <w:spacing w:after="0" w:line="240" w:lineRule="auto"/>
              <w:jc w:val="right"/>
              <w:rPr>
                <w:rFonts w:ascii="Times New Roman" w:hAnsi="Times New Roman" w:cs="Times New Roman"/>
                <w:b/>
                <w:sz w:val="20"/>
                <w:szCs w:val="20"/>
              </w:rPr>
            </w:pPr>
            <w:r w:rsidRPr="00D61A20">
              <w:rPr>
                <w:rFonts w:ascii="Times New Roman" w:hAnsi="Times New Roman" w:cs="Times New Roman"/>
                <w:b/>
                <w:sz w:val="20"/>
                <w:szCs w:val="20"/>
              </w:rPr>
              <w:t>886</w:t>
            </w:r>
          </w:p>
        </w:tc>
        <w:tc>
          <w:tcPr>
            <w:tcW w:w="821" w:type="pct"/>
            <w:shd w:val="clear" w:color="auto" w:fill="D9D9D9" w:themeFill="background1" w:themeFillShade="D9"/>
            <w:vAlign w:val="bottom"/>
          </w:tcPr>
          <w:p w14:paraId="4C9197C9" w14:textId="77777777" w:rsidR="00C05008" w:rsidRPr="00D61A20" w:rsidRDefault="00C05008" w:rsidP="0040322D">
            <w:pPr>
              <w:spacing w:after="0" w:line="240" w:lineRule="auto"/>
              <w:jc w:val="right"/>
              <w:rPr>
                <w:rFonts w:ascii="Times New Roman" w:hAnsi="Times New Roman" w:cs="Times New Roman"/>
                <w:b/>
                <w:sz w:val="20"/>
                <w:szCs w:val="20"/>
              </w:rPr>
            </w:pPr>
          </w:p>
        </w:tc>
        <w:tc>
          <w:tcPr>
            <w:tcW w:w="1081" w:type="pct"/>
            <w:vAlign w:val="bottom"/>
          </w:tcPr>
          <w:p w14:paraId="0878D895" w14:textId="77777777" w:rsidR="00C05008" w:rsidRPr="00D61A20" w:rsidRDefault="00C05008" w:rsidP="0040322D">
            <w:pPr>
              <w:spacing w:after="0" w:line="240" w:lineRule="auto"/>
              <w:jc w:val="right"/>
              <w:rPr>
                <w:rFonts w:ascii="Times New Roman" w:eastAsiaTheme="majorEastAsia" w:hAnsi="Times New Roman" w:cs="Times New Roman"/>
                <w:b/>
                <w:color w:val="243F60" w:themeColor="accent1" w:themeShade="7F"/>
                <w:sz w:val="20"/>
                <w:szCs w:val="20"/>
              </w:rPr>
            </w:pPr>
            <w:r w:rsidRPr="00D61A20">
              <w:rPr>
                <w:rFonts w:ascii="Times New Roman" w:hAnsi="Times New Roman" w:cs="Times New Roman"/>
                <w:b/>
                <w:sz w:val="20"/>
                <w:szCs w:val="20"/>
              </w:rPr>
              <w:t>5,316</w:t>
            </w:r>
          </w:p>
          <w:p w14:paraId="1F198873" w14:textId="77777777" w:rsidR="00C05008" w:rsidRPr="00D61A20" w:rsidRDefault="00C05008" w:rsidP="0040322D">
            <w:pPr>
              <w:spacing w:after="0" w:line="240" w:lineRule="auto"/>
              <w:jc w:val="right"/>
              <w:rPr>
                <w:rFonts w:ascii="Times New Roman" w:eastAsiaTheme="majorEastAsia" w:hAnsi="Times New Roman" w:cs="Times New Roman"/>
                <w:b/>
                <w:color w:val="243F60" w:themeColor="accent1" w:themeShade="7F"/>
                <w:sz w:val="20"/>
                <w:szCs w:val="20"/>
              </w:rPr>
            </w:pPr>
            <w:r w:rsidRPr="00D61A20">
              <w:rPr>
                <w:rFonts w:ascii="Times New Roman" w:hAnsi="Times New Roman" w:cs="Times New Roman"/>
                <w:b/>
                <w:sz w:val="20"/>
                <w:szCs w:val="20"/>
              </w:rPr>
              <w:t>$374,778</w:t>
            </w:r>
          </w:p>
        </w:tc>
      </w:tr>
    </w:tbl>
    <w:p w14:paraId="4C96CC19" w14:textId="77777777" w:rsidR="000A2DAE" w:rsidRDefault="000A2DAE" w:rsidP="00183F28">
      <w:pPr>
        <w:spacing w:after="0"/>
        <w:rPr>
          <w:rFonts w:ascii="Times New Roman" w:hAnsi="Times New Roman" w:cs="Times New Roman"/>
          <w:sz w:val="24"/>
          <w:szCs w:val="24"/>
        </w:rPr>
      </w:pPr>
    </w:p>
    <w:p w14:paraId="6304E8C5" w14:textId="504B4E83" w:rsidR="00140843" w:rsidRDefault="0082011B" w:rsidP="00183F28">
      <w:pPr>
        <w:spacing w:after="0"/>
        <w:rPr>
          <w:rFonts w:ascii="Times New Roman" w:hAnsi="Times New Roman" w:cs="Times New Roman"/>
          <w:sz w:val="24"/>
          <w:szCs w:val="24"/>
        </w:rPr>
      </w:pPr>
      <w:r>
        <w:rPr>
          <w:rFonts w:ascii="Times New Roman" w:hAnsi="Times New Roman" w:cs="Times New Roman"/>
          <w:sz w:val="24"/>
          <w:szCs w:val="24"/>
        </w:rPr>
        <w:t>The ave</w:t>
      </w:r>
      <w:r w:rsidR="008F3C72">
        <w:rPr>
          <w:rFonts w:ascii="Times New Roman" w:hAnsi="Times New Roman" w:cs="Times New Roman"/>
          <w:sz w:val="24"/>
          <w:szCs w:val="24"/>
        </w:rPr>
        <w:t>rage burden per response</w:t>
      </w:r>
      <w:r>
        <w:rPr>
          <w:rFonts w:ascii="Times New Roman" w:hAnsi="Times New Roman" w:cs="Times New Roman"/>
          <w:sz w:val="24"/>
          <w:szCs w:val="24"/>
        </w:rPr>
        <w:t xml:space="preserve"> </w:t>
      </w:r>
      <w:r w:rsidR="003D7751">
        <w:rPr>
          <w:rFonts w:ascii="Times New Roman" w:hAnsi="Times New Roman" w:cs="Times New Roman"/>
          <w:sz w:val="24"/>
          <w:szCs w:val="24"/>
        </w:rPr>
        <w:t xml:space="preserve">for </w:t>
      </w:r>
      <w:r w:rsidR="00CE01E6">
        <w:rPr>
          <w:rFonts w:ascii="Times New Roman" w:hAnsi="Times New Roman" w:cs="Times New Roman"/>
          <w:sz w:val="24"/>
          <w:szCs w:val="24"/>
        </w:rPr>
        <w:t>FERC-566 remains</w:t>
      </w:r>
      <w:r>
        <w:rPr>
          <w:rFonts w:ascii="Times New Roman" w:hAnsi="Times New Roman" w:cs="Times New Roman"/>
          <w:sz w:val="24"/>
          <w:szCs w:val="24"/>
        </w:rPr>
        <w:t xml:space="preserve"> the same as in the previous clearance.</w:t>
      </w:r>
    </w:p>
    <w:p w14:paraId="34357B09" w14:textId="77777777" w:rsidR="001D0689" w:rsidRDefault="001D0689" w:rsidP="00183F28">
      <w:pPr>
        <w:spacing w:after="0"/>
        <w:rPr>
          <w:rFonts w:ascii="Times New Roman" w:hAnsi="Times New Roman" w:cs="Times New Roman"/>
          <w:sz w:val="24"/>
          <w:szCs w:val="24"/>
        </w:rPr>
      </w:pPr>
    </w:p>
    <w:p w14:paraId="42AE9A3A" w14:textId="77777777" w:rsidR="001D0689" w:rsidRDefault="001D0689" w:rsidP="001D0689">
      <w:pPr>
        <w:spacing w:after="0"/>
        <w:rPr>
          <w:rFonts w:ascii="Times New Roman" w:hAnsi="Times New Roman" w:cs="Times New Roman"/>
          <w:sz w:val="24"/>
          <w:szCs w:val="24"/>
        </w:rPr>
      </w:pPr>
      <w:r w:rsidRPr="00CE2491">
        <w:rPr>
          <w:rFonts w:ascii="Times New Roman" w:hAnsi="Times New Roman" w:cs="Times New Roman"/>
          <w:sz w:val="24"/>
          <w:szCs w:val="24"/>
        </w:rPr>
        <w:t>The</w:t>
      </w:r>
      <w:r>
        <w:rPr>
          <w:rFonts w:ascii="Times New Roman" w:hAnsi="Times New Roman" w:cs="Times New Roman"/>
          <w:sz w:val="24"/>
          <w:szCs w:val="24"/>
        </w:rPr>
        <w:t xml:space="preserve"> table below illustrates how the estimated burden differs from the burden currently approved by OMB.</w:t>
      </w:r>
    </w:p>
    <w:p w14:paraId="50769FCC" w14:textId="77777777" w:rsidR="00A628FB" w:rsidRDefault="00A628FB"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814E0F" w:rsidRPr="00D80FBD" w14:paraId="26B3D199" w14:textId="77777777" w:rsidTr="00814E0F">
        <w:trPr>
          <w:trHeight w:val="870"/>
        </w:trPr>
        <w:tc>
          <w:tcPr>
            <w:tcW w:w="2679" w:type="dxa"/>
            <w:shd w:val="clear" w:color="auto" w:fill="D9D9D9"/>
            <w:vAlign w:val="bottom"/>
          </w:tcPr>
          <w:p w14:paraId="71DD37A3" w14:textId="77777777" w:rsidR="00814E0F" w:rsidRPr="00D80FBD" w:rsidRDefault="00814E0F" w:rsidP="00814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FERC-566</w:t>
            </w:r>
          </w:p>
        </w:tc>
        <w:tc>
          <w:tcPr>
            <w:tcW w:w="1461" w:type="dxa"/>
            <w:shd w:val="clear" w:color="auto" w:fill="D9D9D9"/>
            <w:vAlign w:val="bottom"/>
          </w:tcPr>
          <w:p w14:paraId="4EAC62F2"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465CCC22"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7110159B"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1119D2AC"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814E0F" w:rsidRPr="00D80FBD" w14:paraId="5A2A8740" w14:textId="77777777" w:rsidTr="00814E0F">
        <w:trPr>
          <w:trHeight w:val="591"/>
        </w:trPr>
        <w:tc>
          <w:tcPr>
            <w:tcW w:w="2679" w:type="dxa"/>
            <w:shd w:val="clear" w:color="auto" w:fill="auto"/>
          </w:tcPr>
          <w:p w14:paraId="5B7CAE80"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93F4F1F" w14:textId="4AF46300" w:rsidR="00814E0F" w:rsidRPr="00FC440E" w:rsidRDefault="00C0500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196</w:t>
            </w:r>
          </w:p>
        </w:tc>
        <w:tc>
          <w:tcPr>
            <w:tcW w:w="1620" w:type="dxa"/>
            <w:shd w:val="clear" w:color="auto" w:fill="auto"/>
            <w:vAlign w:val="center"/>
          </w:tcPr>
          <w:p w14:paraId="6CCB444E" w14:textId="7EF1034B" w:rsidR="00814E0F" w:rsidRPr="00D80FBD" w:rsidRDefault="00D27579"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1,082</w:t>
            </w:r>
          </w:p>
        </w:tc>
        <w:tc>
          <w:tcPr>
            <w:tcW w:w="1800" w:type="dxa"/>
            <w:shd w:val="clear" w:color="auto" w:fill="auto"/>
            <w:vAlign w:val="center"/>
          </w:tcPr>
          <w:p w14:paraId="4D0861B1" w14:textId="2DFF40A0" w:rsidR="00814E0F" w:rsidRPr="00D80FBD" w:rsidRDefault="0027086C"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559898CB" w14:textId="0AEE280F" w:rsidR="00814E0F" w:rsidRPr="00D80FBD" w:rsidRDefault="003D0A4A"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-886</w:t>
            </w:r>
          </w:p>
        </w:tc>
      </w:tr>
      <w:tr w:rsidR="00814E0F" w:rsidRPr="00D80FBD" w14:paraId="4C65FFD2" w14:textId="77777777" w:rsidTr="00814E0F">
        <w:trPr>
          <w:trHeight w:val="575"/>
        </w:trPr>
        <w:tc>
          <w:tcPr>
            <w:tcW w:w="2679" w:type="dxa"/>
            <w:shd w:val="clear" w:color="auto" w:fill="auto"/>
          </w:tcPr>
          <w:p w14:paraId="2C93847C"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324E418B" w14:textId="1C019EB7" w:rsidR="00814E0F" w:rsidRPr="00427D79" w:rsidRDefault="00C0500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5C1C62">
              <w:rPr>
                <w:rFonts w:ascii="Times New Roman" w:hAnsi="Times New Roman" w:cs="Times New Roman"/>
                <w:sz w:val="24"/>
                <w:szCs w:val="24"/>
              </w:rPr>
              <w:t>,</w:t>
            </w:r>
            <w:r>
              <w:rPr>
                <w:rFonts w:ascii="Times New Roman" w:hAnsi="Times New Roman" w:cs="Times New Roman"/>
                <w:sz w:val="24"/>
                <w:szCs w:val="24"/>
              </w:rPr>
              <w:t>176</w:t>
            </w:r>
          </w:p>
        </w:tc>
        <w:tc>
          <w:tcPr>
            <w:tcW w:w="1620" w:type="dxa"/>
            <w:shd w:val="clear" w:color="auto" w:fill="auto"/>
            <w:vAlign w:val="center"/>
          </w:tcPr>
          <w:p w14:paraId="7F3549AF" w14:textId="4203C113" w:rsidR="00814E0F" w:rsidRPr="00427D79" w:rsidRDefault="00D27579"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6,492</w:t>
            </w:r>
          </w:p>
        </w:tc>
        <w:tc>
          <w:tcPr>
            <w:tcW w:w="1800" w:type="dxa"/>
            <w:shd w:val="clear" w:color="auto" w:fill="auto"/>
            <w:vAlign w:val="center"/>
          </w:tcPr>
          <w:p w14:paraId="3A58B6C3" w14:textId="3984DBD9" w:rsidR="00814E0F" w:rsidRPr="00427D79" w:rsidRDefault="0027086C"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86817CD" w14:textId="0D6CA5AB" w:rsidR="00814E0F" w:rsidRPr="00427D79" w:rsidRDefault="003D0A4A"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5C1C62">
              <w:rPr>
                <w:rFonts w:ascii="Times New Roman" w:hAnsi="Times New Roman" w:cs="Times New Roman"/>
                <w:sz w:val="24"/>
                <w:szCs w:val="24"/>
              </w:rPr>
              <w:t>,</w:t>
            </w:r>
            <w:r>
              <w:rPr>
                <w:rFonts w:ascii="Times New Roman" w:hAnsi="Times New Roman" w:cs="Times New Roman"/>
                <w:sz w:val="24"/>
                <w:szCs w:val="24"/>
              </w:rPr>
              <w:t>316</w:t>
            </w:r>
          </w:p>
        </w:tc>
      </w:tr>
      <w:tr w:rsidR="00814E0F" w:rsidRPr="00D80FBD" w14:paraId="509A4BA0" w14:textId="77777777" w:rsidTr="00814E0F">
        <w:trPr>
          <w:trHeight w:val="295"/>
        </w:trPr>
        <w:tc>
          <w:tcPr>
            <w:tcW w:w="2679" w:type="dxa"/>
            <w:tcBorders>
              <w:bottom w:val="single" w:sz="4" w:space="0" w:color="auto"/>
            </w:tcBorders>
            <w:shd w:val="clear" w:color="auto" w:fill="auto"/>
          </w:tcPr>
          <w:p w14:paraId="0013E7F2"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16B5DB6D"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59AF9407"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3FCEB737"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857851B"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4A542BD7" w14:textId="77777777" w:rsidR="00814E0F" w:rsidRPr="00A276F5" w:rsidRDefault="00814E0F" w:rsidP="00A276F5">
      <w:pPr>
        <w:spacing w:after="0"/>
        <w:rPr>
          <w:rFonts w:ascii="Times New Roman" w:hAnsi="Times New Roman" w:cs="Times New Roman"/>
          <w:sz w:val="24"/>
          <w:szCs w:val="24"/>
        </w:rPr>
      </w:pPr>
    </w:p>
    <w:p w14:paraId="1A22B478" w14:textId="77777777" w:rsidR="00A276F5" w:rsidRPr="00414F32" w:rsidRDefault="00414F32" w:rsidP="003D0A4A">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40721F82" w14:textId="77777777" w:rsidR="00414F32" w:rsidRDefault="00414F32" w:rsidP="00414F32">
      <w:pPr>
        <w:spacing w:after="0"/>
        <w:rPr>
          <w:rFonts w:ascii="Times New Roman" w:hAnsi="Times New Roman" w:cs="Times New Roman"/>
          <w:sz w:val="24"/>
          <w:szCs w:val="24"/>
        </w:rPr>
      </w:pPr>
    </w:p>
    <w:p w14:paraId="752F95BD" w14:textId="7E1A6BEA"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There are no tabulating, statistical or publication plans for th</w:t>
      </w:r>
      <w:r w:rsidR="00060D8B">
        <w:rPr>
          <w:rFonts w:ascii="Times New Roman" w:hAnsi="Times New Roman" w:cs="Times New Roman"/>
          <w:sz w:val="24"/>
          <w:szCs w:val="24"/>
        </w:rPr>
        <w:t>is</w:t>
      </w:r>
      <w:r w:rsidRPr="005F6467">
        <w:rPr>
          <w:rFonts w:ascii="Times New Roman" w:hAnsi="Times New Roman" w:cs="Times New Roman"/>
          <w:sz w:val="24"/>
          <w:szCs w:val="24"/>
        </w:rPr>
        <w:t xml:space="preserve"> collection of information.  </w:t>
      </w:r>
      <w:bookmarkStart w:id="1" w:name="_GoBack"/>
      <w:bookmarkEnd w:id="1"/>
    </w:p>
    <w:p w14:paraId="3D9079DB" w14:textId="77777777" w:rsidR="00414F32" w:rsidRPr="00414F32" w:rsidRDefault="00414F32" w:rsidP="00414F32">
      <w:pPr>
        <w:spacing w:after="0"/>
        <w:rPr>
          <w:rFonts w:ascii="Times New Roman" w:hAnsi="Times New Roman" w:cs="Times New Roman"/>
          <w:sz w:val="24"/>
          <w:szCs w:val="24"/>
        </w:rPr>
      </w:pPr>
    </w:p>
    <w:p w14:paraId="6A9FACAF" w14:textId="77777777" w:rsidR="00414F32" w:rsidRPr="00414F32" w:rsidRDefault="00414F32" w:rsidP="003D0A4A">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0AB0A585" w14:textId="5AD42CC3" w:rsidR="00980039" w:rsidRDefault="009C0BA0" w:rsidP="009C0BA0">
      <w:pPr>
        <w:spacing w:after="0"/>
        <w:rPr>
          <w:rFonts w:ascii="Times New Roman" w:hAnsi="Times New Roman" w:cs="Times New Roman"/>
          <w:sz w:val="24"/>
          <w:szCs w:val="24"/>
        </w:rPr>
      </w:pPr>
      <w:r>
        <w:rPr>
          <w:rFonts w:ascii="Times New Roman" w:hAnsi="Times New Roman" w:cs="Times New Roman"/>
          <w:sz w:val="24"/>
          <w:szCs w:val="24"/>
        </w:rPr>
        <w:br/>
        <w:t>The expiration date</w:t>
      </w:r>
      <w:r w:rsidR="00A57031">
        <w:rPr>
          <w:rFonts w:ascii="Times New Roman" w:hAnsi="Times New Roman" w:cs="Times New Roman"/>
          <w:sz w:val="24"/>
          <w:szCs w:val="24"/>
        </w:rPr>
        <w:t>s</w:t>
      </w:r>
      <w:r w:rsidRPr="00E84A39">
        <w:rPr>
          <w:rFonts w:ascii="Times New Roman" w:hAnsi="Times New Roman" w:cs="Times New Roman"/>
          <w:sz w:val="24"/>
          <w:szCs w:val="24"/>
        </w:rPr>
        <w:t xml:space="preserve"> </w:t>
      </w:r>
      <w:r w:rsidR="00A57031">
        <w:rPr>
          <w:rFonts w:ascii="Times New Roman" w:hAnsi="Times New Roman" w:cs="Times New Roman"/>
          <w:sz w:val="24"/>
          <w:szCs w:val="24"/>
        </w:rPr>
        <w:t>are</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3"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r w:rsidR="00814E0F">
        <w:rPr>
          <w:rFonts w:ascii="Times New Roman" w:hAnsi="Times New Roman" w:cs="Times New Roman"/>
          <w:sz w:val="24"/>
          <w:szCs w:val="24"/>
        </w:rPr>
        <w:t xml:space="preserve">  </w:t>
      </w:r>
      <w:r w:rsidR="007E5650">
        <w:rPr>
          <w:rFonts w:ascii="Times New Roman" w:hAnsi="Times New Roman" w:cs="Times New Roman"/>
          <w:sz w:val="24"/>
          <w:szCs w:val="24"/>
        </w:rPr>
        <w:t>It is also displa</w:t>
      </w:r>
      <w:r w:rsidR="00E46FB6">
        <w:rPr>
          <w:rFonts w:ascii="Times New Roman" w:hAnsi="Times New Roman" w:cs="Times New Roman"/>
          <w:sz w:val="24"/>
          <w:szCs w:val="24"/>
        </w:rPr>
        <w:t xml:space="preserve">yed on the preferred format at </w:t>
      </w:r>
      <w:hyperlink r:id="rId14" w:history="1">
        <w:r w:rsidR="007E5650" w:rsidRPr="00254977">
          <w:rPr>
            <w:rStyle w:val="Hyperlink"/>
            <w:rFonts w:ascii="Times New Roman" w:hAnsi="Times New Roman" w:cs="Times New Roman"/>
            <w:sz w:val="24"/>
            <w:szCs w:val="24"/>
          </w:rPr>
          <w:t>http://www.ferc.gov/docs-filing/forms/form-566/preferred-format.xls</w:t>
        </w:r>
      </w:hyperlink>
      <w:r w:rsidR="007E5650">
        <w:rPr>
          <w:rFonts w:ascii="Times New Roman" w:hAnsi="Times New Roman" w:cs="Times New Roman"/>
          <w:sz w:val="24"/>
          <w:szCs w:val="24"/>
        </w:rPr>
        <w:t xml:space="preserve"> .</w:t>
      </w:r>
    </w:p>
    <w:p w14:paraId="35CAA108" w14:textId="77777777" w:rsidR="00980039" w:rsidRDefault="00980039" w:rsidP="009C0BA0">
      <w:pPr>
        <w:spacing w:after="0"/>
        <w:rPr>
          <w:rFonts w:ascii="Times New Roman" w:hAnsi="Times New Roman" w:cs="Times New Roman"/>
          <w:sz w:val="24"/>
          <w:szCs w:val="24"/>
        </w:rPr>
      </w:pPr>
    </w:p>
    <w:p w14:paraId="74F9447C" w14:textId="77777777" w:rsidR="009C0BA0" w:rsidRPr="00414F32" w:rsidRDefault="009C0BA0" w:rsidP="003D0A4A">
      <w:pPr>
        <w:tabs>
          <w:tab w:val="left" w:pos="3870"/>
        </w:tabs>
        <w:spacing w:after="0"/>
        <w:rPr>
          <w:rFonts w:ascii="Times New Roman" w:hAnsi="Times New Roman" w:cs="Times New Roman"/>
          <w:sz w:val="24"/>
          <w:szCs w:val="24"/>
        </w:rPr>
      </w:pPr>
    </w:p>
    <w:p w14:paraId="19C53818" w14:textId="77777777" w:rsidR="00414F32" w:rsidRDefault="00414F32" w:rsidP="003D0A4A">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05ABB0" w14:textId="77777777" w:rsidR="0057700F" w:rsidRDefault="0057700F" w:rsidP="0057700F">
      <w:pPr>
        <w:spacing w:after="0"/>
        <w:rPr>
          <w:rFonts w:ascii="Times New Roman" w:hAnsi="Times New Roman" w:cs="Times New Roman"/>
          <w:b/>
          <w:sz w:val="24"/>
          <w:szCs w:val="24"/>
        </w:rPr>
      </w:pPr>
    </w:p>
    <w:p w14:paraId="7A9856E6" w14:textId="77777777" w:rsidR="00414F32" w:rsidRPr="007A2F92" w:rsidRDefault="006039B3" w:rsidP="00980039">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sectPr w:rsidR="00414F32" w:rsidRPr="007A2F92" w:rsidSect="0078771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AED6" w14:textId="77777777" w:rsidR="003119B1" w:rsidRDefault="003119B1" w:rsidP="00FD66F1">
      <w:pPr>
        <w:spacing w:after="0" w:line="240" w:lineRule="auto"/>
      </w:pPr>
      <w:r>
        <w:separator/>
      </w:r>
    </w:p>
  </w:endnote>
  <w:endnote w:type="continuationSeparator" w:id="0">
    <w:p w14:paraId="2BC6D75A" w14:textId="77777777" w:rsidR="003119B1" w:rsidRDefault="003119B1"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41CD1D89" w14:textId="77777777" w:rsidR="00814E0F" w:rsidRPr="001C6553" w:rsidRDefault="008B0D49">
        <w:pPr>
          <w:pStyle w:val="Footer"/>
          <w:jc w:val="right"/>
          <w:rPr>
            <w:rFonts w:ascii="Times New Roman" w:hAnsi="Times New Roman" w:cs="Times New Roman"/>
          </w:rPr>
        </w:pPr>
        <w:r w:rsidRPr="001C6553">
          <w:rPr>
            <w:rFonts w:ascii="Times New Roman" w:hAnsi="Times New Roman" w:cs="Times New Roman"/>
          </w:rPr>
          <w:fldChar w:fldCharType="begin"/>
        </w:r>
        <w:r w:rsidR="00814E0F"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2C2D1D">
          <w:rPr>
            <w:rFonts w:ascii="Times New Roman" w:hAnsi="Times New Roman" w:cs="Times New Roman"/>
            <w:noProof/>
          </w:rPr>
          <w:t>6</w:t>
        </w:r>
        <w:r w:rsidRPr="001C6553">
          <w:rPr>
            <w:rFonts w:ascii="Times New Roman" w:hAnsi="Times New Roman" w:cs="Times New Roman"/>
            <w:noProof/>
          </w:rPr>
          <w:fldChar w:fldCharType="end"/>
        </w:r>
      </w:p>
    </w:sdtContent>
  </w:sdt>
  <w:p w14:paraId="74F2E8CF" w14:textId="77777777" w:rsidR="00814E0F" w:rsidRDefault="00814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F67AF" w14:textId="77777777" w:rsidR="003119B1" w:rsidRDefault="003119B1" w:rsidP="00FD66F1">
      <w:pPr>
        <w:spacing w:after="0" w:line="240" w:lineRule="auto"/>
      </w:pPr>
      <w:r>
        <w:separator/>
      </w:r>
    </w:p>
  </w:footnote>
  <w:footnote w:type="continuationSeparator" w:id="0">
    <w:p w14:paraId="1CFB3197" w14:textId="77777777" w:rsidR="003119B1" w:rsidRDefault="003119B1" w:rsidP="00FD66F1">
      <w:pPr>
        <w:spacing w:after="0" w:line="240" w:lineRule="auto"/>
      </w:pPr>
      <w:r>
        <w:continuationSeparator/>
      </w:r>
    </w:p>
  </w:footnote>
  <w:footnote w:id="1">
    <w:p w14:paraId="721AFE5B" w14:textId="77777777" w:rsidR="006D53E7" w:rsidRDefault="006D53E7" w:rsidP="006D53E7">
      <w:pPr>
        <w:pStyle w:val="FootnoteText"/>
      </w:pPr>
      <w:r>
        <w:rPr>
          <w:rStyle w:val="FootnoteReference"/>
        </w:rPr>
        <w:footnoteRef/>
      </w:r>
      <w:r>
        <w:t xml:space="preserve"> </w:t>
      </w:r>
      <w:proofErr w:type="gramStart"/>
      <w:r>
        <w:t>16 U.S.C. 825d(c) (2012).</w:t>
      </w:r>
      <w:proofErr w:type="gramEnd"/>
    </w:p>
  </w:footnote>
  <w:footnote w:id="2">
    <w:p w14:paraId="45A7EB86" w14:textId="77777777" w:rsidR="00814E0F" w:rsidRPr="00A573D7" w:rsidRDefault="00814E0F" w:rsidP="00A573D7">
      <w:pPr>
        <w:pStyle w:val="FootnoteText"/>
        <w:rPr>
          <w:highlight w:val="yellow"/>
        </w:rPr>
      </w:pPr>
      <w:r w:rsidRPr="00A573D7">
        <w:rPr>
          <w:rStyle w:val="FootnoteReference"/>
        </w:rPr>
        <w:footnoteRef/>
      </w:r>
      <w:r w:rsidRPr="00A573D7">
        <w:t xml:space="preserve"> 79 FR 12191</w:t>
      </w:r>
    </w:p>
  </w:footnote>
  <w:footnote w:id="3">
    <w:p w14:paraId="56033EFB" w14:textId="77777777" w:rsidR="00814E0F" w:rsidRPr="00BD4A05" w:rsidRDefault="00814E0F" w:rsidP="00A573D7">
      <w:pPr>
        <w:pStyle w:val="FootnoteText"/>
      </w:pPr>
      <w:r w:rsidRPr="00A573D7">
        <w:rPr>
          <w:rStyle w:val="FootnoteReference"/>
        </w:rPr>
        <w:footnoteRef/>
      </w:r>
      <w:r w:rsidRPr="00A573D7">
        <w:t xml:space="preserve"> 79 FR 38870</w:t>
      </w:r>
    </w:p>
  </w:footnote>
  <w:footnote w:id="4">
    <w:p w14:paraId="0ADDCFB2" w14:textId="4A240E61" w:rsidR="00F51F4F" w:rsidRPr="002C2D1D" w:rsidRDefault="00F51F4F">
      <w:pPr>
        <w:pStyle w:val="FootnoteText"/>
        <w:rPr>
          <w:sz w:val="24"/>
          <w:szCs w:val="24"/>
        </w:rPr>
      </w:pPr>
      <w:r w:rsidRPr="002C2D1D">
        <w:rPr>
          <w:rStyle w:val="FootnoteReference"/>
          <w:sz w:val="24"/>
          <w:szCs w:val="24"/>
        </w:rPr>
        <w:footnoteRef/>
      </w:r>
      <w:r w:rsidRPr="002C2D1D">
        <w:rPr>
          <w:sz w:val="24"/>
          <w:szCs w:val="24"/>
        </w:rPr>
        <w:t xml:space="preserve"> We are using an estimate for 2014 of $70.50 per hour, based on the average salary plus benefits for an FERC employee.  We assume that industry respondents earn at a similar rate.    </w:t>
      </w:r>
    </w:p>
  </w:footnote>
  <w:footnote w:id="5">
    <w:p w14:paraId="52A48E97" w14:textId="0DFF1558" w:rsidR="00021DDC" w:rsidRDefault="00021DDC" w:rsidP="00021DDC">
      <w:pPr>
        <w:pStyle w:val="FootnoteText"/>
      </w:pPr>
      <w:r>
        <w:rPr>
          <w:rStyle w:val="FootnoteReference"/>
        </w:rPr>
        <w:footnoteRef/>
      </w:r>
      <w:r>
        <w:t xml:space="preserve"> Based upon 2014 FTE average salary plus benefits ($146,591)</w:t>
      </w:r>
    </w:p>
  </w:footnote>
  <w:footnote w:id="6">
    <w:p w14:paraId="3997DFDD" w14:textId="249A6A0F" w:rsidR="00814E0F" w:rsidRPr="00BD4A05" w:rsidRDefault="00814E0F" w:rsidP="00CE0ACF">
      <w:pPr>
        <w:pStyle w:val="FootnoteText"/>
      </w:pPr>
      <w:r w:rsidRPr="00BD4A05">
        <w:rPr>
          <w:rStyle w:val="FootnoteReference"/>
        </w:rPr>
        <w:footnoteRef/>
      </w:r>
      <w:r>
        <w:t xml:space="preserve"> The PRA Administrative Cost is a Federal Cost associated with preparing, issuing, and submitting materials necessary to comply with the Paperwork Reduction Act (PRA).  </w:t>
      </w:r>
    </w:p>
  </w:footnote>
  <w:footnote w:id="7">
    <w:p w14:paraId="534BC98E" w14:textId="77777777" w:rsidR="00C05008" w:rsidRDefault="00C05008" w:rsidP="00C05008">
      <w:pPr>
        <w:pStyle w:val="FootnoteText"/>
      </w:pPr>
      <w:r w:rsidRPr="00297D65">
        <w:rPr>
          <w:rStyle w:val="FootnoteReference"/>
        </w:rPr>
        <w:footnoteRef/>
      </w:r>
      <w:r w:rsidRPr="00297D65">
        <w:t xml:space="preserve"> The estimates for cost per response are derived using the following formula: </w:t>
      </w:r>
      <w:r>
        <w:t xml:space="preserve">Burden Hours per Response * $70.50/hour = Cost per Response.  The $70.50/hour figure is based on the average salary plus benefits for a FERC employee.  We assume that industry respondents earn at a similar rate.    </w:t>
      </w:r>
    </w:p>
  </w:footnote>
  <w:footnote w:id="8">
    <w:p w14:paraId="1D801EC9" w14:textId="77777777" w:rsidR="00C05008" w:rsidRDefault="00C05008" w:rsidP="00C05008">
      <w:pPr>
        <w:pStyle w:val="FootnoteText"/>
      </w:pPr>
      <w:r w:rsidRPr="003229A7">
        <w:rPr>
          <w:rStyle w:val="FootnoteReference"/>
        </w:rPr>
        <w:footnoteRef/>
      </w:r>
      <w:r w:rsidRPr="00297D65">
        <w:t xml:space="preserve"> Total Annual Burden Hours </w:t>
      </w:r>
      <w:r w:rsidRPr="009522D1">
        <w:t>* $70.50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F96D" w14:textId="77777777" w:rsidR="00814E0F" w:rsidRDefault="00814E0F" w:rsidP="00DB596C">
    <w:pPr>
      <w:pStyle w:val="Header"/>
      <w:rPr>
        <w:rFonts w:ascii="Times New Roman" w:hAnsi="Times New Roman" w:cs="Times New Roman"/>
        <w:sz w:val="24"/>
        <w:szCs w:val="24"/>
      </w:rPr>
    </w:pPr>
    <w:r>
      <w:rPr>
        <w:rFonts w:ascii="Times New Roman" w:hAnsi="Times New Roman" w:cs="Times New Roman"/>
        <w:sz w:val="24"/>
        <w:szCs w:val="24"/>
      </w:rPr>
      <w:t>FERC-566 (OMB Control No.: 1902-0114)</w:t>
    </w:r>
  </w:p>
  <w:p w14:paraId="4B605822" w14:textId="68460B19" w:rsidR="00F724F3" w:rsidRDefault="00454DCA" w:rsidP="00DB596C">
    <w:pPr>
      <w:pStyle w:val="Header"/>
      <w:rPr>
        <w:rFonts w:ascii="Times New Roman" w:hAnsi="Times New Roman" w:cs="Times New Roman"/>
        <w:sz w:val="24"/>
        <w:szCs w:val="24"/>
      </w:rPr>
    </w:pPr>
    <w:r>
      <w:rPr>
        <w:rFonts w:ascii="Times New Roman" w:hAnsi="Times New Roman" w:cs="Times New Roman"/>
        <w:sz w:val="24"/>
        <w:szCs w:val="24"/>
      </w:rPr>
      <w:t xml:space="preserve">NOPR (issued 12/18/2014) in </w:t>
    </w:r>
    <w:r w:rsidR="00F724F3" w:rsidRPr="00FE4D5A">
      <w:rPr>
        <w:rFonts w:ascii="Times New Roman" w:hAnsi="Times New Roman" w:cs="Times New Roman"/>
        <w:sz w:val="24"/>
        <w:szCs w:val="24"/>
      </w:rPr>
      <w:t xml:space="preserve">Docket No. </w:t>
    </w:r>
    <w:r w:rsidR="00057AF7">
      <w:rPr>
        <w:rFonts w:ascii="Times New Roman" w:hAnsi="Times New Roman" w:cs="Times New Roman"/>
        <w:sz w:val="23"/>
        <w:szCs w:val="23"/>
      </w:rPr>
      <w:t>RM15-3; RIN: 1</w:t>
    </w:r>
    <w:r w:rsidRPr="00454DCA">
      <w:rPr>
        <w:rFonts w:ascii="Times New Roman" w:hAnsi="Times New Roman" w:cs="Times New Roman"/>
        <w:sz w:val="23"/>
        <w:szCs w:val="23"/>
      </w:rPr>
      <w:t>902-AE95</w:t>
    </w:r>
  </w:p>
  <w:p w14:paraId="38F38F62" w14:textId="77777777" w:rsidR="00814E0F" w:rsidRDefault="00814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00429"/>
    <w:multiLevelType w:val="hybridMultilevel"/>
    <w:tmpl w:val="9E4C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CC1895"/>
    <w:multiLevelType w:val="hybridMultilevel"/>
    <w:tmpl w:val="E68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0"/>
  </w:num>
  <w:num w:numId="6">
    <w:abstractNumId w:val="7"/>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1508"/>
    <w:rsid w:val="00011B32"/>
    <w:rsid w:val="00021DDC"/>
    <w:rsid w:val="00021DFC"/>
    <w:rsid w:val="0002242D"/>
    <w:rsid w:val="00026CD3"/>
    <w:rsid w:val="00035845"/>
    <w:rsid w:val="00057AF7"/>
    <w:rsid w:val="00060D8B"/>
    <w:rsid w:val="0007063B"/>
    <w:rsid w:val="00074DC8"/>
    <w:rsid w:val="0008093E"/>
    <w:rsid w:val="00083529"/>
    <w:rsid w:val="00084650"/>
    <w:rsid w:val="00085FB6"/>
    <w:rsid w:val="0008703B"/>
    <w:rsid w:val="000877AE"/>
    <w:rsid w:val="000934BE"/>
    <w:rsid w:val="000A2DAE"/>
    <w:rsid w:val="000B0C37"/>
    <w:rsid w:val="000B32BC"/>
    <w:rsid w:val="000D037F"/>
    <w:rsid w:val="000E4801"/>
    <w:rsid w:val="000F4642"/>
    <w:rsid w:val="00106E70"/>
    <w:rsid w:val="00111FB8"/>
    <w:rsid w:val="00121107"/>
    <w:rsid w:val="00140843"/>
    <w:rsid w:val="00143103"/>
    <w:rsid w:val="0015010C"/>
    <w:rsid w:val="00174598"/>
    <w:rsid w:val="00181727"/>
    <w:rsid w:val="00183F28"/>
    <w:rsid w:val="00185730"/>
    <w:rsid w:val="00185DE6"/>
    <w:rsid w:val="00187E14"/>
    <w:rsid w:val="00192C00"/>
    <w:rsid w:val="001A2BDD"/>
    <w:rsid w:val="001B1B27"/>
    <w:rsid w:val="001C11F0"/>
    <w:rsid w:val="001C6553"/>
    <w:rsid w:val="001D0689"/>
    <w:rsid w:val="001D7069"/>
    <w:rsid w:val="001E3D20"/>
    <w:rsid w:val="00221C79"/>
    <w:rsid w:val="00245828"/>
    <w:rsid w:val="00247D5A"/>
    <w:rsid w:val="002565D6"/>
    <w:rsid w:val="0026674D"/>
    <w:rsid w:val="0027086C"/>
    <w:rsid w:val="00271956"/>
    <w:rsid w:val="00275101"/>
    <w:rsid w:val="002813D2"/>
    <w:rsid w:val="00290BB4"/>
    <w:rsid w:val="002A09EB"/>
    <w:rsid w:val="002B13E2"/>
    <w:rsid w:val="002B7793"/>
    <w:rsid w:val="002C2D1D"/>
    <w:rsid w:val="002C59C1"/>
    <w:rsid w:val="002C7E0E"/>
    <w:rsid w:val="002D47D9"/>
    <w:rsid w:val="002F3B4E"/>
    <w:rsid w:val="002F582B"/>
    <w:rsid w:val="003119B1"/>
    <w:rsid w:val="003229A7"/>
    <w:rsid w:val="00327DFF"/>
    <w:rsid w:val="00342296"/>
    <w:rsid w:val="003559FE"/>
    <w:rsid w:val="00363551"/>
    <w:rsid w:val="00366CB8"/>
    <w:rsid w:val="00393E6E"/>
    <w:rsid w:val="00396D74"/>
    <w:rsid w:val="003A1D86"/>
    <w:rsid w:val="003A2CE6"/>
    <w:rsid w:val="003B66FD"/>
    <w:rsid w:val="003C0C1E"/>
    <w:rsid w:val="003C2B85"/>
    <w:rsid w:val="003C5844"/>
    <w:rsid w:val="003D0A4A"/>
    <w:rsid w:val="003D7751"/>
    <w:rsid w:val="003E175F"/>
    <w:rsid w:val="003F4DED"/>
    <w:rsid w:val="0040322D"/>
    <w:rsid w:val="004033F4"/>
    <w:rsid w:val="00412297"/>
    <w:rsid w:val="0041251C"/>
    <w:rsid w:val="00414F32"/>
    <w:rsid w:val="004237AB"/>
    <w:rsid w:val="00427D79"/>
    <w:rsid w:val="00454DCA"/>
    <w:rsid w:val="004611BD"/>
    <w:rsid w:val="00466BC1"/>
    <w:rsid w:val="00467593"/>
    <w:rsid w:val="0047331E"/>
    <w:rsid w:val="00476526"/>
    <w:rsid w:val="004817EC"/>
    <w:rsid w:val="004866C0"/>
    <w:rsid w:val="00487D59"/>
    <w:rsid w:val="00491966"/>
    <w:rsid w:val="00497E9F"/>
    <w:rsid w:val="004A35B0"/>
    <w:rsid w:val="004A6CE8"/>
    <w:rsid w:val="004C4C89"/>
    <w:rsid w:val="004D7B6B"/>
    <w:rsid w:val="004E3048"/>
    <w:rsid w:val="004F6977"/>
    <w:rsid w:val="00500D47"/>
    <w:rsid w:val="005013FC"/>
    <w:rsid w:val="00504D1E"/>
    <w:rsid w:val="00522F69"/>
    <w:rsid w:val="00524FE0"/>
    <w:rsid w:val="0053150C"/>
    <w:rsid w:val="0053287C"/>
    <w:rsid w:val="0053567F"/>
    <w:rsid w:val="00546642"/>
    <w:rsid w:val="00557ABE"/>
    <w:rsid w:val="00557B7A"/>
    <w:rsid w:val="00571C5E"/>
    <w:rsid w:val="00576390"/>
    <w:rsid w:val="00576C6E"/>
    <w:rsid w:val="0057700F"/>
    <w:rsid w:val="00584DD5"/>
    <w:rsid w:val="00594065"/>
    <w:rsid w:val="005A2229"/>
    <w:rsid w:val="005A2792"/>
    <w:rsid w:val="005A2C6F"/>
    <w:rsid w:val="005A4BB6"/>
    <w:rsid w:val="005B6C12"/>
    <w:rsid w:val="005B77CE"/>
    <w:rsid w:val="005C1C62"/>
    <w:rsid w:val="005F1C3C"/>
    <w:rsid w:val="00602AD1"/>
    <w:rsid w:val="006039B3"/>
    <w:rsid w:val="00615BC7"/>
    <w:rsid w:val="006166FA"/>
    <w:rsid w:val="00626BE4"/>
    <w:rsid w:val="00645188"/>
    <w:rsid w:val="00652B0E"/>
    <w:rsid w:val="00664BC0"/>
    <w:rsid w:val="00666AF6"/>
    <w:rsid w:val="0068509E"/>
    <w:rsid w:val="00685D44"/>
    <w:rsid w:val="00690136"/>
    <w:rsid w:val="006A0DFC"/>
    <w:rsid w:val="006A6B05"/>
    <w:rsid w:val="006B3C52"/>
    <w:rsid w:val="006D53E7"/>
    <w:rsid w:val="006E056C"/>
    <w:rsid w:val="00702D51"/>
    <w:rsid w:val="00713351"/>
    <w:rsid w:val="0071716F"/>
    <w:rsid w:val="0074425C"/>
    <w:rsid w:val="0076593E"/>
    <w:rsid w:val="00771D7D"/>
    <w:rsid w:val="00773AEB"/>
    <w:rsid w:val="00774DD5"/>
    <w:rsid w:val="007801DB"/>
    <w:rsid w:val="00781AA0"/>
    <w:rsid w:val="00785CD2"/>
    <w:rsid w:val="007866A1"/>
    <w:rsid w:val="00787670"/>
    <w:rsid w:val="00787716"/>
    <w:rsid w:val="007929E3"/>
    <w:rsid w:val="007A2F92"/>
    <w:rsid w:val="007B0D03"/>
    <w:rsid w:val="007C150D"/>
    <w:rsid w:val="007C73AA"/>
    <w:rsid w:val="007D692C"/>
    <w:rsid w:val="007E1621"/>
    <w:rsid w:val="007E310A"/>
    <w:rsid w:val="007E5650"/>
    <w:rsid w:val="007E7C0F"/>
    <w:rsid w:val="007F1015"/>
    <w:rsid w:val="007F1F0F"/>
    <w:rsid w:val="007F261A"/>
    <w:rsid w:val="007F57C9"/>
    <w:rsid w:val="008038EF"/>
    <w:rsid w:val="00814E0F"/>
    <w:rsid w:val="00816F15"/>
    <w:rsid w:val="0082011B"/>
    <w:rsid w:val="0082369C"/>
    <w:rsid w:val="00833486"/>
    <w:rsid w:val="00840327"/>
    <w:rsid w:val="008443F3"/>
    <w:rsid w:val="0085568F"/>
    <w:rsid w:val="008619E1"/>
    <w:rsid w:val="00867AF1"/>
    <w:rsid w:val="00876F75"/>
    <w:rsid w:val="0089247D"/>
    <w:rsid w:val="00897D1E"/>
    <w:rsid w:val="008A21A4"/>
    <w:rsid w:val="008B0D49"/>
    <w:rsid w:val="008B59AF"/>
    <w:rsid w:val="008B5BBF"/>
    <w:rsid w:val="008B703B"/>
    <w:rsid w:val="008C0B89"/>
    <w:rsid w:val="008C17EA"/>
    <w:rsid w:val="008C288D"/>
    <w:rsid w:val="008C2D58"/>
    <w:rsid w:val="008C5283"/>
    <w:rsid w:val="008D0F5E"/>
    <w:rsid w:val="008D4507"/>
    <w:rsid w:val="008E70CD"/>
    <w:rsid w:val="008F3C72"/>
    <w:rsid w:val="0090438A"/>
    <w:rsid w:val="00905C9A"/>
    <w:rsid w:val="00913A8B"/>
    <w:rsid w:val="00917EBA"/>
    <w:rsid w:val="00924D41"/>
    <w:rsid w:val="00934B37"/>
    <w:rsid w:val="009513E9"/>
    <w:rsid w:val="00970FE4"/>
    <w:rsid w:val="00980039"/>
    <w:rsid w:val="00981F1D"/>
    <w:rsid w:val="00994DAC"/>
    <w:rsid w:val="00996108"/>
    <w:rsid w:val="00996C89"/>
    <w:rsid w:val="009B4D01"/>
    <w:rsid w:val="009C0BA0"/>
    <w:rsid w:val="009D19A0"/>
    <w:rsid w:val="009E1190"/>
    <w:rsid w:val="009F2946"/>
    <w:rsid w:val="009F504B"/>
    <w:rsid w:val="00A0495C"/>
    <w:rsid w:val="00A138B7"/>
    <w:rsid w:val="00A26F9A"/>
    <w:rsid w:val="00A276F5"/>
    <w:rsid w:val="00A30942"/>
    <w:rsid w:val="00A47294"/>
    <w:rsid w:val="00A50AE9"/>
    <w:rsid w:val="00A57031"/>
    <w:rsid w:val="00A573D7"/>
    <w:rsid w:val="00A61669"/>
    <w:rsid w:val="00A628FB"/>
    <w:rsid w:val="00A65F32"/>
    <w:rsid w:val="00A72C17"/>
    <w:rsid w:val="00A72E7B"/>
    <w:rsid w:val="00A96B65"/>
    <w:rsid w:val="00A9704D"/>
    <w:rsid w:val="00AA5BCE"/>
    <w:rsid w:val="00AC17C5"/>
    <w:rsid w:val="00AD3DE5"/>
    <w:rsid w:val="00AE0D4C"/>
    <w:rsid w:val="00AE5DA5"/>
    <w:rsid w:val="00AF496D"/>
    <w:rsid w:val="00B03585"/>
    <w:rsid w:val="00B05A7D"/>
    <w:rsid w:val="00B13770"/>
    <w:rsid w:val="00B2153C"/>
    <w:rsid w:val="00B24807"/>
    <w:rsid w:val="00B33F2B"/>
    <w:rsid w:val="00B50450"/>
    <w:rsid w:val="00B81C6C"/>
    <w:rsid w:val="00BA1C7D"/>
    <w:rsid w:val="00BA7C56"/>
    <w:rsid w:val="00BB10F0"/>
    <w:rsid w:val="00BC2D53"/>
    <w:rsid w:val="00BD3FCB"/>
    <w:rsid w:val="00BD4A05"/>
    <w:rsid w:val="00BE5048"/>
    <w:rsid w:val="00BF3479"/>
    <w:rsid w:val="00BF5172"/>
    <w:rsid w:val="00C01698"/>
    <w:rsid w:val="00C05008"/>
    <w:rsid w:val="00C265E7"/>
    <w:rsid w:val="00C303E3"/>
    <w:rsid w:val="00C32B18"/>
    <w:rsid w:val="00C3607B"/>
    <w:rsid w:val="00C510DD"/>
    <w:rsid w:val="00C62B86"/>
    <w:rsid w:val="00C64E97"/>
    <w:rsid w:val="00C70921"/>
    <w:rsid w:val="00C8575E"/>
    <w:rsid w:val="00C85AF9"/>
    <w:rsid w:val="00C95045"/>
    <w:rsid w:val="00CA1F17"/>
    <w:rsid w:val="00CA495F"/>
    <w:rsid w:val="00CA59C3"/>
    <w:rsid w:val="00CA641E"/>
    <w:rsid w:val="00CB7F1C"/>
    <w:rsid w:val="00CD3816"/>
    <w:rsid w:val="00CD7608"/>
    <w:rsid w:val="00CD7F63"/>
    <w:rsid w:val="00CE01E6"/>
    <w:rsid w:val="00CE0ACF"/>
    <w:rsid w:val="00CE2491"/>
    <w:rsid w:val="00CF0301"/>
    <w:rsid w:val="00CF1EFD"/>
    <w:rsid w:val="00CF7005"/>
    <w:rsid w:val="00D200A9"/>
    <w:rsid w:val="00D27579"/>
    <w:rsid w:val="00D567C1"/>
    <w:rsid w:val="00D61A20"/>
    <w:rsid w:val="00D66EF2"/>
    <w:rsid w:val="00D80FBD"/>
    <w:rsid w:val="00D86DD0"/>
    <w:rsid w:val="00DA14A7"/>
    <w:rsid w:val="00DB0C8C"/>
    <w:rsid w:val="00DB596C"/>
    <w:rsid w:val="00DC4E36"/>
    <w:rsid w:val="00DD0231"/>
    <w:rsid w:val="00DE7B47"/>
    <w:rsid w:val="00DF5061"/>
    <w:rsid w:val="00E065C5"/>
    <w:rsid w:val="00E11CA6"/>
    <w:rsid w:val="00E14565"/>
    <w:rsid w:val="00E14C03"/>
    <w:rsid w:val="00E15721"/>
    <w:rsid w:val="00E15E64"/>
    <w:rsid w:val="00E20612"/>
    <w:rsid w:val="00E35735"/>
    <w:rsid w:val="00E441A0"/>
    <w:rsid w:val="00E46FB6"/>
    <w:rsid w:val="00E531F6"/>
    <w:rsid w:val="00E636D7"/>
    <w:rsid w:val="00E73E1A"/>
    <w:rsid w:val="00E86C7F"/>
    <w:rsid w:val="00E87A4F"/>
    <w:rsid w:val="00E953E9"/>
    <w:rsid w:val="00E97EA9"/>
    <w:rsid w:val="00EA2F2D"/>
    <w:rsid w:val="00EA4A75"/>
    <w:rsid w:val="00EA53E8"/>
    <w:rsid w:val="00EB3E6F"/>
    <w:rsid w:val="00EB55CF"/>
    <w:rsid w:val="00EC19DF"/>
    <w:rsid w:val="00EC1D23"/>
    <w:rsid w:val="00ED3BA2"/>
    <w:rsid w:val="00ED5469"/>
    <w:rsid w:val="00ED5560"/>
    <w:rsid w:val="00EE1351"/>
    <w:rsid w:val="00F011AD"/>
    <w:rsid w:val="00F02788"/>
    <w:rsid w:val="00F12DC2"/>
    <w:rsid w:val="00F152DF"/>
    <w:rsid w:val="00F20C2E"/>
    <w:rsid w:val="00F37B77"/>
    <w:rsid w:val="00F51F4F"/>
    <w:rsid w:val="00F52CDD"/>
    <w:rsid w:val="00F52FA7"/>
    <w:rsid w:val="00F63DF4"/>
    <w:rsid w:val="00F724F3"/>
    <w:rsid w:val="00F838BF"/>
    <w:rsid w:val="00F95633"/>
    <w:rsid w:val="00FD609E"/>
    <w:rsid w:val="00FD66F1"/>
    <w:rsid w:val="00FE2317"/>
    <w:rsid w:val="00FE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5D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qFormat/>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53150C"/>
    <w:rPr>
      <w:rFonts w:ascii="Times New Roman" w:eastAsia="Times New Roman" w:hAnsi="Times New Roman" w:cs="Times New Roman"/>
      <w:sz w:val="26"/>
      <w:szCs w:val="24"/>
    </w:rPr>
  </w:style>
  <w:style w:type="character" w:customStyle="1" w:styleId="FERCparanumberChar1">
    <w:name w:val="FERC paranumber Char1"/>
    <w:rsid w:val="00D61A20"/>
    <w:rPr>
      <w:sz w:val="26"/>
      <w:szCs w:val="24"/>
      <w:lang w:bidi="ar-SA"/>
    </w:rPr>
  </w:style>
  <w:style w:type="paragraph" w:styleId="Revision">
    <w:name w:val="Revision"/>
    <w:hidden/>
    <w:uiPriority w:val="99"/>
    <w:semiHidden/>
    <w:rsid w:val="00060D8B"/>
    <w:pPr>
      <w:spacing w:after="0" w:line="240" w:lineRule="auto"/>
    </w:pPr>
  </w:style>
  <w:style w:type="paragraph" w:customStyle="1" w:styleId="Default">
    <w:name w:val="Default"/>
    <w:rsid w:val="00FE4D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qFormat/>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53150C"/>
    <w:rPr>
      <w:rFonts w:ascii="Times New Roman" w:eastAsia="Times New Roman" w:hAnsi="Times New Roman" w:cs="Times New Roman"/>
      <w:sz w:val="26"/>
      <w:szCs w:val="24"/>
    </w:rPr>
  </w:style>
  <w:style w:type="character" w:customStyle="1" w:styleId="FERCparanumberChar1">
    <w:name w:val="FERC paranumber Char1"/>
    <w:rsid w:val="00D61A20"/>
    <w:rPr>
      <w:sz w:val="26"/>
      <w:szCs w:val="24"/>
      <w:lang w:bidi="ar-SA"/>
    </w:rPr>
  </w:style>
  <w:style w:type="paragraph" w:styleId="Revision">
    <w:name w:val="Revision"/>
    <w:hidden/>
    <w:uiPriority w:val="99"/>
    <w:semiHidden/>
    <w:rsid w:val="00060D8B"/>
    <w:pPr>
      <w:spacing w:after="0" w:line="240" w:lineRule="auto"/>
    </w:pPr>
  </w:style>
  <w:style w:type="paragraph" w:customStyle="1" w:styleId="Default">
    <w:name w:val="Default"/>
    <w:rsid w:val="00FE4D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forms/form-566/preferred-forma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566</_x0031__x002e__x0020_Collection_x0020_Number>
    <Date xmlns="d6eefc7d-9817-4fa6-84d5-3bc009be21b8">2015-02-02T00:00:00-05:00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RM15-3</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0428-5C03-43B7-9221-B699E5C1AEBA}">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d6eefc7d-9817-4fa6-84d5-3bc009be21b8"/>
    <ds:schemaRef ds:uri="http://schemas.microsoft.com/office/2006/metadata/properties"/>
  </ds:schemaRefs>
</ds:datastoreItem>
</file>

<file path=customXml/itemProps2.xml><?xml version="1.0" encoding="utf-8"?>
<ds:datastoreItem xmlns:ds="http://schemas.openxmlformats.org/officeDocument/2006/customXml" ds:itemID="{7D83BFD9-2AF0-4D80-9FB1-AE510163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58C82-F849-4F78-B3A9-C6E015EEA019}">
  <ds:schemaRefs>
    <ds:schemaRef ds:uri="http://schemas.microsoft.com/sharepoint/v3/contenttype/forms"/>
  </ds:schemaRefs>
</ds:datastoreItem>
</file>

<file path=customXml/itemProps4.xml><?xml version="1.0" encoding="utf-8"?>
<ds:datastoreItem xmlns:ds="http://schemas.openxmlformats.org/officeDocument/2006/customXml" ds:itemID="{992E5C5C-6E97-48F3-ABEC-BB392CE268CD}">
  <ds:schemaRefs>
    <ds:schemaRef ds:uri="http://schemas.microsoft.com/office/2006/metadata/customXsn"/>
  </ds:schemaRefs>
</ds:datastoreItem>
</file>

<file path=customXml/itemProps5.xml><?xml version="1.0" encoding="utf-8"?>
<ds:datastoreItem xmlns:ds="http://schemas.openxmlformats.org/officeDocument/2006/customXml" ds:itemID="{1847AC88-CD95-4F90-8AFA-60D9B2F7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2015-02-02T15:19:00Z</dcterms:created>
  <dcterms:modified xsi:type="dcterms:W3CDTF">2015-02-02T15:20:00Z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