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25FF4" w14:textId="77777777" w:rsidR="00CA4CD6" w:rsidRDefault="00FA7D7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7B07BF3F" w14:textId="77777777" w:rsidR="00CA4CD6" w:rsidRDefault="00CA4CD6" w:rsidP="00504745">
      <w:pPr>
        <w:tabs>
          <w:tab w:val="center" w:pos="4680"/>
        </w:tabs>
        <w:outlineLvl w:val="0"/>
      </w:pPr>
      <w:r>
        <w:rPr>
          <w:b/>
          <w:bCs/>
        </w:rPr>
        <w:tab/>
        <w:t>ENVIRONMENTAL PROTECTION AGENCY</w:t>
      </w:r>
    </w:p>
    <w:p w14:paraId="7340C926" w14:textId="77777777" w:rsidR="00CA4CD6" w:rsidRDefault="00CA4CD6">
      <w:pPr>
        <w:tabs>
          <w:tab w:val="center" w:pos="4680"/>
        </w:tabs>
      </w:pPr>
      <w:r>
        <w:tab/>
      </w:r>
    </w:p>
    <w:p w14:paraId="17719AFD" w14:textId="77777777" w:rsidR="00CA4CD6" w:rsidRPr="00CB12E2" w:rsidRDefault="00CB12E2" w:rsidP="005F0152">
      <w:r w:rsidRPr="00CB12E2">
        <w:rPr>
          <w:b/>
          <w:bCs/>
        </w:rPr>
        <w:t xml:space="preserve">NESHAP for Chemical Recovery Combustion Sources at Kraft, Soda, Sulfite, and Stand-Alone </w:t>
      </w:r>
      <w:proofErr w:type="spellStart"/>
      <w:r w:rsidRPr="00CB12E2">
        <w:rPr>
          <w:b/>
          <w:bCs/>
        </w:rPr>
        <w:t>Semichemical</w:t>
      </w:r>
      <w:proofErr w:type="spellEnd"/>
      <w:r w:rsidRPr="00CB12E2">
        <w:rPr>
          <w:b/>
          <w:bCs/>
        </w:rPr>
        <w:t xml:space="preserve"> Pulp Mills </w:t>
      </w:r>
      <w:r w:rsidR="002B29A5" w:rsidRPr="00CB12E2">
        <w:rPr>
          <w:b/>
        </w:rPr>
        <w:t xml:space="preserve">(40 CFR Part 63, Subpart </w:t>
      </w:r>
      <w:r w:rsidRPr="00CB12E2">
        <w:rPr>
          <w:b/>
        </w:rPr>
        <w:t>MM</w:t>
      </w:r>
      <w:r w:rsidR="002B29A5" w:rsidRPr="00CB12E2">
        <w:rPr>
          <w:b/>
        </w:rPr>
        <w:t>) (Renewal)</w:t>
      </w:r>
      <w:r w:rsidR="00CA4CD6" w:rsidRPr="00CB12E2">
        <w:t xml:space="preserve"> </w:t>
      </w:r>
    </w:p>
    <w:p w14:paraId="7C5389D6" w14:textId="77777777" w:rsidR="00CA4CD6" w:rsidRDefault="00CA4CD6">
      <w:pPr>
        <w:rPr>
          <w:color w:val="000000"/>
        </w:rPr>
      </w:pPr>
    </w:p>
    <w:p w14:paraId="2BDBE435" w14:textId="77777777" w:rsidR="00CA4CD6" w:rsidRDefault="00CA4CD6" w:rsidP="00504745">
      <w:pPr>
        <w:outlineLvl w:val="0"/>
        <w:rPr>
          <w:b/>
          <w:bCs/>
          <w:color w:val="000000"/>
        </w:rPr>
      </w:pPr>
      <w:r>
        <w:rPr>
          <w:b/>
          <w:bCs/>
          <w:color w:val="000000"/>
        </w:rPr>
        <w:t>1.  Identification of the Information Collection</w:t>
      </w:r>
    </w:p>
    <w:p w14:paraId="2DCE9CB2" w14:textId="77777777" w:rsidR="00CA4CD6" w:rsidRDefault="00CA4CD6">
      <w:pPr>
        <w:rPr>
          <w:b/>
          <w:bCs/>
          <w:color w:val="000000"/>
        </w:rPr>
      </w:pPr>
    </w:p>
    <w:p w14:paraId="6A5E3187"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3A9EF238" w14:textId="77777777" w:rsidR="00CA4CD6" w:rsidRPr="003C3641" w:rsidRDefault="00CA4CD6">
      <w:pPr>
        <w:rPr>
          <w:b/>
          <w:bCs/>
        </w:rPr>
      </w:pPr>
    </w:p>
    <w:p w14:paraId="7EBF1094" w14:textId="77777777" w:rsidR="00CA4CD6" w:rsidRPr="002B29A5" w:rsidRDefault="00CB12E2" w:rsidP="002B29A5">
      <w:pPr>
        <w:rPr>
          <w:bCs/>
          <w:color w:val="000000"/>
        </w:rPr>
      </w:pPr>
      <w:r w:rsidRPr="003C3641">
        <w:rPr>
          <w:bCs/>
        </w:rPr>
        <w:t xml:space="preserve">NESHAP for Chemical Recovery Combustion Sources at Kraft, Soda, Sulfite, and Stand-Alone </w:t>
      </w:r>
      <w:proofErr w:type="spellStart"/>
      <w:r w:rsidRPr="003C3641">
        <w:rPr>
          <w:bCs/>
        </w:rPr>
        <w:t>Semichemical</w:t>
      </w:r>
      <w:proofErr w:type="spellEnd"/>
      <w:r w:rsidRPr="003C3641">
        <w:rPr>
          <w:bCs/>
        </w:rPr>
        <w:t xml:space="preserve"> Pulp Mills </w:t>
      </w:r>
      <w:r w:rsidR="002B29A5" w:rsidRPr="003C3641">
        <w:rPr>
          <w:bCs/>
        </w:rPr>
        <w:t>(40 CFR Part 63, Subpart</w:t>
      </w:r>
      <w:r w:rsidRPr="003C3641">
        <w:rPr>
          <w:bCs/>
        </w:rPr>
        <w:t xml:space="preserve"> MM</w:t>
      </w:r>
      <w:r w:rsidR="002B29A5" w:rsidRPr="003C3641">
        <w:rPr>
          <w:bCs/>
        </w:rPr>
        <w:t xml:space="preserve">) (Renewal), EPA ICR Number </w:t>
      </w:r>
      <w:r w:rsidR="003C3641" w:rsidRPr="003C3641">
        <w:rPr>
          <w:bCs/>
        </w:rPr>
        <w:t>1805.07</w:t>
      </w:r>
      <w:r w:rsidR="002B29A5" w:rsidRPr="003C3641">
        <w:rPr>
          <w:bCs/>
        </w:rPr>
        <w:t>, OMB Control Number 2060-</w:t>
      </w:r>
      <w:r w:rsidR="003C3641" w:rsidRPr="003C3641">
        <w:rPr>
          <w:bCs/>
        </w:rPr>
        <w:t>0377</w:t>
      </w:r>
      <w:r w:rsidR="002B29A5" w:rsidRPr="003C3641">
        <w:rPr>
          <w:bCs/>
        </w:rPr>
        <w:t>.</w:t>
      </w:r>
      <w:r w:rsidR="002B29A5">
        <w:rPr>
          <w:bCs/>
          <w:color w:val="FF0000"/>
        </w:rPr>
        <w:t xml:space="preserve"> </w:t>
      </w:r>
    </w:p>
    <w:p w14:paraId="02EBED7D" w14:textId="77777777" w:rsidR="00CA4CD6" w:rsidRDefault="00CA4CD6">
      <w:pPr>
        <w:rPr>
          <w:b/>
          <w:bCs/>
          <w:color w:val="000000"/>
        </w:rPr>
      </w:pPr>
    </w:p>
    <w:p w14:paraId="3002814B" w14:textId="77777777" w:rsidR="00CA4CD6" w:rsidRDefault="00CA4CD6" w:rsidP="00DD15A5">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r>
        <w:rPr>
          <w:color w:val="FF0000"/>
        </w:rPr>
        <w:tab/>
      </w:r>
    </w:p>
    <w:p w14:paraId="6B26EC84" w14:textId="77777777" w:rsidR="00CA4CD6" w:rsidRDefault="00CA4CD6">
      <w:pPr>
        <w:rPr>
          <w:color w:val="000000"/>
        </w:rPr>
      </w:pPr>
    </w:p>
    <w:p w14:paraId="4F4C85BA" w14:textId="77777777" w:rsidR="00CA4CD6" w:rsidRPr="00424775" w:rsidRDefault="00CA4CD6">
      <w:pPr>
        <w:ind w:firstLine="720"/>
      </w:pPr>
      <w:r>
        <w:rPr>
          <w:color w:val="000000"/>
        </w:rPr>
        <w:t xml:space="preserve">The </w:t>
      </w:r>
      <w:r w:rsidR="00FA7D77" w:rsidRPr="00FA7D77">
        <w:t xml:space="preserve">National Emission Standards for Hazardous Air Pollutants (NESHAP) for </w:t>
      </w:r>
      <w:r w:rsidR="00264140">
        <w:t xml:space="preserve">Chemical Recovery Combustion Sources at Kraft, Soda, Sulfite, and Stand-Alone </w:t>
      </w:r>
      <w:proofErr w:type="spellStart"/>
      <w:r w:rsidR="00264140">
        <w:t>Semichemical</w:t>
      </w:r>
      <w:proofErr w:type="spellEnd"/>
      <w:r w:rsidR="00264140">
        <w:t xml:space="preserve"> Pulp Mills</w:t>
      </w:r>
      <w:r w:rsidR="00FA7D77" w:rsidRPr="00FA7D77">
        <w:t xml:space="preserve"> were proposed </w:t>
      </w:r>
      <w:r w:rsidR="003C3641" w:rsidRPr="00424775">
        <w:t>April 15, 1998,</w:t>
      </w:r>
      <w:r w:rsidR="00795A42">
        <w:t xml:space="preserve"> promulgated on January 12, 2001</w:t>
      </w:r>
      <w:r w:rsidR="00264140">
        <w:t xml:space="preserve">, and </w:t>
      </w:r>
      <w:r w:rsidR="000D0728">
        <w:t xml:space="preserve">most recently </w:t>
      </w:r>
      <w:r w:rsidR="00264140">
        <w:t xml:space="preserve">amended on </w:t>
      </w:r>
      <w:r w:rsidR="000906B7">
        <w:t>April 20, 2006</w:t>
      </w:r>
      <w:r w:rsidR="003C3641" w:rsidRPr="00424775">
        <w:t>.</w:t>
      </w:r>
      <w:r w:rsidR="00FA7D77" w:rsidRPr="00FA7D77">
        <w:t xml:space="preserve">  These regulations apply to existing and new </w:t>
      </w:r>
      <w:r w:rsidR="003C3641" w:rsidRPr="00424775">
        <w:t xml:space="preserve">chemical recovery combustion sources at kraft, soda, sulfite, and stand-alone </w:t>
      </w:r>
      <w:proofErr w:type="spellStart"/>
      <w:r w:rsidR="003C3641" w:rsidRPr="00424775">
        <w:t>semichemical</w:t>
      </w:r>
      <w:proofErr w:type="spellEnd"/>
      <w:r w:rsidR="003C3641" w:rsidRPr="00424775">
        <w:t xml:space="preserve"> pulp mills where the total hazardous air pollutants (</w:t>
      </w:r>
      <w:proofErr w:type="spellStart"/>
      <w:r w:rsidR="003C3641" w:rsidRPr="00424775">
        <w:t>HAPs</w:t>
      </w:r>
      <w:proofErr w:type="spellEnd"/>
      <w:r w:rsidR="003C3641" w:rsidRPr="00424775">
        <w:t>) emitt</w:t>
      </w:r>
      <w:r w:rsidR="00795A42">
        <w:t xml:space="preserve">ed are greater than or equal to 10 tons per year of any one HAP; or where the total </w:t>
      </w:r>
      <w:proofErr w:type="spellStart"/>
      <w:r w:rsidR="00795A42">
        <w:t>HAPs</w:t>
      </w:r>
      <w:proofErr w:type="spellEnd"/>
      <w:r w:rsidR="00795A42">
        <w:t xml:space="preserve"> emitted are greater than or equal to 25 tons per year of any combination of </w:t>
      </w:r>
      <w:proofErr w:type="spellStart"/>
      <w:r w:rsidR="00795A42">
        <w:t>HAPs</w:t>
      </w:r>
      <w:proofErr w:type="spellEnd"/>
      <w:r w:rsidR="00FA7D77" w:rsidRPr="00FA7D77">
        <w:t>.  New facilities include those that commenced construction or reconstruction after the date of proposal.  This information is being collected to assure compliance with 40 CFR Part 63, Subpart MM.</w:t>
      </w:r>
    </w:p>
    <w:p w14:paraId="45B3217D" w14:textId="77777777" w:rsidR="00CA4CD6" w:rsidRPr="00424775" w:rsidRDefault="00CA4CD6"/>
    <w:p w14:paraId="041887FD" w14:textId="77777777" w:rsidR="00CA4CD6" w:rsidRPr="00424775" w:rsidRDefault="00FA7D77">
      <w:pPr>
        <w:ind w:firstLine="720"/>
      </w:pPr>
      <w:r w:rsidRPr="00FA7D77">
        <w:t xml:space="preserve">In general, all NESHAP standards require initial notifications, performance tests, and </w:t>
      </w:r>
      <w:proofErr w:type="gramStart"/>
      <w:r w:rsidRPr="00FA7D77">
        <w:t>periodic</w:t>
      </w:r>
      <w:proofErr w:type="gramEnd"/>
      <w:r w:rsidRPr="00FA7D77">
        <w:t xml:space="preserve">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14:paraId="3C25A4A4" w14:textId="77777777" w:rsidR="00CA4CD6" w:rsidRPr="00424775" w:rsidRDefault="00CA4CD6"/>
    <w:p w14:paraId="0B29F61B" w14:textId="77777777" w:rsidR="00CA4CD6" w:rsidRDefault="00FA7D77" w:rsidP="00DD15A5">
      <w:pPr>
        <w:pBdr>
          <w:top w:val="single" w:sz="6" w:space="0" w:color="FFFFFF"/>
          <w:left w:val="single" w:sz="6" w:space="1" w:color="FFFFFF"/>
          <w:bottom w:val="single" w:sz="6" w:space="0" w:color="FFFFFF"/>
          <w:right w:val="single" w:sz="6" w:space="0" w:color="FFFFFF"/>
        </w:pBdr>
        <w:ind w:firstLine="720"/>
        <w:rPr>
          <w:color w:val="000000"/>
        </w:rPr>
      </w:pPr>
      <w:r w:rsidRPr="00FA7D77">
        <w:t>Any owner/operator subject to the provisions of this part shall maintain a file of these measurements, and retain the file for at least five years</w:t>
      </w:r>
      <w:r w:rsidR="00CA4CD6">
        <w:rPr>
          <w:color w:val="000000"/>
        </w:rPr>
        <w:t xml:space="preserve">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63D32B12"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37283365" w14:textId="77777777" w:rsidR="00CA4CD6" w:rsidRDefault="00E10DA7" w:rsidP="00DD15A5">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Over the next three years, </w:t>
      </w:r>
      <w:r w:rsidR="00424775">
        <w:t xml:space="preserve">approximately 111 sources are currently subject to the standard.  </w:t>
      </w:r>
      <w:r w:rsidR="000D0728">
        <w:t>This estimate consists of</w:t>
      </w:r>
      <w:r w:rsidR="00424775">
        <w:t xml:space="preserve"> 89 kraft mills, 9 kraft and </w:t>
      </w:r>
      <w:proofErr w:type="spellStart"/>
      <w:r w:rsidR="00424775">
        <w:t>semichemical</w:t>
      </w:r>
      <w:proofErr w:type="spellEnd"/>
      <w:r w:rsidR="00424775">
        <w:t xml:space="preserve"> mills, 1 kraft and sulfite mill, 7 stand-alone </w:t>
      </w:r>
      <w:proofErr w:type="spellStart"/>
      <w:r w:rsidR="00424775">
        <w:t>semichemical</w:t>
      </w:r>
      <w:proofErr w:type="spellEnd"/>
      <w:r w:rsidR="00424775">
        <w:t xml:space="preserve"> mills, 4 sulfite mills, and 1 soda mill.  It is estimated that </w:t>
      </w:r>
      <w:r w:rsidR="00424775">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0D0728">
        <w:rPr>
          <w:color w:val="000000"/>
        </w:rPr>
        <w:t xml:space="preserve">; </w:t>
      </w:r>
      <w:r w:rsidR="000D0728">
        <w:t>however, one of the existing facilities will be engaged in a modification each year over the three-year period of this ICR</w:t>
      </w:r>
      <w:r>
        <w:rPr>
          <w:color w:val="000000"/>
        </w:rPr>
        <w:t xml:space="preserve">.  </w:t>
      </w:r>
    </w:p>
    <w:p w14:paraId="1C488C13"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26327B56" w14:textId="77777777" w:rsidR="00CA4CD6" w:rsidRDefault="00F46396" w:rsidP="00F46396">
      <w:pPr>
        <w:pBdr>
          <w:top w:val="single" w:sz="6" w:space="0" w:color="FFFFFF"/>
          <w:left w:val="single" w:sz="6" w:space="0" w:color="FFFFFF"/>
          <w:bottom w:val="single" w:sz="6" w:space="0" w:color="FFFFFF"/>
          <w:right w:val="single" w:sz="6" w:space="0" w:color="FFFFFF"/>
        </w:pBdr>
        <w:ind w:firstLine="720"/>
        <w:rPr>
          <w:color w:val="FF0000"/>
        </w:rPr>
      </w:pPr>
      <w:r>
        <w:lastRenderedPageBreak/>
        <w:t xml:space="preserve">The Office of </w:t>
      </w:r>
      <w:r w:rsidRPr="00F80DE6">
        <w:t>Management and Budget (OMB) approved the currently active ICR without any “Terms of Clearance.”</w:t>
      </w:r>
    </w:p>
    <w:p w14:paraId="79B26230" w14:textId="77777777" w:rsidR="009D6567" w:rsidRDefault="009D6567" w:rsidP="00DD15A5">
      <w:pPr>
        <w:pBdr>
          <w:top w:val="single" w:sz="6" w:space="0" w:color="FFFFFF"/>
          <w:left w:val="single" w:sz="6" w:space="1" w:color="FFFFFF"/>
          <w:bottom w:val="single" w:sz="6" w:space="0" w:color="FFFFFF"/>
          <w:right w:val="single" w:sz="6" w:space="0" w:color="FFFFFF"/>
        </w:pBdr>
        <w:ind w:firstLine="720"/>
        <w:rPr>
          <w:color w:val="FF0000"/>
        </w:rPr>
      </w:pPr>
    </w:p>
    <w:p w14:paraId="4B6DC45F" w14:textId="4AEAAD40" w:rsidR="00CA4CD6" w:rsidRPr="00424775" w:rsidRDefault="009D6567" w:rsidP="002B29A5">
      <w:r>
        <w:tab/>
      </w:r>
      <w:r w:rsidR="00424775">
        <w:t xml:space="preserve">There are approximately 111 chemical recovery combustion sources at kraft, soda, sulfite, and stand-alone </w:t>
      </w:r>
      <w:proofErr w:type="spellStart"/>
      <w:r w:rsidR="00424775">
        <w:t>semichemical</w:t>
      </w:r>
      <w:proofErr w:type="spellEnd"/>
      <w:r w:rsidR="00424775">
        <w:t xml:space="preserve"> pulp mills in the United States.  None of the 111 facilities in the United States are owned by state, local, tribal or the Federal government.  They are owned and operated by privately owned for-profit businesses</w:t>
      </w:r>
      <w:r w:rsidR="00424775" w:rsidRPr="00424775">
        <w:t>.</w:t>
      </w:r>
      <w:r w:rsidR="00795A42">
        <w:t xml:space="preserve">  </w:t>
      </w:r>
    </w:p>
    <w:p w14:paraId="4D1350F2" w14:textId="77777777" w:rsidR="002B29A5" w:rsidRPr="009D6567" w:rsidRDefault="002B29A5" w:rsidP="002B29A5">
      <w:pPr>
        <w:rPr>
          <w:color w:val="FF0000"/>
        </w:rPr>
      </w:pPr>
    </w:p>
    <w:p w14:paraId="791524F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B38C5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0D9148"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7F8B20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6B4BFC" w14:textId="77777777" w:rsidR="00CA4CD6" w:rsidRPr="00424775" w:rsidRDefault="00FA7D77">
      <w:pPr>
        <w:pBdr>
          <w:top w:val="single" w:sz="6" w:space="0" w:color="FFFFFF"/>
          <w:left w:val="single" w:sz="6" w:space="0" w:color="FFFFFF"/>
          <w:bottom w:val="single" w:sz="6" w:space="0" w:color="FFFFFF"/>
          <w:right w:val="single" w:sz="6" w:space="0" w:color="FFFFFF"/>
        </w:pBdr>
        <w:ind w:firstLine="720"/>
      </w:pPr>
      <w:r w:rsidRPr="00FA7D77">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0A4EC8E8" w14:textId="77777777" w:rsidR="00CA4CD6" w:rsidRPr="00424775" w:rsidRDefault="00CA4CD6">
      <w:pPr>
        <w:pBdr>
          <w:top w:val="single" w:sz="6" w:space="0" w:color="FFFFFF"/>
          <w:left w:val="single" w:sz="6" w:space="0" w:color="FFFFFF"/>
          <w:bottom w:val="single" w:sz="6" w:space="0" w:color="FFFFFF"/>
          <w:right w:val="single" w:sz="6" w:space="0" w:color="FFFFFF"/>
        </w:pBdr>
      </w:pPr>
    </w:p>
    <w:p w14:paraId="0B7E3544" w14:textId="77777777" w:rsidR="00CA4CD6" w:rsidRDefault="00FA7D77">
      <w:pPr>
        <w:pBdr>
          <w:top w:val="single" w:sz="6" w:space="0" w:color="FFFFFF"/>
          <w:left w:val="single" w:sz="6" w:space="0" w:color="FFFFFF"/>
          <w:bottom w:val="single" w:sz="6" w:space="0" w:color="FFFFFF"/>
          <w:right w:val="single" w:sz="6" w:space="0" w:color="FFFFFF"/>
        </w:pBdr>
        <w:ind w:left="1440" w:right="1440"/>
        <w:rPr>
          <w:color w:val="FF0000"/>
        </w:rPr>
      </w:pPr>
      <w:r w:rsidRPr="00FA7D7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3CE22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FC6CD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D51EAA">
        <w:t xml:space="preserve">, </w:t>
      </w:r>
      <w:r w:rsidR="000D0728" w:rsidRPr="00D51EAA">
        <w:t xml:space="preserve">HAP emissions, including </w:t>
      </w:r>
      <w:r w:rsidR="00264140" w:rsidRPr="00D51EAA">
        <w:t>acetaldehyde, benzene formaldehyde, hydrochloric acid (</w:t>
      </w:r>
      <w:proofErr w:type="spellStart"/>
      <w:r w:rsidR="00264140" w:rsidRPr="00D51EAA">
        <w:t>HCI</w:t>
      </w:r>
      <w:proofErr w:type="spellEnd"/>
      <w:r w:rsidR="00264140" w:rsidRPr="00D51EAA">
        <w:t xml:space="preserve">), methanol, methyl ethyl ketone, and toluene </w:t>
      </w:r>
      <w:r w:rsidRPr="00D51EAA">
        <w:t xml:space="preserve">emissions from </w:t>
      </w:r>
      <w:r w:rsidR="000906B7" w:rsidRPr="00D51EAA">
        <w:t>chemical recovery combustion sources at kraft, soda, sulfite, and stand-alo</w:t>
      </w:r>
      <w:r w:rsidR="000906B7">
        <w:t xml:space="preserve">ne </w:t>
      </w:r>
      <w:proofErr w:type="spellStart"/>
      <w:r w:rsidR="000906B7">
        <w:t>semichemical</w:t>
      </w:r>
      <w:proofErr w:type="spellEnd"/>
      <w:r w:rsidR="000906B7">
        <w:t xml:space="preserve"> pulp mill</w:t>
      </w:r>
      <w:r w:rsidR="000906B7">
        <w:rPr>
          <w:color w:val="FF0000"/>
        </w:rPr>
        <w:t xml:space="preserve"> </w:t>
      </w:r>
      <w:r>
        <w:rPr>
          <w:color w:val="000000"/>
        </w:rPr>
        <w:t xml:space="preserve">cause or contribute to air pollution that may reasonably be anticipated to endanger public health or welfare.  Therefore, the </w:t>
      </w:r>
      <w:r w:rsidR="00FA7D77" w:rsidRPr="00FA7D77">
        <w:t>NESHAP</w:t>
      </w:r>
      <w:r w:rsidR="00424775">
        <w:rPr>
          <w:color w:val="FF0000"/>
        </w:rPr>
        <w:t xml:space="preserve">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424775">
        <w:rPr>
          <w:color w:val="000000"/>
        </w:rPr>
        <w:t xml:space="preserve"> MM</w:t>
      </w:r>
      <w:r>
        <w:rPr>
          <w:color w:val="000000"/>
        </w:rPr>
        <w:t>.</w:t>
      </w:r>
    </w:p>
    <w:p w14:paraId="0FE7549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8A4BCF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14:paraId="22F2D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FF2E8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EE7D48">
        <w:rPr>
          <w:color w:val="000000"/>
        </w:rPr>
        <w:t>ng requirements in the standards</w:t>
      </w:r>
      <w:r>
        <w:rPr>
          <w:color w:val="000000"/>
        </w:rPr>
        <w:t xml:space="preserve"> ensure compliance with the applicable regulations whi</w:t>
      </w:r>
      <w:r w:rsidR="00614996">
        <w:rPr>
          <w:color w:val="000000"/>
        </w:rPr>
        <w:t>ch w</w:t>
      </w:r>
      <w:r>
        <w:rPr>
          <w:color w:val="000000"/>
        </w:rPr>
        <w:t>ere promulgated in accordance with the Clean Air Act.  The collected information is also used for targeting inspections and as evidence in legal proceedings.</w:t>
      </w:r>
    </w:p>
    <w:p w14:paraId="50A883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C00D6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EE7D48">
        <w:rPr>
          <w:color w:val="000000"/>
        </w:rPr>
        <w:t>mply with the emission standards</w:t>
      </w:r>
      <w:r>
        <w:rPr>
          <w:color w:val="000000"/>
        </w:rPr>
        <w:t xml:space="preserve">. Continuous emission monitors are used to ensure compliance </w:t>
      </w:r>
      <w:r w:rsidR="00EE7D48">
        <w:rPr>
          <w:color w:val="000000"/>
        </w:rPr>
        <w:t>with the standards</w:t>
      </w:r>
      <w:r>
        <w:rPr>
          <w:color w:val="000000"/>
        </w:rPr>
        <w:t xml:space="preserve"> at all times. </w:t>
      </w:r>
      <w:r w:rsidRPr="00EE7D48">
        <w:t>During the performance test a record of the operating parameters under which compliance was achieved may be recorded and used to determine compliance in place of a continuous emission monitor</w:t>
      </w:r>
      <w:r w:rsidR="00EE7D48" w:rsidRPr="00EE7D48">
        <w:t>.</w:t>
      </w:r>
    </w:p>
    <w:p w14:paraId="41CF42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4403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w:t>
      </w:r>
      <w:r w:rsidR="00EE7D48">
        <w:rPr>
          <w:color w:val="000000"/>
        </w:rPr>
        <w:t>red in the standards</w:t>
      </w:r>
      <w:r>
        <w:rPr>
          <w:color w:val="000000"/>
        </w:rPr>
        <w:t xml:space="preserve"> are used to inform the Agency or delegated authority when a source becomes subject to the requirements of the regulations.  The reviewing authority may then inspect the source to check if </w:t>
      </w:r>
      <w:r w:rsidRPr="00EE7D48">
        <w:t>the pollution control devices are properly i</w:t>
      </w:r>
      <w:r w:rsidR="00EE7D48" w:rsidRPr="00EE7D48">
        <w:t>nstalled and operated,</w:t>
      </w:r>
      <w:r w:rsidRPr="00EE7D48">
        <w:t xml:space="preserve"> leaks are being detected and repaired</w:t>
      </w:r>
      <w:r w:rsidR="00EE7D48" w:rsidRPr="00EE7D48">
        <w:t>,</w:t>
      </w:r>
      <w:r w:rsidR="00EE7D48">
        <w:rPr>
          <w:color w:val="000000"/>
        </w:rPr>
        <w:t xml:space="preserve"> and the standards</w:t>
      </w:r>
      <w:r>
        <w:rPr>
          <w:color w:val="000000"/>
        </w:rPr>
        <w:t xml:space="preserve"> are being met.  The performance test may also be observed.</w:t>
      </w:r>
    </w:p>
    <w:p w14:paraId="20617A5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69E4F90" w14:textId="77777777" w:rsidR="00CA4CD6" w:rsidRPr="000906B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required </w:t>
      </w:r>
      <w:r w:rsidR="00FA7D77" w:rsidRPr="00FA7D77">
        <w:t>quarterly and semiannual reports are used to determine periods of excess emissions, identify problems at the facility, verify operation/maintenance procedures and for compliance determinations.</w:t>
      </w:r>
    </w:p>
    <w:p w14:paraId="125F34DC" w14:textId="77777777" w:rsidR="00606DEF" w:rsidRPr="000906B7" w:rsidRDefault="00606DEF">
      <w:pPr>
        <w:pBdr>
          <w:top w:val="single" w:sz="6" w:space="0" w:color="FFFFFF"/>
          <w:left w:val="single" w:sz="6" w:space="0" w:color="FFFFFF"/>
          <w:bottom w:val="single" w:sz="6" w:space="0" w:color="FFFFFF"/>
          <w:right w:val="single" w:sz="6" w:space="0" w:color="FFFFFF"/>
        </w:pBdr>
      </w:pPr>
    </w:p>
    <w:p w14:paraId="697BA4D3" w14:textId="77777777" w:rsidR="00CA4CD6" w:rsidRPr="000906B7" w:rsidRDefault="00FA7D77" w:rsidP="00504745">
      <w:pPr>
        <w:pBdr>
          <w:top w:val="single" w:sz="6" w:space="0" w:color="FFFFFF"/>
          <w:left w:val="single" w:sz="6" w:space="0" w:color="FFFFFF"/>
          <w:bottom w:val="single" w:sz="6" w:space="0" w:color="FFFFFF"/>
          <w:right w:val="single" w:sz="6" w:space="0" w:color="FFFFFF"/>
        </w:pBdr>
        <w:outlineLvl w:val="0"/>
        <w:rPr>
          <w:b/>
          <w:bCs/>
        </w:rPr>
      </w:pPr>
      <w:r w:rsidRPr="00FA7D77">
        <w:rPr>
          <w:b/>
          <w:bCs/>
        </w:rPr>
        <w:t xml:space="preserve">3.  </w:t>
      </w:r>
      <w:proofErr w:type="spellStart"/>
      <w:r w:rsidRPr="00FA7D77">
        <w:rPr>
          <w:b/>
          <w:bCs/>
        </w:rPr>
        <w:t>Nonduplication</w:t>
      </w:r>
      <w:proofErr w:type="spellEnd"/>
      <w:r w:rsidRPr="00FA7D77">
        <w:rPr>
          <w:b/>
          <w:bCs/>
        </w:rPr>
        <w:t>, Consultations, and Other Collection Criteria</w:t>
      </w:r>
    </w:p>
    <w:p w14:paraId="476F28BD" w14:textId="77777777" w:rsidR="00CA4CD6" w:rsidRPr="000906B7" w:rsidRDefault="00CA4CD6">
      <w:pPr>
        <w:pBdr>
          <w:top w:val="single" w:sz="6" w:space="0" w:color="FFFFFF"/>
          <w:left w:val="single" w:sz="6" w:space="0" w:color="FFFFFF"/>
          <w:bottom w:val="single" w:sz="6" w:space="0" w:color="FFFFFF"/>
          <w:right w:val="single" w:sz="6" w:space="0" w:color="FFFFFF"/>
        </w:pBdr>
        <w:rPr>
          <w:b/>
          <w:bCs/>
        </w:rPr>
      </w:pPr>
    </w:p>
    <w:p w14:paraId="15F2529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C57068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14:paraId="01A15D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9395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06D69A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FCC94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14:paraId="09C195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94DBA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FA7D77" w:rsidRPr="00FA7D77">
        <w:t xml:space="preserve">79 </w:t>
      </w:r>
      <w:r w:rsidR="00FA7D77" w:rsidRPr="00A8633D">
        <w:t>FR</w:t>
      </w:r>
      <w:r w:rsidR="00FA7D77" w:rsidRPr="00FA7D77">
        <w:t xml:space="preserve"> 30117</w:t>
      </w:r>
      <w:r>
        <w:rPr>
          <w:color w:val="000000"/>
        </w:rPr>
        <w:t xml:space="preserve">) on </w:t>
      </w:r>
      <w:r w:rsidR="00CF547E">
        <w:rPr>
          <w:color w:val="000000"/>
        </w:rPr>
        <w:t>May 27, 2014</w:t>
      </w:r>
      <w:r>
        <w:rPr>
          <w:color w:val="000000"/>
        </w:rPr>
        <w:t>.</w:t>
      </w:r>
      <w:r>
        <w:rPr>
          <w:color w:val="FF0000"/>
        </w:rPr>
        <w:t xml:space="preserve">  </w:t>
      </w:r>
      <w:r w:rsidR="00FA7D77" w:rsidRPr="00FA7D77">
        <w:t xml:space="preserve">No comments were received on the burden published in the </w:t>
      </w:r>
      <w:r w:rsidR="00FA7D77" w:rsidRPr="00FA7D77">
        <w:rPr>
          <w:u w:val="single"/>
        </w:rPr>
        <w:t>Federal Register</w:t>
      </w:r>
      <w:r w:rsidR="00FA7D77" w:rsidRPr="00FA7D77">
        <w:t>.</w:t>
      </w:r>
    </w:p>
    <w:p w14:paraId="03BC9E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287441"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14:paraId="0900E33E" w14:textId="77777777" w:rsidR="00E53137" w:rsidRDefault="00E53137" w:rsidP="00D92F66">
      <w:pPr>
        <w:spacing w:line="244" w:lineRule="exact"/>
        <w:rPr>
          <w:color w:val="FF0000"/>
        </w:rPr>
      </w:pPr>
    </w:p>
    <w:p w14:paraId="021A7E4B" w14:textId="77777777" w:rsidR="00EE7D48" w:rsidRPr="00895D0F" w:rsidRDefault="00EE7D48" w:rsidP="00EE7D48">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14:paraId="4D6BC2A3" w14:textId="77777777" w:rsidR="00EE7D48" w:rsidRPr="00895D0F" w:rsidRDefault="00EE7D48" w:rsidP="00EE7D48"/>
    <w:p w14:paraId="3A16B452" w14:textId="77777777" w:rsidR="00EE7D48" w:rsidRPr="00EE7D48" w:rsidRDefault="00EE7D48" w:rsidP="00EE7D48">
      <w:pPr>
        <w:ind w:firstLine="720"/>
        <w:rPr>
          <w:color w:val="000000"/>
        </w:rPr>
      </w:pPr>
      <w:r w:rsidRPr="00895D0F">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In developing this ICR, we contacted both the</w:t>
      </w:r>
      <w:r w:rsidR="00CF547E">
        <w:t xml:space="preserve"> American Forest and Paper Association</w:t>
      </w:r>
      <w:r w:rsidR="00D51EAA">
        <w:t xml:space="preserve"> </w:t>
      </w:r>
      <w:r>
        <w:t>at</w:t>
      </w:r>
      <w:r w:rsidR="00CF547E">
        <w:t xml:space="preserve"> (202) 463-2700</w:t>
      </w:r>
      <w:r>
        <w:t xml:space="preserve"> and the</w:t>
      </w:r>
      <w:r w:rsidR="00CF547E">
        <w:t xml:space="preserve"> American Wood Council</w:t>
      </w:r>
      <w:r>
        <w:t xml:space="preserve"> at </w:t>
      </w:r>
      <w:r w:rsidR="00CF547E">
        <w:t>(202) 463-2766.</w:t>
      </w:r>
    </w:p>
    <w:p w14:paraId="141074C0" w14:textId="77777777" w:rsidR="00EE7D48" w:rsidRPr="00895D0F" w:rsidRDefault="00EE7D48" w:rsidP="00EE7D48">
      <w:pPr>
        <w:ind w:firstLine="720"/>
      </w:pPr>
    </w:p>
    <w:p w14:paraId="565B9DC0" w14:textId="77777777" w:rsidR="00EE7D48" w:rsidRDefault="00EE7D48" w:rsidP="00EE7D48">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14:paraId="13BFAAD7"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B09B6A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7EB0CF2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07E4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29DAF0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3B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05F3876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E7EE4"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D76D0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18CA7C" w14:textId="77777777" w:rsidR="000D0728" w:rsidRDefault="00FA7D77">
      <w:pPr>
        <w:pBdr>
          <w:top w:val="single" w:sz="6" w:space="0" w:color="FFFFFF"/>
          <w:left w:val="single" w:sz="6" w:space="0" w:color="FFFFFF"/>
          <w:bottom w:val="single" w:sz="6" w:space="0" w:color="FFFFFF"/>
          <w:right w:val="single" w:sz="6" w:space="0" w:color="FFFFFF"/>
        </w:pBdr>
        <w:ind w:firstLine="720"/>
      </w:pPr>
      <w:r w:rsidRPr="00FA7D77">
        <w:t>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7C1CB4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3C578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14:paraId="49F723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27FAA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C7AD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689EC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78A073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30BB7"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4465512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E7580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2F28DEF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DFF26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506DB0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50F08" w14:textId="7777777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0906B7">
        <w:t xml:space="preserve">chemical recovery combustion sources at kraft, soda, sulfite, and stand-alone </w:t>
      </w:r>
      <w:proofErr w:type="spellStart"/>
      <w:r w:rsidR="000906B7">
        <w:t>semichemical</w:t>
      </w:r>
      <w:proofErr w:type="spellEnd"/>
      <w:r w:rsidR="000906B7">
        <w:t xml:space="preserve"> pulp mill</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576959">
        <w:rPr>
          <w:color w:val="000000"/>
        </w:rPr>
        <w:t>s</w:t>
      </w:r>
      <w:r>
        <w:rPr>
          <w:color w:val="000000"/>
        </w:rPr>
        <w:t xml:space="preserve"> for the respondents affected by the standards </w:t>
      </w:r>
      <w:r w:rsidR="000906B7">
        <w:rPr>
          <w:color w:val="000000"/>
        </w:rPr>
        <w:t xml:space="preserve">and </w:t>
      </w:r>
      <w:r w:rsidR="00576959">
        <w:rPr>
          <w:color w:val="000000"/>
        </w:rPr>
        <w:t xml:space="preserve">the </w:t>
      </w:r>
      <w:r w:rsidR="000906B7">
        <w:rPr>
          <w:color w:val="000000"/>
        </w:rPr>
        <w:t>corresp</w:t>
      </w:r>
      <w:r w:rsidR="00FA7D77" w:rsidRPr="00FA7D77">
        <w:t xml:space="preserve">onding North American Industry Classification System (NAICS) </w:t>
      </w:r>
      <w:r w:rsidR="00576959">
        <w:t xml:space="preserve">codes </w:t>
      </w:r>
      <w:r w:rsidR="00FA7D77" w:rsidRPr="00FA7D77">
        <w:t>are listed in the table below</w:t>
      </w:r>
      <w:r>
        <w:rPr>
          <w:color w:val="000000"/>
        </w:rPr>
        <w:t xml:space="preserve">.  </w:t>
      </w:r>
    </w:p>
    <w:p w14:paraId="77BE55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4680"/>
        <w:gridCol w:w="2250"/>
        <w:gridCol w:w="2430"/>
      </w:tblGrid>
      <w:tr w:rsidR="00CA4CD6" w14:paraId="4DA843F7" w14:textId="77777777" w:rsidTr="00576959">
        <w:tc>
          <w:tcPr>
            <w:tcW w:w="4680" w:type="dxa"/>
            <w:tcBorders>
              <w:top w:val="single" w:sz="7" w:space="0" w:color="000000"/>
              <w:left w:val="single" w:sz="7" w:space="0" w:color="000000"/>
              <w:bottom w:val="single" w:sz="6" w:space="0" w:color="FFFFFF"/>
              <w:right w:val="single" w:sz="6" w:space="0" w:color="FFFFFF"/>
            </w:tcBorders>
          </w:tcPr>
          <w:p w14:paraId="5BF0BC5A" w14:textId="77777777" w:rsidR="00CA4CD6" w:rsidRDefault="00CA4CD6" w:rsidP="00CF2B37">
            <w:pPr>
              <w:spacing w:line="120" w:lineRule="exact"/>
              <w:jc w:val="center"/>
              <w:rPr>
                <w:color w:val="000000"/>
              </w:rPr>
            </w:pPr>
          </w:p>
          <w:p w14:paraId="3D76A409" w14:textId="77777777" w:rsidR="00CA4CD6" w:rsidRDefault="00576959" w:rsidP="000906B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0906B7" w:rsidRPr="000906B7">
              <w:rPr>
                <w:b/>
                <w:bCs/>
                <w:color w:val="000000"/>
              </w:rPr>
              <w:t>40 CFR Part 6</w:t>
            </w:r>
            <w:r w:rsidR="000906B7">
              <w:rPr>
                <w:b/>
                <w:bCs/>
                <w:color w:val="000000"/>
              </w:rPr>
              <w:t>3</w:t>
            </w:r>
            <w:r w:rsidR="000906B7" w:rsidRPr="000906B7">
              <w:rPr>
                <w:b/>
                <w:bCs/>
                <w:color w:val="000000"/>
              </w:rPr>
              <w:t>, Subpart M</w:t>
            </w:r>
            <w:r w:rsidR="000906B7">
              <w:rPr>
                <w:b/>
                <w:bCs/>
                <w:color w:val="000000"/>
              </w:rPr>
              <w:t>M</w:t>
            </w:r>
            <w:r>
              <w:rPr>
                <w:b/>
                <w:bCs/>
                <w:color w:val="000000"/>
              </w:rPr>
              <w:t>)</w:t>
            </w:r>
          </w:p>
        </w:tc>
        <w:tc>
          <w:tcPr>
            <w:tcW w:w="2250" w:type="dxa"/>
            <w:tcBorders>
              <w:top w:val="single" w:sz="7" w:space="0" w:color="000000"/>
              <w:left w:val="single" w:sz="7" w:space="0" w:color="000000"/>
              <w:bottom w:val="single" w:sz="6" w:space="0" w:color="FFFFFF"/>
              <w:right w:val="single" w:sz="6" w:space="0" w:color="FFFFFF"/>
            </w:tcBorders>
          </w:tcPr>
          <w:p w14:paraId="0B7FB0DC" w14:textId="77777777" w:rsidR="00CA4CD6" w:rsidRDefault="00CA4CD6" w:rsidP="00CF2B37">
            <w:pPr>
              <w:spacing w:line="120" w:lineRule="exact"/>
              <w:jc w:val="center"/>
              <w:rPr>
                <w:b/>
                <w:bCs/>
                <w:color w:val="000000"/>
              </w:rPr>
            </w:pPr>
          </w:p>
          <w:p w14:paraId="3CB09541"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D5AB454" w14:textId="77777777" w:rsidR="00CA4CD6" w:rsidRDefault="00CA4CD6" w:rsidP="00CF2B37">
            <w:pPr>
              <w:spacing w:line="120" w:lineRule="exact"/>
              <w:jc w:val="center"/>
              <w:rPr>
                <w:b/>
                <w:bCs/>
                <w:color w:val="000000"/>
              </w:rPr>
            </w:pPr>
          </w:p>
          <w:p w14:paraId="7BC4F2EC"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0906B7" w14:paraId="58F4A37C" w14:textId="77777777" w:rsidTr="00576959">
        <w:tc>
          <w:tcPr>
            <w:tcW w:w="4680" w:type="dxa"/>
            <w:tcBorders>
              <w:top w:val="single" w:sz="7" w:space="0" w:color="000000"/>
              <w:left w:val="single" w:sz="7" w:space="0" w:color="000000"/>
              <w:bottom w:val="single" w:sz="6" w:space="0" w:color="FFFFFF"/>
              <w:right w:val="single" w:sz="6" w:space="0" w:color="FFFFFF"/>
            </w:tcBorders>
          </w:tcPr>
          <w:p w14:paraId="4B443ADD" w14:textId="77777777" w:rsidR="000906B7" w:rsidRDefault="000906B7" w:rsidP="004C701D">
            <w:pPr>
              <w:pBdr>
                <w:top w:val="single" w:sz="6" w:space="0" w:color="FFFFFF"/>
                <w:left w:val="single" w:sz="6" w:space="0" w:color="FFFFFF"/>
                <w:bottom w:val="single" w:sz="6" w:space="0" w:color="FFFFFF"/>
                <w:right w:val="single" w:sz="6" w:space="0" w:color="FFFFFF"/>
              </w:pBdr>
              <w:spacing w:after="54"/>
              <w:rPr>
                <w:color w:val="000000"/>
              </w:rPr>
            </w:pPr>
            <w:r>
              <w:t>Pulp Mills</w:t>
            </w:r>
          </w:p>
        </w:tc>
        <w:tc>
          <w:tcPr>
            <w:tcW w:w="2250" w:type="dxa"/>
            <w:tcBorders>
              <w:top w:val="single" w:sz="7" w:space="0" w:color="000000"/>
              <w:left w:val="single" w:sz="7" w:space="0" w:color="000000"/>
              <w:bottom w:val="single" w:sz="6" w:space="0" w:color="FFFFFF"/>
              <w:right w:val="single" w:sz="6" w:space="0" w:color="FFFFFF"/>
            </w:tcBorders>
          </w:tcPr>
          <w:p w14:paraId="13930BDA" w14:textId="77777777" w:rsidR="000906B7" w:rsidRDefault="000906B7" w:rsidP="00576959">
            <w:pPr>
              <w:pBdr>
                <w:top w:val="single" w:sz="6" w:space="0" w:color="FFFFFF"/>
                <w:left w:val="single" w:sz="6" w:space="0" w:color="FFFFFF"/>
                <w:bottom w:val="single" w:sz="6" w:space="0" w:color="FFFFFF"/>
                <w:right w:val="single" w:sz="6" w:space="0" w:color="FFFFFF"/>
              </w:pBdr>
              <w:spacing w:after="54"/>
              <w:jc w:val="center"/>
              <w:rPr>
                <w:color w:val="000000"/>
              </w:rPr>
            </w:pPr>
            <w:r>
              <w:t>2611</w:t>
            </w:r>
          </w:p>
        </w:tc>
        <w:tc>
          <w:tcPr>
            <w:tcW w:w="2430" w:type="dxa"/>
            <w:tcBorders>
              <w:top w:val="single" w:sz="7" w:space="0" w:color="000000"/>
              <w:left w:val="single" w:sz="7" w:space="0" w:color="000000"/>
              <w:bottom w:val="single" w:sz="6" w:space="0" w:color="FFFFFF"/>
              <w:right w:val="single" w:sz="7" w:space="0" w:color="000000"/>
            </w:tcBorders>
          </w:tcPr>
          <w:p w14:paraId="0B3A5C53" w14:textId="77777777" w:rsidR="000906B7" w:rsidRDefault="000906B7" w:rsidP="00576959">
            <w:pPr>
              <w:pBdr>
                <w:top w:val="single" w:sz="6" w:space="0" w:color="FFFFFF"/>
                <w:left w:val="single" w:sz="6" w:space="0" w:color="FFFFFF"/>
                <w:bottom w:val="single" w:sz="6" w:space="0" w:color="FFFFFF"/>
                <w:right w:val="single" w:sz="6" w:space="0" w:color="FFFFFF"/>
              </w:pBdr>
              <w:spacing w:after="54"/>
              <w:jc w:val="center"/>
              <w:rPr>
                <w:color w:val="000000"/>
              </w:rPr>
            </w:pPr>
            <w:r>
              <w:t>32211</w:t>
            </w:r>
          </w:p>
        </w:tc>
      </w:tr>
      <w:tr w:rsidR="000906B7" w14:paraId="5EE648EC" w14:textId="77777777" w:rsidTr="00576959">
        <w:tc>
          <w:tcPr>
            <w:tcW w:w="4680" w:type="dxa"/>
            <w:tcBorders>
              <w:top w:val="single" w:sz="7" w:space="0" w:color="000000"/>
              <w:left w:val="single" w:sz="7" w:space="0" w:color="000000"/>
              <w:bottom w:val="single" w:sz="8" w:space="0" w:color="000000"/>
              <w:right w:val="single" w:sz="6" w:space="0" w:color="FFFFFF"/>
            </w:tcBorders>
          </w:tcPr>
          <w:p w14:paraId="3C30A2E4" w14:textId="77777777" w:rsidR="000906B7" w:rsidRDefault="000906B7">
            <w:pPr>
              <w:pBdr>
                <w:top w:val="single" w:sz="6" w:space="0" w:color="FFFFFF"/>
                <w:left w:val="single" w:sz="6" w:space="0" w:color="FFFFFF"/>
                <w:bottom w:val="single" w:sz="6" w:space="0" w:color="FFFFFF"/>
                <w:right w:val="single" w:sz="6" w:space="0" w:color="FFFFFF"/>
              </w:pBdr>
              <w:spacing w:after="54"/>
              <w:rPr>
                <w:color w:val="000000"/>
              </w:rPr>
            </w:pPr>
            <w:r>
              <w:t>Paper Mills</w:t>
            </w:r>
          </w:p>
        </w:tc>
        <w:tc>
          <w:tcPr>
            <w:tcW w:w="2250" w:type="dxa"/>
            <w:tcBorders>
              <w:top w:val="single" w:sz="7" w:space="0" w:color="000000"/>
              <w:left w:val="single" w:sz="7" w:space="0" w:color="000000"/>
              <w:bottom w:val="single" w:sz="8" w:space="0" w:color="000000"/>
              <w:right w:val="single" w:sz="6" w:space="0" w:color="FFFFFF"/>
            </w:tcBorders>
          </w:tcPr>
          <w:p w14:paraId="30E5CC50" w14:textId="77777777" w:rsidR="000906B7" w:rsidRDefault="000906B7" w:rsidP="00576959">
            <w:pPr>
              <w:pBdr>
                <w:top w:val="single" w:sz="6" w:space="0" w:color="FFFFFF"/>
                <w:left w:val="single" w:sz="6" w:space="0" w:color="FFFFFF"/>
                <w:bottom w:val="single" w:sz="6" w:space="0" w:color="FFFFFF"/>
                <w:right w:val="single" w:sz="6" w:space="0" w:color="FFFFFF"/>
              </w:pBdr>
              <w:spacing w:after="54"/>
              <w:jc w:val="center"/>
              <w:rPr>
                <w:color w:val="000000"/>
              </w:rPr>
            </w:pPr>
            <w:r>
              <w:t>2621</w:t>
            </w:r>
          </w:p>
        </w:tc>
        <w:tc>
          <w:tcPr>
            <w:tcW w:w="2430" w:type="dxa"/>
            <w:tcBorders>
              <w:top w:val="single" w:sz="7" w:space="0" w:color="000000"/>
              <w:left w:val="single" w:sz="7" w:space="0" w:color="000000"/>
              <w:bottom w:val="single" w:sz="8" w:space="0" w:color="000000"/>
              <w:right w:val="single" w:sz="7" w:space="0" w:color="000000"/>
            </w:tcBorders>
          </w:tcPr>
          <w:p w14:paraId="7ADBD779" w14:textId="77777777" w:rsidR="000906B7" w:rsidRDefault="000906B7" w:rsidP="00576959">
            <w:pPr>
              <w:pBdr>
                <w:top w:val="single" w:sz="6" w:space="0" w:color="FFFFFF"/>
                <w:left w:val="single" w:sz="6" w:space="0" w:color="FFFFFF"/>
                <w:bottom w:val="single" w:sz="6" w:space="0" w:color="FFFFFF"/>
                <w:right w:val="single" w:sz="6" w:space="0" w:color="FFFFFF"/>
              </w:pBdr>
              <w:spacing w:after="54"/>
              <w:jc w:val="center"/>
              <w:rPr>
                <w:color w:val="000000"/>
              </w:rPr>
            </w:pPr>
            <w:r>
              <w:t>32212</w:t>
            </w:r>
          </w:p>
        </w:tc>
      </w:tr>
      <w:tr w:rsidR="000906B7" w14:paraId="5F2BD11A" w14:textId="77777777" w:rsidTr="00576959">
        <w:tc>
          <w:tcPr>
            <w:tcW w:w="4680" w:type="dxa"/>
            <w:tcBorders>
              <w:top w:val="single" w:sz="8" w:space="0" w:color="000000"/>
              <w:left w:val="single" w:sz="8" w:space="0" w:color="000000"/>
              <w:bottom w:val="single" w:sz="8" w:space="0" w:color="000000"/>
              <w:right w:val="single" w:sz="8" w:space="0" w:color="000000"/>
            </w:tcBorders>
          </w:tcPr>
          <w:p w14:paraId="43886B43" w14:textId="77777777" w:rsidR="000906B7" w:rsidRDefault="000906B7">
            <w:pPr>
              <w:pBdr>
                <w:top w:val="single" w:sz="6" w:space="0" w:color="FFFFFF"/>
                <w:left w:val="single" w:sz="6" w:space="0" w:color="FFFFFF"/>
                <w:bottom w:val="single" w:sz="6" w:space="0" w:color="FFFFFF"/>
                <w:right w:val="single" w:sz="6" w:space="0" w:color="FFFFFF"/>
              </w:pBdr>
              <w:spacing w:after="54"/>
              <w:rPr>
                <w:color w:val="000000"/>
              </w:rPr>
            </w:pPr>
            <w:r>
              <w:t>Paperboard Mills</w:t>
            </w:r>
          </w:p>
        </w:tc>
        <w:tc>
          <w:tcPr>
            <w:tcW w:w="2250" w:type="dxa"/>
            <w:tcBorders>
              <w:top w:val="single" w:sz="8" w:space="0" w:color="000000"/>
              <w:left w:val="single" w:sz="8" w:space="0" w:color="000000"/>
              <w:bottom w:val="single" w:sz="8" w:space="0" w:color="000000"/>
              <w:right w:val="single" w:sz="8" w:space="0" w:color="000000"/>
            </w:tcBorders>
          </w:tcPr>
          <w:p w14:paraId="6387C7E6" w14:textId="77777777" w:rsidR="000906B7" w:rsidRDefault="000906B7" w:rsidP="00576959">
            <w:pPr>
              <w:pBdr>
                <w:top w:val="single" w:sz="6" w:space="0" w:color="FFFFFF"/>
                <w:left w:val="single" w:sz="6" w:space="0" w:color="FFFFFF"/>
                <w:bottom w:val="single" w:sz="6" w:space="0" w:color="FFFFFF"/>
                <w:right w:val="single" w:sz="6" w:space="0" w:color="FFFFFF"/>
              </w:pBdr>
              <w:spacing w:after="54"/>
              <w:jc w:val="center"/>
              <w:rPr>
                <w:color w:val="000000"/>
              </w:rPr>
            </w:pPr>
            <w:r>
              <w:t>2631</w:t>
            </w:r>
          </w:p>
        </w:tc>
        <w:tc>
          <w:tcPr>
            <w:tcW w:w="2430" w:type="dxa"/>
            <w:tcBorders>
              <w:top w:val="single" w:sz="8" w:space="0" w:color="000000"/>
              <w:left w:val="single" w:sz="8" w:space="0" w:color="000000"/>
              <w:bottom w:val="single" w:sz="8" w:space="0" w:color="000000"/>
              <w:right w:val="single" w:sz="8" w:space="0" w:color="000000"/>
            </w:tcBorders>
          </w:tcPr>
          <w:p w14:paraId="6B0CA53C" w14:textId="77777777" w:rsidR="000906B7" w:rsidRDefault="000906B7" w:rsidP="00576959">
            <w:pPr>
              <w:pBdr>
                <w:top w:val="single" w:sz="6" w:space="0" w:color="FFFFFF"/>
                <w:left w:val="single" w:sz="6" w:space="0" w:color="FFFFFF"/>
                <w:bottom w:val="single" w:sz="6" w:space="0" w:color="FFFFFF"/>
                <w:right w:val="single" w:sz="6" w:space="0" w:color="FFFFFF"/>
              </w:pBdr>
              <w:spacing w:after="54"/>
              <w:jc w:val="center"/>
              <w:rPr>
                <w:color w:val="000000"/>
              </w:rPr>
            </w:pPr>
            <w:r>
              <w:t>32213</w:t>
            </w:r>
          </w:p>
        </w:tc>
      </w:tr>
    </w:tbl>
    <w:p w14:paraId="2F01B84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7007297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14:paraId="5DCFE5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ABC18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572CD03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3C4B81" w14:textId="77777777" w:rsidR="00CA4CD6" w:rsidRPr="00D51EAA"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D51EAA">
        <w:t xml:space="preserve">required by </w:t>
      </w:r>
      <w:r w:rsidR="00576959" w:rsidRPr="00D51EAA">
        <w:t xml:space="preserve">the </w:t>
      </w:r>
      <w:r w:rsidR="000906B7" w:rsidRPr="00D51EAA">
        <w:rPr>
          <w:bCs/>
        </w:rPr>
        <w:t xml:space="preserve">NESHAP for Chemical Recovery Combustion Sources at Kraft, Soda, Sulfite, and Stand-Alone </w:t>
      </w:r>
      <w:proofErr w:type="spellStart"/>
      <w:r w:rsidR="000906B7" w:rsidRPr="00D51EAA">
        <w:rPr>
          <w:bCs/>
        </w:rPr>
        <w:t>Semichemical</w:t>
      </w:r>
      <w:proofErr w:type="spellEnd"/>
      <w:r w:rsidR="000906B7" w:rsidRPr="00D51EAA">
        <w:rPr>
          <w:bCs/>
        </w:rPr>
        <w:t xml:space="preserve"> Pulp Mills (40 CFR Part 63, Subpart MM).</w:t>
      </w:r>
    </w:p>
    <w:p w14:paraId="3D2994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2AC19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65258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3D25CFFB" w14:textId="77777777" w:rsidTr="000906B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01F2C79" w14:textId="77777777" w:rsidR="00CA4CD6" w:rsidRPr="00CF2B37" w:rsidRDefault="00CA4CD6">
            <w:pPr>
              <w:spacing w:line="120" w:lineRule="exact"/>
            </w:pPr>
          </w:p>
          <w:p w14:paraId="06F9EDD6"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906B7" w:rsidRPr="00CF2B37" w14:paraId="004A4A2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EA8B496"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Initial notifications, reports of startups, shutdowns, malfunctions, construction/reconstruction, and modification</w:t>
            </w:r>
          </w:p>
        </w:tc>
        <w:tc>
          <w:tcPr>
            <w:tcW w:w="2340" w:type="dxa"/>
            <w:tcBorders>
              <w:top w:val="single" w:sz="7" w:space="0" w:color="000000"/>
              <w:left w:val="single" w:sz="7" w:space="0" w:color="000000"/>
              <w:bottom w:val="single" w:sz="7" w:space="0" w:color="000000"/>
              <w:right w:val="single" w:sz="7" w:space="0" w:color="000000"/>
            </w:tcBorders>
          </w:tcPr>
          <w:p w14:paraId="5924C79E" w14:textId="77777777" w:rsidR="000906B7" w:rsidRDefault="000906B7" w:rsidP="000906B7">
            <w:pPr>
              <w:spacing w:after="58"/>
            </w:pPr>
            <w:r>
              <w:t xml:space="preserve">63.5, 63.9(b), 63.10(d)(5), </w:t>
            </w:r>
          </w:p>
          <w:p w14:paraId="730ACC3E"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63.867(a)</w:t>
            </w:r>
          </w:p>
        </w:tc>
      </w:tr>
      <w:tr w:rsidR="000906B7" w:rsidRPr="00CF2B37" w14:paraId="4F2A1225"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D0C90AA"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Notification and report of performance test and results</w:t>
            </w:r>
          </w:p>
        </w:tc>
        <w:tc>
          <w:tcPr>
            <w:tcW w:w="2340" w:type="dxa"/>
            <w:tcBorders>
              <w:top w:val="single" w:sz="7" w:space="0" w:color="000000"/>
              <w:left w:val="single" w:sz="7" w:space="0" w:color="000000"/>
              <w:bottom w:val="single" w:sz="7" w:space="0" w:color="000000"/>
              <w:right w:val="single" w:sz="7" w:space="0" w:color="000000"/>
            </w:tcBorders>
          </w:tcPr>
          <w:p w14:paraId="2616AE51"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63.7(b), 63.9(e), 63.10(d)(2), 63.867(a)</w:t>
            </w:r>
          </w:p>
        </w:tc>
      </w:tr>
      <w:tr w:rsidR="000906B7" w:rsidRPr="00CF2B37" w14:paraId="1956E24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C07028A"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Notification of initial continuous monitoring system (CMS)/ continuous opacity monitoring system (COMS) demonstration</w:t>
            </w:r>
          </w:p>
        </w:tc>
        <w:tc>
          <w:tcPr>
            <w:tcW w:w="2340" w:type="dxa"/>
            <w:tcBorders>
              <w:top w:val="single" w:sz="7" w:space="0" w:color="000000"/>
              <w:left w:val="single" w:sz="7" w:space="0" w:color="000000"/>
              <w:bottom w:val="single" w:sz="7" w:space="0" w:color="000000"/>
              <w:right w:val="single" w:sz="7" w:space="0" w:color="000000"/>
            </w:tcBorders>
          </w:tcPr>
          <w:p w14:paraId="53F92D97"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63.9(g), 63.867(a)</w:t>
            </w:r>
          </w:p>
        </w:tc>
      </w:tr>
      <w:tr w:rsidR="000906B7" w:rsidRPr="00CF2B37" w14:paraId="0119859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534AC1E"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Notification and report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0BBD650"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 xml:space="preserve">63.9(h), </w:t>
            </w:r>
            <w:r>
              <w:lastRenderedPageBreak/>
              <w:t>63.867(b)(1)-(2)</w:t>
            </w:r>
          </w:p>
        </w:tc>
      </w:tr>
      <w:tr w:rsidR="000906B7" w:rsidRPr="00CF2B37" w14:paraId="4596BE36"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B27CDF9"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lastRenderedPageBreak/>
              <w:t>Reporting results of CMS/COMS demonstration</w:t>
            </w:r>
          </w:p>
        </w:tc>
        <w:tc>
          <w:tcPr>
            <w:tcW w:w="2340" w:type="dxa"/>
            <w:tcBorders>
              <w:top w:val="single" w:sz="7" w:space="0" w:color="000000"/>
              <w:left w:val="single" w:sz="7" w:space="0" w:color="000000"/>
              <w:bottom w:val="single" w:sz="7" w:space="0" w:color="000000"/>
              <w:right w:val="single" w:sz="7" w:space="0" w:color="000000"/>
            </w:tcBorders>
          </w:tcPr>
          <w:p w14:paraId="51159F8D"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63.10(e)(2), 63.867(a)</w:t>
            </w:r>
          </w:p>
        </w:tc>
      </w:tr>
      <w:tr w:rsidR="000906B7" w:rsidRPr="00CF2B37" w14:paraId="6464125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30BFD3A"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Excess emissions reports (quarterly and semiannual)</w:t>
            </w:r>
          </w:p>
        </w:tc>
        <w:tc>
          <w:tcPr>
            <w:tcW w:w="2340" w:type="dxa"/>
            <w:tcBorders>
              <w:top w:val="single" w:sz="7" w:space="0" w:color="000000"/>
              <w:left w:val="single" w:sz="7" w:space="0" w:color="000000"/>
              <w:bottom w:val="single" w:sz="7" w:space="0" w:color="000000"/>
              <w:right w:val="single" w:sz="7" w:space="0" w:color="000000"/>
            </w:tcBorders>
          </w:tcPr>
          <w:p w14:paraId="3DFE6B38"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63.10(e)(3), 63.867(c)</w:t>
            </w:r>
          </w:p>
        </w:tc>
      </w:tr>
      <w:tr w:rsidR="000906B7" w:rsidRPr="00CF2B37" w14:paraId="6672181D"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E1F987F"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Certification that a non-direct contact evaporator (</w:t>
            </w:r>
            <w:proofErr w:type="spellStart"/>
            <w:r>
              <w:t>NDCE</w:t>
            </w:r>
            <w:proofErr w:type="spellEnd"/>
            <w:r>
              <w:t>) recovery furnace equipped with a dry electrostatic precipitation (ESP) system is used to comply with a gaseous organic HAP standard in 63.862(c)(1)</w:t>
            </w:r>
          </w:p>
        </w:tc>
        <w:tc>
          <w:tcPr>
            <w:tcW w:w="2340" w:type="dxa"/>
            <w:tcBorders>
              <w:top w:val="single" w:sz="7" w:space="0" w:color="000000"/>
              <w:left w:val="single" w:sz="7" w:space="0" w:color="000000"/>
              <w:bottom w:val="single" w:sz="7" w:space="0" w:color="000000"/>
              <w:right w:val="single" w:sz="7" w:space="0" w:color="000000"/>
            </w:tcBorders>
          </w:tcPr>
          <w:p w14:paraId="4D2A2FA1"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63.866(c)(6)</w:t>
            </w:r>
          </w:p>
        </w:tc>
      </w:tr>
    </w:tbl>
    <w:p w14:paraId="42140E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67F981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7FA3B7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701AABB0" w14:textId="77777777" w:rsidTr="000906B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5C7216A" w14:textId="77777777" w:rsidR="00CA4CD6" w:rsidRPr="00CF2B37" w:rsidRDefault="00CA4CD6">
            <w:pPr>
              <w:spacing w:line="120" w:lineRule="exact"/>
            </w:pPr>
          </w:p>
          <w:p w14:paraId="13599E4D"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906B7" w:rsidRPr="00CF2B37" w14:paraId="5CF7BB2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A397639"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Five years retention of records</w:t>
            </w:r>
          </w:p>
        </w:tc>
        <w:tc>
          <w:tcPr>
            <w:tcW w:w="2250" w:type="dxa"/>
            <w:tcBorders>
              <w:top w:val="single" w:sz="7" w:space="0" w:color="000000"/>
              <w:left w:val="single" w:sz="7" w:space="0" w:color="000000"/>
              <w:bottom w:val="single" w:sz="7" w:space="0" w:color="000000"/>
              <w:right w:val="single" w:sz="7" w:space="0" w:color="000000"/>
            </w:tcBorders>
          </w:tcPr>
          <w:p w14:paraId="19794924"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 xml:space="preserve">63.10(b)(1) </w:t>
            </w:r>
          </w:p>
        </w:tc>
      </w:tr>
      <w:tr w:rsidR="000906B7" w:rsidRPr="00CF2B37" w14:paraId="34E3FF78" w14:textId="77777777" w:rsidTr="000906B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6D38F2D"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rPr>
                <w:color w:val="000000"/>
              </w:rPr>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1D287A2E"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rPr>
                <w:color w:val="000000"/>
              </w:rPr>
              <w:t>63.6(e)(3), 63.866(a)</w:t>
            </w:r>
          </w:p>
        </w:tc>
      </w:tr>
      <w:tr w:rsidR="000906B7" w:rsidRPr="00CF2B37" w14:paraId="5BCF481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9CC6062"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Records of startup, shutdown, and malfunction</w:t>
            </w:r>
          </w:p>
        </w:tc>
        <w:tc>
          <w:tcPr>
            <w:tcW w:w="2250" w:type="dxa"/>
            <w:tcBorders>
              <w:top w:val="single" w:sz="7" w:space="0" w:color="000000"/>
              <w:left w:val="single" w:sz="7" w:space="0" w:color="000000"/>
              <w:bottom w:val="single" w:sz="7" w:space="0" w:color="000000"/>
              <w:right w:val="single" w:sz="7" w:space="0" w:color="000000"/>
            </w:tcBorders>
          </w:tcPr>
          <w:p w14:paraId="209A5583"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63.6(e)(3)(iii)-(iv), 63.10(b)(2)(i)-(v)</w:t>
            </w:r>
          </w:p>
        </w:tc>
      </w:tr>
      <w:tr w:rsidR="000906B7" w:rsidRPr="00CF2B37" w14:paraId="7A5112CC"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A0EBCAE"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Records of performance tests</w:t>
            </w:r>
          </w:p>
        </w:tc>
        <w:tc>
          <w:tcPr>
            <w:tcW w:w="2250" w:type="dxa"/>
            <w:tcBorders>
              <w:top w:val="single" w:sz="7" w:space="0" w:color="000000"/>
              <w:left w:val="single" w:sz="7" w:space="0" w:color="000000"/>
              <w:bottom w:val="single" w:sz="7" w:space="0" w:color="000000"/>
              <w:right w:val="single" w:sz="7" w:space="0" w:color="000000"/>
            </w:tcBorders>
          </w:tcPr>
          <w:p w14:paraId="62693CDF"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63.10(b)(2)(viii)</w:t>
            </w:r>
          </w:p>
        </w:tc>
      </w:tr>
      <w:tr w:rsidR="000906B7" w:rsidRPr="00CF2B37" w14:paraId="005B052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34B0982"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Documentation supporting initial notifications and notification of compliance status</w:t>
            </w:r>
          </w:p>
        </w:tc>
        <w:tc>
          <w:tcPr>
            <w:tcW w:w="2250" w:type="dxa"/>
            <w:tcBorders>
              <w:top w:val="single" w:sz="7" w:space="0" w:color="000000"/>
              <w:left w:val="single" w:sz="7" w:space="0" w:color="000000"/>
              <w:bottom w:val="single" w:sz="7" w:space="0" w:color="000000"/>
              <w:right w:val="single" w:sz="7" w:space="0" w:color="000000"/>
            </w:tcBorders>
          </w:tcPr>
          <w:p w14:paraId="40B87B32"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63.10(b)(2)(xiv)</w:t>
            </w:r>
          </w:p>
        </w:tc>
      </w:tr>
      <w:tr w:rsidR="000906B7" w:rsidRPr="00CF2B37" w14:paraId="74CC5FE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EE0A645"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Records of exceedances requiring corrective action and violations</w:t>
            </w:r>
          </w:p>
        </w:tc>
        <w:tc>
          <w:tcPr>
            <w:tcW w:w="2250" w:type="dxa"/>
            <w:tcBorders>
              <w:top w:val="single" w:sz="7" w:space="0" w:color="000000"/>
              <w:left w:val="single" w:sz="7" w:space="0" w:color="000000"/>
              <w:bottom w:val="single" w:sz="7" w:space="0" w:color="000000"/>
              <w:right w:val="single" w:sz="7" w:space="0" w:color="000000"/>
            </w:tcBorders>
          </w:tcPr>
          <w:p w14:paraId="4B577265"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63.866(b)</w:t>
            </w:r>
          </w:p>
        </w:tc>
      </w:tr>
      <w:tr w:rsidR="000906B7" w:rsidRPr="00CF2B37" w14:paraId="0E27AA28"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F894C75"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 xml:space="preserve">Black liquor solids firing rates for all recovery furnaces and </w:t>
            </w:r>
            <w:proofErr w:type="spellStart"/>
            <w:r>
              <w:t>semichemical</w:t>
            </w:r>
            <w:proofErr w:type="spellEnd"/>
            <w:r>
              <w:t xml:space="preserve"> combustion units</w:t>
            </w:r>
          </w:p>
        </w:tc>
        <w:tc>
          <w:tcPr>
            <w:tcW w:w="2250" w:type="dxa"/>
            <w:tcBorders>
              <w:top w:val="single" w:sz="7" w:space="0" w:color="000000"/>
              <w:left w:val="single" w:sz="7" w:space="0" w:color="000000"/>
              <w:bottom w:val="single" w:sz="7" w:space="0" w:color="000000"/>
              <w:right w:val="single" w:sz="7" w:space="0" w:color="000000"/>
            </w:tcBorders>
          </w:tcPr>
          <w:p w14:paraId="31470F6E"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63.866(c)(1)</w:t>
            </w:r>
          </w:p>
        </w:tc>
      </w:tr>
      <w:tr w:rsidR="000906B7" w:rsidRPr="00CF2B37" w14:paraId="09DF2CAD"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2B7870A"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Lime production rates for all lime kilns</w:t>
            </w:r>
          </w:p>
        </w:tc>
        <w:tc>
          <w:tcPr>
            <w:tcW w:w="2250" w:type="dxa"/>
            <w:tcBorders>
              <w:top w:val="single" w:sz="7" w:space="0" w:color="000000"/>
              <w:left w:val="single" w:sz="7" w:space="0" w:color="000000"/>
              <w:bottom w:val="single" w:sz="7" w:space="0" w:color="000000"/>
              <w:right w:val="single" w:sz="7" w:space="0" w:color="000000"/>
            </w:tcBorders>
          </w:tcPr>
          <w:p w14:paraId="75C4618C"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63.866(c)(2)</w:t>
            </w:r>
          </w:p>
        </w:tc>
      </w:tr>
      <w:tr w:rsidR="000906B7" w:rsidRPr="00CF2B37" w14:paraId="597C9EFB"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1C1A337"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All parameter monitoring data required in section 63.864</w:t>
            </w:r>
          </w:p>
        </w:tc>
        <w:tc>
          <w:tcPr>
            <w:tcW w:w="2250" w:type="dxa"/>
            <w:tcBorders>
              <w:top w:val="single" w:sz="7" w:space="0" w:color="000000"/>
              <w:left w:val="single" w:sz="7" w:space="0" w:color="000000"/>
              <w:bottom w:val="single" w:sz="7" w:space="0" w:color="000000"/>
              <w:right w:val="single" w:sz="7" w:space="0" w:color="000000"/>
            </w:tcBorders>
          </w:tcPr>
          <w:p w14:paraId="0C9F61EE"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63.866(c)(3)</w:t>
            </w:r>
          </w:p>
        </w:tc>
      </w:tr>
      <w:tr w:rsidR="000906B7" w:rsidRPr="00CF2B37" w14:paraId="1490AD3D"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CEBF3E1"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Supporting calculations for compliance determinations made under section 63.865(a) through (e)</w:t>
            </w:r>
          </w:p>
        </w:tc>
        <w:tc>
          <w:tcPr>
            <w:tcW w:w="2250" w:type="dxa"/>
            <w:tcBorders>
              <w:top w:val="single" w:sz="7" w:space="0" w:color="000000"/>
              <w:left w:val="single" w:sz="7" w:space="0" w:color="000000"/>
              <w:bottom w:val="single" w:sz="7" w:space="0" w:color="000000"/>
              <w:right w:val="single" w:sz="7" w:space="0" w:color="000000"/>
            </w:tcBorders>
          </w:tcPr>
          <w:p w14:paraId="22F7B969"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63.866(c)(4)</w:t>
            </w:r>
          </w:p>
        </w:tc>
      </w:tr>
      <w:tr w:rsidR="000906B7" w:rsidRPr="00CF2B37" w14:paraId="5BF1B20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D52CA91"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Compliant monitoring parameter ranges established for each affected source</w:t>
            </w:r>
          </w:p>
        </w:tc>
        <w:tc>
          <w:tcPr>
            <w:tcW w:w="2250" w:type="dxa"/>
            <w:tcBorders>
              <w:top w:val="single" w:sz="7" w:space="0" w:color="000000"/>
              <w:left w:val="single" w:sz="7" w:space="0" w:color="000000"/>
              <w:bottom w:val="single" w:sz="7" w:space="0" w:color="000000"/>
              <w:right w:val="single" w:sz="7" w:space="0" w:color="000000"/>
            </w:tcBorders>
          </w:tcPr>
          <w:p w14:paraId="3C31C224"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63.866(c)(5)</w:t>
            </w:r>
          </w:p>
        </w:tc>
      </w:tr>
      <w:tr w:rsidR="000906B7" w:rsidRPr="00CF2B37" w14:paraId="38A19D89"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2476CF0"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 xml:space="preserve">Certification that an </w:t>
            </w:r>
            <w:proofErr w:type="spellStart"/>
            <w:r>
              <w:t>NDCE</w:t>
            </w:r>
            <w:proofErr w:type="spellEnd"/>
            <w:r>
              <w:t xml:space="preserve"> recovery furnace equipped with a dry ESP system is used to comply with the gaseous organic HAP standard in section 63.862(1)</w:t>
            </w:r>
          </w:p>
        </w:tc>
        <w:tc>
          <w:tcPr>
            <w:tcW w:w="2250" w:type="dxa"/>
            <w:tcBorders>
              <w:top w:val="single" w:sz="7" w:space="0" w:color="000000"/>
              <w:left w:val="single" w:sz="7" w:space="0" w:color="000000"/>
              <w:bottom w:val="single" w:sz="7" w:space="0" w:color="000000"/>
              <w:right w:val="single" w:sz="7" w:space="0" w:color="000000"/>
            </w:tcBorders>
          </w:tcPr>
          <w:p w14:paraId="692B2E71" w14:textId="77777777" w:rsidR="000906B7" w:rsidRPr="00CF2B37" w:rsidRDefault="000906B7">
            <w:pPr>
              <w:pBdr>
                <w:top w:val="single" w:sz="6" w:space="0" w:color="FFFFFF"/>
                <w:left w:val="single" w:sz="6" w:space="0" w:color="FFFFFF"/>
                <w:bottom w:val="single" w:sz="6" w:space="0" w:color="FFFFFF"/>
                <w:right w:val="single" w:sz="6" w:space="0" w:color="FFFFFF"/>
              </w:pBdr>
              <w:spacing w:after="58"/>
            </w:pPr>
            <w:r>
              <w:t>63.866(c)(6)</w:t>
            </w:r>
          </w:p>
        </w:tc>
      </w:tr>
    </w:tbl>
    <w:p w14:paraId="2B256D9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EAAF2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274E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B2B8C3"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3266C2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4CABB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w:t>
      </w:r>
      <w:r w:rsidR="00FA7D77" w:rsidRPr="00FA7D77">
        <w:t xml:space="preserve"> 10 </w:t>
      </w:r>
      <w:r>
        <w:rPr>
          <w:color w:val="000000"/>
        </w:rPr>
        <w:t>percent of the respondents use electronic reporting.</w:t>
      </w:r>
    </w:p>
    <w:p w14:paraId="376337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5B152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654658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65802E7A"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56BBF5F0" w14:textId="77777777" w:rsidR="00CA4CD6" w:rsidRDefault="00CA4CD6">
            <w:pPr>
              <w:spacing w:line="120" w:lineRule="exact"/>
              <w:rPr>
                <w:color w:val="000000"/>
              </w:rPr>
            </w:pPr>
          </w:p>
          <w:p w14:paraId="03D6E0F1"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449E01D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183EF9E" w14:textId="77777777" w:rsidR="00CA4CD6" w:rsidRDefault="00CA4CD6">
            <w:pPr>
              <w:spacing w:line="120" w:lineRule="exact"/>
              <w:rPr>
                <w:b/>
                <w:bCs/>
                <w:color w:val="000000"/>
              </w:rPr>
            </w:pPr>
          </w:p>
          <w:p w14:paraId="3D8C261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5924460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CB99754" w14:textId="77777777" w:rsidR="00CA4CD6" w:rsidRDefault="00CA4CD6">
            <w:pPr>
              <w:spacing w:line="120" w:lineRule="exact"/>
              <w:rPr>
                <w:color w:val="000000"/>
              </w:rPr>
            </w:pPr>
          </w:p>
          <w:p w14:paraId="76EF65E0" w14:textId="77777777" w:rsidR="00F06090"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DB0ACD">
              <w:t>wet scrubber.</w:t>
            </w:r>
          </w:p>
        </w:tc>
      </w:tr>
      <w:tr w:rsidR="00CA4CD6" w14:paraId="3DDEFBB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F9F3390" w14:textId="77777777" w:rsidR="00CA4CD6" w:rsidRDefault="00CA4CD6">
            <w:pPr>
              <w:spacing w:line="120" w:lineRule="exact"/>
              <w:rPr>
                <w:color w:val="000000"/>
              </w:rPr>
            </w:pPr>
          </w:p>
          <w:p w14:paraId="7989FDEA" w14:textId="77777777" w:rsidR="00F06090"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DB0ACD">
              <w:rPr>
                <w:color w:val="000000"/>
              </w:rPr>
              <w:t>1, 1A, 2, 2A, 2C, 2D, 2F, 2G, 3, 3A, 3B, 4, 5, 17, 25A, 29, or 308</w:t>
            </w:r>
            <w:r>
              <w:rPr>
                <w:color w:val="FF0000"/>
              </w:rPr>
              <w:t xml:space="preserve"> </w:t>
            </w:r>
            <w:r>
              <w:rPr>
                <w:color w:val="000000"/>
              </w:rPr>
              <w:t>test</w:t>
            </w:r>
            <w:r w:rsidR="00DB0ACD">
              <w:rPr>
                <w:color w:val="000000"/>
              </w:rPr>
              <w:t>s</w:t>
            </w:r>
            <w:r>
              <w:rPr>
                <w:color w:val="000000"/>
              </w:rPr>
              <w:t>, and repeat performance tests if necessary.</w:t>
            </w:r>
          </w:p>
        </w:tc>
      </w:tr>
      <w:tr w:rsidR="00CA4CD6" w14:paraId="31C0FC9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E6B38C7" w14:textId="77777777" w:rsidR="00CA4CD6" w:rsidRDefault="00CA4CD6">
            <w:pPr>
              <w:spacing w:line="120" w:lineRule="exact"/>
              <w:rPr>
                <w:color w:val="000000"/>
              </w:rPr>
            </w:pPr>
          </w:p>
          <w:p w14:paraId="626E04F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4DF89D8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3A7725E" w14:textId="77777777" w:rsidR="00CA4CD6" w:rsidRDefault="00CA4CD6">
            <w:pPr>
              <w:spacing w:line="120" w:lineRule="exact"/>
              <w:rPr>
                <w:color w:val="000000"/>
              </w:rPr>
            </w:pPr>
          </w:p>
          <w:p w14:paraId="59DB527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1CE9705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5BFA073" w14:textId="77777777" w:rsidR="00CA4CD6" w:rsidRDefault="00CA4CD6">
            <w:pPr>
              <w:spacing w:line="120" w:lineRule="exact"/>
              <w:rPr>
                <w:color w:val="000000"/>
              </w:rPr>
            </w:pPr>
          </w:p>
          <w:p w14:paraId="337B51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1B1415D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287ED95" w14:textId="77777777" w:rsidR="00CA4CD6" w:rsidRDefault="00CA4CD6">
            <w:pPr>
              <w:spacing w:line="120" w:lineRule="exact"/>
              <w:rPr>
                <w:color w:val="000000"/>
              </w:rPr>
            </w:pPr>
          </w:p>
          <w:p w14:paraId="73B2528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672F962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C9710C1" w14:textId="77777777" w:rsidR="00CA4CD6" w:rsidRDefault="00CA4CD6">
            <w:pPr>
              <w:spacing w:line="120" w:lineRule="exact"/>
              <w:rPr>
                <w:color w:val="000000"/>
              </w:rPr>
            </w:pPr>
          </w:p>
          <w:p w14:paraId="7A6A9DA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2BC3983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79FC802" w14:textId="77777777" w:rsidR="00CA4CD6" w:rsidRDefault="00CA4CD6">
            <w:pPr>
              <w:spacing w:line="120" w:lineRule="exact"/>
              <w:rPr>
                <w:color w:val="000000"/>
              </w:rPr>
            </w:pPr>
          </w:p>
          <w:p w14:paraId="37C8C1E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48D31CB7"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09B2E234" w14:textId="77777777" w:rsidR="00CA4CD6" w:rsidRDefault="00CA4CD6">
            <w:pPr>
              <w:spacing w:line="120" w:lineRule="exact"/>
              <w:rPr>
                <w:color w:val="000000"/>
              </w:rPr>
            </w:pPr>
          </w:p>
          <w:p w14:paraId="2E9C9A2B"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60182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E72A4D" w14:textId="77777777" w:rsidR="00606DEF" w:rsidRPr="00DB0ACD" w:rsidRDefault="00FA7D77" w:rsidP="00CF2B37">
      <w:pPr>
        <w:pBdr>
          <w:top w:val="single" w:sz="6" w:space="0" w:color="FFFFFF"/>
          <w:left w:val="single" w:sz="6" w:space="0" w:color="FFFFFF"/>
          <w:bottom w:val="single" w:sz="6" w:space="0" w:color="FFFFFF"/>
          <w:right w:val="single" w:sz="6" w:space="0" w:color="FFFFFF"/>
        </w:pBdr>
        <w:ind w:firstLine="720"/>
      </w:pPr>
      <w:r w:rsidRPr="00FA7D7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14:paraId="594EB64B"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3BB451C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5.  The Information Collected:  Agency Activities, Collection Methodology, and </w:t>
      </w:r>
      <w:r>
        <w:rPr>
          <w:b/>
          <w:bCs/>
          <w:color w:val="000000"/>
        </w:rPr>
        <w:lastRenderedPageBreak/>
        <w:t>Information Management</w:t>
      </w:r>
    </w:p>
    <w:p w14:paraId="0FB24D2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645E54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027972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31B5F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61F5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49767EF2"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2C07A98C" w14:textId="77777777" w:rsidR="00CA4CD6" w:rsidRDefault="00CA4CD6">
            <w:pPr>
              <w:spacing w:line="120" w:lineRule="exact"/>
              <w:rPr>
                <w:color w:val="000000"/>
              </w:rPr>
            </w:pPr>
          </w:p>
          <w:p w14:paraId="3D00241F"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7A82490" w14:textId="77777777">
        <w:tc>
          <w:tcPr>
            <w:tcW w:w="9360" w:type="dxa"/>
            <w:tcBorders>
              <w:top w:val="single" w:sz="7" w:space="0" w:color="000000"/>
              <w:left w:val="single" w:sz="7" w:space="0" w:color="000000"/>
              <w:bottom w:val="single" w:sz="6" w:space="0" w:color="FFFFFF"/>
              <w:right w:val="single" w:sz="7" w:space="0" w:color="000000"/>
            </w:tcBorders>
          </w:tcPr>
          <w:p w14:paraId="61F0E0E7" w14:textId="77777777" w:rsidR="00CA4CD6" w:rsidRDefault="00CA4CD6">
            <w:pPr>
              <w:spacing w:line="120" w:lineRule="exact"/>
              <w:rPr>
                <w:color w:val="000000"/>
              </w:rPr>
            </w:pPr>
          </w:p>
          <w:p w14:paraId="70F0F9B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6DE70620" w14:textId="77777777">
        <w:tc>
          <w:tcPr>
            <w:tcW w:w="9360" w:type="dxa"/>
            <w:tcBorders>
              <w:top w:val="single" w:sz="7" w:space="0" w:color="000000"/>
              <w:left w:val="single" w:sz="7" w:space="0" w:color="000000"/>
              <w:bottom w:val="single" w:sz="6" w:space="0" w:color="FFFFFF"/>
              <w:right w:val="single" w:sz="7" w:space="0" w:color="000000"/>
            </w:tcBorders>
          </w:tcPr>
          <w:p w14:paraId="388F8EBE" w14:textId="77777777" w:rsidR="00CA4CD6" w:rsidRDefault="00CA4CD6">
            <w:pPr>
              <w:spacing w:line="120" w:lineRule="exact"/>
              <w:rPr>
                <w:color w:val="000000"/>
              </w:rPr>
            </w:pPr>
          </w:p>
          <w:p w14:paraId="7663CE1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6CB34927" w14:textId="77777777">
        <w:tc>
          <w:tcPr>
            <w:tcW w:w="9360" w:type="dxa"/>
            <w:tcBorders>
              <w:top w:val="single" w:sz="7" w:space="0" w:color="000000"/>
              <w:left w:val="single" w:sz="7" w:space="0" w:color="000000"/>
              <w:bottom w:val="single" w:sz="7" w:space="0" w:color="000000"/>
              <w:right w:val="single" w:sz="7" w:space="0" w:color="000000"/>
            </w:tcBorders>
          </w:tcPr>
          <w:p w14:paraId="52E2E080" w14:textId="77777777" w:rsidR="00CA4CD6" w:rsidRDefault="00CA4CD6">
            <w:pPr>
              <w:spacing w:line="120" w:lineRule="exact"/>
              <w:rPr>
                <w:color w:val="000000"/>
              </w:rPr>
            </w:pPr>
          </w:p>
          <w:p w14:paraId="64CB7779"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350A421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596865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5AAC4F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64A68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E7D48">
        <w:t xml:space="preserve">Following notification of startup, the reviewing authority </w:t>
      </w:r>
      <w:r w:rsidR="002B29A7" w:rsidRPr="00EE7D48">
        <w:t xml:space="preserve">could </w:t>
      </w:r>
      <w:r w:rsidRPr="00EE7D48">
        <w:t>inspect the source to determine whether the pollution control devices are p</w:t>
      </w:r>
      <w:r w:rsidR="00EE7D48" w:rsidRPr="00EE7D48">
        <w:t xml:space="preserve">roperly installed and operated.  </w:t>
      </w:r>
      <w:r w:rsidRPr="00EE7D48">
        <w:t>Performance test reports are used by the Agency to discern a source</w:t>
      </w:r>
      <w:r w:rsidR="004C701D" w:rsidRPr="00EE7D48">
        <w:t>’</w:t>
      </w:r>
      <w:r w:rsidRPr="00EE7D48">
        <w:t>s initial capability to co</w:t>
      </w:r>
      <w:r w:rsidR="00EE7D48" w:rsidRPr="00EE7D48">
        <w:t xml:space="preserve">mply with the emission standard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00FA7D77" w:rsidRPr="00FA7D77">
        <w:t>semiannual reports</w:t>
      </w:r>
      <w:r>
        <w:rPr>
          <w:color w:val="FF0000"/>
        </w:rPr>
        <w:t xml:space="preserve"> </w:t>
      </w:r>
      <w:r w:rsidRPr="00EE7D48">
        <w:t>are used for problem identification, as a check on source operation and maintenance, and for compliance determinations.</w:t>
      </w:r>
    </w:p>
    <w:p w14:paraId="7355D8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51DF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42F361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E7E73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A7D77" w:rsidRPr="00FA7D77">
        <w:t>five</w:t>
      </w:r>
      <w:r>
        <w:rPr>
          <w:color w:val="000000"/>
        </w:rPr>
        <w:t xml:space="preserve"> years.</w:t>
      </w:r>
    </w:p>
    <w:p w14:paraId="149DFD9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15CD0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3B66D969"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3AF6B81" w14:textId="77777777" w:rsidR="00F06090" w:rsidRPr="00F06090" w:rsidRDefault="00FA7D77">
      <w:pPr>
        <w:pBdr>
          <w:top w:val="single" w:sz="6" w:space="0" w:color="FFFFFF"/>
          <w:left w:val="single" w:sz="6" w:space="0" w:color="FFFFFF"/>
          <w:bottom w:val="single" w:sz="6" w:space="0" w:color="FFFFFF"/>
          <w:right w:val="single" w:sz="6" w:space="0" w:color="FFFFFF"/>
        </w:pBdr>
        <w:ind w:firstLine="720"/>
        <w:rPr>
          <w:b/>
          <w:bCs/>
        </w:rPr>
      </w:pPr>
      <w:r w:rsidRPr="00FA7D77">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w:t>
      </w:r>
      <w:r w:rsidRPr="00FA7D77">
        <w:lastRenderedPageBreak/>
        <w:t>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BBC365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E7C7E0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38FC43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C257E8"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5648CD" w:rsidRPr="00DB7960">
        <w:t xml:space="preserve">Table </w:t>
      </w:r>
      <w:r w:rsidR="00576959">
        <w:t>1</w:t>
      </w:r>
      <w:r w:rsidR="00DB0ACD" w:rsidRPr="00424775">
        <w:t xml:space="preserve">: Annual Respondent Burden and Cost – </w:t>
      </w:r>
      <w:r w:rsidR="00DB0ACD" w:rsidRPr="00424775">
        <w:rPr>
          <w:bCs/>
        </w:rPr>
        <w:t xml:space="preserve">NESHAP for Chemical Recovery Combustion Sources at Kraft, Soda, Sulfite, and Stand-Alone </w:t>
      </w:r>
      <w:proofErr w:type="spellStart"/>
      <w:r w:rsidR="00DB0ACD" w:rsidRPr="00424775">
        <w:rPr>
          <w:bCs/>
        </w:rPr>
        <w:t>Semichemical</w:t>
      </w:r>
      <w:proofErr w:type="spellEnd"/>
      <w:r w:rsidR="00DB0ACD" w:rsidRPr="00424775">
        <w:rPr>
          <w:bCs/>
        </w:rPr>
        <w:t xml:space="preserve"> Pulp Mills (40 CFR Part 63, Subpart MM) (Renewal)</w:t>
      </w:r>
      <w:r>
        <w:rPr>
          <w:color w:val="000000"/>
        </w:rPr>
        <w:t>.</w:t>
      </w:r>
    </w:p>
    <w:p w14:paraId="7AB334D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FF534E"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92BB586"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0CDF9586"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877DFD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9D4053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45D9DAF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1B2EFF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58AD426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9D8670C"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DD1339">
        <w:rPr>
          <w:color w:val="000000"/>
        </w:rPr>
        <w:t xml:space="preserve"> 126,207</w:t>
      </w:r>
      <w:r w:rsidR="004C701D">
        <w:rPr>
          <w:color w:val="000000"/>
        </w:rPr>
        <w:t xml:space="preserve"> (</w:t>
      </w:r>
      <w:r>
        <w:rPr>
          <w:color w:val="000000"/>
        </w:rPr>
        <w:t xml:space="preserve">Total Labor Hours from Table </w:t>
      </w:r>
      <w:r w:rsidR="00576959">
        <w:rPr>
          <w:color w:val="000000"/>
        </w:rPr>
        <w:t>1</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FA7D77" w:rsidRPr="00FA7D77">
        <w:t>NESHAP</w:t>
      </w:r>
      <w:r w:rsidR="00887551">
        <w:rPr>
          <w:color w:val="FF0000"/>
        </w:rPr>
        <w:t xml:space="preserve"> </w:t>
      </w:r>
      <w:r>
        <w:rPr>
          <w:color w:val="000000"/>
        </w:rPr>
        <w:t>program, the previously approved ICR, and any comments received.</w:t>
      </w:r>
    </w:p>
    <w:p w14:paraId="4DF5E8B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DEE6908"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6E4057F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57B3C2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53C07306"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19097D81"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C208CE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27CAB8B0"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271BFCF3"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77C3B4EA"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2A006F84"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6DC2F431"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w:t>
      </w:r>
      <w:r>
        <w:rPr>
          <w:color w:val="000000"/>
        </w:rPr>
        <w:lastRenderedPageBreak/>
        <w:t>the benefit packages available to those employed by private industry.</w:t>
      </w:r>
    </w:p>
    <w:p w14:paraId="6B1EE273"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1AE2504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772ED9C2" w14:textId="77777777" w:rsidR="006C7571" w:rsidRDefault="006C7571">
      <w:pPr>
        <w:pBdr>
          <w:top w:val="single" w:sz="6" w:space="0" w:color="FFFFFF"/>
          <w:left w:val="single" w:sz="6" w:space="0" w:color="FFFFFF"/>
          <w:bottom w:val="single" w:sz="6" w:space="0" w:color="FFFFFF"/>
          <w:right w:val="single" w:sz="6" w:space="0" w:color="FFFFFF"/>
        </w:pBdr>
        <w:ind w:firstLine="720"/>
        <w:rPr>
          <w:color w:val="FF0000"/>
        </w:rPr>
      </w:pPr>
    </w:p>
    <w:p w14:paraId="5B64CE21" w14:textId="77777777" w:rsidR="00CA4CD6" w:rsidRPr="006C7571" w:rsidRDefault="00FA7D77">
      <w:pPr>
        <w:pBdr>
          <w:top w:val="single" w:sz="6" w:space="0" w:color="FFFFFF"/>
          <w:left w:val="single" w:sz="6" w:space="0" w:color="FFFFFF"/>
          <w:bottom w:val="single" w:sz="6" w:space="0" w:color="FFFFFF"/>
          <w:right w:val="single" w:sz="6" w:space="0" w:color="FFFFFF"/>
        </w:pBdr>
        <w:ind w:firstLine="720"/>
      </w:pPr>
      <w:r w:rsidRPr="00FA7D77">
        <w:t xml:space="preserve">The type of industry costs associated with the information collection activities in the subject standard are both labor costs which are addressed elsewhere in this ICR and the costs associated with continuous monitoring.  The capital/startup costs are </w:t>
      </w:r>
      <w:proofErr w:type="spellStart"/>
      <w:r w:rsidRPr="00FA7D77">
        <w:t>one time</w:t>
      </w:r>
      <w:proofErr w:type="spellEnd"/>
      <w:r w:rsidRPr="00FA7D77">
        <w:t xml:space="preserve"> costs when a facility becomes subject to the regulation.  The annual operation and maintenance costs are the ongoing costs to maintain the monitors and other costs such as photocopying and postage.</w:t>
      </w:r>
    </w:p>
    <w:p w14:paraId="45449C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269D8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0875B0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26C00346" w14:textId="77777777" w:rsidTr="0088755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26063568" w14:textId="77777777" w:rsidR="00CA4CD6" w:rsidRDefault="00CA4CD6">
            <w:pPr>
              <w:spacing w:line="120" w:lineRule="exact"/>
              <w:rPr>
                <w:color w:val="000000"/>
              </w:rPr>
            </w:pPr>
          </w:p>
          <w:p w14:paraId="573BA89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BA4CCEC" w14:textId="77777777">
        <w:tc>
          <w:tcPr>
            <w:tcW w:w="1170" w:type="dxa"/>
            <w:tcBorders>
              <w:top w:val="single" w:sz="7" w:space="0" w:color="000000"/>
              <w:left w:val="single" w:sz="7" w:space="0" w:color="000000"/>
              <w:bottom w:val="single" w:sz="6" w:space="0" w:color="FFFFFF"/>
              <w:right w:val="single" w:sz="6" w:space="0" w:color="FFFFFF"/>
            </w:tcBorders>
          </w:tcPr>
          <w:p w14:paraId="2F4A5A6A" w14:textId="77777777" w:rsidR="00CA4CD6" w:rsidRDefault="00CA4CD6">
            <w:pPr>
              <w:spacing w:line="120" w:lineRule="exact"/>
              <w:rPr>
                <w:b/>
                <w:bCs/>
                <w:color w:val="000000"/>
              </w:rPr>
            </w:pPr>
          </w:p>
          <w:p w14:paraId="527B610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245750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1DA74538" w14:textId="77777777" w:rsidR="00CA4CD6" w:rsidRDefault="00CA4CD6">
            <w:pPr>
              <w:spacing w:line="120" w:lineRule="exact"/>
              <w:rPr>
                <w:color w:val="000000"/>
                <w:sz w:val="20"/>
                <w:szCs w:val="20"/>
              </w:rPr>
            </w:pPr>
          </w:p>
          <w:p w14:paraId="3517273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544974A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210DF40E" w14:textId="77777777" w:rsidR="00CA4CD6" w:rsidRDefault="00CA4CD6">
            <w:pPr>
              <w:spacing w:line="120" w:lineRule="exact"/>
              <w:rPr>
                <w:color w:val="000000"/>
                <w:sz w:val="20"/>
                <w:szCs w:val="20"/>
              </w:rPr>
            </w:pPr>
          </w:p>
          <w:p w14:paraId="2F58837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1B7756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61F7A63" w14:textId="77777777" w:rsidR="00CA4CD6" w:rsidRDefault="00CA4CD6">
            <w:pPr>
              <w:spacing w:line="120" w:lineRule="exact"/>
              <w:rPr>
                <w:color w:val="000000"/>
                <w:sz w:val="20"/>
                <w:szCs w:val="20"/>
              </w:rPr>
            </w:pPr>
          </w:p>
          <w:p w14:paraId="20A6E19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D29051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69B630A1" w14:textId="77777777" w:rsidR="00CA4CD6" w:rsidRDefault="00CA4CD6">
            <w:pPr>
              <w:spacing w:line="120" w:lineRule="exact"/>
              <w:rPr>
                <w:color w:val="000000"/>
                <w:sz w:val="20"/>
                <w:szCs w:val="20"/>
              </w:rPr>
            </w:pPr>
          </w:p>
          <w:p w14:paraId="0D747D7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8FCE93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298B86F3" w14:textId="77777777" w:rsidR="00CA4CD6" w:rsidRDefault="00CA4CD6">
            <w:pPr>
              <w:spacing w:line="120" w:lineRule="exact"/>
              <w:rPr>
                <w:color w:val="000000"/>
                <w:sz w:val="20"/>
                <w:szCs w:val="20"/>
              </w:rPr>
            </w:pPr>
          </w:p>
          <w:p w14:paraId="68C4D2F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61DD705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072CB9EB" w14:textId="77777777" w:rsidR="00CA4CD6" w:rsidRDefault="00CA4CD6">
            <w:pPr>
              <w:spacing w:line="120" w:lineRule="exact"/>
              <w:rPr>
                <w:color w:val="000000"/>
                <w:sz w:val="20"/>
                <w:szCs w:val="20"/>
              </w:rPr>
            </w:pPr>
          </w:p>
          <w:p w14:paraId="59E511D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43EA11B0"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5B569B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887551" w14:paraId="7200D288" w14:textId="77777777" w:rsidTr="00887551">
        <w:tc>
          <w:tcPr>
            <w:tcW w:w="1170" w:type="dxa"/>
            <w:tcBorders>
              <w:top w:val="single" w:sz="7" w:space="0" w:color="000000"/>
              <w:left w:val="single" w:sz="7" w:space="0" w:color="000000"/>
              <w:bottom w:val="single" w:sz="6" w:space="0" w:color="FFFFFF"/>
              <w:right w:val="single" w:sz="6" w:space="0" w:color="FFFFFF"/>
            </w:tcBorders>
            <w:vAlign w:val="center"/>
          </w:tcPr>
          <w:p w14:paraId="1C564BDC" w14:textId="77777777" w:rsidR="000D0728" w:rsidRDefault="00887551">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COMS</w:t>
            </w:r>
          </w:p>
        </w:tc>
        <w:tc>
          <w:tcPr>
            <w:tcW w:w="1440" w:type="dxa"/>
            <w:tcBorders>
              <w:top w:val="single" w:sz="7" w:space="0" w:color="000000"/>
              <w:left w:val="single" w:sz="7" w:space="0" w:color="000000"/>
              <w:bottom w:val="single" w:sz="6" w:space="0" w:color="FFFFFF"/>
              <w:right w:val="single" w:sz="6" w:space="0" w:color="FFFFFF"/>
            </w:tcBorders>
            <w:vAlign w:val="center"/>
          </w:tcPr>
          <w:p w14:paraId="35A8ED65"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$41,000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2CA8178E"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479C7096"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79807B4"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E6C5CBA"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89</w:t>
            </w:r>
          </w:p>
        </w:tc>
        <w:tc>
          <w:tcPr>
            <w:tcW w:w="1350" w:type="dxa"/>
            <w:tcBorders>
              <w:top w:val="single" w:sz="7" w:space="0" w:color="000000"/>
              <w:left w:val="single" w:sz="7" w:space="0" w:color="000000"/>
              <w:bottom w:val="single" w:sz="6" w:space="0" w:color="FFFFFF"/>
              <w:right w:val="single" w:sz="7" w:space="0" w:color="000000"/>
            </w:tcBorders>
            <w:vAlign w:val="center"/>
          </w:tcPr>
          <w:p w14:paraId="1E2E51B2"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$712,000</w:t>
            </w:r>
          </w:p>
        </w:tc>
      </w:tr>
      <w:tr w:rsidR="00887551" w14:paraId="4B7329B0" w14:textId="77777777" w:rsidTr="00887551">
        <w:tc>
          <w:tcPr>
            <w:tcW w:w="1170" w:type="dxa"/>
            <w:tcBorders>
              <w:top w:val="single" w:sz="7" w:space="0" w:color="000000"/>
              <w:left w:val="single" w:sz="7" w:space="0" w:color="000000"/>
              <w:bottom w:val="single" w:sz="6" w:space="0" w:color="FFFFFF"/>
              <w:right w:val="single" w:sz="6" w:space="0" w:color="FFFFFF"/>
            </w:tcBorders>
            <w:vAlign w:val="center"/>
          </w:tcPr>
          <w:p w14:paraId="2499A671" w14:textId="77777777" w:rsidR="00F06090" w:rsidRDefault="00887551">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CPMS</w:t>
            </w:r>
          </w:p>
        </w:tc>
        <w:tc>
          <w:tcPr>
            <w:tcW w:w="1440" w:type="dxa"/>
            <w:tcBorders>
              <w:top w:val="single" w:sz="7" w:space="0" w:color="000000"/>
              <w:left w:val="single" w:sz="7" w:space="0" w:color="000000"/>
              <w:bottom w:val="single" w:sz="6" w:space="0" w:color="FFFFFF"/>
              <w:right w:val="single" w:sz="6" w:space="0" w:color="FFFFFF"/>
            </w:tcBorders>
            <w:vAlign w:val="center"/>
          </w:tcPr>
          <w:p w14:paraId="3592FA6B"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29DABA4"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5CEAB70"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493C100"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63600A9E"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768445B5" w14:textId="77777777" w:rsidR="00F06090" w:rsidRDefault="00887551" w:rsidP="005662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887551" w14:paraId="1DE48DF7" w14:textId="77777777" w:rsidTr="00887551">
        <w:tc>
          <w:tcPr>
            <w:tcW w:w="1170" w:type="dxa"/>
            <w:tcBorders>
              <w:top w:val="single" w:sz="7" w:space="0" w:color="000000"/>
              <w:left w:val="single" w:sz="7" w:space="0" w:color="000000"/>
              <w:bottom w:val="single" w:sz="7" w:space="0" w:color="000000"/>
              <w:right w:val="single" w:sz="6" w:space="0" w:color="FFFFFF"/>
            </w:tcBorders>
            <w:vAlign w:val="center"/>
          </w:tcPr>
          <w:p w14:paraId="1C13255F" w14:textId="77777777" w:rsidR="00F06090" w:rsidRDefault="00887551">
            <w:pPr>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258D7E96" w14:textId="77777777" w:rsidR="00F06090" w:rsidRDefault="00F06090" w:rsidP="005662A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403E0880" w14:textId="77777777" w:rsidR="005648CD" w:rsidRDefault="005648CD" w:rsidP="005662A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26D8DF55" w14:textId="77777777" w:rsidR="00F06090" w:rsidRDefault="00887551" w:rsidP="005662A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8FC88A2" w14:textId="77777777" w:rsidR="005648CD" w:rsidRDefault="005648CD" w:rsidP="005662A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B129701" w14:textId="77777777" w:rsidR="005648CD" w:rsidRDefault="005648CD" w:rsidP="005662A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5337C745" w14:textId="77777777" w:rsidR="00F06090" w:rsidRDefault="00887551" w:rsidP="005662A2">
            <w:pPr>
              <w:pBdr>
                <w:top w:val="single" w:sz="6" w:space="0" w:color="FFFFFF"/>
                <w:left w:val="single" w:sz="6" w:space="0" w:color="FFFFFF"/>
                <w:bottom w:val="single" w:sz="6" w:space="0" w:color="FFFFFF"/>
                <w:right w:val="single" w:sz="6" w:space="0" w:color="FFFFFF"/>
              </w:pBdr>
              <w:spacing w:after="72"/>
              <w:jc w:val="center"/>
              <w:rPr>
                <w:color w:val="000000"/>
              </w:rPr>
            </w:pPr>
            <w:r>
              <w:rPr>
                <w:sz w:val="20"/>
                <w:szCs w:val="20"/>
              </w:rPr>
              <w:t>$712,000</w:t>
            </w:r>
          </w:p>
        </w:tc>
      </w:tr>
    </w:tbl>
    <w:p w14:paraId="642705C9" w14:textId="77777777" w:rsidR="00887551" w:rsidRDefault="00CA4CD6" w:rsidP="00887551">
      <w:pPr>
        <w:rPr>
          <w:sz w:val="20"/>
          <w:szCs w:val="20"/>
        </w:rPr>
      </w:pPr>
      <w:r>
        <w:rPr>
          <w:color w:val="000000"/>
        </w:rPr>
        <w:t xml:space="preserve"> </w:t>
      </w:r>
      <w:r w:rsidR="00887551">
        <w:rPr>
          <w:sz w:val="20"/>
          <w:szCs w:val="20"/>
          <w:vertAlign w:val="superscript"/>
        </w:rPr>
        <w:t>1</w:t>
      </w:r>
      <w:r w:rsidR="00887551">
        <w:rPr>
          <w:sz w:val="20"/>
          <w:szCs w:val="20"/>
        </w:rPr>
        <w:t xml:space="preserve"> No costs are included for continuous opacity monitoring system (COMS) installed for recovery furnaces or for continuous parameter monitoring systems (CPMS) because the monitoring equipment is already required for compliance with the NSPS for Kraft Pulp Mills (40 CFR Subpart BB).</w:t>
      </w:r>
    </w:p>
    <w:p w14:paraId="4815CD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780680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87551">
        <w:rPr>
          <w:color w:val="000000"/>
        </w:rPr>
        <w:t>0</w:t>
      </w:r>
      <w:r>
        <w:rPr>
          <w:color w:val="000000"/>
        </w:rPr>
        <w:t>.  This is the total o</w:t>
      </w:r>
      <w:r w:rsidR="00507EC5">
        <w:rPr>
          <w:color w:val="000000"/>
        </w:rPr>
        <w:t xml:space="preserve">f column D in the above table. </w:t>
      </w:r>
    </w:p>
    <w:p w14:paraId="64228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D60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887551">
        <w:rPr>
          <w:color w:val="000000"/>
        </w:rPr>
        <w:t>712,000</w:t>
      </w:r>
      <w:r>
        <w:rPr>
          <w:color w:val="000000"/>
        </w:rPr>
        <w:t xml:space="preserve">.  </w:t>
      </w:r>
      <w:r w:rsidR="00507EC5">
        <w:rPr>
          <w:color w:val="000000"/>
        </w:rPr>
        <w:t xml:space="preserve">This is the total of column G. </w:t>
      </w:r>
    </w:p>
    <w:p w14:paraId="59E08720"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5ACB9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6C7571">
        <w:rPr>
          <w:color w:val="000000"/>
        </w:rPr>
        <w:t>712,000</w:t>
      </w:r>
      <w:r>
        <w:rPr>
          <w:color w:val="000000"/>
        </w:rPr>
        <w:t xml:space="preserve">. </w:t>
      </w:r>
      <w:r w:rsidR="001C5991">
        <w:rPr>
          <w:color w:val="000000"/>
        </w:rPr>
        <w:t xml:space="preserve">  </w:t>
      </w:r>
    </w:p>
    <w:p w14:paraId="1E64C6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4138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14:paraId="520E1F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DA41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0A09A5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1A875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50295">
        <w:rPr>
          <w:color w:val="000000"/>
        </w:rPr>
        <w:t>32,765</w:t>
      </w:r>
      <w:r>
        <w:rPr>
          <w:color w:val="000000"/>
        </w:rPr>
        <w:t xml:space="preserve">.  </w:t>
      </w:r>
    </w:p>
    <w:p w14:paraId="27C693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145E1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14:paraId="106B55DE" w14:textId="77777777" w:rsidR="00D2273E" w:rsidRPr="00D2273E" w:rsidRDefault="00D2273E" w:rsidP="00D2273E"/>
    <w:p w14:paraId="00C9E0E2"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5BC4F4E9"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2DF476AF"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1679F1B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3AC0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DB0ACD" w:rsidRPr="00424775">
        <w:t xml:space="preserve">Table 2: Average Annual EPA Burden and Cost – </w:t>
      </w:r>
      <w:r w:rsidR="00DB0ACD" w:rsidRPr="00424775">
        <w:rPr>
          <w:bCs/>
        </w:rPr>
        <w:t xml:space="preserve">NESHAP for Chemical Recovery Combustion Sources at Kraft, Soda, Sulfite, and Stand-Alone </w:t>
      </w:r>
      <w:proofErr w:type="spellStart"/>
      <w:r w:rsidR="00DB0ACD" w:rsidRPr="00424775">
        <w:rPr>
          <w:bCs/>
        </w:rPr>
        <w:t>Semichemical</w:t>
      </w:r>
      <w:proofErr w:type="spellEnd"/>
      <w:r w:rsidR="00DB0ACD" w:rsidRPr="00424775">
        <w:rPr>
          <w:bCs/>
        </w:rPr>
        <w:t xml:space="preserve"> Pulp Mills (40 CFR Part 63, Subpart MM) (Renewal)</w:t>
      </w:r>
      <w:r w:rsidR="00DB0ACD" w:rsidRPr="00424775">
        <w:t>.</w:t>
      </w:r>
      <w:r w:rsidR="00DB0ACD" w:rsidDel="00DB0ACD">
        <w:rPr>
          <w:color w:val="000000"/>
        </w:rPr>
        <w:t xml:space="preserve"> </w:t>
      </w:r>
    </w:p>
    <w:p w14:paraId="6BFE02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B9037C"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76C769B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2F57C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C7571">
        <w:rPr>
          <w:color w:val="000000"/>
        </w:rPr>
        <w:t>111</w:t>
      </w:r>
      <w:r>
        <w:rPr>
          <w:color w:val="000000"/>
        </w:rPr>
        <w:t xml:space="preserve"> existing respondents will be subject to the standard.  It is estimated that </w:t>
      </w:r>
      <w:r w:rsidR="006C7571">
        <w:rPr>
          <w:color w:val="000000"/>
        </w:rPr>
        <w:t xml:space="preserve">no </w:t>
      </w:r>
      <w:r>
        <w:rPr>
          <w:color w:val="000000"/>
        </w:rPr>
        <w:t>additional respondents per year will become subject</w:t>
      </w:r>
      <w:r w:rsidR="005662A2">
        <w:rPr>
          <w:color w:val="000000"/>
        </w:rPr>
        <w:t>; however, one existing respondent will modify its facility and be subject to initial requirements</w:t>
      </w:r>
      <w:r>
        <w:rPr>
          <w:color w:val="000000"/>
        </w:rPr>
        <w:t>.  The overall average number of responden</w:t>
      </w:r>
      <w:r w:rsidR="0035325B">
        <w:rPr>
          <w:color w:val="000000"/>
        </w:rPr>
        <w:t>ts, as shown in the table below,</w:t>
      </w:r>
      <w:r>
        <w:rPr>
          <w:color w:val="000000"/>
        </w:rPr>
        <w:t xml:space="preserve"> is</w:t>
      </w:r>
      <w:r w:rsidR="006C7571">
        <w:rPr>
          <w:color w:val="000000"/>
        </w:rPr>
        <w:t xml:space="preserve"> 111</w:t>
      </w:r>
      <w:r>
        <w:rPr>
          <w:color w:val="000000"/>
        </w:rPr>
        <w:t xml:space="preserve"> per year.  </w:t>
      </w:r>
    </w:p>
    <w:p w14:paraId="4246BC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B5248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764773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48E5C0C1" w14:textId="77777777" w:rsidTr="006C7571">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2E15F7BE" w14:textId="77777777" w:rsidR="00CA4CD6" w:rsidRDefault="00CA4CD6">
            <w:pPr>
              <w:spacing w:line="120" w:lineRule="exact"/>
              <w:rPr>
                <w:color w:val="000000"/>
              </w:rPr>
            </w:pPr>
          </w:p>
          <w:p w14:paraId="1BCE001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67EC188D" w14:textId="77777777" w:rsidTr="006C7571">
        <w:tc>
          <w:tcPr>
            <w:tcW w:w="900" w:type="dxa"/>
            <w:tcBorders>
              <w:top w:val="single" w:sz="7" w:space="0" w:color="000000"/>
              <w:left w:val="single" w:sz="7" w:space="0" w:color="000000"/>
              <w:bottom w:val="single" w:sz="6" w:space="0" w:color="FFFFFF"/>
              <w:right w:val="single" w:sz="6" w:space="0" w:color="FFFFFF"/>
            </w:tcBorders>
          </w:tcPr>
          <w:p w14:paraId="31207C83" w14:textId="77777777" w:rsidR="00CA4CD6" w:rsidRDefault="00CA4CD6">
            <w:pPr>
              <w:spacing w:line="120" w:lineRule="exact"/>
              <w:rPr>
                <w:b/>
                <w:bCs/>
                <w:color w:val="000000"/>
              </w:rPr>
            </w:pPr>
          </w:p>
          <w:p w14:paraId="4655839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9A6BF3A" w14:textId="77777777" w:rsidR="00CA4CD6" w:rsidRDefault="00CA4CD6">
            <w:pPr>
              <w:spacing w:line="120" w:lineRule="exact"/>
              <w:rPr>
                <w:color w:val="000000"/>
                <w:sz w:val="18"/>
                <w:szCs w:val="18"/>
              </w:rPr>
            </w:pPr>
          </w:p>
          <w:p w14:paraId="6D02FFD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71CD669" w14:textId="77777777" w:rsidR="00CA4CD6" w:rsidRDefault="00CA4CD6">
            <w:pPr>
              <w:spacing w:line="120" w:lineRule="exact"/>
              <w:rPr>
                <w:color w:val="000000"/>
                <w:sz w:val="18"/>
                <w:szCs w:val="18"/>
              </w:rPr>
            </w:pPr>
          </w:p>
          <w:p w14:paraId="185A39C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866A97B" w14:textId="77777777" w:rsidR="00CA4CD6" w:rsidRDefault="00CA4CD6">
            <w:pPr>
              <w:spacing w:line="120" w:lineRule="exact"/>
              <w:rPr>
                <w:color w:val="000000"/>
                <w:sz w:val="18"/>
                <w:szCs w:val="18"/>
              </w:rPr>
            </w:pPr>
          </w:p>
          <w:p w14:paraId="7580C40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06C550F5" w14:textId="77777777" w:rsidTr="003F1AFC">
        <w:tc>
          <w:tcPr>
            <w:tcW w:w="900" w:type="dxa"/>
            <w:tcBorders>
              <w:top w:val="single" w:sz="7" w:space="0" w:color="000000"/>
              <w:left w:val="single" w:sz="7" w:space="0" w:color="000000"/>
              <w:bottom w:val="single" w:sz="8" w:space="0" w:color="000000"/>
              <w:right w:val="single" w:sz="6" w:space="0" w:color="FFFFFF"/>
            </w:tcBorders>
          </w:tcPr>
          <w:p w14:paraId="6776D06E" w14:textId="77777777" w:rsidR="00CA4CD6" w:rsidRDefault="00CA4CD6">
            <w:pPr>
              <w:spacing w:line="120" w:lineRule="exact"/>
              <w:rPr>
                <w:color w:val="000000"/>
                <w:sz w:val="18"/>
                <w:szCs w:val="18"/>
              </w:rPr>
            </w:pPr>
          </w:p>
          <w:p w14:paraId="54270BCA"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78FC1993"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A6E0A65" w14:textId="77777777" w:rsidR="00CA4CD6" w:rsidRDefault="00CA4CD6">
            <w:pPr>
              <w:spacing w:line="120" w:lineRule="exact"/>
              <w:rPr>
                <w:color w:val="000000"/>
                <w:sz w:val="20"/>
                <w:szCs w:val="20"/>
              </w:rPr>
            </w:pPr>
          </w:p>
          <w:p w14:paraId="6A91B76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335EE3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700A139" w14:textId="77777777" w:rsidR="00CA4CD6" w:rsidRDefault="00CA4CD6">
            <w:pPr>
              <w:spacing w:line="120" w:lineRule="exact"/>
              <w:rPr>
                <w:color w:val="000000"/>
                <w:sz w:val="20"/>
                <w:szCs w:val="20"/>
              </w:rPr>
            </w:pPr>
          </w:p>
          <w:p w14:paraId="6E36019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8E8D24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6D6E8F3" w14:textId="77777777" w:rsidR="00CA4CD6" w:rsidRDefault="00CA4CD6">
            <w:pPr>
              <w:spacing w:line="120" w:lineRule="exact"/>
              <w:rPr>
                <w:color w:val="000000"/>
                <w:sz w:val="20"/>
                <w:szCs w:val="20"/>
              </w:rPr>
            </w:pPr>
          </w:p>
          <w:p w14:paraId="7DB363E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60B920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64ED9737" w14:textId="77777777" w:rsidR="00CA4CD6" w:rsidRDefault="00CA4CD6">
            <w:pPr>
              <w:spacing w:line="120" w:lineRule="exact"/>
              <w:rPr>
                <w:color w:val="000000"/>
                <w:sz w:val="20"/>
                <w:szCs w:val="20"/>
              </w:rPr>
            </w:pPr>
          </w:p>
          <w:p w14:paraId="09CF0B2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6EC69E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6A8AC3A" w14:textId="77777777" w:rsidR="00CA4CD6" w:rsidRDefault="00CA4CD6">
            <w:pPr>
              <w:spacing w:line="120" w:lineRule="exact"/>
              <w:rPr>
                <w:color w:val="000000"/>
                <w:sz w:val="20"/>
                <w:szCs w:val="20"/>
              </w:rPr>
            </w:pPr>
          </w:p>
          <w:p w14:paraId="5FE3DB99"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36C7511"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32D3EA0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w:t>
            </w:r>
            <w:proofErr w:type="spellStart"/>
            <w:r>
              <w:rPr>
                <w:color w:val="000000"/>
                <w:sz w:val="20"/>
                <w:szCs w:val="20"/>
              </w:rPr>
              <w:t>A+B+C-D</w:t>
            </w:r>
            <w:proofErr w:type="spellEnd"/>
            <w:r>
              <w:rPr>
                <w:color w:val="000000"/>
                <w:sz w:val="20"/>
                <w:szCs w:val="20"/>
              </w:rPr>
              <w:t>)</w:t>
            </w:r>
          </w:p>
        </w:tc>
      </w:tr>
      <w:tr w:rsidR="006C7571" w14:paraId="05E54C05" w14:textId="77777777" w:rsidTr="00DD1339">
        <w:tc>
          <w:tcPr>
            <w:tcW w:w="900" w:type="dxa"/>
            <w:tcBorders>
              <w:top w:val="single" w:sz="8" w:space="0" w:color="000000"/>
              <w:left w:val="single" w:sz="8" w:space="0" w:color="000000"/>
              <w:bottom w:val="single" w:sz="6" w:space="0" w:color="000000"/>
              <w:right w:val="single" w:sz="6" w:space="0" w:color="000000"/>
            </w:tcBorders>
          </w:tcPr>
          <w:p w14:paraId="5ABF6EA4" w14:textId="77777777" w:rsidR="006C7571" w:rsidRDefault="006C7571">
            <w:pPr>
              <w:spacing w:line="120" w:lineRule="exact"/>
              <w:rPr>
                <w:color w:val="000000"/>
                <w:sz w:val="20"/>
                <w:szCs w:val="20"/>
              </w:rPr>
            </w:pPr>
          </w:p>
          <w:p w14:paraId="7D0466C9"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CE82BBA"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61E2380A"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111</w:t>
            </w:r>
          </w:p>
        </w:tc>
        <w:tc>
          <w:tcPr>
            <w:tcW w:w="2070" w:type="dxa"/>
            <w:tcBorders>
              <w:top w:val="single" w:sz="8" w:space="0" w:color="000000"/>
              <w:left w:val="single" w:sz="6" w:space="0" w:color="000000"/>
              <w:bottom w:val="single" w:sz="6" w:space="0" w:color="000000"/>
              <w:right w:val="single" w:sz="6" w:space="0" w:color="000000"/>
            </w:tcBorders>
            <w:vAlign w:val="center"/>
          </w:tcPr>
          <w:p w14:paraId="3E8CBDB0"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3855CB8D"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710" w:type="dxa"/>
            <w:tcBorders>
              <w:top w:val="single" w:sz="8" w:space="0" w:color="000000"/>
              <w:left w:val="single" w:sz="6" w:space="0" w:color="000000"/>
              <w:bottom w:val="single" w:sz="6" w:space="0" w:color="000000"/>
              <w:right w:val="single" w:sz="8" w:space="0" w:color="000000"/>
            </w:tcBorders>
            <w:vAlign w:val="center"/>
          </w:tcPr>
          <w:p w14:paraId="4E6EA60E"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111</w:t>
            </w:r>
          </w:p>
        </w:tc>
      </w:tr>
      <w:tr w:rsidR="006C7571" w14:paraId="6D1A6B8D" w14:textId="77777777" w:rsidTr="00DD1339">
        <w:tc>
          <w:tcPr>
            <w:tcW w:w="900" w:type="dxa"/>
            <w:tcBorders>
              <w:top w:val="single" w:sz="6" w:space="0" w:color="000000"/>
              <w:left w:val="single" w:sz="8" w:space="0" w:color="000000"/>
              <w:bottom w:val="single" w:sz="6" w:space="0" w:color="000000"/>
              <w:right w:val="single" w:sz="6" w:space="0" w:color="000000"/>
            </w:tcBorders>
          </w:tcPr>
          <w:p w14:paraId="48A202A1" w14:textId="77777777" w:rsidR="006C7571" w:rsidRDefault="006C7571">
            <w:pPr>
              <w:spacing w:line="120" w:lineRule="exact"/>
              <w:rPr>
                <w:color w:val="000000"/>
                <w:sz w:val="18"/>
                <w:szCs w:val="18"/>
              </w:rPr>
            </w:pPr>
          </w:p>
          <w:p w14:paraId="0A4BB7C7"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15D6063E"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4EBA2DCC"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111</w:t>
            </w:r>
          </w:p>
        </w:tc>
        <w:tc>
          <w:tcPr>
            <w:tcW w:w="2070" w:type="dxa"/>
            <w:tcBorders>
              <w:top w:val="single" w:sz="6" w:space="0" w:color="000000"/>
              <w:left w:val="single" w:sz="6" w:space="0" w:color="000000"/>
              <w:bottom w:val="single" w:sz="6" w:space="0" w:color="000000"/>
              <w:right w:val="single" w:sz="6" w:space="0" w:color="000000"/>
            </w:tcBorders>
            <w:vAlign w:val="center"/>
          </w:tcPr>
          <w:p w14:paraId="577BCA91"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3170640"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65579C77" w14:textId="77777777" w:rsidR="006C7571"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111</w:t>
            </w:r>
          </w:p>
        </w:tc>
      </w:tr>
      <w:tr w:rsidR="006C7571" w14:paraId="05B91673" w14:textId="77777777" w:rsidTr="00DD1339">
        <w:tc>
          <w:tcPr>
            <w:tcW w:w="900" w:type="dxa"/>
            <w:tcBorders>
              <w:top w:val="single" w:sz="6" w:space="0" w:color="000000"/>
              <w:left w:val="single" w:sz="8" w:space="0" w:color="000000"/>
              <w:bottom w:val="single" w:sz="6" w:space="0" w:color="000000"/>
              <w:right w:val="single" w:sz="6" w:space="0" w:color="000000"/>
            </w:tcBorders>
          </w:tcPr>
          <w:p w14:paraId="299CF6C3" w14:textId="77777777" w:rsidR="006C7571" w:rsidRDefault="006C7571">
            <w:pPr>
              <w:spacing w:line="120" w:lineRule="exact"/>
              <w:rPr>
                <w:color w:val="000000"/>
                <w:sz w:val="18"/>
                <w:szCs w:val="18"/>
              </w:rPr>
            </w:pPr>
          </w:p>
          <w:p w14:paraId="05B3581B"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C47BF4D"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7782CF5A"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111</w:t>
            </w:r>
          </w:p>
        </w:tc>
        <w:tc>
          <w:tcPr>
            <w:tcW w:w="2070" w:type="dxa"/>
            <w:tcBorders>
              <w:top w:val="single" w:sz="6" w:space="0" w:color="000000"/>
              <w:left w:val="single" w:sz="6" w:space="0" w:color="000000"/>
              <w:bottom w:val="single" w:sz="6" w:space="0" w:color="000000"/>
              <w:right w:val="single" w:sz="6" w:space="0" w:color="000000"/>
            </w:tcBorders>
            <w:vAlign w:val="center"/>
          </w:tcPr>
          <w:p w14:paraId="70599C7D"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D55DB9"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6C7954DA"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111</w:t>
            </w:r>
          </w:p>
        </w:tc>
      </w:tr>
      <w:tr w:rsidR="006C7571" w14:paraId="07DEEA44" w14:textId="77777777" w:rsidTr="00DD1339">
        <w:tc>
          <w:tcPr>
            <w:tcW w:w="900" w:type="dxa"/>
            <w:tcBorders>
              <w:top w:val="single" w:sz="6" w:space="0" w:color="000000"/>
              <w:left w:val="single" w:sz="8" w:space="0" w:color="000000"/>
              <w:bottom w:val="single" w:sz="8" w:space="0" w:color="000000"/>
              <w:right w:val="single" w:sz="6" w:space="0" w:color="000000"/>
            </w:tcBorders>
          </w:tcPr>
          <w:p w14:paraId="289EF8F2" w14:textId="77777777" w:rsidR="006C7571" w:rsidRDefault="006C7571">
            <w:pPr>
              <w:spacing w:line="120" w:lineRule="exact"/>
              <w:rPr>
                <w:color w:val="000000"/>
                <w:sz w:val="18"/>
                <w:szCs w:val="18"/>
              </w:rPr>
            </w:pPr>
          </w:p>
          <w:p w14:paraId="75C1141B"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0B2D58DB"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65B68593"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111</w:t>
            </w:r>
          </w:p>
        </w:tc>
        <w:tc>
          <w:tcPr>
            <w:tcW w:w="2070" w:type="dxa"/>
            <w:tcBorders>
              <w:top w:val="single" w:sz="6" w:space="0" w:color="000000"/>
              <w:left w:val="single" w:sz="6" w:space="0" w:color="000000"/>
              <w:bottom w:val="single" w:sz="8" w:space="0" w:color="000000"/>
              <w:right w:val="single" w:sz="6" w:space="0" w:color="000000"/>
            </w:tcBorders>
            <w:vAlign w:val="center"/>
          </w:tcPr>
          <w:p w14:paraId="262F4533"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E7E8579"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710" w:type="dxa"/>
            <w:tcBorders>
              <w:top w:val="single" w:sz="6" w:space="0" w:color="000000"/>
              <w:left w:val="single" w:sz="6" w:space="0" w:color="000000"/>
              <w:bottom w:val="single" w:sz="8" w:space="0" w:color="000000"/>
              <w:right w:val="single" w:sz="8" w:space="0" w:color="000000"/>
            </w:tcBorders>
            <w:vAlign w:val="center"/>
          </w:tcPr>
          <w:p w14:paraId="56D36BE4" w14:textId="77777777" w:rsidR="006C7571" w:rsidRDefault="006C75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111</w:t>
            </w:r>
          </w:p>
        </w:tc>
      </w:tr>
    </w:tbl>
    <w:p w14:paraId="0DCDDD6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2DB3F384"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B91D7C8"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w:t>
      </w:r>
      <w:r w:rsidR="00CA4CD6">
        <w:rPr>
          <w:color w:val="000000"/>
        </w:rPr>
        <w:lastRenderedPageBreak/>
        <w:t xml:space="preserve">average Number of Respondents over the three year period of this ICR is </w:t>
      </w:r>
      <w:r w:rsidR="006C7571">
        <w:rPr>
          <w:color w:val="000000"/>
        </w:rPr>
        <w:t>111</w:t>
      </w:r>
      <w:r w:rsidR="00507EC5">
        <w:rPr>
          <w:color w:val="000000"/>
        </w:rPr>
        <w:t xml:space="preserve">. </w:t>
      </w:r>
    </w:p>
    <w:p w14:paraId="551002C6" w14:textId="77777777" w:rsidR="00CA4CD6" w:rsidRDefault="00CA4CD6" w:rsidP="00EE7D48">
      <w:pPr>
        <w:pBdr>
          <w:top w:val="single" w:sz="6" w:space="0" w:color="FFFFFF"/>
          <w:left w:val="single" w:sz="6" w:space="0" w:color="FFFFFF"/>
          <w:bottom w:val="single" w:sz="6" w:space="0" w:color="FFFFFF"/>
          <w:right w:val="single" w:sz="6" w:space="0" w:color="FFFFFF"/>
        </w:pBdr>
        <w:rPr>
          <w:color w:val="000000"/>
        </w:rPr>
      </w:pPr>
    </w:p>
    <w:p w14:paraId="62474E2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48E216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52E92860" w14:textId="77777777" w:rsidTr="006C7571">
        <w:trPr>
          <w:tblHeader/>
        </w:trPr>
        <w:tc>
          <w:tcPr>
            <w:tcW w:w="9180" w:type="dxa"/>
            <w:gridSpan w:val="5"/>
          </w:tcPr>
          <w:p w14:paraId="3BA47A8F" w14:textId="77777777" w:rsidR="00CA4CD6" w:rsidRDefault="00CA4CD6">
            <w:pPr>
              <w:spacing w:line="120" w:lineRule="exact"/>
              <w:rPr>
                <w:color w:val="000000"/>
              </w:rPr>
            </w:pPr>
          </w:p>
          <w:p w14:paraId="2FFE896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73CC5E0D" w14:textId="77777777">
        <w:tc>
          <w:tcPr>
            <w:tcW w:w="2700" w:type="dxa"/>
          </w:tcPr>
          <w:p w14:paraId="55BED86B" w14:textId="77777777" w:rsidR="00CA4CD6" w:rsidRDefault="00CA4CD6" w:rsidP="0035325B">
            <w:pPr>
              <w:spacing w:line="120" w:lineRule="exact"/>
              <w:jc w:val="center"/>
              <w:rPr>
                <w:b/>
                <w:bCs/>
                <w:color w:val="000000"/>
                <w:sz w:val="18"/>
                <w:szCs w:val="18"/>
              </w:rPr>
            </w:pPr>
          </w:p>
          <w:p w14:paraId="1581702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1B7E4C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6D1708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4BD5CB25" w14:textId="77777777" w:rsidR="00CA4CD6" w:rsidRDefault="00CA4CD6" w:rsidP="0035325B">
            <w:pPr>
              <w:spacing w:line="120" w:lineRule="exact"/>
              <w:jc w:val="center"/>
              <w:rPr>
                <w:color w:val="000000"/>
                <w:sz w:val="18"/>
                <w:szCs w:val="18"/>
              </w:rPr>
            </w:pPr>
          </w:p>
          <w:p w14:paraId="63DF32D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04AD56B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8E57033"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50DF857" w14:textId="77777777" w:rsidR="00CA4CD6" w:rsidRDefault="00CA4CD6" w:rsidP="0035325B">
            <w:pPr>
              <w:spacing w:line="120" w:lineRule="exact"/>
              <w:jc w:val="center"/>
              <w:rPr>
                <w:color w:val="000000"/>
                <w:sz w:val="18"/>
                <w:szCs w:val="18"/>
              </w:rPr>
            </w:pPr>
          </w:p>
          <w:p w14:paraId="63FD1B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00041F8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939B13E"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5516A65" w14:textId="77777777" w:rsidR="00CA4CD6" w:rsidRDefault="00CA4CD6" w:rsidP="0035325B">
            <w:pPr>
              <w:spacing w:line="120" w:lineRule="exact"/>
              <w:jc w:val="center"/>
              <w:rPr>
                <w:color w:val="000000"/>
                <w:sz w:val="18"/>
                <w:szCs w:val="18"/>
              </w:rPr>
            </w:pPr>
          </w:p>
          <w:p w14:paraId="4F6B88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6B5A884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0B2B3D14" w14:textId="77777777" w:rsidR="00CA4CD6" w:rsidRDefault="00CA4CD6" w:rsidP="0035325B">
            <w:pPr>
              <w:spacing w:line="120" w:lineRule="exact"/>
              <w:jc w:val="center"/>
              <w:rPr>
                <w:color w:val="000000"/>
                <w:sz w:val="18"/>
                <w:szCs w:val="18"/>
              </w:rPr>
            </w:pPr>
          </w:p>
          <w:p w14:paraId="14D2D2C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6EBE93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535EB82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C7571" w14:paraId="03B453FE" w14:textId="77777777" w:rsidTr="006C7571">
        <w:tc>
          <w:tcPr>
            <w:tcW w:w="2700" w:type="dxa"/>
            <w:vAlign w:val="center"/>
          </w:tcPr>
          <w:p w14:paraId="02411269" w14:textId="77777777" w:rsidR="000D0728" w:rsidRDefault="006C7571">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construction/reconstruction</w:t>
            </w:r>
          </w:p>
        </w:tc>
        <w:tc>
          <w:tcPr>
            <w:tcW w:w="1260" w:type="dxa"/>
            <w:vAlign w:val="center"/>
          </w:tcPr>
          <w:p w14:paraId="156BF906"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6A3D1B78"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4553B597"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14:paraId="376A4A62"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6C7571" w14:paraId="6F59CFD3" w14:textId="77777777" w:rsidTr="006C7571">
        <w:tc>
          <w:tcPr>
            <w:tcW w:w="2700" w:type="dxa"/>
            <w:vAlign w:val="center"/>
          </w:tcPr>
          <w:p w14:paraId="3806E834" w14:textId="77777777" w:rsidR="000D0728" w:rsidRDefault="006C7571">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actual startup</w:t>
            </w:r>
          </w:p>
        </w:tc>
        <w:tc>
          <w:tcPr>
            <w:tcW w:w="1260" w:type="dxa"/>
            <w:vAlign w:val="center"/>
          </w:tcPr>
          <w:p w14:paraId="7C06DDD1"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2E788D58"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61D32A87"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14:paraId="7D137AC5"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6C7571" w14:paraId="78B1B462" w14:textId="77777777" w:rsidTr="006C7571">
        <w:tc>
          <w:tcPr>
            <w:tcW w:w="2700" w:type="dxa"/>
            <w:vAlign w:val="center"/>
          </w:tcPr>
          <w:p w14:paraId="6386C005" w14:textId="77777777" w:rsidR="000D0728" w:rsidRDefault="006C7571">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applicability of standards</w:t>
            </w:r>
          </w:p>
        </w:tc>
        <w:tc>
          <w:tcPr>
            <w:tcW w:w="1260" w:type="dxa"/>
            <w:vAlign w:val="center"/>
          </w:tcPr>
          <w:p w14:paraId="43816F16"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578F6EB7"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34974683"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14:paraId="2A78D5E0"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6C7571" w14:paraId="73E8F87F" w14:textId="77777777" w:rsidTr="006C7571">
        <w:tc>
          <w:tcPr>
            <w:tcW w:w="2700" w:type="dxa"/>
            <w:vAlign w:val="center"/>
          </w:tcPr>
          <w:p w14:paraId="546214C7" w14:textId="77777777" w:rsidR="000D0728" w:rsidRDefault="006C7571">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initial performance test</w:t>
            </w:r>
          </w:p>
        </w:tc>
        <w:tc>
          <w:tcPr>
            <w:tcW w:w="1260" w:type="dxa"/>
            <w:vAlign w:val="center"/>
          </w:tcPr>
          <w:p w14:paraId="51C3F5D3"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65BA9031"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413AA143"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14:paraId="01494BAE"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6C7571" w14:paraId="65210A12" w14:textId="77777777" w:rsidTr="006C7571">
        <w:tc>
          <w:tcPr>
            <w:tcW w:w="2700" w:type="dxa"/>
            <w:vAlign w:val="center"/>
          </w:tcPr>
          <w:p w14:paraId="4B92195F" w14:textId="77777777" w:rsidR="000D0728" w:rsidRDefault="006C7571">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performance evaluation</w:t>
            </w:r>
          </w:p>
        </w:tc>
        <w:tc>
          <w:tcPr>
            <w:tcW w:w="1260" w:type="dxa"/>
            <w:vAlign w:val="center"/>
          </w:tcPr>
          <w:p w14:paraId="3EE432D8"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537F606F"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58A3659A"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14:paraId="0F7DB8A3"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6C7571" w14:paraId="20DE4584" w14:textId="77777777" w:rsidTr="006C7571">
        <w:tc>
          <w:tcPr>
            <w:tcW w:w="2700" w:type="dxa"/>
            <w:vAlign w:val="center"/>
          </w:tcPr>
          <w:p w14:paraId="3F8C51F8" w14:textId="77777777" w:rsidR="000D0728" w:rsidRDefault="006C7571">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compliance status</w:t>
            </w:r>
          </w:p>
        </w:tc>
        <w:tc>
          <w:tcPr>
            <w:tcW w:w="1260" w:type="dxa"/>
            <w:vAlign w:val="center"/>
          </w:tcPr>
          <w:p w14:paraId="0531737C"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55280E19"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7CB1BBCE"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14:paraId="497ECF29"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6C7571" w14:paraId="7E00CC61" w14:textId="77777777" w:rsidTr="006C7571">
        <w:tc>
          <w:tcPr>
            <w:tcW w:w="2700" w:type="dxa"/>
            <w:vAlign w:val="center"/>
          </w:tcPr>
          <w:p w14:paraId="0A1DA8D5" w14:textId="77777777" w:rsidR="000D0728" w:rsidRDefault="006C7571">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Quarterly report of monitoring exceedances and periods of noncompliance</w:t>
            </w:r>
          </w:p>
        </w:tc>
        <w:tc>
          <w:tcPr>
            <w:tcW w:w="1260" w:type="dxa"/>
            <w:vAlign w:val="center"/>
          </w:tcPr>
          <w:p w14:paraId="2EE2989F"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w:t>
            </w:r>
          </w:p>
        </w:tc>
        <w:tc>
          <w:tcPr>
            <w:tcW w:w="1260" w:type="dxa"/>
            <w:vAlign w:val="center"/>
          </w:tcPr>
          <w:p w14:paraId="4605C9CD"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c>
          <w:tcPr>
            <w:tcW w:w="1890" w:type="dxa"/>
            <w:vAlign w:val="center"/>
          </w:tcPr>
          <w:p w14:paraId="671BA698"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14:paraId="2AD30F5A"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24</w:t>
            </w:r>
          </w:p>
        </w:tc>
      </w:tr>
      <w:tr w:rsidR="006C7571" w14:paraId="46399C70" w14:textId="77777777" w:rsidTr="006C7571">
        <w:tc>
          <w:tcPr>
            <w:tcW w:w="2700" w:type="dxa"/>
            <w:vAlign w:val="center"/>
          </w:tcPr>
          <w:p w14:paraId="7FAD9986" w14:textId="77777777" w:rsidR="000D0728" w:rsidRDefault="006C7571">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of no exceedances</w:t>
            </w:r>
          </w:p>
        </w:tc>
        <w:tc>
          <w:tcPr>
            <w:tcW w:w="1260" w:type="dxa"/>
            <w:vAlign w:val="center"/>
          </w:tcPr>
          <w:p w14:paraId="41E7A649"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105</w:t>
            </w:r>
          </w:p>
        </w:tc>
        <w:tc>
          <w:tcPr>
            <w:tcW w:w="1260" w:type="dxa"/>
            <w:vAlign w:val="center"/>
          </w:tcPr>
          <w:p w14:paraId="6EE31B0E"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14:paraId="1991CE71"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14:paraId="09A97D53"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210</w:t>
            </w:r>
          </w:p>
        </w:tc>
      </w:tr>
      <w:tr w:rsidR="006C7571" w14:paraId="05BA5E74" w14:textId="77777777" w:rsidTr="006C7571">
        <w:tc>
          <w:tcPr>
            <w:tcW w:w="2700" w:type="dxa"/>
            <w:vAlign w:val="center"/>
          </w:tcPr>
          <w:p w14:paraId="2B3352E0" w14:textId="77777777" w:rsidR="000D0728" w:rsidRDefault="000D0728">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vAlign w:val="center"/>
          </w:tcPr>
          <w:p w14:paraId="6AFF1B36" w14:textId="77777777" w:rsidR="00F06090" w:rsidRDefault="00F0609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57C3DD87" w14:textId="77777777" w:rsidR="00F06090" w:rsidRDefault="00F0609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10166813"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8041C">
              <w:rPr>
                <w:color w:val="000000"/>
                <w:sz w:val="20"/>
                <w:szCs w:val="20"/>
              </w:rPr>
              <w:t>Total</w:t>
            </w:r>
          </w:p>
        </w:tc>
        <w:tc>
          <w:tcPr>
            <w:tcW w:w="2070" w:type="dxa"/>
            <w:vAlign w:val="center"/>
          </w:tcPr>
          <w:p w14:paraId="46A3672F" w14:textId="77777777" w:rsidR="00F06090" w:rsidRDefault="006C7571">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240</w:t>
            </w:r>
          </w:p>
        </w:tc>
      </w:tr>
    </w:tbl>
    <w:p w14:paraId="59C63C9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0F4C64" w14:textId="77777777" w:rsidR="000D072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6C7571">
        <w:rPr>
          <w:color w:val="000000"/>
        </w:rPr>
        <w:t>240</w:t>
      </w:r>
      <w:r>
        <w:rPr>
          <w:color w:val="000000"/>
        </w:rPr>
        <w:t xml:space="preserve">.  </w:t>
      </w:r>
    </w:p>
    <w:p w14:paraId="56F262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B9E853" w14:textId="77777777" w:rsidR="00CA4CD6" w:rsidRPr="00EE7D48" w:rsidRDefault="00CA4CD6" w:rsidP="00EE7D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50295">
        <w:rPr>
          <w:color w:val="000000"/>
        </w:rPr>
        <w:t>$12,355,970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DB0ACD" w:rsidRPr="00424775">
        <w:t xml:space="preserve">Table </w:t>
      </w:r>
      <w:r w:rsidR="005662A2">
        <w:t>1</w:t>
      </w:r>
      <w:r w:rsidR="00DB0ACD" w:rsidRPr="00424775">
        <w:t xml:space="preserve">: Annual Respondent Burden and Cost – </w:t>
      </w:r>
      <w:r w:rsidR="00DB0ACD" w:rsidRPr="00424775">
        <w:rPr>
          <w:bCs/>
        </w:rPr>
        <w:t xml:space="preserve">NESHAP for Chemical Recovery Combustion Sources at Kraft, Soda, Sulfite, and Stand-Alone </w:t>
      </w:r>
      <w:proofErr w:type="spellStart"/>
      <w:r w:rsidR="00DB0ACD" w:rsidRPr="00424775">
        <w:rPr>
          <w:bCs/>
        </w:rPr>
        <w:t>Semichemical</w:t>
      </w:r>
      <w:proofErr w:type="spellEnd"/>
      <w:r w:rsidR="00DB0ACD" w:rsidRPr="00424775">
        <w:rPr>
          <w:bCs/>
        </w:rPr>
        <w:t xml:space="preserve"> Pulp Mills (40 CFR Part 63, Subpart MM) (Renewal)</w:t>
      </w:r>
      <w:r>
        <w:rPr>
          <w:color w:val="000000"/>
        </w:rPr>
        <w:t>.</w:t>
      </w:r>
    </w:p>
    <w:p w14:paraId="16127C7D"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E3E940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14:paraId="21C2FC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649B5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A7D77" w:rsidRPr="00FA7D77">
        <w:t>below</w:t>
      </w:r>
      <w:r>
        <w:rPr>
          <w:color w:val="000000"/>
        </w:rPr>
        <w:t xml:space="preserve">, respectively, and summarized below.  </w:t>
      </w:r>
    </w:p>
    <w:p w14:paraId="3EA93E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C2A30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2EF43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F0AC75"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50295">
        <w:rPr>
          <w:color w:val="000000"/>
        </w:rPr>
        <w:t>126,207</w:t>
      </w:r>
      <w:r>
        <w:rPr>
          <w:color w:val="000000"/>
        </w:rPr>
        <w:t>.</w:t>
      </w:r>
      <w:r w:rsidR="00507EC5">
        <w:rPr>
          <w:color w:val="000000"/>
        </w:rPr>
        <w:t xml:space="preserve">  </w:t>
      </w:r>
      <w:r>
        <w:rPr>
          <w:color w:val="000000"/>
        </w:rPr>
        <w:t xml:space="preserve">Details regarding these estimates may be found </w:t>
      </w:r>
      <w:r>
        <w:rPr>
          <w:color w:val="000000"/>
        </w:rPr>
        <w:lastRenderedPageBreak/>
        <w:t>in</w:t>
      </w:r>
      <w:r w:rsidR="00DB0ACD">
        <w:rPr>
          <w:color w:val="000000"/>
        </w:rPr>
        <w:t xml:space="preserve"> </w:t>
      </w:r>
      <w:r w:rsidR="005648CD" w:rsidRPr="00DB7960">
        <w:t>Table</w:t>
      </w:r>
      <w:r w:rsidR="005662A2">
        <w:t xml:space="preserve"> 1</w:t>
      </w:r>
      <w:r w:rsidR="00DB0ACD" w:rsidRPr="00424775">
        <w:t xml:space="preserve">: Annual Respondent Burden and Cost – </w:t>
      </w:r>
      <w:r w:rsidR="00DB0ACD" w:rsidRPr="00424775">
        <w:rPr>
          <w:bCs/>
        </w:rPr>
        <w:t xml:space="preserve">NESHAP for Chemical Recovery Combustion Sources at Kraft, Soda, Sulfite, and Stand-Alone </w:t>
      </w:r>
      <w:proofErr w:type="spellStart"/>
      <w:r w:rsidR="00DB0ACD" w:rsidRPr="00424775">
        <w:rPr>
          <w:bCs/>
        </w:rPr>
        <w:t>Semichemical</w:t>
      </w:r>
      <w:proofErr w:type="spellEnd"/>
      <w:r w:rsidR="00DB0ACD" w:rsidRPr="00424775">
        <w:rPr>
          <w:bCs/>
        </w:rPr>
        <w:t xml:space="preserve"> Pulp Mills (40 CFR Part 63, Subpart MM) (Renewal)</w:t>
      </w:r>
      <w:r>
        <w:rPr>
          <w:color w:val="000000"/>
        </w:rPr>
        <w:t xml:space="preserve">.  </w:t>
      </w:r>
    </w:p>
    <w:p w14:paraId="2E1504EF"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776B052F"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50295">
        <w:rPr>
          <w:color w:val="000000"/>
        </w:rPr>
        <w:t>526</w:t>
      </w:r>
      <w:r>
        <w:rPr>
          <w:color w:val="000000"/>
        </w:rPr>
        <w:t xml:space="preserve"> hours per response</w:t>
      </w:r>
      <w:r w:rsidR="0021722B">
        <w:rPr>
          <w:color w:val="000000"/>
        </w:rPr>
        <w:t>.</w:t>
      </w:r>
    </w:p>
    <w:p w14:paraId="5FB2DD66"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6BE47FA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B34DD">
        <w:rPr>
          <w:color w:val="000000"/>
        </w:rPr>
        <w:t>$712,000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3802DFB9"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614D87F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7665B45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6C474DA"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estimated to be</w:t>
      </w:r>
      <w:r w:rsidR="002B34DD">
        <w:rPr>
          <w:color w:val="000000"/>
        </w:rPr>
        <w:t xml:space="preserve"> 720</w:t>
      </w:r>
      <w:r>
        <w:rPr>
          <w:color w:val="000000"/>
        </w:rPr>
        <w:t xml:space="preserve"> labor hours at a cost of</w:t>
      </w:r>
      <w:r w:rsidR="002B34DD">
        <w:rPr>
          <w:color w:val="000000"/>
        </w:rPr>
        <w:t xml:space="preserve"> $32,765</w:t>
      </w:r>
      <w:r w:rsidR="00144F35">
        <w:rPr>
          <w:color w:val="000000"/>
        </w:rPr>
        <w:t xml:space="preserve">.  See </w:t>
      </w:r>
      <w:r w:rsidR="00DB0ACD" w:rsidRPr="00424775">
        <w:t xml:space="preserve">Table 2: Average Annual EPA Burden and Cost – </w:t>
      </w:r>
      <w:r w:rsidR="00DB0ACD" w:rsidRPr="00424775">
        <w:rPr>
          <w:bCs/>
        </w:rPr>
        <w:t xml:space="preserve">NESHAP for Chemical Recovery Combustion Sources at Kraft, Soda, Sulfite, and Stand-Alone </w:t>
      </w:r>
      <w:proofErr w:type="spellStart"/>
      <w:r w:rsidR="00DB0ACD" w:rsidRPr="00424775">
        <w:rPr>
          <w:bCs/>
        </w:rPr>
        <w:t>Semichemical</w:t>
      </w:r>
      <w:proofErr w:type="spellEnd"/>
      <w:r w:rsidR="00DB0ACD" w:rsidRPr="00424775">
        <w:rPr>
          <w:bCs/>
        </w:rPr>
        <w:t xml:space="preserve"> Pulp Mills (40 CFR Part 63, Subpart MM) (Renewal)</w:t>
      </w:r>
      <w:r w:rsidR="00DB0ACD" w:rsidRPr="00424775">
        <w:t>.</w:t>
      </w:r>
    </w:p>
    <w:p w14:paraId="29C3A3C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16F58F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37B5F59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A9BA295" w14:textId="147CF2DD" w:rsidR="000D0728" w:rsidRDefault="00F07C90">
      <w:pPr>
        <w:pBdr>
          <w:top w:val="single" w:sz="6" w:space="0" w:color="FFFFFF"/>
          <w:left w:val="single" w:sz="6" w:space="0" w:color="FFFFFF"/>
          <w:bottom w:val="single" w:sz="6" w:space="0" w:color="FFFFFF"/>
          <w:right w:val="single" w:sz="6" w:space="0" w:color="FFFFFF"/>
        </w:pBdr>
        <w:ind w:firstLine="720"/>
      </w:pPr>
      <w:r>
        <w:t>There is no change in burden.</w:t>
      </w:r>
      <w:bookmarkStart w:id="0" w:name="_GoBack"/>
      <w:bookmarkEnd w:id="0"/>
    </w:p>
    <w:p w14:paraId="1FB90A3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C9C2E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0F464F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5D898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055BCB">
        <w:rPr>
          <w:color w:val="000000"/>
        </w:rPr>
        <w:t xml:space="preserve"> 526</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7A71D5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0E4CCA"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4BA4D419" w14:textId="77777777" w:rsidR="006741F7" w:rsidRPr="00354C15" w:rsidRDefault="006741F7" w:rsidP="00354C15"/>
    <w:p w14:paraId="0D69A085"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643EF" w:rsidRPr="000643EF">
        <w:rPr>
          <w:bCs/>
        </w:rPr>
        <w:t>EPA-HQ-OECA-2014-0061</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 xml:space="preserve">to obtain a copy of the draft </w:t>
      </w:r>
      <w:r w:rsidR="00354C15" w:rsidRPr="00354C15">
        <w:lastRenderedPageBreak/>
        <w:t>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FA7D77" w:rsidRPr="00FA7D77">
        <w:rPr>
          <w:bCs/>
        </w:rPr>
        <w:t>EPA-HQ-OECA-2014-0061</w:t>
      </w:r>
      <w:r w:rsidR="00055BCB">
        <w:rPr>
          <w:bCs/>
        </w:rPr>
        <w:t xml:space="preserve"> </w:t>
      </w:r>
      <w:r w:rsidR="00CA4CD6">
        <w:t xml:space="preserve">and OMB Control Number </w:t>
      </w:r>
      <w:r w:rsidR="000643EF">
        <w:t>2060-0377</w:t>
      </w:r>
      <w:r w:rsidR="00CA4CD6">
        <w:t xml:space="preserve"> in any correspondence. </w:t>
      </w:r>
    </w:p>
    <w:p w14:paraId="283FD533" w14:textId="77777777" w:rsidR="00F340DF" w:rsidRDefault="00F340DF" w:rsidP="00F340DF">
      <w:pPr>
        <w:rPr>
          <w:rStyle w:val="1"/>
          <w:rFonts w:ascii="WP TypographicSymbols" w:hAnsi="WP TypographicSymbols" w:cs="WP TypographicSymbols"/>
          <w:color w:val="000000"/>
        </w:rPr>
      </w:pPr>
    </w:p>
    <w:p w14:paraId="33E2D8EC" w14:textId="77777777" w:rsidR="00F340DF" w:rsidRDefault="00CA4CD6" w:rsidP="00504745">
      <w:pPr>
        <w:outlineLvl w:val="0"/>
        <w:rPr>
          <w:b/>
          <w:bCs/>
          <w:color w:val="000000"/>
        </w:rPr>
      </w:pPr>
      <w:r>
        <w:rPr>
          <w:b/>
          <w:bCs/>
          <w:color w:val="000000"/>
        </w:rPr>
        <w:t>Part B of the Supporting Statement</w:t>
      </w:r>
    </w:p>
    <w:p w14:paraId="20A8B5F2" w14:textId="77777777" w:rsidR="00F340DF" w:rsidRDefault="00F340DF" w:rsidP="00F340DF">
      <w:pPr>
        <w:rPr>
          <w:b/>
          <w:bCs/>
          <w:color w:val="000000"/>
        </w:rPr>
      </w:pPr>
    </w:p>
    <w:p w14:paraId="0358C116" w14:textId="77777777" w:rsidR="00CA4CD6" w:rsidRDefault="00CA4CD6" w:rsidP="00F340DF">
      <w:pPr>
        <w:rPr>
          <w:color w:val="000000"/>
        </w:rPr>
      </w:pPr>
      <w:r>
        <w:rPr>
          <w:color w:val="000000"/>
        </w:rPr>
        <w:t>This part is not applicable because no statistical methods were used in collecting this information.</w:t>
      </w:r>
    </w:p>
    <w:p w14:paraId="7EF416FF"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752322B4" w14:textId="77777777" w:rsidR="005648CD" w:rsidRDefault="005648CD" w:rsidP="006B3B7B">
      <w:pPr>
        <w:jc w:val="center"/>
        <w:outlineLvl w:val="0"/>
        <w:rPr>
          <w:b/>
          <w:bCs/>
          <w:color w:val="000000"/>
        </w:rPr>
      </w:pPr>
      <w:r w:rsidRPr="005648CD">
        <w:rPr>
          <w:b/>
          <w:bCs/>
          <w:color w:val="000000"/>
        </w:rPr>
        <w:lastRenderedPageBreak/>
        <w:t>Table 1</w:t>
      </w:r>
      <w:r w:rsidR="00DB0ACD" w:rsidRPr="00DB0ACD">
        <w:rPr>
          <w:b/>
          <w:bCs/>
          <w:color w:val="000000"/>
        </w:rPr>
        <w:t xml:space="preserve">: Annual Respondent Burden and Cost – NESHAP for Chemical Recovery Combustion Sources at Kraft, Soda, Sulfite, and Stand-Alone </w:t>
      </w:r>
      <w:proofErr w:type="spellStart"/>
      <w:r w:rsidR="00DB0ACD" w:rsidRPr="00DB0ACD">
        <w:rPr>
          <w:b/>
          <w:bCs/>
          <w:color w:val="000000"/>
        </w:rPr>
        <w:t>Semichemical</w:t>
      </w:r>
      <w:proofErr w:type="spellEnd"/>
      <w:r w:rsidR="00DB0ACD" w:rsidRPr="00DB0ACD">
        <w:rPr>
          <w:b/>
          <w:bCs/>
          <w:color w:val="000000"/>
        </w:rPr>
        <w:t xml:space="preserve"> Pulp Mills (40 CFR Part 63, Subpart MM) (Renewal)</w:t>
      </w:r>
    </w:p>
    <w:p w14:paraId="5FF74D26" w14:textId="77777777" w:rsidR="005648CD" w:rsidRDefault="005648CD" w:rsidP="00504745">
      <w:pPr>
        <w:outlineLvl w:val="0"/>
        <w:rPr>
          <w:b/>
          <w:bCs/>
          <w:color w:val="000000"/>
        </w:rPr>
      </w:pPr>
    </w:p>
    <w:tbl>
      <w:tblPr>
        <w:tblW w:w="5351" w:type="pct"/>
        <w:jc w:val="center"/>
        <w:tblLayout w:type="fixed"/>
        <w:tblLook w:val="04A0" w:firstRow="1" w:lastRow="0" w:firstColumn="1" w:lastColumn="0" w:noHBand="0" w:noVBand="1"/>
      </w:tblPr>
      <w:tblGrid>
        <w:gridCol w:w="4170"/>
        <w:gridCol w:w="1130"/>
        <w:gridCol w:w="1220"/>
        <w:gridCol w:w="1217"/>
        <w:gridCol w:w="1220"/>
        <w:gridCol w:w="1222"/>
        <w:gridCol w:w="1412"/>
        <w:gridCol w:w="977"/>
        <w:gridCol w:w="1387"/>
      </w:tblGrid>
      <w:tr w:rsidR="00D20272" w:rsidRPr="00D20272" w14:paraId="44E0E2B8" w14:textId="77777777" w:rsidTr="00121132">
        <w:trPr>
          <w:trHeight w:val="1848"/>
          <w:jc w:val="center"/>
        </w:trPr>
        <w:tc>
          <w:tcPr>
            <w:tcW w:w="1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78B17" w14:textId="77777777" w:rsidR="00D20272" w:rsidRPr="00D20272" w:rsidRDefault="00D20272" w:rsidP="00D20272">
            <w:pPr>
              <w:widowControl/>
              <w:autoSpaceDE/>
              <w:autoSpaceDN/>
              <w:adjustRightInd/>
              <w:jc w:val="center"/>
              <w:rPr>
                <w:b/>
                <w:bCs/>
                <w:sz w:val="18"/>
                <w:szCs w:val="18"/>
              </w:rPr>
            </w:pPr>
            <w:r w:rsidRPr="00D20272">
              <w:rPr>
                <w:b/>
                <w:bCs/>
                <w:sz w:val="18"/>
                <w:szCs w:val="18"/>
              </w:rPr>
              <w:t>Burden item</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127FB47F" w14:textId="77777777" w:rsidR="00D20272" w:rsidRPr="00D20272" w:rsidRDefault="00D20272" w:rsidP="00D20272">
            <w:pPr>
              <w:widowControl/>
              <w:autoSpaceDE/>
              <w:autoSpaceDN/>
              <w:adjustRightInd/>
              <w:jc w:val="center"/>
              <w:rPr>
                <w:b/>
                <w:bCs/>
                <w:sz w:val="18"/>
                <w:szCs w:val="18"/>
              </w:rPr>
            </w:pPr>
            <w:r w:rsidRPr="00D20272">
              <w:rPr>
                <w:b/>
                <w:bCs/>
                <w:sz w:val="18"/>
                <w:szCs w:val="18"/>
              </w:rPr>
              <w:t xml:space="preserve">(A) </w:t>
            </w:r>
          </w:p>
          <w:p w14:paraId="483C1605" w14:textId="77777777" w:rsidR="00D20272" w:rsidRPr="00D20272" w:rsidRDefault="00D20272" w:rsidP="00D20272">
            <w:pPr>
              <w:widowControl/>
              <w:autoSpaceDE/>
              <w:autoSpaceDN/>
              <w:adjustRightInd/>
              <w:jc w:val="center"/>
              <w:rPr>
                <w:b/>
                <w:bCs/>
                <w:sz w:val="18"/>
                <w:szCs w:val="18"/>
              </w:rPr>
            </w:pPr>
            <w:r w:rsidRPr="00D20272">
              <w:rPr>
                <w:b/>
                <w:bCs/>
                <w:sz w:val="18"/>
                <w:szCs w:val="18"/>
              </w:rPr>
              <w:t>Person hours per occurrence</w:t>
            </w:r>
          </w:p>
        </w:tc>
        <w:tc>
          <w:tcPr>
            <w:tcW w:w="437" w:type="pct"/>
            <w:tcBorders>
              <w:top w:val="single" w:sz="4" w:space="0" w:color="auto"/>
              <w:left w:val="nil"/>
              <w:bottom w:val="single" w:sz="4" w:space="0" w:color="auto"/>
              <w:right w:val="single" w:sz="4" w:space="0" w:color="auto"/>
            </w:tcBorders>
            <w:shd w:val="clear" w:color="auto" w:fill="auto"/>
            <w:vAlign w:val="center"/>
            <w:hideMark/>
          </w:tcPr>
          <w:p w14:paraId="4425AC43" w14:textId="77777777" w:rsidR="00D20272" w:rsidRPr="00D20272" w:rsidRDefault="00D20272" w:rsidP="00D20272">
            <w:pPr>
              <w:widowControl/>
              <w:autoSpaceDE/>
              <w:autoSpaceDN/>
              <w:adjustRightInd/>
              <w:jc w:val="center"/>
              <w:rPr>
                <w:b/>
                <w:bCs/>
                <w:sz w:val="18"/>
                <w:szCs w:val="18"/>
              </w:rPr>
            </w:pPr>
            <w:r w:rsidRPr="00D20272">
              <w:rPr>
                <w:b/>
                <w:bCs/>
                <w:sz w:val="18"/>
                <w:szCs w:val="18"/>
              </w:rPr>
              <w:t xml:space="preserve">(B) </w:t>
            </w:r>
            <w:r w:rsidRPr="00D20272">
              <w:rPr>
                <w:b/>
                <w:bCs/>
                <w:sz w:val="18"/>
                <w:szCs w:val="18"/>
              </w:rPr>
              <w:br/>
              <w:t>No. of occurrences per respondent per year</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744E5623" w14:textId="77777777" w:rsidR="00D20272" w:rsidRPr="00D20272" w:rsidRDefault="00D20272" w:rsidP="00D20272">
            <w:pPr>
              <w:widowControl/>
              <w:autoSpaceDE/>
              <w:autoSpaceDN/>
              <w:adjustRightInd/>
              <w:jc w:val="center"/>
              <w:rPr>
                <w:b/>
                <w:bCs/>
                <w:sz w:val="18"/>
                <w:szCs w:val="18"/>
              </w:rPr>
            </w:pPr>
            <w:r w:rsidRPr="00D20272">
              <w:rPr>
                <w:b/>
                <w:bCs/>
                <w:sz w:val="18"/>
                <w:szCs w:val="18"/>
              </w:rPr>
              <w:t xml:space="preserve">(C) </w:t>
            </w:r>
          </w:p>
          <w:p w14:paraId="7C4B67B6" w14:textId="77777777" w:rsidR="00D20272" w:rsidRPr="00D20272" w:rsidRDefault="00D20272" w:rsidP="00D20272">
            <w:pPr>
              <w:widowControl/>
              <w:autoSpaceDE/>
              <w:autoSpaceDN/>
              <w:adjustRightInd/>
              <w:jc w:val="center"/>
              <w:rPr>
                <w:b/>
                <w:bCs/>
                <w:sz w:val="18"/>
                <w:szCs w:val="18"/>
              </w:rPr>
            </w:pPr>
            <w:r w:rsidRPr="00D20272">
              <w:rPr>
                <w:b/>
                <w:bCs/>
                <w:sz w:val="18"/>
                <w:szCs w:val="18"/>
              </w:rPr>
              <w:t>Person hours per respondent per year (C=</w:t>
            </w:r>
            <w:proofErr w:type="spellStart"/>
            <w:r w:rsidRPr="00D20272">
              <w:rPr>
                <w:b/>
                <w:bCs/>
                <w:sz w:val="18"/>
                <w:szCs w:val="18"/>
              </w:rPr>
              <w:t>AxB</w:t>
            </w:r>
            <w:proofErr w:type="spellEnd"/>
            <w:r w:rsidRPr="00D20272">
              <w:rPr>
                <w:b/>
                <w:bCs/>
                <w:sz w:val="18"/>
                <w:szCs w:val="18"/>
              </w:rPr>
              <w:t>)</w:t>
            </w:r>
          </w:p>
        </w:tc>
        <w:tc>
          <w:tcPr>
            <w:tcW w:w="437" w:type="pct"/>
            <w:tcBorders>
              <w:top w:val="single" w:sz="4" w:space="0" w:color="auto"/>
              <w:left w:val="nil"/>
              <w:bottom w:val="single" w:sz="4" w:space="0" w:color="auto"/>
              <w:right w:val="single" w:sz="4" w:space="0" w:color="auto"/>
            </w:tcBorders>
            <w:shd w:val="clear" w:color="auto" w:fill="auto"/>
            <w:vAlign w:val="center"/>
            <w:hideMark/>
          </w:tcPr>
          <w:p w14:paraId="73D699A4" w14:textId="77777777" w:rsidR="00D20272" w:rsidRPr="00D20272" w:rsidRDefault="00D20272" w:rsidP="00D20272">
            <w:pPr>
              <w:widowControl/>
              <w:autoSpaceDE/>
              <w:autoSpaceDN/>
              <w:adjustRightInd/>
              <w:jc w:val="center"/>
              <w:rPr>
                <w:b/>
                <w:bCs/>
                <w:sz w:val="18"/>
                <w:szCs w:val="18"/>
              </w:rPr>
            </w:pPr>
            <w:r w:rsidRPr="00D20272">
              <w:rPr>
                <w:b/>
                <w:bCs/>
                <w:sz w:val="18"/>
                <w:szCs w:val="18"/>
              </w:rPr>
              <w:t xml:space="preserve">(D) Respondent per year  </w:t>
            </w:r>
            <w:r w:rsidRPr="00D20272">
              <w:rPr>
                <w:b/>
                <w:bCs/>
                <w:sz w:val="18"/>
                <w:szCs w:val="18"/>
                <w:vertAlign w:val="superscript"/>
              </w:rPr>
              <w:t>a</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0AD11168" w14:textId="77777777" w:rsidR="00D20272" w:rsidRPr="00D20272" w:rsidRDefault="00D20272" w:rsidP="00D20272">
            <w:pPr>
              <w:widowControl/>
              <w:autoSpaceDE/>
              <w:autoSpaceDN/>
              <w:adjustRightInd/>
              <w:jc w:val="center"/>
              <w:rPr>
                <w:b/>
                <w:bCs/>
                <w:sz w:val="18"/>
                <w:szCs w:val="18"/>
              </w:rPr>
            </w:pPr>
            <w:r w:rsidRPr="00D20272">
              <w:rPr>
                <w:b/>
                <w:bCs/>
                <w:sz w:val="18"/>
                <w:szCs w:val="18"/>
              </w:rPr>
              <w:t>(E) Technical person- hours per year (E=</w:t>
            </w:r>
            <w:proofErr w:type="spellStart"/>
            <w:r w:rsidRPr="00D20272">
              <w:rPr>
                <w:b/>
                <w:bCs/>
                <w:sz w:val="18"/>
                <w:szCs w:val="18"/>
              </w:rPr>
              <w:t>CxD</w:t>
            </w:r>
            <w:proofErr w:type="spellEnd"/>
            <w:r w:rsidRPr="00D20272">
              <w:rPr>
                <w:b/>
                <w:bCs/>
                <w:sz w:val="18"/>
                <w:szCs w:val="18"/>
              </w:rPr>
              <w:t>)</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11957AC1" w14:textId="77777777" w:rsidR="00D20272" w:rsidRPr="00D20272" w:rsidRDefault="00D20272" w:rsidP="00D20272">
            <w:pPr>
              <w:widowControl/>
              <w:autoSpaceDE/>
              <w:autoSpaceDN/>
              <w:adjustRightInd/>
              <w:jc w:val="center"/>
              <w:rPr>
                <w:b/>
                <w:bCs/>
                <w:sz w:val="18"/>
                <w:szCs w:val="18"/>
              </w:rPr>
            </w:pPr>
            <w:r w:rsidRPr="00D20272">
              <w:rPr>
                <w:b/>
                <w:bCs/>
                <w:sz w:val="18"/>
                <w:szCs w:val="18"/>
              </w:rPr>
              <w:t>(F) Management person hours per year (Ex0.05)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E930BE4" w14:textId="77777777" w:rsidR="00D20272" w:rsidRPr="00D20272" w:rsidRDefault="00D20272" w:rsidP="00D20272">
            <w:pPr>
              <w:widowControl/>
              <w:autoSpaceDE/>
              <w:autoSpaceDN/>
              <w:adjustRightInd/>
              <w:jc w:val="center"/>
              <w:rPr>
                <w:b/>
                <w:bCs/>
                <w:sz w:val="18"/>
                <w:szCs w:val="18"/>
              </w:rPr>
            </w:pPr>
            <w:r w:rsidRPr="00D20272">
              <w:rPr>
                <w:b/>
                <w:bCs/>
                <w:sz w:val="18"/>
                <w:szCs w:val="18"/>
              </w:rPr>
              <w:t>(G) Clerical person hours per year (Ex0.1)</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5A3BF222" w14:textId="77777777" w:rsidR="00D20272" w:rsidRPr="00D20272" w:rsidRDefault="00D20272" w:rsidP="00D20272">
            <w:pPr>
              <w:widowControl/>
              <w:autoSpaceDE/>
              <w:autoSpaceDN/>
              <w:adjustRightInd/>
              <w:jc w:val="center"/>
              <w:rPr>
                <w:b/>
                <w:bCs/>
                <w:sz w:val="18"/>
                <w:szCs w:val="18"/>
              </w:rPr>
            </w:pPr>
            <w:r w:rsidRPr="00D20272">
              <w:rPr>
                <w:b/>
                <w:bCs/>
                <w:sz w:val="18"/>
                <w:szCs w:val="18"/>
              </w:rPr>
              <w:t xml:space="preserve">(H) </w:t>
            </w:r>
          </w:p>
          <w:p w14:paraId="48C4E70E" w14:textId="77777777" w:rsidR="00D20272" w:rsidRPr="00D20272" w:rsidRDefault="00D20272" w:rsidP="00D20272">
            <w:pPr>
              <w:widowControl/>
              <w:autoSpaceDE/>
              <w:autoSpaceDN/>
              <w:adjustRightInd/>
              <w:jc w:val="center"/>
              <w:rPr>
                <w:b/>
                <w:bCs/>
                <w:sz w:val="18"/>
                <w:szCs w:val="18"/>
              </w:rPr>
            </w:pPr>
            <w:r w:rsidRPr="00D20272">
              <w:rPr>
                <w:b/>
                <w:bCs/>
                <w:sz w:val="18"/>
                <w:szCs w:val="18"/>
              </w:rPr>
              <w:t>Total Cost per year</w:t>
            </w:r>
            <w:r w:rsidRPr="00D20272">
              <w:rPr>
                <w:b/>
                <w:bCs/>
                <w:sz w:val="18"/>
                <w:szCs w:val="18"/>
                <w:vertAlign w:val="superscript"/>
              </w:rPr>
              <w:t xml:space="preserve"> b</w:t>
            </w:r>
          </w:p>
        </w:tc>
      </w:tr>
      <w:tr w:rsidR="00D20272" w:rsidRPr="00D20272" w14:paraId="25F6F7DB"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0266967F" w14:textId="77777777" w:rsidR="00D20272" w:rsidRPr="00D20272" w:rsidRDefault="00D20272" w:rsidP="00D20272">
            <w:pPr>
              <w:widowControl/>
              <w:autoSpaceDE/>
              <w:autoSpaceDN/>
              <w:adjustRightInd/>
              <w:rPr>
                <w:sz w:val="18"/>
                <w:szCs w:val="18"/>
              </w:rPr>
            </w:pPr>
            <w:r w:rsidRPr="00D20272">
              <w:rPr>
                <w:sz w:val="18"/>
                <w:szCs w:val="18"/>
              </w:rPr>
              <w:t>1.  Applications</w:t>
            </w:r>
          </w:p>
        </w:tc>
        <w:tc>
          <w:tcPr>
            <w:tcW w:w="405" w:type="pct"/>
            <w:tcBorders>
              <w:top w:val="nil"/>
              <w:left w:val="nil"/>
              <w:bottom w:val="single" w:sz="4" w:space="0" w:color="auto"/>
              <w:right w:val="single" w:sz="4" w:space="0" w:color="auto"/>
            </w:tcBorders>
            <w:shd w:val="clear" w:color="auto" w:fill="auto"/>
            <w:vAlign w:val="center"/>
            <w:hideMark/>
          </w:tcPr>
          <w:p w14:paraId="34A83DF6" w14:textId="77777777" w:rsidR="00D20272" w:rsidRPr="00D20272" w:rsidRDefault="00D20272" w:rsidP="00D20272">
            <w:pPr>
              <w:widowControl/>
              <w:autoSpaceDE/>
              <w:autoSpaceDN/>
              <w:adjustRightInd/>
              <w:jc w:val="center"/>
              <w:rPr>
                <w:sz w:val="18"/>
                <w:szCs w:val="18"/>
              </w:rPr>
            </w:pPr>
            <w:r w:rsidRPr="00D20272">
              <w:rPr>
                <w:sz w:val="18"/>
                <w:szCs w:val="18"/>
              </w:rPr>
              <w:t>N/A</w:t>
            </w:r>
          </w:p>
        </w:tc>
        <w:tc>
          <w:tcPr>
            <w:tcW w:w="437" w:type="pct"/>
            <w:tcBorders>
              <w:top w:val="nil"/>
              <w:left w:val="nil"/>
              <w:bottom w:val="single" w:sz="4" w:space="0" w:color="auto"/>
              <w:right w:val="single" w:sz="4" w:space="0" w:color="auto"/>
            </w:tcBorders>
            <w:shd w:val="clear" w:color="auto" w:fill="auto"/>
            <w:vAlign w:val="center"/>
            <w:hideMark/>
          </w:tcPr>
          <w:p w14:paraId="355DC636"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6989C6CD"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659CA7B9"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45DB4AB5"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08CDEE2E"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5F3707D1"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5D33C41A"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04C7D1DA"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0E8F614E" w14:textId="77777777" w:rsidR="00D20272" w:rsidRPr="00D20272" w:rsidRDefault="00D20272" w:rsidP="00D20272">
            <w:pPr>
              <w:widowControl/>
              <w:autoSpaceDE/>
              <w:autoSpaceDN/>
              <w:adjustRightInd/>
              <w:rPr>
                <w:sz w:val="18"/>
                <w:szCs w:val="18"/>
              </w:rPr>
            </w:pPr>
            <w:r w:rsidRPr="00D20272">
              <w:rPr>
                <w:sz w:val="18"/>
                <w:szCs w:val="18"/>
              </w:rPr>
              <w:t>2.  Surveys and studies</w:t>
            </w:r>
          </w:p>
        </w:tc>
        <w:tc>
          <w:tcPr>
            <w:tcW w:w="405" w:type="pct"/>
            <w:tcBorders>
              <w:top w:val="nil"/>
              <w:left w:val="nil"/>
              <w:bottom w:val="single" w:sz="4" w:space="0" w:color="auto"/>
              <w:right w:val="single" w:sz="4" w:space="0" w:color="auto"/>
            </w:tcBorders>
            <w:shd w:val="clear" w:color="auto" w:fill="auto"/>
            <w:vAlign w:val="center"/>
            <w:hideMark/>
          </w:tcPr>
          <w:p w14:paraId="2D94B186" w14:textId="77777777" w:rsidR="00D20272" w:rsidRPr="00D20272" w:rsidRDefault="00D20272" w:rsidP="00D20272">
            <w:pPr>
              <w:widowControl/>
              <w:autoSpaceDE/>
              <w:autoSpaceDN/>
              <w:adjustRightInd/>
              <w:jc w:val="center"/>
              <w:rPr>
                <w:sz w:val="18"/>
                <w:szCs w:val="18"/>
              </w:rPr>
            </w:pPr>
            <w:r w:rsidRPr="00D20272">
              <w:rPr>
                <w:sz w:val="18"/>
                <w:szCs w:val="18"/>
              </w:rPr>
              <w:t>N/A</w:t>
            </w:r>
          </w:p>
        </w:tc>
        <w:tc>
          <w:tcPr>
            <w:tcW w:w="437" w:type="pct"/>
            <w:tcBorders>
              <w:top w:val="nil"/>
              <w:left w:val="nil"/>
              <w:bottom w:val="single" w:sz="4" w:space="0" w:color="auto"/>
              <w:right w:val="single" w:sz="4" w:space="0" w:color="auto"/>
            </w:tcBorders>
            <w:shd w:val="clear" w:color="auto" w:fill="auto"/>
            <w:vAlign w:val="center"/>
            <w:hideMark/>
          </w:tcPr>
          <w:p w14:paraId="3C6B2065"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74C69DCD"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02A0BCE2"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6B7AE3DE"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6484BD93"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53699FF8"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162AD8B2"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4C253904"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00CA399E" w14:textId="77777777" w:rsidR="00D20272" w:rsidRPr="00D20272" w:rsidRDefault="00D20272" w:rsidP="00D20272">
            <w:pPr>
              <w:widowControl/>
              <w:autoSpaceDE/>
              <w:autoSpaceDN/>
              <w:adjustRightInd/>
              <w:rPr>
                <w:sz w:val="18"/>
                <w:szCs w:val="18"/>
              </w:rPr>
            </w:pPr>
            <w:r w:rsidRPr="00D20272">
              <w:rPr>
                <w:sz w:val="18"/>
                <w:szCs w:val="18"/>
              </w:rPr>
              <w:t>3.  Reporting requirements</w:t>
            </w:r>
          </w:p>
        </w:tc>
        <w:tc>
          <w:tcPr>
            <w:tcW w:w="405" w:type="pct"/>
            <w:tcBorders>
              <w:top w:val="nil"/>
              <w:left w:val="nil"/>
              <w:bottom w:val="single" w:sz="4" w:space="0" w:color="auto"/>
              <w:right w:val="single" w:sz="4" w:space="0" w:color="auto"/>
            </w:tcBorders>
            <w:shd w:val="clear" w:color="auto" w:fill="auto"/>
            <w:vAlign w:val="center"/>
            <w:hideMark/>
          </w:tcPr>
          <w:p w14:paraId="69111652"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4F924345"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392BA08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59BB5667"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02EEA010"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177F35D8"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06416383"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15933A03"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14E53759"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4B092392"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A. Read instructions</w:t>
            </w:r>
          </w:p>
        </w:tc>
        <w:tc>
          <w:tcPr>
            <w:tcW w:w="405" w:type="pct"/>
            <w:tcBorders>
              <w:top w:val="nil"/>
              <w:left w:val="nil"/>
              <w:bottom w:val="single" w:sz="4" w:space="0" w:color="auto"/>
              <w:right w:val="single" w:sz="4" w:space="0" w:color="auto"/>
            </w:tcBorders>
            <w:shd w:val="clear" w:color="auto" w:fill="auto"/>
            <w:vAlign w:val="center"/>
            <w:hideMark/>
          </w:tcPr>
          <w:p w14:paraId="38A67F11"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66657FA6"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5EDEE04A"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274F60AF"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2B3CDF56"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506" w:type="pct"/>
            <w:tcBorders>
              <w:top w:val="nil"/>
              <w:left w:val="nil"/>
              <w:bottom w:val="single" w:sz="4" w:space="0" w:color="auto"/>
              <w:right w:val="single" w:sz="4" w:space="0" w:color="auto"/>
            </w:tcBorders>
            <w:shd w:val="clear" w:color="auto" w:fill="auto"/>
            <w:vAlign w:val="center"/>
            <w:hideMark/>
          </w:tcPr>
          <w:p w14:paraId="59509DD6" w14:textId="77777777" w:rsidR="00D20272" w:rsidRPr="00D20272" w:rsidRDefault="00D20272" w:rsidP="00D20272">
            <w:pPr>
              <w:widowControl/>
              <w:autoSpaceDE/>
              <w:autoSpaceDN/>
              <w:adjustRightInd/>
              <w:jc w:val="center"/>
              <w:rPr>
                <w:sz w:val="18"/>
                <w:szCs w:val="18"/>
              </w:rPr>
            </w:pPr>
            <w:r w:rsidRPr="00D20272">
              <w:rPr>
                <w:sz w:val="18"/>
                <w:szCs w:val="18"/>
              </w:rPr>
              <w:t>0.1</w:t>
            </w:r>
          </w:p>
        </w:tc>
        <w:tc>
          <w:tcPr>
            <w:tcW w:w="349" w:type="pct"/>
            <w:tcBorders>
              <w:top w:val="nil"/>
              <w:left w:val="nil"/>
              <w:bottom w:val="single" w:sz="4" w:space="0" w:color="auto"/>
              <w:right w:val="single" w:sz="4" w:space="0" w:color="auto"/>
            </w:tcBorders>
            <w:shd w:val="clear" w:color="auto" w:fill="auto"/>
            <w:vAlign w:val="center"/>
            <w:hideMark/>
          </w:tcPr>
          <w:p w14:paraId="04C41268" w14:textId="77777777" w:rsidR="00D20272" w:rsidRPr="00D20272" w:rsidRDefault="00D20272" w:rsidP="00D20272">
            <w:pPr>
              <w:widowControl/>
              <w:autoSpaceDE/>
              <w:autoSpaceDN/>
              <w:adjustRightInd/>
              <w:jc w:val="center"/>
              <w:rPr>
                <w:sz w:val="18"/>
                <w:szCs w:val="18"/>
              </w:rPr>
            </w:pPr>
            <w:r w:rsidRPr="00D20272">
              <w:rPr>
                <w:sz w:val="18"/>
                <w:szCs w:val="18"/>
              </w:rPr>
              <w:t>0.2</w:t>
            </w:r>
          </w:p>
        </w:tc>
        <w:tc>
          <w:tcPr>
            <w:tcW w:w="499" w:type="pct"/>
            <w:tcBorders>
              <w:top w:val="nil"/>
              <w:left w:val="nil"/>
              <w:bottom w:val="single" w:sz="4" w:space="0" w:color="auto"/>
              <w:right w:val="single" w:sz="4" w:space="0" w:color="auto"/>
            </w:tcBorders>
            <w:shd w:val="clear" w:color="auto" w:fill="auto"/>
            <w:hideMark/>
          </w:tcPr>
          <w:p w14:paraId="7102D654" w14:textId="77777777" w:rsidR="00D20272" w:rsidRPr="00D20272" w:rsidRDefault="00D20272" w:rsidP="00D20272">
            <w:pPr>
              <w:widowControl/>
              <w:autoSpaceDE/>
              <w:autoSpaceDN/>
              <w:adjustRightInd/>
              <w:jc w:val="right"/>
              <w:rPr>
                <w:sz w:val="18"/>
                <w:szCs w:val="18"/>
              </w:rPr>
            </w:pPr>
            <w:r w:rsidRPr="00D20272">
              <w:rPr>
                <w:sz w:val="18"/>
                <w:szCs w:val="18"/>
              </w:rPr>
              <w:t xml:space="preserve">$225.18 </w:t>
            </w:r>
          </w:p>
        </w:tc>
      </w:tr>
      <w:tr w:rsidR="00D20272" w:rsidRPr="00D20272" w14:paraId="683AC84F"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38891B49"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B. Required activities</w:t>
            </w:r>
          </w:p>
        </w:tc>
        <w:tc>
          <w:tcPr>
            <w:tcW w:w="405" w:type="pct"/>
            <w:tcBorders>
              <w:top w:val="nil"/>
              <w:left w:val="nil"/>
              <w:bottom w:val="single" w:sz="4" w:space="0" w:color="auto"/>
              <w:right w:val="single" w:sz="4" w:space="0" w:color="auto"/>
            </w:tcBorders>
            <w:shd w:val="clear" w:color="auto" w:fill="auto"/>
            <w:vAlign w:val="center"/>
            <w:hideMark/>
          </w:tcPr>
          <w:p w14:paraId="7EE8A412" w14:textId="77777777" w:rsidR="00D20272" w:rsidRPr="00D20272" w:rsidRDefault="00D20272" w:rsidP="00D20272">
            <w:pPr>
              <w:widowControl/>
              <w:autoSpaceDE/>
              <w:autoSpaceDN/>
              <w:adjustRightInd/>
              <w:jc w:val="center"/>
              <w:rPr>
                <w:sz w:val="18"/>
                <w:szCs w:val="18"/>
              </w:rPr>
            </w:pPr>
            <w:r w:rsidRPr="00D20272">
              <w:rPr>
                <w:sz w:val="18"/>
                <w:szCs w:val="18"/>
              </w:rPr>
              <w:t>See 3E</w:t>
            </w:r>
          </w:p>
        </w:tc>
        <w:tc>
          <w:tcPr>
            <w:tcW w:w="437" w:type="pct"/>
            <w:tcBorders>
              <w:top w:val="nil"/>
              <w:left w:val="nil"/>
              <w:bottom w:val="single" w:sz="4" w:space="0" w:color="auto"/>
              <w:right w:val="single" w:sz="4" w:space="0" w:color="auto"/>
            </w:tcBorders>
            <w:shd w:val="clear" w:color="auto" w:fill="auto"/>
            <w:vAlign w:val="center"/>
            <w:hideMark/>
          </w:tcPr>
          <w:p w14:paraId="3DEB3D9A"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04A7088D"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16FFC744"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6D8C3E76"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38452F00"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5128EFD6"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2A85C09B"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320A8BBB"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32235BE9"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C. Create information</w:t>
            </w:r>
          </w:p>
        </w:tc>
        <w:tc>
          <w:tcPr>
            <w:tcW w:w="405" w:type="pct"/>
            <w:tcBorders>
              <w:top w:val="nil"/>
              <w:left w:val="nil"/>
              <w:bottom w:val="single" w:sz="4" w:space="0" w:color="auto"/>
              <w:right w:val="single" w:sz="4" w:space="0" w:color="auto"/>
            </w:tcBorders>
            <w:shd w:val="clear" w:color="auto" w:fill="auto"/>
            <w:vAlign w:val="center"/>
            <w:hideMark/>
          </w:tcPr>
          <w:p w14:paraId="1189D1FD" w14:textId="77777777" w:rsidR="00D20272" w:rsidRPr="00D20272" w:rsidRDefault="00D20272" w:rsidP="00D20272">
            <w:pPr>
              <w:widowControl/>
              <w:autoSpaceDE/>
              <w:autoSpaceDN/>
              <w:adjustRightInd/>
              <w:jc w:val="center"/>
              <w:rPr>
                <w:sz w:val="18"/>
                <w:szCs w:val="18"/>
              </w:rPr>
            </w:pPr>
            <w:r w:rsidRPr="00D20272">
              <w:rPr>
                <w:sz w:val="18"/>
                <w:szCs w:val="18"/>
              </w:rPr>
              <w:t>See 3E</w:t>
            </w:r>
          </w:p>
        </w:tc>
        <w:tc>
          <w:tcPr>
            <w:tcW w:w="437" w:type="pct"/>
            <w:tcBorders>
              <w:top w:val="nil"/>
              <w:left w:val="nil"/>
              <w:bottom w:val="single" w:sz="4" w:space="0" w:color="auto"/>
              <w:right w:val="single" w:sz="4" w:space="0" w:color="auto"/>
            </w:tcBorders>
            <w:shd w:val="clear" w:color="auto" w:fill="auto"/>
            <w:vAlign w:val="center"/>
            <w:hideMark/>
          </w:tcPr>
          <w:p w14:paraId="6F49904D"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7431DF6B"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3854F90B"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2EE2E780"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51D7DE6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617D265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19356FB1"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5334966E"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599F41C6"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D. Gather existing information</w:t>
            </w:r>
          </w:p>
        </w:tc>
        <w:tc>
          <w:tcPr>
            <w:tcW w:w="405" w:type="pct"/>
            <w:tcBorders>
              <w:top w:val="nil"/>
              <w:left w:val="nil"/>
              <w:bottom w:val="single" w:sz="4" w:space="0" w:color="auto"/>
              <w:right w:val="single" w:sz="4" w:space="0" w:color="auto"/>
            </w:tcBorders>
            <w:shd w:val="clear" w:color="auto" w:fill="auto"/>
            <w:vAlign w:val="center"/>
            <w:hideMark/>
          </w:tcPr>
          <w:p w14:paraId="4DAB35A6" w14:textId="77777777" w:rsidR="00D20272" w:rsidRPr="00D20272" w:rsidRDefault="00D20272" w:rsidP="00D20272">
            <w:pPr>
              <w:widowControl/>
              <w:autoSpaceDE/>
              <w:autoSpaceDN/>
              <w:adjustRightInd/>
              <w:jc w:val="center"/>
              <w:rPr>
                <w:sz w:val="18"/>
                <w:szCs w:val="18"/>
              </w:rPr>
            </w:pPr>
            <w:r w:rsidRPr="00D20272">
              <w:rPr>
                <w:sz w:val="18"/>
                <w:szCs w:val="18"/>
              </w:rPr>
              <w:t>See 3E</w:t>
            </w:r>
          </w:p>
        </w:tc>
        <w:tc>
          <w:tcPr>
            <w:tcW w:w="437" w:type="pct"/>
            <w:tcBorders>
              <w:top w:val="nil"/>
              <w:left w:val="nil"/>
              <w:bottom w:val="single" w:sz="4" w:space="0" w:color="auto"/>
              <w:right w:val="single" w:sz="4" w:space="0" w:color="auto"/>
            </w:tcBorders>
            <w:shd w:val="clear" w:color="auto" w:fill="auto"/>
            <w:vAlign w:val="center"/>
            <w:hideMark/>
          </w:tcPr>
          <w:p w14:paraId="3C3610A6"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01298700"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312CC48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1D7CF585"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5DE3B94E"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0448E08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7ADB8970"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2240C26C"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237BE6D5"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E. Write report</w:t>
            </w:r>
          </w:p>
        </w:tc>
        <w:tc>
          <w:tcPr>
            <w:tcW w:w="405" w:type="pct"/>
            <w:tcBorders>
              <w:top w:val="nil"/>
              <w:left w:val="nil"/>
              <w:bottom w:val="single" w:sz="4" w:space="0" w:color="auto"/>
              <w:right w:val="single" w:sz="4" w:space="0" w:color="auto"/>
            </w:tcBorders>
            <w:shd w:val="clear" w:color="auto" w:fill="auto"/>
            <w:vAlign w:val="center"/>
            <w:hideMark/>
          </w:tcPr>
          <w:p w14:paraId="6353504B"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0E3C4210"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38BF1A1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165963CA"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7E55F806"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4318EE7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2E8262C4"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5B13D0DE"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7F5DFEBC" w14:textId="77777777" w:rsidTr="00121132">
        <w:trPr>
          <w:trHeight w:val="492"/>
          <w:jc w:val="center"/>
        </w:trPr>
        <w:tc>
          <w:tcPr>
            <w:tcW w:w="1494" w:type="pct"/>
            <w:tcBorders>
              <w:top w:val="nil"/>
              <w:left w:val="single" w:sz="4" w:space="0" w:color="auto"/>
              <w:bottom w:val="single" w:sz="4" w:space="0" w:color="auto"/>
              <w:right w:val="single" w:sz="4" w:space="0" w:color="auto"/>
            </w:tcBorders>
            <w:shd w:val="clear" w:color="auto" w:fill="auto"/>
            <w:hideMark/>
          </w:tcPr>
          <w:p w14:paraId="296F60AF"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Notification of construction/reconstruction </w:t>
            </w:r>
            <w:r w:rsidRPr="00D20272">
              <w:rPr>
                <w:sz w:val="18"/>
                <w:szCs w:val="18"/>
                <w:vertAlign w:val="superscript"/>
              </w:rPr>
              <w:t>c</w:t>
            </w:r>
            <w:r w:rsidRPr="00D20272">
              <w:rPr>
                <w:sz w:val="18"/>
                <w:szCs w:val="18"/>
              </w:rPr>
              <w:t xml:space="preserve"> </w:t>
            </w:r>
          </w:p>
        </w:tc>
        <w:tc>
          <w:tcPr>
            <w:tcW w:w="405" w:type="pct"/>
            <w:tcBorders>
              <w:top w:val="nil"/>
              <w:left w:val="nil"/>
              <w:bottom w:val="single" w:sz="4" w:space="0" w:color="auto"/>
              <w:right w:val="single" w:sz="4" w:space="0" w:color="auto"/>
            </w:tcBorders>
            <w:shd w:val="clear" w:color="auto" w:fill="auto"/>
            <w:vAlign w:val="center"/>
            <w:hideMark/>
          </w:tcPr>
          <w:p w14:paraId="30DCDCF0"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2414A1FB"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4696D5E7"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2398CFD8"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386A4B8A"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506" w:type="pct"/>
            <w:tcBorders>
              <w:top w:val="nil"/>
              <w:left w:val="nil"/>
              <w:bottom w:val="single" w:sz="4" w:space="0" w:color="auto"/>
              <w:right w:val="single" w:sz="4" w:space="0" w:color="auto"/>
            </w:tcBorders>
            <w:shd w:val="clear" w:color="auto" w:fill="auto"/>
            <w:vAlign w:val="center"/>
            <w:hideMark/>
          </w:tcPr>
          <w:p w14:paraId="60E0BE34" w14:textId="77777777" w:rsidR="00D20272" w:rsidRPr="00D20272" w:rsidRDefault="00D20272" w:rsidP="00D20272">
            <w:pPr>
              <w:widowControl/>
              <w:autoSpaceDE/>
              <w:autoSpaceDN/>
              <w:adjustRightInd/>
              <w:jc w:val="center"/>
              <w:rPr>
                <w:sz w:val="18"/>
                <w:szCs w:val="18"/>
              </w:rPr>
            </w:pPr>
            <w:r w:rsidRPr="00D20272">
              <w:rPr>
                <w:sz w:val="18"/>
                <w:szCs w:val="18"/>
              </w:rPr>
              <w:t>0.1</w:t>
            </w:r>
          </w:p>
        </w:tc>
        <w:tc>
          <w:tcPr>
            <w:tcW w:w="349" w:type="pct"/>
            <w:tcBorders>
              <w:top w:val="nil"/>
              <w:left w:val="nil"/>
              <w:bottom w:val="single" w:sz="4" w:space="0" w:color="auto"/>
              <w:right w:val="single" w:sz="4" w:space="0" w:color="auto"/>
            </w:tcBorders>
            <w:shd w:val="clear" w:color="auto" w:fill="auto"/>
            <w:vAlign w:val="center"/>
            <w:hideMark/>
          </w:tcPr>
          <w:p w14:paraId="28EDBF43" w14:textId="77777777" w:rsidR="00D20272" w:rsidRPr="00D20272" w:rsidRDefault="00D20272" w:rsidP="00D20272">
            <w:pPr>
              <w:widowControl/>
              <w:autoSpaceDE/>
              <w:autoSpaceDN/>
              <w:adjustRightInd/>
              <w:jc w:val="center"/>
              <w:rPr>
                <w:sz w:val="18"/>
                <w:szCs w:val="18"/>
              </w:rPr>
            </w:pPr>
            <w:r w:rsidRPr="00D20272">
              <w:rPr>
                <w:sz w:val="18"/>
                <w:szCs w:val="18"/>
              </w:rPr>
              <w:t>0.2</w:t>
            </w:r>
          </w:p>
        </w:tc>
        <w:tc>
          <w:tcPr>
            <w:tcW w:w="499" w:type="pct"/>
            <w:tcBorders>
              <w:top w:val="nil"/>
              <w:left w:val="nil"/>
              <w:bottom w:val="single" w:sz="4" w:space="0" w:color="auto"/>
              <w:right w:val="single" w:sz="4" w:space="0" w:color="auto"/>
            </w:tcBorders>
            <w:shd w:val="clear" w:color="auto" w:fill="auto"/>
            <w:vAlign w:val="center"/>
            <w:hideMark/>
          </w:tcPr>
          <w:p w14:paraId="43CF362C" w14:textId="77777777" w:rsidR="00D20272" w:rsidRPr="00D20272" w:rsidRDefault="00D20272" w:rsidP="00D20272">
            <w:pPr>
              <w:widowControl/>
              <w:autoSpaceDE/>
              <w:autoSpaceDN/>
              <w:adjustRightInd/>
              <w:jc w:val="right"/>
              <w:rPr>
                <w:sz w:val="18"/>
                <w:szCs w:val="18"/>
              </w:rPr>
            </w:pPr>
            <w:r w:rsidRPr="00D20272">
              <w:rPr>
                <w:sz w:val="18"/>
                <w:szCs w:val="18"/>
              </w:rPr>
              <w:t xml:space="preserve">$225.18 </w:t>
            </w:r>
          </w:p>
        </w:tc>
      </w:tr>
      <w:tr w:rsidR="00D20272" w:rsidRPr="00D20272" w14:paraId="5AAD17E2"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hideMark/>
          </w:tcPr>
          <w:p w14:paraId="540280CF"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Notification of actual startup </w:t>
            </w:r>
            <w:r w:rsidRPr="00D20272">
              <w:rPr>
                <w:sz w:val="18"/>
                <w:szCs w:val="18"/>
                <w:vertAlign w:val="superscript"/>
              </w:rPr>
              <w:t>c</w:t>
            </w:r>
          </w:p>
        </w:tc>
        <w:tc>
          <w:tcPr>
            <w:tcW w:w="405" w:type="pct"/>
            <w:tcBorders>
              <w:top w:val="nil"/>
              <w:left w:val="nil"/>
              <w:bottom w:val="single" w:sz="4" w:space="0" w:color="auto"/>
              <w:right w:val="single" w:sz="4" w:space="0" w:color="auto"/>
            </w:tcBorders>
            <w:shd w:val="clear" w:color="auto" w:fill="auto"/>
            <w:vAlign w:val="center"/>
            <w:hideMark/>
          </w:tcPr>
          <w:p w14:paraId="7F14719E"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4E57B43B"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15AA22C3"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3B0458D3"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30D06328"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506" w:type="pct"/>
            <w:tcBorders>
              <w:top w:val="nil"/>
              <w:left w:val="nil"/>
              <w:bottom w:val="single" w:sz="4" w:space="0" w:color="auto"/>
              <w:right w:val="single" w:sz="4" w:space="0" w:color="auto"/>
            </w:tcBorders>
            <w:shd w:val="clear" w:color="auto" w:fill="auto"/>
            <w:vAlign w:val="center"/>
            <w:hideMark/>
          </w:tcPr>
          <w:p w14:paraId="4578BA77" w14:textId="77777777" w:rsidR="00D20272" w:rsidRPr="00D20272" w:rsidRDefault="00D20272" w:rsidP="00D20272">
            <w:pPr>
              <w:widowControl/>
              <w:autoSpaceDE/>
              <w:autoSpaceDN/>
              <w:adjustRightInd/>
              <w:jc w:val="center"/>
              <w:rPr>
                <w:sz w:val="18"/>
                <w:szCs w:val="18"/>
              </w:rPr>
            </w:pPr>
            <w:r w:rsidRPr="00D20272">
              <w:rPr>
                <w:sz w:val="18"/>
                <w:szCs w:val="18"/>
              </w:rPr>
              <w:t>0.1</w:t>
            </w:r>
          </w:p>
        </w:tc>
        <w:tc>
          <w:tcPr>
            <w:tcW w:w="349" w:type="pct"/>
            <w:tcBorders>
              <w:top w:val="nil"/>
              <w:left w:val="nil"/>
              <w:bottom w:val="single" w:sz="4" w:space="0" w:color="auto"/>
              <w:right w:val="single" w:sz="4" w:space="0" w:color="auto"/>
            </w:tcBorders>
            <w:shd w:val="clear" w:color="auto" w:fill="auto"/>
            <w:vAlign w:val="center"/>
            <w:hideMark/>
          </w:tcPr>
          <w:p w14:paraId="43964544" w14:textId="77777777" w:rsidR="00D20272" w:rsidRPr="00D20272" w:rsidRDefault="00D20272" w:rsidP="00D20272">
            <w:pPr>
              <w:widowControl/>
              <w:autoSpaceDE/>
              <w:autoSpaceDN/>
              <w:adjustRightInd/>
              <w:jc w:val="center"/>
              <w:rPr>
                <w:sz w:val="18"/>
                <w:szCs w:val="18"/>
              </w:rPr>
            </w:pPr>
            <w:r w:rsidRPr="00D20272">
              <w:rPr>
                <w:sz w:val="18"/>
                <w:szCs w:val="18"/>
              </w:rPr>
              <w:t>0.2</w:t>
            </w:r>
          </w:p>
        </w:tc>
        <w:tc>
          <w:tcPr>
            <w:tcW w:w="499" w:type="pct"/>
            <w:tcBorders>
              <w:top w:val="nil"/>
              <w:left w:val="nil"/>
              <w:bottom w:val="single" w:sz="4" w:space="0" w:color="auto"/>
              <w:right w:val="single" w:sz="4" w:space="0" w:color="auto"/>
            </w:tcBorders>
            <w:shd w:val="clear" w:color="auto" w:fill="auto"/>
            <w:vAlign w:val="center"/>
            <w:hideMark/>
          </w:tcPr>
          <w:p w14:paraId="76EC19F7" w14:textId="77777777" w:rsidR="00D20272" w:rsidRPr="00D20272" w:rsidRDefault="00D20272" w:rsidP="00D20272">
            <w:pPr>
              <w:widowControl/>
              <w:autoSpaceDE/>
              <w:autoSpaceDN/>
              <w:adjustRightInd/>
              <w:jc w:val="right"/>
              <w:rPr>
                <w:sz w:val="18"/>
                <w:szCs w:val="18"/>
              </w:rPr>
            </w:pPr>
            <w:r w:rsidRPr="00D20272">
              <w:rPr>
                <w:sz w:val="18"/>
                <w:szCs w:val="18"/>
              </w:rPr>
              <w:t xml:space="preserve">$225.18 </w:t>
            </w:r>
          </w:p>
        </w:tc>
      </w:tr>
      <w:tr w:rsidR="00D20272" w:rsidRPr="00D20272" w14:paraId="08E327A1"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hideMark/>
          </w:tcPr>
          <w:p w14:paraId="3D7A1C62"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Notification of applicability of  standard </w:t>
            </w:r>
            <w:r w:rsidRPr="00D20272">
              <w:rPr>
                <w:sz w:val="18"/>
                <w:szCs w:val="18"/>
                <w:vertAlign w:val="superscript"/>
              </w:rPr>
              <w:t>c</w:t>
            </w:r>
          </w:p>
        </w:tc>
        <w:tc>
          <w:tcPr>
            <w:tcW w:w="405" w:type="pct"/>
            <w:tcBorders>
              <w:top w:val="nil"/>
              <w:left w:val="nil"/>
              <w:bottom w:val="single" w:sz="4" w:space="0" w:color="auto"/>
              <w:right w:val="single" w:sz="4" w:space="0" w:color="auto"/>
            </w:tcBorders>
            <w:shd w:val="clear" w:color="auto" w:fill="auto"/>
            <w:vAlign w:val="center"/>
            <w:hideMark/>
          </w:tcPr>
          <w:p w14:paraId="109FA8EE"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58207752"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708E5BDA"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2066BCF3"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206B6868"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506" w:type="pct"/>
            <w:tcBorders>
              <w:top w:val="nil"/>
              <w:left w:val="nil"/>
              <w:bottom w:val="single" w:sz="4" w:space="0" w:color="auto"/>
              <w:right w:val="single" w:sz="4" w:space="0" w:color="auto"/>
            </w:tcBorders>
            <w:shd w:val="clear" w:color="auto" w:fill="auto"/>
            <w:vAlign w:val="center"/>
            <w:hideMark/>
          </w:tcPr>
          <w:p w14:paraId="5391251D" w14:textId="77777777" w:rsidR="00D20272" w:rsidRPr="00D20272" w:rsidRDefault="00D20272" w:rsidP="00D20272">
            <w:pPr>
              <w:widowControl/>
              <w:autoSpaceDE/>
              <w:autoSpaceDN/>
              <w:adjustRightInd/>
              <w:jc w:val="center"/>
              <w:rPr>
                <w:sz w:val="18"/>
                <w:szCs w:val="18"/>
              </w:rPr>
            </w:pPr>
            <w:r w:rsidRPr="00D20272">
              <w:rPr>
                <w:sz w:val="18"/>
                <w:szCs w:val="18"/>
              </w:rPr>
              <w:t>0.1</w:t>
            </w:r>
          </w:p>
        </w:tc>
        <w:tc>
          <w:tcPr>
            <w:tcW w:w="349" w:type="pct"/>
            <w:tcBorders>
              <w:top w:val="nil"/>
              <w:left w:val="nil"/>
              <w:bottom w:val="single" w:sz="4" w:space="0" w:color="auto"/>
              <w:right w:val="single" w:sz="4" w:space="0" w:color="auto"/>
            </w:tcBorders>
            <w:shd w:val="clear" w:color="auto" w:fill="auto"/>
            <w:vAlign w:val="center"/>
            <w:hideMark/>
          </w:tcPr>
          <w:p w14:paraId="0249A062" w14:textId="77777777" w:rsidR="00D20272" w:rsidRPr="00D20272" w:rsidRDefault="00D20272" w:rsidP="00D20272">
            <w:pPr>
              <w:widowControl/>
              <w:autoSpaceDE/>
              <w:autoSpaceDN/>
              <w:adjustRightInd/>
              <w:jc w:val="center"/>
              <w:rPr>
                <w:sz w:val="18"/>
                <w:szCs w:val="18"/>
              </w:rPr>
            </w:pPr>
            <w:r w:rsidRPr="00D20272">
              <w:rPr>
                <w:sz w:val="18"/>
                <w:szCs w:val="18"/>
              </w:rPr>
              <w:t>0.2</w:t>
            </w:r>
          </w:p>
        </w:tc>
        <w:tc>
          <w:tcPr>
            <w:tcW w:w="499" w:type="pct"/>
            <w:tcBorders>
              <w:top w:val="nil"/>
              <w:left w:val="nil"/>
              <w:bottom w:val="single" w:sz="4" w:space="0" w:color="auto"/>
              <w:right w:val="single" w:sz="4" w:space="0" w:color="auto"/>
            </w:tcBorders>
            <w:shd w:val="clear" w:color="auto" w:fill="auto"/>
            <w:vAlign w:val="center"/>
            <w:hideMark/>
          </w:tcPr>
          <w:p w14:paraId="5D9A70B8" w14:textId="77777777" w:rsidR="00D20272" w:rsidRPr="00D20272" w:rsidRDefault="00D20272" w:rsidP="00D20272">
            <w:pPr>
              <w:widowControl/>
              <w:autoSpaceDE/>
              <w:autoSpaceDN/>
              <w:adjustRightInd/>
              <w:jc w:val="right"/>
              <w:rPr>
                <w:sz w:val="18"/>
                <w:szCs w:val="18"/>
              </w:rPr>
            </w:pPr>
            <w:r w:rsidRPr="00D20272">
              <w:rPr>
                <w:sz w:val="18"/>
                <w:szCs w:val="18"/>
              </w:rPr>
              <w:t xml:space="preserve">$225.18 </w:t>
            </w:r>
          </w:p>
        </w:tc>
      </w:tr>
      <w:tr w:rsidR="00D20272" w:rsidRPr="00D20272" w14:paraId="01146E3A"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hideMark/>
          </w:tcPr>
          <w:p w14:paraId="0D73FB5F"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Notification of initial performance test </w:t>
            </w:r>
            <w:r w:rsidRPr="00D20272">
              <w:rPr>
                <w:sz w:val="18"/>
                <w:szCs w:val="18"/>
                <w:vertAlign w:val="superscript"/>
              </w:rPr>
              <w:t>c</w:t>
            </w:r>
          </w:p>
        </w:tc>
        <w:tc>
          <w:tcPr>
            <w:tcW w:w="405" w:type="pct"/>
            <w:tcBorders>
              <w:top w:val="nil"/>
              <w:left w:val="nil"/>
              <w:bottom w:val="single" w:sz="4" w:space="0" w:color="auto"/>
              <w:right w:val="single" w:sz="4" w:space="0" w:color="auto"/>
            </w:tcBorders>
            <w:shd w:val="clear" w:color="auto" w:fill="auto"/>
            <w:vAlign w:val="center"/>
            <w:hideMark/>
          </w:tcPr>
          <w:p w14:paraId="357F219C"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69393D0E"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53E824B1"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0BD475A4"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70B1D829"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506" w:type="pct"/>
            <w:tcBorders>
              <w:top w:val="nil"/>
              <w:left w:val="nil"/>
              <w:bottom w:val="single" w:sz="4" w:space="0" w:color="auto"/>
              <w:right w:val="single" w:sz="4" w:space="0" w:color="auto"/>
            </w:tcBorders>
            <w:shd w:val="clear" w:color="auto" w:fill="auto"/>
            <w:vAlign w:val="center"/>
            <w:hideMark/>
          </w:tcPr>
          <w:p w14:paraId="71BE96F3" w14:textId="77777777" w:rsidR="00D20272" w:rsidRPr="00D20272" w:rsidRDefault="00D20272" w:rsidP="00D20272">
            <w:pPr>
              <w:widowControl/>
              <w:autoSpaceDE/>
              <w:autoSpaceDN/>
              <w:adjustRightInd/>
              <w:jc w:val="center"/>
              <w:rPr>
                <w:sz w:val="18"/>
                <w:szCs w:val="18"/>
              </w:rPr>
            </w:pPr>
            <w:r w:rsidRPr="00D20272">
              <w:rPr>
                <w:sz w:val="18"/>
                <w:szCs w:val="18"/>
              </w:rPr>
              <w:t>0.1</w:t>
            </w:r>
          </w:p>
        </w:tc>
        <w:tc>
          <w:tcPr>
            <w:tcW w:w="349" w:type="pct"/>
            <w:tcBorders>
              <w:top w:val="nil"/>
              <w:left w:val="nil"/>
              <w:bottom w:val="single" w:sz="4" w:space="0" w:color="auto"/>
              <w:right w:val="single" w:sz="4" w:space="0" w:color="auto"/>
            </w:tcBorders>
            <w:shd w:val="clear" w:color="auto" w:fill="auto"/>
            <w:vAlign w:val="center"/>
            <w:hideMark/>
          </w:tcPr>
          <w:p w14:paraId="37B1E46F" w14:textId="77777777" w:rsidR="00D20272" w:rsidRPr="00D20272" w:rsidRDefault="00D20272" w:rsidP="00D20272">
            <w:pPr>
              <w:widowControl/>
              <w:autoSpaceDE/>
              <w:autoSpaceDN/>
              <w:adjustRightInd/>
              <w:jc w:val="center"/>
              <w:rPr>
                <w:sz w:val="18"/>
                <w:szCs w:val="18"/>
              </w:rPr>
            </w:pPr>
            <w:r w:rsidRPr="00D20272">
              <w:rPr>
                <w:sz w:val="18"/>
                <w:szCs w:val="18"/>
              </w:rPr>
              <w:t>0.2</w:t>
            </w:r>
          </w:p>
        </w:tc>
        <w:tc>
          <w:tcPr>
            <w:tcW w:w="499" w:type="pct"/>
            <w:tcBorders>
              <w:top w:val="nil"/>
              <w:left w:val="nil"/>
              <w:bottom w:val="single" w:sz="4" w:space="0" w:color="auto"/>
              <w:right w:val="single" w:sz="4" w:space="0" w:color="auto"/>
            </w:tcBorders>
            <w:shd w:val="clear" w:color="auto" w:fill="auto"/>
            <w:vAlign w:val="center"/>
            <w:hideMark/>
          </w:tcPr>
          <w:p w14:paraId="3E954F6A" w14:textId="77777777" w:rsidR="00D20272" w:rsidRPr="00D20272" w:rsidRDefault="00D20272" w:rsidP="00D20272">
            <w:pPr>
              <w:widowControl/>
              <w:autoSpaceDE/>
              <w:autoSpaceDN/>
              <w:adjustRightInd/>
              <w:jc w:val="right"/>
              <w:rPr>
                <w:sz w:val="18"/>
                <w:szCs w:val="18"/>
              </w:rPr>
            </w:pPr>
            <w:r w:rsidRPr="00D20272">
              <w:rPr>
                <w:sz w:val="18"/>
                <w:szCs w:val="18"/>
              </w:rPr>
              <w:t xml:space="preserve">$225.18 </w:t>
            </w:r>
          </w:p>
        </w:tc>
      </w:tr>
      <w:tr w:rsidR="00D20272" w:rsidRPr="00D20272" w14:paraId="68C2D5A1"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hideMark/>
          </w:tcPr>
          <w:p w14:paraId="07D55CF3"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Notification of  performance evaluation  </w:t>
            </w:r>
            <w:r w:rsidR="008C72C1">
              <w:rPr>
                <w:sz w:val="18"/>
                <w:szCs w:val="18"/>
                <w:vertAlign w:val="superscript"/>
              </w:rPr>
              <w:t>c</w:t>
            </w:r>
            <w:r w:rsidRPr="00D20272">
              <w:rPr>
                <w:sz w:val="18"/>
                <w:szCs w:val="18"/>
                <w:vertAlign w:val="superscript"/>
              </w:rPr>
              <w:t xml:space="preserve">                                                    </w:t>
            </w:r>
          </w:p>
        </w:tc>
        <w:tc>
          <w:tcPr>
            <w:tcW w:w="405" w:type="pct"/>
            <w:tcBorders>
              <w:top w:val="nil"/>
              <w:left w:val="nil"/>
              <w:bottom w:val="single" w:sz="4" w:space="0" w:color="auto"/>
              <w:right w:val="single" w:sz="4" w:space="0" w:color="auto"/>
            </w:tcBorders>
            <w:shd w:val="clear" w:color="auto" w:fill="auto"/>
            <w:vAlign w:val="center"/>
            <w:hideMark/>
          </w:tcPr>
          <w:p w14:paraId="1F5B7A65"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137348CD"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48BCA2F9"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07C4F906"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2A920CC9"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506" w:type="pct"/>
            <w:tcBorders>
              <w:top w:val="nil"/>
              <w:left w:val="nil"/>
              <w:bottom w:val="single" w:sz="4" w:space="0" w:color="auto"/>
              <w:right w:val="single" w:sz="4" w:space="0" w:color="auto"/>
            </w:tcBorders>
            <w:shd w:val="clear" w:color="auto" w:fill="auto"/>
            <w:vAlign w:val="center"/>
            <w:hideMark/>
          </w:tcPr>
          <w:p w14:paraId="400137F0" w14:textId="77777777" w:rsidR="00D20272" w:rsidRPr="00D20272" w:rsidRDefault="00D20272" w:rsidP="00D20272">
            <w:pPr>
              <w:widowControl/>
              <w:autoSpaceDE/>
              <w:autoSpaceDN/>
              <w:adjustRightInd/>
              <w:jc w:val="center"/>
              <w:rPr>
                <w:sz w:val="18"/>
                <w:szCs w:val="18"/>
              </w:rPr>
            </w:pPr>
            <w:r w:rsidRPr="00D20272">
              <w:rPr>
                <w:sz w:val="18"/>
                <w:szCs w:val="18"/>
              </w:rPr>
              <w:t>0.1</w:t>
            </w:r>
          </w:p>
        </w:tc>
        <w:tc>
          <w:tcPr>
            <w:tcW w:w="349" w:type="pct"/>
            <w:tcBorders>
              <w:top w:val="nil"/>
              <w:left w:val="nil"/>
              <w:bottom w:val="single" w:sz="4" w:space="0" w:color="auto"/>
              <w:right w:val="single" w:sz="4" w:space="0" w:color="auto"/>
            </w:tcBorders>
            <w:shd w:val="clear" w:color="auto" w:fill="auto"/>
            <w:vAlign w:val="center"/>
            <w:hideMark/>
          </w:tcPr>
          <w:p w14:paraId="09CBBF84" w14:textId="77777777" w:rsidR="00D20272" w:rsidRPr="00D20272" w:rsidRDefault="00D20272" w:rsidP="00D20272">
            <w:pPr>
              <w:widowControl/>
              <w:autoSpaceDE/>
              <w:autoSpaceDN/>
              <w:adjustRightInd/>
              <w:jc w:val="center"/>
              <w:rPr>
                <w:sz w:val="18"/>
                <w:szCs w:val="18"/>
              </w:rPr>
            </w:pPr>
            <w:r w:rsidRPr="00D20272">
              <w:rPr>
                <w:sz w:val="18"/>
                <w:szCs w:val="18"/>
              </w:rPr>
              <w:t>0.2</w:t>
            </w:r>
          </w:p>
        </w:tc>
        <w:tc>
          <w:tcPr>
            <w:tcW w:w="499" w:type="pct"/>
            <w:tcBorders>
              <w:top w:val="nil"/>
              <w:left w:val="nil"/>
              <w:bottom w:val="single" w:sz="4" w:space="0" w:color="auto"/>
              <w:right w:val="single" w:sz="4" w:space="0" w:color="auto"/>
            </w:tcBorders>
            <w:shd w:val="clear" w:color="auto" w:fill="auto"/>
            <w:vAlign w:val="center"/>
            <w:hideMark/>
          </w:tcPr>
          <w:p w14:paraId="687EEFCF" w14:textId="77777777" w:rsidR="00D20272" w:rsidRPr="00D20272" w:rsidRDefault="00D20272" w:rsidP="00D20272">
            <w:pPr>
              <w:widowControl/>
              <w:autoSpaceDE/>
              <w:autoSpaceDN/>
              <w:adjustRightInd/>
              <w:jc w:val="right"/>
              <w:rPr>
                <w:sz w:val="18"/>
                <w:szCs w:val="18"/>
              </w:rPr>
            </w:pPr>
            <w:r w:rsidRPr="00D20272">
              <w:rPr>
                <w:sz w:val="18"/>
                <w:szCs w:val="18"/>
              </w:rPr>
              <w:t xml:space="preserve">$225.18 </w:t>
            </w:r>
          </w:p>
        </w:tc>
      </w:tr>
      <w:tr w:rsidR="00D20272" w:rsidRPr="00D20272" w14:paraId="440D439E"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hideMark/>
          </w:tcPr>
          <w:p w14:paraId="158A5DE1"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Notification of compliance status  </w:t>
            </w:r>
            <w:r w:rsidRPr="00D20272">
              <w:rPr>
                <w:sz w:val="18"/>
                <w:szCs w:val="18"/>
                <w:vertAlign w:val="superscript"/>
              </w:rPr>
              <w:t>c</w:t>
            </w:r>
          </w:p>
        </w:tc>
        <w:tc>
          <w:tcPr>
            <w:tcW w:w="405" w:type="pct"/>
            <w:tcBorders>
              <w:top w:val="nil"/>
              <w:left w:val="nil"/>
              <w:bottom w:val="single" w:sz="4" w:space="0" w:color="auto"/>
              <w:right w:val="single" w:sz="4" w:space="0" w:color="auto"/>
            </w:tcBorders>
            <w:shd w:val="clear" w:color="auto" w:fill="auto"/>
            <w:vAlign w:val="center"/>
            <w:hideMark/>
          </w:tcPr>
          <w:p w14:paraId="784032CA" w14:textId="77777777" w:rsidR="00D20272" w:rsidRPr="00D20272" w:rsidRDefault="00D20272" w:rsidP="00D20272">
            <w:pPr>
              <w:widowControl/>
              <w:autoSpaceDE/>
              <w:autoSpaceDN/>
              <w:adjustRightInd/>
              <w:jc w:val="center"/>
              <w:rPr>
                <w:sz w:val="18"/>
                <w:szCs w:val="18"/>
              </w:rPr>
            </w:pPr>
            <w:r w:rsidRPr="00D20272">
              <w:rPr>
                <w:sz w:val="18"/>
                <w:szCs w:val="18"/>
              </w:rPr>
              <w:t>80</w:t>
            </w:r>
          </w:p>
        </w:tc>
        <w:tc>
          <w:tcPr>
            <w:tcW w:w="437" w:type="pct"/>
            <w:tcBorders>
              <w:top w:val="nil"/>
              <w:left w:val="nil"/>
              <w:bottom w:val="single" w:sz="4" w:space="0" w:color="auto"/>
              <w:right w:val="single" w:sz="4" w:space="0" w:color="auto"/>
            </w:tcBorders>
            <w:shd w:val="clear" w:color="auto" w:fill="auto"/>
            <w:vAlign w:val="center"/>
            <w:hideMark/>
          </w:tcPr>
          <w:p w14:paraId="51E9561C"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7F994B35" w14:textId="77777777" w:rsidR="00D20272" w:rsidRPr="00D20272" w:rsidRDefault="00D20272" w:rsidP="00D20272">
            <w:pPr>
              <w:widowControl/>
              <w:autoSpaceDE/>
              <w:autoSpaceDN/>
              <w:adjustRightInd/>
              <w:jc w:val="center"/>
              <w:rPr>
                <w:sz w:val="18"/>
                <w:szCs w:val="18"/>
              </w:rPr>
            </w:pPr>
            <w:r w:rsidRPr="00D20272">
              <w:rPr>
                <w:sz w:val="18"/>
                <w:szCs w:val="18"/>
              </w:rPr>
              <w:t>80</w:t>
            </w:r>
          </w:p>
        </w:tc>
        <w:tc>
          <w:tcPr>
            <w:tcW w:w="437" w:type="pct"/>
            <w:tcBorders>
              <w:top w:val="nil"/>
              <w:left w:val="nil"/>
              <w:bottom w:val="single" w:sz="4" w:space="0" w:color="auto"/>
              <w:right w:val="single" w:sz="4" w:space="0" w:color="auto"/>
            </w:tcBorders>
            <w:shd w:val="clear" w:color="auto" w:fill="auto"/>
            <w:vAlign w:val="center"/>
            <w:hideMark/>
          </w:tcPr>
          <w:p w14:paraId="36E724B2"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5C777EA1" w14:textId="77777777" w:rsidR="00D20272" w:rsidRPr="00D20272" w:rsidRDefault="00D20272" w:rsidP="00D20272">
            <w:pPr>
              <w:widowControl/>
              <w:autoSpaceDE/>
              <w:autoSpaceDN/>
              <w:adjustRightInd/>
              <w:jc w:val="center"/>
              <w:rPr>
                <w:sz w:val="18"/>
                <w:szCs w:val="18"/>
              </w:rPr>
            </w:pPr>
            <w:r w:rsidRPr="00D20272">
              <w:rPr>
                <w:sz w:val="18"/>
                <w:szCs w:val="18"/>
              </w:rPr>
              <w:t>80</w:t>
            </w:r>
          </w:p>
        </w:tc>
        <w:tc>
          <w:tcPr>
            <w:tcW w:w="506" w:type="pct"/>
            <w:tcBorders>
              <w:top w:val="nil"/>
              <w:left w:val="nil"/>
              <w:bottom w:val="single" w:sz="4" w:space="0" w:color="auto"/>
              <w:right w:val="single" w:sz="4" w:space="0" w:color="auto"/>
            </w:tcBorders>
            <w:shd w:val="clear" w:color="auto" w:fill="auto"/>
            <w:vAlign w:val="center"/>
            <w:hideMark/>
          </w:tcPr>
          <w:p w14:paraId="6F41C8A4" w14:textId="77777777" w:rsidR="00D20272" w:rsidRPr="00D20272" w:rsidRDefault="00D20272" w:rsidP="00D20272">
            <w:pPr>
              <w:widowControl/>
              <w:autoSpaceDE/>
              <w:autoSpaceDN/>
              <w:adjustRightInd/>
              <w:jc w:val="center"/>
              <w:rPr>
                <w:sz w:val="18"/>
                <w:szCs w:val="18"/>
              </w:rPr>
            </w:pPr>
            <w:r w:rsidRPr="00D20272">
              <w:rPr>
                <w:sz w:val="18"/>
                <w:szCs w:val="18"/>
              </w:rPr>
              <w:t>4</w:t>
            </w:r>
          </w:p>
        </w:tc>
        <w:tc>
          <w:tcPr>
            <w:tcW w:w="349" w:type="pct"/>
            <w:tcBorders>
              <w:top w:val="nil"/>
              <w:left w:val="nil"/>
              <w:bottom w:val="single" w:sz="4" w:space="0" w:color="auto"/>
              <w:right w:val="single" w:sz="4" w:space="0" w:color="auto"/>
            </w:tcBorders>
            <w:shd w:val="clear" w:color="auto" w:fill="auto"/>
            <w:vAlign w:val="center"/>
            <w:hideMark/>
          </w:tcPr>
          <w:p w14:paraId="49BB39D5" w14:textId="77777777" w:rsidR="00D20272" w:rsidRPr="00D20272" w:rsidRDefault="00D20272" w:rsidP="00D20272">
            <w:pPr>
              <w:widowControl/>
              <w:autoSpaceDE/>
              <w:autoSpaceDN/>
              <w:adjustRightInd/>
              <w:jc w:val="center"/>
              <w:rPr>
                <w:sz w:val="18"/>
                <w:szCs w:val="18"/>
              </w:rPr>
            </w:pPr>
            <w:r w:rsidRPr="00D20272">
              <w:rPr>
                <w:sz w:val="18"/>
                <w:szCs w:val="18"/>
              </w:rPr>
              <w:t>8</w:t>
            </w:r>
          </w:p>
        </w:tc>
        <w:tc>
          <w:tcPr>
            <w:tcW w:w="499" w:type="pct"/>
            <w:tcBorders>
              <w:top w:val="nil"/>
              <w:left w:val="nil"/>
              <w:bottom w:val="single" w:sz="4" w:space="0" w:color="auto"/>
              <w:right w:val="single" w:sz="4" w:space="0" w:color="auto"/>
            </w:tcBorders>
            <w:shd w:val="clear" w:color="auto" w:fill="auto"/>
            <w:vAlign w:val="center"/>
            <w:hideMark/>
          </w:tcPr>
          <w:p w14:paraId="2EA67CC4" w14:textId="77777777" w:rsidR="00D20272" w:rsidRPr="00D20272" w:rsidRDefault="00D20272" w:rsidP="00D20272">
            <w:pPr>
              <w:widowControl/>
              <w:autoSpaceDE/>
              <w:autoSpaceDN/>
              <w:adjustRightInd/>
              <w:jc w:val="right"/>
              <w:rPr>
                <w:sz w:val="18"/>
                <w:szCs w:val="18"/>
              </w:rPr>
            </w:pPr>
            <w:r w:rsidRPr="00D20272">
              <w:rPr>
                <w:sz w:val="18"/>
                <w:szCs w:val="18"/>
              </w:rPr>
              <w:t xml:space="preserve">$9,007.04 </w:t>
            </w:r>
          </w:p>
        </w:tc>
      </w:tr>
      <w:tr w:rsidR="00D20272" w:rsidRPr="00D20272" w14:paraId="57EF12B6"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4BE7EB20"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Excess emissions report</w:t>
            </w:r>
          </w:p>
        </w:tc>
        <w:tc>
          <w:tcPr>
            <w:tcW w:w="405" w:type="pct"/>
            <w:tcBorders>
              <w:top w:val="nil"/>
              <w:left w:val="nil"/>
              <w:bottom w:val="single" w:sz="4" w:space="0" w:color="auto"/>
              <w:right w:val="single" w:sz="4" w:space="0" w:color="auto"/>
            </w:tcBorders>
            <w:shd w:val="clear" w:color="auto" w:fill="auto"/>
            <w:vAlign w:val="center"/>
            <w:hideMark/>
          </w:tcPr>
          <w:p w14:paraId="1B340597"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35C738F7"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36E11DAB"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753BFCF7"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19647363"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3DAB66EB"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739829E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2F8D39CC"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3D990F70"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09ADB486" w14:textId="77777777" w:rsidR="00121132" w:rsidRDefault="00D20272" w:rsidP="00D20272">
            <w:pPr>
              <w:widowControl/>
              <w:autoSpaceDE/>
              <w:autoSpaceDN/>
              <w:adjustRightInd/>
              <w:ind w:firstLineChars="300" w:firstLine="540"/>
              <w:rPr>
                <w:sz w:val="18"/>
                <w:szCs w:val="18"/>
              </w:rPr>
            </w:pPr>
            <w:r w:rsidRPr="00D20272">
              <w:rPr>
                <w:sz w:val="18"/>
                <w:szCs w:val="18"/>
              </w:rPr>
              <w:t xml:space="preserve">Quarterly report of monitoring exceedances and </w:t>
            </w:r>
          </w:p>
          <w:p w14:paraId="67F33B70" w14:textId="77777777" w:rsidR="00D20272" w:rsidRPr="00D20272" w:rsidRDefault="00D20272" w:rsidP="00D20272">
            <w:pPr>
              <w:widowControl/>
              <w:autoSpaceDE/>
              <w:autoSpaceDN/>
              <w:adjustRightInd/>
              <w:ind w:firstLineChars="300" w:firstLine="540"/>
              <w:rPr>
                <w:sz w:val="18"/>
                <w:szCs w:val="18"/>
              </w:rPr>
            </w:pPr>
            <w:r w:rsidRPr="00D20272">
              <w:rPr>
                <w:sz w:val="18"/>
                <w:szCs w:val="18"/>
              </w:rPr>
              <w:t xml:space="preserve">periods of noncompliance </w:t>
            </w:r>
            <w:r w:rsidR="008C72C1">
              <w:rPr>
                <w:sz w:val="18"/>
                <w:szCs w:val="18"/>
                <w:vertAlign w:val="superscript"/>
              </w:rPr>
              <w:t>d</w:t>
            </w:r>
          </w:p>
        </w:tc>
        <w:tc>
          <w:tcPr>
            <w:tcW w:w="405" w:type="pct"/>
            <w:tcBorders>
              <w:top w:val="nil"/>
              <w:left w:val="nil"/>
              <w:bottom w:val="single" w:sz="4" w:space="0" w:color="auto"/>
              <w:right w:val="single" w:sz="4" w:space="0" w:color="auto"/>
            </w:tcBorders>
            <w:shd w:val="clear" w:color="auto" w:fill="auto"/>
            <w:vAlign w:val="center"/>
            <w:hideMark/>
          </w:tcPr>
          <w:p w14:paraId="793C31D1" w14:textId="77777777" w:rsidR="00D20272" w:rsidRPr="00D20272" w:rsidRDefault="00D20272" w:rsidP="00D20272">
            <w:pPr>
              <w:widowControl/>
              <w:autoSpaceDE/>
              <w:autoSpaceDN/>
              <w:adjustRightInd/>
              <w:jc w:val="center"/>
              <w:rPr>
                <w:sz w:val="18"/>
                <w:szCs w:val="18"/>
              </w:rPr>
            </w:pPr>
            <w:r w:rsidRPr="00D20272">
              <w:rPr>
                <w:sz w:val="18"/>
                <w:szCs w:val="18"/>
              </w:rPr>
              <w:t>16</w:t>
            </w:r>
          </w:p>
        </w:tc>
        <w:tc>
          <w:tcPr>
            <w:tcW w:w="437" w:type="pct"/>
            <w:tcBorders>
              <w:top w:val="nil"/>
              <w:left w:val="nil"/>
              <w:bottom w:val="single" w:sz="4" w:space="0" w:color="auto"/>
              <w:right w:val="single" w:sz="4" w:space="0" w:color="auto"/>
            </w:tcBorders>
            <w:shd w:val="clear" w:color="auto" w:fill="auto"/>
            <w:vAlign w:val="center"/>
            <w:hideMark/>
          </w:tcPr>
          <w:p w14:paraId="155021FA" w14:textId="77777777" w:rsidR="00D20272" w:rsidRPr="00D20272" w:rsidRDefault="00D20272" w:rsidP="00D20272">
            <w:pPr>
              <w:widowControl/>
              <w:autoSpaceDE/>
              <w:autoSpaceDN/>
              <w:adjustRightInd/>
              <w:jc w:val="center"/>
              <w:rPr>
                <w:sz w:val="18"/>
                <w:szCs w:val="18"/>
              </w:rPr>
            </w:pPr>
            <w:r w:rsidRPr="00D20272">
              <w:rPr>
                <w:sz w:val="18"/>
                <w:szCs w:val="18"/>
              </w:rPr>
              <w:t>4</w:t>
            </w:r>
          </w:p>
        </w:tc>
        <w:tc>
          <w:tcPr>
            <w:tcW w:w="436" w:type="pct"/>
            <w:tcBorders>
              <w:top w:val="nil"/>
              <w:left w:val="nil"/>
              <w:bottom w:val="single" w:sz="4" w:space="0" w:color="auto"/>
              <w:right w:val="single" w:sz="4" w:space="0" w:color="auto"/>
            </w:tcBorders>
            <w:shd w:val="clear" w:color="auto" w:fill="auto"/>
            <w:vAlign w:val="center"/>
            <w:hideMark/>
          </w:tcPr>
          <w:p w14:paraId="3E3441D2" w14:textId="77777777" w:rsidR="00D20272" w:rsidRPr="00D20272" w:rsidRDefault="00D20272" w:rsidP="00D20272">
            <w:pPr>
              <w:widowControl/>
              <w:autoSpaceDE/>
              <w:autoSpaceDN/>
              <w:adjustRightInd/>
              <w:jc w:val="center"/>
              <w:rPr>
                <w:sz w:val="18"/>
                <w:szCs w:val="18"/>
              </w:rPr>
            </w:pPr>
            <w:r w:rsidRPr="00D20272">
              <w:rPr>
                <w:sz w:val="18"/>
                <w:szCs w:val="18"/>
              </w:rPr>
              <w:t>64</w:t>
            </w:r>
          </w:p>
        </w:tc>
        <w:tc>
          <w:tcPr>
            <w:tcW w:w="437" w:type="pct"/>
            <w:tcBorders>
              <w:top w:val="nil"/>
              <w:left w:val="nil"/>
              <w:bottom w:val="single" w:sz="4" w:space="0" w:color="auto"/>
              <w:right w:val="single" w:sz="4" w:space="0" w:color="auto"/>
            </w:tcBorders>
            <w:shd w:val="clear" w:color="auto" w:fill="auto"/>
            <w:vAlign w:val="center"/>
            <w:hideMark/>
          </w:tcPr>
          <w:p w14:paraId="75CDF27F" w14:textId="77777777" w:rsidR="00D20272" w:rsidRPr="00D20272" w:rsidRDefault="00D20272" w:rsidP="00D20272">
            <w:pPr>
              <w:widowControl/>
              <w:autoSpaceDE/>
              <w:autoSpaceDN/>
              <w:adjustRightInd/>
              <w:jc w:val="center"/>
              <w:rPr>
                <w:sz w:val="18"/>
                <w:szCs w:val="18"/>
              </w:rPr>
            </w:pPr>
            <w:r w:rsidRPr="00D20272">
              <w:rPr>
                <w:sz w:val="18"/>
                <w:szCs w:val="18"/>
              </w:rPr>
              <w:t>6</w:t>
            </w:r>
          </w:p>
        </w:tc>
        <w:tc>
          <w:tcPr>
            <w:tcW w:w="438" w:type="pct"/>
            <w:tcBorders>
              <w:top w:val="nil"/>
              <w:left w:val="nil"/>
              <w:bottom w:val="single" w:sz="4" w:space="0" w:color="auto"/>
              <w:right w:val="single" w:sz="4" w:space="0" w:color="auto"/>
            </w:tcBorders>
            <w:shd w:val="clear" w:color="auto" w:fill="auto"/>
            <w:vAlign w:val="center"/>
            <w:hideMark/>
          </w:tcPr>
          <w:p w14:paraId="78DCF0D6" w14:textId="77777777" w:rsidR="00D20272" w:rsidRPr="00D20272" w:rsidRDefault="00D20272" w:rsidP="00D20272">
            <w:pPr>
              <w:widowControl/>
              <w:autoSpaceDE/>
              <w:autoSpaceDN/>
              <w:adjustRightInd/>
              <w:jc w:val="center"/>
              <w:rPr>
                <w:sz w:val="18"/>
                <w:szCs w:val="18"/>
              </w:rPr>
            </w:pPr>
            <w:r w:rsidRPr="00D20272">
              <w:rPr>
                <w:sz w:val="18"/>
                <w:szCs w:val="18"/>
              </w:rPr>
              <w:t>384</w:t>
            </w:r>
          </w:p>
        </w:tc>
        <w:tc>
          <w:tcPr>
            <w:tcW w:w="506" w:type="pct"/>
            <w:tcBorders>
              <w:top w:val="nil"/>
              <w:left w:val="nil"/>
              <w:bottom w:val="single" w:sz="4" w:space="0" w:color="auto"/>
              <w:right w:val="single" w:sz="4" w:space="0" w:color="auto"/>
            </w:tcBorders>
            <w:shd w:val="clear" w:color="auto" w:fill="auto"/>
            <w:vAlign w:val="center"/>
            <w:hideMark/>
          </w:tcPr>
          <w:p w14:paraId="4F1047F0" w14:textId="77777777" w:rsidR="00D20272" w:rsidRPr="00D20272" w:rsidRDefault="00D20272" w:rsidP="00D20272">
            <w:pPr>
              <w:widowControl/>
              <w:autoSpaceDE/>
              <w:autoSpaceDN/>
              <w:adjustRightInd/>
              <w:jc w:val="center"/>
              <w:rPr>
                <w:sz w:val="18"/>
                <w:szCs w:val="18"/>
              </w:rPr>
            </w:pPr>
            <w:r w:rsidRPr="00D20272">
              <w:rPr>
                <w:sz w:val="18"/>
                <w:szCs w:val="18"/>
              </w:rPr>
              <w:t>19.2</w:t>
            </w:r>
          </w:p>
        </w:tc>
        <w:tc>
          <w:tcPr>
            <w:tcW w:w="349" w:type="pct"/>
            <w:tcBorders>
              <w:top w:val="nil"/>
              <w:left w:val="nil"/>
              <w:bottom w:val="single" w:sz="4" w:space="0" w:color="auto"/>
              <w:right w:val="single" w:sz="4" w:space="0" w:color="auto"/>
            </w:tcBorders>
            <w:shd w:val="clear" w:color="auto" w:fill="auto"/>
            <w:vAlign w:val="center"/>
            <w:hideMark/>
          </w:tcPr>
          <w:p w14:paraId="3EA4A851" w14:textId="77777777" w:rsidR="00D20272" w:rsidRPr="00D20272" w:rsidRDefault="00D20272" w:rsidP="00D20272">
            <w:pPr>
              <w:widowControl/>
              <w:autoSpaceDE/>
              <w:autoSpaceDN/>
              <w:adjustRightInd/>
              <w:jc w:val="center"/>
              <w:rPr>
                <w:sz w:val="18"/>
                <w:szCs w:val="18"/>
              </w:rPr>
            </w:pPr>
            <w:r w:rsidRPr="00D20272">
              <w:rPr>
                <w:sz w:val="18"/>
                <w:szCs w:val="18"/>
              </w:rPr>
              <w:t>38.4</w:t>
            </w:r>
          </w:p>
        </w:tc>
        <w:tc>
          <w:tcPr>
            <w:tcW w:w="499" w:type="pct"/>
            <w:tcBorders>
              <w:top w:val="nil"/>
              <w:left w:val="nil"/>
              <w:bottom w:val="single" w:sz="4" w:space="0" w:color="auto"/>
              <w:right w:val="single" w:sz="4" w:space="0" w:color="auto"/>
            </w:tcBorders>
            <w:shd w:val="clear" w:color="auto" w:fill="auto"/>
            <w:vAlign w:val="center"/>
            <w:hideMark/>
          </w:tcPr>
          <w:p w14:paraId="4DD9F501" w14:textId="77777777" w:rsidR="00D20272" w:rsidRPr="00D20272" w:rsidRDefault="00D20272" w:rsidP="00D20272">
            <w:pPr>
              <w:widowControl/>
              <w:autoSpaceDE/>
              <w:autoSpaceDN/>
              <w:adjustRightInd/>
              <w:jc w:val="right"/>
              <w:rPr>
                <w:sz w:val="18"/>
                <w:szCs w:val="18"/>
              </w:rPr>
            </w:pPr>
            <w:r w:rsidRPr="00D20272">
              <w:rPr>
                <w:sz w:val="18"/>
                <w:szCs w:val="18"/>
              </w:rPr>
              <w:t xml:space="preserve">$43,233.79 </w:t>
            </w:r>
          </w:p>
        </w:tc>
      </w:tr>
      <w:tr w:rsidR="00D20272" w:rsidRPr="00D20272" w14:paraId="5485F3FB"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33F220FE" w14:textId="77777777" w:rsidR="00D20272" w:rsidRPr="00D20272" w:rsidRDefault="00D20272" w:rsidP="00D20272">
            <w:pPr>
              <w:widowControl/>
              <w:autoSpaceDE/>
              <w:autoSpaceDN/>
              <w:adjustRightInd/>
              <w:ind w:firstLineChars="300" w:firstLine="540"/>
              <w:rPr>
                <w:sz w:val="18"/>
                <w:szCs w:val="18"/>
              </w:rPr>
            </w:pPr>
            <w:r w:rsidRPr="00D20272">
              <w:rPr>
                <w:sz w:val="18"/>
                <w:szCs w:val="18"/>
              </w:rPr>
              <w:t xml:space="preserve">Semiannual report of no exceedances </w:t>
            </w:r>
            <w:r w:rsidRPr="00D20272">
              <w:rPr>
                <w:sz w:val="18"/>
                <w:szCs w:val="18"/>
                <w:vertAlign w:val="superscript"/>
              </w:rPr>
              <w:t>d</w:t>
            </w:r>
          </w:p>
        </w:tc>
        <w:tc>
          <w:tcPr>
            <w:tcW w:w="405" w:type="pct"/>
            <w:tcBorders>
              <w:top w:val="nil"/>
              <w:left w:val="nil"/>
              <w:bottom w:val="single" w:sz="4" w:space="0" w:color="auto"/>
              <w:right w:val="single" w:sz="4" w:space="0" w:color="auto"/>
            </w:tcBorders>
            <w:shd w:val="clear" w:color="auto" w:fill="auto"/>
            <w:vAlign w:val="center"/>
            <w:hideMark/>
          </w:tcPr>
          <w:p w14:paraId="6AE879ED" w14:textId="77777777" w:rsidR="00D20272" w:rsidRPr="00D20272" w:rsidRDefault="00D20272" w:rsidP="00D20272">
            <w:pPr>
              <w:widowControl/>
              <w:autoSpaceDE/>
              <w:autoSpaceDN/>
              <w:adjustRightInd/>
              <w:jc w:val="center"/>
              <w:rPr>
                <w:sz w:val="18"/>
                <w:szCs w:val="18"/>
              </w:rPr>
            </w:pPr>
            <w:r w:rsidRPr="00D20272">
              <w:rPr>
                <w:sz w:val="18"/>
                <w:szCs w:val="18"/>
              </w:rPr>
              <w:t>8</w:t>
            </w:r>
          </w:p>
        </w:tc>
        <w:tc>
          <w:tcPr>
            <w:tcW w:w="437" w:type="pct"/>
            <w:tcBorders>
              <w:top w:val="nil"/>
              <w:left w:val="nil"/>
              <w:bottom w:val="single" w:sz="4" w:space="0" w:color="auto"/>
              <w:right w:val="single" w:sz="4" w:space="0" w:color="auto"/>
            </w:tcBorders>
            <w:shd w:val="clear" w:color="auto" w:fill="auto"/>
            <w:vAlign w:val="center"/>
            <w:hideMark/>
          </w:tcPr>
          <w:p w14:paraId="739A6823"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6" w:type="pct"/>
            <w:tcBorders>
              <w:top w:val="nil"/>
              <w:left w:val="nil"/>
              <w:bottom w:val="single" w:sz="4" w:space="0" w:color="auto"/>
              <w:right w:val="single" w:sz="4" w:space="0" w:color="auto"/>
            </w:tcBorders>
            <w:shd w:val="clear" w:color="auto" w:fill="auto"/>
            <w:vAlign w:val="center"/>
            <w:hideMark/>
          </w:tcPr>
          <w:p w14:paraId="059A0E6A" w14:textId="77777777" w:rsidR="00D20272" w:rsidRPr="00D20272" w:rsidRDefault="00D20272" w:rsidP="00D20272">
            <w:pPr>
              <w:widowControl/>
              <w:autoSpaceDE/>
              <w:autoSpaceDN/>
              <w:adjustRightInd/>
              <w:jc w:val="center"/>
              <w:rPr>
                <w:sz w:val="18"/>
                <w:szCs w:val="18"/>
              </w:rPr>
            </w:pPr>
            <w:r w:rsidRPr="00D20272">
              <w:rPr>
                <w:sz w:val="18"/>
                <w:szCs w:val="18"/>
              </w:rPr>
              <w:t>16</w:t>
            </w:r>
          </w:p>
        </w:tc>
        <w:tc>
          <w:tcPr>
            <w:tcW w:w="437" w:type="pct"/>
            <w:tcBorders>
              <w:top w:val="nil"/>
              <w:left w:val="nil"/>
              <w:bottom w:val="single" w:sz="4" w:space="0" w:color="auto"/>
              <w:right w:val="single" w:sz="4" w:space="0" w:color="auto"/>
            </w:tcBorders>
            <w:shd w:val="clear" w:color="auto" w:fill="auto"/>
            <w:vAlign w:val="center"/>
            <w:hideMark/>
          </w:tcPr>
          <w:p w14:paraId="0227AA30" w14:textId="77777777" w:rsidR="00D20272" w:rsidRPr="00D20272" w:rsidRDefault="00D20272" w:rsidP="00D20272">
            <w:pPr>
              <w:widowControl/>
              <w:autoSpaceDE/>
              <w:autoSpaceDN/>
              <w:adjustRightInd/>
              <w:jc w:val="center"/>
              <w:rPr>
                <w:sz w:val="18"/>
                <w:szCs w:val="18"/>
              </w:rPr>
            </w:pPr>
            <w:r w:rsidRPr="00D20272">
              <w:rPr>
                <w:sz w:val="18"/>
                <w:szCs w:val="18"/>
              </w:rPr>
              <w:t>105</w:t>
            </w:r>
          </w:p>
        </w:tc>
        <w:tc>
          <w:tcPr>
            <w:tcW w:w="438" w:type="pct"/>
            <w:tcBorders>
              <w:top w:val="nil"/>
              <w:left w:val="nil"/>
              <w:bottom w:val="single" w:sz="4" w:space="0" w:color="auto"/>
              <w:right w:val="single" w:sz="4" w:space="0" w:color="auto"/>
            </w:tcBorders>
            <w:shd w:val="clear" w:color="auto" w:fill="auto"/>
            <w:vAlign w:val="center"/>
            <w:hideMark/>
          </w:tcPr>
          <w:p w14:paraId="46B8B753" w14:textId="77777777" w:rsidR="00D20272" w:rsidRPr="00D20272" w:rsidRDefault="00D20272" w:rsidP="00D20272">
            <w:pPr>
              <w:widowControl/>
              <w:autoSpaceDE/>
              <w:autoSpaceDN/>
              <w:adjustRightInd/>
              <w:jc w:val="center"/>
              <w:rPr>
                <w:sz w:val="18"/>
                <w:szCs w:val="18"/>
              </w:rPr>
            </w:pPr>
            <w:r w:rsidRPr="00D20272">
              <w:rPr>
                <w:sz w:val="18"/>
                <w:szCs w:val="18"/>
              </w:rPr>
              <w:t>1,680</w:t>
            </w:r>
          </w:p>
        </w:tc>
        <w:tc>
          <w:tcPr>
            <w:tcW w:w="506" w:type="pct"/>
            <w:tcBorders>
              <w:top w:val="nil"/>
              <w:left w:val="nil"/>
              <w:bottom w:val="single" w:sz="4" w:space="0" w:color="auto"/>
              <w:right w:val="single" w:sz="4" w:space="0" w:color="auto"/>
            </w:tcBorders>
            <w:shd w:val="clear" w:color="auto" w:fill="auto"/>
            <w:vAlign w:val="center"/>
            <w:hideMark/>
          </w:tcPr>
          <w:p w14:paraId="375DB45C" w14:textId="77777777" w:rsidR="00D20272" w:rsidRPr="00D20272" w:rsidRDefault="00D20272" w:rsidP="00D20272">
            <w:pPr>
              <w:widowControl/>
              <w:autoSpaceDE/>
              <w:autoSpaceDN/>
              <w:adjustRightInd/>
              <w:jc w:val="center"/>
              <w:rPr>
                <w:sz w:val="18"/>
                <w:szCs w:val="18"/>
              </w:rPr>
            </w:pPr>
            <w:r w:rsidRPr="00D20272">
              <w:rPr>
                <w:sz w:val="18"/>
                <w:szCs w:val="18"/>
              </w:rPr>
              <w:t>84</w:t>
            </w:r>
          </w:p>
        </w:tc>
        <w:tc>
          <w:tcPr>
            <w:tcW w:w="349" w:type="pct"/>
            <w:tcBorders>
              <w:top w:val="nil"/>
              <w:left w:val="nil"/>
              <w:bottom w:val="single" w:sz="4" w:space="0" w:color="auto"/>
              <w:right w:val="single" w:sz="4" w:space="0" w:color="auto"/>
            </w:tcBorders>
            <w:shd w:val="clear" w:color="auto" w:fill="auto"/>
            <w:vAlign w:val="center"/>
            <w:hideMark/>
          </w:tcPr>
          <w:p w14:paraId="20DD09A9" w14:textId="77777777" w:rsidR="00D20272" w:rsidRPr="00D20272" w:rsidRDefault="00D20272" w:rsidP="00D20272">
            <w:pPr>
              <w:widowControl/>
              <w:autoSpaceDE/>
              <w:autoSpaceDN/>
              <w:adjustRightInd/>
              <w:jc w:val="center"/>
              <w:rPr>
                <w:sz w:val="18"/>
                <w:szCs w:val="18"/>
              </w:rPr>
            </w:pPr>
            <w:r w:rsidRPr="00D20272">
              <w:rPr>
                <w:sz w:val="18"/>
                <w:szCs w:val="18"/>
              </w:rPr>
              <w:t>168</w:t>
            </w:r>
          </w:p>
        </w:tc>
        <w:tc>
          <w:tcPr>
            <w:tcW w:w="499" w:type="pct"/>
            <w:tcBorders>
              <w:top w:val="nil"/>
              <w:left w:val="nil"/>
              <w:bottom w:val="single" w:sz="4" w:space="0" w:color="auto"/>
              <w:right w:val="single" w:sz="4" w:space="0" w:color="auto"/>
            </w:tcBorders>
            <w:shd w:val="clear" w:color="auto" w:fill="auto"/>
            <w:vAlign w:val="center"/>
            <w:hideMark/>
          </w:tcPr>
          <w:p w14:paraId="5AC862DF" w14:textId="77777777" w:rsidR="00D20272" w:rsidRPr="00D20272" w:rsidRDefault="00D20272" w:rsidP="00D20272">
            <w:pPr>
              <w:widowControl/>
              <w:autoSpaceDE/>
              <w:autoSpaceDN/>
              <w:adjustRightInd/>
              <w:jc w:val="right"/>
              <w:rPr>
                <w:sz w:val="18"/>
                <w:szCs w:val="18"/>
              </w:rPr>
            </w:pPr>
            <w:r w:rsidRPr="00D20272">
              <w:rPr>
                <w:sz w:val="18"/>
                <w:szCs w:val="18"/>
              </w:rPr>
              <w:t xml:space="preserve">$189,147.84 </w:t>
            </w:r>
          </w:p>
        </w:tc>
      </w:tr>
      <w:tr w:rsidR="00121132" w:rsidRPr="00D20272" w14:paraId="4065DE62"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31EDBE66" w14:textId="77777777" w:rsidR="00D20272" w:rsidRPr="00D20272" w:rsidRDefault="00D20272" w:rsidP="00D20272">
            <w:pPr>
              <w:widowControl/>
              <w:autoSpaceDE/>
              <w:autoSpaceDN/>
              <w:adjustRightInd/>
              <w:rPr>
                <w:b/>
                <w:bCs/>
                <w:sz w:val="18"/>
                <w:szCs w:val="18"/>
              </w:rPr>
            </w:pPr>
            <w:r w:rsidRPr="00D20272">
              <w:rPr>
                <w:b/>
                <w:bCs/>
                <w:sz w:val="18"/>
                <w:szCs w:val="18"/>
              </w:rPr>
              <w:lastRenderedPageBreak/>
              <w:t>Subtotal for Reporting Requirements</w:t>
            </w:r>
          </w:p>
        </w:tc>
        <w:tc>
          <w:tcPr>
            <w:tcW w:w="405" w:type="pct"/>
            <w:tcBorders>
              <w:top w:val="nil"/>
              <w:left w:val="nil"/>
              <w:bottom w:val="single" w:sz="4" w:space="0" w:color="auto"/>
              <w:right w:val="single" w:sz="4" w:space="0" w:color="auto"/>
            </w:tcBorders>
            <w:shd w:val="clear" w:color="auto" w:fill="auto"/>
            <w:vAlign w:val="center"/>
            <w:hideMark/>
          </w:tcPr>
          <w:p w14:paraId="08AE1D35"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1AA33F0A"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03B632B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7FC51070"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1294" w:type="pct"/>
            <w:gridSpan w:val="3"/>
            <w:tcBorders>
              <w:top w:val="single" w:sz="4" w:space="0" w:color="auto"/>
              <w:left w:val="nil"/>
              <w:bottom w:val="single" w:sz="4" w:space="0" w:color="auto"/>
              <w:right w:val="single" w:sz="4" w:space="0" w:color="000000"/>
            </w:tcBorders>
            <w:shd w:val="clear" w:color="auto" w:fill="auto"/>
            <w:vAlign w:val="center"/>
            <w:hideMark/>
          </w:tcPr>
          <w:p w14:paraId="46149717" w14:textId="77777777" w:rsidR="00D20272" w:rsidRPr="00D20272" w:rsidRDefault="00D20272" w:rsidP="00D20272">
            <w:pPr>
              <w:widowControl/>
              <w:autoSpaceDE/>
              <w:autoSpaceDN/>
              <w:adjustRightInd/>
              <w:jc w:val="center"/>
              <w:rPr>
                <w:b/>
                <w:bCs/>
                <w:sz w:val="18"/>
                <w:szCs w:val="18"/>
              </w:rPr>
            </w:pPr>
            <w:r w:rsidRPr="00D20272">
              <w:rPr>
                <w:b/>
                <w:bCs/>
                <w:sz w:val="18"/>
                <w:szCs w:val="18"/>
              </w:rPr>
              <w:t>2,479.4</w:t>
            </w:r>
          </w:p>
        </w:tc>
        <w:tc>
          <w:tcPr>
            <w:tcW w:w="499" w:type="pct"/>
            <w:tcBorders>
              <w:top w:val="nil"/>
              <w:left w:val="nil"/>
              <w:bottom w:val="single" w:sz="4" w:space="0" w:color="auto"/>
              <w:right w:val="single" w:sz="4" w:space="0" w:color="auto"/>
            </w:tcBorders>
            <w:shd w:val="clear" w:color="auto" w:fill="auto"/>
            <w:vAlign w:val="center"/>
            <w:hideMark/>
          </w:tcPr>
          <w:p w14:paraId="1EF537AE" w14:textId="77777777" w:rsidR="00D20272" w:rsidRPr="00D20272" w:rsidRDefault="00D20272" w:rsidP="00D20272">
            <w:pPr>
              <w:widowControl/>
              <w:autoSpaceDE/>
              <w:autoSpaceDN/>
              <w:adjustRightInd/>
              <w:jc w:val="right"/>
              <w:rPr>
                <w:b/>
                <w:bCs/>
                <w:sz w:val="18"/>
                <w:szCs w:val="18"/>
              </w:rPr>
            </w:pPr>
            <w:r w:rsidRPr="00D20272">
              <w:rPr>
                <w:b/>
                <w:bCs/>
                <w:sz w:val="18"/>
                <w:szCs w:val="18"/>
              </w:rPr>
              <w:t>$242,739.73</w:t>
            </w:r>
          </w:p>
        </w:tc>
      </w:tr>
      <w:tr w:rsidR="00D20272" w:rsidRPr="00D20272" w14:paraId="4EA0B588"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1F113D14" w14:textId="77777777" w:rsidR="00D20272" w:rsidRPr="00D20272" w:rsidRDefault="00D20272" w:rsidP="00D20272">
            <w:pPr>
              <w:widowControl/>
              <w:autoSpaceDE/>
              <w:autoSpaceDN/>
              <w:adjustRightInd/>
              <w:rPr>
                <w:sz w:val="18"/>
                <w:szCs w:val="18"/>
              </w:rPr>
            </w:pPr>
            <w:r w:rsidRPr="00D20272">
              <w:rPr>
                <w:sz w:val="18"/>
                <w:szCs w:val="18"/>
              </w:rPr>
              <w:t>4.  Recordkeeping requirements</w:t>
            </w:r>
          </w:p>
        </w:tc>
        <w:tc>
          <w:tcPr>
            <w:tcW w:w="405" w:type="pct"/>
            <w:tcBorders>
              <w:top w:val="nil"/>
              <w:left w:val="nil"/>
              <w:bottom w:val="single" w:sz="4" w:space="0" w:color="auto"/>
              <w:right w:val="single" w:sz="4" w:space="0" w:color="auto"/>
            </w:tcBorders>
            <w:shd w:val="clear" w:color="auto" w:fill="auto"/>
            <w:vAlign w:val="center"/>
            <w:hideMark/>
          </w:tcPr>
          <w:p w14:paraId="7360FC2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6AB781B2"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1CF775CA"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5C6E7DFA"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15E3D77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60CE6698"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6942B80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3F9B949A"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683A375D"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0660F73B"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 xml:space="preserve">A. Read instructions </w:t>
            </w:r>
          </w:p>
        </w:tc>
        <w:tc>
          <w:tcPr>
            <w:tcW w:w="405" w:type="pct"/>
            <w:tcBorders>
              <w:top w:val="nil"/>
              <w:left w:val="nil"/>
              <w:bottom w:val="single" w:sz="4" w:space="0" w:color="auto"/>
              <w:right w:val="single" w:sz="4" w:space="0" w:color="auto"/>
            </w:tcBorders>
            <w:shd w:val="clear" w:color="auto" w:fill="auto"/>
            <w:vAlign w:val="center"/>
            <w:hideMark/>
          </w:tcPr>
          <w:p w14:paraId="50F93739" w14:textId="77777777" w:rsidR="00D20272" w:rsidRPr="00D20272" w:rsidRDefault="00D20272" w:rsidP="00D20272">
            <w:pPr>
              <w:widowControl/>
              <w:autoSpaceDE/>
              <w:autoSpaceDN/>
              <w:adjustRightInd/>
              <w:jc w:val="center"/>
              <w:rPr>
                <w:sz w:val="18"/>
                <w:szCs w:val="18"/>
              </w:rPr>
            </w:pPr>
            <w:r w:rsidRPr="00D20272">
              <w:rPr>
                <w:sz w:val="18"/>
                <w:szCs w:val="18"/>
              </w:rPr>
              <w:t>See 4E</w:t>
            </w:r>
          </w:p>
        </w:tc>
        <w:tc>
          <w:tcPr>
            <w:tcW w:w="437" w:type="pct"/>
            <w:tcBorders>
              <w:top w:val="nil"/>
              <w:left w:val="nil"/>
              <w:bottom w:val="single" w:sz="4" w:space="0" w:color="auto"/>
              <w:right w:val="single" w:sz="4" w:space="0" w:color="auto"/>
            </w:tcBorders>
            <w:shd w:val="clear" w:color="auto" w:fill="auto"/>
            <w:vAlign w:val="center"/>
            <w:hideMark/>
          </w:tcPr>
          <w:p w14:paraId="03C866AB"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3A17633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2E473969"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7D723C98"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228B900D"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5F220DE0"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387B2B55"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292AA171"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1C6AE2AC"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B. Plan activities</w:t>
            </w:r>
          </w:p>
        </w:tc>
        <w:tc>
          <w:tcPr>
            <w:tcW w:w="405" w:type="pct"/>
            <w:tcBorders>
              <w:top w:val="nil"/>
              <w:left w:val="nil"/>
              <w:bottom w:val="single" w:sz="4" w:space="0" w:color="auto"/>
              <w:right w:val="single" w:sz="4" w:space="0" w:color="auto"/>
            </w:tcBorders>
            <w:shd w:val="clear" w:color="auto" w:fill="auto"/>
            <w:vAlign w:val="center"/>
            <w:hideMark/>
          </w:tcPr>
          <w:p w14:paraId="4B86ABF0" w14:textId="77777777" w:rsidR="00D20272" w:rsidRPr="00D20272" w:rsidRDefault="00D20272" w:rsidP="00D20272">
            <w:pPr>
              <w:widowControl/>
              <w:autoSpaceDE/>
              <w:autoSpaceDN/>
              <w:adjustRightInd/>
              <w:jc w:val="center"/>
              <w:rPr>
                <w:sz w:val="18"/>
                <w:szCs w:val="18"/>
              </w:rPr>
            </w:pPr>
            <w:r w:rsidRPr="00D20272">
              <w:rPr>
                <w:sz w:val="18"/>
                <w:szCs w:val="18"/>
              </w:rPr>
              <w:t>See 4E</w:t>
            </w:r>
          </w:p>
        </w:tc>
        <w:tc>
          <w:tcPr>
            <w:tcW w:w="437" w:type="pct"/>
            <w:tcBorders>
              <w:top w:val="nil"/>
              <w:left w:val="nil"/>
              <w:bottom w:val="single" w:sz="4" w:space="0" w:color="auto"/>
              <w:right w:val="single" w:sz="4" w:space="0" w:color="auto"/>
            </w:tcBorders>
            <w:shd w:val="clear" w:color="auto" w:fill="auto"/>
            <w:vAlign w:val="center"/>
            <w:hideMark/>
          </w:tcPr>
          <w:p w14:paraId="087EECA9"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0849B40A"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0E8C904B"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41884A9D"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24A339C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24ED8CB2"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483B61FA"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32874693"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63803BEC"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C. Implement activities</w:t>
            </w:r>
          </w:p>
        </w:tc>
        <w:tc>
          <w:tcPr>
            <w:tcW w:w="405" w:type="pct"/>
            <w:tcBorders>
              <w:top w:val="nil"/>
              <w:left w:val="nil"/>
              <w:bottom w:val="single" w:sz="4" w:space="0" w:color="auto"/>
              <w:right w:val="single" w:sz="4" w:space="0" w:color="auto"/>
            </w:tcBorders>
            <w:shd w:val="clear" w:color="auto" w:fill="auto"/>
            <w:vAlign w:val="center"/>
            <w:hideMark/>
          </w:tcPr>
          <w:p w14:paraId="4987BEB3" w14:textId="77777777" w:rsidR="00D20272" w:rsidRPr="00D20272" w:rsidRDefault="00D20272" w:rsidP="00D20272">
            <w:pPr>
              <w:widowControl/>
              <w:autoSpaceDE/>
              <w:autoSpaceDN/>
              <w:adjustRightInd/>
              <w:jc w:val="center"/>
              <w:rPr>
                <w:sz w:val="18"/>
                <w:szCs w:val="18"/>
              </w:rPr>
            </w:pPr>
            <w:r w:rsidRPr="00D20272">
              <w:rPr>
                <w:sz w:val="18"/>
                <w:szCs w:val="18"/>
              </w:rPr>
              <w:t>See 4E</w:t>
            </w:r>
          </w:p>
        </w:tc>
        <w:tc>
          <w:tcPr>
            <w:tcW w:w="437" w:type="pct"/>
            <w:tcBorders>
              <w:top w:val="nil"/>
              <w:left w:val="nil"/>
              <w:bottom w:val="single" w:sz="4" w:space="0" w:color="auto"/>
              <w:right w:val="single" w:sz="4" w:space="0" w:color="auto"/>
            </w:tcBorders>
            <w:shd w:val="clear" w:color="auto" w:fill="auto"/>
            <w:vAlign w:val="center"/>
            <w:hideMark/>
          </w:tcPr>
          <w:p w14:paraId="77ABBD6E"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128F0E17"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151C35D7"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764A3665"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1815B0DD"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132EBE9E"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03536CF3"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55FFE05B"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0AAB33E6"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 xml:space="preserve">D. Develop record system  </w:t>
            </w:r>
          </w:p>
        </w:tc>
        <w:tc>
          <w:tcPr>
            <w:tcW w:w="405" w:type="pct"/>
            <w:tcBorders>
              <w:top w:val="nil"/>
              <w:left w:val="nil"/>
              <w:bottom w:val="single" w:sz="4" w:space="0" w:color="auto"/>
              <w:right w:val="single" w:sz="4" w:space="0" w:color="auto"/>
            </w:tcBorders>
            <w:shd w:val="clear" w:color="auto" w:fill="auto"/>
            <w:vAlign w:val="center"/>
            <w:hideMark/>
          </w:tcPr>
          <w:p w14:paraId="64F2B566" w14:textId="77777777" w:rsidR="00D20272" w:rsidRPr="00D20272" w:rsidRDefault="00D20272" w:rsidP="00D20272">
            <w:pPr>
              <w:widowControl/>
              <w:autoSpaceDE/>
              <w:autoSpaceDN/>
              <w:adjustRightInd/>
              <w:jc w:val="center"/>
              <w:rPr>
                <w:sz w:val="18"/>
                <w:szCs w:val="18"/>
              </w:rPr>
            </w:pPr>
            <w:r w:rsidRPr="00D20272">
              <w:rPr>
                <w:sz w:val="18"/>
                <w:szCs w:val="18"/>
              </w:rPr>
              <w:t>40</w:t>
            </w:r>
          </w:p>
        </w:tc>
        <w:tc>
          <w:tcPr>
            <w:tcW w:w="437" w:type="pct"/>
            <w:tcBorders>
              <w:top w:val="nil"/>
              <w:left w:val="nil"/>
              <w:bottom w:val="single" w:sz="4" w:space="0" w:color="auto"/>
              <w:right w:val="single" w:sz="4" w:space="0" w:color="auto"/>
            </w:tcBorders>
            <w:shd w:val="clear" w:color="auto" w:fill="auto"/>
            <w:vAlign w:val="center"/>
            <w:hideMark/>
          </w:tcPr>
          <w:p w14:paraId="4E2608C2"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242ADA3D" w14:textId="77777777" w:rsidR="00D20272" w:rsidRPr="00D20272" w:rsidRDefault="00D20272" w:rsidP="00D20272">
            <w:pPr>
              <w:widowControl/>
              <w:autoSpaceDE/>
              <w:autoSpaceDN/>
              <w:adjustRightInd/>
              <w:jc w:val="center"/>
              <w:rPr>
                <w:sz w:val="18"/>
                <w:szCs w:val="18"/>
              </w:rPr>
            </w:pPr>
            <w:r w:rsidRPr="00D20272">
              <w:rPr>
                <w:sz w:val="18"/>
                <w:szCs w:val="18"/>
              </w:rPr>
              <w:t>40</w:t>
            </w:r>
          </w:p>
        </w:tc>
        <w:tc>
          <w:tcPr>
            <w:tcW w:w="437" w:type="pct"/>
            <w:tcBorders>
              <w:top w:val="nil"/>
              <w:left w:val="nil"/>
              <w:bottom w:val="single" w:sz="4" w:space="0" w:color="auto"/>
              <w:right w:val="single" w:sz="4" w:space="0" w:color="auto"/>
            </w:tcBorders>
            <w:shd w:val="clear" w:color="auto" w:fill="auto"/>
            <w:vAlign w:val="center"/>
            <w:hideMark/>
          </w:tcPr>
          <w:p w14:paraId="1B030EE2"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5F5EBAD5" w14:textId="77777777" w:rsidR="00D20272" w:rsidRPr="00D20272" w:rsidRDefault="00D20272" w:rsidP="00D20272">
            <w:pPr>
              <w:widowControl/>
              <w:autoSpaceDE/>
              <w:autoSpaceDN/>
              <w:adjustRightInd/>
              <w:jc w:val="center"/>
              <w:rPr>
                <w:sz w:val="18"/>
                <w:szCs w:val="18"/>
              </w:rPr>
            </w:pPr>
            <w:r w:rsidRPr="00D20272">
              <w:rPr>
                <w:sz w:val="18"/>
                <w:szCs w:val="18"/>
              </w:rPr>
              <w:t>40</w:t>
            </w:r>
          </w:p>
        </w:tc>
        <w:tc>
          <w:tcPr>
            <w:tcW w:w="506" w:type="pct"/>
            <w:tcBorders>
              <w:top w:val="nil"/>
              <w:left w:val="nil"/>
              <w:bottom w:val="single" w:sz="4" w:space="0" w:color="auto"/>
              <w:right w:val="single" w:sz="4" w:space="0" w:color="auto"/>
            </w:tcBorders>
            <w:shd w:val="clear" w:color="auto" w:fill="auto"/>
            <w:vAlign w:val="center"/>
            <w:hideMark/>
          </w:tcPr>
          <w:p w14:paraId="50326933"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349" w:type="pct"/>
            <w:tcBorders>
              <w:top w:val="nil"/>
              <w:left w:val="nil"/>
              <w:bottom w:val="single" w:sz="4" w:space="0" w:color="auto"/>
              <w:right w:val="single" w:sz="4" w:space="0" w:color="auto"/>
            </w:tcBorders>
            <w:shd w:val="clear" w:color="auto" w:fill="auto"/>
            <w:vAlign w:val="center"/>
            <w:hideMark/>
          </w:tcPr>
          <w:p w14:paraId="38FAB1FA" w14:textId="77777777" w:rsidR="00D20272" w:rsidRPr="00D20272" w:rsidRDefault="00D20272" w:rsidP="00D20272">
            <w:pPr>
              <w:widowControl/>
              <w:autoSpaceDE/>
              <w:autoSpaceDN/>
              <w:adjustRightInd/>
              <w:jc w:val="center"/>
              <w:rPr>
                <w:sz w:val="18"/>
                <w:szCs w:val="18"/>
              </w:rPr>
            </w:pPr>
            <w:r w:rsidRPr="00D20272">
              <w:rPr>
                <w:sz w:val="18"/>
                <w:szCs w:val="18"/>
              </w:rPr>
              <w:t>4</w:t>
            </w:r>
          </w:p>
        </w:tc>
        <w:tc>
          <w:tcPr>
            <w:tcW w:w="499" w:type="pct"/>
            <w:tcBorders>
              <w:top w:val="nil"/>
              <w:left w:val="nil"/>
              <w:bottom w:val="single" w:sz="4" w:space="0" w:color="auto"/>
              <w:right w:val="single" w:sz="4" w:space="0" w:color="auto"/>
            </w:tcBorders>
            <w:shd w:val="clear" w:color="auto" w:fill="auto"/>
            <w:vAlign w:val="center"/>
            <w:hideMark/>
          </w:tcPr>
          <w:p w14:paraId="048AA59B" w14:textId="77777777" w:rsidR="00D20272" w:rsidRPr="00D20272" w:rsidRDefault="00D20272" w:rsidP="00D20272">
            <w:pPr>
              <w:widowControl/>
              <w:autoSpaceDE/>
              <w:autoSpaceDN/>
              <w:adjustRightInd/>
              <w:jc w:val="right"/>
              <w:rPr>
                <w:sz w:val="18"/>
                <w:szCs w:val="18"/>
              </w:rPr>
            </w:pPr>
            <w:r w:rsidRPr="00D20272">
              <w:rPr>
                <w:sz w:val="18"/>
                <w:szCs w:val="18"/>
              </w:rPr>
              <w:t xml:space="preserve">$4,503.52 </w:t>
            </w:r>
          </w:p>
        </w:tc>
      </w:tr>
      <w:tr w:rsidR="00D20272" w:rsidRPr="00D20272" w14:paraId="2BB18390" w14:textId="77777777" w:rsidTr="00121132">
        <w:trPr>
          <w:trHeight w:val="576"/>
          <w:jc w:val="center"/>
        </w:trPr>
        <w:tc>
          <w:tcPr>
            <w:tcW w:w="1494" w:type="pct"/>
            <w:tcBorders>
              <w:top w:val="nil"/>
              <w:left w:val="single" w:sz="4" w:space="0" w:color="auto"/>
              <w:bottom w:val="single" w:sz="4" w:space="0" w:color="auto"/>
              <w:right w:val="single" w:sz="4" w:space="0" w:color="auto"/>
            </w:tcBorders>
            <w:shd w:val="clear" w:color="auto" w:fill="auto"/>
            <w:hideMark/>
          </w:tcPr>
          <w:p w14:paraId="544EF3FA" w14:textId="77777777" w:rsidR="00D20272" w:rsidRPr="00D20272" w:rsidRDefault="00D20272" w:rsidP="008C72C1">
            <w:pPr>
              <w:widowControl/>
              <w:autoSpaceDE/>
              <w:autoSpaceDN/>
              <w:adjustRightInd/>
              <w:ind w:firstLineChars="100" w:firstLine="180"/>
              <w:rPr>
                <w:sz w:val="18"/>
                <w:szCs w:val="18"/>
              </w:rPr>
            </w:pPr>
            <w:r w:rsidRPr="00D20272">
              <w:rPr>
                <w:sz w:val="18"/>
                <w:szCs w:val="18"/>
              </w:rPr>
              <w:t>E. Develop startup, shutdown, and malfunction plans</w:t>
            </w:r>
            <w:r w:rsidRPr="00D20272">
              <w:rPr>
                <w:sz w:val="18"/>
                <w:szCs w:val="18"/>
                <w:vertAlign w:val="superscript"/>
              </w:rPr>
              <w:t xml:space="preserve"> c, </w:t>
            </w:r>
            <w:r w:rsidR="008C72C1">
              <w:rPr>
                <w:sz w:val="18"/>
                <w:szCs w:val="18"/>
                <w:vertAlign w:val="superscript"/>
              </w:rPr>
              <w:t>e</w:t>
            </w:r>
          </w:p>
        </w:tc>
        <w:tc>
          <w:tcPr>
            <w:tcW w:w="405" w:type="pct"/>
            <w:tcBorders>
              <w:top w:val="nil"/>
              <w:left w:val="nil"/>
              <w:bottom w:val="single" w:sz="4" w:space="0" w:color="auto"/>
              <w:right w:val="single" w:sz="4" w:space="0" w:color="auto"/>
            </w:tcBorders>
            <w:shd w:val="clear" w:color="auto" w:fill="auto"/>
            <w:vAlign w:val="center"/>
            <w:hideMark/>
          </w:tcPr>
          <w:p w14:paraId="73F28D64" w14:textId="77777777" w:rsidR="00D20272" w:rsidRPr="00D20272" w:rsidRDefault="00D20272" w:rsidP="00D20272">
            <w:pPr>
              <w:widowControl/>
              <w:autoSpaceDE/>
              <w:autoSpaceDN/>
              <w:adjustRightInd/>
              <w:jc w:val="center"/>
              <w:rPr>
                <w:sz w:val="18"/>
                <w:szCs w:val="18"/>
              </w:rPr>
            </w:pPr>
            <w:r w:rsidRPr="00D20272">
              <w:rPr>
                <w:sz w:val="18"/>
                <w:szCs w:val="18"/>
              </w:rPr>
              <w:t>100</w:t>
            </w:r>
          </w:p>
        </w:tc>
        <w:tc>
          <w:tcPr>
            <w:tcW w:w="437" w:type="pct"/>
            <w:tcBorders>
              <w:top w:val="nil"/>
              <w:left w:val="nil"/>
              <w:bottom w:val="single" w:sz="4" w:space="0" w:color="auto"/>
              <w:right w:val="single" w:sz="4" w:space="0" w:color="auto"/>
            </w:tcBorders>
            <w:shd w:val="clear" w:color="auto" w:fill="auto"/>
            <w:vAlign w:val="center"/>
            <w:hideMark/>
          </w:tcPr>
          <w:p w14:paraId="3B2731C9"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69ADBA9E" w14:textId="77777777" w:rsidR="00D20272" w:rsidRPr="00D20272" w:rsidRDefault="00D20272" w:rsidP="00D20272">
            <w:pPr>
              <w:widowControl/>
              <w:autoSpaceDE/>
              <w:autoSpaceDN/>
              <w:adjustRightInd/>
              <w:jc w:val="center"/>
              <w:rPr>
                <w:sz w:val="18"/>
                <w:szCs w:val="18"/>
              </w:rPr>
            </w:pPr>
            <w:r w:rsidRPr="00D20272">
              <w:rPr>
                <w:sz w:val="18"/>
                <w:szCs w:val="18"/>
              </w:rPr>
              <w:t>100</w:t>
            </w:r>
          </w:p>
        </w:tc>
        <w:tc>
          <w:tcPr>
            <w:tcW w:w="437" w:type="pct"/>
            <w:tcBorders>
              <w:top w:val="nil"/>
              <w:left w:val="nil"/>
              <w:bottom w:val="single" w:sz="4" w:space="0" w:color="auto"/>
              <w:right w:val="single" w:sz="4" w:space="0" w:color="auto"/>
            </w:tcBorders>
            <w:shd w:val="clear" w:color="auto" w:fill="auto"/>
            <w:vAlign w:val="center"/>
            <w:hideMark/>
          </w:tcPr>
          <w:p w14:paraId="48DD2DFE"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683A4702" w14:textId="77777777" w:rsidR="00D20272" w:rsidRPr="00D20272" w:rsidRDefault="00D20272" w:rsidP="00D20272">
            <w:pPr>
              <w:widowControl/>
              <w:autoSpaceDE/>
              <w:autoSpaceDN/>
              <w:adjustRightInd/>
              <w:jc w:val="center"/>
              <w:rPr>
                <w:sz w:val="18"/>
                <w:szCs w:val="18"/>
              </w:rPr>
            </w:pPr>
            <w:r w:rsidRPr="00D20272">
              <w:rPr>
                <w:sz w:val="18"/>
                <w:szCs w:val="18"/>
              </w:rPr>
              <w:t>100</w:t>
            </w:r>
          </w:p>
        </w:tc>
        <w:tc>
          <w:tcPr>
            <w:tcW w:w="506" w:type="pct"/>
            <w:tcBorders>
              <w:top w:val="nil"/>
              <w:left w:val="nil"/>
              <w:bottom w:val="single" w:sz="4" w:space="0" w:color="auto"/>
              <w:right w:val="single" w:sz="4" w:space="0" w:color="auto"/>
            </w:tcBorders>
            <w:shd w:val="clear" w:color="auto" w:fill="auto"/>
            <w:vAlign w:val="center"/>
            <w:hideMark/>
          </w:tcPr>
          <w:p w14:paraId="1EC2FA7C" w14:textId="77777777" w:rsidR="00D20272" w:rsidRPr="00D20272" w:rsidRDefault="00D20272" w:rsidP="00D20272">
            <w:pPr>
              <w:widowControl/>
              <w:autoSpaceDE/>
              <w:autoSpaceDN/>
              <w:adjustRightInd/>
              <w:jc w:val="center"/>
              <w:rPr>
                <w:sz w:val="18"/>
                <w:szCs w:val="18"/>
              </w:rPr>
            </w:pPr>
            <w:r w:rsidRPr="00D20272">
              <w:rPr>
                <w:sz w:val="18"/>
                <w:szCs w:val="18"/>
              </w:rPr>
              <w:t>5</w:t>
            </w:r>
          </w:p>
        </w:tc>
        <w:tc>
          <w:tcPr>
            <w:tcW w:w="349" w:type="pct"/>
            <w:tcBorders>
              <w:top w:val="nil"/>
              <w:left w:val="nil"/>
              <w:bottom w:val="single" w:sz="4" w:space="0" w:color="auto"/>
              <w:right w:val="single" w:sz="4" w:space="0" w:color="auto"/>
            </w:tcBorders>
            <w:shd w:val="clear" w:color="auto" w:fill="auto"/>
            <w:vAlign w:val="center"/>
            <w:hideMark/>
          </w:tcPr>
          <w:p w14:paraId="391029F5" w14:textId="77777777" w:rsidR="00D20272" w:rsidRPr="00D20272" w:rsidRDefault="00D20272" w:rsidP="00D20272">
            <w:pPr>
              <w:widowControl/>
              <w:autoSpaceDE/>
              <w:autoSpaceDN/>
              <w:adjustRightInd/>
              <w:jc w:val="center"/>
              <w:rPr>
                <w:sz w:val="18"/>
                <w:szCs w:val="18"/>
              </w:rPr>
            </w:pPr>
            <w:r w:rsidRPr="00D20272">
              <w:rPr>
                <w:sz w:val="18"/>
                <w:szCs w:val="18"/>
              </w:rPr>
              <w:t>10</w:t>
            </w:r>
          </w:p>
        </w:tc>
        <w:tc>
          <w:tcPr>
            <w:tcW w:w="499" w:type="pct"/>
            <w:tcBorders>
              <w:top w:val="nil"/>
              <w:left w:val="nil"/>
              <w:bottom w:val="single" w:sz="4" w:space="0" w:color="auto"/>
              <w:right w:val="single" w:sz="4" w:space="0" w:color="auto"/>
            </w:tcBorders>
            <w:shd w:val="clear" w:color="auto" w:fill="auto"/>
            <w:vAlign w:val="center"/>
            <w:hideMark/>
          </w:tcPr>
          <w:p w14:paraId="3C267DB6" w14:textId="77777777" w:rsidR="00D20272" w:rsidRPr="00D20272" w:rsidRDefault="00D20272" w:rsidP="00D20272">
            <w:pPr>
              <w:widowControl/>
              <w:autoSpaceDE/>
              <w:autoSpaceDN/>
              <w:adjustRightInd/>
              <w:jc w:val="right"/>
              <w:rPr>
                <w:sz w:val="18"/>
                <w:szCs w:val="18"/>
              </w:rPr>
            </w:pPr>
            <w:r w:rsidRPr="00D20272">
              <w:rPr>
                <w:sz w:val="18"/>
                <w:szCs w:val="18"/>
              </w:rPr>
              <w:t xml:space="preserve">$11,258.80 </w:t>
            </w:r>
          </w:p>
        </w:tc>
      </w:tr>
      <w:tr w:rsidR="00D20272" w:rsidRPr="00D20272" w14:paraId="254A808E"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5410F9FC"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F. Time to enter information</w:t>
            </w:r>
          </w:p>
        </w:tc>
        <w:tc>
          <w:tcPr>
            <w:tcW w:w="405" w:type="pct"/>
            <w:tcBorders>
              <w:top w:val="nil"/>
              <w:left w:val="nil"/>
              <w:bottom w:val="single" w:sz="4" w:space="0" w:color="auto"/>
              <w:right w:val="single" w:sz="4" w:space="0" w:color="auto"/>
            </w:tcBorders>
            <w:shd w:val="clear" w:color="auto" w:fill="auto"/>
            <w:vAlign w:val="center"/>
            <w:hideMark/>
          </w:tcPr>
          <w:p w14:paraId="2A532E1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541CC1C9"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6E431F26"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200EDA8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74E36D33"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53E121C8"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7ED9D0FE"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05338A3A"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204BDDF9" w14:textId="77777777" w:rsidTr="00121132">
        <w:trPr>
          <w:trHeight w:val="576"/>
          <w:jc w:val="center"/>
        </w:trPr>
        <w:tc>
          <w:tcPr>
            <w:tcW w:w="1494" w:type="pct"/>
            <w:tcBorders>
              <w:top w:val="nil"/>
              <w:left w:val="single" w:sz="4" w:space="0" w:color="auto"/>
              <w:bottom w:val="single" w:sz="4" w:space="0" w:color="auto"/>
              <w:right w:val="single" w:sz="4" w:space="0" w:color="auto"/>
            </w:tcBorders>
            <w:shd w:val="clear" w:color="auto" w:fill="auto"/>
            <w:hideMark/>
          </w:tcPr>
          <w:p w14:paraId="363284E1" w14:textId="77777777" w:rsidR="00D20272" w:rsidRPr="00D20272" w:rsidRDefault="00D20272" w:rsidP="008C72C1">
            <w:pPr>
              <w:widowControl/>
              <w:autoSpaceDE/>
              <w:autoSpaceDN/>
              <w:adjustRightInd/>
              <w:ind w:firstLineChars="200" w:firstLine="360"/>
              <w:rPr>
                <w:sz w:val="18"/>
                <w:szCs w:val="18"/>
              </w:rPr>
            </w:pPr>
            <w:r w:rsidRPr="00D20272">
              <w:rPr>
                <w:sz w:val="18"/>
                <w:szCs w:val="18"/>
              </w:rPr>
              <w:t xml:space="preserve">Records and documentation of supporting calculations for compliance determinations </w:t>
            </w:r>
            <w:r w:rsidRPr="00D20272">
              <w:rPr>
                <w:sz w:val="18"/>
                <w:szCs w:val="18"/>
                <w:vertAlign w:val="superscript"/>
              </w:rPr>
              <w:t xml:space="preserve">c, </w:t>
            </w:r>
            <w:r w:rsidR="008C72C1">
              <w:rPr>
                <w:sz w:val="18"/>
                <w:szCs w:val="18"/>
                <w:vertAlign w:val="superscript"/>
              </w:rPr>
              <w:t>f</w:t>
            </w:r>
          </w:p>
        </w:tc>
        <w:tc>
          <w:tcPr>
            <w:tcW w:w="405" w:type="pct"/>
            <w:tcBorders>
              <w:top w:val="nil"/>
              <w:left w:val="nil"/>
              <w:bottom w:val="single" w:sz="4" w:space="0" w:color="auto"/>
              <w:right w:val="single" w:sz="4" w:space="0" w:color="auto"/>
            </w:tcBorders>
            <w:shd w:val="clear" w:color="auto" w:fill="auto"/>
            <w:vAlign w:val="center"/>
            <w:hideMark/>
          </w:tcPr>
          <w:p w14:paraId="4B20758B" w14:textId="77777777" w:rsidR="00D20272" w:rsidRPr="00D20272" w:rsidRDefault="00D20272" w:rsidP="00D20272">
            <w:pPr>
              <w:widowControl/>
              <w:autoSpaceDE/>
              <w:autoSpaceDN/>
              <w:adjustRightInd/>
              <w:jc w:val="center"/>
              <w:rPr>
                <w:sz w:val="18"/>
                <w:szCs w:val="18"/>
              </w:rPr>
            </w:pPr>
            <w:r w:rsidRPr="00D20272">
              <w:rPr>
                <w:sz w:val="18"/>
                <w:szCs w:val="18"/>
              </w:rPr>
              <w:t>8</w:t>
            </w:r>
          </w:p>
        </w:tc>
        <w:tc>
          <w:tcPr>
            <w:tcW w:w="437" w:type="pct"/>
            <w:tcBorders>
              <w:top w:val="nil"/>
              <w:left w:val="nil"/>
              <w:bottom w:val="single" w:sz="4" w:space="0" w:color="auto"/>
              <w:right w:val="single" w:sz="4" w:space="0" w:color="auto"/>
            </w:tcBorders>
            <w:shd w:val="clear" w:color="auto" w:fill="auto"/>
            <w:vAlign w:val="center"/>
            <w:hideMark/>
          </w:tcPr>
          <w:p w14:paraId="374A2C1D"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338B2D7A" w14:textId="77777777" w:rsidR="00D20272" w:rsidRPr="00D20272" w:rsidRDefault="00D20272" w:rsidP="00D20272">
            <w:pPr>
              <w:widowControl/>
              <w:autoSpaceDE/>
              <w:autoSpaceDN/>
              <w:adjustRightInd/>
              <w:jc w:val="center"/>
              <w:rPr>
                <w:sz w:val="18"/>
                <w:szCs w:val="18"/>
              </w:rPr>
            </w:pPr>
            <w:r w:rsidRPr="00D20272">
              <w:rPr>
                <w:sz w:val="18"/>
                <w:szCs w:val="18"/>
              </w:rPr>
              <w:t>8</w:t>
            </w:r>
          </w:p>
        </w:tc>
        <w:tc>
          <w:tcPr>
            <w:tcW w:w="437" w:type="pct"/>
            <w:tcBorders>
              <w:top w:val="nil"/>
              <w:left w:val="nil"/>
              <w:bottom w:val="single" w:sz="4" w:space="0" w:color="auto"/>
              <w:right w:val="single" w:sz="4" w:space="0" w:color="auto"/>
            </w:tcBorders>
            <w:shd w:val="clear" w:color="auto" w:fill="auto"/>
            <w:vAlign w:val="center"/>
            <w:hideMark/>
          </w:tcPr>
          <w:p w14:paraId="7D5C6C18"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5DABDF8F" w14:textId="77777777" w:rsidR="00D20272" w:rsidRPr="00D20272" w:rsidRDefault="00D20272" w:rsidP="00D20272">
            <w:pPr>
              <w:widowControl/>
              <w:autoSpaceDE/>
              <w:autoSpaceDN/>
              <w:adjustRightInd/>
              <w:jc w:val="center"/>
              <w:rPr>
                <w:sz w:val="18"/>
                <w:szCs w:val="18"/>
              </w:rPr>
            </w:pPr>
            <w:r w:rsidRPr="00D20272">
              <w:rPr>
                <w:sz w:val="18"/>
                <w:szCs w:val="18"/>
              </w:rPr>
              <w:t>8</w:t>
            </w:r>
          </w:p>
        </w:tc>
        <w:tc>
          <w:tcPr>
            <w:tcW w:w="506" w:type="pct"/>
            <w:tcBorders>
              <w:top w:val="nil"/>
              <w:left w:val="nil"/>
              <w:bottom w:val="single" w:sz="4" w:space="0" w:color="auto"/>
              <w:right w:val="single" w:sz="4" w:space="0" w:color="auto"/>
            </w:tcBorders>
            <w:shd w:val="clear" w:color="auto" w:fill="auto"/>
            <w:vAlign w:val="center"/>
            <w:hideMark/>
          </w:tcPr>
          <w:p w14:paraId="25AC611E" w14:textId="77777777" w:rsidR="00D20272" w:rsidRPr="00D20272" w:rsidRDefault="00D20272" w:rsidP="00D20272">
            <w:pPr>
              <w:widowControl/>
              <w:autoSpaceDE/>
              <w:autoSpaceDN/>
              <w:adjustRightInd/>
              <w:jc w:val="center"/>
              <w:rPr>
                <w:sz w:val="18"/>
                <w:szCs w:val="18"/>
              </w:rPr>
            </w:pPr>
            <w:r w:rsidRPr="00D20272">
              <w:rPr>
                <w:sz w:val="18"/>
                <w:szCs w:val="18"/>
              </w:rPr>
              <w:t>0.4</w:t>
            </w:r>
          </w:p>
        </w:tc>
        <w:tc>
          <w:tcPr>
            <w:tcW w:w="349" w:type="pct"/>
            <w:tcBorders>
              <w:top w:val="nil"/>
              <w:left w:val="nil"/>
              <w:bottom w:val="single" w:sz="4" w:space="0" w:color="auto"/>
              <w:right w:val="single" w:sz="4" w:space="0" w:color="auto"/>
            </w:tcBorders>
            <w:shd w:val="clear" w:color="auto" w:fill="auto"/>
            <w:vAlign w:val="center"/>
            <w:hideMark/>
          </w:tcPr>
          <w:p w14:paraId="61169284" w14:textId="77777777" w:rsidR="00D20272" w:rsidRPr="00D20272" w:rsidRDefault="00D20272" w:rsidP="00D20272">
            <w:pPr>
              <w:widowControl/>
              <w:autoSpaceDE/>
              <w:autoSpaceDN/>
              <w:adjustRightInd/>
              <w:jc w:val="center"/>
              <w:rPr>
                <w:sz w:val="18"/>
                <w:szCs w:val="18"/>
              </w:rPr>
            </w:pPr>
            <w:r w:rsidRPr="00D20272">
              <w:rPr>
                <w:sz w:val="18"/>
                <w:szCs w:val="18"/>
              </w:rPr>
              <w:t>0.8</w:t>
            </w:r>
          </w:p>
        </w:tc>
        <w:tc>
          <w:tcPr>
            <w:tcW w:w="499" w:type="pct"/>
            <w:tcBorders>
              <w:top w:val="nil"/>
              <w:left w:val="nil"/>
              <w:bottom w:val="single" w:sz="4" w:space="0" w:color="auto"/>
              <w:right w:val="single" w:sz="4" w:space="0" w:color="auto"/>
            </w:tcBorders>
            <w:shd w:val="clear" w:color="auto" w:fill="auto"/>
            <w:vAlign w:val="center"/>
            <w:hideMark/>
          </w:tcPr>
          <w:p w14:paraId="39FFAAE5" w14:textId="77777777" w:rsidR="00D20272" w:rsidRPr="00D20272" w:rsidRDefault="00D20272" w:rsidP="00D20272">
            <w:pPr>
              <w:widowControl/>
              <w:autoSpaceDE/>
              <w:autoSpaceDN/>
              <w:adjustRightInd/>
              <w:jc w:val="right"/>
              <w:rPr>
                <w:sz w:val="18"/>
                <w:szCs w:val="18"/>
              </w:rPr>
            </w:pPr>
            <w:r w:rsidRPr="00D20272">
              <w:rPr>
                <w:sz w:val="18"/>
                <w:szCs w:val="18"/>
              </w:rPr>
              <w:t xml:space="preserve">$900.70 </w:t>
            </w:r>
          </w:p>
        </w:tc>
      </w:tr>
      <w:tr w:rsidR="00D20272" w:rsidRPr="00D20272" w14:paraId="6C01BEB2" w14:textId="77777777" w:rsidTr="00121132">
        <w:trPr>
          <w:trHeight w:val="458"/>
          <w:jc w:val="center"/>
        </w:trPr>
        <w:tc>
          <w:tcPr>
            <w:tcW w:w="1494" w:type="pct"/>
            <w:tcBorders>
              <w:top w:val="nil"/>
              <w:left w:val="single" w:sz="4" w:space="0" w:color="auto"/>
              <w:bottom w:val="single" w:sz="4" w:space="0" w:color="auto"/>
              <w:right w:val="single" w:sz="4" w:space="0" w:color="auto"/>
            </w:tcBorders>
            <w:shd w:val="clear" w:color="auto" w:fill="auto"/>
            <w:hideMark/>
          </w:tcPr>
          <w:p w14:paraId="198F5793"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Record of compliant monitoring parameter ranges </w:t>
            </w:r>
            <w:r w:rsidRPr="00D20272">
              <w:rPr>
                <w:sz w:val="18"/>
                <w:szCs w:val="18"/>
                <w:vertAlign w:val="superscript"/>
              </w:rPr>
              <w:t xml:space="preserve">c   </w:t>
            </w:r>
          </w:p>
        </w:tc>
        <w:tc>
          <w:tcPr>
            <w:tcW w:w="405" w:type="pct"/>
            <w:tcBorders>
              <w:top w:val="nil"/>
              <w:left w:val="nil"/>
              <w:bottom w:val="single" w:sz="4" w:space="0" w:color="auto"/>
              <w:right w:val="single" w:sz="4" w:space="0" w:color="auto"/>
            </w:tcBorders>
            <w:shd w:val="clear" w:color="auto" w:fill="auto"/>
            <w:vAlign w:val="center"/>
            <w:hideMark/>
          </w:tcPr>
          <w:p w14:paraId="2B1F6C22"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6F8423FF"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3B65F110"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50DDBD5E"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65B68EB8"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506" w:type="pct"/>
            <w:tcBorders>
              <w:top w:val="nil"/>
              <w:left w:val="nil"/>
              <w:bottom w:val="single" w:sz="4" w:space="0" w:color="auto"/>
              <w:right w:val="single" w:sz="4" w:space="0" w:color="auto"/>
            </w:tcBorders>
            <w:shd w:val="clear" w:color="auto" w:fill="auto"/>
            <w:vAlign w:val="center"/>
            <w:hideMark/>
          </w:tcPr>
          <w:p w14:paraId="278E254D" w14:textId="77777777" w:rsidR="00D20272" w:rsidRPr="00D20272" w:rsidRDefault="00D20272" w:rsidP="00D20272">
            <w:pPr>
              <w:widowControl/>
              <w:autoSpaceDE/>
              <w:autoSpaceDN/>
              <w:adjustRightInd/>
              <w:jc w:val="center"/>
              <w:rPr>
                <w:sz w:val="18"/>
                <w:szCs w:val="18"/>
              </w:rPr>
            </w:pPr>
            <w:r w:rsidRPr="00D20272">
              <w:rPr>
                <w:sz w:val="18"/>
                <w:szCs w:val="18"/>
              </w:rPr>
              <w:t>0.1</w:t>
            </w:r>
          </w:p>
        </w:tc>
        <w:tc>
          <w:tcPr>
            <w:tcW w:w="349" w:type="pct"/>
            <w:tcBorders>
              <w:top w:val="nil"/>
              <w:left w:val="nil"/>
              <w:bottom w:val="single" w:sz="4" w:space="0" w:color="auto"/>
              <w:right w:val="single" w:sz="4" w:space="0" w:color="auto"/>
            </w:tcBorders>
            <w:shd w:val="clear" w:color="auto" w:fill="auto"/>
            <w:vAlign w:val="center"/>
            <w:hideMark/>
          </w:tcPr>
          <w:p w14:paraId="1339C980" w14:textId="77777777" w:rsidR="00D20272" w:rsidRPr="00D20272" w:rsidRDefault="00D20272" w:rsidP="00D20272">
            <w:pPr>
              <w:widowControl/>
              <w:autoSpaceDE/>
              <w:autoSpaceDN/>
              <w:adjustRightInd/>
              <w:jc w:val="center"/>
              <w:rPr>
                <w:sz w:val="18"/>
                <w:szCs w:val="18"/>
              </w:rPr>
            </w:pPr>
            <w:r w:rsidRPr="00D20272">
              <w:rPr>
                <w:sz w:val="18"/>
                <w:szCs w:val="18"/>
              </w:rPr>
              <w:t>0.2</w:t>
            </w:r>
          </w:p>
        </w:tc>
        <w:tc>
          <w:tcPr>
            <w:tcW w:w="499" w:type="pct"/>
            <w:tcBorders>
              <w:top w:val="nil"/>
              <w:left w:val="nil"/>
              <w:bottom w:val="single" w:sz="4" w:space="0" w:color="auto"/>
              <w:right w:val="single" w:sz="4" w:space="0" w:color="auto"/>
            </w:tcBorders>
            <w:shd w:val="clear" w:color="auto" w:fill="auto"/>
            <w:vAlign w:val="center"/>
            <w:hideMark/>
          </w:tcPr>
          <w:p w14:paraId="2AF3F4C4" w14:textId="77777777" w:rsidR="00D20272" w:rsidRPr="00D20272" w:rsidRDefault="00D20272" w:rsidP="00D20272">
            <w:pPr>
              <w:widowControl/>
              <w:autoSpaceDE/>
              <w:autoSpaceDN/>
              <w:adjustRightInd/>
              <w:jc w:val="right"/>
              <w:rPr>
                <w:sz w:val="18"/>
                <w:szCs w:val="18"/>
              </w:rPr>
            </w:pPr>
            <w:r w:rsidRPr="00D20272">
              <w:rPr>
                <w:sz w:val="18"/>
                <w:szCs w:val="18"/>
              </w:rPr>
              <w:t xml:space="preserve">$225.18 </w:t>
            </w:r>
          </w:p>
        </w:tc>
      </w:tr>
      <w:tr w:rsidR="00D20272" w:rsidRPr="00D20272" w14:paraId="19EDC2F2" w14:textId="77777777" w:rsidTr="00121132">
        <w:trPr>
          <w:trHeight w:val="953"/>
          <w:jc w:val="center"/>
        </w:trPr>
        <w:tc>
          <w:tcPr>
            <w:tcW w:w="1494" w:type="pct"/>
            <w:tcBorders>
              <w:top w:val="nil"/>
              <w:left w:val="single" w:sz="4" w:space="0" w:color="auto"/>
              <w:bottom w:val="single" w:sz="4" w:space="0" w:color="auto"/>
              <w:right w:val="single" w:sz="4" w:space="0" w:color="auto"/>
            </w:tcBorders>
            <w:shd w:val="clear" w:color="auto" w:fill="auto"/>
            <w:hideMark/>
          </w:tcPr>
          <w:p w14:paraId="19FD950C" w14:textId="77777777" w:rsidR="00121132" w:rsidRDefault="00D20272" w:rsidP="00D20272">
            <w:pPr>
              <w:widowControl/>
              <w:autoSpaceDE/>
              <w:autoSpaceDN/>
              <w:adjustRightInd/>
              <w:ind w:firstLineChars="200" w:firstLine="360"/>
              <w:rPr>
                <w:sz w:val="18"/>
                <w:szCs w:val="18"/>
              </w:rPr>
            </w:pPr>
            <w:r w:rsidRPr="00D20272">
              <w:rPr>
                <w:sz w:val="18"/>
                <w:szCs w:val="18"/>
              </w:rPr>
              <w:t xml:space="preserve">Records certifying that an </w:t>
            </w:r>
            <w:proofErr w:type="spellStart"/>
            <w:r w:rsidRPr="00D20272">
              <w:rPr>
                <w:sz w:val="18"/>
                <w:szCs w:val="18"/>
              </w:rPr>
              <w:t>NDCE</w:t>
            </w:r>
            <w:proofErr w:type="spellEnd"/>
            <w:r w:rsidRPr="00D20272">
              <w:rPr>
                <w:sz w:val="18"/>
                <w:szCs w:val="18"/>
              </w:rPr>
              <w:t xml:space="preserve"> recovery  </w:t>
            </w:r>
          </w:p>
          <w:p w14:paraId="304BB3DE" w14:textId="77777777" w:rsidR="00121132" w:rsidRDefault="00D20272" w:rsidP="00D20272">
            <w:pPr>
              <w:widowControl/>
              <w:autoSpaceDE/>
              <w:autoSpaceDN/>
              <w:adjustRightInd/>
              <w:ind w:firstLineChars="200" w:firstLine="360"/>
              <w:rPr>
                <w:sz w:val="18"/>
                <w:szCs w:val="18"/>
              </w:rPr>
            </w:pPr>
            <w:r w:rsidRPr="00D20272">
              <w:rPr>
                <w:sz w:val="18"/>
                <w:szCs w:val="18"/>
              </w:rPr>
              <w:t xml:space="preserve">furnace equipped with a dry ESP system is used to </w:t>
            </w:r>
          </w:p>
          <w:p w14:paraId="63402290" w14:textId="77777777" w:rsidR="00121132" w:rsidRDefault="00D20272" w:rsidP="00D20272">
            <w:pPr>
              <w:widowControl/>
              <w:autoSpaceDE/>
              <w:autoSpaceDN/>
              <w:adjustRightInd/>
              <w:ind w:firstLineChars="200" w:firstLine="360"/>
              <w:rPr>
                <w:sz w:val="18"/>
                <w:szCs w:val="18"/>
              </w:rPr>
            </w:pPr>
            <w:r w:rsidRPr="00D20272">
              <w:rPr>
                <w:sz w:val="18"/>
                <w:szCs w:val="18"/>
              </w:rPr>
              <w:t xml:space="preserve">comply with the gaseous organic HAP standard </w:t>
            </w:r>
          </w:p>
          <w:p w14:paraId="2E7AE321"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for kraft and soda recovery furnaces </w:t>
            </w:r>
            <w:r w:rsidRPr="00D20272">
              <w:rPr>
                <w:sz w:val="18"/>
                <w:szCs w:val="18"/>
                <w:vertAlign w:val="superscript"/>
              </w:rPr>
              <w:t xml:space="preserve">c, </w:t>
            </w:r>
            <w:r w:rsidR="008C72C1">
              <w:rPr>
                <w:sz w:val="18"/>
                <w:szCs w:val="18"/>
                <w:vertAlign w:val="superscript"/>
              </w:rPr>
              <w:t>g</w:t>
            </w:r>
          </w:p>
        </w:tc>
        <w:tc>
          <w:tcPr>
            <w:tcW w:w="405" w:type="pct"/>
            <w:tcBorders>
              <w:top w:val="nil"/>
              <w:left w:val="nil"/>
              <w:bottom w:val="single" w:sz="4" w:space="0" w:color="auto"/>
              <w:right w:val="single" w:sz="4" w:space="0" w:color="auto"/>
            </w:tcBorders>
            <w:shd w:val="clear" w:color="auto" w:fill="auto"/>
            <w:vAlign w:val="center"/>
            <w:hideMark/>
          </w:tcPr>
          <w:p w14:paraId="3B682348"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251E6723"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1A67655C"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0BA84461"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5153FB6E"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506" w:type="pct"/>
            <w:tcBorders>
              <w:top w:val="nil"/>
              <w:left w:val="nil"/>
              <w:bottom w:val="single" w:sz="4" w:space="0" w:color="auto"/>
              <w:right w:val="single" w:sz="4" w:space="0" w:color="auto"/>
            </w:tcBorders>
            <w:shd w:val="clear" w:color="auto" w:fill="auto"/>
            <w:vAlign w:val="center"/>
            <w:hideMark/>
          </w:tcPr>
          <w:p w14:paraId="1DE17BA9" w14:textId="77777777" w:rsidR="00D20272" w:rsidRPr="00D20272" w:rsidRDefault="00D20272" w:rsidP="00D20272">
            <w:pPr>
              <w:widowControl/>
              <w:autoSpaceDE/>
              <w:autoSpaceDN/>
              <w:adjustRightInd/>
              <w:jc w:val="center"/>
              <w:rPr>
                <w:sz w:val="18"/>
                <w:szCs w:val="18"/>
              </w:rPr>
            </w:pPr>
            <w:r w:rsidRPr="00D20272">
              <w:rPr>
                <w:sz w:val="18"/>
                <w:szCs w:val="18"/>
              </w:rPr>
              <w:t>0.1</w:t>
            </w:r>
          </w:p>
        </w:tc>
        <w:tc>
          <w:tcPr>
            <w:tcW w:w="349" w:type="pct"/>
            <w:tcBorders>
              <w:top w:val="nil"/>
              <w:left w:val="nil"/>
              <w:bottom w:val="single" w:sz="4" w:space="0" w:color="auto"/>
              <w:right w:val="single" w:sz="4" w:space="0" w:color="auto"/>
            </w:tcBorders>
            <w:shd w:val="clear" w:color="auto" w:fill="auto"/>
            <w:vAlign w:val="center"/>
            <w:hideMark/>
          </w:tcPr>
          <w:p w14:paraId="6E51CDEB" w14:textId="77777777" w:rsidR="00D20272" w:rsidRPr="00D20272" w:rsidRDefault="00D20272" w:rsidP="00D20272">
            <w:pPr>
              <w:widowControl/>
              <w:autoSpaceDE/>
              <w:autoSpaceDN/>
              <w:adjustRightInd/>
              <w:jc w:val="center"/>
              <w:rPr>
                <w:sz w:val="18"/>
                <w:szCs w:val="18"/>
              </w:rPr>
            </w:pPr>
            <w:r w:rsidRPr="00D20272">
              <w:rPr>
                <w:sz w:val="18"/>
                <w:szCs w:val="18"/>
              </w:rPr>
              <w:t>0.2</w:t>
            </w:r>
          </w:p>
        </w:tc>
        <w:tc>
          <w:tcPr>
            <w:tcW w:w="499" w:type="pct"/>
            <w:tcBorders>
              <w:top w:val="nil"/>
              <w:left w:val="nil"/>
              <w:bottom w:val="single" w:sz="4" w:space="0" w:color="auto"/>
              <w:right w:val="single" w:sz="4" w:space="0" w:color="auto"/>
            </w:tcBorders>
            <w:shd w:val="clear" w:color="auto" w:fill="auto"/>
            <w:vAlign w:val="center"/>
            <w:hideMark/>
          </w:tcPr>
          <w:p w14:paraId="5355B42B" w14:textId="77777777" w:rsidR="00D20272" w:rsidRPr="00D20272" w:rsidRDefault="00D20272" w:rsidP="00D20272">
            <w:pPr>
              <w:widowControl/>
              <w:autoSpaceDE/>
              <w:autoSpaceDN/>
              <w:adjustRightInd/>
              <w:jc w:val="right"/>
              <w:rPr>
                <w:sz w:val="18"/>
                <w:szCs w:val="18"/>
              </w:rPr>
            </w:pPr>
            <w:r w:rsidRPr="00D20272">
              <w:rPr>
                <w:sz w:val="18"/>
                <w:szCs w:val="18"/>
              </w:rPr>
              <w:t xml:space="preserve">$225.18 </w:t>
            </w:r>
          </w:p>
        </w:tc>
      </w:tr>
      <w:tr w:rsidR="00D20272" w:rsidRPr="00D20272" w14:paraId="74E3A9D4"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515C71EA" w14:textId="77777777" w:rsidR="00D20272" w:rsidRPr="00D20272" w:rsidRDefault="00D20272" w:rsidP="0047715C">
            <w:pPr>
              <w:widowControl/>
              <w:autoSpaceDE/>
              <w:autoSpaceDN/>
              <w:adjustRightInd/>
              <w:ind w:firstLineChars="200" w:firstLine="360"/>
              <w:rPr>
                <w:sz w:val="18"/>
                <w:szCs w:val="18"/>
              </w:rPr>
            </w:pPr>
            <w:r w:rsidRPr="00D20272">
              <w:rPr>
                <w:sz w:val="18"/>
                <w:szCs w:val="18"/>
              </w:rPr>
              <w:t xml:space="preserve">Records of startup, shutdown, and malfunction </w:t>
            </w:r>
            <w:r w:rsidR="0047715C" w:rsidRPr="0047715C">
              <w:rPr>
                <w:sz w:val="18"/>
                <w:szCs w:val="18"/>
                <w:vertAlign w:val="superscript"/>
              </w:rPr>
              <w:t>h</w:t>
            </w:r>
            <w:r w:rsidRPr="00D20272">
              <w:rPr>
                <w:sz w:val="18"/>
                <w:szCs w:val="18"/>
              </w:rPr>
              <w:t xml:space="preserve">    </w:t>
            </w:r>
          </w:p>
        </w:tc>
        <w:tc>
          <w:tcPr>
            <w:tcW w:w="405" w:type="pct"/>
            <w:tcBorders>
              <w:top w:val="nil"/>
              <w:left w:val="nil"/>
              <w:bottom w:val="single" w:sz="4" w:space="0" w:color="auto"/>
              <w:right w:val="single" w:sz="4" w:space="0" w:color="auto"/>
            </w:tcBorders>
            <w:shd w:val="clear" w:color="auto" w:fill="auto"/>
            <w:vAlign w:val="center"/>
            <w:hideMark/>
          </w:tcPr>
          <w:p w14:paraId="628AFA18" w14:textId="77777777" w:rsidR="00D20272" w:rsidRPr="00D20272" w:rsidRDefault="00D20272" w:rsidP="00D20272">
            <w:pPr>
              <w:widowControl/>
              <w:autoSpaceDE/>
              <w:autoSpaceDN/>
              <w:adjustRightInd/>
              <w:jc w:val="center"/>
              <w:rPr>
                <w:sz w:val="18"/>
                <w:szCs w:val="18"/>
              </w:rPr>
            </w:pPr>
            <w:r w:rsidRPr="00D20272">
              <w:rPr>
                <w:sz w:val="18"/>
                <w:szCs w:val="18"/>
              </w:rPr>
              <w:t>1.5</w:t>
            </w:r>
          </w:p>
        </w:tc>
        <w:tc>
          <w:tcPr>
            <w:tcW w:w="437" w:type="pct"/>
            <w:tcBorders>
              <w:top w:val="nil"/>
              <w:left w:val="nil"/>
              <w:bottom w:val="single" w:sz="4" w:space="0" w:color="auto"/>
              <w:right w:val="single" w:sz="4" w:space="0" w:color="auto"/>
            </w:tcBorders>
            <w:shd w:val="clear" w:color="auto" w:fill="auto"/>
            <w:vAlign w:val="center"/>
            <w:hideMark/>
          </w:tcPr>
          <w:p w14:paraId="08A94DA1" w14:textId="77777777" w:rsidR="00D20272" w:rsidRPr="00D20272" w:rsidRDefault="00D20272" w:rsidP="00D20272">
            <w:pPr>
              <w:widowControl/>
              <w:autoSpaceDE/>
              <w:autoSpaceDN/>
              <w:adjustRightInd/>
              <w:jc w:val="center"/>
              <w:rPr>
                <w:sz w:val="18"/>
                <w:szCs w:val="18"/>
              </w:rPr>
            </w:pPr>
            <w:r w:rsidRPr="00D20272">
              <w:rPr>
                <w:sz w:val="18"/>
                <w:szCs w:val="18"/>
              </w:rPr>
              <w:t>52</w:t>
            </w:r>
          </w:p>
        </w:tc>
        <w:tc>
          <w:tcPr>
            <w:tcW w:w="436" w:type="pct"/>
            <w:tcBorders>
              <w:top w:val="nil"/>
              <w:left w:val="nil"/>
              <w:bottom w:val="single" w:sz="4" w:space="0" w:color="auto"/>
              <w:right w:val="single" w:sz="4" w:space="0" w:color="auto"/>
            </w:tcBorders>
            <w:shd w:val="clear" w:color="auto" w:fill="auto"/>
            <w:vAlign w:val="center"/>
            <w:hideMark/>
          </w:tcPr>
          <w:p w14:paraId="6213C3F9" w14:textId="77777777" w:rsidR="00D20272" w:rsidRPr="00D20272" w:rsidRDefault="00D20272" w:rsidP="00D20272">
            <w:pPr>
              <w:widowControl/>
              <w:autoSpaceDE/>
              <w:autoSpaceDN/>
              <w:adjustRightInd/>
              <w:jc w:val="center"/>
              <w:rPr>
                <w:sz w:val="18"/>
                <w:szCs w:val="18"/>
              </w:rPr>
            </w:pPr>
            <w:r w:rsidRPr="00D20272">
              <w:rPr>
                <w:sz w:val="18"/>
                <w:szCs w:val="18"/>
              </w:rPr>
              <w:t>78</w:t>
            </w:r>
          </w:p>
        </w:tc>
        <w:tc>
          <w:tcPr>
            <w:tcW w:w="437" w:type="pct"/>
            <w:tcBorders>
              <w:top w:val="nil"/>
              <w:left w:val="nil"/>
              <w:bottom w:val="single" w:sz="4" w:space="0" w:color="auto"/>
              <w:right w:val="single" w:sz="4" w:space="0" w:color="auto"/>
            </w:tcBorders>
            <w:shd w:val="clear" w:color="auto" w:fill="auto"/>
            <w:vAlign w:val="center"/>
            <w:hideMark/>
          </w:tcPr>
          <w:p w14:paraId="2B5200EC" w14:textId="77777777" w:rsidR="00D20272" w:rsidRPr="00D20272" w:rsidRDefault="00D20272" w:rsidP="00D20272">
            <w:pPr>
              <w:widowControl/>
              <w:autoSpaceDE/>
              <w:autoSpaceDN/>
              <w:adjustRightInd/>
              <w:jc w:val="center"/>
              <w:rPr>
                <w:sz w:val="18"/>
                <w:szCs w:val="18"/>
              </w:rPr>
            </w:pPr>
            <w:r w:rsidRPr="00D20272">
              <w:rPr>
                <w:sz w:val="18"/>
                <w:szCs w:val="18"/>
              </w:rPr>
              <w:t>111</w:t>
            </w:r>
          </w:p>
        </w:tc>
        <w:tc>
          <w:tcPr>
            <w:tcW w:w="438" w:type="pct"/>
            <w:tcBorders>
              <w:top w:val="nil"/>
              <w:left w:val="nil"/>
              <w:bottom w:val="single" w:sz="4" w:space="0" w:color="auto"/>
              <w:right w:val="single" w:sz="4" w:space="0" w:color="auto"/>
            </w:tcBorders>
            <w:shd w:val="clear" w:color="auto" w:fill="auto"/>
            <w:vAlign w:val="center"/>
            <w:hideMark/>
          </w:tcPr>
          <w:p w14:paraId="03FA32EF" w14:textId="77777777" w:rsidR="00D20272" w:rsidRPr="00D20272" w:rsidRDefault="00D20272" w:rsidP="00D20272">
            <w:pPr>
              <w:widowControl/>
              <w:autoSpaceDE/>
              <w:autoSpaceDN/>
              <w:adjustRightInd/>
              <w:jc w:val="center"/>
              <w:rPr>
                <w:sz w:val="18"/>
                <w:szCs w:val="18"/>
              </w:rPr>
            </w:pPr>
            <w:r w:rsidRPr="00D20272">
              <w:rPr>
                <w:sz w:val="18"/>
                <w:szCs w:val="18"/>
              </w:rPr>
              <w:t>8,658</w:t>
            </w:r>
          </w:p>
        </w:tc>
        <w:tc>
          <w:tcPr>
            <w:tcW w:w="506" w:type="pct"/>
            <w:tcBorders>
              <w:top w:val="nil"/>
              <w:left w:val="nil"/>
              <w:bottom w:val="single" w:sz="4" w:space="0" w:color="auto"/>
              <w:right w:val="single" w:sz="4" w:space="0" w:color="auto"/>
            </w:tcBorders>
            <w:shd w:val="clear" w:color="auto" w:fill="auto"/>
            <w:vAlign w:val="center"/>
            <w:hideMark/>
          </w:tcPr>
          <w:p w14:paraId="30809C18" w14:textId="77777777" w:rsidR="00D20272" w:rsidRPr="00D20272" w:rsidRDefault="00D20272" w:rsidP="00D20272">
            <w:pPr>
              <w:widowControl/>
              <w:autoSpaceDE/>
              <w:autoSpaceDN/>
              <w:adjustRightInd/>
              <w:jc w:val="center"/>
              <w:rPr>
                <w:sz w:val="18"/>
                <w:szCs w:val="18"/>
              </w:rPr>
            </w:pPr>
            <w:r w:rsidRPr="00D20272">
              <w:rPr>
                <w:sz w:val="18"/>
                <w:szCs w:val="18"/>
              </w:rPr>
              <w:t>432.9</w:t>
            </w:r>
          </w:p>
        </w:tc>
        <w:tc>
          <w:tcPr>
            <w:tcW w:w="349" w:type="pct"/>
            <w:tcBorders>
              <w:top w:val="nil"/>
              <w:left w:val="nil"/>
              <w:bottom w:val="single" w:sz="4" w:space="0" w:color="auto"/>
              <w:right w:val="single" w:sz="4" w:space="0" w:color="auto"/>
            </w:tcBorders>
            <w:shd w:val="clear" w:color="auto" w:fill="auto"/>
            <w:vAlign w:val="center"/>
            <w:hideMark/>
          </w:tcPr>
          <w:p w14:paraId="50F11112" w14:textId="77777777" w:rsidR="00D20272" w:rsidRPr="00D20272" w:rsidRDefault="00D20272" w:rsidP="00D20272">
            <w:pPr>
              <w:widowControl/>
              <w:autoSpaceDE/>
              <w:autoSpaceDN/>
              <w:adjustRightInd/>
              <w:jc w:val="center"/>
              <w:rPr>
                <w:sz w:val="18"/>
                <w:szCs w:val="18"/>
              </w:rPr>
            </w:pPr>
            <w:r w:rsidRPr="00D20272">
              <w:rPr>
                <w:sz w:val="18"/>
                <w:szCs w:val="18"/>
              </w:rPr>
              <w:t>865.8</w:t>
            </w:r>
          </w:p>
        </w:tc>
        <w:tc>
          <w:tcPr>
            <w:tcW w:w="499" w:type="pct"/>
            <w:tcBorders>
              <w:top w:val="nil"/>
              <w:left w:val="nil"/>
              <w:bottom w:val="single" w:sz="4" w:space="0" w:color="auto"/>
              <w:right w:val="single" w:sz="4" w:space="0" w:color="auto"/>
            </w:tcBorders>
            <w:shd w:val="clear" w:color="auto" w:fill="auto"/>
            <w:vAlign w:val="center"/>
            <w:hideMark/>
          </w:tcPr>
          <w:p w14:paraId="4B28BCE6" w14:textId="77777777" w:rsidR="00D20272" w:rsidRPr="00D20272" w:rsidRDefault="00D20272" w:rsidP="00D20272">
            <w:pPr>
              <w:widowControl/>
              <w:autoSpaceDE/>
              <w:autoSpaceDN/>
              <w:adjustRightInd/>
              <w:jc w:val="right"/>
              <w:rPr>
                <w:sz w:val="18"/>
                <w:szCs w:val="18"/>
              </w:rPr>
            </w:pPr>
            <w:r w:rsidRPr="00D20272">
              <w:rPr>
                <w:sz w:val="18"/>
                <w:szCs w:val="18"/>
              </w:rPr>
              <w:t xml:space="preserve">$974,786.90 </w:t>
            </w:r>
          </w:p>
        </w:tc>
      </w:tr>
      <w:tr w:rsidR="00D20272" w:rsidRPr="00D20272" w14:paraId="40D0DC8E"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5CF727E5" w14:textId="77777777" w:rsidR="00121132" w:rsidRDefault="00D20272" w:rsidP="00D20272">
            <w:pPr>
              <w:widowControl/>
              <w:autoSpaceDE/>
              <w:autoSpaceDN/>
              <w:adjustRightInd/>
              <w:ind w:firstLineChars="200" w:firstLine="360"/>
              <w:rPr>
                <w:sz w:val="18"/>
                <w:szCs w:val="18"/>
              </w:rPr>
            </w:pPr>
            <w:r w:rsidRPr="00D20272">
              <w:rPr>
                <w:sz w:val="18"/>
                <w:szCs w:val="18"/>
              </w:rPr>
              <w:t xml:space="preserve">Records of black liquor solids firing  rates for </w:t>
            </w:r>
          </w:p>
          <w:p w14:paraId="10C25C07" w14:textId="77777777" w:rsidR="00121132" w:rsidRDefault="0047715C" w:rsidP="00D20272">
            <w:pPr>
              <w:widowControl/>
              <w:autoSpaceDE/>
              <w:autoSpaceDN/>
              <w:adjustRightInd/>
              <w:ind w:firstLineChars="200" w:firstLine="360"/>
              <w:rPr>
                <w:sz w:val="18"/>
                <w:szCs w:val="18"/>
              </w:rPr>
            </w:pPr>
            <w:r>
              <w:rPr>
                <w:sz w:val="18"/>
                <w:szCs w:val="18"/>
              </w:rPr>
              <w:t>recovery furnaces and</w:t>
            </w:r>
            <w:r w:rsidR="00D20272" w:rsidRPr="00D20272">
              <w:rPr>
                <w:sz w:val="18"/>
                <w:szCs w:val="18"/>
              </w:rPr>
              <w:t xml:space="preserve"> </w:t>
            </w:r>
            <w:proofErr w:type="spellStart"/>
            <w:r w:rsidR="00D20272" w:rsidRPr="00D20272">
              <w:rPr>
                <w:sz w:val="18"/>
                <w:szCs w:val="18"/>
              </w:rPr>
              <w:t>semichemical</w:t>
            </w:r>
            <w:proofErr w:type="spellEnd"/>
            <w:r w:rsidR="00D20272" w:rsidRPr="00D20272">
              <w:rPr>
                <w:sz w:val="18"/>
                <w:szCs w:val="18"/>
              </w:rPr>
              <w:t xml:space="preserve"> </w:t>
            </w:r>
          </w:p>
          <w:p w14:paraId="0B51383C"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combustion units </w:t>
            </w:r>
            <w:r w:rsidR="0047715C">
              <w:rPr>
                <w:sz w:val="18"/>
                <w:szCs w:val="18"/>
                <w:vertAlign w:val="superscript"/>
              </w:rPr>
              <w:t>h</w:t>
            </w:r>
          </w:p>
        </w:tc>
        <w:tc>
          <w:tcPr>
            <w:tcW w:w="405" w:type="pct"/>
            <w:tcBorders>
              <w:top w:val="nil"/>
              <w:left w:val="nil"/>
              <w:bottom w:val="single" w:sz="4" w:space="0" w:color="auto"/>
              <w:right w:val="single" w:sz="4" w:space="0" w:color="auto"/>
            </w:tcBorders>
            <w:shd w:val="clear" w:color="auto" w:fill="auto"/>
            <w:vAlign w:val="center"/>
            <w:hideMark/>
          </w:tcPr>
          <w:p w14:paraId="45E71868" w14:textId="77777777" w:rsidR="00D20272" w:rsidRPr="00D20272" w:rsidRDefault="00D20272" w:rsidP="00D20272">
            <w:pPr>
              <w:widowControl/>
              <w:autoSpaceDE/>
              <w:autoSpaceDN/>
              <w:adjustRightInd/>
              <w:jc w:val="center"/>
              <w:rPr>
                <w:sz w:val="18"/>
                <w:szCs w:val="18"/>
              </w:rPr>
            </w:pPr>
            <w:r w:rsidRPr="00D20272">
              <w:rPr>
                <w:sz w:val="18"/>
                <w:szCs w:val="18"/>
              </w:rPr>
              <w:t>1.5</w:t>
            </w:r>
          </w:p>
        </w:tc>
        <w:tc>
          <w:tcPr>
            <w:tcW w:w="437" w:type="pct"/>
            <w:tcBorders>
              <w:top w:val="nil"/>
              <w:left w:val="nil"/>
              <w:bottom w:val="single" w:sz="4" w:space="0" w:color="auto"/>
              <w:right w:val="single" w:sz="4" w:space="0" w:color="auto"/>
            </w:tcBorders>
            <w:shd w:val="clear" w:color="auto" w:fill="auto"/>
            <w:vAlign w:val="center"/>
            <w:hideMark/>
          </w:tcPr>
          <w:p w14:paraId="4DA039FA" w14:textId="77777777" w:rsidR="00D20272" w:rsidRPr="00D20272" w:rsidRDefault="00D20272" w:rsidP="00D20272">
            <w:pPr>
              <w:widowControl/>
              <w:autoSpaceDE/>
              <w:autoSpaceDN/>
              <w:adjustRightInd/>
              <w:jc w:val="center"/>
              <w:rPr>
                <w:sz w:val="18"/>
                <w:szCs w:val="18"/>
              </w:rPr>
            </w:pPr>
            <w:r w:rsidRPr="00D20272">
              <w:rPr>
                <w:sz w:val="18"/>
                <w:szCs w:val="18"/>
              </w:rPr>
              <w:t>52</w:t>
            </w:r>
          </w:p>
        </w:tc>
        <w:tc>
          <w:tcPr>
            <w:tcW w:w="436" w:type="pct"/>
            <w:tcBorders>
              <w:top w:val="nil"/>
              <w:left w:val="nil"/>
              <w:bottom w:val="single" w:sz="4" w:space="0" w:color="auto"/>
              <w:right w:val="single" w:sz="4" w:space="0" w:color="auto"/>
            </w:tcBorders>
            <w:shd w:val="clear" w:color="auto" w:fill="auto"/>
            <w:vAlign w:val="center"/>
            <w:hideMark/>
          </w:tcPr>
          <w:p w14:paraId="16DD10C0" w14:textId="77777777" w:rsidR="00D20272" w:rsidRPr="00D20272" w:rsidRDefault="00D20272" w:rsidP="00D20272">
            <w:pPr>
              <w:widowControl/>
              <w:autoSpaceDE/>
              <w:autoSpaceDN/>
              <w:adjustRightInd/>
              <w:jc w:val="center"/>
              <w:rPr>
                <w:sz w:val="18"/>
                <w:szCs w:val="18"/>
              </w:rPr>
            </w:pPr>
            <w:r w:rsidRPr="00D20272">
              <w:rPr>
                <w:sz w:val="18"/>
                <w:szCs w:val="18"/>
              </w:rPr>
              <w:t>78</w:t>
            </w:r>
          </w:p>
        </w:tc>
        <w:tc>
          <w:tcPr>
            <w:tcW w:w="437" w:type="pct"/>
            <w:tcBorders>
              <w:top w:val="nil"/>
              <w:left w:val="nil"/>
              <w:bottom w:val="single" w:sz="4" w:space="0" w:color="auto"/>
              <w:right w:val="single" w:sz="4" w:space="0" w:color="auto"/>
            </w:tcBorders>
            <w:shd w:val="clear" w:color="auto" w:fill="auto"/>
            <w:vAlign w:val="center"/>
            <w:hideMark/>
          </w:tcPr>
          <w:p w14:paraId="39D862ED" w14:textId="77777777" w:rsidR="00D20272" w:rsidRPr="00D20272" w:rsidRDefault="00D20272" w:rsidP="00D20272">
            <w:pPr>
              <w:widowControl/>
              <w:autoSpaceDE/>
              <w:autoSpaceDN/>
              <w:adjustRightInd/>
              <w:jc w:val="center"/>
              <w:rPr>
                <w:sz w:val="18"/>
                <w:szCs w:val="18"/>
              </w:rPr>
            </w:pPr>
            <w:r w:rsidRPr="00D20272">
              <w:rPr>
                <w:sz w:val="18"/>
                <w:szCs w:val="18"/>
              </w:rPr>
              <w:t>111</w:t>
            </w:r>
          </w:p>
        </w:tc>
        <w:tc>
          <w:tcPr>
            <w:tcW w:w="438" w:type="pct"/>
            <w:tcBorders>
              <w:top w:val="nil"/>
              <w:left w:val="nil"/>
              <w:bottom w:val="single" w:sz="4" w:space="0" w:color="auto"/>
              <w:right w:val="single" w:sz="4" w:space="0" w:color="auto"/>
            </w:tcBorders>
            <w:shd w:val="clear" w:color="auto" w:fill="auto"/>
            <w:vAlign w:val="center"/>
            <w:hideMark/>
          </w:tcPr>
          <w:p w14:paraId="3D57FB62" w14:textId="77777777" w:rsidR="00D20272" w:rsidRPr="00D20272" w:rsidRDefault="00D20272" w:rsidP="00D20272">
            <w:pPr>
              <w:widowControl/>
              <w:autoSpaceDE/>
              <w:autoSpaceDN/>
              <w:adjustRightInd/>
              <w:jc w:val="center"/>
              <w:rPr>
                <w:sz w:val="18"/>
                <w:szCs w:val="18"/>
              </w:rPr>
            </w:pPr>
            <w:r w:rsidRPr="00D20272">
              <w:rPr>
                <w:sz w:val="18"/>
                <w:szCs w:val="18"/>
              </w:rPr>
              <w:t>8,658</w:t>
            </w:r>
          </w:p>
        </w:tc>
        <w:tc>
          <w:tcPr>
            <w:tcW w:w="506" w:type="pct"/>
            <w:tcBorders>
              <w:top w:val="nil"/>
              <w:left w:val="nil"/>
              <w:bottom w:val="single" w:sz="4" w:space="0" w:color="auto"/>
              <w:right w:val="single" w:sz="4" w:space="0" w:color="auto"/>
            </w:tcBorders>
            <w:shd w:val="clear" w:color="auto" w:fill="auto"/>
            <w:vAlign w:val="center"/>
            <w:hideMark/>
          </w:tcPr>
          <w:p w14:paraId="7353BDE8" w14:textId="77777777" w:rsidR="00D20272" w:rsidRPr="00D20272" w:rsidRDefault="00D20272" w:rsidP="00D20272">
            <w:pPr>
              <w:widowControl/>
              <w:autoSpaceDE/>
              <w:autoSpaceDN/>
              <w:adjustRightInd/>
              <w:jc w:val="center"/>
              <w:rPr>
                <w:sz w:val="18"/>
                <w:szCs w:val="18"/>
              </w:rPr>
            </w:pPr>
            <w:r w:rsidRPr="00D20272">
              <w:rPr>
                <w:sz w:val="18"/>
                <w:szCs w:val="18"/>
              </w:rPr>
              <w:t>432.9</w:t>
            </w:r>
          </w:p>
        </w:tc>
        <w:tc>
          <w:tcPr>
            <w:tcW w:w="349" w:type="pct"/>
            <w:tcBorders>
              <w:top w:val="nil"/>
              <w:left w:val="nil"/>
              <w:bottom w:val="single" w:sz="4" w:space="0" w:color="auto"/>
              <w:right w:val="single" w:sz="4" w:space="0" w:color="auto"/>
            </w:tcBorders>
            <w:shd w:val="clear" w:color="auto" w:fill="auto"/>
            <w:vAlign w:val="center"/>
            <w:hideMark/>
          </w:tcPr>
          <w:p w14:paraId="6EA96F48" w14:textId="77777777" w:rsidR="00D20272" w:rsidRPr="00D20272" w:rsidRDefault="00D20272" w:rsidP="00D20272">
            <w:pPr>
              <w:widowControl/>
              <w:autoSpaceDE/>
              <w:autoSpaceDN/>
              <w:adjustRightInd/>
              <w:jc w:val="center"/>
              <w:rPr>
                <w:sz w:val="18"/>
                <w:szCs w:val="18"/>
              </w:rPr>
            </w:pPr>
            <w:r w:rsidRPr="00D20272">
              <w:rPr>
                <w:sz w:val="18"/>
                <w:szCs w:val="18"/>
              </w:rPr>
              <w:t>865.8</w:t>
            </w:r>
          </w:p>
        </w:tc>
        <w:tc>
          <w:tcPr>
            <w:tcW w:w="499" w:type="pct"/>
            <w:tcBorders>
              <w:top w:val="nil"/>
              <w:left w:val="nil"/>
              <w:bottom w:val="single" w:sz="4" w:space="0" w:color="auto"/>
              <w:right w:val="single" w:sz="4" w:space="0" w:color="auto"/>
            </w:tcBorders>
            <w:shd w:val="clear" w:color="auto" w:fill="auto"/>
            <w:vAlign w:val="center"/>
            <w:hideMark/>
          </w:tcPr>
          <w:p w14:paraId="751EFCB0" w14:textId="77777777" w:rsidR="00D20272" w:rsidRPr="00D20272" w:rsidRDefault="00D20272" w:rsidP="00D20272">
            <w:pPr>
              <w:widowControl/>
              <w:autoSpaceDE/>
              <w:autoSpaceDN/>
              <w:adjustRightInd/>
              <w:jc w:val="right"/>
              <w:rPr>
                <w:sz w:val="18"/>
                <w:szCs w:val="18"/>
              </w:rPr>
            </w:pPr>
            <w:r w:rsidRPr="00D20272">
              <w:rPr>
                <w:sz w:val="18"/>
                <w:szCs w:val="18"/>
              </w:rPr>
              <w:t xml:space="preserve">$974,786.90 </w:t>
            </w:r>
          </w:p>
        </w:tc>
      </w:tr>
      <w:tr w:rsidR="00D20272" w:rsidRPr="00D20272" w14:paraId="7DFDCCDF"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27AA0DBA"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Records of lime production for lime kilns </w:t>
            </w:r>
            <w:r w:rsidR="0047715C">
              <w:rPr>
                <w:sz w:val="18"/>
                <w:szCs w:val="18"/>
                <w:vertAlign w:val="superscript"/>
              </w:rPr>
              <w:t>i</w:t>
            </w:r>
          </w:p>
        </w:tc>
        <w:tc>
          <w:tcPr>
            <w:tcW w:w="405" w:type="pct"/>
            <w:tcBorders>
              <w:top w:val="nil"/>
              <w:left w:val="nil"/>
              <w:bottom w:val="single" w:sz="4" w:space="0" w:color="auto"/>
              <w:right w:val="single" w:sz="4" w:space="0" w:color="auto"/>
            </w:tcBorders>
            <w:shd w:val="clear" w:color="auto" w:fill="auto"/>
            <w:vAlign w:val="center"/>
            <w:hideMark/>
          </w:tcPr>
          <w:p w14:paraId="41DD5FC1" w14:textId="77777777" w:rsidR="00D20272" w:rsidRPr="00D20272" w:rsidRDefault="00D20272" w:rsidP="00D20272">
            <w:pPr>
              <w:widowControl/>
              <w:autoSpaceDE/>
              <w:autoSpaceDN/>
              <w:adjustRightInd/>
              <w:jc w:val="center"/>
              <w:rPr>
                <w:sz w:val="18"/>
                <w:szCs w:val="18"/>
              </w:rPr>
            </w:pPr>
            <w:r w:rsidRPr="00D20272">
              <w:rPr>
                <w:sz w:val="18"/>
                <w:szCs w:val="18"/>
              </w:rPr>
              <w:t>1.5</w:t>
            </w:r>
          </w:p>
        </w:tc>
        <w:tc>
          <w:tcPr>
            <w:tcW w:w="437" w:type="pct"/>
            <w:tcBorders>
              <w:top w:val="nil"/>
              <w:left w:val="nil"/>
              <w:bottom w:val="single" w:sz="4" w:space="0" w:color="auto"/>
              <w:right w:val="single" w:sz="4" w:space="0" w:color="auto"/>
            </w:tcBorders>
            <w:shd w:val="clear" w:color="auto" w:fill="auto"/>
            <w:vAlign w:val="center"/>
            <w:hideMark/>
          </w:tcPr>
          <w:p w14:paraId="64AF3804" w14:textId="77777777" w:rsidR="00D20272" w:rsidRPr="00D20272" w:rsidRDefault="00D20272" w:rsidP="00D20272">
            <w:pPr>
              <w:widowControl/>
              <w:autoSpaceDE/>
              <w:autoSpaceDN/>
              <w:adjustRightInd/>
              <w:jc w:val="center"/>
              <w:rPr>
                <w:sz w:val="18"/>
                <w:szCs w:val="18"/>
              </w:rPr>
            </w:pPr>
            <w:r w:rsidRPr="00D20272">
              <w:rPr>
                <w:sz w:val="18"/>
                <w:szCs w:val="18"/>
              </w:rPr>
              <w:t>52</w:t>
            </w:r>
          </w:p>
        </w:tc>
        <w:tc>
          <w:tcPr>
            <w:tcW w:w="436" w:type="pct"/>
            <w:tcBorders>
              <w:top w:val="nil"/>
              <w:left w:val="nil"/>
              <w:bottom w:val="single" w:sz="4" w:space="0" w:color="auto"/>
              <w:right w:val="single" w:sz="4" w:space="0" w:color="auto"/>
            </w:tcBorders>
            <w:shd w:val="clear" w:color="auto" w:fill="auto"/>
            <w:vAlign w:val="center"/>
            <w:hideMark/>
          </w:tcPr>
          <w:p w14:paraId="3104E78B" w14:textId="77777777" w:rsidR="00D20272" w:rsidRPr="00D20272" w:rsidRDefault="00D20272" w:rsidP="00D20272">
            <w:pPr>
              <w:widowControl/>
              <w:autoSpaceDE/>
              <w:autoSpaceDN/>
              <w:adjustRightInd/>
              <w:jc w:val="center"/>
              <w:rPr>
                <w:sz w:val="18"/>
                <w:szCs w:val="18"/>
              </w:rPr>
            </w:pPr>
            <w:r w:rsidRPr="00D20272">
              <w:rPr>
                <w:sz w:val="18"/>
                <w:szCs w:val="18"/>
              </w:rPr>
              <w:t>78</w:t>
            </w:r>
          </w:p>
        </w:tc>
        <w:tc>
          <w:tcPr>
            <w:tcW w:w="437" w:type="pct"/>
            <w:tcBorders>
              <w:top w:val="nil"/>
              <w:left w:val="nil"/>
              <w:bottom w:val="single" w:sz="4" w:space="0" w:color="auto"/>
              <w:right w:val="single" w:sz="4" w:space="0" w:color="auto"/>
            </w:tcBorders>
            <w:shd w:val="clear" w:color="auto" w:fill="auto"/>
            <w:vAlign w:val="center"/>
            <w:hideMark/>
          </w:tcPr>
          <w:p w14:paraId="24337D2A" w14:textId="77777777" w:rsidR="00D20272" w:rsidRPr="00D20272" w:rsidRDefault="00D20272" w:rsidP="00D20272">
            <w:pPr>
              <w:widowControl/>
              <w:autoSpaceDE/>
              <w:autoSpaceDN/>
              <w:adjustRightInd/>
              <w:jc w:val="center"/>
              <w:rPr>
                <w:sz w:val="18"/>
                <w:szCs w:val="18"/>
              </w:rPr>
            </w:pPr>
            <w:r w:rsidRPr="00D20272">
              <w:rPr>
                <w:sz w:val="18"/>
                <w:szCs w:val="18"/>
              </w:rPr>
              <w:t>89</w:t>
            </w:r>
          </w:p>
        </w:tc>
        <w:tc>
          <w:tcPr>
            <w:tcW w:w="438" w:type="pct"/>
            <w:tcBorders>
              <w:top w:val="nil"/>
              <w:left w:val="nil"/>
              <w:bottom w:val="single" w:sz="4" w:space="0" w:color="auto"/>
              <w:right w:val="single" w:sz="4" w:space="0" w:color="auto"/>
            </w:tcBorders>
            <w:shd w:val="clear" w:color="auto" w:fill="auto"/>
            <w:vAlign w:val="center"/>
            <w:hideMark/>
          </w:tcPr>
          <w:p w14:paraId="66557A8A" w14:textId="77777777" w:rsidR="00D20272" w:rsidRPr="00D20272" w:rsidRDefault="00D20272" w:rsidP="00D20272">
            <w:pPr>
              <w:widowControl/>
              <w:autoSpaceDE/>
              <w:autoSpaceDN/>
              <w:adjustRightInd/>
              <w:jc w:val="center"/>
              <w:rPr>
                <w:sz w:val="18"/>
                <w:szCs w:val="18"/>
              </w:rPr>
            </w:pPr>
            <w:r w:rsidRPr="00D20272">
              <w:rPr>
                <w:sz w:val="18"/>
                <w:szCs w:val="18"/>
              </w:rPr>
              <w:t>6,942</w:t>
            </w:r>
          </w:p>
        </w:tc>
        <w:tc>
          <w:tcPr>
            <w:tcW w:w="506" w:type="pct"/>
            <w:tcBorders>
              <w:top w:val="nil"/>
              <w:left w:val="nil"/>
              <w:bottom w:val="single" w:sz="4" w:space="0" w:color="auto"/>
              <w:right w:val="single" w:sz="4" w:space="0" w:color="auto"/>
            </w:tcBorders>
            <w:shd w:val="clear" w:color="auto" w:fill="auto"/>
            <w:vAlign w:val="center"/>
            <w:hideMark/>
          </w:tcPr>
          <w:p w14:paraId="784AE881" w14:textId="77777777" w:rsidR="00D20272" w:rsidRPr="00D20272" w:rsidRDefault="00D20272" w:rsidP="00D20272">
            <w:pPr>
              <w:widowControl/>
              <w:autoSpaceDE/>
              <w:autoSpaceDN/>
              <w:adjustRightInd/>
              <w:jc w:val="center"/>
              <w:rPr>
                <w:sz w:val="18"/>
                <w:szCs w:val="18"/>
              </w:rPr>
            </w:pPr>
            <w:r w:rsidRPr="00D20272">
              <w:rPr>
                <w:sz w:val="18"/>
                <w:szCs w:val="18"/>
              </w:rPr>
              <w:t>347.1</w:t>
            </w:r>
          </w:p>
        </w:tc>
        <w:tc>
          <w:tcPr>
            <w:tcW w:w="349" w:type="pct"/>
            <w:tcBorders>
              <w:top w:val="nil"/>
              <w:left w:val="nil"/>
              <w:bottom w:val="single" w:sz="4" w:space="0" w:color="auto"/>
              <w:right w:val="single" w:sz="4" w:space="0" w:color="auto"/>
            </w:tcBorders>
            <w:shd w:val="clear" w:color="auto" w:fill="auto"/>
            <w:vAlign w:val="center"/>
            <w:hideMark/>
          </w:tcPr>
          <w:p w14:paraId="6CC69E0A" w14:textId="77777777" w:rsidR="00D20272" w:rsidRPr="00D20272" w:rsidRDefault="00D20272" w:rsidP="00D20272">
            <w:pPr>
              <w:widowControl/>
              <w:autoSpaceDE/>
              <w:autoSpaceDN/>
              <w:adjustRightInd/>
              <w:jc w:val="center"/>
              <w:rPr>
                <w:sz w:val="18"/>
                <w:szCs w:val="18"/>
              </w:rPr>
            </w:pPr>
            <w:r w:rsidRPr="00D20272">
              <w:rPr>
                <w:sz w:val="18"/>
                <w:szCs w:val="18"/>
              </w:rPr>
              <w:t>694.2</w:t>
            </w:r>
          </w:p>
        </w:tc>
        <w:tc>
          <w:tcPr>
            <w:tcW w:w="499" w:type="pct"/>
            <w:tcBorders>
              <w:top w:val="nil"/>
              <w:left w:val="nil"/>
              <w:bottom w:val="single" w:sz="4" w:space="0" w:color="auto"/>
              <w:right w:val="single" w:sz="4" w:space="0" w:color="auto"/>
            </w:tcBorders>
            <w:shd w:val="clear" w:color="auto" w:fill="auto"/>
            <w:vAlign w:val="center"/>
            <w:hideMark/>
          </w:tcPr>
          <w:p w14:paraId="1AA9C52B" w14:textId="77777777" w:rsidR="00D20272" w:rsidRPr="00D20272" w:rsidRDefault="00D20272" w:rsidP="00D20272">
            <w:pPr>
              <w:widowControl/>
              <w:autoSpaceDE/>
              <w:autoSpaceDN/>
              <w:adjustRightInd/>
              <w:jc w:val="right"/>
              <w:rPr>
                <w:sz w:val="18"/>
                <w:szCs w:val="18"/>
              </w:rPr>
            </w:pPr>
            <w:r w:rsidRPr="00D20272">
              <w:rPr>
                <w:sz w:val="18"/>
                <w:szCs w:val="18"/>
              </w:rPr>
              <w:t xml:space="preserve">$781,585.90 </w:t>
            </w:r>
          </w:p>
        </w:tc>
      </w:tr>
      <w:tr w:rsidR="00D20272" w:rsidRPr="00D20272" w14:paraId="1C6483D5"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0CA98771" w14:textId="77777777" w:rsidR="00D20272" w:rsidRPr="00D20272" w:rsidRDefault="00D20272" w:rsidP="00D20272">
            <w:pPr>
              <w:widowControl/>
              <w:autoSpaceDE/>
              <w:autoSpaceDN/>
              <w:adjustRightInd/>
              <w:ind w:firstLineChars="200" w:firstLine="360"/>
              <w:rPr>
                <w:sz w:val="18"/>
                <w:szCs w:val="18"/>
              </w:rPr>
            </w:pPr>
            <w:r w:rsidRPr="00D20272">
              <w:rPr>
                <w:sz w:val="18"/>
                <w:szCs w:val="18"/>
              </w:rPr>
              <w:t xml:space="preserve">Records of CMS data      </w:t>
            </w:r>
          </w:p>
        </w:tc>
        <w:tc>
          <w:tcPr>
            <w:tcW w:w="405" w:type="pct"/>
            <w:tcBorders>
              <w:top w:val="nil"/>
              <w:left w:val="nil"/>
              <w:bottom w:val="single" w:sz="4" w:space="0" w:color="auto"/>
              <w:right w:val="single" w:sz="4" w:space="0" w:color="auto"/>
            </w:tcBorders>
            <w:shd w:val="clear" w:color="auto" w:fill="auto"/>
            <w:vAlign w:val="center"/>
            <w:hideMark/>
          </w:tcPr>
          <w:p w14:paraId="5EBDBA6A"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2FA54F79"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73E69C10"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70FDFA1C"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8" w:type="pct"/>
            <w:tcBorders>
              <w:top w:val="nil"/>
              <w:left w:val="nil"/>
              <w:bottom w:val="single" w:sz="4" w:space="0" w:color="auto"/>
              <w:right w:val="single" w:sz="4" w:space="0" w:color="auto"/>
            </w:tcBorders>
            <w:shd w:val="clear" w:color="auto" w:fill="auto"/>
            <w:vAlign w:val="center"/>
            <w:hideMark/>
          </w:tcPr>
          <w:p w14:paraId="5A70FE61"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506" w:type="pct"/>
            <w:tcBorders>
              <w:top w:val="nil"/>
              <w:left w:val="nil"/>
              <w:bottom w:val="single" w:sz="4" w:space="0" w:color="auto"/>
              <w:right w:val="single" w:sz="4" w:space="0" w:color="auto"/>
            </w:tcBorders>
            <w:shd w:val="clear" w:color="auto" w:fill="auto"/>
            <w:vAlign w:val="center"/>
            <w:hideMark/>
          </w:tcPr>
          <w:p w14:paraId="3BDBB2F8"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349" w:type="pct"/>
            <w:tcBorders>
              <w:top w:val="nil"/>
              <w:left w:val="nil"/>
              <w:bottom w:val="single" w:sz="4" w:space="0" w:color="auto"/>
              <w:right w:val="single" w:sz="4" w:space="0" w:color="auto"/>
            </w:tcBorders>
            <w:shd w:val="clear" w:color="auto" w:fill="auto"/>
            <w:vAlign w:val="center"/>
            <w:hideMark/>
          </w:tcPr>
          <w:p w14:paraId="766DA4DD"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99" w:type="pct"/>
            <w:tcBorders>
              <w:top w:val="nil"/>
              <w:left w:val="nil"/>
              <w:bottom w:val="single" w:sz="4" w:space="0" w:color="auto"/>
              <w:right w:val="single" w:sz="4" w:space="0" w:color="auto"/>
            </w:tcBorders>
            <w:shd w:val="clear" w:color="auto" w:fill="auto"/>
            <w:vAlign w:val="center"/>
            <w:hideMark/>
          </w:tcPr>
          <w:p w14:paraId="675AAB24" w14:textId="77777777" w:rsidR="00D20272" w:rsidRPr="00D20272" w:rsidRDefault="00D20272" w:rsidP="00D20272">
            <w:pPr>
              <w:widowControl/>
              <w:autoSpaceDE/>
              <w:autoSpaceDN/>
              <w:adjustRightInd/>
              <w:jc w:val="right"/>
              <w:rPr>
                <w:sz w:val="18"/>
                <w:szCs w:val="18"/>
              </w:rPr>
            </w:pPr>
            <w:r w:rsidRPr="00D20272">
              <w:rPr>
                <w:sz w:val="18"/>
                <w:szCs w:val="18"/>
              </w:rPr>
              <w:t> </w:t>
            </w:r>
          </w:p>
        </w:tc>
      </w:tr>
      <w:tr w:rsidR="00D20272" w:rsidRPr="00D20272" w14:paraId="4B0E3939" w14:textId="77777777" w:rsidTr="00121132">
        <w:trPr>
          <w:trHeight w:val="576"/>
          <w:jc w:val="center"/>
        </w:trPr>
        <w:tc>
          <w:tcPr>
            <w:tcW w:w="1494" w:type="pct"/>
            <w:tcBorders>
              <w:top w:val="nil"/>
              <w:left w:val="single" w:sz="4" w:space="0" w:color="auto"/>
              <w:bottom w:val="single" w:sz="4" w:space="0" w:color="auto"/>
              <w:right w:val="single" w:sz="4" w:space="0" w:color="auto"/>
            </w:tcBorders>
            <w:shd w:val="clear" w:color="auto" w:fill="auto"/>
            <w:hideMark/>
          </w:tcPr>
          <w:p w14:paraId="5722509A" w14:textId="77777777" w:rsidR="00121132" w:rsidRDefault="00D20272" w:rsidP="00D20272">
            <w:pPr>
              <w:widowControl/>
              <w:autoSpaceDE/>
              <w:autoSpaceDN/>
              <w:adjustRightInd/>
              <w:ind w:firstLineChars="300" w:firstLine="540"/>
              <w:rPr>
                <w:sz w:val="18"/>
                <w:szCs w:val="18"/>
              </w:rPr>
            </w:pPr>
            <w:r w:rsidRPr="00D20272">
              <w:rPr>
                <w:sz w:val="18"/>
                <w:szCs w:val="18"/>
              </w:rPr>
              <w:t xml:space="preserve">Record continuously monitored parameters (per </w:t>
            </w:r>
          </w:p>
          <w:p w14:paraId="5A7B160F" w14:textId="77777777" w:rsidR="00D20272" w:rsidRPr="00D20272" w:rsidRDefault="00D20272" w:rsidP="0047715C">
            <w:pPr>
              <w:widowControl/>
              <w:autoSpaceDE/>
              <w:autoSpaceDN/>
              <w:adjustRightInd/>
              <w:ind w:firstLineChars="300" w:firstLine="540"/>
              <w:rPr>
                <w:sz w:val="18"/>
                <w:szCs w:val="18"/>
              </w:rPr>
            </w:pPr>
            <w:r w:rsidRPr="00D20272">
              <w:rPr>
                <w:sz w:val="18"/>
                <w:szCs w:val="18"/>
              </w:rPr>
              <w:t>shift)</w:t>
            </w:r>
            <w:r w:rsidRPr="00D20272">
              <w:rPr>
                <w:sz w:val="18"/>
                <w:szCs w:val="18"/>
                <w:vertAlign w:val="superscript"/>
              </w:rPr>
              <w:t xml:space="preserve"> </w:t>
            </w:r>
            <w:r w:rsidR="0047715C">
              <w:rPr>
                <w:sz w:val="18"/>
                <w:szCs w:val="18"/>
                <w:vertAlign w:val="superscript"/>
              </w:rPr>
              <w:t>j</w:t>
            </w:r>
          </w:p>
        </w:tc>
        <w:tc>
          <w:tcPr>
            <w:tcW w:w="405" w:type="pct"/>
            <w:tcBorders>
              <w:top w:val="nil"/>
              <w:left w:val="nil"/>
              <w:bottom w:val="single" w:sz="4" w:space="0" w:color="auto"/>
              <w:right w:val="single" w:sz="4" w:space="0" w:color="auto"/>
            </w:tcBorders>
            <w:shd w:val="clear" w:color="auto" w:fill="auto"/>
            <w:vAlign w:val="center"/>
            <w:hideMark/>
          </w:tcPr>
          <w:p w14:paraId="3F0A2FCA" w14:textId="77777777" w:rsidR="00D20272" w:rsidRPr="00D20272" w:rsidRDefault="00D20272" w:rsidP="00D20272">
            <w:pPr>
              <w:widowControl/>
              <w:autoSpaceDE/>
              <w:autoSpaceDN/>
              <w:adjustRightInd/>
              <w:jc w:val="center"/>
              <w:rPr>
                <w:sz w:val="18"/>
                <w:szCs w:val="18"/>
              </w:rPr>
            </w:pPr>
            <w:r w:rsidRPr="00D20272">
              <w:rPr>
                <w:sz w:val="18"/>
                <w:szCs w:val="18"/>
              </w:rPr>
              <w:t>0.5</w:t>
            </w:r>
          </w:p>
        </w:tc>
        <w:tc>
          <w:tcPr>
            <w:tcW w:w="437" w:type="pct"/>
            <w:tcBorders>
              <w:top w:val="nil"/>
              <w:left w:val="nil"/>
              <w:bottom w:val="single" w:sz="4" w:space="0" w:color="auto"/>
              <w:right w:val="single" w:sz="4" w:space="0" w:color="auto"/>
            </w:tcBorders>
            <w:shd w:val="clear" w:color="auto" w:fill="auto"/>
            <w:vAlign w:val="center"/>
            <w:hideMark/>
          </w:tcPr>
          <w:p w14:paraId="04D83945" w14:textId="77777777" w:rsidR="00D20272" w:rsidRPr="00D20272" w:rsidRDefault="00D20272" w:rsidP="00D20272">
            <w:pPr>
              <w:widowControl/>
              <w:autoSpaceDE/>
              <w:autoSpaceDN/>
              <w:adjustRightInd/>
              <w:jc w:val="center"/>
              <w:rPr>
                <w:sz w:val="18"/>
                <w:szCs w:val="18"/>
              </w:rPr>
            </w:pPr>
            <w:r w:rsidRPr="00D20272">
              <w:rPr>
                <w:sz w:val="18"/>
                <w:szCs w:val="18"/>
              </w:rPr>
              <w:t>1,050</w:t>
            </w:r>
          </w:p>
        </w:tc>
        <w:tc>
          <w:tcPr>
            <w:tcW w:w="436" w:type="pct"/>
            <w:tcBorders>
              <w:top w:val="nil"/>
              <w:left w:val="nil"/>
              <w:bottom w:val="single" w:sz="4" w:space="0" w:color="auto"/>
              <w:right w:val="single" w:sz="4" w:space="0" w:color="auto"/>
            </w:tcBorders>
            <w:shd w:val="clear" w:color="auto" w:fill="auto"/>
            <w:vAlign w:val="center"/>
            <w:hideMark/>
          </w:tcPr>
          <w:p w14:paraId="7619BA38" w14:textId="77777777" w:rsidR="00D20272" w:rsidRPr="00D20272" w:rsidRDefault="00D20272" w:rsidP="00D20272">
            <w:pPr>
              <w:widowControl/>
              <w:autoSpaceDE/>
              <w:autoSpaceDN/>
              <w:adjustRightInd/>
              <w:jc w:val="center"/>
              <w:rPr>
                <w:sz w:val="18"/>
                <w:szCs w:val="18"/>
              </w:rPr>
            </w:pPr>
            <w:r w:rsidRPr="00D20272">
              <w:rPr>
                <w:sz w:val="18"/>
                <w:szCs w:val="18"/>
              </w:rPr>
              <w:t>525</w:t>
            </w:r>
          </w:p>
        </w:tc>
        <w:tc>
          <w:tcPr>
            <w:tcW w:w="437" w:type="pct"/>
            <w:tcBorders>
              <w:top w:val="nil"/>
              <w:left w:val="nil"/>
              <w:bottom w:val="single" w:sz="4" w:space="0" w:color="auto"/>
              <w:right w:val="single" w:sz="4" w:space="0" w:color="auto"/>
            </w:tcBorders>
            <w:shd w:val="clear" w:color="auto" w:fill="auto"/>
            <w:vAlign w:val="center"/>
            <w:hideMark/>
          </w:tcPr>
          <w:p w14:paraId="5409F259" w14:textId="77777777" w:rsidR="00D20272" w:rsidRPr="00D20272" w:rsidRDefault="00D20272" w:rsidP="00D20272">
            <w:pPr>
              <w:widowControl/>
              <w:autoSpaceDE/>
              <w:autoSpaceDN/>
              <w:adjustRightInd/>
              <w:jc w:val="center"/>
              <w:rPr>
                <w:sz w:val="18"/>
                <w:szCs w:val="18"/>
              </w:rPr>
            </w:pPr>
            <w:r w:rsidRPr="00D20272">
              <w:rPr>
                <w:sz w:val="18"/>
                <w:szCs w:val="18"/>
              </w:rPr>
              <w:t>111</w:t>
            </w:r>
          </w:p>
        </w:tc>
        <w:tc>
          <w:tcPr>
            <w:tcW w:w="438" w:type="pct"/>
            <w:tcBorders>
              <w:top w:val="nil"/>
              <w:left w:val="nil"/>
              <w:bottom w:val="single" w:sz="4" w:space="0" w:color="auto"/>
              <w:right w:val="single" w:sz="4" w:space="0" w:color="auto"/>
            </w:tcBorders>
            <w:shd w:val="clear" w:color="auto" w:fill="auto"/>
            <w:vAlign w:val="center"/>
            <w:hideMark/>
          </w:tcPr>
          <w:p w14:paraId="1CA331DA" w14:textId="77777777" w:rsidR="00D20272" w:rsidRPr="00D20272" w:rsidRDefault="00D20272" w:rsidP="00D20272">
            <w:pPr>
              <w:widowControl/>
              <w:autoSpaceDE/>
              <w:autoSpaceDN/>
              <w:adjustRightInd/>
              <w:jc w:val="center"/>
              <w:rPr>
                <w:sz w:val="18"/>
                <w:szCs w:val="18"/>
              </w:rPr>
            </w:pPr>
            <w:r w:rsidRPr="00D20272">
              <w:rPr>
                <w:sz w:val="18"/>
                <w:szCs w:val="18"/>
              </w:rPr>
              <w:t>58,275</w:t>
            </w:r>
          </w:p>
        </w:tc>
        <w:tc>
          <w:tcPr>
            <w:tcW w:w="506" w:type="pct"/>
            <w:tcBorders>
              <w:top w:val="nil"/>
              <w:left w:val="nil"/>
              <w:bottom w:val="single" w:sz="4" w:space="0" w:color="auto"/>
              <w:right w:val="single" w:sz="4" w:space="0" w:color="auto"/>
            </w:tcBorders>
            <w:shd w:val="clear" w:color="auto" w:fill="auto"/>
            <w:vAlign w:val="center"/>
            <w:hideMark/>
          </w:tcPr>
          <w:p w14:paraId="3BBC32CA" w14:textId="77777777" w:rsidR="00D20272" w:rsidRPr="00D20272" w:rsidRDefault="00D20272" w:rsidP="00D20272">
            <w:pPr>
              <w:widowControl/>
              <w:autoSpaceDE/>
              <w:autoSpaceDN/>
              <w:adjustRightInd/>
              <w:jc w:val="center"/>
              <w:rPr>
                <w:sz w:val="18"/>
                <w:szCs w:val="18"/>
              </w:rPr>
            </w:pPr>
            <w:r w:rsidRPr="00D20272">
              <w:rPr>
                <w:sz w:val="18"/>
                <w:szCs w:val="18"/>
              </w:rPr>
              <w:t>2,913.75</w:t>
            </w:r>
          </w:p>
        </w:tc>
        <w:tc>
          <w:tcPr>
            <w:tcW w:w="349" w:type="pct"/>
            <w:tcBorders>
              <w:top w:val="nil"/>
              <w:left w:val="nil"/>
              <w:bottom w:val="single" w:sz="4" w:space="0" w:color="auto"/>
              <w:right w:val="single" w:sz="4" w:space="0" w:color="auto"/>
            </w:tcBorders>
            <w:shd w:val="clear" w:color="auto" w:fill="auto"/>
            <w:vAlign w:val="center"/>
            <w:hideMark/>
          </w:tcPr>
          <w:p w14:paraId="3DF54ADF" w14:textId="77777777" w:rsidR="00D20272" w:rsidRPr="00D20272" w:rsidRDefault="00D20272" w:rsidP="00D20272">
            <w:pPr>
              <w:widowControl/>
              <w:autoSpaceDE/>
              <w:autoSpaceDN/>
              <w:adjustRightInd/>
              <w:jc w:val="center"/>
              <w:rPr>
                <w:sz w:val="18"/>
                <w:szCs w:val="18"/>
              </w:rPr>
            </w:pPr>
            <w:r w:rsidRPr="00D20272">
              <w:rPr>
                <w:sz w:val="18"/>
                <w:szCs w:val="18"/>
              </w:rPr>
              <w:t>5,827.5</w:t>
            </w:r>
          </w:p>
        </w:tc>
        <w:tc>
          <w:tcPr>
            <w:tcW w:w="499" w:type="pct"/>
            <w:tcBorders>
              <w:top w:val="nil"/>
              <w:left w:val="nil"/>
              <w:bottom w:val="single" w:sz="4" w:space="0" w:color="auto"/>
              <w:right w:val="single" w:sz="4" w:space="0" w:color="auto"/>
            </w:tcBorders>
            <w:shd w:val="clear" w:color="auto" w:fill="auto"/>
            <w:vAlign w:val="center"/>
            <w:hideMark/>
          </w:tcPr>
          <w:p w14:paraId="06461E8A" w14:textId="77777777" w:rsidR="00D20272" w:rsidRPr="00D20272" w:rsidRDefault="00D20272" w:rsidP="00D20272">
            <w:pPr>
              <w:widowControl/>
              <w:autoSpaceDE/>
              <w:autoSpaceDN/>
              <w:adjustRightInd/>
              <w:jc w:val="right"/>
              <w:rPr>
                <w:sz w:val="18"/>
                <w:szCs w:val="18"/>
              </w:rPr>
            </w:pPr>
            <w:r w:rsidRPr="00D20272">
              <w:rPr>
                <w:sz w:val="18"/>
                <w:szCs w:val="18"/>
              </w:rPr>
              <w:t xml:space="preserve">$6,561,065.70 </w:t>
            </w:r>
          </w:p>
        </w:tc>
      </w:tr>
      <w:tr w:rsidR="00D20272" w:rsidRPr="00D20272" w14:paraId="20A4A9A4"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7BB6162C" w14:textId="77777777" w:rsidR="00D20272" w:rsidRPr="00D20272" w:rsidRDefault="00D20272" w:rsidP="00D20272">
            <w:pPr>
              <w:widowControl/>
              <w:autoSpaceDE/>
              <w:autoSpaceDN/>
              <w:adjustRightInd/>
              <w:ind w:firstLineChars="300" w:firstLine="540"/>
              <w:rPr>
                <w:sz w:val="18"/>
                <w:szCs w:val="18"/>
              </w:rPr>
            </w:pPr>
            <w:r w:rsidRPr="00D20272">
              <w:rPr>
                <w:sz w:val="18"/>
                <w:szCs w:val="18"/>
              </w:rPr>
              <w:t xml:space="preserve">Compile monthly data </w:t>
            </w:r>
            <w:r w:rsidR="0047715C">
              <w:rPr>
                <w:sz w:val="18"/>
                <w:szCs w:val="18"/>
                <w:vertAlign w:val="superscript"/>
              </w:rPr>
              <w:t>k</w:t>
            </w:r>
          </w:p>
        </w:tc>
        <w:tc>
          <w:tcPr>
            <w:tcW w:w="405" w:type="pct"/>
            <w:tcBorders>
              <w:top w:val="nil"/>
              <w:left w:val="nil"/>
              <w:bottom w:val="single" w:sz="4" w:space="0" w:color="auto"/>
              <w:right w:val="single" w:sz="4" w:space="0" w:color="auto"/>
            </w:tcBorders>
            <w:shd w:val="clear" w:color="auto" w:fill="auto"/>
            <w:vAlign w:val="center"/>
            <w:hideMark/>
          </w:tcPr>
          <w:p w14:paraId="137D875B" w14:textId="77777777" w:rsidR="00D20272" w:rsidRPr="00D20272" w:rsidRDefault="00D20272" w:rsidP="00D20272">
            <w:pPr>
              <w:widowControl/>
              <w:autoSpaceDE/>
              <w:autoSpaceDN/>
              <w:adjustRightInd/>
              <w:jc w:val="center"/>
              <w:rPr>
                <w:sz w:val="18"/>
                <w:szCs w:val="18"/>
              </w:rPr>
            </w:pPr>
            <w:r w:rsidRPr="00D20272">
              <w:rPr>
                <w:sz w:val="18"/>
                <w:szCs w:val="18"/>
              </w:rPr>
              <w:t>16</w:t>
            </w:r>
          </w:p>
        </w:tc>
        <w:tc>
          <w:tcPr>
            <w:tcW w:w="437" w:type="pct"/>
            <w:tcBorders>
              <w:top w:val="nil"/>
              <w:left w:val="nil"/>
              <w:bottom w:val="single" w:sz="4" w:space="0" w:color="auto"/>
              <w:right w:val="single" w:sz="4" w:space="0" w:color="auto"/>
            </w:tcBorders>
            <w:shd w:val="clear" w:color="auto" w:fill="auto"/>
            <w:vAlign w:val="center"/>
            <w:hideMark/>
          </w:tcPr>
          <w:p w14:paraId="51BE5ACA" w14:textId="77777777" w:rsidR="00D20272" w:rsidRPr="00D20272" w:rsidRDefault="00D20272" w:rsidP="00D20272">
            <w:pPr>
              <w:widowControl/>
              <w:autoSpaceDE/>
              <w:autoSpaceDN/>
              <w:adjustRightInd/>
              <w:jc w:val="center"/>
              <w:rPr>
                <w:sz w:val="18"/>
                <w:szCs w:val="18"/>
              </w:rPr>
            </w:pPr>
            <w:r w:rsidRPr="00D20272">
              <w:rPr>
                <w:sz w:val="18"/>
                <w:szCs w:val="18"/>
              </w:rPr>
              <w:t>12</w:t>
            </w:r>
          </w:p>
        </w:tc>
        <w:tc>
          <w:tcPr>
            <w:tcW w:w="436" w:type="pct"/>
            <w:tcBorders>
              <w:top w:val="nil"/>
              <w:left w:val="nil"/>
              <w:bottom w:val="single" w:sz="4" w:space="0" w:color="auto"/>
              <w:right w:val="single" w:sz="4" w:space="0" w:color="auto"/>
            </w:tcBorders>
            <w:shd w:val="clear" w:color="auto" w:fill="auto"/>
            <w:vAlign w:val="center"/>
            <w:hideMark/>
          </w:tcPr>
          <w:p w14:paraId="0EADE216" w14:textId="77777777" w:rsidR="00D20272" w:rsidRPr="00D20272" w:rsidRDefault="00D20272" w:rsidP="00D20272">
            <w:pPr>
              <w:widowControl/>
              <w:autoSpaceDE/>
              <w:autoSpaceDN/>
              <w:adjustRightInd/>
              <w:jc w:val="center"/>
              <w:rPr>
                <w:sz w:val="18"/>
                <w:szCs w:val="18"/>
              </w:rPr>
            </w:pPr>
            <w:r w:rsidRPr="00D20272">
              <w:rPr>
                <w:sz w:val="18"/>
                <w:szCs w:val="18"/>
              </w:rPr>
              <w:t>192</w:t>
            </w:r>
          </w:p>
        </w:tc>
        <w:tc>
          <w:tcPr>
            <w:tcW w:w="437" w:type="pct"/>
            <w:tcBorders>
              <w:top w:val="nil"/>
              <w:left w:val="nil"/>
              <w:bottom w:val="single" w:sz="4" w:space="0" w:color="auto"/>
              <w:right w:val="single" w:sz="4" w:space="0" w:color="auto"/>
            </w:tcBorders>
            <w:shd w:val="clear" w:color="auto" w:fill="auto"/>
            <w:vAlign w:val="center"/>
            <w:hideMark/>
          </w:tcPr>
          <w:p w14:paraId="3FC70C48" w14:textId="77777777" w:rsidR="00D20272" w:rsidRPr="00D20272" w:rsidRDefault="00D20272" w:rsidP="00D20272">
            <w:pPr>
              <w:widowControl/>
              <w:autoSpaceDE/>
              <w:autoSpaceDN/>
              <w:adjustRightInd/>
              <w:jc w:val="center"/>
              <w:rPr>
                <w:sz w:val="18"/>
                <w:szCs w:val="18"/>
              </w:rPr>
            </w:pPr>
            <w:r w:rsidRPr="00D20272">
              <w:rPr>
                <w:sz w:val="18"/>
                <w:szCs w:val="18"/>
              </w:rPr>
              <w:t>111</w:t>
            </w:r>
          </w:p>
        </w:tc>
        <w:tc>
          <w:tcPr>
            <w:tcW w:w="438" w:type="pct"/>
            <w:tcBorders>
              <w:top w:val="nil"/>
              <w:left w:val="nil"/>
              <w:bottom w:val="single" w:sz="4" w:space="0" w:color="auto"/>
              <w:right w:val="single" w:sz="4" w:space="0" w:color="auto"/>
            </w:tcBorders>
            <w:shd w:val="clear" w:color="auto" w:fill="auto"/>
            <w:vAlign w:val="center"/>
            <w:hideMark/>
          </w:tcPr>
          <w:p w14:paraId="522EF907" w14:textId="77777777" w:rsidR="00D20272" w:rsidRPr="00D20272" w:rsidRDefault="00D20272" w:rsidP="00D20272">
            <w:pPr>
              <w:widowControl/>
              <w:autoSpaceDE/>
              <w:autoSpaceDN/>
              <w:adjustRightInd/>
              <w:jc w:val="center"/>
              <w:rPr>
                <w:sz w:val="18"/>
                <w:szCs w:val="18"/>
              </w:rPr>
            </w:pPr>
            <w:r w:rsidRPr="00D20272">
              <w:rPr>
                <w:sz w:val="18"/>
                <w:szCs w:val="18"/>
              </w:rPr>
              <w:t>21,312</w:t>
            </w:r>
          </w:p>
        </w:tc>
        <w:tc>
          <w:tcPr>
            <w:tcW w:w="506" w:type="pct"/>
            <w:tcBorders>
              <w:top w:val="nil"/>
              <w:left w:val="nil"/>
              <w:bottom w:val="single" w:sz="4" w:space="0" w:color="auto"/>
              <w:right w:val="single" w:sz="4" w:space="0" w:color="auto"/>
            </w:tcBorders>
            <w:shd w:val="clear" w:color="auto" w:fill="auto"/>
            <w:vAlign w:val="center"/>
            <w:hideMark/>
          </w:tcPr>
          <w:p w14:paraId="6F145755" w14:textId="77777777" w:rsidR="00D20272" w:rsidRPr="00D20272" w:rsidRDefault="00D20272" w:rsidP="00D20272">
            <w:pPr>
              <w:widowControl/>
              <w:autoSpaceDE/>
              <w:autoSpaceDN/>
              <w:adjustRightInd/>
              <w:jc w:val="center"/>
              <w:rPr>
                <w:sz w:val="18"/>
                <w:szCs w:val="18"/>
              </w:rPr>
            </w:pPr>
            <w:r w:rsidRPr="00D20272">
              <w:rPr>
                <w:sz w:val="18"/>
                <w:szCs w:val="18"/>
              </w:rPr>
              <w:t>1,065.6</w:t>
            </w:r>
          </w:p>
        </w:tc>
        <w:tc>
          <w:tcPr>
            <w:tcW w:w="349" w:type="pct"/>
            <w:tcBorders>
              <w:top w:val="nil"/>
              <w:left w:val="nil"/>
              <w:bottom w:val="single" w:sz="4" w:space="0" w:color="auto"/>
              <w:right w:val="single" w:sz="4" w:space="0" w:color="auto"/>
            </w:tcBorders>
            <w:shd w:val="clear" w:color="auto" w:fill="auto"/>
            <w:vAlign w:val="center"/>
            <w:hideMark/>
          </w:tcPr>
          <w:p w14:paraId="7A675741" w14:textId="77777777" w:rsidR="00D20272" w:rsidRPr="00D20272" w:rsidRDefault="00D20272" w:rsidP="00D20272">
            <w:pPr>
              <w:widowControl/>
              <w:autoSpaceDE/>
              <w:autoSpaceDN/>
              <w:adjustRightInd/>
              <w:jc w:val="center"/>
              <w:rPr>
                <w:sz w:val="18"/>
                <w:szCs w:val="18"/>
              </w:rPr>
            </w:pPr>
            <w:r w:rsidRPr="00D20272">
              <w:rPr>
                <w:sz w:val="18"/>
                <w:szCs w:val="18"/>
              </w:rPr>
              <w:t>2,131.2</w:t>
            </w:r>
          </w:p>
        </w:tc>
        <w:tc>
          <w:tcPr>
            <w:tcW w:w="499" w:type="pct"/>
            <w:tcBorders>
              <w:top w:val="nil"/>
              <w:left w:val="nil"/>
              <w:bottom w:val="single" w:sz="4" w:space="0" w:color="auto"/>
              <w:right w:val="single" w:sz="4" w:space="0" w:color="auto"/>
            </w:tcBorders>
            <w:shd w:val="clear" w:color="auto" w:fill="auto"/>
            <w:vAlign w:val="center"/>
            <w:hideMark/>
          </w:tcPr>
          <w:p w14:paraId="698B50B9" w14:textId="77777777" w:rsidR="00D20272" w:rsidRPr="00D20272" w:rsidRDefault="00D20272" w:rsidP="00D20272">
            <w:pPr>
              <w:widowControl/>
              <w:autoSpaceDE/>
              <w:autoSpaceDN/>
              <w:adjustRightInd/>
              <w:jc w:val="right"/>
              <w:rPr>
                <w:sz w:val="18"/>
                <w:szCs w:val="18"/>
              </w:rPr>
            </w:pPr>
            <w:r w:rsidRPr="00D20272">
              <w:rPr>
                <w:sz w:val="18"/>
                <w:szCs w:val="18"/>
              </w:rPr>
              <w:t xml:space="preserve">$2,399,475.46 </w:t>
            </w:r>
          </w:p>
        </w:tc>
      </w:tr>
      <w:tr w:rsidR="00D20272" w:rsidRPr="00D20272" w14:paraId="37B17C01" w14:textId="77777777" w:rsidTr="00121132">
        <w:trPr>
          <w:trHeight w:val="576"/>
          <w:jc w:val="center"/>
        </w:trPr>
        <w:tc>
          <w:tcPr>
            <w:tcW w:w="1494" w:type="pct"/>
            <w:tcBorders>
              <w:top w:val="nil"/>
              <w:left w:val="single" w:sz="4" w:space="0" w:color="auto"/>
              <w:bottom w:val="single" w:sz="4" w:space="0" w:color="auto"/>
              <w:right w:val="single" w:sz="4" w:space="0" w:color="auto"/>
            </w:tcBorders>
            <w:shd w:val="clear" w:color="auto" w:fill="auto"/>
            <w:hideMark/>
          </w:tcPr>
          <w:p w14:paraId="680CC9A6" w14:textId="77777777" w:rsidR="00121132" w:rsidRDefault="00D20272" w:rsidP="00D20272">
            <w:pPr>
              <w:widowControl/>
              <w:autoSpaceDE/>
              <w:autoSpaceDN/>
              <w:adjustRightInd/>
              <w:ind w:firstLineChars="300" w:firstLine="540"/>
              <w:rPr>
                <w:sz w:val="18"/>
                <w:szCs w:val="18"/>
              </w:rPr>
            </w:pPr>
            <w:r w:rsidRPr="00D20272">
              <w:rPr>
                <w:sz w:val="18"/>
                <w:szCs w:val="18"/>
              </w:rPr>
              <w:t xml:space="preserve">Enter/verify information for quarterly/  </w:t>
            </w:r>
          </w:p>
          <w:p w14:paraId="4DA0D3AC" w14:textId="77777777" w:rsidR="00D20272" w:rsidRPr="00D20272" w:rsidRDefault="00D20272" w:rsidP="00D20272">
            <w:pPr>
              <w:widowControl/>
              <w:autoSpaceDE/>
              <w:autoSpaceDN/>
              <w:adjustRightInd/>
              <w:ind w:firstLineChars="300" w:firstLine="540"/>
              <w:rPr>
                <w:sz w:val="18"/>
                <w:szCs w:val="18"/>
              </w:rPr>
            </w:pPr>
            <w:r w:rsidRPr="00D20272">
              <w:rPr>
                <w:sz w:val="18"/>
                <w:szCs w:val="18"/>
              </w:rPr>
              <w:t xml:space="preserve">semiannual reports </w:t>
            </w:r>
            <w:r w:rsidR="0047715C">
              <w:rPr>
                <w:sz w:val="18"/>
                <w:szCs w:val="18"/>
                <w:vertAlign w:val="superscript"/>
              </w:rPr>
              <w:t>l</w:t>
            </w:r>
          </w:p>
        </w:tc>
        <w:tc>
          <w:tcPr>
            <w:tcW w:w="405" w:type="pct"/>
            <w:tcBorders>
              <w:top w:val="nil"/>
              <w:left w:val="nil"/>
              <w:bottom w:val="single" w:sz="4" w:space="0" w:color="auto"/>
              <w:right w:val="single" w:sz="4" w:space="0" w:color="auto"/>
            </w:tcBorders>
            <w:shd w:val="clear" w:color="auto" w:fill="auto"/>
            <w:vAlign w:val="center"/>
            <w:hideMark/>
          </w:tcPr>
          <w:p w14:paraId="2DE55CAE" w14:textId="77777777" w:rsidR="00D20272" w:rsidRPr="00D20272" w:rsidRDefault="00D20272" w:rsidP="00D20272">
            <w:pPr>
              <w:widowControl/>
              <w:autoSpaceDE/>
              <w:autoSpaceDN/>
              <w:adjustRightInd/>
              <w:jc w:val="center"/>
              <w:rPr>
                <w:sz w:val="18"/>
                <w:szCs w:val="18"/>
              </w:rPr>
            </w:pPr>
            <w:r w:rsidRPr="00D20272">
              <w:rPr>
                <w:sz w:val="18"/>
                <w:szCs w:val="18"/>
              </w:rPr>
              <w:t>8</w:t>
            </w:r>
          </w:p>
        </w:tc>
        <w:tc>
          <w:tcPr>
            <w:tcW w:w="437" w:type="pct"/>
            <w:tcBorders>
              <w:top w:val="nil"/>
              <w:left w:val="nil"/>
              <w:bottom w:val="single" w:sz="4" w:space="0" w:color="auto"/>
              <w:right w:val="single" w:sz="4" w:space="0" w:color="auto"/>
            </w:tcBorders>
            <w:shd w:val="clear" w:color="auto" w:fill="auto"/>
            <w:vAlign w:val="center"/>
            <w:hideMark/>
          </w:tcPr>
          <w:p w14:paraId="532147F7"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436" w:type="pct"/>
            <w:tcBorders>
              <w:top w:val="nil"/>
              <w:left w:val="nil"/>
              <w:bottom w:val="single" w:sz="4" w:space="0" w:color="auto"/>
              <w:right w:val="single" w:sz="4" w:space="0" w:color="auto"/>
            </w:tcBorders>
            <w:shd w:val="clear" w:color="auto" w:fill="auto"/>
            <w:vAlign w:val="center"/>
            <w:hideMark/>
          </w:tcPr>
          <w:p w14:paraId="3ED2B6E2" w14:textId="77777777" w:rsidR="00D20272" w:rsidRPr="00D20272" w:rsidRDefault="00D20272" w:rsidP="00D20272">
            <w:pPr>
              <w:widowControl/>
              <w:autoSpaceDE/>
              <w:autoSpaceDN/>
              <w:adjustRightInd/>
              <w:jc w:val="center"/>
              <w:rPr>
                <w:sz w:val="18"/>
                <w:szCs w:val="18"/>
              </w:rPr>
            </w:pPr>
            <w:r w:rsidRPr="00D20272">
              <w:rPr>
                <w:sz w:val="18"/>
                <w:szCs w:val="18"/>
              </w:rPr>
              <w:t>16</w:t>
            </w:r>
          </w:p>
        </w:tc>
        <w:tc>
          <w:tcPr>
            <w:tcW w:w="437" w:type="pct"/>
            <w:tcBorders>
              <w:top w:val="nil"/>
              <w:left w:val="nil"/>
              <w:bottom w:val="single" w:sz="4" w:space="0" w:color="auto"/>
              <w:right w:val="single" w:sz="4" w:space="0" w:color="auto"/>
            </w:tcBorders>
            <w:shd w:val="clear" w:color="auto" w:fill="auto"/>
            <w:vAlign w:val="center"/>
            <w:hideMark/>
          </w:tcPr>
          <w:p w14:paraId="34BEC203" w14:textId="77777777" w:rsidR="00D20272" w:rsidRPr="00D20272" w:rsidRDefault="00D20272" w:rsidP="00D20272">
            <w:pPr>
              <w:widowControl/>
              <w:autoSpaceDE/>
              <w:autoSpaceDN/>
              <w:adjustRightInd/>
              <w:jc w:val="center"/>
              <w:rPr>
                <w:sz w:val="18"/>
                <w:szCs w:val="18"/>
              </w:rPr>
            </w:pPr>
            <w:r w:rsidRPr="00D20272">
              <w:rPr>
                <w:sz w:val="18"/>
                <w:szCs w:val="18"/>
              </w:rPr>
              <w:t>111</w:t>
            </w:r>
          </w:p>
        </w:tc>
        <w:tc>
          <w:tcPr>
            <w:tcW w:w="438" w:type="pct"/>
            <w:tcBorders>
              <w:top w:val="nil"/>
              <w:left w:val="nil"/>
              <w:bottom w:val="single" w:sz="4" w:space="0" w:color="auto"/>
              <w:right w:val="single" w:sz="4" w:space="0" w:color="auto"/>
            </w:tcBorders>
            <w:shd w:val="clear" w:color="auto" w:fill="auto"/>
            <w:vAlign w:val="center"/>
            <w:hideMark/>
          </w:tcPr>
          <w:p w14:paraId="1525B2A0" w14:textId="77777777" w:rsidR="00D20272" w:rsidRPr="00D20272" w:rsidRDefault="00D20272" w:rsidP="00D20272">
            <w:pPr>
              <w:widowControl/>
              <w:autoSpaceDE/>
              <w:autoSpaceDN/>
              <w:adjustRightInd/>
              <w:jc w:val="center"/>
              <w:rPr>
                <w:sz w:val="18"/>
                <w:szCs w:val="18"/>
              </w:rPr>
            </w:pPr>
            <w:r w:rsidRPr="00D20272">
              <w:rPr>
                <w:sz w:val="18"/>
                <w:szCs w:val="18"/>
              </w:rPr>
              <w:t>1,776</w:t>
            </w:r>
          </w:p>
        </w:tc>
        <w:tc>
          <w:tcPr>
            <w:tcW w:w="506" w:type="pct"/>
            <w:tcBorders>
              <w:top w:val="nil"/>
              <w:left w:val="nil"/>
              <w:bottom w:val="single" w:sz="4" w:space="0" w:color="auto"/>
              <w:right w:val="single" w:sz="4" w:space="0" w:color="auto"/>
            </w:tcBorders>
            <w:shd w:val="clear" w:color="auto" w:fill="auto"/>
            <w:vAlign w:val="center"/>
            <w:hideMark/>
          </w:tcPr>
          <w:p w14:paraId="62426D2E" w14:textId="77777777" w:rsidR="00D20272" w:rsidRPr="00D20272" w:rsidRDefault="00D20272" w:rsidP="00D20272">
            <w:pPr>
              <w:widowControl/>
              <w:autoSpaceDE/>
              <w:autoSpaceDN/>
              <w:adjustRightInd/>
              <w:jc w:val="center"/>
              <w:rPr>
                <w:sz w:val="18"/>
                <w:szCs w:val="18"/>
              </w:rPr>
            </w:pPr>
            <w:r w:rsidRPr="00D20272">
              <w:rPr>
                <w:sz w:val="18"/>
                <w:szCs w:val="18"/>
              </w:rPr>
              <w:t>88.8</w:t>
            </w:r>
          </w:p>
        </w:tc>
        <w:tc>
          <w:tcPr>
            <w:tcW w:w="349" w:type="pct"/>
            <w:tcBorders>
              <w:top w:val="nil"/>
              <w:left w:val="nil"/>
              <w:bottom w:val="single" w:sz="4" w:space="0" w:color="auto"/>
              <w:right w:val="single" w:sz="4" w:space="0" w:color="auto"/>
            </w:tcBorders>
            <w:shd w:val="clear" w:color="auto" w:fill="auto"/>
            <w:vAlign w:val="center"/>
            <w:hideMark/>
          </w:tcPr>
          <w:p w14:paraId="29635B5F" w14:textId="77777777" w:rsidR="00D20272" w:rsidRPr="00D20272" w:rsidRDefault="00D20272" w:rsidP="00D20272">
            <w:pPr>
              <w:widowControl/>
              <w:autoSpaceDE/>
              <w:autoSpaceDN/>
              <w:adjustRightInd/>
              <w:jc w:val="center"/>
              <w:rPr>
                <w:sz w:val="18"/>
                <w:szCs w:val="18"/>
              </w:rPr>
            </w:pPr>
            <w:r w:rsidRPr="00D20272">
              <w:rPr>
                <w:sz w:val="18"/>
                <w:szCs w:val="18"/>
              </w:rPr>
              <w:t>177.6</w:t>
            </w:r>
          </w:p>
        </w:tc>
        <w:tc>
          <w:tcPr>
            <w:tcW w:w="499" w:type="pct"/>
            <w:tcBorders>
              <w:top w:val="nil"/>
              <w:left w:val="nil"/>
              <w:bottom w:val="single" w:sz="4" w:space="0" w:color="auto"/>
              <w:right w:val="single" w:sz="4" w:space="0" w:color="auto"/>
            </w:tcBorders>
            <w:shd w:val="clear" w:color="auto" w:fill="auto"/>
            <w:vAlign w:val="center"/>
            <w:hideMark/>
          </w:tcPr>
          <w:p w14:paraId="63B5274C" w14:textId="77777777" w:rsidR="00D20272" w:rsidRPr="00D20272" w:rsidRDefault="00D20272" w:rsidP="00D20272">
            <w:pPr>
              <w:widowControl/>
              <w:autoSpaceDE/>
              <w:autoSpaceDN/>
              <w:adjustRightInd/>
              <w:jc w:val="right"/>
              <w:rPr>
                <w:sz w:val="18"/>
                <w:szCs w:val="18"/>
              </w:rPr>
            </w:pPr>
            <w:r w:rsidRPr="00D20272">
              <w:rPr>
                <w:sz w:val="18"/>
                <w:szCs w:val="18"/>
              </w:rPr>
              <w:t xml:space="preserve">$199,956.29 </w:t>
            </w:r>
          </w:p>
        </w:tc>
      </w:tr>
      <w:tr w:rsidR="00D20272" w:rsidRPr="00D20272" w14:paraId="4B2E099B"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2EEF13B2"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 xml:space="preserve">G.  Time to train personnel </w:t>
            </w:r>
            <w:r w:rsidR="0047715C" w:rsidRPr="0047715C">
              <w:rPr>
                <w:sz w:val="18"/>
                <w:szCs w:val="18"/>
                <w:vertAlign w:val="superscript"/>
              </w:rPr>
              <w:t>m</w:t>
            </w:r>
          </w:p>
        </w:tc>
        <w:tc>
          <w:tcPr>
            <w:tcW w:w="405" w:type="pct"/>
            <w:tcBorders>
              <w:top w:val="nil"/>
              <w:left w:val="nil"/>
              <w:bottom w:val="single" w:sz="4" w:space="0" w:color="auto"/>
              <w:right w:val="single" w:sz="4" w:space="0" w:color="auto"/>
            </w:tcBorders>
            <w:shd w:val="clear" w:color="auto" w:fill="auto"/>
            <w:vAlign w:val="center"/>
            <w:hideMark/>
          </w:tcPr>
          <w:p w14:paraId="24D36BA2" w14:textId="77777777" w:rsidR="00D20272" w:rsidRPr="00D20272" w:rsidRDefault="00D20272" w:rsidP="00D20272">
            <w:pPr>
              <w:widowControl/>
              <w:autoSpaceDE/>
              <w:autoSpaceDN/>
              <w:adjustRightInd/>
              <w:jc w:val="center"/>
              <w:rPr>
                <w:sz w:val="18"/>
                <w:szCs w:val="18"/>
              </w:rPr>
            </w:pPr>
            <w:r w:rsidRPr="00D20272">
              <w:rPr>
                <w:sz w:val="18"/>
                <w:szCs w:val="18"/>
              </w:rPr>
              <w:t>40</w:t>
            </w:r>
          </w:p>
        </w:tc>
        <w:tc>
          <w:tcPr>
            <w:tcW w:w="437" w:type="pct"/>
            <w:tcBorders>
              <w:top w:val="nil"/>
              <w:left w:val="nil"/>
              <w:bottom w:val="single" w:sz="4" w:space="0" w:color="auto"/>
              <w:right w:val="single" w:sz="4" w:space="0" w:color="auto"/>
            </w:tcBorders>
            <w:shd w:val="clear" w:color="auto" w:fill="auto"/>
            <w:vAlign w:val="center"/>
            <w:hideMark/>
          </w:tcPr>
          <w:p w14:paraId="5DD4E2C4"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4B0C6CE4" w14:textId="77777777" w:rsidR="00D20272" w:rsidRPr="00D20272" w:rsidRDefault="00D20272" w:rsidP="00D20272">
            <w:pPr>
              <w:widowControl/>
              <w:autoSpaceDE/>
              <w:autoSpaceDN/>
              <w:adjustRightInd/>
              <w:jc w:val="center"/>
              <w:rPr>
                <w:sz w:val="18"/>
                <w:szCs w:val="18"/>
              </w:rPr>
            </w:pPr>
            <w:r w:rsidRPr="00D20272">
              <w:rPr>
                <w:sz w:val="18"/>
                <w:szCs w:val="18"/>
              </w:rPr>
              <w:t>40</w:t>
            </w:r>
          </w:p>
        </w:tc>
        <w:tc>
          <w:tcPr>
            <w:tcW w:w="437" w:type="pct"/>
            <w:tcBorders>
              <w:top w:val="nil"/>
              <w:left w:val="nil"/>
              <w:bottom w:val="single" w:sz="4" w:space="0" w:color="auto"/>
              <w:right w:val="single" w:sz="4" w:space="0" w:color="auto"/>
            </w:tcBorders>
            <w:shd w:val="clear" w:color="auto" w:fill="auto"/>
            <w:vAlign w:val="center"/>
            <w:hideMark/>
          </w:tcPr>
          <w:p w14:paraId="36BA520D"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8" w:type="pct"/>
            <w:tcBorders>
              <w:top w:val="nil"/>
              <w:left w:val="nil"/>
              <w:bottom w:val="single" w:sz="4" w:space="0" w:color="auto"/>
              <w:right w:val="single" w:sz="4" w:space="0" w:color="auto"/>
            </w:tcBorders>
            <w:shd w:val="clear" w:color="auto" w:fill="auto"/>
            <w:vAlign w:val="center"/>
            <w:hideMark/>
          </w:tcPr>
          <w:p w14:paraId="24EA93CB" w14:textId="77777777" w:rsidR="00D20272" w:rsidRPr="00D20272" w:rsidRDefault="00D20272" w:rsidP="00D20272">
            <w:pPr>
              <w:widowControl/>
              <w:autoSpaceDE/>
              <w:autoSpaceDN/>
              <w:adjustRightInd/>
              <w:jc w:val="center"/>
              <w:rPr>
                <w:sz w:val="18"/>
                <w:szCs w:val="18"/>
              </w:rPr>
            </w:pPr>
            <w:r w:rsidRPr="00D20272">
              <w:rPr>
                <w:sz w:val="18"/>
                <w:szCs w:val="18"/>
              </w:rPr>
              <w:t>40</w:t>
            </w:r>
          </w:p>
        </w:tc>
        <w:tc>
          <w:tcPr>
            <w:tcW w:w="506" w:type="pct"/>
            <w:tcBorders>
              <w:top w:val="nil"/>
              <w:left w:val="nil"/>
              <w:bottom w:val="single" w:sz="4" w:space="0" w:color="auto"/>
              <w:right w:val="single" w:sz="4" w:space="0" w:color="auto"/>
            </w:tcBorders>
            <w:shd w:val="clear" w:color="auto" w:fill="auto"/>
            <w:vAlign w:val="center"/>
            <w:hideMark/>
          </w:tcPr>
          <w:p w14:paraId="563488C5" w14:textId="77777777" w:rsidR="00D20272" w:rsidRPr="00D20272" w:rsidRDefault="00D20272" w:rsidP="00D20272">
            <w:pPr>
              <w:widowControl/>
              <w:autoSpaceDE/>
              <w:autoSpaceDN/>
              <w:adjustRightInd/>
              <w:jc w:val="center"/>
              <w:rPr>
                <w:sz w:val="18"/>
                <w:szCs w:val="18"/>
              </w:rPr>
            </w:pPr>
            <w:r w:rsidRPr="00D20272">
              <w:rPr>
                <w:sz w:val="18"/>
                <w:szCs w:val="18"/>
              </w:rPr>
              <w:t>2</w:t>
            </w:r>
          </w:p>
        </w:tc>
        <w:tc>
          <w:tcPr>
            <w:tcW w:w="349" w:type="pct"/>
            <w:tcBorders>
              <w:top w:val="nil"/>
              <w:left w:val="nil"/>
              <w:bottom w:val="single" w:sz="4" w:space="0" w:color="auto"/>
              <w:right w:val="single" w:sz="4" w:space="0" w:color="auto"/>
            </w:tcBorders>
            <w:shd w:val="clear" w:color="auto" w:fill="auto"/>
            <w:vAlign w:val="center"/>
            <w:hideMark/>
          </w:tcPr>
          <w:p w14:paraId="386FC5FC" w14:textId="77777777" w:rsidR="00D20272" w:rsidRPr="00D20272" w:rsidRDefault="00D20272" w:rsidP="00D20272">
            <w:pPr>
              <w:widowControl/>
              <w:autoSpaceDE/>
              <w:autoSpaceDN/>
              <w:adjustRightInd/>
              <w:jc w:val="center"/>
              <w:rPr>
                <w:sz w:val="18"/>
                <w:szCs w:val="18"/>
              </w:rPr>
            </w:pPr>
            <w:r w:rsidRPr="00D20272">
              <w:rPr>
                <w:sz w:val="18"/>
                <w:szCs w:val="18"/>
              </w:rPr>
              <w:t>4</w:t>
            </w:r>
          </w:p>
        </w:tc>
        <w:tc>
          <w:tcPr>
            <w:tcW w:w="499" w:type="pct"/>
            <w:tcBorders>
              <w:top w:val="nil"/>
              <w:left w:val="nil"/>
              <w:bottom w:val="single" w:sz="4" w:space="0" w:color="auto"/>
              <w:right w:val="single" w:sz="4" w:space="0" w:color="auto"/>
            </w:tcBorders>
            <w:shd w:val="clear" w:color="auto" w:fill="auto"/>
            <w:vAlign w:val="center"/>
            <w:hideMark/>
          </w:tcPr>
          <w:p w14:paraId="330B14E9" w14:textId="77777777" w:rsidR="00D20272" w:rsidRPr="00D20272" w:rsidRDefault="00D20272" w:rsidP="00D20272">
            <w:pPr>
              <w:widowControl/>
              <w:autoSpaceDE/>
              <w:autoSpaceDN/>
              <w:adjustRightInd/>
              <w:jc w:val="right"/>
              <w:rPr>
                <w:sz w:val="18"/>
                <w:szCs w:val="18"/>
              </w:rPr>
            </w:pPr>
            <w:r w:rsidRPr="00D20272">
              <w:rPr>
                <w:sz w:val="18"/>
                <w:szCs w:val="18"/>
              </w:rPr>
              <w:t xml:space="preserve">$4,503.52 </w:t>
            </w:r>
          </w:p>
        </w:tc>
      </w:tr>
      <w:tr w:rsidR="00D20272" w:rsidRPr="00D20272" w14:paraId="5E34B0DD" w14:textId="77777777" w:rsidTr="00121132">
        <w:trPr>
          <w:trHeight w:val="312"/>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40336CC7" w14:textId="77777777" w:rsidR="00D20272" w:rsidRPr="00D20272" w:rsidRDefault="00D20272" w:rsidP="00D20272">
            <w:pPr>
              <w:widowControl/>
              <w:autoSpaceDE/>
              <w:autoSpaceDN/>
              <w:adjustRightInd/>
              <w:ind w:firstLineChars="100" w:firstLine="180"/>
              <w:rPr>
                <w:sz w:val="18"/>
                <w:szCs w:val="18"/>
              </w:rPr>
            </w:pPr>
            <w:r w:rsidRPr="00D20272">
              <w:rPr>
                <w:sz w:val="18"/>
                <w:szCs w:val="18"/>
              </w:rPr>
              <w:t xml:space="preserve">H.  Time for refresher training for personnel </w:t>
            </w:r>
            <w:r w:rsidR="0047715C">
              <w:rPr>
                <w:sz w:val="18"/>
                <w:szCs w:val="18"/>
                <w:vertAlign w:val="superscript"/>
              </w:rPr>
              <w:t>n</w:t>
            </w:r>
          </w:p>
        </w:tc>
        <w:tc>
          <w:tcPr>
            <w:tcW w:w="405" w:type="pct"/>
            <w:tcBorders>
              <w:top w:val="nil"/>
              <w:left w:val="nil"/>
              <w:bottom w:val="single" w:sz="4" w:space="0" w:color="auto"/>
              <w:right w:val="single" w:sz="4" w:space="0" w:color="auto"/>
            </w:tcBorders>
            <w:shd w:val="clear" w:color="auto" w:fill="auto"/>
            <w:vAlign w:val="center"/>
            <w:hideMark/>
          </w:tcPr>
          <w:p w14:paraId="0FE0F699" w14:textId="77777777" w:rsidR="00D20272" w:rsidRPr="00D20272" w:rsidRDefault="00D20272" w:rsidP="00D20272">
            <w:pPr>
              <w:widowControl/>
              <w:autoSpaceDE/>
              <w:autoSpaceDN/>
              <w:adjustRightInd/>
              <w:jc w:val="center"/>
              <w:rPr>
                <w:sz w:val="18"/>
                <w:szCs w:val="18"/>
              </w:rPr>
            </w:pPr>
            <w:r w:rsidRPr="00D20272">
              <w:rPr>
                <w:sz w:val="18"/>
                <w:szCs w:val="18"/>
              </w:rPr>
              <w:t>16</w:t>
            </w:r>
          </w:p>
        </w:tc>
        <w:tc>
          <w:tcPr>
            <w:tcW w:w="437" w:type="pct"/>
            <w:tcBorders>
              <w:top w:val="nil"/>
              <w:left w:val="nil"/>
              <w:bottom w:val="single" w:sz="4" w:space="0" w:color="auto"/>
              <w:right w:val="single" w:sz="4" w:space="0" w:color="auto"/>
            </w:tcBorders>
            <w:shd w:val="clear" w:color="auto" w:fill="auto"/>
            <w:vAlign w:val="center"/>
            <w:hideMark/>
          </w:tcPr>
          <w:p w14:paraId="4460F910" w14:textId="77777777" w:rsidR="00D20272" w:rsidRPr="00D20272" w:rsidRDefault="00D20272" w:rsidP="00D20272">
            <w:pPr>
              <w:widowControl/>
              <w:autoSpaceDE/>
              <w:autoSpaceDN/>
              <w:adjustRightInd/>
              <w:jc w:val="center"/>
              <w:rPr>
                <w:sz w:val="18"/>
                <w:szCs w:val="18"/>
              </w:rPr>
            </w:pPr>
            <w:r w:rsidRPr="00D20272">
              <w:rPr>
                <w:sz w:val="18"/>
                <w:szCs w:val="18"/>
              </w:rPr>
              <w:t>1</w:t>
            </w:r>
          </w:p>
        </w:tc>
        <w:tc>
          <w:tcPr>
            <w:tcW w:w="436" w:type="pct"/>
            <w:tcBorders>
              <w:top w:val="nil"/>
              <w:left w:val="nil"/>
              <w:bottom w:val="single" w:sz="4" w:space="0" w:color="auto"/>
              <w:right w:val="single" w:sz="4" w:space="0" w:color="auto"/>
            </w:tcBorders>
            <w:shd w:val="clear" w:color="auto" w:fill="auto"/>
            <w:vAlign w:val="center"/>
            <w:hideMark/>
          </w:tcPr>
          <w:p w14:paraId="573FBE77" w14:textId="77777777" w:rsidR="00D20272" w:rsidRPr="00D20272" w:rsidRDefault="00D20272" w:rsidP="00D20272">
            <w:pPr>
              <w:widowControl/>
              <w:autoSpaceDE/>
              <w:autoSpaceDN/>
              <w:adjustRightInd/>
              <w:jc w:val="center"/>
              <w:rPr>
                <w:sz w:val="18"/>
                <w:szCs w:val="18"/>
              </w:rPr>
            </w:pPr>
            <w:r w:rsidRPr="00D20272">
              <w:rPr>
                <w:sz w:val="18"/>
                <w:szCs w:val="18"/>
              </w:rPr>
              <w:t>16</w:t>
            </w:r>
          </w:p>
        </w:tc>
        <w:tc>
          <w:tcPr>
            <w:tcW w:w="437" w:type="pct"/>
            <w:tcBorders>
              <w:top w:val="nil"/>
              <w:left w:val="nil"/>
              <w:bottom w:val="single" w:sz="4" w:space="0" w:color="auto"/>
              <w:right w:val="single" w:sz="4" w:space="0" w:color="auto"/>
            </w:tcBorders>
            <w:shd w:val="clear" w:color="auto" w:fill="auto"/>
            <w:vAlign w:val="center"/>
            <w:hideMark/>
          </w:tcPr>
          <w:p w14:paraId="437ACB66" w14:textId="77777777" w:rsidR="00D20272" w:rsidRPr="00D20272" w:rsidRDefault="00D20272" w:rsidP="00D20272">
            <w:pPr>
              <w:widowControl/>
              <w:autoSpaceDE/>
              <w:autoSpaceDN/>
              <w:adjustRightInd/>
              <w:jc w:val="center"/>
              <w:rPr>
                <w:sz w:val="18"/>
                <w:szCs w:val="18"/>
              </w:rPr>
            </w:pPr>
            <w:r w:rsidRPr="00D20272">
              <w:rPr>
                <w:sz w:val="18"/>
                <w:szCs w:val="18"/>
              </w:rPr>
              <w:t>111</w:t>
            </w:r>
          </w:p>
        </w:tc>
        <w:tc>
          <w:tcPr>
            <w:tcW w:w="438" w:type="pct"/>
            <w:tcBorders>
              <w:top w:val="nil"/>
              <w:left w:val="nil"/>
              <w:bottom w:val="single" w:sz="4" w:space="0" w:color="auto"/>
              <w:right w:val="single" w:sz="4" w:space="0" w:color="auto"/>
            </w:tcBorders>
            <w:shd w:val="clear" w:color="auto" w:fill="auto"/>
            <w:vAlign w:val="center"/>
            <w:hideMark/>
          </w:tcPr>
          <w:p w14:paraId="58D9DEAC" w14:textId="77777777" w:rsidR="00D20272" w:rsidRPr="00D20272" w:rsidRDefault="00D20272" w:rsidP="00D20272">
            <w:pPr>
              <w:widowControl/>
              <w:autoSpaceDE/>
              <w:autoSpaceDN/>
              <w:adjustRightInd/>
              <w:jc w:val="center"/>
              <w:rPr>
                <w:sz w:val="18"/>
                <w:szCs w:val="18"/>
              </w:rPr>
            </w:pPr>
            <w:r w:rsidRPr="00D20272">
              <w:rPr>
                <w:sz w:val="18"/>
                <w:szCs w:val="18"/>
              </w:rPr>
              <w:t>1,776</w:t>
            </w:r>
          </w:p>
        </w:tc>
        <w:tc>
          <w:tcPr>
            <w:tcW w:w="506" w:type="pct"/>
            <w:tcBorders>
              <w:top w:val="nil"/>
              <w:left w:val="nil"/>
              <w:bottom w:val="single" w:sz="4" w:space="0" w:color="auto"/>
              <w:right w:val="single" w:sz="4" w:space="0" w:color="auto"/>
            </w:tcBorders>
            <w:shd w:val="clear" w:color="auto" w:fill="auto"/>
            <w:vAlign w:val="center"/>
            <w:hideMark/>
          </w:tcPr>
          <w:p w14:paraId="3940456D" w14:textId="77777777" w:rsidR="00D20272" w:rsidRPr="00D20272" w:rsidRDefault="00D20272" w:rsidP="00D20272">
            <w:pPr>
              <w:widowControl/>
              <w:autoSpaceDE/>
              <w:autoSpaceDN/>
              <w:adjustRightInd/>
              <w:jc w:val="center"/>
              <w:rPr>
                <w:sz w:val="18"/>
                <w:szCs w:val="18"/>
              </w:rPr>
            </w:pPr>
            <w:r w:rsidRPr="00D20272">
              <w:rPr>
                <w:sz w:val="18"/>
                <w:szCs w:val="18"/>
              </w:rPr>
              <w:t>88.8</w:t>
            </w:r>
          </w:p>
        </w:tc>
        <w:tc>
          <w:tcPr>
            <w:tcW w:w="349" w:type="pct"/>
            <w:tcBorders>
              <w:top w:val="nil"/>
              <w:left w:val="nil"/>
              <w:bottom w:val="single" w:sz="4" w:space="0" w:color="auto"/>
              <w:right w:val="single" w:sz="4" w:space="0" w:color="auto"/>
            </w:tcBorders>
            <w:shd w:val="clear" w:color="auto" w:fill="auto"/>
            <w:vAlign w:val="center"/>
            <w:hideMark/>
          </w:tcPr>
          <w:p w14:paraId="71B43160" w14:textId="77777777" w:rsidR="00D20272" w:rsidRPr="00D20272" w:rsidRDefault="00D20272" w:rsidP="00D20272">
            <w:pPr>
              <w:widowControl/>
              <w:autoSpaceDE/>
              <w:autoSpaceDN/>
              <w:adjustRightInd/>
              <w:jc w:val="center"/>
              <w:rPr>
                <w:sz w:val="18"/>
                <w:szCs w:val="18"/>
              </w:rPr>
            </w:pPr>
            <w:r w:rsidRPr="00D20272">
              <w:rPr>
                <w:sz w:val="18"/>
                <w:szCs w:val="18"/>
              </w:rPr>
              <w:t>177.6</w:t>
            </w:r>
          </w:p>
        </w:tc>
        <w:tc>
          <w:tcPr>
            <w:tcW w:w="499" w:type="pct"/>
            <w:tcBorders>
              <w:top w:val="nil"/>
              <w:left w:val="nil"/>
              <w:bottom w:val="single" w:sz="4" w:space="0" w:color="auto"/>
              <w:right w:val="single" w:sz="4" w:space="0" w:color="auto"/>
            </w:tcBorders>
            <w:shd w:val="clear" w:color="auto" w:fill="auto"/>
            <w:vAlign w:val="center"/>
            <w:hideMark/>
          </w:tcPr>
          <w:p w14:paraId="28D7145B" w14:textId="77777777" w:rsidR="00D20272" w:rsidRPr="00D20272" w:rsidRDefault="00D20272" w:rsidP="00D20272">
            <w:pPr>
              <w:widowControl/>
              <w:autoSpaceDE/>
              <w:autoSpaceDN/>
              <w:adjustRightInd/>
              <w:jc w:val="right"/>
              <w:rPr>
                <w:sz w:val="18"/>
                <w:szCs w:val="18"/>
              </w:rPr>
            </w:pPr>
            <w:r w:rsidRPr="00D20272">
              <w:rPr>
                <w:sz w:val="18"/>
                <w:szCs w:val="18"/>
              </w:rPr>
              <w:t xml:space="preserve">$199,956.29 </w:t>
            </w:r>
          </w:p>
        </w:tc>
      </w:tr>
      <w:tr w:rsidR="00121132" w:rsidRPr="00D20272" w14:paraId="4989BB13" w14:textId="77777777" w:rsidTr="00121132">
        <w:trPr>
          <w:trHeight w:val="288"/>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2671E4E7" w14:textId="77777777" w:rsidR="00D20272" w:rsidRPr="00D20272" w:rsidRDefault="00D20272" w:rsidP="00D20272">
            <w:pPr>
              <w:widowControl/>
              <w:autoSpaceDE/>
              <w:autoSpaceDN/>
              <w:adjustRightInd/>
              <w:rPr>
                <w:b/>
                <w:bCs/>
                <w:sz w:val="18"/>
                <w:szCs w:val="18"/>
              </w:rPr>
            </w:pPr>
            <w:r w:rsidRPr="00D20272">
              <w:rPr>
                <w:b/>
                <w:bCs/>
                <w:sz w:val="18"/>
                <w:szCs w:val="18"/>
              </w:rPr>
              <w:lastRenderedPageBreak/>
              <w:t>Subtotal for Recordkeeping Requirements</w:t>
            </w:r>
          </w:p>
        </w:tc>
        <w:tc>
          <w:tcPr>
            <w:tcW w:w="405" w:type="pct"/>
            <w:tcBorders>
              <w:top w:val="nil"/>
              <w:left w:val="nil"/>
              <w:bottom w:val="single" w:sz="4" w:space="0" w:color="auto"/>
              <w:right w:val="single" w:sz="4" w:space="0" w:color="auto"/>
            </w:tcBorders>
            <w:shd w:val="clear" w:color="auto" w:fill="auto"/>
            <w:vAlign w:val="center"/>
            <w:hideMark/>
          </w:tcPr>
          <w:p w14:paraId="7A674ADB"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67AFA4B3"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584E4BA8"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4EB943B2"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1294" w:type="pct"/>
            <w:gridSpan w:val="3"/>
            <w:tcBorders>
              <w:top w:val="single" w:sz="4" w:space="0" w:color="auto"/>
              <w:left w:val="nil"/>
              <w:bottom w:val="single" w:sz="4" w:space="0" w:color="auto"/>
              <w:right w:val="single" w:sz="4" w:space="0" w:color="000000"/>
            </w:tcBorders>
            <w:shd w:val="clear" w:color="auto" w:fill="auto"/>
            <w:vAlign w:val="center"/>
            <w:hideMark/>
          </w:tcPr>
          <w:p w14:paraId="3466F16F" w14:textId="77777777" w:rsidR="00D20272" w:rsidRPr="00D20272" w:rsidRDefault="00D20272" w:rsidP="00D20272">
            <w:pPr>
              <w:widowControl/>
              <w:autoSpaceDE/>
              <w:autoSpaceDN/>
              <w:adjustRightInd/>
              <w:jc w:val="center"/>
              <w:rPr>
                <w:b/>
                <w:bCs/>
                <w:sz w:val="18"/>
                <w:szCs w:val="18"/>
              </w:rPr>
            </w:pPr>
            <w:r w:rsidRPr="00D20272">
              <w:rPr>
                <w:b/>
                <w:bCs/>
                <w:sz w:val="18"/>
                <w:szCs w:val="18"/>
              </w:rPr>
              <w:t>123,727.4</w:t>
            </w:r>
          </w:p>
        </w:tc>
        <w:tc>
          <w:tcPr>
            <w:tcW w:w="499" w:type="pct"/>
            <w:tcBorders>
              <w:top w:val="nil"/>
              <w:left w:val="nil"/>
              <w:bottom w:val="single" w:sz="4" w:space="0" w:color="auto"/>
              <w:right w:val="single" w:sz="4" w:space="0" w:color="auto"/>
            </w:tcBorders>
            <w:shd w:val="clear" w:color="auto" w:fill="auto"/>
            <w:vAlign w:val="center"/>
            <w:hideMark/>
          </w:tcPr>
          <w:p w14:paraId="6C490D22" w14:textId="77777777" w:rsidR="00D20272" w:rsidRPr="00D20272" w:rsidRDefault="00D20272" w:rsidP="00D20272">
            <w:pPr>
              <w:widowControl/>
              <w:autoSpaceDE/>
              <w:autoSpaceDN/>
              <w:adjustRightInd/>
              <w:jc w:val="right"/>
              <w:rPr>
                <w:b/>
                <w:bCs/>
                <w:sz w:val="18"/>
                <w:szCs w:val="18"/>
              </w:rPr>
            </w:pPr>
            <w:r w:rsidRPr="00D20272">
              <w:rPr>
                <w:b/>
                <w:bCs/>
                <w:sz w:val="18"/>
                <w:szCs w:val="18"/>
              </w:rPr>
              <w:t>$12,113,230.33</w:t>
            </w:r>
          </w:p>
        </w:tc>
      </w:tr>
      <w:tr w:rsidR="00121132" w:rsidRPr="00D20272" w14:paraId="4117C04E" w14:textId="77777777" w:rsidTr="00121132">
        <w:trPr>
          <w:trHeight w:val="420"/>
          <w:jc w:val="center"/>
        </w:trPr>
        <w:tc>
          <w:tcPr>
            <w:tcW w:w="1494" w:type="pct"/>
            <w:tcBorders>
              <w:top w:val="nil"/>
              <w:left w:val="single" w:sz="4" w:space="0" w:color="auto"/>
              <w:bottom w:val="single" w:sz="4" w:space="0" w:color="auto"/>
              <w:right w:val="single" w:sz="4" w:space="0" w:color="auto"/>
            </w:tcBorders>
            <w:shd w:val="clear" w:color="auto" w:fill="auto"/>
            <w:noWrap/>
            <w:hideMark/>
          </w:tcPr>
          <w:p w14:paraId="43DAAD21" w14:textId="77777777" w:rsidR="00D20272" w:rsidRPr="00D20272" w:rsidRDefault="00D20272" w:rsidP="00D20272">
            <w:pPr>
              <w:widowControl/>
              <w:autoSpaceDE/>
              <w:autoSpaceDN/>
              <w:adjustRightInd/>
              <w:rPr>
                <w:b/>
                <w:bCs/>
                <w:sz w:val="18"/>
                <w:szCs w:val="18"/>
              </w:rPr>
            </w:pPr>
            <w:r w:rsidRPr="00D20272">
              <w:rPr>
                <w:b/>
                <w:bCs/>
                <w:sz w:val="18"/>
                <w:szCs w:val="18"/>
              </w:rPr>
              <w:t>TOTAL LABOR BURDEN AND COST</w:t>
            </w:r>
          </w:p>
        </w:tc>
        <w:tc>
          <w:tcPr>
            <w:tcW w:w="405" w:type="pct"/>
            <w:tcBorders>
              <w:top w:val="nil"/>
              <w:left w:val="nil"/>
              <w:bottom w:val="single" w:sz="4" w:space="0" w:color="auto"/>
              <w:right w:val="single" w:sz="4" w:space="0" w:color="auto"/>
            </w:tcBorders>
            <w:shd w:val="clear" w:color="auto" w:fill="auto"/>
            <w:vAlign w:val="center"/>
            <w:hideMark/>
          </w:tcPr>
          <w:p w14:paraId="3730B40A"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6277B06F"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6" w:type="pct"/>
            <w:tcBorders>
              <w:top w:val="nil"/>
              <w:left w:val="nil"/>
              <w:bottom w:val="single" w:sz="4" w:space="0" w:color="auto"/>
              <w:right w:val="single" w:sz="4" w:space="0" w:color="auto"/>
            </w:tcBorders>
            <w:shd w:val="clear" w:color="auto" w:fill="auto"/>
            <w:vAlign w:val="center"/>
            <w:hideMark/>
          </w:tcPr>
          <w:p w14:paraId="24B87322"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437" w:type="pct"/>
            <w:tcBorders>
              <w:top w:val="nil"/>
              <w:left w:val="nil"/>
              <w:bottom w:val="single" w:sz="4" w:space="0" w:color="auto"/>
              <w:right w:val="single" w:sz="4" w:space="0" w:color="auto"/>
            </w:tcBorders>
            <w:shd w:val="clear" w:color="auto" w:fill="auto"/>
            <w:vAlign w:val="center"/>
            <w:hideMark/>
          </w:tcPr>
          <w:p w14:paraId="5325ACE7" w14:textId="77777777" w:rsidR="00D20272" w:rsidRPr="00D20272" w:rsidRDefault="00D20272" w:rsidP="00D20272">
            <w:pPr>
              <w:widowControl/>
              <w:autoSpaceDE/>
              <w:autoSpaceDN/>
              <w:adjustRightInd/>
              <w:jc w:val="center"/>
              <w:rPr>
                <w:sz w:val="18"/>
                <w:szCs w:val="18"/>
              </w:rPr>
            </w:pPr>
            <w:r w:rsidRPr="00D20272">
              <w:rPr>
                <w:sz w:val="18"/>
                <w:szCs w:val="18"/>
              </w:rPr>
              <w:t> </w:t>
            </w:r>
          </w:p>
        </w:tc>
        <w:tc>
          <w:tcPr>
            <w:tcW w:w="1294" w:type="pct"/>
            <w:gridSpan w:val="3"/>
            <w:tcBorders>
              <w:top w:val="single" w:sz="4" w:space="0" w:color="auto"/>
              <w:left w:val="nil"/>
              <w:bottom w:val="single" w:sz="4" w:space="0" w:color="auto"/>
              <w:right w:val="single" w:sz="4" w:space="0" w:color="auto"/>
            </w:tcBorders>
            <w:shd w:val="clear" w:color="auto" w:fill="auto"/>
            <w:vAlign w:val="center"/>
            <w:hideMark/>
          </w:tcPr>
          <w:p w14:paraId="6766F3AE" w14:textId="77777777" w:rsidR="00D20272" w:rsidRPr="00D20272" w:rsidRDefault="00D20272" w:rsidP="00D20272">
            <w:pPr>
              <w:widowControl/>
              <w:autoSpaceDE/>
              <w:autoSpaceDN/>
              <w:adjustRightInd/>
              <w:jc w:val="center"/>
              <w:rPr>
                <w:b/>
                <w:bCs/>
                <w:sz w:val="18"/>
                <w:szCs w:val="18"/>
              </w:rPr>
            </w:pPr>
            <w:r w:rsidRPr="00D20272">
              <w:rPr>
                <w:b/>
                <w:bCs/>
                <w:sz w:val="18"/>
                <w:szCs w:val="18"/>
              </w:rPr>
              <w:t>126,207</w:t>
            </w:r>
          </w:p>
        </w:tc>
        <w:tc>
          <w:tcPr>
            <w:tcW w:w="499" w:type="pct"/>
            <w:tcBorders>
              <w:top w:val="nil"/>
              <w:left w:val="nil"/>
              <w:bottom w:val="single" w:sz="4" w:space="0" w:color="auto"/>
              <w:right w:val="single" w:sz="4" w:space="0" w:color="auto"/>
            </w:tcBorders>
            <w:shd w:val="clear" w:color="auto" w:fill="auto"/>
            <w:vAlign w:val="center"/>
            <w:hideMark/>
          </w:tcPr>
          <w:p w14:paraId="739F4B46" w14:textId="77777777" w:rsidR="00D20272" w:rsidRPr="00D20272" w:rsidRDefault="00D20272" w:rsidP="00D20272">
            <w:pPr>
              <w:widowControl/>
              <w:autoSpaceDE/>
              <w:autoSpaceDN/>
              <w:adjustRightInd/>
              <w:jc w:val="right"/>
              <w:rPr>
                <w:b/>
                <w:bCs/>
                <w:sz w:val="18"/>
                <w:szCs w:val="18"/>
              </w:rPr>
            </w:pPr>
            <w:r w:rsidRPr="00D20272">
              <w:rPr>
                <w:b/>
                <w:bCs/>
                <w:sz w:val="18"/>
                <w:szCs w:val="18"/>
              </w:rPr>
              <w:t xml:space="preserve">$12,355,970.06 </w:t>
            </w:r>
          </w:p>
        </w:tc>
      </w:tr>
    </w:tbl>
    <w:p w14:paraId="47393E30" w14:textId="77777777" w:rsidR="005648CD" w:rsidRDefault="005648CD" w:rsidP="00504745">
      <w:pPr>
        <w:outlineLvl w:val="0"/>
        <w:rPr>
          <w:b/>
          <w:bCs/>
          <w:color w:val="000000"/>
        </w:rPr>
      </w:pPr>
    </w:p>
    <w:p w14:paraId="7A1386B5" w14:textId="77777777" w:rsidR="005648CD" w:rsidRDefault="005648CD" w:rsidP="00504745">
      <w:pPr>
        <w:outlineLvl w:val="0"/>
        <w:rPr>
          <w:b/>
          <w:bCs/>
          <w:color w:val="000000"/>
        </w:rPr>
      </w:pPr>
    </w:p>
    <w:p w14:paraId="5A23D4B3" w14:textId="77777777" w:rsidR="004C4662" w:rsidRDefault="004C4662" w:rsidP="004C4662">
      <w:pPr>
        <w:ind w:left="-180" w:right="-270"/>
        <w:rPr>
          <w:sz w:val="20"/>
          <w:szCs w:val="20"/>
        </w:rPr>
      </w:pPr>
      <w:r>
        <w:rPr>
          <w:b/>
          <w:bCs/>
          <w:sz w:val="20"/>
          <w:szCs w:val="20"/>
        </w:rPr>
        <w:t>Assumptions:</w:t>
      </w:r>
    </w:p>
    <w:p w14:paraId="2BA3B61D" w14:textId="77777777" w:rsidR="004C4662" w:rsidRDefault="004C4662" w:rsidP="008C72C1">
      <w:pPr>
        <w:ind w:left="-180" w:right="270" w:hanging="90"/>
        <w:rPr>
          <w:sz w:val="20"/>
          <w:szCs w:val="20"/>
        </w:rPr>
      </w:pP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 average number of existing sources subject to the rule will be 111.  There will be no additional new sources per year that will become subject</w:t>
      </w:r>
      <w:r w:rsidR="008C72C1">
        <w:rPr>
          <w:sz w:val="20"/>
          <w:szCs w:val="20"/>
        </w:rPr>
        <w:t xml:space="preserve"> </w:t>
      </w:r>
      <w:r>
        <w:rPr>
          <w:sz w:val="20"/>
          <w:szCs w:val="20"/>
        </w:rPr>
        <w:t xml:space="preserve">to the rule, and one affected facility will be engaged in some kind of modification over the three-year period of this ICR.                                                              </w:t>
      </w:r>
    </w:p>
    <w:p w14:paraId="428E3D45" w14:textId="77777777" w:rsidR="004C4662" w:rsidRDefault="004C4662" w:rsidP="008C72C1">
      <w:pPr>
        <w:ind w:left="-180" w:right="270" w:hanging="90"/>
        <w:rPr>
          <w:sz w:val="20"/>
          <w:szCs w:val="20"/>
        </w:rPr>
      </w:pPr>
      <w:proofErr w:type="gramStart"/>
      <w:r w:rsidRPr="00A712AA">
        <w:rPr>
          <w:sz w:val="20"/>
          <w:szCs w:val="20"/>
          <w:vertAlign w:val="superscript"/>
        </w:rPr>
        <w:t>b</w:t>
      </w:r>
      <w:proofErr w:type="gramEnd"/>
      <w:r>
        <w:rPr>
          <w:sz w:val="20"/>
          <w:szCs w:val="20"/>
        </w:rPr>
        <w:t xml:space="preserve"> This ICR uses the following labor rates:  $</w:t>
      </w:r>
      <w:r w:rsidR="00D4462D">
        <w:rPr>
          <w:sz w:val="20"/>
          <w:szCs w:val="20"/>
        </w:rPr>
        <w:t>128.02</w:t>
      </w:r>
      <w:r>
        <w:rPr>
          <w:sz w:val="20"/>
          <w:szCs w:val="20"/>
        </w:rPr>
        <w:t xml:space="preserve"> per hour for Executive, Administrative, and Managerial labor; $</w:t>
      </w:r>
      <w:r w:rsidR="00D4462D">
        <w:rPr>
          <w:sz w:val="20"/>
          <w:szCs w:val="20"/>
        </w:rPr>
        <w:t>101.05</w:t>
      </w:r>
      <w:r>
        <w:rPr>
          <w:sz w:val="20"/>
          <w:szCs w:val="20"/>
        </w:rPr>
        <w:t xml:space="preserve"> per hour for Technical labor, and $</w:t>
      </w:r>
      <w:r w:rsidR="00D4462D">
        <w:rPr>
          <w:sz w:val="20"/>
          <w:szCs w:val="20"/>
        </w:rPr>
        <w:t>51.37</w:t>
      </w:r>
      <w:r>
        <w:rPr>
          <w:sz w:val="20"/>
          <w:szCs w:val="20"/>
        </w:rPr>
        <w:t xml:space="preserve"> per hour</w:t>
      </w:r>
      <w:r w:rsidR="008C72C1">
        <w:rPr>
          <w:sz w:val="20"/>
          <w:szCs w:val="20"/>
        </w:rPr>
        <w:t xml:space="preserve"> </w:t>
      </w:r>
      <w:r>
        <w:rPr>
          <w:sz w:val="20"/>
          <w:szCs w:val="20"/>
        </w:rPr>
        <w:t xml:space="preserve">for Clerical labor.  These rates are from the United States Department of Labor, Bureau of Labor Statistics, </w:t>
      </w:r>
      <w:r w:rsidR="00D4462D">
        <w:rPr>
          <w:sz w:val="20"/>
          <w:szCs w:val="20"/>
        </w:rPr>
        <w:t>March 2014</w:t>
      </w:r>
      <w:r>
        <w:rPr>
          <w:sz w:val="20"/>
          <w:szCs w:val="20"/>
        </w:rPr>
        <w:t>, Table 2. Civilian Workers, by Occupational</w:t>
      </w:r>
      <w:r w:rsidR="008C72C1">
        <w:rPr>
          <w:sz w:val="20"/>
          <w:szCs w:val="20"/>
        </w:rPr>
        <w:t xml:space="preserve"> </w:t>
      </w:r>
      <w:r>
        <w:rPr>
          <w:sz w:val="20"/>
          <w:szCs w:val="20"/>
        </w:rPr>
        <w:t>and Industry groups.  The rates are from column 1, Total Compensation.  The rates have been increased by 110 percent to account for the benefit packages available to</w:t>
      </w:r>
      <w:r w:rsidR="008C72C1">
        <w:rPr>
          <w:sz w:val="20"/>
          <w:szCs w:val="20"/>
        </w:rPr>
        <w:t xml:space="preserve"> </w:t>
      </w:r>
      <w:r>
        <w:rPr>
          <w:sz w:val="20"/>
          <w:szCs w:val="20"/>
        </w:rPr>
        <w:t>those employed by private industry.</w:t>
      </w:r>
    </w:p>
    <w:p w14:paraId="65D14586" w14:textId="77777777" w:rsidR="004C4662" w:rsidRDefault="004C4662" w:rsidP="008C72C1">
      <w:pPr>
        <w:ind w:left="-90" w:hanging="180"/>
        <w:rPr>
          <w:sz w:val="20"/>
          <w:szCs w:val="20"/>
        </w:rPr>
      </w:pPr>
      <w:r>
        <w:rPr>
          <w:vertAlign w:val="superscript"/>
        </w:rPr>
        <w:t>c</w:t>
      </w:r>
      <w:r>
        <w:rPr>
          <w:sz w:val="20"/>
          <w:szCs w:val="20"/>
        </w:rPr>
        <w:t xml:space="preserve">  We have assumed that one existing kraft pulp mills will install one new recovery furnace and smelt dissolving tank (</w:t>
      </w:r>
      <w:proofErr w:type="spellStart"/>
      <w:r>
        <w:rPr>
          <w:sz w:val="20"/>
          <w:szCs w:val="20"/>
        </w:rPr>
        <w:t>SDT</w:t>
      </w:r>
      <w:proofErr w:type="spellEnd"/>
      <w:r>
        <w:rPr>
          <w:sz w:val="20"/>
          <w:szCs w:val="20"/>
        </w:rPr>
        <w:t>) each year.</w:t>
      </w:r>
      <w:r w:rsidR="008C72C1">
        <w:rPr>
          <w:sz w:val="20"/>
          <w:szCs w:val="20"/>
        </w:rPr>
        <w:t xml:space="preserve"> We have assumed that it will take respondent 2 hours once per year to complete report.</w:t>
      </w:r>
    </w:p>
    <w:p w14:paraId="28650E22" w14:textId="77777777" w:rsidR="008C72C1" w:rsidRDefault="004C4662" w:rsidP="008C72C1">
      <w:pPr>
        <w:ind w:left="-90" w:hanging="180"/>
        <w:rPr>
          <w:sz w:val="20"/>
          <w:szCs w:val="20"/>
        </w:rPr>
      </w:pPr>
      <w:proofErr w:type="gramStart"/>
      <w:r>
        <w:rPr>
          <w:vertAlign w:val="superscript"/>
        </w:rPr>
        <w:t>d</w:t>
      </w:r>
      <w:r>
        <w:rPr>
          <w:sz w:val="20"/>
          <w:szCs w:val="20"/>
        </w:rPr>
        <w:t xml:space="preserve">  </w:t>
      </w:r>
      <w:r w:rsidR="008C72C1">
        <w:rPr>
          <w:sz w:val="20"/>
          <w:szCs w:val="20"/>
        </w:rPr>
        <w:t>We</w:t>
      </w:r>
      <w:proofErr w:type="gramEnd"/>
      <w:r w:rsidR="008C72C1">
        <w:rPr>
          <w:sz w:val="20"/>
          <w:szCs w:val="20"/>
        </w:rPr>
        <w:t xml:space="preserve"> have assumed that five percent of respondents will each take 16 hours four times per year to complete reports of monitoring exceedances and periods of noncompliance. We have assumed that 95 percent of respondents will each take 8 hours two times per year to write reports of no exceedances.</w:t>
      </w:r>
    </w:p>
    <w:p w14:paraId="47DBE9C5" w14:textId="77777777" w:rsidR="008C72C1" w:rsidRDefault="004C4662" w:rsidP="004C4662">
      <w:pPr>
        <w:ind w:left="-270"/>
        <w:rPr>
          <w:sz w:val="20"/>
          <w:szCs w:val="20"/>
        </w:rPr>
      </w:pPr>
      <w:proofErr w:type="gramStart"/>
      <w:r>
        <w:rPr>
          <w:vertAlign w:val="superscript"/>
        </w:rPr>
        <w:t>e</w:t>
      </w:r>
      <w:r>
        <w:rPr>
          <w:sz w:val="20"/>
          <w:szCs w:val="20"/>
        </w:rPr>
        <w:t xml:space="preserve">  </w:t>
      </w:r>
      <w:r w:rsidR="008C72C1">
        <w:rPr>
          <w:sz w:val="20"/>
          <w:szCs w:val="20"/>
        </w:rPr>
        <w:t>We</w:t>
      </w:r>
      <w:proofErr w:type="gramEnd"/>
      <w:r w:rsidR="008C72C1">
        <w:rPr>
          <w:sz w:val="20"/>
          <w:szCs w:val="20"/>
        </w:rPr>
        <w:t xml:space="preserve"> have assumed that it will take respondent 80 hours once per year to draft the startup, shutdown, and malfunction plan, and an additional 20 hours to review/revisions, for a total of 100 hours.</w:t>
      </w:r>
    </w:p>
    <w:p w14:paraId="5AA405FA" w14:textId="77777777" w:rsidR="008C72C1" w:rsidRDefault="004C4662" w:rsidP="004C4662">
      <w:pPr>
        <w:ind w:left="-270"/>
        <w:rPr>
          <w:sz w:val="20"/>
          <w:szCs w:val="20"/>
        </w:rPr>
      </w:pPr>
      <w:proofErr w:type="gramStart"/>
      <w:r>
        <w:rPr>
          <w:vertAlign w:val="superscript"/>
        </w:rPr>
        <w:t>f</w:t>
      </w:r>
      <w:r>
        <w:rPr>
          <w:sz w:val="20"/>
          <w:szCs w:val="20"/>
        </w:rPr>
        <w:t xml:space="preserve">  </w:t>
      </w:r>
      <w:r w:rsidR="008C72C1">
        <w:rPr>
          <w:sz w:val="20"/>
          <w:szCs w:val="20"/>
        </w:rPr>
        <w:t>We</w:t>
      </w:r>
      <w:proofErr w:type="gramEnd"/>
      <w:r w:rsidR="008C72C1">
        <w:rPr>
          <w:sz w:val="20"/>
          <w:szCs w:val="20"/>
        </w:rPr>
        <w:t xml:space="preserve"> have assumed that it will take respondent eight hours (1 day) each year to enter records and documentation of supporting calculation for compliance determinations.</w:t>
      </w:r>
    </w:p>
    <w:p w14:paraId="618638BC" w14:textId="77777777" w:rsidR="004C4662" w:rsidRDefault="004C4662" w:rsidP="004C4662">
      <w:pPr>
        <w:ind w:left="-270"/>
        <w:rPr>
          <w:sz w:val="20"/>
          <w:szCs w:val="20"/>
        </w:rPr>
      </w:pPr>
      <w:proofErr w:type="gramStart"/>
      <w:r>
        <w:rPr>
          <w:vertAlign w:val="superscript"/>
        </w:rPr>
        <w:t>g</w:t>
      </w:r>
      <w:r>
        <w:rPr>
          <w:sz w:val="20"/>
          <w:szCs w:val="20"/>
        </w:rPr>
        <w:t xml:space="preserve">  </w:t>
      </w:r>
      <w:r w:rsidR="008C72C1">
        <w:rPr>
          <w:sz w:val="20"/>
          <w:szCs w:val="20"/>
        </w:rPr>
        <w:t>We</w:t>
      </w:r>
      <w:proofErr w:type="gramEnd"/>
      <w:r w:rsidR="008C72C1">
        <w:rPr>
          <w:sz w:val="20"/>
          <w:szCs w:val="20"/>
        </w:rPr>
        <w:t xml:space="preserve"> have assumed that one existing kraft and soda pulp mill will install new recovery furnaces.  Based on current industry trends, the new furnace is expected to be non-direct contact evaporator (</w:t>
      </w:r>
      <w:proofErr w:type="spellStart"/>
      <w:r w:rsidR="008C72C1">
        <w:rPr>
          <w:sz w:val="20"/>
          <w:szCs w:val="20"/>
        </w:rPr>
        <w:t>NDCE</w:t>
      </w:r>
      <w:proofErr w:type="spellEnd"/>
      <w:r w:rsidR="008C72C1">
        <w:rPr>
          <w:sz w:val="20"/>
          <w:szCs w:val="20"/>
        </w:rPr>
        <w:t>) recovery furnaces equipped with a dry electrostatic precipitator (ESP) system.</w:t>
      </w:r>
    </w:p>
    <w:p w14:paraId="753B7A3B" w14:textId="77777777" w:rsidR="004C4662" w:rsidRDefault="004C4662" w:rsidP="004C4662">
      <w:pPr>
        <w:ind w:left="-270"/>
        <w:rPr>
          <w:sz w:val="20"/>
          <w:szCs w:val="20"/>
        </w:rPr>
      </w:pPr>
      <w:proofErr w:type="gramStart"/>
      <w:r>
        <w:rPr>
          <w:vertAlign w:val="superscript"/>
        </w:rPr>
        <w:t>h</w:t>
      </w:r>
      <w:r>
        <w:rPr>
          <w:sz w:val="20"/>
          <w:szCs w:val="20"/>
        </w:rPr>
        <w:t xml:space="preserve">  </w:t>
      </w:r>
      <w:r w:rsidR="0047715C">
        <w:rPr>
          <w:sz w:val="20"/>
          <w:szCs w:val="20"/>
        </w:rPr>
        <w:t>We</w:t>
      </w:r>
      <w:proofErr w:type="gramEnd"/>
      <w:r w:rsidR="0047715C">
        <w:rPr>
          <w:sz w:val="20"/>
          <w:szCs w:val="20"/>
        </w:rPr>
        <w:t xml:space="preserve"> have assumed that each respondent will take 1.5 hours 52 times per year to accomplish the task.</w:t>
      </w:r>
    </w:p>
    <w:p w14:paraId="05CD25E5" w14:textId="77777777" w:rsidR="004C4662" w:rsidRDefault="004C4662" w:rsidP="0047715C">
      <w:pPr>
        <w:ind w:left="-90" w:hanging="180"/>
        <w:rPr>
          <w:sz w:val="20"/>
          <w:szCs w:val="20"/>
        </w:rPr>
      </w:pPr>
      <w:r>
        <w:rPr>
          <w:vertAlign w:val="superscript"/>
        </w:rPr>
        <w:t>i</w:t>
      </w:r>
      <w:r>
        <w:rPr>
          <w:sz w:val="20"/>
          <w:szCs w:val="20"/>
        </w:rPr>
        <w:t xml:space="preserve">  </w:t>
      </w:r>
      <w:r w:rsidR="0047715C">
        <w:rPr>
          <w:sz w:val="20"/>
          <w:szCs w:val="20"/>
        </w:rPr>
        <w:t>We have assumed that each of the respondents of  kraft pulp mills will take 1.5 hours 52 times per week to enter the lime production rates information.  All of the 89 existing kraft pulp mills have lime kilns.</w:t>
      </w:r>
    </w:p>
    <w:p w14:paraId="2A336A6E" w14:textId="77777777" w:rsidR="0047715C" w:rsidRDefault="004C4662" w:rsidP="004C4662">
      <w:pPr>
        <w:ind w:left="-270"/>
        <w:rPr>
          <w:sz w:val="20"/>
          <w:szCs w:val="20"/>
        </w:rPr>
      </w:pPr>
      <w:r>
        <w:rPr>
          <w:vertAlign w:val="superscript"/>
        </w:rPr>
        <w:t>j</w:t>
      </w:r>
      <w:r>
        <w:rPr>
          <w:sz w:val="20"/>
          <w:szCs w:val="20"/>
        </w:rPr>
        <w:t xml:space="preserve">  </w:t>
      </w:r>
      <w:r w:rsidR="0047715C">
        <w:rPr>
          <w:sz w:val="20"/>
          <w:szCs w:val="20"/>
        </w:rPr>
        <w:t>We have assumed that each respondent will take 0.5 hours 1,050 times per year to record continuously monitoring parameters.</w:t>
      </w:r>
    </w:p>
    <w:p w14:paraId="1186C632" w14:textId="77777777" w:rsidR="0047715C" w:rsidRDefault="0047715C" w:rsidP="0047715C">
      <w:pPr>
        <w:ind w:left="-270"/>
        <w:rPr>
          <w:sz w:val="20"/>
          <w:szCs w:val="20"/>
        </w:rPr>
      </w:pPr>
      <w:proofErr w:type="gramStart"/>
      <w:r>
        <w:rPr>
          <w:vertAlign w:val="superscript"/>
        </w:rPr>
        <w:t>k</w:t>
      </w:r>
      <w:r>
        <w:rPr>
          <w:sz w:val="20"/>
          <w:szCs w:val="20"/>
        </w:rPr>
        <w:t xml:space="preserve">  We</w:t>
      </w:r>
      <w:proofErr w:type="gramEnd"/>
      <w:r>
        <w:rPr>
          <w:sz w:val="20"/>
          <w:szCs w:val="20"/>
        </w:rPr>
        <w:t xml:space="preserve"> have assumed that each respondent will take 16 hours once per month to compile data.</w:t>
      </w:r>
    </w:p>
    <w:p w14:paraId="7A6E2388" w14:textId="77777777" w:rsidR="0047715C" w:rsidRDefault="0047715C" w:rsidP="0047715C">
      <w:pPr>
        <w:ind w:left="-270"/>
        <w:rPr>
          <w:sz w:val="20"/>
          <w:szCs w:val="20"/>
        </w:rPr>
      </w:pPr>
      <w:proofErr w:type="gramStart"/>
      <w:r>
        <w:rPr>
          <w:vertAlign w:val="superscript"/>
        </w:rPr>
        <w:t>l</w:t>
      </w:r>
      <w:r>
        <w:rPr>
          <w:sz w:val="20"/>
          <w:szCs w:val="20"/>
        </w:rPr>
        <w:t xml:space="preserve">  We</w:t>
      </w:r>
      <w:proofErr w:type="gramEnd"/>
      <w:r>
        <w:rPr>
          <w:sz w:val="20"/>
          <w:szCs w:val="20"/>
        </w:rPr>
        <w:t xml:space="preserve"> have assumed that each respondent will take 8 hours two times per year to verify information for reports.</w:t>
      </w:r>
    </w:p>
    <w:p w14:paraId="6E562186" w14:textId="77777777" w:rsidR="0047715C" w:rsidRPr="0047715C" w:rsidRDefault="0047715C" w:rsidP="0047715C">
      <w:pPr>
        <w:ind w:left="-270"/>
        <w:rPr>
          <w:vertAlign w:val="superscript"/>
        </w:rPr>
      </w:pPr>
      <w:proofErr w:type="gramStart"/>
      <w:r>
        <w:rPr>
          <w:vertAlign w:val="superscript"/>
        </w:rPr>
        <w:t>m</w:t>
      </w:r>
      <w:r>
        <w:rPr>
          <w:sz w:val="20"/>
          <w:szCs w:val="20"/>
        </w:rPr>
        <w:t xml:space="preserve">  We</w:t>
      </w:r>
      <w:proofErr w:type="gramEnd"/>
      <w:r>
        <w:rPr>
          <w:sz w:val="20"/>
          <w:szCs w:val="20"/>
        </w:rPr>
        <w:t xml:space="preserve"> have assumed  that it will take respondent 40 hours (1 week) once per year to train personnel.</w:t>
      </w:r>
      <w:r>
        <w:rPr>
          <w:vertAlign w:val="superscript"/>
        </w:rPr>
        <w:t xml:space="preserve"> </w:t>
      </w:r>
    </w:p>
    <w:p w14:paraId="7950FB1A" w14:textId="77777777" w:rsidR="0047715C" w:rsidRDefault="0047715C" w:rsidP="004C4662">
      <w:pPr>
        <w:ind w:left="-270"/>
        <w:rPr>
          <w:sz w:val="20"/>
          <w:szCs w:val="20"/>
        </w:rPr>
      </w:pPr>
      <w:proofErr w:type="gramStart"/>
      <w:r>
        <w:rPr>
          <w:vertAlign w:val="superscript"/>
        </w:rPr>
        <w:t>n</w:t>
      </w:r>
      <w:r>
        <w:rPr>
          <w:sz w:val="20"/>
          <w:szCs w:val="20"/>
        </w:rPr>
        <w:t xml:space="preserve">  We</w:t>
      </w:r>
      <w:proofErr w:type="gramEnd"/>
      <w:r>
        <w:rPr>
          <w:sz w:val="20"/>
          <w:szCs w:val="20"/>
        </w:rPr>
        <w:t xml:space="preserve"> have assumed  that it will take each respondent 16 hours to provide refresher training for personnel.</w:t>
      </w:r>
    </w:p>
    <w:p w14:paraId="32BE042A" w14:textId="77777777" w:rsidR="000D0728" w:rsidRDefault="000D0728">
      <w:pPr>
        <w:widowControl/>
        <w:autoSpaceDE/>
        <w:autoSpaceDN/>
        <w:adjustRightInd/>
        <w:rPr>
          <w:b/>
          <w:bCs/>
          <w:color w:val="000000"/>
        </w:rPr>
      </w:pPr>
    </w:p>
    <w:p w14:paraId="3EB29281" w14:textId="77777777" w:rsidR="000D0728" w:rsidRDefault="000D0728">
      <w:pPr>
        <w:widowControl/>
        <w:autoSpaceDE/>
        <w:autoSpaceDN/>
        <w:adjustRightInd/>
        <w:rPr>
          <w:b/>
          <w:bCs/>
          <w:color w:val="000000"/>
        </w:rPr>
      </w:pPr>
    </w:p>
    <w:p w14:paraId="63AB3122" w14:textId="77777777" w:rsidR="000D0728" w:rsidRDefault="000D0728">
      <w:pPr>
        <w:widowControl/>
        <w:autoSpaceDE/>
        <w:autoSpaceDN/>
        <w:adjustRightInd/>
        <w:rPr>
          <w:b/>
          <w:bCs/>
          <w:color w:val="000000"/>
        </w:rPr>
      </w:pPr>
    </w:p>
    <w:p w14:paraId="3988D020" w14:textId="77777777" w:rsidR="000D0728" w:rsidRDefault="000D0728">
      <w:pPr>
        <w:widowControl/>
        <w:autoSpaceDE/>
        <w:autoSpaceDN/>
        <w:adjustRightInd/>
        <w:rPr>
          <w:b/>
          <w:bCs/>
          <w:color w:val="000000"/>
        </w:rPr>
      </w:pPr>
    </w:p>
    <w:p w14:paraId="50A52F3F" w14:textId="77777777" w:rsidR="000D0728" w:rsidRDefault="000D0728">
      <w:pPr>
        <w:widowControl/>
        <w:autoSpaceDE/>
        <w:autoSpaceDN/>
        <w:adjustRightInd/>
        <w:rPr>
          <w:b/>
          <w:bCs/>
          <w:color w:val="000000"/>
        </w:rPr>
      </w:pPr>
    </w:p>
    <w:p w14:paraId="6C1252A2" w14:textId="77777777" w:rsidR="00970EA3" w:rsidRPr="00121132" w:rsidRDefault="00970EA3" w:rsidP="00121132">
      <w:pPr>
        <w:outlineLvl w:val="0"/>
        <w:rPr>
          <w:b/>
          <w:bCs/>
          <w:color w:val="000000"/>
        </w:rPr>
      </w:pPr>
      <w:r>
        <w:rPr>
          <w:vertAlign w:val="superscript"/>
        </w:rPr>
        <w:t xml:space="preserve"> </w:t>
      </w:r>
    </w:p>
    <w:p w14:paraId="15F90D63" w14:textId="77777777" w:rsidR="00144F35" w:rsidRDefault="00144F35" w:rsidP="006B3B7B">
      <w:pPr>
        <w:jc w:val="center"/>
        <w:outlineLvl w:val="0"/>
        <w:rPr>
          <w:b/>
          <w:bCs/>
          <w:color w:val="000000"/>
        </w:rPr>
      </w:pPr>
      <w:r>
        <w:rPr>
          <w:b/>
          <w:bCs/>
          <w:color w:val="000000"/>
        </w:rPr>
        <w:br w:type="page"/>
      </w:r>
      <w:r w:rsidR="00DB0ACD" w:rsidRPr="00DB0ACD">
        <w:rPr>
          <w:b/>
          <w:bCs/>
          <w:color w:val="000000"/>
        </w:rPr>
        <w:lastRenderedPageBreak/>
        <w:t xml:space="preserve">Table 2: Average Annual EPA Burden and Cost – NESHAP for Chemical Recovery Combustion Sources at Kraft, Soda, Sulfite, and Stand-Alone </w:t>
      </w:r>
      <w:proofErr w:type="spellStart"/>
      <w:r w:rsidR="00DB0ACD" w:rsidRPr="00DB0ACD">
        <w:rPr>
          <w:b/>
          <w:bCs/>
          <w:color w:val="000000"/>
        </w:rPr>
        <w:t>Semichemical</w:t>
      </w:r>
      <w:proofErr w:type="spellEnd"/>
      <w:r w:rsidR="00DB0ACD" w:rsidRPr="00DB0ACD">
        <w:rPr>
          <w:b/>
          <w:bCs/>
          <w:color w:val="000000"/>
        </w:rPr>
        <w:t xml:space="preserve"> Pulp Mills (40 CFR Part 63, Subpart MM) (Renewal)</w:t>
      </w:r>
    </w:p>
    <w:p w14:paraId="0E833E3F" w14:textId="77777777" w:rsidR="00144F35" w:rsidRDefault="00144F35" w:rsidP="00F340DF">
      <w:pPr>
        <w:rPr>
          <w:b/>
          <w:bCs/>
          <w:color w:val="000000"/>
        </w:rPr>
      </w:pPr>
    </w:p>
    <w:tbl>
      <w:tblPr>
        <w:tblW w:w="13552" w:type="dxa"/>
        <w:jc w:val="center"/>
        <w:tblLayout w:type="fixed"/>
        <w:tblCellMar>
          <w:left w:w="0" w:type="dxa"/>
          <w:right w:w="0" w:type="dxa"/>
        </w:tblCellMar>
        <w:tblLook w:val="04A0" w:firstRow="1" w:lastRow="0" w:firstColumn="1" w:lastColumn="0" w:noHBand="0" w:noVBand="1"/>
      </w:tblPr>
      <w:tblGrid>
        <w:gridCol w:w="3345"/>
        <w:gridCol w:w="1440"/>
        <w:gridCol w:w="1440"/>
        <w:gridCol w:w="1350"/>
        <w:gridCol w:w="1170"/>
        <w:gridCol w:w="1350"/>
        <w:gridCol w:w="1350"/>
        <w:gridCol w:w="1080"/>
        <w:gridCol w:w="1027"/>
      </w:tblGrid>
      <w:tr w:rsidR="002A3AAA" w14:paraId="342F7AB9" w14:textId="77777777" w:rsidTr="00D4462D">
        <w:trPr>
          <w:trHeight w:val="1530"/>
          <w:jc w:val="center"/>
        </w:trPr>
        <w:tc>
          <w:tcPr>
            <w:tcW w:w="33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F7C1F7" w14:textId="77777777" w:rsidR="005648CD" w:rsidRDefault="005648CD">
            <w:pPr>
              <w:jc w:val="center"/>
              <w:rPr>
                <w:b/>
                <w:bCs/>
                <w:color w:val="000000"/>
                <w:sz w:val="20"/>
                <w:szCs w:val="20"/>
              </w:rPr>
            </w:pPr>
            <w:r>
              <w:rPr>
                <w:b/>
                <w:bCs/>
                <w:color w:val="000000"/>
                <w:sz w:val="20"/>
                <w:szCs w:val="20"/>
              </w:rPr>
              <w:t>Activity</w:t>
            </w:r>
          </w:p>
        </w:tc>
        <w:tc>
          <w:tcPr>
            <w:tcW w:w="14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8FAB8" w14:textId="77777777" w:rsidR="002A3AAA" w:rsidRDefault="005648CD">
            <w:pPr>
              <w:jc w:val="center"/>
              <w:rPr>
                <w:b/>
                <w:bCs/>
                <w:color w:val="000000"/>
                <w:sz w:val="20"/>
                <w:szCs w:val="20"/>
              </w:rPr>
            </w:pPr>
            <w:r>
              <w:rPr>
                <w:b/>
                <w:bCs/>
                <w:color w:val="000000"/>
                <w:sz w:val="20"/>
                <w:szCs w:val="20"/>
              </w:rPr>
              <w:t xml:space="preserve">(A) </w:t>
            </w:r>
          </w:p>
          <w:p w14:paraId="01174475" w14:textId="77777777" w:rsidR="005648CD" w:rsidRDefault="005648CD">
            <w:pPr>
              <w:jc w:val="center"/>
              <w:rPr>
                <w:b/>
                <w:bCs/>
                <w:color w:val="000000"/>
                <w:sz w:val="20"/>
                <w:szCs w:val="20"/>
              </w:rPr>
            </w:pPr>
            <w:r>
              <w:rPr>
                <w:b/>
                <w:bCs/>
                <w:color w:val="000000"/>
                <w:sz w:val="20"/>
                <w:szCs w:val="20"/>
              </w:rPr>
              <w:t>EPA person-hours per occurrence</w:t>
            </w:r>
          </w:p>
        </w:tc>
        <w:tc>
          <w:tcPr>
            <w:tcW w:w="14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9E749" w14:textId="77777777" w:rsidR="000D0728" w:rsidRDefault="005648CD">
            <w:pPr>
              <w:jc w:val="center"/>
              <w:rPr>
                <w:b/>
                <w:bCs/>
                <w:color w:val="000000"/>
                <w:sz w:val="20"/>
                <w:szCs w:val="20"/>
              </w:rPr>
            </w:pPr>
            <w:r>
              <w:rPr>
                <w:b/>
                <w:bCs/>
                <w:color w:val="000000"/>
                <w:sz w:val="20"/>
                <w:szCs w:val="20"/>
              </w:rPr>
              <w:t>(B)</w:t>
            </w:r>
          </w:p>
          <w:p w14:paraId="351AD0DC" w14:textId="77777777" w:rsidR="000D0728" w:rsidRDefault="005648CD">
            <w:pPr>
              <w:jc w:val="center"/>
              <w:rPr>
                <w:b/>
                <w:bCs/>
                <w:color w:val="000000"/>
                <w:sz w:val="20"/>
                <w:szCs w:val="20"/>
              </w:rPr>
            </w:pPr>
            <w:r>
              <w:rPr>
                <w:b/>
                <w:bCs/>
                <w:color w:val="000000"/>
                <w:sz w:val="20"/>
                <w:szCs w:val="20"/>
              </w:rPr>
              <w:t>No. of occurrences per plant per year</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B582B" w14:textId="77777777" w:rsidR="002A3AAA" w:rsidRDefault="005648CD">
            <w:pPr>
              <w:jc w:val="center"/>
              <w:rPr>
                <w:b/>
                <w:bCs/>
                <w:color w:val="000000"/>
                <w:sz w:val="20"/>
                <w:szCs w:val="20"/>
              </w:rPr>
            </w:pPr>
            <w:r>
              <w:rPr>
                <w:b/>
                <w:bCs/>
                <w:color w:val="000000"/>
                <w:sz w:val="20"/>
                <w:szCs w:val="20"/>
              </w:rPr>
              <w:t xml:space="preserve">(C) </w:t>
            </w:r>
          </w:p>
          <w:p w14:paraId="74025810" w14:textId="77777777" w:rsidR="005648CD" w:rsidRDefault="005648CD">
            <w:pPr>
              <w:jc w:val="center"/>
              <w:rPr>
                <w:b/>
                <w:bCs/>
                <w:color w:val="000000"/>
                <w:sz w:val="20"/>
                <w:szCs w:val="20"/>
              </w:rPr>
            </w:pPr>
            <w:r>
              <w:rPr>
                <w:b/>
                <w:bCs/>
                <w:color w:val="000000"/>
                <w:sz w:val="20"/>
                <w:szCs w:val="20"/>
              </w:rPr>
              <w:t>EPA person hours per plant per year (</w:t>
            </w:r>
            <w:proofErr w:type="spellStart"/>
            <w:r>
              <w:rPr>
                <w:b/>
                <w:bCs/>
                <w:color w:val="000000"/>
                <w:sz w:val="20"/>
                <w:szCs w:val="20"/>
              </w:rPr>
              <w:t>AxB</w:t>
            </w:r>
            <w:proofErr w:type="spellEnd"/>
            <w:r>
              <w:rPr>
                <w:b/>
                <w:bCs/>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953FA" w14:textId="77777777" w:rsidR="002A3AAA" w:rsidRDefault="005648CD">
            <w:pPr>
              <w:jc w:val="center"/>
              <w:rPr>
                <w:b/>
                <w:bCs/>
                <w:color w:val="000000"/>
                <w:sz w:val="20"/>
                <w:szCs w:val="20"/>
              </w:rPr>
            </w:pPr>
            <w:r>
              <w:rPr>
                <w:b/>
                <w:bCs/>
                <w:color w:val="000000"/>
                <w:sz w:val="20"/>
                <w:szCs w:val="20"/>
              </w:rPr>
              <w:t xml:space="preserve">(D) </w:t>
            </w:r>
          </w:p>
          <w:p w14:paraId="30176288" w14:textId="77777777" w:rsidR="005648CD" w:rsidRDefault="005648CD">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b</w:t>
            </w:r>
            <w:r>
              <w:rPr>
                <w:b/>
                <w:bCs/>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BC48A" w14:textId="77777777" w:rsidR="002A3AAA" w:rsidRDefault="005648CD">
            <w:pPr>
              <w:jc w:val="center"/>
              <w:rPr>
                <w:b/>
                <w:bCs/>
                <w:color w:val="000000"/>
                <w:sz w:val="20"/>
                <w:szCs w:val="20"/>
              </w:rPr>
            </w:pPr>
            <w:r>
              <w:rPr>
                <w:b/>
                <w:bCs/>
                <w:color w:val="000000"/>
                <w:sz w:val="20"/>
                <w:szCs w:val="20"/>
              </w:rPr>
              <w:t xml:space="preserve">(E) </w:t>
            </w:r>
          </w:p>
          <w:p w14:paraId="061FA067" w14:textId="77777777" w:rsidR="005648CD" w:rsidRDefault="005648CD">
            <w:pPr>
              <w:jc w:val="center"/>
              <w:rPr>
                <w:b/>
                <w:bCs/>
                <w:color w:val="000000"/>
                <w:sz w:val="20"/>
                <w:szCs w:val="20"/>
              </w:rPr>
            </w:pPr>
            <w:r>
              <w:rPr>
                <w:b/>
                <w:bCs/>
                <w:color w:val="000000"/>
                <w:sz w:val="20"/>
                <w:szCs w:val="20"/>
              </w:rPr>
              <w:t>Technical person-hours per year (</w:t>
            </w:r>
            <w:proofErr w:type="spellStart"/>
            <w:r>
              <w:rPr>
                <w:b/>
                <w:bCs/>
                <w:color w:val="000000"/>
                <w:sz w:val="20"/>
                <w:szCs w:val="20"/>
              </w:rPr>
              <w:t>CxD</w:t>
            </w:r>
            <w:proofErr w:type="spellEnd"/>
            <w:r>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940BA" w14:textId="77777777" w:rsidR="005648CD" w:rsidRDefault="005648CD">
            <w:pPr>
              <w:jc w:val="center"/>
              <w:rPr>
                <w:b/>
                <w:bCs/>
                <w:color w:val="000000"/>
                <w:sz w:val="20"/>
                <w:szCs w:val="20"/>
              </w:rPr>
            </w:pPr>
            <w:r>
              <w:rPr>
                <w:b/>
                <w:bCs/>
                <w:color w:val="000000"/>
                <w:sz w:val="20"/>
                <w:szCs w:val="20"/>
              </w:rPr>
              <w:t>(F) Management person-hours per year (Ex0.05)</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4C09E" w14:textId="77777777" w:rsidR="002A3AAA" w:rsidRDefault="005648CD">
            <w:pPr>
              <w:jc w:val="center"/>
              <w:rPr>
                <w:b/>
                <w:bCs/>
                <w:color w:val="000000"/>
                <w:sz w:val="20"/>
                <w:szCs w:val="20"/>
              </w:rPr>
            </w:pPr>
            <w:r>
              <w:rPr>
                <w:b/>
                <w:bCs/>
                <w:color w:val="000000"/>
                <w:sz w:val="20"/>
                <w:szCs w:val="20"/>
              </w:rPr>
              <w:t xml:space="preserve">(G) </w:t>
            </w:r>
          </w:p>
          <w:p w14:paraId="1C2E24D9" w14:textId="77777777" w:rsidR="005648CD" w:rsidRDefault="005648CD">
            <w:pPr>
              <w:jc w:val="center"/>
              <w:rPr>
                <w:b/>
                <w:bCs/>
                <w:color w:val="000000"/>
                <w:sz w:val="20"/>
                <w:szCs w:val="20"/>
              </w:rPr>
            </w:pPr>
            <w:r>
              <w:rPr>
                <w:b/>
                <w:bCs/>
                <w:color w:val="000000"/>
                <w:sz w:val="20"/>
                <w:szCs w:val="20"/>
              </w:rPr>
              <w:t>Clerical person-hours per year (Ex0.1)</w:t>
            </w:r>
          </w:p>
        </w:tc>
        <w:tc>
          <w:tcPr>
            <w:tcW w:w="102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85C32" w14:textId="77777777" w:rsidR="002A3AAA" w:rsidRDefault="005648CD">
            <w:pPr>
              <w:jc w:val="center"/>
              <w:rPr>
                <w:b/>
                <w:bCs/>
                <w:color w:val="000000"/>
                <w:sz w:val="20"/>
                <w:szCs w:val="20"/>
              </w:rPr>
            </w:pPr>
            <w:r>
              <w:rPr>
                <w:b/>
                <w:bCs/>
                <w:color w:val="000000"/>
                <w:sz w:val="20"/>
                <w:szCs w:val="20"/>
              </w:rPr>
              <w:t xml:space="preserve">(H) </w:t>
            </w:r>
          </w:p>
          <w:p w14:paraId="4005A8F4" w14:textId="77777777" w:rsidR="005648CD" w:rsidRDefault="005648CD">
            <w:pPr>
              <w:jc w:val="center"/>
              <w:rPr>
                <w:b/>
                <w:bCs/>
                <w:color w:val="000000"/>
                <w:sz w:val="20"/>
                <w:szCs w:val="20"/>
              </w:rPr>
            </w:pPr>
            <w:r>
              <w:rPr>
                <w:b/>
                <w:bCs/>
                <w:color w:val="000000"/>
                <w:sz w:val="20"/>
                <w:szCs w:val="20"/>
              </w:rPr>
              <w:t xml:space="preserve">Cost, $ </w:t>
            </w:r>
            <w:r>
              <w:rPr>
                <w:b/>
                <w:bCs/>
                <w:color w:val="000000"/>
                <w:sz w:val="20"/>
                <w:szCs w:val="20"/>
                <w:vertAlign w:val="superscript"/>
              </w:rPr>
              <w:t>a</w:t>
            </w:r>
          </w:p>
        </w:tc>
      </w:tr>
      <w:tr w:rsidR="002A3AAA" w14:paraId="544281F1" w14:textId="77777777" w:rsidTr="00D4462D">
        <w:trPr>
          <w:trHeight w:val="300"/>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1C83DC22" w14:textId="77777777" w:rsidR="000D0728" w:rsidRDefault="005648CD">
            <w:pPr>
              <w:ind w:firstLineChars="100" w:firstLine="200"/>
              <w:rPr>
                <w:color w:val="000000"/>
                <w:sz w:val="20"/>
                <w:szCs w:val="20"/>
              </w:rPr>
            </w:pPr>
            <w:r>
              <w:rPr>
                <w:color w:val="000000"/>
                <w:sz w:val="20"/>
                <w:szCs w:val="20"/>
              </w:rPr>
              <w:t>Report review</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0BE6D" w14:textId="77777777" w:rsidR="000D0728" w:rsidRDefault="000D0728">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6064E" w14:textId="77777777" w:rsidR="000D0728" w:rsidRDefault="000D0728">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CCCB5" w14:textId="77777777" w:rsidR="000D0728" w:rsidRDefault="000D0728">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604A9" w14:textId="77777777" w:rsidR="000D0728" w:rsidRDefault="000D0728">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D971F" w14:textId="77777777" w:rsidR="000D0728" w:rsidRDefault="000D0728">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B3DED" w14:textId="77777777" w:rsidR="000D0728" w:rsidRDefault="000D0728">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399BE" w14:textId="77777777" w:rsidR="000D0728" w:rsidRDefault="000D0728">
            <w:pPr>
              <w:jc w:val="center"/>
              <w:rPr>
                <w:color w:val="000000"/>
                <w:sz w:val="20"/>
                <w:szCs w:val="20"/>
              </w:rPr>
            </w:pP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14:paraId="6EDDF665" w14:textId="77777777" w:rsidR="000D0728" w:rsidRDefault="005648CD">
            <w:pPr>
              <w:ind w:firstLineChars="100" w:firstLine="200"/>
              <w:jc w:val="right"/>
              <w:rPr>
                <w:color w:val="000000"/>
                <w:sz w:val="20"/>
                <w:szCs w:val="20"/>
              </w:rPr>
            </w:pPr>
            <w:r>
              <w:rPr>
                <w:color w:val="000000"/>
                <w:sz w:val="20"/>
                <w:szCs w:val="20"/>
              </w:rPr>
              <w:t> </w:t>
            </w:r>
          </w:p>
        </w:tc>
      </w:tr>
      <w:tr w:rsidR="002A3AAA" w14:paraId="0FEBF211" w14:textId="77777777" w:rsidTr="00D4462D">
        <w:trPr>
          <w:trHeight w:val="315"/>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167FE121" w14:textId="77777777" w:rsidR="000D0728" w:rsidRDefault="005648CD">
            <w:pPr>
              <w:ind w:firstLineChars="100" w:firstLine="200"/>
              <w:rPr>
                <w:color w:val="000000"/>
                <w:sz w:val="20"/>
                <w:szCs w:val="20"/>
              </w:rPr>
            </w:pPr>
            <w:r>
              <w:rPr>
                <w:color w:val="000000"/>
                <w:sz w:val="20"/>
                <w:szCs w:val="20"/>
              </w:rPr>
              <w:t xml:space="preserve">     Notification of construction/reconstruction </w:t>
            </w:r>
            <w:r>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C7C04" w14:textId="77777777" w:rsidR="000D0728" w:rsidRDefault="005648CD">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E74CE"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3C407" w14:textId="77777777" w:rsidR="000D0728" w:rsidRDefault="005648CD">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3F511"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D73AD" w14:textId="77777777" w:rsidR="000D0728" w:rsidRDefault="005648CD">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BA044" w14:textId="77777777" w:rsidR="000D0728" w:rsidRDefault="005648CD">
            <w:pPr>
              <w:jc w:val="center"/>
              <w:rPr>
                <w:color w:val="000000"/>
                <w:sz w:val="20"/>
                <w:szCs w:val="20"/>
              </w:rPr>
            </w:pPr>
            <w:r>
              <w:rPr>
                <w:color w:val="000000"/>
                <w:sz w:val="20"/>
                <w:szCs w:val="20"/>
              </w:rPr>
              <w:t>0.1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04A8A" w14:textId="77777777" w:rsidR="000D0728" w:rsidRDefault="005648CD">
            <w:pPr>
              <w:jc w:val="center"/>
              <w:rPr>
                <w:color w:val="000000"/>
                <w:sz w:val="20"/>
                <w:szCs w:val="20"/>
              </w:rPr>
            </w:pPr>
            <w:r>
              <w:rPr>
                <w:color w:val="000000"/>
                <w:sz w:val="20"/>
                <w:szCs w:val="20"/>
              </w:rPr>
              <w:t>0.2</w:t>
            </w: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85119" w14:textId="77777777" w:rsidR="000D0728" w:rsidRDefault="005648CD">
            <w:pPr>
              <w:jc w:val="right"/>
              <w:rPr>
                <w:color w:val="000000"/>
                <w:sz w:val="20"/>
                <w:szCs w:val="20"/>
              </w:rPr>
            </w:pPr>
            <w:r>
              <w:rPr>
                <w:color w:val="000000"/>
                <w:sz w:val="20"/>
                <w:szCs w:val="20"/>
              </w:rPr>
              <w:t xml:space="preserve">$104.68 </w:t>
            </w:r>
          </w:p>
        </w:tc>
      </w:tr>
      <w:tr w:rsidR="002A3AAA" w14:paraId="106AAA5E" w14:textId="77777777" w:rsidTr="00D4462D">
        <w:trPr>
          <w:trHeight w:val="315"/>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9B242AD" w14:textId="77777777" w:rsidR="000D0728" w:rsidRDefault="005648CD">
            <w:pPr>
              <w:ind w:firstLineChars="100" w:firstLine="200"/>
              <w:rPr>
                <w:color w:val="000000"/>
                <w:sz w:val="20"/>
                <w:szCs w:val="20"/>
              </w:rPr>
            </w:pPr>
            <w:r>
              <w:rPr>
                <w:color w:val="000000"/>
                <w:sz w:val="20"/>
                <w:szCs w:val="20"/>
              </w:rPr>
              <w:t xml:space="preserve">     Notification of actual startup </w:t>
            </w:r>
            <w:r>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4D224" w14:textId="77777777" w:rsidR="000D0728" w:rsidRDefault="005648CD">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EB37B"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827AA" w14:textId="77777777" w:rsidR="000D0728" w:rsidRDefault="005648CD">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65E26"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6DD41" w14:textId="77777777" w:rsidR="000D0728" w:rsidRDefault="005648CD">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2CD6C" w14:textId="77777777" w:rsidR="000D0728" w:rsidRDefault="005648CD">
            <w:pPr>
              <w:jc w:val="center"/>
              <w:rPr>
                <w:color w:val="000000"/>
                <w:sz w:val="20"/>
                <w:szCs w:val="20"/>
              </w:rPr>
            </w:pPr>
            <w:r>
              <w:rPr>
                <w:color w:val="000000"/>
                <w:sz w:val="20"/>
                <w:szCs w:val="20"/>
              </w:rPr>
              <w:t>0.1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F74AA" w14:textId="77777777" w:rsidR="000D0728" w:rsidRDefault="005648CD">
            <w:pPr>
              <w:jc w:val="center"/>
              <w:rPr>
                <w:color w:val="000000"/>
                <w:sz w:val="20"/>
                <w:szCs w:val="20"/>
              </w:rPr>
            </w:pPr>
            <w:r>
              <w:rPr>
                <w:color w:val="000000"/>
                <w:sz w:val="20"/>
                <w:szCs w:val="20"/>
              </w:rPr>
              <w:t>0.2</w:t>
            </w: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B5BB9" w14:textId="77777777" w:rsidR="000D0728" w:rsidRDefault="005648CD">
            <w:pPr>
              <w:jc w:val="right"/>
              <w:rPr>
                <w:color w:val="000000"/>
                <w:sz w:val="20"/>
                <w:szCs w:val="20"/>
              </w:rPr>
            </w:pPr>
            <w:r>
              <w:rPr>
                <w:color w:val="000000"/>
                <w:sz w:val="20"/>
                <w:szCs w:val="20"/>
              </w:rPr>
              <w:t xml:space="preserve">$104.68 </w:t>
            </w:r>
          </w:p>
        </w:tc>
      </w:tr>
      <w:tr w:rsidR="002A3AAA" w14:paraId="0184D49D" w14:textId="77777777" w:rsidTr="00D4462D">
        <w:trPr>
          <w:trHeight w:val="315"/>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71689D3" w14:textId="77777777" w:rsidR="000D0728" w:rsidRDefault="005648CD">
            <w:pPr>
              <w:ind w:firstLineChars="100" w:firstLine="200"/>
              <w:rPr>
                <w:color w:val="000000"/>
                <w:sz w:val="20"/>
                <w:szCs w:val="20"/>
              </w:rPr>
            </w:pPr>
            <w:r>
              <w:rPr>
                <w:color w:val="000000"/>
                <w:sz w:val="20"/>
                <w:szCs w:val="20"/>
              </w:rPr>
              <w:t xml:space="preserve">     Notification of applicability </w:t>
            </w:r>
            <w:r>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24DE6" w14:textId="77777777" w:rsidR="000D0728" w:rsidRDefault="005648CD">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3601F"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B70DC" w14:textId="77777777" w:rsidR="000D0728" w:rsidRDefault="005648CD">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57B79"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E7261" w14:textId="77777777" w:rsidR="000D0728" w:rsidRDefault="005648CD">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6A72B" w14:textId="77777777" w:rsidR="000D0728" w:rsidRDefault="005648CD">
            <w:pPr>
              <w:jc w:val="center"/>
              <w:rPr>
                <w:color w:val="000000"/>
                <w:sz w:val="20"/>
                <w:szCs w:val="20"/>
              </w:rPr>
            </w:pPr>
            <w:r>
              <w:rPr>
                <w:color w:val="000000"/>
                <w:sz w:val="20"/>
                <w:szCs w:val="20"/>
              </w:rPr>
              <w:t>0.1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7D6E1" w14:textId="77777777" w:rsidR="000D0728" w:rsidRDefault="005648CD">
            <w:pPr>
              <w:jc w:val="center"/>
              <w:rPr>
                <w:color w:val="000000"/>
                <w:sz w:val="20"/>
                <w:szCs w:val="20"/>
              </w:rPr>
            </w:pPr>
            <w:r>
              <w:rPr>
                <w:color w:val="000000"/>
                <w:sz w:val="20"/>
                <w:szCs w:val="20"/>
              </w:rPr>
              <w:t>0.2</w:t>
            </w: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B450C" w14:textId="77777777" w:rsidR="000D0728" w:rsidRDefault="005648CD">
            <w:pPr>
              <w:jc w:val="right"/>
              <w:rPr>
                <w:color w:val="000000"/>
                <w:sz w:val="20"/>
                <w:szCs w:val="20"/>
              </w:rPr>
            </w:pPr>
            <w:r>
              <w:rPr>
                <w:color w:val="000000"/>
                <w:sz w:val="20"/>
                <w:szCs w:val="20"/>
              </w:rPr>
              <w:t xml:space="preserve">$104.68 </w:t>
            </w:r>
          </w:p>
        </w:tc>
      </w:tr>
      <w:tr w:rsidR="002A3AAA" w14:paraId="48CD286A" w14:textId="77777777" w:rsidTr="00D4462D">
        <w:trPr>
          <w:trHeight w:val="315"/>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FDD2E7A" w14:textId="77777777" w:rsidR="000D0728" w:rsidRDefault="005648CD">
            <w:pPr>
              <w:ind w:firstLineChars="100" w:firstLine="200"/>
              <w:rPr>
                <w:color w:val="000000"/>
                <w:sz w:val="20"/>
                <w:szCs w:val="20"/>
              </w:rPr>
            </w:pPr>
            <w:r>
              <w:rPr>
                <w:color w:val="000000"/>
                <w:sz w:val="20"/>
                <w:szCs w:val="20"/>
              </w:rPr>
              <w:t xml:space="preserve">     Notification of initial performance test </w:t>
            </w:r>
            <w:r>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CD4F0" w14:textId="77777777" w:rsidR="000D0728" w:rsidRDefault="005648CD">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1DF97"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B8CFA" w14:textId="77777777" w:rsidR="000D0728" w:rsidRDefault="005648CD">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C4D08"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3E946" w14:textId="77777777" w:rsidR="000D0728" w:rsidRDefault="005648CD">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8F334" w14:textId="77777777" w:rsidR="000D0728" w:rsidRDefault="005648CD">
            <w:pPr>
              <w:jc w:val="center"/>
              <w:rPr>
                <w:color w:val="000000"/>
                <w:sz w:val="20"/>
                <w:szCs w:val="20"/>
              </w:rPr>
            </w:pPr>
            <w:r>
              <w:rPr>
                <w:color w:val="000000"/>
                <w:sz w:val="20"/>
                <w:szCs w:val="20"/>
              </w:rPr>
              <w:t>0.1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6E463" w14:textId="77777777" w:rsidR="000D0728" w:rsidRDefault="005648CD">
            <w:pPr>
              <w:jc w:val="center"/>
              <w:rPr>
                <w:color w:val="000000"/>
                <w:sz w:val="20"/>
                <w:szCs w:val="20"/>
              </w:rPr>
            </w:pPr>
            <w:r>
              <w:rPr>
                <w:color w:val="000000"/>
                <w:sz w:val="20"/>
                <w:szCs w:val="20"/>
              </w:rPr>
              <w:t>0.2</w:t>
            </w: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48348" w14:textId="77777777" w:rsidR="000D0728" w:rsidRDefault="005648CD">
            <w:pPr>
              <w:jc w:val="right"/>
              <w:rPr>
                <w:color w:val="000000"/>
                <w:sz w:val="20"/>
                <w:szCs w:val="20"/>
              </w:rPr>
            </w:pPr>
            <w:r>
              <w:rPr>
                <w:color w:val="000000"/>
                <w:sz w:val="20"/>
                <w:szCs w:val="20"/>
              </w:rPr>
              <w:t xml:space="preserve">$104.68 </w:t>
            </w:r>
          </w:p>
        </w:tc>
      </w:tr>
      <w:tr w:rsidR="002A3AAA" w14:paraId="1EA5C458" w14:textId="77777777" w:rsidTr="00D4462D">
        <w:trPr>
          <w:trHeight w:val="315"/>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1943A63" w14:textId="77777777" w:rsidR="000D0728" w:rsidRDefault="005648CD">
            <w:pPr>
              <w:ind w:firstLineChars="100" w:firstLine="200"/>
              <w:rPr>
                <w:color w:val="000000"/>
                <w:sz w:val="20"/>
                <w:szCs w:val="20"/>
              </w:rPr>
            </w:pPr>
            <w:r>
              <w:rPr>
                <w:color w:val="000000"/>
                <w:sz w:val="20"/>
                <w:szCs w:val="20"/>
              </w:rPr>
              <w:t xml:space="preserve">     Notification of performance evaluation </w:t>
            </w:r>
            <w:r>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08D35" w14:textId="77777777" w:rsidR="000D0728" w:rsidRDefault="005648CD">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5E84B"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D79DE" w14:textId="77777777" w:rsidR="000D0728" w:rsidRDefault="005648CD">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9428B"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AA2F1" w14:textId="77777777" w:rsidR="000D0728" w:rsidRDefault="005648CD">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9C63A" w14:textId="77777777" w:rsidR="000D0728" w:rsidRDefault="005648CD">
            <w:pPr>
              <w:jc w:val="center"/>
              <w:rPr>
                <w:color w:val="000000"/>
                <w:sz w:val="20"/>
                <w:szCs w:val="20"/>
              </w:rPr>
            </w:pPr>
            <w:r>
              <w:rPr>
                <w:color w:val="000000"/>
                <w:sz w:val="20"/>
                <w:szCs w:val="20"/>
              </w:rPr>
              <w:t>0.1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66E45" w14:textId="77777777" w:rsidR="000D0728" w:rsidRDefault="005648CD">
            <w:pPr>
              <w:jc w:val="center"/>
              <w:rPr>
                <w:color w:val="000000"/>
                <w:sz w:val="20"/>
                <w:szCs w:val="20"/>
              </w:rPr>
            </w:pPr>
            <w:r>
              <w:rPr>
                <w:color w:val="000000"/>
                <w:sz w:val="20"/>
                <w:szCs w:val="20"/>
              </w:rPr>
              <w:t>0.2</w:t>
            </w: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126AE" w14:textId="77777777" w:rsidR="000D0728" w:rsidRDefault="005648CD">
            <w:pPr>
              <w:jc w:val="right"/>
              <w:rPr>
                <w:color w:val="000000"/>
                <w:sz w:val="20"/>
                <w:szCs w:val="20"/>
              </w:rPr>
            </w:pPr>
            <w:r>
              <w:rPr>
                <w:color w:val="000000"/>
                <w:sz w:val="20"/>
                <w:szCs w:val="20"/>
              </w:rPr>
              <w:t xml:space="preserve">$104.68 </w:t>
            </w:r>
          </w:p>
        </w:tc>
      </w:tr>
      <w:tr w:rsidR="002A3AAA" w14:paraId="085710F9" w14:textId="77777777" w:rsidTr="00D4462D">
        <w:trPr>
          <w:trHeight w:val="315"/>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86A235B" w14:textId="77777777" w:rsidR="000D0728" w:rsidRDefault="005648CD">
            <w:pPr>
              <w:ind w:firstLineChars="100" w:firstLine="200"/>
              <w:rPr>
                <w:color w:val="000000"/>
                <w:sz w:val="20"/>
                <w:szCs w:val="20"/>
              </w:rPr>
            </w:pPr>
            <w:r>
              <w:rPr>
                <w:color w:val="000000"/>
                <w:sz w:val="20"/>
                <w:szCs w:val="20"/>
              </w:rPr>
              <w:t xml:space="preserve">     Review of notification of compliance status </w:t>
            </w:r>
            <w:r>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B4D85" w14:textId="77777777" w:rsidR="000D0728" w:rsidRDefault="005648CD">
            <w:pPr>
              <w:jc w:val="center"/>
              <w:rPr>
                <w:color w:val="000000"/>
                <w:sz w:val="20"/>
                <w:szCs w:val="20"/>
              </w:rPr>
            </w:pPr>
            <w:r>
              <w:rPr>
                <w:color w:val="000000"/>
                <w:sz w:val="20"/>
                <w:szCs w:val="20"/>
              </w:rPr>
              <w:t>4</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9E3FF" w14:textId="77777777" w:rsidR="000D0728" w:rsidRDefault="005648CD">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C9111" w14:textId="77777777" w:rsidR="000D0728" w:rsidRDefault="005648CD">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61470" w14:textId="77777777" w:rsidR="000D0728" w:rsidRDefault="005648CD">
            <w:pPr>
              <w:jc w:val="center"/>
              <w:rPr>
                <w:color w:val="000000"/>
                <w:sz w:val="20"/>
                <w:szCs w:val="20"/>
              </w:rPr>
            </w:pPr>
            <w:r>
              <w:rPr>
                <w:color w:val="000000"/>
                <w:sz w:val="20"/>
                <w:szCs w:val="20"/>
              </w:rPr>
              <w:t>1</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AEFAA" w14:textId="77777777" w:rsidR="000D0728" w:rsidRDefault="005648CD">
            <w:pPr>
              <w:jc w:val="center"/>
              <w:rPr>
                <w:color w:val="000000"/>
                <w:sz w:val="20"/>
                <w:szCs w:val="20"/>
              </w:rPr>
            </w:pPr>
            <w:r>
              <w:rPr>
                <w:color w:val="000000"/>
                <w:sz w:val="20"/>
                <w:szCs w:val="20"/>
              </w:rPr>
              <w:t>4</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94B02" w14:textId="77777777" w:rsidR="000D0728" w:rsidRDefault="005648CD">
            <w:pPr>
              <w:jc w:val="center"/>
              <w:rPr>
                <w:color w:val="000000"/>
                <w:sz w:val="20"/>
                <w:szCs w:val="20"/>
              </w:rPr>
            </w:pPr>
            <w:r>
              <w:rPr>
                <w:color w:val="000000"/>
                <w:sz w:val="20"/>
                <w:szCs w:val="20"/>
              </w:rPr>
              <w:t>0.2</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F8E79" w14:textId="77777777" w:rsidR="000D0728" w:rsidRDefault="005648CD">
            <w:pPr>
              <w:jc w:val="center"/>
              <w:rPr>
                <w:color w:val="000000"/>
                <w:sz w:val="20"/>
                <w:szCs w:val="20"/>
              </w:rPr>
            </w:pPr>
            <w:r>
              <w:rPr>
                <w:color w:val="000000"/>
                <w:sz w:val="20"/>
                <w:szCs w:val="20"/>
              </w:rPr>
              <w:t>0.4</w:t>
            </w: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9B6D0" w14:textId="77777777" w:rsidR="000D0728" w:rsidRDefault="005648CD">
            <w:pPr>
              <w:jc w:val="right"/>
              <w:rPr>
                <w:color w:val="000000"/>
                <w:sz w:val="20"/>
                <w:szCs w:val="20"/>
              </w:rPr>
            </w:pPr>
            <w:r>
              <w:rPr>
                <w:color w:val="000000"/>
                <w:sz w:val="20"/>
                <w:szCs w:val="20"/>
              </w:rPr>
              <w:t xml:space="preserve">$209.36 </w:t>
            </w:r>
          </w:p>
        </w:tc>
      </w:tr>
      <w:tr w:rsidR="002A3AAA" w14:paraId="565BC139" w14:textId="77777777" w:rsidTr="00D4462D">
        <w:trPr>
          <w:trHeight w:val="300"/>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0F32D7E8" w14:textId="77777777" w:rsidR="000D0728" w:rsidRDefault="005648CD">
            <w:pPr>
              <w:ind w:firstLineChars="100" w:firstLine="200"/>
              <w:rPr>
                <w:color w:val="000000"/>
                <w:sz w:val="20"/>
                <w:szCs w:val="20"/>
              </w:rPr>
            </w:pPr>
            <w:r>
              <w:rPr>
                <w:color w:val="000000"/>
                <w:sz w:val="20"/>
                <w:szCs w:val="20"/>
              </w:rPr>
              <w:t xml:space="preserve">     Review of excess emissions report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1A2A5" w14:textId="77777777" w:rsidR="000D0728" w:rsidRDefault="000D0728">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952BB" w14:textId="77777777" w:rsidR="000D0728" w:rsidRDefault="000D0728">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7B203" w14:textId="77777777" w:rsidR="000D0728" w:rsidRDefault="000D0728">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51460" w14:textId="77777777" w:rsidR="000D0728" w:rsidRDefault="000D0728">
            <w:pPr>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B874E" w14:textId="77777777" w:rsidR="000D0728" w:rsidRDefault="000D0728">
            <w:pPr>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2B2C5" w14:textId="77777777" w:rsidR="000D0728" w:rsidRDefault="000D0728">
            <w:pPr>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11E17" w14:textId="77777777" w:rsidR="000D0728" w:rsidRDefault="000D0728">
            <w:pPr>
              <w:jc w:val="center"/>
              <w:rPr>
                <w:color w:val="000000"/>
                <w:sz w:val="20"/>
                <w:szCs w:val="20"/>
              </w:rPr>
            </w:pP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C08D6" w14:textId="77777777" w:rsidR="000D0728" w:rsidRDefault="005648CD">
            <w:pPr>
              <w:jc w:val="right"/>
              <w:rPr>
                <w:color w:val="000000"/>
                <w:sz w:val="20"/>
                <w:szCs w:val="20"/>
              </w:rPr>
            </w:pPr>
            <w:r>
              <w:rPr>
                <w:color w:val="000000"/>
                <w:sz w:val="20"/>
                <w:szCs w:val="20"/>
              </w:rPr>
              <w:t> </w:t>
            </w:r>
          </w:p>
        </w:tc>
      </w:tr>
      <w:tr w:rsidR="002A3AAA" w14:paraId="28E79093" w14:textId="77777777" w:rsidTr="00D4462D">
        <w:trPr>
          <w:trHeight w:val="315"/>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19108C7D" w14:textId="77777777" w:rsidR="000D0728" w:rsidRDefault="005648CD">
            <w:pPr>
              <w:ind w:firstLineChars="100" w:firstLine="200"/>
              <w:rPr>
                <w:color w:val="000000"/>
                <w:sz w:val="20"/>
                <w:szCs w:val="20"/>
              </w:rPr>
            </w:pPr>
            <w:r>
              <w:rPr>
                <w:color w:val="000000"/>
                <w:sz w:val="20"/>
                <w:szCs w:val="20"/>
              </w:rPr>
              <w:t xml:space="preserve">        Quarterly reports of monitoring exceedances and periods of noncompliance </w:t>
            </w:r>
            <w:r>
              <w:rPr>
                <w:color w:val="000000"/>
                <w:sz w:val="20"/>
                <w:szCs w:val="20"/>
                <w:vertAlign w:val="superscript"/>
              </w:rPr>
              <w:t>e</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A56A7" w14:textId="77777777" w:rsidR="000D0728" w:rsidRDefault="005648CD">
            <w:pPr>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B03D4" w14:textId="77777777" w:rsidR="000D0728" w:rsidRDefault="005648CD">
            <w:pPr>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EE0F0" w14:textId="77777777" w:rsidR="000D0728" w:rsidRDefault="005648CD">
            <w:pPr>
              <w:jc w:val="center"/>
              <w:rPr>
                <w:color w:val="000000"/>
                <w:sz w:val="20"/>
                <w:szCs w:val="20"/>
              </w:rPr>
            </w:pPr>
            <w:r>
              <w:rPr>
                <w:color w:val="000000"/>
                <w:sz w:val="20"/>
                <w:szCs w:val="20"/>
              </w:rPr>
              <w:t>32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83A05" w14:textId="77777777" w:rsidR="000D0728" w:rsidRDefault="005648CD">
            <w:pPr>
              <w:jc w:val="center"/>
              <w:rPr>
                <w:color w:val="000000"/>
                <w:sz w:val="20"/>
                <w:szCs w:val="20"/>
              </w:rPr>
            </w:pPr>
            <w:r>
              <w:rPr>
                <w:color w:val="000000"/>
                <w:sz w:val="20"/>
                <w:szCs w:val="20"/>
              </w:rPr>
              <w:t>6</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69BC6" w14:textId="77777777" w:rsidR="000D0728" w:rsidRDefault="005648CD">
            <w:pPr>
              <w:jc w:val="center"/>
              <w:rPr>
                <w:color w:val="000000"/>
                <w:sz w:val="20"/>
                <w:szCs w:val="20"/>
              </w:rPr>
            </w:pPr>
            <w:r>
              <w:rPr>
                <w:color w:val="000000"/>
                <w:sz w:val="20"/>
                <w:szCs w:val="20"/>
              </w:rPr>
              <w:t>192</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2B91E" w14:textId="77777777" w:rsidR="000D0728" w:rsidRDefault="005648CD">
            <w:pPr>
              <w:jc w:val="center"/>
              <w:rPr>
                <w:color w:val="000000"/>
                <w:sz w:val="20"/>
                <w:szCs w:val="20"/>
              </w:rPr>
            </w:pPr>
            <w:r>
              <w:rPr>
                <w:color w:val="000000"/>
                <w:sz w:val="20"/>
                <w:szCs w:val="20"/>
              </w:rPr>
              <w:t>9.6</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4AAF5" w14:textId="77777777" w:rsidR="000D0728" w:rsidRDefault="005648CD">
            <w:pPr>
              <w:jc w:val="center"/>
              <w:rPr>
                <w:color w:val="000000"/>
                <w:sz w:val="20"/>
                <w:szCs w:val="20"/>
              </w:rPr>
            </w:pPr>
            <w:r>
              <w:rPr>
                <w:color w:val="000000"/>
                <w:sz w:val="20"/>
                <w:szCs w:val="20"/>
              </w:rPr>
              <w:t>19.2</w:t>
            </w: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F6AF9" w14:textId="77777777" w:rsidR="000D0728" w:rsidRDefault="005648CD">
            <w:pPr>
              <w:jc w:val="right"/>
              <w:rPr>
                <w:color w:val="000000"/>
                <w:sz w:val="20"/>
                <w:szCs w:val="20"/>
              </w:rPr>
            </w:pPr>
            <w:r>
              <w:rPr>
                <w:color w:val="000000"/>
                <w:sz w:val="20"/>
                <w:szCs w:val="20"/>
              </w:rPr>
              <w:t xml:space="preserve">$10,049.28 </w:t>
            </w:r>
          </w:p>
        </w:tc>
      </w:tr>
      <w:tr w:rsidR="002A3AAA" w14:paraId="54286FF5" w14:textId="77777777" w:rsidTr="00D4462D">
        <w:trPr>
          <w:trHeight w:val="315"/>
          <w:jc w:val="center"/>
        </w:trPr>
        <w:tc>
          <w:tcPr>
            <w:tcW w:w="3345"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6A22121" w14:textId="77777777" w:rsidR="000D0728" w:rsidRDefault="005648CD">
            <w:pPr>
              <w:ind w:firstLineChars="100" w:firstLine="200"/>
              <w:rPr>
                <w:color w:val="000000"/>
                <w:sz w:val="20"/>
                <w:szCs w:val="20"/>
              </w:rPr>
            </w:pPr>
            <w:r>
              <w:rPr>
                <w:color w:val="000000"/>
                <w:sz w:val="20"/>
                <w:szCs w:val="20"/>
              </w:rPr>
              <w:t xml:space="preserve">        Semiannual reports of no exceedances </w:t>
            </w:r>
            <w:r>
              <w:rPr>
                <w:color w:val="000000"/>
                <w:sz w:val="20"/>
                <w:szCs w:val="20"/>
                <w:vertAlign w:val="superscript"/>
              </w:rPr>
              <w:t>f</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DE501" w14:textId="77777777" w:rsidR="000D0728" w:rsidRDefault="005648CD">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70E0F" w14:textId="77777777" w:rsidR="000D0728" w:rsidRDefault="005648CD">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34637" w14:textId="77777777" w:rsidR="000D0728" w:rsidRDefault="005648CD">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9940F" w14:textId="77777777" w:rsidR="000D0728" w:rsidRDefault="005648CD">
            <w:pPr>
              <w:jc w:val="center"/>
              <w:rPr>
                <w:color w:val="000000"/>
                <w:sz w:val="20"/>
                <w:szCs w:val="20"/>
              </w:rPr>
            </w:pPr>
            <w:r>
              <w:rPr>
                <w:color w:val="000000"/>
                <w:sz w:val="20"/>
                <w:szCs w:val="20"/>
              </w:rPr>
              <w:t>105</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1C278" w14:textId="77777777" w:rsidR="000D0728" w:rsidRDefault="005648CD">
            <w:pPr>
              <w:jc w:val="center"/>
              <w:rPr>
                <w:color w:val="000000"/>
                <w:sz w:val="20"/>
                <w:szCs w:val="20"/>
              </w:rPr>
            </w:pPr>
            <w:r>
              <w:rPr>
                <w:color w:val="000000"/>
                <w:sz w:val="20"/>
                <w:szCs w:val="20"/>
              </w:rPr>
              <w:t>420</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E1FDA" w14:textId="77777777" w:rsidR="000D0728" w:rsidRDefault="005648CD">
            <w:pPr>
              <w:jc w:val="center"/>
              <w:rPr>
                <w:color w:val="000000"/>
                <w:sz w:val="20"/>
                <w:szCs w:val="20"/>
              </w:rPr>
            </w:pPr>
            <w:r>
              <w:rPr>
                <w:color w:val="000000"/>
                <w:sz w:val="20"/>
                <w:szCs w:val="20"/>
              </w:rPr>
              <w:t>21</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8D91D" w14:textId="77777777" w:rsidR="000D0728" w:rsidRDefault="005648CD">
            <w:pPr>
              <w:jc w:val="center"/>
              <w:rPr>
                <w:color w:val="000000"/>
                <w:sz w:val="20"/>
                <w:szCs w:val="20"/>
              </w:rPr>
            </w:pPr>
            <w:r>
              <w:rPr>
                <w:color w:val="000000"/>
                <w:sz w:val="20"/>
                <w:szCs w:val="20"/>
              </w:rPr>
              <w:t>42</w:t>
            </w:r>
          </w:p>
        </w:tc>
        <w:tc>
          <w:tcPr>
            <w:tcW w:w="10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E3587" w14:textId="77777777" w:rsidR="000D0728" w:rsidRDefault="005648CD">
            <w:pPr>
              <w:jc w:val="right"/>
              <w:rPr>
                <w:color w:val="000000"/>
                <w:sz w:val="20"/>
                <w:szCs w:val="20"/>
              </w:rPr>
            </w:pPr>
            <w:r>
              <w:rPr>
                <w:color w:val="000000"/>
                <w:sz w:val="20"/>
                <w:szCs w:val="20"/>
              </w:rPr>
              <w:t xml:space="preserve">$21,982.80 </w:t>
            </w:r>
          </w:p>
        </w:tc>
      </w:tr>
      <w:tr w:rsidR="00970EA3" w14:paraId="73016ED1" w14:textId="77777777" w:rsidTr="00D4462D">
        <w:trPr>
          <w:trHeight w:val="300"/>
          <w:jc w:val="center"/>
        </w:trPr>
        <w:tc>
          <w:tcPr>
            <w:tcW w:w="8745" w:type="dxa"/>
            <w:gridSpan w:val="5"/>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5BE3D8" w14:textId="77777777" w:rsidR="000D0728" w:rsidRDefault="00970EA3">
            <w:pPr>
              <w:rPr>
                <w:color w:val="000000"/>
                <w:sz w:val="20"/>
                <w:szCs w:val="20"/>
              </w:rPr>
            </w:pPr>
            <w:r>
              <w:rPr>
                <w:b/>
                <w:bCs/>
                <w:color w:val="000000"/>
                <w:sz w:val="20"/>
                <w:szCs w:val="20"/>
              </w:rPr>
              <w:t xml:space="preserve">  </w:t>
            </w:r>
            <w:r w:rsidR="006B3B7B">
              <w:rPr>
                <w:b/>
                <w:bCs/>
                <w:color w:val="000000"/>
                <w:sz w:val="20"/>
                <w:szCs w:val="20"/>
              </w:rPr>
              <w:t xml:space="preserve">TOTAL ANNUAL BURDEN AND COST </w:t>
            </w:r>
            <w:r>
              <w:rPr>
                <w:b/>
                <w:bCs/>
                <w:color w:val="000000"/>
                <w:sz w:val="20"/>
                <w:szCs w:val="20"/>
              </w:rPr>
              <w:t>(rounded)</w:t>
            </w:r>
          </w:p>
        </w:tc>
        <w:tc>
          <w:tcPr>
            <w:tcW w:w="3780" w:type="dxa"/>
            <w:gridSpan w:val="3"/>
            <w:tcBorders>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0A725" w14:textId="77777777" w:rsidR="000D0728" w:rsidRPr="00346F9D" w:rsidRDefault="00970EA3">
            <w:pPr>
              <w:jc w:val="center"/>
              <w:rPr>
                <w:b/>
                <w:color w:val="000000"/>
                <w:sz w:val="20"/>
                <w:szCs w:val="20"/>
              </w:rPr>
            </w:pPr>
            <w:r w:rsidRPr="00346F9D">
              <w:rPr>
                <w:b/>
                <w:color w:val="000000"/>
                <w:sz w:val="20"/>
                <w:szCs w:val="20"/>
              </w:rPr>
              <w:t>720</w:t>
            </w:r>
          </w:p>
        </w:tc>
        <w:tc>
          <w:tcPr>
            <w:tcW w:w="1027" w:type="dxa"/>
            <w:tcBorders>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8E978" w14:textId="77777777" w:rsidR="000D0728" w:rsidRPr="00346F9D" w:rsidRDefault="00970EA3">
            <w:pPr>
              <w:jc w:val="right"/>
              <w:rPr>
                <w:b/>
                <w:color w:val="000000"/>
                <w:sz w:val="20"/>
                <w:szCs w:val="20"/>
              </w:rPr>
            </w:pPr>
            <w:r w:rsidRPr="00346F9D">
              <w:rPr>
                <w:b/>
                <w:color w:val="000000"/>
                <w:sz w:val="20"/>
                <w:szCs w:val="20"/>
              </w:rPr>
              <w:t xml:space="preserve">$32,765 </w:t>
            </w:r>
          </w:p>
        </w:tc>
      </w:tr>
    </w:tbl>
    <w:p w14:paraId="19053A0B" w14:textId="77777777" w:rsidR="00D4462D" w:rsidRDefault="005648CD" w:rsidP="00F340DF">
      <w:pPr>
        <w:rPr>
          <w:bCs/>
          <w:color w:val="FF0000"/>
        </w:rPr>
      </w:pPr>
      <w:r w:rsidRPr="00144F35" w:rsidDel="005648CD">
        <w:rPr>
          <w:bCs/>
          <w:color w:val="FF0000"/>
        </w:rPr>
        <w:t xml:space="preserve"> </w:t>
      </w:r>
    </w:p>
    <w:p w14:paraId="7890840C" w14:textId="77777777" w:rsidR="00D4462D" w:rsidRDefault="00D4462D" w:rsidP="00D4462D">
      <w:pPr>
        <w:pBdr>
          <w:between w:val="single" w:sz="4" w:space="1" w:color="auto"/>
        </w:pBdr>
        <w:ind w:hanging="270"/>
        <w:rPr>
          <w:sz w:val="20"/>
          <w:szCs w:val="20"/>
        </w:rPr>
      </w:pPr>
      <w:r>
        <w:rPr>
          <w:b/>
          <w:bCs/>
          <w:sz w:val="20"/>
          <w:szCs w:val="20"/>
        </w:rPr>
        <w:tab/>
        <w:t>Assumptions:</w:t>
      </w:r>
    </w:p>
    <w:p w14:paraId="5B26A835" w14:textId="77777777" w:rsidR="00D4462D" w:rsidRDefault="00D4462D" w:rsidP="00346F9D">
      <w:pPr>
        <w:tabs>
          <w:tab w:val="left" w:pos="180"/>
        </w:tabs>
        <w:ind w:left="180" w:hanging="180"/>
        <w:rPr>
          <w:sz w:val="20"/>
          <w:szCs w:val="20"/>
        </w:rPr>
      </w:pPr>
      <w:proofErr w:type="spellStart"/>
      <w:r w:rsidRPr="00C96F76">
        <w:rPr>
          <w:sz w:val="20"/>
          <w:szCs w:val="20"/>
          <w:vertAlign w:val="superscript"/>
        </w:rPr>
        <w:t>a</w:t>
      </w:r>
      <w:proofErr w:type="spellEnd"/>
      <w:r>
        <w:rPr>
          <w:sz w:val="20"/>
          <w:szCs w:val="20"/>
        </w:rPr>
        <w:t xml:space="preserve">  This cost is based on the following labor rates which incorporate a 1.6 benefits multiplication factor to account for government overhead expenses: $62.90</w:t>
      </w:r>
      <w:r w:rsidR="00346F9D">
        <w:rPr>
          <w:sz w:val="20"/>
          <w:szCs w:val="20"/>
        </w:rPr>
        <w:t xml:space="preserve"> </w:t>
      </w:r>
      <w:r>
        <w:rPr>
          <w:sz w:val="20"/>
          <w:szCs w:val="20"/>
        </w:rPr>
        <w:t>Managerial rate (GS-13, Step 5, $39.31 x 1.6), $46.67 Technical rate (GS-12, Step 1, $29.17 x 1.6), and $25.25 Clerical rate (GS-6, Step 3, $15.78 x 1.6).  These rates are from the Office of Personnel Management (OPM) 2014 General Schedule which excludes locality rates of pay.</w:t>
      </w:r>
    </w:p>
    <w:p w14:paraId="750FF02A" w14:textId="77777777" w:rsidR="00D4462D" w:rsidRDefault="00D4462D" w:rsidP="00346F9D">
      <w:pPr>
        <w:tabs>
          <w:tab w:val="left" w:pos="180"/>
        </w:tabs>
        <w:ind w:left="180" w:right="270" w:hanging="450"/>
        <w:rPr>
          <w:sz w:val="20"/>
          <w:szCs w:val="20"/>
        </w:rPr>
      </w:pPr>
      <w:r>
        <w:rPr>
          <w:sz w:val="20"/>
          <w:szCs w:val="20"/>
        </w:rPr>
        <w:lastRenderedPageBreak/>
        <w:t xml:space="preserve">      </w:t>
      </w:r>
      <w:proofErr w:type="gramStart"/>
      <w:r w:rsidRPr="0083162A">
        <w:rPr>
          <w:sz w:val="20"/>
          <w:szCs w:val="20"/>
          <w:vertAlign w:val="superscript"/>
        </w:rPr>
        <w:t>b</w:t>
      </w:r>
      <w:r>
        <w:rPr>
          <w:sz w:val="20"/>
          <w:szCs w:val="20"/>
        </w:rPr>
        <w:t xml:space="preserve">  We</w:t>
      </w:r>
      <w:proofErr w:type="gramEnd"/>
      <w:r>
        <w:rPr>
          <w:sz w:val="20"/>
          <w:szCs w:val="20"/>
        </w:rPr>
        <w:t xml:space="preserve"> have assumed that the average number of existing sources subject to the rule will be 111.  There will be no additional new sources p</w:t>
      </w:r>
      <w:r w:rsidR="00346F9D">
        <w:rPr>
          <w:sz w:val="20"/>
          <w:szCs w:val="20"/>
        </w:rPr>
        <w:t xml:space="preserve">er year that will become </w:t>
      </w:r>
      <w:r>
        <w:rPr>
          <w:sz w:val="20"/>
          <w:szCs w:val="20"/>
        </w:rPr>
        <w:t xml:space="preserve">subject to the rule, and one affected facility will be engaged in some kind of </w:t>
      </w:r>
      <w:proofErr w:type="gramStart"/>
      <w:r>
        <w:rPr>
          <w:sz w:val="20"/>
          <w:szCs w:val="20"/>
        </w:rPr>
        <w:t>modification  each</w:t>
      </w:r>
      <w:proofErr w:type="gramEnd"/>
      <w:r>
        <w:rPr>
          <w:sz w:val="20"/>
          <w:szCs w:val="20"/>
        </w:rPr>
        <w:t xml:space="preserve"> year over the three-year period of this rule.</w:t>
      </w:r>
    </w:p>
    <w:p w14:paraId="7F7D5F35" w14:textId="77777777" w:rsidR="00D4462D" w:rsidRDefault="00D4462D" w:rsidP="00D4462D">
      <w:pPr>
        <w:rPr>
          <w:sz w:val="20"/>
          <w:szCs w:val="20"/>
        </w:rPr>
      </w:pPr>
      <w:proofErr w:type="gramStart"/>
      <w:r w:rsidRPr="00EC7862">
        <w:rPr>
          <w:sz w:val="20"/>
          <w:szCs w:val="20"/>
          <w:vertAlign w:val="superscript"/>
        </w:rPr>
        <w:t>c</w:t>
      </w:r>
      <w:r>
        <w:rPr>
          <w:sz w:val="20"/>
          <w:szCs w:val="20"/>
        </w:rPr>
        <w:t xml:space="preserve">  We</w:t>
      </w:r>
      <w:proofErr w:type="gramEnd"/>
      <w:r>
        <w:rPr>
          <w:sz w:val="20"/>
          <w:szCs w:val="20"/>
        </w:rPr>
        <w:t xml:space="preserve"> have assumed that it will take respondent 2 hours once per year to complete report review.</w:t>
      </w:r>
    </w:p>
    <w:p w14:paraId="07BA8073" w14:textId="77777777" w:rsidR="00D4462D" w:rsidRDefault="00D4462D" w:rsidP="00D4462D">
      <w:pPr>
        <w:rPr>
          <w:sz w:val="20"/>
          <w:szCs w:val="20"/>
        </w:rPr>
      </w:pPr>
      <w:proofErr w:type="gramStart"/>
      <w:r w:rsidRPr="00045559">
        <w:rPr>
          <w:sz w:val="20"/>
          <w:szCs w:val="20"/>
          <w:vertAlign w:val="superscript"/>
        </w:rPr>
        <w:t>d</w:t>
      </w:r>
      <w:r>
        <w:rPr>
          <w:sz w:val="20"/>
          <w:szCs w:val="20"/>
        </w:rPr>
        <w:t xml:space="preserve">  We</w:t>
      </w:r>
      <w:proofErr w:type="gramEnd"/>
      <w:r>
        <w:rPr>
          <w:sz w:val="20"/>
          <w:szCs w:val="20"/>
        </w:rPr>
        <w:t xml:space="preserve"> have assumed that it will take respondent 4 hours once per year to review the compliance status report.</w:t>
      </w:r>
    </w:p>
    <w:p w14:paraId="18DE6990" w14:textId="77777777" w:rsidR="00D4462D" w:rsidRDefault="00D4462D" w:rsidP="00346F9D">
      <w:pPr>
        <w:ind w:left="180" w:hanging="180"/>
        <w:rPr>
          <w:sz w:val="20"/>
          <w:szCs w:val="20"/>
        </w:rPr>
      </w:pPr>
      <w:r w:rsidRPr="00045559">
        <w:rPr>
          <w:sz w:val="20"/>
          <w:szCs w:val="20"/>
          <w:vertAlign w:val="superscript"/>
        </w:rPr>
        <w:t>e</w:t>
      </w:r>
      <w:r>
        <w:rPr>
          <w:sz w:val="20"/>
          <w:szCs w:val="20"/>
        </w:rPr>
        <w:t xml:space="preserve">  We have assumed that five percent of respondents (5% x 111 = 6) will each take 8 hours four times per year to review the monitoring exceedances and periods of noncompliance report.</w:t>
      </w:r>
    </w:p>
    <w:p w14:paraId="27846C1E" w14:textId="77777777" w:rsidR="00D4462D" w:rsidRDefault="00D4462D" w:rsidP="00D4462D">
      <w:pPr>
        <w:rPr>
          <w:sz w:val="20"/>
          <w:szCs w:val="20"/>
        </w:rPr>
      </w:pPr>
      <w:r w:rsidRPr="00045559">
        <w:rPr>
          <w:sz w:val="20"/>
          <w:szCs w:val="20"/>
          <w:vertAlign w:val="superscript"/>
        </w:rPr>
        <w:t>f</w:t>
      </w:r>
      <w:r>
        <w:rPr>
          <w:sz w:val="20"/>
          <w:szCs w:val="20"/>
        </w:rPr>
        <w:t xml:space="preserve">  We have assumed that 95 percent of respondents (95% x 111 = 105) will each take 2 hours two times per year to review the no exceedances report.</w:t>
      </w:r>
    </w:p>
    <w:p w14:paraId="1E347439" w14:textId="77777777" w:rsidR="00144F35" w:rsidRDefault="00D4462D" w:rsidP="00F340DF">
      <w:pPr>
        <w:rPr>
          <w:color w:val="000000"/>
        </w:rPr>
      </w:pPr>
      <w:r w:rsidRPr="00144F35" w:rsidDel="005648CD">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1651A" w14:textId="77777777" w:rsidR="004C038F" w:rsidRDefault="004C038F">
      <w:r>
        <w:separator/>
      </w:r>
    </w:p>
  </w:endnote>
  <w:endnote w:type="continuationSeparator" w:id="0">
    <w:p w14:paraId="2A1B34FB" w14:textId="77777777" w:rsidR="004C038F" w:rsidRDefault="004C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25565" w14:textId="77777777" w:rsidR="004C038F" w:rsidRDefault="004C038F">
      <w:r>
        <w:separator/>
      </w:r>
    </w:p>
  </w:footnote>
  <w:footnote w:type="continuationSeparator" w:id="0">
    <w:p w14:paraId="3006ACC3" w14:textId="77777777" w:rsidR="004C038F" w:rsidRDefault="004C0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4E638" w14:textId="77777777" w:rsidR="00493C66" w:rsidRDefault="00493C66">
    <w:pPr>
      <w:framePr w:w="9361" w:wrap="notBeside" w:vAnchor="text" w:hAnchor="text" w:x="1" w:y="1"/>
      <w:jc w:val="center"/>
    </w:pPr>
    <w:r>
      <w:fldChar w:fldCharType="begin"/>
    </w:r>
    <w:r>
      <w:instrText xml:space="preserve">PAGE </w:instrText>
    </w:r>
    <w:r>
      <w:fldChar w:fldCharType="separate"/>
    </w:r>
    <w:r w:rsidR="00F07C90">
      <w:rPr>
        <w:noProof/>
      </w:rPr>
      <w:t>20</w:t>
    </w:r>
    <w:r>
      <w:rPr>
        <w:noProof/>
      </w:rPr>
      <w:fldChar w:fldCharType="end"/>
    </w:r>
  </w:p>
  <w:p w14:paraId="5820C91C" w14:textId="77777777" w:rsidR="00493C66" w:rsidRDefault="00493C66"/>
  <w:p w14:paraId="7CD01E0C" w14:textId="77777777" w:rsidR="00493C66" w:rsidRDefault="00493C6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20EF"/>
    <w:rsid w:val="0003619B"/>
    <w:rsid w:val="00055BCB"/>
    <w:rsid w:val="00055BDF"/>
    <w:rsid w:val="00055DC5"/>
    <w:rsid w:val="000643EF"/>
    <w:rsid w:val="000906B7"/>
    <w:rsid w:val="000A1FBB"/>
    <w:rsid w:val="000A687C"/>
    <w:rsid w:val="000D0728"/>
    <w:rsid w:val="000D2272"/>
    <w:rsid w:val="000E23DD"/>
    <w:rsid w:val="000F772C"/>
    <w:rsid w:val="00101B40"/>
    <w:rsid w:val="00102B52"/>
    <w:rsid w:val="0010697C"/>
    <w:rsid w:val="00121132"/>
    <w:rsid w:val="00123889"/>
    <w:rsid w:val="00126A7C"/>
    <w:rsid w:val="001356D4"/>
    <w:rsid w:val="001378A3"/>
    <w:rsid w:val="0014079D"/>
    <w:rsid w:val="00144978"/>
    <w:rsid w:val="00144A82"/>
    <w:rsid w:val="00144F35"/>
    <w:rsid w:val="00150295"/>
    <w:rsid w:val="0015433E"/>
    <w:rsid w:val="00186DA3"/>
    <w:rsid w:val="00195753"/>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638A0"/>
    <w:rsid w:val="00264140"/>
    <w:rsid w:val="002712EB"/>
    <w:rsid w:val="0027222A"/>
    <w:rsid w:val="002743D2"/>
    <w:rsid w:val="00277F42"/>
    <w:rsid w:val="00281CAE"/>
    <w:rsid w:val="0029006A"/>
    <w:rsid w:val="002904E7"/>
    <w:rsid w:val="00290C7F"/>
    <w:rsid w:val="002976E9"/>
    <w:rsid w:val="002A3AAA"/>
    <w:rsid w:val="002B29A5"/>
    <w:rsid w:val="002B29A7"/>
    <w:rsid w:val="002B34DD"/>
    <w:rsid w:val="002B517F"/>
    <w:rsid w:val="002B6993"/>
    <w:rsid w:val="002C1F95"/>
    <w:rsid w:val="002C416A"/>
    <w:rsid w:val="002C77DF"/>
    <w:rsid w:val="002D68B3"/>
    <w:rsid w:val="002D7683"/>
    <w:rsid w:val="002F674B"/>
    <w:rsid w:val="002F6DB3"/>
    <w:rsid w:val="0031332B"/>
    <w:rsid w:val="003139FC"/>
    <w:rsid w:val="00315E0E"/>
    <w:rsid w:val="00341540"/>
    <w:rsid w:val="00346F9D"/>
    <w:rsid w:val="003511C6"/>
    <w:rsid w:val="0035325B"/>
    <w:rsid w:val="00354C15"/>
    <w:rsid w:val="00377D7F"/>
    <w:rsid w:val="003833BF"/>
    <w:rsid w:val="003B384B"/>
    <w:rsid w:val="003C3641"/>
    <w:rsid w:val="003C4B46"/>
    <w:rsid w:val="003C5023"/>
    <w:rsid w:val="003D536B"/>
    <w:rsid w:val="003D6951"/>
    <w:rsid w:val="003E30B5"/>
    <w:rsid w:val="003E3BD0"/>
    <w:rsid w:val="003E4C18"/>
    <w:rsid w:val="003F1AFC"/>
    <w:rsid w:val="0040391F"/>
    <w:rsid w:val="00424775"/>
    <w:rsid w:val="00440D16"/>
    <w:rsid w:val="0044133C"/>
    <w:rsid w:val="00455557"/>
    <w:rsid w:val="00473407"/>
    <w:rsid w:val="0047715C"/>
    <w:rsid w:val="00484A45"/>
    <w:rsid w:val="00493C66"/>
    <w:rsid w:val="004A4B25"/>
    <w:rsid w:val="004C038F"/>
    <w:rsid w:val="004C4662"/>
    <w:rsid w:val="004C470D"/>
    <w:rsid w:val="004C5E95"/>
    <w:rsid w:val="004C701D"/>
    <w:rsid w:val="004F1469"/>
    <w:rsid w:val="004F6FCD"/>
    <w:rsid w:val="00503710"/>
    <w:rsid w:val="00504745"/>
    <w:rsid w:val="00507EC5"/>
    <w:rsid w:val="00516952"/>
    <w:rsid w:val="005253D4"/>
    <w:rsid w:val="00534A47"/>
    <w:rsid w:val="00551815"/>
    <w:rsid w:val="00560AD2"/>
    <w:rsid w:val="005648CD"/>
    <w:rsid w:val="00565A51"/>
    <w:rsid w:val="005662A2"/>
    <w:rsid w:val="00571260"/>
    <w:rsid w:val="00576959"/>
    <w:rsid w:val="00583626"/>
    <w:rsid w:val="005A1986"/>
    <w:rsid w:val="005B5DE8"/>
    <w:rsid w:val="005C3665"/>
    <w:rsid w:val="005C42AC"/>
    <w:rsid w:val="005D385C"/>
    <w:rsid w:val="005E194B"/>
    <w:rsid w:val="005F0152"/>
    <w:rsid w:val="005F42F8"/>
    <w:rsid w:val="00601205"/>
    <w:rsid w:val="00606DEF"/>
    <w:rsid w:val="00611C5E"/>
    <w:rsid w:val="00614996"/>
    <w:rsid w:val="00631517"/>
    <w:rsid w:val="00635DBD"/>
    <w:rsid w:val="006741F7"/>
    <w:rsid w:val="006810C3"/>
    <w:rsid w:val="00694B55"/>
    <w:rsid w:val="006B3B7B"/>
    <w:rsid w:val="006C7571"/>
    <w:rsid w:val="006D1B12"/>
    <w:rsid w:val="006E4A6E"/>
    <w:rsid w:val="006E642B"/>
    <w:rsid w:val="00724BC7"/>
    <w:rsid w:val="007619CA"/>
    <w:rsid w:val="00763160"/>
    <w:rsid w:val="0076471A"/>
    <w:rsid w:val="00780612"/>
    <w:rsid w:val="00786A20"/>
    <w:rsid w:val="00795A42"/>
    <w:rsid w:val="007A03E7"/>
    <w:rsid w:val="007A0634"/>
    <w:rsid w:val="007A16F4"/>
    <w:rsid w:val="007A458D"/>
    <w:rsid w:val="007B42C7"/>
    <w:rsid w:val="007C0FAA"/>
    <w:rsid w:val="007E6FF4"/>
    <w:rsid w:val="007F07FB"/>
    <w:rsid w:val="007F77AB"/>
    <w:rsid w:val="00803CEC"/>
    <w:rsid w:val="00810507"/>
    <w:rsid w:val="00813E69"/>
    <w:rsid w:val="00817E8B"/>
    <w:rsid w:val="008338D4"/>
    <w:rsid w:val="00835231"/>
    <w:rsid w:val="00837642"/>
    <w:rsid w:val="0084255D"/>
    <w:rsid w:val="00850ACF"/>
    <w:rsid w:val="00852038"/>
    <w:rsid w:val="00861489"/>
    <w:rsid w:val="00881A94"/>
    <w:rsid w:val="0088639E"/>
    <w:rsid w:val="00887551"/>
    <w:rsid w:val="008A46EB"/>
    <w:rsid w:val="008A6982"/>
    <w:rsid w:val="008B407C"/>
    <w:rsid w:val="008C72C1"/>
    <w:rsid w:val="008E0ED9"/>
    <w:rsid w:val="008E65E6"/>
    <w:rsid w:val="008F285B"/>
    <w:rsid w:val="008F4564"/>
    <w:rsid w:val="009018EC"/>
    <w:rsid w:val="00906EDB"/>
    <w:rsid w:val="00912E00"/>
    <w:rsid w:val="00916101"/>
    <w:rsid w:val="00923C46"/>
    <w:rsid w:val="00970EA3"/>
    <w:rsid w:val="009711DB"/>
    <w:rsid w:val="009A0F50"/>
    <w:rsid w:val="009A16CD"/>
    <w:rsid w:val="009C06F5"/>
    <w:rsid w:val="009D6567"/>
    <w:rsid w:val="009E0F31"/>
    <w:rsid w:val="00A007F5"/>
    <w:rsid w:val="00A01F1E"/>
    <w:rsid w:val="00A038EC"/>
    <w:rsid w:val="00A145B0"/>
    <w:rsid w:val="00A15172"/>
    <w:rsid w:val="00A26EF7"/>
    <w:rsid w:val="00A277D6"/>
    <w:rsid w:val="00A379F8"/>
    <w:rsid w:val="00A54EEA"/>
    <w:rsid w:val="00A56BFF"/>
    <w:rsid w:val="00A73600"/>
    <w:rsid w:val="00A74C1E"/>
    <w:rsid w:val="00A7661C"/>
    <w:rsid w:val="00A8633D"/>
    <w:rsid w:val="00A949F7"/>
    <w:rsid w:val="00A95BC7"/>
    <w:rsid w:val="00A962DF"/>
    <w:rsid w:val="00AA4008"/>
    <w:rsid w:val="00AF70A1"/>
    <w:rsid w:val="00B07F79"/>
    <w:rsid w:val="00B16C07"/>
    <w:rsid w:val="00B46A57"/>
    <w:rsid w:val="00B65754"/>
    <w:rsid w:val="00B66231"/>
    <w:rsid w:val="00B769F1"/>
    <w:rsid w:val="00B82025"/>
    <w:rsid w:val="00BA0A91"/>
    <w:rsid w:val="00BA4887"/>
    <w:rsid w:val="00BB3390"/>
    <w:rsid w:val="00BB3C1A"/>
    <w:rsid w:val="00BC6DEF"/>
    <w:rsid w:val="00BD6316"/>
    <w:rsid w:val="00BD7CAE"/>
    <w:rsid w:val="00BE2989"/>
    <w:rsid w:val="00BE7A11"/>
    <w:rsid w:val="00BF722F"/>
    <w:rsid w:val="00C13FE8"/>
    <w:rsid w:val="00C30A60"/>
    <w:rsid w:val="00C33ABA"/>
    <w:rsid w:val="00C37BB6"/>
    <w:rsid w:val="00C47C87"/>
    <w:rsid w:val="00C52EFD"/>
    <w:rsid w:val="00C64378"/>
    <w:rsid w:val="00C75CF0"/>
    <w:rsid w:val="00C808B5"/>
    <w:rsid w:val="00C82DB6"/>
    <w:rsid w:val="00CA4CD6"/>
    <w:rsid w:val="00CA7DA0"/>
    <w:rsid w:val="00CB12E2"/>
    <w:rsid w:val="00CB323B"/>
    <w:rsid w:val="00CC48AB"/>
    <w:rsid w:val="00CC58F6"/>
    <w:rsid w:val="00CD2069"/>
    <w:rsid w:val="00CD280D"/>
    <w:rsid w:val="00CF2B37"/>
    <w:rsid w:val="00CF547E"/>
    <w:rsid w:val="00D043CA"/>
    <w:rsid w:val="00D13D9A"/>
    <w:rsid w:val="00D14A8D"/>
    <w:rsid w:val="00D20272"/>
    <w:rsid w:val="00D21198"/>
    <w:rsid w:val="00D2273E"/>
    <w:rsid w:val="00D42D52"/>
    <w:rsid w:val="00D4462D"/>
    <w:rsid w:val="00D46FA2"/>
    <w:rsid w:val="00D5080D"/>
    <w:rsid w:val="00D51EAA"/>
    <w:rsid w:val="00D56F5F"/>
    <w:rsid w:val="00D61B37"/>
    <w:rsid w:val="00D63B96"/>
    <w:rsid w:val="00D92F66"/>
    <w:rsid w:val="00D95819"/>
    <w:rsid w:val="00DA7285"/>
    <w:rsid w:val="00DB0ACD"/>
    <w:rsid w:val="00DB59E1"/>
    <w:rsid w:val="00DB7960"/>
    <w:rsid w:val="00DD0312"/>
    <w:rsid w:val="00DD1339"/>
    <w:rsid w:val="00DD15A5"/>
    <w:rsid w:val="00DD1AC1"/>
    <w:rsid w:val="00DD235D"/>
    <w:rsid w:val="00DD7D49"/>
    <w:rsid w:val="00DE1436"/>
    <w:rsid w:val="00DE4227"/>
    <w:rsid w:val="00DF5C4E"/>
    <w:rsid w:val="00E10DA7"/>
    <w:rsid w:val="00E1538C"/>
    <w:rsid w:val="00E1570B"/>
    <w:rsid w:val="00E170E0"/>
    <w:rsid w:val="00E25DB6"/>
    <w:rsid w:val="00E276CD"/>
    <w:rsid w:val="00E32EDA"/>
    <w:rsid w:val="00E53137"/>
    <w:rsid w:val="00E702F6"/>
    <w:rsid w:val="00E72D70"/>
    <w:rsid w:val="00E77D5E"/>
    <w:rsid w:val="00E868BB"/>
    <w:rsid w:val="00EA37A9"/>
    <w:rsid w:val="00EA7026"/>
    <w:rsid w:val="00EC4074"/>
    <w:rsid w:val="00ED741E"/>
    <w:rsid w:val="00EE7D48"/>
    <w:rsid w:val="00EF113F"/>
    <w:rsid w:val="00F02EB3"/>
    <w:rsid w:val="00F033F0"/>
    <w:rsid w:val="00F03803"/>
    <w:rsid w:val="00F06090"/>
    <w:rsid w:val="00F066C9"/>
    <w:rsid w:val="00F07C90"/>
    <w:rsid w:val="00F11E61"/>
    <w:rsid w:val="00F20822"/>
    <w:rsid w:val="00F340DF"/>
    <w:rsid w:val="00F46396"/>
    <w:rsid w:val="00F538BC"/>
    <w:rsid w:val="00F87E6A"/>
    <w:rsid w:val="00F9092B"/>
    <w:rsid w:val="00F92D22"/>
    <w:rsid w:val="00FA7D77"/>
    <w:rsid w:val="00FB0650"/>
    <w:rsid w:val="00FB4D98"/>
    <w:rsid w:val="00FB6378"/>
    <w:rsid w:val="00FB7BCE"/>
    <w:rsid w:val="00FC4E09"/>
    <w:rsid w:val="00FD60E2"/>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3CC95B"/>
  <w15:docId w15:val="{D96CF36E-BC39-449B-8445-019C14A2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4197409">
      <w:bodyDiv w:val="1"/>
      <w:marLeft w:val="0"/>
      <w:marRight w:val="0"/>
      <w:marTop w:val="0"/>
      <w:marBottom w:val="0"/>
      <w:divBdr>
        <w:top w:val="none" w:sz="0" w:space="0" w:color="auto"/>
        <w:left w:val="none" w:sz="0" w:space="0" w:color="auto"/>
        <w:bottom w:val="none" w:sz="0" w:space="0" w:color="auto"/>
        <w:right w:val="none" w:sz="0" w:space="0" w:color="auto"/>
      </w:divBdr>
    </w:div>
    <w:div w:id="32768132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1551542">
      <w:bodyDiv w:val="1"/>
      <w:marLeft w:val="0"/>
      <w:marRight w:val="0"/>
      <w:marTop w:val="0"/>
      <w:marBottom w:val="0"/>
      <w:divBdr>
        <w:top w:val="none" w:sz="0" w:space="0" w:color="auto"/>
        <w:left w:val="none" w:sz="0" w:space="0" w:color="auto"/>
        <w:bottom w:val="none" w:sz="0" w:space="0" w:color="auto"/>
        <w:right w:val="none" w:sz="0" w:space="0" w:color="auto"/>
      </w:divBdr>
    </w:div>
    <w:div w:id="108661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A2C6C-B80A-4E8B-920C-99B5EF12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5729</Words>
  <Characters>32660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dcterms:created xsi:type="dcterms:W3CDTF">2015-01-22T17:51:00Z</dcterms:created>
  <dcterms:modified xsi:type="dcterms:W3CDTF">2015-01-22T17:53:00Z</dcterms:modified>
</cp:coreProperties>
</file>