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CB3" w:rsidRPr="00EE0CB3" w:rsidRDefault="00EE0CB3" w:rsidP="00EE0CB3">
      <w:pPr>
        <w:spacing w:after="300"/>
        <w:rPr>
          <w:rFonts w:ascii="Arial" w:eastAsia="Times New Roman" w:hAnsi="Arial" w:cs="Arial"/>
          <w:color w:val="333333"/>
          <w:sz w:val="18"/>
          <w:szCs w:val="18"/>
          <w:lang w:val="en"/>
        </w:rPr>
      </w:pPr>
      <w:bookmarkStart w:id="0" w:name="_GoBack"/>
      <w:bookmarkEnd w:id="0"/>
      <w:r w:rsidRPr="00EE0CB3">
        <w:rPr>
          <w:rFonts w:ascii="Arial" w:eastAsia="Times New Roman" w:hAnsi="Arial" w:cs="Arial"/>
          <w:b/>
          <w:bCs/>
          <w:color w:val="333333"/>
          <w:sz w:val="18"/>
          <w:szCs w:val="18"/>
          <w:lang w:val="en"/>
        </w:rPr>
        <w:t>Reports and Records</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xml:space="preserve">___.50 </w:t>
      </w:r>
      <w:bookmarkStart w:id="1" w:name="50"/>
      <w:bookmarkEnd w:id="1"/>
      <w:r w:rsidRPr="00EE0CB3">
        <w:rPr>
          <w:rFonts w:ascii="Arial" w:eastAsia="Times New Roman" w:hAnsi="Arial" w:cs="Arial"/>
          <w:color w:val="333333"/>
          <w:sz w:val="18"/>
          <w:szCs w:val="18"/>
          <w:lang w:val="en"/>
        </w:rPr>
        <w:fldChar w:fldCharType="begin"/>
      </w:r>
      <w:r w:rsidRPr="00EE0CB3">
        <w:rPr>
          <w:rFonts w:ascii="Arial" w:eastAsia="Times New Roman" w:hAnsi="Arial" w:cs="Arial"/>
          <w:color w:val="333333"/>
          <w:sz w:val="18"/>
          <w:szCs w:val="18"/>
          <w:lang w:val="en"/>
        </w:rPr>
        <w:instrText xml:space="preserve"> HYPERLINK "http://www.whitehouse.gov/omb/circulars_a110/" \l "reports" </w:instrText>
      </w:r>
      <w:r w:rsidRPr="00EE0CB3">
        <w:rPr>
          <w:rFonts w:ascii="Arial" w:eastAsia="Times New Roman" w:hAnsi="Arial" w:cs="Arial"/>
          <w:color w:val="333333"/>
          <w:sz w:val="18"/>
          <w:szCs w:val="18"/>
          <w:lang w:val="en"/>
        </w:rPr>
        <w:fldChar w:fldCharType="separate"/>
      </w:r>
      <w:r w:rsidRPr="00EE0CB3">
        <w:rPr>
          <w:rFonts w:ascii="Arial" w:eastAsia="Times New Roman" w:hAnsi="Arial" w:cs="Arial"/>
          <w:color w:val="336699"/>
          <w:sz w:val="18"/>
          <w:szCs w:val="18"/>
          <w:lang w:val="en"/>
        </w:rPr>
        <w:t>Purpose of reports and records.</w:t>
      </w:r>
      <w:r w:rsidRPr="00EE0CB3">
        <w:rPr>
          <w:rFonts w:ascii="Arial" w:eastAsia="Times New Roman" w:hAnsi="Arial" w:cs="Arial"/>
          <w:color w:val="333333"/>
          <w:sz w:val="18"/>
          <w:szCs w:val="18"/>
          <w:lang w:val="en"/>
        </w:rPr>
        <w:fldChar w:fldCharType="end"/>
      </w:r>
      <w:r w:rsidRPr="00EE0CB3">
        <w:rPr>
          <w:rFonts w:ascii="Arial" w:eastAsia="Times New Roman" w:hAnsi="Arial" w:cs="Arial"/>
          <w:color w:val="333333"/>
          <w:sz w:val="18"/>
          <w:szCs w:val="18"/>
          <w:lang w:val="en"/>
        </w:rPr>
        <w:t xml:space="preserve"> Sections ___.51 through ___.53 set forth the procedures for monitoring and reporting on the recipient's financial and program performance and the necessary standard reporting forms. They also set forth record retention requirements.</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xml:space="preserve">___.51 </w:t>
      </w:r>
      <w:bookmarkStart w:id="2" w:name="51"/>
      <w:bookmarkEnd w:id="2"/>
      <w:r w:rsidRPr="00EE0CB3">
        <w:rPr>
          <w:rFonts w:ascii="Arial" w:eastAsia="Times New Roman" w:hAnsi="Arial" w:cs="Arial"/>
          <w:color w:val="333333"/>
          <w:sz w:val="18"/>
          <w:szCs w:val="18"/>
          <w:lang w:val="en"/>
        </w:rPr>
        <w:fldChar w:fldCharType="begin"/>
      </w:r>
      <w:r w:rsidRPr="00EE0CB3">
        <w:rPr>
          <w:rFonts w:ascii="Arial" w:eastAsia="Times New Roman" w:hAnsi="Arial" w:cs="Arial"/>
          <w:color w:val="333333"/>
          <w:sz w:val="18"/>
          <w:szCs w:val="18"/>
          <w:lang w:val="en"/>
        </w:rPr>
        <w:instrText xml:space="preserve"> HYPERLINK "http://www.whitehouse.gov/omb/circulars_a110/" \l "reports" </w:instrText>
      </w:r>
      <w:r w:rsidRPr="00EE0CB3">
        <w:rPr>
          <w:rFonts w:ascii="Arial" w:eastAsia="Times New Roman" w:hAnsi="Arial" w:cs="Arial"/>
          <w:color w:val="333333"/>
          <w:sz w:val="18"/>
          <w:szCs w:val="18"/>
          <w:lang w:val="en"/>
        </w:rPr>
        <w:fldChar w:fldCharType="separate"/>
      </w:r>
      <w:r w:rsidRPr="00EE0CB3">
        <w:rPr>
          <w:rFonts w:ascii="Arial" w:eastAsia="Times New Roman" w:hAnsi="Arial" w:cs="Arial"/>
          <w:color w:val="336699"/>
          <w:sz w:val="18"/>
          <w:szCs w:val="18"/>
          <w:lang w:val="en"/>
        </w:rPr>
        <w:t>Monitoring and reporting program performance.</w:t>
      </w:r>
      <w:r w:rsidRPr="00EE0CB3">
        <w:rPr>
          <w:rFonts w:ascii="Arial" w:eastAsia="Times New Roman" w:hAnsi="Arial" w:cs="Arial"/>
          <w:color w:val="333333"/>
          <w:sz w:val="18"/>
          <w:szCs w:val="18"/>
          <w:lang w:val="en"/>
        </w:rPr>
        <w:fldChar w:fldCharType="end"/>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(a) Recipients are responsible for managing and monitoring each project, program, subaward, function or activity supported by the award. Recipients shall monitor subawards to ensure subrecipients have met the audit requirements as delineated in Section ___.26.</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(b) The Federal awarding agency shall prescribe the frequency with which the performance reports shall be submitted. Except as provided in paragraph ___.51(f), performance reports shall not be required more frequently than quarterly or, less frequently than annually. Annual reports shall be due 90 calendar days after the grant year; quarterly or semi-annual reports shall be due 30 days after the reporting period. The Federal awarding agency may require annual reports before the anniversary dates of multiple year awards in lieu of these requirements. The final performance reports are due 90 calendar days after the expiration or termination of the award.</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(c) If inappropriate, a final technical or performance report shall not be required after completion of the project.</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(d) When required, performance reports shall generally contain, for each award, brief information on each of the following.</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w:t>
      </w:r>
    </w:p>
    <w:p w:rsidR="00EE0CB3" w:rsidRPr="00EE0CB3" w:rsidRDefault="00EE0CB3" w:rsidP="00EE0CB3">
      <w:pPr>
        <w:spacing w:after="75"/>
        <w:ind w:left="225"/>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xml:space="preserve">(1) A comparison of actual accomplishments with the goals and objectives established for the period, the findings of the investigator, or both. Whenever appropriate and the output of programs or projects can be readily quantified, such quantitative data should be related to cost data for computation of unit costs. </w:t>
      </w:r>
    </w:p>
    <w:p w:rsidR="00EE0CB3" w:rsidRPr="00EE0CB3" w:rsidRDefault="00EE0CB3" w:rsidP="00EE0CB3">
      <w:pPr>
        <w:spacing w:after="300"/>
        <w:ind w:left="225"/>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w:t>
      </w:r>
    </w:p>
    <w:p w:rsidR="00EE0CB3" w:rsidRPr="00EE0CB3" w:rsidRDefault="00EE0CB3" w:rsidP="00EE0CB3">
      <w:pPr>
        <w:spacing w:after="300"/>
        <w:ind w:left="225"/>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(2) Reasons why established goals were not met, if appropriate.</w:t>
      </w:r>
    </w:p>
    <w:p w:rsidR="00EE0CB3" w:rsidRPr="00EE0CB3" w:rsidRDefault="00EE0CB3" w:rsidP="00EE0CB3">
      <w:pPr>
        <w:spacing w:after="300"/>
        <w:ind w:left="225"/>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(3) Other pertinent information including, when appropriate, analysis and explanation of cost overruns or high unit costs.</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(e) Recipients shall not be required to submit more than the original and two copies of performance reports.</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(f) Recipients shall immediately notify the Federal awarding agency of developments that have a significant impact on the award-supported activities. Also, notification shall be given in the case of problems, delays, or adverse conditions which materially impair the ability to meet the objectives of the award. This notification shall include a statement of the action taken or contemplated, and any assistance needed to resolve the situation.</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(g) Federal awarding agencies may make site visits, as needed.</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(h) Federal awarding agencies shall comply with clearance requirements of 5 CFR part 1320 when requesting performance data from recipients.</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xml:space="preserve">___.52 </w:t>
      </w:r>
      <w:bookmarkStart w:id="3" w:name="52"/>
      <w:bookmarkEnd w:id="3"/>
      <w:r w:rsidRPr="00EE0CB3">
        <w:rPr>
          <w:rFonts w:ascii="Arial" w:eastAsia="Times New Roman" w:hAnsi="Arial" w:cs="Arial"/>
          <w:color w:val="333333"/>
          <w:sz w:val="18"/>
          <w:szCs w:val="18"/>
          <w:lang w:val="en"/>
        </w:rPr>
        <w:fldChar w:fldCharType="begin"/>
      </w:r>
      <w:r w:rsidRPr="00EE0CB3">
        <w:rPr>
          <w:rFonts w:ascii="Arial" w:eastAsia="Times New Roman" w:hAnsi="Arial" w:cs="Arial"/>
          <w:color w:val="333333"/>
          <w:sz w:val="18"/>
          <w:szCs w:val="18"/>
          <w:lang w:val="en"/>
        </w:rPr>
        <w:instrText xml:space="preserve"> HYPERLINK "http://www.whitehouse.gov/omb/circulars_a110/" \l "reports" </w:instrText>
      </w:r>
      <w:r w:rsidRPr="00EE0CB3">
        <w:rPr>
          <w:rFonts w:ascii="Arial" w:eastAsia="Times New Roman" w:hAnsi="Arial" w:cs="Arial"/>
          <w:color w:val="333333"/>
          <w:sz w:val="18"/>
          <w:szCs w:val="18"/>
          <w:lang w:val="en"/>
        </w:rPr>
        <w:fldChar w:fldCharType="separate"/>
      </w:r>
      <w:r w:rsidRPr="00EE0CB3">
        <w:rPr>
          <w:rFonts w:ascii="Arial" w:eastAsia="Times New Roman" w:hAnsi="Arial" w:cs="Arial"/>
          <w:color w:val="336699"/>
          <w:sz w:val="18"/>
          <w:szCs w:val="18"/>
          <w:lang w:val="en"/>
        </w:rPr>
        <w:t>Financial reporting.</w:t>
      </w:r>
      <w:r w:rsidRPr="00EE0CB3">
        <w:rPr>
          <w:rFonts w:ascii="Arial" w:eastAsia="Times New Roman" w:hAnsi="Arial" w:cs="Arial"/>
          <w:color w:val="333333"/>
          <w:sz w:val="18"/>
          <w:szCs w:val="18"/>
          <w:lang w:val="en"/>
        </w:rPr>
        <w:fldChar w:fldCharType="end"/>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lastRenderedPageBreak/>
        <w:t>(a) The following forms or such other forms as may be approved by OMB are authorized for obtaining financial information from recipients.</w:t>
      </w:r>
    </w:p>
    <w:p w:rsidR="00EE0CB3" w:rsidRPr="00EE0CB3" w:rsidRDefault="00EE0CB3" w:rsidP="00EE0CB3">
      <w:pPr>
        <w:spacing w:after="75"/>
        <w:ind w:left="225"/>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xml:space="preserve">(1) SF-269 or SF-269A, Financial Status Report. </w:t>
      </w:r>
    </w:p>
    <w:p w:rsidR="00EE0CB3" w:rsidRPr="00EE0CB3" w:rsidRDefault="00EE0CB3" w:rsidP="00EE0CB3">
      <w:pPr>
        <w:spacing w:after="300"/>
        <w:ind w:left="225"/>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w:t>
      </w:r>
    </w:p>
    <w:p w:rsidR="00EE0CB3" w:rsidRPr="00EE0CB3" w:rsidRDefault="00EE0CB3" w:rsidP="00EE0CB3">
      <w:pPr>
        <w:spacing w:after="240"/>
        <w:ind w:left="225"/>
        <w:rPr>
          <w:rFonts w:ascii="Arial" w:eastAsia="Times New Roman" w:hAnsi="Arial" w:cs="Arial"/>
          <w:color w:val="333333"/>
          <w:sz w:val="18"/>
          <w:szCs w:val="18"/>
          <w:lang w:val="en"/>
        </w:rPr>
      </w:pPr>
    </w:p>
    <w:p w:rsidR="00EE0CB3" w:rsidRPr="00EE0CB3" w:rsidRDefault="00EE0CB3" w:rsidP="00EE0CB3">
      <w:pPr>
        <w:spacing w:after="75"/>
        <w:ind w:left="45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xml:space="preserve">(i) Each Federal awarding agency shall require recipients to use the SF-269 or SF-269A to report the status of funds for all nonconstruction projects or programs. A Federal awarding agency may, however, have the option of not requiring the SF-269 or SF-269A when the SF-270, Request for Advance or Reimbursement, or SF-272, Report of Federal Cash Transactions, is determined to provide adequate information to meet its needs, except that a final SF-269 or SF-269A shall be required at the completion of the project when the SF-270 is used only for advances. </w:t>
      </w:r>
    </w:p>
    <w:p w:rsidR="00EE0CB3" w:rsidRPr="00EE0CB3" w:rsidRDefault="00EE0CB3" w:rsidP="00EE0CB3">
      <w:pPr>
        <w:spacing w:after="300"/>
        <w:ind w:left="45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w:t>
      </w:r>
    </w:p>
    <w:p w:rsidR="00EE0CB3" w:rsidRPr="00EE0CB3" w:rsidRDefault="00EE0CB3" w:rsidP="00EE0CB3">
      <w:pPr>
        <w:spacing w:after="300"/>
        <w:ind w:left="45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(ii) The Federal awarding agency shall prescribe whether the report shall be on a cash or accrual basis. If the Federal awarding agency requires accrual information and the recipient's accounting records are not normally kept on the accrual basis, the recipient shall not be required to convert its accounting system, but shall develop such accrual information through best estimates based on an analysis of the documentation on hand.</w:t>
      </w:r>
    </w:p>
    <w:p w:rsidR="00EE0CB3" w:rsidRPr="00EE0CB3" w:rsidRDefault="00EE0CB3" w:rsidP="00EE0CB3">
      <w:pPr>
        <w:spacing w:after="300"/>
        <w:ind w:left="45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(iii) The Federal awarding agency shall determine the frequency of the Financial Status Report for each project or program, considering the size and complexity of the particular project or program. However, the report shall not be required more frequently than quarterly or less frequently than annually. A final report shall be required at the completion of the agreement.</w:t>
      </w:r>
    </w:p>
    <w:p w:rsidR="00EE0CB3" w:rsidRPr="00EE0CB3" w:rsidRDefault="00EE0CB3" w:rsidP="00EE0CB3">
      <w:pPr>
        <w:spacing w:after="300"/>
        <w:ind w:left="45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(iv) The Federal awarding agency shall require recipients to submit the SF-269 or SF-269A (an original and no more than two copies) no later than 30 days after the end of each specified reporting period for quarterly and semi-annual reports, and 90 calendar days for annual and final reports. Extensions of reporting due dates may be approved by the Federal awarding agency upon request of the recipient.</w:t>
      </w:r>
    </w:p>
    <w:p w:rsidR="00EE0CB3" w:rsidRPr="00EE0CB3" w:rsidRDefault="00EE0CB3" w:rsidP="00EE0CB3">
      <w:pPr>
        <w:spacing w:after="300"/>
        <w:ind w:left="225"/>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(2) SF-272, Report of Federal Cash Transactions.</w:t>
      </w:r>
    </w:p>
    <w:p w:rsidR="00EE0CB3" w:rsidRPr="00EE0CB3" w:rsidRDefault="00EE0CB3" w:rsidP="00EE0CB3">
      <w:pPr>
        <w:spacing w:after="75"/>
        <w:ind w:left="45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xml:space="preserve">(i) When funds are advanced to recipients the Federal awarding agency shall require each recipient to submit the SF-272 and, when necessary, its continuation sheet, SF-272a. The Federal awarding agency shall use this report to monitor cash advanced to recipients and to obtain disbursement information for each agreement with the recipients. </w:t>
      </w:r>
    </w:p>
    <w:p w:rsidR="00EE0CB3" w:rsidRPr="00EE0CB3" w:rsidRDefault="00EE0CB3" w:rsidP="00EE0CB3">
      <w:pPr>
        <w:spacing w:after="300"/>
        <w:ind w:left="45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w:t>
      </w:r>
    </w:p>
    <w:p w:rsidR="00EE0CB3" w:rsidRPr="00EE0CB3" w:rsidRDefault="00EE0CB3" w:rsidP="00EE0CB3">
      <w:pPr>
        <w:spacing w:after="300"/>
        <w:ind w:left="45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(ii) Federal awarding agencies may require forecasts of Federal cash requirements in the "Remarks" section of the report.</w:t>
      </w:r>
    </w:p>
    <w:p w:rsidR="00EE0CB3" w:rsidRPr="00EE0CB3" w:rsidRDefault="00EE0CB3" w:rsidP="00EE0CB3">
      <w:pPr>
        <w:spacing w:after="300"/>
        <w:ind w:left="45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(iii) When practical and deemed necessary, Federal awarding agencies may require recipients to report in the "Remarks" section the amount of cash advances received in excess of three days. Recipients shall provide short narrative explanations of actions taken to reduce the excess balances.</w:t>
      </w:r>
    </w:p>
    <w:p w:rsidR="00EE0CB3" w:rsidRPr="00EE0CB3" w:rsidRDefault="00EE0CB3" w:rsidP="00EE0CB3">
      <w:pPr>
        <w:spacing w:after="300"/>
        <w:ind w:left="45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w:t>
      </w:r>
    </w:p>
    <w:p w:rsidR="00EE0CB3" w:rsidRPr="00EE0CB3" w:rsidRDefault="00EE0CB3" w:rsidP="00EE0CB3">
      <w:pPr>
        <w:spacing w:after="300"/>
        <w:ind w:left="45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(iv) Recipients shall be required to submit not more than the original and two copies of the SF-272 15 calendar days following the end of each quarter. The Federal awarding agencies may require a monthly report from those recipients receiving advances totaling $1 million or more per year.</w:t>
      </w:r>
    </w:p>
    <w:p w:rsidR="00EE0CB3" w:rsidRPr="00EE0CB3" w:rsidRDefault="00EE0CB3" w:rsidP="00EE0CB3">
      <w:pPr>
        <w:spacing w:after="300"/>
        <w:ind w:left="45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xml:space="preserve">(v) Federal awarding agencies may waive the requirement for submission of the SF-272 for any one of the following reasons: (1) When monthly advances do not exceed $25,000 per recipient, provided that such advances are monitored through other forms contained in this section; (2) If, in the Federal awarding agency's </w:t>
      </w:r>
      <w:r w:rsidRPr="00EE0CB3">
        <w:rPr>
          <w:rFonts w:ascii="Arial" w:eastAsia="Times New Roman" w:hAnsi="Arial" w:cs="Arial"/>
          <w:color w:val="333333"/>
          <w:sz w:val="18"/>
          <w:szCs w:val="18"/>
          <w:lang w:val="en"/>
        </w:rPr>
        <w:lastRenderedPageBreak/>
        <w:t>opinion, the recipient's accounting controls are adequate to minimize excessive Federal advances; or, (3) When the electronic payment mechanisms provide adequate data.</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(b) When the Federal awarding agency needs additional information or more frequent reports, the following shall be observed.</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w:t>
      </w:r>
    </w:p>
    <w:p w:rsidR="00EE0CB3" w:rsidRPr="00EE0CB3" w:rsidRDefault="00EE0CB3" w:rsidP="00EE0CB3">
      <w:pPr>
        <w:spacing w:after="75"/>
        <w:ind w:left="225"/>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xml:space="preserve">(1) When additional information is needed to comply with legislative requirements, Federal awarding agencies shall issue instructions to require recipients to submit such information under the "Remarks" section of the reports. </w:t>
      </w:r>
    </w:p>
    <w:p w:rsidR="00EE0CB3" w:rsidRPr="00EE0CB3" w:rsidRDefault="00EE0CB3" w:rsidP="00EE0CB3">
      <w:pPr>
        <w:spacing w:after="300"/>
        <w:ind w:left="225"/>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w:t>
      </w:r>
    </w:p>
    <w:p w:rsidR="00EE0CB3" w:rsidRPr="00EE0CB3" w:rsidRDefault="00EE0CB3" w:rsidP="00EE0CB3">
      <w:pPr>
        <w:spacing w:after="300"/>
        <w:ind w:left="225"/>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(2) When a Federal awarding agency determines that a recipient's accounting system does not meet the standards in Section ___.21, additional pertinent information to further monitor awards may be obtained upon written notice to the recipient until such time as the system is brought up to standard. The Federal awarding agency, in obtaining this information, shall comply with report clearance requirements of 5 CFR part 1320.</w:t>
      </w:r>
    </w:p>
    <w:p w:rsidR="00EE0CB3" w:rsidRPr="00EE0CB3" w:rsidRDefault="00EE0CB3" w:rsidP="00EE0CB3">
      <w:pPr>
        <w:spacing w:after="300"/>
        <w:ind w:left="225"/>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(3) Federal awarding agencies are encouraged to shade out any line item on any report if not necessary.</w:t>
      </w:r>
    </w:p>
    <w:p w:rsidR="00EE0CB3" w:rsidRPr="00EE0CB3" w:rsidRDefault="00EE0CB3" w:rsidP="00EE0CB3">
      <w:pPr>
        <w:spacing w:after="300"/>
        <w:ind w:left="225"/>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(4) Federal awarding agencies may accept the identical information from the recipients in machine readable format or computer printouts or electronic outputs in lieu of prescribed formats.</w:t>
      </w:r>
    </w:p>
    <w:p w:rsidR="00EE0CB3" w:rsidRPr="00EE0CB3" w:rsidRDefault="00EE0CB3" w:rsidP="00EE0CB3">
      <w:pPr>
        <w:spacing w:after="300"/>
        <w:ind w:left="225"/>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w:t>
      </w:r>
    </w:p>
    <w:p w:rsidR="00EE0CB3" w:rsidRPr="00EE0CB3" w:rsidRDefault="00EE0CB3" w:rsidP="00EE0CB3">
      <w:pPr>
        <w:spacing w:after="300"/>
        <w:ind w:left="225"/>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(5) Federal awarding agencies may provide computer or electronic outputs to recipients when such expedites or contributes to the accuracy of reporting.</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xml:space="preserve">___.53 </w:t>
      </w:r>
      <w:bookmarkStart w:id="4" w:name="53"/>
      <w:bookmarkEnd w:id="4"/>
      <w:r w:rsidRPr="00EE0CB3">
        <w:rPr>
          <w:rFonts w:ascii="Arial" w:eastAsia="Times New Roman" w:hAnsi="Arial" w:cs="Arial"/>
          <w:color w:val="333333"/>
          <w:sz w:val="18"/>
          <w:szCs w:val="18"/>
          <w:lang w:val="en"/>
        </w:rPr>
        <w:fldChar w:fldCharType="begin"/>
      </w:r>
      <w:r w:rsidRPr="00EE0CB3">
        <w:rPr>
          <w:rFonts w:ascii="Arial" w:eastAsia="Times New Roman" w:hAnsi="Arial" w:cs="Arial"/>
          <w:color w:val="333333"/>
          <w:sz w:val="18"/>
          <w:szCs w:val="18"/>
          <w:lang w:val="en"/>
        </w:rPr>
        <w:instrText xml:space="preserve"> HYPERLINK "http://www.whitehouse.gov/omb/circulars_a110/" \l "reports" </w:instrText>
      </w:r>
      <w:r w:rsidRPr="00EE0CB3">
        <w:rPr>
          <w:rFonts w:ascii="Arial" w:eastAsia="Times New Roman" w:hAnsi="Arial" w:cs="Arial"/>
          <w:color w:val="333333"/>
          <w:sz w:val="18"/>
          <w:szCs w:val="18"/>
          <w:lang w:val="en"/>
        </w:rPr>
        <w:fldChar w:fldCharType="separate"/>
      </w:r>
      <w:r w:rsidRPr="00EE0CB3">
        <w:rPr>
          <w:rFonts w:ascii="Arial" w:eastAsia="Times New Roman" w:hAnsi="Arial" w:cs="Arial"/>
          <w:color w:val="336699"/>
          <w:sz w:val="18"/>
          <w:szCs w:val="18"/>
          <w:lang w:val="en"/>
        </w:rPr>
        <w:t>Retention and access requirements for records.</w:t>
      </w:r>
      <w:r w:rsidRPr="00EE0CB3">
        <w:rPr>
          <w:rFonts w:ascii="Arial" w:eastAsia="Times New Roman" w:hAnsi="Arial" w:cs="Arial"/>
          <w:color w:val="333333"/>
          <w:sz w:val="18"/>
          <w:szCs w:val="18"/>
          <w:lang w:val="en"/>
        </w:rPr>
        <w:fldChar w:fldCharType="end"/>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(a) This section sets forth requirements for record retention and access to records for awards to recipients. Federal awarding agencies shall not impose any other record retention or access requirements upon recipients.</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(b) Financial records, supporting documents, statistical records, and all other records pertinent to an award shall be retained for a period of three years from the date of submission of the final expenditure report or, for awards that are renewed quarterly or annually, from the date of the submission of the quarterly or annual financial report, as authorized by the Federal awarding agency. The only exceptions are the following.</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w:t>
      </w:r>
    </w:p>
    <w:p w:rsidR="00EE0CB3" w:rsidRPr="00EE0CB3" w:rsidRDefault="00EE0CB3" w:rsidP="00EE0CB3">
      <w:pPr>
        <w:spacing w:after="75"/>
        <w:ind w:left="225"/>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xml:space="preserve">(1) If any litigation, claim, or audit is started before the expiration of the 3-year period, the records shall be retained until all litigation, claims or audit findings involving the records have been resolved and final action taken. </w:t>
      </w:r>
    </w:p>
    <w:p w:rsidR="00EE0CB3" w:rsidRPr="00EE0CB3" w:rsidRDefault="00EE0CB3" w:rsidP="00EE0CB3">
      <w:pPr>
        <w:spacing w:after="300"/>
        <w:ind w:left="225"/>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w:t>
      </w:r>
    </w:p>
    <w:p w:rsidR="00EE0CB3" w:rsidRPr="00EE0CB3" w:rsidRDefault="00EE0CB3" w:rsidP="00EE0CB3">
      <w:pPr>
        <w:spacing w:after="300"/>
        <w:ind w:left="225"/>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(2) Records for real property and equipment acquired with Federal funds shall be retained for 3 years after final disposition.</w:t>
      </w:r>
    </w:p>
    <w:p w:rsidR="00EE0CB3" w:rsidRPr="00EE0CB3" w:rsidRDefault="00EE0CB3" w:rsidP="00EE0CB3">
      <w:pPr>
        <w:spacing w:after="300"/>
        <w:ind w:left="225"/>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(3) When records are transferred to or maintained by the Federal awarding agency, the 3-year retention requirement is not applicable to the recipient.</w:t>
      </w:r>
    </w:p>
    <w:p w:rsidR="00EE0CB3" w:rsidRPr="00EE0CB3" w:rsidRDefault="00EE0CB3" w:rsidP="00EE0CB3">
      <w:pPr>
        <w:spacing w:after="300"/>
        <w:ind w:left="225"/>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(4) Indirect cost rate proposals, cost allocations plans, etc. as specified in paragraph ___.53(g).</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(c) Copies of original records may be substituted for the original records if authorized by the Federal awarding agency.</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lastRenderedPageBreak/>
        <w:t> </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(d) The Federal awarding agency shall request transfer of certain records to its custody from recipients when it determines that the records possess long term retention value. However, in order to avoid duplicate recordkeeping, a Federal awarding agency may make arrangements for recipients to retain any records that are continuously needed for joint use.</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(e) The Federal awarding agency, the Inspector General, Comptroller General of the United States, or any of their duly authorized representatives, have the right of timely and unrestricted access to any books, documents, papers, or other records of recipients that are pertinent to the awards, in order to make audits, examinations, excerpts, transcripts and copies of such documents. This right also includes timely and reasonable access to a recipient's personnel for the purpose of interview and discussion related to such documents. The rights of access in this paragraph are not limited to the required retention period, but shall last as long as records are retained.</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(f) Unless required by statute, no Federal awarding agency shall place restrictions on recipients that limit public access to the records of recipients that are pertinent to an award, except when the Federal awarding agency can demonstrate that such records shall be kept confidential and would have been exempted from disclosure pursuant to the Freedom of Information Act (5 U.S.C. 552) if the records had belonged to the Federal awarding agency.</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w:t>
      </w:r>
    </w:p>
    <w:p w:rsidR="00EE0CB3" w:rsidRPr="00EE0CB3" w:rsidRDefault="00EE0CB3" w:rsidP="00EE0CB3">
      <w:pPr>
        <w:spacing w:after="300"/>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(g) Indirect cost rate proposals, cost allocations plans, etc. Paragraphs (g)(1) and (g)(2) apply to the following types of documents, and their supporting records: indirect cost rate computations or proposals, cost allocation plans, and any similar accounting computations of the rate at which a particular group of costs is chargeable (such as computer usage chargeback rates or composite fringe benefit rates).</w:t>
      </w:r>
    </w:p>
    <w:p w:rsidR="00EE0CB3" w:rsidRPr="00EE0CB3" w:rsidRDefault="00EE0CB3" w:rsidP="00EE0CB3">
      <w:pPr>
        <w:spacing w:after="75"/>
        <w:ind w:left="225"/>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xml:space="preserve">(1) If submitted for negotiation. If the recipient submits to the Federal awarding agency or the subrecipient submits to the recipient the proposal, plan, or other computation to form the basis for negotiation of the rate, then the 3-year retention period for its supporting records starts on the date of such submission. </w:t>
      </w:r>
    </w:p>
    <w:p w:rsidR="00EE0CB3" w:rsidRPr="00EE0CB3" w:rsidRDefault="00EE0CB3" w:rsidP="00EE0CB3">
      <w:pPr>
        <w:spacing w:after="300"/>
        <w:ind w:left="225"/>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 </w:t>
      </w:r>
    </w:p>
    <w:p w:rsidR="00EE0CB3" w:rsidRPr="00EE0CB3" w:rsidRDefault="00EE0CB3" w:rsidP="00EE0CB3">
      <w:pPr>
        <w:spacing w:after="300"/>
        <w:ind w:left="225"/>
        <w:rPr>
          <w:rFonts w:ascii="Arial" w:eastAsia="Times New Roman" w:hAnsi="Arial" w:cs="Arial"/>
          <w:color w:val="333333"/>
          <w:sz w:val="18"/>
          <w:szCs w:val="18"/>
          <w:lang w:val="en"/>
        </w:rPr>
      </w:pPr>
      <w:r w:rsidRPr="00EE0CB3">
        <w:rPr>
          <w:rFonts w:ascii="Arial" w:eastAsia="Times New Roman" w:hAnsi="Arial" w:cs="Arial"/>
          <w:color w:val="333333"/>
          <w:sz w:val="18"/>
          <w:szCs w:val="18"/>
          <w:lang w:val="en"/>
        </w:rPr>
        <w:t>(2) If not submitted for negotiation. If the recipient is not required to submit to the Federal awarding agency or the subrecipient is not required to submit to the recipient the proposal, plan, or other computation for negotiation purposes, then the 3-year retention period for the proposal, plan, or other computation and its supporting records starts at the end of the fiscal year (or other accounting period) covered by the proposal, plan, or other computation.</w:t>
      </w:r>
    </w:p>
    <w:p w:rsidR="00AD3B32" w:rsidRPr="00EE0CB3" w:rsidRDefault="00AD3B32" w:rsidP="00EE0CB3"/>
    <w:sectPr w:rsidR="00AD3B32" w:rsidRPr="00EE0CB3" w:rsidSect="00176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B32"/>
    <w:rsid w:val="00176056"/>
    <w:rsid w:val="00382241"/>
    <w:rsid w:val="003B30DA"/>
    <w:rsid w:val="00494048"/>
    <w:rsid w:val="00657941"/>
    <w:rsid w:val="007C0538"/>
    <w:rsid w:val="00805377"/>
    <w:rsid w:val="0096043A"/>
    <w:rsid w:val="00AD3B32"/>
    <w:rsid w:val="00C051F5"/>
    <w:rsid w:val="00C95196"/>
    <w:rsid w:val="00CE4B1D"/>
    <w:rsid w:val="00DF17A0"/>
    <w:rsid w:val="00E84E8E"/>
    <w:rsid w:val="00EE0CB3"/>
    <w:rsid w:val="00F0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196"/>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196"/>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220681">
      <w:bodyDiv w:val="1"/>
      <w:marLeft w:val="0"/>
      <w:marRight w:val="0"/>
      <w:marTop w:val="0"/>
      <w:marBottom w:val="0"/>
      <w:divBdr>
        <w:top w:val="none" w:sz="0" w:space="0" w:color="auto"/>
        <w:left w:val="none" w:sz="0" w:space="0" w:color="auto"/>
        <w:bottom w:val="none" w:sz="0" w:space="0" w:color="auto"/>
        <w:right w:val="none" w:sz="0" w:space="0" w:color="auto"/>
      </w:divBdr>
      <w:divsChild>
        <w:div w:id="1948923259">
          <w:marLeft w:val="0"/>
          <w:marRight w:val="0"/>
          <w:marTop w:val="0"/>
          <w:marBottom w:val="0"/>
          <w:divBdr>
            <w:top w:val="none" w:sz="0" w:space="0" w:color="auto"/>
            <w:left w:val="none" w:sz="0" w:space="0" w:color="auto"/>
            <w:bottom w:val="none" w:sz="0" w:space="0" w:color="auto"/>
            <w:right w:val="none" w:sz="0" w:space="0" w:color="auto"/>
          </w:divBdr>
          <w:divsChild>
            <w:div w:id="597561074">
              <w:marLeft w:val="0"/>
              <w:marRight w:val="0"/>
              <w:marTop w:val="0"/>
              <w:marBottom w:val="0"/>
              <w:divBdr>
                <w:top w:val="none" w:sz="0" w:space="0" w:color="auto"/>
                <w:left w:val="none" w:sz="0" w:space="0" w:color="auto"/>
                <w:bottom w:val="none" w:sz="0" w:space="0" w:color="auto"/>
                <w:right w:val="none" w:sz="0" w:space="0" w:color="auto"/>
              </w:divBdr>
              <w:divsChild>
                <w:div w:id="1315179758">
                  <w:marLeft w:val="0"/>
                  <w:marRight w:val="0"/>
                  <w:marTop w:val="0"/>
                  <w:marBottom w:val="0"/>
                  <w:divBdr>
                    <w:top w:val="none" w:sz="0" w:space="0" w:color="auto"/>
                    <w:left w:val="none" w:sz="0" w:space="0" w:color="auto"/>
                    <w:bottom w:val="none" w:sz="0" w:space="0" w:color="auto"/>
                    <w:right w:val="none" w:sz="0" w:space="0" w:color="auto"/>
                  </w:divBdr>
                  <w:divsChild>
                    <w:div w:id="1641305463">
                      <w:marLeft w:val="0"/>
                      <w:marRight w:val="0"/>
                      <w:marTop w:val="0"/>
                      <w:marBottom w:val="0"/>
                      <w:divBdr>
                        <w:top w:val="none" w:sz="0" w:space="0" w:color="auto"/>
                        <w:left w:val="none" w:sz="0" w:space="0" w:color="auto"/>
                        <w:bottom w:val="none" w:sz="0" w:space="0" w:color="auto"/>
                        <w:right w:val="none" w:sz="0" w:space="0" w:color="auto"/>
                      </w:divBdr>
                      <w:divsChild>
                        <w:div w:id="1087923686">
                          <w:marLeft w:val="0"/>
                          <w:marRight w:val="0"/>
                          <w:marTop w:val="0"/>
                          <w:marBottom w:val="0"/>
                          <w:divBdr>
                            <w:top w:val="none" w:sz="0" w:space="0" w:color="auto"/>
                            <w:left w:val="none" w:sz="0" w:space="0" w:color="auto"/>
                            <w:bottom w:val="none" w:sz="0" w:space="0" w:color="auto"/>
                            <w:right w:val="none" w:sz="0" w:space="0" w:color="auto"/>
                          </w:divBdr>
                          <w:divsChild>
                            <w:div w:id="12192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herman.dogan</dc:creator>
  <cp:lastModifiedBy>herman.dogan</cp:lastModifiedBy>
  <cp:revision>2</cp:revision>
  <cp:lastPrinted>2011-05-26T13:48:00Z</cp:lastPrinted>
  <dcterms:created xsi:type="dcterms:W3CDTF">2015-01-16T15:31:00Z</dcterms:created>
  <dcterms:modified xsi:type="dcterms:W3CDTF">2015-01-16T15:31:00Z</dcterms:modified>
</cp:coreProperties>
</file>