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18" w:rsidRDefault="00B84818" w:rsidP="00B84818">
      <w:pPr>
        <w:spacing w:after="0" w:line="240" w:lineRule="auto"/>
        <w:ind w:left="333"/>
        <w:jc w:val="center"/>
        <w:rPr>
          <w:rFonts w:ascii="Times New Roman" w:eastAsia="Times New Roman" w:hAnsi="Times New Roman" w:cs="Times New Roman"/>
          <w:b/>
          <w:bCs/>
          <w:sz w:val="24"/>
          <w:szCs w:val="24"/>
        </w:rPr>
      </w:pPr>
      <w:bookmarkStart w:id="0" w:name="_GoBack"/>
      <w:bookmarkEnd w:id="0"/>
      <w:r w:rsidRPr="00B84818">
        <w:rPr>
          <w:rFonts w:ascii="Times New Roman" w:eastAsia="Times New Roman" w:hAnsi="Times New Roman" w:cs="Times New Roman"/>
          <w:b/>
          <w:bCs/>
          <w:sz w:val="24"/>
          <w:szCs w:val="24"/>
        </w:rPr>
        <w:t>SUPPORTING STATEMENT</w:t>
      </w:r>
    </w:p>
    <w:p w:rsidR="00B84818" w:rsidRDefault="00B84818" w:rsidP="004E02E8">
      <w:pPr>
        <w:spacing w:after="0" w:line="240" w:lineRule="auto"/>
        <w:ind w:left="333"/>
        <w:rPr>
          <w:rFonts w:ascii="Times New Roman" w:eastAsia="Times New Roman" w:hAnsi="Times New Roman" w:cs="Times New Roman"/>
          <w:b/>
          <w:bCs/>
          <w:sz w:val="24"/>
          <w:szCs w:val="24"/>
        </w:rPr>
      </w:pPr>
    </w:p>
    <w:p w:rsidR="00B84818" w:rsidRDefault="00B84818" w:rsidP="004E02E8">
      <w:pPr>
        <w:spacing w:after="0" w:line="240" w:lineRule="auto"/>
        <w:ind w:left="333"/>
        <w:rPr>
          <w:rFonts w:ascii="Times New Roman" w:eastAsia="Times New Roman" w:hAnsi="Times New Roman" w:cs="Times New Roman"/>
          <w:b/>
          <w:bCs/>
          <w:sz w:val="24"/>
          <w:szCs w:val="24"/>
        </w:rPr>
      </w:pPr>
    </w:p>
    <w:p w:rsidR="004E02E8" w:rsidRPr="004E02E8" w:rsidRDefault="004E02E8" w:rsidP="004E02E8">
      <w:pPr>
        <w:spacing w:after="0" w:line="240" w:lineRule="auto"/>
        <w:ind w:left="333"/>
        <w:rPr>
          <w:rFonts w:ascii="Times New Roman" w:eastAsia="Times New Roman" w:hAnsi="Times New Roman" w:cs="Times New Roman"/>
          <w:sz w:val="24"/>
          <w:szCs w:val="24"/>
        </w:rPr>
      </w:pPr>
      <w:r w:rsidRPr="004E02E8">
        <w:rPr>
          <w:rFonts w:ascii="Times New Roman" w:eastAsia="Times New Roman" w:hAnsi="Times New Roman" w:cs="Times New Roman"/>
          <w:b/>
          <w:bCs/>
          <w:sz w:val="24"/>
          <w:szCs w:val="24"/>
        </w:rPr>
        <w:t xml:space="preserve">B.  </w:t>
      </w:r>
      <w:r w:rsidRPr="004E02E8">
        <w:rPr>
          <w:rFonts w:ascii="Times New Roman" w:eastAsia="Times New Roman" w:hAnsi="Times New Roman" w:cs="Times New Roman"/>
          <w:b/>
          <w:bCs/>
          <w:sz w:val="24"/>
          <w:szCs w:val="24"/>
          <w:u w:val="single"/>
        </w:rPr>
        <w:t>Collection of Information Employing Statistical Methods</w:t>
      </w: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ind w:left="333"/>
        <w:rPr>
          <w:rFonts w:ascii="Times New Roman" w:eastAsia="Times New Roman" w:hAnsi="Times New Roman" w:cs="Times New Roman"/>
          <w:b/>
          <w:bCs/>
          <w:sz w:val="24"/>
          <w:szCs w:val="24"/>
        </w:rPr>
      </w:pP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ind w:left="333"/>
        <w:rPr>
          <w:rFonts w:ascii="Times New Roman" w:eastAsia="Times New Roman" w:hAnsi="Times New Roman" w:cs="Times New Roman"/>
          <w:b/>
          <w:bCs/>
          <w:sz w:val="24"/>
          <w:szCs w:val="24"/>
        </w:rPr>
      </w:pPr>
      <w:r w:rsidRPr="004E02E8">
        <w:rPr>
          <w:rFonts w:ascii="Times New Roman" w:eastAsia="Times New Roman" w:hAnsi="Times New Roman" w:cs="Times New Roman"/>
          <w:b/>
          <w:bCs/>
          <w:sz w:val="24"/>
          <w:szCs w:val="24"/>
        </w:rPr>
        <w:tab/>
      </w:r>
      <w:r w:rsidRPr="004E02E8">
        <w:rPr>
          <w:rFonts w:ascii="Times New Roman" w:eastAsia="Times New Roman" w:hAnsi="Times New Roman" w:cs="Times New Roman"/>
          <w:b/>
          <w:bCs/>
          <w:sz w:val="24"/>
          <w:szCs w:val="24"/>
        </w:rPr>
        <w:tab/>
        <w:t>1.</w:t>
      </w:r>
      <w:r w:rsidRPr="004E02E8">
        <w:rPr>
          <w:rFonts w:ascii="Times New Roman" w:eastAsia="Times New Roman" w:hAnsi="Times New Roman" w:cs="Times New Roman"/>
          <w:b/>
          <w:bCs/>
          <w:sz w:val="24"/>
          <w:szCs w:val="24"/>
        </w:rPr>
        <w:tab/>
        <w:t>Universe and Respondent Selection</w:t>
      </w:r>
    </w:p>
    <w:p w:rsidR="004E02E8" w:rsidRPr="004E02E8" w:rsidRDefault="004E02E8" w:rsidP="004E02E8">
      <w:pPr>
        <w:tabs>
          <w:tab w:val="left" w:pos="1053"/>
        </w:tabs>
        <w:spacing w:after="0" w:line="240" w:lineRule="auto"/>
        <w:ind w:left="1746"/>
        <w:rPr>
          <w:rFonts w:ascii="Times New Roman" w:eastAsia="Times New Roman" w:hAnsi="Times New Roman" w:cs="Times New Roman"/>
          <w:sz w:val="24"/>
          <w:szCs w:val="24"/>
        </w:rPr>
      </w:pPr>
    </w:p>
    <w:p w:rsidR="004E02E8" w:rsidRPr="004E02E8" w:rsidRDefault="004E02E8" w:rsidP="004E02E8">
      <w:pPr>
        <w:tabs>
          <w:tab w:val="left" w:pos="1053"/>
        </w:tabs>
        <w:spacing w:after="0" w:line="240" w:lineRule="auto"/>
        <w:ind w:left="1053"/>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 xml:space="preserve">The 2015 AHS sample will consist of about 122,416 sample units.  </w:t>
      </w:r>
    </w:p>
    <w:p w:rsidR="004E02E8" w:rsidRPr="004E02E8" w:rsidRDefault="004E02E8" w:rsidP="004E02E8">
      <w:pPr>
        <w:tabs>
          <w:tab w:val="left" w:pos="1053"/>
        </w:tabs>
        <w:spacing w:after="0" w:line="240" w:lineRule="auto"/>
        <w:ind w:left="1053"/>
        <w:rPr>
          <w:rFonts w:ascii="Times New Roman" w:eastAsia="Times New Roman" w:hAnsi="Times New Roman" w:cs="Times New Roman"/>
          <w:sz w:val="24"/>
          <w:szCs w:val="24"/>
        </w:rPr>
      </w:pPr>
    </w:p>
    <w:p w:rsidR="004E02E8" w:rsidRDefault="004E02E8" w:rsidP="00CC61A9">
      <w:pPr>
        <w:pStyle w:val="ListParagraph"/>
        <w:numPr>
          <w:ilvl w:val="0"/>
          <w:numId w:val="2"/>
        </w:numPr>
        <w:spacing w:after="0" w:line="240" w:lineRule="auto"/>
        <w:ind w:left="2520" w:hanging="720"/>
        <w:rPr>
          <w:rFonts w:ascii="Times New Roman" w:eastAsia="Times New Roman" w:hAnsi="Times New Roman" w:cs="Times New Roman"/>
          <w:sz w:val="24"/>
          <w:szCs w:val="24"/>
        </w:rPr>
      </w:pPr>
      <w:r w:rsidRPr="00CC61A9">
        <w:rPr>
          <w:rFonts w:ascii="Times New Roman" w:eastAsia="Times New Roman" w:hAnsi="Times New Roman" w:cs="Times New Roman"/>
          <w:sz w:val="24"/>
          <w:szCs w:val="24"/>
        </w:rPr>
        <w:t xml:space="preserve">The </w:t>
      </w:r>
      <w:r w:rsidR="00710324" w:rsidRPr="00CC61A9">
        <w:rPr>
          <w:rFonts w:ascii="Times New Roman" w:eastAsia="Times New Roman" w:hAnsi="Times New Roman" w:cs="Times New Roman"/>
          <w:sz w:val="24"/>
          <w:szCs w:val="24"/>
        </w:rPr>
        <w:t xml:space="preserve">integrated </w:t>
      </w:r>
      <w:r w:rsidRPr="00CC61A9">
        <w:rPr>
          <w:rFonts w:ascii="Times New Roman" w:eastAsia="Times New Roman" w:hAnsi="Times New Roman" w:cs="Times New Roman"/>
          <w:sz w:val="24"/>
          <w:szCs w:val="24"/>
        </w:rPr>
        <w:t xml:space="preserve">National sample will be comprised of </w:t>
      </w:r>
      <w:r w:rsidR="00710324" w:rsidRPr="00CC61A9">
        <w:rPr>
          <w:rFonts w:ascii="Times New Roman" w:eastAsia="Times New Roman" w:hAnsi="Times New Roman" w:cs="Times New Roman"/>
          <w:sz w:val="24"/>
          <w:szCs w:val="24"/>
        </w:rPr>
        <w:t>three</w:t>
      </w:r>
      <w:r w:rsidRPr="00CC61A9">
        <w:rPr>
          <w:rFonts w:ascii="Times New Roman" w:eastAsia="Times New Roman" w:hAnsi="Times New Roman" w:cs="Times New Roman"/>
          <w:sz w:val="24"/>
          <w:szCs w:val="24"/>
        </w:rPr>
        <w:t xml:space="preserve"> parts:</w:t>
      </w:r>
    </w:p>
    <w:tbl>
      <w:tblPr>
        <w:tblStyle w:val="TableGrid1"/>
        <w:tblpPr w:leftFromText="180" w:rightFromText="180" w:vertAnchor="text" w:horzAnchor="margin" w:tblpXSpec="right" w:tblpY="120"/>
        <w:tblW w:w="0" w:type="auto"/>
        <w:tblLook w:val="04A0" w:firstRow="1" w:lastRow="0" w:firstColumn="1" w:lastColumn="0" w:noHBand="0" w:noVBand="1"/>
      </w:tblPr>
      <w:tblGrid>
        <w:gridCol w:w="6318"/>
        <w:gridCol w:w="1170"/>
      </w:tblGrid>
      <w:tr w:rsidR="00CC61A9" w:rsidRPr="004E02E8" w:rsidTr="00CC61A9">
        <w:tc>
          <w:tcPr>
            <w:tcW w:w="6318" w:type="dxa"/>
          </w:tcPr>
          <w:p w:rsidR="00CC61A9" w:rsidRPr="004E02E8" w:rsidRDefault="00CC61A9" w:rsidP="00CC61A9">
            <w:pPr>
              <w:rPr>
                <w:sz w:val="24"/>
                <w:szCs w:val="24"/>
              </w:rPr>
            </w:pPr>
            <w:r w:rsidRPr="004E02E8">
              <w:rPr>
                <w:sz w:val="24"/>
                <w:szCs w:val="24"/>
              </w:rPr>
              <w:t>National cases representative of the U.S. and nine divisions</w:t>
            </w:r>
          </w:p>
        </w:tc>
        <w:tc>
          <w:tcPr>
            <w:tcW w:w="1170" w:type="dxa"/>
          </w:tcPr>
          <w:p w:rsidR="00CC61A9" w:rsidRPr="004E02E8" w:rsidRDefault="00CC61A9" w:rsidP="00CC61A9">
            <w:pPr>
              <w:jc w:val="right"/>
              <w:rPr>
                <w:sz w:val="24"/>
                <w:szCs w:val="24"/>
              </w:rPr>
            </w:pPr>
            <w:r w:rsidRPr="004E02E8">
              <w:rPr>
                <w:sz w:val="24"/>
                <w:szCs w:val="24"/>
              </w:rPr>
              <w:t>50,011</w:t>
            </w:r>
          </w:p>
        </w:tc>
      </w:tr>
      <w:tr w:rsidR="00CC61A9" w:rsidRPr="004E02E8" w:rsidTr="00CC61A9">
        <w:tc>
          <w:tcPr>
            <w:tcW w:w="6318" w:type="dxa"/>
          </w:tcPr>
          <w:p w:rsidR="00CC61A9" w:rsidRPr="004E02E8" w:rsidRDefault="00CC61A9" w:rsidP="00CC61A9">
            <w:pPr>
              <w:rPr>
                <w:sz w:val="24"/>
                <w:szCs w:val="24"/>
              </w:rPr>
            </w:pPr>
            <w:r w:rsidRPr="004E02E8">
              <w:rPr>
                <w:sz w:val="24"/>
                <w:szCs w:val="24"/>
              </w:rPr>
              <w:t xml:space="preserve">Subsidized-renter oversample </w:t>
            </w:r>
          </w:p>
        </w:tc>
        <w:tc>
          <w:tcPr>
            <w:tcW w:w="1170" w:type="dxa"/>
          </w:tcPr>
          <w:p w:rsidR="00CC61A9" w:rsidRPr="004E02E8" w:rsidRDefault="00CC61A9" w:rsidP="00CC61A9">
            <w:pPr>
              <w:jc w:val="right"/>
              <w:rPr>
                <w:sz w:val="24"/>
                <w:szCs w:val="24"/>
              </w:rPr>
            </w:pPr>
            <w:r w:rsidRPr="004E02E8">
              <w:rPr>
                <w:sz w:val="24"/>
                <w:szCs w:val="24"/>
              </w:rPr>
              <w:t>5,258</w:t>
            </w:r>
          </w:p>
        </w:tc>
      </w:tr>
      <w:tr w:rsidR="00CC61A9" w:rsidRPr="004E02E8" w:rsidTr="00CC61A9">
        <w:tc>
          <w:tcPr>
            <w:tcW w:w="6318" w:type="dxa"/>
            <w:tcBorders>
              <w:bottom w:val="single" w:sz="4" w:space="0" w:color="auto"/>
            </w:tcBorders>
          </w:tcPr>
          <w:p w:rsidR="00CC61A9" w:rsidRPr="004E02E8" w:rsidRDefault="00CC61A9" w:rsidP="00CC61A9">
            <w:pPr>
              <w:rPr>
                <w:sz w:val="24"/>
                <w:szCs w:val="24"/>
              </w:rPr>
            </w:pPr>
            <w:r w:rsidRPr="004E02E8">
              <w:rPr>
                <w:sz w:val="24"/>
                <w:szCs w:val="24"/>
              </w:rPr>
              <w:t>Top 15 metro oversample (where National + oversample = 3,000 records per metro area)</w:t>
            </w:r>
          </w:p>
        </w:tc>
        <w:tc>
          <w:tcPr>
            <w:tcW w:w="1170" w:type="dxa"/>
            <w:tcBorders>
              <w:bottom w:val="single" w:sz="4" w:space="0" w:color="auto"/>
            </w:tcBorders>
          </w:tcPr>
          <w:p w:rsidR="00CC61A9" w:rsidRPr="004E02E8" w:rsidRDefault="00CC61A9" w:rsidP="00CC61A9">
            <w:pPr>
              <w:jc w:val="right"/>
              <w:rPr>
                <w:sz w:val="24"/>
                <w:szCs w:val="24"/>
              </w:rPr>
            </w:pPr>
            <w:r w:rsidRPr="004E02E8">
              <w:rPr>
                <w:sz w:val="24"/>
                <w:szCs w:val="24"/>
              </w:rPr>
              <w:t>30,756</w:t>
            </w:r>
          </w:p>
        </w:tc>
      </w:tr>
      <w:tr w:rsidR="00CC61A9" w:rsidRPr="004E02E8" w:rsidTr="00CC61A9">
        <w:tc>
          <w:tcPr>
            <w:tcW w:w="6318" w:type="dxa"/>
            <w:shd w:val="clear" w:color="auto" w:fill="D9D9D9" w:themeFill="background1" w:themeFillShade="D9"/>
          </w:tcPr>
          <w:p w:rsidR="00CC61A9" w:rsidRPr="004E02E8" w:rsidRDefault="00CC61A9" w:rsidP="00CC61A9">
            <w:pPr>
              <w:rPr>
                <w:sz w:val="24"/>
                <w:szCs w:val="24"/>
              </w:rPr>
            </w:pPr>
            <w:r w:rsidRPr="004E02E8">
              <w:rPr>
                <w:sz w:val="24"/>
                <w:szCs w:val="24"/>
              </w:rPr>
              <w:t>TOTAL</w:t>
            </w:r>
          </w:p>
        </w:tc>
        <w:tc>
          <w:tcPr>
            <w:tcW w:w="1170" w:type="dxa"/>
            <w:shd w:val="clear" w:color="auto" w:fill="D9D9D9" w:themeFill="background1" w:themeFillShade="D9"/>
          </w:tcPr>
          <w:p w:rsidR="00CC61A9" w:rsidRPr="004E02E8" w:rsidRDefault="00CC61A9" w:rsidP="00CC61A9">
            <w:pPr>
              <w:jc w:val="right"/>
              <w:rPr>
                <w:sz w:val="24"/>
                <w:szCs w:val="24"/>
              </w:rPr>
            </w:pPr>
            <w:r>
              <w:rPr>
                <w:sz w:val="24"/>
                <w:szCs w:val="24"/>
              </w:rPr>
              <w:t>86</w:t>
            </w:r>
            <w:r w:rsidRPr="004E02E8">
              <w:rPr>
                <w:sz w:val="24"/>
                <w:szCs w:val="24"/>
              </w:rPr>
              <w:t>,025</w:t>
            </w:r>
          </w:p>
        </w:tc>
      </w:tr>
    </w:tbl>
    <w:p w:rsidR="00CC61A9" w:rsidRDefault="00CC61A9" w:rsidP="00CC61A9">
      <w:pPr>
        <w:pStyle w:val="ListParagraph"/>
        <w:spacing w:after="0" w:line="240" w:lineRule="auto"/>
        <w:ind w:left="2520"/>
        <w:rPr>
          <w:rFonts w:ascii="Times New Roman" w:eastAsia="Times New Roman" w:hAnsi="Times New Roman" w:cs="Times New Roman"/>
          <w:sz w:val="24"/>
          <w:szCs w:val="24"/>
        </w:rPr>
      </w:pPr>
    </w:p>
    <w:p w:rsidR="00CC61A9" w:rsidRDefault="00CC61A9" w:rsidP="00CC61A9">
      <w:pPr>
        <w:pStyle w:val="ListParagraph"/>
        <w:spacing w:after="0" w:line="240" w:lineRule="auto"/>
        <w:ind w:left="2520"/>
        <w:rPr>
          <w:rFonts w:ascii="Times New Roman" w:eastAsia="Times New Roman" w:hAnsi="Times New Roman" w:cs="Times New Roman"/>
          <w:sz w:val="24"/>
          <w:szCs w:val="24"/>
        </w:rPr>
      </w:pPr>
    </w:p>
    <w:p w:rsidR="00CC61A9" w:rsidRDefault="00CC61A9" w:rsidP="00CC61A9">
      <w:pPr>
        <w:pStyle w:val="ListParagraph"/>
        <w:spacing w:after="0" w:line="240" w:lineRule="auto"/>
        <w:ind w:left="2520"/>
        <w:rPr>
          <w:rFonts w:ascii="Times New Roman" w:eastAsia="Times New Roman" w:hAnsi="Times New Roman" w:cs="Times New Roman"/>
          <w:sz w:val="24"/>
          <w:szCs w:val="24"/>
        </w:rPr>
      </w:pPr>
    </w:p>
    <w:p w:rsidR="00CC61A9" w:rsidRPr="00CC61A9" w:rsidRDefault="00CC61A9" w:rsidP="00CC61A9">
      <w:pPr>
        <w:pStyle w:val="ListParagraph"/>
        <w:spacing w:after="0" w:line="240" w:lineRule="auto"/>
        <w:ind w:left="2520"/>
        <w:rPr>
          <w:rFonts w:ascii="Times New Roman" w:eastAsia="Times New Roman" w:hAnsi="Times New Roman" w:cs="Times New Roman"/>
          <w:sz w:val="24"/>
          <w:szCs w:val="24"/>
        </w:rPr>
      </w:pPr>
    </w:p>
    <w:p w:rsidR="004E02E8" w:rsidRPr="004E02E8" w:rsidRDefault="004E02E8" w:rsidP="004E02E8">
      <w:pPr>
        <w:spacing w:after="0" w:line="240" w:lineRule="auto"/>
        <w:rPr>
          <w:rFonts w:ascii="Times New Roman" w:eastAsia="Times New Roman" w:hAnsi="Times New Roman" w:cs="Times New Roman"/>
          <w:sz w:val="24"/>
          <w:szCs w:val="24"/>
        </w:rPr>
      </w:pPr>
    </w:p>
    <w:p w:rsidR="004E02E8" w:rsidRPr="004E02E8" w:rsidRDefault="004E02E8" w:rsidP="004E02E8">
      <w:pPr>
        <w:tabs>
          <w:tab w:val="left" w:pos="1053"/>
        </w:tabs>
        <w:spacing w:after="0" w:line="240" w:lineRule="auto"/>
        <w:rPr>
          <w:rFonts w:ascii="Times New Roman" w:eastAsia="Times New Roman" w:hAnsi="Times New Roman" w:cs="Times New Roman"/>
          <w:sz w:val="24"/>
          <w:szCs w:val="24"/>
          <w:highlight w:val="yellow"/>
        </w:rPr>
      </w:pPr>
    </w:p>
    <w:p w:rsidR="004E02E8" w:rsidRPr="00CC61A9" w:rsidRDefault="00374620" w:rsidP="00CC61A9">
      <w:pPr>
        <w:numPr>
          <w:ilvl w:val="1"/>
          <w:numId w:val="1"/>
        </w:numPr>
        <w:tabs>
          <w:tab w:val="left" w:pos="1053"/>
          <w:tab w:val="num" w:pos="1746"/>
        </w:tabs>
        <w:spacing w:after="0" w:line="240" w:lineRule="auto"/>
        <w:ind w:left="1800" w:firstLine="0"/>
        <w:rPr>
          <w:rFonts w:ascii="Times New Roman" w:eastAsia="Times New Roman" w:hAnsi="Times New Roman" w:cs="Times New Roman"/>
          <w:sz w:val="24"/>
          <w:szCs w:val="24"/>
        </w:rPr>
      </w:pPr>
      <w:r w:rsidRPr="00CC61A9">
        <w:rPr>
          <w:rFonts w:ascii="Times New Roman" w:eastAsia="Times New Roman" w:hAnsi="Times New Roman" w:cs="Times New Roman"/>
          <w:sz w:val="24"/>
          <w:szCs w:val="24"/>
        </w:rPr>
        <w:t xml:space="preserve">The independent metropolitan area sample will consist </w:t>
      </w:r>
      <w:r w:rsidR="002F65FB" w:rsidRPr="00CC61A9">
        <w:rPr>
          <w:rFonts w:ascii="Times New Roman" w:eastAsia="Times New Roman" w:hAnsi="Times New Roman" w:cs="Times New Roman"/>
          <w:sz w:val="24"/>
          <w:szCs w:val="24"/>
        </w:rPr>
        <w:t>of 30,391</w:t>
      </w:r>
      <w:r w:rsidR="004E02E8" w:rsidRPr="00CC61A9">
        <w:rPr>
          <w:rFonts w:ascii="Times New Roman" w:eastAsia="Times New Roman" w:hAnsi="Times New Roman" w:cs="Times New Roman"/>
          <w:sz w:val="24"/>
          <w:szCs w:val="24"/>
        </w:rPr>
        <w:t xml:space="preserve"> large metro area supplemental sample units</w:t>
      </w:r>
      <w:r w:rsidR="00CC61A9">
        <w:rPr>
          <w:rFonts w:ascii="Times New Roman" w:eastAsia="Times New Roman" w:hAnsi="Times New Roman" w:cs="Times New Roman"/>
          <w:sz w:val="24"/>
          <w:szCs w:val="24"/>
        </w:rPr>
        <w:t xml:space="preserve"> s</w:t>
      </w:r>
      <w:r w:rsidR="00CC61A9" w:rsidRPr="00CC61A9">
        <w:rPr>
          <w:rFonts w:ascii="Times New Roman" w:eastAsia="Times New Roman" w:hAnsi="Times New Roman" w:cs="Times New Roman"/>
          <w:sz w:val="24"/>
          <w:szCs w:val="24"/>
        </w:rPr>
        <w:t>elected</w:t>
      </w:r>
      <w:r w:rsidR="004E02E8" w:rsidRPr="00CC61A9">
        <w:rPr>
          <w:rFonts w:ascii="Times New Roman" w:eastAsia="Times New Roman" w:hAnsi="Times New Roman" w:cs="Times New Roman"/>
          <w:sz w:val="24"/>
          <w:szCs w:val="24"/>
        </w:rPr>
        <w:t xml:space="preserve"> from </w:t>
      </w:r>
      <w:r w:rsidR="004A5B29" w:rsidRPr="00CC61A9">
        <w:rPr>
          <w:rFonts w:ascii="Times New Roman" w:eastAsia="Times New Roman" w:hAnsi="Times New Roman" w:cs="Times New Roman"/>
          <w:sz w:val="24"/>
          <w:szCs w:val="24"/>
        </w:rPr>
        <w:t xml:space="preserve">10 </w:t>
      </w:r>
      <w:r w:rsidR="004E02E8" w:rsidRPr="00CC61A9">
        <w:rPr>
          <w:rFonts w:ascii="Times New Roman" w:eastAsia="Times New Roman" w:hAnsi="Times New Roman" w:cs="Times New Roman"/>
          <w:sz w:val="24"/>
          <w:szCs w:val="24"/>
        </w:rPr>
        <w:t xml:space="preserve">metropolitan areas that include approximately 3,000 </w:t>
      </w:r>
      <w:proofErr w:type="gramStart"/>
      <w:r w:rsidR="004E02E8" w:rsidRPr="00CC61A9">
        <w:rPr>
          <w:rFonts w:ascii="Times New Roman" w:eastAsia="Times New Roman" w:hAnsi="Times New Roman" w:cs="Times New Roman"/>
          <w:sz w:val="24"/>
          <w:szCs w:val="24"/>
        </w:rPr>
        <w:t>units</w:t>
      </w:r>
      <w:r w:rsidR="00710324" w:rsidRPr="00CC61A9">
        <w:rPr>
          <w:rFonts w:ascii="Times New Roman" w:eastAsia="Times New Roman" w:hAnsi="Times New Roman" w:cs="Times New Roman"/>
          <w:sz w:val="24"/>
          <w:szCs w:val="24"/>
        </w:rPr>
        <w:t xml:space="preserve"> </w:t>
      </w:r>
      <w:r w:rsidR="004A5B29" w:rsidRPr="00CC61A9">
        <w:rPr>
          <w:rFonts w:ascii="Times New Roman" w:eastAsia="Times New Roman" w:hAnsi="Times New Roman" w:cs="Times New Roman"/>
          <w:sz w:val="24"/>
          <w:szCs w:val="24"/>
        </w:rPr>
        <w:t xml:space="preserve"> </w:t>
      </w:r>
      <w:r w:rsidR="004E02E8" w:rsidRPr="00CC61A9">
        <w:rPr>
          <w:rFonts w:ascii="Times New Roman" w:eastAsia="Times New Roman" w:hAnsi="Times New Roman" w:cs="Times New Roman"/>
          <w:sz w:val="24"/>
          <w:szCs w:val="24"/>
        </w:rPr>
        <w:t>each</w:t>
      </w:r>
      <w:proofErr w:type="gramEnd"/>
      <w:r w:rsidR="004E02E8" w:rsidRPr="00CC61A9">
        <w:rPr>
          <w:rFonts w:ascii="Times New Roman" w:eastAsia="Times New Roman" w:hAnsi="Times New Roman" w:cs="Times New Roman"/>
          <w:sz w:val="24"/>
          <w:szCs w:val="24"/>
        </w:rPr>
        <w:t xml:space="preserve">.  </w:t>
      </w:r>
    </w:p>
    <w:p w:rsidR="004E02E8" w:rsidRDefault="00374620" w:rsidP="00CC61A9">
      <w:pPr>
        <w:numPr>
          <w:ilvl w:val="1"/>
          <w:numId w:val="1"/>
        </w:numPr>
        <w:tabs>
          <w:tab w:val="left" w:pos="1053"/>
          <w:tab w:val="num" w:pos="1746"/>
        </w:tabs>
        <w:spacing w:after="0" w:line="240" w:lineRule="auto"/>
        <w:ind w:left="1053" w:firstLine="747"/>
        <w:rPr>
          <w:rFonts w:ascii="Times New Roman" w:eastAsia="Times New Roman" w:hAnsi="Times New Roman" w:cs="Times New Roman"/>
          <w:sz w:val="24"/>
          <w:szCs w:val="24"/>
        </w:rPr>
      </w:pPr>
      <w:r>
        <w:rPr>
          <w:rFonts w:ascii="Times New Roman" w:eastAsia="Times New Roman" w:hAnsi="Times New Roman" w:cs="Times New Roman"/>
          <w:sz w:val="24"/>
          <w:szCs w:val="24"/>
        </w:rPr>
        <w:t>The b</w:t>
      </w:r>
      <w:r w:rsidR="00802DAB">
        <w:rPr>
          <w:rFonts w:ascii="Times New Roman" w:eastAsia="Times New Roman" w:hAnsi="Times New Roman" w:cs="Times New Roman"/>
          <w:sz w:val="24"/>
          <w:szCs w:val="24"/>
        </w:rPr>
        <w:t xml:space="preserve">ridge sample will consist of </w:t>
      </w:r>
      <w:r w:rsidR="00710324">
        <w:rPr>
          <w:rFonts w:ascii="Times New Roman" w:eastAsia="Times New Roman" w:hAnsi="Times New Roman" w:cs="Times New Roman"/>
          <w:sz w:val="24"/>
          <w:szCs w:val="24"/>
        </w:rPr>
        <w:t>6,000 housing units sampled in 2013.</w:t>
      </w:r>
    </w:p>
    <w:p w:rsidR="00710324" w:rsidRPr="004E02E8" w:rsidRDefault="00710324" w:rsidP="004E02E8">
      <w:pPr>
        <w:tabs>
          <w:tab w:val="left" w:pos="1053"/>
        </w:tabs>
        <w:spacing w:after="0" w:line="240" w:lineRule="auto"/>
        <w:ind w:left="2437" w:firstLine="207"/>
        <w:rPr>
          <w:rFonts w:ascii="Times New Roman" w:eastAsia="Times New Roman" w:hAnsi="Times New Roman" w:cs="Times New Roman"/>
          <w:sz w:val="24"/>
          <w:szCs w:val="24"/>
        </w:rPr>
      </w:pPr>
    </w:p>
    <w:p w:rsidR="004E02E8" w:rsidRPr="004E02E8" w:rsidRDefault="004E02E8" w:rsidP="004E02E8">
      <w:pPr>
        <w:tabs>
          <w:tab w:val="left" w:pos="1053"/>
        </w:tabs>
        <w:spacing w:after="0" w:line="240" w:lineRule="auto"/>
        <w:ind w:left="72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 xml:space="preserve">      Please refer to the attached 2015 AHS Sample Design and Weighting document for  </w:t>
      </w:r>
    </w:p>
    <w:p w:rsidR="004E02E8" w:rsidRPr="004E02E8" w:rsidRDefault="004E02E8" w:rsidP="004E02E8">
      <w:pPr>
        <w:tabs>
          <w:tab w:val="left" w:pos="1053"/>
        </w:tabs>
        <w:spacing w:after="0" w:line="240" w:lineRule="auto"/>
        <w:ind w:left="72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 xml:space="preserve">      </w:t>
      </w:r>
      <w:proofErr w:type="gramStart"/>
      <w:r w:rsidRPr="004E02E8">
        <w:rPr>
          <w:rFonts w:ascii="Times New Roman" w:eastAsia="Times New Roman" w:hAnsi="Times New Roman" w:cs="Times New Roman"/>
          <w:sz w:val="24"/>
          <w:szCs w:val="24"/>
        </w:rPr>
        <w:t>detailed</w:t>
      </w:r>
      <w:proofErr w:type="gramEnd"/>
      <w:r w:rsidRPr="004E02E8">
        <w:rPr>
          <w:rFonts w:ascii="Times New Roman" w:eastAsia="Times New Roman" w:hAnsi="Times New Roman" w:cs="Times New Roman"/>
          <w:sz w:val="24"/>
          <w:szCs w:val="24"/>
        </w:rPr>
        <w:t xml:space="preserve"> statistical methodology.</w:t>
      </w:r>
    </w:p>
    <w:p w:rsidR="004E02E8" w:rsidRPr="004E02E8" w:rsidRDefault="004E02E8" w:rsidP="004E02E8">
      <w:pPr>
        <w:tabs>
          <w:tab w:val="left" w:pos="1053"/>
        </w:tabs>
        <w:spacing w:after="0" w:line="240" w:lineRule="auto"/>
        <w:ind w:left="1053"/>
        <w:rPr>
          <w:rFonts w:ascii="Times New Roman" w:eastAsia="Times New Roman" w:hAnsi="Times New Roman" w:cs="Times New Roman"/>
          <w:sz w:val="24"/>
          <w:szCs w:val="24"/>
        </w:rPr>
      </w:pPr>
    </w:p>
    <w:p w:rsidR="004E02E8" w:rsidRPr="004E02E8" w:rsidRDefault="004E02E8" w:rsidP="004E02E8">
      <w:pPr>
        <w:tabs>
          <w:tab w:val="left" w:pos="1053"/>
        </w:tabs>
        <w:spacing w:after="0" w:line="240" w:lineRule="auto"/>
        <w:ind w:left="1053"/>
        <w:rPr>
          <w:rFonts w:ascii="Times New Roman" w:eastAsia="Times New Roman" w:hAnsi="Times New Roman" w:cs="Times New Roman"/>
          <w:sz w:val="24"/>
          <w:szCs w:val="24"/>
        </w:rPr>
      </w:pP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ind w:left="333"/>
        <w:rPr>
          <w:rFonts w:ascii="Times New Roman" w:eastAsia="Times New Roman" w:hAnsi="Times New Roman" w:cs="Times New Roman"/>
          <w:b/>
          <w:bCs/>
          <w:sz w:val="24"/>
          <w:szCs w:val="24"/>
        </w:rPr>
      </w:pP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4E02E8">
        <w:rPr>
          <w:rFonts w:ascii="Times New Roman" w:eastAsia="Times New Roman" w:hAnsi="Times New Roman" w:cs="Times New Roman"/>
          <w:b/>
          <w:bCs/>
          <w:sz w:val="24"/>
          <w:szCs w:val="24"/>
        </w:rPr>
        <w:tab/>
      </w:r>
      <w:r w:rsidRPr="004E02E8">
        <w:rPr>
          <w:rFonts w:ascii="Times New Roman" w:eastAsia="Times New Roman" w:hAnsi="Times New Roman" w:cs="Times New Roman"/>
          <w:b/>
          <w:bCs/>
          <w:sz w:val="24"/>
          <w:szCs w:val="24"/>
        </w:rPr>
        <w:tab/>
        <w:t>2.</w:t>
      </w:r>
      <w:r w:rsidRPr="004E02E8">
        <w:rPr>
          <w:rFonts w:ascii="Times New Roman" w:eastAsia="Times New Roman" w:hAnsi="Times New Roman" w:cs="Times New Roman"/>
          <w:b/>
          <w:bCs/>
          <w:sz w:val="24"/>
          <w:szCs w:val="24"/>
        </w:rPr>
        <w:tab/>
        <w:t>Procedures for Collecting Information</w:t>
      </w: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sz w:val="24"/>
          <w:szCs w:val="24"/>
        </w:rPr>
      </w:pPr>
    </w:p>
    <w:p w:rsidR="004E02E8" w:rsidRPr="004E02E8" w:rsidRDefault="004A5B29" w:rsidP="004E02E8">
      <w:pPr>
        <w:spacing w:after="0" w:line="240" w:lineRule="auto"/>
        <w:ind w:left="108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Because the 2015 AHS begins a new longitudinal panel, w</w:t>
      </w:r>
      <w:r w:rsidR="004E02E8" w:rsidRPr="004E02E8">
        <w:rPr>
          <w:rFonts w:ascii="Times New Roman" w:eastAsia="Calibri" w:hAnsi="Times New Roman" w:cs="Times New Roman"/>
          <w:color w:val="000000"/>
          <w:sz w:val="24"/>
          <w:szCs w:val="24"/>
        </w:rPr>
        <w:t xml:space="preserve">e expect that a majority of interviews will be conducted through personal visit.  However, we will conduct a phone match to retrieve phone numbers that match the sample addresses and attempt to collect the data by telephone interview, when possible. </w:t>
      </w: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b/>
          <w:bCs/>
          <w:sz w:val="24"/>
          <w:szCs w:val="24"/>
        </w:rPr>
      </w:pP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4E02E8">
        <w:rPr>
          <w:rFonts w:ascii="Times New Roman" w:eastAsia="Times New Roman" w:hAnsi="Times New Roman" w:cs="Times New Roman"/>
          <w:b/>
          <w:bCs/>
          <w:sz w:val="24"/>
          <w:szCs w:val="24"/>
        </w:rPr>
        <w:tab/>
      </w:r>
      <w:r w:rsidRPr="004E02E8">
        <w:rPr>
          <w:rFonts w:ascii="Times New Roman" w:eastAsia="Times New Roman" w:hAnsi="Times New Roman" w:cs="Times New Roman"/>
          <w:b/>
          <w:bCs/>
          <w:sz w:val="24"/>
          <w:szCs w:val="24"/>
        </w:rPr>
        <w:tab/>
        <w:t>3.</w:t>
      </w:r>
      <w:r w:rsidRPr="004E02E8">
        <w:rPr>
          <w:rFonts w:ascii="Times New Roman" w:eastAsia="Times New Roman" w:hAnsi="Times New Roman" w:cs="Times New Roman"/>
          <w:b/>
          <w:bCs/>
          <w:sz w:val="24"/>
          <w:szCs w:val="24"/>
        </w:rPr>
        <w:tab/>
        <w:t>Methods to Maximize Response</w:t>
      </w: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1053"/>
        </w:tabs>
        <w:spacing w:after="0" w:line="240" w:lineRule="auto"/>
        <w:ind w:left="1053"/>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 xml:space="preserve">Based on the 85.1 percent weighted response rate of the 2013 AHS (86.5 percent </w:t>
      </w:r>
      <w:proofErr w:type="spellStart"/>
      <w:r w:rsidRPr="004E02E8">
        <w:rPr>
          <w:rFonts w:ascii="Times New Roman" w:eastAsia="Times New Roman" w:hAnsi="Times New Roman" w:cs="Times New Roman"/>
          <w:sz w:val="24"/>
          <w:szCs w:val="24"/>
        </w:rPr>
        <w:t>unweighted</w:t>
      </w:r>
      <w:proofErr w:type="spellEnd"/>
      <w:r w:rsidRPr="004E02E8">
        <w:rPr>
          <w:rFonts w:ascii="Times New Roman" w:eastAsia="Times New Roman" w:hAnsi="Times New Roman" w:cs="Times New Roman"/>
          <w:sz w:val="24"/>
          <w:szCs w:val="24"/>
        </w:rPr>
        <w:t>),</w:t>
      </w:r>
      <w:r w:rsidRPr="004E02E8">
        <w:rPr>
          <w:rFonts w:ascii="Times New Roman" w:eastAsia="Times New Roman" w:hAnsi="Times New Roman" w:cs="Times New Roman"/>
          <w:b/>
          <w:color w:val="FF0000"/>
          <w:sz w:val="24"/>
          <w:szCs w:val="24"/>
        </w:rPr>
        <w:t xml:space="preserve"> </w:t>
      </w:r>
      <w:r w:rsidRPr="004E02E8">
        <w:rPr>
          <w:rFonts w:ascii="Times New Roman" w:eastAsia="Times New Roman" w:hAnsi="Times New Roman" w:cs="Times New Roman"/>
          <w:sz w:val="24"/>
          <w:szCs w:val="24"/>
        </w:rPr>
        <w:t xml:space="preserve">the Census Bureau expects the 2015 AHS response rate to be 84 percent.  If an occupant is reluctant to participate, the FR informs the regional office </w:t>
      </w:r>
      <w:proofErr w:type="gramStart"/>
      <w:r w:rsidRPr="004E02E8">
        <w:rPr>
          <w:rFonts w:ascii="Times New Roman" w:eastAsia="Times New Roman" w:hAnsi="Times New Roman" w:cs="Times New Roman"/>
          <w:sz w:val="24"/>
          <w:szCs w:val="24"/>
        </w:rPr>
        <w:t>staff</w:t>
      </w:r>
      <w:proofErr w:type="gramEnd"/>
      <w:r w:rsidRPr="004E02E8">
        <w:rPr>
          <w:rFonts w:ascii="Times New Roman" w:eastAsia="Times New Roman" w:hAnsi="Times New Roman" w:cs="Times New Roman"/>
          <w:sz w:val="24"/>
          <w:szCs w:val="24"/>
        </w:rPr>
        <w:t>, who sends a follow-up letter explaining the survey in greater detail and urging the occupant's cooperation.  A Census Bureau FR or his/her supervisor will contact the occupant again.</w:t>
      </w: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296"/>
        <w:rPr>
          <w:rFonts w:ascii="Times New Roman" w:eastAsia="Times New Roman" w:hAnsi="Times New Roman" w:cs="Times New Roman"/>
          <w:sz w:val="24"/>
          <w:szCs w:val="24"/>
        </w:rPr>
      </w:pPr>
    </w:p>
    <w:p w:rsidR="004E02E8" w:rsidRPr="004E02E8" w:rsidRDefault="004E02E8" w:rsidP="004E02E8">
      <w:pPr>
        <w:tabs>
          <w:tab w:val="left" w:pos="432"/>
          <w:tab w:val="left" w:pos="720"/>
          <w:tab w:val="left" w:pos="864"/>
          <w:tab w:val="left" w:pos="1022"/>
          <w:tab w:val="left" w:pos="1296"/>
          <w:tab w:val="left" w:pos="1728"/>
          <w:tab w:val="left" w:pos="2160"/>
        </w:tabs>
        <w:autoSpaceDE w:val="0"/>
        <w:autoSpaceDN w:val="0"/>
        <w:adjustRightInd w:val="0"/>
        <w:spacing w:after="0" w:line="240" w:lineRule="auto"/>
        <w:rPr>
          <w:rFonts w:ascii="Times New Roman" w:eastAsia="Times New Roman" w:hAnsi="Times New Roman" w:cs="Times New Roman"/>
          <w:b/>
          <w:bCs/>
          <w:sz w:val="24"/>
          <w:szCs w:val="24"/>
        </w:rPr>
      </w:pPr>
      <w:r w:rsidRPr="004E02E8">
        <w:rPr>
          <w:rFonts w:ascii="Times New Roman" w:eastAsia="Times New Roman" w:hAnsi="Times New Roman" w:cs="Times New Roman"/>
          <w:b/>
          <w:bCs/>
          <w:sz w:val="24"/>
          <w:szCs w:val="24"/>
        </w:rPr>
        <w:tab/>
      </w:r>
      <w:r w:rsidRPr="004E02E8">
        <w:rPr>
          <w:rFonts w:ascii="Times New Roman" w:eastAsia="Times New Roman" w:hAnsi="Times New Roman" w:cs="Times New Roman"/>
          <w:b/>
          <w:bCs/>
          <w:sz w:val="24"/>
          <w:szCs w:val="24"/>
        </w:rPr>
        <w:tab/>
        <w:t>4.</w:t>
      </w:r>
      <w:r w:rsidRPr="004E02E8">
        <w:rPr>
          <w:rFonts w:ascii="Times New Roman" w:eastAsia="Times New Roman" w:hAnsi="Times New Roman" w:cs="Times New Roman"/>
          <w:b/>
          <w:bCs/>
          <w:sz w:val="24"/>
          <w:szCs w:val="24"/>
        </w:rPr>
        <w:tab/>
        <w:t>Testing Procedures</w:t>
      </w:r>
    </w:p>
    <w:p w:rsidR="004E02E8" w:rsidRPr="004E02E8" w:rsidRDefault="004E02E8" w:rsidP="004E02E8">
      <w:pPr>
        <w:numPr>
          <w:ilvl w:val="12"/>
          <w:numId w:val="0"/>
        </w:numPr>
        <w:tabs>
          <w:tab w:val="left" w:pos="432"/>
          <w:tab w:val="left" w:pos="720"/>
          <w:tab w:val="left" w:pos="1296"/>
          <w:tab w:val="left" w:pos="1728"/>
          <w:tab w:val="left" w:pos="2160"/>
        </w:tabs>
        <w:spacing w:after="0" w:line="240" w:lineRule="auto"/>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 xml:space="preserve">The Census Bureau conducted a test of the interview forms and procedures in September 1983 and again in 1994 and 1995.  Based on the results of the tests, HUD </w:t>
      </w:r>
      <w:r w:rsidRPr="004E02E8">
        <w:rPr>
          <w:rFonts w:ascii="Times New Roman" w:eastAsia="Times New Roman" w:hAnsi="Times New Roman" w:cs="Times New Roman"/>
          <w:sz w:val="24"/>
          <w:szCs w:val="24"/>
        </w:rPr>
        <w:lastRenderedPageBreak/>
        <w:t>made modifications and changes.</w:t>
      </w:r>
      <w:r w:rsidR="004A5B29">
        <w:rPr>
          <w:rFonts w:ascii="Times New Roman" w:eastAsia="Times New Roman" w:hAnsi="Times New Roman" w:cs="Times New Roman"/>
          <w:sz w:val="24"/>
          <w:szCs w:val="24"/>
        </w:rPr>
        <w:t xml:space="preserve">  In 1996, HUD and Census published </w:t>
      </w:r>
      <w:r w:rsidR="00256A5B">
        <w:rPr>
          <w:rFonts w:ascii="Times New Roman" w:eastAsia="Times New Roman" w:hAnsi="Times New Roman" w:cs="Times New Roman"/>
          <w:sz w:val="24"/>
          <w:szCs w:val="24"/>
        </w:rPr>
        <w:t xml:space="preserve">“American Housing Survey: A Quality Profile,” which documents sampling and </w:t>
      </w:r>
      <w:proofErr w:type="spellStart"/>
      <w:r w:rsidR="00256A5B">
        <w:rPr>
          <w:rFonts w:ascii="Times New Roman" w:eastAsia="Times New Roman" w:hAnsi="Times New Roman" w:cs="Times New Roman"/>
          <w:sz w:val="24"/>
          <w:szCs w:val="24"/>
        </w:rPr>
        <w:t>nonsampling</w:t>
      </w:r>
      <w:proofErr w:type="spellEnd"/>
      <w:r w:rsidR="00256A5B">
        <w:rPr>
          <w:rFonts w:ascii="Times New Roman" w:eastAsia="Times New Roman" w:hAnsi="Times New Roman" w:cs="Times New Roman"/>
          <w:sz w:val="24"/>
          <w:szCs w:val="24"/>
        </w:rPr>
        <w:t xml:space="preserve"> errors in the AHS, quality control procedures, and the magnitude of errors in AHS estimates (</w:t>
      </w:r>
      <w:r w:rsidR="00256A5B" w:rsidRPr="00256A5B">
        <w:rPr>
          <w:rFonts w:ascii="Times New Roman" w:eastAsia="Times New Roman" w:hAnsi="Times New Roman" w:cs="Times New Roman"/>
          <w:sz w:val="24"/>
          <w:szCs w:val="24"/>
        </w:rPr>
        <w:t>http://www.census.gov/library/publications/1996/demo/h121_95-1.html</w:t>
      </w:r>
      <w:r w:rsidR="00256A5B">
        <w:rPr>
          <w:rFonts w:ascii="Times New Roman" w:eastAsia="Times New Roman" w:hAnsi="Times New Roman" w:cs="Times New Roman"/>
          <w:sz w:val="24"/>
          <w:szCs w:val="24"/>
        </w:rPr>
        <w:t>).</w:t>
      </w: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In 2004, HUD and the Census Bureau conducted a major review of the survey questions for neighborhood quality, income, utility costs, and renter subsidies, making changes to each to improve the quality of this information.  In October 2004, we tested these changes in a live hot house test held in Pittsburgh, Pennsylvania.</w:t>
      </w: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In 2010, questions in the updated Mortgage module were cognitively tested by the Center for Survey Measurement (CSM) at the Census Bureau.  We determined that more work needed to be done on the module, so we reverted to the 2009 AHS version and flow of questions where the 2011 version fell short.</w:t>
      </w: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In 2014, HUD and the Census Bureau conducted an exhaustive review of the core questionnaire content.  We revised questions, changed the order, and eliminated some questions based on nonresponse rates and respondent burden.  Because of these changes, questions in some of the core modules, e.g., Breakdown, Neighborhood Quality, Equipment, Home Improvement, Recent Movers, Income, and Mortgage, needed to be tested for implementation in the 2015 questionnaire.  In 2014, along with this new core content, questions in the new rotating topical modules, Housing Counseling and Arts and Culture, were cognitively tested by CSM.  The Census Bureau and HUD reviewed and discussed all of CSM’s recommendations.</w:t>
      </w: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keepNext/>
        <w:tabs>
          <w:tab w:val="left" w:pos="432"/>
          <w:tab w:val="left" w:pos="720"/>
          <w:tab w:val="left" w:pos="864"/>
          <w:tab w:val="left" w:pos="1022"/>
          <w:tab w:val="left" w:pos="1296"/>
          <w:tab w:val="left" w:pos="1728"/>
          <w:tab w:val="left" w:pos="2160"/>
        </w:tabs>
        <w:autoSpaceDE w:val="0"/>
        <w:autoSpaceDN w:val="0"/>
        <w:adjustRightInd w:val="0"/>
        <w:spacing w:before="240" w:after="0" w:line="240" w:lineRule="auto"/>
        <w:rPr>
          <w:rFonts w:ascii="Times New Roman" w:eastAsia="Times New Roman" w:hAnsi="Times New Roman" w:cs="Times New Roman"/>
          <w:b/>
          <w:bCs/>
          <w:sz w:val="24"/>
          <w:szCs w:val="24"/>
        </w:rPr>
      </w:pPr>
      <w:r w:rsidRPr="004E02E8">
        <w:rPr>
          <w:rFonts w:ascii="Courier" w:eastAsia="Times New Roman" w:hAnsi="Courier" w:cs="Times New Roman"/>
          <w:sz w:val="24"/>
          <w:szCs w:val="24"/>
        </w:rPr>
        <w:t xml:space="preserve"> </w:t>
      </w:r>
      <w:r w:rsidRPr="004E02E8">
        <w:rPr>
          <w:rFonts w:ascii="Times New Roman" w:eastAsia="Times New Roman" w:hAnsi="Times New Roman" w:cs="Times New Roman"/>
          <w:b/>
          <w:bCs/>
          <w:sz w:val="24"/>
          <w:szCs w:val="24"/>
        </w:rPr>
        <w:tab/>
      </w:r>
      <w:r w:rsidRPr="004E02E8">
        <w:rPr>
          <w:rFonts w:ascii="Times New Roman" w:eastAsia="Times New Roman" w:hAnsi="Times New Roman" w:cs="Times New Roman"/>
          <w:b/>
          <w:bCs/>
          <w:sz w:val="24"/>
          <w:szCs w:val="24"/>
        </w:rPr>
        <w:tab/>
        <w:t>5.</w:t>
      </w:r>
      <w:r w:rsidRPr="004E02E8">
        <w:rPr>
          <w:rFonts w:ascii="Times New Roman" w:eastAsia="Times New Roman" w:hAnsi="Times New Roman" w:cs="Times New Roman"/>
          <w:b/>
          <w:bCs/>
          <w:sz w:val="24"/>
          <w:szCs w:val="24"/>
        </w:rPr>
        <w:tab/>
        <w:t>Contacts for Statistical Aspects and Data Collection</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before="240"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HUD consulted the following individuals on the statistical data collection and analysis operation:</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Tamara Cole</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Associate Directorate for Demographic Programs</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U.S. Census Bureau</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(301) 763-4665</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Statistical Design, Analysis, and Collection</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Stephen Ash</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Demographic Statistical Methods Division</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U.S. Census Bureau</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(301) 763-4294</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Statistical Design</w:t>
      </w: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720"/>
          <w:tab w:val="left" w:pos="1080"/>
          <w:tab w:val="left" w:pos="1296"/>
          <w:tab w:val="left" w:pos="1728"/>
          <w:tab w:val="left" w:pos="2160"/>
        </w:tabs>
        <w:spacing w:after="0" w:line="240" w:lineRule="auto"/>
        <w:ind w:left="1080"/>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rPr>
          <w:rFonts w:ascii="Times New Roman" w:eastAsia="Times New Roman" w:hAnsi="Times New Roman" w:cs="Times New Roman"/>
          <w:sz w:val="24"/>
          <w:szCs w:val="24"/>
        </w:rPr>
      </w:pPr>
    </w:p>
    <w:p w:rsidR="004E02E8" w:rsidRPr="004E02E8" w:rsidRDefault="004E02E8" w:rsidP="004E02E8">
      <w:pPr>
        <w:numPr>
          <w:ilvl w:val="12"/>
          <w:numId w:val="0"/>
        </w:numPr>
        <w:tabs>
          <w:tab w:val="left" w:pos="432"/>
          <w:tab w:val="left" w:pos="864"/>
          <w:tab w:val="left" w:pos="1296"/>
          <w:tab w:val="left" w:pos="1728"/>
          <w:tab w:val="left" w:pos="2160"/>
        </w:tabs>
        <w:spacing w:after="0" w:line="240" w:lineRule="auto"/>
        <w:rPr>
          <w:rFonts w:ascii="Times New Roman" w:eastAsia="Times New Roman" w:hAnsi="Times New Roman" w:cs="Times New Roman"/>
          <w:sz w:val="24"/>
          <w:szCs w:val="24"/>
        </w:rPr>
      </w:pPr>
    </w:p>
    <w:p w:rsidR="004E02E8" w:rsidRPr="004E02E8" w:rsidRDefault="004E02E8" w:rsidP="004E02E8">
      <w:pPr>
        <w:numPr>
          <w:ilvl w:val="12"/>
          <w:numId w:val="0"/>
        </w:numPr>
        <w:spacing w:after="0" w:line="240" w:lineRule="auto"/>
        <w:ind w:left="720"/>
        <w:rPr>
          <w:rFonts w:ascii="Times New Roman" w:eastAsia="Times New Roman" w:hAnsi="Times New Roman" w:cs="Times New Roman"/>
          <w:sz w:val="24"/>
          <w:szCs w:val="24"/>
        </w:rPr>
      </w:pPr>
      <w:r w:rsidRPr="004E02E8">
        <w:rPr>
          <w:rFonts w:ascii="Times New Roman" w:eastAsia="Times New Roman" w:hAnsi="Times New Roman" w:cs="Times New Roman"/>
          <w:sz w:val="24"/>
          <w:szCs w:val="24"/>
        </w:rPr>
        <w:t>Attachments</w:t>
      </w:r>
    </w:p>
    <w:p w:rsidR="007E6EFC" w:rsidRDefault="007E6EFC"/>
    <w:sectPr w:rsidR="007E6EFC" w:rsidSect="004E02E8">
      <w:headerReference w:type="even" r:id="rId9"/>
      <w:headerReference w:type="default" r:id="rId10"/>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AF" w:rsidRDefault="00256A5B">
      <w:pPr>
        <w:spacing w:after="0" w:line="240" w:lineRule="auto"/>
      </w:pPr>
      <w:r>
        <w:separator/>
      </w:r>
    </w:p>
  </w:endnote>
  <w:endnote w:type="continuationSeparator" w:id="0">
    <w:p w:rsidR="006025AF" w:rsidRDefault="0025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AF" w:rsidRDefault="00256A5B">
      <w:pPr>
        <w:spacing w:after="0" w:line="240" w:lineRule="auto"/>
      </w:pPr>
      <w:r>
        <w:separator/>
      </w:r>
    </w:p>
  </w:footnote>
  <w:footnote w:type="continuationSeparator" w:id="0">
    <w:p w:rsidR="006025AF" w:rsidRDefault="00256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8E" w:rsidRDefault="00B848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18E" w:rsidRDefault="002F65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8E" w:rsidRDefault="00B848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5FB">
      <w:rPr>
        <w:rStyle w:val="PageNumber"/>
        <w:noProof/>
      </w:rPr>
      <w:t>2</w:t>
    </w:r>
    <w:r>
      <w:rPr>
        <w:rStyle w:val="PageNumber"/>
      </w:rPr>
      <w:fldChar w:fldCharType="end"/>
    </w:r>
  </w:p>
  <w:p w:rsidR="003C118E" w:rsidRDefault="002F65FB">
    <w:pPr>
      <w:framePr w:wrap="notBeside" w:hAnchor="text" w:xAlign="right"/>
      <w:ind w:right="360"/>
    </w:pPr>
  </w:p>
  <w:p w:rsidR="003C118E" w:rsidRDefault="002F6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198B"/>
    <w:multiLevelType w:val="hybridMultilevel"/>
    <w:tmpl w:val="3BE8B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38357FA"/>
    <w:multiLevelType w:val="hybridMultilevel"/>
    <w:tmpl w:val="FD2C36C8"/>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E8"/>
    <w:rsid w:val="00256A5B"/>
    <w:rsid w:val="002F65FB"/>
    <w:rsid w:val="003400EF"/>
    <w:rsid w:val="00374620"/>
    <w:rsid w:val="004A5B29"/>
    <w:rsid w:val="004E02E8"/>
    <w:rsid w:val="006025AF"/>
    <w:rsid w:val="00710324"/>
    <w:rsid w:val="007E6EFC"/>
    <w:rsid w:val="00802DAB"/>
    <w:rsid w:val="008E7DE9"/>
    <w:rsid w:val="00B84818"/>
    <w:rsid w:val="00C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2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2E8"/>
  </w:style>
  <w:style w:type="character" w:styleId="PageNumber">
    <w:name w:val="page number"/>
    <w:basedOn w:val="DefaultParagraphFont"/>
    <w:semiHidden/>
    <w:rsid w:val="004E02E8"/>
  </w:style>
  <w:style w:type="table" w:customStyle="1" w:styleId="TableGrid1">
    <w:name w:val="Table Grid1"/>
    <w:basedOn w:val="TableNormal"/>
    <w:next w:val="TableGrid"/>
    <w:uiPriority w:val="59"/>
    <w:rsid w:val="004E0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E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B29"/>
    <w:rPr>
      <w:sz w:val="16"/>
      <w:szCs w:val="16"/>
    </w:rPr>
  </w:style>
  <w:style w:type="paragraph" w:styleId="CommentText">
    <w:name w:val="annotation text"/>
    <w:basedOn w:val="Normal"/>
    <w:link w:val="CommentTextChar"/>
    <w:uiPriority w:val="99"/>
    <w:semiHidden/>
    <w:unhideWhenUsed/>
    <w:rsid w:val="004A5B29"/>
    <w:pPr>
      <w:spacing w:line="240" w:lineRule="auto"/>
    </w:pPr>
    <w:rPr>
      <w:sz w:val="20"/>
      <w:szCs w:val="20"/>
    </w:rPr>
  </w:style>
  <w:style w:type="character" w:customStyle="1" w:styleId="CommentTextChar">
    <w:name w:val="Comment Text Char"/>
    <w:basedOn w:val="DefaultParagraphFont"/>
    <w:link w:val="CommentText"/>
    <w:uiPriority w:val="99"/>
    <w:semiHidden/>
    <w:rsid w:val="004A5B29"/>
    <w:rPr>
      <w:sz w:val="20"/>
      <w:szCs w:val="20"/>
    </w:rPr>
  </w:style>
  <w:style w:type="paragraph" w:styleId="CommentSubject">
    <w:name w:val="annotation subject"/>
    <w:basedOn w:val="CommentText"/>
    <w:next w:val="CommentText"/>
    <w:link w:val="CommentSubjectChar"/>
    <w:uiPriority w:val="99"/>
    <w:semiHidden/>
    <w:unhideWhenUsed/>
    <w:rsid w:val="004A5B29"/>
    <w:rPr>
      <w:b/>
      <w:bCs/>
    </w:rPr>
  </w:style>
  <w:style w:type="character" w:customStyle="1" w:styleId="CommentSubjectChar">
    <w:name w:val="Comment Subject Char"/>
    <w:basedOn w:val="CommentTextChar"/>
    <w:link w:val="CommentSubject"/>
    <w:uiPriority w:val="99"/>
    <w:semiHidden/>
    <w:rsid w:val="004A5B29"/>
    <w:rPr>
      <w:b/>
      <w:bCs/>
      <w:sz w:val="20"/>
      <w:szCs w:val="20"/>
    </w:rPr>
  </w:style>
  <w:style w:type="paragraph" w:styleId="BalloonText">
    <w:name w:val="Balloon Text"/>
    <w:basedOn w:val="Normal"/>
    <w:link w:val="BalloonTextChar"/>
    <w:uiPriority w:val="99"/>
    <w:semiHidden/>
    <w:unhideWhenUsed/>
    <w:rsid w:val="004A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B29"/>
    <w:rPr>
      <w:rFonts w:ascii="Tahoma" w:hAnsi="Tahoma" w:cs="Tahoma"/>
      <w:sz w:val="16"/>
      <w:szCs w:val="16"/>
    </w:rPr>
  </w:style>
  <w:style w:type="paragraph" w:styleId="ListParagraph">
    <w:name w:val="List Paragraph"/>
    <w:basedOn w:val="Normal"/>
    <w:uiPriority w:val="34"/>
    <w:qFormat/>
    <w:rsid w:val="00374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2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2E8"/>
  </w:style>
  <w:style w:type="character" w:styleId="PageNumber">
    <w:name w:val="page number"/>
    <w:basedOn w:val="DefaultParagraphFont"/>
    <w:semiHidden/>
    <w:rsid w:val="004E02E8"/>
  </w:style>
  <w:style w:type="table" w:customStyle="1" w:styleId="TableGrid1">
    <w:name w:val="Table Grid1"/>
    <w:basedOn w:val="TableNormal"/>
    <w:next w:val="TableGrid"/>
    <w:uiPriority w:val="59"/>
    <w:rsid w:val="004E0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E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B29"/>
    <w:rPr>
      <w:sz w:val="16"/>
      <w:szCs w:val="16"/>
    </w:rPr>
  </w:style>
  <w:style w:type="paragraph" w:styleId="CommentText">
    <w:name w:val="annotation text"/>
    <w:basedOn w:val="Normal"/>
    <w:link w:val="CommentTextChar"/>
    <w:uiPriority w:val="99"/>
    <w:semiHidden/>
    <w:unhideWhenUsed/>
    <w:rsid w:val="004A5B29"/>
    <w:pPr>
      <w:spacing w:line="240" w:lineRule="auto"/>
    </w:pPr>
    <w:rPr>
      <w:sz w:val="20"/>
      <w:szCs w:val="20"/>
    </w:rPr>
  </w:style>
  <w:style w:type="character" w:customStyle="1" w:styleId="CommentTextChar">
    <w:name w:val="Comment Text Char"/>
    <w:basedOn w:val="DefaultParagraphFont"/>
    <w:link w:val="CommentText"/>
    <w:uiPriority w:val="99"/>
    <w:semiHidden/>
    <w:rsid w:val="004A5B29"/>
    <w:rPr>
      <w:sz w:val="20"/>
      <w:szCs w:val="20"/>
    </w:rPr>
  </w:style>
  <w:style w:type="paragraph" w:styleId="CommentSubject">
    <w:name w:val="annotation subject"/>
    <w:basedOn w:val="CommentText"/>
    <w:next w:val="CommentText"/>
    <w:link w:val="CommentSubjectChar"/>
    <w:uiPriority w:val="99"/>
    <w:semiHidden/>
    <w:unhideWhenUsed/>
    <w:rsid w:val="004A5B29"/>
    <w:rPr>
      <w:b/>
      <w:bCs/>
    </w:rPr>
  </w:style>
  <w:style w:type="character" w:customStyle="1" w:styleId="CommentSubjectChar">
    <w:name w:val="Comment Subject Char"/>
    <w:basedOn w:val="CommentTextChar"/>
    <w:link w:val="CommentSubject"/>
    <w:uiPriority w:val="99"/>
    <w:semiHidden/>
    <w:rsid w:val="004A5B29"/>
    <w:rPr>
      <w:b/>
      <w:bCs/>
      <w:sz w:val="20"/>
      <w:szCs w:val="20"/>
    </w:rPr>
  </w:style>
  <w:style w:type="paragraph" w:styleId="BalloonText">
    <w:name w:val="Balloon Text"/>
    <w:basedOn w:val="Normal"/>
    <w:link w:val="BalloonTextChar"/>
    <w:uiPriority w:val="99"/>
    <w:semiHidden/>
    <w:unhideWhenUsed/>
    <w:rsid w:val="004A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B29"/>
    <w:rPr>
      <w:rFonts w:ascii="Tahoma" w:hAnsi="Tahoma" w:cs="Tahoma"/>
      <w:sz w:val="16"/>
      <w:szCs w:val="16"/>
    </w:rPr>
  </w:style>
  <w:style w:type="paragraph" w:styleId="ListParagraph">
    <w:name w:val="List Paragraph"/>
    <w:basedOn w:val="Normal"/>
    <w:uiPriority w:val="34"/>
    <w:qFormat/>
    <w:rsid w:val="0037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1584-FF2B-4B65-AA18-E034FD11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Bucholtz</dc:creator>
  <cp:lastModifiedBy>Shawn Bucholtz</cp:lastModifiedBy>
  <cp:revision>8</cp:revision>
  <dcterms:created xsi:type="dcterms:W3CDTF">2015-01-08T20:07:00Z</dcterms:created>
  <dcterms:modified xsi:type="dcterms:W3CDTF">2015-01-21T15:02:00Z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1404965006</vt:i4>
  </property>
  <property fmtid="{D5CDD505-2E9C-101B-9397-08002B2CF9AE}" pid="3" name="_NewReviewCycle">
    <vt:lpwstr/>
  </property>
  <property fmtid="{D5CDD505-2E9C-101B-9397-08002B2CF9AE}" pid="4" name="_EmailSubject">
    <vt:lpwstr>AHS package</vt:lpwstr>
  </property>
  <property fmtid="{D5CDD505-2E9C-101B-9397-08002B2CF9AE}" pid="5" name="_AuthorEmail">
    <vt:lpwstr>Shawn.J.Bucholtz@hud.gov</vt:lpwstr>
  </property>
  <property fmtid="{D5CDD505-2E9C-101B-9397-08002B2CF9AE}" pid="6" name="_AuthorEmailDisplayName">
    <vt:lpwstr>Bucholtz, Shawn J</vt:lpwstr>
  </property>
</Properties>
</file>