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1B" w:rsidRDefault="0063141B">
      <w:pPr>
        <w:suppressAutoHyphens/>
        <w:jc w:val="right"/>
        <w:rPr>
          <w:rFonts w:ascii="CG Times" w:hAnsi="CG Times"/>
        </w:rPr>
      </w:pPr>
    </w:p>
    <w:p w:rsidR="0063141B" w:rsidRPr="00555797" w:rsidRDefault="0063141B">
      <w:pPr>
        <w:suppressAutoHyphens/>
        <w:jc w:val="center"/>
        <w:rPr>
          <w:sz w:val="22"/>
          <w:szCs w:val="22"/>
        </w:rPr>
      </w:pPr>
      <w:r w:rsidRPr="00555797">
        <w:rPr>
          <w:sz w:val="22"/>
          <w:szCs w:val="22"/>
        </w:rPr>
        <w:t>SUPPORTING STATEMENT</w:t>
      </w:r>
    </w:p>
    <w:p w:rsidR="004C7CEC" w:rsidRPr="001F7ADB" w:rsidRDefault="004C7CEC" w:rsidP="00522EB2">
      <w:pPr>
        <w:suppressAutoHyphens/>
        <w:jc w:val="both"/>
        <w:rPr>
          <w:sz w:val="22"/>
          <w:szCs w:val="22"/>
        </w:rPr>
      </w:pPr>
    </w:p>
    <w:p w:rsidR="0063141B" w:rsidRPr="00555797" w:rsidRDefault="0063141B" w:rsidP="00FD7A30">
      <w:pPr>
        <w:suppressAutoHyphens/>
        <w:jc w:val="both"/>
        <w:rPr>
          <w:b/>
          <w:sz w:val="22"/>
          <w:szCs w:val="22"/>
          <w:u w:val="single"/>
        </w:rPr>
      </w:pPr>
      <w:r w:rsidRPr="00555797">
        <w:rPr>
          <w:b/>
          <w:sz w:val="22"/>
          <w:szCs w:val="22"/>
          <w:u w:val="single"/>
        </w:rPr>
        <w:t>A.  Justification:</w:t>
      </w:r>
    </w:p>
    <w:p w:rsidR="00832748" w:rsidRDefault="00E52534" w:rsidP="00FD7A30">
      <w:pPr>
        <w:suppressAutoHyphens/>
        <w:jc w:val="both"/>
        <w:rPr>
          <w:b/>
          <w:sz w:val="22"/>
          <w:szCs w:val="22"/>
        </w:rPr>
      </w:pPr>
      <w:r>
        <w:rPr>
          <w:b/>
          <w:sz w:val="22"/>
          <w:szCs w:val="22"/>
        </w:rPr>
        <w:t xml:space="preserve"> </w:t>
      </w:r>
    </w:p>
    <w:p w:rsidR="004F34E0" w:rsidRPr="004F34E0" w:rsidRDefault="0038339A" w:rsidP="002B00C9">
      <w:pPr>
        <w:widowControl/>
        <w:tabs>
          <w:tab w:val="left" w:pos="360"/>
        </w:tabs>
        <w:ind w:left="360" w:hanging="360"/>
        <w:rPr>
          <w:sz w:val="22"/>
          <w:szCs w:val="22"/>
        </w:rPr>
      </w:pPr>
      <w:r>
        <w:rPr>
          <w:sz w:val="22"/>
          <w:szCs w:val="22"/>
        </w:rPr>
        <w:t>1.</w:t>
      </w:r>
      <w:r>
        <w:rPr>
          <w:sz w:val="22"/>
          <w:szCs w:val="22"/>
        </w:rPr>
        <w:tab/>
      </w:r>
      <w:r w:rsidR="00B95806">
        <w:rPr>
          <w:sz w:val="22"/>
          <w:szCs w:val="22"/>
        </w:rPr>
        <w:t xml:space="preserve">The purpose of </w:t>
      </w:r>
      <w:r w:rsidR="004F34E0" w:rsidRPr="004F34E0">
        <w:rPr>
          <w:sz w:val="22"/>
          <w:szCs w:val="22"/>
        </w:rPr>
        <w:t xml:space="preserve">FCC </w:t>
      </w:r>
      <w:r w:rsidR="00EA4E2C">
        <w:rPr>
          <w:sz w:val="22"/>
          <w:szCs w:val="22"/>
        </w:rPr>
        <w:t xml:space="preserve">Form </w:t>
      </w:r>
      <w:r w:rsidR="004F34E0">
        <w:rPr>
          <w:sz w:val="22"/>
          <w:szCs w:val="22"/>
        </w:rPr>
        <w:t>854</w:t>
      </w:r>
      <w:r w:rsidR="004F34E0" w:rsidRPr="004F34E0">
        <w:rPr>
          <w:sz w:val="22"/>
          <w:szCs w:val="22"/>
        </w:rPr>
        <w:t xml:space="preserve"> </w:t>
      </w:r>
      <w:r w:rsidR="00CE3054">
        <w:rPr>
          <w:sz w:val="22"/>
          <w:szCs w:val="22"/>
        </w:rPr>
        <w:t xml:space="preserve">(Form 854) </w:t>
      </w:r>
      <w:r w:rsidR="004F34E0" w:rsidRPr="004F34E0">
        <w:rPr>
          <w:sz w:val="22"/>
          <w:szCs w:val="22"/>
        </w:rPr>
        <w:t xml:space="preserve">is to register </w:t>
      </w:r>
      <w:r w:rsidR="00B95806">
        <w:rPr>
          <w:sz w:val="22"/>
          <w:szCs w:val="22"/>
        </w:rPr>
        <w:t>antenna structures</w:t>
      </w:r>
      <w:r w:rsidR="00AC4735">
        <w:rPr>
          <w:sz w:val="22"/>
          <w:szCs w:val="22"/>
        </w:rPr>
        <w:t xml:space="preserve"> </w:t>
      </w:r>
      <w:r w:rsidR="00B95806">
        <w:rPr>
          <w:sz w:val="22"/>
          <w:szCs w:val="22"/>
        </w:rPr>
        <w:t xml:space="preserve">that are </w:t>
      </w:r>
      <w:r w:rsidR="004F34E0" w:rsidRPr="004F34E0">
        <w:rPr>
          <w:sz w:val="22"/>
          <w:szCs w:val="22"/>
        </w:rPr>
        <w:t>used for radio communication service</w:t>
      </w:r>
      <w:r w:rsidR="00B95806">
        <w:rPr>
          <w:sz w:val="22"/>
          <w:szCs w:val="22"/>
        </w:rPr>
        <w:t>s</w:t>
      </w:r>
      <w:r w:rsidR="004F34E0" w:rsidRPr="004F34E0">
        <w:rPr>
          <w:sz w:val="22"/>
          <w:szCs w:val="22"/>
        </w:rPr>
        <w:t xml:space="preserve"> </w:t>
      </w:r>
      <w:r w:rsidR="00AC4735">
        <w:rPr>
          <w:sz w:val="22"/>
          <w:szCs w:val="22"/>
        </w:rPr>
        <w:t>which</w:t>
      </w:r>
      <w:r w:rsidR="00B95806">
        <w:rPr>
          <w:sz w:val="22"/>
          <w:szCs w:val="22"/>
        </w:rPr>
        <w:t xml:space="preserve"> </w:t>
      </w:r>
      <w:r w:rsidR="004F34E0" w:rsidRPr="004F34E0">
        <w:rPr>
          <w:sz w:val="22"/>
          <w:szCs w:val="22"/>
        </w:rPr>
        <w:t xml:space="preserve">are regulated by the Commission; to make changes to existing </w:t>
      </w:r>
      <w:r w:rsidR="00B95806">
        <w:rPr>
          <w:sz w:val="22"/>
          <w:szCs w:val="22"/>
        </w:rPr>
        <w:t xml:space="preserve">antenna </w:t>
      </w:r>
      <w:r w:rsidR="004F34E0" w:rsidRPr="004F34E0">
        <w:rPr>
          <w:sz w:val="22"/>
          <w:szCs w:val="22"/>
        </w:rPr>
        <w:t>structure</w:t>
      </w:r>
      <w:r w:rsidR="0028293F">
        <w:rPr>
          <w:sz w:val="22"/>
          <w:szCs w:val="22"/>
        </w:rPr>
        <w:t xml:space="preserve"> registration</w:t>
      </w:r>
      <w:r w:rsidR="004F34E0" w:rsidRPr="004F34E0">
        <w:rPr>
          <w:sz w:val="22"/>
          <w:szCs w:val="22"/>
        </w:rPr>
        <w:t>s or pending applications</w:t>
      </w:r>
      <w:r w:rsidR="00B95806">
        <w:rPr>
          <w:sz w:val="22"/>
          <w:szCs w:val="22"/>
        </w:rPr>
        <w:t xml:space="preserve"> for registration</w:t>
      </w:r>
      <w:r w:rsidR="004F34E0" w:rsidRPr="004F34E0">
        <w:rPr>
          <w:sz w:val="22"/>
          <w:szCs w:val="22"/>
        </w:rPr>
        <w:t xml:space="preserve">; or to notify the Commission of the completion of construction or dismantlement of </w:t>
      </w:r>
      <w:r w:rsidR="00AC4735">
        <w:rPr>
          <w:sz w:val="22"/>
          <w:szCs w:val="22"/>
        </w:rPr>
        <w:t xml:space="preserve">such </w:t>
      </w:r>
      <w:r w:rsidR="004F34E0" w:rsidRPr="004F34E0">
        <w:rPr>
          <w:sz w:val="22"/>
          <w:szCs w:val="22"/>
        </w:rPr>
        <w:t xml:space="preserve">structures, as required by Title 47 of the Code of Federal Regulations, Chapter 1, </w:t>
      </w:r>
      <w:r w:rsidR="003C6001" w:rsidRPr="0041588C">
        <w:rPr>
          <w:sz w:val="22"/>
          <w:szCs w:val="22"/>
        </w:rPr>
        <w:t>Section</w:t>
      </w:r>
      <w:r w:rsidR="00D52178" w:rsidRPr="0041588C">
        <w:rPr>
          <w:sz w:val="22"/>
          <w:szCs w:val="22"/>
        </w:rPr>
        <w:t>s</w:t>
      </w:r>
      <w:r w:rsidR="003C6001" w:rsidRPr="0041588C">
        <w:rPr>
          <w:sz w:val="22"/>
          <w:szCs w:val="22"/>
        </w:rPr>
        <w:t xml:space="preserve"> 1.923, 1.1307, 1.1311, 17.1, 17.2, 17.4, 17.5, 17.6, 17.7,  17.57 and 17.58.</w:t>
      </w:r>
    </w:p>
    <w:p w:rsidR="004F34E0" w:rsidRDefault="004F34E0" w:rsidP="00652810">
      <w:pPr>
        <w:widowControl/>
        <w:tabs>
          <w:tab w:val="left" w:pos="360"/>
        </w:tabs>
        <w:ind w:left="360" w:hanging="360"/>
        <w:rPr>
          <w:sz w:val="22"/>
          <w:szCs w:val="22"/>
        </w:rPr>
      </w:pPr>
    </w:p>
    <w:p w:rsidR="006916CE" w:rsidRDefault="006916CE" w:rsidP="00652810">
      <w:pPr>
        <w:widowControl/>
        <w:tabs>
          <w:tab w:val="left" w:pos="360"/>
        </w:tabs>
        <w:ind w:left="360" w:hanging="360"/>
        <w:rPr>
          <w:sz w:val="22"/>
          <w:szCs w:val="22"/>
        </w:rPr>
      </w:pPr>
      <w:r>
        <w:rPr>
          <w:sz w:val="22"/>
          <w:szCs w:val="22"/>
        </w:rPr>
        <w:tab/>
        <w:t xml:space="preserve">Any person or entity proposing to construct or alter an antenna structure that is more than 60.96 meters (200 feet) in height, or that may interfere with the approach or departure space of a nearby airport runway, must notify the Federal Aviation Administration (FAA) of proposed construction.  The FAA determines whether the antenna structure constitutes a potential hazard, and may recommend appropriate painting and lighting for the structure.  The Commission then uses the FAA’s recommendation to impose specific painting and/or lighting requirements on radio tower owners and subject licensees.  When an antenna structure owner for one reason or another does not register </w:t>
      </w:r>
      <w:r w:rsidR="005859C6">
        <w:rPr>
          <w:sz w:val="22"/>
          <w:szCs w:val="22"/>
        </w:rPr>
        <w:t>its</w:t>
      </w:r>
      <w:r>
        <w:rPr>
          <w:sz w:val="22"/>
          <w:szCs w:val="22"/>
        </w:rPr>
        <w:t xml:space="preserve"> structure, it then becomes the responsibility of the tenant licensees to ensure that the structure </w:t>
      </w:r>
      <w:r w:rsidR="00CE3054">
        <w:rPr>
          <w:sz w:val="22"/>
          <w:szCs w:val="22"/>
        </w:rPr>
        <w:t>is registered with the Commission</w:t>
      </w:r>
      <w:r>
        <w:rPr>
          <w:sz w:val="22"/>
          <w:szCs w:val="22"/>
        </w:rPr>
        <w:t>.</w:t>
      </w:r>
    </w:p>
    <w:p w:rsidR="006916CE" w:rsidRDefault="006916CE" w:rsidP="00652810">
      <w:pPr>
        <w:widowControl/>
        <w:tabs>
          <w:tab w:val="left" w:pos="360"/>
        </w:tabs>
        <w:ind w:left="360" w:hanging="360"/>
        <w:rPr>
          <w:sz w:val="22"/>
          <w:szCs w:val="22"/>
        </w:rPr>
      </w:pPr>
    </w:p>
    <w:p w:rsidR="00D740BA" w:rsidRDefault="004F34E0" w:rsidP="00652810">
      <w:pPr>
        <w:widowControl/>
        <w:tabs>
          <w:tab w:val="left" w:pos="360"/>
        </w:tabs>
        <w:ind w:left="360" w:hanging="360"/>
        <w:rPr>
          <w:sz w:val="22"/>
          <w:szCs w:val="22"/>
        </w:rPr>
      </w:pPr>
      <w:r>
        <w:rPr>
          <w:sz w:val="22"/>
          <w:szCs w:val="22"/>
        </w:rPr>
        <w:t xml:space="preserve">      </w:t>
      </w:r>
      <w:r w:rsidR="00D740BA">
        <w:rPr>
          <w:sz w:val="22"/>
          <w:szCs w:val="22"/>
        </w:rPr>
        <w:t>Section 303(q) of the Communications Act of 1934, as amended</w:t>
      </w:r>
      <w:r w:rsidR="00B95806">
        <w:rPr>
          <w:sz w:val="22"/>
          <w:szCs w:val="22"/>
        </w:rPr>
        <w:t>, gives the Commissi</w:t>
      </w:r>
      <w:r w:rsidR="00D740BA">
        <w:rPr>
          <w:sz w:val="22"/>
          <w:szCs w:val="22"/>
        </w:rPr>
        <w:t xml:space="preserve">on </w:t>
      </w:r>
      <w:r w:rsidR="00B95806">
        <w:rPr>
          <w:sz w:val="22"/>
          <w:szCs w:val="22"/>
        </w:rPr>
        <w:t xml:space="preserve">authority </w:t>
      </w:r>
      <w:r w:rsidR="00D740BA">
        <w:rPr>
          <w:sz w:val="22"/>
          <w:szCs w:val="22"/>
        </w:rPr>
        <w:t>to require painting and/or</w:t>
      </w:r>
      <w:r w:rsidR="00667950" w:rsidRPr="000548F1">
        <w:rPr>
          <w:sz w:val="22"/>
          <w:szCs w:val="22"/>
        </w:rPr>
        <w:t xml:space="preserve"> </w:t>
      </w:r>
      <w:r w:rsidR="00D740BA">
        <w:rPr>
          <w:sz w:val="22"/>
          <w:szCs w:val="22"/>
        </w:rPr>
        <w:t xml:space="preserve">illumination of radio towers in cases where there is a reasonable possibility that an antenna structure may cause a hazard to air navigation.  In 1992, Congress amended Sections 303(q) and 503(b)(5) of the Communications Act to make </w:t>
      </w:r>
      <w:r w:rsidR="00B95806">
        <w:rPr>
          <w:sz w:val="22"/>
          <w:szCs w:val="22"/>
        </w:rPr>
        <w:t>radio tower</w:t>
      </w:r>
      <w:r w:rsidR="00D740BA">
        <w:rPr>
          <w:sz w:val="22"/>
          <w:szCs w:val="22"/>
        </w:rPr>
        <w:t xml:space="preserve"> owners, as well as Commission licensee</w:t>
      </w:r>
      <w:r w:rsidR="00B95806">
        <w:rPr>
          <w:sz w:val="22"/>
          <w:szCs w:val="22"/>
        </w:rPr>
        <w:t>s and permitt</w:t>
      </w:r>
      <w:r w:rsidR="00D740BA">
        <w:rPr>
          <w:sz w:val="22"/>
          <w:szCs w:val="22"/>
        </w:rPr>
        <w:t>ees</w:t>
      </w:r>
      <w:r w:rsidR="0028293F">
        <w:rPr>
          <w:sz w:val="22"/>
          <w:szCs w:val="22"/>
        </w:rPr>
        <w:t>,</w:t>
      </w:r>
      <w:r w:rsidR="00D740BA">
        <w:rPr>
          <w:sz w:val="22"/>
          <w:szCs w:val="22"/>
        </w:rPr>
        <w:t xml:space="preserve"> responsible for the painting and lighting of </w:t>
      </w:r>
      <w:r w:rsidR="00B95806">
        <w:rPr>
          <w:sz w:val="22"/>
          <w:szCs w:val="22"/>
        </w:rPr>
        <w:t>radio tower</w:t>
      </w:r>
      <w:r w:rsidR="00D740BA">
        <w:rPr>
          <w:sz w:val="22"/>
          <w:szCs w:val="22"/>
        </w:rPr>
        <w:t xml:space="preserve"> structures, and to provide that non-license</w:t>
      </w:r>
      <w:r w:rsidR="0028293F">
        <w:rPr>
          <w:sz w:val="22"/>
          <w:szCs w:val="22"/>
        </w:rPr>
        <w:t>e</w:t>
      </w:r>
      <w:r w:rsidR="00D740BA">
        <w:rPr>
          <w:sz w:val="22"/>
          <w:szCs w:val="22"/>
        </w:rPr>
        <w:t xml:space="preserve"> </w:t>
      </w:r>
      <w:r w:rsidR="00B95806">
        <w:rPr>
          <w:sz w:val="22"/>
          <w:szCs w:val="22"/>
        </w:rPr>
        <w:t>radio tower</w:t>
      </w:r>
      <w:r w:rsidR="00D740BA">
        <w:rPr>
          <w:sz w:val="22"/>
          <w:szCs w:val="22"/>
        </w:rPr>
        <w:t xml:space="preserve"> owners may be subject to forfeiture for violations of painting or lighting requirements specified by the Commission.</w:t>
      </w:r>
    </w:p>
    <w:p w:rsidR="006E4BD3" w:rsidRDefault="006E4BD3" w:rsidP="00652810">
      <w:pPr>
        <w:widowControl/>
        <w:tabs>
          <w:tab w:val="left" w:pos="360"/>
        </w:tabs>
        <w:ind w:left="360" w:hanging="360"/>
        <w:rPr>
          <w:sz w:val="22"/>
          <w:szCs w:val="22"/>
        </w:rPr>
      </w:pPr>
    </w:p>
    <w:p w:rsidR="0061411D" w:rsidRDefault="006E4BD3" w:rsidP="00652810">
      <w:pPr>
        <w:widowControl/>
        <w:tabs>
          <w:tab w:val="left" w:pos="360"/>
        </w:tabs>
        <w:ind w:left="360" w:hanging="360"/>
        <w:rPr>
          <w:color w:val="FF0000"/>
          <w:sz w:val="22"/>
          <w:szCs w:val="22"/>
        </w:rPr>
      </w:pPr>
      <w:r>
        <w:rPr>
          <w:sz w:val="22"/>
          <w:szCs w:val="22"/>
        </w:rPr>
        <w:tab/>
      </w:r>
      <w:r w:rsidR="00B5616F" w:rsidRPr="0006274E">
        <w:rPr>
          <w:sz w:val="22"/>
          <w:szCs w:val="22"/>
        </w:rPr>
        <w:t>On December 9, 2011, the Commission adopted and released FCC 11-181, t</w:t>
      </w:r>
      <w:r w:rsidR="006916CE" w:rsidRPr="0006274E">
        <w:rPr>
          <w:snapToGrid/>
          <w:sz w:val="22"/>
          <w:szCs w:val="22"/>
        </w:rPr>
        <w:t>he Migratory Bird Order on Remand</w:t>
      </w:r>
      <w:r w:rsidR="00B5616F" w:rsidRPr="0006274E">
        <w:rPr>
          <w:snapToGrid/>
          <w:sz w:val="22"/>
          <w:szCs w:val="22"/>
        </w:rPr>
        <w:t xml:space="preserve"> </w:t>
      </w:r>
      <w:r w:rsidR="00ED4D32">
        <w:rPr>
          <w:snapToGrid/>
          <w:sz w:val="22"/>
          <w:szCs w:val="22"/>
        </w:rPr>
        <w:t>(</w:t>
      </w:r>
      <w:r w:rsidR="00ED4D32" w:rsidRPr="0006274E">
        <w:rPr>
          <w:snapToGrid/>
          <w:sz w:val="22"/>
          <w:szCs w:val="22"/>
        </w:rPr>
        <w:t>Remand Order</w:t>
      </w:r>
      <w:r w:rsidR="00ED4D32">
        <w:rPr>
          <w:snapToGrid/>
          <w:sz w:val="22"/>
          <w:szCs w:val="22"/>
        </w:rPr>
        <w:t>)</w:t>
      </w:r>
      <w:r w:rsidR="00724E96">
        <w:rPr>
          <w:snapToGrid/>
          <w:sz w:val="22"/>
          <w:szCs w:val="22"/>
        </w:rPr>
        <w:t>,</w:t>
      </w:r>
      <w:r w:rsidR="00ED4D32" w:rsidRPr="0006274E">
        <w:rPr>
          <w:snapToGrid/>
          <w:sz w:val="22"/>
          <w:szCs w:val="22"/>
        </w:rPr>
        <w:t xml:space="preserve"> </w:t>
      </w:r>
      <w:r w:rsidR="006916CE" w:rsidRPr="0006274E">
        <w:rPr>
          <w:snapToGrid/>
          <w:sz w:val="22"/>
          <w:szCs w:val="22"/>
        </w:rPr>
        <w:t>in response to the decision of the Court of Appeals for the District of Columbia Circuit in American Bird Conservancy v. FCC</w:t>
      </w:r>
      <w:r w:rsidR="005859C6" w:rsidRPr="0006274E">
        <w:rPr>
          <w:snapToGrid/>
          <w:sz w:val="22"/>
          <w:szCs w:val="22"/>
        </w:rPr>
        <w:t>, 516 F.3d 1027 (D.C. Cir. 2008)</w:t>
      </w:r>
      <w:r w:rsidR="006916CE" w:rsidRPr="0006274E">
        <w:rPr>
          <w:snapToGrid/>
          <w:sz w:val="22"/>
          <w:szCs w:val="22"/>
        </w:rPr>
        <w:t xml:space="preserve">.  The court held that </w:t>
      </w:r>
      <w:r w:rsidR="008816A3" w:rsidRPr="0006274E">
        <w:rPr>
          <w:snapToGrid/>
          <w:sz w:val="22"/>
          <w:szCs w:val="22"/>
        </w:rPr>
        <w:t xml:space="preserve">the Commission’s </w:t>
      </w:r>
      <w:r w:rsidR="00631398" w:rsidRPr="0006274E">
        <w:rPr>
          <w:snapToGrid/>
          <w:sz w:val="22"/>
          <w:szCs w:val="22"/>
        </w:rPr>
        <w:t>A</w:t>
      </w:r>
      <w:r w:rsidR="006916CE" w:rsidRPr="0006274E">
        <w:rPr>
          <w:snapToGrid/>
          <w:sz w:val="22"/>
          <w:szCs w:val="22"/>
        </w:rPr>
        <w:t xml:space="preserve">ntenna </w:t>
      </w:r>
      <w:r w:rsidR="00631398" w:rsidRPr="0006274E">
        <w:rPr>
          <w:snapToGrid/>
          <w:sz w:val="22"/>
          <w:szCs w:val="22"/>
        </w:rPr>
        <w:t>S</w:t>
      </w:r>
      <w:r w:rsidR="006916CE" w:rsidRPr="0006274E">
        <w:rPr>
          <w:snapToGrid/>
          <w:sz w:val="22"/>
          <w:szCs w:val="22"/>
        </w:rPr>
        <w:t xml:space="preserve">tructure </w:t>
      </w:r>
      <w:r w:rsidR="00631398" w:rsidRPr="0006274E">
        <w:rPr>
          <w:snapToGrid/>
          <w:sz w:val="22"/>
          <w:szCs w:val="22"/>
        </w:rPr>
        <w:t>R</w:t>
      </w:r>
      <w:r w:rsidR="006916CE" w:rsidRPr="0006274E">
        <w:rPr>
          <w:snapToGrid/>
          <w:sz w:val="22"/>
          <w:szCs w:val="22"/>
        </w:rPr>
        <w:t>egistration (ASR) procedures d</w:t>
      </w:r>
      <w:r w:rsidR="00616668">
        <w:rPr>
          <w:snapToGrid/>
          <w:sz w:val="22"/>
          <w:szCs w:val="22"/>
        </w:rPr>
        <w:t>id</w:t>
      </w:r>
      <w:r w:rsidR="006916CE" w:rsidRPr="0006274E">
        <w:rPr>
          <w:snapToGrid/>
          <w:sz w:val="22"/>
          <w:szCs w:val="22"/>
        </w:rPr>
        <w:t xml:space="preserve"> not offer members of the public a meaningful opportunity to request an Environmental Assessment for proposed towers that the Commission considers categorically excluded from review under the National Environmental Policy Act (NEPA).  To address the court’s holding</w:t>
      </w:r>
      <w:r w:rsidR="008816A3" w:rsidRPr="0006274E">
        <w:rPr>
          <w:snapToGrid/>
          <w:sz w:val="22"/>
          <w:szCs w:val="22"/>
        </w:rPr>
        <w:t>,</w:t>
      </w:r>
      <w:r w:rsidR="006916CE" w:rsidRPr="0006274E">
        <w:rPr>
          <w:snapToGrid/>
          <w:sz w:val="22"/>
          <w:szCs w:val="22"/>
        </w:rPr>
        <w:t xml:space="preserve"> the </w:t>
      </w:r>
      <w:r w:rsidR="00CE3054" w:rsidRPr="0006274E">
        <w:rPr>
          <w:snapToGrid/>
          <w:sz w:val="22"/>
          <w:szCs w:val="22"/>
        </w:rPr>
        <w:t xml:space="preserve">Remand </w:t>
      </w:r>
      <w:r w:rsidR="006916CE" w:rsidRPr="0006274E">
        <w:rPr>
          <w:snapToGrid/>
          <w:sz w:val="22"/>
          <w:szCs w:val="22"/>
        </w:rPr>
        <w:t xml:space="preserve">Order </w:t>
      </w:r>
      <w:r w:rsidR="005859C6" w:rsidRPr="0006274E">
        <w:rPr>
          <w:snapToGrid/>
          <w:sz w:val="22"/>
          <w:szCs w:val="22"/>
        </w:rPr>
        <w:t>add</w:t>
      </w:r>
      <w:r w:rsidR="0006274E">
        <w:rPr>
          <w:snapToGrid/>
          <w:sz w:val="22"/>
          <w:szCs w:val="22"/>
        </w:rPr>
        <w:t>ed</w:t>
      </w:r>
      <w:r w:rsidR="006916CE" w:rsidRPr="0006274E">
        <w:rPr>
          <w:snapToGrid/>
          <w:sz w:val="22"/>
          <w:szCs w:val="22"/>
        </w:rPr>
        <w:t xml:space="preserve"> a pre-application notification process to the ASR procedures so that members of the public w</w:t>
      </w:r>
      <w:r w:rsidR="00616668">
        <w:rPr>
          <w:snapToGrid/>
          <w:sz w:val="22"/>
          <w:szCs w:val="22"/>
        </w:rPr>
        <w:t>ould</w:t>
      </w:r>
      <w:r w:rsidR="006916CE" w:rsidRPr="0006274E">
        <w:rPr>
          <w:snapToGrid/>
          <w:sz w:val="22"/>
          <w:szCs w:val="22"/>
        </w:rPr>
        <w:t xml:space="preserve"> have a meaningful opportunity to comment on the environmental</w:t>
      </w:r>
      <w:r w:rsidR="006916CE" w:rsidRPr="0006274E">
        <w:rPr>
          <w:snapToGrid/>
          <w:szCs w:val="24"/>
        </w:rPr>
        <w:t xml:space="preserve"> </w:t>
      </w:r>
      <w:r w:rsidR="006916CE" w:rsidRPr="0006274E">
        <w:rPr>
          <w:snapToGrid/>
          <w:sz w:val="22"/>
          <w:szCs w:val="24"/>
        </w:rPr>
        <w:t>effects of proposed antenna structures that require registration with the Commission</w:t>
      </w:r>
      <w:r w:rsidR="006916CE" w:rsidRPr="0006274E">
        <w:rPr>
          <w:rFonts w:ascii="Arial" w:hAnsi="Arial" w:cs="Arial"/>
          <w:snapToGrid/>
          <w:sz w:val="22"/>
        </w:rPr>
        <w:t>.</w:t>
      </w:r>
      <w:r w:rsidR="006916CE" w:rsidRPr="0006274E">
        <w:rPr>
          <w:snapToGrid/>
          <w:sz w:val="22"/>
          <w:szCs w:val="24"/>
        </w:rPr>
        <w:t xml:space="preserve">  </w:t>
      </w:r>
      <w:r w:rsidR="003C4BDA">
        <w:rPr>
          <w:snapToGrid/>
          <w:sz w:val="22"/>
          <w:szCs w:val="24"/>
        </w:rPr>
        <w:t xml:space="preserve">In order </w:t>
      </w:r>
      <w:r w:rsidR="003C4BDA" w:rsidRPr="00616668">
        <w:rPr>
          <w:snapToGrid/>
          <w:sz w:val="22"/>
          <w:szCs w:val="24"/>
        </w:rPr>
        <w:t xml:space="preserve">to </w:t>
      </w:r>
      <w:r w:rsidR="003C4BDA" w:rsidRPr="00616668">
        <w:rPr>
          <w:sz w:val="22"/>
          <w:szCs w:val="22"/>
        </w:rPr>
        <w:t>comply with the Remand Order</w:t>
      </w:r>
      <w:r w:rsidR="0061411D" w:rsidRPr="00616668">
        <w:rPr>
          <w:sz w:val="22"/>
          <w:szCs w:val="22"/>
        </w:rPr>
        <w:t>, the Commission</w:t>
      </w:r>
      <w:r w:rsidR="003C4BDA" w:rsidRPr="00616668">
        <w:rPr>
          <w:sz w:val="22"/>
          <w:szCs w:val="22"/>
        </w:rPr>
        <w:t xml:space="preserve"> add</w:t>
      </w:r>
      <w:r w:rsidR="00616668" w:rsidRPr="00616668">
        <w:rPr>
          <w:sz w:val="22"/>
          <w:szCs w:val="22"/>
        </w:rPr>
        <w:t>ed</w:t>
      </w:r>
      <w:r w:rsidR="003C4BDA" w:rsidRPr="00616668">
        <w:rPr>
          <w:sz w:val="22"/>
          <w:szCs w:val="22"/>
        </w:rPr>
        <w:t xml:space="preserve"> questions </w:t>
      </w:r>
      <w:r w:rsidR="0061411D" w:rsidRPr="00616668">
        <w:rPr>
          <w:sz w:val="22"/>
          <w:szCs w:val="22"/>
        </w:rPr>
        <w:t xml:space="preserve">to Form 854 </w:t>
      </w:r>
      <w:r w:rsidR="003C4BDA" w:rsidRPr="00616668">
        <w:rPr>
          <w:sz w:val="22"/>
          <w:szCs w:val="22"/>
        </w:rPr>
        <w:t>that facilitate</w:t>
      </w:r>
      <w:r w:rsidR="0061411D" w:rsidRPr="00616668">
        <w:rPr>
          <w:sz w:val="22"/>
          <w:szCs w:val="22"/>
        </w:rPr>
        <w:t>d</w:t>
      </w:r>
      <w:r w:rsidR="003C4BDA" w:rsidRPr="00616668">
        <w:rPr>
          <w:sz w:val="22"/>
          <w:szCs w:val="22"/>
        </w:rPr>
        <w:t xml:space="preserve"> the pre-application notification process</w:t>
      </w:r>
      <w:r w:rsidR="0061411D" w:rsidRPr="00616668">
        <w:rPr>
          <w:sz w:val="22"/>
          <w:szCs w:val="22"/>
        </w:rPr>
        <w:t xml:space="preserve"> and helped the Commission to more efficiently process antenna structure registrations</w:t>
      </w:r>
      <w:r w:rsidR="003C4BDA" w:rsidRPr="00616668">
        <w:rPr>
          <w:sz w:val="22"/>
          <w:szCs w:val="22"/>
        </w:rPr>
        <w:t>.</w:t>
      </w:r>
      <w:r w:rsidR="003C4BDA" w:rsidRPr="00FB47C8">
        <w:rPr>
          <w:color w:val="FF0000"/>
          <w:sz w:val="22"/>
          <w:szCs w:val="22"/>
        </w:rPr>
        <w:t xml:space="preserve">  </w:t>
      </w:r>
    </w:p>
    <w:p w:rsidR="0061411D" w:rsidRDefault="0061411D" w:rsidP="00652810">
      <w:pPr>
        <w:widowControl/>
        <w:tabs>
          <w:tab w:val="left" w:pos="360"/>
        </w:tabs>
        <w:ind w:left="360" w:hanging="360"/>
        <w:rPr>
          <w:sz w:val="22"/>
          <w:szCs w:val="22"/>
        </w:rPr>
      </w:pPr>
    </w:p>
    <w:p w:rsidR="00652810" w:rsidRPr="003C4BDA" w:rsidRDefault="0061411D" w:rsidP="00652810">
      <w:pPr>
        <w:widowControl/>
        <w:tabs>
          <w:tab w:val="left" w:pos="360"/>
        </w:tabs>
        <w:ind w:left="360" w:hanging="360"/>
        <w:rPr>
          <w:sz w:val="22"/>
          <w:szCs w:val="22"/>
        </w:rPr>
      </w:pPr>
      <w:r>
        <w:rPr>
          <w:sz w:val="22"/>
          <w:szCs w:val="22"/>
        </w:rPr>
        <w:tab/>
      </w:r>
      <w:r w:rsidR="00652810" w:rsidRPr="003C4BDA">
        <w:rPr>
          <w:sz w:val="22"/>
          <w:szCs w:val="22"/>
        </w:rPr>
        <w:t xml:space="preserve">On October 17, 2014, the Commission adopted FCC 14-153, </w:t>
      </w:r>
      <w:r w:rsidR="00724E96">
        <w:rPr>
          <w:sz w:val="22"/>
          <w:szCs w:val="22"/>
        </w:rPr>
        <w:t xml:space="preserve">the Wireless Infrastructure </w:t>
      </w:r>
      <w:r w:rsidR="00652810" w:rsidRPr="003C4BDA">
        <w:rPr>
          <w:sz w:val="22"/>
          <w:szCs w:val="22"/>
        </w:rPr>
        <w:t>Report and Order</w:t>
      </w:r>
      <w:r w:rsidR="00724E96">
        <w:rPr>
          <w:sz w:val="22"/>
          <w:szCs w:val="22"/>
        </w:rPr>
        <w:t xml:space="preserve"> (Report and Order)</w:t>
      </w:r>
      <w:r w:rsidR="00652810" w:rsidRPr="003C4BDA">
        <w:rPr>
          <w:sz w:val="22"/>
          <w:szCs w:val="22"/>
        </w:rPr>
        <w:t xml:space="preserve">, which altered the public notification process for certain temporary towers. </w:t>
      </w:r>
      <w:r w:rsidR="00652810" w:rsidRPr="003C4BDA">
        <w:rPr>
          <w:sz w:val="22"/>
          <w:szCs w:val="22"/>
        </w:rPr>
        <w:lastRenderedPageBreak/>
        <w:t xml:space="preserve"> In the Report and Order, the Commission adopted a narrow exemption from the public notification process for proposed temporary antenna structures meeting defined criteria, including limits on the size and duration of the installation, that greatly reduce the likelihood of any significant environmental effects.  Specifically, the exemption from the environmental notification process applies only to temporary antenna structures that: (1) do not require an Environmental Assessment under the Commission’s rules; (2) will be in place for 60 days or less; (3) require notice of construction to the FAA; (4) do not require marking or lighting under FAA regulations; (5) will be less than 200 feet above ground level; and (6) will involve minimal or no ground excavation.  The Report and Order also provided that applicants may request and obtain a single extension of up to 60 additional days upon an appropriate showing.  </w:t>
      </w:r>
    </w:p>
    <w:p w:rsidR="00652810" w:rsidRPr="003C4BDA" w:rsidRDefault="00652810" w:rsidP="00652810">
      <w:pPr>
        <w:widowControl/>
        <w:tabs>
          <w:tab w:val="left" w:pos="360"/>
        </w:tabs>
        <w:ind w:left="360" w:hanging="360"/>
        <w:rPr>
          <w:sz w:val="22"/>
          <w:szCs w:val="22"/>
        </w:rPr>
      </w:pPr>
      <w:r w:rsidRPr="003C4BDA">
        <w:rPr>
          <w:sz w:val="22"/>
          <w:szCs w:val="22"/>
        </w:rPr>
        <w:t xml:space="preserve"> </w:t>
      </w:r>
    </w:p>
    <w:p w:rsidR="006E4BD3" w:rsidRPr="00FB47C8" w:rsidRDefault="00652810" w:rsidP="00652810">
      <w:pPr>
        <w:widowControl/>
        <w:tabs>
          <w:tab w:val="left" w:pos="360"/>
        </w:tabs>
        <w:ind w:left="360" w:hanging="360"/>
        <w:rPr>
          <w:color w:val="FF0000"/>
          <w:sz w:val="22"/>
          <w:szCs w:val="22"/>
        </w:rPr>
      </w:pPr>
      <w:r w:rsidRPr="003C4BDA">
        <w:rPr>
          <w:sz w:val="22"/>
          <w:szCs w:val="22"/>
        </w:rPr>
        <w:tab/>
        <w:t>As a result, the Form 854 is being revised to</w:t>
      </w:r>
      <w:r w:rsidR="006E4BD3" w:rsidRPr="003C4BDA">
        <w:rPr>
          <w:sz w:val="22"/>
          <w:szCs w:val="22"/>
        </w:rPr>
        <w:t xml:space="preserve"> </w:t>
      </w:r>
      <w:r w:rsidRPr="003C4BDA">
        <w:rPr>
          <w:sz w:val="22"/>
          <w:szCs w:val="22"/>
        </w:rPr>
        <w:t>permit applicants to indicate that they are claiming the new exemption and certify that they meet the relevant requirements, and</w:t>
      </w:r>
      <w:r w:rsidR="0060021B">
        <w:rPr>
          <w:sz w:val="22"/>
          <w:szCs w:val="22"/>
        </w:rPr>
        <w:t xml:space="preserve"> also</w:t>
      </w:r>
      <w:r w:rsidRPr="003C4BDA">
        <w:rPr>
          <w:sz w:val="22"/>
          <w:szCs w:val="22"/>
        </w:rPr>
        <w:t xml:space="preserve"> to request an extension</w:t>
      </w:r>
      <w:r w:rsidR="0060021B">
        <w:rPr>
          <w:sz w:val="22"/>
          <w:szCs w:val="22"/>
        </w:rPr>
        <w:t xml:space="preserve"> of the exemption</w:t>
      </w:r>
      <w:r w:rsidRPr="003C4BDA">
        <w:rPr>
          <w:sz w:val="22"/>
          <w:szCs w:val="22"/>
        </w:rPr>
        <w:t xml:space="preserve">.  These changes are necessary to implement the new exemption from the public notification process for temporary antenna structures.  They will therefore enable the Commission to more efficiently process antenna structure registrations and, by allowing </w:t>
      </w:r>
      <w:r w:rsidR="0028293F">
        <w:rPr>
          <w:sz w:val="22"/>
          <w:szCs w:val="22"/>
        </w:rPr>
        <w:t>registrants</w:t>
      </w:r>
      <w:r w:rsidRPr="003C4BDA">
        <w:rPr>
          <w:sz w:val="22"/>
          <w:szCs w:val="22"/>
        </w:rPr>
        <w:t xml:space="preserve"> to deploy covered temporary structures without first having to complete the notification process, will enable them to more effectively respond to emergencies, natural disasters, and other planned and unplanned short-term spikes in demand without undermining the purposes of the notification process.</w:t>
      </w:r>
      <w:r w:rsidR="003C4BDA">
        <w:rPr>
          <w:color w:val="FF0000"/>
          <w:sz w:val="22"/>
          <w:szCs w:val="22"/>
        </w:rPr>
        <w:t xml:space="preserve">  </w:t>
      </w:r>
      <w:r w:rsidR="00D16164" w:rsidRPr="00FB47C8">
        <w:rPr>
          <w:color w:val="FF0000"/>
          <w:sz w:val="22"/>
          <w:szCs w:val="22"/>
        </w:rPr>
        <w:t xml:space="preserve">  </w:t>
      </w:r>
    </w:p>
    <w:p w:rsidR="00D740BA" w:rsidRDefault="00D740BA" w:rsidP="00652810">
      <w:pPr>
        <w:widowControl/>
        <w:tabs>
          <w:tab w:val="left" w:pos="360"/>
        </w:tabs>
        <w:ind w:left="360" w:hanging="360"/>
        <w:rPr>
          <w:sz w:val="22"/>
          <w:szCs w:val="22"/>
        </w:rPr>
      </w:pPr>
    </w:p>
    <w:p w:rsidR="00FD60A7" w:rsidRPr="000827D8" w:rsidRDefault="00257DAB" w:rsidP="00652810">
      <w:pPr>
        <w:widowControl/>
        <w:tabs>
          <w:tab w:val="left" w:pos="360"/>
        </w:tabs>
        <w:ind w:left="360"/>
        <w:rPr>
          <w:sz w:val="22"/>
          <w:szCs w:val="22"/>
        </w:rPr>
      </w:pPr>
      <w:r w:rsidRPr="00257DAB">
        <w:rPr>
          <w:bCs/>
          <w:iCs/>
          <w:sz w:val="22"/>
          <w:szCs w:val="22"/>
        </w:rPr>
        <w:t xml:space="preserve">This information collection contains personally identifiable information </w:t>
      </w:r>
      <w:r w:rsidR="00EE13ED">
        <w:rPr>
          <w:bCs/>
          <w:iCs/>
          <w:sz w:val="22"/>
          <w:szCs w:val="22"/>
        </w:rPr>
        <w:t xml:space="preserve">(PII) </w:t>
      </w:r>
      <w:r w:rsidRPr="00257DAB">
        <w:rPr>
          <w:bCs/>
          <w:iCs/>
          <w:sz w:val="22"/>
          <w:szCs w:val="22"/>
        </w:rPr>
        <w:t xml:space="preserve">on individuals which is subject to the Privacy Act of 1974. </w:t>
      </w:r>
      <w:r w:rsidR="0060021B">
        <w:rPr>
          <w:bCs/>
          <w:iCs/>
          <w:sz w:val="22"/>
          <w:szCs w:val="22"/>
        </w:rPr>
        <w:t xml:space="preserve"> </w:t>
      </w:r>
      <w:r w:rsidRPr="00257DAB">
        <w:rPr>
          <w:bCs/>
          <w:iCs/>
          <w:sz w:val="22"/>
          <w:szCs w:val="22"/>
        </w:rPr>
        <w:t xml:space="preserve">Information on the FCC Form 854 is maintained in the Commission’s System of Records, FCC/WTB-1, “Wireless Services Licensing Records.”  These licensee records are publicly available and routinely used in accordance </w:t>
      </w:r>
      <w:r w:rsidR="0028293F">
        <w:rPr>
          <w:bCs/>
          <w:iCs/>
          <w:sz w:val="22"/>
          <w:szCs w:val="22"/>
        </w:rPr>
        <w:t>with</w:t>
      </w:r>
      <w:r w:rsidRPr="00257DAB">
        <w:rPr>
          <w:bCs/>
          <w:iCs/>
          <w:sz w:val="22"/>
          <w:szCs w:val="22"/>
        </w:rPr>
        <w:t xml:space="preserve"> </w:t>
      </w:r>
      <w:r w:rsidR="00922839">
        <w:rPr>
          <w:bCs/>
          <w:iCs/>
          <w:sz w:val="22"/>
          <w:szCs w:val="22"/>
        </w:rPr>
        <w:t>S</w:t>
      </w:r>
      <w:r w:rsidRPr="00257DAB">
        <w:rPr>
          <w:bCs/>
          <w:iCs/>
          <w:sz w:val="22"/>
          <w:szCs w:val="22"/>
        </w:rPr>
        <w:t xml:space="preserve">ubsection </w:t>
      </w:r>
      <w:r w:rsidR="00922839">
        <w:rPr>
          <w:bCs/>
          <w:iCs/>
          <w:sz w:val="22"/>
          <w:szCs w:val="22"/>
        </w:rPr>
        <w:t>(</w:t>
      </w:r>
      <w:r w:rsidRPr="00257DAB">
        <w:rPr>
          <w:bCs/>
          <w:iCs/>
          <w:sz w:val="22"/>
          <w:szCs w:val="22"/>
        </w:rPr>
        <w:t>b</w:t>
      </w:r>
      <w:r w:rsidR="00922839">
        <w:rPr>
          <w:bCs/>
          <w:iCs/>
          <w:sz w:val="22"/>
          <w:szCs w:val="22"/>
        </w:rPr>
        <w:t>)</w:t>
      </w:r>
      <w:r w:rsidRPr="00257DAB">
        <w:rPr>
          <w:bCs/>
          <w:iCs/>
          <w:sz w:val="22"/>
          <w:szCs w:val="22"/>
        </w:rPr>
        <w:t xml:space="preserve"> of the Privacy Act, 5 U.S.C. </w:t>
      </w:r>
      <w:r w:rsidR="00F24D78">
        <w:rPr>
          <w:bCs/>
          <w:iCs/>
          <w:sz w:val="22"/>
          <w:szCs w:val="22"/>
        </w:rPr>
        <w:t xml:space="preserve">§ </w:t>
      </w:r>
      <w:r w:rsidRPr="00257DAB">
        <w:rPr>
          <w:bCs/>
          <w:iCs/>
          <w:sz w:val="22"/>
          <w:szCs w:val="22"/>
        </w:rPr>
        <w:t>552a(b), as amended.  Taxpayer Identification Numbers (TINs) and materials that are afforded confidential treatment pursuant to a request made under 47 C</w:t>
      </w:r>
      <w:r w:rsidR="00F24D78">
        <w:rPr>
          <w:bCs/>
          <w:iCs/>
          <w:sz w:val="22"/>
          <w:szCs w:val="22"/>
        </w:rPr>
        <w:t>.</w:t>
      </w:r>
      <w:r w:rsidRPr="00257DAB">
        <w:rPr>
          <w:bCs/>
          <w:iCs/>
          <w:sz w:val="22"/>
          <w:szCs w:val="22"/>
        </w:rPr>
        <w:t>F</w:t>
      </w:r>
      <w:r w:rsidR="00F24D78">
        <w:rPr>
          <w:bCs/>
          <w:iCs/>
          <w:sz w:val="22"/>
          <w:szCs w:val="22"/>
        </w:rPr>
        <w:t>.</w:t>
      </w:r>
      <w:r w:rsidRPr="00257DAB">
        <w:rPr>
          <w:bCs/>
          <w:iCs/>
          <w:sz w:val="22"/>
          <w:szCs w:val="22"/>
        </w:rPr>
        <w:t>R</w:t>
      </w:r>
      <w:r w:rsidR="00F24D78">
        <w:rPr>
          <w:bCs/>
          <w:iCs/>
          <w:sz w:val="22"/>
          <w:szCs w:val="22"/>
        </w:rPr>
        <w:t>.</w:t>
      </w:r>
      <w:r w:rsidRPr="00257DAB">
        <w:rPr>
          <w:bCs/>
          <w:iCs/>
          <w:sz w:val="22"/>
          <w:szCs w:val="22"/>
        </w:rPr>
        <w:t xml:space="preserve"> </w:t>
      </w:r>
      <w:r w:rsidR="00F24D78">
        <w:rPr>
          <w:bCs/>
          <w:iCs/>
          <w:sz w:val="22"/>
          <w:szCs w:val="22"/>
        </w:rPr>
        <w:t xml:space="preserve">§ </w:t>
      </w:r>
      <w:r w:rsidRPr="00257DAB">
        <w:rPr>
          <w:bCs/>
          <w:iCs/>
          <w:sz w:val="22"/>
          <w:szCs w:val="22"/>
        </w:rPr>
        <w:t xml:space="preserve">0.459 of the Commission’s rules </w:t>
      </w:r>
      <w:r w:rsidR="0060021B">
        <w:rPr>
          <w:bCs/>
          <w:iCs/>
          <w:sz w:val="22"/>
          <w:szCs w:val="22"/>
        </w:rPr>
        <w:t>are</w:t>
      </w:r>
      <w:r w:rsidRPr="00257DAB">
        <w:rPr>
          <w:bCs/>
          <w:iCs/>
          <w:sz w:val="22"/>
          <w:szCs w:val="22"/>
        </w:rPr>
        <w:t xml:space="preserve"> not available for public inspection.</w:t>
      </w:r>
      <w:r w:rsidR="00124191" w:rsidRPr="00124191">
        <w:rPr>
          <w:sz w:val="22"/>
          <w:szCs w:val="22"/>
        </w:rPr>
        <w:t xml:space="preserve"> </w:t>
      </w:r>
    </w:p>
    <w:p w:rsidR="00FB7026" w:rsidRDefault="00FB7026" w:rsidP="00652810">
      <w:pPr>
        <w:widowControl/>
        <w:ind w:left="360"/>
        <w:rPr>
          <w:sz w:val="22"/>
          <w:szCs w:val="22"/>
        </w:rPr>
      </w:pPr>
    </w:p>
    <w:p w:rsidR="00B5616F" w:rsidRPr="000C2D48" w:rsidRDefault="00363478" w:rsidP="00652810">
      <w:pPr>
        <w:widowControl/>
        <w:ind w:left="360"/>
        <w:rPr>
          <w:snapToGrid/>
          <w:szCs w:val="24"/>
        </w:rPr>
      </w:pPr>
      <w:r w:rsidRPr="00363478">
        <w:rPr>
          <w:sz w:val="22"/>
          <w:szCs w:val="22"/>
        </w:rPr>
        <w:t>Statutory authority for this information collection is contained in Sections 1, 2, 4(i), 303, and 309(j) of the Communications Act of 1934, as amended, 47 U.S.C. §§ 151, 152, 154(i), 303, and 309(j), Section 102(C) of the National Environmental Policy Act of 1969, as amended, 42 U.S.C. § 4332(C), and Section 1506.6 of the regulations of the Council on Environmental Quality, 40 C</w:t>
      </w:r>
      <w:r w:rsidR="00724E96">
        <w:rPr>
          <w:sz w:val="22"/>
          <w:szCs w:val="22"/>
        </w:rPr>
        <w:t>.</w:t>
      </w:r>
      <w:r w:rsidRPr="00363478">
        <w:rPr>
          <w:sz w:val="22"/>
          <w:szCs w:val="22"/>
        </w:rPr>
        <w:t>F</w:t>
      </w:r>
      <w:r w:rsidR="00724E96">
        <w:rPr>
          <w:sz w:val="22"/>
          <w:szCs w:val="22"/>
        </w:rPr>
        <w:t>.</w:t>
      </w:r>
      <w:r w:rsidRPr="00363478">
        <w:rPr>
          <w:sz w:val="22"/>
          <w:szCs w:val="22"/>
        </w:rPr>
        <w:t>R</w:t>
      </w:r>
      <w:r w:rsidR="00724E96">
        <w:rPr>
          <w:sz w:val="22"/>
          <w:szCs w:val="22"/>
        </w:rPr>
        <w:t>.</w:t>
      </w:r>
      <w:r w:rsidRPr="00363478">
        <w:rPr>
          <w:sz w:val="22"/>
          <w:szCs w:val="22"/>
        </w:rPr>
        <w:t xml:space="preserve"> § 1506.6.</w:t>
      </w:r>
    </w:p>
    <w:p w:rsidR="00B86955" w:rsidRPr="00EF506A" w:rsidRDefault="00B86955" w:rsidP="00652810">
      <w:pPr>
        <w:widowControl/>
        <w:tabs>
          <w:tab w:val="left" w:pos="360"/>
        </w:tabs>
        <w:rPr>
          <w:sz w:val="22"/>
          <w:szCs w:val="22"/>
        </w:rPr>
      </w:pPr>
    </w:p>
    <w:p w:rsidR="00A774D9" w:rsidRDefault="0063141B" w:rsidP="00652810">
      <w:pPr>
        <w:pStyle w:val="BodyTextIndent"/>
        <w:tabs>
          <w:tab w:val="left" w:pos="360"/>
        </w:tabs>
        <w:ind w:left="360" w:hanging="360"/>
        <w:rPr>
          <w:rFonts w:ascii="Times New Roman" w:hAnsi="Times New Roman"/>
          <w:sz w:val="22"/>
          <w:szCs w:val="22"/>
        </w:rPr>
      </w:pPr>
      <w:r w:rsidRPr="00EF506A">
        <w:rPr>
          <w:rFonts w:ascii="Times New Roman" w:hAnsi="Times New Roman"/>
          <w:sz w:val="22"/>
          <w:szCs w:val="22"/>
        </w:rPr>
        <w:t xml:space="preserve">2.  </w:t>
      </w:r>
      <w:r w:rsidR="00B25B47">
        <w:rPr>
          <w:rFonts w:ascii="Times New Roman" w:hAnsi="Times New Roman"/>
          <w:sz w:val="22"/>
          <w:szCs w:val="22"/>
        </w:rPr>
        <w:t xml:space="preserve"> The Commission’s responsibility is </w:t>
      </w:r>
      <w:r w:rsidR="002358EE">
        <w:rPr>
          <w:rFonts w:ascii="Times New Roman" w:hAnsi="Times New Roman"/>
          <w:sz w:val="22"/>
          <w:szCs w:val="22"/>
        </w:rPr>
        <w:t>to ensure that antenna structures do not pose a threat to air safety</w:t>
      </w:r>
      <w:r w:rsidR="00B25B47">
        <w:rPr>
          <w:rFonts w:ascii="Times New Roman" w:hAnsi="Times New Roman"/>
          <w:sz w:val="22"/>
          <w:szCs w:val="22"/>
        </w:rPr>
        <w:t xml:space="preserve"> and that environmental effects of proposed structures are fully considered prior to construction</w:t>
      </w:r>
      <w:r w:rsidR="002358EE">
        <w:rPr>
          <w:rFonts w:ascii="Times New Roman" w:hAnsi="Times New Roman"/>
          <w:sz w:val="22"/>
          <w:szCs w:val="22"/>
        </w:rPr>
        <w:t xml:space="preserve">.  The information </w:t>
      </w:r>
      <w:r w:rsidR="0060021B">
        <w:rPr>
          <w:rFonts w:ascii="Times New Roman" w:hAnsi="Times New Roman"/>
          <w:sz w:val="22"/>
          <w:szCs w:val="22"/>
        </w:rPr>
        <w:t xml:space="preserve">associated with this information collection </w:t>
      </w:r>
      <w:r w:rsidR="002358EE">
        <w:rPr>
          <w:rFonts w:ascii="Times New Roman" w:hAnsi="Times New Roman"/>
          <w:sz w:val="22"/>
          <w:szCs w:val="22"/>
        </w:rPr>
        <w:t xml:space="preserve">will be used by the Commission to maintain a current </w:t>
      </w:r>
      <w:r w:rsidR="00B25B47">
        <w:rPr>
          <w:rFonts w:ascii="Times New Roman" w:hAnsi="Times New Roman"/>
          <w:sz w:val="22"/>
          <w:szCs w:val="22"/>
        </w:rPr>
        <w:t xml:space="preserve">antenna structure </w:t>
      </w:r>
      <w:r w:rsidR="002358EE">
        <w:rPr>
          <w:rFonts w:ascii="Times New Roman" w:hAnsi="Times New Roman"/>
          <w:sz w:val="22"/>
          <w:szCs w:val="22"/>
        </w:rPr>
        <w:t>registration database</w:t>
      </w:r>
      <w:r w:rsidR="00B25B47">
        <w:rPr>
          <w:rFonts w:ascii="Times New Roman" w:hAnsi="Times New Roman"/>
          <w:sz w:val="22"/>
          <w:szCs w:val="22"/>
        </w:rPr>
        <w:t>.  This database will allow</w:t>
      </w:r>
      <w:r w:rsidR="002358EE">
        <w:rPr>
          <w:rFonts w:ascii="Times New Roman" w:hAnsi="Times New Roman"/>
          <w:sz w:val="22"/>
          <w:szCs w:val="22"/>
        </w:rPr>
        <w:t xml:space="preserve"> the </w:t>
      </w:r>
      <w:r w:rsidR="0060021B">
        <w:rPr>
          <w:rFonts w:ascii="Times New Roman" w:hAnsi="Times New Roman"/>
          <w:sz w:val="22"/>
          <w:szCs w:val="22"/>
        </w:rPr>
        <w:t>FAA</w:t>
      </w:r>
      <w:r w:rsidR="007C0C5C">
        <w:rPr>
          <w:rFonts w:ascii="Times New Roman" w:hAnsi="Times New Roman"/>
          <w:sz w:val="22"/>
          <w:szCs w:val="22"/>
        </w:rPr>
        <w:t xml:space="preserve"> </w:t>
      </w:r>
      <w:r w:rsidR="002358EE">
        <w:rPr>
          <w:rFonts w:ascii="Times New Roman" w:hAnsi="Times New Roman"/>
          <w:sz w:val="22"/>
          <w:szCs w:val="22"/>
        </w:rPr>
        <w:t xml:space="preserve">and the Commission to identify potential </w:t>
      </w:r>
      <w:r w:rsidR="003B0CC3">
        <w:rPr>
          <w:rFonts w:ascii="Times New Roman" w:hAnsi="Times New Roman"/>
          <w:sz w:val="22"/>
          <w:szCs w:val="22"/>
        </w:rPr>
        <w:t>air safety hazards</w:t>
      </w:r>
      <w:r w:rsidR="00F01A30">
        <w:rPr>
          <w:rFonts w:ascii="Times New Roman" w:hAnsi="Times New Roman"/>
          <w:sz w:val="22"/>
          <w:szCs w:val="22"/>
        </w:rPr>
        <w:t xml:space="preserve"> and provide members of the public</w:t>
      </w:r>
      <w:r w:rsidR="005859C6">
        <w:rPr>
          <w:rFonts w:ascii="Times New Roman" w:hAnsi="Times New Roman"/>
          <w:sz w:val="22"/>
          <w:szCs w:val="22"/>
        </w:rPr>
        <w:t xml:space="preserve"> the opportunity</w:t>
      </w:r>
      <w:r w:rsidR="00F01A30">
        <w:rPr>
          <w:rFonts w:ascii="Times New Roman" w:hAnsi="Times New Roman"/>
          <w:sz w:val="22"/>
          <w:szCs w:val="22"/>
        </w:rPr>
        <w:t xml:space="preserve"> to review filings for potential environmental effects</w:t>
      </w:r>
      <w:r w:rsidR="003B0CC3">
        <w:rPr>
          <w:rFonts w:ascii="Times New Roman" w:hAnsi="Times New Roman"/>
          <w:sz w:val="22"/>
          <w:szCs w:val="22"/>
        </w:rPr>
        <w:t xml:space="preserve">.  </w:t>
      </w:r>
    </w:p>
    <w:p w:rsidR="004A7C33" w:rsidRDefault="004A7C33" w:rsidP="00652810">
      <w:pPr>
        <w:pStyle w:val="BodyTextIndent"/>
        <w:tabs>
          <w:tab w:val="left" w:pos="360"/>
        </w:tabs>
        <w:ind w:left="360" w:hanging="360"/>
        <w:rPr>
          <w:rFonts w:ascii="Times New Roman" w:hAnsi="Times New Roman"/>
          <w:sz w:val="22"/>
          <w:szCs w:val="22"/>
        </w:rPr>
      </w:pPr>
    </w:p>
    <w:p w:rsidR="00A774D9" w:rsidRPr="001F7ADB" w:rsidRDefault="00A774D9" w:rsidP="00652810">
      <w:pPr>
        <w:pStyle w:val="BodyTextIndent"/>
        <w:tabs>
          <w:tab w:val="left" w:pos="360"/>
        </w:tabs>
        <w:ind w:left="360" w:firstLine="0"/>
      </w:pPr>
      <w:r w:rsidRPr="00621FAB">
        <w:rPr>
          <w:rFonts w:ascii="Times New Roman" w:hAnsi="Times New Roman"/>
          <w:sz w:val="22"/>
          <w:szCs w:val="22"/>
        </w:rPr>
        <w:t xml:space="preserve">All information within </w:t>
      </w:r>
      <w:r w:rsidR="00183C48">
        <w:rPr>
          <w:rFonts w:ascii="Times New Roman" w:hAnsi="Times New Roman"/>
          <w:sz w:val="22"/>
          <w:szCs w:val="22"/>
        </w:rPr>
        <w:t>the ASR</w:t>
      </w:r>
      <w:r w:rsidRPr="00621FAB">
        <w:rPr>
          <w:rFonts w:ascii="Times New Roman" w:hAnsi="Times New Roman"/>
          <w:sz w:val="22"/>
          <w:szCs w:val="22"/>
        </w:rPr>
        <w:t xml:space="preserve"> </w:t>
      </w:r>
      <w:r w:rsidR="00797EC8">
        <w:rPr>
          <w:rFonts w:ascii="Times New Roman" w:hAnsi="Times New Roman"/>
          <w:sz w:val="22"/>
          <w:szCs w:val="22"/>
        </w:rPr>
        <w:t xml:space="preserve">database </w:t>
      </w:r>
      <w:r w:rsidRPr="00621FAB">
        <w:rPr>
          <w:rFonts w:ascii="Times New Roman" w:hAnsi="Times New Roman"/>
          <w:sz w:val="22"/>
          <w:szCs w:val="22"/>
        </w:rPr>
        <w:t>is publicly available</w:t>
      </w:r>
      <w:r w:rsidR="00183C48">
        <w:rPr>
          <w:rFonts w:ascii="Times New Roman" w:hAnsi="Times New Roman"/>
          <w:sz w:val="22"/>
          <w:szCs w:val="22"/>
        </w:rPr>
        <w:t xml:space="preserve"> except </w:t>
      </w:r>
      <w:r w:rsidR="00183C48" w:rsidRPr="00621FAB">
        <w:rPr>
          <w:spacing w:val="-3"/>
          <w:sz w:val="22"/>
          <w:szCs w:val="22"/>
        </w:rPr>
        <w:t>materials which are afforded confidential treatment under 47 C</w:t>
      </w:r>
      <w:r w:rsidR="00C86636">
        <w:rPr>
          <w:spacing w:val="-3"/>
          <w:sz w:val="22"/>
          <w:szCs w:val="22"/>
        </w:rPr>
        <w:t>.</w:t>
      </w:r>
      <w:r w:rsidR="00183C48" w:rsidRPr="00621FAB">
        <w:rPr>
          <w:spacing w:val="-3"/>
          <w:sz w:val="22"/>
          <w:szCs w:val="22"/>
        </w:rPr>
        <w:t>F</w:t>
      </w:r>
      <w:r w:rsidR="00C86636">
        <w:rPr>
          <w:spacing w:val="-3"/>
          <w:sz w:val="22"/>
          <w:szCs w:val="22"/>
        </w:rPr>
        <w:t>.</w:t>
      </w:r>
      <w:r w:rsidR="00183C48" w:rsidRPr="00621FAB">
        <w:rPr>
          <w:spacing w:val="-3"/>
          <w:sz w:val="22"/>
          <w:szCs w:val="22"/>
        </w:rPr>
        <w:t>R</w:t>
      </w:r>
      <w:r w:rsidR="00C86636">
        <w:rPr>
          <w:spacing w:val="-3"/>
          <w:sz w:val="22"/>
          <w:szCs w:val="22"/>
        </w:rPr>
        <w:t>.</w:t>
      </w:r>
      <w:r w:rsidR="00922839">
        <w:rPr>
          <w:spacing w:val="-3"/>
          <w:sz w:val="22"/>
          <w:szCs w:val="22"/>
        </w:rPr>
        <w:t xml:space="preserve"> §</w:t>
      </w:r>
      <w:r w:rsidR="00183C48" w:rsidRPr="00621FAB">
        <w:rPr>
          <w:spacing w:val="-3"/>
          <w:sz w:val="22"/>
          <w:szCs w:val="22"/>
        </w:rPr>
        <w:t xml:space="preserve"> 0.459</w:t>
      </w:r>
      <w:r w:rsidRPr="00621FAB">
        <w:rPr>
          <w:rFonts w:ascii="Times New Roman" w:hAnsi="Times New Roman"/>
          <w:sz w:val="22"/>
          <w:szCs w:val="22"/>
        </w:rPr>
        <w:t>.</w:t>
      </w:r>
    </w:p>
    <w:p w:rsidR="0063141B" w:rsidRPr="001F7ADB" w:rsidRDefault="0063141B" w:rsidP="00652810">
      <w:pPr>
        <w:suppressAutoHyphens/>
        <w:rPr>
          <w:sz w:val="22"/>
          <w:szCs w:val="22"/>
        </w:rPr>
      </w:pPr>
    </w:p>
    <w:p w:rsidR="002B00C9" w:rsidRDefault="002B00C9" w:rsidP="002B00C9">
      <w:pPr>
        <w:tabs>
          <w:tab w:val="left" w:pos="360"/>
        </w:tabs>
        <w:suppressAutoHyphens/>
        <w:ind w:left="360" w:hanging="360"/>
        <w:rPr>
          <w:sz w:val="22"/>
          <w:szCs w:val="22"/>
        </w:rPr>
      </w:pPr>
      <w:r>
        <w:rPr>
          <w:sz w:val="22"/>
          <w:szCs w:val="22"/>
        </w:rPr>
        <w:t>3.</w:t>
      </w:r>
      <w:r>
        <w:rPr>
          <w:sz w:val="22"/>
          <w:szCs w:val="22"/>
        </w:rPr>
        <w:tab/>
      </w:r>
      <w:r w:rsidR="00797EC8">
        <w:rPr>
          <w:sz w:val="22"/>
          <w:szCs w:val="22"/>
        </w:rPr>
        <w:t>Approximately 99</w:t>
      </w:r>
      <w:r w:rsidR="00BC476E">
        <w:rPr>
          <w:sz w:val="22"/>
          <w:szCs w:val="22"/>
        </w:rPr>
        <w:t>%</w:t>
      </w:r>
      <w:r w:rsidR="00797EC8">
        <w:rPr>
          <w:sz w:val="22"/>
          <w:szCs w:val="22"/>
        </w:rPr>
        <w:t xml:space="preserve"> of the Form</w:t>
      </w:r>
      <w:r w:rsidR="005C225A">
        <w:rPr>
          <w:sz w:val="22"/>
          <w:szCs w:val="22"/>
        </w:rPr>
        <w:t xml:space="preserve"> 854</w:t>
      </w:r>
      <w:r w:rsidR="00797EC8">
        <w:rPr>
          <w:sz w:val="22"/>
          <w:szCs w:val="22"/>
        </w:rPr>
        <w:t>s are filed</w:t>
      </w:r>
      <w:r w:rsidR="005C225A">
        <w:rPr>
          <w:sz w:val="22"/>
          <w:szCs w:val="22"/>
        </w:rPr>
        <w:t xml:space="preserve"> electronically</w:t>
      </w:r>
      <w:r w:rsidR="00797EC8">
        <w:rPr>
          <w:sz w:val="22"/>
          <w:szCs w:val="22"/>
        </w:rPr>
        <w:t xml:space="preserve"> and all Form 854s are </w:t>
      </w:r>
      <w:r w:rsidR="005C225A">
        <w:rPr>
          <w:sz w:val="22"/>
          <w:szCs w:val="22"/>
        </w:rPr>
        <w:t>available to the public from the Commission’s website</w:t>
      </w:r>
      <w:r w:rsidR="005C225A" w:rsidRPr="00A67E33">
        <w:rPr>
          <w:sz w:val="22"/>
          <w:szCs w:val="22"/>
        </w:rPr>
        <w:t>.</w:t>
      </w:r>
    </w:p>
    <w:p w:rsidR="002B00C9" w:rsidRDefault="002B00C9" w:rsidP="002B00C9">
      <w:pPr>
        <w:tabs>
          <w:tab w:val="left" w:pos="360"/>
        </w:tabs>
        <w:suppressAutoHyphens/>
        <w:ind w:left="360" w:hanging="360"/>
        <w:rPr>
          <w:sz w:val="22"/>
          <w:szCs w:val="22"/>
        </w:rPr>
      </w:pPr>
    </w:p>
    <w:p w:rsidR="002B00C9" w:rsidRDefault="002B00C9" w:rsidP="002B00C9">
      <w:pPr>
        <w:tabs>
          <w:tab w:val="left" w:pos="360"/>
        </w:tabs>
        <w:suppressAutoHyphens/>
        <w:ind w:left="360" w:hanging="360"/>
        <w:rPr>
          <w:sz w:val="22"/>
          <w:szCs w:val="22"/>
        </w:rPr>
      </w:pPr>
      <w:r>
        <w:rPr>
          <w:sz w:val="22"/>
          <w:szCs w:val="22"/>
        </w:rPr>
        <w:t>4.</w:t>
      </w:r>
      <w:r>
        <w:rPr>
          <w:sz w:val="22"/>
          <w:szCs w:val="22"/>
        </w:rPr>
        <w:tab/>
      </w:r>
      <w:r w:rsidR="0063141B" w:rsidRPr="001F7ADB">
        <w:rPr>
          <w:sz w:val="22"/>
          <w:szCs w:val="22"/>
        </w:rPr>
        <w:t xml:space="preserve">This agency does not impose </w:t>
      </w:r>
      <w:r w:rsidR="00EE13ED">
        <w:rPr>
          <w:sz w:val="22"/>
          <w:szCs w:val="22"/>
        </w:rPr>
        <w:t xml:space="preserve">any other </w:t>
      </w:r>
      <w:r w:rsidR="0063141B" w:rsidRPr="001F7ADB">
        <w:rPr>
          <w:sz w:val="22"/>
          <w:szCs w:val="22"/>
        </w:rPr>
        <w:t xml:space="preserve">information collection </w:t>
      </w:r>
      <w:r w:rsidR="001B4062">
        <w:rPr>
          <w:sz w:val="22"/>
          <w:szCs w:val="22"/>
        </w:rPr>
        <w:t>on the respondents</w:t>
      </w:r>
      <w:r w:rsidR="00EE13ED">
        <w:rPr>
          <w:sz w:val="22"/>
          <w:szCs w:val="22"/>
        </w:rPr>
        <w:t xml:space="preserve"> that is similar to this collection</w:t>
      </w:r>
      <w:r w:rsidR="001B4062">
        <w:rPr>
          <w:sz w:val="22"/>
          <w:szCs w:val="22"/>
        </w:rPr>
        <w:t xml:space="preserve">.  There </w:t>
      </w:r>
      <w:r w:rsidR="005C225A">
        <w:rPr>
          <w:sz w:val="22"/>
          <w:szCs w:val="22"/>
        </w:rPr>
        <w:t>is</w:t>
      </w:r>
      <w:r w:rsidR="0063141B" w:rsidRPr="001F7ADB">
        <w:rPr>
          <w:sz w:val="22"/>
          <w:szCs w:val="22"/>
        </w:rPr>
        <w:t xml:space="preserve"> no similar data available. </w:t>
      </w:r>
    </w:p>
    <w:p w:rsidR="002B00C9" w:rsidRDefault="002B00C9" w:rsidP="002B00C9">
      <w:pPr>
        <w:tabs>
          <w:tab w:val="left" w:pos="360"/>
        </w:tabs>
        <w:suppressAutoHyphens/>
        <w:ind w:left="360" w:hanging="360"/>
        <w:rPr>
          <w:sz w:val="22"/>
          <w:szCs w:val="22"/>
        </w:rPr>
      </w:pPr>
    </w:p>
    <w:p w:rsidR="002B00C9" w:rsidRDefault="002B00C9" w:rsidP="002B00C9">
      <w:pPr>
        <w:tabs>
          <w:tab w:val="left" w:pos="360"/>
        </w:tabs>
        <w:suppressAutoHyphens/>
        <w:ind w:left="360" w:hanging="360"/>
        <w:rPr>
          <w:sz w:val="22"/>
          <w:szCs w:val="22"/>
        </w:rPr>
      </w:pPr>
      <w:r>
        <w:rPr>
          <w:sz w:val="22"/>
          <w:szCs w:val="22"/>
        </w:rPr>
        <w:t>5.</w:t>
      </w:r>
      <w:r>
        <w:rPr>
          <w:sz w:val="22"/>
          <w:szCs w:val="22"/>
        </w:rPr>
        <w:tab/>
      </w:r>
      <w:r w:rsidR="0063141B" w:rsidRPr="001F7ADB">
        <w:rPr>
          <w:sz w:val="22"/>
          <w:szCs w:val="22"/>
        </w:rPr>
        <w:t>In conformance with the Paperwork Reduction Act of 1995, the Commission is making an effort to minimize the burden on all respondents, regardless of size.  The Commission has limited the information requirements to th</w:t>
      </w:r>
      <w:r w:rsidR="00781AEB" w:rsidRPr="001F7ADB">
        <w:rPr>
          <w:sz w:val="22"/>
          <w:szCs w:val="22"/>
        </w:rPr>
        <w:t xml:space="preserve">ose </w:t>
      </w:r>
      <w:r w:rsidR="0063141B" w:rsidRPr="001F7ADB">
        <w:rPr>
          <w:sz w:val="22"/>
          <w:szCs w:val="22"/>
        </w:rPr>
        <w:t>absolutely necessary</w:t>
      </w:r>
      <w:r w:rsidR="00781AEB" w:rsidRPr="001F7ADB">
        <w:rPr>
          <w:sz w:val="22"/>
          <w:szCs w:val="22"/>
        </w:rPr>
        <w:t xml:space="preserve"> for evaluating and processing each</w:t>
      </w:r>
      <w:r w:rsidR="0063141B" w:rsidRPr="001F7ADB">
        <w:rPr>
          <w:sz w:val="22"/>
          <w:szCs w:val="22"/>
        </w:rPr>
        <w:t xml:space="preserve"> </w:t>
      </w:r>
      <w:r w:rsidR="005A73FD">
        <w:rPr>
          <w:sz w:val="22"/>
          <w:szCs w:val="22"/>
        </w:rPr>
        <w:t>a</w:t>
      </w:r>
      <w:r w:rsidR="0063141B" w:rsidRPr="001F7ADB">
        <w:rPr>
          <w:sz w:val="22"/>
          <w:szCs w:val="22"/>
        </w:rPr>
        <w:t>pplication and to deter against possible abuses of the process.</w:t>
      </w:r>
    </w:p>
    <w:p w:rsidR="002B00C9" w:rsidRDefault="002B00C9" w:rsidP="002B00C9">
      <w:pPr>
        <w:tabs>
          <w:tab w:val="left" w:pos="360"/>
        </w:tabs>
        <w:suppressAutoHyphens/>
        <w:ind w:left="360" w:hanging="360"/>
        <w:rPr>
          <w:sz w:val="22"/>
          <w:szCs w:val="22"/>
        </w:rPr>
      </w:pPr>
    </w:p>
    <w:p w:rsidR="002B00C9" w:rsidRDefault="002B00C9" w:rsidP="002B00C9">
      <w:pPr>
        <w:tabs>
          <w:tab w:val="left" w:pos="360"/>
        </w:tabs>
        <w:suppressAutoHyphens/>
        <w:ind w:left="360" w:hanging="360"/>
        <w:rPr>
          <w:sz w:val="22"/>
          <w:szCs w:val="22"/>
        </w:rPr>
      </w:pPr>
      <w:r>
        <w:rPr>
          <w:sz w:val="22"/>
          <w:szCs w:val="22"/>
        </w:rPr>
        <w:t>6.</w:t>
      </w:r>
      <w:r>
        <w:rPr>
          <w:sz w:val="22"/>
          <w:szCs w:val="22"/>
        </w:rPr>
        <w:tab/>
      </w:r>
      <w:r w:rsidR="00D877E8">
        <w:rPr>
          <w:sz w:val="22"/>
          <w:szCs w:val="22"/>
        </w:rPr>
        <w:t xml:space="preserve">If the </w:t>
      </w:r>
      <w:r w:rsidR="00797EC8">
        <w:rPr>
          <w:sz w:val="22"/>
          <w:szCs w:val="22"/>
        </w:rPr>
        <w:t xml:space="preserve">information on the </w:t>
      </w:r>
      <w:r w:rsidR="00D877E8">
        <w:rPr>
          <w:sz w:val="22"/>
          <w:szCs w:val="22"/>
        </w:rPr>
        <w:t>F</w:t>
      </w:r>
      <w:r w:rsidR="00797EC8">
        <w:rPr>
          <w:sz w:val="22"/>
          <w:szCs w:val="22"/>
        </w:rPr>
        <w:t>orm</w:t>
      </w:r>
      <w:r w:rsidR="00D877E8">
        <w:rPr>
          <w:sz w:val="22"/>
          <w:szCs w:val="22"/>
        </w:rPr>
        <w:t xml:space="preserve"> 854 is not </w:t>
      </w:r>
      <w:r w:rsidR="00797EC8">
        <w:rPr>
          <w:sz w:val="22"/>
          <w:szCs w:val="22"/>
        </w:rPr>
        <w:t>collected</w:t>
      </w:r>
      <w:r w:rsidR="00D877E8">
        <w:rPr>
          <w:sz w:val="22"/>
          <w:szCs w:val="22"/>
        </w:rPr>
        <w:t xml:space="preserve">, there </w:t>
      </w:r>
      <w:r w:rsidR="00797EC8">
        <w:rPr>
          <w:sz w:val="22"/>
          <w:szCs w:val="22"/>
        </w:rPr>
        <w:t xml:space="preserve">could be a </w:t>
      </w:r>
      <w:r w:rsidR="00D877E8">
        <w:rPr>
          <w:sz w:val="22"/>
          <w:szCs w:val="22"/>
        </w:rPr>
        <w:t xml:space="preserve">substantial </w:t>
      </w:r>
      <w:r w:rsidR="009A43A7">
        <w:rPr>
          <w:sz w:val="22"/>
          <w:szCs w:val="22"/>
        </w:rPr>
        <w:t xml:space="preserve">negative effect </w:t>
      </w:r>
      <w:r w:rsidR="0002152E">
        <w:rPr>
          <w:sz w:val="22"/>
          <w:szCs w:val="22"/>
        </w:rPr>
        <w:t>on</w:t>
      </w:r>
      <w:r w:rsidR="00D877E8">
        <w:rPr>
          <w:sz w:val="22"/>
          <w:szCs w:val="22"/>
        </w:rPr>
        <w:t xml:space="preserve"> safe air navigation </w:t>
      </w:r>
      <w:r w:rsidR="00797EC8">
        <w:rPr>
          <w:sz w:val="22"/>
          <w:szCs w:val="22"/>
        </w:rPr>
        <w:t xml:space="preserve">as well as potential </w:t>
      </w:r>
      <w:r w:rsidR="00D877E8">
        <w:rPr>
          <w:sz w:val="22"/>
          <w:szCs w:val="22"/>
        </w:rPr>
        <w:t xml:space="preserve">environmental </w:t>
      </w:r>
      <w:r w:rsidR="00F01A30">
        <w:rPr>
          <w:sz w:val="22"/>
          <w:szCs w:val="22"/>
        </w:rPr>
        <w:t>effects</w:t>
      </w:r>
      <w:r w:rsidR="00D877E8">
        <w:rPr>
          <w:sz w:val="22"/>
          <w:szCs w:val="22"/>
        </w:rPr>
        <w:t>.</w:t>
      </w:r>
    </w:p>
    <w:p w:rsidR="002B00C9" w:rsidRDefault="002B00C9" w:rsidP="002B00C9">
      <w:pPr>
        <w:tabs>
          <w:tab w:val="left" w:pos="360"/>
        </w:tabs>
        <w:suppressAutoHyphens/>
        <w:ind w:left="360" w:hanging="360"/>
        <w:rPr>
          <w:sz w:val="22"/>
          <w:szCs w:val="22"/>
        </w:rPr>
      </w:pPr>
    </w:p>
    <w:p w:rsidR="002B00C9" w:rsidRDefault="002B00C9" w:rsidP="002B00C9">
      <w:pPr>
        <w:tabs>
          <w:tab w:val="left" w:pos="360"/>
        </w:tabs>
        <w:suppressAutoHyphens/>
        <w:ind w:left="360" w:hanging="360"/>
        <w:rPr>
          <w:sz w:val="22"/>
          <w:szCs w:val="22"/>
        </w:rPr>
      </w:pPr>
      <w:r>
        <w:rPr>
          <w:sz w:val="22"/>
          <w:szCs w:val="22"/>
        </w:rPr>
        <w:tab/>
      </w:r>
      <w:r w:rsidR="00FD7A30">
        <w:rPr>
          <w:sz w:val="22"/>
          <w:szCs w:val="22"/>
        </w:rPr>
        <w:t xml:space="preserve">The frequency of filing is determined by the structure owners who need </w:t>
      </w:r>
      <w:r w:rsidR="00797EC8">
        <w:rPr>
          <w:sz w:val="22"/>
          <w:szCs w:val="22"/>
        </w:rPr>
        <w:t xml:space="preserve">to </w:t>
      </w:r>
      <w:r w:rsidR="00FD7A30">
        <w:rPr>
          <w:sz w:val="22"/>
          <w:szCs w:val="22"/>
        </w:rPr>
        <w:t xml:space="preserve">notify the Commission </w:t>
      </w:r>
      <w:r w:rsidR="0028293F">
        <w:rPr>
          <w:sz w:val="22"/>
          <w:szCs w:val="22"/>
        </w:rPr>
        <w:t>before erecting</w:t>
      </w:r>
      <w:r w:rsidR="00FD7A30">
        <w:rPr>
          <w:sz w:val="22"/>
          <w:szCs w:val="22"/>
        </w:rPr>
        <w:t xml:space="preserve"> a new </w:t>
      </w:r>
      <w:r w:rsidR="00FD7BAC">
        <w:rPr>
          <w:sz w:val="22"/>
          <w:szCs w:val="22"/>
        </w:rPr>
        <w:t xml:space="preserve">antenna </w:t>
      </w:r>
      <w:r w:rsidR="00FD7A30">
        <w:rPr>
          <w:sz w:val="22"/>
          <w:szCs w:val="22"/>
        </w:rPr>
        <w:t xml:space="preserve">structure, when modifying or dismantling an existing structure, when changing ownership of </w:t>
      </w:r>
      <w:r w:rsidR="00F01A30">
        <w:rPr>
          <w:sz w:val="22"/>
          <w:szCs w:val="22"/>
        </w:rPr>
        <w:t xml:space="preserve">an </w:t>
      </w:r>
      <w:r w:rsidR="00FD7A30">
        <w:rPr>
          <w:sz w:val="22"/>
          <w:szCs w:val="22"/>
        </w:rPr>
        <w:t>antenna structure</w:t>
      </w:r>
      <w:r w:rsidR="00F01A30">
        <w:rPr>
          <w:sz w:val="22"/>
          <w:szCs w:val="22"/>
        </w:rPr>
        <w:t>, or when updating administrative-related information</w:t>
      </w:r>
      <w:r w:rsidR="00FD7A30">
        <w:rPr>
          <w:sz w:val="22"/>
          <w:szCs w:val="22"/>
        </w:rPr>
        <w:t>.</w:t>
      </w:r>
    </w:p>
    <w:p w:rsidR="002B00C9" w:rsidRDefault="002B00C9" w:rsidP="002B00C9">
      <w:pPr>
        <w:tabs>
          <w:tab w:val="left" w:pos="360"/>
        </w:tabs>
        <w:suppressAutoHyphens/>
        <w:ind w:left="360" w:hanging="360"/>
        <w:rPr>
          <w:sz w:val="22"/>
          <w:szCs w:val="22"/>
        </w:rPr>
      </w:pPr>
    </w:p>
    <w:p w:rsidR="002B00C9" w:rsidRDefault="002B00C9" w:rsidP="002B00C9">
      <w:pPr>
        <w:tabs>
          <w:tab w:val="left" w:pos="360"/>
        </w:tabs>
        <w:suppressAutoHyphens/>
        <w:ind w:left="360" w:hanging="360"/>
        <w:rPr>
          <w:sz w:val="22"/>
          <w:szCs w:val="22"/>
        </w:rPr>
      </w:pPr>
      <w:r>
        <w:rPr>
          <w:sz w:val="22"/>
          <w:szCs w:val="22"/>
        </w:rPr>
        <w:t>7.</w:t>
      </w:r>
      <w:r>
        <w:rPr>
          <w:sz w:val="22"/>
          <w:szCs w:val="22"/>
        </w:rPr>
        <w:tab/>
      </w:r>
      <w:r w:rsidR="0063141B" w:rsidRPr="001F7ADB">
        <w:rPr>
          <w:sz w:val="22"/>
          <w:szCs w:val="22"/>
        </w:rPr>
        <w:t>This collection of information is consistent with the guidelines in 5 C</w:t>
      </w:r>
      <w:r w:rsidR="00C86636">
        <w:rPr>
          <w:sz w:val="22"/>
          <w:szCs w:val="22"/>
        </w:rPr>
        <w:t>.</w:t>
      </w:r>
      <w:r w:rsidR="0063141B" w:rsidRPr="001F7ADB">
        <w:rPr>
          <w:sz w:val="22"/>
          <w:szCs w:val="22"/>
        </w:rPr>
        <w:t>F</w:t>
      </w:r>
      <w:r w:rsidR="00C86636">
        <w:rPr>
          <w:sz w:val="22"/>
          <w:szCs w:val="22"/>
        </w:rPr>
        <w:t>.</w:t>
      </w:r>
      <w:r w:rsidR="0063141B" w:rsidRPr="001F7ADB">
        <w:rPr>
          <w:sz w:val="22"/>
          <w:szCs w:val="22"/>
        </w:rPr>
        <w:t>R</w:t>
      </w:r>
      <w:r w:rsidR="00C86636">
        <w:rPr>
          <w:sz w:val="22"/>
          <w:szCs w:val="22"/>
        </w:rPr>
        <w:t>.</w:t>
      </w:r>
      <w:r w:rsidR="0063141B" w:rsidRPr="001F7ADB">
        <w:rPr>
          <w:sz w:val="22"/>
          <w:szCs w:val="22"/>
        </w:rPr>
        <w:t xml:space="preserve"> § 1320.</w:t>
      </w:r>
      <w:bookmarkStart w:id="0" w:name="_GoBack"/>
      <w:bookmarkEnd w:id="0"/>
      <w:r w:rsidR="0063141B" w:rsidRPr="001F7ADB">
        <w:rPr>
          <w:sz w:val="22"/>
          <w:szCs w:val="22"/>
        </w:rPr>
        <w:t xml:space="preserve">  </w:t>
      </w:r>
    </w:p>
    <w:p w:rsidR="002B00C9" w:rsidRDefault="002B00C9" w:rsidP="002B00C9">
      <w:pPr>
        <w:tabs>
          <w:tab w:val="left" w:pos="360"/>
        </w:tabs>
        <w:suppressAutoHyphens/>
        <w:ind w:left="360" w:hanging="360"/>
        <w:rPr>
          <w:sz w:val="22"/>
          <w:szCs w:val="22"/>
        </w:rPr>
      </w:pPr>
    </w:p>
    <w:p w:rsidR="002B00C9" w:rsidRDefault="002B00C9" w:rsidP="00EE13ED">
      <w:pPr>
        <w:tabs>
          <w:tab w:val="left" w:pos="360"/>
        </w:tabs>
        <w:suppressAutoHyphens/>
        <w:ind w:left="360" w:hanging="360"/>
        <w:rPr>
          <w:sz w:val="22"/>
          <w:szCs w:val="22"/>
        </w:rPr>
      </w:pPr>
      <w:r>
        <w:rPr>
          <w:sz w:val="22"/>
          <w:szCs w:val="22"/>
        </w:rPr>
        <w:t>8.</w:t>
      </w:r>
      <w:r>
        <w:rPr>
          <w:sz w:val="22"/>
          <w:szCs w:val="22"/>
        </w:rPr>
        <w:tab/>
      </w:r>
      <w:r w:rsidR="00BD6C5B" w:rsidRPr="005C36E9">
        <w:rPr>
          <w:sz w:val="22"/>
          <w:szCs w:val="22"/>
        </w:rPr>
        <w:t xml:space="preserve">The </w:t>
      </w:r>
      <w:r w:rsidR="00000634" w:rsidRPr="005C36E9">
        <w:rPr>
          <w:sz w:val="22"/>
          <w:szCs w:val="22"/>
        </w:rPr>
        <w:t xml:space="preserve">Commission </w:t>
      </w:r>
      <w:r w:rsidR="0081399A" w:rsidRPr="00894ABB">
        <w:rPr>
          <w:sz w:val="22"/>
          <w:szCs w:val="22"/>
        </w:rPr>
        <w:t xml:space="preserve">initiated a 60-day public comment period which appeared in the </w:t>
      </w:r>
      <w:r w:rsidR="00BD6C5B" w:rsidRPr="00EE13ED">
        <w:rPr>
          <w:i/>
          <w:sz w:val="22"/>
          <w:szCs w:val="22"/>
        </w:rPr>
        <w:t>Federal Register</w:t>
      </w:r>
      <w:r w:rsidR="00BD6C5B" w:rsidRPr="00EE13ED">
        <w:rPr>
          <w:sz w:val="22"/>
          <w:szCs w:val="22"/>
        </w:rPr>
        <w:t xml:space="preserve"> on </w:t>
      </w:r>
      <w:r w:rsidR="00183108" w:rsidRPr="00C44D93">
        <w:rPr>
          <w:color w:val="000000" w:themeColor="text1"/>
          <w:sz w:val="22"/>
          <w:szCs w:val="22"/>
        </w:rPr>
        <w:t>November</w:t>
      </w:r>
      <w:r w:rsidR="00CC79A5" w:rsidRPr="00C44D93">
        <w:rPr>
          <w:color w:val="000000" w:themeColor="text1"/>
          <w:sz w:val="22"/>
          <w:szCs w:val="22"/>
        </w:rPr>
        <w:t xml:space="preserve"> 9, </w:t>
      </w:r>
      <w:r w:rsidR="00CC79A5" w:rsidRPr="00EE13ED">
        <w:rPr>
          <w:sz w:val="22"/>
          <w:szCs w:val="22"/>
        </w:rPr>
        <w:t>201</w:t>
      </w:r>
      <w:r w:rsidR="00183108" w:rsidRPr="00EE13ED">
        <w:rPr>
          <w:sz w:val="22"/>
          <w:szCs w:val="22"/>
        </w:rPr>
        <w:t>4</w:t>
      </w:r>
      <w:r w:rsidR="00CC79A5" w:rsidRPr="00EE13ED">
        <w:rPr>
          <w:sz w:val="22"/>
          <w:szCs w:val="22"/>
        </w:rPr>
        <w:t xml:space="preserve"> (</w:t>
      </w:r>
      <w:r w:rsidR="00894ABB" w:rsidRPr="00A41B5B">
        <w:rPr>
          <w:color w:val="000000"/>
          <w:sz w:val="22"/>
          <w:szCs w:val="22"/>
        </w:rPr>
        <w:t>79 FR 69472</w:t>
      </w:r>
      <w:r w:rsidR="00CC79A5" w:rsidRPr="00EE13ED">
        <w:rPr>
          <w:sz w:val="22"/>
          <w:szCs w:val="22"/>
        </w:rPr>
        <w:t>).</w:t>
      </w:r>
      <w:r w:rsidR="00CC79A5" w:rsidRPr="005C36E9">
        <w:rPr>
          <w:sz w:val="22"/>
          <w:szCs w:val="22"/>
        </w:rPr>
        <w:t xml:space="preserve">  </w:t>
      </w:r>
      <w:r w:rsidR="00894ABB">
        <w:rPr>
          <w:sz w:val="22"/>
          <w:szCs w:val="22"/>
        </w:rPr>
        <w:t>At the time of submission to the OMB, no comments have been received.</w:t>
      </w:r>
    </w:p>
    <w:p w:rsidR="002B00C9" w:rsidRDefault="002B00C9" w:rsidP="002B00C9">
      <w:pPr>
        <w:tabs>
          <w:tab w:val="left" w:pos="360"/>
        </w:tabs>
        <w:suppressAutoHyphens/>
        <w:ind w:left="360" w:hanging="360"/>
        <w:rPr>
          <w:sz w:val="22"/>
          <w:szCs w:val="22"/>
        </w:rPr>
      </w:pPr>
    </w:p>
    <w:p w:rsidR="002B00C9" w:rsidRDefault="0063141B" w:rsidP="002B00C9">
      <w:pPr>
        <w:numPr>
          <w:ilvl w:val="0"/>
          <w:numId w:val="13"/>
        </w:numPr>
        <w:tabs>
          <w:tab w:val="left" w:pos="360"/>
        </w:tabs>
        <w:suppressAutoHyphens/>
        <w:rPr>
          <w:sz w:val="22"/>
          <w:szCs w:val="22"/>
        </w:rPr>
      </w:pPr>
      <w:r w:rsidRPr="001F7ADB">
        <w:rPr>
          <w:sz w:val="22"/>
          <w:szCs w:val="22"/>
        </w:rPr>
        <w:t>Respondent</w:t>
      </w:r>
      <w:r w:rsidR="0081399A">
        <w:rPr>
          <w:sz w:val="22"/>
          <w:szCs w:val="22"/>
        </w:rPr>
        <w:t>s will not receive any payments or gifts.</w:t>
      </w:r>
    </w:p>
    <w:p w:rsidR="002B00C9" w:rsidRDefault="002B00C9" w:rsidP="002B00C9">
      <w:pPr>
        <w:suppressAutoHyphens/>
        <w:ind w:left="360"/>
        <w:rPr>
          <w:sz w:val="22"/>
          <w:szCs w:val="22"/>
        </w:rPr>
      </w:pPr>
    </w:p>
    <w:p w:rsidR="003D5FD7" w:rsidRPr="002B00C9" w:rsidRDefault="0081399A" w:rsidP="002B00C9">
      <w:pPr>
        <w:numPr>
          <w:ilvl w:val="0"/>
          <w:numId w:val="13"/>
        </w:numPr>
        <w:tabs>
          <w:tab w:val="left" w:pos="360"/>
        </w:tabs>
        <w:suppressAutoHyphens/>
        <w:rPr>
          <w:sz w:val="22"/>
          <w:szCs w:val="22"/>
        </w:rPr>
      </w:pPr>
      <w:r w:rsidRPr="002B00C9">
        <w:rPr>
          <w:sz w:val="22"/>
          <w:szCs w:val="22"/>
        </w:rPr>
        <w:t>Generally, all information collected on F</w:t>
      </w:r>
      <w:r w:rsidR="00174131" w:rsidRPr="002B00C9">
        <w:rPr>
          <w:sz w:val="22"/>
          <w:szCs w:val="22"/>
        </w:rPr>
        <w:t>orm</w:t>
      </w:r>
      <w:r w:rsidRPr="002B00C9">
        <w:rPr>
          <w:sz w:val="22"/>
          <w:szCs w:val="22"/>
        </w:rPr>
        <w:t xml:space="preserve"> 854 is available for public inspection.  This i</w:t>
      </w:r>
      <w:r w:rsidR="003D5FD7" w:rsidRPr="002B00C9">
        <w:rPr>
          <w:sz w:val="22"/>
          <w:szCs w:val="22"/>
          <w:shd w:val="clear" w:color="auto" w:fill="FFFFFF"/>
        </w:rPr>
        <w:t>nformation is maintained in the Commission’s system of records</w:t>
      </w:r>
      <w:r w:rsidR="00DF0267" w:rsidRPr="002B00C9">
        <w:rPr>
          <w:sz w:val="22"/>
          <w:szCs w:val="22"/>
          <w:shd w:val="clear" w:color="auto" w:fill="FFFFFF"/>
        </w:rPr>
        <w:t xml:space="preserve"> notice or ‘SORN’</w:t>
      </w:r>
      <w:r w:rsidR="003D5FD7" w:rsidRPr="002B00C9">
        <w:rPr>
          <w:sz w:val="22"/>
          <w:szCs w:val="22"/>
          <w:shd w:val="clear" w:color="auto" w:fill="FFFFFF"/>
        </w:rPr>
        <w:t xml:space="preserve">, FCC/WTB-1, “Wireless Services Licensing Records.”  </w:t>
      </w:r>
      <w:r w:rsidR="003D5FD7" w:rsidRPr="002B00C9">
        <w:rPr>
          <w:spacing w:val="-3"/>
          <w:sz w:val="22"/>
          <w:szCs w:val="22"/>
          <w:shd w:val="clear" w:color="auto" w:fill="FFFFFF"/>
        </w:rPr>
        <w:t>These</w:t>
      </w:r>
      <w:r w:rsidR="003D5FD7" w:rsidRPr="002B00C9">
        <w:rPr>
          <w:spacing w:val="-3"/>
          <w:sz w:val="22"/>
          <w:szCs w:val="22"/>
        </w:rPr>
        <w:t xml:space="preserve"> records are publicly available and routinely used </w:t>
      </w:r>
      <w:r w:rsidRPr="002B00C9">
        <w:rPr>
          <w:spacing w:val="-3"/>
          <w:sz w:val="22"/>
          <w:szCs w:val="22"/>
        </w:rPr>
        <w:t xml:space="preserve">in accordance with Subsection </w:t>
      </w:r>
      <w:r w:rsidR="009A43A7" w:rsidRPr="002B00C9">
        <w:rPr>
          <w:spacing w:val="-3"/>
          <w:sz w:val="22"/>
          <w:szCs w:val="22"/>
        </w:rPr>
        <w:t>(</w:t>
      </w:r>
      <w:r w:rsidRPr="002B00C9">
        <w:rPr>
          <w:spacing w:val="-3"/>
          <w:sz w:val="22"/>
          <w:szCs w:val="22"/>
        </w:rPr>
        <w:t>b</w:t>
      </w:r>
      <w:r w:rsidR="009A43A7" w:rsidRPr="002B00C9">
        <w:rPr>
          <w:spacing w:val="-3"/>
          <w:sz w:val="22"/>
          <w:szCs w:val="22"/>
        </w:rPr>
        <w:t>)</w:t>
      </w:r>
      <w:r w:rsidR="003D5FD7" w:rsidRPr="002B00C9">
        <w:rPr>
          <w:spacing w:val="-3"/>
          <w:sz w:val="22"/>
          <w:szCs w:val="22"/>
        </w:rPr>
        <w:t xml:space="preserve"> of the Privacy Act, 5 U.S.C. </w:t>
      </w:r>
      <w:r w:rsidR="00922839" w:rsidRPr="002B00C9">
        <w:rPr>
          <w:spacing w:val="-3"/>
          <w:sz w:val="22"/>
          <w:szCs w:val="22"/>
        </w:rPr>
        <w:t xml:space="preserve">§ </w:t>
      </w:r>
      <w:r w:rsidR="003D5FD7" w:rsidRPr="002B00C9">
        <w:rPr>
          <w:spacing w:val="-3"/>
          <w:sz w:val="22"/>
          <w:szCs w:val="22"/>
        </w:rPr>
        <w:t xml:space="preserve">552a(b), </w:t>
      </w:r>
      <w:r w:rsidR="003D5FD7" w:rsidRPr="002B00C9">
        <w:rPr>
          <w:spacing w:val="-3"/>
          <w:sz w:val="22"/>
          <w:szCs w:val="22"/>
          <w:shd w:val="clear" w:color="auto" w:fill="FFFFFF"/>
        </w:rPr>
        <w:t>as amended</w:t>
      </w:r>
      <w:r w:rsidR="003D5FD7" w:rsidRPr="002B00C9">
        <w:rPr>
          <w:sz w:val="22"/>
          <w:szCs w:val="22"/>
          <w:shd w:val="clear" w:color="auto" w:fill="FFFFFF"/>
        </w:rPr>
        <w:t>.</w:t>
      </w:r>
      <w:r w:rsidR="003D5FD7" w:rsidRPr="002B00C9">
        <w:rPr>
          <w:spacing w:val="-3"/>
          <w:sz w:val="22"/>
          <w:szCs w:val="22"/>
          <w:shd w:val="clear" w:color="auto" w:fill="FFFFFF"/>
        </w:rPr>
        <w:t xml:space="preserve">  </w:t>
      </w:r>
      <w:r w:rsidRPr="002B00C9">
        <w:rPr>
          <w:spacing w:val="-3"/>
          <w:sz w:val="22"/>
          <w:szCs w:val="22"/>
          <w:shd w:val="clear" w:color="auto" w:fill="FFFFFF"/>
        </w:rPr>
        <w:t>M</w:t>
      </w:r>
      <w:r w:rsidR="003D5FD7" w:rsidRPr="002B00C9">
        <w:rPr>
          <w:spacing w:val="-3"/>
          <w:sz w:val="22"/>
          <w:szCs w:val="22"/>
          <w:shd w:val="clear" w:color="auto" w:fill="FFFFFF"/>
        </w:rPr>
        <w:t>aterial that is afforded confidential treatment pursuant to a request made under</w:t>
      </w:r>
      <w:r w:rsidR="003D5FD7" w:rsidRPr="002B00C9">
        <w:rPr>
          <w:spacing w:val="-3"/>
          <w:sz w:val="22"/>
          <w:szCs w:val="22"/>
        </w:rPr>
        <w:t xml:space="preserve"> 47 C</w:t>
      </w:r>
      <w:r w:rsidR="00C86636" w:rsidRPr="002B00C9">
        <w:rPr>
          <w:spacing w:val="-3"/>
          <w:sz w:val="22"/>
          <w:szCs w:val="22"/>
        </w:rPr>
        <w:t>.</w:t>
      </w:r>
      <w:r w:rsidR="003D5FD7" w:rsidRPr="002B00C9">
        <w:rPr>
          <w:spacing w:val="-3"/>
          <w:sz w:val="22"/>
          <w:szCs w:val="22"/>
        </w:rPr>
        <w:t>F</w:t>
      </w:r>
      <w:r w:rsidR="00C86636" w:rsidRPr="002B00C9">
        <w:rPr>
          <w:spacing w:val="-3"/>
          <w:sz w:val="22"/>
          <w:szCs w:val="22"/>
        </w:rPr>
        <w:t>.</w:t>
      </w:r>
      <w:r w:rsidR="003D5FD7" w:rsidRPr="002B00C9">
        <w:rPr>
          <w:spacing w:val="-3"/>
          <w:sz w:val="22"/>
          <w:szCs w:val="22"/>
        </w:rPr>
        <w:t>R</w:t>
      </w:r>
      <w:r w:rsidR="00C86636" w:rsidRPr="002B00C9">
        <w:rPr>
          <w:spacing w:val="-3"/>
          <w:sz w:val="22"/>
          <w:szCs w:val="22"/>
        </w:rPr>
        <w:t>.</w:t>
      </w:r>
      <w:r w:rsidR="003D5FD7" w:rsidRPr="002B00C9">
        <w:rPr>
          <w:spacing w:val="-3"/>
          <w:sz w:val="22"/>
          <w:szCs w:val="22"/>
        </w:rPr>
        <w:t xml:space="preserve"> §</w:t>
      </w:r>
      <w:r w:rsidR="00922839" w:rsidRPr="002B00C9">
        <w:rPr>
          <w:spacing w:val="-3"/>
          <w:sz w:val="22"/>
          <w:szCs w:val="22"/>
        </w:rPr>
        <w:t xml:space="preserve"> </w:t>
      </w:r>
      <w:r w:rsidR="003D5FD7" w:rsidRPr="002B00C9">
        <w:rPr>
          <w:spacing w:val="-3"/>
          <w:sz w:val="22"/>
          <w:szCs w:val="22"/>
        </w:rPr>
        <w:t xml:space="preserve">0.459 </w:t>
      </w:r>
      <w:r w:rsidR="00922839" w:rsidRPr="002B00C9">
        <w:rPr>
          <w:spacing w:val="-3"/>
          <w:sz w:val="22"/>
          <w:szCs w:val="22"/>
        </w:rPr>
        <w:t>are</w:t>
      </w:r>
      <w:r w:rsidR="003D5FD7" w:rsidRPr="002B00C9">
        <w:rPr>
          <w:spacing w:val="-3"/>
          <w:sz w:val="22"/>
          <w:szCs w:val="22"/>
        </w:rPr>
        <w:t xml:space="preserve"> not available for public inspection.  </w:t>
      </w:r>
    </w:p>
    <w:p w:rsidR="003D5FD7" w:rsidRDefault="003D5FD7" w:rsidP="00652810">
      <w:pPr>
        <w:widowControl/>
        <w:suppressAutoHyphens/>
        <w:ind w:left="360" w:right="810"/>
        <w:rPr>
          <w:spacing w:val="-3"/>
          <w:sz w:val="22"/>
          <w:szCs w:val="22"/>
        </w:rPr>
      </w:pPr>
    </w:p>
    <w:p w:rsidR="00D4112F" w:rsidRDefault="00DF0267" w:rsidP="00652810">
      <w:pPr>
        <w:numPr>
          <w:ilvl w:val="0"/>
          <w:numId w:val="13"/>
        </w:numPr>
        <w:suppressAutoHyphens/>
        <w:rPr>
          <w:sz w:val="22"/>
          <w:szCs w:val="22"/>
        </w:rPr>
      </w:pPr>
      <w:r w:rsidRPr="00E00B9D">
        <w:rPr>
          <w:sz w:val="22"/>
          <w:szCs w:val="22"/>
        </w:rPr>
        <w:t xml:space="preserve">This collection does not address private matters of a sensitive nature, </w:t>
      </w:r>
      <w:r w:rsidR="00EE13ED">
        <w:rPr>
          <w:sz w:val="22"/>
          <w:szCs w:val="22"/>
        </w:rPr>
        <w:t xml:space="preserve">and the </w:t>
      </w:r>
      <w:r w:rsidR="00227F06" w:rsidRPr="005C36E9">
        <w:rPr>
          <w:sz w:val="22"/>
          <w:szCs w:val="22"/>
        </w:rPr>
        <w:t>PII</w:t>
      </w:r>
      <w:r w:rsidRPr="00E00B9D">
        <w:rPr>
          <w:sz w:val="22"/>
          <w:szCs w:val="22"/>
        </w:rPr>
        <w:t xml:space="preserve"> is covered by the system of records notice or ‘SORN’, FCC/WTB-1, “Wire</w:t>
      </w:r>
      <w:r>
        <w:rPr>
          <w:sz w:val="22"/>
          <w:szCs w:val="22"/>
        </w:rPr>
        <w:t>less Services Licensing Records</w:t>
      </w:r>
      <w:r w:rsidR="00EE13ED">
        <w:rPr>
          <w:sz w:val="22"/>
          <w:szCs w:val="22"/>
        </w:rPr>
        <w:t>.</w:t>
      </w:r>
      <w:r w:rsidRPr="00E00B9D">
        <w:rPr>
          <w:sz w:val="22"/>
          <w:szCs w:val="22"/>
        </w:rPr>
        <w:t>”</w:t>
      </w:r>
    </w:p>
    <w:p w:rsidR="00BA49DB" w:rsidRDefault="00BA49DB" w:rsidP="00BA49DB">
      <w:pPr>
        <w:suppressAutoHyphens/>
        <w:ind w:left="360"/>
        <w:rPr>
          <w:sz w:val="22"/>
          <w:szCs w:val="22"/>
        </w:rPr>
      </w:pPr>
    </w:p>
    <w:p w:rsidR="00835991" w:rsidRPr="00C84CCF" w:rsidRDefault="00D4112F" w:rsidP="00BA49DB">
      <w:pPr>
        <w:numPr>
          <w:ilvl w:val="0"/>
          <w:numId w:val="13"/>
        </w:numPr>
        <w:suppressAutoHyphens/>
        <w:rPr>
          <w:sz w:val="22"/>
          <w:szCs w:val="22"/>
        </w:rPr>
      </w:pPr>
      <w:r w:rsidRPr="00BA49DB">
        <w:rPr>
          <w:sz w:val="22"/>
          <w:szCs w:val="22"/>
        </w:rPr>
        <w:t xml:space="preserve">The Commission estimates that there are approximately 2,400 annual respondents.  The frequency of response is determined by the antenna structure owner.  There is no renewal period for the responses. The number </w:t>
      </w:r>
      <w:r w:rsidRPr="00C84CCF">
        <w:rPr>
          <w:sz w:val="22"/>
          <w:szCs w:val="22"/>
        </w:rPr>
        <w:t xml:space="preserve">of total annual responses is approximately 57,000.  Only 95% of these responses will be handled in-house.  </w:t>
      </w:r>
      <w:r w:rsidR="00835991" w:rsidRPr="00C84CCF">
        <w:rPr>
          <w:sz w:val="22"/>
          <w:szCs w:val="22"/>
        </w:rPr>
        <w:t xml:space="preserve">We assume, however, that respondents will use in-house clerical staff to coordinate the 5% of responses that will be contracted to another party, for approximately 30 minutes per response.  </w:t>
      </w:r>
    </w:p>
    <w:p w:rsidR="00BA49DB" w:rsidRPr="00C84CCF" w:rsidRDefault="00BA49DB" w:rsidP="00835991">
      <w:pPr>
        <w:suppressAutoHyphens/>
        <w:ind w:left="360"/>
        <w:rPr>
          <w:sz w:val="22"/>
          <w:szCs w:val="22"/>
        </w:rPr>
      </w:pPr>
    </w:p>
    <w:p w:rsidR="00D4112F" w:rsidRPr="00C84CCF" w:rsidRDefault="00D4112F" w:rsidP="00835991">
      <w:pPr>
        <w:suppressAutoHyphens/>
        <w:ind w:left="360"/>
        <w:rPr>
          <w:sz w:val="22"/>
          <w:szCs w:val="22"/>
        </w:rPr>
      </w:pPr>
      <w:r w:rsidRPr="00C84CCF">
        <w:rPr>
          <w:sz w:val="22"/>
          <w:szCs w:val="22"/>
        </w:rPr>
        <w:t xml:space="preserve">Below is a breakdown of </w:t>
      </w:r>
      <w:r w:rsidR="00835991" w:rsidRPr="00C84CCF">
        <w:rPr>
          <w:sz w:val="22"/>
          <w:szCs w:val="22"/>
        </w:rPr>
        <w:t xml:space="preserve">in-house </w:t>
      </w:r>
      <w:r w:rsidRPr="00C84CCF">
        <w:rPr>
          <w:sz w:val="22"/>
          <w:szCs w:val="22"/>
        </w:rPr>
        <w:t>responses and times to complete responses based on the Commission’s knowledge and familiarity with the availability of the data required.</w:t>
      </w:r>
    </w:p>
    <w:p w:rsidR="00D4112F" w:rsidRPr="00C84CCF" w:rsidRDefault="00D4112F" w:rsidP="00D4112F">
      <w:pPr>
        <w:suppressAutoHyphens/>
        <w:ind w:left="360"/>
        <w:rPr>
          <w:sz w:val="22"/>
          <w:szCs w:val="22"/>
        </w:rPr>
      </w:pPr>
    </w:p>
    <w:p w:rsidR="00D4112F" w:rsidRPr="008F6570" w:rsidRDefault="00D4112F" w:rsidP="00D4112F">
      <w:pPr>
        <w:numPr>
          <w:ilvl w:val="0"/>
          <w:numId w:val="29"/>
        </w:numPr>
        <w:suppressAutoHyphens/>
        <w:rPr>
          <w:sz w:val="22"/>
          <w:szCs w:val="22"/>
        </w:rPr>
      </w:pPr>
      <w:r w:rsidRPr="00C84CCF">
        <w:rPr>
          <w:snapToGrid/>
          <w:sz w:val="22"/>
          <w:szCs w:val="22"/>
        </w:rPr>
        <w:t xml:space="preserve">Approximately 46,313 responses per year will request administrative or other minor </w:t>
      </w:r>
      <w:r w:rsidRPr="008F6570">
        <w:rPr>
          <w:snapToGrid/>
          <w:sz w:val="22"/>
          <w:szCs w:val="22"/>
        </w:rPr>
        <w:lastRenderedPageBreak/>
        <w:t>changes that are not subject to the environmental notice process and average 20 minutes to complete by respondents.</w:t>
      </w:r>
    </w:p>
    <w:p w:rsidR="00D4112F" w:rsidRPr="008F6570" w:rsidRDefault="00D4112F" w:rsidP="00D4112F">
      <w:pPr>
        <w:numPr>
          <w:ilvl w:val="0"/>
          <w:numId w:val="29"/>
        </w:numPr>
        <w:suppressAutoHyphens/>
        <w:rPr>
          <w:sz w:val="22"/>
          <w:szCs w:val="22"/>
        </w:rPr>
      </w:pPr>
      <w:r w:rsidRPr="008F6570">
        <w:rPr>
          <w:snapToGrid/>
          <w:sz w:val="22"/>
          <w:szCs w:val="22"/>
        </w:rPr>
        <w:t xml:space="preserve">Approximately 7,609 responses per year will be subject to the environmental notice process by respondents but will not require an Environmental Assessment.  (Note that this number is roughly 2% lower than it would be without the new temporary tower exemption.) </w:t>
      </w:r>
    </w:p>
    <w:p w:rsidR="00D4112F" w:rsidRPr="008F6570" w:rsidRDefault="00D4112F" w:rsidP="00D4112F">
      <w:pPr>
        <w:numPr>
          <w:ilvl w:val="1"/>
          <w:numId w:val="29"/>
        </w:numPr>
        <w:suppressAutoHyphens/>
        <w:rPr>
          <w:sz w:val="22"/>
          <w:szCs w:val="22"/>
        </w:rPr>
      </w:pPr>
      <w:r w:rsidRPr="008F6570">
        <w:rPr>
          <w:snapToGrid/>
          <w:sz w:val="22"/>
          <w:szCs w:val="22"/>
        </w:rPr>
        <w:t>Approximately 80% (rounded) will take 1 hour to complete.</w:t>
      </w:r>
    </w:p>
    <w:p w:rsidR="00D4112F" w:rsidRPr="008F6570" w:rsidRDefault="00D4112F" w:rsidP="00D4112F">
      <w:pPr>
        <w:numPr>
          <w:ilvl w:val="1"/>
          <w:numId w:val="29"/>
        </w:numPr>
        <w:suppressAutoHyphens/>
        <w:rPr>
          <w:sz w:val="22"/>
          <w:szCs w:val="22"/>
        </w:rPr>
      </w:pPr>
      <w:r w:rsidRPr="008F6570">
        <w:rPr>
          <w:snapToGrid/>
          <w:sz w:val="22"/>
          <w:szCs w:val="22"/>
        </w:rPr>
        <w:t xml:space="preserve">Approximately 20% (rounded) will require a field survey.  These will require a total of 1.5 hours of respondent time to prepare and file, including the time to complete the notice process. </w:t>
      </w:r>
    </w:p>
    <w:p w:rsidR="00D4112F" w:rsidRPr="008F6570" w:rsidRDefault="00D4112F" w:rsidP="00D4112F">
      <w:pPr>
        <w:numPr>
          <w:ilvl w:val="0"/>
          <w:numId w:val="29"/>
        </w:numPr>
        <w:suppressAutoHyphens/>
        <w:rPr>
          <w:sz w:val="22"/>
          <w:szCs w:val="22"/>
        </w:rPr>
      </w:pPr>
      <w:r w:rsidRPr="008F6570">
        <w:rPr>
          <w:snapToGrid/>
          <w:sz w:val="22"/>
          <w:szCs w:val="22"/>
        </w:rPr>
        <w:t xml:space="preserve">Approximately 228 responses will require an Environmental Assessment, which will require 2.5 hours of respondent time to prepare and file, including the time to complete the notice process.  </w:t>
      </w:r>
    </w:p>
    <w:p w:rsidR="00835991" w:rsidRPr="008F6570" w:rsidRDefault="00835991" w:rsidP="00D4112F">
      <w:pPr>
        <w:numPr>
          <w:ilvl w:val="0"/>
          <w:numId w:val="29"/>
        </w:numPr>
        <w:suppressAutoHyphens/>
        <w:rPr>
          <w:sz w:val="22"/>
          <w:szCs w:val="22"/>
        </w:rPr>
      </w:pPr>
      <w:r w:rsidRPr="008F6570">
        <w:rPr>
          <w:snapToGrid/>
          <w:sz w:val="22"/>
          <w:szCs w:val="22"/>
        </w:rPr>
        <w:t>Approximately 2,850 responses will be handled by contractors.  We anticipate that in-house clerical staff will spend a total of .5 hours per response coordinating these responses with contractors.</w:t>
      </w:r>
    </w:p>
    <w:p w:rsidR="00D4112F" w:rsidRPr="008F6570" w:rsidRDefault="00D4112F" w:rsidP="00D4112F">
      <w:pPr>
        <w:suppressAutoHyphens/>
        <w:rPr>
          <w:sz w:val="22"/>
          <w:szCs w:val="22"/>
        </w:rPr>
      </w:pPr>
    </w:p>
    <w:p w:rsidR="00D4112F" w:rsidRPr="008F6570" w:rsidRDefault="00D4112F" w:rsidP="00D4112F">
      <w:pPr>
        <w:suppressAutoHyphens/>
        <w:rPr>
          <w:sz w:val="22"/>
          <w:szCs w:val="22"/>
        </w:rPr>
      </w:pPr>
    </w:p>
    <w:p w:rsidR="00D4112F" w:rsidRPr="008F6570" w:rsidRDefault="00D4112F" w:rsidP="00D4112F">
      <w:pPr>
        <w:suppressAutoHyphens/>
        <w:rPr>
          <w:b/>
          <w:sz w:val="22"/>
          <w:szCs w:val="22"/>
        </w:rPr>
      </w:pPr>
      <w:r w:rsidRPr="008F6570">
        <w:rPr>
          <w:sz w:val="22"/>
          <w:szCs w:val="22"/>
        </w:rPr>
        <w:t xml:space="preserve">      </w:t>
      </w:r>
      <w:r w:rsidRPr="008F6570">
        <w:rPr>
          <w:b/>
          <w:sz w:val="22"/>
          <w:szCs w:val="22"/>
        </w:rPr>
        <w:t>Burden Hours</w:t>
      </w:r>
    </w:p>
    <w:p w:rsidR="00D4112F" w:rsidRPr="008F6570" w:rsidRDefault="00D4112F" w:rsidP="00D4112F">
      <w:pPr>
        <w:suppressAutoHyphens/>
        <w:rPr>
          <w:snapToGrid/>
          <w:sz w:val="22"/>
          <w:szCs w:val="22"/>
        </w:rPr>
      </w:pP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20"/>
        <w:gridCol w:w="2160"/>
        <w:gridCol w:w="1890"/>
      </w:tblGrid>
      <w:tr w:rsidR="00D4112F" w:rsidRPr="008F6570" w:rsidTr="006F7AD7">
        <w:tc>
          <w:tcPr>
            <w:tcW w:w="3240" w:type="dxa"/>
          </w:tcPr>
          <w:p w:rsidR="00D4112F" w:rsidRPr="008F6570" w:rsidRDefault="00D4112F" w:rsidP="006F7AD7">
            <w:pPr>
              <w:rPr>
                <w:b/>
                <w:sz w:val="22"/>
                <w:szCs w:val="22"/>
              </w:rPr>
            </w:pPr>
            <w:r w:rsidRPr="008F6570">
              <w:rPr>
                <w:b/>
                <w:sz w:val="22"/>
                <w:szCs w:val="22"/>
              </w:rPr>
              <w:t>Filings</w:t>
            </w:r>
          </w:p>
        </w:tc>
        <w:tc>
          <w:tcPr>
            <w:tcW w:w="1620" w:type="dxa"/>
          </w:tcPr>
          <w:p w:rsidR="00D4112F" w:rsidRPr="008F6570" w:rsidRDefault="00D4112F" w:rsidP="006F7AD7">
            <w:pPr>
              <w:rPr>
                <w:b/>
                <w:sz w:val="22"/>
                <w:szCs w:val="22"/>
              </w:rPr>
            </w:pPr>
            <w:r w:rsidRPr="008F6570">
              <w:rPr>
                <w:b/>
                <w:sz w:val="22"/>
                <w:szCs w:val="22"/>
              </w:rPr>
              <w:t>Responses</w:t>
            </w:r>
          </w:p>
        </w:tc>
        <w:tc>
          <w:tcPr>
            <w:tcW w:w="2160" w:type="dxa"/>
          </w:tcPr>
          <w:p w:rsidR="00D4112F" w:rsidRPr="008F6570" w:rsidRDefault="00D4112F" w:rsidP="006F7AD7">
            <w:pPr>
              <w:rPr>
                <w:b/>
                <w:sz w:val="22"/>
                <w:szCs w:val="22"/>
              </w:rPr>
            </w:pPr>
            <w:r w:rsidRPr="008F6570">
              <w:rPr>
                <w:b/>
                <w:sz w:val="22"/>
                <w:szCs w:val="22"/>
              </w:rPr>
              <w:t>Hours to Complete</w:t>
            </w:r>
          </w:p>
        </w:tc>
        <w:tc>
          <w:tcPr>
            <w:tcW w:w="1890" w:type="dxa"/>
          </w:tcPr>
          <w:p w:rsidR="00D4112F" w:rsidRPr="008F6570" w:rsidRDefault="00D4112F" w:rsidP="006F7AD7">
            <w:pPr>
              <w:rPr>
                <w:b/>
                <w:sz w:val="22"/>
                <w:szCs w:val="22"/>
              </w:rPr>
            </w:pPr>
            <w:r w:rsidRPr="008F6570">
              <w:rPr>
                <w:b/>
                <w:sz w:val="22"/>
                <w:szCs w:val="22"/>
              </w:rPr>
              <w:t>Total Hours</w:t>
            </w:r>
          </w:p>
        </w:tc>
      </w:tr>
      <w:tr w:rsidR="00D4112F" w:rsidRPr="008F6570" w:rsidTr="006F7AD7">
        <w:tc>
          <w:tcPr>
            <w:tcW w:w="3240" w:type="dxa"/>
          </w:tcPr>
          <w:p w:rsidR="00D4112F" w:rsidRPr="008F6570" w:rsidRDefault="00D4112F" w:rsidP="006F7AD7">
            <w:pPr>
              <w:rPr>
                <w:sz w:val="22"/>
                <w:szCs w:val="22"/>
              </w:rPr>
            </w:pPr>
            <w:r w:rsidRPr="008F6570">
              <w:rPr>
                <w:sz w:val="22"/>
                <w:szCs w:val="22"/>
              </w:rPr>
              <w:t>Minor Changes</w:t>
            </w:r>
          </w:p>
        </w:tc>
        <w:tc>
          <w:tcPr>
            <w:tcW w:w="1620" w:type="dxa"/>
          </w:tcPr>
          <w:p w:rsidR="00D4112F" w:rsidRPr="008F6570" w:rsidRDefault="00D4112F" w:rsidP="006F7AD7">
            <w:pPr>
              <w:rPr>
                <w:sz w:val="22"/>
                <w:szCs w:val="22"/>
              </w:rPr>
            </w:pPr>
            <w:r w:rsidRPr="008F6570">
              <w:rPr>
                <w:sz w:val="22"/>
                <w:szCs w:val="22"/>
              </w:rPr>
              <w:t>46,313</w:t>
            </w:r>
          </w:p>
        </w:tc>
        <w:tc>
          <w:tcPr>
            <w:tcW w:w="2160" w:type="dxa"/>
          </w:tcPr>
          <w:p w:rsidR="00D4112F" w:rsidRPr="008F6570" w:rsidRDefault="00D4112F" w:rsidP="006F7AD7">
            <w:pPr>
              <w:rPr>
                <w:sz w:val="22"/>
                <w:szCs w:val="22"/>
              </w:rPr>
            </w:pPr>
            <w:r w:rsidRPr="008F6570">
              <w:rPr>
                <w:sz w:val="22"/>
                <w:szCs w:val="22"/>
              </w:rPr>
              <w:t xml:space="preserve">  .33</w:t>
            </w:r>
          </w:p>
        </w:tc>
        <w:tc>
          <w:tcPr>
            <w:tcW w:w="1890" w:type="dxa"/>
          </w:tcPr>
          <w:p w:rsidR="00D4112F" w:rsidRPr="008F6570" w:rsidRDefault="00D4112F" w:rsidP="006F7AD7">
            <w:pPr>
              <w:rPr>
                <w:sz w:val="22"/>
                <w:szCs w:val="22"/>
              </w:rPr>
            </w:pPr>
            <w:r w:rsidRPr="008F6570">
              <w:rPr>
                <w:sz w:val="22"/>
                <w:szCs w:val="22"/>
              </w:rPr>
              <w:t>15,283</w:t>
            </w:r>
          </w:p>
        </w:tc>
      </w:tr>
      <w:tr w:rsidR="00D4112F" w:rsidRPr="008F6570" w:rsidTr="006F7AD7">
        <w:tc>
          <w:tcPr>
            <w:tcW w:w="3240" w:type="dxa"/>
          </w:tcPr>
          <w:p w:rsidR="00D4112F" w:rsidRPr="008F6570" w:rsidRDefault="00D4112F" w:rsidP="006F7AD7">
            <w:pPr>
              <w:rPr>
                <w:sz w:val="22"/>
                <w:szCs w:val="22"/>
              </w:rPr>
            </w:pPr>
            <w:r w:rsidRPr="008F6570">
              <w:rPr>
                <w:sz w:val="22"/>
                <w:szCs w:val="22"/>
              </w:rPr>
              <w:t>Environmental Notice Process</w:t>
            </w:r>
          </w:p>
        </w:tc>
        <w:tc>
          <w:tcPr>
            <w:tcW w:w="1620" w:type="dxa"/>
          </w:tcPr>
          <w:p w:rsidR="00D4112F" w:rsidRPr="008F6570" w:rsidRDefault="00D4112F" w:rsidP="006F7AD7">
            <w:pPr>
              <w:rPr>
                <w:sz w:val="22"/>
                <w:szCs w:val="22"/>
              </w:rPr>
            </w:pPr>
            <w:r w:rsidRPr="008F6570">
              <w:rPr>
                <w:sz w:val="22"/>
                <w:szCs w:val="22"/>
              </w:rPr>
              <w:t xml:space="preserve">  6,089</w:t>
            </w:r>
          </w:p>
        </w:tc>
        <w:tc>
          <w:tcPr>
            <w:tcW w:w="2160" w:type="dxa"/>
          </w:tcPr>
          <w:p w:rsidR="00D4112F" w:rsidRPr="008F6570" w:rsidRDefault="00D4112F" w:rsidP="006F7AD7">
            <w:pPr>
              <w:rPr>
                <w:sz w:val="22"/>
                <w:szCs w:val="22"/>
              </w:rPr>
            </w:pPr>
            <w:r w:rsidRPr="008F6570">
              <w:rPr>
                <w:sz w:val="22"/>
                <w:szCs w:val="22"/>
              </w:rPr>
              <w:t xml:space="preserve">  1.0</w:t>
            </w:r>
          </w:p>
        </w:tc>
        <w:tc>
          <w:tcPr>
            <w:tcW w:w="1890" w:type="dxa"/>
          </w:tcPr>
          <w:p w:rsidR="00D4112F" w:rsidRPr="008F6570" w:rsidRDefault="00D4112F" w:rsidP="006F7AD7">
            <w:pPr>
              <w:rPr>
                <w:sz w:val="22"/>
                <w:szCs w:val="22"/>
              </w:rPr>
            </w:pPr>
            <w:r w:rsidRPr="008F6570">
              <w:rPr>
                <w:sz w:val="22"/>
                <w:szCs w:val="22"/>
              </w:rPr>
              <w:t xml:space="preserve">  6,089</w:t>
            </w:r>
          </w:p>
        </w:tc>
      </w:tr>
      <w:tr w:rsidR="00D4112F" w:rsidRPr="008F6570" w:rsidTr="006F7AD7">
        <w:tc>
          <w:tcPr>
            <w:tcW w:w="3240" w:type="dxa"/>
          </w:tcPr>
          <w:p w:rsidR="00D4112F" w:rsidRPr="008F6570" w:rsidRDefault="00D4112F" w:rsidP="006F7AD7">
            <w:pPr>
              <w:rPr>
                <w:sz w:val="22"/>
                <w:szCs w:val="22"/>
              </w:rPr>
            </w:pPr>
            <w:r w:rsidRPr="008F6570">
              <w:rPr>
                <w:sz w:val="22"/>
                <w:szCs w:val="22"/>
              </w:rPr>
              <w:t>Site Survey</w:t>
            </w:r>
          </w:p>
        </w:tc>
        <w:tc>
          <w:tcPr>
            <w:tcW w:w="1620" w:type="dxa"/>
          </w:tcPr>
          <w:p w:rsidR="00D4112F" w:rsidRPr="008F6570" w:rsidRDefault="00D4112F" w:rsidP="006F7AD7">
            <w:pPr>
              <w:rPr>
                <w:sz w:val="22"/>
                <w:szCs w:val="22"/>
              </w:rPr>
            </w:pPr>
            <w:r w:rsidRPr="008F6570">
              <w:rPr>
                <w:sz w:val="22"/>
                <w:szCs w:val="22"/>
              </w:rPr>
              <w:t xml:space="preserve">  1,520</w:t>
            </w:r>
          </w:p>
        </w:tc>
        <w:tc>
          <w:tcPr>
            <w:tcW w:w="2160" w:type="dxa"/>
          </w:tcPr>
          <w:p w:rsidR="00D4112F" w:rsidRPr="008F6570" w:rsidRDefault="00D4112F" w:rsidP="006F7AD7">
            <w:pPr>
              <w:rPr>
                <w:sz w:val="22"/>
                <w:szCs w:val="22"/>
              </w:rPr>
            </w:pPr>
            <w:r w:rsidRPr="008F6570">
              <w:rPr>
                <w:sz w:val="22"/>
                <w:szCs w:val="22"/>
              </w:rPr>
              <w:t xml:space="preserve">  1.5</w:t>
            </w:r>
          </w:p>
        </w:tc>
        <w:tc>
          <w:tcPr>
            <w:tcW w:w="1890" w:type="dxa"/>
          </w:tcPr>
          <w:p w:rsidR="00D4112F" w:rsidRPr="008F6570" w:rsidRDefault="00D4112F" w:rsidP="006F7AD7">
            <w:pPr>
              <w:rPr>
                <w:sz w:val="22"/>
                <w:szCs w:val="22"/>
              </w:rPr>
            </w:pPr>
            <w:r w:rsidRPr="008F6570">
              <w:rPr>
                <w:sz w:val="22"/>
                <w:szCs w:val="22"/>
              </w:rPr>
              <w:t xml:space="preserve">  2,280</w:t>
            </w:r>
          </w:p>
        </w:tc>
      </w:tr>
      <w:tr w:rsidR="00D4112F" w:rsidRPr="008F6570" w:rsidTr="006F7AD7">
        <w:tc>
          <w:tcPr>
            <w:tcW w:w="3240" w:type="dxa"/>
          </w:tcPr>
          <w:p w:rsidR="00D4112F" w:rsidRPr="008F6570" w:rsidRDefault="00D4112F" w:rsidP="006F7AD7">
            <w:pPr>
              <w:rPr>
                <w:sz w:val="22"/>
                <w:szCs w:val="22"/>
              </w:rPr>
            </w:pPr>
            <w:r w:rsidRPr="008F6570">
              <w:rPr>
                <w:sz w:val="22"/>
                <w:szCs w:val="22"/>
              </w:rPr>
              <w:t>Environmental Assessment</w:t>
            </w:r>
          </w:p>
        </w:tc>
        <w:tc>
          <w:tcPr>
            <w:tcW w:w="1620" w:type="dxa"/>
          </w:tcPr>
          <w:p w:rsidR="00D4112F" w:rsidRPr="008F6570" w:rsidRDefault="00D4112F" w:rsidP="006F7AD7">
            <w:pPr>
              <w:rPr>
                <w:sz w:val="22"/>
                <w:szCs w:val="22"/>
              </w:rPr>
            </w:pPr>
            <w:r w:rsidRPr="008F6570">
              <w:rPr>
                <w:sz w:val="22"/>
                <w:szCs w:val="22"/>
              </w:rPr>
              <w:t xml:space="preserve">     228</w:t>
            </w:r>
          </w:p>
        </w:tc>
        <w:tc>
          <w:tcPr>
            <w:tcW w:w="2160" w:type="dxa"/>
          </w:tcPr>
          <w:p w:rsidR="00D4112F" w:rsidRPr="008F6570" w:rsidRDefault="00D4112F" w:rsidP="006F7AD7">
            <w:pPr>
              <w:rPr>
                <w:sz w:val="22"/>
                <w:szCs w:val="22"/>
              </w:rPr>
            </w:pPr>
            <w:r w:rsidRPr="008F6570">
              <w:rPr>
                <w:sz w:val="22"/>
                <w:szCs w:val="22"/>
              </w:rPr>
              <w:t xml:space="preserve">  2.5</w:t>
            </w:r>
          </w:p>
        </w:tc>
        <w:tc>
          <w:tcPr>
            <w:tcW w:w="1890" w:type="dxa"/>
          </w:tcPr>
          <w:p w:rsidR="00D4112F" w:rsidRPr="008F6570" w:rsidRDefault="00D4112F" w:rsidP="006F7AD7">
            <w:pPr>
              <w:rPr>
                <w:sz w:val="22"/>
                <w:szCs w:val="22"/>
              </w:rPr>
            </w:pPr>
            <w:r w:rsidRPr="008F6570">
              <w:rPr>
                <w:sz w:val="22"/>
                <w:szCs w:val="22"/>
              </w:rPr>
              <w:t xml:space="preserve">     570</w:t>
            </w:r>
          </w:p>
        </w:tc>
      </w:tr>
      <w:tr w:rsidR="00835991" w:rsidRPr="008F6570" w:rsidTr="006F7AD7">
        <w:tc>
          <w:tcPr>
            <w:tcW w:w="3240" w:type="dxa"/>
          </w:tcPr>
          <w:p w:rsidR="00835991" w:rsidRPr="008F6570" w:rsidRDefault="005A706D" w:rsidP="006F7AD7">
            <w:pPr>
              <w:rPr>
                <w:sz w:val="22"/>
                <w:szCs w:val="22"/>
              </w:rPr>
            </w:pPr>
            <w:r w:rsidRPr="008F6570">
              <w:rPr>
                <w:sz w:val="22"/>
                <w:szCs w:val="22"/>
              </w:rPr>
              <w:t xml:space="preserve">Contract </w:t>
            </w:r>
            <w:r w:rsidR="00835991" w:rsidRPr="008F6570">
              <w:rPr>
                <w:sz w:val="22"/>
                <w:szCs w:val="22"/>
              </w:rPr>
              <w:t>Coordination</w:t>
            </w:r>
          </w:p>
        </w:tc>
        <w:tc>
          <w:tcPr>
            <w:tcW w:w="1620" w:type="dxa"/>
          </w:tcPr>
          <w:p w:rsidR="00835991" w:rsidRPr="008F6570" w:rsidRDefault="005A706D" w:rsidP="006F7AD7">
            <w:pPr>
              <w:rPr>
                <w:sz w:val="22"/>
                <w:szCs w:val="22"/>
              </w:rPr>
            </w:pPr>
            <w:r w:rsidRPr="008F6570">
              <w:rPr>
                <w:sz w:val="22"/>
                <w:szCs w:val="22"/>
              </w:rPr>
              <w:t xml:space="preserve">  2,850</w:t>
            </w:r>
          </w:p>
        </w:tc>
        <w:tc>
          <w:tcPr>
            <w:tcW w:w="2160" w:type="dxa"/>
          </w:tcPr>
          <w:p w:rsidR="00835991" w:rsidRPr="008F6570" w:rsidRDefault="005A706D" w:rsidP="006F7AD7">
            <w:pPr>
              <w:rPr>
                <w:sz w:val="22"/>
                <w:szCs w:val="22"/>
              </w:rPr>
            </w:pPr>
            <w:r w:rsidRPr="008F6570">
              <w:rPr>
                <w:sz w:val="22"/>
                <w:szCs w:val="22"/>
              </w:rPr>
              <w:t xml:space="preserve">    .5</w:t>
            </w:r>
          </w:p>
        </w:tc>
        <w:tc>
          <w:tcPr>
            <w:tcW w:w="1890" w:type="dxa"/>
          </w:tcPr>
          <w:p w:rsidR="00835991" w:rsidRPr="008F6570" w:rsidRDefault="005A706D" w:rsidP="006F7AD7">
            <w:pPr>
              <w:rPr>
                <w:sz w:val="22"/>
                <w:szCs w:val="22"/>
              </w:rPr>
            </w:pPr>
            <w:r w:rsidRPr="008F6570">
              <w:rPr>
                <w:sz w:val="22"/>
                <w:szCs w:val="22"/>
              </w:rPr>
              <w:t xml:space="preserve">  1,425</w:t>
            </w:r>
          </w:p>
        </w:tc>
      </w:tr>
      <w:tr w:rsidR="00D4112F" w:rsidRPr="008F6570" w:rsidTr="006F7AD7">
        <w:tc>
          <w:tcPr>
            <w:tcW w:w="3240" w:type="dxa"/>
          </w:tcPr>
          <w:p w:rsidR="00D4112F" w:rsidRPr="008F6570" w:rsidRDefault="00D4112F" w:rsidP="006F7AD7">
            <w:pPr>
              <w:rPr>
                <w:b/>
                <w:sz w:val="22"/>
                <w:szCs w:val="22"/>
              </w:rPr>
            </w:pPr>
            <w:r w:rsidRPr="008F6570">
              <w:rPr>
                <w:b/>
                <w:sz w:val="22"/>
                <w:szCs w:val="22"/>
              </w:rPr>
              <w:t>TOTAL ANNUAL BURDEN HOURS</w:t>
            </w:r>
          </w:p>
        </w:tc>
        <w:tc>
          <w:tcPr>
            <w:tcW w:w="1620" w:type="dxa"/>
          </w:tcPr>
          <w:p w:rsidR="00D4112F" w:rsidRPr="008F6570" w:rsidRDefault="00D4112F" w:rsidP="006F7AD7">
            <w:pPr>
              <w:rPr>
                <w:b/>
                <w:sz w:val="22"/>
                <w:szCs w:val="22"/>
              </w:rPr>
            </w:pPr>
          </w:p>
        </w:tc>
        <w:tc>
          <w:tcPr>
            <w:tcW w:w="2160" w:type="dxa"/>
          </w:tcPr>
          <w:p w:rsidR="00D4112F" w:rsidRPr="008F6570" w:rsidRDefault="00D4112F" w:rsidP="006F7AD7">
            <w:pPr>
              <w:rPr>
                <w:b/>
                <w:sz w:val="22"/>
                <w:szCs w:val="22"/>
              </w:rPr>
            </w:pPr>
          </w:p>
        </w:tc>
        <w:tc>
          <w:tcPr>
            <w:tcW w:w="1890" w:type="dxa"/>
          </w:tcPr>
          <w:p w:rsidR="00D4112F" w:rsidRPr="008F6570" w:rsidRDefault="00D4112F" w:rsidP="006F7AD7">
            <w:pPr>
              <w:rPr>
                <w:b/>
                <w:sz w:val="22"/>
                <w:szCs w:val="22"/>
              </w:rPr>
            </w:pPr>
          </w:p>
          <w:p w:rsidR="00D4112F" w:rsidRPr="008F6570" w:rsidRDefault="00D4112F" w:rsidP="005A706D">
            <w:pPr>
              <w:rPr>
                <w:b/>
                <w:sz w:val="22"/>
                <w:szCs w:val="22"/>
              </w:rPr>
            </w:pPr>
            <w:r w:rsidRPr="008F6570">
              <w:rPr>
                <w:b/>
                <w:sz w:val="22"/>
                <w:szCs w:val="22"/>
              </w:rPr>
              <w:t>2</w:t>
            </w:r>
            <w:r w:rsidR="005A706D" w:rsidRPr="008F6570">
              <w:rPr>
                <w:b/>
                <w:sz w:val="22"/>
                <w:szCs w:val="22"/>
              </w:rPr>
              <w:t>5,647</w:t>
            </w:r>
            <w:r w:rsidRPr="008F6570">
              <w:rPr>
                <w:rStyle w:val="FootnoteReference"/>
                <w:sz w:val="22"/>
                <w:szCs w:val="22"/>
              </w:rPr>
              <w:footnoteReference w:id="1"/>
            </w:r>
          </w:p>
        </w:tc>
      </w:tr>
    </w:tbl>
    <w:p w:rsidR="00D4112F" w:rsidRPr="008F6570" w:rsidRDefault="00D4112F" w:rsidP="00D4112F">
      <w:pPr>
        <w:rPr>
          <w:b/>
          <w:sz w:val="22"/>
          <w:szCs w:val="22"/>
        </w:rPr>
      </w:pPr>
    </w:p>
    <w:p w:rsidR="00D4112F" w:rsidRPr="008F6570" w:rsidRDefault="00D4112F" w:rsidP="00D4112F">
      <w:pPr>
        <w:suppressAutoHyphens/>
        <w:ind w:left="360"/>
        <w:rPr>
          <w:sz w:val="22"/>
          <w:szCs w:val="22"/>
        </w:rPr>
      </w:pPr>
    </w:p>
    <w:p w:rsidR="00D4112F" w:rsidRPr="008F6570" w:rsidRDefault="00D4112F" w:rsidP="00D4112F">
      <w:pPr>
        <w:suppressAutoHyphens/>
        <w:ind w:left="360"/>
        <w:rPr>
          <w:b/>
          <w:sz w:val="22"/>
          <w:szCs w:val="22"/>
        </w:rPr>
      </w:pPr>
      <w:r w:rsidRPr="008F6570">
        <w:rPr>
          <w:b/>
          <w:sz w:val="22"/>
          <w:szCs w:val="22"/>
        </w:rPr>
        <w:t>TOTAL NUMBER OF RESPONDENTS:  2,400.</w:t>
      </w:r>
    </w:p>
    <w:p w:rsidR="00D4112F" w:rsidRPr="008F6570" w:rsidRDefault="00D4112F" w:rsidP="00D4112F">
      <w:pPr>
        <w:suppressAutoHyphens/>
        <w:ind w:left="360"/>
        <w:rPr>
          <w:b/>
          <w:sz w:val="22"/>
          <w:szCs w:val="22"/>
        </w:rPr>
      </w:pPr>
    </w:p>
    <w:p w:rsidR="00D4112F" w:rsidRPr="008F6570" w:rsidRDefault="00D4112F" w:rsidP="00D4112F">
      <w:pPr>
        <w:suppressAutoHyphens/>
        <w:ind w:left="360"/>
        <w:rPr>
          <w:b/>
          <w:sz w:val="22"/>
          <w:szCs w:val="22"/>
        </w:rPr>
      </w:pPr>
      <w:r w:rsidRPr="008F6570">
        <w:rPr>
          <w:b/>
          <w:sz w:val="22"/>
          <w:szCs w:val="22"/>
        </w:rPr>
        <w:t>TOTAL NUMBER OF ANNUAL RESPONSES:  57,000.</w:t>
      </w:r>
    </w:p>
    <w:p w:rsidR="00D4112F" w:rsidRPr="008F6570" w:rsidRDefault="00D4112F" w:rsidP="00D4112F">
      <w:pPr>
        <w:suppressAutoHyphens/>
        <w:ind w:left="360"/>
        <w:rPr>
          <w:b/>
          <w:sz w:val="22"/>
          <w:szCs w:val="22"/>
        </w:rPr>
      </w:pPr>
    </w:p>
    <w:p w:rsidR="00D4112F" w:rsidRPr="008F6570" w:rsidRDefault="00D4112F" w:rsidP="00D4112F">
      <w:pPr>
        <w:suppressAutoHyphens/>
        <w:ind w:left="360"/>
        <w:rPr>
          <w:b/>
          <w:sz w:val="22"/>
          <w:szCs w:val="22"/>
        </w:rPr>
      </w:pPr>
      <w:r w:rsidRPr="008F6570">
        <w:rPr>
          <w:b/>
          <w:sz w:val="22"/>
          <w:szCs w:val="22"/>
        </w:rPr>
        <w:t>TOTAL ANNUAL BURDEN HOURS:  2</w:t>
      </w:r>
      <w:r w:rsidR="005A706D" w:rsidRPr="008F6570">
        <w:rPr>
          <w:b/>
          <w:sz w:val="22"/>
          <w:szCs w:val="22"/>
        </w:rPr>
        <w:t>5,647</w:t>
      </w:r>
      <w:r w:rsidRPr="008F6570">
        <w:rPr>
          <w:b/>
          <w:sz w:val="22"/>
          <w:szCs w:val="22"/>
        </w:rPr>
        <w:t xml:space="preserve"> hours.</w:t>
      </w:r>
    </w:p>
    <w:p w:rsidR="00D4112F" w:rsidRPr="008F6570" w:rsidRDefault="00D4112F" w:rsidP="00D4112F">
      <w:pPr>
        <w:suppressAutoHyphens/>
        <w:ind w:left="360"/>
        <w:rPr>
          <w:sz w:val="22"/>
          <w:szCs w:val="22"/>
        </w:rPr>
      </w:pPr>
    </w:p>
    <w:p w:rsidR="00D4112F" w:rsidRPr="008F6570" w:rsidRDefault="00D4112F" w:rsidP="00D4112F">
      <w:pPr>
        <w:suppressAutoHyphens/>
        <w:ind w:left="360"/>
        <w:rPr>
          <w:sz w:val="22"/>
          <w:szCs w:val="22"/>
        </w:rPr>
      </w:pPr>
    </w:p>
    <w:p w:rsidR="00C64077" w:rsidRPr="008F6570" w:rsidRDefault="00D4112F" w:rsidP="00D4112F">
      <w:pPr>
        <w:suppressAutoHyphens/>
        <w:ind w:left="360"/>
        <w:rPr>
          <w:sz w:val="22"/>
          <w:szCs w:val="22"/>
        </w:rPr>
      </w:pPr>
      <w:r w:rsidRPr="008F6570">
        <w:rPr>
          <w:b/>
          <w:sz w:val="22"/>
          <w:szCs w:val="22"/>
        </w:rPr>
        <w:t>In-house Cost</w:t>
      </w:r>
      <w:r w:rsidRPr="008F6570">
        <w:rPr>
          <w:sz w:val="22"/>
          <w:szCs w:val="22"/>
        </w:rPr>
        <w:t xml:space="preserve">:  The Commission estimates that 95% of the filing work will be handled in-house, and 5% of the filing work will be contracted to another party.  Assuming that respondents use in-house personnel comparable in pay to a mid to senior level federal employee to prepare the collection, we estimate the cost to be about $35 per hour.  </w:t>
      </w:r>
    </w:p>
    <w:p w:rsidR="00BA49DB" w:rsidRPr="008F6570" w:rsidRDefault="00BA49DB" w:rsidP="00D4112F">
      <w:pPr>
        <w:suppressAutoHyphens/>
        <w:ind w:left="360"/>
        <w:rPr>
          <w:sz w:val="22"/>
          <w:szCs w:val="22"/>
        </w:rPr>
      </w:pPr>
    </w:p>
    <w:p w:rsidR="00BA49DB" w:rsidRPr="008F6570" w:rsidRDefault="00BA49DB" w:rsidP="00D4112F">
      <w:pPr>
        <w:suppressAutoHyphens/>
        <w:ind w:left="360"/>
        <w:rPr>
          <w:sz w:val="22"/>
          <w:szCs w:val="22"/>
        </w:rPr>
      </w:pPr>
      <w:r w:rsidRPr="008F6570">
        <w:rPr>
          <w:sz w:val="22"/>
          <w:szCs w:val="22"/>
        </w:rPr>
        <w:t>Total in-house filing burden hours = 46,313 + 6,089 + 1,520 + 228 = 24,222</w:t>
      </w:r>
    </w:p>
    <w:p w:rsidR="00C64077" w:rsidRPr="008F6570" w:rsidRDefault="00C64077" w:rsidP="00D4112F">
      <w:pPr>
        <w:suppressAutoHyphens/>
        <w:ind w:left="360"/>
        <w:rPr>
          <w:sz w:val="22"/>
          <w:szCs w:val="22"/>
        </w:rPr>
      </w:pPr>
    </w:p>
    <w:p w:rsidR="00C64077" w:rsidRPr="008F6570" w:rsidRDefault="00C64077" w:rsidP="00C64077">
      <w:pPr>
        <w:suppressAutoHyphens/>
        <w:ind w:left="360"/>
        <w:rPr>
          <w:color w:val="FF0000"/>
          <w:sz w:val="22"/>
          <w:szCs w:val="22"/>
        </w:rPr>
      </w:pPr>
      <w:r w:rsidRPr="008F6570">
        <w:rPr>
          <w:sz w:val="22"/>
          <w:szCs w:val="22"/>
        </w:rPr>
        <w:t xml:space="preserve">24,222 hours x $35/hour= </w:t>
      </w:r>
      <w:r w:rsidRPr="008F6570">
        <w:rPr>
          <w:b/>
          <w:sz w:val="22"/>
          <w:szCs w:val="22"/>
        </w:rPr>
        <w:t>$8</w:t>
      </w:r>
      <w:r w:rsidR="00FD01D4" w:rsidRPr="008F6570">
        <w:rPr>
          <w:b/>
          <w:sz w:val="22"/>
          <w:szCs w:val="22"/>
        </w:rPr>
        <w:t>47,770</w:t>
      </w:r>
    </w:p>
    <w:p w:rsidR="00C64077" w:rsidRPr="008F6570" w:rsidRDefault="00C64077" w:rsidP="00D4112F">
      <w:pPr>
        <w:suppressAutoHyphens/>
        <w:ind w:left="360"/>
        <w:rPr>
          <w:sz w:val="22"/>
          <w:szCs w:val="22"/>
        </w:rPr>
      </w:pPr>
    </w:p>
    <w:p w:rsidR="00D4112F" w:rsidRPr="008F6570" w:rsidRDefault="00C64077" w:rsidP="00D4112F">
      <w:pPr>
        <w:suppressAutoHyphens/>
        <w:ind w:left="360"/>
        <w:rPr>
          <w:sz w:val="22"/>
          <w:szCs w:val="22"/>
        </w:rPr>
      </w:pPr>
      <w:r w:rsidRPr="008F6570">
        <w:rPr>
          <w:sz w:val="22"/>
          <w:szCs w:val="22"/>
        </w:rPr>
        <w:t>We assume respondents will use clerical staff to coordinate the 5% of responses that will be contracted to another party, at approximately $17 per hour.  We expect this coordinating work to take approximately 30 minutes per response</w:t>
      </w:r>
      <w:r w:rsidR="00D4112F" w:rsidRPr="008F6570">
        <w:rPr>
          <w:sz w:val="22"/>
          <w:szCs w:val="22"/>
        </w:rPr>
        <w:t>.</w:t>
      </w:r>
    </w:p>
    <w:p w:rsidR="00C64077" w:rsidRPr="008F6570" w:rsidRDefault="00C64077" w:rsidP="00D4112F">
      <w:pPr>
        <w:suppressAutoHyphens/>
        <w:ind w:left="360"/>
        <w:rPr>
          <w:sz w:val="22"/>
          <w:szCs w:val="22"/>
        </w:rPr>
      </w:pPr>
    </w:p>
    <w:p w:rsidR="00C64077" w:rsidRPr="008F6570" w:rsidRDefault="00C64077" w:rsidP="00D4112F">
      <w:pPr>
        <w:suppressAutoHyphens/>
        <w:ind w:left="360"/>
        <w:rPr>
          <w:sz w:val="22"/>
          <w:szCs w:val="22"/>
        </w:rPr>
      </w:pPr>
      <w:r w:rsidRPr="008F6570">
        <w:rPr>
          <w:sz w:val="22"/>
          <w:szCs w:val="22"/>
        </w:rPr>
        <w:t>57,000 responses x .05 x .5 hours = 1,425</w:t>
      </w:r>
      <w:r w:rsidR="00FD01D4" w:rsidRPr="008F6570">
        <w:rPr>
          <w:sz w:val="22"/>
          <w:szCs w:val="22"/>
        </w:rPr>
        <w:t xml:space="preserve"> hours</w:t>
      </w:r>
    </w:p>
    <w:p w:rsidR="00C64077" w:rsidRPr="008F6570" w:rsidRDefault="00FD01D4" w:rsidP="00D4112F">
      <w:pPr>
        <w:suppressAutoHyphens/>
        <w:ind w:left="360"/>
        <w:rPr>
          <w:sz w:val="22"/>
          <w:szCs w:val="22"/>
        </w:rPr>
      </w:pPr>
      <w:r w:rsidRPr="008F6570">
        <w:rPr>
          <w:sz w:val="22"/>
          <w:szCs w:val="22"/>
        </w:rPr>
        <w:t xml:space="preserve">1,425 hours x $17 per hour = </w:t>
      </w:r>
      <w:r w:rsidRPr="008F6570">
        <w:rPr>
          <w:b/>
          <w:sz w:val="22"/>
          <w:szCs w:val="22"/>
        </w:rPr>
        <w:t>$24,225</w:t>
      </w:r>
      <w:r w:rsidRPr="008F6570">
        <w:rPr>
          <w:sz w:val="22"/>
          <w:szCs w:val="22"/>
        </w:rPr>
        <w:t xml:space="preserve"> </w:t>
      </w:r>
    </w:p>
    <w:p w:rsidR="00C64077" w:rsidRPr="008F6570" w:rsidRDefault="00C64077" w:rsidP="00D4112F">
      <w:pPr>
        <w:suppressAutoHyphens/>
        <w:ind w:left="360"/>
        <w:rPr>
          <w:sz w:val="22"/>
          <w:szCs w:val="22"/>
        </w:rPr>
      </w:pPr>
    </w:p>
    <w:p w:rsidR="002B00C9" w:rsidRPr="008F6570" w:rsidRDefault="00D4112F" w:rsidP="00D4112F">
      <w:pPr>
        <w:suppressAutoHyphens/>
        <w:ind w:left="360"/>
        <w:rPr>
          <w:sz w:val="22"/>
          <w:szCs w:val="22"/>
        </w:rPr>
      </w:pPr>
      <w:r w:rsidRPr="008F6570">
        <w:rPr>
          <w:b/>
          <w:sz w:val="22"/>
          <w:szCs w:val="22"/>
        </w:rPr>
        <w:t>TOTAL ANNUAL IN-HOUSE COST: $</w:t>
      </w:r>
      <w:r w:rsidR="00FD01D4" w:rsidRPr="008F6570">
        <w:rPr>
          <w:b/>
          <w:sz w:val="22"/>
          <w:szCs w:val="22"/>
        </w:rPr>
        <w:t>847,770 + $24,225</w:t>
      </w:r>
      <w:r w:rsidR="00FD01D4" w:rsidRPr="008F6570">
        <w:rPr>
          <w:sz w:val="22"/>
          <w:szCs w:val="22"/>
        </w:rPr>
        <w:t xml:space="preserve"> =</w:t>
      </w:r>
      <w:r w:rsidR="00FD01D4" w:rsidRPr="008F6570">
        <w:rPr>
          <w:b/>
          <w:sz w:val="22"/>
          <w:szCs w:val="22"/>
        </w:rPr>
        <w:t xml:space="preserve"> $871,995  </w:t>
      </w:r>
    </w:p>
    <w:p w:rsidR="002B00C9" w:rsidRPr="008F6570" w:rsidRDefault="002B00C9" w:rsidP="002B00C9">
      <w:pPr>
        <w:pStyle w:val="ListParagraph"/>
        <w:rPr>
          <w:sz w:val="22"/>
          <w:szCs w:val="22"/>
        </w:rPr>
      </w:pPr>
    </w:p>
    <w:p w:rsidR="008F07AE" w:rsidRPr="008F6570" w:rsidRDefault="008F07AE" w:rsidP="008F07AE">
      <w:pPr>
        <w:numPr>
          <w:ilvl w:val="0"/>
          <w:numId w:val="13"/>
        </w:numPr>
        <w:suppressAutoHyphens/>
        <w:rPr>
          <w:sz w:val="22"/>
          <w:szCs w:val="22"/>
        </w:rPr>
      </w:pPr>
      <w:r w:rsidRPr="008F6570">
        <w:rPr>
          <w:sz w:val="22"/>
          <w:szCs w:val="22"/>
        </w:rPr>
        <w:t>The Commission estimates that 5% of the filing work will be contracted to a third party, such as a law firm or application preparer.  The Commission expects that a majority of the work will be performed by a paralegal or equivalent with some attorney review.  Assuming $125 an hour for a paralegal and $300 an hour for attorney work, we estimate a blended rate of $175 per hour.</w:t>
      </w:r>
    </w:p>
    <w:p w:rsidR="008F07AE" w:rsidRPr="008F6570" w:rsidRDefault="008F07AE" w:rsidP="008F07AE">
      <w:pPr>
        <w:pStyle w:val="BodyText2"/>
        <w:ind w:left="360"/>
        <w:rPr>
          <w:sz w:val="22"/>
          <w:szCs w:val="22"/>
        </w:rPr>
      </w:pPr>
    </w:p>
    <w:p w:rsidR="008F07AE" w:rsidRPr="008F6570" w:rsidRDefault="008F07AE" w:rsidP="008F07AE">
      <w:pPr>
        <w:pStyle w:val="BodyText2"/>
        <w:ind w:firstLine="360"/>
        <w:rPr>
          <w:sz w:val="22"/>
          <w:szCs w:val="22"/>
        </w:rPr>
      </w:pPr>
      <w:r w:rsidRPr="008F6570">
        <w:rPr>
          <w:snapToGrid/>
          <w:sz w:val="22"/>
          <w:szCs w:val="22"/>
        </w:rPr>
        <w:t xml:space="preserve">57,000 </w:t>
      </w:r>
      <w:r w:rsidRPr="008F6570">
        <w:rPr>
          <w:sz w:val="22"/>
          <w:szCs w:val="22"/>
        </w:rPr>
        <w:t>responses x .05 x .50 hours = 1,425 hours</w:t>
      </w:r>
    </w:p>
    <w:p w:rsidR="008F07AE" w:rsidRPr="008F6570" w:rsidRDefault="008F07AE" w:rsidP="008F07AE">
      <w:pPr>
        <w:pStyle w:val="BodyText2"/>
        <w:ind w:left="360"/>
        <w:rPr>
          <w:sz w:val="22"/>
          <w:szCs w:val="22"/>
        </w:rPr>
      </w:pPr>
      <w:r w:rsidRPr="008F6570">
        <w:rPr>
          <w:sz w:val="22"/>
          <w:szCs w:val="22"/>
        </w:rPr>
        <w:t>1,425 hours x $175 an hour = $249,375</w:t>
      </w:r>
    </w:p>
    <w:p w:rsidR="008F07AE" w:rsidRPr="008F6570" w:rsidRDefault="008F07AE" w:rsidP="008F07AE">
      <w:pPr>
        <w:pStyle w:val="BodyText2"/>
        <w:ind w:left="360"/>
        <w:rPr>
          <w:color w:val="FF0000"/>
          <w:sz w:val="22"/>
          <w:szCs w:val="22"/>
        </w:rPr>
      </w:pPr>
    </w:p>
    <w:p w:rsidR="008F07AE" w:rsidRPr="008F6570" w:rsidRDefault="008F07AE" w:rsidP="008F07AE">
      <w:pPr>
        <w:pStyle w:val="BodyText2"/>
        <w:ind w:left="360"/>
        <w:rPr>
          <w:color w:val="FF0000"/>
          <w:sz w:val="22"/>
          <w:szCs w:val="22"/>
        </w:rPr>
      </w:pPr>
    </w:p>
    <w:p w:rsidR="008F07AE" w:rsidRPr="008F6570" w:rsidRDefault="008F07AE" w:rsidP="008F07AE">
      <w:pPr>
        <w:pStyle w:val="BodyText2"/>
        <w:ind w:left="360"/>
        <w:rPr>
          <w:sz w:val="22"/>
          <w:szCs w:val="22"/>
        </w:rPr>
      </w:pPr>
      <w:r w:rsidRPr="008F6570">
        <w:rPr>
          <w:sz w:val="22"/>
          <w:szCs w:val="22"/>
        </w:rPr>
        <w:t xml:space="preserve">1,650 responses subject to the environmental notification process, </w:t>
      </w:r>
      <w:r w:rsidRPr="008F6570">
        <w:rPr>
          <w:snapToGrid/>
          <w:sz w:val="22"/>
          <w:szCs w:val="22"/>
        </w:rPr>
        <w:t>will require a field survey which requires 5 hours of contracted biological services</w:t>
      </w:r>
      <w:r w:rsidRPr="008F6570">
        <w:rPr>
          <w:sz w:val="22"/>
          <w:szCs w:val="22"/>
        </w:rPr>
        <w:t>. In addition, a</w:t>
      </w:r>
      <w:r w:rsidRPr="008F6570">
        <w:rPr>
          <w:snapToGrid/>
          <w:sz w:val="22"/>
          <w:szCs w:val="22"/>
        </w:rPr>
        <w:t xml:space="preserve">pproximately 120 responses requiring an Environmental Assessment will require 60 hours of contracted biological services. </w:t>
      </w:r>
      <w:r w:rsidRPr="008F6570" w:rsidDel="00B06850">
        <w:rPr>
          <w:sz w:val="22"/>
          <w:szCs w:val="22"/>
        </w:rPr>
        <w:t xml:space="preserve"> </w:t>
      </w:r>
      <w:r w:rsidRPr="008F6570">
        <w:rPr>
          <w:sz w:val="22"/>
          <w:szCs w:val="22"/>
        </w:rPr>
        <w:t>The Commission estimates that the cost of biological services is $60 per hour.</w:t>
      </w:r>
    </w:p>
    <w:p w:rsidR="008F07AE" w:rsidRPr="008F6570" w:rsidRDefault="008F07AE" w:rsidP="008F07AE">
      <w:pPr>
        <w:pStyle w:val="BodyText2"/>
        <w:ind w:left="360"/>
        <w:rPr>
          <w:sz w:val="22"/>
          <w:szCs w:val="22"/>
        </w:rPr>
      </w:pPr>
    </w:p>
    <w:p w:rsidR="008F07AE" w:rsidRPr="008F6570" w:rsidRDefault="008F07AE" w:rsidP="008F07AE">
      <w:pPr>
        <w:pStyle w:val="BodyText2"/>
        <w:ind w:left="360"/>
        <w:rPr>
          <w:sz w:val="22"/>
          <w:szCs w:val="22"/>
        </w:rPr>
      </w:pPr>
      <w:r w:rsidRPr="008F6570">
        <w:rPr>
          <w:sz w:val="22"/>
          <w:szCs w:val="22"/>
        </w:rPr>
        <w:t>1,650 x 5 hours x $60 an hour = $495,000</w:t>
      </w:r>
    </w:p>
    <w:p w:rsidR="008F07AE" w:rsidRPr="008F6570" w:rsidRDefault="008F07AE" w:rsidP="008F07AE">
      <w:pPr>
        <w:pStyle w:val="BodyText2"/>
        <w:ind w:left="360"/>
        <w:rPr>
          <w:sz w:val="22"/>
          <w:szCs w:val="22"/>
        </w:rPr>
      </w:pPr>
      <w:r w:rsidRPr="008F6570">
        <w:rPr>
          <w:sz w:val="22"/>
          <w:szCs w:val="22"/>
        </w:rPr>
        <w:t>120 responses x 60 hours x $60 an hour = $432,000</w:t>
      </w:r>
    </w:p>
    <w:p w:rsidR="008F07AE" w:rsidRPr="008F6570" w:rsidRDefault="008F07AE" w:rsidP="008F07AE">
      <w:pPr>
        <w:pStyle w:val="BodyText2"/>
        <w:ind w:left="360"/>
        <w:rPr>
          <w:sz w:val="22"/>
          <w:szCs w:val="22"/>
        </w:rPr>
      </w:pPr>
    </w:p>
    <w:p w:rsidR="008F07AE" w:rsidRPr="008F6570" w:rsidRDefault="008F07AE" w:rsidP="008F07AE">
      <w:pPr>
        <w:pStyle w:val="BodyText2"/>
        <w:ind w:firstLine="360"/>
        <w:rPr>
          <w:b/>
          <w:sz w:val="22"/>
          <w:szCs w:val="22"/>
        </w:rPr>
      </w:pPr>
      <w:r w:rsidRPr="008F6570">
        <w:rPr>
          <w:b/>
          <w:sz w:val="22"/>
          <w:szCs w:val="22"/>
        </w:rPr>
        <w:t>TOTAL ANNUAL COST BURDEN: $249,375 + $495,000 + $432,000 = $1,176,375.</w:t>
      </w:r>
    </w:p>
    <w:p w:rsidR="008F07AE" w:rsidRPr="008F6570" w:rsidRDefault="008F07AE" w:rsidP="008F07AE">
      <w:pPr>
        <w:pStyle w:val="BodyText2"/>
        <w:rPr>
          <w:b/>
          <w:sz w:val="22"/>
          <w:szCs w:val="22"/>
        </w:rPr>
      </w:pPr>
    </w:p>
    <w:p w:rsidR="008F07AE" w:rsidRPr="008F6570" w:rsidRDefault="008F07AE" w:rsidP="008F07AE">
      <w:pPr>
        <w:pStyle w:val="BodyText2"/>
        <w:numPr>
          <w:ilvl w:val="0"/>
          <w:numId w:val="13"/>
        </w:numPr>
        <w:rPr>
          <w:sz w:val="22"/>
          <w:szCs w:val="22"/>
        </w:rPr>
      </w:pPr>
      <w:r w:rsidRPr="008F6570">
        <w:rPr>
          <w:sz w:val="22"/>
          <w:szCs w:val="22"/>
        </w:rPr>
        <w:t>Cost to the Federal Government:</w:t>
      </w:r>
    </w:p>
    <w:p w:rsidR="008F07AE" w:rsidRPr="008F6570" w:rsidRDefault="008F07AE" w:rsidP="008F07AE">
      <w:pPr>
        <w:suppressAutoHyphens/>
        <w:rPr>
          <w:sz w:val="22"/>
          <w:szCs w:val="22"/>
        </w:rPr>
      </w:pPr>
    </w:p>
    <w:p w:rsidR="008F07AE" w:rsidRPr="008F6570" w:rsidRDefault="008F07AE" w:rsidP="008F07AE">
      <w:pPr>
        <w:suppressAutoHyphens/>
        <w:ind w:left="360"/>
        <w:rPr>
          <w:sz w:val="22"/>
          <w:szCs w:val="22"/>
        </w:rPr>
      </w:pPr>
      <w:r w:rsidRPr="008F6570">
        <w:rPr>
          <w:sz w:val="22"/>
          <w:szCs w:val="22"/>
        </w:rPr>
        <w:t>Approximately 1% of responses are filed manually.  These are keyed and filed by a contractor in about 10 minutes per application, at approximately $35 per hour.</w:t>
      </w:r>
    </w:p>
    <w:p w:rsidR="008F07AE" w:rsidRPr="008F6570" w:rsidRDefault="008F07AE" w:rsidP="008F07AE">
      <w:pPr>
        <w:suppressAutoHyphens/>
        <w:rPr>
          <w:sz w:val="22"/>
          <w:szCs w:val="22"/>
        </w:rPr>
      </w:pPr>
    </w:p>
    <w:p w:rsidR="008F07AE" w:rsidRPr="008F6570" w:rsidRDefault="008F07AE" w:rsidP="008F07AE">
      <w:pPr>
        <w:suppressAutoHyphens/>
        <w:ind w:left="360"/>
        <w:rPr>
          <w:sz w:val="22"/>
          <w:szCs w:val="22"/>
        </w:rPr>
      </w:pPr>
      <w:r w:rsidRPr="008F6570">
        <w:rPr>
          <w:snapToGrid/>
          <w:sz w:val="22"/>
          <w:szCs w:val="22"/>
        </w:rPr>
        <w:t xml:space="preserve">57,000 </w:t>
      </w:r>
      <w:r w:rsidRPr="008F6570">
        <w:rPr>
          <w:sz w:val="22"/>
          <w:szCs w:val="22"/>
        </w:rPr>
        <w:t xml:space="preserve">responses annual responses x .01 = 570 annual responses </w:t>
      </w:r>
    </w:p>
    <w:p w:rsidR="008F07AE" w:rsidRPr="008F6570" w:rsidRDefault="008F07AE" w:rsidP="008F07AE">
      <w:pPr>
        <w:suppressAutoHyphens/>
        <w:ind w:left="360"/>
        <w:rPr>
          <w:sz w:val="22"/>
          <w:szCs w:val="22"/>
        </w:rPr>
      </w:pPr>
      <w:r w:rsidRPr="008F6570">
        <w:rPr>
          <w:sz w:val="22"/>
          <w:szCs w:val="22"/>
        </w:rPr>
        <w:t>570 annual responses x $35 per hour x .166 hour = $3,312</w:t>
      </w:r>
    </w:p>
    <w:p w:rsidR="008F07AE" w:rsidRPr="008F6570" w:rsidRDefault="008F07AE" w:rsidP="008F07AE">
      <w:pPr>
        <w:suppressAutoHyphens/>
        <w:ind w:left="360"/>
        <w:rPr>
          <w:sz w:val="22"/>
          <w:szCs w:val="22"/>
        </w:rPr>
      </w:pPr>
    </w:p>
    <w:p w:rsidR="008F07AE" w:rsidRPr="008F6570" w:rsidRDefault="008F07AE" w:rsidP="008F07AE">
      <w:pPr>
        <w:suppressAutoHyphens/>
        <w:ind w:left="360"/>
        <w:rPr>
          <w:sz w:val="22"/>
          <w:szCs w:val="22"/>
        </w:rPr>
      </w:pPr>
      <w:r w:rsidRPr="008F6570">
        <w:rPr>
          <w:sz w:val="22"/>
          <w:szCs w:val="22"/>
        </w:rPr>
        <w:t>A GS-11 Step 5 Industry Analyst will review responses subject to the Environmental Notification Process.  The review time will average 15 minutes per response subject to review.</w:t>
      </w:r>
    </w:p>
    <w:p w:rsidR="008F07AE" w:rsidRPr="008F6570" w:rsidRDefault="008F07AE" w:rsidP="008F07AE">
      <w:pPr>
        <w:suppressAutoHyphens/>
        <w:ind w:left="360"/>
        <w:rPr>
          <w:color w:val="FF0000"/>
          <w:sz w:val="22"/>
          <w:szCs w:val="22"/>
        </w:rPr>
      </w:pPr>
    </w:p>
    <w:p w:rsidR="008F07AE" w:rsidRPr="008F6570" w:rsidRDefault="008F07AE" w:rsidP="008F07AE">
      <w:pPr>
        <w:suppressAutoHyphens/>
        <w:ind w:left="360"/>
        <w:rPr>
          <w:color w:val="FF0000"/>
          <w:sz w:val="22"/>
          <w:szCs w:val="22"/>
        </w:rPr>
      </w:pPr>
      <w:r w:rsidRPr="008F6570">
        <w:rPr>
          <w:sz w:val="22"/>
          <w:szCs w:val="22"/>
        </w:rPr>
        <w:t>8,250 annual responses x .25 hours x $3</w:t>
      </w:r>
      <w:r w:rsidR="00C44D93" w:rsidRPr="008F6570">
        <w:rPr>
          <w:sz w:val="22"/>
          <w:szCs w:val="22"/>
        </w:rPr>
        <w:t>5</w:t>
      </w:r>
      <w:r w:rsidRPr="008F6570">
        <w:rPr>
          <w:sz w:val="22"/>
          <w:szCs w:val="22"/>
        </w:rPr>
        <w:t xml:space="preserve"> per hour (rounded) = $</w:t>
      </w:r>
      <w:r w:rsidR="00C44D93" w:rsidRPr="008F6570">
        <w:rPr>
          <w:sz w:val="22"/>
          <w:szCs w:val="22"/>
        </w:rPr>
        <w:t>72,188</w:t>
      </w:r>
    </w:p>
    <w:p w:rsidR="008F07AE" w:rsidRPr="008F6570" w:rsidRDefault="008F07AE" w:rsidP="008F07AE">
      <w:pPr>
        <w:suppressAutoHyphens/>
        <w:ind w:left="360"/>
        <w:rPr>
          <w:color w:val="FF0000"/>
          <w:sz w:val="22"/>
          <w:szCs w:val="22"/>
        </w:rPr>
      </w:pPr>
    </w:p>
    <w:p w:rsidR="008F07AE" w:rsidRPr="008F6570" w:rsidRDefault="008F07AE" w:rsidP="008F07AE">
      <w:pPr>
        <w:suppressAutoHyphens/>
        <w:ind w:left="360"/>
        <w:rPr>
          <w:sz w:val="22"/>
          <w:szCs w:val="22"/>
        </w:rPr>
      </w:pPr>
      <w:r w:rsidRPr="008F6570">
        <w:rPr>
          <w:sz w:val="22"/>
          <w:szCs w:val="22"/>
        </w:rPr>
        <w:t xml:space="preserve">A GS-14 Step 5 Biologist (or contract equivalent) will, on average, spend approximately 2 hours </w:t>
      </w:r>
      <w:r w:rsidRPr="008F6570">
        <w:rPr>
          <w:sz w:val="22"/>
          <w:szCs w:val="22"/>
        </w:rPr>
        <w:lastRenderedPageBreak/>
        <w:t xml:space="preserve">reviewing Environmental Assessments that contain biological </w:t>
      </w:r>
      <w:r w:rsidR="004F2311" w:rsidRPr="008F6570">
        <w:rPr>
          <w:sz w:val="22"/>
          <w:szCs w:val="22"/>
        </w:rPr>
        <w:t>analysis</w:t>
      </w:r>
      <w:r w:rsidRPr="008F6570">
        <w:rPr>
          <w:sz w:val="22"/>
          <w:szCs w:val="22"/>
        </w:rPr>
        <w:t>.</w:t>
      </w:r>
    </w:p>
    <w:p w:rsidR="008F07AE" w:rsidRPr="008F6570" w:rsidRDefault="008F07AE" w:rsidP="008F07AE">
      <w:pPr>
        <w:suppressAutoHyphens/>
        <w:ind w:left="360"/>
        <w:rPr>
          <w:sz w:val="22"/>
          <w:szCs w:val="22"/>
        </w:rPr>
      </w:pPr>
    </w:p>
    <w:p w:rsidR="008F07AE" w:rsidRPr="008F6570" w:rsidRDefault="008F07AE" w:rsidP="008F07AE">
      <w:pPr>
        <w:suppressAutoHyphens/>
        <w:ind w:left="360"/>
        <w:rPr>
          <w:color w:val="FF0000"/>
          <w:sz w:val="22"/>
          <w:szCs w:val="22"/>
        </w:rPr>
      </w:pPr>
      <w:r w:rsidRPr="008F6570">
        <w:rPr>
          <w:sz w:val="22"/>
          <w:szCs w:val="22"/>
        </w:rPr>
        <w:t>120 responses x 2 hours x $58 per hour (rounded) = $13,920</w:t>
      </w:r>
    </w:p>
    <w:p w:rsidR="008F07AE" w:rsidRPr="008F6570" w:rsidRDefault="008F07AE" w:rsidP="008F07AE">
      <w:pPr>
        <w:suppressAutoHyphens/>
        <w:ind w:left="360"/>
        <w:rPr>
          <w:color w:val="FF0000"/>
          <w:sz w:val="22"/>
          <w:szCs w:val="22"/>
        </w:rPr>
      </w:pPr>
    </w:p>
    <w:p w:rsidR="008F07AE" w:rsidRPr="008F6570" w:rsidRDefault="008F07AE" w:rsidP="008F07AE">
      <w:pPr>
        <w:suppressAutoHyphens/>
        <w:ind w:left="360"/>
        <w:rPr>
          <w:sz w:val="22"/>
          <w:szCs w:val="22"/>
        </w:rPr>
      </w:pPr>
      <w:r w:rsidRPr="008F6570">
        <w:rPr>
          <w:sz w:val="22"/>
          <w:szCs w:val="22"/>
        </w:rPr>
        <w:t>Approximately 10% of a GS-13 Step 5 Program Analyst’s time is devoted to the oversight and maintenance of the automated processing system, including processing applications that cannot be processed by automated means.</w:t>
      </w:r>
    </w:p>
    <w:p w:rsidR="008F07AE" w:rsidRPr="008F6570" w:rsidRDefault="008F07AE" w:rsidP="008F07AE">
      <w:pPr>
        <w:suppressAutoHyphens/>
        <w:ind w:left="360"/>
        <w:rPr>
          <w:sz w:val="22"/>
          <w:szCs w:val="22"/>
        </w:rPr>
      </w:pPr>
    </w:p>
    <w:p w:rsidR="008F07AE" w:rsidRPr="008F6570" w:rsidRDefault="008F07AE" w:rsidP="008F07AE">
      <w:pPr>
        <w:suppressAutoHyphens/>
        <w:ind w:left="360"/>
        <w:rPr>
          <w:color w:val="FF0000"/>
          <w:sz w:val="22"/>
          <w:szCs w:val="22"/>
        </w:rPr>
      </w:pPr>
      <w:r w:rsidRPr="008F6570">
        <w:rPr>
          <w:sz w:val="22"/>
          <w:szCs w:val="22"/>
        </w:rPr>
        <w:t>$</w:t>
      </w:r>
      <w:r w:rsidR="00C44D93" w:rsidRPr="008F6570">
        <w:rPr>
          <w:sz w:val="22"/>
          <w:szCs w:val="22"/>
        </w:rPr>
        <w:t>102,932</w:t>
      </w:r>
      <w:r w:rsidRPr="008F6570">
        <w:rPr>
          <w:sz w:val="22"/>
          <w:szCs w:val="22"/>
        </w:rPr>
        <w:t xml:space="preserve"> annual salary x .10 = $</w:t>
      </w:r>
      <w:r w:rsidR="00C44D93" w:rsidRPr="008F6570">
        <w:rPr>
          <w:sz w:val="22"/>
          <w:szCs w:val="22"/>
        </w:rPr>
        <w:t>10,293</w:t>
      </w:r>
    </w:p>
    <w:p w:rsidR="008F07AE" w:rsidRPr="008F6570" w:rsidRDefault="008F07AE" w:rsidP="008F07AE">
      <w:pPr>
        <w:suppressAutoHyphens/>
        <w:ind w:left="360"/>
        <w:rPr>
          <w:color w:val="FF0000"/>
          <w:sz w:val="22"/>
          <w:szCs w:val="22"/>
        </w:rPr>
      </w:pPr>
    </w:p>
    <w:p w:rsidR="008F07AE" w:rsidRPr="008F6570" w:rsidRDefault="008F07AE" w:rsidP="008F07AE">
      <w:pPr>
        <w:suppressAutoHyphens/>
        <w:ind w:left="360"/>
        <w:rPr>
          <w:sz w:val="22"/>
          <w:szCs w:val="22"/>
        </w:rPr>
      </w:pPr>
      <w:r w:rsidRPr="008F6570">
        <w:rPr>
          <w:sz w:val="22"/>
          <w:szCs w:val="22"/>
        </w:rPr>
        <w:t>Approximately 5% of a GS-8 Step 5 Computer Operator’s time is devoted to output production.</w:t>
      </w:r>
    </w:p>
    <w:p w:rsidR="008F07AE" w:rsidRPr="008F6570" w:rsidRDefault="008F07AE" w:rsidP="008F07AE">
      <w:pPr>
        <w:suppressAutoHyphens/>
        <w:ind w:left="360"/>
        <w:rPr>
          <w:sz w:val="22"/>
          <w:szCs w:val="22"/>
        </w:rPr>
      </w:pPr>
    </w:p>
    <w:p w:rsidR="008F07AE" w:rsidRPr="008F6570" w:rsidRDefault="008F07AE" w:rsidP="008F07AE">
      <w:pPr>
        <w:suppressAutoHyphens/>
        <w:ind w:left="360"/>
        <w:rPr>
          <w:color w:val="FF0000"/>
          <w:sz w:val="22"/>
          <w:szCs w:val="22"/>
        </w:rPr>
      </w:pPr>
      <w:r w:rsidRPr="008F6570">
        <w:rPr>
          <w:sz w:val="22"/>
          <w:szCs w:val="22"/>
        </w:rPr>
        <w:t>$</w:t>
      </w:r>
      <w:r w:rsidR="00C44D93" w:rsidRPr="008F6570">
        <w:rPr>
          <w:sz w:val="22"/>
          <w:szCs w:val="22"/>
        </w:rPr>
        <w:t>54,044</w:t>
      </w:r>
      <w:r w:rsidRPr="008F6570">
        <w:rPr>
          <w:sz w:val="22"/>
          <w:szCs w:val="22"/>
        </w:rPr>
        <w:t xml:space="preserve"> annual salary x .05 = $</w:t>
      </w:r>
      <w:r w:rsidR="00C44D93" w:rsidRPr="008F6570">
        <w:rPr>
          <w:sz w:val="22"/>
          <w:szCs w:val="22"/>
        </w:rPr>
        <w:t>2,702</w:t>
      </w:r>
    </w:p>
    <w:p w:rsidR="008F07AE" w:rsidRPr="008F6570" w:rsidRDefault="008F07AE" w:rsidP="008F07AE">
      <w:pPr>
        <w:suppressAutoHyphens/>
        <w:ind w:left="360"/>
        <w:rPr>
          <w:color w:val="FF0000"/>
          <w:sz w:val="22"/>
          <w:szCs w:val="22"/>
        </w:rPr>
      </w:pPr>
    </w:p>
    <w:p w:rsidR="008F07AE" w:rsidRPr="008F6570" w:rsidRDefault="008F07AE" w:rsidP="008F07AE">
      <w:pPr>
        <w:suppressAutoHyphens/>
        <w:ind w:left="360"/>
        <w:rPr>
          <w:sz w:val="22"/>
          <w:szCs w:val="22"/>
        </w:rPr>
      </w:pPr>
      <w:r w:rsidRPr="008F6570">
        <w:rPr>
          <w:sz w:val="22"/>
          <w:szCs w:val="22"/>
        </w:rPr>
        <w:t>Cost to the Federal Government:  $3,312 + $</w:t>
      </w:r>
      <w:r w:rsidR="00C44D93" w:rsidRPr="008F6570">
        <w:rPr>
          <w:sz w:val="22"/>
          <w:szCs w:val="22"/>
        </w:rPr>
        <w:t>72,188</w:t>
      </w:r>
      <w:r w:rsidRPr="008F6570">
        <w:rPr>
          <w:color w:val="FF0000"/>
          <w:sz w:val="22"/>
          <w:szCs w:val="22"/>
        </w:rPr>
        <w:t xml:space="preserve"> </w:t>
      </w:r>
      <w:r w:rsidRPr="008F6570">
        <w:rPr>
          <w:sz w:val="22"/>
          <w:szCs w:val="22"/>
        </w:rPr>
        <w:t>+ $13,920 + $</w:t>
      </w:r>
      <w:r w:rsidR="00C44D93" w:rsidRPr="008F6570">
        <w:rPr>
          <w:sz w:val="22"/>
          <w:szCs w:val="22"/>
        </w:rPr>
        <w:t>10,293</w:t>
      </w:r>
      <w:r w:rsidRPr="008F6570">
        <w:rPr>
          <w:sz w:val="22"/>
          <w:szCs w:val="22"/>
        </w:rPr>
        <w:t xml:space="preserve"> + $</w:t>
      </w:r>
      <w:r w:rsidR="00C44D93" w:rsidRPr="008F6570">
        <w:rPr>
          <w:sz w:val="22"/>
          <w:szCs w:val="22"/>
        </w:rPr>
        <w:t>2,702</w:t>
      </w:r>
      <w:r w:rsidRPr="008F6570">
        <w:rPr>
          <w:sz w:val="22"/>
          <w:szCs w:val="22"/>
        </w:rPr>
        <w:t xml:space="preserve"> = $</w:t>
      </w:r>
      <w:r w:rsidR="00C44D93" w:rsidRPr="008F6570">
        <w:rPr>
          <w:sz w:val="22"/>
          <w:szCs w:val="22"/>
        </w:rPr>
        <w:t>102,415</w:t>
      </w:r>
    </w:p>
    <w:p w:rsidR="008F07AE" w:rsidRPr="008F6570" w:rsidRDefault="008F07AE" w:rsidP="008F07AE">
      <w:pPr>
        <w:suppressAutoHyphens/>
        <w:ind w:left="360"/>
        <w:rPr>
          <w:sz w:val="22"/>
          <w:szCs w:val="22"/>
        </w:rPr>
      </w:pPr>
    </w:p>
    <w:p w:rsidR="008F07AE" w:rsidRPr="008F6570" w:rsidRDefault="008F07AE" w:rsidP="008F07AE">
      <w:pPr>
        <w:suppressAutoHyphens/>
        <w:ind w:left="360"/>
        <w:rPr>
          <w:sz w:val="22"/>
          <w:szCs w:val="22"/>
        </w:rPr>
      </w:pPr>
      <w:r w:rsidRPr="008F6570">
        <w:rPr>
          <w:sz w:val="22"/>
          <w:szCs w:val="22"/>
        </w:rPr>
        <w:t xml:space="preserve">Sub-Total         </w:t>
      </w:r>
      <w:r w:rsidRPr="008F6570">
        <w:rPr>
          <w:sz w:val="22"/>
          <w:szCs w:val="22"/>
        </w:rPr>
        <w:tab/>
      </w:r>
      <w:r w:rsidRPr="008F6570">
        <w:rPr>
          <w:sz w:val="22"/>
          <w:szCs w:val="22"/>
        </w:rPr>
        <w:tab/>
        <w:t xml:space="preserve">   $</w:t>
      </w:r>
      <w:r w:rsidR="00C44D93" w:rsidRPr="008F6570">
        <w:rPr>
          <w:sz w:val="22"/>
          <w:szCs w:val="22"/>
        </w:rPr>
        <w:t>102,415</w:t>
      </w:r>
    </w:p>
    <w:p w:rsidR="008F07AE" w:rsidRPr="008F6570" w:rsidRDefault="008F07AE" w:rsidP="008F07AE">
      <w:pPr>
        <w:suppressAutoHyphens/>
        <w:ind w:left="360"/>
        <w:rPr>
          <w:sz w:val="22"/>
          <w:szCs w:val="22"/>
          <w:u w:val="single"/>
        </w:rPr>
      </w:pPr>
      <w:r w:rsidRPr="008F6570">
        <w:rPr>
          <w:sz w:val="22"/>
          <w:szCs w:val="22"/>
        </w:rPr>
        <w:t>Overhead Costs (25%)</w:t>
      </w:r>
      <w:r w:rsidRPr="008F6570">
        <w:rPr>
          <w:sz w:val="22"/>
          <w:szCs w:val="22"/>
        </w:rPr>
        <w:tab/>
        <w:t xml:space="preserve">   </w:t>
      </w:r>
      <w:r w:rsidRPr="008F6570">
        <w:rPr>
          <w:sz w:val="22"/>
          <w:szCs w:val="22"/>
          <w:u w:val="single"/>
        </w:rPr>
        <w:t xml:space="preserve">$  </w:t>
      </w:r>
      <w:r w:rsidR="00C44D93" w:rsidRPr="008F6570">
        <w:rPr>
          <w:sz w:val="22"/>
          <w:szCs w:val="22"/>
          <w:u w:val="single"/>
        </w:rPr>
        <w:t>25,604</w:t>
      </w:r>
    </w:p>
    <w:p w:rsidR="008F07AE" w:rsidRPr="008F6570" w:rsidRDefault="008F07AE" w:rsidP="008F07AE">
      <w:pPr>
        <w:suppressAutoHyphens/>
        <w:ind w:left="360"/>
        <w:rPr>
          <w:sz w:val="22"/>
          <w:szCs w:val="22"/>
        </w:rPr>
      </w:pPr>
      <w:r w:rsidRPr="008F6570">
        <w:rPr>
          <w:sz w:val="22"/>
          <w:szCs w:val="22"/>
        </w:rPr>
        <w:tab/>
      </w:r>
      <w:r w:rsidRPr="008F6570">
        <w:rPr>
          <w:sz w:val="22"/>
          <w:szCs w:val="22"/>
        </w:rPr>
        <w:tab/>
      </w:r>
      <w:r w:rsidRPr="008F6570">
        <w:rPr>
          <w:sz w:val="22"/>
          <w:szCs w:val="22"/>
        </w:rPr>
        <w:tab/>
      </w:r>
      <w:r w:rsidRPr="008F6570">
        <w:rPr>
          <w:sz w:val="22"/>
          <w:szCs w:val="22"/>
        </w:rPr>
        <w:tab/>
        <w:t xml:space="preserve">   $</w:t>
      </w:r>
      <w:r w:rsidR="00C44D93" w:rsidRPr="008F6570">
        <w:rPr>
          <w:sz w:val="22"/>
          <w:szCs w:val="22"/>
        </w:rPr>
        <w:t>128,019</w:t>
      </w:r>
    </w:p>
    <w:p w:rsidR="008F07AE" w:rsidRPr="008F6570" w:rsidRDefault="008F07AE" w:rsidP="008F07AE">
      <w:pPr>
        <w:suppressAutoHyphens/>
        <w:ind w:left="360"/>
        <w:rPr>
          <w:sz w:val="22"/>
          <w:szCs w:val="22"/>
        </w:rPr>
      </w:pPr>
    </w:p>
    <w:p w:rsidR="008F07AE" w:rsidRPr="000E5C80" w:rsidRDefault="008F07AE" w:rsidP="008F07AE">
      <w:pPr>
        <w:suppressAutoHyphens/>
        <w:ind w:left="360"/>
        <w:rPr>
          <w:b/>
          <w:sz w:val="22"/>
          <w:szCs w:val="22"/>
        </w:rPr>
      </w:pPr>
      <w:r w:rsidRPr="008F6570">
        <w:rPr>
          <w:b/>
          <w:sz w:val="22"/>
          <w:szCs w:val="22"/>
        </w:rPr>
        <w:t>TOTAL ANNUAL COST TO THE FEDERAL GOVERNMENT: $12</w:t>
      </w:r>
      <w:r w:rsidR="00C84CCF" w:rsidRPr="008F6570">
        <w:rPr>
          <w:b/>
          <w:sz w:val="22"/>
          <w:szCs w:val="22"/>
        </w:rPr>
        <w:t>8,019</w:t>
      </w:r>
      <w:r w:rsidRPr="008F6570">
        <w:rPr>
          <w:b/>
          <w:sz w:val="22"/>
          <w:szCs w:val="22"/>
        </w:rPr>
        <w:t>.</w:t>
      </w:r>
    </w:p>
    <w:p w:rsidR="00BB35AC" w:rsidRPr="00112EB5" w:rsidRDefault="00BB35AC" w:rsidP="00652810">
      <w:pPr>
        <w:suppressAutoHyphens/>
        <w:rPr>
          <w:sz w:val="22"/>
          <w:szCs w:val="22"/>
        </w:rPr>
      </w:pPr>
      <w:r w:rsidRPr="00112EB5">
        <w:rPr>
          <w:sz w:val="22"/>
          <w:szCs w:val="22"/>
        </w:rPr>
        <w:tab/>
      </w:r>
      <w:r w:rsidRPr="00112EB5">
        <w:rPr>
          <w:sz w:val="22"/>
          <w:szCs w:val="22"/>
        </w:rPr>
        <w:tab/>
      </w:r>
      <w:r w:rsidRPr="00112EB5">
        <w:rPr>
          <w:sz w:val="22"/>
          <w:szCs w:val="22"/>
        </w:rPr>
        <w:tab/>
      </w:r>
    </w:p>
    <w:p w:rsidR="008F07AE" w:rsidRPr="00C84CCF" w:rsidRDefault="008F07AE" w:rsidP="008F07AE">
      <w:pPr>
        <w:numPr>
          <w:ilvl w:val="0"/>
          <w:numId w:val="13"/>
        </w:numPr>
        <w:suppressAutoHyphens/>
        <w:rPr>
          <w:sz w:val="22"/>
          <w:szCs w:val="22"/>
        </w:rPr>
      </w:pPr>
      <w:r w:rsidRPr="00C84CCF">
        <w:rPr>
          <w:sz w:val="22"/>
          <w:szCs w:val="22"/>
        </w:rPr>
        <w:t xml:space="preserve">The Commission has adjustments to this collection and they are as follows: decrease of 100 to the number of respondents (from 2,500 to 2,400), an increase of 9,500 to the annual number of responses (from 47,500 to 57,000), an increase of </w:t>
      </w:r>
      <w:r w:rsidR="00BA49DB" w:rsidRPr="00C84CCF">
        <w:rPr>
          <w:sz w:val="22"/>
          <w:szCs w:val="22"/>
        </w:rPr>
        <w:t>4,302</w:t>
      </w:r>
      <w:r w:rsidRPr="00C84CCF">
        <w:rPr>
          <w:sz w:val="22"/>
          <w:szCs w:val="22"/>
        </w:rPr>
        <w:t xml:space="preserve"> in the annual</w:t>
      </w:r>
      <w:r w:rsidR="005A706D" w:rsidRPr="00C84CCF">
        <w:rPr>
          <w:sz w:val="22"/>
          <w:szCs w:val="22"/>
        </w:rPr>
        <w:t xml:space="preserve"> burden hours (from 21,345 to 25,647</w:t>
      </w:r>
      <w:r w:rsidRPr="00C84CCF">
        <w:rPr>
          <w:sz w:val="22"/>
          <w:szCs w:val="22"/>
        </w:rPr>
        <w:t xml:space="preserve">) and an increase in the annual cost of $200,650 (from $975,725 to $1,176,375).   These increases are due to an </w:t>
      </w:r>
      <w:r w:rsidRPr="00C84CCF">
        <w:rPr>
          <w:bCs/>
          <w:iCs/>
          <w:sz w:val="22"/>
          <w:szCs w:val="22"/>
        </w:rPr>
        <w:t>increase in the number of responses</w:t>
      </w:r>
      <w:r w:rsidRPr="00C84CCF">
        <w:rPr>
          <w:sz w:val="22"/>
          <w:szCs w:val="22"/>
        </w:rPr>
        <w:t xml:space="preserve"> and minor increases in hourly wages, not to the new exemption.  The increased burden is due only to an increase in the total number of responses, not the new exemption adopted in the Report and Order, FCC 14-153.  The revisions to Form 854 to implement the new exemption for temporary towers from environmental notification process will actually lower the number of responses that would otherwise be submitted without these revisions.  (In other words, the burden figures presented below are lower than they would be without the new exemption.)  Further, </w:t>
      </w:r>
      <w:r w:rsidRPr="00C84CCF">
        <w:rPr>
          <w:bCs/>
          <w:iCs/>
          <w:sz w:val="22"/>
          <w:szCs w:val="22"/>
        </w:rPr>
        <w:t>the Commission does not estimate any increase in the average burden per response due to the revisions to Form 854</w:t>
      </w:r>
      <w:r w:rsidRPr="00C84CCF">
        <w:rPr>
          <w:sz w:val="22"/>
          <w:szCs w:val="22"/>
        </w:rPr>
        <w:t xml:space="preserve">.  </w:t>
      </w:r>
    </w:p>
    <w:p w:rsidR="008F07AE" w:rsidRPr="00C84CCF" w:rsidRDefault="008F07AE" w:rsidP="008F07AE">
      <w:pPr>
        <w:tabs>
          <w:tab w:val="left" w:pos="360"/>
        </w:tabs>
        <w:suppressAutoHyphens/>
        <w:ind w:left="360"/>
        <w:rPr>
          <w:bCs/>
          <w:iCs/>
          <w:sz w:val="22"/>
          <w:szCs w:val="22"/>
        </w:rPr>
      </w:pPr>
    </w:p>
    <w:p w:rsidR="008F07AE" w:rsidRPr="009E39FE" w:rsidRDefault="008F07AE" w:rsidP="008F07AE">
      <w:pPr>
        <w:tabs>
          <w:tab w:val="left" w:pos="360"/>
        </w:tabs>
        <w:suppressAutoHyphens/>
        <w:ind w:left="360"/>
        <w:rPr>
          <w:bCs/>
          <w:iCs/>
          <w:sz w:val="22"/>
          <w:szCs w:val="22"/>
        </w:rPr>
      </w:pPr>
      <w:r w:rsidRPr="00C84CCF">
        <w:rPr>
          <w:bCs/>
          <w:iCs/>
          <w:sz w:val="22"/>
          <w:szCs w:val="22"/>
        </w:rPr>
        <w:t>There are no program changes to this collection.</w:t>
      </w:r>
    </w:p>
    <w:p w:rsidR="002B00C9" w:rsidRDefault="002B00C9" w:rsidP="002B00C9">
      <w:pPr>
        <w:suppressAutoHyphens/>
        <w:ind w:left="360"/>
        <w:rPr>
          <w:sz w:val="22"/>
          <w:szCs w:val="22"/>
        </w:rPr>
      </w:pPr>
    </w:p>
    <w:p w:rsidR="002B00C9" w:rsidRDefault="00BB35AC" w:rsidP="002B00C9">
      <w:pPr>
        <w:numPr>
          <w:ilvl w:val="0"/>
          <w:numId w:val="13"/>
        </w:numPr>
        <w:suppressAutoHyphens/>
        <w:rPr>
          <w:sz w:val="22"/>
          <w:szCs w:val="22"/>
        </w:rPr>
      </w:pPr>
      <w:r w:rsidRPr="002B00C9">
        <w:rPr>
          <w:sz w:val="22"/>
          <w:szCs w:val="22"/>
        </w:rPr>
        <w:t>The data will not be published for statistical use.</w:t>
      </w:r>
    </w:p>
    <w:p w:rsidR="002B00C9" w:rsidRDefault="002B00C9" w:rsidP="002B00C9">
      <w:pPr>
        <w:pStyle w:val="ListParagraph"/>
        <w:rPr>
          <w:sz w:val="22"/>
          <w:szCs w:val="22"/>
        </w:rPr>
      </w:pPr>
    </w:p>
    <w:p w:rsidR="002B00C9" w:rsidRDefault="00BB35AC" w:rsidP="002B00C9">
      <w:pPr>
        <w:numPr>
          <w:ilvl w:val="0"/>
          <w:numId w:val="13"/>
        </w:numPr>
        <w:suppressAutoHyphens/>
        <w:rPr>
          <w:sz w:val="22"/>
          <w:szCs w:val="22"/>
        </w:rPr>
      </w:pPr>
      <w:r w:rsidRPr="002B00C9">
        <w:rPr>
          <w:sz w:val="22"/>
          <w:szCs w:val="22"/>
        </w:rPr>
        <w:t>The Commission is requesting a continued waiver from displaying the OMB expiration date on the Form 854.  Granting this waiver will prevent the Commission from having to update computer versions and thus reduce waste.   All OMB-approved information collections are published in 47 C</w:t>
      </w:r>
      <w:r w:rsidR="00922839" w:rsidRPr="002B00C9">
        <w:rPr>
          <w:sz w:val="22"/>
          <w:szCs w:val="22"/>
        </w:rPr>
        <w:t>.</w:t>
      </w:r>
      <w:r w:rsidRPr="002B00C9">
        <w:rPr>
          <w:sz w:val="22"/>
          <w:szCs w:val="22"/>
        </w:rPr>
        <w:t>F</w:t>
      </w:r>
      <w:r w:rsidR="00922839" w:rsidRPr="002B00C9">
        <w:rPr>
          <w:sz w:val="22"/>
          <w:szCs w:val="22"/>
        </w:rPr>
        <w:t>.</w:t>
      </w:r>
      <w:r w:rsidRPr="002B00C9">
        <w:rPr>
          <w:sz w:val="22"/>
          <w:szCs w:val="22"/>
        </w:rPr>
        <w:t>R</w:t>
      </w:r>
      <w:r w:rsidR="00922839" w:rsidRPr="002B00C9">
        <w:rPr>
          <w:sz w:val="22"/>
          <w:szCs w:val="22"/>
        </w:rPr>
        <w:t>.</w:t>
      </w:r>
      <w:r w:rsidRPr="002B00C9">
        <w:rPr>
          <w:sz w:val="22"/>
          <w:szCs w:val="22"/>
        </w:rPr>
        <w:t xml:space="preserve"> </w:t>
      </w:r>
      <w:r w:rsidR="00922839" w:rsidRPr="002B00C9">
        <w:rPr>
          <w:sz w:val="22"/>
          <w:szCs w:val="22"/>
        </w:rPr>
        <w:t xml:space="preserve">§ </w:t>
      </w:r>
      <w:r w:rsidRPr="002B00C9">
        <w:rPr>
          <w:sz w:val="22"/>
          <w:szCs w:val="22"/>
        </w:rPr>
        <w:t>0.408.  This section includes the OMB control number, title of the collection and OMB expiration date.</w:t>
      </w:r>
    </w:p>
    <w:p w:rsidR="002B00C9" w:rsidRDefault="002B00C9" w:rsidP="002B00C9">
      <w:pPr>
        <w:pStyle w:val="ListParagraph"/>
        <w:rPr>
          <w:sz w:val="22"/>
          <w:szCs w:val="22"/>
        </w:rPr>
      </w:pPr>
    </w:p>
    <w:p w:rsidR="00BB35AC" w:rsidRPr="002B00C9" w:rsidRDefault="00586095" w:rsidP="002B00C9">
      <w:pPr>
        <w:numPr>
          <w:ilvl w:val="0"/>
          <w:numId w:val="13"/>
        </w:numPr>
        <w:suppressAutoHyphens/>
        <w:rPr>
          <w:sz w:val="22"/>
          <w:szCs w:val="22"/>
        </w:rPr>
      </w:pPr>
      <w:r>
        <w:rPr>
          <w:sz w:val="22"/>
          <w:szCs w:val="22"/>
        </w:rPr>
        <w:lastRenderedPageBreak/>
        <w:t xml:space="preserve">The Commission published a notice in the Federal Register on </w:t>
      </w:r>
      <w:r w:rsidRPr="00586095">
        <w:rPr>
          <w:sz w:val="22"/>
          <w:szCs w:val="22"/>
        </w:rPr>
        <w:t>November 9, 2014 (79 FR 69472)</w:t>
      </w:r>
      <w:r>
        <w:rPr>
          <w:sz w:val="22"/>
          <w:szCs w:val="22"/>
        </w:rPr>
        <w:t xml:space="preserve"> seeking PRA comments from the public on the information collection requirements that are contained in this collection</w:t>
      </w:r>
      <w:r w:rsidRPr="00586095">
        <w:rPr>
          <w:sz w:val="22"/>
          <w:szCs w:val="22"/>
        </w:rPr>
        <w:t xml:space="preserve">.  </w:t>
      </w:r>
      <w:r>
        <w:rPr>
          <w:sz w:val="22"/>
          <w:szCs w:val="22"/>
        </w:rPr>
        <w:t>In the notice, the Commission published the total annual burden hours as 24,222 hours.  After further review of the collection, the annual burden hours are corrected to read as 25,647 hours.  There are no other exception</w:t>
      </w:r>
      <w:r w:rsidR="00004FF0">
        <w:rPr>
          <w:sz w:val="22"/>
          <w:szCs w:val="22"/>
        </w:rPr>
        <w:t>s</w:t>
      </w:r>
      <w:r>
        <w:rPr>
          <w:sz w:val="22"/>
          <w:szCs w:val="22"/>
        </w:rPr>
        <w:t xml:space="preserve"> to the certification statement</w:t>
      </w:r>
      <w:r w:rsidRPr="00586095">
        <w:rPr>
          <w:sz w:val="22"/>
          <w:szCs w:val="22"/>
        </w:rPr>
        <w:t>.</w:t>
      </w:r>
    </w:p>
    <w:p w:rsidR="00BB35AC" w:rsidRPr="00112EB5" w:rsidRDefault="00BB35AC" w:rsidP="00652810">
      <w:pPr>
        <w:suppressAutoHyphens/>
        <w:rPr>
          <w:sz w:val="22"/>
          <w:szCs w:val="22"/>
        </w:rPr>
      </w:pPr>
    </w:p>
    <w:p w:rsidR="00BB35AC" w:rsidRPr="00112EB5" w:rsidRDefault="00BB35AC" w:rsidP="00652810">
      <w:pPr>
        <w:numPr>
          <w:ilvl w:val="0"/>
          <w:numId w:val="12"/>
        </w:numPr>
        <w:suppressAutoHyphens/>
        <w:rPr>
          <w:b/>
          <w:sz w:val="22"/>
          <w:szCs w:val="22"/>
          <w:u w:val="single"/>
        </w:rPr>
      </w:pPr>
      <w:r w:rsidRPr="00112EB5">
        <w:rPr>
          <w:b/>
          <w:sz w:val="22"/>
          <w:szCs w:val="22"/>
          <w:u w:val="single"/>
        </w:rPr>
        <w:t>Collections of Information Employing Statistical Methods:</w:t>
      </w:r>
    </w:p>
    <w:p w:rsidR="00BB35AC" w:rsidRPr="00112EB5" w:rsidRDefault="00BB35AC" w:rsidP="00652810">
      <w:pPr>
        <w:suppressAutoHyphens/>
        <w:rPr>
          <w:b/>
          <w:sz w:val="22"/>
          <w:szCs w:val="22"/>
        </w:rPr>
      </w:pPr>
    </w:p>
    <w:p w:rsidR="0063141B" w:rsidRPr="00112EB5" w:rsidRDefault="00BB35AC" w:rsidP="00652810">
      <w:pPr>
        <w:suppressAutoHyphens/>
        <w:ind w:firstLine="360"/>
        <w:rPr>
          <w:sz w:val="22"/>
          <w:szCs w:val="22"/>
        </w:rPr>
      </w:pPr>
      <w:r w:rsidRPr="00112EB5">
        <w:rPr>
          <w:sz w:val="22"/>
          <w:szCs w:val="22"/>
        </w:rPr>
        <w:t>This information collection does not use any statistical methods.</w:t>
      </w:r>
    </w:p>
    <w:sectPr w:rsidR="0063141B" w:rsidRPr="00112EB5" w:rsidSect="004E503F">
      <w:headerReference w:type="default" r:id="rId9"/>
      <w:footerReference w:type="even" r:id="rId10"/>
      <w:footerReference w:type="default" r:id="rId11"/>
      <w:endnotePr>
        <w:numFmt w:val="decimal"/>
      </w:endnotePr>
      <w:pgSz w:w="12240" w:h="15840"/>
      <w:pgMar w:top="1440" w:right="14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558" w:rsidRDefault="00CD2558">
      <w:pPr>
        <w:spacing w:line="20" w:lineRule="exact"/>
      </w:pPr>
    </w:p>
  </w:endnote>
  <w:endnote w:type="continuationSeparator" w:id="0">
    <w:p w:rsidR="00CD2558" w:rsidRDefault="00CD2558">
      <w:r>
        <w:t xml:space="preserve"> </w:t>
      </w:r>
    </w:p>
  </w:endnote>
  <w:endnote w:type="continuationNotice" w:id="1">
    <w:p w:rsidR="00CD2558" w:rsidRDefault="00CD25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A7" w:rsidRDefault="00E054A7" w:rsidP="00C62D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4A7" w:rsidRDefault="00E054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A7" w:rsidRPr="00541E1A" w:rsidRDefault="00E054A7" w:rsidP="00C62D6B">
    <w:pPr>
      <w:pStyle w:val="Footer"/>
      <w:framePr w:wrap="around" w:vAnchor="text" w:hAnchor="margin" w:xAlign="center" w:y="1"/>
      <w:rPr>
        <w:rStyle w:val="PageNumber"/>
        <w:sz w:val="20"/>
      </w:rPr>
    </w:pPr>
    <w:r w:rsidRPr="00541E1A">
      <w:rPr>
        <w:rStyle w:val="PageNumber"/>
        <w:sz w:val="20"/>
      </w:rPr>
      <w:fldChar w:fldCharType="begin"/>
    </w:r>
    <w:r w:rsidRPr="00541E1A">
      <w:rPr>
        <w:rStyle w:val="PageNumber"/>
        <w:sz w:val="20"/>
      </w:rPr>
      <w:instrText xml:space="preserve">PAGE  </w:instrText>
    </w:r>
    <w:r w:rsidRPr="00541E1A">
      <w:rPr>
        <w:rStyle w:val="PageNumber"/>
        <w:sz w:val="20"/>
      </w:rPr>
      <w:fldChar w:fldCharType="separate"/>
    </w:r>
    <w:r w:rsidR="00D963B3">
      <w:rPr>
        <w:rStyle w:val="PageNumber"/>
        <w:noProof/>
        <w:sz w:val="20"/>
      </w:rPr>
      <w:t>- 7 -</w:t>
    </w:r>
    <w:r w:rsidRPr="00541E1A">
      <w:rPr>
        <w:rStyle w:val="PageNumber"/>
        <w:sz w:val="20"/>
      </w:rPr>
      <w:fldChar w:fldCharType="end"/>
    </w:r>
  </w:p>
  <w:p w:rsidR="00E054A7" w:rsidRDefault="00E05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558" w:rsidRDefault="00CD2558">
      <w:r>
        <w:separator/>
      </w:r>
    </w:p>
  </w:footnote>
  <w:footnote w:type="continuationSeparator" w:id="0">
    <w:p w:rsidR="00CD2558" w:rsidRDefault="00CD2558">
      <w:r>
        <w:continuationSeparator/>
      </w:r>
    </w:p>
  </w:footnote>
  <w:footnote w:id="1">
    <w:p w:rsidR="00D4112F" w:rsidRPr="002645AE" w:rsidRDefault="00D4112F" w:rsidP="00D4112F">
      <w:pPr>
        <w:pStyle w:val="FootnoteText"/>
        <w:rPr>
          <w:sz w:val="20"/>
        </w:rPr>
      </w:pPr>
      <w:r w:rsidRPr="002645AE">
        <w:rPr>
          <w:rStyle w:val="FootnoteReference"/>
          <w:sz w:val="20"/>
        </w:rPr>
        <w:footnoteRef/>
      </w:r>
      <w:r w:rsidRPr="002645AE">
        <w:rPr>
          <w:sz w:val="20"/>
        </w:rPr>
        <w:t xml:space="preserve"> This total burden also accounts for the recordkeeping requirements for this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C6" w:rsidRPr="00643DC6" w:rsidRDefault="00643DC6" w:rsidP="00643DC6">
    <w:pPr>
      <w:pStyle w:val="Header"/>
      <w:rPr>
        <w:b/>
      </w:rPr>
    </w:pPr>
    <w:r w:rsidRPr="00643DC6">
      <w:rPr>
        <w:b/>
      </w:rPr>
      <w:t>Application for Antenna Structure Registration                                          3060-0139</w:t>
    </w:r>
  </w:p>
  <w:p w:rsidR="00643DC6" w:rsidRPr="00643DC6" w:rsidRDefault="00643DC6" w:rsidP="00643DC6">
    <w:pPr>
      <w:pStyle w:val="Header"/>
      <w:rPr>
        <w:b/>
      </w:rPr>
    </w:pPr>
    <w:r w:rsidRPr="00643DC6">
      <w:t xml:space="preserve"> </w:t>
    </w:r>
    <w:r w:rsidRPr="00643DC6">
      <w:rPr>
        <w:b/>
      </w:rPr>
      <w:t>FCC Form 854</w:t>
    </w:r>
    <w:r w:rsidRPr="00643DC6">
      <w:rPr>
        <w:b/>
      </w:rPr>
      <w:tab/>
      <w:t xml:space="preserve">              </w:t>
    </w:r>
    <w:r w:rsidRPr="00643DC6">
      <w:rPr>
        <w:b/>
      </w:rPr>
      <w:tab/>
      <w:t xml:space="preserve">     January 2015</w:t>
    </w:r>
  </w:p>
  <w:p w:rsidR="002B00C9" w:rsidRPr="00555797" w:rsidRDefault="002B00C9" w:rsidP="00643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DA4"/>
    <w:multiLevelType w:val="hybridMultilevel"/>
    <w:tmpl w:val="551C99CE"/>
    <w:lvl w:ilvl="0" w:tplc="A8F06CE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nsid w:val="18B62288"/>
    <w:multiLevelType w:val="hybridMultilevel"/>
    <w:tmpl w:val="0BF64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C269E1"/>
    <w:multiLevelType w:val="hybridMultilevel"/>
    <w:tmpl w:val="3A80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507A5"/>
    <w:multiLevelType w:val="hybridMultilevel"/>
    <w:tmpl w:val="F44EF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8670AA"/>
    <w:multiLevelType w:val="hybridMultilevel"/>
    <w:tmpl w:val="EED4C9FC"/>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8">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nsid w:val="2DFA1237"/>
    <w:multiLevelType w:val="hybridMultilevel"/>
    <w:tmpl w:val="E1EA8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602072"/>
    <w:multiLevelType w:val="singleLevel"/>
    <w:tmpl w:val="77CE809C"/>
    <w:lvl w:ilvl="0">
      <w:start w:val="1"/>
      <w:numFmt w:val="decimal"/>
      <w:lvlText w:val=" %1."/>
      <w:lvlJc w:val="left"/>
      <w:pPr>
        <w:tabs>
          <w:tab w:val="num" w:pos="882"/>
        </w:tabs>
        <w:ind w:left="882" w:hanging="432"/>
      </w:pPr>
    </w:lvl>
  </w:abstractNum>
  <w:abstractNum w:abstractNumId="11">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2">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3C746610"/>
    <w:multiLevelType w:val="hybridMultilevel"/>
    <w:tmpl w:val="7F320E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8B753B"/>
    <w:multiLevelType w:val="multilevel"/>
    <w:tmpl w:val="41142BAA"/>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9">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2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1">
    <w:nsid w:val="6BDA5C22"/>
    <w:multiLevelType w:val="hybridMultilevel"/>
    <w:tmpl w:val="9224E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3">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4">
    <w:nsid w:val="713C6A83"/>
    <w:multiLevelType w:val="hybridMultilevel"/>
    <w:tmpl w:val="FEC69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6">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7">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665120"/>
    <w:multiLevelType w:val="hybridMultilevel"/>
    <w:tmpl w:val="2EE2062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20"/>
  </w:num>
  <w:num w:numId="4">
    <w:abstractNumId w:val="23"/>
  </w:num>
  <w:num w:numId="5">
    <w:abstractNumId w:val="19"/>
  </w:num>
  <w:num w:numId="6">
    <w:abstractNumId w:val="11"/>
  </w:num>
  <w:num w:numId="7">
    <w:abstractNumId w:val="7"/>
  </w:num>
  <w:num w:numId="8">
    <w:abstractNumId w:val="2"/>
  </w:num>
  <w:num w:numId="9">
    <w:abstractNumId w:val="1"/>
  </w:num>
  <w:num w:numId="10">
    <w:abstractNumId w:val="26"/>
  </w:num>
  <w:num w:numId="11">
    <w:abstractNumId w:val="18"/>
  </w:num>
  <w:num w:numId="12">
    <w:abstractNumId w:val="25"/>
  </w:num>
  <w:num w:numId="13">
    <w:abstractNumId w:val="14"/>
  </w:num>
  <w:num w:numId="14">
    <w:abstractNumId w:val="8"/>
  </w:num>
  <w:num w:numId="15">
    <w:abstractNumId w:val="27"/>
  </w:num>
  <w:num w:numId="16">
    <w:abstractNumId w:val="16"/>
  </w:num>
  <w:num w:numId="17">
    <w:abstractNumId w:val="10"/>
  </w:num>
  <w:num w:numId="18">
    <w:abstractNumId w:val="0"/>
  </w:num>
  <w:num w:numId="19">
    <w:abstractNumId w:val="15"/>
  </w:num>
  <w:num w:numId="20">
    <w:abstractNumId w:val="17"/>
  </w:num>
  <w:num w:numId="21">
    <w:abstractNumId w:val="28"/>
  </w:num>
  <w:num w:numId="22">
    <w:abstractNumId w:val="6"/>
  </w:num>
  <w:num w:numId="23">
    <w:abstractNumId w:val="9"/>
  </w:num>
  <w:num w:numId="24">
    <w:abstractNumId w:val="3"/>
  </w:num>
  <w:num w:numId="25">
    <w:abstractNumId w:val="5"/>
  </w:num>
  <w:num w:numId="26">
    <w:abstractNumId w:val="21"/>
  </w:num>
  <w:num w:numId="27">
    <w:abstractNumId w:val="24"/>
  </w:num>
  <w:num w:numId="28">
    <w:abstractNumId w:val="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2EB2"/>
    <w:rsid w:val="00000634"/>
    <w:rsid w:val="00000C19"/>
    <w:rsid w:val="00001272"/>
    <w:rsid w:val="00004FF0"/>
    <w:rsid w:val="00006EF6"/>
    <w:rsid w:val="00007263"/>
    <w:rsid w:val="000210A1"/>
    <w:rsid w:val="0002152E"/>
    <w:rsid w:val="00022CA3"/>
    <w:rsid w:val="00031251"/>
    <w:rsid w:val="00042BCB"/>
    <w:rsid w:val="00043D87"/>
    <w:rsid w:val="0005165C"/>
    <w:rsid w:val="000548F1"/>
    <w:rsid w:val="00057906"/>
    <w:rsid w:val="00057FE3"/>
    <w:rsid w:val="000610D3"/>
    <w:rsid w:val="00061C56"/>
    <w:rsid w:val="0006274E"/>
    <w:rsid w:val="00064D89"/>
    <w:rsid w:val="00071FC0"/>
    <w:rsid w:val="00072730"/>
    <w:rsid w:val="00074BC1"/>
    <w:rsid w:val="0007641F"/>
    <w:rsid w:val="000765B8"/>
    <w:rsid w:val="0007747F"/>
    <w:rsid w:val="0008106C"/>
    <w:rsid w:val="000827D8"/>
    <w:rsid w:val="00083AFD"/>
    <w:rsid w:val="00091515"/>
    <w:rsid w:val="000A12BA"/>
    <w:rsid w:val="000A27FD"/>
    <w:rsid w:val="000A5074"/>
    <w:rsid w:val="000B56BC"/>
    <w:rsid w:val="000C2D48"/>
    <w:rsid w:val="000C368B"/>
    <w:rsid w:val="000C4E9D"/>
    <w:rsid w:val="000C6965"/>
    <w:rsid w:val="000D174C"/>
    <w:rsid w:val="000D1E49"/>
    <w:rsid w:val="000D7B51"/>
    <w:rsid w:val="000E5C80"/>
    <w:rsid w:val="000F58A6"/>
    <w:rsid w:val="001023B0"/>
    <w:rsid w:val="00107D83"/>
    <w:rsid w:val="00112EB5"/>
    <w:rsid w:val="00115884"/>
    <w:rsid w:val="00116A80"/>
    <w:rsid w:val="001217F0"/>
    <w:rsid w:val="00123C4F"/>
    <w:rsid w:val="00124191"/>
    <w:rsid w:val="00143BAE"/>
    <w:rsid w:val="00144599"/>
    <w:rsid w:val="0014630F"/>
    <w:rsid w:val="00147066"/>
    <w:rsid w:val="001522C2"/>
    <w:rsid w:val="00154E14"/>
    <w:rsid w:val="0016099B"/>
    <w:rsid w:val="001628C1"/>
    <w:rsid w:val="00164248"/>
    <w:rsid w:val="00164692"/>
    <w:rsid w:val="00167F07"/>
    <w:rsid w:val="00171E88"/>
    <w:rsid w:val="00172A54"/>
    <w:rsid w:val="00174131"/>
    <w:rsid w:val="00177771"/>
    <w:rsid w:val="001800F7"/>
    <w:rsid w:val="001811BA"/>
    <w:rsid w:val="00183108"/>
    <w:rsid w:val="00183839"/>
    <w:rsid w:val="00183C48"/>
    <w:rsid w:val="00185B87"/>
    <w:rsid w:val="00185D3C"/>
    <w:rsid w:val="00193BD0"/>
    <w:rsid w:val="001A497D"/>
    <w:rsid w:val="001B07E0"/>
    <w:rsid w:val="001B1B97"/>
    <w:rsid w:val="001B4062"/>
    <w:rsid w:val="001C4E66"/>
    <w:rsid w:val="001C6C3E"/>
    <w:rsid w:val="001D052C"/>
    <w:rsid w:val="001D0722"/>
    <w:rsid w:val="001D2BE0"/>
    <w:rsid w:val="001D3E07"/>
    <w:rsid w:val="001D4301"/>
    <w:rsid w:val="001D6E58"/>
    <w:rsid w:val="001E1885"/>
    <w:rsid w:val="001E1E95"/>
    <w:rsid w:val="001E5FC8"/>
    <w:rsid w:val="001E65BA"/>
    <w:rsid w:val="001F1C25"/>
    <w:rsid w:val="001F2F8D"/>
    <w:rsid w:val="001F7ADB"/>
    <w:rsid w:val="001F7FDB"/>
    <w:rsid w:val="002201A6"/>
    <w:rsid w:val="00227F06"/>
    <w:rsid w:val="002330E5"/>
    <w:rsid w:val="002358EE"/>
    <w:rsid w:val="002402EE"/>
    <w:rsid w:val="00240CD0"/>
    <w:rsid w:val="00242805"/>
    <w:rsid w:val="002460F0"/>
    <w:rsid w:val="00247496"/>
    <w:rsid w:val="00256CB6"/>
    <w:rsid w:val="002570F8"/>
    <w:rsid w:val="00257DAB"/>
    <w:rsid w:val="0026292E"/>
    <w:rsid w:val="00263D6B"/>
    <w:rsid w:val="002645AE"/>
    <w:rsid w:val="0026532F"/>
    <w:rsid w:val="00267A69"/>
    <w:rsid w:val="00274474"/>
    <w:rsid w:val="00276444"/>
    <w:rsid w:val="00277C21"/>
    <w:rsid w:val="0028293F"/>
    <w:rsid w:val="0028591E"/>
    <w:rsid w:val="00293746"/>
    <w:rsid w:val="002A0345"/>
    <w:rsid w:val="002A126D"/>
    <w:rsid w:val="002A1D6B"/>
    <w:rsid w:val="002A429B"/>
    <w:rsid w:val="002A73EB"/>
    <w:rsid w:val="002B00C9"/>
    <w:rsid w:val="002B1474"/>
    <w:rsid w:val="002B236E"/>
    <w:rsid w:val="002B263C"/>
    <w:rsid w:val="002C40FD"/>
    <w:rsid w:val="002C6E60"/>
    <w:rsid w:val="002D1714"/>
    <w:rsid w:val="002D5C69"/>
    <w:rsid w:val="002D5F0A"/>
    <w:rsid w:val="002E03C0"/>
    <w:rsid w:val="002E0814"/>
    <w:rsid w:val="002E35E6"/>
    <w:rsid w:val="002E45E0"/>
    <w:rsid w:val="002E495B"/>
    <w:rsid w:val="002E503E"/>
    <w:rsid w:val="002F12F0"/>
    <w:rsid w:val="002F4BF0"/>
    <w:rsid w:val="002F630C"/>
    <w:rsid w:val="00300B32"/>
    <w:rsid w:val="00301E89"/>
    <w:rsid w:val="003022DF"/>
    <w:rsid w:val="003034EE"/>
    <w:rsid w:val="00304211"/>
    <w:rsid w:val="00307497"/>
    <w:rsid w:val="003076D3"/>
    <w:rsid w:val="00312415"/>
    <w:rsid w:val="00315367"/>
    <w:rsid w:val="00315998"/>
    <w:rsid w:val="00315F23"/>
    <w:rsid w:val="00324CA5"/>
    <w:rsid w:val="00331D39"/>
    <w:rsid w:val="00333BE4"/>
    <w:rsid w:val="00334752"/>
    <w:rsid w:val="00337394"/>
    <w:rsid w:val="00341D5A"/>
    <w:rsid w:val="0034364A"/>
    <w:rsid w:val="0034694D"/>
    <w:rsid w:val="003506A7"/>
    <w:rsid w:val="003516B2"/>
    <w:rsid w:val="00355892"/>
    <w:rsid w:val="00355E56"/>
    <w:rsid w:val="00356BCC"/>
    <w:rsid w:val="00361BCB"/>
    <w:rsid w:val="00363478"/>
    <w:rsid w:val="00364004"/>
    <w:rsid w:val="00366292"/>
    <w:rsid w:val="0037077B"/>
    <w:rsid w:val="0037512C"/>
    <w:rsid w:val="00375646"/>
    <w:rsid w:val="00377334"/>
    <w:rsid w:val="00380AA0"/>
    <w:rsid w:val="00380C53"/>
    <w:rsid w:val="0038163D"/>
    <w:rsid w:val="00381E00"/>
    <w:rsid w:val="0038339A"/>
    <w:rsid w:val="0038470D"/>
    <w:rsid w:val="00385F82"/>
    <w:rsid w:val="0039081A"/>
    <w:rsid w:val="0039274D"/>
    <w:rsid w:val="00393769"/>
    <w:rsid w:val="00394145"/>
    <w:rsid w:val="00394797"/>
    <w:rsid w:val="00394984"/>
    <w:rsid w:val="003972EB"/>
    <w:rsid w:val="003A099D"/>
    <w:rsid w:val="003A11E5"/>
    <w:rsid w:val="003A1822"/>
    <w:rsid w:val="003A4575"/>
    <w:rsid w:val="003A550F"/>
    <w:rsid w:val="003B0CC3"/>
    <w:rsid w:val="003B4393"/>
    <w:rsid w:val="003B60C3"/>
    <w:rsid w:val="003B6637"/>
    <w:rsid w:val="003B6C1C"/>
    <w:rsid w:val="003C4BDA"/>
    <w:rsid w:val="003C5E71"/>
    <w:rsid w:val="003C6001"/>
    <w:rsid w:val="003D5FD7"/>
    <w:rsid w:val="003D79CA"/>
    <w:rsid w:val="003D7E70"/>
    <w:rsid w:val="003E6C25"/>
    <w:rsid w:val="003F17AA"/>
    <w:rsid w:val="003F79FC"/>
    <w:rsid w:val="0040027D"/>
    <w:rsid w:val="00411E77"/>
    <w:rsid w:val="004124D3"/>
    <w:rsid w:val="004124DD"/>
    <w:rsid w:val="00412926"/>
    <w:rsid w:val="0041321D"/>
    <w:rsid w:val="0041588C"/>
    <w:rsid w:val="00416AFB"/>
    <w:rsid w:val="0042271D"/>
    <w:rsid w:val="004229CD"/>
    <w:rsid w:val="004310F8"/>
    <w:rsid w:val="004318E0"/>
    <w:rsid w:val="00431A6A"/>
    <w:rsid w:val="00435B84"/>
    <w:rsid w:val="00441F96"/>
    <w:rsid w:val="004430D6"/>
    <w:rsid w:val="00447B5B"/>
    <w:rsid w:val="00452696"/>
    <w:rsid w:val="00452B92"/>
    <w:rsid w:val="00460C69"/>
    <w:rsid w:val="0046478C"/>
    <w:rsid w:val="004660A2"/>
    <w:rsid w:val="0047245A"/>
    <w:rsid w:val="00472BEE"/>
    <w:rsid w:val="00473B29"/>
    <w:rsid w:val="004822A8"/>
    <w:rsid w:val="00483CBE"/>
    <w:rsid w:val="00484A77"/>
    <w:rsid w:val="0049697F"/>
    <w:rsid w:val="004A27AC"/>
    <w:rsid w:val="004A3A6C"/>
    <w:rsid w:val="004A69B1"/>
    <w:rsid w:val="004A7C33"/>
    <w:rsid w:val="004B2D89"/>
    <w:rsid w:val="004B5E4D"/>
    <w:rsid w:val="004B7B7F"/>
    <w:rsid w:val="004B7E93"/>
    <w:rsid w:val="004C0778"/>
    <w:rsid w:val="004C078B"/>
    <w:rsid w:val="004C0B58"/>
    <w:rsid w:val="004C55A8"/>
    <w:rsid w:val="004C7CEC"/>
    <w:rsid w:val="004D0455"/>
    <w:rsid w:val="004D3799"/>
    <w:rsid w:val="004D5976"/>
    <w:rsid w:val="004D6FEA"/>
    <w:rsid w:val="004D7598"/>
    <w:rsid w:val="004E1401"/>
    <w:rsid w:val="004E503F"/>
    <w:rsid w:val="004E64C2"/>
    <w:rsid w:val="004F2162"/>
    <w:rsid w:val="004F2311"/>
    <w:rsid w:val="004F34E0"/>
    <w:rsid w:val="005002FE"/>
    <w:rsid w:val="00502ADE"/>
    <w:rsid w:val="00505042"/>
    <w:rsid w:val="00516C12"/>
    <w:rsid w:val="00517027"/>
    <w:rsid w:val="005171E5"/>
    <w:rsid w:val="00522EB2"/>
    <w:rsid w:val="00523BAA"/>
    <w:rsid w:val="00524D8E"/>
    <w:rsid w:val="00526854"/>
    <w:rsid w:val="0053000C"/>
    <w:rsid w:val="00535869"/>
    <w:rsid w:val="00541E1A"/>
    <w:rsid w:val="00552261"/>
    <w:rsid w:val="005527C4"/>
    <w:rsid w:val="00555797"/>
    <w:rsid w:val="00555A84"/>
    <w:rsid w:val="0056136F"/>
    <w:rsid w:val="0056365D"/>
    <w:rsid w:val="00563D54"/>
    <w:rsid w:val="005664E0"/>
    <w:rsid w:val="00572950"/>
    <w:rsid w:val="00575DEB"/>
    <w:rsid w:val="005859C6"/>
    <w:rsid w:val="00586095"/>
    <w:rsid w:val="0059427F"/>
    <w:rsid w:val="00596244"/>
    <w:rsid w:val="00597A41"/>
    <w:rsid w:val="005A17F3"/>
    <w:rsid w:val="005A706D"/>
    <w:rsid w:val="005A73FD"/>
    <w:rsid w:val="005B234A"/>
    <w:rsid w:val="005C225A"/>
    <w:rsid w:val="005C36E9"/>
    <w:rsid w:val="005C3B96"/>
    <w:rsid w:val="005D5176"/>
    <w:rsid w:val="005F0164"/>
    <w:rsid w:val="005F03A3"/>
    <w:rsid w:val="005F1C6F"/>
    <w:rsid w:val="005F5083"/>
    <w:rsid w:val="005F5781"/>
    <w:rsid w:val="005F595A"/>
    <w:rsid w:val="005F5D35"/>
    <w:rsid w:val="0060021B"/>
    <w:rsid w:val="00600A40"/>
    <w:rsid w:val="00605E98"/>
    <w:rsid w:val="00606940"/>
    <w:rsid w:val="00607C5B"/>
    <w:rsid w:val="00612277"/>
    <w:rsid w:val="0061411D"/>
    <w:rsid w:val="00616668"/>
    <w:rsid w:val="006229D2"/>
    <w:rsid w:val="0062620A"/>
    <w:rsid w:val="00631398"/>
    <w:rsid w:val="0063141B"/>
    <w:rsid w:val="006320C0"/>
    <w:rsid w:val="00632F58"/>
    <w:rsid w:val="00634E9B"/>
    <w:rsid w:val="00634F1B"/>
    <w:rsid w:val="006356AC"/>
    <w:rsid w:val="00643DC6"/>
    <w:rsid w:val="00646067"/>
    <w:rsid w:val="0064767E"/>
    <w:rsid w:val="00652810"/>
    <w:rsid w:val="006566A3"/>
    <w:rsid w:val="00656792"/>
    <w:rsid w:val="00657828"/>
    <w:rsid w:val="0066310E"/>
    <w:rsid w:val="00663A64"/>
    <w:rsid w:val="00667950"/>
    <w:rsid w:val="00670D0D"/>
    <w:rsid w:val="0067470C"/>
    <w:rsid w:val="0067560F"/>
    <w:rsid w:val="00682B0C"/>
    <w:rsid w:val="006836F2"/>
    <w:rsid w:val="00684957"/>
    <w:rsid w:val="00684FBC"/>
    <w:rsid w:val="0069123E"/>
    <w:rsid w:val="00691402"/>
    <w:rsid w:val="006916CE"/>
    <w:rsid w:val="0069211C"/>
    <w:rsid w:val="0069424E"/>
    <w:rsid w:val="0069518B"/>
    <w:rsid w:val="006A5763"/>
    <w:rsid w:val="006A7B76"/>
    <w:rsid w:val="006B0E84"/>
    <w:rsid w:val="006B1339"/>
    <w:rsid w:val="006B3258"/>
    <w:rsid w:val="006B5A0A"/>
    <w:rsid w:val="006B699C"/>
    <w:rsid w:val="006C062B"/>
    <w:rsid w:val="006C460B"/>
    <w:rsid w:val="006C7343"/>
    <w:rsid w:val="006D0BE5"/>
    <w:rsid w:val="006D5C50"/>
    <w:rsid w:val="006D6867"/>
    <w:rsid w:val="006E2F24"/>
    <w:rsid w:val="006E4B97"/>
    <w:rsid w:val="006E4BD3"/>
    <w:rsid w:val="006E5428"/>
    <w:rsid w:val="006E71F0"/>
    <w:rsid w:val="006E7334"/>
    <w:rsid w:val="006E7F3B"/>
    <w:rsid w:val="006E7F8E"/>
    <w:rsid w:val="006F0597"/>
    <w:rsid w:val="006F19BF"/>
    <w:rsid w:val="006F439C"/>
    <w:rsid w:val="006F4BE1"/>
    <w:rsid w:val="006F520B"/>
    <w:rsid w:val="006F7AD7"/>
    <w:rsid w:val="00701787"/>
    <w:rsid w:val="00707BFB"/>
    <w:rsid w:val="0071097B"/>
    <w:rsid w:val="00710FDC"/>
    <w:rsid w:val="0071530A"/>
    <w:rsid w:val="0071534F"/>
    <w:rsid w:val="007231C4"/>
    <w:rsid w:val="007233AE"/>
    <w:rsid w:val="00724E96"/>
    <w:rsid w:val="00724FC7"/>
    <w:rsid w:val="00727491"/>
    <w:rsid w:val="0072750E"/>
    <w:rsid w:val="00733ABC"/>
    <w:rsid w:val="0074417F"/>
    <w:rsid w:val="00752559"/>
    <w:rsid w:val="0076074B"/>
    <w:rsid w:val="00762153"/>
    <w:rsid w:val="00770B25"/>
    <w:rsid w:val="0077286E"/>
    <w:rsid w:val="007767AF"/>
    <w:rsid w:val="00777439"/>
    <w:rsid w:val="0078008A"/>
    <w:rsid w:val="00781AEB"/>
    <w:rsid w:val="0078434C"/>
    <w:rsid w:val="00784E18"/>
    <w:rsid w:val="0078577E"/>
    <w:rsid w:val="00792458"/>
    <w:rsid w:val="0079721B"/>
    <w:rsid w:val="00797E70"/>
    <w:rsid w:val="00797EC8"/>
    <w:rsid w:val="007A11B6"/>
    <w:rsid w:val="007A3A38"/>
    <w:rsid w:val="007A5697"/>
    <w:rsid w:val="007A70E2"/>
    <w:rsid w:val="007B5358"/>
    <w:rsid w:val="007B7927"/>
    <w:rsid w:val="007B7D70"/>
    <w:rsid w:val="007C0C5C"/>
    <w:rsid w:val="007C1EBA"/>
    <w:rsid w:val="007C454B"/>
    <w:rsid w:val="007C5DF0"/>
    <w:rsid w:val="007C7EEF"/>
    <w:rsid w:val="007D3B0D"/>
    <w:rsid w:val="007E1CBB"/>
    <w:rsid w:val="007E1F5A"/>
    <w:rsid w:val="007E7639"/>
    <w:rsid w:val="007F3768"/>
    <w:rsid w:val="008007E2"/>
    <w:rsid w:val="00800A97"/>
    <w:rsid w:val="00800AF4"/>
    <w:rsid w:val="00801148"/>
    <w:rsid w:val="00805BDD"/>
    <w:rsid w:val="0080705C"/>
    <w:rsid w:val="008120E5"/>
    <w:rsid w:val="0081399A"/>
    <w:rsid w:val="0082372A"/>
    <w:rsid w:val="008239AA"/>
    <w:rsid w:val="00826521"/>
    <w:rsid w:val="0082771F"/>
    <w:rsid w:val="00832622"/>
    <w:rsid w:val="00832748"/>
    <w:rsid w:val="00835991"/>
    <w:rsid w:val="008417A0"/>
    <w:rsid w:val="00843F1E"/>
    <w:rsid w:val="00844867"/>
    <w:rsid w:val="008464F3"/>
    <w:rsid w:val="00846522"/>
    <w:rsid w:val="00854EA5"/>
    <w:rsid w:val="00855CBD"/>
    <w:rsid w:val="0086300E"/>
    <w:rsid w:val="00871A30"/>
    <w:rsid w:val="00875CE9"/>
    <w:rsid w:val="008816A3"/>
    <w:rsid w:val="00881CBA"/>
    <w:rsid w:val="008830D0"/>
    <w:rsid w:val="00883F78"/>
    <w:rsid w:val="008850A2"/>
    <w:rsid w:val="0088687C"/>
    <w:rsid w:val="00887CC0"/>
    <w:rsid w:val="00892872"/>
    <w:rsid w:val="008945CE"/>
    <w:rsid w:val="00894ABB"/>
    <w:rsid w:val="00895ACF"/>
    <w:rsid w:val="008A599B"/>
    <w:rsid w:val="008B46D5"/>
    <w:rsid w:val="008C2AAA"/>
    <w:rsid w:val="008C5F13"/>
    <w:rsid w:val="008D291A"/>
    <w:rsid w:val="008D47AE"/>
    <w:rsid w:val="008D4957"/>
    <w:rsid w:val="008D4EA0"/>
    <w:rsid w:val="008D4FE8"/>
    <w:rsid w:val="008D6BA0"/>
    <w:rsid w:val="008D7C58"/>
    <w:rsid w:val="008E197E"/>
    <w:rsid w:val="008E31C0"/>
    <w:rsid w:val="008E453F"/>
    <w:rsid w:val="008E5984"/>
    <w:rsid w:val="008E599F"/>
    <w:rsid w:val="008E7FF4"/>
    <w:rsid w:val="008F07AE"/>
    <w:rsid w:val="008F1387"/>
    <w:rsid w:val="008F654E"/>
    <w:rsid w:val="008F6570"/>
    <w:rsid w:val="00901E55"/>
    <w:rsid w:val="0091079E"/>
    <w:rsid w:val="0091376D"/>
    <w:rsid w:val="00921F0F"/>
    <w:rsid w:val="00922839"/>
    <w:rsid w:val="00924246"/>
    <w:rsid w:val="00925ECB"/>
    <w:rsid w:val="00930BF4"/>
    <w:rsid w:val="00935304"/>
    <w:rsid w:val="00945FD9"/>
    <w:rsid w:val="009509B4"/>
    <w:rsid w:val="00953378"/>
    <w:rsid w:val="00953750"/>
    <w:rsid w:val="00954789"/>
    <w:rsid w:val="009669F7"/>
    <w:rsid w:val="00967D71"/>
    <w:rsid w:val="0097373D"/>
    <w:rsid w:val="00981137"/>
    <w:rsid w:val="00982AEE"/>
    <w:rsid w:val="009907AA"/>
    <w:rsid w:val="00993757"/>
    <w:rsid w:val="0099417F"/>
    <w:rsid w:val="00995D63"/>
    <w:rsid w:val="009969C0"/>
    <w:rsid w:val="00997042"/>
    <w:rsid w:val="009A0333"/>
    <w:rsid w:val="009A43A7"/>
    <w:rsid w:val="009B1DD2"/>
    <w:rsid w:val="009B3A3D"/>
    <w:rsid w:val="009C07F3"/>
    <w:rsid w:val="009D3D41"/>
    <w:rsid w:val="009E2571"/>
    <w:rsid w:val="009E3297"/>
    <w:rsid w:val="009E338C"/>
    <w:rsid w:val="009E39FE"/>
    <w:rsid w:val="009E5A10"/>
    <w:rsid w:val="009F0488"/>
    <w:rsid w:val="009F2260"/>
    <w:rsid w:val="009F365B"/>
    <w:rsid w:val="009F6B3C"/>
    <w:rsid w:val="009F7AAF"/>
    <w:rsid w:val="00A018CD"/>
    <w:rsid w:val="00A057C3"/>
    <w:rsid w:val="00A06366"/>
    <w:rsid w:val="00A130DD"/>
    <w:rsid w:val="00A15AB5"/>
    <w:rsid w:val="00A201B3"/>
    <w:rsid w:val="00A2660B"/>
    <w:rsid w:val="00A27C71"/>
    <w:rsid w:val="00A3003B"/>
    <w:rsid w:val="00A31D99"/>
    <w:rsid w:val="00A360FE"/>
    <w:rsid w:val="00A41B5B"/>
    <w:rsid w:val="00A459ED"/>
    <w:rsid w:val="00A45EDB"/>
    <w:rsid w:val="00A47B51"/>
    <w:rsid w:val="00A52558"/>
    <w:rsid w:val="00A52D01"/>
    <w:rsid w:val="00A64CCD"/>
    <w:rsid w:val="00A67E33"/>
    <w:rsid w:val="00A72076"/>
    <w:rsid w:val="00A75B36"/>
    <w:rsid w:val="00A774D9"/>
    <w:rsid w:val="00A84F0E"/>
    <w:rsid w:val="00A85F11"/>
    <w:rsid w:val="00A92991"/>
    <w:rsid w:val="00A92F06"/>
    <w:rsid w:val="00A976A0"/>
    <w:rsid w:val="00AA0A22"/>
    <w:rsid w:val="00AA2C38"/>
    <w:rsid w:val="00AA3712"/>
    <w:rsid w:val="00AB3293"/>
    <w:rsid w:val="00AB3AAE"/>
    <w:rsid w:val="00AB60AF"/>
    <w:rsid w:val="00AC117A"/>
    <w:rsid w:val="00AC4735"/>
    <w:rsid w:val="00AD48ED"/>
    <w:rsid w:val="00AD4A3A"/>
    <w:rsid w:val="00AD6814"/>
    <w:rsid w:val="00AE5A81"/>
    <w:rsid w:val="00AE66D5"/>
    <w:rsid w:val="00AE6C74"/>
    <w:rsid w:val="00AE7453"/>
    <w:rsid w:val="00AE777F"/>
    <w:rsid w:val="00AF0262"/>
    <w:rsid w:val="00AF1979"/>
    <w:rsid w:val="00AF549F"/>
    <w:rsid w:val="00B025C8"/>
    <w:rsid w:val="00B049DF"/>
    <w:rsid w:val="00B04CF9"/>
    <w:rsid w:val="00B06850"/>
    <w:rsid w:val="00B074A5"/>
    <w:rsid w:val="00B108B9"/>
    <w:rsid w:val="00B142A2"/>
    <w:rsid w:val="00B1700E"/>
    <w:rsid w:val="00B20FB1"/>
    <w:rsid w:val="00B247B4"/>
    <w:rsid w:val="00B2574A"/>
    <w:rsid w:val="00B25766"/>
    <w:rsid w:val="00B2589F"/>
    <w:rsid w:val="00B25B47"/>
    <w:rsid w:val="00B31F07"/>
    <w:rsid w:val="00B336FA"/>
    <w:rsid w:val="00B4046E"/>
    <w:rsid w:val="00B41919"/>
    <w:rsid w:val="00B44559"/>
    <w:rsid w:val="00B45AAC"/>
    <w:rsid w:val="00B50428"/>
    <w:rsid w:val="00B53876"/>
    <w:rsid w:val="00B55B65"/>
    <w:rsid w:val="00B5616F"/>
    <w:rsid w:val="00B57CD5"/>
    <w:rsid w:val="00B63A1C"/>
    <w:rsid w:val="00B65A7A"/>
    <w:rsid w:val="00B65BDD"/>
    <w:rsid w:val="00B7087E"/>
    <w:rsid w:val="00B7427D"/>
    <w:rsid w:val="00B74887"/>
    <w:rsid w:val="00B7620D"/>
    <w:rsid w:val="00B77D54"/>
    <w:rsid w:val="00B81BD7"/>
    <w:rsid w:val="00B84C66"/>
    <w:rsid w:val="00B855F1"/>
    <w:rsid w:val="00B86955"/>
    <w:rsid w:val="00B87E55"/>
    <w:rsid w:val="00B9149D"/>
    <w:rsid w:val="00B936B8"/>
    <w:rsid w:val="00B95806"/>
    <w:rsid w:val="00B9633D"/>
    <w:rsid w:val="00BA49DB"/>
    <w:rsid w:val="00BA619A"/>
    <w:rsid w:val="00BB0C0A"/>
    <w:rsid w:val="00BB101A"/>
    <w:rsid w:val="00BB1E3D"/>
    <w:rsid w:val="00BB35AC"/>
    <w:rsid w:val="00BB48A8"/>
    <w:rsid w:val="00BB557C"/>
    <w:rsid w:val="00BB6D17"/>
    <w:rsid w:val="00BB7376"/>
    <w:rsid w:val="00BB7FA0"/>
    <w:rsid w:val="00BC2432"/>
    <w:rsid w:val="00BC4507"/>
    <w:rsid w:val="00BC476E"/>
    <w:rsid w:val="00BC690B"/>
    <w:rsid w:val="00BC6BFD"/>
    <w:rsid w:val="00BD6C5B"/>
    <w:rsid w:val="00BE1617"/>
    <w:rsid w:val="00BF2A3F"/>
    <w:rsid w:val="00BF514C"/>
    <w:rsid w:val="00BF5DC4"/>
    <w:rsid w:val="00C0607B"/>
    <w:rsid w:val="00C15107"/>
    <w:rsid w:val="00C22C0F"/>
    <w:rsid w:val="00C25FF7"/>
    <w:rsid w:val="00C265E2"/>
    <w:rsid w:val="00C27559"/>
    <w:rsid w:val="00C30107"/>
    <w:rsid w:val="00C32A5F"/>
    <w:rsid w:val="00C34429"/>
    <w:rsid w:val="00C36C7C"/>
    <w:rsid w:val="00C44D93"/>
    <w:rsid w:val="00C4508F"/>
    <w:rsid w:val="00C45989"/>
    <w:rsid w:val="00C4699B"/>
    <w:rsid w:val="00C502F2"/>
    <w:rsid w:val="00C51599"/>
    <w:rsid w:val="00C56DBB"/>
    <w:rsid w:val="00C61B8D"/>
    <w:rsid w:val="00C62D6B"/>
    <w:rsid w:val="00C64077"/>
    <w:rsid w:val="00C662B6"/>
    <w:rsid w:val="00C675B6"/>
    <w:rsid w:val="00C67839"/>
    <w:rsid w:val="00C7043C"/>
    <w:rsid w:val="00C75E53"/>
    <w:rsid w:val="00C7678E"/>
    <w:rsid w:val="00C76AF8"/>
    <w:rsid w:val="00C76D08"/>
    <w:rsid w:val="00C8398C"/>
    <w:rsid w:val="00C84CCF"/>
    <w:rsid w:val="00C86636"/>
    <w:rsid w:val="00C9214D"/>
    <w:rsid w:val="00C93DE5"/>
    <w:rsid w:val="00C95A08"/>
    <w:rsid w:val="00CA05CF"/>
    <w:rsid w:val="00CA4685"/>
    <w:rsid w:val="00CC79A5"/>
    <w:rsid w:val="00CD2558"/>
    <w:rsid w:val="00CD266C"/>
    <w:rsid w:val="00CD2967"/>
    <w:rsid w:val="00CD6C87"/>
    <w:rsid w:val="00CD6CD9"/>
    <w:rsid w:val="00CE3054"/>
    <w:rsid w:val="00CE3092"/>
    <w:rsid w:val="00CE3E1E"/>
    <w:rsid w:val="00CF0C6E"/>
    <w:rsid w:val="00CF264B"/>
    <w:rsid w:val="00CF309E"/>
    <w:rsid w:val="00CF57AA"/>
    <w:rsid w:val="00CF6148"/>
    <w:rsid w:val="00CF7243"/>
    <w:rsid w:val="00D04214"/>
    <w:rsid w:val="00D13080"/>
    <w:rsid w:val="00D14DA1"/>
    <w:rsid w:val="00D16164"/>
    <w:rsid w:val="00D201C3"/>
    <w:rsid w:val="00D212C9"/>
    <w:rsid w:val="00D23059"/>
    <w:rsid w:val="00D239BE"/>
    <w:rsid w:val="00D254E5"/>
    <w:rsid w:val="00D266AB"/>
    <w:rsid w:val="00D33539"/>
    <w:rsid w:val="00D4112F"/>
    <w:rsid w:val="00D41BBD"/>
    <w:rsid w:val="00D44BBB"/>
    <w:rsid w:val="00D52178"/>
    <w:rsid w:val="00D5269E"/>
    <w:rsid w:val="00D5283F"/>
    <w:rsid w:val="00D53538"/>
    <w:rsid w:val="00D54446"/>
    <w:rsid w:val="00D618D1"/>
    <w:rsid w:val="00D619C6"/>
    <w:rsid w:val="00D62D02"/>
    <w:rsid w:val="00D669AF"/>
    <w:rsid w:val="00D72453"/>
    <w:rsid w:val="00D740BA"/>
    <w:rsid w:val="00D74D9A"/>
    <w:rsid w:val="00D77C16"/>
    <w:rsid w:val="00D80C07"/>
    <w:rsid w:val="00D825E4"/>
    <w:rsid w:val="00D86A32"/>
    <w:rsid w:val="00D87692"/>
    <w:rsid w:val="00D877E8"/>
    <w:rsid w:val="00D90E11"/>
    <w:rsid w:val="00D94EC1"/>
    <w:rsid w:val="00D963B3"/>
    <w:rsid w:val="00D96424"/>
    <w:rsid w:val="00DA3037"/>
    <w:rsid w:val="00DA3949"/>
    <w:rsid w:val="00DA6676"/>
    <w:rsid w:val="00DB01C8"/>
    <w:rsid w:val="00DB27AC"/>
    <w:rsid w:val="00DB5262"/>
    <w:rsid w:val="00DB7A0E"/>
    <w:rsid w:val="00DC31C0"/>
    <w:rsid w:val="00DC4A69"/>
    <w:rsid w:val="00DC5498"/>
    <w:rsid w:val="00DC5537"/>
    <w:rsid w:val="00DC6FD7"/>
    <w:rsid w:val="00DD04B6"/>
    <w:rsid w:val="00DD5CCC"/>
    <w:rsid w:val="00DD7E3B"/>
    <w:rsid w:val="00DE15DE"/>
    <w:rsid w:val="00DE1AC1"/>
    <w:rsid w:val="00DE267E"/>
    <w:rsid w:val="00DE2B36"/>
    <w:rsid w:val="00DE3062"/>
    <w:rsid w:val="00DF0267"/>
    <w:rsid w:val="00DF114F"/>
    <w:rsid w:val="00DF33C5"/>
    <w:rsid w:val="00DF3EBE"/>
    <w:rsid w:val="00E01519"/>
    <w:rsid w:val="00E03B38"/>
    <w:rsid w:val="00E05393"/>
    <w:rsid w:val="00E054A7"/>
    <w:rsid w:val="00E10A9D"/>
    <w:rsid w:val="00E126A6"/>
    <w:rsid w:val="00E12F62"/>
    <w:rsid w:val="00E40765"/>
    <w:rsid w:val="00E42EA6"/>
    <w:rsid w:val="00E460D0"/>
    <w:rsid w:val="00E52534"/>
    <w:rsid w:val="00E53EA0"/>
    <w:rsid w:val="00E5646A"/>
    <w:rsid w:val="00E6643C"/>
    <w:rsid w:val="00E66D2B"/>
    <w:rsid w:val="00E66E08"/>
    <w:rsid w:val="00E70C84"/>
    <w:rsid w:val="00E74398"/>
    <w:rsid w:val="00E74F8B"/>
    <w:rsid w:val="00E75251"/>
    <w:rsid w:val="00E8338C"/>
    <w:rsid w:val="00E878C0"/>
    <w:rsid w:val="00E91AC9"/>
    <w:rsid w:val="00E938DF"/>
    <w:rsid w:val="00E95C97"/>
    <w:rsid w:val="00EA14B0"/>
    <w:rsid w:val="00EA1B97"/>
    <w:rsid w:val="00EA1FE8"/>
    <w:rsid w:val="00EA4E2C"/>
    <w:rsid w:val="00EA4FCB"/>
    <w:rsid w:val="00EB4777"/>
    <w:rsid w:val="00EB6FCE"/>
    <w:rsid w:val="00EC35B1"/>
    <w:rsid w:val="00EC53D7"/>
    <w:rsid w:val="00ED0C5B"/>
    <w:rsid w:val="00ED36F9"/>
    <w:rsid w:val="00ED38DA"/>
    <w:rsid w:val="00ED3EB1"/>
    <w:rsid w:val="00ED4D32"/>
    <w:rsid w:val="00ED734D"/>
    <w:rsid w:val="00EE051A"/>
    <w:rsid w:val="00EE13ED"/>
    <w:rsid w:val="00EE3CE1"/>
    <w:rsid w:val="00EE5545"/>
    <w:rsid w:val="00EE5A41"/>
    <w:rsid w:val="00EF2A1F"/>
    <w:rsid w:val="00EF506A"/>
    <w:rsid w:val="00EF68E7"/>
    <w:rsid w:val="00EF7591"/>
    <w:rsid w:val="00F01A30"/>
    <w:rsid w:val="00F029C9"/>
    <w:rsid w:val="00F03B4E"/>
    <w:rsid w:val="00F05707"/>
    <w:rsid w:val="00F162C4"/>
    <w:rsid w:val="00F21AA3"/>
    <w:rsid w:val="00F226D5"/>
    <w:rsid w:val="00F22AFA"/>
    <w:rsid w:val="00F24664"/>
    <w:rsid w:val="00F24D78"/>
    <w:rsid w:val="00F33348"/>
    <w:rsid w:val="00F338C9"/>
    <w:rsid w:val="00F34D4B"/>
    <w:rsid w:val="00F35787"/>
    <w:rsid w:val="00F37BA2"/>
    <w:rsid w:val="00F42143"/>
    <w:rsid w:val="00F46933"/>
    <w:rsid w:val="00F5151B"/>
    <w:rsid w:val="00F526FF"/>
    <w:rsid w:val="00F547C0"/>
    <w:rsid w:val="00F55F95"/>
    <w:rsid w:val="00F64E54"/>
    <w:rsid w:val="00F76F79"/>
    <w:rsid w:val="00F77678"/>
    <w:rsid w:val="00F77F8B"/>
    <w:rsid w:val="00F818AF"/>
    <w:rsid w:val="00F828C3"/>
    <w:rsid w:val="00F84E55"/>
    <w:rsid w:val="00F87BDE"/>
    <w:rsid w:val="00F904C3"/>
    <w:rsid w:val="00F92987"/>
    <w:rsid w:val="00F963D9"/>
    <w:rsid w:val="00FA2B8A"/>
    <w:rsid w:val="00FB1D49"/>
    <w:rsid w:val="00FB2384"/>
    <w:rsid w:val="00FB47C8"/>
    <w:rsid w:val="00FB4F09"/>
    <w:rsid w:val="00FB5EF3"/>
    <w:rsid w:val="00FB6F53"/>
    <w:rsid w:val="00FB7026"/>
    <w:rsid w:val="00FC2060"/>
    <w:rsid w:val="00FC3E04"/>
    <w:rsid w:val="00FC69EA"/>
    <w:rsid w:val="00FD01D4"/>
    <w:rsid w:val="00FD60A7"/>
    <w:rsid w:val="00FD7A30"/>
    <w:rsid w:val="00FD7BAC"/>
    <w:rsid w:val="00FE400C"/>
    <w:rsid w:val="00FE4A6B"/>
    <w:rsid w:val="00FE4AC0"/>
    <w:rsid w:val="00FE4E2A"/>
    <w:rsid w:val="00FE7355"/>
    <w:rsid w:val="00FF132F"/>
    <w:rsid w:val="00FF2A5E"/>
    <w:rsid w:val="00FF3DB3"/>
    <w:rsid w:val="00FF5764"/>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4E503F"/>
  </w:style>
  <w:style w:type="paragraph" w:customStyle="1" w:styleId="ReferenceLine">
    <w:name w:val="Reference Line"/>
    <w:basedOn w:val="BodyText"/>
    <w:rsid w:val="006E5428"/>
    <w:rPr>
      <w:rFonts w:ascii="Verdana" w:hAnsi="Verdana"/>
      <w:b w:val="0"/>
    </w:rPr>
  </w:style>
  <w:style w:type="paragraph" w:styleId="List">
    <w:name w:val="List"/>
    <w:basedOn w:val="Normal"/>
    <w:rsid w:val="006E5428"/>
    <w:pPr>
      <w:widowControl/>
      <w:ind w:left="360" w:hanging="360"/>
    </w:pPr>
    <w:rPr>
      <w:snapToGrid/>
      <w:sz w:val="22"/>
    </w:rPr>
  </w:style>
  <w:style w:type="paragraph" w:styleId="ListParagraph">
    <w:name w:val="List Paragraph"/>
    <w:basedOn w:val="Normal"/>
    <w:uiPriority w:val="34"/>
    <w:qFormat/>
    <w:rsid w:val="00C36C7C"/>
    <w:pPr>
      <w:ind w:left="720"/>
    </w:pPr>
  </w:style>
  <w:style w:type="table" w:styleId="TableGrid">
    <w:name w:val="Table Grid"/>
    <w:basedOn w:val="TableNormal"/>
    <w:rsid w:val="00DB0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0021B"/>
    <w:rPr>
      <w:sz w:val="16"/>
      <w:szCs w:val="16"/>
    </w:rPr>
  </w:style>
  <w:style w:type="paragraph" w:styleId="CommentText">
    <w:name w:val="annotation text"/>
    <w:basedOn w:val="Normal"/>
    <w:link w:val="CommentTextChar"/>
    <w:rsid w:val="0060021B"/>
    <w:rPr>
      <w:sz w:val="20"/>
    </w:rPr>
  </w:style>
  <w:style w:type="character" w:customStyle="1" w:styleId="CommentTextChar">
    <w:name w:val="Comment Text Char"/>
    <w:link w:val="CommentText"/>
    <w:rsid w:val="0060021B"/>
    <w:rPr>
      <w:snapToGrid w:val="0"/>
    </w:rPr>
  </w:style>
  <w:style w:type="paragraph" w:styleId="CommentSubject">
    <w:name w:val="annotation subject"/>
    <w:basedOn w:val="CommentText"/>
    <w:next w:val="CommentText"/>
    <w:link w:val="CommentSubjectChar"/>
    <w:rsid w:val="0060021B"/>
    <w:rPr>
      <w:b/>
      <w:bCs/>
    </w:rPr>
  </w:style>
  <w:style w:type="character" w:customStyle="1" w:styleId="CommentSubjectChar">
    <w:name w:val="Comment Subject Char"/>
    <w:link w:val="CommentSubject"/>
    <w:rsid w:val="0060021B"/>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4E503F"/>
  </w:style>
  <w:style w:type="paragraph" w:customStyle="1" w:styleId="ReferenceLine">
    <w:name w:val="Reference Line"/>
    <w:basedOn w:val="BodyText"/>
    <w:rsid w:val="006E5428"/>
    <w:rPr>
      <w:rFonts w:ascii="Verdana" w:hAnsi="Verdana"/>
      <w:b w:val="0"/>
    </w:rPr>
  </w:style>
  <w:style w:type="paragraph" w:styleId="List">
    <w:name w:val="List"/>
    <w:basedOn w:val="Normal"/>
    <w:rsid w:val="006E5428"/>
    <w:pPr>
      <w:widowControl/>
      <w:ind w:left="360" w:hanging="360"/>
    </w:pPr>
    <w:rPr>
      <w:snapToGrid/>
      <w:sz w:val="22"/>
    </w:rPr>
  </w:style>
  <w:style w:type="paragraph" w:styleId="ListParagraph">
    <w:name w:val="List Paragraph"/>
    <w:basedOn w:val="Normal"/>
    <w:uiPriority w:val="34"/>
    <w:qFormat/>
    <w:rsid w:val="00C36C7C"/>
    <w:pPr>
      <w:ind w:left="720"/>
    </w:pPr>
  </w:style>
  <w:style w:type="table" w:styleId="TableGrid">
    <w:name w:val="Table Grid"/>
    <w:basedOn w:val="TableNormal"/>
    <w:rsid w:val="00DB0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0021B"/>
    <w:rPr>
      <w:sz w:val="16"/>
      <w:szCs w:val="16"/>
    </w:rPr>
  </w:style>
  <w:style w:type="paragraph" w:styleId="CommentText">
    <w:name w:val="annotation text"/>
    <w:basedOn w:val="Normal"/>
    <w:link w:val="CommentTextChar"/>
    <w:rsid w:val="0060021B"/>
    <w:rPr>
      <w:sz w:val="20"/>
    </w:rPr>
  </w:style>
  <w:style w:type="character" w:customStyle="1" w:styleId="CommentTextChar">
    <w:name w:val="Comment Text Char"/>
    <w:link w:val="CommentText"/>
    <w:rsid w:val="0060021B"/>
    <w:rPr>
      <w:snapToGrid w:val="0"/>
    </w:rPr>
  </w:style>
  <w:style w:type="paragraph" w:styleId="CommentSubject">
    <w:name w:val="annotation subject"/>
    <w:basedOn w:val="CommentText"/>
    <w:next w:val="CommentText"/>
    <w:link w:val="CommentSubjectChar"/>
    <w:rsid w:val="0060021B"/>
    <w:rPr>
      <w:b/>
      <w:bCs/>
    </w:rPr>
  </w:style>
  <w:style w:type="character" w:customStyle="1" w:styleId="CommentSubjectChar">
    <w:name w:val="Comment Subject Char"/>
    <w:link w:val="CommentSubject"/>
    <w:rsid w:val="0060021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52884">
      <w:bodyDiv w:val="1"/>
      <w:marLeft w:val="0"/>
      <w:marRight w:val="0"/>
      <w:marTop w:val="0"/>
      <w:marBottom w:val="0"/>
      <w:divBdr>
        <w:top w:val="none" w:sz="0" w:space="0" w:color="auto"/>
        <w:left w:val="none" w:sz="0" w:space="0" w:color="auto"/>
        <w:bottom w:val="none" w:sz="0" w:space="0" w:color="auto"/>
        <w:right w:val="none" w:sz="0" w:space="0" w:color="auto"/>
      </w:divBdr>
    </w:div>
    <w:div w:id="1649017106">
      <w:bodyDiv w:val="1"/>
      <w:marLeft w:val="0"/>
      <w:marRight w:val="0"/>
      <w:marTop w:val="0"/>
      <w:marBottom w:val="0"/>
      <w:divBdr>
        <w:top w:val="none" w:sz="0" w:space="0" w:color="auto"/>
        <w:left w:val="none" w:sz="0" w:space="0" w:color="auto"/>
        <w:bottom w:val="none" w:sz="0" w:space="0" w:color="auto"/>
        <w:right w:val="none" w:sz="0" w:space="0" w:color="auto"/>
      </w:divBdr>
    </w:div>
    <w:div w:id="170898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9551-7A8E-48A5-99D0-D8411BF8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2568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3</cp:revision>
  <cp:lastPrinted>2015-01-28T16:36:00Z</cp:lastPrinted>
  <dcterms:created xsi:type="dcterms:W3CDTF">2015-01-28T16:36:00Z</dcterms:created>
  <dcterms:modified xsi:type="dcterms:W3CDTF">2015-01-28T16:36:00Z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-1710520179</vt:i4>
  </property>
  <property fmtid="{D5CDD505-2E9C-101B-9397-08002B2CF9AE}" pid="3" name="_EmailEntryID">
    <vt:lpwstr>0000000091E618D1FD859546A5CF2B93E3DB787D0700778087720201394986E3BC93A26094D300000005009500004D6D1B9C12196F46839B205768E978E9000000E581AB0000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E3D526563697069656E74732F636E3D50657465722E547261636874656E6265726700</vt:lpwstr>
  </property>
  <property fmtid="{D5CDD505-2E9C-101B-9397-08002B2CF9AE}" pid="6" name="_ReviewingToolsShownOnce">
    <vt:lpwstr/>
  </property>
</Properties>
</file>