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E3A7" w14:textId="77777777" w:rsidR="00AE278A" w:rsidRDefault="006A1983" w:rsidP="00822033">
      <w:pPr>
        <w:pStyle w:val="ListParagraph"/>
        <w:ind w:left="0"/>
        <w:jc w:val="center"/>
        <w:rPr>
          <w:b/>
          <w:sz w:val="22"/>
          <w:szCs w:val="22"/>
        </w:rPr>
      </w:pPr>
      <w:bookmarkStart w:id="0" w:name="_GoBack"/>
      <w:bookmarkEnd w:id="0"/>
      <w:r>
        <w:rPr>
          <w:b/>
          <w:sz w:val="22"/>
          <w:szCs w:val="22"/>
        </w:rPr>
        <w:t>SUPPORTING</w:t>
      </w:r>
      <w:r w:rsidR="00822033">
        <w:rPr>
          <w:b/>
          <w:sz w:val="22"/>
          <w:szCs w:val="22"/>
        </w:rPr>
        <w:t xml:space="preserve"> STATEMENT</w:t>
      </w:r>
    </w:p>
    <w:p w14:paraId="68EE31AB" w14:textId="77777777" w:rsidR="00660785" w:rsidRDefault="00660785" w:rsidP="00822033">
      <w:pPr>
        <w:pStyle w:val="ListParagraph"/>
        <w:ind w:left="0"/>
        <w:jc w:val="center"/>
        <w:rPr>
          <w:b/>
          <w:sz w:val="22"/>
          <w:szCs w:val="22"/>
        </w:rPr>
      </w:pPr>
      <w:r>
        <w:rPr>
          <w:b/>
          <w:sz w:val="22"/>
          <w:szCs w:val="22"/>
        </w:rPr>
        <w:t xml:space="preserve">for the Paperwork Reduction Act Information Collection Submission for </w:t>
      </w:r>
    </w:p>
    <w:p w14:paraId="14F44936" w14:textId="6B59E866" w:rsidR="00822033" w:rsidRDefault="00822033" w:rsidP="00822033">
      <w:pPr>
        <w:pStyle w:val="ListParagraph"/>
        <w:ind w:left="0"/>
        <w:jc w:val="center"/>
        <w:rPr>
          <w:b/>
          <w:sz w:val="22"/>
          <w:szCs w:val="22"/>
        </w:rPr>
      </w:pPr>
      <w:r>
        <w:rPr>
          <w:b/>
          <w:sz w:val="22"/>
          <w:szCs w:val="22"/>
        </w:rPr>
        <w:t>Involuntary Liquidation Proof of Claim Form</w:t>
      </w:r>
      <w:r w:rsidR="00A40EE7">
        <w:rPr>
          <w:b/>
          <w:sz w:val="22"/>
          <w:szCs w:val="22"/>
        </w:rPr>
        <w:t xml:space="preserve"> and Instructions</w:t>
      </w:r>
    </w:p>
    <w:p w14:paraId="7AA95928" w14:textId="77777777" w:rsidR="00822033" w:rsidRPr="00822033" w:rsidRDefault="007F13D5" w:rsidP="00822033">
      <w:pPr>
        <w:pStyle w:val="ListParagraph"/>
        <w:ind w:left="0"/>
        <w:jc w:val="center"/>
        <w:rPr>
          <w:b/>
          <w:sz w:val="22"/>
          <w:szCs w:val="22"/>
        </w:rPr>
      </w:pPr>
      <w:r w:rsidRPr="008D5990">
        <w:rPr>
          <w:b/>
          <w:bCs/>
        </w:rPr>
        <w:t xml:space="preserve">OMB Control No. </w:t>
      </w:r>
      <w:r w:rsidR="00822033">
        <w:rPr>
          <w:b/>
          <w:sz w:val="22"/>
          <w:szCs w:val="22"/>
        </w:rPr>
        <w:t>3133-NEW</w:t>
      </w:r>
    </w:p>
    <w:p w14:paraId="4DCE4ABE" w14:textId="77777777" w:rsidR="007F13D5" w:rsidRDefault="007F13D5" w:rsidP="007F13D5">
      <w:pPr>
        <w:pStyle w:val="ListParagraph"/>
        <w:numPr>
          <w:ilvl w:val="0"/>
          <w:numId w:val="7"/>
        </w:numPr>
        <w:ind w:left="0"/>
        <w:rPr>
          <w:b/>
          <w:sz w:val="22"/>
          <w:szCs w:val="22"/>
        </w:rPr>
      </w:pPr>
      <w:r>
        <w:rPr>
          <w:b/>
          <w:sz w:val="22"/>
          <w:szCs w:val="22"/>
        </w:rPr>
        <w:t xml:space="preserve">JUSTIFICATION </w:t>
      </w:r>
    </w:p>
    <w:p w14:paraId="7E16348F" w14:textId="77777777" w:rsidR="007F13D5" w:rsidRPr="00822033" w:rsidRDefault="007F13D5" w:rsidP="00AE278A">
      <w:pPr>
        <w:pStyle w:val="ListParagraph"/>
        <w:ind w:left="0"/>
        <w:rPr>
          <w:b/>
          <w:sz w:val="22"/>
          <w:szCs w:val="22"/>
        </w:rPr>
      </w:pPr>
    </w:p>
    <w:p w14:paraId="34EB547A" w14:textId="77777777" w:rsidR="00223AB2" w:rsidRPr="00660785" w:rsidRDefault="00AE278A" w:rsidP="00660785">
      <w:pPr>
        <w:pStyle w:val="ListParagraph"/>
        <w:numPr>
          <w:ilvl w:val="0"/>
          <w:numId w:val="2"/>
        </w:numPr>
        <w:ind w:left="0"/>
        <w:rPr>
          <w:b/>
          <w:sz w:val="22"/>
          <w:szCs w:val="22"/>
        </w:rPr>
      </w:pPr>
      <w:r w:rsidRPr="00822033">
        <w:rPr>
          <w:b/>
          <w:sz w:val="22"/>
          <w:szCs w:val="22"/>
        </w:rPr>
        <w:t>Necessity of Information Collection</w:t>
      </w:r>
    </w:p>
    <w:p w14:paraId="43148FFB" w14:textId="6ADCB9E1" w:rsidR="00223AB2" w:rsidRPr="007F13D5" w:rsidRDefault="008C75A9" w:rsidP="007F13D5">
      <w:pPr>
        <w:pStyle w:val="BodyText"/>
        <w:rPr>
          <w:rFonts w:ascii="Times New Roman" w:hAnsi="Times New Roman"/>
          <w:sz w:val="22"/>
          <w:szCs w:val="22"/>
        </w:rPr>
      </w:pPr>
      <w:r w:rsidRPr="00822033">
        <w:rPr>
          <w:rFonts w:ascii="Times New Roman" w:hAnsi="Times New Roman"/>
          <w:sz w:val="22"/>
          <w:szCs w:val="22"/>
        </w:rPr>
        <w:t>The National Credit Union Administration (NCUA) is appointed liquidating agent of a credit union when the credit union is placed in</w:t>
      </w:r>
      <w:r w:rsidR="00C61877" w:rsidRPr="00822033">
        <w:rPr>
          <w:rFonts w:ascii="Times New Roman" w:hAnsi="Times New Roman"/>
          <w:sz w:val="22"/>
          <w:szCs w:val="22"/>
        </w:rPr>
        <w:t>to involuntary</w:t>
      </w:r>
      <w:r w:rsidRPr="00822033">
        <w:rPr>
          <w:rFonts w:ascii="Times New Roman" w:hAnsi="Times New Roman"/>
          <w:sz w:val="22"/>
          <w:szCs w:val="22"/>
        </w:rPr>
        <w:t xml:space="preserve"> liquidation.  The Federal Credit Union Act (12 U.S.C. §1787(b)</w:t>
      </w:r>
      <w:r w:rsidR="00F84CBD">
        <w:rPr>
          <w:rFonts w:ascii="Times New Roman" w:hAnsi="Times New Roman"/>
          <w:sz w:val="22"/>
          <w:szCs w:val="22"/>
        </w:rPr>
        <w:t xml:space="preserve">), Section 709.4(b), and Section 709.6 </w:t>
      </w:r>
      <w:r w:rsidR="00223AB2" w:rsidRPr="00822033">
        <w:rPr>
          <w:rFonts w:ascii="Times New Roman" w:hAnsi="Times New Roman"/>
          <w:sz w:val="22"/>
          <w:szCs w:val="22"/>
        </w:rPr>
        <w:t>of the NCUA Rules and Regulations (12 C</w:t>
      </w:r>
      <w:r w:rsidRPr="00822033">
        <w:rPr>
          <w:rFonts w:ascii="Times New Roman" w:hAnsi="Times New Roman"/>
          <w:sz w:val="22"/>
          <w:szCs w:val="22"/>
        </w:rPr>
        <w:t>.</w:t>
      </w:r>
      <w:r w:rsidR="00223AB2" w:rsidRPr="00822033">
        <w:rPr>
          <w:rFonts w:ascii="Times New Roman" w:hAnsi="Times New Roman"/>
          <w:sz w:val="22"/>
          <w:szCs w:val="22"/>
        </w:rPr>
        <w:t>F</w:t>
      </w:r>
      <w:r w:rsidRPr="00822033">
        <w:rPr>
          <w:rFonts w:ascii="Times New Roman" w:hAnsi="Times New Roman"/>
          <w:sz w:val="22"/>
          <w:szCs w:val="22"/>
        </w:rPr>
        <w:t>.</w:t>
      </w:r>
      <w:r w:rsidR="00223AB2" w:rsidRPr="00822033">
        <w:rPr>
          <w:rFonts w:ascii="Times New Roman" w:hAnsi="Times New Roman"/>
          <w:sz w:val="22"/>
          <w:szCs w:val="22"/>
        </w:rPr>
        <w:t>R</w:t>
      </w:r>
      <w:r w:rsidRPr="00822033">
        <w:rPr>
          <w:rFonts w:ascii="Times New Roman" w:hAnsi="Times New Roman"/>
          <w:sz w:val="22"/>
          <w:szCs w:val="22"/>
        </w:rPr>
        <w:t>.</w:t>
      </w:r>
      <w:r w:rsidR="00223AB2" w:rsidRPr="00822033">
        <w:rPr>
          <w:rFonts w:ascii="Times New Roman" w:hAnsi="Times New Roman"/>
          <w:sz w:val="22"/>
          <w:szCs w:val="22"/>
        </w:rPr>
        <w:t xml:space="preserve"> </w:t>
      </w:r>
      <w:r w:rsidRPr="00822033">
        <w:rPr>
          <w:rFonts w:ascii="Times New Roman" w:hAnsi="Times New Roman"/>
          <w:sz w:val="22"/>
          <w:szCs w:val="22"/>
        </w:rPr>
        <w:t xml:space="preserve">Part </w:t>
      </w:r>
      <w:r w:rsidR="00822033">
        <w:rPr>
          <w:rFonts w:ascii="Times New Roman" w:hAnsi="Times New Roman"/>
          <w:sz w:val="22"/>
          <w:szCs w:val="22"/>
        </w:rPr>
        <w:t>709)</w:t>
      </w:r>
      <w:r w:rsidR="0066753A">
        <w:rPr>
          <w:rFonts w:ascii="Times New Roman" w:hAnsi="Times New Roman"/>
          <w:sz w:val="22"/>
          <w:szCs w:val="22"/>
        </w:rPr>
        <w:t>,</w:t>
      </w:r>
      <w:r w:rsidR="007E30B0" w:rsidRPr="00822033">
        <w:rPr>
          <w:rFonts w:ascii="Times New Roman" w:hAnsi="Times New Roman"/>
          <w:sz w:val="22"/>
          <w:szCs w:val="22"/>
        </w:rPr>
        <w:t xml:space="preserve"> </w:t>
      </w:r>
      <w:r w:rsidR="00223AB2" w:rsidRPr="00822033">
        <w:rPr>
          <w:rFonts w:ascii="Times New Roman" w:hAnsi="Times New Roman"/>
          <w:sz w:val="22"/>
          <w:szCs w:val="22"/>
        </w:rPr>
        <w:t>instruct</w:t>
      </w:r>
      <w:r w:rsidR="007E30B0" w:rsidRPr="00822033">
        <w:rPr>
          <w:rFonts w:ascii="Times New Roman" w:hAnsi="Times New Roman"/>
          <w:sz w:val="22"/>
          <w:szCs w:val="22"/>
        </w:rPr>
        <w:t>s</w:t>
      </w:r>
      <w:r w:rsidR="00223AB2" w:rsidRPr="00822033">
        <w:rPr>
          <w:rFonts w:ascii="Times New Roman" w:hAnsi="Times New Roman"/>
          <w:sz w:val="22"/>
          <w:szCs w:val="22"/>
        </w:rPr>
        <w:t xml:space="preserve"> creditors to present </w:t>
      </w:r>
      <w:r w:rsidR="007E30B0" w:rsidRPr="00822033">
        <w:rPr>
          <w:rFonts w:ascii="Times New Roman" w:hAnsi="Times New Roman"/>
          <w:sz w:val="22"/>
          <w:szCs w:val="22"/>
        </w:rPr>
        <w:t xml:space="preserve">a written </w:t>
      </w:r>
      <w:r w:rsidR="00223AB2" w:rsidRPr="00822033">
        <w:rPr>
          <w:rFonts w:ascii="Times New Roman" w:hAnsi="Times New Roman"/>
          <w:sz w:val="22"/>
          <w:szCs w:val="22"/>
        </w:rPr>
        <w:t xml:space="preserve">claim to the liquidating agent by </w:t>
      </w:r>
      <w:r w:rsidR="007E30B0" w:rsidRPr="00822033">
        <w:rPr>
          <w:rFonts w:ascii="Times New Roman" w:hAnsi="Times New Roman"/>
          <w:sz w:val="22"/>
          <w:szCs w:val="22"/>
        </w:rPr>
        <w:t>the</w:t>
      </w:r>
      <w:r w:rsidR="00223AB2" w:rsidRPr="00822033">
        <w:rPr>
          <w:rFonts w:ascii="Times New Roman" w:hAnsi="Times New Roman"/>
          <w:sz w:val="22"/>
          <w:szCs w:val="22"/>
        </w:rPr>
        <w:t xml:space="preserve"> date</w:t>
      </w:r>
      <w:r w:rsidR="007E30B0" w:rsidRPr="00822033">
        <w:rPr>
          <w:rFonts w:ascii="Times New Roman" w:hAnsi="Times New Roman"/>
          <w:sz w:val="22"/>
          <w:szCs w:val="22"/>
        </w:rPr>
        <w:t xml:space="preserve"> specified in the notice to creditors</w:t>
      </w:r>
      <w:r w:rsidR="00223AB2" w:rsidRPr="00822033">
        <w:rPr>
          <w:rFonts w:ascii="Times New Roman" w:hAnsi="Times New Roman"/>
          <w:sz w:val="22"/>
          <w:szCs w:val="22"/>
        </w:rPr>
        <w:t xml:space="preserve">.  The collection of information requirement is that those creditors making a claim must document their claim </w:t>
      </w:r>
      <w:r w:rsidR="0016614D" w:rsidRPr="00822033">
        <w:rPr>
          <w:rFonts w:ascii="Times New Roman" w:hAnsi="Times New Roman"/>
          <w:sz w:val="22"/>
          <w:szCs w:val="22"/>
        </w:rPr>
        <w:t xml:space="preserve">in writing </w:t>
      </w:r>
      <w:r w:rsidR="00223AB2" w:rsidRPr="00822033">
        <w:rPr>
          <w:rFonts w:ascii="Times New Roman" w:hAnsi="Times New Roman"/>
          <w:sz w:val="22"/>
          <w:szCs w:val="22"/>
        </w:rPr>
        <w:t xml:space="preserve">and submit </w:t>
      </w:r>
      <w:r w:rsidR="00C61877" w:rsidRPr="00822033">
        <w:rPr>
          <w:rFonts w:ascii="Times New Roman" w:hAnsi="Times New Roman"/>
          <w:sz w:val="22"/>
          <w:szCs w:val="22"/>
        </w:rPr>
        <w:t>a form</w:t>
      </w:r>
      <w:r w:rsidR="00223AB2" w:rsidRPr="00822033">
        <w:rPr>
          <w:rFonts w:ascii="Times New Roman" w:hAnsi="Times New Roman"/>
          <w:sz w:val="22"/>
          <w:szCs w:val="22"/>
        </w:rPr>
        <w:t xml:space="preserve"> to the liquidating agent.   </w:t>
      </w:r>
      <w:r w:rsidRPr="00822033">
        <w:rPr>
          <w:rFonts w:ascii="Times New Roman" w:hAnsi="Times New Roman"/>
          <w:sz w:val="22"/>
          <w:szCs w:val="22"/>
        </w:rPr>
        <w:t xml:space="preserve">In addition, the liquidating agent may require a claimant to submit supplemental evidence to support its claim.  </w:t>
      </w:r>
      <w:r w:rsidR="00223AB2" w:rsidRPr="00822033">
        <w:rPr>
          <w:rFonts w:ascii="Times New Roman" w:hAnsi="Times New Roman"/>
          <w:sz w:val="22"/>
          <w:szCs w:val="22"/>
        </w:rPr>
        <w:t xml:space="preserve">This collection of information is necessary to protect the National Credit Union Share Insurance Fund in determining valid claims.  </w:t>
      </w:r>
    </w:p>
    <w:p w14:paraId="06E46ADA" w14:textId="77777777" w:rsidR="00AE278A" w:rsidRPr="00822033" w:rsidRDefault="00AE278A" w:rsidP="00AE278A">
      <w:pPr>
        <w:pStyle w:val="ListParagraph"/>
        <w:tabs>
          <w:tab w:val="left" w:pos="-720"/>
          <w:tab w:val="left" w:pos="286"/>
          <w:tab w:val="left" w:pos="403"/>
        </w:tabs>
        <w:suppressAutoHyphens/>
        <w:ind w:left="0" w:hanging="360"/>
        <w:rPr>
          <w:sz w:val="22"/>
          <w:szCs w:val="22"/>
        </w:rPr>
      </w:pPr>
    </w:p>
    <w:p w14:paraId="03E3D86F" w14:textId="77777777" w:rsidR="00660785" w:rsidRPr="00660785" w:rsidRDefault="00AE278A" w:rsidP="00AE278A">
      <w:pPr>
        <w:pStyle w:val="ListParagraph"/>
        <w:numPr>
          <w:ilvl w:val="0"/>
          <w:numId w:val="2"/>
        </w:numPr>
        <w:ind w:left="0"/>
        <w:rPr>
          <w:b/>
          <w:sz w:val="22"/>
          <w:szCs w:val="22"/>
        </w:rPr>
      </w:pPr>
      <w:r w:rsidRPr="00822033">
        <w:rPr>
          <w:b/>
          <w:sz w:val="22"/>
          <w:szCs w:val="22"/>
        </w:rPr>
        <w:t>Purpose and Use of the Information Collection</w:t>
      </w:r>
    </w:p>
    <w:p w14:paraId="56F2C662" w14:textId="77777777" w:rsidR="00223AB2" w:rsidRPr="00822033" w:rsidRDefault="008C75A9" w:rsidP="00AE278A">
      <w:pPr>
        <w:pStyle w:val="ListParagraph"/>
        <w:ind w:left="0"/>
        <w:rPr>
          <w:b/>
          <w:sz w:val="22"/>
          <w:szCs w:val="22"/>
        </w:rPr>
      </w:pPr>
      <w:r w:rsidRPr="00822033">
        <w:rPr>
          <w:sz w:val="22"/>
          <w:szCs w:val="22"/>
        </w:rPr>
        <w:t xml:space="preserve">NCUA </w:t>
      </w:r>
      <w:r w:rsidR="00093AFE" w:rsidRPr="00822033">
        <w:rPr>
          <w:sz w:val="22"/>
          <w:szCs w:val="22"/>
        </w:rPr>
        <w:t xml:space="preserve">(as liquidating agent) </w:t>
      </w:r>
      <w:r w:rsidRPr="00822033">
        <w:rPr>
          <w:sz w:val="22"/>
          <w:szCs w:val="22"/>
        </w:rPr>
        <w:t>uses t</w:t>
      </w:r>
      <w:r w:rsidR="00223AB2" w:rsidRPr="00822033">
        <w:rPr>
          <w:sz w:val="22"/>
          <w:szCs w:val="22"/>
        </w:rPr>
        <w:t xml:space="preserve">he </w:t>
      </w:r>
      <w:r w:rsidR="0066753A" w:rsidRPr="00822033">
        <w:rPr>
          <w:sz w:val="22"/>
          <w:szCs w:val="22"/>
        </w:rPr>
        <w:t>information to</w:t>
      </w:r>
      <w:r w:rsidR="00223AB2" w:rsidRPr="00822033">
        <w:rPr>
          <w:sz w:val="22"/>
          <w:szCs w:val="22"/>
        </w:rPr>
        <w:t xml:space="preserve"> determine if a </w:t>
      </w:r>
      <w:r w:rsidR="00093AFE" w:rsidRPr="00822033">
        <w:rPr>
          <w:sz w:val="22"/>
          <w:szCs w:val="22"/>
        </w:rPr>
        <w:t xml:space="preserve">valid </w:t>
      </w:r>
      <w:r w:rsidR="00223AB2" w:rsidRPr="00822033">
        <w:rPr>
          <w:sz w:val="22"/>
          <w:szCs w:val="22"/>
        </w:rPr>
        <w:t xml:space="preserve">claim has been made against a liquidated credit union.  Entities would be notified of the need to submit a claim via a </w:t>
      </w:r>
      <w:r w:rsidRPr="00822033">
        <w:rPr>
          <w:sz w:val="22"/>
          <w:szCs w:val="22"/>
        </w:rPr>
        <w:t>published notice</w:t>
      </w:r>
      <w:r w:rsidR="00C61877" w:rsidRPr="00822033">
        <w:rPr>
          <w:sz w:val="22"/>
          <w:szCs w:val="22"/>
        </w:rPr>
        <w:t xml:space="preserve">, by NCUA </w:t>
      </w:r>
      <w:r w:rsidRPr="00822033">
        <w:rPr>
          <w:sz w:val="22"/>
          <w:szCs w:val="22"/>
        </w:rPr>
        <w:t xml:space="preserve">or in some cases, a </w:t>
      </w:r>
      <w:r w:rsidR="00223AB2" w:rsidRPr="00822033">
        <w:rPr>
          <w:sz w:val="22"/>
          <w:szCs w:val="22"/>
        </w:rPr>
        <w:t>letter sent directly to them</w:t>
      </w:r>
      <w:r w:rsidR="00093AFE" w:rsidRPr="00822033">
        <w:rPr>
          <w:sz w:val="22"/>
          <w:szCs w:val="22"/>
        </w:rPr>
        <w:t>.</w:t>
      </w:r>
      <w:r w:rsidR="00223AB2" w:rsidRPr="00822033">
        <w:rPr>
          <w:sz w:val="22"/>
          <w:szCs w:val="22"/>
        </w:rPr>
        <w:t xml:space="preserve">  Generally</w:t>
      </w:r>
      <w:r w:rsidR="00093AFE" w:rsidRPr="00822033">
        <w:rPr>
          <w:sz w:val="22"/>
          <w:szCs w:val="22"/>
        </w:rPr>
        <w:t>,</w:t>
      </w:r>
      <w:r w:rsidR="00223AB2" w:rsidRPr="00822033">
        <w:rPr>
          <w:sz w:val="22"/>
          <w:szCs w:val="22"/>
        </w:rPr>
        <w:t xml:space="preserve"> </w:t>
      </w:r>
      <w:r w:rsidR="00093AFE" w:rsidRPr="00822033">
        <w:rPr>
          <w:sz w:val="22"/>
          <w:szCs w:val="22"/>
        </w:rPr>
        <w:t>each creditor</w:t>
      </w:r>
      <w:r w:rsidR="00223AB2" w:rsidRPr="00822033">
        <w:rPr>
          <w:sz w:val="22"/>
          <w:szCs w:val="22"/>
        </w:rPr>
        <w:t xml:space="preserve"> would have one claim against </w:t>
      </w:r>
      <w:r w:rsidR="00093AFE" w:rsidRPr="00822033">
        <w:rPr>
          <w:sz w:val="22"/>
          <w:szCs w:val="22"/>
        </w:rPr>
        <w:t>the</w:t>
      </w:r>
      <w:r w:rsidR="00223AB2" w:rsidRPr="00822033">
        <w:rPr>
          <w:sz w:val="22"/>
          <w:szCs w:val="22"/>
        </w:rPr>
        <w:t xml:space="preserve"> </w:t>
      </w:r>
      <w:r w:rsidR="00093AFE" w:rsidRPr="00822033">
        <w:rPr>
          <w:sz w:val="22"/>
          <w:szCs w:val="22"/>
        </w:rPr>
        <w:t xml:space="preserve">liquidated </w:t>
      </w:r>
      <w:r w:rsidR="00223AB2" w:rsidRPr="00822033">
        <w:rPr>
          <w:sz w:val="22"/>
          <w:szCs w:val="22"/>
        </w:rPr>
        <w:t xml:space="preserve">credit union.  The liquidating agent would </w:t>
      </w:r>
      <w:r w:rsidR="00093AFE" w:rsidRPr="00822033">
        <w:rPr>
          <w:sz w:val="22"/>
          <w:szCs w:val="22"/>
        </w:rPr>
        <w:t xml:space="preserve">then </w:t>
      </w:r>
      <w:r w:rsidR="00223AB2" w:rsidRPr="00822033">
        <w:rPr>
          <w:sz w:val="22"/>
          <w:szCs w:val="22"/>
        </w:rPr>
        <w:t xml:space="preserve">use the </w:t>
      </w:r>
      <w:r w:rsidR="00093AFE" w:rsidRPr="00822033">
        <w:rPr>
          <w:sz w:val="22"/>
          <w:szCs w:val="22"/>
        </w:rPr>
        <w:t xml:space="preserve">information in the </w:t>
      </w:r>
      <w:r w:rsidR="00223AB2" w:rsidRPr="00822033">
        <w:rPr>
          <w:sz w:val="22"/>
          <w:szCs w:val="22"/>
        </w:rPr>
        <w:t>submitted form to evaluate it for payment.</w:t>
      </w:r>
    </w:p>
    <w:p w14:paraId="3AB16FF3" w14:textId="77777777" w:rsidR="00AE278A" w:rsidRPr="00822033" w:rsidRDefault="00AE278A" w:rsidP="00AE278A">
      <w:pPr>
        <w:ind w:hanging="360"/>
        <w:rPr>
          <w:sz w:val="22"/>
          <w:szCs w:val="22"/>
        </w:rPr>
      </w:pPr>
    </w:p>
    <w:p w14:paraId="442088A8" w14:textId="77777777" w:rsidR="00AE278A" w:rsidRPr="00822033" w:rsidRDefault="00AE278A" w:rsidP="00AE278A">
      <w:pPr>
        <w:pStyle w:val="ListParagraph"/>
        <w:numPr>
          <w:ilvl w:val="0"/>
          <w:numId w:val="2"/>
        </w:numPr>
        <w:ind w:left="0"/>
        <w:rPr>
          <w:b/>
          <w:sz w:val="22"/>
          <w:szCs w:val="22"/>
        </w:rPr>
      </w:pPr>
      <w:r w:rsidRPr="00822033">
        <w:rPr>
          <w:b/>
          <w:sz w:val="22"/>
          <w:szCs w:val="22"/>
        </w:rPr>
        <w:t>Consideration Given to Information Technology</w:t>
      </w:r>
    </w:p>
    <w:p w14:paraId="2F276488" w14:textId="77777777" w:rsidR="00223AB2" w:rsidRPr="007F13D5" w:rsidRDefault="00C61877" w:rsidP="007F13D5">
      <w:pPr>
        <w:rPr>
          <w:sz w:val="22"/>
          <w:szCs w:val="22"/>
        </w:rPr>
      </w:pPr>
      <w:r w:rsidRPr="00822033">
        <w:rPr>
          <w:sz w:val="22"/>
          <w:szCs w:val="22"/>
        </w:rPr>
        <w:t>Creditors may submit claims via email or mail</w:t>
      </w:r>
      <w:r w:rsidR="00223AB2" w:rsidRPr="00822033">
        <w:rPr>
          <w:sz w:val="22"/>
          <w:szCs w:val="22"/>
        </w:rPr>
        <w:t>.</w:t>
      </w:r>
    </w:p>
    <w:p w14:paraId="15488489" w14:textId="77777777" w:rsidR="00AE278A" w:rsidRPr="00822033" w:rsidRDefault="00AE278A" w:rsidP="00AE278A">
      <w:pPr>
        <w:ind w:hanging="360"/>
        <w:rPr>
          <w:sz w:val="22"/>
          <w:szCs w:val="22"/>
        </w:rPr>
      </w:pPr>
    </w:p>
    <w:p w14:paraId="1A11280E" w14:textId="77777777" w:rsidR="00AE278A" w:rsidRPr="00822033" w:rsidRDefault="00AE278A" w:rsidP="00AE278A">
      <w:pPr>
        <w:pStyle w:val="ListParagraph"/>
        <w:numPr>
          <w:ilvl w:val="0"/>
          <w:numId w:val="2"/>
        </w:numPr>
        <w:ind w:left="0"/>
        <w:rPr>
          <w:b/>
          <w:sz w:val="22"/>
          <w:szCs w:val="22"/>
        </w:rPr>
      </w:pPr>
      <w:r w:rsidRPr="00822033">
        <w:rPr>
          <w:b/>
          <w:sz w:val="22"/>
          <w:szCs w:val="22"/>
        </w:rPr>
        <w:t xml:space="preserve"> Duplication </w:t>
      </w:r>
    </w:p>
    <w:p w14:paraId="1F3A61FA" w14:textId="77777777" w:rsidR="00223AB2" w:rsidRPr="00822033" w:rsidRDefault="00AE278A" w:rsidP="00AE278A">
      <w:pPr>
        <w:pStyle w:val="ListParagraph"/>
        <w:tabs>
          <w:tab w:val="left" w:pos="-720"/>
          <w:tab w:val="left" w:pos="286"/>
          <w:tab w:val="left" w:pos="403"/>
        </w:tabs>
        <w:suppressAutoHyphens/>
        <w:ind w:left="0" w:hanging="360"/>
        <w:rPr>
          <w:sz w:val="22"/>
          <w:szCs w:val="22"/>
        </w:rPr>
      </w:pPr>
      <w:r w:rsidRPr="00822033">
        <w:rPr>
          <w:sz w:val="22"/>
          <w:szCs w:val="22"/>
        </w:rPr>
        <w:tab/>
      </w:r>
      <w:r w:rsidR="00223AB2" w:rsidRPr="00822033">
        <w:rPr>
          <w:sz w:val="22"/>
          <w:szCs w:val="22"/>
        </w:rPr>
        <w:t>There is no duplication.  Currently</w:t>
      </w:r>
      <w:r w:rsidR="00473E3C">
        <w:rPr>
          <w:sz w:val="22"/>
          <w:szCs w:val="22"/>
        </w:rPr>
        <w:t>,</w:t>
      </w:r>
      <w:r w:rsidR="00223AB2" w:rsidRPr="00822033">
        <w:rPr>
          <w:sz w:val="22"/>
          <w:szCs w:val="22"/>
        </w:rPr>
        <w:t xml:space="preserve"> claimants submit a letter or invoice to make a claim, however</w:t>
      </w:r>
      <w:r w:rsidR="003C4960" w:rsidRPr="00822033">
        <w:rPr>
          <w:sz w:val="22"/>
          <w:szCs w:val="22"/>
        </w:rPr>
        <w:t>,</w:t>
      </w:r>
      <w:r w:rsidR="00223AB2" w:rsidRPr="00822033">
        <w:rPr>
          <w:sz w:val="22"/>
          <w:szCs w:val="22"/>
        </w:rPr>
        <w:t xml:space="preserve"> they are not always clearly identified as being claims against the liquidated credit union.</w:t>
      </w:r>
    </w:p>
    <w:p w14:paraId="1DCD72D6" w14:textId="77777777" w:rsidR="00AE278A" w:rsidRPr="00822033" w:rsidRDefault="00AE278A" w:rsidP="00AE278A">
      <w:pPr>
        <w:pStyle w:val="ListParagraph"/>
        <w:tabs>
          <w:tab w:val="left" w:pos="-720"/>
          <w:tab w:val="left" w:pos="286"/>
          <w:tab w:val="left" w:pos="403"/>
        </w:tabs>
        <w:suppressAutoHyphens/>
        <w:ind w:left="0" w:hanging="360"/>
        <w:rPr>
          <w:sz w:val="22"/>
          <w:szCs w:val="22"/>
        </w:rPr>
      </w:pPr>
    </w:p>
    <w:p w14:paraId="6DBB4C5D" w14:textId="77777777" w:rsidR="00AE278A" w:rsidRPr="00822033" w:rsidRDefault="00AE278A" w:rsidP="00AE278A">
      <w:pPr>
        <w:pStyle w:val="ListParagraph"/>
        <w:numPr>
          <w:ilvl w:val="0"/>
          <w:numId w:val="2"/>
        </w:numPr>
        <w:ind w:left="0"/>
        <w:rPr>
          <w:b/>
          <w:sz w:val="22"/>
          <w:szCs w:val="22"/>
        </w:rPr>
      </w:pPr>
      <w:r w:rsidRPr="00822033">
        <w:rPr>
          <w:b/>
          <w:sz w:val="22"/>
          <w:szCs w:val="22"/>
        </w:rPr>
        <w:t xml:space="preserve"> Effect on Small Entities</w:t>
      </w:r>
    </w:p>
    <w:p w14:paraId="456D76B5" w14:textId="44C4AE02" w:rsidR="00223AB2" w:rsidRPr="00822033" w:rsidRDefault="00A40EE7" w:rsidP="00A40EE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rPr>
          <w:sz w:val="22"/>
          <w:szCs w:val="22"/>
        </w:rPr>
      </w:pPr>
      <w:r>
        <w:rPr>
          <w:sz w:val="22"/>
          <w:szCs w:val="22"/>
        </w:rPr>
        <w:t>There is no reduction in the burden requirement for small entities.</w:t>
      </w:r>
      <w:r w:rsidR="00223AB2" w:rsidRPr="00822033">
        <w:rPr>
          <w:sz w:val="22"/>
          <w:szCs w:val="22"/>
        </w:rPr>
        <w:t xml:space="preserve"> </w:t>
      </w:r>
    </w:p>
    <w:p w14:paraId="136FDF63" w14:textId="77777777" w:rsidR="00AE278A" w:rsidRPr="007F13D5" w:rsidRDefault="00AE278A" w:rsidP="007F13D5">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rPr>
          <w:sz w:val="22"/>
          <w:szCs w:val="22"/>
        </w:rPr>
      </w:pPr>
    </w:p>
    <w:p w14:paraId="45D9A671" w14:textId="77777777" w:rsidR="00AE278A" w:rsidRPr="00822033" w:rsidRDefault="00AE278A" w:rsidP="00AE278A">
      <w:pPr>
        <w:pStyle w:val="ListParagraph"/>
        <w:numPr>
          <w:ilvl w:val="0"/>
          <w:numId w:val="2"/>
        </w:numPr>
        <w:ind w:left="0"/>
        <w:rPr>
          <w:b/>
          <w:sz w:val="22"/>
          <w:szCs w:val="22"/>
        </w:rPr>
      </w:pPr>
      <w:r w:rsidRPr="00822033">
        <w:rPr>
          <w:b/>
          <w:sz w:val="22"/>
          <w:szCs w:val="22"/>
        </w:rPr>
        <w:t xml:space="preserve">Consequences of Not Conducting Collection </w:t>
      </w:r>
    </w:p>
    <w:p w14:paraId="49D30FD9" w14:textId="77777777" w:rsidR="00223AB2" w:rsidRPr="00822033" w:rsidRDefault="00AE278A" w:rsidP="00660785">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rPr>
          <w:sz w:val="22"/>
          <w:szCs w:val="22"/>
        </w:rPr>
      </w:pPr>
      <w:r w:rsidRPr="00822033">
        <w:rPr>
          <w:sz w:val="22"/>
          <w:szCs w:val="22"/>
        </w:rPr>
        <w:tab/>
      </w:r>
      <w:r w:rsidR="00C61877" w:rsidRPr="00822033">
        <w:rPr>
          <w:sz w:val="22"/>
          <w:szCs w:val="22"/>
        </w:rPr>
        <w:t xml:space="preserve">Without collecting this information, NCUA would not be aware of claims and could not evaluate them.  Additionally, this information ensures that NCUA is in compliance with tax reporting requirements.  </w:t>
      </w:r>
      <w:r w:rsidR="00223AB2" w:rsidRPr="00822033">
        <w:rPr>
          <w:sz w:val="22"/>
          <w:szCs w:val="22"/>
        </w:rPr>
        <w:t>Since this is only a one-time requirement, the submission is required as infrequently as possible.  The timeline for submitting claims is covered by statute.</w:t>
      </w:r>
    </w:p>
    <w:p w14:paraId="4113C6A8" w14:textId="77777777" w:rsidR="00AE278A" w:rsidRPr="00822033" w:rsidRDefault="00AE278A" w:rsidP="007F13D5">
      <w:pPr>
        <w:rPr>
          <w:sz w:val="22"/>
          <w:szCs w:val="22"/>
        </w:rPr>
      </w:pPr>
    </w:p>
    <w:p w14:paraId="2EB8F82B" w14:textId="77777777" w:rsidR="00223AB2" w:rsidRPr="00660785" w:rsidRDefault="00AE278A" w:rsidP="00AE278A">
      <w:pPr>
        <w:pStyle w:val="ListParagraph"/>
        <w:numPr>
          <w:ilvl w:val="0"/>
          <w:numId w:val="2"/>
        </w:numPr>
        <w:ind w:left="0"/>
        <w:rPr>
          <w:b/>
          <w:sz w:val="22"/>
          <w:szCs w:val="22"/>
        </w:rPr>
      </w:pPr>
      <w:r w:rsidRPr="00822033">
        <w:rPr>
          <w:b/>
          <w:sz w:val="22"/>
          <w:szCs w:val="22"/>
        </w:rPr>
        <w:t>Inconsistencies with Guidelines in 5 CFR 1320.5(d)(2)</w:t>
      </w:r>
    </w:p>
    <w:p w14:paraId="09155AFF" w14:textId="77777777" w:rsidR="00AE278A" w:rsidRPr="00822033" w:rsidRDefault="00AE278A" w:rsidP="00AE278A">
      <w:pPr>
        <w:pStyle w:val="ListParagraph"/>
        <w:ind w:left="0"/>
        <w:rPr>
          <w:sz w:val="22"/>
          <w:szCs w:val="22"/>
        </w:rPr>
      </w:pPr>
      <w:r w:rsidRPr="00822033">
        <w:rPr>
          <w:sz w:val="22"/>
          <w:szCs w:val="22"/>
        </w:rPr>
        <w:t>There are no special circumstances. This collection is consistent with the guidelines in 5 C</w:t>
      </w:r>
      <w:r w:rsidR="0016614D" w:rsidRPr="00822033">
        <w:rPr>
          <w:sz w:val="22"/>
          <w:szCs w:val="22"/>
        </w:rPr>
        <w:t>.</w:t>
      </w:r>
      <w:r w:rsidRPr="00822033">
        <w:rPr>
          <w:sz w:val="22"/>
          <w:szCs w:val="22"/>
        </w:rPr>
        <w:t>F</w:t>
      </w:r>
      <w:r w:rsidR="0016614D" w:rsidRPr="00822033">
        <w:rPr>
          <w:sz w:val="22"/>
          <w:szCs w:val="22"/>
        </w:rPr>
        <w:t>.</w:t>
      </w:r>
      <w:r w:rsidRPr="00822033">
        <w:rPr>
          <w:sz w:val="22"/>
          <w:szCs w:val="22"/>
        </w:rPr>
        <w:t>R</w:t>
      </w:r>
      <w:r w:rsidR="0016614D" w:rsidRPr="00822033">
        <w:rPr>
          <w:sz w:val="22"/>
          <w:szCs w:val="22"/>
        </w:rPr>
        <w:t>.</w:t>
      </w:r>
      <w:r w:rsidRPr="00822033">
        <w:rPr>
          <w:sz w:val="22"/>
          <w:szCs w:val="22"/>
        </w:rPr>
        <w:t xml:space="preserve"> </w:t>
      </w:r>
      <w:r w:rsidR="0016614D" w:rsidRPr="00822033">
        <w:rPr>
          <w:sz w:val="22"/>
          <w:szCs w:val="22"/>
        </w:rPr>
        <w:t>§</w:t>
      </w:r>
      <w:r w:rsidRPr="00822033">
        <w:rPr>
          <w:sz w:val="22"/>
          <w:szCs w:val="22"/>
        </w:rPr>
        <w:t>1320.5(d)(2)</w:t>
      </w:r>
      <w:r w:rsidR="00223AB2" w:rsidRPr="00822033">
        <w:rPr>
          <w:sz w:val="22"/>
          <w:szCs w:val="22"/>
        </w:rPr>
        <w:t>.</w:t>
      </w:r>
    </w:p>
    <w:p w14:paraId="1350A628" w14:textId="77777777" w:rsidR="00660785" w:rsidRPr="007F13D5" w:rsidRDefault="00660785" w:rsidP="007F13D5">
      <w:pPr>
        <w:rPr>
          <w:b/>
          <w:sz w:val="22"/>
          <w:szCs w:val="22"/>
        </w:rPr>
      </w:pPr>
    </w:p>
    <w:p w14:paraId="180304E1" w14:textId="77777777" w:rsidR="00AE278A" w:rsidRPr="00822033" w:rsidRDefault="00AE278A" w:rsidP="00AE278A">
      <w:pPr>
        <w:pStyle w:val="ListParagraph"/>
        <w:numPr>
          <w:ilvl w:val="0"/>
          <w:numId w:val="2"/>
        </w:numPr>
        <w:ind w:left="0"/>
        <w:rPr>
          <w:b/>
          <w:sz w:val="22"/>
          <w:szCs w:val="22"/>
        </w:rPr>
      </w:pPr>
      <w:r w:rsidRPr="00822033">
        <w:rPr>
          <w:b/>
          <w:sz w:val="22"/>
          <w:szCs w:val="22"/>
        </w:rPr>
        <w:t>Consultations Outside the Agency</w:t>
      </w:r>
    </w:p>
    <w:p w14:paraId="46DEF5FE" w14:textId="77777777" w:rsidR="00AE278A" w:rsidRDefault="00AE278A" w:rsidP="007F13D5">
      <w:pPr>
        <w:rPr>
          <w:sz w:val="22"/>
          <w:szCs w:val="22"/>
        </w:rPr>
      </w:pPr>
      <w:r w:rsidRPr="00822033">
        <w:rPr>
          <w:sz w:val="22"/>
          <w:szCs w:val="22"/>
        </w:rPr>
        <w:t xml:space="preserve">The required Federal Register notice with a 60-day comment period soliciting comments on this </w:t>
      </w:r>
      <w:r w:rsidR="00223AB2" w:rsidRPr="00822033">
        <w:rPr>
          <w:sz w:val="22"/>
          <w:szCs w:val="22"/>
        </w:rPr>
        <w:t xml:space="preserve">new </w:t>
      </w:r>
      <w:r w:rsidRPr="00822033">
        <w:rPr>
          <w:sz w:val="22"/>
          <w:szCs w:val="22"/>
        </w:rPr>
        <w:t>collection of information was published</w:t>
      </w:r>
      <w:r w:rsidR="0016614D" w:rsidRPr="00822033">
        <w:rPr>
          <w:sz w:val="22"/>
          <w:szCs w:val="22"/>
        </w:rPr>
        <w:t xml:space="preserve"> on June 17, 2014 (79 FR 34555)</w:t>
      </w:r>
      <w:r w:rsidRPr="00822033">
        <w:rPr>
          <w:sz w:val="22"/>
          <w:szCs w:val="22"/>
        </w:rPr>
        <w:t>.  No</w:t>
      </w:r>
      <w:r w:rsidR="00223AB2" w:rsidRPr="00822033">
        <w:rPr>
          <w:sz w:val="22"/>
          <w:szCs w:val="22"/>
        </w:rPr>
        <w:t xml:space="preserve"> public comments were received.</w:t>
      </w:r>
    </w:p>
    <w:p w14:paraId="728FEB56" w14:textId="77777777" w:rsidR="007F13D5" w:rsidRPr="007F13D5" w:rsidRDefault="007F13D5" w:rsidP="007F13D5">
      <w:pPr>
        <w:rPr>
          <w:sz w:val="22"/>
          <w:szCs w:val="22"/>
        </w:rPr>
      </w:pPr>
    </w:p>
    <w:p w14:paraId="164428D2" w14:textId="77777777" w:rsidR="00AE278A" w:rsidRPr="00822033" w:rsidRDefault="00AE278A" w:rsidP="00AE278A">
      <w:pPr>
        <w:pStyle w:val="ListParagraph"/>
        <w:numPr>
          <w:ilvl w:val="0"/>
          <w:numId w:val="2"/>
        </w:numPr>
        <w:ind w:left="0"/>
        <w:rPr>
          <w:b/>
          <w:sz w:val="22"/>
          <w:szCs w:val="22"/>
        </w:rPr>
      </w:pPr>
      <w:r w:rsidRPr="00822033">
        <w:rPr>
          <w:b/>
          <w:sz w:val="22"/>
          <w:szCs w:val="22"/>
        </w:rPr>
        <w:t>Payment or Gift</w:t>
      </w:r>
    </w:p>
    <w:p w14:paraId="4FDECD64" w14:textId="77777777" w:rsidR="00223AB2" w:rsidRPr="00822033" w:rsidRDefault="00AE278A" w:rsidP="00660785">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rPr>
          <w:sz w:val="22"/>
          <w:szCs w:val="22"/>
        </w:rPr>
      </w:pPr>
      <w:r w:rsidRPr="00822033">
        <w:rPr>
          <w:sz w:val="22"/>
          <w:szCs w:val="22"/>
        </w:rPr>
        <w:tab/>
      </w:r>
      <w:r w:rsidR="00223AB2" w:rsidRPr="00822033">
        <w:rPr>
          <w:sz w:val="22"/>
          <w:szCs w:val="22"/>
        </w:rPr>
        <w:t xml:space="preserve">There is no </w:t>
      </w:r>
      <w:r w:rsidR="00DA4DFB" w:rsidRPr="00822033">
        <w:rPr>
          <w:sz w:val="22"/>
          <w:szCs w:val="22"/>
        </w:rPr>
        <w:t>plan to</w:t>
      </w:r>
      <w:r w:rsidR="00223AB2" w:rsidRPr="00822033">
        <w:rPr>
          <w:sz w:val="22"/>
          <w:szCs w:val="22"/>
        </w:rPr>
        <w:t xml:space="preserve"> provide any payment or gift to respondents.</w:t>
      </w:r>
    </w:p>
    <w:p w14:paraId="317A4BA6" w14:textId="77777777" w:rsidR="00AE278A" w:rsidRPr="00822033" w:rsidRDefault="00AE278A" w:rsidP="007F13D5">
      <w:pPr>
        <w:rPr>
          <w:sz w:val="22"/>
          <w:szCs w:val="22"/>
        </w:rPr>
      </w:pPr>
    </w:p>
    <w:p w14:paraId="3BB4DC5F" w14:textId="77777777" w:rsidR="00AE278A" w:rsidRPr="00822033" w:rsidRDefault="00AE278A" w:rsidP="00AE278A">
      <w:pPr>
        <w:pStyle w:val="ListParagraph"/>
        <w:numPr>
          <w:ilvl w:val="0"/>
          <w:numId w:val="2"/>
        </w:numPr>
        <w:ind w:left="0"/>
        <w:rPr>
          <w:b/>
          <w:sz w:val="22"/>
          <w:szCs w:val="22"/>
        </w:rPr>
      </w:pPr>
      <w:r w:rsidRPr="00822033">
        <w:rPr>
          <w:b/>
          <w:sz w:val="22"/>
          <w:szCs w:val="22"/>
        </w:rPr>
        <w:t xml:space="preserve"> Confidentiality </w:t>
      </w:r>
    </w:p>
    <w:p w14:paraId="247703C7" w14:textId="77777777" w:rsidR="00223AB2" w:rsidRPr="00822033" w:rsidRDefault="00AE278A" w:rsidP="00AE278A">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rPr>
          <w:sz w:val="22"/>
          <w:szCs w:val="22"/>
        </w:rPr>
      </w:pPr>
      <w:r w:rsidRPr="00822033">
        <w:rPr>
          <w:sz w:val="22"/>
          <w:szCs w:val="22"/>
        </w:rPr>
        <w:tab/>
      </w:r>
      <w:r w:rsidR="00C61877" w:rsidRPr="00822033">
        <w:rPr>
          <w:sz w:val="22"/>
          <w:szCs w:val="22"/>
        </w:rPr>
        <w:t>NCUA does not give assurances of confidentiality.</w:t>
      </w:r>
    </w:p>
    <w:p w14:paraId="04D8A5EA" w14:textId="77777777" w:rsidR="00422725" w:rsidRPr="00822033" w:rsidRDefault="00422725" w:rsidP="00AE278A">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rPr>
          <w:sz w:val="22"/>
          <w:szCs w:val="22"/>
        </w:rPr>
      </w:pPr>
    </w:p>
    <w:p w14:paraId="0661B377" w14:textId="77777777" w:rsidR="00223AB2" w:rsidRPr="00822033" w:rsidRDefault="00223AB2" w:rsidP="00223AB2">
      <w:pPr>
        <w:pStyle w:val="BodyText"/>
        <w:numPr>
          <w:ilvl w:val="12"/>
          <w:numId w:val="0"/>
        </w:numPr>
        <w:rPr>
          <w:rFonts w:ascii="Times New Roman" w:hAnsi="Times New Roman"/>
          <w:sz w:val="22"/>
          <w:szCs w:val="22"/>
        </w:rPr>
      </w:pPr>
      <w:r w:rsidRPr="00822033">
        <w:rPr>
          <w:rFonts w:ascii="Times New Roman" w:hAnsi="Times New Roman"/>
          <w:sz w:val="22"/>
          <w:szCs w:val="22"/>
        </w:rPr>
        <w:t>Credit union examination reports and any documents related thereto are exempt from the Freedom of Information Act, pursuant to exemption 8, 5 U.S.C.  552(b)(8).</w:t>
      </w:r>
    </w:p>
    <w:p w14:paraId="6D2E8B35" w14:textId="77777777" w:rsidR="00AE278A" w:rsidRPr="00822033" w:rsidRDefault="00AE278A" w:rsidP="007F13D5">
      <w:pPr>
        <w:rPr>
          <w:sz w:val="22"/>
          <w:szCs w:val="22"/>
        </w:rPr>
      </w:pPr>
    </w:p>
    <w:p w14:paraId="2D9F6C30" w14:textId="77777777" w:rsidR="00AE278A" w:rsidRPr="00660785" w:rsidRDefault="00AE278A" w:rsidP="00660785">
      <w:pPr>
        <w:pStyle w:val="ListParagraph"/>
        <w:numPr>
          <w:ilvl w:val="0"/>
          <w:numId w:val="2"/>
        </w:numPr>
        <w:ind w:left="0"/>
        <w:rPr>
          <w:b/>
          <w:sz w:val="22"/>
          <w:szCs w:val="22"/>
        </w:rPr>
      </w:pPr>
      <w:r w:rsidRPr="00822033">
        <w:rPr>
          <w:b/>
          <w:sz w:val="22"/>
          <w:szCs w:val="22"/>
        </w:rPr>
        <w:t>Sensitive Questions</w:t>
      </w:r>
    </w:p>
    <w:p w14:paraId="580631B2" w14:textId="77777777" w:rsidR="00922A24" w:rsidRPr="00822033" w:rsidRDefault="00922A24" w:rsidP="00AE278A">
      <w:pPr>
        <w:rPr>
          <w:sz w:val="22"/>
          <w:szCs w:val="22"/>
        </w:rPr>
      </w:pPr>
      <w:r w:rsidRPr="00822033">
        <w:rPr>
          <w:sz w:val="22"/>
          <w:szCs w:val="22"/>
        </w:rPr>
        <w:t xml:space="preserve">The information collection collects Personally Identifiable Information (PII), consisting of name, social security number or taxpayer ID number </w:t>
      </w:r>
      <w:r w:rsidR="00E05EBA" w:rsidRPr="00822033">
        <w:rPr>
          <w:sz w:val="22"/>
          <w:szCs w:val="22"/>
        </w:rPr>
        <w:t>to ensure the claimant is unique for claims that are paid by NCUA.  NCUA is required to use this information for tax reporting purposes.  This collection is in compliance with the Privacy Act.</w:t>
      </w:r>
    </w:p>
    <w:p w14:paraId="00AD65B7" w14:textId="77777777" w:rsidR="00AE278A" w:rsidRPr="00822033" w:rsidRDefault="00AE278A" w:rsidP="007F13D5">
      <w:pPr>
        <w:rPr>
          <w:i/>
          <w:sz w:val="22"/>
          <w:szCs w:val="22"/>
        </w:rPr>
      </w:pPr>
    </w:p>
    <w:p w14:paraId="1723CE1D" w14:textId="77777777" w:rsidR="00AE278A" w:rsidRPr="00660785" w:rsidRDefault="00AE278A" w:rsidP="00AE278A">
      <w:pPr>
        <w:pStyle w:val="ListParagraph"/>
        <w:numPr>
          <w:ilvl w:val="0"/>
          <w:numId w:val="2"/>
        </w:numPr>
        <w:suppressAutoHyphens/>
        <w:ind w:left="0"/>
        <w:rPr>
          <w:sz w:val="22"/>
          <w:szCs w:val="22"/>
        </w:rPr>
      </w:pPr>
      <w:r w:rsidRPr="00660785">
        <w:rPr>
          <w:b/>
          <w:sz w:val="22"/>
          <w:szCs w:val="22"/>
        </w:rPr>
        <w:t>Burden of Information Collection</w:t>
      </w:r>
    </w:p>
    <w:p w14:paraId="53A6DD97" w14:textId="77777777" w:rsidR="00DA4DFB" w:rsidRPr="00822033" w:rsidRDefault="00DA4DFB" w:rsidP="00DA4DFB">
      <w:pPr>
        <w:pStyle w:val="BodyText"/>
        <w:numPr>
          <w:ilvl w:val="12"/>
          <w:numId w:val="0"/>
        </w:numPr>
        <w:rPr>
          <w:rFonts w:ascii="Times New Roman" w:hAnsi="Times New Roman"/>
          <w:sz w:val="22"/>
          <w:szCs w:val="22"/>
        </w:rPr>
      </w:pPr>
      <w:r w:rsidRPr="00822033">
        <w:rPr>
          <w:rFonts w:ascii="Times New Roman" w:hAnsi="Times New Roman"/>
          <w:sz w:val="22"/>
          <w:szCs w:val="22"/>
        </w:rPr>
        <w:t xml:space="preserve">It has been the recent experience of the NCUA, and it is projected that we receive 200 claims annually.  The number of respondents could change depending on the number of credit unions placed into liquidation in a year, as well as the complexity of their operations.  Those credit unions with more complex operations could have more creditor claims. </w:t>
      </w:r>
    </w:p>
    <w:p w14:paraId="438FD1E5" w14:textId="77777777" w:rsidR="00DA4DFB" w:rsidRPr="00822033" w:rsidRDefault="00DA4DFB" w:rsidP="00DA4DFB">
      <w:pPr>
        <w:pStyle w:val="BodyText"/>
        <w:numPr>
          <w:ilvl w:val="12"/>
          <w:numId w:val="0"/>
        </w:numPr>
        <w:rPr>
          <w:rFonts w:ascii="Times New Roman" w:hAnsi="Times New Roman"/>
          <w:sz w:val="22"/>
          <w:szCs w:val="22"/>
        </w:rPr>
      </w:pPr>
    </w:p>
    <w:p w14:paraId="7F740CDD" w14:textId="77777777" w:rsidR="00DA4DFB" w:rsidRPr="00822033" w:rsidRDefault="00DA4DFB" w:rsidP="00DA4DFB">
      <w:pPr>
        <w:pStyle w:val="BodyText"/>
        <w:numPr>
          <w:ilvl w:val="12"/>
          <w:numId w:val="0"/>
        </w:numPr>
        <w:rPr>
          <w:rFonts w:ascii="Times New Roman" w:hAnsi="Times New Roman"/>
          <w:sz w:val="22"/>
          <w:szCs w:val="22"/>
        </w:rPr>
      </w:pPr>
      <w:r w:rsidRPr="00822033">
        <w:rPr>
          <w:rFonts w:ascii="Times New Roman" w:hAnsi="Times New Roman"/>
          <w:sz w:val="22"/>
          <w:szCs w:val="22"/>
        </w:rPr>
        <w:t>The time burden could fluctuate based on the complexity of the claim and generally it is a one-time claim.  The time estimated for each creditor fulfilling this requirement is no more than 1 hour.  Generally, the information to be submitted already exists in the accounts receivable records of the creditor, and the form could be completed in less time.</w:t>
      </w:r>
      <w:r w:rsidR="00922A24" w:rsidRPr="00822033">
        <w:rPr>
          <w:rFonts w:ascii="Times New Roman" w:hAnsi="Times New Roman"/>
          <w:sz w:val="22"/>
          <w:szCs w:val="22"/>
        </w:rPr>
        <w:t xml:space="preserve">  </w:t>
      </w:r>
      <w:r w:rsidRPr="00822033">
        <w:rPr>
          <w:rFonts w:ascii="Times New Roman" w:hAnsi="Times New Roman"/>
          <w:sz w:val="22"/>
          <w:szCs w:val="22"/>
        </w:rPr>
        <w:t xml:space="preserve"> NCUA believes 1 hour is a reasonable amount of time needed to complete the form and collect supporting documentation.  </w:t>
      </w:r>
    </w:p>
    <w:p w14:paraId="221E6FDA" w14:textId="77777777" w:rsidR="007E30B0" w:rsidRPr="00822033" w:rsidRDefault="007E30B0" w:rsidP="00DA4DFB">
      <w:pPr>
        <w:pStyle w:val="BodyText"/>
        <w:numPr>
          <w:ilvl w:val="12"/>
          <w:numId w:val="0"/>
        </w:numPr>
        <w:rPr>
          <w:rFonts w:ascii="Times New Roman" w:hAnsi="Times New Roman"/>
          <w:sz w:val="22"/>
          <w:szCs w:val="22"/>
        </w:rPr>
      </w:pPr>
    </w:p>
    <w:p w14:paraId="04B5B186" w14:textId="77777777" w:rsidR="007E30B0" w:rsidRPr="00822033" w:rsidRDefault="007E30B0" w:rsidP="00DA4DFB">
      <w:pPr>
        <w:pStyle w:val="BodyText"/>
        <w:numPr>
          <w:ilvl w:val="12"/>
          <w:numId w:val="0"/>
        </w:numPr>
        <w:rPr>
          <w:rFonts w:ascii="Times New Roman" w:hAnsi="Times New Roman"/>
          <w:sz w:val="22"/>
          <w:szCs w:val="22"/>
        </w:rPr>
      </w:pPr>
      <w:r w:rsidRPr="00822033">
        <w:rPr>
          <w:rFonts w:ascii="Times New Roman" w:hAnsi="Times New Roman"/>
          <w:sz w:val="22"/>
          <w:szCs w:val="22"/>
        </w:rPr>
        <w:t xml:space="preserve">In the event of a dispute concerning a claim, the liquidating agent may require the claimant to submit supplemental evidence.  NCUA </w:t>
      </w:r>
      <w:r w:rsidR="00E05EBA" w:rsidRPr="00822033">
        <w:rPr>
          <w:rFonts w:ascii="Times New Roman" w:hAnsi="Times New Roman"/>
          <w:sz w:val="22"/>
          <w:szCs w:val="22"/>
        </w:rPr>
        <w:t xml:space="preserve">projects </w:t>
      </w:r>
      <w:r w:rsidRPr="00822033">
        <w:rPr>
          <w:rFonts w:ascii="Times New Roman" w:hAnsi="Times New Roman"/>
          <w:sz w:val="22"/>
          <w:szCs w:val="22"/>
        </w:rPr>
        <w:t>supplement</w:t>
      </w:r>
      <w:r w:rsidR="003A226E" w:rsidRPr="00822033">
        <w:rPr>
          <w:rFonts w:ascii="Times New Roman" w:hAnsi="Times New Roman"/>
          <w:sz w:val="22"/>
          <w:szCs w:val="22"/>
        </w:rPr>
        <w:t>al</w:t>
      </w:r>
      <w:r w:rsidRPr="00822033">
        <w:rPr>
          <w:rFonts w:ascii="Times New Roman" w:hAnsi="Times New Roman"/>
          <w:sz w:val="22"/>
          <w:szCs w:val="22"/>
        </w:rPr>
        <w:t xml:space="preserve"> evidence </w:t>
      </w:r>
      <w:r w:rsidR="00E05EBA" w:rsidRPr="00822033">
        <w:rPr>
          <w:rFonts w:ascii="Times New Roman" w:hAnsi="Times New Roman"/>
          <w:sz w:val="22"/>
          <w:szCs w:val="22"/>
        </w:rPr>
        <w:t xml:space="preserve">will be required </w:t>
      </w:r>
      <w:r w:rsidRPr="00822033">
        <w:rPr>
          <w:rFonts w:ascii="Times New Roman" w:hAnsi="Times New Roman"/>
          <w:sz w:val="22"/>
          <w:szCs w:val="22"/>
        </w:rPr>
        <w:t xml:space="preserve">in fewer than 10% of all claims filed.  </w:t>
      </w:r>
      <w:r w:rsidR="005D0D79" w:rsidRPr="00822033">
        <w:rPr>
          <w:rFonts w:ascii="Times New Roman" w:hAnsi="Times New Roman"/>
          <w:sz w:val="22"/>
          <w:szCs w:val="22"/>
        </w:rPr>
        <w:t xml:space="preserve">Therefore, </w:t>
      </w:r>
      <w:r w:rsidR="00E05EBA" w:rsidRPr="00822033">
        <w:rPr>
          <w:rFonts w:ascii="Times New Roman" w:hAnsi="Times New Roman"/>
          <w:sz w:val="22"/>
          <w:szCs w:val="22"/>
        </w:rPr>
        <w:t xml:space="preserve">NCUA </w:t>
      </w:r>
      <w:r w:rsidR="005D0D79" w:rsidRPr="00822033">
        <w:rPr>
          <w:rFonts w:ascii="Times New Roman" w:hAnsi="Times New Roman"/>
          <w:sz w:val="22"/>
          <w:szCs w:val="22"/>
        </w:rPr>
        <w:t>estimate</w:t>
      </w:r>
      <w:r w:rsidR="00E05EBA" w:rsidRPr="00822033">
        <w:rPr>
          <w:rFonts w:ascii="Times New Roman" w:hAnsi="Times New Roman"/>
          <w:sz w:val="22"/>
          <w:szCs w:val="22"/>
        </w:rPr>
        <w:t>s</w:t>
      </w:r>
      <w:r w:rsidR="005D0D79" w:rsidRPr="00822033">
        <w:rPr>
          <w:rFonts w:ascii="Times New Roman" w:hAnsi="Times New Roman"/>
          <w:sz w:val="22"/>
          <w:szCs w:val="22"/>
        </w:rPr>
        <w:t xml:space="preserve"> that it will take 20 claimants one hour to furnish the supplemental evidence to NCUA.</w:t>
      </w:r>
      <w:r w:rsidR="003A226E" w:rsidRPr="00822033">
        <w:rPr>
          <w:rFonts w:ascii="Times New Roman" w:hAnsi="Times New Roman"/>
          <w:sz w:val="22"/>
          <w:szCs w:val="22"/>
        </w:rPr>
        <w:t xml:space="preserve"> </w:t>
      </w:r>
    </w:p>
    <w:p w14:paraId="4968256A" w14:textId="77777777" w:rsidR="00E05EBA" w:rsidRPr="00822033" w:rsidRDefault="00E05EBA" w:rsidP="00DA4DFB">
      <w:pPr>
        <w:pStyle w:val="BodyText"/>
        <w:numPr>
          <w:ilvl w:val="12"/>
          <w:numId w:val="0"/>
        </w:numPr>
        <w:rPr>
          <w:rFonts w:ascii="Times New Roman" w:hAnsi="Times New Roman"/>
          <w:sz w:val="22"/>
          <w:szCs w:val="22"/>
        </w:rPr>
      </w:pPr>
    </w:p>
    <w:p w14:paraId="3B703524" w14:textId="77777777" w:rsidR="00E05EBA" w:rsidRPr="00822033" w:rsidRDefault="00E05EBA" w:rsidP="00DA4DFB">
      <w:pPr>
        <w:pStyle w:val="BodyText"/>
        <w:numPr>
          <w:ilvl w:val="12"/>
          <w:numId w:val="0"/>
        </w:numPr>
        <w:rPr>
          <w:rFonts w:ascii="Times New Roman" w:hAnsi="Times New Roman"/>
          <w:sz w:val="22"/>
          <w:szCs w:val="22"/>
        </w:rPr>
      </w:pPr>
      <w:r w:rsidRPr="00822033">
        <w:rPr>
          <w:rFonts w:ascii="Times New Roman" w:hAnsi="Times New Roman"/>
          <w:sz w:val="22"/>
          <w:szCs w:val="22"/>
        </w:rPr>
        <w:t>The total</w:t>
      </w:r>
      <w:r w:rsidR="00B64DE5">
        <w:rPr>
          <w:rFonts w:ascii="Times New Roman" w:hAnsi="Times New Roman"/>
          <w:sz w:val="22"/>
          <w:szCs w:val="22"/>
        </w:rPr>
        <w:t xml:space="preserve"> reporting</w:t>
      </w:r>
      <w:r w:rsidRPr="00822033">
        <w:rPr>
          <w:rFonts w:ascii="Times New Roman" w:hAnsi="Times New Roman"/>
          <w:sz w:val="22"/>
          <w:szCs w:val="22"/>
        </w:rPr>
        <w:t xml:space="preserve"> burden is 220 hours.</w:t>
      </w:r>
    </w:p>
    <w:p w14:paraId="5AB3738D" w14:textId="77777777" w:rsidR="00AE278A" w:rsidRPr="00822033" w:rsidRDefault="00AE278A" w:rsidP="00AE278A">
      <w:pPr>
        <w:tabs>
          <w:tab w:val="left" w:pos="-1080"/>
          <w:tab w:val="left" w:pos="-720"/>
          <w:tab w:val="left" w:pos="0"/>
          <w:tab w:val="left" w:pos="450"/>
          <w:tab w:val="left" w:pos="720"/>
          <w:tab w:val="left" w:pos="2160"/>
        </w:tabs>
        <w:ind w:hanging="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82"/>
        <w:gridCol w:w="1646"/>
        <w:gridCol w:w="1621"/>
        <w:gridCol w:w="1298"/>
        <w:gridCol w:w="1560"/>
        <w:gridCol w:w="1573"/>
      </w:tblGrid>
      <w:tr w:rsidR="00B64DE5" w:rsidRPr="00EF3220" w14:paraId="26AF6294" w14:textId="77777777" w:rsidTr="00473E3C">
        <w:trPr>
          <w:jc w:val="center"/>
        </w:trPr>
        <w:tc>
          <w:tcPr>
            <w:tcW w:w="1878" w:type="dxa"/>
            <w:gridSpan w:val="2"/>
            <w:shd w:val="clear" w:color="auto" w:fill="C6D9F1"/>
            <w:vAlign w:val="bottom"/>
          </w:tcPr>
          <w:p w14:paraId="3164E162" w14:textId="77777777" w:rsidR="00B64DE5" w:rsidRPr="00EF3220" w:rsidRDefault="00B64DE5" w:rsidP="00473E3C">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646" w:type="dxa"/>
            <w:shd w:val="clear" w:color="auto" w:fill="C6D9F1"/>
            <w:vAlign w:val="bottom"/>
          </w:tcPr>
          <w:p w14:paraId="06273B6E"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Number of Respondents</w:t>
            </w:r>
          </w:p>
        </w:tc>
        <w:tc>
          <w:tcPr>
            <w:tcW w:w="1621" w:type="dxa"/>
            <w:shd w:val="clear" w:color="auto" w:fill="C6D9F1"/>
            <w:vAlign w:val="bottom"/>
          </w:tcPr>
          <w:p w14:paraId="2A1FA1BC"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Frequency of Response (Annual (1), Quarterly (4), etc.)</w:t>
            </w:r>
          </w:p>
        </w:tc>
        <w:tc>
          <w:tcPr>
            <w:tcW w:w="1298" w:type="dxa"/>
            <w:shd w:val="clear" w:color="auto" w:fill="C6D9F1"/>
            <w:vAlign w:val="bottom"/>
          </w:tcPr>
          <w:p w14:paraId="1A8C7AAC"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Number of Responses</w:t>
            </w:r>
          </w:p>
        </w:tc>
        <w:tc>
          <w:tcPr>
            <w:tcW w:w="1560" w:type="dxa"/>
            <w:shd w:val="clear" w:color="auto" w:fill="C6D9F1"/>
            <w:vAlign w:val="bottom"/>
          </w:tcPr>
          <w:p w14:paraId="1A4AD601" w14:textId="77777777" w:rsidR="00B64DE5" w:rsidRPr="00EF3220" w:rsidRDefault="00B64DE5" w:rsidP="00473E3C">
            <w:pPr>
              <w:tabs>
                <w:tab w:val="left" w:pos="-1080"/>
                <w:tab w:val="left" w:pos="-720"/>
                <w:tab w:val="left" w:pos="0"/>
                <w:tab w:val="left" w:pos="450"/>
                <w:tab w:val="left" w:pos="720"/>
                <w:tab w:val="left" w:pos="2160"/>
              </w:tabs>
              <w:jc w:val="center"/>
              <w:rPr>
                <w:b/>
              </w:rPr>
            </w:pPr>
            <w:r w:rsidRPr="00EF3220">
              <w:rPr>
                <w:b/>
              </w:rPr>
              <w:t>Burden</w:t>
            </w:r>
          </w:p>
          <w:p w14:paraId="44009CB6"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Hours per Response</w:t>
            </w:r>
          </w:p>
        </w:tc>
        <w:tc>
          <w:tcPr>
            <w:tcW w:w="1573" w:type="dxa"/>
            <w:shd w:val="clear" w:color="auto" w:fill="C6D9F1"/>
            <w:vAlign w:val="bottom"/>
          </w:tcPr>
          <w:p w14:paraId="6688BC5E" w14:textId="77777777" w:rsidR="00B64DE5" w:rsidRPr="00EF3220" w:rsidRDefault="00B64DE5" w:rsidP="00473E3C">
            <w:pPr>
              <w:tabs>
                <w:tab w:val="left" w:pos="-1080"/>
                <w:tab w:val="left" w:pos="-720"/>
                <w:tab w:val="left" w:pos="0"/>
                <w:tab w:val="left" w:pos="450"/>
                <w:tab w:val="left" w:pos="720"/>
                <w:tab w:val="left" w:pos="2160"/>
              </w:tabs>
              <w:jc w:val="center"/>
              <w:rPr>
                <w:b/>
              </w:rPr>
            </w:pPr>
            <w:r w:rsidRPr="00EF3220">
              <w:rPr>
                <w:b/>
              </w:rPr>
              <w:t>Annual Hourly Burden</w:t>
            </w:r>
          </w:p>
        </w:tc>
      </w:tr>
      <w:tr w:rsidR="00B64DE5" w:rsidRPr="00EF3220" w14:paraId="7A68DF56" w14:textId="77777777" w:rsidTr="00473E3C">
        <w:trPr>
          <w:jc w:val="center"/>
        </w:trPr>
        <w:tc>
          <w:tcPr>
            <w:tcW w:w="1878" w:type="dxa"/>
            <w:gridSpan w:val="2"/>
            <w:tcBorders>
              <w:bottom w:val="single" w:sz="4" w:space="0" w:color="auto"/>
            </w:tcBorders>
            <w:shd w:val="clear" w:color="auto" w:fill="C6D9F1"/>
          </w:tcPr>
          <w:p w14:paraId="316587FB" w14:textId="77777777" w:rsidR="00B64DE5" w:rsidRPr="00EF3220" w:rsidRDefault="00B64DE5" w:rsidP="00473E3C">
            <w:pPr>
              <w:tabs>
                <w:tab w:val="left" w:pos="-1080"/>
                <w:tab w:val="left" w:pos="-720"/>
                <w:tab w:val="left" w:pos="0"/>
                <w:tab w:val="left" w:pos="450"/>
                <w:tab w:val="left" w:pos="720"/>
                <w:tab w:val="left" w:pos="2160"/>
              </w:tabs>
              <w:rPr>
                <w:b/>
              </w:rPr>
            </w:pPr>
          </w:p>
        </w:tc>
        <w:tc>
          <w:tcPr>
            <w:tcW w:w="1646" w:type="dxa"/>
            <w:shd w:val="clear" w:color="auto" w:fill="C6D9F1"/>
          </w:tcPr>
          <w:p w14:paraId="1F1E7536" w14:textId="77777777" w:rsidR="00B64DE5" w:rsidRDefault="00B64DE5" w:rsidP="00473E3C">
            <w:pPr>
              <w:tabs>
                <w:tab w:val="left" w:pos="-1080"/>
                <w:tab w:val="left" w:pos="-720"/>
                <w:tab w:val="left" w:pos="0"/>
                <w:tab w:val="left" w:pos="450"/>
                <w:tab w:val="left" w:pos="720"/>
                <w:tab w:val="left" w:pos="2160"/>
              </w:tabs>
              <w:jc w:val="center"/>
              <w:rPr>
                <w:b/>
              </w:rPr>
            </w:pPr>
            <w:r>
              <w:rPr>
                <w:b/>
              </w:rPr>
              <w:t>(A)</w:t>
            </w:r>
          </w:p>
        </w:tc>
        <w:tc>
          <w:tcPr>
            <w:tcW w:w="1621" w:type="dxa"/>
            <w:shd w:val="clear" w:color="auto" w:fill="C6D9F1"/>
          </w:tcPr>
          <w:p w14:paraId="6E8367F7" w14:textId="77777777" w:rsidR="00B64DE5" w:rsidRDefault="00B64DE5" w:rsidP="00473E3C">
            <w:pPr>
              <w:tabs>
                <w:tab w:val="left" w:pos="-1080"/>
                <w:tab w:val="left" w:pos="-720"/>
                <w:tab w:val="left" w:pos="0"/>
                <w:tab w:val="left" w:pos="450"/>
                <w:tab w:val="left" w:pos="720"/>
                <w:tab w:val="left" w:pos="2160"/>
              </w:tabs>
              <w:jc w:val="center"/>
              <w:rPr>
                <w:b/>
              </w:rPr>
            </w:pPr>
            <w:r>
              <w:rPr>
                <w:b/>
              </w:rPr>
              <w:t>(B)</w:t>
            </w:r>
          </w:p>
        </w:tc>
        <w:tc>
          <w:tcPr>
            <w:tcW w:w="1298" w:type="dxa"/>
            <w:shd w:val="clear" w:color="auto" w:fill="C6D9F1"/>
          </w:tcPr>
          <w:p w14:paraId="42385648" w14:textId="77777777" w:rsidR="00B64DE5" w:rsidRDefault="00B64DE5" w:rsidP="00473E3C">
            <w:pPr>
              <w:tabs>
                <w:tab w:val="left" w:pos="-1080"/>
                <w:tab w:val="left" w:pos="-720"/>
                <w:tab w:val="left" w:pos="0"/>
                <w:tab w:val="left" w:pos="450"/>
                <w:tab w:val="left" w:pos="720"/>
                <w:tab w:val="left" w:pos="2160"/>
              </w:tabs>
              <w:jc w:val="center"/>
              <w:rPr>
                <w:b/>
              </w:rPr>
            </w:pPr>
            <w:r>
              <w:rPr>
                <w:b/>
              </w:rPr>
              <w:t>(C)</w:t>
            </w:r>
          </w:p>
        </w:tc>
        <w:tc>
          <w:tcPr>
            <w:tcW w:w="1560" w:type="dxa"/>
            <w:shd w:val="clear" w:color="auto" w:fill="C6D9F1"/>
          </w:tcPr>
          <w:p w14:paraId="0652E333"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(D)</w:t>
            </w:r>
          </w:p>
        </w:tc>
        <w:tc>
          <w:tcPr>
            <w:tcW w:w="1573" w:type="dxa"/>
            <w:shd w:val="clear" w:color="auto" w:fill="C6D9F1"/>
          </w:tcPr>
          <w:p w14:paraId="34E2C33E"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(E)</w:t>
            </w:r>
          </w:p>
        </w:tc>
      </w:tr>
      <w:tr w:rsidR="00B64DE5" w:rsidRPr="00EF3220" w14:paraId="7E5A337C" w14:textId="77777777" w:rsidTr="00473E3C">
        <w:trPr>
          <w:jc w:val="center"/>
        </w:trPr>
        <w:tc>
          <w:tcPr>
            <w:tcW w:w="396" w:type="dxa"/>
            <w:tcBorders>
              <w:top w:val="single" w:sz="4" w:space="0" w:color="auto"/>
              <w:left w:val="single" w:sz="4" w:space="0" w:color="auto"/>
              <w:bottom w:val="single" w:sz="4" w:space="0" w:color="auto"/>
              <w:right w:val="nil"/>
            </w:tcBorders>
            <w:shd w:val="clear" w:color="auto" w:fill="auto"/>
          </w:tcPr>
          <w:p w14:paraId="244CE0D4" w14:textId="77777777" w:rsidR="00B64DE5" w:rsidRPr="00EF3220" w:rsidRDefault="00B64DE5" w:rsidP="00473E3C">
            <w:pPr>
              <w:tabs>
                <w:tab w:val="left" w:pos="-1080"/>
                <w:tab w:val="left" w:pos="-720"/>
                <w:tab w:val="left" w:pos="0"/>
                <w:tab w:val="left" w:pos="450"/>
                <w:tab w:val="left" w:pos="720"/>
                <w:tab w:val="left" w:pos="2160"/>
              </w:tabs>
              <w:jc w:val="center"/>
            </w:pPr>
            <w:r>
              <w:t>1.</w:t>
            </w:r>
          </w:p>
        </w:tc>
        <w:tc>
          <w:tcPr>
            <w:tcW w:w="1482" w:type="dxa"/>
            <w:tcBorders>
              <w:top w:val="single" w:sz="4" w:space="0" w:color="auto"/>
              <w:left w:val="nil"/>
              <w:bottom w:val="single" w:sz="4" w:space="0" w:color="auto"/>
              <w:right w:val="single" w:sz="4" w:space="0" w:color="auto"/>
            </w:tcBorders>
            <w:shd w:val="clear" w:color="auto" w:fill="auto"/>
          </w:tcPr>
          <w:p w14:paraId="3459DEC9" w14:textId="77777777" w:rsidR="00B64DE5" w:rsidRPr="00EF3220" w:rsidRDefault="00B64DE5" w:rsidP="00473E3C">
            <w:pPr>
              <w:tabs>
                <w:tab w:val="left" w:pos="-1080"/>
                <w:tab w:val="left" w:pos="-720"/>
                <w:tab w:val="left" w:pos="0"/>
                <w:tab w:val="left" w:pos="450"/>
                <w:tab w:val="left" w:pos="720"/>
                <w:tab w:val="left" w:pos="2160"/>
              </w:tabs>
            </w:pPr>
            <w:r>
              <w:rPr>
                <w:rFonts w:asciiTheme="majorHAnsi" w:hAnsiTheme="majorHAnsi"/>
                <w:b/>
                <w:i/>
                <w:color w:val="2006BA"/>
                <w:sz w:val="16"/>
                <w:szCs w:val="16"/>
              </w:rPr>
              <w:t>Proof of Claim Form</w:t>
            </w:r>
          </w:p>
        </w:tc>
        <w:tc>
          <w:tcPr>
            <w:tcW w:w="1646" w:type="dxa"/>
            <w:tcBorders>
              <w:left w:val="single" w:sz="4" w:space="0" w:color="auto"/>
            </w:tcBorders>
            <w:shd w:val="clear" w:color="auto" w:fill="auto"/>
          </w:tcPr>
          <w:p w14:paraId="76C4A094" w14:textId="77777777" w:rsidR="00B64DE5" w:rsidRPr="00EF3220" w:rsidRDefault="00B64DE5" w:rsidP="00473E3C">
            <w:pPr>
              <w:tabs>
                <w:tab w:val="left" w:pos="-1080"/>
                <w:tab w:val="left" w:pos="-720"/>
                <w:tab w:val="left" w:pos="0"/>
                <w:tab w:val="left" w:pos="450"/>
                <w:tab w:val="left" w:pos="720"/>
                <w:tab w:val="left" w:pos="2160"/>
              </w:tabs>
              <w:jc w:val="right"/>
            </w:pPr>
            <w:r>
              <w:rPr>
                <w:szCs w:val="16"/>
              </w:rPr>
              <w:t>200</w:t>
            </w:r>
          </w:p>
        </w:tc>
        <w:tc>
          <w:tcPr>
            <w:tcW w:w="1621" w:type="dxa"/>
          </w:tcPr>
          <w:p w14:paraId="70514C9E" w14:textId="77777777" w:rsidR="00B64DE5" w:rsidRPr="00EF3220" w:rsidRDefault="00B64DE5" w:rsidP="00473E3C">
            <w:pPr>
              <w:tabs>
                <w:tab w:val="left" w:pos="-1080"/>
                <w:tab w:val="left" w:pos="-720"/>
                <w:tab w:val="left" w:pos="0"/>
                <w:tab w:val="left" w:pos="450"/>
                <w:tab w:val="left" w:pos="720"/>
                <w:tab w:val="left" w:pos="2160"/>
              </w:tabs>
              <w:jc w:val="right"/>
            </w:pPr>
            <w:r>
              <w:t>1</w:t>
            </w:r>
          </w:p>
        </w:tc>
        <w:tc>
          <w:tcPr>
            <w:tcW w:w="1298" w:type="dxa"/>
          </w:tcPr>
          <w:p w14:paraId="79F5372A" w14:textId="77777777" w:rsidR="00B64DE5" w:rsidRPr="00EF3220" w:rsidRDefault="00B64DE5" w:rsidP="00473E3C">
            <w:pPr>
              <w:tabs>
                <w:tab w:val="left" w:pos="-1080"/>
                <w:tab w:val="left" w:pos="-720"/>
                <w:tab w:val="left" w:pos="0"/>
                <w:tab w:val="left" w:pos="450"/>
                <w:tab w:val="left" w:pos="720"/>
                <w:tab w:val="left" w:pos="2160"/>
              </w:tabs>
              <w:jc w:val="right"/>
            </w:pPr>
            <w:r>
              <w:rPr>
                <w:szCs w:val="16"/>
              </w:rPr>
              <w:t>200</w:t>
            </w:r>
          </w:p>
        </w:tc>
        <w:tc>
          <w:tcPr>
            <w:tcW w:w="1560" w:type="dxa"/>
            <w:shd w:val="clear" w:color="auto" w:fill="auto"/>
          </w:tcPr>
          <w:p w14:paraId="4F524A81" w14:textId="77777777" w:rsidR="00B64DE5" w:rsidRPr="00EF3220" w:rsidRDefault="00B64DE5" w:rsidP="00473E3C">
            <w:pPr>
              <w:tabs>
                <w:tab w:val="left" w:pos="-1080"/>
                <w:tab w:val="left" w:pos="-720"/>
                <w:tab w:val="left" w:pos="0"/>
                <w:tab w:val="left" w:pos="450"/>
                <w:tab w:val="left" w:pos="720"/>
                <w:tab w:val="left" w:pos="2160"/>
              </w:tabs>
              <w:jc w:val="right"/>
            </w:pPr>
            <w:r>
              <w:rPr>
                <w:szCs w:val="16"/>
              </w:rPr>
              <w:t>1 Hour</w:t>
            </w:r>
          </w:p>
        </w:tc>
        <w:tc>
          <w:tcPr>
            <w:tcW w:w="1573" w:type="dxa"/>
            <w:shd w:val="clear" w:color="auto" w:fill="auto"/>
          </w:tcPr>
          <w:p w14:paraId="230127A2" w14:textId="77777777" w:rsidR="00B64DE5" w:rsidRPr="00EF3220" w:rsidRDefault="00B64DE5" w:rsidP="00473E3C">
            <w:pPr>
              <w:tabs>
                <w:tab w:val="left" w:pos="-1080"/>
                <w:tab w:val="left" w:pos="-720"/>
                <w:tab w:val="left" w:pos="0"/>
                <w:tab w:val="left" w:pos="450"/>
                <w:tab w:val="left" w:pos="720"/>
                <w:tab w:val="left" w:pos="2160"/>
              </w:tabs>
              <w:jc w:val="right"/>
            </w:pPr>
            <w:r>
              <w:rPr>
                <w:szCs w:val="16"/>
              </w:rPr>
              <w:t xml:space="preserve">200 </w:t>
            </w:r>
            <w:r w:rsidRPr="00E43C79">
              <w:rPr>
                <w:szCs w:val="16"/>
              </w:rPr>
              <w:t>Hours</w:t>
            </w:r>
          </w:p>
        </w:tc>
      </w:tr>
      <w:tr w:rsidR="00B64DE5" w:rsidRPr="00EF3220" w14:paraId="1F5B34F0" w14:textId="77777777" w:rsidTr="00473E3C">
        <w:trPr>
          <w:jc w:val="center"/>
        </w:trPr>
        <w:tc>
          <w:tcPr>
            <w:tcW w:w="396" w:type="dxa"/>
            <w:tcBorders>
              <w:top w:val="single" w:sz="4" w:space="0" w:color="auto"/>
              <w:left w:val="single" w:sz="4" w:space="0" w:color="auto"/>
              <w:bottom w:val="single" w:sz="4" w:space="0" w:color="auto"/>
              <w:right w:val="nil"/>
            </w:tcBorders>
            <w:shd w:val="clear" w:color="auto" w:fill="auto"/>
          </w:tcPr>
          <w:p w14:paraId="657620BE" w14:textId="77777777" w:rsidR="00B64DE5" w:rsidRPr="00EF3220" w:rsidRDefault="00B64DE5" w:rsidP="00473E3C">
            <w:pPr>
              <w:tabs>
                <w:tab w:val="left" w:pos="-1080"/>
                <w:tab w:val="left" w:pos="-720"/>
                <w:tab w:val="left" w:pos="0"/>
                <w:tab w:val="left" w:pos="450"/>
                <w:tab w:val="left" w:pos="720"/>
                <w:tab w:val="left" w:pos="2160"/>
              </w:tabs>
            </w:pPr>
            <w:r>
              <w:t>2.</w:t>
            </w:r>
          </w:p>
        </w:tc>
        <w:tc>
          <w:tcPr>
            <w:tcW w:w="1482" w:type="dxa"/>
            <w:tcBorders>
              <w:top w:val="single" w:sz="4" w:space="0" w:color="auto"/>
              <w:left w:val="nil"/>
              <w:bottom w:val="single" w:sz="4" w:space="0" w:color="auto"/>
              <w:right w:val="single" w:sz="4" w:space="0" w:color="auto"/>
            </w:tcBorders>
            <w:shd w:val="clear" w:color="auto" w:fill="auto"/>
          </w:tcPr>
          <w:p w14:paraId="7FD30D3C" w14:textId="77777777" w:rsidR="00B64DE5" w:rsidRPr="00EF3220" w:rsidRDefault="00B64DE5" w:rsidP="00473E3C">
            <w:pPr>
              <w:tabs>
                <w:tab w:val="left" w:pos="-1080"/>
                <w:tab w:val="left" w:pos="-720"/>
                <w:tab w:val="left" w:pos="0"/>
                <w:tab w:val="left" w:pos="450"/>
                <w:tab w:val="left" w:pos="720"/>
                <w:tab w:val="left" w:pos="2160"/>
              </w:tabs>
            </w:pPr>
            <w:r>
              <w:rPr>
                <w:rFonts w:asciiTheme="majorHAnsi" w:hAnsiTheme="majorHAnsi"/>
                <w:b/>
                <w:i/>
                <w:color w:val="2006BA"/>
                <w:sz w:val="16"/>
                <w:szCs w:val="16"/>
              </w:rPr>
              <w:t>Supplemental Evidence</w:t>
            </w:r>
          </w:p>
        </w:tc>
        <w:tc>
          <w:tcPr>
            <w:tcW w:w="1646" w:type="dxa"/>
            <w:tcBorders>
              <w:left w:val="single" w:sz="4" w:space="0" w:color="auto"/>
            </w:tcBorders>
            <w:shd w:val="clear" w:color="auto" w:fill="auto"/>
          </w:tcPr>
          <w:p w14:paraId="5EAFAC6F" w14:textId="77777777" w:rsidR="00B64DE5" w:rsidRPr="00E43C79" w:rsidRDefault="00B64DE5" w:rsidP="00473E3C">
            <w:pPr>
              <w:jc w:val="right"/>
              <w:rPr>
                <w:szCs w:val="16"/>
              </w:rPr>
            </w:pPr>
            <w:r>
              <w:rPr>
                <w:szCs w:val="16"/>
              </w:rPr>
              <w:t>20</w:t>
            </w:r>
          </w:p>
        </w:tc>
        <w:tc>
          <w:tcPr>
            <w:tcW w:w="1621" w:type="dxa"/>
          </w:tcPr>
          <w:p w14:paraId="1476FF0F" w14:textId="77777777" w:rsidR="00B64DE5" w:rsidRPr="00E43C79" w:rsidRDefault="00B64DE5" w:rsidP="00473E3C">
            <w:pPr>
              <w:jc w:val="right"/>
              <w:rPr>
                <w:szCs w:val="16"/>
              </w:rPr>
            </w:pPr>
            <w:r>
              <w:rPr>
                <w:szCs w:val="16"/>
              </w:rPr>
              <w:t>1</w:t>
            </w:r>
          </w:p>
        </w:tc>
        <w:tc>
          <w:tcPr>
            <w:tcW w:w="1298" w:type="dxa"/>
          </w:tcPr>
          <w:p w14:paraId="3423A908" w14:textId="77777777" w:rsidR="00B64DE5" w:rsidRPr="00E43C79" w:rsidRDefault="00B64DE5" w:rsidP="00473E3C">
            <w:pPr>
              <w:jc w:val="right"/>
              <w:rPr>
                <w:szCs w:val="16"/>
              </w:rPr>
            </w:pPr>
            <w:r>
              <w:rPr>
                <w:szCs w:val="16"/>
              </w:rPr>
              <w:t>20</w:t>
            </w:r>
          </w:p>
        </w:tc>
        <w:tc>
          <w:tcPr>
            <w:tcW w:w="1560" w:type="dxa"/>
            <w:shd w:val="clear" w:color="auto" w:fill="auto"/>
          </w:tcPr>
          <w:p w14:paraId="571875CA" w14:textId="77777777" w:rsidR="00B64DE5" w:rsidRPr="00E43C79" w:rsidRDefault="00B64DE5" w:rsidP="00473E3C">
            <w:pPr>
              <w:jc w:val="right"/>
              <w:rPr>
                <w:szCs w:val="16"/>
              </w:rPr>
            </w:pPr>
            <w:r>
              <w:rPr>
                <w:szCs w:val="16"/>
              </w:rPr>
              <w:t xml:space="preserve">1 </w:t>
            </w:r>
            <w:r w:rsidRPr="00E43C79">
              <w:rPr>
                <w:szCs w:val="16"/>
              </w:rPr>
              <w:t>Hour</w:t>
            </w:r>
          </w:p>
        </w:tc>
        <w:tc>
          <w:tcPr>
            <w:tcW w:w="1573" w:type="dxa"/>
            <w:shd w:val="clear" w:color="auto" w:fill="auto"/>
          </w:tcPr>
          <w:p w14:paraId="606BB713" w14:textId="77777777" w:rsidR="00B64DE5" w:rsidRPr="00E43C79" w:rsidRDefault="00B64DE5" w:rsidP="00473E3C">
            <w:pPr>
              <w:jc w:val="right"/>
              <w:rPr>
                <w:szCs w:val="16"/>
              </w:rPr>
            </w:pPr>
            <w:r>
              <w:rPr>
                <w:szCs w:val="16"/>
              </w:rPr>
              <w:t xml:space="preserve"> 20 </w:t>
            </w:r>
            <w:r w:rsidRPr="00E43C79">
              <w:rPr>
                <w:szCs w:val="16"/>
              </w:rPr>
              <w:t>Hours</w:t>
            </w:r>
          </w:p>
        </w:tc>
      </w:tr>
      <w:tr w:rsidR="00B64DE5" w:rsidRPr="00EF3220" w14:paraId="0269689D" w14:textId="77777777" w:rsidTr="00473E3C">
        <w:trPr>
          <w:jc w:val="center"/>
        </w:trPr>
        <w:tc>
          <w:tcPr>
            <w:tcW w:w="1878" w:type="dxa"/>
            <w:gridSpan w:val="2"/>
            <w:tcBorders>
              <w:top w:val="single" w:sz="4" w:space="0" w:color="auto"/>
            </w:tcBorders>
            <w:shd w:val="clear" w:color="auto" w:fill="auto"/>
          </w:tcPr>
          <w:p w14:paraId="090A9749" w14:textId="77777777" w:rsidR="00B64DE5" w:rsidRPr="00E43C79" w:rsidRDefault="00B64DE5" w:rsidP="00473E3C">
            <w:pPr>
              <w:tabs>
                <w:tab w:val="left" w:pos="-1080"/>
                <w:tab w:val="left" w:pos="-720"/>
                <w:tab w:val="left" w:pos="0"/>
                <w:tab w:val="left" w:pos="450"/>
                <w:tab w:val="left" w:pos="720"/>
                <w:tab w:val="left" w:pos="2160"/>
              </w:tabs>
              <w:rPr>
                <w:b/>
              </w:rPr>
            </w:pPr>
            <w:r w:rsidRPr="00E43C79">
              <w:rPr>
                <w:b/>
              </w:rPr>
              <w:t>Total (Sum)</w:t>
            </w:r>
          </w:p>
        </w:tc>
        <w:tc>
          <w:tcPr>
            <w:tcW w:w="1646" w:type="dxa"/>
            <w:shd w:val="clear" w:color="auto" w:fill="auto"/>
          </w:tcPr>
          <w:p w14:paraId="765A728E" w14:textId="77777777" w:rsidR="00B64DE5" w:rsidRPr="00E43C79" w:rsidRDefault="00B64DE5" w:rsidP="00473E3C">
            <w:pPr>
              <w:jc w:val="right"/>
              <w:rPr>
                <w:b/>
                <w:szCs w:val="16"/>
              </w:rPr>
            </w:pPr>
            <w:r>
              <w:rPr>
                <w:b/>
                <w:szCs w:val="16"/>
              </w:rPr>
              <w:t>220</w:t>
            </w:r>
          </w:p>
        </w:tc>
        <w:tc>
          <w:tcPr>
            <w:tcW w:w="1621" w:type="dxa"/>
          </w:tcPr>
          <w:p w14:paraId="06E9A3C8" w14:textId="77777777" w:rsidR="00B64DE5" w:rsidRPr="00E43C79" w:rsidRDefault="00B64DE5" w:rsidP="00473E3C">
            <w:pPr>
              <w:jc w:val="right"/>
              <w:rPr>
                <w:b/>
                <w:szCs w:val="16"/>
              </w:rPr>
            </w:pPr>
            <w:r>
              <w:rPr>
                <w:b/>
                <w:szCs w:val="16"/>
              </w:rPr>
              <w:t>2</w:t>
            </w:r>
          </w:p>
        </w:tc>
        <w:tc>
          <w:tcPr>
            <w:tcW w:w="1298" w:type="dxa"/>
          </w:tcPr>
          <w:p w14:paraId="4C3CDC3D" w14:textId="77777777" w:rsidR="00B64DE5" w:rsidRPr="00E43C79" w:rsidRDefault="00B64DE5" w:rsidP="00473E3C">
            <w:pPr>
              <w:jc w:val="right"/>
              <w:rPr>
                <w:b/>
                <w:szCs w:val="16"/>
              </w:rPr>
            </w:pPr>
            <w:r>
              <w:rPr>
                <w:b/>
                <w:szCs w:val="16"/>
              </w:rPr>
              <w:t>220</w:t>
            </w:r>
          </w:p>
        </w:tc>
        <w:tc>
          <w:tcPr>
            <w:tcW w:w="1560" w:type="dxa"/>
            <w:shd w:val="clear" w:color="auto" w:fill="auto"/>
          </w:tcPr>
          <w:p w14:paraId="55D9ECEC" w14:textId="77777777" w:rsidR="00B64DE5" w:rsidRPr="00E43C79" w:rsidRDefault="00B64DE5" w:rsidP="00473E3C">
            <w:pPr>
              <w:jc w:val="right"/>
              <w:rPr>
                <w:b/>
                <w:szCs w:val="16"/>
              </w:rPr>
            </w:pPr>
            <w:r>
              <w:rPr>
                <w:b/>
                <w:szCs w:val="16"/>
              </w:rPr>
              <w:t xml:space="preserve">2 </w:t>
            </w:r>
            <w:r w:rsidRPr="00E43C79">
              <w:rPr>
                <w:b/>
                <w:szCs w:val="16"/>
              </w:rPr>
              <w:t>Hours</w:t>
            </w:r>
          </w:p>
        </w:tc>
        <w:tc>
          <w:tcPr>
            <w:tcW w:w="1573" w:type="dxa"/>
            <w:shd w:val="clear" w:color="auto" w:fill="auto"/>
          </w:tcPr>
          <w:p w14:paraId="2462EEA1" w14:textId="77777777" w:rsidR="00B64DE5" w:rsidRPr="00E43C79" w:rsidRDefault="00B64DE5" w:rsidP="00473E3C">
            <w:pPr>
              <w:jc w:val="right"/>
              <w:rPr>
                <w:b/>
                <w:szCs w:val="16"/>
              </w:rPr>
            </w:pPr>
            <w:r>
              <w:rPr>
                <w:b/>
                <w:szCs w:val="16"/>
              </w:rPr>
              <w:t xml:space="preserve">220 </w:t>
            </w:r>
            <w:r w:rsidRPr="00E43C79">
              <w:rPr>
                <w:b/>
                <w:szCs w:val="16"/>
              </w:rPr>
              <w:t>Hours</w:t>
            </w:r>
          </w:p>
        </w:tc>
      </w:tr>
    </w:tbl>
    <w:p w14:paraId="20DF0583" w14:textId="77777777" w:rsidR="00AE278A" w:rsidRDefault="00AE278A" w:rsidP="00AE278A">
      <w:pPr>
        <w:tabs>
          <w:tab w:val="left" w:pos="-1080"/>
          <w:tab w:val="left" w:pos="-720"/>
          <w:tab w:val="left" w:pos="0"/>
          <w:tab w:val="left" w:pos="450"/>
          <w:tab w:val="left" w:pos="720"/>
          <w:tab w:val="left" w:pos="2160"/>
        </w:tabs>
        <w:ind w:hanging="360"/>
        <w:rPr>
          <w:sz w:val="22"/>
          <w:szCs w:val="22"/>
        </w:rPr>
      </w:pPr>
    </w:p>
    <w:p w14:paraId="26E32818" w14:textId="77777777" w:rsidR="00B64DE5" w:rsidRDefault="00B64DE5" w:rsidP="00AE278A">
      <w:pPr>
        <w:tabs>
          <w:tab w:val="left" w:pos="-1080"/>
          <w:tab w:val="left" w:pos="-720"/>
          <w:tab w:val="left" w:pos="0"/>
          <w:tab w:val="left" w:pos="450"/>
          <w:tab w:val="left" w:pos="720"/>
          <w:tab w:val="left" w:pos="2160"/>
        </w:tabs>
        <w:ind w:hanging="360"/>
        <w:rPr>
          <w:sz w:val="22"/>
          <w:szCs w:val="22"/>
        </w:rPr>
      </w:pPr>
    </w:p>
    <w:p w14:paraId="7385DF5B" w14:textId="77777777" w:rsidR="007F13D5" w:rsidRDefault="007F13D5" w:rsidP="00AE278A">
      <w:pPr>
        <w:tabs>
          <w:tab w:val="left" w:pos="-1080"/>
          <w:tab w:val="left" w:pos="-720"/>
          <w:tab w:val="left" w:pos="0"/>
          <w:tab w:val="left" w:pos="450"/>
          <w:tab w:val="left" w:pos="720"/>
          <w:tab w:val="left" w:pos="2160"/>
        </w:tabs>
        <w:ind w:hanging="360"/>
        <w:rPr>
          <w:sz w:val="22"/>
          <w:szCs w:val="22"/>
        </w:rPr>
      </w:pPr>
    </w:p>
    <w:p w14:paraId="71D6A090" w14:textId="77777777" w:rsidR="007F13D5" w:rsidRDefault="007F13D5" w:rsidP="00AE278A">
      <w:pPr>
        <w:tabs>
          <w:tab w:val="left" w:pos="-1080"/>
          <w:tab w:val="left" w:pos="-720"/>
          <w:tab w:val="left" w:pos="0"/>
          <w:tab w:val="left" w:pos="450"/>
          <w:tab w:val="left" w:pos="720"/>
          <w:tab w:val="left" w:pos="2160"/>
        </w:tabs>
        <w:ind w:hanging="360"/>
        <w:rPr>
          <w:sz w:val="22"/>
          <w:szCs w:val="22"/>
        </w:rPr>
      </w:pPr>
    </w:p>
    <w:p w14:paraId="51DAB3EA" w14:textId="77777777" w:rsidR="007F13D5" w:rsidRDefault="007F13D5" w:rsidP="00AE278A">
      <w:pPr>
        <w:tabs>
          <w:tab w:val="left" w:pos="-1080"/>
          <w:tab w:val="left" w:pos="-720"/>
          <w:tab w:val="left" w:pos="0"/>
          <w:tab w:val="left" w:pos="450"/>
          <w:tab w:val="left" w:pos="720"/>
          <w:tab w:val="left" w:pos="2160"/>
        </w:tabs>
        <w:ind w:hanging="360"/>
        <w:rPr>
          <w:sz w:val="22"/>
          <w:szCs w:val="22"/>
        </w:rPr>
      </w:pPr>
    </w:p>
    <w:p w14:paraId="4E34FEBC" w14:textId="77777777" w:rsidR="007F13D5" w:rsidRPr="00822033" w:rsidRDefault="007F13D5" w:rsidP="00AE278A">
      <w:pPr>
        <w:tabs>
          <w:tab w:val="left" w:pos="-1080"/>
          <w:tab w:val="left" w:pos="-720"/>
          <w:tab w:val="left" w:pos="0"/>
          <w:tab w:val="left" w:pos="450"/>
          <w:tab w:val="left" w:pos="720"/>
          <w:tab w:val="left" w:pos="2160"/>
        </w:tabs>
        <w:ind w:hanging="360"/>
        <w:rPr>
          <w:sz w:val="22"/>
          <w:szCs w:val="22"/>
        </w:rPr>
      </w:pPr>
    </w:p>
    <w:p w14:paraId="4A58AC33" w14:textId="77777777" w:rsidR="00F84CBD" w:rsidRDefault="00F84CBD">
      <w:pPr>
        <w:spacing w:after="200" w:line="276" w:lineRule="auto"/>
        <w:rPr>
          <w:b/>
          <w:sz w:val="22"/>
          <w:szCs w:val="22"/>
        </w:rPr>
      </w:pPr>
      <w:r>
        <w:rPr>
          <w:b/>
          <w:sz w:val="22"/>
          <w:szCs w:val="22"/>
        </w:rPr>
        <w:br w:type="page"/>
      </w:r>
    </w:p>
    <w:p w14:paraId="621D4D42" w14:textId="30D3D9D6" w:rsidR="00AE278A" w:rsidRPr="00822033" w:rsidRDefault="00AE278A" w:rsidP="00AE278A">
      <w:pPr>
        <w:pStyle w:val="ListParagraph"/>
        <w:numPr>
          <w:ilvl w:val="0"/>
          <w:numId w:val="2"/>
        </w:numPr>
        <w:ind w:left="0"/>
        <w:rPr>
          <w:b/>
          <w:sz w:val="22"/>
          <w:szCs w:val="22"/>
        </w:rPr>
      </w:pPr>
      <w:r w:rsidRPr="00822033">
        <w:rPr>
          <w:b/>
          <w:sz w:val="22"/>
          <w:szCs w:val="22"/>
        </w:rPr>
        <w:lastRenderedPageBreak/>
        <w:t>Costs to Respondents</w:t>
      </w:r>
    </w:p>
    <w:p w14:paraId="1929CA73" w14:textId="77777777" w:rsidR="00DA4DFB" w:rsidRPr="00822033" w:rsidRDefault="00AE278A" w:rsidP="00660785">
      <w:pPr>
        <w:pStyle w:val="ListParagraph"/>
        <w:tabs>
          <w:tab w:val="left" w:pos="-720"/>
          <w:tab w:val="left" w:pos="286"/>
          <w:tab w:val="left" w:pos="403"/>
        </w:tabs>
        <w:suppressAutoHyphens/>
        <w:ind w:left="0" w:hanging="360"/>
        <w:rPr>
          <w:sz w:val="22"/>
          <w:szCs w:val="22"/>
        </w:rPr>
      </w:pPr>
      <w:r w:rsidRPr="00822033">
        <w:rPr>
          <w:sz w:val="22"/>
          <w:szCs w:val="22"/>
        </w:rPr>
        <w:tab/>
      </w:r>
      <w:r w:rsidR="00DA4DFB" w:rsidRPr="00822033">
        <w:rPr>
          <w:sz w:val="22"/>
          <w:szCs w:val="22"/>
        </w:rPr>
        <w:t xml:space="preserve">There is no start-up or capital cost.  The cost </w:t>
      </w:r>
      <w:r w:rsidR="003A226E" w:rsidRPr="00822033">
        <w:rPr>
          <w:sz w:val="22"/>
          <w:szCs w:val="22"/>
        </w:rPr>
        <w:t>is</w:t>
      </w:r>
      <w:r w:rsidR="00DA4DFB" w:rsidRPr="00822033">
        <w:rPr>
          <w:sz w:val="22"/>
          <w:szCs w:val="22"/>
        </w:rPr>
        <w:t xml:space="preserve"> estimated at 1 hour of work at a mid-manager level of $50/hour, for 200 individual submission</w:t>
      </w:r>
      <w:r w:rsidR="005D0D79" w:rsidRPr="00822033">
        <w:rPr>
          <w:sz w:val="22"/>
          <w:szCs w:val="22"/>
        </w:rPr>
        <w:t xml:space="preserve">s. An additional 20 hours at $50/hour </w:t>
      </w:r>
      <w:r w:rsidR="00944997" w:rsidRPr="00822033">
        <w:rPr>
          <w:sz w:val="22"/>
          <w:szCs w:val="22"/>
        </w:rPr>
        <w:t>is</w:t>
      </w:r>
      <w:r w:rsidR="005D0D79" w:rsidRPr="00822033">
        <w:rPr>
          <w:sz w:val="22"/>
          <w:szCs w:val="22"/>
        </w:rPr>
        <w:t xml:space="preserve"> included for furnishing</w:t>
      </w:r>
      <w:r w:rsidR="007E30B0" w:rsidRPr="00822033">
        <w:rPr>
          <w:sz w:val="22"/>
          <w:szCs w:val="22"/>
        </w:rPr>
        <w:t xml:space="preserve"> supplement</w:t>
      </w:r>
      <w:r w:rsidR="005D0D79" w:rsidRPr="00822033">
        <w:rPr>
          <w:sz w:val="22"/>
          <w:szCs w:val="22"/>
        </w:rPr>
        <w:t>al</w:t>
      </w:r>
      <w:r w:rsidR="007E30B0" w:rsidRPr="00822033">
        <w:rPr>
          <w:sz w:val="22"/>
          <w:szCs w:val="22"/>
        </w:rPr>
        <w:t xml:space="preserve"> evidence</w:t>
      </w:r>
      <w:r w:rsidR="00DA4DFB" w:rsidRPr="00822033">
        <w:rPr>
          <w:sz w:val="22"/>
          <w:szCs w:val="22"/>
        </w:rPr>
        <w:t xml:space="preserve">.  There is no upkeep or maintenance.  NCUA will provide the form via hard-copy </w:t>
      </w:r>
      <w:r w:rsidR="00E05EBA" w:rsidRPr="00822033">
        <w:rPr>
          <w:sz w:val="22"/>
          <w:szCs w:val="22"/>
        </w:rPr>
        <w:t xml:space="preserve">and </w:t>
      </w:r>
      <w:r w:rsidR="001B20B3" w:rsidRPr="00822033">
        <w:rPr>
          <w:sz w:val="22"/>
          <w:szCs w:val="22"/>
        </w:rPr>
        <w:t xml:space="preserve">make it </w:t>
      </w:r>
      <w:r w:rsidR="00DA4DFB" w:rsidRPr="00822033">
        <w:rPr>
          <w:sz w:val="22"/>
          <w:szCs w:val="22"/>
        </w:rPr>
        <w:t xml:space="preserve">available on </w:t>
      </w:r>
      <w:r w:rsidR="001B20B3" w:rsidRPr="00822033">
        <w:rPr>
          <w:sz w:val="22"/>
          <w:szCs w:val="22"/>
        </w:rPr>
        <w:t>its</w:t>
      </w:r>
      <w:r w:rsidR="00DA4DFB" w:rsidRPr="00822033">
        <w:rPr>
          <w:sz w:val="22"/>
          <w:szCs w:val="22"/>
        </w:rPr>
        <w:t xml:space="preserve"> website.</w:t>
      </w:r>
      <w:r w:rsidR="00E05EBA" w:rsidRPr="00822033">
        <w:rPr>
          <w:sz w:val="22"/>
          <w:szCs w:val="22"/>
        </w:rPr>
        <w:t xml:space="preserve">  The total cost to respondents is $11,000.</w:t>
      </w:r>
    </w:p>
    <w:p w14:paraId="73485FB6" w14:textId="77777777" w:rsidR="00AE278A" w:rsidRDefault="00AE278A" w:rsidP="00AE278A">
      <w:pPr>
        <w:pStyle w:val="ListParagraph"/>
        <w:ind w:left="0" w:hanging="360"/>
        <w:rPr>
          <w:b/>
          <w:sz w:val="22"/>
          <w:szCs w:val="22"/>
        </w:rPr>
      </w:pPr>
    </w:p>
    <w:tbl>
      <w:tblPr>
        <w:tblW w:w="0" w:type="auto"/>
        <w:jc w:val="center"/>
        <w:tblInd w:w="-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660"/>
      </w:tblGrid>
      <w:tr w:rsidR="00B64DE5" w:rsidRPr="00EF3220" w14:paraId="08A987CF" w14:textId="77777777" w:rsidTr="00C703DB">
        <w:trPr>
          <w:jc w:val="center"/>
        </w:trPr>
        <w:tc>
          <w:tcPr>
            <w:tcW w:w="3558" w:type="dxa"/>
            <w:gridSpan w:val="2"/>
            <w:shd w:val="clear" w:color="auto" w:fill="C6D9F1"/>
            <w:vAlign w:val="bottom"/>
          </w:tcPr>
          <w:p w14:paraId="3A8CC353" w14:textId="77777777" w:rsidR="00B64DE5" w:rsidRPr="00EF3220" w:rsidRDefault="00B64DE5" w:rsidP="00473E3C">
            <w:pPr>
              <w:tabs>
                <w:tab w:val="left" w:pos="-1080"/>
                <w:tab w:val="left" w:pos="-720"/>
                <w:tab w:val="left" w:pos="0"/>
                <w:tab w:val="left" w:pos="450"/>
                <w:tab w:val="left" w:pos="720"/>
                <w:tab w:val="left" w:pos="2160"/>
              </w:tabs>
              <w:jc w:val="center"/>
              <w:rPr>
                <w:b/>
              </w:rPr>
            </w:pPr>
            <w:r w:rsidRPr="00EF3220">
              <w:rPr>
                <w:b/>
              </w:rPr>
              <w:t>Information Collection Activity</w:t>
            </w:r>
          </w:p>
        </w:tc>
        <w:tc>
          <w:tcPr>
            <w:tcW w:w="2055" w:type="dxa"/>
            <w:shd w:val="clear" w:color="auto" w:fill="C6D9F1"/>
            <w:vAlign w:val="bottom"/>
          </w:tcPr>
          <w:p w14:paraId="452E2AE2" w14:textId="77777777" w:rsidR="00B64DE5" w:rsidRDefault="00B64DE5" w:rsidP="00473E3C">
            <w:pPr>
              <w:tabs>
                <w:tab w:val="left" w:pos="-1080"/>
                <w:tab w:val="left" w:pos="-720"/>
                <w:tab w:val="left" w:pos="0"/>
                <w:tab w:val="left" w:pos="450"/>
                <w:tab w:val="left" w:pos="720"/>
                <w:tab w:val="left" w:pos="2160"/>
              </w:tabs>
              <w:jc w:val="center"/>
              <w:rPr>
                <w:b/>
              </w:rPr>
            </w:pPr>
            <w:r>
              <w:rPr>
                <w:b/>
              </w:rPr>
              <w:t>Annual Hourly</w:t>
            </w:r>
          </w:p>
          <w:p w14:paraId="172FF0E1" w14:textId="77777777" w:rsidR="00B64DE5" w:rsidRDefault="00B64DE5" w:rsidP="00473E3C">
            <w:pPr>
              <w:tabs>
                <w:tab w:val="left" w:pos="-1080"/>
                <w:tab w:val="left" w:pos="-720"/>
                <w:tab w:val="left" w:pos="0"/>
                <w:tab w:val="left" w:pos="450"/>
                <w:tab w:val="left" w:pos="720"/>
                <w:tab w:val="left" w:pos="2160"/>
              </w:tabs>
              <w:jc w:val="center"/>
              <w:rPr>
                <w:b/>
              </w:rPr>
            </w:pPr>
            <w:r>
              <w:rPr>
                <w:b/>
              </w:rPr>
              <w:t>Burden</w:t>
            </w:r>
          </w:p>
          <w:p w14:paraId="253893DF" w14:textId="77777777" w:rsidR="00B64DE5" w:rsidRPr="00EF3220" w:rsidRDefault="00B64DE5" w:rsidP="00473E3C">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068DAB54"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Hourly $ Rate per Response</w:t>
            </w:r>
          </w:p>
        </w:tc>
        <w:tc>
          <w:tcPr>
            <w:tcW w:w="1660" w:type="dxa"/>
            <w:shd w:val="clear" w:color="auto" w:fill="C6D9F1"/>
            <w:vAlign w:val="bottom"/>
          </w:tcPr>
          <w:p w14:paraId="03F27CC7" w14:textId="77777777" w:rsidR="00B64DE5" w:rsidRPr="00EF3220" w:rsidRDefault="00B64DE5" w:rsidP="00473E3C">
            <w:pPr>
              <w:tabs>
                <w:tab w:val="left" w:pos="-1080"/>
                <w:tab w:val="left" w:pos="-720"/>
                <w:tab w:val="left" w:pos="0"/>
                <w:tab w:val="left" w:pos="450"/>
                <w:tab w:val="left" w:pos="720"/>
                <w:tab w:val="left" w:pos="2160"/>
              </w:tabs>
              <w:jc w:val="center"/>
              <w:rPr>
                <w:b/>
              </w:rPr>
            </w:pPr>
            <w:r>
              <w:rPr>
                <w:b/>
              </w:rPr>
              <w:t>Total $ Amount</w:t>
            </w:r>
          </w:p>
        </w:tc>
      </w:tr>
      <w:tr w:rsidR="00B64DE5" w:rsidRPr="00EF3220" w14:paraId="10637FF2" w14:textId="77777777" w:rsidTr="00C703DB">
        <w:trPr>
          <w:jc w:val="center"/>
        </w:trPr>
        <w:tc>
          <w:tcPr>
            <w:tcW w:w="396" w:type="dxa"/>
            <w:tcBorders>
              <w:top w:val="single" w:sz="4" w:space="0" w:color="auto"/>
              <w:left w:val="single" w:sz="4" w:space="0" w:color="auto"/>
              <w:bottom w:val="single" w:sz="4" w:space="0" w:color="auto"/>
              <w:right w:val="nil"/>
            </w:tcBorders>
            <w:shd w:val="clear" w:color="auto" w:fill="auto"/>
          </w:tcPr>
          <w:p w14:paraId="6ACBB570" w14:textId="77777777" w:rsidR="00B64DE5" w:rsidRPr="00EF3220" w:rsidRDefault="00B64DE5" w:rsidP="00473E3C">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23FC6E18" w14:textId="77777777" w:rsidR="00B64DE5" w:rsidRPr="00EF3220" w:rsidRDefault="00C703DB" w:rsidP="00473E3C">
            <w:pPr>
              <w:tabs>
                <w:tab w:val="left" w:pos="-1080"/>
                <w:tab w:val="left" w:pos="-720"/>
                <w:tab w:val="left" w:pos="0"/>
                <w:tab w:val="left" w:pos="450"/>
                <w:tab w:val="left" w:pos="720"/>
                <w:tab w:val="left" w:pos="2160"/>
              </w:tabs>
            </w:pPr>
            <w:r>
              <w:rPr>
                <w:rFonts w:asciiTheme="majorHAnsi" w:hAnsiTheme="majorHAnsi"/>
                <w:b/>
                <w:i/>
                <w:color w:val="2006BA"/>
                <w:sz w:val="16"/>
                <w:szCs w:val="16"/>
              </w:rPr>
              <w:t xml:space="preserve">Complete Proof of Claim Form </w:t>
            </w:r>
          </w:p>
        </w:tc>
        <w:tc>
          <w:tcPr>
            <w:tcW w:w="2055" w:type="dxa"/>
            <w:tcBorders>
              <w:left w:val="single" w:sz="4" w:space="0" w:color="auto"/>
            </w:tcBorders>
            <w:shd w:val="clear" w:color="auto" w:fill="auto"/>
          </w:tcPr>
          <w:p w14:paraId="2618517B" w14:textId="77777777" w:rsidR="00B64DE5" w:rsidRPr="00EF3220" w:rsidRDefault="00C703DB" w:rsidP="00473E3C">
            <w:pPr>
              <w:tabs>
                <w:tab w:val="left" w:pos="-1080"/>
                <w:tab w:val="left" w:pos="-720"/>
                <w:tab w:val="left" w:pos="0"/>
                <w:tab w:val="left" w:pos="450"/>
                <w:tab w:val="left" w:pos="720"/>
                <w:tab w:val="left" w:pos="2160"/>
              </w:tabs>
              <w:jc w:val="right"/>
            </w:pPr>
            <w:r>
              <w:rPr>
                <w:szCs w:val="16"/>
              </w:rPr>
              <w:t>200 Hours</w:t>
            </w:r>
          </w:p>
        </w:tc>
        <w:tc>
          <w:tcPr>
            <w:tcW w:w="1760" w:type="dxa"/>
          </w:tcPr>
          <w:p w14:paraId="0DFAAF75" w14:textId="77777777" w:rsidR="00B64DE5" w:rsidRPr="00EF3220" w:rsidRDefault="00B64DE5" w:rsidP="00C703DB">
            <w:pPr>
              <w:tabs>
                <w:tab w:val="left" w:pos="-1080"/>
                <w:tab w:val="left" w:pos="-720"/>
                <w:tab w:val="left" w:pos="0"/>
                <w:tab w:val="left" w:pos="450"/>
                <w:tab w:val="left" w:pos="720"/>
                <w:tab w:val="left" w:pos="2160"/>
              </w:tabs>
              <w:jc w:val="right"/>
            </w:pPr>
            <w:r>
              <w:rPr>
                <w:szCs w:val="16"/>
              </w:rPr>
              <w:t>$</w:t>
            </w:r>
            <w:r w:rsidR="00C703DB">
              <w:rPr>
                <w:szCs w:val="16"/>
              </w:rPr>
              <w:t>50.00</w:t>
            </w:r>
          </w:p>
        </w:tc>
        <w:tc>
          <w:tcPr>
            <w:tcW w:w="1660" w:type="dxa"/>
          </w:tcPr>
          <w:p w14:paraId="6529D1D3" w14:textId="77777777" w:rsidR="00B64DE5" w:rsidRPr="00EF3220" w:rsidRDefault="00B64DE5" w:rsidP="00C703DB">
            <w:pPr>
              <w:tabs>
                <w:tab w:val="left" w:pos="-1080"/>
                <w:tab w:val="left" w:pos="-720"/>
                <w:tab w:val="left" w:pos="0"/>
                <w:tab w:val="left" w:pos="450"/>
                <w:tab w:val="left" w:pos="720"/>
                <w:tab w:val="left" w:pos="2160"/>
              </w:tabs>
              <w:jc w:val="right"/>
            </w:pPr>
            <w:r>
              <w:rPr>
                <w:szCs w:val="16"/>
              </w:rPr>
              <w:t>$</w:t>
            </w:r>
            <w:r w:rsidR="00C703DB">
              <w:rPr>
                <w:szCs w:val="16"/>
              </w:rPr>
              <w:t>10,000.00</w:t>
            </w:r>
          </w:p>
        </w:tc>
      </w:tr>
      <w:tr w:rsidR="00B64DE5" w:rsidRPr="00EF3220" w14:paraId="62114812" w14:textId="77777777" w:rsidTr="00C703DB">
        <w:trPr>
          <w:jc w:val="center"/>
        </w:trPr>
        <w:tc>
          <w:tcPr>
            <w:tcW w:w="396" w:type="dxa"/>
            <w:tcBorders>
              <w:top w:val="single" w:sz="4" w:space="0" w:color="auto"/>
              <w:left w:val="single" w:sz="4" w:space="0" w:color="auto"/>
              <w:bottom w:val="single" w:sz="4" w:space="0" w:color="auto"/>
              <w:right w:val="nil"/>
            </w:tcBorders>
            <w:shd w:val="clear" w:color="auto" w:fill="auto"/>
          </w:tcPr>
          <w:p w14:paraId="543016CB" w14:textId="77777777" w:rsidR="00B64DE5" w:rsidRPr="00EF3220" w:rsidRDefault="00B64DE5" w:rsidP="00473E3C">
            <w:pPr>
              <w:tabs>
                <w:tab w:val="left" w:pos="-1080"/>
                <w:tab w:val="left" w:pos="-720"/>
                <w:tab w:val="left" w:pos="0"/>
                <w:tab w:val="left" w:pos="450"/>
                <w:tab w:val="left" w:pos="720"/>
                <w:tab w:val="left" w:pos="2160"/>
              </w:tabs>
            </w:pPr>
            <w:r>
              <w:t>2.</w:t>
            </w:r>
          </w:p>
        </w:tc>
        <w:tc>
          <w:tcPr>
            <w:tcW w:w="3162" w:type="dxa"/>
            <w:tcBorders>
              <w:top w:val="single" w:sz="4" w:space="0" w:color="auto"/>
              <w:left w:val="nil"/>
              <w:bottom w:val="single" w:sz="4" w:space="0" w:color="auto"/>
              <w:right w:val="single" w:sz="4" w:space="0" w:color="auto"/>
            </w:tcBorders>
            <w:shd w:val="clear" w:color="auto" w:fill="auto"/>
          </w:tcPr>
          <w:p w14:paraId="53E74635" w14:textId="77777777" w:rsidR="00B64DE5" w:rsidRPr="00EF3220" w:rsidRDefault="00C703DB" w:rsidP="00473E3C">
            <w:pPr>
              <w:tabs>
                <w:tab w:val="left" w:pos="-1080"/>
                <w:tab w:val="left" w:pos="-720"/>
                <w:tab w:val="left" w:pos="0"/>
                <w:tab w:val="left" w:pos="450"/>
                <w:tab w:val="left" w:pos="720"/>
                <w:tab w:val="left" w:pos="2160"/>
              </w:tabs>
            </w:pPr>
            <w:r>
              <w:rPr>
                <w:rFonts w:asciiTheme="majorHAnsi" w:hAnsiTheme="majorHAnsi"/>
                <w:b/>
                <w:i/>
                <w:color w:val="2006BA"/>
                <w:sz w:val="16"/>
                <w:szCs w:val="16"/>
              </w:rPr>
              <w:t xml:space="preserve">Compile and Submit Supplemental Evidence </w:t>
            </w:r>
          </w:p>
        </w:tc>
        <w:tc>
          <w:tcPr>
            <w:tcW w:w="2055" w:type="dxa"/>
            <w:tcBorders>
              <w:left w:val="single" w:sz="4" w:space="0" w:color="auto"/>
            </w:tcBorders>
            <w:shd w:val="clear" w:color="auto" w:fill="auto"/>
          </w:tcPr>
          <w:p w14:paraId="6A7D3EA3" w14:textId="77777777" w:rsidR="00B64DE5" w:rsidRPr="00E43C79" w:rsidRDefault="00C703DB" w:rsidP="00473E3C">
            <w:pPr>
              <w:jc w:val="right"/>
              <w:rPr>
                <w:szCs w:val="16"/>
              </w:rPr>
            </w:pPr>
            <w:r>
              <w:rPr>
                <w:szCs w:val="16"/>
              </w:rPr>
              <w:t>20 Hours</w:t>
            </w:r>
          </w:p>
        </w:tc>
        <w:tc>
          <w:tcPr>
            <w:tcW w:w="1760" w:type="dxa"/>
          </w:tcPr>
          <w:p w14:paraId="61D8D5D2" w14:textId="77777777" w:rsidR="00B64DE5" w:rsidRPr="00E43C79" w:rsidRDefault="00B64DE5" w:rsidP="00C703DB">
            <w:pPr>
              <w:jc w:val="right"/>
              <w:rPr>
                <w:szCs w:val="16"/>
              </w:rPr>
            </w:pPr>
            <w:r>
              <w:rPr>
                <w:szCs w:val="16"/>
              </w:rPr>
              <w:t>$</w:t>
            </w:r>
            <w:r w:rsidR="00C703DB">
              <w:rPr>
                <w:szCs w:val="16"/>
              </w:rPr>
              <w:t>50.00</w:t>
            </w:r>
          </w:p>
        </w:tc>
        <w:tc>
          <w:tcPr>
            <w:tcW w:w="1660" w:type="dxa"/>
          </w:tcPr>
          <w:p w14:paraId="568FB4A0" w14:textId="77777777" w:rsidR="00B64DE5" w:rsidRPr="00E43C79" w:rsidRDefault="00B64DE5" w:rsidP="00C703DB">
            <w:pPr>
              <w:jc w:val="right"/>
              <w:rPr>
                <w:szCs w:val="16"/>
              </w:rPr>
            </w:pPr>
            <w:r>
              <w:rPr>
                <w:szCs w:val="16"/>
              </w:rPr>
              <w:t>$</w:t>
            </w:r>
            <w:r w:rsidR="00C703DB">
              <w:rPr>
                <w:szCs w:val="16"/>
              </w:rPr>
              <w:t>1,000.00</w:t>
            </w:r>
          </w:p>
        </w:tc>
      </w:tr>
      <w:tr w:rsidR="00B64DE5" w:rsidRPr="00EF3220" w14:paraId="5B2A598E" w14:textId="77777777" w:rsidTr="00C703DB">
        <w:trPr>
          <w:jc w:val="center"/>
        </w:trPr>
        <w:tc>
          <w:tcPr>
            <w:tcW w:w="3558" w:type="dxa"/>
            <w:gridSpan w:val="2"/>
            <w:tcBorders>
              <w:top w:val="single" w:sz="4" w:space="0" w:color="auto"/>
            </w:tcBorders>
            <w:shd w:val="clear" w:color="auto" w:fill="auto"/>
          </w:tcPr>
          <w:p w14:paraId="4C06D499" w14:textId="77777777" w:rsidR="00B64DE5" w:rsidRPr="00E43C79" w:rsidRDefault="00B64DE5" w:rsidP="00473E3C">
            <w:pPr>
              <w:tabs>
                <w:tab w:val="left" w:pos="-1080"/>
                <w:tab w:val="left" w:pos="-720"/>
                <w:tab w:val="left" w:pos="0"/>
                <w:tab w:val="left" w:pos="450"/>
                <w:tab w:val="left" w:pos="720"/>
                <w:tab w:val="left" w:pos="2160"/>
              </w:tabs>
              <w:rPr>
                <w:b/>
              </w:rPr>
            </w:pPr>
            <w:r w:rsidRPr="00E43C79">
              <w:rPr>
                <w:b/>
              </w:rPr>
              <w:t>Total (Sum)</w:t>
            </w:r>
          </w:p>
        </w:tc>
        <w:tc>
          <w:tcPr>
            <w:tcW w:w="2055" w:type="dxa"/>
            <w:shd w:val="clear" w:color="auto" w:fill="auto"/>
          </w:tcPr>
          <w:p w14:paraId="3D16C74D" w14:textId="77777777" w:rsidR="00B64DE5" w:rsidRPr="00E43C79" w:rsidRDefault="00C703DB" w:rsidP="00473E3C">
            <w:pPr>
              <w:jc w:val="right"/>
              <w:rPr>
                <w:b/>
                <w:szCs w:val="16"/>
              </w:rPr>
            </w:pPr>
            <w:r w:rsidRPr="007F13D5">
              <w:rPr>
                <w:b/>
                <w:szCs w:val="16"/>
              </w:rPr>
              <w:t>220</w:t>
            </w:r>
            <w:r w:rsidR="00B64DE5" w:rsidRPr="007F13D5">
              <w:rPr>
                <w:b/>
                <w:szCs w:val="16"/>
              </w:rPr>
              <w:t xml:space="preserve"> H</w:t>
            </w:r>
            <w:r w:rsidR="00B64DE5" w:rsidRPr="006923ED">
              <w:rPr>
                <w:b/>
                <w:szCs w:val="16"/>
              </w:rPr>
              <w:t>ours</w:t>
            </w:r>
          </w:p>
        </w:tc>
        <w:tc>
          <w:tcPr>
            <w:tcW w:w="1760" w:type="dxa"/>
          </w:tcPr>
          <w:p w14:paraId="2DE8A705" w14:textId="77777777" w:rsidR="00B64DE5" w:rsidRPr="00E43C79" w:rsidRDefault="00B64DE5" w:rsidP="00C703DB">
            <w:pPr>
              <w:jc w:val="right"/>
              <w:rPr>
                <w:b/>
                <w:szCs w:val="16"/>
              </w:rPr>
            </w:pPr>
            <w:r>
              <w:rPr>
                <w:b/>
                <w:szCs w:val="16"/>
              </w:rPr>
              <w:t>$</w:t>
            </w:r>
            <w:r w:rsidR="00C703DB">
              <w:rPr>
                <w:b/>
                <w:szCs w:val="16"/>
              </w:rPr>
              <w:t>100.00</w:t>
            </w:r>
          </w:p>
        </w:tc>
        <w:tc>
          <w:tcPr>
            <w:tcW w:w="1660" w:type="dxa"/>
          </w:tcPr>
          <w:p w14:paraId="515C40AF" w14:textId="77777777" w:rsidR="00B64DE5" w:rsidRPr="00E43C79" w:rsidRDefault="00B64DE5" w:rsidP="00C703DB">
            <w:pPr>
              <w:jc w:val="right"/>
              <w:rPr>
                <w:b/>
                <w:szCs w:val="16"/>
              </w:rPr>
            </w:pPr>
            <w:r>
              <w:rPr>
                <w:b/>
                <w:szCs w:val="16"/>
              </w:rPr>
              <w:t>$</w:t>
            </w:r>
            <w:r w:rsidR="00C703DB">
              <w:rPr>
                <w:b/>
                <w:szCs w:val="16"/>
              </w:rPr>
              <w:t>11,000.00</w:t>
            </w:r>
          </w:p>
        </w:tc>
      </w:tr>
    </w:tbl>
    <w:p w14:paraId="02BA9094" w14:textId="77777777" w:rsidR="00660785" w:rsidRDefault="00660785" w:rsidP="00AE278A">
      <w:pPr>
        <w:pStyle w:val="ListParagraph"/>
        <w:ind w:left="0" w:hanging="360"/>
        <w:rPr>
          <w:b/>
          <w:sz w:val="22"/>
          <w:szCs w:val="22"/>
        </w:rPr>
      </w:pPr>
    </w:p>
    <w:p w14:paraId="4A493822" w14:textId="77777777" w:rsidR="00B64DE5" w:rsidRPr="00822033" w:rsidRDefault="00B64DE5" w:rsidP="00AE278A">
      <w:pPr>
        <w:pStyle w:val="ListParagraph"/>
        <w:ind w:left="0" w:hanging="360"/>
        <w:rPr>
          <w:b/>
          <w:sz w:val="22"/>
          <w:szCs w:val="22"/>
        </w:rPr>
      </w:pPr>
    </w:p>
    <w:p w14:paraId="75FB5D4C" w14:textId="77777777" w:rsidR="00DA4DFB" w:rsidRPr="00660785" w:rsidRDefault="00AE278A" w:rsidP="00AE278A">
      <w:pPr>
        <w:pStyle w:val="ListParagraph"/>
        <w:numPr>
          <w:ilvl w:val="0"/>
          <w:numId w:val="2"/>
        </w:num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left="0"/>
        <w:rPr>
          <w:sz w:val="22"/>
          <w:szCs w:val="22"/>
        </w:rPr>
      </w:pPr>
      <w:r w:rsidRPr="00660785">
        <w:rPr>
          <w:b/>
          <w:sz w:val="22"/>
          <w:szCs w:val="22"/>
        </w:rPr>
        <w:t>Costs to Federal Government</w:t>
      </w:r>
    </w:p>
    <w:p w14:paraId="4737217F" w14:textId="290C409A" w:rsidR="00DA4DFB" w:rsidRPr="00822033" w:rsidRDefault="00DA4DFB" w:rsidP="00DA4DFB">
      <w:pPr>
        <w:rPr>
          <w:sz w:val="22"/>
          <w:szCs w:val="22"/>
        </w:rPr>
      </w:pPr>
      <w:r w:rsidRPr="00822033">
        <w:rPr>
          <w:sz w:val="22"/>
          <w:szCs w:val="22"/>
        </w:rPr>
        <w:t>NCUA</w:t>
      </w:r>
      <w:r w:rsidR="007F1C04" w:rsidRPr="00822033">
        <w:rPr>
          <w:sz w:val="22"/>
          <w:szCs w:val="22"/>
        </w:rPr>
        <w:t xml:space="preserve"> </w:t>
      </w:r>
      <w:r w:rsidR="00E05EBA" w:rsidRPr="00822033">
        <w:rPr>
          <w:sz w:val="22"/>
          <w:szCs w:val="22"/>
        </w:rPr>
        <w:t xml:space="preserve">estimates support staff </w:t>
      </w:r>
      <w:r w:rsidRPr="00822033">
        <w:rPr>
          <w:sz w:val="22"/>
          <w:szCs w:val="22"/>
        </w:rPr>
        <w:t>spend</w:t>
      </w:r>
      <w:r w:rsidR="00E05EBA" w:rsidRPr="00822033">
        <w:rPr>
          <w:sz w:val="22"/>
          <w:szCs w:val="22"/>
        </w:rPr>
        <w:t>s</w:t>
      </w:r>
      <w:r w:rsidRPr="00822033">
        <w:rPr>
          <w:sz w:val="22"/>
          <w:szCs w:val="22"/>
        </w:rPr>
        <w:t xml:space="preserve"> 15 minutes reviewing each creditor submission for completeness.  We estimate a $25 average hourly cost for NCUA’s support staff time.  Therefore, the cost to the Federal government </w:t>
      </w:r>
      <w:r w:rsidR="00E05EBA" w:rsidRPr="00822033">
        <w:rPr>
          <w:sz w:val="22"/>
          <w:szCs w:val="22"/>
        </w:rPr>
        <w:t xml:space="preserve">estimate is </w:t>
      </w:r>
      <w:r w:rsidRPr="00822033">
        <w:rPr>
          <w:sz w:val="22"/>
          <w:szCs w:val="22"/>
        </w:rPr>
        <w:t xml:space="preserve">$1,250.  This is a reduction of current costs incurred to obtain this information in different formats. </w:t>
      </w:r>
    </w:p>
    <w:p w14:paraId="290CECC4" w14:textId="77777777" w:rsidR="00AE278A" w:rsidRPr="007F13D5" w:rsidRDefault="00AE278A" w:rsidP="007F13D5">
      <w:pPr>
        <w:rPr>
          <w:b/>
          <w:sz w:val="22"/>
          <w:szCs w:val="22"/>
        </w:rPr>
      </w:pPr>
    </w:p>
    <w:p w14:paraId="6FE3D6B2" w14:textId="77777777" w:rsidR="00DA4DFB" w:rsidRPr="00660785" w:rsidRDefault="00AE278A" w:rsidP="00AE278A">
      <w:pPr>
        <w:pStyle w:val="ListParagraph"/>
        <w:numPr>
          <w:ilvl w:val="0"/>
          <w:numId w:val="2"/>
        </w:numPr>
        <w:ind w:left="0"/>
        <w:rPr>
          <w:b/>
          <w:sz w:val="22"/>
          <w:szCs w:val="22"/>
        </w:rPr>
      </w:pPr>
      <w:r w:rsidRPr="00822033">
        <w:rPr>
          <w:b/>
          <w:sz w:val="22"/>
          <w:szCs w:val="22"/>
        </w:rPr>
        <w:t>Changes in Burden</w:t>
      </w:r>
    </w:p>
    <w:p w14:paraId="12B04D0C" w14:textId="77777777" w:rsidR="00DA4DFB" w:rsidRPr="00822033" w:rsidRDefault="00DA4DFB" w:rsidP="00AE278A">
      <w:pPr>
        <w:rPr>
          <w:sz w:val="22"/>
          <w:szCs w:val="22"/>
        </w:rPr>
      </w:pPr>
      <w:r w:rsidRPr="00822033">
        <w:rPr>
          <w:sz w:val="22"/>
          <w:szCs w:val="22"/>
        </w:rPr>
        <w:t>There are no program changes or adjustments as this is a new collection.</w:t>
      </w:r>
    </w:p>
    <w:p w14:paraId="10888BDF" w14:textId="77777777" w:rsidR="00AE278A" w:rsidRPr="00822033" w:rsidRDefault="00AE278A" w:rsidP="00AE278A">
      <w:pPr>
        <w:ind w:hanging="360"/>
        <w:rPr>
          <w:b/>
          <w:sz w:val="22"/>
          <w:szCs w:val="22"/>
        </w:rPr>
      </w:pPr>
    </w:p>
    <w:p w14:paraId="616A9A90" w14:textId="77777777" w:rsidR="00AE278A" w:rsidRPr="00822033" w:rsidRDefault="00AE278A" w:rsidP="00AE278A">
      <w:pPr>
        <w:pStyle w:val="ListParagraph"/>
        <w:numPr>
          <w:ilvl w:val="0"/>
          <w:numId w:val="2"/>
        </w:numPr>
        <w:ind w:left="0"/>
        <w:rPr>
          <w:b/>
          <w:sz w:val="22"/>
          <w:szCs w:val="22"/>
        </w:rPr>
      </w:pPr>
      <w:r w:rsidRPr="00822033">
        <w:rPr>
          <w:b/>
          <w:sz w:val="22"/>
          <w:szCs w:val="22"/>
        </w:rPr>
        <w:t>Information Collection Planned for Statistical Purposes</w:t>
      </w:r>
    </w:p>
    <w:p w14:paraId="51B87B20" w14:textId="77777777" w:rsidR="00AE278A" w:rsidRPr="00822033" w:rsidRDefault="00AE278A" w:rsidP="00AE278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sz w:val="22"/>
          <w:szCs w:val="22"/>
        </w:rPr>
      </w:pPr>
      <w:r w:rsidRPr="00822033">
        <w:rPr>
          <w:sz w:val="22"/>
          <w:szCs w:val="22"/>
        </w:rPr>
        <w:tab/>
        <w:t>Not applicable.  The information collection is no</w:t>
      </w:r>
      <w:r w:rsidR="00DA4DFB" w:rsidRPr="00822033">
        <w:rPr>
          <w:sz w:val="22"/>
          <w:szCs w:val="22"/>
        </w:rPr>
        <w:t>t used for statistical purposes.</w:t>
      </w:r>
    </w:p>
    <w:p w14:paraId="2D585B49" w14:textId="77777777" w:rsidR="00AE278A" w:rsidRPr="00822033" w:rsidRDefault="00AE278A" w:rsidP="00AE278A">
      <w:pPr>
        <w:ind w:hanging="360"/>
        <w:rPr>
          <w:sz w:val="22"/>
          <w:szCs w:val="22"/>
        </w:rPr>
      </w:pPr>
    </w:p>
    <w:p w14:paraId="31B2BF23" w14:textId="77777777" w:rsidR="003D4D1B" w:rsidRPr="007F13D5" w:rsidRDefault="00AE278A" w:rsidP="007F13D5">
      <w:pPr>
        <w:pStyle w:val="ListParagraph"/>
        <w:keepNext/>
        <w:numPr>
          <w:ilvl w:val="0"/>
          <w:numId w:val="2"/>
        </w:numPr>
        <w:ind w:left="0"/>
        <w:rPr>
          <w:b/>
          <w:sz w:val="22"/>
          <w:szCs w:val="22"/>
        </w:rPr>
      </w:pPr>
      <w:r w:rsidRPr="00822033">
        <w:rPr>
          <w:b/>
          <w:sz w:val="22"/>
          <w:szCs w:val="22"/>
        </w:rPr>
        <w:t>Approval to Omit OMB Expiration Date</w:t>
      </w:r>
    </w:p>
    <w:p w14:paraId="315B5D5C" w14:textId="77777777" w:rsidR="00AE278A" w:rsidRPr="00822033" w:rsidRDefault="00AE278A" w:rsidP="00DA4DFB">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rPr>
          <w:sz w:val="22"/>
          <w:szCs w:val="22"/>
        </w:rPr>
      </w:pPr>
      <w:r w:rsidRPr="00822033">
        <w:rPr>
          <w:sz w:val="22"/>
          <w:szCs w:val="22"/>
        </w:rPr>
        <w:t>NCUA is not seeking approval to omit the expiration date</w:t>
      </w:r>
      <w:r w:rsidR="00DA4DFB" w:rsidRPr="00822033">
        <w:rPr>
          <w:sz w:val="22"/>
          <w:szCs w:val="22"/>
        </w:rPr>
        <w:t>.</w:t>
      </w:r>
    </w:p>
    <w:p w14:paraId="19195C61" w14:textId="77777777" w:rsidR="00AE278A" w:rsidRPr="00822033" w:rsidRDefault="00AE278A" w:rsidP="00AE278A">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rPr>
          <w:sz w:val="22"/>
          <w:szCs w:val="22"/>
        </w:rPr>
      </w:pPr>
    </w:p>
    <w:p w14:paraId="7CF9B36D" w14:textId="77777777" w:rsidR="00AE278A" w:rsidRPr="00822033" w:rsidRDefault="00AE278A" w:rsidP="00AE278A">
      <w:pPr>
        <w:pStyle w:val="ListParagraph"/>
        <w:numPr>
          <w:ilvl w:val="0"/>
          <w:numId w:val="2"/>
        </w:numPr>
        <w:ind w:left="0"/>
        <w:rPr>
          <w:b/>
          <w:sz w:val="22"/>
          <w:szCs w:val="22"/>
        </w:rPr>
      </w:pPr>
      <w:r w:rsidRPr="00822033">
        <w:rPr>
          <w:b/>
          <w:sz w:val="22"/>
          <w:szCs w:val="22"/>
        </w:rPr>
        <w:t>Exceptions to Certification for Paperwork Reduction Act Submissions</w:t>
      </w:r>
    </w:p>
    <w:p w14:paraId="126553A9" w14:textId="77777777" w:rsidR="00AE278A" w:rsidRDefault="00AE278A" w:rsidP="00AE278A">
      <w:pPr>
        <w:tabs>
          <w:tab w:val="left" w:pos="-720"/>
          <w:tab w:val="left" w:pos="286"/>
          <w:tab w:val="left" w:pos="403"/>
        </w:tabs>
        <w:suppressAutoHyphens/>
        <w:ind w:hanging="360"/>
        <w:rPr>
          <w:sz w:val="22"/>
          <w:szCs w:val="22"/>
        </w:rPr>
      </w:pPr>
      <w:r w:rsidRPr="00822033">
        <w:rPr>
          <w:sz w:val="22"/>
          <w:szCs w:val="22"/>
        </w:rPr>
        <w:tab/>
        <w:t>This collection complies with th</w:t>
      </w:r>
      <w:r w:rsidR="00DA4DFB" w:rsidRPr="00822033">
        <w:rPr>
          <w:sz w:val="22"/>
          <w:szCs w:val="22"/>
        </w:rPr>
        <w:t>e requirements in 5 CFR 1320.9.</w:t>
      </w:r>
    </w:p>
    <w:p w14:paraId="544745FF" w14:textId="77777777" w:rsidR="007F13D5" w:rsidRPr="00822033" w:rsidRDefault="007F13D5" w:rsidP="00AE278A">
      <w:pPr>
        <w:tabs>
          <w:tab w:val="left" w:pos="-720"/>
          <w:tab w:val="left" w:pos="286"/>
          <w:tab w:val="left" w:pos="403"/>
        </w:tabs>
        <w:suppressAutoHyphens/>
        <w:ind w:hanging="360"/>
        <w:rPr>
          <w:sz w:val="22"/>
          <w:szCs w:val="22"/>
        </w:rPr>
      </w:pPr>
    </w:p>
    <w:p w14:paraId="4D552C0A" w14:textId="77777777" w:rsidR="000141BB" w:rsidRDefault="000141BB">
      <w:pPr>
        <w:rPr>
          <w:sz w:val="22"/>
          <w:szCs w:val="22"/>
        </w:rPr>
      </w:pPr>
    </w:p>
    <w:p w14:paraId="578764C2" w14:textId="77777777" w:rsidR="007F13D5" w:rsidRPr="007F13D5" w:rsidRDefault="007F13D5" w:rsidP="007F13D5">
      <w:pPr>
        <w:pStyle w:val="ListParagraph"/>
        <w:numPr>
          <w:ilvl w:val="0"/>
          <w:numId w:val="6"/>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rPr>
          <w:b/>
          <w:caps/>
        </w:rPr>
      </w:pPr>
      <w:r w:rsidRPr="007F13D5">
        <w:rPr>
          <w:b/>
          <w:caps/>
        </w:rPr>
        <w:t>Collections of Information Employing Statistical Methods</w:t>
      </w:r>
    </w:p>
    <w:p w14:paraId="00313A40" w14:textId="77777777" w:rsidR="007F13D5" w:rsidRDefault="007F13D5" w:rsidP="007F13D5">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7B945F92" w14:textId="77777777" w:rsidR="007F13D5" w:rsidRDefault="007F13D5" w:rsidP="007F13D5">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t xml:space="preserve">This collection does not involve statistical methods. </w:t>
      </w:r>
    </w:p>
    <w:p w14:paraId="06235855" w14:textId="77777777" w:rsidR="007F13D5" w:rsidRPr="00822033" w:rsidRDefault="007F13D5">
      <w:pPr>
        <w:rPr>
          <w:sz w:val="22"/>
          <w:szCs w:val="22"/>
        </w:rPr>
      </w:pPr>
    </w:p>
    <w:sectPr w:rsidR="007F13D5" w:rsidRPr="0082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E0843"/>
    <w:multiLevelType w:val="hybridMultilevel"/>
    <w:tmpl w:val="1292EF9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3">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4">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D412705"/>
    <w:multiLevelType w:val="hybridMultilevel"/>
    <w:tmpl w:val="0E3C584E"/>
    <w:lvl w:ilvl="0" w:tplc="383A8A8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B04AEE"/>
    <w:multiLevelType w:val="hybridMultilevel"/>
    <w:tmpl w:val="87927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8A"/>
    <w:rsid w:val="000141BB"/>
    <w:rsid w:val="00093AFE"/>
    <w:rsid w:val="0016614D"/>
    <w:rsid w:val="00175690"/>
    <w:rsid w:val="001A23C3"/>
    <w:rsid w:val="001B20B3"/>
    <w:rsid w:val="001B6791"/>
    <w:rsid w:val="00223AB2"/>
    <w:rsid w:val="0028124E"/>
    <w:rsid w:val="0035071F"/>
    <w:rsid w:val="003A226E"/>
    <w:rsid w:val="003C4960"/>
    <w:rsid w:val="003D4D1B"/>
    <w:rsid w:val="003F5087"/>
    <w:rsid w:val="00422725"/>
    <w:rsid w:val="00473E3C"/>
    <w:rsid w:val="005837D0"/>
    <w:rsid w:val="005D0D79"/>
    <w:rsid w:val="00660785"/>
    <w:rsid w:val="0066753A"/>
    <w:rsid w:val="006A1983"/>
    <w:rsid w:val="0070089A"/>
    <w:rsid w:val="007143E9"/>
    <w:rsid w:val="00740267"/>
    <w:rsid w:val="00743B81"/>
    <w:rsid w:val="007750F4"/>
    <w:rsid w:val="007E30B0"/>
    <w:rsid w:val="007F13D5"/>
    <w:rsid w:val="007F1C04"/>
    <w:rsid w:val="00801820"/>
    <w:rsid w:val="00801CEB"/>
    <w:rsid w:val="00822033"/>
    <w:rsid w:val="00844EB4"/>
    <w:rsid w:val="008C75A9"/>
    <w:rsid w:val="00922A24"/>
    <w:rsid w:val="00935C7D"/>
    <w:rsid w:val="00944997"/>
    <w:rsid w:val="00A03814"/>
    <w:rsid w:val="00A40EE7"/>
    <w:rsid w:val="00AE278A"/>
    <w:rsid w:val="00B64DE5"/>
    <w:rsid w:val="00C61877"/>
    <w:rsid w:val="00C65BD1"/>
    <w:rsid w:val="00C70083"/>
    <w:rsid w:val="00C703DB"/>
    <w:rsid w:val="00D7791B"/>
    <w:rsid w:val="00DA4DFB"/>
    <w:rsid w:val="00DC30B4"/>
    <w:rsid w:val="00E05EBA"/>
    <w:rsid w:val="00E97E36"/>
    <w:rsid w:val="00F8155D"/>
    <w:rsid w:val="00F84CBD"/>
    <w:rsid w:val="00FA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4E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278A"/>
    <w:rPr>
      <w:color w:val="0000FF"/>
      <w:u w:val="single"/>
    </w:rPr>
  </w:style>
  <w:style w:type="paragraph" w:styleId="HTMLPreformatted">
    <w:name w:val="HTML Preformatted"/>
    <w:basedOn w:val="Normal"/>
    <w:link w:val="HTMLPreformattedChar"/>
    <w:uiPriority w:val="99"/>
    <w:unhideWhenUsed/>
    <w:rsid w:val="00AE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E278A"/>
    <w:rPr>
      <w:rFonts w:ascii="Courier New" w:eastAsia="Times New Roman" w:hAnsi="Courier New" w:cs="Courier New"/>
      <w:sz w:val="20"/>
      <w:szCs w:val="20"/>
    </w:rPr>
  </w:style>
  <w:style w:type="paragraph" w:styleId="ListParagraph">
    <w:name w:val="List Paragraph"/>
    <w:basedOn w:val="Normal"/>
    <w:uiPriority w:val="34"/>
    <w:qFormat/>
    <w:rsid w:val="00AE278A"/>
    <w:pPr>
      <w:ind w:left="720"/>
      <w:contextualSpacing/>
    </w:pPr>
  </w:style>
  <w:style w:type="paragraph" w:styleId="BodyText">
    <w:name w:val="Body Text"/>
    <w:basedOn w:val="Normal"/>
    <w:link w:val="BodyTextChar"/>
    <w:rsid w:val="00223AB2"/>
    <w:pPr>
      <w:overflowPunct w:val="0"/>
      <w:autoSpaceDE w:val="0"/>
      <w:autoSpaceDN w:val="0"/>
      <w:adjustRightInd w:val="0"/>
      <w:textAlignment w:val="baseline"/>
    </w:pPr>
    <w:rPr>
      <w:rFonts w:ascii="Arial" w:hAnsi="Arial"/>
      <w:szCs w:val="20"/>
    </w:rPr>
  </w:style>
  <w:style w:type="character" w:customStyle="1" w:styleId="BodyTextChar">
    <w:name w:val="Body Text Char"/>
    <w:basedOn w:val="DefaultParagraphFont"/>
    <w:link w:val="BodyText"/>
    <w:rsid w:val="00223AB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23AB2"/>
    <w:rPr>
      <w:sz w:val="16"/>
      <w:szCs w:val="16"/>
    </w:rPr>
  </w:style>
  <w:style w:type="paragraph" w:styleId="CommentText">
    <w:name w:val="annotation text"/>
    <w:basedOn w:val="Normal"/>
    <w:link w:val="CommentTextChar"/>
    <w:uiPriority w:val="99"/>
    <w:semiHidden/>
    <w:unhideWhenUsed/>
    <w:rsid w:val="00223AB2"/>
    <w:rPr>
      <w:sz w:val="20"/>
      <w:szCs w:val="20"/>
    </w:rPr>
  </w:style>
  <w:style w:type="character" w:customStyle="1" w:styleId="CommentTextChar">
    <w:name w:val="Comment Text Char"/>
    <w:basedOn w:val="DefaultParagraphFont"/>
    <w:link w:val="CommentText"/>
    <w:uiPriority w:val="99"/>
    <w:semiHidden/>
    <w:rsid w:val="00223A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AB2"/>
    <w:rPr>
      <w:b/>
      <w:bCs/>
    </w:rPr>
  </w:style>
  <w:style w:type="character" w:customStyle="1" w:styleId="CommentSubjectChar">
    <w:name w:val="Comment Subject Char"/>
    <w:basedOn w:val="CommentTextChar"/>
    <w:link w:val="CommentSubject"/>
    <w:uiPriority w:val="99"/>
    <w:semiHidden/>
    <w:rsid w:val="00223A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3AB2"/>
    <w:rPr>
      <w:rFonts w:ascii="Tahoma" w:hAnsi="Tahoma" w:cs="Tahoma"/>
      <w:sz w:val="16"/>
      <w:szCs w:val="16"/>
    </w:rPr>
  </w:style>
  <w:style w:type="character" w:customStyle="1" w:styleId="BalloonTextChar">
    <w:name w:val="Balloon Text Char"/>
    <w:basedOn w:val="DefaultParagraphFont"/>
    <w:link w:val="BalloonText"/>
    <w:uiPriority w:val="99"/>
    <w:semiHidden/>
    <w:rsid w:val="00223AB2"/>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278A"/>
    <w:rPr>
      <w:color w:val="0000FF"/>
      <w:u w:val="single"/>
    </w:rPr>
  </w:style>
  <w:style w:type="paragraph" w:styleId="HTMLPreformatted">
    <w:name w:val="HTML Preformatted"/>
    <w:basedOn w:val="Normal"/>
    <w:link w:val="HTMLPreformattedChar"/>
    <w:uiPriority w:val="99"/>
    <w:unhideWhenUsed/>
    <w:rsid w:val="00AE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E278A"/>
    <w:rPr>
      <w:rFonts w:ascii="Courier New" w:eastAsia="Times New Roman" w:hAnsi="Courier New" w:cs="Courier New"/>
      <w:sz w:val="20"/>
      <w:szCs w:val="20"/>
    </w:rPr>
  </w:style>
  <w:style w:type="paragraph" w:styleId="ListParagraph">
    <w:name w:val="List Paragraph"/>
    <w:basedOn w:val="Normal"/>
    <w:uiPriority w:val="34"/>
    <w:qFormat/>
    <w:rsid w:val="00AE278A"/>
    <w:pPr>
      <w:ind w:left="720"/>
      <w:contextualSpacing/>
    </w:pPr>
  </w:style>
  <w:style w:type="paragraph" w:styleId="BodyText">
    <w:name w:val="Body Text"/>
    <w:basedOn w:val="Normal"/>
    <w:link w:val="BodyTextChar"/>
    <w:rsid w:val="00223AB2"/>
    <w:pPr>
      <w:overflowPunct w:val="0"/>
      <w:autoSpaceDE w:val="0"/>
      <w:autoSpaceDN w:val="0"/>
      <w:adjustRightInd w:val="0"/>
      <w:textAlignment w:val="baseline"/>
    </w:pPr>
    <w:rPr>
      <w:rFonts w:ascii="Arial" w:hAnsi="Arial"/>
      <w:szCs w:val="20"/>
    </w:rPr>
  </w:style>
  <w:style w:type="character" w:customStyle="1" w:styleId="BodyTextChar">
    <w:name w:val="Body Text Char"/>
    <w:basedOn w:val="DefaultParagraphFont"/>
    <w:link w:val="BodyText"/>
    <w:rsid w:val="00223AB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23AB2"/>
    <w:rPr>
      <w:sz w:val="16"/>
      <w:szCs w:val="16"/>
    </w:rPr>
  </w:style>
  <w:style w:type="paragraph" w:styleId="CommentText">
    <w:name w:val="annotation text"/>
    <w:basedOn w:val="Normal"/>
    <w:link w:val="CommentTextChar"/>
    <w:uiPriority w:val="99"/>
    <w:semiHidden/>
    <w:unhideWhenUsed/>
    <w:rsid w:val="00223AB2"/>
    <w:rPr>
      <w:sz w:val="20"/>
      <w:szCs w:val="20"/>
    </w:rPr>
  </w:style>
  <w:style w:type="character" w:customStyle="1" w:styleId="CommentTextChar">
    <w:name w:val="Comment Text Char"/>
    <w:basedOn w:val="DefaultParagraphFont"/>
    <w:link w:val="CommentText"/>
    <w:uiPriority w:val="99"/>
    <w:semiHidden/>
    <w:rsid w:val="00223A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3AB2"/>
    <w:rPr>
      <w:b/>
      <w:bCs/>
    </w:rPr>
  </w:style>
  <w:style w:type="character" w:customStyle="1" w:styleId="CommentSubjectChar">
    <w:name w:val="Comment Subject Char"/>
    <w:basedOn w:val="CommentTextChar"/>
    <w:link w:val="CommentSubject"/>
    <w:uiPriority w:val="99"/>
    <w:semiHidden/>
    <w:rsid w:val="00223A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3AB2"/>
    <w:rPr>
      <w:rFonts w:ascii="Tahoma" w:hAnsi="Tahoma" w:cs="Tahoma"/>
      <w:sz w:val="16"/>
      <w:szCs w:val="16"/>
    </w:rPr>
  </w:style>
  <w:style w:type="character" w:customStyle="1" w:styleId="BalloonTextChar">
    <w:name w:val="Balloon Text Char"/>
    <w:basedOn w:val="DefaultParagraphFont"/>
    <w:link w:val="BalloonText"/>
    <w:uiPriority w:val="99"/>
    <w:semiHidden/>
    <w:rsid w:val="00223A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Jenna</cp:lastModifiedBy>
  <cp:revision>2</cp:revision>
  <dcterms:created xsi:type="dcterms:W3CDTF">2015-01-15T19:32:00Z</dcterms:created>
  <dcterms:modified xsi:type="dcterms:W3CDTF">2015-01-15T19:32:00Z</dcterms:modified>
</cp:coreProperties>
</file>