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21" w:rsidRDefault="00E72D21" w:rsidP="00E72D21">
      <w:pPr>
        <w:rPr>
          <w:rFonts w:cstheme="minorHAnsi"/>
          <w:b/>
          <w:sz w:val="24"/>
          <w:szCs w:val="24"/>
        </w:rPr>
      </w:pPr>
      <w:bookmarkStart w:id="0" w:name="_GoBack"/>
      <w:bookmarkEnd w:id="0"/>
    </w:p>
    <w:p w:rsidR="00E72D21" w:rsidRDefault="00E72D21" w:rsidP="00E72D21">
      <w:pPr>
        <w:rPr>
          <w:rFonts w:cstheme="minorHAnsi"/>
          <w:b/>
          <w:sz w:val="24"/>
          <w:szCs w:val="24"/>
        </w:rPr>
      </w:pPr>
    </w:p>
    <w:p w:rsidR="00E72D21" w:rsidRDefault="00E72D21" w:rsidP="00E72D21">
      <w:pPr>
        <w:rPr>
          <w:rFonts w:cstheme="minorHAnsi"/>
          <w:b/>
          <w:sz w:val="24"/>
          <w:szCs w:val="24"/>
        </w:rPr>
      </w:pPr>
    </w:p>
    <w:p w:rsidR="00E72D21" w:rsidRDefault="00E72D21" w:rsidP="00E72D21">
      <w:pPr>
        <w:rPr>
          <w:rFonts w:cstheme="minorHAnsi"/>
          <w:b/>
          <w:sz w:val="24"/>
          <w:szCs w:val="24"/>
        </w:rPr>
      </w:pPr>
    </w:p>
    <w:p w:rsidR="00E72D21" w:rsidRDefault="00E72D21" w:rsidP="00E72D21">
      <w:pPr>
        <w:rPr>
          <w:rFonts w:cstheme="minorHAnsi"/>
          <w:b/>
          <w:sz w:val="24"/>
          <w:szCs w:val="24"/>
        </w:rPr>
      </w:pPr>
    </w:p>
    <w:p w:rsidR="00E72D21" w:rsidRDefault="00E72D21" w:rsidP="00E72D21">
      <w:pPr>
        <w:jc w:val="center"/>
        <w:rPr>
          <w:rFonts w:cstheme="minorHAnsi"/>
          <w:b/>
          <w:sz w:val="24"/>
          <w:szCs w:val="24"/>
        </w:rPr>
      </w:pPr>
    </w:p>
    <w:p w:rsidR="00E72D21" w:rsidRPr="00EF564E" w:rsidRDefault="00E72D21" w:rsidP="00E72D21">
      <w:pPr>
        <w:jc w:val="center"/>
        <w:rPr>
          <w:rFonts w:ascii="Times New Roman" w:hAnsi="Times New Roman" w:cs="Times New Roman"/>
          <w:b/>
          <w:sz w:val="28"/>
          <w:szCs w:val="28"/>
        </w:rPr>
      </w:pPr>
      <w:r w:rsidRPr="00EF564E">
        <w:rPr>
          <w:rFonts w:ascii="Times New Roman" w:hAnsi="Times New Roman" w:cs="Times New Roman"/>
          <w:b/>
          <w:sz w:val="28"/>
          <w:szCs w:val="28"/>
        </w:rPr>
        <w:t xml:space="preserve">ANNEX </w:t>
      </w:r>
      <w:r w:rsidR="00B047A5">
        <w:rPr>
          <w:rFonts w:ascii="Times New Roman" w:hAnsi="Times New Roman" w:cs="Times New Roman"/>
          <w:b/>
          <w:sz w:val="28"/>
          <w:szCs w:val="28"/>
        </w:rPr>
        <w:t>K</w:t>
      </w:r>
    </w:p>
    <w:p w:rsidR="00E72D21" w:rsidRPr="00EF564E" w:rsidRDefault="00E72D21" w:rsidP="00E72D21">
      <w:pPr>
        <w:jc w:val="center"/>
        <w:rPr>
          <w:rFonts w:ascii="Times New Roman" w:hAnsi="Times New Roman" w:cs="Times New Roman"/>
          <w:b/>
          <w:sz w:val="28"/>
          <w:szCs w:val="28"/>
        </w:rPr>
      </w:pPr>
    </w:p>
    <w:p w:rsidR="00E72D21" w:rsidRPr="00EF564E" w:rsidRDefault="00E72D21" w:rsidP="00E72D21">
      <w:pPr>
        <w:jc w:val="center"/>
        <w:rPr>
          <w:rFonts w:ascii="Times New Roman" w:hAnsi="Times New Roman" w:cs="Times New Roman"/>
          <w:b/>
          <w:sz w:val="28"/>
          <w:szCs w:val="28"/>
        </w:rPr>
      </w:pPr>
    </w:p>
    <w:p w:rsidR="00E72D21" w:rsidRPr="00EF564E" w:rsidRDefault="00B047A5" w:rsidP="00E72D21">
      <w:pPr>
        <w:jc w:val="center"/>
        <w:rPr>
          <w:rFonts w:ascii="Times New Roman" w:hAnsi="Times New Roman" w:cs="Times New Roman"/>
          <w:b/>
          <w:sz w:val="24"/>
          <w:szCs w:val="24"/>
        </w:rPr>
      </w:pPr>
      <w:r>
        <w:rPr>
          <w:rFonts w:ascii="Times New Roman" w:hAnsi="Times New Roman" w:cs="Times New Roman"/>
          <w:b/>
          <w:sz w:val="24"/>
          <w:szCs w:val="24"/>
        </w:rPr>
        <w:t>FEDERAL REGISTER NOTICE</w:t>
      </w:r>
    </w:p>
    <w:p w:rsidR="00E72D21" w:rsidRDefault="00E72D21">
      <w:pPr>
        <w:rPr>
          <w:rFonts w:cstheme="minorHAnsi"/>
          <w:b/>
          <w:sz w:val="28"/>
          <w:szCs w:val="28"/>
        </w:rPr>
      </w:pPr>
    </w:p>
    <w:p w:rsidR="00B047A5" w:rsidRDefault="00B047A5" w:rsidP="00B047A5">
      <w:pPr>
        <w:autoSpaceDE w:val="0"/>
        <w:autoSpaceDN w:val="0"/>
        <w:adjustRightInd w:val="0"/>
        <w:spacing w:after="0" w:line="240" w:lineRule="auto"/>
        <w:rPr>
          <w:rFonts w:cstheme="minorHAnsi"/>
          <w:b/>
          <w:sz w:val="28"/>
          <w:szCs w:val="28"/>
        </w:rPr>
        <w:sectPr w:rsidR="00B047A5" w:rsidSect="00B047A5">
          <w:footerReference w:type="default" r:id="rId9"/>
          <w:pgSz w:w="12240" w:h="15840"/>
          <w:pgMar w:top="1440" w:right="1440" w:bottom="1440" w:left="1440" w:header="720" w:footer="720" w:gutter="0"/>
          <w:cols w:space="720"/>
          <w:docGrid w:linePitch="360"/>
        </w:sectPr>
      </w:pPr>
    </w:p>
    <w:p w:rsidR="00B047A5" w:rsidRDefault="00B047A5" w:rsidP="00B047A5">
      <w:pPr>
        <w:autoSpaceDE w:val="0"/>
        <w:autoSpaceDN w:val="0"/>
        <w:adjustRightInd w:val="0"/>
        <w:spacing w:after="0" w:line="240" w:lineRule="auto"/>
        <w:rPr>
          <w:rFonts w:ascii="Helvetica-Bold" w:hAnsi="Helvetica-Bold" w:cs="Helvetica-Bold"/>
          <w:b/>
          <w:bCs/>
          <w:color w:val="000000"/>
          <w:sz w:val="18"/>
          <w:szCs w:val="18"/>
        </w:rPr>
      </w:pPr>
      <w:r>
        <w:rPr>
          <w:rFonts w:ascii="Helvetica-Bold" w:hAnsi="Helvetica-Bold" w:cs="Helvetica-Bold"/>
          <w:b/>
          <w:bCs/>
          <w:color w:val="000000"/>
          <w:sz w:val="18"/>
          <w:szCs w:val="18"/>
        </w:rPr>
        <w:lastRenderedPageBreak/>
        <w:t>DEPARTMENT OF AGRICULTURE</w:t>
      </w:r>
    </w:p>
    <w:p w:rsidR="00B047A5" w:rsidRDefault="00B047A5" w:rsidP="00B047A5">
      <w:pPr>
        <w:autoSpaceDE w:val="0"/>
        <w:autoSpaceDN w:val="0"/>
        <w:adjustRightInd w:val="0"/>
        <w:spacing w:after="0" w:line="240" w:lineRule="auto"/>
        <w:rPr>
          <w:rFonts w:ascii="Helvetica-Bold" w:hAnsi="Helvetica-Bold" w:cs="Helvetica-Bold"/>
          <w:b/>
          <w:bCs/>
          <w:color w:val="000000"/>
          <w:sz w:val="18"/>
          <w:szCs w:val="18"/>
        </w:rPr>
      </w:pPr>
      <w:r>
        <w:rPr>
          <w:rFonts w:ascii="Helvetica-Bold" w:hAnsi="Helvetica-Bold" w:cs="Helvetica-Bold"/>
          <w:b/>
          <w:bCs/>
          <w:color w:val="000000"/>
          <w:sz w:val="18"/>
          <w:szCs w:val="18"/>
        </w:rPr>
        <w:t>Economic Research Service</w:t>
      </w:r>
    </w:p>
    <w:p w:rsidR="00B047A5" w:rsidRDefault="00B047A5" w:rsidP="00B047A5">
      <w:pPr>
        <w:autoSpaceDE w:val="0"/>
        <w:autoSpaceDN w:val="0"/>
        <w:adjustRightInd w:val="0"/>
        <w:spacing w:after="0" w:line="240" w:lineRule="auto"/>
        <w:rPr>
          <w:rFonts w:ascii="Helvetica-Bold" w:hAnsi="Helvetica-Bold" w:cs="Helvetica-Bold"/>
          <w:b/>
          <w:bCs/>
          <w:color w:val="000000"/>
          <w:sz w:val="18"/>
          <w:szCs w:val="18"/>
        </w:rPr>
      </w:pPr>
      <w:r>
        <w:rPr>
          <w:rFonts w:ascii="Helvetica-Bold" w:hAnsi="Helvetica-Bold" w:cs="Helvetica-Bold"/>
          <w:b/>
          <w:bCs/>
          <w:color w:val="000000"/>
          <w:sz w:val="18"/>
          <w:szCs w:val="18"/>
        </w:rPr>
        <w:t xml:space="preserve">Notice of Intent </w:t>
      </w:r>
      <w:proofErr w:type="gramStart"/>
      <w:r>
        <w:rPr>
          <w:rFonts w:ascii="Helvetica-Bold" w:hAnsi="Helvetica-Bold" w:cs="Helvetica-Bold"/>
          <w:b/>
          <w:bCs/>
          <w:color w:val="000000"/>
          <w:sz w:val="18"/>
          <w:szCs w:val="18"/>
        </w:rPr>
        <w:t>To</w:t>
      </w:r>
      <w:proofErr w:type="gramEnd"/>
      <w:r>
        <w:rPr>
          <w:rFonts w:ascii="Helvetica-Bold" w:hAnsi="Helvetica-Bold" w:cs="Helvetica-Bold"/>
          <w:b/>
          <w:bCs/>
          <w:color w:val="000000"/>
          <w:sz w:val="18"/>
          <w:szCs w:val="18"/>
        </w:rPr>
        <w:t xml:space="preserve"> Request New</w:t>
      </w:r>
    </w:p>
    <w:p w:rsidR="00B047A5" w:rsidRDefault="00B047A5" w:rsidP="00B047A5">
      <w:pPr>
        <w:autoSpaceDE w:val="0"/>
        <w:autoSpaceDN w:val="0"/>
        <w:adjustRightInd w:val="0"/>
        <w:spacing w:after="0" w:line="240" w:lineRule="auto"/>
        <w:rPr>
          <w:rFonts w:ascii="Helvetica-Bold" w:hAnsi="Helvetica-Bold" w:cs="Helvetica-Bold"/>
          <w:b/>
          <w:bCs/>
          <w:color w:val="000000"/>
          <w:sz w:val="18"/>
          <w:szCs w:val="18"/>
        </w:rPr>
      </w:pPr>
      <w:r>
        <w:rPr>
          <w:rFonts w:ascii="Helvetica-Bold" w:hAnsi="Helvetica-Bold" w:cs="Helvetica-Bold"/>
          <w:b/>
          <w:bCs/>
          <w:color w:val="000000"/>
          <w:sz w:val="18"/>
          <w:szCs w:val="18"/>
        </w:rPr>
        <w:t>Information Collection</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Helvetica-Bold" w:hAnsi="Helvetica-Bold" w:cs="Helvetica-Bold"/>
          <w:b/>
          <w:bCs/>
          <w:color w:val="000000"/>
          <w:sz w:val="15"/>
          <w:szCs w:val="15"/>
        </w:rPr>
        <w:t>AGENCY</w:t>
      </w:r>
      <w:r>
        <w:rPr>
          <w:rFonts w:ascii="Helvetica-Bold" w:hAnsi="Helvetica-Bold" w:cs="Helvetica-Bold"/>
          <w:b/>
          <w:bCs/>
          <w:color w:val="000000"/>
          <w:sz w:val="18"/>
          <w:szCs w:val="18"/>
        </w:rPr>
        <w:t xml:space="preserve">: </w:t>
      </w:r>
      <w:r>
        <w:rPr>
          <w:rFonts w:ascii="Melior" w:hAnsi="Melior" w:cs="Melior"/>
          <w:color w:val="000000"/>
          <w:sz w:val="18"/>
          <w:szCs w:val="18"/>
        </w:rPr>
        <w:t>Economic Research Service, USDA.</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Helvetica-Bold" w:hAnsi="Helvetica-Bold" w:cs="Helvetica-Bold"/>
          <w:b/>
          <w:bCs/>
          <w:color w:val="000000"/>
          <w:sz w:val="15"/>
          <w:szCs w:val="15"/>
        </w:rPr>
        <w:t>ACTION</w:t>
      </w:r>
      <w:r>
        <w:rPr>
          <w:rFonts w:ascii="Helvetica-Bold" w:hAnsi="Helvetica-Bold" w:cs="Helvetica-Bold"/>
          <w:b/>
          <w:bCs/>
          <w:color w:val="000000"/>
          <w:sz w:val="18"/>
          <w:szCs w:val="18"/>
        </w:rPr>
        <w:t xml:space="preserve">: </w:t>
      </w:r>
      <w:r>
        <w:rPr>
          <w:rFonts w:ascii="Melior" w:hAnsi="Melior" w:cs="Melior"/>
          <w:color w:val="000000"/>
          <w:sz w:val="18"/>
          <w:szCs w:val="18"/>
        </w:rPr>
        <w:t>Notice and request for</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t>comments</w:t>
      </w:r>
      <w:proofErr w:type="gramEnd"/>
      <w:r>
        <w:rPr>
          <w:rFonts w:ascii="Melior" w:hAnsi="Melior" w:cs="Melior"/>
          <w:color w:val="000000"/>
          <w:sz w:val="18"/>
          <w:szCs w:val="18"/>
        </w:rPr>
        <w:t>.</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Helvetica-Bold" w:hAnsi="Helvetica-Bold" w:cs="Helvetica-Bold"/>
          <w:b/>
          <w:bCs/>
          <w:color w:val="000000"/>
          <w:sz w:val="15"/>
          <w:szCs w:val="15"/>
        </w:rPr>
        <w:t>SUMMARY</w:t>
      </w:r>
      <w:r>
        <w:rPr>
          <w:rFonts w:ascii="Helvetica-Bold" w:hAnsi="Helvetica-Bold" w:cs="Helvetica-Bold"/>
          <w:b/>
          <w:bCs/>
          <w:color w:val="000000"/>
          <w:sz w:val="18"/>
          <w:szCs w:val="18"/>
        </w:rPr>
        <w:t xml:space="preserve">: </w:t>
      </w:r>
      <w:r>
        <w:rPr>
          <w:rFonts w:ascii="Melior" w:hAnsi="Melior" w:cs="Melior"/>
          <w:color w:val="000000"/>
          <w:sz w:val="18"/>
          <w:szCs w:val="18"/>
        </w:rPr>
        <w:t>In accordance with the</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Paperwork Reduction Act of 1995 (44 U.S.C. Chapter 35), this notice announces the Economic Research</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Service’s intention to request approval for a new information collection for a</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t>Survey on Rural Community Wealth and Health Care Provision.</w:t>
      </w:r>
      <w:proofErr w:type="gramEnd"/>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Helvetica-Bold" w:hAnsi="Helvetica-Bold" w:cs="Helvetica-Bold"/>
          <w:b/>
          <w:bCs/>
          <w:color w:val="000000"/>
          <w:sz w:val="15"/>
          <w:szCs w:val="15"/>
        </w:rPr>
        <w:t>DATES</w:t>
      </w:r>
      <w:r>
        <w:rPr>
          <w:rFonts w:ascii="Helvetica-Bold" w:hAnsi="Helvetica-Bold" w:cs="Helvetica-Bold"/>
          <w:b/>
          <w:bCs/>
          <w:color w:val="000000"/>
          <w:sz w:val="18"/>
          <w:szCs w:val="18"/>
        </w:rPr>
        <w:t xml:space="preserve">: </w:t>
      </w:r>
      <w:r>
        <w:rPr>
          <w:rFonts w:ascii="Melior" w:hAnsi="Melior" w:cs="Melior"/>
          <w:color w:val="000000"/>
          <w:sz w:val="18"/>
          <w:szCs w:val="18"/>
        </w:rPr>
        <w:t>Comments must be received by August 16, 2013 to be assured of consideration.</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Helvetica-Bold" w:hAnsi="Helvetica-Bold" w:cs="Helvetica-Bold"/>
          <w:b/>
          <w:bCs/>
          <w:color w:val="000000"/>
          <w:sz w:val="15"/>
          <w:szCs w:val="15"/>
        </w:rPr>
        <w:t>ADDRESSES</w:t>
      </w:r>
      <w:r>
        <w:rPr>
          <w:rFonts w:ascii="Helvetica-Bold" w:hAnsi="Helvetica-Bold" w:cs="Helvetica-Bold"/>
          <w:b/>
          <w:bCs/>
          <w:color w:val="000000"/>
          <w:sz w:val="18"/>
          <w:szCs w:val="18"/>
        </w:rPr>
        <w:t xml:space="preserve">: </w:t>
      </w:r>
      <w:r>
        <w:rPr>
          <w:rFonts w:ascii="Melior" w:hAnsi="Melior" w:cs="Melior"/>
          <w:color w:val="000000"/>
          <w:sz w:val="18"/>
          <w:szCs w:val="18"/>
        </w:rPr>
        <w:t xml:space="preserve">Address all comments concerning this notice to John Pender, Resource and Rural Economics Division, Economic Research Service, U.S. Department of Agriculture, 1400 Independence Ave. SW., Mailstop 1800, </w:t>
      </w:r>
      <w:proofErr w:type="gramStart"/>
      <w:r>
        <w:rPr>
          <w:rFonts w:ascii="Melior" w:hAnsi="Melior" w:cs="Melior"/>
          <w:color w:val="000000"/>
          <w:sz w:val="18"/>
          <w:szCs w:val="18"/>
        </w:rPr>
        <w:t>Washington</w:t>
      </w:r>
      <w:proofErr w:type="gramEnd"/>
      <w:r>
        <w:rPr>
          <w:rFonts w:ascii="Melior" w:hAnsi="Melior" w:cs="Melior"/>
          <w:color w:val="000000"/>
          <w:sz w:val="18"/>
          <w:szCs w:val="18"/>
        </w:rPr>
        <w:t>, DC 20250–0002.</w:t>
      </w:r>
    </w:p>
    <w:p w:rsidR="00B047A5" w:rsidRDefault="00B047A5" w:rsidP="00B047A5">
      <w:pPr>
        <w:autoSpaceDE w:val="0"/>
        <w:autoSpaceDN w:val="0"/>
        <w:adjustRightInd w:val="0"/>
        <w:spacing w:after="0" w:line="240" w:lineRule="auto"/>
        <w:rPr>
          <w:rFonts w:ascii="Melior-Italic" w:hAnsi="Melior-Italic" w:cs="Melior-Italic"/>
          <w:i/>
          <w:iCs/>
          <w:color w:val="000000"/>
          <w:sz w:val="18"/>
          <w:szCs w:val="18"/>
        </w:rPr>
      </w:pPr>
      <w:r>
        <w:rPr>
          <w:rFonts w:ascii="Melior" w:hAnsi="Melior" w:cs="Melior"/>
          <w:color w:val="000000"/>
          <w:sz w:val="18"/>
          <w:szCs w:val="18"/>
        </w:rPr>
        <w:t xml:space="preserve">Comments may also be submitted via fax to the attention of John Pender at 202–694–5773 or via email to </w:t>
      </w:r>
      <w:r>
        <w:rPr>
          <w:rFonts w:ascii="Melior-Italic" w:hAnsi="Melior-Italic" w:cs="Melior-Italic"/>
          <w:i/>
          <w:iCs/>
          <w:color w:val="000000"/>
          <w:sz w:val="18"/>
          <w:szCs w:val="18"/>
        </w:rPr>
        <w:t>jpender@ers.usda.gov.</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Helvetica-Bold" w:hAnsi="Helvetica-Bold" w:cs="Helvetica-Bold"/>
          <w:b/>
          <w:bCs/>
          <w:color w:val="000000"/>
          <w:sz w:val="15"/>
          <w:szCs w:val="15"/>
        </w:rPr>
        <w:t>FOR FURTHER INFORMATION CONTACT</w:t>
      </w:r>
      <w:r>
        <w:rPr>
          <w:rFonts w:ascii="Helvetica-Bold" w:hAnsi="Helvetica-Bold" w:cs="Helvetica-Bold"/>
          <w:b/>
          <w:bCs/>
          <w:color w:val="000000"/>
          <w:sz w:val="18"/>
          <w:szCs w:val="18"/>
        </w:rPr>
        <w:t xml:space="preserve">: </w:t>
      </w:r>
      <w:r>
        <w:rPr>
          <w:rFonts w:ascii="Melior" w:hAnsi="Melior" w:cs="Melior"/>
          <w:color w:val="000000"/>
          <w:sz w:val="18"/>
          <w:szCs w:val="18"/>
        </w:rPr>
        <w:t>John</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t xml:space="preserve">Pender, </w:t>
      </w:r>
      <w:r>
        <w:rPr>
          <w:rFonts w:ascii="Melior-Italic" w:hAnsi="Melior-Italic" w:cs="Melior-Italic"/>
          <w:i/>
          <w:iCs/>
          <w:color w:val="000000"/>
          <w:sz w:val="18"/>
          <w:szCs w:val="18"/>
        </w:rPr>
        <w:t>jpender@ers.usda.gov.</w:t>
      </w:r>
      <w:proofErr w:type="gramEnd"/>
      <w:r>
        <w:rPr>
          <w:rFonts w:ascii="Melior-Italic" w:hAnsi="Melior-Italic" w:cs="Melior-Italic"/>
          <w:i/>
          <w:iCs/>
          <w:color w:val="000000"/>
          <w:sz w:val="18"/>
          <w:szCs w:val="18"/>
        </w:rPr>
        <w:t xml:space="preserve"> </w:t>
      </w:r>
      <w:proofErr w:type="gramStart"/>
      <w:r>
        <w:rPr>
          <w:rFonts w:ascii="Melior" w:hAnsi="Melior" w:cs="Melior"/>
          <w:color w:val="000000"/>
          <w:sz w:val="18"/>
          <w:szCs w:val="18"/>
        </w:rPr>
        <w:t>Tel. 202–694–5568.</w:t>
      </w:r>
      <w:proofErr w:type="gramEnd"/>
    </w:p>
    <w:p w:rsidR="00B047A5" w:rsidRDefault="00B047A5" w:rsidP="00B047A5">
      <w:pPr>
        <w:autoSpaceDE w:val="0"/>
        <w:autoSpaceDN w:val="0"/>
        <w:adjustRightInd w:val="0"/>
        <w:spacing w:after="0" w:line="240" w:lineRule="auto"/>
        <w:rPr>
          <w:rFonts w:ascii="Helvetica-Bold" w:hAnsi="Helvetica-Bold" w:cs="Helvetica-Bold"/>
          <w:b/>
          <w:bCs/>
          <w:color w:val="000000"/>
          <w:sz w:val="18"/>
          <w:szCs w:val="18"/>
        </w:rPr>
      </w:pPr>
      <w:r>
        <w:rPr>
          <w:rFonts w:ascii="Helvetica-Bold" w:hAnsi="Helvetica-Bold" w:cs="Helvetica-Bold"/>
          <w:b/>
          <w:bCs/>
          <w:color w:val="000000"/>
          <w:sz w:val="15"/>
          <w:szCs w:val="15"/>
        </w:rPr>
        <w:t>SUPPLEMENTARY INFORMATION</w:t>
      </w:r>
      <w:r>
        <w:rPr>
          <w:rFonts w:ascii="Helvetica-Bold" w:hAnsi="Helvetica-Bold" w:cs="Helvetica-Bold"/>
          <w:b/>
          <w:bCs/>
          <w:color w:val="000000"/>
          <w:sz w:val="18"/>
          <w:szCs w:val="18"/>
        </w:rPr>
        <w:t>:</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Title: </w:t>
      </w:r>
      <w:r>
        <w:rPr>
          <w:rFonts w:ascii="Melior" w:hAnsi="Melior" w:cs="Melior"/>
          <w:color w:val="000000"/>
          <w:sz w:val="18"/>
          <w:szCs w:val="18"/>
        </w:rPr>
        <w:t>Survey on Rural Community</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t>Wealth and Health Care Provision.</w:t>
      </w:r>
      <w:proofErr w:type="gramEnd"/>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OMB Number: </w:t>
      </w:r>
      <w:r>
        <w:rPr>
          <w:rFonts w:ascii="Melior" w:hAnsi="Melior" w:cs="Melior"/>
          <w:color w:val="000000"/>
          <w:sz w:val="18"/>
          <w:szCs w:val="18"/>
        </w:rPr>
        <w:t>To be assigned by</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t>OMB.</w:t>
      </w:r>
      <w:proofErr w:type="gramEnd"/>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Expiration Date: </w:t>
      </w:r>
      <w:r>
        <w:rPr>
          <w:rFonts w:ascii="Melior" w:hAnsi="Melior" w:cs="Melior"/>
          <w:color w:val="000000"/>
          <w:sz w:val="18"/>
          <w:szCs w:val="18"/>
        </w:rPr>
        <w:t>Three years from the date of approval.</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Type of Request: </w:t>
      </w:r>
      <w:r>
        <w:rPr>
          <w:rFonts w:ascii="Melior" w:hAnsi="Melior" w:cs="Melior"/>
          <w:color w:val="000000"/>
          <w:sz w:val="18"/>
          <w:szCs w:val="18"/>
        </w:rPr>
        <w:t>New information</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t>collection</w:t>
      </w:r>
      <w:proofErr w:type="gramEnd"/>
      <w:r>
        <w:rPr>
          <w:rFonts w:ascii="Melior" w:hAnsi="Melior" w:cs="Melior"/>
          <w:color w:val="000000"/>
          <w:sz w:val="18"/>
          <w:szCs w:val="18"/>
        </w:rPr>
        <w:t>.</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Abstract: </w:t>
      </w:r>
      <w:r>
        <w:rPr>
          <w:rFonts w:ascii="Melior" w:hAnsi="Melior" w:cs="Melior"/>
          <w:color w:val="000000"/>
          <w:sz w:val="18"/>
          <w:szCs w:val="18"/>
        </w:rPr>
        <w:t>The primary purpose of the proposed survey is to collect</w:t>
      </w:r>
    </w:p>
    <w:p w:rsidR="00B047A5" w:rsidRDefault="00B047A5" w:rsidP="00B047A5">
      <w:pPr>
        <w:autoSpaceDE w:val="0"/>
        <w:autoSpaceDN w:val="0"/>
        <w:adjustRightInd w:val="0"/>
        <w:spacing w:after="0" w:line="240" w:lineRule="auto"/>
        <w:rPr>
          <w:rFonts w:ascii="Helvetica" w:hAnsi="Helvetica" w:cs="Helvetica"/>
          <w:color w:val="FFFFFF"/>
          <w:sz w:val="10"/>
          <w:szCs w:val="10"/>
        </w:rPr>
      </w:pPr>
      <w:proofErr w:type="gramStart"/>
      <w:r>
        <w:rPr>
          <w:rFonts w:ascii="Melior" w:hAnsi="Melior" w:cs="Melior"/>
          <w:color w:val="000000"/>
          <w:sz w:val="18"/>
          <w:szCs w:val="18"/>
        </w:rPr>
        <w:t>information</w:t>
      </w:r>
      <w:proofErr w:type="gramEnd"/>
      <w:r>
        <w:rPr>
          <w:rFonts w:ascii="Melior" w:hAnsi="Melior" w:cs="Melior"/>
          <w:color w:val="000000"/>
          <w:sz w:val="18"/>
          <w:szCs w:val="18"/>
        </w:rPr>
        <w:t xml:space="preserve"> on how rural small towns can attract and retain primary health care providers, considering the broad range of assets and amenities that may attract providers. The secondary purpose is to provide information </w:t>
      </w:r>
      <w:proofErr w:type="spellStart"/>
      <w:r>
        <w:rPr>
          <w:rFonts w:ascii="Melior" w:hAnsi="Melior" w:cs="Melior"/>
          <w:color w:val="000000"/>
          <w:sz w:val="18"/>
          <w:szCs w:val="18"/>
        </w:rPr>
        <w:t>on</w:t>
      </w:r>
      <w:r>
        <w:rPr>
          <w:rFonts w:ascii="Helvetica" w:hAnsi="Helvetica" w:cs="Helvetica"/>
          <w:color w:val="FFFFFF"/>
          <w:sz w:val="13"/>
          <w:szCs w:val="13"/>
        </w:rPr>
        <w:t>VerDate</w:t>
      </w:r>
      <w:proofErr w:type="spellEnd"/>
      <w:r>
        <w:rPr>
          <w:rFonts w:ascii="Helvetica" w:hAnsi="Helvetica" w:cs="Helvetica"/>
          <w:color w:val="FFFFFF"/>
          <w:sz w:val="13"/>
          <w:szCs w:val="13"/>
        </w:rPr>
        <w:t xml:space="preserve"> Mar&lt;15&gt;2010 20:38 Jun 14, 2013 </w:t>
      </w:r>
      <w:proofErr w:type="spellStart"/>
      <w:r>
        <w:rPr>
          <w:rFonts w:ascii="Helvetica" w:hAnsi="Helvetica" w:cs="Helvetica"/>
          <w:color w:val="FFFFFF"/>
          <w:sz w:val="13"/>
          <w:szCs w:val="13"/>
        </w:rPr>
        <w:t>Jkt</w:t>
      </w:r>
      <w:proofErr w:type="spellEnd"/>
      <w:r>
        <w:rPr>
          <w:rFonts w:ascii="Helvetica" w:hAnsi="Helvetica" w:cs="Helvetica"/>
          <w:color w:val="FFFFFF"/>
          <w:sz w:val="13"/>
          <w:szCs w:val="13"/>
        </w:rPr>
        <w:t xml:space="preserve"> 229001 PO 00000 </w:t>
      </w:r>
      <w:proofErr w:type="spellStart"/>
      <w:r>
        <w:rPr>
          <w:rFonts w:ascii="Helvetica" w:hAnsi="Helvetica" w:cs="Helvetica"/>
          <w:color w:val="FFFFFF"/>
          <w:sz w:val="13"/>
          <w:szCs w:val="13"/>
        </w:rPr>
        <w:t>Frm</w:t>
      </w:r>
      <w:proofErr w:type="spellEnd"/>
      <w:r>
        <w:rPr>
          <w:rFonts w:ascii="Helvetica" w:hAnsi="Helvetica" w:cs="Helvetica"/>
          <w:color w:val="FFFFFF"/>
          <w:sz w:val="13"/>
          <w:szCs w:val="13"/>
        </w:rPr>
        <w:t xml:space="preserve"> 00001 </w:t>
      </w:r>
      <w:proofErr w:type="spellStart"/>
      <w:r>
        <w:rPr>
          <w:rFonts w:ascii="Helvetica" w:hAnsi="Helvetica" w:cs="Helvetica"/>
          <w:color w:val="FFFFFF"/>
          <w:sz w:val="13"/>
          <w:szCs w:val="13"/>
        </w:rPr>
        <w:t>Fmt</w:t>
      </w:r>
      <w:proofErr w:type="spellEnd"/>
      <w:r>
        <w:rPr>
          <w:rFonts w:ascii="Helvetica" w:hAnsi="Helvetica" w:cs="Helvetica"/>
          <w:color w:val="FFFFFF"/>
          <w:sz w:val="13"/>
          <w:szCs w:val="13"/>
        </w:rPr>
        <w:t xml:space="preserve"> 4703 </w:t>
      </w:r>
      <w:proofErr w:type="spellStart"/>
      <w:r>
        <w:rPr>
          <w:rFonts w:ascii="Helvetica" w:hAnsi="Helvetica" w:cs="Helvetica"/>
          <w:color w:val="FFFFFF"/>
          <w:sz w:val="13"/>
          <w:szCs w:val="13"/>
        </w:rPr>
        <w:t>Sfmt</w:t>
      </w:r>
      <w:proofErr w:type="spellEnd"/>
      <w:r>
        <w:rPr>
          <w:rFonts w:ascii="Helvetica" w:hAnsi="Helvetica" w:cs="Helvetica"/>
          <w:color w:val="FFFFFF"/>
          <w:sz w:val="13"/>
          <w:szCs w:val="13"/>
        </w:rPr>
        <w:t xml:space="preserve"> 4703 E:\FR\FM\17JNN1.SGM 17JNN1 </w:t>
      </w:r>
      <w:proofErr w:type="spellStart"/>
      <w:r>
        <w:rPr>
          <w:rFonts w:ascii="Helvetica" w:hAnsi="Helvetica" w:cs="Helvetica"/>
          <w:color w:val="FFFFFF"/>
          <w:sz w:val="10"/>
          <w:szCs w:val="10"/>
        </w:rPr>
        <w:t>mstockstill</w:t>
      </w:r>
      <w:proofErr w:type="spellEnd"/>
      <w:r>
        <w:rPr>
          <w:rFonts w:ascii="Helvetica" w:hAnsi="Helvetica" w:cs="Helvetica"/>
          <w:color w:val="FFFFFF"/>
          <w:sz w:val="10"/>
          <w:szCs w:val="10"/>
        </w:rPr>
        <w:t xml:space="preserve"> on DSK4VPTVN1PROD with NOTICES</w:t>
      </w:r>
    </w:p>
    <w:p w:rsidR="00B047A5" w:rsidRDefault="00B047A5" w:rsidP="00B047A5">
      <w:pPr>
        <w:autoSpaceDE w:val="0"/>
        <w:autoSpaceDN w:val="0"/>
        <w:adjustRightInd w:val="0"/>
        <w:spacing w:after="0" w:line="240" w:lineRule="auto"/>
        <w:rPr>
          <w:rFonts w:ascii="Melior-Bold" w:hAnsi="Melior-Bold" w:cs="Melior-Bold"/>
          <w:b/>
          <w:bCs/>
          <w:color w:val="000000"/>
        </w:rPr>
      </w:pPr>
      <w:r>
        <w:rPr>
          <w:rFonts w:ascii="Melior-Bold" w:hAnsi="Melior-Bold" w:cs="Melior-Bold"/>
          <w:b/>
          <w:bCs/>
          <w:color w:val="000000"/>
          <w:sz w:val="20"/>
          <w:szCs w:val="20"/>
        </w:rPr>
        <w:t xml:space="preserve">Federal Register </w:t>
      </w:r>
      <w:r>
        <w:rPr>
          <w:rFonts w:ascii="Melior" w:hAnsi="Melior" w:cs="Melior"/>
          <w:color w:val="000000"/>
          <w:sz w:val="20"/>
          <w:szCs w:val="20"/>
        </w:rPr>
        <w:t xml:space="preserve">/Vol. 78, No. 116 /Monday, June 17, 2013 /Notices </w:t>
      </w:r>
      <w:r>
        <w:rPr>
          <w:rFonts w:ascii="Melior-Bold" w:hAnsi="Melior-Bold" w:cs="Melior-Bold"/>
          <w:b/>
          <w:bCs/>
          <w:color w:val="000000"/>
        </w:rPr>
        <w:t>36161</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lastRenderedPageBreak/>
        <w:t>how</w:t>
      </w:r>
      <w:proofErr w:type="gramEnd"/>
      <w:r>
        <w:rPr>
          <w:rFonts w:ascii="Melior" w:hAnsi="Melior" w:cs="Melior"/>
          <w:color w:val="000000"/>
          <w:sz w:val="18"/>
          <w:szCs w:val="18"/>
        </w:rPr>
        <w:t xml:space="preserve"> improving health care may affect economic development prospects of rural small towns. The Economic Research Service (ERS) intends to address these purposes by collecting primary data from health care providers and community leaders in 150 rural small towns in nine states in three regions: Mississippi, Louisiana, and Arkansas (representing the Mississippi Delta region); Texas, Oklahoma, and Kansas (Southern Great Plains region); and Iowa, Minnesota, and Wisconsin (Upper Midwest region).</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This information will contribute to improved understanding of the roles that rural communities play in attracting and retaining health care providers, and of how improved health care provision contributes to economic development of these communities. Such understanding</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is critical to develop effective policies and local strategies to address the challenge of inadequate access to health care services in many rural communities, and to realize the opportunities offered by improved health care provision to attract and keep residents and businesses in rural areas, provide employment, and improve the</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t>quality</w:t>
      </w:r>
      <w:proofErr w:type="gramEnd"/>
      <w:r>
        <w:rPr>
          <w:rFonts w:ascii="Melior" w:hAnsi="Melior" w:cs="Melior"/>
          <w:color w:val="000000"/>
          <w:sz w:val="18"/>
          <w:szCs w:val="18"/>
        </w:rPr>
        <w:t xml:space="preserve"> of life.</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The study will focus on small rural towns (population 2,500 to 20,000) because it is expected that the ability to attract and retain health care providers is most likely to be affected by local assets and amenities for such towns. The universe of small towns in the three regions selected includes about 9 percent of the rural population of the United States and represents considerable diversity in levels of economic development and access to health care services. The set of 150 small towns included in the study will be selected using a probability based sample, so that the information collected will be representative of this universe of rural small towns in the nine states.</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Although much research has investigated the problems of attracting and retaining health care providers in rural areas, very little research addresses the relationships between economic development and health care provision</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lastRenderedPageBreak/>
        <w:t>in</w:t>
      </w:r>
      <w:proofErr w:type="gramEnd"/>
      <w:r>
        <w:rPr>
          <w:rFonts w:ascii="Melior" w:hAnsi="Melior" w:cs="Melior"/>
          <w:color w:val="000000"/>
          <w:sz w:val="18"/>
          <w:szCs w:val="18"/>
        </w:rPr>
        <w:t xml:space="preserve"> rural areas. Virtually no research addresses the issue from the perspective of rural communities themselves, investigating whether and how rural communities seek to attract and keep health care providers, and how they think this influences their economic development prospects. The proposed information collection will address this information gap. It will consist of three phases: (1) Key informant telephone interviews with select local government leaders and health care administrators in the study towns; (2) a dual mode telephone/mail survey of primary health care providers in the towns; and (3) follow up focus groups and/or in-person key informant interviews in a subset of selected towns. The information collected will be augmented by publicly available secondary information on health care provision and economic development in the study regions.</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The objectives of the initial key informant interviews with local government leaders and health care administrators are to collect or verify information assembled from secondary sources on (i) which health care services and providers are available in the town, (ii) how provision of health care services in the town has changed in the past five years, (iii) the extent to which recruiting and retaining health care providers is seen as a priority by leaders in the town, (iv) what efforts have been made to recruit and retain providers, and (v) perceived impacts of these efforts on aspects of economic development in the town. Key informant interviews will be conducted with up to four individuals, including at least one representative of the local government—either the chief executive officer (mayor or city/town manager) or a knowledgeable representative designated by that officer—and the administrator of at least one primary health care facility (hospital or clinic), if such facilities are available, in the town. If a hospital or clinic is not available in the town, other informants with knowledge about health care in the town will be sought. Semi-structured interviews will be used, and are</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 w:hAnsi="Melior" w:cs="Melior"/>
          <w:color w:val="000000"/>
          <w:sz w:val="18"/>
          <w:szCs w:val="18"/>
        </w:rPr>
        <w:lastRenderedPageBreak/>
        <w:t>expected</w:t>
      </w:r>
      <w:proofErr w:type="gramEnd"/>
      <w:r>
        <w:rPr>
          <w:rFonts w:ascii="Melior" w:hAnsi="Melior" w:cs="Melior"/>
          <w:color w:val="000000"/>
          <w:sz w:val="18"/>
          <w:szCs w:val="18"/>
        </w:rPr>
        <w:t xml:space="preserve"> to last up to 60 minutes each.</w:t>
      </w:r>
      <w:r w:rsidR="004A654A">
        <w:rPr>
          <w:rFonts w:ascii="Melior" w:hAnsi="Melior" w:cs="Melior"/>
          <w:color w:val="000000"/>
          <w:sz w:val="18"/>
          <w:szCs w:val="18"/>
        </w:rPr>
        <w:t xml:space="preserve"> </w:t>
      </w:r>
      <w:r>
        <w:rPr>
          <w:rFonts w:ascii="Melior" w:hAnsi="Melior" w:cs="Melior"/>
          <w:color w:val="000000"/>
          <w:sz w:val="18"/>
          <w:szCs w:val="18"/>
        </w:rPr>
        <w:t>The key informant interviews will be</w:t>
      </w:r>
      <w:r w:rsidR="004A654A">
        <w:rPr>
          <w:rFonts w:ascii="Melior" w:hAnsi="Melior" w:cs="Melior"/>
          <w:color w:val="000000"/>
          <w:sz w:val="18"/>
          <w:szCs w:val="18"/>
        </w:rPr>
        <w:t xml:space="preserve"> </w:t>
      </w:r>
      <w:r>
        <w:rPr>
          <w:rFonts w:ascii="Melior" w:hAnsi="Melior" w:cs="Melior"/>
          <w:color w:val="000000"/>
          <w:sz w:val="18"/>
          <w:szCs w:val="18"/>
        </w:rPr>
        <w:t>conducted before the telephone/mail</w:t>
      </w:r>
      <w:r w:rsidR="004A654A">
        <w:rPr>
          <w:rFonts w:ascii="Melior" w:hAnsi="Melior" w:cs="Melior"/>
          <w:color w:val="000000"/>
          <w:sz w:val="18"/>
          <w:szCs w:val="18"/>
        </w:rPr>
        <w:t xml:space="preserve"> </w:t>
      </w:r>
      <w:r>
        <w:rPr>
          <w:rFonts w:ascii="Melior" w:hAnsi="Melior" w:cs="Melior"/>
          <w:color w:val="000000"/>
          <w:sz w:val="18"/>
          <w:szCs w:val="18"/>
        </w:rPr>
        <w:t>survey of health care providers, since</w:t>
      </w:r>
      <w:r w:rsidR="004A654A">
        <w:rPr>
          <w:rFonts w:ascii="Melior" w:hAnsi="Melior" w:cs="Melior"/>
          <w:color w:val="000000"/>
          <w:sz w:val="18"/>
          <w:szCs w:val="18"/>
        </w:rPr>
        <w:t xml:space="preserve"> </w:t>
      </w:r>
      <w:r>
        <w:rPr>
          <w:rFonts w:ascii="Melior" w:hAnsi="Melior" w:cs="Melior"/>
          <w:color w:val="000000"/>
          <w:sz w:val="18"/>
          <w:szCs w:val="18"/>
        </w:rPr>
        <w:t>they will help to validate the sample</w:t>
      </w:r>
      <w:r w:rsidR="004A654A">
        <w:rPr>
          <w:rFonts w:ascii="Melior" w:hAnsi="Melior" w:cs="Melior"/>
          <w:color w:val="000000"/>
          <w:sz w:val="18"/>
          <w:szCs w:val="18"/>
        </w:rPr>
        <w:t xml:space="preserve"> </w:t>
      </w:r>
      <w:r>
        <w:rPr>
          <w:rFonts w:ascii="Melior" w:hAnsi="Melior" w:cs="Melior"/>
          <w:color w:val="000000"/>
          <w:sz w:val="18"/>
          <w:szCs w:val="18"/>
        </w:rPr>
        <w:t>frame of providers and may yield</w:t>
      </w:r>
      <w:r w:rsidR="004A654A">
        <w:rPr>
          <w:rFonts w:ascii="Melior" w:hAnsi="Melior" w:cs="Melior"/>
          <w:color w:val="000000"/>
          <w:sz w:val="18"/>
          <w:szCs w:val="18"/>
        </w:rPr>
        <w:t xml:space="preserve"> </w:t>
      </w:r>
      <w:r>
        <w:rPr>
          <w:rFonts w:ascii="Melior" w:hAnsi="Melior" w:cs="Melior"/>
          <w:color w:val="000000"/>
          <w:sz w:val="18"/>
          <w:szCs w:val="18"/>
        </w:rPr>
        <w:t>information useful in the design of the</w:t>
      </w:r>
      <w:r w:rsidR="004A654A">
        <w:rPr>
          <w:rFonts w:ascii="Melior" w:hAnsi="Melior" w:cs="Melior"/>
          <w:color w:val="000000"/>
          <w:sz w:val="18"/>
          <w:szCs w:val="18"/>
        </w:rPr>
        <w:t xml:space="preserve"> </w:t>
      </w:r>
      <w:r>
        <w:rPr>
          <w:rFonts w:ascii="Melior" w:hAnsi="Melior" w:cs="Melior"/>
          <w:color w:val="000000"/>
          <w:sz w:val="18"/>
          <w:szCs w:val="18"/>
        </w:rPr>
        <w:t>provider survey.</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The dual mode telephone/mail survey</w:t>
      </w:r>
      <w:r w:rsidR="004A654A">
        <w:rPr>
          <w:rFonts w:ascii="Melior" w:hAnsi="Melior" w:cs="Melior"/>
          <w:color w:val="000000"/>
          <w:sz w:val="18"/>
          <w:szCs w:val="18"/>
        </w:rPr>
        <w:t xml:space="preserve"> </w:t>
      </w:r>
      <w:r>
        <w:rPr>
          <w:rFonts w:ascii="Melior" w:hAnsi="Melior" w:cs="Melior"/>
          <w:color w:val="000000"/>
          <w:sz w:val="18"/>
          <w:szCs w:val="18"/>
        </w:rPr>
        <w:t>will investigate the perspective of</w:t>
      </w:r>
      <w:r w:rsidR="004A654A">
        <w:rPr>
          <w:rFonts w:ascii="Melior" w:hAnsi="Melior" w:cs="Melior"/>
          <w:color w:val="000000"/>
          <w:sz w:val="18"/>
          <w:szCs w:val="18"/>
        </w:rPr>
        <w:t xml:space="preserve"> </w:t>
      </w:r>
      <w:r>
        <w:rPr>
          <w:rFonts w:ascii="Melior" w:hAnsi="Melior" w:cs="Melior"/>
          <w:color w:val="000000"/>
          <w:sz w:val="18"/>
          <w:szCs w:val="18"/>
        </w:rPr>
        <w:t>primary health care providers in rural</w:t>
      </w:r>
      <w:r w:rsidR="004A654A">
        <w:rPr>
          <w:rFonts w:ascii="Melior" w:hAnsi="Melior" w:cs="Melior"/>
          <w:color w:val="000000"/>
          <w:sz w:val="18"/>
          <w:szCs w:val="18"/>
        </w:rPr>
        <w:t xml:space="preserve"> </w:t>
      </w:r>
      <w:r>
        <w:rPr>
          <w:rFonts w:ascii="Melior" w:hAnsi="Melior" w:cs="Melior"/>
          <w:color w:val="000000"/>
          <w:sz w:val="18"/>
          <w:szCs w:val="18"/>
        </w:rPr>
        <w:t>small towns on the factors affecting</w:t>
      </w:r>
      <w:r w:rsidR="004A654A">
        <w:rPr>
          <w:rFonts w:ascii="Melior" w:hAnsi="Melior" w:cs="Melior"/>
          <w:color w:val="000000"/>
          <w:sz w:val="18"/>
          <w:szCs w:val="18"/>
        </w:rPr>
        <w:t xml:space="preserve"> </w:t>
      </w:r>
      <w:r>
        <w:rPr>
          <w:rFonts w:ascii="Melior" w:hAnsi="Melior" w:cs="Melior"/>
          <w:color w:val="000000"/>
          <w:sz w:val="18"/>
          <w:szCs w:val="18"/>
        </w:rPr>
        <w:t>their decisions to locate, continue and</w:t>
      </w:r>
      <w:r w:rsidR="004A654A">
        <w:rPr>
          <w:rFonts w:ascii="Melior" w:hAnsi="Melior" w:cs="Melior"/>
          <w:color w:val="000000"/>
          <w:sz w:val="18"/>
          <w:szCs w:val="18"/>
        </w:rPr>
        <w:t xml:space="preserve"> </w:t>
      </w:r>
      <w:r>
        <w:rPr>
          <w:rFonts w:ascii="Melior" w:hAnsi="Melior" w:cs="Melior"/>
          <w:color w:val="000000"/>
          <w:sz w:val="18"/>
          <w:szCs w:val="18"/>
        </w:rPr>
        <w:t>change their operations in these rural</w:t>
      </w:r>
      <w:r w:rsidR="004A654A">
        <w:rPr>
          <w:rFonts w:ascii="Melior" w:hAnsi="Melior" w:cs="Melior"/>
          <w:color w:val="000000"/>
          <w:sz w:val="18"/>
          <w:szCs w:val="18"/>
        </w:rPr>
        <w:t xml:space="preserve"> </w:t>
      </w:r>
      <w:r>
        <w:rPr>
          <w:rFonts w:ascii="Melior" w:hAnsi="Melior" w:cs="Melior"/>
          <w:color w:val="000000"/>
          <w:sz w:val="18"/>
          <w:szCs w:val="18"/>
        </w:rPr>
        <w:t>communities, including the influence of</w:t>
      </w:r>
      <w:r w:rsidR="004A654A">
        <w:rPr>
          <w:rFonts w:ascii="Melior" w:hAnsi="Melior" w:cs="Melior"/>
          <w:color w:val="000000"/>
          <w:sz w:val="18"/>
          <w:szCs w:val="18"/>
        </w:rPr>
        <w:t xml:space="preserve"> </w:t>
      </w:r>
      <w:r>
        <w:rPr>
          <w:rFonts w:ascii="Melior" w:hAnsi="Melior" w:cs="Melior"/>
          <w:color w:val="000000"/>
          <w:sz w:val="18"/>
          <w:szCs w:val="18"/>
        </w:rPr>
        <w:t>community assets and amenities. The</w:t>
      </w:r>
      <w:r w:rsidR="004A654A">
        <w:rPr>
          <w:rFonts w:ascii="Melior" w:hAnsi="Melior" w:cs="Melior"/>
          <w:color w:val="000000"/>
          <w:sz w:val="18"/>
          <w:szCs w:val="18"/>
        </w:rPr>
        <w:t xml:space="preserve"> </w:t>
      </w:r>
      <w:r>
        <w:rPr>
          <w:rFonts w:ascii="Melior" w:hAnsi="Melior" w:cs="Melior"/>
          <w:color w:val="000000"/>
          <w:sz w:val="18"/>
          <w:szCs w:val="18"/>
        </w:rPr>
        <w:t>target population of health care</w:t>
      </w:r>
      <w:r w:rsidR="004A654A">
        <w:rPr>
          <w:rFonts w:ascii="Melior" w:hAnsi="Melior" w:cs="Melior"/>
          <w:color w:val="000000"/>
          <w:sz w:val="18"/>
          <w:szCs w:val="18"/>
        </w:rPr>
        <w:t xml:space="preserve"> </w:t>
      </w:r>
      <w:r>
        <w:rPr>
          <w:rFonts w:ascii="Melior" w:hAnsi="Melior" w:cs="Melior"/>
          <w:color w:val="000000"/>
          <w:sz w:val="18"/>
          <w:szCs w:val="18"/>
        </w:rPr>
        <w:t>providers includes primary care</w:t>
      </w:r>
      <w:r w:rsidR="004A654A">
        <w:rPr>
          <w:rFonts w:ascii="Melior" w:hAnsi="Melior" w:cs="Melior"/>
          <w:color w:val="000000"/>
          <w:sz w:val="18"/>
          <w:szCs w:val="18"/>
        </w:rPr>
        <w:t xml:space="preserve"> </w:t>
      </w:r>
      <w:r>
        <w:rPr>
          <w:rFonts w:ascii="Melior" w:hAnsi="Melior" w:cs="Melior"/>
          <w:color w:val="000000"/>
          <w:sz w:val="18"/>
          <w:szCs w:val="18"/>
        </w:rPr>
        <w:t>physicians, physician assistants, nurse</w:t>
      </w:r>
      <w:r w:rsidR="004A654A">
        <w:rPr>
          <w:rFonts w:ascii="Melior" w:hAnsi="Melior" w:cs="Melior"/>
          <w:color w:val="000000"/>
          <w:sz w:val="18"/>
          <w:szCs w:val="18"/>
        </w:rPr>
        <w:t xml:space="preserve"> </w:t>
      </w:r>
      <w:r>
        <w:rPr>
          <w:rFonts w:ascii="Melior" w:hAnsi="Melior" w:cs="Melior"/>
          <w:color w:val="000000"/>
          <w:sz w:val="18"/>
          <w:szCs w:val="18"/>
        </w:rPr>
        <w:t>practitioners, certified nurse midwives,</w:t>
      </w:r>
      <w:r w:rsidR="004A654A">
        <w:rPr>
          <w:rFonts w:ascii="Melior" w:hAnsi="Melior" w:cs="Melior"/>
          <w:color w:val="000000"/>
          <w:sz w:val="18"/>
          <w:szCs w:val="18"/>
        </w:rPr>
        <w:t xml:space="preserve"> </w:t>
      </w:r>
      <w:r>
        <w:rPr>
          <w:rFonts w:ascii="Melior" w:hAnsi="Melior" w:cs="Melior"/>
          <w:color w:val="000000"/>
          <w:sz w:val="18"/>
          <w:szCs w:val="18"/>
        </w:rPr>
        <w:t>and dentists. A random sample of up to</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8 health care providers will be surveyed</w:t>
      </w:r>
      <w:r w:rsidR="004A654A">
        <w:rPr>
          <w:rFonts w:ascii="Melior" w:hAnsi="Melior" w:cs="Melior"/>
          <w:color w:val="000000"/>
          <w:sz w:val="18"/>
          <w:szCs w:val="18"/>
        </w:rPr>
        <w:t xml:space="preserve"> </w:t>
      </w:r>
      <w:r>
        <w:rPr>
          <w:rFonts w:ascii="Melior" w:hAnsi="Melior" w:cs="Melior"/>
          <w:color w:val="000000"/>
          <w:sz w:val="18"/>
          <w:szCs w:val="18"/>
        </w:rPr>
        <w:t>in each sample town. The telephone</w:t>
      </w:r>
      <w:r w:rsidR="004A654A">
        <w:rPr>
          <w:rFonts w:ascii="Melior" w:hAnsi="Melior" w:cs="Melior"/>
          <w:color w:val="000000"/>
          <w:sz w:val="18"/>
          <w:szCs w:val="18"/>
        </w:rPr>
        <w:t xml:space="preserve"> </w:t>
      </w:r>
      <w:r>
        <w:rPr>
          <w:rFonts w:ascii="Melior" w:hAnsi="Melior" w:cs="Melior"/>
          <w:color w:val="000000"/>
          <w:sz w:val="18"/>
          <w:szCs w:val="18"/>
        </w:rPr>
        <w:t>interviews are expected to average about</w:t>
      </w:r>
      <w:r w:rsidR="004A654A">
        <w:rPr>
          <w:rFonts w:ascii="Melior" w:hAnsi="Melior" w:cs="Melior"/>
          <w:color w:val="000000"/>
          <w:sz w:val="18"/>
          <w:szCs w:val="18"/>
        </w:rPr>
        <w:t xml:space="preserve"> </w:t>
      </w:r>
      <w:r>
        <w:rPr>
          <w:rFonts w:ascii="Melior" w:hAnsi="Melior" w:cs="Melior"/>
          <w:color w:val="000000"/>
          <w:sz w:val="18"/>
          <w:szCs w:val="18"/>
        </w:rPr>
        <w:t>20 minutes per respondent, based upon</w:t>
      </w:r>
      <w:r w:rsidR="004A654A">
        <w:rPr>
          <w:rFonts w:ascii="Melior" w:hAnsi="Melior" w:cs="Melior"/>
          <w:color w:val="000000"/>
          <w:sz w:val="18"/>
          <w:szCs w:val="18"/>
        </w:rPr>
        <w:t xml:space="preserve"> </w:t>
      </w:r>
      <w:r>
        <w:rPr>
          <w:rFonts w:ascii="Melior" w:hAnsi="Melior" w:cs="Melior"/>
          <w:color w:val="000000"/>
          <w:sz w:val="18"/>
          <w:szCs w:val="18"/>
        </w:rPr>
        <w:t>cognitive interviews testing a draft of</w:t>
      </w:r>
      <w:r w:rsidR="004A654A">
        <w:rPr>
          <w:rFonts w:ascii="Melior" w:hAnsi="Melior" w:cs="Melior"/>
          <w:color w:val="000000"/>
          <w:sz w:val="18"/>
          <w:szCs w:val="18"/>
        </w:rPr>
        <w:t xml:space="preserve"> </w:t>
      </w:r>
      <w:r>
        <w:rPr>
          <w:rFonts w:ascii="Melior" w:hAnsi="Melior" w:cs="Melior"/>
          <w:color w:val="000000"/>
          <w:sz w:val="18"/>
          <w:szCs w:val="18"/>
        </w:rPr>
        <w:t>the survey instrument with three rural</w:t>
      </w:r>
      <w:r w:rsidR="004A654A">
        <w:rPr>
          <w:rFonts w:ascii="Melior" w:hAnsi="Melior" w:cs="Melior"/>
          <w:color w:val="000000"/>
          <w:sz w:val="18"/>
          <w:szCs w:val="18"/>
        </w:rPr>
        <w:t xml:space="preserve"> </w:t>
      </w:r>
      <w:r>
        <w:rPr>
          <w:rFonts w:ascii="Melior" w:hAnsi="Melior" w:cs="Melior"/>
          <w:color w:val="000000"/>
          <w:sz w:val="18"/>
          <w:szCs w:val="18"/>
        </w:rPr>
        <w:t>health care providers. Paper copies of</w:t>
      </w:r>
      <w:r w:rsidR="004A654A">
        <w:rPr>
          <w:rFonts w:ascii="Melior" w:hAnsi="Melior" w:cs="Melior"/>
          <w:color w:val="000000"/>
          <w:sz w:val="18"/>
          <w:szCs w:val="18"/>
        </w:rPr>
        <w:t xml:space="preserve"> </w:t>
      </w:r>
      <w:r>
        <w:rPr>
          <w:rFonts w:ascii="Melior" w:hAnsi="Melior" w:cs="Melior"/>
          <w:color w:val="000000"/>
          <w:sz w:val="18"/>
          <w:szCs w:val="18"/>
        </w:rPr>
        <w:t>the survey will be mailed to those who</w:t>
      </w:r>
      <w:r w:rsidR="004A654A">
        <w:rPr>
          <w:rFonts w:ascii="Melior" w:hAnsi="Melior" w:cs="Melior"/>
          <w:color w:val="000000"/>
          <w:sz w:val="18"/>
          <w:szCs w:val="18"/>
        </w:rPr>
        <w:t xml:space="preserve"> </w:t>
      </w:r>
      <w:r>
        <w:rPr>
          <w:rFonts w:ascii="Melior" w:hAnsi="Melior" w:cs="Melior"/>
          <w:color w:val="000000"/>
          <w:sz w:val="18"/>
          <w:szCs w:val="18"/>
        </w:rPr>
        <w:t>are unable or unwilling to complete a</w:t>
      </w:r>
      <w:r w:rsidR="004A654A">
        <w:rPr>
          <w:rFonts w:ascii="Melior" w:hAnsi="Melior" w:cs="Melior"/>
          <w:color w:val="000000"/>
          <w:sz w:val="18"/>
          <w:szCs w:val="18"/>
        </w:rPr>
        <w:t xml:space="preserve"> </w:t>
      </w:r>
      <w:r>
        <w:rPr>
          <w:rFonts w:ascii="Melior" w:hAnsi="Melior" w:cs="Melior"/>
          <w:color w:val="000000"/>
          <w:sz w:val="18"/>
          <w:szCs w:val="18"/>
        </w:rPr>
        <w:t>telephone interview. It is expected that</w:t>
      </w:r>
      <w:r w:rsidR="004A654A">
        <w:rPr>
          <w:rFonts w:ascii="Melior" w:hAnsi="Melior" w:cs="Melior"/>
          <w:color w:val="000000"/>
          <w:sz w:val="18"/>
          <w:szCs w:val="18"/>
        </w:rPr>
        <w:t xml:space="preserve"> </w:t>
      </w:r>
      <w:r>
        <w:rPr>
          <w:rFonts w:ascii="Melior" w:hAnsi="Melior" w:cs="Melior"/>
          <w:color w:val="000000"/>
          <w:sz w:val="18"/>
          <w:szCs w:val="18"/>
        </w:rPr>
        <w:t>the paper surveys will also require</w:t>
      </w:r>
      <w:r w:rsidR="004A654A">
        <w:rPr>
          <w:rFonts w:ascii="Melior" w:hAnsi="Melior" w:cs="Melior"/>
          <w:color w:val="000000"/>
          <w:sz w:val="18"/>
          <w:szCs w:val="18"/>
        </w:rPr>
        <w:t xml:space="preserve"> </w:t>
      </w:r>
      <w:r>
        <w:rPr>
          <w:rFonts w:ascii="Melior" w:hAnsi="Melior" w:cs="Melior"/>
          <w:color w:val="000000"/>
          <w:sz w:val="18"/>
          <w:szCs w:val="18"/>
        </w:rPr>
        <w:t>about 20 minutes to complete.</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After the provider survey and analysis</w:t>
      </w:r>
      <w:r w:rsidR="004A654A">
        <w:rPr>
          <w:rFonts w:ascii="Melior" w:hAnsi="Melior" w:cs="Melior"/>
          <w:color w:val="000000"/>
          <w:sz w:val="18"/>
          <w:szCs w:val="18"/>
        </w:rPr>
        <w:t xml:space="preserve"> </w:t>
      </w:r>
      <w:r>
        <w:rPr>
          <w:rFonts w:ascii="Melior" w:hAnsi="Melior" w:cs="Melior"/>
          <w:color w:val="000000"/>
          <w:sz w:val="18"/>
          <w:szCs w:val="18"/>
        </w:rPr>
        <w:t>of its results are completed, focus</w:t>
      </w:r>
      <w:r w:rsidR="004A654A">
        <w:rPr>
          <w:rFonts w:ascii="Melior" w:hAnsi="Melior" w:cs="Melior"/>
          <w:color w:val="000000"/>
          <w:sz w:val="18"/>
          <w:szCs w:val="18"/>
        </w:rPr>
        <w:t xml:space="preserve"> </w:t>
      </w:r>
      <w:r>
        <w:rPr>
          <w:rFonts w:ascii="Melior" w:hAnsi="Melior" w:cs="Melior"/>
          <w:color w:val="000000"/>
          <w:sz w:val="18"/>
          <w:szCs w:val="18"/>
        </w:rPr>
        <w:t>groups and/or follow up key informant</w:t>
      </w:r>
      <w:r w:rsidR="004A654A">
        <w:rPr>
          <w:rFonts w:ascii="Melior" w:hAnsi="Melior" w:cs="Melior"/>
          <w:color w:val="000000"/>
          <w:sz w:val="18"/>
          <w:szCs w:val="18"/>
        </w:rPr>
        <w:t xml:space="preserve"> </w:t>
      </w:r>
      <w:r>
        <w:rPr>
          <w:rFonts w:ascii="Melior" w:hAnsi="Melior" w:cs="Melior"/>
          <w:color w:val="000000"/>
          <w:sz w:val="18"/>
          <w:szCs w:val="18"/>
        </w:rPr>
        <w:t>interviews (possibly including some of</w:t>
      </w:r>
      <w:r w:rsidR="004A654A">
        <w:rPr>
          <w:rFonts w:ascii="Melior" w:hAnsi="Melior" w:cs="Melior"/>
          <w:color w:val="000000"/>
          <w:sz w:val="18"/>
          <w:szCs w:val="18"/>
        </w:rPr>
        <w:t xml:space="preserve"> </w:t>
      </w:r>
      <w:r>
        <w:rPr>
          <w:rFonts w:ascii="Melior" w:hAnsi="Melior" w:cs="Melior"/>
          <w:color w:val="000000"/>
          <w:sz w:val="18"/>
          <w:szCs w:val="18"/>
        </w:rPr>
        <w:t>the people interviewed during the</w:t>
      </w:r>
      <w:r w:rsidR="004A654A">
        <w:rPr>
          <w:rFonts w:ascii="Melior" w:hAnsi="Melior" w:cs="Melior"/>
          <w:color w:val="000000"/>
          <w:sz w:val="18"/>
          <w:szCs w:val="18"/>
        </w:rPr>
        <w:t xml:space="preserve"> </w:t>
      </w:r>
      <w:r>
        <w:rPr>
          <w:rFonts w:ascii="Melior" w:hAnsi="Melior" w:cs="Melior"/>
          <w:color w:val="000000"/>
          <w:sz w:val="18"/>
          <w:szCs w:val="18"/>
        </w:rPr>
        <w:t>initial key informant interviews) will be</w:t>
      </w:r>
      <w:r w:rsidR="004A654A">
        <w:rPr>
          <w:rFonts w:ascii="Melior" w:hAnsi="Melior" w:cs="Melior"/>
          <w:color w:val="000000"/>
          <w:sz w:val="18"/>
          <w:szCs w:val="18"/>
        </w:rPr>
        <w:t xml:space="preserve"> </w:t>
      </w:r>
      <w:r>
        <w:rPr>
          <w:rFonts w:ascii="Melior" w:hAnsi="Melior" w:cs="Melior"/>
          <w:color w:val="000000"/>
          <w:sz w:val="18"/>
          <w:szCs w:val="18"/>
        </w:rPr>
        <w:t>conducted in person in a sub-sample of</w:t>
      </w:r>
      <w:r w:rsidR="004A654A">
        <w:rPr>
          <w:rFonts w:ascii="Melior" w:hAnsi="Melior" w:cs="Melior"/>
          <w:color w:val="000000"/>
          <w:sz w:val="18"/>
          <w:szCs w:val="18"/>
        </w:rPr>
        <w:t xml:space="preserve"> </w:t>
      </w:r>
      <w:r>
        <w:rPr>
          <w:rFonts w:ascii="Melior" w:hAnsi="Melior" w:cs="Melior"/>
          <w:color w:val="000000"/>
          <w:sz w:val="18"/>
          <w:szCs w:val="18"/>
        </w:rPr>
        <w:t>the surveyed communities (at most 40),</w:t>
      </w:r>
      <w:r w:rsidR="004A654A">
        <w:rPr>
          <w:rFonts w:ascii="Melior" w:hAnsi="Melior" w:cs="Melior"/>
          <w:color w:val="000000"/>
          <w:sz w:val="18"/>
          <w:szCs w:val="18"/>
        </w:rPr>
        <w:t xml:space="preserve"> </w:t>
      </w:r>
      <w:r>
        <w:rPr>
          <w:rFonts w:ascii="Melior" w:hAnsi="Melior" w:cs="Melior"/>
          <w:color w:val="000000"/>
          <w:sz w:val="18"/>
          <w:szCs w:val="18"/>
        </w:rPr>
        <w:t>with the goal of deepening</w:t>
      </w:r>
      <w:r w:rsidR="004A654A">
        <w:rPr>
          <w:rFonts w:ascii="Melior" w:hAnsi="Melior" w:cs="Melior"/>
          <w:color w:val="000000"/>
          <w:sz w:val="18"/>
          <w:szCs w:val="18"/>
        </w:rPr>
        <w:t xml:space="preserve"> </w:t>
      </w:r>
      <w:r>
        <w:rPr>
          <w:rFonts w:ascii="Melior" w:hAnsi="Melior" w:cs="Melior"/>
          <w:color w:val="000000"/>
          <w:sz w:val="18"/>
          <w:szCs w:val="18"/>
        </w:rPr>
        <w:t>understanding of (i) how and why the</w:t>
      </w:r>
      <w:r w:rsidR="004A654A">
        <w:rPr>
          <w:rFonts w:ascii="Melior" w:hAnsi="Melior" w:cs="Melior"/>
          <w:color w:val="000000"/>
          <w:sz w:val="18"/>
          <w:szCs w:val="18"/>
        </w:rPr>
        <w:t xml:space="preserve"> </w:t>
      </w:r>
      <w:r>
        <w:rPr>
          <w:rFonts w:ascii="Melior" w:hAnsi="Melior" w:cs="Melior"/>
          <w:color w:val="000000"/>
          <w:sz w:val="18"/>
          <w:szCs w:val="18"/>
        </w:rPr>
        <w:t>community factors that appear to</w:t>
      </w:r>
      <w:r w:rsidR="004A654A">
        <w:rPr>
          <w:rFonts w:ascii="Melior" w:hAnsi="Melior" w:cs="Melior"/>
          <w:color w:val="000000"/>
          <w:sz w:val="18"/>
          <w:szCs w:val="18"/>
        </w:rPr>
        <w:t xml:space="preserve"> </w:t>
      </w:r>
      <w:r>
        <w:rPr>
          <w:rFonts w:ascii="Melior" w:hAnsi="Melior" w:cs="Melior"/>
          <w:color w:val="000000"/>
          <w:sz w:val="18"/>
          <w:szCs w:val="18"/>
        </w:rPr>
        <w:t>influence recruitment and retention of</w:t>
      </w:r>
      <w:r w:rsidR="004A654A">
        <w:rPr>
          <w:rFonts w:ascii="Melior" w:hAnsi="Melior" w:cs="Melior"/>
          <w:color w:val="000000"/>
          <w:sz w:val="18"/>
          <w:szCs w:val="18"/>
        </w:rPr>
        <w:t xml:space="preserve"> </w:t>
      </w:r>
      <w:r>
        <w:rPr>
          <w:rFonts w:ascii="Melior" w:hAnsi="Melior" w:cs="Melior"/>
          <w:color w:val="000000"/>
          <w:sz w:val="18"/>
          <w:szCs w:val="18"/>
        </w:rPr>
        <w:t>health care providers (as will be</w:t>
      </w:r>
      <w:r w:rsidR="004A654A">
        <w:rPr>
          <w:rFonts w:ascii="Melior" w:hAnsi="Melior" w:cs="Melior"/>
          <w:color w:val="000000"/>
          <w:sz w:val="18"/>
          <w:szCs w:val="18"/>
        </w:rPr>
        <w:t xml:space="preserve"> </w:t>
      </w:r>
      <w:r>
        <w:rPr>
          <w:rFonts w:ascii="Melior" w:hAnsi="Melior" w:cs="Melior"/>
          <w:color w:val="000000"/>
          <w:sz w:val="18"/>
          <w:szCs w:val="18"/>
        </w:rPr>
        <w:t>identified by the telephone survey) are</w:t>
      </w:r>
      <w:r w:rsidR="004A654A">
        <w:rPr>
          <w:rFonts w:ascii="Melior" w:hAnsi="Melior" w:cs="Melior"/>
          <w:color w:val="000000"/>
          <w:sz w:val="18"/>
          <w:szCs w:val="18"/>
        </w:rPr>
        <w:t xml:space="preserve"> </w:t>
      </w:r>
      <w:r>
        <w:rPr>
          <w:rFonts w:ascii="Melior" w:hAnsi="Melior" w:cs="Melior"/>
          <w:color w:val="000000"/>
          <w:sz w:val="18"/>
          <w:szCs w:val="18"/>
        </w:rPr>
        <w:t>able to do so, and (ii) how development</w:t>
      </w:r>
      <w:r w:rsidR="004A654A">
        <w:rPr>
          <w:rFonts w:ascii="Melior" w:hAnsi="Melior" w:cs="Melior"/>
          <w:color w:val="000000"/>
          <w:sz w:val="18"/>
          <w:szCs w:val="18"/>
        </w:rPr>
        <w:t xml:space="preserve"> </w:t>
      </w:r>
      <w:r>
        <w:rPr>
          <w:rFonts w:ascii="Melior" w:hAnsi="Melior" w:cs="Melior"/>
          <w:color w:val="000000"/>
          <w:sz w:val="18"/>
          <w:szCs w:val="18"/>
        </w:rPr>
        <w:t>of the health care sector contributes to</w:t>
      </w:r>
      <w:r w:rsidR="004A654A">
        <w:rPr>
          <w:rFonts w:ascii="Melior" w:hAnsi="Melior" w:cs="Melior"/>
          <w:color w:val="000000"/>
          <w:sz w:val="18"/>
          <w:szCs w:val="18"/>
        </w:rPr>
        <w:t xml:space="preserve"> </w:t>
      </w:r>
      <w:r>
        <w:rPr>
          <w:rFonts w:ascii="Melior" w:hAnsi="Melior" w:cs="Melior"/>
          <w:color w:val="000000"/>
          <w:sz w:val="18"/>
          <w:szCs w:val="18"/>
        </w:rPr>
        <w:t>broader economic development in rural</w:t>
      </w:r>
      <w:r w:rsidR="004A654A">
        <w:rPr>
          <w:rFonts w:ascii="Melior" w:hAnsi="Melior" w:cs="Melior"/>
          <w:color w:val="000000"/>
          <w:sz w:val="18"/>
          <w:szCs w:val="18"/>
        </w:rPr>
        <w:t xml:space="preserve"> </w:t>
      </w:r>
      <w:r>
        <w:rPr>
          <w:rFonts w:ascii="Melior" w:hAnsi="Melior" w:cs="Melior"/>
          <w:color w:val="000000"/>
          <w:sz w:val="18"/>
          <w:szCs w:val="18"/>
        </w:rPr>
        <w:t>communities. The</w:t>
      </w:r>
      <w:r w:rsidR="004A654A">
        <w:rPr>
          <w:rFonts w:ascii="Melior" w:hAnsi="Melior" w:cs="Melior"/>
          <w:color w:val="000000"/>
          <w:sz w:val="18"/>
          <w:szCs w:val="18"/>
        </w:rPr>
        <w:t xml:space="preserve"> </w:t>
      </w:r>
      <w:r>
        <w:rPr>
          <w:rFonts w:ascii="Melior" w:hAnsi="Melior" w:cs="Melior"/>
          <w:color w:val="000000"/>
          <w:sz w:val="18"/>
          <w:szCs w:val="18"/>
        </w:rPr>
        <w:t>communities</w:t>
      </w:r>
      <w:r w:rsidR="004A654A">
        <w:rPr>
          <w:rFonts w:ascii="Melior" w:hAnsi="Melior" w:cs="Melior"/>
          <w:color w:val="000000"/>
          <w:sz w:val="18"/>
          <w:szCs w:val="18"/>
        </w:rPr>
        <w:t xml:space="preserve"> </w:t>
      </w:r>
      <w:r>
        <w:rPr>
          <w:rFonts w:ascii="Melior" w:hAnsi="Melior" w:cs="Melior"/>
          <w:color w:val="000000"/>
          <w:sz w:val="18"/>
          <w:szCs w:val="18"/>
        </w:rPr>
        <w:t>included in this phase of the study will</w:t>
      </w:r>
      <w:r w:rsidR="004A654A">
        <w:rPr>
          <w:rFonts w:ascii="Melior" w:hAnsi="Melior" w:cs="Melior"/>
          <w:color w:val="000000"/>
          <w:sz w:val="18"/>
          <w:szCs w:val="18"/>
        </w:rPr>
        <w:t xml:space="preserve"> </w:t>
      </w:r>
      <w:r>
        <w:rPr>
          <w:rFonts w:ascii="Melior" w:hAnsi="Melior" w:cs="Melior"/>
          <w:color w:val="000000"/>
          <w:sz w:val="18"/>
          <w:szCs w:val="18"/>
        </w:rPr>
        <w:t>be purposefully selected to be</w:t>
      </w:r>
      <w:r w:rsidR="004A654A">
        <w:rPr>
          <w:rFonts w:ascii="Melior" w:hAnsi="Melior" w:cs="Melior"/>
          <w:color w:val="000000"/>
          <w:sz w:val="18"/>
          <w:szCs w:val="18"/>
        </w:rPr>
        <w:t xml:space="preserve"> </w:t>
      </w:r>
      <w:r>
        <w:rPr>
          <w:rFonts w:ascii="Melior" w:hAnsi="Melior" w:cs="Melior"/>
          <w:color w:val="000000"/>
          <w:sz w:val="18"/>
          <w:szCs w:val="18"/>
        </w:rPr>
        <w:t>representative of different conditions</w:t>
      </w:r>
      <w:r w:rsidR="004A654A">
        <w:rPr>
          <w:rFonts w:ascii="Melior" w:hAnsi="Melior" w:cs="Melior"/>
          <w:color w:val="000000"/>
          <w:sz w:val="18"/>
          <w:szCs w:val="18"/>
        </w:rPr>
        <w:t xml:space="preserve"> </w:t>
      </w:r>
      <w:r>
        <w:rPr>
          <w:rFonts w:ascii="Melior" w:hAnsi="Melior" w:cs="Melior"/>
          <w:color w:val="000000"/>
          <w:sz w:val="18"/>
          <w:szCs w:val="18"/>
        </w:rPr>
        <w:t xml:space="preserve">with regard to </w:t>
      </w:r>
      <w:r>
        <w:rPr>
          <w:rFonts w:ascii="Melior" w:hAnsi="Melior" w:cs="Melior"/>
          <w:color w:val="000000"/>
          <w:sz w:val="18"/>
          <w:szCs w:val="18"/>
        </w:rPr>
        <w:lastRenderedPageBreak/>
        <w:t>region, access to health</w:t>
      </w:r>
      <w:r w:rsidR="004A654A">
        <w:rPr>
          <w:rFonts w:ascii="Melior" w:hAnsi="Melior" w:cs="Melior"/>
          <w:color w:val="000000"/>
          <w:sz w:val="18"/>
          <w:szCs w:val="18"/>
        </w:rPr>
        <w:t xml:space="preserve"> </w:t>
      </w:r>
      <w:r>
        <w:rPr>
          <w:rFonts w:ascii="Melior" w:hAnsi="Melior" w:cs="Melior"/>
          <w:color w:val="000000"/>
          <w:sz w:val="18"/>
          <w:szCs w:val="18"/>
        </w:rPr>
        <w:t>care providers, and level of economic</w:t>
      </w:r>
      <w:r w:rsidR="004A654A">
        <w:rPr>
          <w:rFonts w:ascii="Melior" w:hAnsi="Melior" w:cs="Melior"/>
          <w:color w:val="000000"/>
          <w:sz w:val="18"/>
          <w:szCs w:val="18"/>
        </w:rPr>
        <w:t xml:space="preserve"> </w:t>
      </w:r>
      <w:r>
        <w:rPr>
          <w:rFonts w:ascii="Melior" w:hAnsi="Melior" w:cs="Melior"/>
          <w:color w:val="000000"/>
          <w:sz w:val="18"/>
          <w:szCs w:val="18"/>
        </w:rPr>
        <w:t>development. Participants will be</w:t>
      </w:r>
      <w:r w:rsidR="004A654A">
        <w:rPr>
          <w:rFonts w:ascii="Melior" w:hAnsi="Melior" w:cs="Melior"/>
          <w:color w:val="000000"/>
          <w:sz w:val="18"/>
          <w:szCs w:val="18"/>
        </w:rPr>
        <w:t xml:space="preserve"> </w:t>
      </w:r>
      <w:r>
        <w:rPr>
          <w:rFonts w:ascii="Melior" w:hAnsi="Melior" w:cs="Melior"/>
          <w:color w:val="000000"/>
          <w:sz w:val="18"/>
          <w:szCs w:val="18"/>
        </w:rPr>
        <w:t>individuals knowledgeable about health</w:t>
      </w:r>
      <w:r w:rsidR="004A654A">
        <w:rPr>
          <w:rFonts w:ascii="Melior" w:hAnsi="Melior" w:cs="Melior"/>
          <w:color w:val="000000"/>
          <w:sz w:val="18"/>
          <w:szCs w:val="18"/>
        </w:rPr>
        <w:t xml:space="preserve"> </w:t>
      </w:r>
      <w:r>
        <w:rPr>
          <w:rFonts w:ascii="Melior" w:hAnsi="Melior" w:cs="Melior"/>
          <w:color w:val="000000"/>
          <w:sz w:val="18"/>
          <w:szCs w:val="18"/>
        </w:rPr>
        <w:t>care and/or economic development</w:t>
      </w:r>
      <w:r w:rsidR="004A654A">
        <w:rPr>
          <w:rFonts w:ascii="Melior" w:hAnsi="Melior" w:cs="Melior"/>
          <w:color w:val="000000"/>
          <w:sz w:val="18"/>
          <w:szCs w:val="18"/>
        </w:rPr>
        <w:t xml:space="preserve"> </w:t>
      </w:r>
      <w:r>
        <w:rPr>
          <w:rFonts w:ascii="Melior" w:hAnsi="Melior" w:cs="Melior"/>
          <w:color w:val="000000"/>
          <w:sz w:val="18"/>
          <w:szCs w:val="18"/>
        </w:rPr>
        <w:t>issues in the community, including</w:t>
      </w:r>
      <w:r w:rsidR="004A654A">
        <w:rPr>
          <w:rFonts w:ascii="Melior" w:hAnsi="Melior" w:cs="Melior"/>
          <w:color w:val="000000"/>
          <w:sz w:val="18"/>
          <w:szCs w:val="18"/>
        </w:rPr>
        <w:t xml:space="preserve"> </w:t>
      </w:r>
      <w:r>
        <w:rPr>
          <w:rFonts w:ascii="Melior" w:hAnsi="Melior" w:cs="Melior"/>
          <w:color w:val="000000"/>
          <w:sz w:val="18"/>
          <w:szCs w:val="18"/>
        </w:rPr>
        <w:t>representatives of local government, the</w:t>
      </w:r>
      <w:r w:rsidR="004A654A">
        <w:rPr>
          <w:rFonts w:ascii="Melior" w:hAnsi="Melior" w:cs="Melior"/>
          <w:color w:val="000000"/>
          <w:sz w:val="18"/>
          <w:szCs w:val="18"/>
        </w:rPr>
        <w:t xml:space="preserve"> </w:t>
      </w:r>
      <w:r>
        <w:rPr>
          <w:rFonts w:ascii="Melior" w:hAnsi="Melior" w:cs="Melior"/>
          <w:color w:val="000000"/>
          <w:sz w:val="18"/>
          <w:szCs w:val="18"/>
        </w:rPr>
        <w:t>business sector, the non-profit sector,</w:t>
      </w:r>
      <w:r w:rsidR="004A654A">
        <w:rPr>
          <w:rFonts w:ascii="Melior" w:hAnsi="Melior" w:cs="Melior"/>
          <w:color w:val="000000"/>
          <w:sz w:val="18"/>
          <w:szCs w:val="18"/>
        </w:rPr>
        <w:t xml:space="preserve"> </w:t>
      </w:r>
      <w:r>
        <w:rPr>
          <w:rFonts w:ascii="Melior" w:hAnsi="Melior" w:cs="Melior"/>
          <w:color w:val="000000"/>
          <w:sz w:val="18"/>
          <w:szCs w:val="18"/>
        </w:rPr>
        <w:t>and the health care industry. Current</w:t>
      </w:r>
      <w:r w:rsidR="004A654A">
        <w:rPr>
          <w:rFonts w:ascii="Melior" w:hAnsi="Melior" w:cs="Melior"/>
          <w:color w:val="000000"/>
          <w:sz w:val="18"/>
          <w:szCs w:val="18"/>
        </w:rPr>
        <w:t xml:space="preserve"> </w:t>
      </w:r>
      <w:r>
        <w:rPr>
          <w:rFonts w:ascii="Melior" w:hAnsi="Melior" w:cs="Melior"/>
          <w:color w:val="000000"/>
          <w:sz w:val="18"/>
          <w:szCs w:val="18"/>
        </w:rPr>
        <w:t>plans are to conduct at least one focus</w:t>
      </w:r>
      <w:r w:rsidR="004A654A">
        <w:rPr>
          <w:rFonts w:ascii="Melior" w:hAnsi="Melior" w:cs="Melior"/>
          <w:color w:val="000000"/>
          <w:sz w:val="18"/>
          <w:szCs w:val="18"/>
        </w:rPr>
        <w:t xml:space="preserve"> </w:t>
      </w:r>
      <w:r>
        <w:rPr>
          <w:rFonts w:ascii="Melior" w:hAnsi="Melior" w:cs="Melior"/>
          <w:color w:val="000000"/>
          <w:sz w:val="18"/>
          <w:szCs w:val="18"/>
        </w:rPr>
        <w:t>group with up to 10 participants in each</w:t>
      </w:r>
      <w:r w:rsidR="004A654A">
        <w:rPr>
          <w:rFonts w:ascii="Melior" w:hAnsi="Melior" w:cs="Melior"/>
          <w:color w:val="000000"/>
          <w:sz w:val="18"/>
          <w:szCs w:val="18"/>
        </w:rPr>
        <w:t xml:space="preserve"> </w:t>
      </w:r>
      <w:r>
        <w:rPr>
          <w:rFonts w:ascii="Melior" w:hAnsi="Melior" w:cs="Melior"/>
          <w:color w:val="000000"/>
          <w:sz w:val="18"/>
          <w:szCs w:val="18"/>
        </w:rPr>
        <w:t>of the sub-sample of communities, with</w:t>
      </w:r>
      <w:r w:rsidR="004A654A">
        <w:rPr>
          <w:rFonts w:ascii="Melior" w:hAnsi="Melior" w:cs="Melior"/>
          <w:color w:val="000000"/>
          <w:sz w:val="18"/>
          <w:szCs w:val="18"/>
        </w:rPr>
        <w:t xml:space="preserve"> </w:t>
      </w:r>
      <w:r>
        <w:rPr>
          <w:rFonts w:ascii="Melior" w:hAnsi="Melior" w:cs="Melior"/>
          <w:color w:val="000000"/>
          <w:sz w:val="18"/>
          <w:szCs w:val="18"/>
        </w:rPr>
        <w:t>one-on-one semi-structured interviews</w:t>
      </w:r>
      <w:r w:rsidR="004A654A">
        <w:rPr>
          <w:rFonts w:ascii="Melior" w:hAnsi="Melior" w:cs="Melior"/>
          <w:color w:val="000000"/>
          <w:sz w:val="18"/>
          <w:szCs w:val="18"/>
        </w:rPr>
        <w:t xml:space="preserve"> </w:t>
      </w:r>
      <w:r>
        <w:rPr>
          <w:rFonts w:ascii="Melior" w:hAnsi="Melior" w:cs="Melior"/>
          <w:color w:val="000000"/>
          <w:sz w:val="18"/>
          <w:szCs w:val="18"/>
        </w:rPr>
        <w:t>as circumstances require. We expect to</w:t>
      </w:r>
      <w:r w:rsidR="004A654A">
        <w:rPr>
          <w:rFonts w:ascii="Melior" w:hAnsi="Melior" w:cs="Melior"/>
          <w:color w:val="000000"/>
          <w:sz w:val="18"/>
          <w:szCs w:val="18"/>
        </w:rPr>
        <w:t xml:space="preserve"> </w:t>
      </w:r>
      <w:r>
        <w:rPr>
          <w:rFonts w:ascii="Melior" w:hAnsi="Melior" w:cs="Melior"/>
          <w:color w:val="000000"/>
          <w:sz w:val="18"/>
          <w:szCs w:val="18"/>
        </w:rPr>
        <w:t>interview no more than 12 people per</w:t>
      </w:r>
      <w:r w:rsidR="004A654A">
        <w:rPr>
          <w:rFonts w:ascii="Melior" w:hAnsi="Melior" w:cs="Melior"/>
          <w:color w:val="000000"/>
          <w:sz w:val="18"/>
          <w:szCs w:val="18"/>
        </w:rPr>
        <w:t xml:space="preserve"> </w:t>
      </w:r>
      <w:r>
        <w:rPr>
          <w:rFonts w:ascii="Melior" w:hAnsi="Melior" w:cs="Melior"/>
          <w:color w:val="000000"/>
          <w:sz w:val="18"/>
          <w:szCs w:val="18"/>
        </w:rPr>
        <w:t>community regardless of whether one or</w:t>
      </w:r>
      <w:r w:rsidR="004A654A">
        <w:rPr>
          <w:rFonts w:ascii="Melior" w:hAnsi="Melior" w:cs="Melior"/>
          <w:color w:val="000000"/>
          <w:sz w:val="18"/>
          <w:szCs w:val="18"/>
        </w:rPr>
        <w:t xml:space="preserve"> </w:t>
      </w:r>
      <w:r>
        <w:rPr>
          <w:rFonts w:ascii="Melior" w:hAnsi="Melior" w:cs="Melior"/>
          <w:color w:val="000000"/>
          <w:sz w:val="18"/>
          <w:szCs w:val="18"/>
        </w:rPr>
        <w:t>more focus groups or one-on-one</w:t>
      </w:r>
      <w:r w:rsidR="004A654A">
        <w:rPr>
          <w:rFonts w:ascii="Melior" w:hAnsi="Melior" w:cs="Melior"/>
          <w:color w:val="000000"/>
          <w:sz w:val="18"/>
          <w:szCs w:val="18"/>
        </w:rPr>
        <w:t xml:space="preserve"> </w:t>
      </w:r>
      <w:r>
        <w:rPr>
          <w:rFonts w:ascii="Melior" w:hAnsi="Melior" w:cs="Melior"/>
          <w:color w:val="000000"/>
          <w:sz w:val="18"/>
          <w:szCs w:val="18"/>
        </w:rPr>
        <w:t>interviews are conducted. It is</w:t>
      </w:r>
      <w:r w:rsidR="004A654A">
        <w:rPr>
          <w:rFonts w:ascii="Melior" w:hAnsi="Melior" w:cs="Melior"/>
          <w:color w:val="000000"/>
          <w:sz w:val="18"/>
          <w:szCs w:val="18"/>
        </w:rPr>
        <w:t xml:space="preserve"> </w:t>
      </w:r>
      <w:r>
        <w:rPr>
          <w:rFonts w:ascii="Melior" w:hAnsi="Melior" w:cs="Melior"/>
          <w:color w:val="000000"/>
          <w:sz w:val="18"/>
          <w:szCs w:val="18"/>
        </w:rPr>
        <w:t>anticipated that each focus group and</w:t>
      </w:r>
      <w:r w:rsidR="004A654A">
        <w:rPr>
          <w:rFonts w:ascii="Melior" w:hAnsi="Melior" w:cs="Melior"/>
          <w:color w:val="000000"/>
          <w:sz w:val="18"/>
          <w:szCs w:val="18"/>
        </w:rPr>
        <w:t xml:space="preserve"> </w:t>
      </w:r>
      <w:r>
        <w:rPr>
          <w:rFonts w:ascii="Melior" w:hAnsi="Melior" w:cs="Melior"/>
          <w:color w:val="000000"/>
          <w:sz w:val="18"/>
          <w:szCs w:val="18"/>
        </w:rPr>
        <w:t>one-on-one interview will last 60</w:t>
      </w:r>
      <w:r w:rsidR="004A654A">
        <w:rPr>
          <w:rFonts w:ascii="Melior" w:hAnsi="Melior" w:cs="Melior"/>
          <w:color w:val="000000"/>
          <w:sz w:val="18"/>
          <w:szCs w:val="18"/>
        </w:rPr>
        <w:t xml:space="preserve"> </w:t>
      </w:r>
      <w:r>
        <w:rPr>
          <w:rFonts w:ascii="Melior" w:hAnsi="Melior" w:cs="Melior"/>
          <w:color w:val="000000"/>
          <w:sz w:val="18"/>
          <w:szCs w:val="18"/>
        </w:rPr>
        <w:t>minutes. A semi-structured instrument</w:t>
      </w:r>
      <w:r w:rsidR="004A654A">
        <w:rPr>
          <w:rFonts w:ascii="Melior" w:hAnsi="Melior" w:cs="Melior"/>
          <w:color w:val="000000"/>
          <w:sz w:val="18"/>
          <w:szCs w:val="18"/>
        </w:rPr>
        <w:t xml:space="preserve"> </w:t>
      </w:r>
      <w:r>
        <w:rPr>
          <w:rFonts w:ascii="Melior" w:hAnsi="Melior" w:cs="Melior"/>
          <w:color w:val="000000"/>
          <w:sz w:val="18"/>
          <w:szCs w:val="18"/>
        </w:rPr>
        <w:t>will be used to guide these focus groups</w:t>
      </w:r>
      <w:r w:rsidR="004A654A">
        <w:rPr>
          <w:rFonts w:ascii="Melior" w:hAnsi="Melior" w:cs="Melior"/>
          <w:color w:val="000000"/>
          <w:sz w:val="18"/>
          <w:szCs w:val="18"/>
        </w:rPr>
        <w:t xml:space="preserve"> </w:t>
      </w:r>
      <w:r>
        <w:rPr>
          <w:rFonts w:ascii="Melior" w:hAnsi="Melior" w:cs="Melior"/>
          <w:color w:val="000000"/>
          <w:sz w:val="18"/>
          <w:szCs w:val="18"/>
        </w:rPr>
        <w:t>and interviews.</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All study instruments will be kept as</w:t>
      </w:r>
      <w:r w:rsidR="004A654A">
        <w:rPr>
          <w:rFonts w:ascii="Melior" w:hAnsi="Melior" w:cs="Melior"/>
          <w:color w:val="000000"/>
          <w:sz w:val="18"/>
          <w:szCs w:val="18"/>
        </w:rPr>
        <w:t xml:space="preserve"> </w:t>
      </w:r>
      <w:r>
        <w:rPr>
          <w:rFonts w:ascii="Melior" w:hAnsi="Melior" w:cs="Melior"/>
          <w:color w:val="000000"/>
          <w:sz w:val="18"/>
          <w:szCs w:val="18"/>
        </w:rPr>
        <w:t>simple and respondent-friendly as</w:t>
      </w:r>
      <w:r w:rsidR="004A654A">
        <w:rPr>
          <w:rFonts w:ascii="Melior" w:hAnsi="Melior" w:cs="Melior"/>
          <w:color w:val="000000"/>
          <w:sz w:val="18"/>
          <w:szCs w:val="18"/>
        </w:rPr>
        <w:t xml:space="preserve"> </w:t>
      </w:r>
      <w:r>
        <w:rPr>
          <w:rFonts w:ascii="Melior" w:hAnsi="Melior" w:cs="Melior"/>
          <w:color w:val="000000"/>
          <w:sz w:val="18"/>
          <w:szCs w:val="18"/>
        </w:rPr>
        <w:t>possible. Participation in the interviews</w:t>
      </w:r>
      <w:r w:rsidR="004A654A">
        <w:rPr>
          <w:rFonts w:ascii="Melior" w:hAnsi="Melior" w:cs="Melior"/>
          <w:color w:val="000000"/>
          <w:sz w:val="18"/>
          <w:szCs w:val="18"/>
        </w:rPr>
        <w:t xml:space="preserve"> </w:t>
      </w:r>
      <w:r>
        <w:rPr>
          <w:rFonts w:ascii="Melior" w:hAnsi="Melior" w:cs="Melior"/>
          <w:color w:val="000000"/>
          <w:sz w:val="18"/>
          <w:szCs w:val="18"/>
        </w:rPr>
        <w:t>will be voluntary and confidential.</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Survey responses will be used for</w:t>
      </w:r>
      <w:r w:rsidR="004A654A">
        <w:rPr>
          <w:rFonts w:ascii="Melior" w:hAnsi="Melior" w:cs="Melior"/>
          <w:color w:val="000000"/>
          <w:sz w:val="18"/>
          <w:szCs w:val="18"/>
        </w:rPr>
        <w:t xml:space="preserve"> </w:t>
      </w:r>
      <w:r>
        <w:rPr>
          <w:rFonts w:ascii="Melior" w:hAnsi="Melior" w:cs="Melior"/>
          <w:color w:val="000000"/>
          <w:sz w:val="18"/>
          <w:szCs w:val="18"/>
        </w:rPr>
        <w:t>statistical analysis and to produce</w:t>
      </w:r>
      <w:r w:rsidR="004A654A">
        <w:rPr>
          <w:rFonts w:ascii="Melior" w:hAnsi="Melior" w:cs="Melior"/>
          <w:color w:val="000000"/>
          <w:sz w:val="18"/>
          <w:szCs w:val="18"/>
        </w:rPr>
        <w:t xml:space="preserve"> </w:t>
      </w:r>
      <w:r>
        <w:rPr>
          <w:rFonts w:ascii="Melior" w:hAnsi="Melior" w:cs="Melior"/>
          <w:color w:val="000000"/>
          <w:sz w:val="18"/>
          <w:szCs w:val="18"/>
        </w:rPr>
        <w:t>research reports only; not for any other</w:t>
      </w:r>
      <w:r w:rsidR="004A654A">
        <w:rPr>
          <w:rFonts w:ascii="Melior" w:hAnsi="Melior" w:cs="Melior"/>
          <w:color w:val="000000"/>
          <w:sz w:val="18"/>
          <w:szCs w:val="18"/>
        </w:rPr>
        <w:t xml:space="preserve"> </w:t>
      </w:r>
      <w:r>
        <w:rPr>
          <w:rFonts w:ascii="Melior" w:hAnsi="Melior" w:cs="Melior"/>
          <w:color w:val="000000"/>
          <w:sz w:val="18"/>
          <w:szCs w:val="18"/>
        </w:rPr>
        <w:t>purpose. Responses will be linked to</w:t>
      </w:r>
      <w:r w:rsidR="004A654A">
        <w:rPr>
          <w:rFonts w:ascii="Melior" w:hAnsi="Melior" w:cs="Melior"/>
          <w:color w:val="000000"/>
          <w:sz w:val="18"/>
          <w:szCs w:val="18"/>
        </w:rPr>
        <w:t xml:space="preserve"> </w:t>
      </w:r>
      <w:r>
        <w:rPr>
          <w:rFonts w:ascii="Melior" w:hAnsi="Melior" w:cs="Melior"/>
          <w:color w:val="000000"/>
          <w:sz w:val="18"/>
          <w:szCs w:val="18"/>
        </w:rPr>
        <w:t>secondary data to augment information</w:t>
      </w:r>
      <w:r w:rsidR="004A654A">
        <w:rPr>
          <w:rFonts w:ascii="Melior" w:hAnsi="Melior" w:cs="Melior"/>
          <w:color w:val="000000"/>
          <w:sz w:val="18"/>
          <w:szCs w:val="18"/>
        </w:rPr>
        <w:t xml:space="preserve"> </w:t>
      </w:r>
      <w:r>
        <w:rPr>
          <w:rFonts w:ascii="Melior" w:hAnsi="Melior" w:cs="Melior"/>
          <w:color w:val="000000"/>
          <w:sz w:val="18"/>
          <w:szCs w:val="18"/>
        </w:rPr>
        <w:t>with no additional respondent burden.</w:t>
      </w:r>
      <w:r w:rsidR="004A654A">
        <w:rPr>
          <w:rFonts w:ascii="Melior" w:hAnsi="Melior" w:cs="Melior"/>
          <w:color w:val="000000"/>
          <w:sz w:val="18"/>
          <w:szCs w:val="18"/>
        </w:rPr>
        <w:t xml:space="preserve"> </w:t>
      </w:r>
      <w:r>
        <w:rPr>
          <w:rFonts w:ascii="Melior" w:hAnsi="Melior" w:cs="Melior"/>
          <w:color w:val="000000"/>
          <w:sz w:val="18"/>
          <w:szCs w:val="18"/>
        </w:rPr>
        <w:t>For example, the survey data will be</w:t>
      </w:r>
      <w:r w:rsidR="004A654A">
        <w:rPr>
          <w:rFonts w:ascii="Melior" w:hAnsi="Melior" w:cs="Melior"/>
          <w:color w:val="000000"/>
          <w:sz w:val="18"/>
          <w:szCs w:val="18"/>
        </w:rPr>
        <w:t xml:space="preserve"> </w:t>
      </w:r>
      <w:r>
        <w:rPr>
          <w:rFonts w:ascii="Melior" w:hAnsi="Melior" w:cs="Melior"/>
          <w:color w:val="000000"/>
          <w:sz w:val="18"/>
          <w:szCs w:val="18"/>
        </w:rPr>
        <w:t>combined with available town and</w:t>
      </w:r>
      <w:r w:rsidR="004A654A">
        <w:rPr>
          <w:rFonts w:ascii="Melior" w:hAnsi="Melior" w:cs="Melior"/>
          <w:color w:val="000000"/>
          <w:sz w:val="18"/>
          <w:szCs w:val="18"/>
        </w:rPr>
        <w:t xml:space="preserve"> </w:t>
      </w:r>
      <w:r>
        <w:rPr>
          <w:rFonts w:ascii="Melior" w:hAnsi="Melior" w:cs="Melior"/>
          <w:color w:val="000000"/>
          <w:sz w:val="18"/>
          <w:szCs w:val="18"/>
        </w:rPr>
        <w:t>county level data from the Census</w:t>
      </w:r>
      <w:r w:rsidR="004A654A">
        <w:rPr>
          <w:rFonts w:ascii="Melior" w:hAnsi="Melior" w:cs="Melior"/>
          <w:color w:val="000000"/>
          <w:sz w:val="18"/>
          <w:szCs w:val="18"/>
        </w:rPr>
        <w:t xml:space="preserve"> </w:t>
      </w:r>
      <w:r>
        <w:rPr>
          <w:rFonts w:ascii="Melior" w:hAnsi="Melior" w:cs="Melior"/>
          <w:color w:val="000000"/>
          <w:sz w:val="18"/>
          <w:szCs w:val="18"/>
        </w:rPr>
        <w:t>Bureau on community socioeconomic</w:t>
      </w:r>
      <w:r w:rsidR="004A654A">
        <w:rPr>
          <w:rFonts w:ascii="Melior" w:hAnsi="Melior" w:cs="Melior"/>
          <w:color w:val="000000"/>
          <w:sz w:val="18"/>
          <w:szCs w:val="18"/>
        </w:rPr>
        <w:t xml:space="preserve"> </w:t>
      </w:r>
      <w:r>
        <w:rPr>
          <w:rFonts w:ascii="Melior" w:hAnsi="Melior" w:cs="Melior"/>
          <w:color w:val="000000"/>
          <w:sz w:val="18"/>
          <w:szCs w:val="18"/>
        </w:rPr>
        <w:t>and demographic characteristics and</w:t>
      </w:r>
      <w:r w:rsidR="004A654A">
        <w:rPr>
          <w:rFonts w:ascii="Melior" w:hAnsi="Melior" w:cs="Melior"/>
          <w:color w:val="000000"/>
          <w:sz w:val="18"/>
          <w:szCs w:val="18"/>
        </w:rPr>
        <w:t xml:space="preserve"> </w:t>
      </w:r>
      <w:r>
        <w:rPr>
          <w:rFonts w:ascii="Melior" w:hAnsi="Melior" w:cs="Melior"/>
          <w:color w:val="000000"/>
          <w:sz w:val="18"/>
          <w:szCs w:val="18"/>
        </w:rPr>
        <w:t>data from the Department of Health and</w:t>
      </w:r>
      <w:r w:rsidR="004A654A">
        <w:rPr>
          <w:rFonts w:ascii="Melior" w:hAnsi="Melior" w:cs="Melior"/>
          <w:color w:val="000000"/>
          <w:sz w:val="18"/>
          <w:szCs w:val="18"/>
        </w:rPr>
        <w:t xml:space="preserve"> </w:t>
      </w:r>
      <w:r>
        <w:rPr>
          <w:rFonts w:ascii="Melior" w:hAnsi="Melior" w:cs="Melior"/>
          <w:color w:val="000000"/>
          <w:sz w:val="18"/>
          <w:szCs w:val="18"/>
        </w:rPr>
        <w:t>Human Services on health care</w:t>
      </w:r>
      <w:r w:rsidR="004A654A">
        <w:rPr>
          <w:rFonts w:ascii="Melior" w:hAnsi="Melior" w:cs="Melior"/>
          <w:color w:val="000000"/>
          <w:sz w:val="18"/>
          <w:szCs w:val="18"/>
        </w:rPr>
        <w:t xml:space="preserve"> </w:t>
      </w:r>
      <w:r>
        <w:rPr>
          <w:rFonts w:ascii="Melior" w:hAnsi="Melior" w:cs="Melior"/>
          <w:color w:val="000000"/>
          <w:sz w:val="18"/>
          <w:szCs w:val="18"/>
        </w:rPr>
        <w:t>provision, to analyze factors</w:t>
      </w:r>
      <w:r w:rsidR="004A654A">
        <w:rPr>
          <w:rFonts w:ascii="Melior" w:hAnsi="Melior" w:cs="Melior"/>
          <w:color w:val="000000"/>
          <w:sz w:val="18"/>
          <w:szCs w:val="18"/>
        </w:rPr>
        <w:t xml:space="preserve"> </w:t>
      </w:r>
      <w:r>
        <w:rPr>
          <w:rFonts w:ascii="Melior" w:hAnsi="Melior" w:cs="Melior"/>
          <w:color w:val="000000"/>
          <w:sz w:val="18"/>
          <w:szCs w:val="18"/>
        </w:rPr>
        <w:t>affecting</w:t>
      </w:r>
      <w:r w:rsidR="004A654A">
        <w:rPr>
          <w:rFonts w:ascii="Melior" w:hAnsi="Melior" w:cs="Melior"/>
          <w:color w:val="000000"/>
          <w:sz w:val="18"/>
          <w:szCs w:val="18"/>
        </w:rPr>
        <w:t xml:space="preserve"> </w:t>
      </w:r>
      <w:r>
        <w:rPr>
          <w:rFonts w:ascii="Melior" w:hAnsi="Melior" w:cs="Melior"/>
          <w:color w:val="000000"/>
          <w:sz w:val="18"/>
          <w:szCs w:val="18"/>
        </w:rPr>
        <w:t>local changes in health care provision.</w:t>
      </w:r>
    </w:p>
    <w:p w:rsidR="00B047A5" w:rsidRDefault="00B047A5" w:rsidP="00B047A5">
      <w:pPr>
        <w:autoSpaceDE w:val="0"/>
        <w:autoSpaceDN w:val="0"/>
        <w:adjustRightInd w:val="0"/>
        <w:spacing w:after="0" w:line="240" w:lineRule="auto"/>
        <w:rPr>
          <w:rFonts w:ascii="Helvetica" w:hAnsi="Helvetica" w:cs="Helvetica"/>
          <w:color w:val="FFFFFF"/>
          <w:sz w:val="10"/>
          <w:szCs w:val="10"/>
        </w:rPr>
      </w:pPr>
      <w:r>
        <w:rPr>
          <w:rFonts w:ascii="Helvetica" w:hAnsi="Helvetica" w:cs="Helvetica"/>
          <w:color w:val="FFFFFF"/>
          <w:sz w:val="13"/>
          <w:szCs w:val="13"/>
        </w:rPr>
        <w:t xml:space="preserve">r&lt;15&gt;2010 20:38 Jun 14, 2013 </w:t>
      </w:r>
      <w:r w:rsidR="00741B34">
        <w:rPr>
          <w:rFonts w:ascii="Helvetica" w:hAnsi="Helvetica" w:cs="Helvetica"/>
          <w:color w:val="FFFFFF"/>
          <w:sz w:val="13"/>
          <w:szCs w:val="13"/>
        </w:rPr>
        <w:t>R\FM\1</w:t>
      </w:r>
      <w:r>
        <w:rPr>
          <w:rFonts w:ascii="Helvetica" w:hAnsi="Helvetica" w:cs="Helvetica"/>
          <w:color w:val="FFFFFF"/>
          <w:sz w:val="10"/>
          <w:szCs w:val="10"/>
        </w:rPr>
        <w:t xml:space="preserve"> PTVN1PROD with NOTICES</w:t>
      </w:r>
    </w:p>
    <w:p w:rsidR="00B047A5" w:rsidRDefault="00B047A5" w:rsidP="00B047A5">
      <w:pPr>
        <w:autoSpaceDE w:val="0"/>
        <w:autoSpaceDN w:val="0"/>
        <w:adjustRightInd w:val="0"/>
        <w:spacing w:after="0" w:line="240" w:lineRule="auto"/>
        <w:rPr>
          <w:rFonts w:ascii="Melior" w:hAnsi="Melior" w:cs="Melior"/>
          <w:color w:val="000000"/>
          <w:sz w:val="20"/>
          <w:szCs w:val="20"/>
        </w:rPr>
      </w:pPr>
      <w:r>
        <w:rPr>
          <w:rFonts w:ascii="Melior-Bold" w:hAnsi="Melior-Bold" w:cs="Melior-Bold"/>
          <w:b/>
          <w:bCs/>
          <w:color w:val="000000"/>
        </w:rPr>
        <w:t xml:space="preserve">36162 </w:t>
      </w:r>
      <w:r>
        <w:rPr>
          <w:rFonts w:ascii="Melior-Bold" w:hAnsi="Melior-Bold" w:cs="Melior-Bold"/>
          <w:b/>
          <w:bCs/>
          <w:color w:val="000000"/>
          <w:sz w:val="20"/>
          <w:szCs w:val="20"/>
        </w:rPr>
        <w:t xml:space="preserve">Federal Register </w:t>
      </w:r>
      <w:r>
        <w:rPr>
          <w:rFonts w:ascii="Melior" w:hAnsi="Melior" w:cs="Melior"/>
          <w:color w:val="000000"/>
          <w:sz w:val="20"/>
          <w:szCs w:val="20"/>
        </w:rPr>
        <w:t>/ Vol. 78, No. 116 / Monday, June 17, 2013 / Notices</w:t>
      </w:r>
    </w:p>
    <w:p w:rsidR="00B047A5" w:rsidRDefault="00B047A5" w:rsidP="00B047A5">
      <w:pPr>
        <w:autoSpaceDE w:val="0"/>
        <w:autoSpaceDN w:val="0"/>
        <w:adjustRightInd w:val="0"/>
        <w:spacing w:after="0" w:line="240" w:lineRule="auto"/>
        <w:rPr>
          <w:rFonts w:ascii="Melior" w:hAnsi="Melior" w:cs="Melior"/>
          <w:color w:val="000000"/>
          <w:sz w:val="16"/>
          <w:szCs w:val="16"/>
        </w:rPr>
      </w:pPr>
      <w:r>
        <w:rPr>
          <w:rFonts w:ascii="Melior-Bold" w:hAnsi="Melior-Bold" w:cs="Melior-Bold"/>
          <w:b/>
          <w:bCs/>
          <w:color w:val="000000"/>
          <w:sz w:val="16"/>
          <w:szCs w:val="16"/>
        </w:rPr>
        <w:t xml:space="preserve">Authority: </w:t>
      </w:r>
      <w:r>
        <w:rPr>
          <w:rFonts w:ascii="Melior" w:hAnsi="Melior" w:cs="Melior"/>
          <w:color w:val="000000"/>
          <w:sz w:val="16"/>
          <w:szCs w:val="16"/>
        </w:rPr>
        <w:t>These data will be collected</w:t>
      </w:r>
      <w:r w:rsidR="004A654A">
        <w:rPr>
          <w:rFonts w:ascii="Melior" w:hAnsi="Melior" w:cs="Melior"/>
          <w:color w:val="000000"/>
          <w:sz w:val="16"/>
          <w:szCs w:val="16"/>
        </w:rPr>
        <w:t xml:space="preserve"> </w:t>
      </w:r>
      <w:r>
        <w:rPr>
          <w:rFonts w:ascii="Melior" w:hAnsi="Melior" w:cs="Melior"/>
          <w:color w:val="000000"/>
          <w:sz w:val="16"/>
          <w:szCs w:val="16"/>
        </w:rPr>
        <w:t>under the authority of 7 U.S.C. 2204(a) and</w:t>
      </w:r>
      <w:r w:rsidR="004A654A">
        <w:rPr>
          <w:rFonts w:ascii="Melior" w:hAnsi="Melior" w:cs="Melior"/>
          <w:color w:val="000000"/>
          <w:sz w:val="16"/>
          <w:szCs w:val="16"/>
        </w:rPr>
        <w:t xml:space="preserve"> </w:t>
      </w:r>
      <w:r>
        <w:rPr>
          <w:rFonts w:ascii="Melior" w:hAnsi="Melior" w:cs="Melior"/>
          <w:color w:val="000000"/>
          <w:sz w:val="16"/>
          <w:szCs w:val="16"/>
        </w:rPr>
        <w:t>7 U.S.C. 2661. ERS will comply with OMB</w:t>
      </w:r>
      <w:r w:rsidR="004A654A">
        <w:rPr>
          <w:rFonts w:ascii="Melior" w:hAnsi="Melior" w:cs="Melior"/>
          <w:color w:val="000000"/>
          <w:sz w:val="16"/>
          <w:szCs w:val="16"/>
        </w:rPr>
        <w:t xml:space="preserve"> </w:t>
      </w:r>
      <w:r>
        <w:rPr>
          <w:rFonts w:ascii="Melior" w:hAnsi="Melior" w:cs="Melior"/>
          <w:color w:val="000000"/>
          <w:sz w:val="16"/>
          <w:szCs w:val="16"/>
        </w:rPr>
        <w:t>Implementation Guidance, ‘‘Implementation</w:t>
      </w:r>
      <w:r w:rsidR="004A654A">
        <w:rPr>
          <w:rFonts w:ascii="Melior" w:hAnsi="Melior" w:cs="Melior"/>
          <w:color w:val="000000"/>
          <w:sz w:val="16"/>
          <w:szCs w:val="16"/>
        </w:rPr>
        <w:t xml:space="preserve"> </w:t>
      </w:r>
      <w:r>
        <w:rPr>
          <w:rFonts w:ascii="Melior" w:hAnsi="Melior" w:cs="Melior"/>
          <w:color w:val="000000"/>
          <w:sz w:val="16"/>
          <w:szCs w:val="16"/>
        </w:rPr>
        <w:t>Guidance for Title V of the E-Government</w:t>
      </w:r>
      <w:r w:rsidR="004A654A">
        <w:rPr>
          <w:rFonts w:ascii="Melior" w:hAnsi="Melior" w:cs="Melior"/>
          <w:color w:val="000000"/>
          <w:sz w:val="16"/>
          <w:szCs w:val="16"/>
        </w:rPr>
        <w:t xml:space="preserve"> </w:t>
      </w:r>
      <w:r>
        <w:rPr>
          <w:rFonts w:ascii="Melior" w:hAnsi="Melior" w:cs="Melior"/>
          <w:color w:val="000000"/>
          <w:sz w:val="16"/>
          <w:szCs w:val="16"/>
        </w:rPr>
        <w:t>Act, Confidential Information Protection and</w:t>
      </w:r>
      <w:r w:rsidR="004A654A">
        <w:rPr>
          <w:rFonts w:ascii="Melior" w:hAnsi="Melior" w:cs="Melior"/>
          <w:color w:val="000000"/>
          <w:sz w:val="16"/>
          <w:szCs w:val="16"/>
        </w:rPr>
        <w:t xml:space="preserve"> </w:t>
      </w:r>
      <w:r>
        <w:rPr>
          <w:rFonts w:ascii="Melior" w:hAnsi="Melior" w:cs="Melior"/>
          <w:color w:val="000000"/>
          <w:sz w:val="16"/>
          <w:szCs w:val="16"/>
        </w:rPr>
        <w:t>Statistical Efficiency Act of 2002 (CIPSEA)’’,</w:t>
      </w:r>
    </w:p>
    <w:p w:rsidR="00B047A5" w:rsidRDefault="00B047A5" w:rsidP="00B047A5">
      <w:pPr>
        <w:autoSpaceDE w:val="0"/>
        <w:autoSpaceDN w:val="0"/>
        <w:adjustRightInd w:val="0"/>
        <w:spacing w:after="0" w:line="240" w:lineRule="auto"/>
        <w:rPr>
          <w:rFonts w:ascii="Melior" w:hAnsi="Melior" w:cs="Melior"/>
          <w:color w:val="000000"/>
          <w:sz w:val="16"/>
          <w:szCs w:val="16"/>
        </w:rPr>
      </w:pPr>
      <w:r>
        <w:rPr>
          <w:rFonts w:ascii="Melior" w:hAnsi="Melior" w:cs="Melior"/>
          <w:color w:val="000000"/>
          <w:sz w:val="16"/>
          <w:szCs w:val="16"/>
        </w:rPr>
        <w:t>72 FR 33362, June 15, 2007. Respondent</w:t>
      </w:r>
      <w:r w:rsidR="004A654A">
        <w:rPr>
          <w:rFonts w:ascii="Melior" w:hAnsi="Melior" w:cs="Melior"/>
          <w:color w:val="000000"/>
          <w:sz w:val="16"/>
          <w:szCs w:val="16"/>
        </w:rPr>
        <w:t xml:space="preserve"> </w:t>
      </w:r>
      <w:r>
        <w:rPr>
          <w:rFonts w:ascii="Melior" w:hAnsi="Melior" w:cs="Melior"/>
          <w:color w:val="000000"/>
          <w:sz w:val="16"/>
          <w:szCs w:val="16"/>
        </w:rPr>
        <w:t xml:space="preserve">information will be </w:t>
      </w:r>
      <w:r>
        <w:rPr>
          <w:rFonts w:ascii="Melior" w:hAnsi="Melior" w:cs="Melior"/>
          <w:color w:val="000000"/>
          <w:sz w:val="16"/>
          <w:szCs w:val="16"/>
        </w:rPr>
        <w:lastRenderedPageBreak/>
        <w:t>protected under the</w:t>
      </w:r>
      <w:r w:rsidR="004A654A">
        <w:rPr>
          <w:rFonts w:ascii="Melior" w:hAnsi="Melior" w:cs="Melior"/>
          <w:color w:val="000000"/>
          <w:sz w:val="16"/>
          <w:szCs w:val="16"/>
        </w:rPr>
        <w:t xml:space="preserve"> </w:t>
      </w:r>
      <w:r>
        <w:rPr>
          <w:rFonts w:ascii="Melior" w:hAnsi="Melior" w:cs="Melior"/>
          <w:color w:val="000000"/>
          <w:sz w:val="16"/>
          <w:szCs w:val="16"/>
        </w:rPr>
        <w:t>CIPSEA and the 7 U.S.C. 2276.</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Estimate of Burden: </w:t>
      </w:r>
      <w:r>
        <w:rPr>
          <w:rFonts w:ascii="Melior" w:hAnsi="Melior" w:cs="Melior"/>
          <w:color w:val="000000"/>
          <w:sz w:val="18"/>
          <w:szCs w:val="18"/>
        </w:rPr>
        <w:t>Public reporting</w:t>
      </w:r>
      <w:r w:rsidR="004A654A">
        <w:rPr>
          <w:rFonts w:ascii="Melior" w:hAnsi="Melior" w:cs="Melior"/>
          <w:color w:val="000000"/>
          <w:sz w:val="18"/>
          <w:szCs w:val="18"/>
        </w:rPr>
        <w:t xml:space="preserve"> </w:t>
      </w:r>
      <w:r>
        <w:rPr>
          <w:rFonts w:ascii="Melior" w:hAnsi="Melior" w:cs="Melior"/>
          <w:color w:val="000000"/>
          <w:sz w:val="18"/>
          <w:szCs w:val="18"/>
        </w:rPr>
        <w:t>burden for this collection of information</w:t>
      </w:r>
      <w:r w:rsidR="004A654A">
        <w:rPr>
          <w:rFonts w:ascii="Melior" w:hAnsi="Melior" w:cs="Melior"/>
          <w:color w:val="000000"/>
          <w:sz w:val="18"/>
          <w:szCs w:val="18"/>
        </w:rPr>
        <w:t xml:space="preserve"> </w:t>
      </w:r>
      <w:r>
        <w:rPr>
          <w:rFonts w:ascii="Melior" w:hAnsi="Melior" w:cs="Melior"/>
          <w:color w:val="000000"/>
          <w:sz w:val="18"/>
          <w:szCs w:val="18"/>
        </w:rPr>
        <w:t>is estimated to average 0.91 hours per</w:t>
      </w:r>
      <w:r w:rsidR="004A654A">
        <w:rPr>
          <w:rFonts w:ascii="Melior" w:hAnsi="Melior" w:cs="Melior"/>
          <w:color w:val="000000"/>
          <w:sz w:val="18"/>
          <w:szCs w:val="18"/>
        </w:rPr>
        <w:t xml:space="preserve"> </w:t>
      </w:r>
      <w:r>
        <w:rPr>
          <w:rFonts w:ascii="Melior" w:hAnsi="Melior" w:cs="Melior"/>
          <w:color w:val="000000"/>
          <w:sz w:val="18"/>
          <w:szCs w:val="18"/>
        </w:rPr>
        <w:t>response.</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Type of Respondents: </w:t>
      </w:r>
      <w:r>
        <w:rPr>
          <w:rFonts w:ascii="Melior" w:hAnsi="Melior" w:cs="Melior"/>
          <w:color w:val="000000"/>
          <w:sz w:val="18"/>
          <w:szCs w:val="18"/>
        </w:rPr>
        <w:t>Respondents to</w:t>
      </w:r>
      <w:r w:rsidR="00AB468A">
        <w:rPr>
          <w:rFonts w:ascii="Melior" w:hAnsi="Melior" w:cs="Melior"/>
          <w:color w:val="000000"/>
          <w:sz w:val="18"/>
          <w:szCs w:val="18"/>
        </w:rPr>
        <w:t xml:space="preserve"> </w:t>
      </w:r>
      <w:r>
        <w:rPr>
          <w:rFonts w:ascii="Melior" w:hAnsi="Melior" w:cs="Melior"/>
          <w:color w:val="000000"/>
          <w:sz w:val="18"/>
          <w:szCs w:val="18"/>
        </w:rPr>
        <w:t>the first phase key informant telephone</w:t>
      </w:r>
      <w:r w:rsidR="00AB468A">
        <w:rPr>
          <w:rFonts w:ascii="Melior" w:hAnsi="Melior" w:cs="Melior"/>
          <w:color w:val="000000"/>
          <w:sz w:val="18"/>
          <w:szCs w:val="18"/>
        </w:rPr>
        <w:t xml:space="preserve"> </w:t>
      </w:r>
      <w:r>
        <w:rPr>
          <w:rFonts w:ascii="Melior" w:hAnsi="Melior" w:cs="Melior"/>
          <w:color w:val="000000"/>
          <w:sz w:val="18"/>
          <w:szCs w:val="18"/>
        </w:rPr>
        <w:t>interviews will include chief executive</w:t>
      </w:r>
      <w:r w:rsidR="00741B34">
        <w:rPr>
          <w:rFonts w:ascii="Melior" w:hAnsi="Melior" w:cs="Melior"/>
          <w:color w:val="000000"/>
          <w:sz w:val="18"/>
          <w:szCs w:val="18"/>
        </w:rPr>
        <w:t xml:space="preserve"> </w:t>
      </w:r>
      <w:r>
        <w:rPr>
          <w:rFonts w:ascii="Melior" w:hAnsi="Melior" w:cs="Melior"/>
          <w:color w:val="000000"/>
          <w:sz w:val="18"/>
          <w:szCs w:val="18"/>
        </w:rPr>
        <w:t>officers (or their designated</w:t>
      </w:r>
      <w:r w:rsidR="00741B34">
        <w:rPr>
          <w:rFonts w:ascii="Melior" w:hAnsi="Melior" w:cs="Melior"/>
          <w:color w:val="000000"/>
          <w:sz w:val="18"/>
          <w:szCs w:val="18"/>
        </w:rPr>
        <w:t xml:space="preserve"> </w:t>
      </w:r>
      <w:r>
        <w:rPr>
          <w:rFonts w:ascii="Melior" w:hAnsi="Melior" w:cs="Melior"/>
          <w:color w:val="000000"/>
          <w:sz w:val="18"/>
          <w:szCs w:val="18"/>
        </w:rPr>
        <w:t>representatives) of the towns,</w:t>
      </w:r>
      <w:r w:rsidR="00741B34">
        <w:rPr>
          <w:rFonts w:ascii="Melior" w:hAnsi="Melior" w:cs="Melior"/>
          <w:color w:val="000000"/>
          <w:sz w:val="18"/>
          <w:szCs w:val="18"/>
        </w:rPr>
        <w:t xml:space="preserve"> </w:t>
      </w:r>
      <w:r>
        <w:rPr>
          <w:rFonts w:ascii="Melior" w:hAnsi="Melior" w:cs="Melior"/>
          <w:color w:val="000000"/>
          <w:sz w:val="18"/>
          <w:szCs w:val="18"/>
        </w:rPr>
        <w:t>administrators of health care facilities</w:t>
      </w:r>
      <w:r w:rsidR="00741B34">
        <w:rPr>
          <w:rFonts w:ascii="Melior" w:hAnsi="Melior" w:cs="Melior"/>
          <w:color w:val="000000"/>
          <w:sz w:val="18"/>
          <w:szCs w:val="18"/>
        </w:rPr>
        <w:t xml:space="preserve"> </w:t>
      </w:r>
      <w:r>
        <w:rPr>
          <w:rFonts w:ascii="Melior" w:hAnsi="Melior" w:cs="Melior"/>
          <w:color w:val="000000"/>
          <w:sz w:val="18"/>
          <w:szCs w:val="18"/>
        </w:rPr>
        <w:t>(in towns having such facilities), or</w:t>
      </w:r>
      <w:r w:rsidR="00741B34">
        <w:rPr>
          <w:rFonts w:ascii="Melior" w:hAnsi="Melior" w:cs="Melior"/>
          <w:color w:val="000000"/>
          <w:sz w:val="18"/>
          <w:szCs w:val="18"/>
        </w:rPr>
        <w:t xml:space="preserve"> </w:t>
      </w:r>
      <w:r>
        <w:rPr>
          <w:rFonts w:ascii="Melior" w:hAnsi="Melior" w:cs="Melior"/>
          <w:color w:val="000000"/>
          <w:sz w:val="18"/>
          <w:szCs w:val="18"/>
        </w:rPr>
        <w:t>other individuals knowledgeable about</w:t>
      </w:r>
      <w:r w:rsidR="00741B34">
        <w:rPr>
          <w:rFonts w:ascii="Melior" w:hAnsi="Melior" w:cs="Melior"/>
          <w:color w:val="000000"/>
          <w:sz w:val="18"/>
          <w:szCs w:val="18"/>
        </w:rPr>
        <w:t xml:space="preserve"> </w:t>
      </w:r>
      <w:r>
        <w:rPr>
          <w:rFonts w:ascii="Melior" w:hAnsi="Melior" w:cs="Melior"/>
          <w:color w:val="000000"/>
          <w:sz w:val="18"/>
          <w:szCs w:val="18"/>
        </w:rPr>
        <w:t>health care (particularly in towns not</w:t>
      </w:r>
      <w:r w:rsidR="00741B34">
        <w:rPr>
          <w:rFonts w:ascii="Melior" w:hAnsi="Melior" w:cs="Melior"/>
          <w:color w:val="000000"/>
          <w:sz w:val="18"/>
          <w:szCs w:val="18"/>
        </w:rPr>
        <w:t xml:space="preserve"> </w:t>
      </w:r>
      <w:r>
        <w:rPr>
          <w:rFonts w:ascii="Melior" w:hAnsi="Melior" w:cs="Melior"/>
          <w:color w:val="000000"/>
          <w:sz w:val="18"/>
          <w:szCs w:val="18"/>
        </w:rPr>
        <w:t>having such facilities) in the 150 rural</w:t>
      </w:r>
      <w:r w:rsidR="00741B34">
        <w:rPr>
          <w:rFonts w:ascii="Melior" w:hAnsi="Melior" w:cs="Melior"/>
          <w:color w:val="000000"/>
          <w:sz w:val="18"/>
          <w:szCs w:val="18"/>
        </w:rPr>
        <w:t xml:space="preserve"> </w:t>
      </w:r>
      <w:r>
        <w:rPr>
          <w:rFonts w:ascii="Melior" w:hAnsi="Melior" w:cs="Melior"/>
          <w:color w:val="000000"/>
          <w:sz w:val="18"/>
          <w:szCs w:val="18"/>
        </w:rPr>
        <w:t>small towns selected for the study.</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Respondents in the second phase</w:t>
      </w:r>
      <w:r w:rsidR="00741B34">
        <w:rPr>
          <w:rFonts w:ascii="Melior" w:hAnsi="Melior" w:cs="Melior"/>
          <w:color w:val="000000"/>
          <w:sz w:val="18"/>
          <w:szCs w:val="18"/>
        </w:rPr>
        <w:t xml:space="preserve"> </w:t>
      </w:r>
      <w:r>
        <w:rPr>
          <w:rFonts w:ascii="Melior" w:hAnsi="Melior" w:cs="Melior"/>
          <w:color w:val="000000"/>
          <w:sz w:val="18"/>
          <w:szCs w:val="18"/>
        </w:rPr>
        <w:t>telephone survey will include primary</w:t>
      </w:r>
      <w:r w:rsidR="00741B34">
        <w:rPr>
          <w:rFonts w:ascii="Melior" w:hAnsi="Melior" w:cs="Melior"/>
          <w:color w:val="000000"/>
          <w:sz w:val="18"/>
          <w:szCs w:val="18"/>
        </w:rPr>
        <w:t xml:space="preserve"> </w:t>
      </w:r>
      <w:r>
        <w:rPr>
          <w:rFonts w:ascii="Melior" w:hAnsi="Melior" w:cs="Melior"/>
          <w:color w:val="000000"/>
          <w:sz w:val="18"/>
          <w:szCs w:val="18"/>
        </w:rPr>
        <w:t>health care providers in the selected</w:t>
      </w:r>
      <w:r w:rsidR="00741B34">
        <w:rPr>
          <w:rFonts w:ascii="Melior" w:hAnsi="Melior" w:cs="Melior"/>
          <w:color w:val="000000"/>
          <w:sz w:val="18"/>
          <w:szCs w:val="18"/>
        </w:rPr>
        <w:t xml:space="preserve"> </w:t>
      </w:r>
      <w:r>
        <w:rPr>
          <w:rFonts w:ascii="Melior" w:hAnsi="Melior" w:cs="Melior"/>
          <w:color w:val="000000"/>
          <w:sz w:val="18"/>
          <w:szCs w:val="18"/>
        </w:rPr>
        <w:t>towns, including primary care</w:t>
      </w:r>
      <w:r w:rsidR="00741B34">
        <w:rPr>
          <w:rFonts w:ascii="Melior" w:hAnsi="Melior" w:cs="Melior"/>
          <w:color w:val="000000"/>
          <w:sz w:val="18"/>
          <w:szCs w:val="18"/>
        </w:rPr>
        <w:t xml:space="preserve"> </w:t>
      </w:r>
      <w:r>
        <w:rPr>
          <w:rFonts w:ascii="Melior" w:hAnsi="Melior" w:cs="Melior"/>
          <w:color w:val="000000"/>
          <w:sz w:val="18"/>
          <w:szCs w:val="18"/>
        </w:rPr>
        <w:t>physicians, physician</w:t>
      </w:r>
      <w:r w:rsidR="00741B34">
        <w:rPr>
          <w:rFonts w:ascii="Melior" w:hAnsi="Melior" w:cs="Melior"/>
          <w:color w:val="000000"/>
          <w:sz w:val="18"/>
          <w:szCs w:val="18"/>
        </w:rPr>
        <w:t xml:space="preserve"> </w:t>
      </w:r>
      <w:r>
        <w:rPr>
          <w:rFonts w:ascii="Melior" w:hAnsi="Melior" w:cs="Melior"/>
          <w:color w:val="000000"/>
          <w:sz w:val="18"/>
          <w:szCs w:val="18"/>
        </w:rPr>
        <w:t>assistants, nurse</w:t>
      </w:r>
      <w:r w:rsidR="00741B34">
        <w:rPr>
          <w:rFonts w:ascii="Melior" w:hAnsi="Melior" w:cs="Melior"/>
          <w:color w:val="000000"/>
          <w:sz w:val="18"/>
          <w:szCs w:val="18"/>
        </w:rPr>
        <w:t xml:space="preserve"> </w:t>
      </w:r>
      <w:r>
        <w:rPr>
          <w:rFonts w:ascii="Melior" w:hAnsi="Melior" w:cs="Melior"/>
          <w:color w:val="000000"/>
          <w:sz w:val="18"/>
          <w:szCs w:val="18"/>
        </w:rPr>
        <w:t>practitioners, certified nurse midwives,</w:t>
      </w:r>
      <w:r w:rsidR="00741B34">
        <w:rPr>
          <w:rFonts w:ascii="Melior" w:hAnsi="Melior" w:cs="Melior"/>
          <w:color w:val="000000"/>
          <w:sz w:val="18"/>
          <w:szCs w:val="18"/>
        </w:rPr>
        <w:t xml:space="preserve"> </w:t>
      </w:r>
      <w:r>
        <w:rPr>
          <w:rFonts w:ascii="Melior" w:hAnsi="Melior" w:cs="Melior"/>
          <w:color w:val="000000"/>
          <w:sz w:val="18"/>
          <w:szCs w:val="18"/>
        </w:rPr>
        <w:t>and dentists. Respondents in the third</w:t>
      </w:r>
      <w:r w:rsidR="00741B34">
        <w:rPr>
          <w:rFonts w:ascii="Melior" w:hAnsi="Melior" w:cs="Melior"/>
          <w:color w:val="000000"/>
          <w:sz w:val="18"/>
          <w:szCs w:val="18"/>
        </w:rPr>
        <w:t xml:space="preserve"> </w:t>
      </w:r>
      <w:r>
        <w:rPr>
          <w:rFonts w:ascii="Melior" w:hAnsi="Melior" w:cs="Melior"/>
          <w:color w:val="000000"/>
          <w:sz w:val="18"/>
          <w:szCs w:val="18"/>
        </w:rPr>
        <w:t>phase focus groups and in-person key</w:t>
      </w:r>
      <w:r w:rsidR="00741B34">
        <w:rPr>
          <w:rFonts w:ascii="Melior" w:hAnsi="Melior" w:cs="Melior"/>
          <w:color w:val="000000"/>
          <w:sz w:val="18"/>
          <w:szCs w:val="18"/>
        </w:rPr>
        <w:t xml:space="preserve"> </w:t>
      </w:r>
      <w:r>
        <w:rPr>
          <w:rFonts w:ascii="Melior" w:hAnsi="Melior" w:cs="Melior"/>
          <w:color w:val="000000"/>
          <w:sz w:val="18"/>
          <w:szCs w:val="18"/>
        </w:rPr>
        <w:t>informant interviews will include</w:t>
      </w:r>
      <w:r w:rsidR="00741B34">
        <w:rPr>
          <w:rFonts w:ascii="Melior" w:hAnsi="Melior" w:cs="Melior"/>
          <w:color w:val="000000"/>
          <w:sz w:val="18"/>
          <w:szCs w:val="18"/>
        </w:rPr>
        <w:t xml:space="preserve"> </w:t>
      </w:r>
      <w:r>
        <w:rPr>
          <w:rFonts w:ascii="Melior" w:hAnsi="Melior" w:cs="Melior"/>
          <w:color w:val="000000"/>
          <w:sz w:val="18"/>
          <w:szCs w:val="18"/>
        </w:rPr>
        <w:t>representatives of local government, the</w:t>
      </w:r>
      <w:r w:rsidR="00741B34">
        <w:rPr>
          <w:rFonts w:ascii="Melior" w:hAnsi="Melior" w:cs="Melior"/>
          <w:color w:val="000000"/>
          <w:sz w:val="18"/>
          <w:szCs w:val="18"/>
        </w:rPr>
        <w:t xml:space="preserve"> </w:t>
      </w:r>
      <w:r>
        <w:rPr>
          <w:rFonts w:ascii="Melior" w:hAnsi="Melior" w:cs="Melior"/>
          <w:color w:val="000000"/>
          <w:sz w:val="18"/>
          <w:szCs w:val="18"/>
        </w:rPr>
        <w:t>local health care industry, businesses,</w:t>
      </w:r>
      <w:r w:rsidR="00741B34">
        <w:rPr>
          <w:rFonts w:ascii="Melior" w:hAnsi="Melior" w:cs="Melior"/>
          <w:color w:val="000000"/>
          <w:sz w:val="18"/>
          <w:szCs w:val="18"/>
        </w:rPr>
        <w:t xml:space="preserve"> </w:t>
      </w:r>
      <w:r>
        <w:rPr>
          <w:rFonts w:ascii="Melior" w:hAnsi="Melior" w:cs="Melior"/>
          <w:color w:val="000000"/>
          <w:sz w:val="18"/>
          <w:szCs w:val="18"/>
        </w:rPr>
        <w:t>and non-profit organizations concerned</w:t>
      </w:r>
      <w:r w:rsidR="00741B34">
        <w:rPr>
          <w:rFonts w:ascii="Melior" w:hAnsi="Melior" w:cs="Melior"/>
          <w:color w:val="000000"/>
          <w:sz w:val="18"/>
          <w:szCs w:val="18"/>
        </w:rPr>
        <w:t xml:space="preserve"> </w:t>
      </w:r>
      <w:r>
        <w:rPr>
          <w:rFonts w:ascii="Melior" w:hAnsi="Melior" w:cs="Melior"/>
          <w:color w:val="000000"/>
          <w:sz w:val="18"/>
          <w:szCs w:val="18"/>
        </w:rPr>
        <w:t>with health care and/or economic</w:t>
      </w:r>
      <w:r w:rsidR="00741B34">
        <w:rPr>
          <w:rFonts w:ascii="Melior" w:hAnsi="Melior" w:cs="Melior"/>
          <w:color w:val="000000"/>
          <w:sz w:val="18"/>
          <w:szCs w:val="18"/>
        </w:rPr>
        <w:t xml:space="preserve"> </w:t>
      </w:r>
      <w:r>
        <w:rPr>
          <w:rFonts w:ascii="Melior" w:hAnsi="Melior" w:cs="Melior"/>
          <w:color w:val="000000"/>
          <w:sz w:val="18"/>
          <w:szCs w:val="18"/>
        </w:rPr>
        <w:t>development.</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Estimated Number of Respondents: </w:t>
      </w:r>
      <w:r>
        <w:rPr>
          <w:rFonts w:ascii="Melior" w:hAnsi="Melior" w:cs="Melior"/>
          <w:color w:val="000000"/>
          <w:sz w:val="18"/>
          <w:szCs w:val="18"/>
        </w:rPr>
        <w:t>(i)</w:t>
      </w:r>
      <w:r w:rsidR="00741B34">
        <w:rPr>
          <w:rFonts w:ascii="Melior" w:hAnsi="Melior" w:cs="Melior"/>
          <w:color w:val="000000"/>
          <w:sz w:val="18"/>
          <w:szCs w:val="18"/>
        </w:rPr>
        <w:t xml:space="preserve"> </w:t>
      </w:r>
      <w:r>
        <w:rPr>
          <w:rFonts w:ascii="Melior" w:hAnsi="Melior" w:cs="Melior"/>
          <w:color w:val="000000"/>
          <w:sz w:val="18"/>
          <w:szCs w:val="18"/>
        </w:rPr>
        <w:t>Key informant telephone interviews: 4</w:t>
      </w:r>
      <w:r w:rsidR="00741B34">
        <w:rPr>
          <w:rFonts w:ascii="Melior" w:hAnsi="Melior" w:cs="Melior"/>
          <w:color w:val="000000"/>
          <w:sz w:val="18"/>
          <w:szCs w:val="18"/>
        </w:rPr>
        <w:t xml:space="preserve"> </w:t>
      </w:r>
      <w:r>
        <w:rPr>
          <w:rFonts w:ascii="Melior" w:hAnsi="Melior" w:cs="Melior"/>
          <w:color w:val="000000"/>
          <w:sz w:val="18"/>
          <w:szCs w:val="18"/>
        </w:rPr>
        <w:t xml:space="preserve">respondents per community </w:t>
      </w:r>
      <w:r>
        <w:rPr>
          <w:rFonts w:ascii="Symbol" w:hAnsi="Symbol" w:cs="Symbol"/>
          <w:color w:val="000000"/>
          <w:sz w:val="18"/>
          <w:szCs w:val="18"/>
        </w:rPr>
        <w:t></w:t>
      </w:r>
      <w:r>
        <w:rPr>
          <w:rFonts w:ascii="Symbol" w:hAnsi="Symbol" w:cs="Symbol"/>
          <w:color w:val="000000"/>
          <w:sz w:val="18"/>
          <w:szCs w:val="18"/>
        </w:rPr>
        <w:t></w:t>
      </w:r>
      <w:r>
        <w:rPr>
          <w:rFonts w:ascii="Melior" w:hAnsi="Melior" w:cs="Melior"/>
          <w:color w:val="000000"/>
          <w:sz w:val="18"/>
          <w:szCs w:val="18"/>
        </w:rPr>
        <w:t>150</w:t>
      </w:r>
      <w:r w:rsidR="00741B34">
        <w:rPr>
          <w:rFonts w:ascii="Melior" w:hAnsi="Melior" w:cs="Melior"/>
          <w:color w:val="000000"/>
          <w:sz w:val="18"/>
          <w:szCs w:val="18"/>
        </w:rPr>
        <w:t xml:space="preserve"> </w:t>
      </w:r>
      <w:r>
        <w:rPr>
          <w:rFonts w:ascii="Melior" w:hAnsi="Melior" w:cs="Melior"/>
          <w:color w:val="000000"/>
          <w:sz w:val="18"/>
          <w:szCs w:val="18"/>
        </w:rPr>
        <w:t xml:space="preserve">communities </w:t>
      </w:r>
      <w:r>
        <w:rPr>
          <w:rFonts w:ascii="NewCenturySchlbk-Roman" w:hAnsi="NewCenturySchlbk-Roman" w:cs="NewCenturySchlbk-Roman"/>
          <w:color w:val="000000"/>
          <w:sz w:val="18"/>
          <w:szCs w:val="18"/>
        </w:rPr>
        <w:t xml:space="preserve">= </w:t>
      </w:r>
      <w:r>
        <w:rPr>
          <w:rFonts w:ascii="Melior" w:hAnsi="Melior" w:cs="Melior"/>
          <w:color w:val="000000"/>
          <w:sz w:val="18"/>
          <w:szCs w:val="18"/>
        </w:rPr>
        <w:t>600 respondents</w:t>
      </w:r>
      <w:r w:rsidR="00741B34">
        <w:rPr>
          <w:rFonts w:ascii="Melior" w:hAnsi="Melior" w:cs="Melior"/>
          <w:color w:val="000000"/>
          <w:sz w:val="18"/>
          <w:szCs w:val="18"/>
        </w:rPr>
        <w:t xml:space="preserve"> </w:t>
      </w:r>
      <w:r>
        <w:rPr>
          <w:rFonts w:ascii="Melior" w:hAnsi="Melior" w:cs="Melior"/>
          <w:color w:val="000000"/>
          <w:sz w:val="18"/>
          <w:szCs w:val="18"/>
        </w:rPr>
        <w:t>(assuming 67% response rate); (ii)</w:t>
      </w:r>
      <w:r w:rsidR="00741B34">
        <w:rPr>
          <w:rFonts w:ascii="Melior" w:hAnsi="Melior" w:cs="Melior"/>
          <w:color w:val="000000"/>
          <w:sz w:val="18"/>
          <w:szCs w:val="18"/>
        </w:rPr>
        <w:t xml:space="preserve"> </w:t>
      </w:r>
      <w:r>
        <w:rPr>
          <w:rFonts w:ascii="Melior" w:hAnsi="Melior" w:cs="Melior"/>
          <w:color w:val="000000"/>
          <w:sz w:val="18"/>
          <w:szCs w:val="18"/>
        </w:rPr>
        <w:t>Telephone/mail survey of health care</w:t>
      </w:r>
      <w:r w:rsidR="00741B34">
        <w:rPr>
          <w:rFonts w:ascii="Melior" w:hAnsi="Melior" w:cs="Melior"/>
          <w:color w:val="000000"/>
          <w:sz w:val="18"/>
          <w:szCs w:val="18"/>
        </w:rPr>
        <w:t xml:space="preserve"> </w:t>
      </w:r>
      <w:r>
        <w:rPr>
          <w:rFonts w:ascii="Melior" w:hAnsi="Melior" w:cs="Melior"/>
          <w:color w:val="000000"/>
          <w:sz w:val="18"/>
          <w:szCs w:val="18"/>
        </w:rPr>
        <w:t>providers: 8 respondents per</w:t>
      </w:r>
      <w:r w:rsidR="00741B34">
        <w:rPr>
          <w:rFonts w:ascii="Melior" w:hAnsi="Melior" w:cs="Melior"/>
          <w:color w:val="000000"/>
          <w:sz w:val="18"/>
          <w:szCs w:val="18"/>
        </w:rPr>
        <w:t xml:space="preserve"> </w:t>
      </w:r>
      <w:r>
        <w:rPr>
          <w:rFonts w:ascii="Melior" w:hAnsi="Melior" w:cs="Melior"/>
          <w:color w:val="000000"/>
          <w:sz w:val="18"/>
          <w:szCs w:val="18"/>
        </w:rPr>
        <w:t>community (assuming 80% response</w:t>
      </w:r>
      <w:r w:rsidR="00741B34">
        <w:rPr>
          <w:rFonts w:ascii="Melior" w:hAnsi="Melior" w:cs="Melior"/>
          <w:color w:val="000000"/>
          <w:sz w:val="18"/>
          <w:szCs w:val="18"/>
        </w:rPr>
        <w:t xml:space="preserve"> </w:t>
      </w:r>
      <w:r>
        <w:rPr>
          <w:rFonts w:ascii="Melior" w:hAnsi="Melior" w:cs="Melior"/>
          <w:color w:val="000000"/>
          <w:sz w:val="18"/>
          <w:szCs w:val="18"/>
        </w:rPr>
        <w:t xml:space="preserve">rate) </w:t>
      </w:r>
      <w:r>
        <w:rPr>
          <w:rFonts w:ascii="Symbol" w:hAnsi="Symbol" w:cs="Symbol"/>
          <w:color w:val="000000"/>
          <w:sz w:val="18"/>
          <w:szCs w:val="18"/>
        </w:rPr>
        <w:t></w:t>
      </w:r>
      <w:r>
        <w:rPr>
          <w:rFonts w:ascii="Symbol" w:hAnsi="Symbol" w:cs="Symbol"/>
          <w:color w:val="000000"/>
          <w:sz w:val="18"/>
          <w:szCs w:val="18"/>
        </w:rPr>
        <w:t></w:t>
      </w:r>
      <w:r>
        <w:rPr>
          <w:rFonts w:ascii="Melior" w:hAnsi="Melior" w:cs="Melior"/>
          <w:color w:val="000000"/>
          <w:sz w:val="18"/>
          <w:szCs w:val="18"/>
        </w:rPr>
        <w:t xml:space="preserve">150 communities </w:t>
      </w:r>
      <w:r>
        <w:rPr>
          <w:rFonts w:ascii="NewCenturySchlbk-Roman" w:hAnsi="NewCenturySchlbk-Roman" w:cs="NewCenturySchlbk-Roman"/>
          <w:color w:val="000000"/>
          <w:sz w:val="18"/>
          <w:szCs w:val="18"/>
        </w:rPr>
        <w:t xml:space="preserve">= </w:t>
      </w:r>
      <w:r>
        <w:rPr>
          <w:rFonts w:ascii="Melior" w:hAnsi="Melior" w:cs="Melior"/>
          <w:color w:val="000000"/>
          <w:sz w:val="18"/>
          <w:szCs w:val="18"/>
        </w:rPr>
        <w:t>1,200</w:t>
      </w:r>
      <w:r w:rsidR="00741B34">
        <w:rPr>
          <w:rFonts w:ascii="Melior" w:hAnsi="Melior" w:cs="Melior"/>
          <w:color w:val="000000"/>
          <w:sz w:val="18"/>
          <w:szCs w:val="18"/>
        </w:rPr>
        <w:t xml:space="preserve"> </w:t>
      </w:r>
      <w:r>
        <w:rPr>
          <w:rFonts w:ascii="Melior" w:hAnsi="Melior" w:cs="Melior"/>
          <w:color w:val="000000"/>
          <w:sz w:val="18"/>
          <w:szCs w:val="18"/>
        </w:rPr>
        <w:t>respondents; (iii) Focus group</w:t>
      </w:r>
      <w:r w:rsidR="00741B34">
        <w:rPr>
          <w:rFonts w:ascii="Melior" w:hAnsi="Melior" w:cs="Melior"/>
          <w:color w:val="000000"/>
          <w:sz w:val="18"/>
          <w:szCs w:val="18"/>
        </w:rPr>
        <w:t xml:space="preserve"> </w:t>
      </w:r>
      <w:r>
        <w:rPr>
          <w:rFonts w:ascii="Melior" w:hAnsi="Melior" w:cs="Melior"/>
          <w:color w:val="000000"/>
          <w:sz w:val="18"/>
          <w:szCs w:val="18"/>
        </w:rPr>
        <w:t>participants and key informant</w:t>
      </w:r>
      <w:r w:rsidR="00741B34">
        <w:rPr>
          <w:rFonts w:ascii="Melior" w:hAnsi="Melior" w:cs="Melior"/>
          <w:color w:val="000000"/>
          <w:sz w:val="18"/>
          <w:szCs w:val="18"/>
        </w:rPr>
        <w:t xml:space="preserve"> </w:t>
      </w:r>
      <w:r>
        <w:rPr>
          <w:rFonts w:ascii="Melior" w:hAnsi="Melior" w:cs="Melior"/>
          <w:color w:val="000000"/>
          <w:sz w:val="18"/>
          <w:szCs w:val="18"/>
        </w:rPr>
        <w:t>interviews: 12 respondents per</w:t>
      </w:r>
      <w:r w:rsidR="00741B34">
        <w:rPr>
          <w:rFonts w:ascii="Melior" w:hAnsi="Melior" w:cs="Melior"/>
          <w:color w:val="000000"/>
          <w:sz w:val="18"/>
          <w:szCs w:val="18"/>
        </w:rPr>
        <w:t xml:space="preserve"> </w:t>
      </w:r>
      <w:r>
        <w:rPr>
          <w:rFonts w:ascii="Melior" w:hAnsi="Melior" w:cs="Melior"/>
          <w:color w:val="000000"/>
          <w:sz w:val="18"/>
          <w:szCs w:val="18"/>
        </w:rPr>
        <w:t xml:space="preserve">community </w:t>
      </w:r>
      <w:r>
        <w:rPr>
          <w:rFonts w:ascii="Symbol" w:hAnsi="Symbol" w:cs="Symbol"/>
          <w:color w:val="000000"/>
          <w:sz w:val="18"/>
          <w:szCs w:val="18"/>
        </w:rPr>
        <w:t></w:t>
      </w:r>
      <w:r>
        <w:rPr>
          <w:rFonts w:ascii="Symbol" w:hAnsi="Symbol" w:cs="Symbol"/>
          <w:color w:val="000000"/>
          <w:sz w:val="18"/>
          <w:szCs w:val="18"/>
        </w:rPr>
        <w:t></w:t>
      </w:r>
      <w:r>
        <w:rPr>
          <w:rFonts w:ascii="Melior" w:hAnsi="Melior" w:cs="Melior"/>
          <w:color w:val="000000"/>
          <w:sz w:val="18"/>
          <w:szCs w:val="18"/>
        </w:rPr>
        <w:t xml:space="preserve">40 communities </w:t>
      </w:r>
      <w:r>
        <w:rPr>
          <w:rFonts w:ascii="NewCenturySchlbk-Roman" w:hAnsi="NewCenturySchlbk-Roman" w:cs="NewCenturySchlbk-Roman"/>
          <w:color w:val="000000"/>
          <w:sz w:val="18"/>
          <w:szCs w:val="18"/>
        </w:rPr>
        <w:t xml:space="preserve">= </w:t>
      </w:r>
      <w:r>
        <w:rPr>
          <w:rFonts w:ascii="Melior" w:hAnsi="Melior" w:cs="Melior"/>
          <w:color w:val="000000"/>
          <w:sz w:val="18"/>
          <w:szCs w:val="18"/>
        </w:rPr>
        <w:t>480</w:t>
      </w:r>
      <w:r w:rsidR="00741B34">
        <w:rPr>
          <w:rFonts w:ascii="Melior" w:hAnsi="Melior" w:cs="Melior"/>
          <w:color w:val="000000"/>
          <w:sz w:val="18"/>
          <w:szCs w:val="18"/>
        </w:rPr>
        <w:t xml:space="preserve"> </w:t>
      </w:r>
      <w:r>
        <w:rPr>
          <w:rFonts w:ascii="Melior" w:hAnsi="Melior" w:cs="Melior"/>
          <w:color w:val="000000"/>
          <w:sz w:val="18"/>
          <w:szCs w:val="18"/>
        </w:rPr>
        <w:t>respondents (assuming 80% response</w:t>
      </w:r>
      <w:r w:rsidR="00741B34">
        <w:rPr>
          <w:rFonts w:ascii="Melior" w:hAnsi="Melior" w:cs="Melior"/>
          <w:color w:val="000000"/>
          <w:sz w:val="18"/>
          <w:szCs w:val="18"/>
        </w:rPr>
        <w:t xml:space="preserve"> </w:t>
      </w:r>
      <w:r>
        <w:rPr>
          <w:rFonts w:ascii="Melior" w:hAnsi="Melior" w:cs="Melior"/>
          <w:color w:val="000000"/>
          <w:sz w:val="18"/>
          <w:szCs w:val="18"/>
        </w:rPr>
        <w:t xml:space="preserve">rate). Total number of respondents </w:t>
      </w:r>
      <w:r>
        <w:rPr>
          <w:rFonts w:ascii="NewCenturySchlbk-Roman" w:hAnsi="NewCenturySchlbk-Roman" w:cs="NewCenturySchlbk-Roman"/>
          <w:color w:val="000000"/>
          <w:sz w:val="18"/>
          <w:szCs w:val="18"/>
        </w:rPr>
        <w:t>=</w:t>
      </w:r>
      <w:r w:rsidR="00741B34">
        <w:rPr>
          <w:rFonts w:ascii="NewCenturySchlbk-Roman" w:hAnsi="NewCenturySchlbk-Roman" w:cs="NewCenturySchlbk-Roman"/>
          <w:color w:val="000000"/>
          <w:sz w:val="18"/>
          <w:szCs w:val="18"/>
        </w:rPr>
        <w:t xml:space="preserve"> </w:t>
      </w:r>
      <w:r>
        <w:rPr>
          <w:rFonts w:ascii="Melior" w:hAnsi="Melior" w:cs="Melior"/>
          <w:color w:val="000000"/>
          <w:sz w:val="18"/>
          <w:szCs w:val="18"/>
        </w:rPr>
        <w:t>2,280. Total number of non-respondents</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NewCenturySchlbk-Roman" w:hAnsi="NewCenturySchlbk-Roman" w:cs="NewCenturySchlbk-Roman"/>
          <w:color w:val="000000"/>
          <w:sz w:val="18"/>
          <w:szCs w:val="18"/>
        </w:rPr>
        <w:t xml:space="preserve">= </w:t>
      </w:r>
      <w:r>
        <w:rPr>
          <w:rFonts w:ascii="Melior" w:hAnsi="Melior" w:cs="Melior"/>
          <w:color w:val="000000"/>
          <w:sz w:val="18"/>
          <w:szCs w:val="18"/>
        </w:rPr>
        <w:t>720.</w:t>
      </w:r>
    </w:p>
    <w:p w:rsidR="00B047A5" w:rsidRDefault="00B047A5" w:rsidP="00B047A5">
      <w:pPr>
        <w:autoSpaceDE w:val="0"/>
        <w:autoSpaceDN w:val="0"/>
        <w:adjustRightInd w:val="0"/>
        <w:spacing w:after="0" w:line="240" w:lineRule="auto"/>
        <w:rPr>
          <w:rFonts w:ascii="Melior" w:hAnsi="Melior" w:cs="Melior"/>
          <w:color w:val="000000"/>
          <w:sz w:val="18"/>
          <w:szCs w:val="18"/>
        </w:rPr>
      </w:pPr>
      <w:proofErr w:type="gramStart"/>
      <w:r>
        <w:rPr>
          <w:rFonts w:ascii="Melior-Italic" w:hAnsi="Melior-Italic" w:cs="Melior-Italic"/>
          <w:i/>
          <w:iCs/>
          <w:color w:val="000000"/>
          <w:sz w:val="18"/>
          <w:szCs w:val="18"/>
        </w:rPr>
        <w:t>Estimated Number of Responses:</w:t>
      </w:r>
      <w:r w:rsidR="00741B34">
        <w:rPr>
          <w:rFonts w:ascii="Melior-Italic" w:hAnsi="Melior-Italic" w:cs="Melior-Italic"/>
          <w:i/>
          <w:iCs/>
          <w:color w:val="000000"/>
          <w:sz w:val="18"/>
          <w:szCs w:val="18"/>
        </w:rPr>
        <w:t xml:space="preserve"> </w:t>
      </w:r>
      <w:r>
        <w:rPr>
          <w:rFonts w:ascii="Melior" w:hAnsi="Melior" w:cs="Melior"/>
          <w:color w:val="000000"/>
          <w:sz w:val="18"/>
          <w:szCs w:val="18"/>
        </w:rPr>
        <w:t>2,280 from respondents, 720 refusals</w:t>
      </w:r>
      <w:r w:rsidR="00741B34">
        <w:rPr>
          <w:rFonts w:ascii="Melior" w:hAnsi="Melior" w:cs="Melior"/>
          <w:color w:val="000000"/>
          <w:sz w:val="18"/>
          <w:szCs w:val="18"/>
        </w:rPr>
        <w:t xml:space="preserve"> </w:t>
      </w:r>
      <w:r>
        <w:rPr>
          <w:rFonts w:ascii="Melior" w:hAnsi="Melior" w:cs="Melior"/>
          <w:color w:val="000000"/>
          <w:sz w:val="18"/>
          <w:szCs w:val="18"/>
        </w:rPr>
        <w:t>from non-respondents.</w:t>
      </w:r>
      <w:proofErr w:type="gramEnd"/>
    </w:p>
    <w:p w:rsidR="00B047A5" w:rsidRDefault="00B047A5" w:rsidP="00B047A5">
      <w:pPr>
        <w:autoSpaceDE w:val="0"/>
        <w:autoSpaceDN w:val="0"/>
        <w:adjustRightInd w:val="0"/>
        <w:spacing w:after="0" w:line="240" w:lineRule="auto"/>
        <w:rPr>
          <w:rFonts w:ascii="Melior-Italic" w:hAnsi="Melior-Italic" w:cs="Melior-Italic"/>
          <w:i/>
          <w:iCs/>
          <w:color w:val="000000"/>
          <w:sz w:val="18"/>
          <w:szCs w:val="18"/>
        </w:rPr>
      </w:pPr>
      <w:r>
        <w:rPr>
          <w:rFonts w:ascii="Melior-Italic" w:hAnsi="Melior-Italic" w:cs="Melior-Italic"/>
          <w:i/>
          <w:iCs/>
          <w:color w:val="000000"/>
          <w:sz w:val="18"/>
          <w:szCs w:val="18"/>
        </w:rPr>
        <w:t>Estimated Number of Responses per</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t xml:space="preserve">Respondent: </w:t>
      </w:r>
      <w:r>
        <w:rPr>
          <w:rFonts w:ascii="Melior" w:hAnsi="Melior" w:cs="Melior"/>
          <w:color w:val="000000"/>
          <w:sz w:val="18"/>
          <w:szCs w:val="18"/>
        </w:rPr>
        <w:t>1.08 maximum, if all</w:t>
      </w:r>
      <w:r w:rsidR="00741B34">
        <w:rPr>
          <w:rFonts w:ascii="Melior" w:hAnsi="Melior" w:cs="Melior"/>
          <w:color w:val="000000"/>
          <w:sz w:val="18"/>
          <w:szCs w:val="18"/>
        </w:rPr>
        <w:t xml:space="preserve"> </w:t>
      </w:r>
      <w:r>
        <w:rPr>
          <w:rFonts w:ascii="Melior" w:hAnsi="Melior" w:cs="Melior"/>
          <w:color w:val="000000"/>
          <w:sz w:val="18"/>
          <w:szCs w:val="18"/>
        </w:rPr>
        <w:t>respondents in first phase key informant</w:t>
      </w:r>
      <w:r w:rsidR="00741B34">
        <w:rPr>
          <w:rFonts w:ascii="Melior" w:hAnsi="Melior" w:cs="Melior"/>
          <w:color w:val="000000"/>
          <w:sz w:val="18"/>
          <w:szCs w:val="18"/>
        </w:rPr>
        <w:t xml:space="preserve"> </w:t>
      </w:r>
      <w:r>
        <w:rPr>
          <w:rFonts w:ascii="Melior" w:hAnsi="Melior" w:cs="Melior"/>
          <w:color w:val="000000"/>
          <w:sz w:val="18"/>
          <w:szCs w:val="18"/>
        </w:rPr>
        <w:t>interviews participate in third phase</w:t>
      </w:r>
      <w:r w:rsidR="00741B34">
        <w:rPr>
          <w:rFonts w:ascii="Melior" w:hAnsi="Melior" w:cs="Melior"/>
          <w:color w:val="000000"/>
          <w:sz w:val="18"/>
          <w:szCs w:val="18"/>
        </w:rPr>
        <w:t xml:space="preserve"> </w:t>
      </w:r>
      <w:r>
        <w:rPr>
          <w:rFonts w:ascii="Melior" w:hAnsi="Melior" w:cs="Melior"/>
          <w:color w:val="000000"/>
          <w:sz w:val="18"/>
          <w:szCs w:val="18"/>
        </w:rPr>
        <w:t>focus groups/interviews.</w:t>
      </w:r>
    </w:p>
    <w:p w:rsidR="00B047A5" w:rsidRDefault="00B047A5" w:rsidP="00B047A5">
      <w:pPr>
        <w:autoSpaceDE w:val="0"/>
        <w:autoSpaceDN w:val="0"/>
        <w:adjustRightInd w:val="0"/>
        <w:spacing w:after="0" w:line="240" w:lineRule="auto"/>
        <w:rPr>
          <w:rFonts w:ascii="Melior-Italic" w:hAnsi="Melior-Italic" w:cs="Melior-Italic"/>
          <w:i/>
          <w:iCs/>
          <w:color w:val="000000"/>
          <w:sz w:val="18"/>
          <w:szCs w:val="18"/>
        </w:rPr>
      </w:pPr>
      <w:r>
        <w:rPr>
          <w:rFonts w:ascii="Melior-Italic" w:hAnsi="Melior-Italic" w:cs="Melior-Italic"/>
          <w:i/>
          <w:iCs/>
          <w:color w:val="000000"/>
          <w:sz w:val="18"/>
          <w:szCs w:val="18"/>
        </w:rPr>
        <w:t>Estimated Total Burden on</w:t>
      </w:r>
    </w:p>
    <w:p w:rsidR="00741B34" w:rsidRDefault="00B047A5" w:rsidP="00B047A5">
      <w:pPr>
        <w:autoSpaceDE w:val="0"/>
        <w:autoSpaceDN w:val="0"/>
        <w:adjustRightInd w:val="0"/>
        <w:spacing w:after="0" w:line="240" w:lineRule="auto"/>
        <w:rPr>
          <w:rFonts w:ascii="Melior" w:hAnsi="Melior" w:cs="Melior"/>
          <w:color w:val="000000"/>
          <w:sz w:val="18"/>
          <w:szCs w:val="18"/>
        </w:rPr>
        <w:sectPr w:rsidR="00741B34" w:rsidSect="00B047A5">
          <w:pgSz w:w="12240" w:h="15840"/>
          <w:pgMar w:top="1440" w:right="1440" w:bottom="1440" w:left="1440" w:header="720" w:footer="720" w:gutter="0"/>
          <w:cols w:num="3" w:space="720"/>
          <w:docGrid w:linePitch="360"/>
        </w:sectPr>
      </w:pPr>
      <w:r>
        <w:rPr>
          <w:rFonts w:ascii="Melior-Italic" w:hAnsi="Melior-Italic" w:cs="Melior-Italic"/>
          <w:i/>
          <w:iCs/>
          <w:color w:val="000000"/>
          <w:sz w:val="18"/>
          <w:szCs w:val="18"/>
        </w:rPr>
        <w:t xml:space="preserve">Respondents: </w:t>
      </w:r>
      <w:r>
        <w:rPr>
          <w:rFonts w:ascii="Melior" w:hAnsi="Melior" w:cs="Melior"/>
          <w:color w:val="000000"/>
          <w:sz w:val="18"/>
          <w:szCs w:val="18"/>
        </w:rPr>
        <w:t>2,730 hours (see table for</w:t>
      </w:r>
      <w:r w:rsidR="00741B34">
        <w:rPr>
          <w:rFonts w:ascii="Melior" w:hAnsi="Melior" w:cs="Melior"/>
          <w:color w:val="000000"/>
          <w:sz w:val="18"/>
          <w:szCs w:val="18"/>
        </w:rPr>
        <w:t xml:space="preserve"> </w:t>
      </w:r>
      <w:r w:rsidR="00791875">
        <w:rPr>
          <w:rFonts w:ascii="Melior" w:hAnsi="Melior" w:cs="Melior"/>
          <w:color w:val="000000"/>
          <w:sz w:val="18"/>
          <w:szCs w:val="18"/>
        </w:rPr>
        <w:t>details).</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Italic" w:hAnsi="Melior-Italic" w:cs="Melior-Italic"/>
          <w:i/>
          <w:iCs/>
          <w:color w:val="000000"/>
          <w:sz w:val="18"/>
          <w:szCs w:val="18"/>
        </w:rPr>
        <w:lastRenderedPageBreak/>
        <w:t xml:space="preserve">Comments: </w:t>
      </w:r>
      <w:r>
        <w:rPr>
          <w:rFonts w:ascii="Melior" w:hAnsi="Melior" w:cs="Melior"/>
          <w:color w:val="000000"/>
          <w:sz w:val="18"/>
          <w:szCs w:val="18"/>
        </w:rPr>
        <w:t>Comments are invited on:</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(1) Whether the proposed collection of</w:t>
      </w:r>
      <w:r w:rsidR="00791875">
        <w:rPr>
          <w:rFonts w:ascii="Melior" w:hAnsi="Melior" w:cs="Melior"/>
          <w:color w:val="000000"/>
          <w:sz w:val="18"/>
          <w:szCs w:val="18"/>
        </w:rPr>
        <w:t xml:space="preserve"> </w:t>
      </w:r>
      <w:r>
        <w:rPr>
          <w:rFonts w:ascii="Melior" w:hAnsi="Melior" w:cs="Melior"/>
          <w:color w:val="000000"/>
          <w:sz w:val="18"/>
          <w:szCs w:val="18"/>
        </w:rPr>
        <w:t>information is necessary for the proper</w:t>
      </w:r>
      <w:r w:rsidR="00791875">
        <w:rPr>
          <w:rFonts w:ascii="Melior" w:hAnsi="Melior" w:cs="Melior"/>
          <w:color w:val="000000"/>
          <w:sz w:val="18"/>
          <w:szCs w:val="18"/>
        </w:rPr>
        <w:t xml:space="preserve"> </w:t>
      </w:r>
      <w:r>
        <w:rPr>
          <w:rFonts w:ascii="Melior" w:hAnsi="Melior" w:cs="Melior"/>
          <w:color w:val="000000"/>
          <w:sz w:val="18"/>
          <w:szCs w:val="18"/>
        </w:rPr>
        <w:t>performance of the functions of the</w:t>
      </w:r>
      <w:r w:rsidR="00791875">
        <w:rPr>
          <w:rFonts w:ascii="Melior" w:hAnsi="Melior" w:cs="Melior"/>
          <w:color w:val="000000"/>
          <w:sz w:val="18"/>
          <w:szCs w:val="18"/>
        </w:rPr>
        <w:t xml:space="preserve"> </w:t>
      </w:r>
      <w:r>
        <w:rPr>
          <w:rFonts w:ascii="Melior" w:hAnsi="Melior" w:cs="Melior"/>
          <w:color w:val="000000"/>
          <w:sz w:val="18"/>
          <w:szCs w:val="18"/>
        </w:rPr>
        <w:t>agency, including whether the</w:t>
      </w:r>
      <w:r w:rsidR="00791875">
        <w:rPr>
          <w:rFonts w:ascii="Melior" w:hAnsi="Melior" w:cs="Melior"/>
          <w:color w:val="000000"/>
          <w:sz w:val="18"/>
          <w:szCs w:val="18"/>
        </w:rPr>
        <w:t xml:space="preserve"> </w:t>
      </w:r>
      <w:r>
        <w:rPr>
          <w:rFonts w:ascii="Melior" w:hAnsi="Melior" w:cs="Melior"/>
          <w:color w:val="000000"/>
          <w:sz w:val="18"/>
          <w:szCs w:val="18"/>
        </w:rPr>
        <w:t>information will have practical</w:t>
      </w:r>
      <w:r w:rsidR="00791875">
        <w:rPr>
          <w:rFonts w:ascii="Melior" w:hAnsi="Melior" w:cs="Melior"/>
          <w:color w:val="000000"/>
          <w:sz w:val="18"/>
          <w:szCs w:val="18"/>
        </w:rPr>
        <w:t xml:space="preserve"> </w:t>
      </w:r>
      <w:r>
        <w:rPr>
          <w:rFonts w:ascii="Melior" w:hAnsi="Melior" w:cs="Melior"/>
          <w:color w:val="000000"/>
          <w:sz w:val="18"/>
          <w:szCs w:val="18"/>
        </w:rPr>
        <w:t>utility;</w:t>
      </w:r>
      <w:r w:rsidR="00791875">
        <w:rPr>
          <w:rFonts w:ascii="Melior" w:hAnsi="Melior" w:cs="Melior"/>
          <w:color w:val="000000"/>
          <w:sz w:val="18"/>
          <w:szCs w:val="18"/>
        </w:rPr>
        <w:t xml:space="preserve"> </w:t>
      </w:r>
      <w:r>
        <w:rPr>
          <w:rFonts w:ascii="Melior" w:hAnsi="Melior" w:cs="Melior"/>
          <w:color w:val="000000"/>
          <w:sz w:val="18"/>
          <w:szCs w:val="18"/>
        </w:rPr>
        <w:t>(2) the accuracy of the agency’s estimate</w:t>
      </w:r>
      <w:r w:rsidR="00791875">
        <w:rPr>
          <w:rFonts w:ascii="Melior" w:hAnsi="Melior" w:cs="Melior"/>
          <w:color w:val="000000"/>
          <w:sz w:val="18"/>
          <w:szCs w:val="18"/>
        </w:rPr>
        <w:t xml:space="preserve"> </w:t>
      </w:r>
      <w:r>
        <w:rPr>
          <w:rFonts w:ascii="Melior" w:hAnsi="Melior" w:cs="Melior"/>
          <w:color w:val="000000"/>
          <w:sz w:val="18"/>
          <w:szCs w:val="18"/>
        </w:rPr>
        <w:t>of the burden of the proposed collection</w:t>
      </w:r>
      <w:r w:rsidR="00791875">
        <w:rPr>
          <w:rFonts w:ascii="Melior" w:hAnsi="Melior" w:cs="Melior"/>
          <w:color w:val="000000"/>
          <w:sz w:val="18"/>
          <w:szCs w:val="18"/>
        </w:rPr>
        <w:t xml:space="preserve"> </w:t>
      </w:r>
      <w:r>
        <w:rPr>
          <w:rFonts w:ascii="Melior" w:hAnsi="Melior" w:cs="Melior"/>
          <w:color w:val="000000"/>
          <w:sz w:val="18"/>
          <w:szCs w:val="18"/>
        </w:rPr>
        <w:t>of information including the validity of</w:t>
      </w:r>
      <w:r w:rsidR="00791875">
        <w:rPr>
          <w:rFonts w:ascii="Melior" w:hAnsi="Melior" w:cs="Melior"/>
          <w:color w:val="000000"/>
          <w:sz w:val="18"/>
          <w:szCs w:val="18"/>
        </w:rPr>
        <w:t xml:space="preserve"> </w:t>
      </w:r>
      <w:r>
        <w:rPr>
          <w:rFonts w:ascii="Melior" w:hAnsi="Melior" w:cs="Melior"/>
          <w:color w:val="000000"/>
          <w:sz w:val="18"/>
          <w:szCs w:val="18"/>
        </w:rPr>
        <w:t>the methodology and assumptions used;</w:t>
      </w:r>
      <w:r w:rsidR="00791875">
        <w:rPr>
          <w:rFonts w:ascii="Melior" w:hAnsi="Melior" w:cs="Melior"/>
          <w:color w:val="000000"/>
          <w:sz w:val="18"/>
          <w:szCs w:val="18"/>
        </w:rPr>
        <w:t xml:space="preserve"> </w:t>
      </w:r>
      <w:r>
        <w:rPr>
          <w:rFonts w:ascii="Melior" w:hAnsi="Melior" w:cs="Melior"/>
          <w:color w:val="000000"/>
          <w:sz w:val="18"/>
          <w:szCs w:val="18"/>
        </w:rPr>
        <w:t>(3) ways to enhance the quality,</w:t>
      </w:r>
      <w:r w:rsidR="00791875">
        <w:rPr>
          <w:rFonts w:ascii="Melior" w:hAnsi="Melior" w:cs="Melior"/>
          <w:color w:val="000000"/>
          <w:sz w:val="18"/>
          <w:szCs w:val="18"/>
        </w:rPr>
        <w:t xml:space="preserve"> </w:t>
      </w:r>
      <w:r>
        <w:rPr>
          <w:rFonts w:ascii="Melior" w:hAnsi="Melior" w:cs="Melior"/>
          <w:color w:val="000000"/>
          <w:sz w:val="18"/>
          <w:szCs w:val="18"/>
        </w:rPr>
        <w:t>utility,</w:t>
      </w:r>
      <w:r w:rsidR="00791875">
        <w:rPr>
          <w:rFonts w:ascii="Melior" w:hAnsi="Melior" w:cs="Melior"/>
          <w:color w:val="000000"/>
          <w:sz w:val="18"/>
          <w:szCs w:val="18"/>
        </w:rPr>
        <w:t xml:space="preserve"> </w:t>
      </w:r>
      <w:r>
        <w:rPr>
          <w:rFonts w:ascii="Melior" w:hAnsi="Melior" w:cs="Melior"/>
          <w:color w:val="000000"/>
          <w:sz w:val="18"/>
          <w:szCs w:val="18"/>
        </w:rPr>
        <w:t>and clarity of the information to be</w:t>
      </w:r>
      <w:r w:rsidR="00791875">
        <w:rPr>
          <w:rFonts w:ascii="Melior" w:hAnsi="Melior" w:cs="Melior"/>
          <w:color w:val="000000"/>
          <w:sz w:val="18"/>
          <w:szCs w:val="18"/>
        </w:rPr>
        <w:t xml:space="preserve"> </w:t>
      </w:r>
      <w:r>
        <w:rPr>
          <w:rFonts w:ascii="Melior" w:hAnsi="Melior" w:cs="Melior"/>
          <w:color w:val="000000"/>
          <w:sz w:val="18"/>
          <w:szCs w:val="18"/>
        </w:rPr>
        <w:t>collected; and (4) ways to minimize the</w:t>
      </w:r>
      <w:r w:rsidR="00791875">
        <w:rPr>
          <w:rFonts w:ascii="Melior" w:hAnsi="Melior" w:cs="Melior"/>
          <w:color w:val="000000"/>
          <w:sz w:val="18"/>
          <w:szCs w:val="18"/>
        </w:rPr>
        <w:t xml:space="preserve"> </w:t>
      </w:r>
      <w:r>
        <w:rPr>
          <w:rFonts w:ascii="Melior" w:hAnsi="Melior" w:cs="Melior"/>
          <w:color w:val="000000"/>
          <w:sz w:val="18"/>
          <w:szCs w:val="18"/>
        </w:rPr>
        <w:t>burden of the collection of information</w:t>
      </w:r>
      <w:r w:rsidR="00791875">
        <w:rPr>
          <w:rFonts w:ascii="Melior" w:hAnsi="Melior" w:cs="Melior"/>
          <w:color w:val="000000"/>
          <w:sz w:val="18"/>
          <w:szCs w:val="18"/>
        </w:rPr>
        <w:t xml:space="preserve"> </w:t>
      </w:r>
      <w:r>
        <w:rPr>
          <w:rFonts w:ascii="Melior" w:hAnsi="Melior" w:cs="Melior"/>
          <w:color w:val="000000"/>
          <w:sz w:val="18"/>
          <w:szCs w:val="18"/>
        </w:rPr>
        <w:t>on those who are to respond, including</w:t>
      </w:r>
      <w:r w:rsidR="00791875">
        <w:rPr>
          <w:rFonts w:ascii="Melior" w:hAnsi="Melior" w:cs="Melior"/>
          <w:color w:val="000000"/>
          <w:sz w:val="18"/>
          <w:szCs w:val="18"/>
        </w:rPr>
        <w:t xml:space="preserve"> </w:t>
      </w:r>
      <w:r>
        <w:rPr>
          <w:rFonts w:ascii="Melior" w:hAnsi="Melior" w:cs="Melior"/>
          <w:color w:val="000000"/>
          <w:sz w:val="18"/>
          <w:szCs w:val="18"/>
        </w:rPr>
        <w:t>the use of appropriate automated,</w:t>
      </w:r>
      <w:r w:rsidR="00791875">
        <w:rPr>
          <w:rFonts w:ascii="Melior" w:hAnsi="Melior" w:cs="Melior"/>
          <w:color w:val="000000"/>
          <w:sz w:val="18"/>
          <w:szCs w:val="18"/>
        </w:rPr>
        <w:t xml:space="preserve"> </w:t>
      </w:r>
      <w:r>
        <w:rPr>
          <w:rFonts w:ascii="Melior" w:hAnsi="Melior" w:cs="Melior"/>
          <w:color w:val="000000"/>
          <w:sz w:val="18"/>
          <w:szCs w:val="18"/>
        </w:rPr>
        <w:t>electronic, mechanical, or other</w:t>
      </w:r>
      <w:r w:rsidR="00791875">
        <w:rPr>
          <w:rFonts w:ascii="Melior" w:hAnsi="Melior" w:cs="Melior"/>
          <w:color w:val="000000"/>
          <w:sz w:val="18"/>
          <w:szCs w:val="18"/>
        </w:rPr>
        <w:t xml:space="preserve"> </w:t>
      </w:r>
      <w:r>
        <w:rPr>
          <w:rFonts w:ascii="Melior" w:hAnsi="Melior" w:cs="Melior"/>
          <w:color w:val="000000"/>
          <w:sz w:val="18"/>
          <w:szCs w:val="18"/>
        </w:rPr>
        <w:t>technological collection techniques or</w:t>
      </w:r>
      <w:r w:rsidR="00791875">
        <w:rPr>
          <w:rFonts w:ascii="Melior" w:hAnsi="Melior" w:cs="Melior"/>
          <w:color w:val="000000"/>
          <w:sz w:val="18"/>
          <w:szCs w:val="18"/>
        </w:rPr>
        <w:t xml:space="preserve"> </w:t>
      </w:r>
      <w:r>
        <w:rPr>
          <w:rFonts w:ascii="Melior" w:hAnsi="Melior" w:cs="Melior"/>
          <w:color w:val="000000"/>
          <w:sz w:val="18"/>
          <w:szCs w:val="18"/>
        </w:rPr>
        <w:t>other forms of information technology.</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Comments may be sent to John Pender,</w:t>
      </w:r>
      <w:r w:rsidR="00791875">
        <w:rPr>
          <w:rFonts w:ascii="Melior" w:hAnsi="Melior" w:cs="Melior"/>
          <w:color w:val="000000"/>
          <w:sz w:val="18"/>
          <w:szCs w:val="18"/>
        </w:rPr>
        <w:t xml:space="preserve"> </w:t>
      </w:r>
      <w:r>
        <w:rPr>
          <w:rFonts w:ascii="Melior" w:hAnsi="Melior" w:cs="Melior"/>
          <w:color w:val="000000"/>
          <w:sz w:val="18"/>
          <w:szCs w:val="18"/>
        </w:rPr>
        <w:t>Resource and Rural Economics Division,</w:t>
      </w:r>
      <w:r w:rsidR="00791875">
        <w:rPr>
          <w:rFonts w:ascii="Melior" w:hAnsi="Melior" w:cs="Melior"/>
          <w:color w:val="000000"/>
          <w:sz w:val="18"/>
          <w:szCs w:val="18"/>
        </w:rPr>
        <w:t xml:space="preserve"> </w:t>
      </w:r>
      <w:r>
        <w:rPr>
          <w:rFonts w:ascii="Melior" w:hAnsi="Melior" w:cs="Melior"/>
          <w:color w:val="000000"/>
          <w:sz w:val="18"/>
          <w:szCs w:val="18"/>
        </w:rPr>
        <w:t>Economic Research Service, U.S.</w:t>
      </w:r>
      <w:r w:rsidR="00791875">
        <w:rPr>
          <w:rFonts w:ascii="Melior" w:hAnsi="Melior" w:cs="Melior"/>
          <w:color w:val="000000"/>
          <w:sz w:val="18"/>
          <w:szCs w:val="18"/>
        </w:rPr>
        <w:t xml:space="preserve"> </w:t>
      </w:r>
      <w:r>
        <w:rPr>
          <w:rFonts w:ascii="Melior" w:hAnsi="Melior" w:cs="Melior"/>
          <w:color w:val="000000"/>
          <w:sz w:val="18"/>
          <w:szCs w:val="18"/>
        </w:rPr>
        <w:t>Department of Agriculture, 1400</w:t>
      </w:r>
      <w:r w:rsidR="00791875">
        <w:rPr>
          <w:rFonts w:ascii="Melior" w:hAnsi="Melior" w:cs="Melior"/>
          <w:color w:val="000000"/>
          <w:sz w:val="18"/>
          <w:szCs w:val="18"/>
        </w:rPr>
        <w:t xml:space="preserve"> </w:t>
      </w:r>
      <w:r>
        <w:rPr>
          <w:rFonts w:ascii="Melior" w:hAnsi="Melior" w:cs="Melior"/>
          <w:color w:val="000000"/>
          <w:sz w:val="18"/>
          <w:szCs w:val="18"/>
        </w:rPr>
        <w:t>Independence Ave. SW., Mailstop 1800,</w:t>
      </w:r>
      <w:r w:rsidR="00791875">
        <w:rPr>
          <w:rFonts w:ascii="Melior" w:hAnsi="Melior" w:cs="Melior"/>
          <w:color w:val="000000"/>
          <w:sz w:val="18"/>
          <w:szCs w:val="18"/>
        </w:rPr>
        <w:t xml:space="preserve"> </w:t>
      </w:r>
      <w:proofErr w:type="gramStart"/>
      <w:r>
        <w:rPr>
          <w:rFonts w:ascii="Melior" w:hAnsi="Melior" w:cs="Melior"/>
          <w:color w:val="000000"/>
          <w:sz w:val="18"/>
          <w:szCs w:val="18"/>
        </w:rPr>
        <w:t>Washington</w:t>
      </w:r>
      <w:proofErr w:type="gramEnd"/>
      <w:r>
        <w:rPr>
          <w:rFonts w:ascii="Melior" w:hAnsi="Melior" w:cs="Melior"/>
          <w:color w:val="000000"/>
          <w:sz w:val="18"/>
          <w:szCs w:val="18"/>
        </w:rPr>
        <w:t>, DC 20250–0002.</w:t>
      </w:r>
    </w:p>
    <w:p w:rsidR="00B047A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Comments may also be submitted via</w:t>
      </w:r>
      <w:r w:rsidR="00791875">
        <w:rPr>
          <w:rFonts w:ascii="Melior" w:hAnsi="Melior" w:cs="Melior"/>
          <w:color w:val="000000"/>
          <w:sz w:val="18"/>
          <w:szCs w:val="18"/>
        </w:rPr>
        <w:t xml:space="preserve"> </w:t>
      </w:r>
      <w:r>
        <w:rPr>
          <w:rFonts w:ascii="Melior" w:hAnsi="Melior" w:cs="Melior"/>
          <w:color w:val="000000"/>
          <w:sz w:val="18"/>
          <w:szCs w:val="18"/>
        </w:rPr>
        <w:t>fax to the attention of John Pender at</w:t>
      </w:r>
      <w:r w:rsidR="00791875">
        <w:rPr>
          <w:rFonts w:ascii="Melior" w:hAnsi="Melior" w:cs="Melior"/>
          <w:color w:val="000000"/>
          <w:sz w:val="18"/>
          <w:szCs w:val="18"/>
        </w:rPr>
        <w:t xml:space="preserve"> </w:t>
      </w:r>
      <w:r>
        <w:rPr>
          <w:rFonts w:ascii="Melior" w:hAnsi="Melior" w:cs="Melior"/>
          <w:color w:val="000000"/>
          <w:sz w:val="18"/>
          <w:szCs w:val="18"/>
        </w:rPr>
        <w:t>202–694–5773 or via email to</w:t>
      </w:r>
      <w:r w:rsidR="00791875">
        <w:rPr>
          <w:rFonts w:ascii="Melior" w:hAnsi="Melior" w:cs="Melior"/>
          <w:color w:val="000000"/>
          <w:sz w:val="18"/>
          <w:szCs w:val="18"/>
        </w:rPr>
        <w:t xml:space="preserve"> </w:t>
      </w:r>
      <w:r>
        <w:rPr>
          <w:rFonts w:ascii="Melior-Italic" w:hAnsi="Melior-Italic" w:cs="Melior-Italic"/>
          <w:i/>
          <w:iCs/>
          <w:color w:val="000000"/>
          <w:sz w:val="18"/>
          <w:szCs w:val="18"/>
        </w:rPr>
        <w:t xml:space="preserve">jpender@ers.usda.gov. </w:t>
      </w:r>
      <w:r>
        <w:rPr>
          <w:rFonts w:ascii="Melior" w:hAnsi="Melior" w:cs="Melior"/>
          <w:color w:val="000000"/>
          <w:sz w:val="18"/>
          <w:szCs w:val="18"/>
        </w:rPr>
        <w:t>All comments</w:t>
      </w:r>
      <w:r w:rsidR="00791875">
        <w:rPr>
          <w:rFonts w:ascii="Melior" w:hAnsi="Melior" w:cs="Melior"/>
          <w:color w:val="000000"/>
          <w:sz w:val="18"/>
          <w:szCs w:val="18"/>
        </w:rPr>
        <w:t xml:space="preserve"> </w:t>
      </w:r>
      <w:r>
        <w:rPr>
          <w:rFonts w:ascii="Melior" w:hAnsi="Melior" w:cs="Melior"/>
          <w:color w:val="000000"/>
          <w:sz w:val="18"/>
          <w:szCs w:val="18"/>
        </w:rPr>
        <w:t>received will be available for public</w:t>
      </w:r>
      <w:r w:rsidR="00791875">
        <w:rPr>
          <w:rFonts w:ascii="Melior" w:hAnsi="Melior" w:cs="Melior"/>
          <w:color w:val="000000"/>
          <w:sz w:val="18"/>
          <w:szCs w:val="18"/>
        </w:rPr>
        <w:t xml:space="preserve"> </w:t>
      </w:r>
      <w:r>
        <w:rPr>
          <w:rFonts w:ascii="Melior" w:hAnsi="Melior" w:cs="Melior"/>
          <w:color w:val="000000"/>
          <w:sz w:val="18"/>
          <w:szCs w:val="18"/>
        </w:rPr>
        <w:t>inspection during regular business</w:t>
      </w:r>
      <w:r w:rsidR="00791875">
        <w:rPr>
          <w:rFonts w:ascii="Melior" w:hAnsi="Melior" w:cs="Melior"/>
          <w:color w:val="000000"/>
          <w:sz w:val="18"/>
          <w:szCs w:val="18"/>
        </w:rPr>
        <w:t xml:space="preserve"> </w:t>
      </w:r>
      <w:r>
        <w:rPr>
          <w:rFonts w:ascii="Melior" w:hAnsi="Melior" w:cs="Melior"/>
          <w:color w:val="000000"/>
          <w:sz w:val="18"/>
          <w:szCs w:val="18"/>
        </w:rPr>
        <w:t>hours at the same address.</w:t>
      </w:r>
    </w:p>
    <w:p w:rsidR="00791875" w:rsidRDefault="00B047A5" w:rsidP="00B047A5">
      <w:pPr>
        <w:autoSpaceDE w:val="0"/>
        <w:autoSpaceDN w:val="0"/>
        <w:adjustRightInd w:val="0"/>
        <w:spacing w:after="0" w:line="240" w:lineRule="auto"/>
        <w:rPr>
          <w:rFonts w:ascii="Melior" w:hAnsi="Melior" w:cs="Melior"/>
          <w:color w:val="000000"/>
          <w:sz w:val="18"/>
          <w:szCs w:val="18"/>
        </w:rPr>
      </w:pPr>
      <w:r>
        <w:rPr>
          <w:rFonts w:ascii="Melior" w:hAnsi="Melior" w:cs="Melior"/>
          <w:color w:val="000000"/>
          <w:sz w:val="18"/>
          <w:szCs w:val="18"/>
        </w:rPr>
        <w:t>All responses to this notice will be</w:t>
      </w:r>
      <w:r w:rsidR="00791875">
        <w:rPr>
          <w:rFonts w:ascii="Melior" w:hAnsi="Melior" w:cs="Melior"/>
          <w:color w:val="000000"/>
          <w:sz w:val="18"/>
          <w:szCs w:val="18"/>
        </w:rPr>
        <w:t xml:space="preserve"> </w:t>
      </w:r>
      <w:r>
        <w:rPr>
          <w:rFonts w:ascii="Melior" w:hAnsi="Melior" w:cs="Melior"/>
          <w:color w:val="000000"/>
          <w:sz w:val="18"/>
          <w:szCs w:val="18"/>
        </w:rPr>
        <w:t>summarized and included in the</w:t>
      </w:r>
      <w:r w:rsidR="00791875">
        <w:rPr>
          <w:rFonts w:ascii="Melior" w:hAnsi="Melior" w:cs="Melior"/>
          <w:color w:val="000000"/>
          <w:sz w:val="18"/>
          <w:szCs w:val="18"/>
        </w:rPr>
        <w:t xml:space="preserve"> </w:t>
      </w:r>
      <w:r>
        <w:rPr>
          <w:rFonts w:ascii="Melior" w:hAnsi="Melior" w:cs="Melior"/>
          <w:color w:val="000000"/>
          <w:sz w:val="18"/>
          <w:szCs w:val="18"/>
        </w:rPr>
        <w:t>request</w:t>
      </w:r>
      <w:r w:rsidR="00791875">
        <w:rPr>
          <w:rFonts w:ascii="Melior" w:hAnsi="Melior" w:cs="Melior"/>
          <w:color w:val="000000"/>
          <w:sz w:val="18"/>
          <w:szCs w:val="18"/>
        </w:rPr>
        <w:t xml:space="preserve"> </w:t>
      </w:r>
      <w:r>
        <w:rPr>
          <w:rFonts w:ascii="Melior" w:hAnsi="Melior" w:cs="Melior"/>
          <w:color w:val="000000"/>
          <w:sz w:val="18"/>
          <w:szCs w:val="18"/>
        </w:rPr>
        <w:t>for OMB approval. All comments will</w:t>
      </w:r>
      <w:r w:rsidR="00791875">
        <w:rPr>
          <w:rFonts w:ascii="Melior" w:hAnsi="Melior" w:cs="Melior"/>
          <w:color w:val="000000"/>
          <w:sz w:val="18"/>
          <w:szCs w:val="18"/>
        </w:rPr>
        <w:t xml:space="preserve"> </w:t>
      </w:r>
      <w:r>
        <w:rPr>
          <w:rFonts w:ascii="Melior" w:hAnsi="Melior" w:cs="Melior"/>
          <w:color w:val="000000"/>
          <w:sz w:val="18"/>
          <w:szCs w:val="18"/>
        </w:rPr>
        <w:t>become a matter of public record.</w:t>
      </w:r>
      <w:r w:rsidR="00791875">
        <w:rPr>
          <w:rFonts w:ascii="Melior" w:hAnsi="Melior" w:cs="Melior"/>
          <w:color w:val="000000"/>
          <w:sz w:val="18"/>
          <w:szCs w:val="18"/>
        </w:rPr>
        <w:t xml:space="preserve"> </w:t>
      </w:r>
    </w:p>
    <w:p w:rsidR="00791875" w:rsidRDefault="00791875" w:rsidP="00B047A5">
      <w:pPr>
        <w:autoSpaceDE w:val="0"/>
        <w:autoSpaceDN w:val="0"/>
        <w:adjustRightInd w:val="0"/>
        <w:spacing w:after="0" w:line="240" w:lineRule="auto"/>
        <w:rPr>
          <w:rFonts w:ascii="Melior" w:hAnsi="Melior" w:cs="Melior"/>
          <w:color w:val="000000"/>
          <w:sz w:val="16"/>
          <w:szCs w:val="16"/>
        </w:rPr>
      </w:pPr>
    </w:p>
    <w:p w:rsidR="00B047A5" w:rsidRDefault="00B047A5" w:rsidP="00B047A5">
      <w:pPr>
        <w:autoSpaceDE w:val="0"/>
        <w:autoSpaceDN w:val="0"/>
        <w:adjustRightInd w:val="0"/>
        <w:spacing w:after="0" w:line="240" w:lineRule="auto"/>
        <w:rPr>
          <w:rFonts w:ascii="Melior" w:hAnsi="Melior" w:cs="Melior"/>
          <w:color w:val="000000"/>
          <w:sz w:val="16"/>
          <w:szCs w:val="16"/>
        </w:rPr>
      </w:pPr>
      <w:proofErr w:type="gramStart"/>
      <w:r>
        <w:rPr>
          <w:rFonts w:ascii="Melior" w:hAnsi="Melior" w:cs="Melior"/>
          <w:color w:val="000000"/>
          <w:sz w:val="16"/>
          <w:szCs w:val="16"/>
        </w:rPr>
        <w:t>Dated: June 10, 2013.</w:t>
      </w:r>
      <w:proofErr w:type="gramEnd"/>
    </w:p>
    <w:p w:rsidR="00B047A5" w:rsidRDefault="00B047A5" w:rsidP="00B047A5">
      <w:pPr>
        <w:autoSpaceDE w:val="0"/>
        <w:autoSpaceDN w:val="0"/>
        <w:adjustRightInd w:val="0"/>
        <w:spacing w:after="0" w:line="240" w:lineRule="auto"/>
        <w:rPr>
          <w:rFonts w:ascii="Melior-Bold" w:hAnsi="Melior-Bold" w:cs="Melior-Bold"/>
          <w:b/>
          <w:bCs/>
          <w:color w:val="000000"/>
          <w:sz w:val="16"/>
          <w:szCs w:val="16"/>
        </w:rPr>
      </w:pPr>
      <w:r>
        <w:rPr>
          <w:rFonts w:ascii="Melior-Bold" w:hAnsi="Melior-Bold" w:cs="Melior-Bold"/>
          <w:b/>
          <w:bCs/>
          <w:color w:val="000000"/>
          <w:sz w:val="16"/>
          <w:szCs w:val="16"/>
        </w:rPr>
        <w:t>Mary Bohman,</w:t>
      </w:r>
    </w:p>
    <w:p w:rsidR="00B047A5" w:rsidRDefault="00B047A5" w:rsidP="00B047A5">
      <w:pPr>
        <w:autoSpaceDE w:val="0"/>
        <w:autoSpaceDN w:val="0"/>
        <w:adjustRightInd w:val="0"/>
        <w:spacing w:after="0" w:line="240" w:lineRule="auto"/>
        <w:rPr>
          <w:rFonts w:ascii="Melior-Italic" w:hAnsi="Melior-Italic" w:cs="Melior-Italic"/>
          <w:i/>
          <w:iCs/>
          <w:color w:val="000000"/>
          <w:sz w:val="16"/>
          <w:szCs w:val="16"/>
        </w:rPr>
      </w:pPr>
      <w:proofErr w:type="gramStart"/>
      <w:r>
        <w:rPr>
          <w:rFonts w:ascii="Melior-Italic" w:hAnsi="Melior-Italic" w:cs="Melior-Italic"/>
          <w:i/>
          <w:iCs/>
          <w:color w:val="000000"/>
          <w:sz w:val="16"/>
          <w:szCs w:val="16"/>
        </w:rPr>
        <w:t>Administrator, Economic Research Service.</w:t>
      </w:r>
      <w:proofErr w:type="gramEnd"/>
    </w:p>
    <w:p w:rsidR="00B047A5" w:rsidRDefault="00B047A5" w:rsidP="00B047A5">
      <w:pPr>
        <w:autoSpaceDE w:val="0"/>
        <w:autoSpaceDN w:val="0"/>
        <w:adjustRightInd w:val="0"/>
        <w:spacing w:after="0" w:line="240" w:lineRule="auto"/>
        <w:rPr>
          <w:rFonts w:ascii="Melior" w:hAnsi="Melior" w:cs="Melior"/>
          <w:color w:val="000000"/>
          <w:sz w:val="14"/>
          <w:szCs w:val="14"/>
        </w:rPr>
      </w:pPr>
      <w:r>
        <w:rPr>
          <w:rFonts w:ascii="Melior" w:hAnsi="Melior" w:cs="Melior"/>
          <w:color w:val="000000"/>
          <w:sz w:val="14"/>
          <w:szCs w:val="14"/>
        </w:rPr>
        <w:t>[FR Doc. 2013–14202 Filed 6–14–13; 8:45 am]</w:t>
      </w:r>
    </w:p>
    <w:p w:rsidR="00B047A5" w:rsidRDefault="00B047A5" w:rsidP="00B047A5">
      <w:pPr>
        <w:autoSpaceDE w:val="0"/>
        <w:autoSpaceDN w:val="0"/>
        <w:adjustRightInd w:val="0"/>
        <w:spacing w:after="0" w:line="240" w:lineRule="auto"/>
        <w:rPr>
          <w:rFonts w:ascii="Helvetica-Bold" w:hAnsi="Helvetica-Bold" w:cs="Helvetica-Bold"/>
          <w:b/>
          <w:bCs/>
          <w:color w:val="000000"/>
          <w:sz w:val="12"/>
          <w:szCs w:val="12"/>
        </w:rPr>
      </w:pPr>
      <w:r>
        <w:rPr>
          <w:rFonts w:ascii="Helvetica-Bold" w:hAnsi="Helvetica-Bold" w:cs="Helvetica-Bold"/>
          <w:b/>
          <w:bCs/>
          <w:color w:val="000000"/>
          <w:sz w:val="12"/>
          <w:szCs w:val="12"/>
        </w:rPr>
        <w:t>BILLING CODE 3410–18–P</w:t>
      </w:r>
    </w:p>
    <w:p w:rsidR="00791875" w:rsidRDefault="00791875" w:rsidP="00B047A5">
      <w:pPr>
        <w:rPr>
          <w:rFonts w:ascii="Helvetica" w:hAnsi="Helvetica" w:cs="Helvetica"/>
          <w:color w:val="FFFFFF"/>
          <w:sz w:val="13"/>
          <w:szCs w:val="13"/>
        </w:rPr>
        <w:sectPr w:rsidR="00791875" w:rsidSect="00791875">
          <w:pgSz w:w="12240" w:h="15840"/>
          <w:pgMar w:top="1440" w:right="1440" w:bottom="1440" w:left="1440" w:header="720" w:footer="720" w:gutter="0"/>
          <w:cols w:num="3" w:space="720"/>
          <w:docGrid w:linePitch="360"/>
        </w:sectPr>
      </w:pPr>
    </w:p>
    <w:p w:rsidR="00791875" w:rsidRDefault="00791875" w:rsidP="00791875">
      <w:pPr>
        <w:spacing w:line="480" w:lineRule="auto"/>
        <w:jc w:val="center"/>
        <w:rPr>
          <w:iCs/>
        </w:rPr>
      </w:pPr>
      <w:r>
        <w:rPr>
          <w:b/>
          <w:iCs/>
        </w:rPr>
        <w:lastRenderedPageBreak/>
        <w:t>Reporting Burden</w:t>
      </w:r>
    </w:p>
    <w:tbl>
      <w:tblPr>
        <w:tblStyle w:val="TableGrid"/>
        <w:tblW w:w="0" w:type="auto"/>
        <w:tblLook w:val="04A0" w:firstRow="1" w:lastRow="0" w:firstColumn="1" w:lastColumn="0" w:noHBand="0" w:noVBand="1"/>
      </w:tblPr>
      <w:tblGrid>
        <w:gridCol w:w="1998"/>
        <w:gridCol w:w="1451"/>
        <w:gridCol w:w="1526"/>
        <w:gridCol w:w="1326"/>
        <w:gridCol w:w="1684"/>
        <w:gridCol w:w="1591"/>
      </w:tblGrid>
      <w:tr w:rsidR="00791875" w:rsidTr="004E4FDF">
        <w:trPr>
          <w:tblHeader/>
        </w:trPr>
        <w:tc>
          <w:tcPr>
            <w:tcW w:w="1998" w:type="dxa"/>
          </w:tcPr>
          <w:p w:rsidR="00791875" w:rsidRDefault="00791875" w:rsidP="004E4FDF">
            <w:pPr>
              <w:rPr>
                <w:iCs/>
              </w:rPr>
            </w:pPr>
            <w:r>
              <w:rPr>
                <w:iCs/>
              </w:rPr>
              <w:t>Description</w:t>
            </w:r>
          </w:p>
        </w:tc>
        <w:tc>
          <w:tcPr>
            <w:tcW w:w="1451" w:type="dxa"/>
          </w:tcPr>
          <w:p w:rsidR="00791875" w:rsidRDefault="00791875" w:rsidP="004E4FDF">
            <w:pPr>
              <w:rPr>
                <w:iCs/>
              </w:rPr>
            </w:pPr>
            <w:r>
              <w:rPr>
                <w:iCs/>
              </w:rPr>
              <w:t>Estimated Number of Respondents or Non-respondents</w:t>
            </w:r>
          </w:p>
        </w:tc>
        <w:tc>
          <w:tcPr>
            <w:tcW w:w="0" w:type="auto"/>
          </w:tcPr>
          <w:p w:rsidR="00791875" w:rsidRDefault="00791875" w:rsidP="004E4FDF">
            <w:pPr>
              <w:rPr>
                <w:iCs/>
              </w:rPr>
            </w:pPr>
            <w:r>
              <w:rPr>
                <w:iCs/>
              </w:rPr>
              <w:t>Responses or Non-responses per Respondent</w:t>
            </w:r>
          </w:p>
        </w:tc>
        <w:tc>
          <w:tcPr>
            <w:tcW w:w="0" w:type="auto"/>
          </w:tcPr>
          <w:p w:rsidR="00791875" w:rsidRDefault="00791875" w:rsidP="004E4FDF">
            <w:pPr>
              <w:rPr>
                <w:iCs/>
              </w:rPr>
            </w:pPr>
            <w:r>
              <w:rPr>
                <w:iCs/>
              </w:rPr>
              <w:t>Total Responses or Non-responses</w:t>
            </w:r>
          </w:p>
        </w:tc>
        <w:tc>
          <w:tcPr>
            <w:tcW w:w="0" w:type="auto"/>
          </w:tcPr>
          <w:p w:rsidR="00791875" w:rsidRDefault="00791875" w:rsidP="004E4FDF">
            <w:pPr>
              <w:rPr>
                <w:iCs/>
              </w:rPr>
            </w:pPr>
            <w:r>
              <w:rPr>
                <w:iCs/>
              </w:rPr>
              <w:t>Estimated Average Number of Minutes per Response or Non-response</w:t>
            </w:r>
          </w:p>
        </w:tc>
        <w:tc>
          <w:tcPr>
            <w:tcW w:w="0" w:type="auto"/>
          </w:tcPr>
          <w:p w:rsidR="00791875" w:rsidRDefault="00791875" w:rsidP="004E4FDF">
            <w:pPr>
              <w:rPr>
                <w:iCs/>
              </w:rPr>
            </w:pPr>
            <w:r>
              <w:rPr>
                <w:iCs/>
              </w:rPr>
              <w:t>Estimated Total Hours of Response and Non-response Burden</w:t>
            </w:r>
          </w:p>
        </w:tc>
      </w:tr>
      <w:tr w:rsidR="00791875" w:rsidTr="004E4FDF">
        <w:tc>
          <w:tcPr>
            <w:tcW w:w="0" w:type="auto"/>
            <w:gridSpan w:val="6"/>
          </w:tcPr>
          <w:p w:rsidR="00791875" w:rsidRPr="004F587C" w:rsidRDefault="00791875" w:rsidP="004E4FDF">
            <w:pPr>
              <w:rPr>
                <w:b/>
                <w:iCs/>
              </w:rPr>
            </w:pPr>
            <w:r>
              <w:rPr>
                <w:b/>
                <w:iCs/>
              </w:rPr>
              <w:t>Phase 1: Key informant telephone interviews</w:t>
            </w:r>
          </w:p>
        </w:tc>
      </w:tr>
      <w:tr w:rsidR="00791875" w:rsidTr="004E4FDF">
        <w:tc>
          <w:tcPr>
            <w:tcW w:w="1998" w:type="dxa"/>
          </w:tcPr>
          <w:p w:rsidR="00791875" w:rsidRDefault="00791875" w:rsidP="004E4FDF">
            <w:pPr>
              <w:rPr>
                <w:iCs/>
              </w:rPr>
            </w:pPr>
            <w:r>
              <w:rPr>
                <w:iCs/>
              </w:rPr>
              <w:t>Identify and contact key informants – admin. Staff</w:t>
            </w:r>
          </w:p>
        </w:tc>
        <w:tc>
          <w:tcPr>
            <w:tcW w:w="1451" w:type="dxa"/>
          </w:tcPr>
          <w:p w:rsidR="00791875" w:rsidRDefault="00791875" w:rsidP="004E4FDF">
            <w:pPr>
              <w:jc w:val="right"/>
              <w:rPr>
                <w:iCs/>
              </w:rPr>
            </w:pPr>
            <w:r>
              <w:rPr>
                <w:iCs/>
              </w:rPr>
              <w:t>900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900</w:t>
            </w:r>
          </w:p>
        </w:tc>
        <w:tc>
          <w:tcPr>
            <w:tcW w:w="0" w:type="auto"/>
          </w:tcPr>
          <w:p w:rsidR="00791875" w:rsidRDefault="00791875" w:rsidP="004E4FDF">
            <w:pPr>
              <w:jc w:val="right"/>
              <w:rPr>
                <w:iCs/>
              </w:rPr>
            </w:pPr>
            <w:r>
              <w:rPr>
                <w:iCs/>
              </w:rPr>
              <w:t>10</w:t>
            </w:r>
          </w:p>
        </w:tc>
        <w:tc>
          <w:tcPr>
            <w:tcW w:w="0" w:type="auto"/>
          </w:tcPr>
          <w:p w:rsidR="00791875" w:rsidRDefault="00791875" w:rsidP="004E4FDF">
            <w:pPr>
              <w:jc w:val="right"/>
              <w:rPr>
                <w:iCs/>
              </w:rPr>
            </w:pPr>
            <w:r>
              <w:rPr>
                <w:iCs/>
              </w:rPr>
              <w:t>150</w:t>
            </w:r>
          </w:p>
        </w:tc>
      </w:tr>
      <w:tr w:rsidR="00791875" w:rsidTr="004E4FDF">
        <w:tc>
          <w:tcPr>
            <w:tcW w:w="1998" w:type="dxa"/>
          </w:tcPr>
          <w:p w:rsidR="00791875" w:rsidRDefault="00791875" w:rsidP="004E4FDF">
            <w:pPr>
              <w:rPr>
                <w:iCs/>
              </w:rPr>
            </w:pPr>
            <w:r>
              <w:rPr>
                <w:iCs/>
              </w:rPr>
              <w:t>Respondents review request and decide</w:t>
            </w:r>
          </w:p>
        </w:tc>
        <w:tc>
          <w:tcPr>
            <w:tcW w:w="1451" w:type="dxa"/>
          </w:tcPr>
          <w:p w:rsidR="00791875" w:rsidRDefault="00791875" w:rsidP="004E4FDF">
            <w:pPr>
              <w:jc w:val="right"/>
              <w:rPr>
                <w:iCs/>
              </w:rPr>
            </w:pPr>
            <w:r>
              <w:rPr>
                <w:iCs/>
              </w:rPr>
              <w:t>600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600</w:t>
            </w:r>
          </w:p>
        </w:tc>
        <w:tc>
          <w:tcPr>
            <w:tcW w:w="0" w:type="auto"/>
          </w:tcPr>
          <w:p w:rsidR="00791875" w:rsidRDefault="00791875" w:rsidP="004E4FDF">
            <w:pPr>
              <w:jc w:val="right"/>
              <w:rPr>
                <w:iCs/>
              </w:rPr>
            </w:pPr>
            <w:r>
              <w:rPr>
                <w:iCs/>
              </w:rPr>
              <w:t>15</w:t>
            </w:r>
          </w:p>
        </w:tc>
        <w:tc>
          <w:tcPr>
            <w:tcW w:w="0" w:type="auto"/>
          </w:tcPr>
          <w:p w:rsidR="00791875" w:rsidRDefault="00791875" w:rsidP="004E4FDF">
            <w:pPr>
              <w:jc w:val="right"/>
              <w:rPr>
                <w:iCs/>
              </w:rPr>
            </w:pPr>
            <w:r>
              <w:rPr>
                <w:iCs/>
              </w:rPr>
              <w:t>150</w:t>
            </w:r>
          </w:p>
        </w:tc>
      </w:tr>
      <w:tr w:rsidR="00791875" w:rsidTr="004E4FDF">
        <w:tc>
          <w:tcPr>
            <w:tcW w:w="1998" w:type="dxa"/>
          </w:tcPr>
          <w:p w:rsidR="00791875" w:rsidRDefault="00791875" w:rsidP="004E4FDF">
            <w:pPr>
              <w:rPr>
                <w:iCs/>
              </w:rPr>
            </w:pPr>
            <w:r>
              <w:rPr>
                <w:iCs/>
              </w:rPr>
              <w:t>Key informant interviews</w:t>
            </w:r>
          </w:p>
        </w:tc>
        <w:tc>
          <w:tcPr>
            <w:tcW w:w="1451" w:type="dxa"/>
          </w:tcPr>
          <w:p w:rsidR="00791875" w:rsidRDefault="00791875" w:rsidP="004E4FDF">
            <w:pPr>
              <w:jc w:val="right"/>
              <w:rPr>
                <w:iCs/>
              </w:rPr>
            </w:pPr>
            <w:r>
              <w:rPr>
                <w:iCs/>
              </w:rPr>
              <w:t>600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600</w:t>
            </w:r>
          </w:p>
        </w:tc>
        <w:tc>
          <w:tcPr>
            <w:tcW w:w="0" w:type="auto"/>
          </w:tcPr>
          <w:p w:rsidR="00791875" w:rsidRDefault="00791875" w:rsidP="004E4FDF">
            <w:pPr>
              <w:jc w:val="right"/>
              <w:rPr>
                <w:iCs/>
              </w:rPr>
            </w:pPr>
            <w:r>
              <w:rPr>
                <w:iCs/>
              </w:rPr>
              <w:t>60</w:t>
            </w:r>
          </w:p>
        </w:tc>
        <w:tc>
          <w:tcPr>
            <w:tcW w:w="0" w:type="auto"/>
          </w:tcPr>
          <w:p w:rsidR="00791875" w:rsidRDefault="00791875" w:rsidP="004E4FDF">
            <w:pPr>
              <w:jc w:val="right"/>
              <w:rPr>
                <w:iCs/>
              </w:rPr>
            </w:pPr>
            <w:r>
              <w:rPr>
                <w:iCs/>
              </w:rPr>
              <w:t>600</w:t>
            </w:r>
          </w:p>
        </w:tc>
      </w:tr>
      <w:tr w:rsidR="00791875" w:rsidTr="004E4FDF">
        <w:tc>
          <w:tcPr>
            <w:tcW w:w="1998" w:type="dxa"/>
          </w:tcPr>
          <w:p w:rsidR="00791875" w:rsidRDefault="00791875" w:rsidP="004E4FDF">
            <w:pPr>
              <w:rPr>
                <w:iCs/>
              </w:rPr>
            </w:pPr>
            <w:r>
              <w:rPr>
                <w:iCs/>
              </w:rPr>
              <w:t>Non-respondents review request and decline</w:t>
            </w:r>
          </w:p>
        </w:tc>
        <w:tc>
          <w:tcPr>
            <w:tcW w:w="1451" w:type="dxa"/>
          </w:tcPr>
          <w:p w:rsidR="00791875" w:rsidRDefault="00791875" w:rsidP="004E4FDF">
            <w:pPr>
              <w:jc w:val="right"/>
              <w:rPr>
                <w:iCs/>
              </w:rPr>
            </w:pPr>
            <w:r>
              <w:rPr>
                <w:iCs/>
              </w:rPr>
              <w:t>300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300</w:t>
            </w:r>
          </w:p>
        </w:tc>
        <w:tc>
          <w:tcPr>
            <w:tcW w:w="0" w:type="auto"/>
          </w:tcPr>
          <w:p w:rsidR="00791875" w:rsidRDefault="00791875" w:rsidP="004E4FDF">
            <w:pPr>
              <w:jc w:val="right"/>
              <w:rPr>
                <w:iCs/>
              </w:rPr>
            </w:pPr>
            <w:r>
              <w:rPr>
                <w:iCs/>
              </w:rPr>
              <w:t>15</w:t>
            </w:r>
          </w:p>
        </w:tc>
        <w:tc>
          <w:tcPr>
            <w:tcW w:w="0" w:type="auto"/>
          </w:tcPr>
          <w:p w:rsidR="00791875" w:rsidRDefault="00791875" w:rsidP="004E4FDF">
            <w:pPr>
              <w:jc w:val="right"/>
              <w:rPr>
                <w:iCs/>
              </w:rPr>
            </w:pPr>
            <w:r>
              <w:rPr>
                <w:iCs/>
              </w:rPr>
              <w:t>75</w:t>
            </w:r>
          </w:p>
        </w:tc>
      </w:tr>
      <w:tr w:rsidR="00791875" w:rsidTr="004E4FDF">
        <w:tc>
          <w:tcPr>
            <w:tcW w:w="0" w:type="auto"/>
            <w:gridSpan w:val="6"/>
          </w:tcPr>
          <w:p w:rsidR="00791875" w:rsidRPr="00CC641B" w:rsidRDefault="00791875" w:rsidP="004E4FDF">
            <w:pPr>
              <w:rPr>
                <w:b/>
                <w:iCs/>
              </w:rPr>
            </w:pPr>
            <w:r>
              <w:rPr>
                <w:b/>
                <w:iCs/>
              </w:rPr>
              <w:t>Phase 2: Telephone/Mail surveys with health care providers</w:t>
            </w:r>
          </w:p>
        </w:tc>
      </w:tr>
      <w:tr w:rsidR="00791875" w:rsidTr="004E4FDF">
        <w:tc>
          <w:tcPr>
            <w:tcW w:w="1998" w:type="dxa"/>
          </w:tcPr>
          <w:p w:rsidR="00791875" w:rsidRDefault="00791875" w:rsidP="004E4FDF">
            <w:pPr>
              <w:rPr>
                <w:iCs/>
              </w:rPr>
            </w:pPr>
            <w:r>
              <w:rPr>
                <w:iCs/>
              </w:rPr>
              <w:t xml:space="preserve">Identify and contact respondents </w:t>
            </w:r>
          </w:p>
        </w:tc>
        <w:tc>
          <w:tcPr>
            <w:tcW w:w="1451" w:type="dxa"/>
          </w:tcPr>
          <w:p w:rsidR="00791875" w:rsidRDefault="00791875" w:rsidP="004E4FDF">
            <w:pPr>
              <w:jc w:val="right"/>
              <w:rPr>
                <w:iCs/>
              </w:rPr>
            </w:pPr>
            <w:r>
              <w:rPr>
                <w:iCs/>
              </w:rPr>
              <w:t>1500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1500</w:t>
            </w:r>
          </w:p>
        </w:tc>
        <w:tc>
          <w:tcPr>
            <w:tcW w:w="0" w:type="auto"/>
          </w:tcPr>
          <w:p w:rsidR="00791875" w:rsidRDefault="00791875" w:rsidP="004E4FDF">
            <w:pPr>
              <w:jc w:val="right"/>
              <w:rPr>
                <w:iCs/>
              </w:rPr>
            </w:pPr>
            <w:r>
              <w:rPr>
                <w:iCs/>
              </w:rPr>
              <w:t>10</w:t>
            </w:r>
          </w:p>
        </w:tc>
        <w:tc>
          <w:tcPr>
            <w:tcW w:w="0" w:type="auto"/>
          </w:tcPr>
          <w:p w:rsidR="00791875" w:rsidRDefault="00791875" w:rsidP="004E4FDF">
            <w:pPr>
              <w:jc w:val="right"/>
              <w:rPr>
                <w:iCs/>
              </w:rPr>
            </w:pPr>
            <w:r>
              <w:rPr>
                <w:iCs/>
              </w:rPr>
              <w:t>250</w:t>
            </w:r>
          </w:p>
        </w:tc>
      </w:tr>
      <w:tr w:rsidR="00791875" w:rsidTr="004E4FDF">
        <w:tc>
          <w:tcPr>
            <w:tcW w:w="1998" w:type="dxa"/>
          </w:tcPr>
          <w:p w:rsidR="00791875" w:rsidRDefault="00791875" w:rsidP="004E4FDF">
            <w:pPr>
              <w:rPr>
                <w:iCs/>
              </w:rPr>
            </w:pPr>
            <w:r>
              <w:rPr>
                <w:iCs/>
              </w:rPr>
              <w:t>Respondents review request</w:t>
            </w:r>
          </w:p>
        </w:tc>
        <w:tc>
          <w:tcPr>
            <w:tcW w:w="1451" w:type="dxa"/>
          </w:tcPr>
          <w:p w:rsidR="00791875" w:rsidRDefault="00791875" w:rsidP="004E4FDF">
            <w:pPr>
              <w:jc w:val="right"/>
              <w:rPr>
                <w:iCs/>
              </w:rPr>
            </w:pPr>
            <w:r>
              <w:rPr>
                <w:iCs/>
              </w:rPr>
              <w:t>1200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1200</w:t>
            </w:r>
          </w:p>
        </w:tc>
        <w:tc>
          <w:tcPr>
            <w:tcW w:w="0" w:type="auto"/>
          </w:tcPr>
          <w:p w:rsidR="00791875" w:rsidRDefault="00791875" w:rsidP="004E4FDF">
            <w:pPr>
              <w:jc w:val="right"/>
              <w:rPr>
                <w:iCs/>
              </w:rPr>
            </w:pPr>
            <w:r>
              <w:rPr>
                <w:iCs/>
              </w:rPr>
              <w:t>15</w:t>
            </w:r>
          </w:p>
        </w:tc>
        <w:tc>
          <w:tcPr>
            <w:tcW w:w="0" w:type="auto"/>
          </w:tcPr>
          <w:p w:rsidR="00791875" w:rsidRDefault="00791875" w:rsidP="004E4FDF">
            <w:pPr>
              <w:jc w:val="right"/>
              <w:rPr>
                <w:iCs/>
              </w:rPr>
            </w:pPr>
            <w:r>
              <w:rPr>
                <w:iCs/>
              </w:rPr>
              <w:t>300</w:t>
            </w:r>
          </w:p>
        </w:tc>
      </w:tr>
      <w:tr w:rsidR="00791875" w:rsidTr="004E4FDF">
        <w:tc>
          <w:tcPr>
            <w:tcW w:w="1998" w:type="dxa"/>
          </w:tcPr>
          <w:p w:rsidR="00791875" w:rsidRDefault="00791875" w:rsidP="004E4FDF">
            <w:pPr>
              <w:rPr>
                <w:iCs/>
              </w:rPr>
            </w:pPr>
            <w:r>
              <w:rPr>
                <w:iCs/>
              </w:rPr>
              <w:t>Telephone/Mail surveys</w:t>
            </w:r>
          </w:p>
        </w:tc>
        <w:tc>
          <w:tcPr>
            <w:tcW w:w="1451" w:type="dxa"/>
          </w:tcPr>
          <w:p w:rsidR="00791875" w:rsidRDefault="00791875" w:rsidP="004E4FDF">
            <w:pPr>
              <w:jc w:val="right"/>
              <w:rPr>
                <w:iCs/>
              </w:rPr>
            </w:pPr>
            <w:r>
              <w:rPr>
                <w:iCs/>
              </w:rPr>
              <w:t>1200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1200</w:t>
            </w:r>
          </w:p>
        </w:tc>
        <w:tc>
          <w:tcPr>
            <w:tcW w:w="0" w:type="auto"/>
          </w:tcPr>
          <w:p w:rsidR="00791875" w:rsidRDefault="00791875" w:rsidP="004E4FDF">
            <w:pPr>
              <w:jc w:val="right"/>
              <w:rPr>
                <w:iCs/>
              </w:rPr>
            </w:pPr>
            <w:r>
              <w:rPr>
                <w:iCs/>
              </w:rPr>
              <w:t>20</w:t>
            </w:r>
          </w:p>
        </w:tc>
        <w:tc>
          <w:tcPr>
            <w:tcW w:w="0" w:type="auto"/>
          </w:tcPr>
          <w:p w:rsidR="00791875" w:rsidRDefault="00791875" w:rsidP="004E4FDF">
            <w:pPr>
              <w:jc w:val="right"/>
              <w:rPr>
                <w:iCs/>
              </w:rPr>
            </w:pPr>
            <w:r>
              <w:rPr>
                <w:iCs/>
              </w:rPr>
              <w:t>400</w:t>
            </w:r>
          </w:p>
        </w:tc>
      </w:tr>
      <w:tr w:rsidR="00791875" w:rsidTr="004E4FDF">
        <w:tc>
          <w:tcPr>
            <w:tcW w:w="1998" w:type="dxa"/>
          </w:tcPr>
          <w:p w:rsidR="00791875" w:rsidRDefault="00791875" w:rsidP="004E4FDF">
            <w:pPr>
              <w:rPr>
                <w:iCs/>
              </w:rPr>
            </w:pPr>
            <w:r>
              <w:rPr>
                <w:iCs/>
              </w:rPr>
              <w:t>Non-respondents review request and decline</w:t>
            </w:r>
          </w:p>
        </w:tc>
        <w:tc>
          <w:tcPr>
            <w:tcW w:w="1451" w:type="dxa"/>
          </w:tcPr>
          <w:p w:rsidR="00791875" w:rsidRDefault="00791875" w:rsidP="004E4FDF">
            <w:pPr>
              <w:jc w:val="right"/>
              <w:rPr>
                <w:iCs/>
              </w:rPr>
            </w:pPr>
            <w:r>
              <w:rPr>
                <w:iCs/>
              </w:rPr>
              <w:t>300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300</w:t>
            </w:r>
          </w:p>
        </w:tc>
        <w:tc>
          <w:tcPr>
            <w:tcW w:w="0" w:type="auto"/>
          </w:tcPr>
          <w:p w:rsidR="00791875" w:rsidRDefault="00791875" w:rsidP="004E4FDF">
            <w:pPr>
              <w:jc w:val="right"/>
              <w:rPr>
                <w:iCs/>
              </w:rPr>
            </w:pPr>
            <w:r>
              <w:rPr>
                <w:iCs/>
              </w:rPr>
              <w:t>15</w:t>
            </w:r>
          </w:p>
        </w:tc>
        <w:tc>
          <w:tcPr>
            <w:tcW w:w="0" w:type="auto"/>
          </w:tcPr>
          <w:p w:rsidR="00791875" w:rsidRDefault="00791875" w:rsidP="004E4FDF">
            <w:pPr>
              <w:jc w:val="right"/>
              <w:rPr>
                <w:iCs/>
              </w:rPr>
            </w:pPr>
            <w:r>
              <w:rPr>
                <w:iCs/>
              </w:rPr>
              <w:t>75</w:t>
            </w:r>
          </w:p>
        </w:tc>
      </w:tr>
      <w:tr w:rsidR="00791875" w:rsidTr="004E4FDF">
        <w:tc>
          <w:tcPr>
            <w:tcW w:w="0" w:type="auto"/>
            <w:gridSpan w:val="6"/>
          </w:tcPr>
          <w:p w:rsidR="00791875" w:rsidRPr="001E1A36" w:rsidRDefault="00791875" w:rsidP="004E4FDF">
            <w:pPr>
              <w:rPr>
                <w:b/>
                <w:iCs/>
              </w:rPr>
            </w:pPr>
            <w:r>
              <w:rPr>
                <w:b/>
                <w:iCs/>
              </w:rPr>
              <w:t>Phase 3: Focus group and in-person key informant interviews</w:t>
            </w:r>
          </w:p>
        </w:tc>
      </w:tr>
      <w:tr w:rsidR="00791875" w:rsidTr="004E4FDF">
        <w:tc>
          <w:tcPr>
            <w:tcW w:w="1998" w:type="dxa"/>
          </w:tcPr>
          <w:p w:rsidR="00791875" w:rsidRDefault="00791875" w:rsidP="004E4FDF">
            <w:pPr>
              <w:rPr>
                <w:iCs/>
              </w:rPr>
            </w:pPr>
            <w:r>
              <w:rPr>
                <w:iCs/>
              </w:rPr>
              <w:t>Identify and contact participants</w:t>
            </w:r>
          </w:p>
        </w:tc>
        <w:tc>
          <w:tcPr>
            <w:tcW w:w="1451" w:type="dxa"/>
          </w:tcPr>
          <w:p w:rsidR="00791875" w:rsidRDefault="00791875" w:rsidP="004E4FDF">
            <w:pPr>
              <w:jc w:val="right"/>
              <w:rPr>
                <w:iCs/>
              </w:rPr>
            </w:pPr>
            <w:r>
              <w:rPr>
                <w:iCs/>
              </w:rPr>
              <w:t>600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600</w:t>
            </w:r>
          </w:p>
        </w:tc>
        <w:tc>
          <w:tcPr>
            <w:tcW w:w="0" w:type="auto"/>
          </w:tcPr>
          <w:p w:rsidR="00791875" w:rsidRDefault="00791875" w:rsidP="004E4FDF">
            <w:pPr>
              <w:jc w:val="right"/>
              <w:rPr>
                <w:iCs/>
              </w:rPr>
            </w:pPr>
            <w:r>
              <w:rPr>
                <w:iCs/>
              </w:rPr>
              <w:t>10</w:t>
            </w:r>
          </w:p>
        </w:tc>
        <w:tc>
          <w:tcPr>
            <w:tcW w:w="0" w:type="auto"/>
          </w:tcPr>
          <w:p w:rsidR="00791875" w:rsidRDefault="00791875" w:rsidP="004E4FDF">
            <w:pPr>
              <w:jc w:val="right"/>
              <w:rPr>
                <w:iCs/>
              </w:rPr>
            </w:pPr>
            <w:r>
              <w:rPr>
                <w:iCs/>
              </w:rPr>
              <w:t>100</w:t>
            </w:r>
          </w:p>
        </w:tc>
      </w:tr>
      <w:tr w:rsidR="00791875" w:rsidTr="004E4FDF">
        <w:tc>
          <w:tcPr>
            <w:tcW w:w="1998" w:type="dxa"/>
          </w:tcPr>
          <w:p w:rsidR="00791875" w:rsidRDefault="00791875" w:rsidP="004E4FDF">
            <w:pPr>
              <w:rPr>
                <w:iCs/>
              </w:rPr>
            </w:pPr>
            <w:r>
              <w:rPr>
                <w:iCs/>
              </w:rPr>
              <w:t xml:space="preserve">Participants review request </w:t>
            </w:r>
          </w:p>
        </w:tc>
        <w:tc>
          <w:tcPr>
            <w:tcW w:w="1451" w:type="dxa"/>
          </w:tcPr>
          <w:p w:rsidR="00791875" w:rsidRDefault="00791875" w:rsidP="004E4FDF">
            <w:pPr>
              <w:jc w:val="right"/>
              <w:rPr>
                <w:iCs/>
              </w:rPr>
            </w:pPr>
            <w:r>
              <w:rPr>
                <w:iCs/>
              </w:rPr>
              <w:t>480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480</w:t>
            </w:r>
          </w:p>
        </w:tc>
        <w:tc>
          <w:tcPr>
            <w:tcW w:w="0" w:type="auto"/>
          </w:tcPr>
          <w:p w:rsidR="00791875" w:rsidRDefault="00791875" w:rsidP="004E4FDF">
            <w:pPr>
              <w:jc w:val="right"/>
              <w:rPr>
                <w:iCs/>
              </w:rPr>
            </w:pPr>
            <w:r>
              <w:rPr>
                <w:iCs/>
              </w:rPr>
              <w:t>15</w:t>
            </w:r>
          </w:p>
        </w:tc>
        <w:tc>
          <w:tcPr>
            <w:tcW w:w="0" w:type="auto"/>
          </w:tcPr>
          <w:p w:rsidR="00791875" w:rsidRDefault="00791875" w:rsidP="004E4FDF">
            <w:pPr>
              <w:jc w:val="right"/>
              <w:rPr>
                <w:iCs/>
              </w:rPr>
            </w:pPr>
            <w:r>
              <w:rPr>
                <w:iCs/>
              </w:rPr>
              <w:t>120</w:t>
            </w:r>
          </w:p>
        </w:tc>
      </w:tr>
      <w:tr w:rsidR="00791875" w:rsidTr="004E4FDF">
        <w:tc>
          <w:tcPr>
            <w:tcW w:w="1998" w:type="dxa"/>
          </w:tcPr>
          <w:p w:rsidR="00791875" w:rsidRDefault="00791875" w:rsidP="004E4FDF">
            <w:pPr>
              <w:rPr>
                <w:iCs/>
              </w:rPr>
            </w:pPr>
            <w:r>
              <w:rPr>
                <w:iCs/>
              </w:rPr>
              <w:t>Focus groups &amp; key informant interviews</w:t>
            </w:r>
          </w:p>
        </w:tc>
        <w:tc>
          <w:tcPr>
            <w:tcW w:w="1451" w:type="dxa"/>
          </w:tcPr>
          <w:p w:rsidR="00791875" w:rsidRDefault="00791875" w:rsidP="004E4FDF">
            <w:pPr>
              <w:jc w:val="right"/>
              <w:rPr>
                <w:iCs/>
              </w:rPr>
            </w:pPr>
            <w:r>
              <w:rPr>
                <w:iCs/>
              </w:rPr>
              <w:t>480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480</w:t>
            </w:r>
          </w:p>
        </w:tc>
        <w:tc>
          <w:tcPr>
            <w:tcW w:w="0" w:type="auto"/>
          </w:tcPr>
          <w:p w:rsidR="00791875" w:rsidRDefault="00791875" w:rsidP="004E4FDF">
            <w:pPr>
              <w:jc w:val="right"/>
              <w:rPr>
                <w:iCs/>
              </w:rPr>
            </w:pPr>
            <w:r>
              <w:rPr>
                <w:iCs/>
              </w:rPr>
              <w:t>60</w:t>
            </w:r>
          </w:p>
        </w:tc>
        <w:tc>
          <w:tcPr>
            <w:tcW w:w="0" w:type="auto"/>
          </w:tcPr>
          <w:p w:rsidR="00791875" w:rsidRDefault="00791875" w:rsidP="004E4FDF">
            <w:pPr>
              <w:jc w:val="right"/>
              <w:rPr>
                <w:iCs/>
              </w:rPr>
            </w:pPr>
            <w:r>
              <w:rPr>
                <w:iCs/>
              </w:rPr>
              <w:t>480</w:t>
            </w:r>
          </w:p>
        </w:tc>
      </w:tr>
      <w:tr w:rsidR="00791875" w:rsidTr="004E4FDF">
        <w:tc>
          <w:tcPr>
            <w:tcW w:w="1998" w:type="dxa"/>
          </w:tcPr>
          <w:p w:rsidR="00791875" w:rsidRDefault="00791875" w:rsidP="004E4FDF">
            <w:pPr>
              <w:rPr>
                <w:iCs/>
              </w:rPr>
            </w:pPr>
            <w:r>
              <w:rPr>
                <w:iCs/>
              </w:rPr>
              <w:t>Non-respondents review request and decline</w:t>
            </w:r>
          </w:p>
        </w:tc>
        <w:tc>
          <w:tcPr>
            <w:tcW w:w="1451" w:type="dxa"/>
          </w:tcPr>
          <w:p w:rsidR="00791875" w:rsidRDefault="00791875" w:rsidP="004E4FDF">
            <w:pPr>
              <w:jc w:val="right"/>
              <w:rPr>
                <w:iCs/>
              </w:rPr>
            </w:pPr>
            <w:r>
              <w:rPr>
                <w:iCs/>
              </w:rPr>
              <w:t>120</w:t>
            </w:r>
          </w:p>
        </w:tc>
        <w:tc>
          <w:tcPr>
            <w:tcW w:w="0" w:type="auto"/>
          </w:tcPr>
          <w:p w:rsidR="00791875" w:rsidRDefault="00791875" w:rsidP="004E4FDF">
            <w:pPr>
              <w:jc w:val="right"/>
              <w:rPr>
                <w:iCs/>
              </w:rPr>
            </w:pPr>
            <w:r>
              <w:rPr>
                <w:iCs/>
              </w:rPr>
              <w:t>1</w:t>
            </w:r>
          </w:p>
        </w:tc>
        <w:tc>
          <w:tcPr>
            <w:tcW w:w="0" w:type="auto"/>
          </w:tcPr>
          <w:p w:rsidR="00791875" w:rsidRDefault="00791875" w:rsidP="004E4FDF">
            <w:pPr>
              <w:jc w:val="right"/>
              <w:rPr>
                <w:iCs/>
              </w:rPr>
            </w:pPr>
            <w:r>
              <w:rPr>
                <w:iCs/>
              </w:rPr>
              <w:t>120</w:t>
            </w:r>
          </w:p>
        </w:tc>
        <w:tc>
          <w:tcPr>
            <w:tcW w:w="0" w:type="auto"/>
          </w:tcPr>
          <w:p w:rsidR="00791875" w:rsidRDefault="00791875" w:rsidP="004E4FDF">
            <w:pPr>
              <w:jc w:val="right"/>
              <w:rPr>
                <w:iCs/>
              </w:rPr>
            </w:pPr>
            <w:r>
              <w:rPr>
                <w:iCs/>
              </w:rPr>
              <w:t>15</w:t>
            </w:r>
          </w:p>
        </w:tc>
        <w:tc>
          <w:tcPr>
            <w:tcW w:w="0" w:type="auto"/>
          </w:tcPr>
          <w:p w:rsidR="00791875" w:rsidRDefault="00791875" w:rsidP="004E4FDF">
            <w:pPr>
              <w:jc w:val="right"/>
              <w:rPr>
                <w:iCs/>
              </w:rPr>
            </w:pPr>
            <w:r>
              <w:rPr>
                <w:iCs/>
              </w:rPr>
              <w:t>30</w:t>
            </w:r>
          </w:p>
        </w:tc>
      </w:tr>
      <w:tr w:rsidR="00791875" w:rsidTr="004E4FDF">
        <w:tc>
          <w:tcPr>
            <w:tcW w:w="8033" w:type="dxa"/>
            <w:gridSpan w:val="5"/>
          </w:tcPr>
          <w:p w:rsidR="00791875" w:rsidRDefault="00791875" w:rsidP="004E4FDF">
            <w:pPr>
              <w:rPr>
                <w:iCs/>
              </w:rPr>
            </w:pPr>
            <w:r>
              <w:rPr>
                <w:b/>
                <w:iCs/>
              </w:rPr>
              <w:t>Total Burden</w:t>
            </w:r>
          </w:p>
        </w:tc>
        <w:tc>
          <w:tcPr>
            <w:tcW w:w="0" w:type="auto"/>
          </w:tcPr>
          <w:p w:rsidR="00791875" w:rsidRPr="00E261EB" w:rsidRDefault="00791875" w:rsidP="004E4FDF">
            <w:pPr>
              <w:jc w:val="right"/>
              <w:rPr>
                <w:b/>
                <w:iCs/>
              </w:rPr>
            </w:pPr>
            <w:r>
              <w:rPr>
                <w:b/>
                <w:iCs/>
              </w:rPr>
              <w:t>2,730</w:t>
            </w:r>
          </w:p>
        </w:tc>
      </w:tr>
    </w:tbl>
    <w:p w:rsidR="00E72D21" w:rsidRDefault="00B047A5" w:rsidP="00B047A5">
      <w:pPr>
        <w:rPr>
          <w:rFonts w:cstheme="minorHAnsi"/>
          <w:b/>
          <w:sz w:val="28"/>
          <w:szCs w:val="28"/>
        </w:rPr>
      </w:pPr>
      <w:proofErr w:type="spellStart"/>
      <w:r>
        <w:rPr>
          <w:rFonts w:ascii="Helvetica" w:hAnsi="Helvetica" w:cs="Helvetica"/>
          <w:color w:val="FFFFFF"/>
          <w:sz w:val="13"/>
          <w:szCs w:val="13"/>
        </w:rPr>
        <w:t>VerDate</w:t>
      </w:r>
      <w:proofErr w:type="spellEnd"/>
      <w:r>
        <w:rPr>
          <w:rFonts w:ascii="Helvetica" w:hAnsi="Helvetica" w:cs="Helvetica"/>
          <w:color w:val="FFFFFF"/>
          <w:sz w:val="13"/>
          <w:szCs w:val="13"/>
        </w:rPr>
        <w:t xml:space="preserve"> Mar&lt;</w:t>
      </w:r>
    </w:p>
    <w:sectPr w:rsidR="00E72D21" w:rsidSect="00791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0C" w:rsidRDefault="00EB0D0C" w:rsidP="003A4792">
      <w:pPr>
        <w:spacing w:after="0" w:line="240" w:lineRule="auto"/>
      </w:pPr>
      <w:r>
        <w:separator/>
      </w:r>
    </w:p>
  </w:endnote>
  <w:endnote w:type="continuationSeparator" w:id="0">
    <w:p w:rsidR="00EB0D0C" w:rsidRDefault="00EB0D0C" w:rsidP="003A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448460"/>
      <w:docPartObj>
        <w:docPartGallery w:val="Page Numbers (Bottom of Page)"/>
        <w:docPartUnique/>
      </w:docPartObj>
    </w:sdtPr>
    <w:sdtEndPr>
      <w:rPr>
        <w:noProof/>
      </w:rPr>
    </w:sdtEndPr>
    <w:sdtContent>
      <w:p w:rsidR="00E84CA7" w:rsidRDefault="00E84CA7">
        <w:pPr>
          <w:pStyle w:val="Footer"/>
          <w:jc w:val="right"/>
        </w:pPr>
        <w:r>
          <w:fldChar w:fldCharType="begin"/>
        </w:r>
        <w:r>
          <w:instrText xml:space="preserve"> PAGE   \* MERGEFORMAT </w:instrText>
        </w:r>
        <w:r>
          <w:fldChar w:fldCharType="separate"/>
        </w:r>
        <w:r w:rsidR="006A4646">
          <w:rPr>
            <w:noProof/>
          </w:rPr>
          <w:t>1</w:t>
        </w:r>
        <w:r>
          <w:rPr>
            <w:noProof/>
          </w:rPr>
          <w:fldChar w:fldCharType="end"/>
        </w:r>
      </w:p>
    </w:sdtContent>
  </w:sdt>
  <w:p w:rsidR="003A4792" w:rsidRDefault="003A4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0C" w:rsidRDefault="00EB0D0C" w:rsidP="003A4792">
      <w:pPr>
        <w:spacing w:after="0" w:line="240" w:lineRule="auto"/>
      </w:pPr>
      <w:r>
        <w:separator/>
      </w:r>
    </w:p>
  </w:footnote>
  <w:footnote w:type="continuationSeparator" w:id="0">
    <w:p w:rsidR="00EB0D0C" w:rsidRDefault="00EB0D0C" w:rsidP="003A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B5518"/>
    <w:multiLevelType w:val="hybridMultilevel"/>
    <w:tmpl w:val="9716D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230AB"/>
    <w:multiLevelType w:val="hybridMultilevel"/>
    <w:tmpl w:val="816CA5A0"/>
    <w:lvl w:ilvl="0" w:tplc="B6184F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EA6093"/>
    <w:multiLevelType w:val="hybridMultilevel"/>
    <w:tmpl w:val="43B008B4"/>
    <w:lvl w:ilvl="0" w:tplc="B238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2"/>
    <w:rsid w:val="000519EE"/>
    <w:rsid w:val="000531E0"/>
    <w:rsid w:val="000631C6"/>
    <w:rsid w:val="000A27D8"/>
    <w:rsid w:val="000C66C3"/>
    <w:rsid w:val="000E5A01"/>
    <w:rsid w:val="000F3836"/>
    <w:rsid w:val="000F3DB3"/>
    <w:rsid w:val="000F448E"/>
    <w:rsid w:val="001041E0"/>
    <w:rsid w:val="00110F79"/>
    <w:rsid w:val="001A0C0E"/>
    <w:rsid w:val="001C1212"/>
    <w:rsid w:val="001D0979"/>
    <w:rsid w:val="001D49C0"/>
    <w:rsid w:val="001E4CC1"/>
    <w:rsid w:val="001F2B80"/>
    <w:rsid w:val="00201F6B"/>
    <w:rsid w:val="00217551"/>
    <w:rsid w:val="002476B1"/>
    <w:rsid w:val="0025278F"/>
    <w:rsid w:val="00274132"/>
    <w:rsid w:val="002D15BC"/>
    <w:rsid w:val="003021C2"/>
    <w:rsid w:val="003048DD"/>
    <w:rsid w:val="003141FE"/>
    <w:rsid w:val="00363AB4"/>
    <w:rsid w:val="003847AB"/>
    <w:rsid w:val="00393D82"/>
    <w:rsid w:val="003A0A17"/>
    <w:rsid w:val="003A4792"/>
    <w:rsid w:val="003C230F"/>
    <w:rsid w:val="003C334C"/>
    <w:rsid w:val="003F0F96"/>
    <w:rsid w:val="00403A29"/>
    <w:rsid w:val="00415F56"/>
    <w:rsid w:val="00420E01"/>
    <w:rsid w:val="0045561F"/>
    <w:rsid w:val="004608BC"/>
    <w:rsid w:val="0046211B"/>
    <w:rsid w:val="00471745"/>
    <w:rsid w:val="00482184"/>
    <w:rsid w:val="00495832"/>
    <w:rsid w:val="004A654A"/>
    <w:rsid w:val="004B0E5A"/>
    <w:rsid w:val="004D1220"/>
    <w:rsid w:val="004F61F4"/>
    <w:rsid w:val="00517240"/>
    <w:rsid w:val="005229A3"/>
    <w:rsid w:val="00543878"/>
    <w:rsid w:val="005527CA"/>
    <w:rsid w:val="00581752"/>
    <w:rsid w:val="005848B3"/>
    <w:rsid w:val="0058777E"/>
    <w:rsid w:val="005A06A3"/>
    <w:rsid w:val="005D3A77"/>
    <w:rsid w:val="005F1B9E"/>
    <w:rsid w:val="00601A04"/>
    <w:rsid w:val="00626881"/>
    <w:rsid w:val="006325D9"/>
    <w:rsid w:val="00635667"/>
    <w:rsid w:val="00651ABD"/>
    <w:rsid w:val="00664091"/>
    <w:rsid w:val="0068210A"/>
    <w:rsid w:val="00690039"/>
    <w:rsid w:val="006A366E"/>
    <w:rsid w:val="006A4646"/>
    <w:rsid w:val="006B0403"/>
    <w:rsid w:val="006C6C36"/>
    <w:rsid w:val="0070257F"/>
    <w:rsid w:val="007220FC"/>
    <w:rsid w:val="00741B34"/>
    <w:rsid w:val="007607F8"/>
    <w:rsid w:val="00791875"/>
    <w:rsid w:val="007A107B"/>
    <w:rsid w:val="007B2006"/>
    <w:rsid w:val="007B5B51"/>
    <w:rsid w:val="007D1B7C"/>
    <w:rsid w:val="007D45A5"/>
    <w:rsid w:val="007E0C2E"/>
    <w:rsid w:val="007F22A6"/>
    <w:rsid w:val="008323BB"/>
    <w:rsid w:val="008366EC"/>
    <w:rsid w:val="008472C0"/>
    <w:rsid w:val="008657DB"/>
    <w:rsid w:val="00875CC9"/>
    <w:rsid w:val="00887A62"/>
    <w:rsid w:val="00893710"/>
    <w:rsid w:val="0089496D"/>
    <w:rsid w:val="008A6C4C"/>
    <w:rsid w:val="008B1CBE"/>
    <w:rsid w:val="008C3379"/>
    <w:rsid w:val="009253F5"/>
    <w:rsid w:val="0093049E"/>
    <w:rsid w:val="00932617"/>
    <w:rsid w:val="009439EC"/>
    <w:rsid w:val="00952BE3"/>
    <w:rsid w:val="009B2361"/>
    <w:rsid w:val="009B2D70"/>
    <w:rsid w:val="009C7CB7"/>
    <w:rsid w:val="009F5386"/>
    <w:rsid w:val="00A11F1C"/>
    <w:rsid w:val="00A17338"/>
    <w:rsid w:val="00A269CC"/>
    <w:rsid w:val="00A64B31"/>
    <w:rsid w:val="00AA52C7"/>
    <w:rsid w:val="00AB468A"/>
    <w:rsid w:val="00AB4F7A"/>
    <w:rsid w:val="00AB6B61"/>
    <w:rsid w:val="00AF63C0"/>
    <w:rsid w:val="00B047A5"/>
    <w:rsid w:val="00B876AB"/>
    <w:rsid w:val="00B919F8"/>
    <w:rsid w:val="00BA765A"/>
    <w:rsid w:val="00BF5500"/>
    <w:rsid w:val="00C26172"/>
    <w:rsid w:val="00C3446C"/>
    <w:rsid w:val="00C65BCB"/>
    <w:rsid w:val="00C80D83"/>
    <w:rsid w:val="00C81853"/>
    <w:rsid w:val="00CC617B"/>
    <w:rsid w:val="00CC61B5"/>
    <w:rsid w:val="00CF0FFE"/>
    <w:rsid w:val="00D275FF"/>
    <w:rsid w:val="00D31DC2"/>
    <w:rsid w:val="00D77EA8"/>
    <w:rsid w:val="00D94E59"/>
    <w:rsid w:val="00DA7337"/>
    <w:rsid w:val="00DB79E1"/>
    <w:rsid w:val="00DE06FA"/>
    <w:rsid w:val="00DE4F16"/>
    <w:rsid w:val="00DF42C8"/>
    <w:rsid w:val="00E16955"/>
    <w:rsid w:val="00E20063"/>
    <w:rsid w:val="00E72D21"/>
    <w:rsid w:val="00E7383B"/>
    <w:rsid w:val="00E804B3"/>
    <w:rsid w:val="00E84CA7"/>
    <w:rsid w:val="00E9637E"/>
    <w:rsid w:val="00E97563"/>
    <w:rsid w:val="00EB0D0C"/>
    <w:rsid w:val="00EB7260"/>
    <w:rsid w:val="00EC0387"/>
    <w:rsid w:val="00ED09F7"/>
    <w:rsid w:val="00EE7B94"/>
    <w:rsid w:val="00EF53E1"/>
    <w:rsid w:val="00F8485F"/>
    <w:rsid w:val="00F97C7A"/>
    <w:rsid w:val="00FA170D"/>
    <w:rsid w:val="00FA4582"/>
    <w:rsid w:val="00FB11DE"/>
    <w:rsid w:val="00FB6A69"/>
    <w:rsid w:val="00FE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92"/>
  </w:style>
  <w:style w:type="paragraph" w:styleId="Footer">
    <w:name w:val="footer"/>
    <w:basedOn w:val="Normal"/>
    <w:link w:val="FooterChar"/>
    <w:uiPriority w:val="99"/>
    <w:unhideWhenUsed/>
    <w:rsid w:val="003A4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92"/>
  </w:style>
  <w:style w:type="paragraph" w:styleId="ListParagraph">
    <w:name w:val="List Paragraph"/>
    <w:basedOn w:val="Normal"/>
    <w:uiPriority w:val="34"/>
    <w:qFormat/>
    <w:rsid w:val="00543878"/>
    <w:pPr>
      <w:ind w:left="720"/>
      <w:contextualSpacing/>
    </w:pPr>
  </w:style>
  <w:style w:type="paragraph" w:styleId="BalloonText">
    <w:name w:val="Balloon Text"/>
    <w:basedOn w:val="Normal"/>
    <w:link w:val="BalloonTextChar"/>
    <w:uiPriority w:val="99"/>
    <w:semiHidden/>
    <w:unhideWhenUsed/>
    <w:rsid w:val="00AF6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C0"/>
    <w:rPr>
      <w:rFonts w:ascii="Tahoma" w:hAnsi="Tahoma" w:cs="Tahoma"/>
      <w:sz w:val="16"/>
      <w:szCs w:val="16"/>
    </w:rPr>
  </w:style>
  <w:style w:type="paragraph" w:styleId="BodyTextIndent2">
    <w:name w:val="Body Text Indent 2"/>
    <w:basedOn w:val="Normal"/>
    <w:link w:val="BodyTextIndent2Char"/>
    <w:semiHidden/>
    <w:unhideWhenUsed/>
    <w:rsid w:val="004D1220"/>
    <w:pPr>
      <w:spacing w:after="0" w:line="240" w:lineRule="auto"/>
      <w:ind w:left="540" w:hanging="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D1220"/>
    <w:rPr>
      <w:rFonts w:ascii="Times New Roman" w:eastAsia="Times New Roman" w:hAnsi="Times New Roman" w:cs="Times New Roman"/>
      <w:sz w:val="24"/>
      <w:szCs w:val="24"/>
    </w:rPr>
  </w:style>
  <w:style w:type="table" w:styleId="TableGrid">
    <w:name w:val="Table Grid"/>
    <w:basedOn w:val="TableNormal"/>
    <w:uiPriority w:val="59"/>
    <w:rsid w:val="007918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92"/>
  </w:style>
  <w:style w:type="paragraph" w:styleId="Footer">
    <w:name w:val="footer"/>
    <w:basedOn w:val="Normal"/>
    <w:link w:val="FooterChar"/>
    <w:uiPriority w:val="99"/>
    <w:unhideWhenUsed/>
    <w:rsid w:val="003A4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92"/>
  </w:style>
  <w:style w:type="paragraph" w:styleId="ListParagraph">
    <w:name w:val="List Paragraph"/>
    <w:basedOn w:val="Normal"/>
    <w:uiPriority w:val="34"/>
    <w:qFormat/>
    <w:rsid w:val="00543878"/>
    <w:pPr>
      <w:ind w:left="720"/>
      <w:contextualSpacing/>
    </w:pPr>
  </w:style>
  <w:style w:type="paragraph" w:styleId="BalloonText">
    <w:name w:val="Balloon Text"/>
    <w:basedOn w:val="Normal"/>
    <w:link w:val="BalloonTextChar"/>
    <w:uiPriority w:val="99"/>
    <w:semiHidden/>
    <w:unhideWhenUsed/>
    <w:rsid w:val="00AF6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C0"/>
    <w:rPr>
      <w:rFonts w:ascii="Tahoma" w:hAnsi="Tahoma" w:cs="Tahoma"/>
      <w:sz w:val="16"/>
      <w:szCs w:val="16"/>
    </w:rPr>
  </w:style>
  <w:style w:type="paragraph" w:styleId="BodyTextIndent2">
    <w:name w:val="Body Text Indent 2"/>
    <w:basedOn w:val="Normal"/>
    <w:link w:val="BodyTextIndent2Char"/>
    <w:semiHidden/>
    <w:unhideWhenUsed/>
    <w:rsid w:val="004D1220"/>
    <w:pPr>
      <w:spacing w:after="0" w:line="240" w:lineRule="auto"/>
      <w:ind w:left="540" w:hanging="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D1220"/>
    <w:rPr>
      <w:rFonts w:ascii="Times New Roman" w:eastAsia="Times New Roman" w:hAnsi="Times New Roman" w:cs="Times New Roman"/>
      <w:sz w:val="24"/>
      <w:szCs w:val="24"/>
    </w:rPr>
  </w:style>
  <w:style w:type="table" w:styleId="TableGrid">
    <w:name w:val="Table Grid"/>
    <w:basedOn w:val="TableNormal"/>
    <w:uiPriority w:val="59"/>
    <w:rsid w:val="007918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3817-D505-4B40-8DB6-8F0F6D08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Shirley M [SBRS]</dc:creator>
  <cp:lastModifiedBy>%USERID%</cp:lastModifiedBy>
  <cp:revision>2</cp:revision>
  <cp:lastPrinted>2013-06-20T13:15:00Z</cp:lastPrinted>
  <dcterms:created xsi:type="dcterms:W3CDTF">2013-10-28T20:35:00Z</dcterms:created>
  <dcterms:modified xsi:type="dcterms:W3CDTF">2013-10-28T20:35:00Z</dcterms:modified>
</cp:coreProperties>
</file>