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1F6" w:rsidRDefault="00B911F6" w:rsidP="00B911F6">
      <w:pPr>
        <w:rPr>
          <w:b/>
          <w:sz w:val="28"/>
          <w:szCs w:val="28"/>
        </w:rPr>
      </w:pPr>
      <w:bookmarkStart w:id="0" w:name="_GoBack"/>
      <w:bookmarkEnd w:id="0"/>
    </w:p>
    <w:p w:rsidR="00B911F6" w:rsidRDefault="00B911F6" w:rsidP="00B911F6">
      <w:pPr>
        <w:rPr>
          <w:b/>
          <w:sz w:val="28"/>
          <w:szCs w:val="28"/>
        </w:rPr>
      </w:pPr>
    </w:p>
    <w:p w:rsidR="00B911F6" w:rsidRDefault="00B911F6" w:rsidP="00B911F6">
      <w:pPr>
        <w:rPr>
          <w:b/>
          <w:sz w:val="28"/>
          <w:szCs w:val="28"/>
        </w:rPr>
      </w:pPr>
      <w:r>
        <w:rPr>
          <w:b/>
          <w:sz w:val="28"/>
          <w:szCs w:val="28"/>
        </w:rPr>
        <w:t>ECONOMIC RESEARCH SERVICE OMB CLEARANCE PACKAGE</w:t>
      </w:r>
    </w:p>
    <w:p w:rsidR="00B911F6" w:rsidRDefault="00B911F6" w:rsidP="00B911F6">
      <w:pPr>
        <w:jc w:val="center"/>
        <w:rPr>
          <w:b/>
          <w:sz w:val="28"/>
          <w:szCs w:val="28"/>
        </w:rPr>
      </w:pPr>
    </w:p>
    <w:p w:rsidR="00B911F6" w:rsidRDefault="00B911F6" w:rsidP="00B911F6">
      <w:pPr>
        <w:jc w:val="center"/>
        <w:rPr>
          <w:b/>
          <w:sz w:val="28"/>
          <w:szCs w:val="28"/>
        </w:rPr>
      </w:pPr>
      <w:proofErr w:type="gramStart"/>
      <w:r>
        <w:rPr>
          <w:b/>
          <w:sz w:val="28"/>
          <w:szCs w:val="28"/>
        </w:rPr>
        <w:t>SECTION B.</w:t>
      </w:r>
      <w:proofErr w:type="gramEnd"/>
      <w:r>
        <w:rPr>
          <w:b/>
          <w:sz w:val="28"/>
          <w:szCs w:val="28"/>
        </w:rPr>
        <w:t xml:space="preserve">  COLLECTION OF INFORMATION EMPLOYING STATISTICAL METHODS</w:t>
      </w:r>
    </w:p>
    <w:p w:rsidR="00B911F6" w:rsidRDefault="00B911F6" w:rsidP="00B911F6">
      <w:pPr>
        <w:jc w:val="center"/>
        <w:rPr>
          <w:b/>
          <w:sz w:val="28"/>
          <w:szCs w:val="28"/>
        </w:rPr>
      </w:pPr>
    </w:p>
    <w:p w:rsidR="00B911F6" w:rsidRDefault="00B911F6" w:rsidP="00B911F6">
      <w:pPr>
        <w:jc w:val="center"/>
        <w:rPr>
          <w:b/>
          <w:sz w:val="28"/>
          <w:szCs w:val="28"/>
        </w:rPr>
      </w:pPr>
      <w:proofErr w:type="gramStart"/>
      <w:r>
        <w:rPr>
          <w:b/>
          <w:sz w:val="28"/>
          <w:szCs w:val="28"/>
        </w:rPr>
        <w:t>for</w:t>
      </w:r>
      <w:proofErr w:type="gramEnd"/>
    </w:p>
    <w:p w:rsidR="00B911F6" w:rsidRDefault="00B911F6" w:rsidP="00B911F6">
      <w:pPr>
        <w:jc w:val="center"/>
        <w:rPr>
          <w:b/>
        </w:rPr>
      </w:pPr>
    </w:p>
    <w:p w:rsidR="00B911F6" w:rsidRDefault="00B911F6" w:rsidP="00B911F6">
      <w:pPr>
        <w:jc w:val="center"/>
        <w:rPr>
          <w:b/>
          <w:sz w:val="28"/>
          <w:szCs w:val="28"/>
        </w:rPr>
      </w:pPr>
      <w:r>
        <w:rPr>
          <w:b/>
          <w:sz w:val="28"/>
          <w:szCs w:val="28"/>
        </w:rPr>
        <w:t xml:space="preserve">CLEARANCE TO CONDUCT THE SURVEY ON RURAL COMMUNITY WEALTH AND HEALTH CARE PROVISION </w:t>
      </w:r>
    </w:p>
    <w:p w:rsidR="00B911F6" w:rsidRDefault="00D35B39" w:rsidP="00B911F6">
      <w:pPr>
        <w:jc w:val="center"/>
        <w:rPr>
          <w:sz w:val="28"/>
          <w:szCs w:val="28"/>
        </w:rPr>
      </w:pPr>
      <w:r>
        <w:rPr>
          <w:b/>
          <w:sz w:val="28"/>
          <w:szCs w:val="28"/>
        </w:rPr>
        <w:t>FROM FY2014 THROUGH FY2015</w:t>
      </w:r>
    </w:p>
    <w:p w:rsidR="00B911F6" w:rsidRDefault="00B911F6" w:rsidP="00B911F6">
      <w:pPr>
        <w:jc w:val="center"/>
        <w:rPr>
          <w:sz w:val="28"/>
          <w:szCs w:val="28"/>
        </w:rPr>
      </w:pPr>
    </w:p>
    <w:p w:rsidR="00B911F6" w:rsidRDefault="00B911F6" w:rsidP="00B911F6">
      <w:pPr>
        <w:jc w:val="center"/>
        <w:rPr>
          <w:sz w:val="28"/>
          <w:szCs w:val="28"/>
        </w:rPr>
      </w:pPr>
    </w:p>
    <w:p w:rsidR="00B911F6" w:rsidRDefault="00B911F6" w:rsidP="00B911F6">
      <w:pPr>
        <w:jc w:val="center"/>
        <w:rPr>
          <w:sz w:val="28"/>
          <w:szCs w:val="28"/>
        </w:rPr>
      </w:pPr>
    </w:p>
    <w:p w:rsidR="00B911F6" w:rsidRDefault="00B911F6" w:rsidP="00B911F6">
      <w:pPr>
        <w:jc w:val="center"/>
        <w:rPr>
          <w:b/>
          <w:szCs w:val="24"/>
        </w:rPr>
      </w:pPr>
      <w:r>
        <w:rPr>
          <w:b/>
          <w:szCs w:val="24"/>
        </w:rPr>
        <w:t>Prepared by</w:t>
      </w:r>
    </w:p>
    <w:p w:rsidR="00B911F6" w:rsidRDefault="00B911F6" w:rsidP="00B911F6">
      <w:pPr>
        <w:jc w:val="center"/>
        <w:rPr>
          <w:b/>
          <w:szCs w:val="24"/>
        </w:rPr>
      </w:pPr>
    </w:p>
    <w:p w:rsidR="00B911F6" w:rsidRDefault="00B911F6" w:rsidP="00B911F6">
      <w:pPr>
        <w:jc w:val="center"/>
        <w:rPr>
          <w:b/>
          <w:szCs w:val="24"/>
        </w:rPr>
      </w:pPr>
      <w:r>
        <w:rPr>
          <w:b/>
          <w:szCs w:val="24"/>
        </w:rPr>
        <w:t>Farm and Rural Household Well-Being Branch</w:t>
      </w:r>
    </w:p>
    <w:p w:rsidR="00B911F6" w:rsidRDefault="00B911F6" w:rsidP="00B911F6">
      <w:pPr>
        <w:jc w:val="center"/>
        <w:rPr>
          <w:b/>
          <w:szCs w:val="24"/>
        </w:rPr>
      </w:pPr>
      <w:r>
        <w:rPr>
          <w:b/>
          <w:szCs w:val="24"/>
        </w:rPr>
        <w:t>Resource and Rural Economics Division</w:t>
      </w:r>
    </w:p>
    <w:p w:rsidR="00B911F6" w:rsidRDefault="00B911F6" w:rsidP="00B911F6">
      <w:pPr>
        <w:jc w:val="center"/>
        <w:rPr>
          <w:b/>
          <w:szCs w:val="24"/>
        </w:rPr>
      </w:pPr>
      <w:r>
        <w:rPr>
          <w:b/>
          <w:szCs w:val="24"/>
        </w:rPr>
        <w:t>Economic Research Service</w:t>
      </w:r>
    </w:p>
    <w:p w:rsidR="00B911F6" w:rsidRDefault="00B911F6" w:rsidP="00B911F6">
      <w:pPr>
        <w:jc w:val="center"/>
        <w:rPr>
          <w:b/>
          <w:szCs w:val="24"/>
        </w:rPr>
      </w:pPr>
      <w:r>
        <w:rPr>
          <w:b/>
          <w:szCs w:val="24"/>
        </w:rPr>
        <w:t>U.S. Department of Agriculture</w:t>
      </w:r>
    </w:p>
    <w:p w:rsidR="00B911F6" w:rsidRDefault="00B911F6" w:rsidP="00B911F6">
      <w:pPr>
        <w:jc w:val="center"/>
        <w:rPr>
          <w:b/>
          <w:szCs w:val="24"/>
        </w:rPr>
      </w:pPr>
    </w:p>
    <w:p w:rsidR="00B911F6" w:rsidRDefault="00B911F6" w:rsidP="00B911F6">
      <w:pPr>
        <w:jc w:val="center"/>
        <w:rPr>
          <w:b/>
          <w:szCs w:val="24"/>
        </w:rPr>
      </w:pPr>
    </w:p>
    <w:p w:rsidR="00B911F6" w:rsidRDefault="00B911F6" w:rsidP="00B911F6">
      <w:pPr>
        <w:jc w:val="center"/>
        <w:rPr>
          <w:b/>
          <w:szCs w:val="24"/>
        </w:rPr>
      </w:pPr>
    </w:p>
    <w:p w:rsidR="00B911F6" w:rsidRDefault="00B911F6" w:rsidP="00B911F6">
      <w:pPr>
        <w:jc w:val="center"/>
        <w:rPr>
          <w:b/>
          <w:szCs w:val="24"/>
        </w:rPr>
      </w:pPr>
    </w:p>
    <w:p w:rsidR="00B911F6" w:rsidRDefault="00B343C2" w:rsidP="00B911F6">
      <w:pPr>
        <w:jc w:val="center"/>
        <w:rPr>
          <w:b/>
          <w:szCs w:val="24"/>
        </w:rPr>
      </w:pPr>
      <w:r>
        <w:rPr>
          <w:b/>
          <w:szCs w:val="24"/>
        </w:rPr>
        <w:t>January 2014</w:t>
      </w:r>
    </w:p>
    <w:p w:rsidR="00B911F6" w:rsidRDefault="00B911F6" w:rsidP="00B911F6">
      <w:pPr>
        <w:rPr>
          <w:b/>
          <w:szCs w:val="24"/>
        </w:rPr>
      </w:pPr>
      <w:r>
        <w:rPr>
          <w:b/>
          <w:szCs w:val="24"/>
        </w:rPr>
        <w:br w:type="page"/>
      </w:r>
    </w:p>
    <w:p w:rsidR="00B911F6" w:rsidRDefault="00B911F6" w:rsidP="00B911F6">
      <w:pPr>
        <w:jc w:val="center"/>
      </w:pPr>
      <w:r>
        <w:rPr>
          <w:b/>
        </w:rPr>
        <w:lastRenderedPageBreak/>
        <w:t>TABLE OF CONTENTS</w:t>
      </w:r>
    </w:p>
    <w:p w:rsidR="00B911F6" w:rsidRDefault="00B911F6" w:rsidP="00B911F6">
      <w:pPr>
        <w:jc w:val="center"/>
      </w:pPr>
    </w:p>
    <w:p w:rsidR="00B911F6" w:rsidRDefault="00B911F6" w:rsidP="00B911F6">
      <w:pPr>
        <w:pStyle w:val="ListParagraph"/>
        <w:numPr>
          <w:ilvl w:val="0"/>
          <w:numId w:val="17"/>
        </w:numPr>
        <w:jc w:val="both"/>
      </w:pPr>
      <w:r w:rsidRPr="000369FA">
        <w:t>Potential respondent universe and respondent selection methods</w:t>
      </w:r>
      <w:r>
        <w:t xml:space="preserve"> …………………….</w:t>
      </w:r>
      <w:r w:rsidR="00444524">
        <w:t xml:space="preserve">  </w:t>
      </w:r>
      <w:r w:rsidR="007B14E7">
        <w:t xml:space="preserve"> </w:t>
      </w:r>
      <w:r w:rsidR="00444524">
        <w:t>1</w:t>
      </w:r>
    </w:p>
    <w:p w:rsidR="00B911F6" w:rsidRDefault="00B911F6" w:rsidP="00B911F6">
      <w:pPr>
        <w:pStyle w:val="ListParagraph"/>
        <w:jc w:val="both"/>
      </w:pPr>
    </w:p>
    <w:p w:rsidR="00B911F6" w:rsidRPr="000369FA" w:rsidRDefault="00B911F6" w:rsidP="00B911F6">
      <w:pPr>
        <w:pStyle w:val="ListParagraph"/>
        <w:numPr>
          <w:ilvl w:val="0"/>
          <w:numId w:val="17"/>
        </w:numPr>
        <w:jc w:val="both"/>
      </w:pPr>
      <w:r w:rsidRPr="000369FA">
        <w:rPr>
          <w:szCs w:val="24"/>
        </w:rPr>
        <w:t>Procedures for the collection of information</w:t>
      </w:r>
      <w:r>
        <w:rPr>
          <w:szCs w:val="24"/>
        </w:rPr>
        <w:t xml:space="preserve"> ………………………………………….</w:t>
      </w:r>
      <w:r w:rsidR="00444524">
        <w:rPr>
          <w:szCs w:val="24"/>
        </w:rPr>
        <w:t xml:space="preserve"> </w:t>
      </w:r>
      <w:r w:rsidR="007B14E7">
        <w:rPr>
          <w:szCs w:val="24"/>
        </w:rPr>
        <w:t xml:space="preserve"> </w:t>
      </w:r>
      <w:r w:rsidR="00444524">
        <w:rPr>
          <w:szCs w:val="24"/>
        </w:rPr>
        <w:t xml:space="preserve"> </w:t>
      </w:r>
      <w:r w:rsidR="007B14E7">
        <w:rPr>
          <w:szCs w:val="24"/>
        </w:rPr>
        <w:t>6</w:t>
      </w:r>
    </w:p>
    <w:p w:rsidR="00B911F6" w:rsidRDefault="00B911F6" w:rsidP="00B911F6">
      <w:pPr>
        <w:pStyle w:val="ListParagraph"/>
      </w:pPr>
    </w:p>
    <w:p w:rsidR="00B911F6" w:rsidRDefault="00B911F6" w:rsidP="00B911F6">
      <w:pPr>
        <w:ind w:left="1440"/>
        <w:jc w:val="both"/>
      </w:pPr>
      <w:r>
        <w:t>Sample selection ………………………………………………………………</w:t>
      </w:r>
      <w:r w:rsidR="007B14E7">
        <w:t xml:space="preserve">   6</w:t>
      </w:r>
    </w:p>
    <w:p w:rsidR="00B911F6" w:rsidRDefault="00B911F6" w:rsidP="00B911F6">
      <w:pPr>
        <w:ind w:left="1440"/>
        <w:jc w:val="both"/>
      </w:pPr>
    </w:p>
    <w:p w:rsidR="00B911F6" w:rsidRDefault="00B911F6" w:rsidP="00B911F6">
      <w:pPr>
        <w:ind w:left="1440"/>
        <w:jc w:val="both"/>
      </w:pPr>
      <w:r>
        <w:t>Estimation procedure ………………………………………………………….</w:t>
      </w:r>
      <w:r w:rsidR="00444524">
        <w:t xml:space="preserve">  </w:t>
      </w:r>
      <w:r w:rsidR="007B14E7">
        <w:t xml:space="preserve"> 8</w:t>
      </w:r>
    </w:p>
    <w:p w:rsidR="00B911F6" w:rsidRDefault="00B911F6" w:rsidP="00B911F6">
      <w:pPr>
        <w:ind w:left="1440"/>
        <w:jc w:val="both"/>
      </w:pPr>
    </w:p>
    <w:p w:rsidR="00B911F6" w:rsidRDefault="00B911F6" w:rsidP="00B911F6">
      <w:pPr>
        <w:ind w:left="1440"/>
        <w:jc w:val="both"/>
      </w:pPr>
      <w:r>
        <w:t xml:space="preserve">Degree of accuracy needed </w:t>
      </w:r>
      <w:r w:rsidR="007B14E7">
        <w:t>…………………………</w:t>
      </w:r>
      <w:r>
        <w:t>………………………...</w:t>
      </w:r>
      <w:r w:rsidR="007B14E7">
        <w:t xml:space="preserve">  11</w:t>
      </w:r>
    </w:p>
    <w:p w:rsidR="00B911F6" w:rsidRDefault="00B911F6" w:rsidP="00B911F6">
      <w:pPr>
        <w:ind w:left="1440"/>
        <w:jc w:val="both"/>
      </w:pPr>
    </w:p>
    <w:p w:rsidR="00B911F6" w:rsidRDefault="00B911F6" w:rsidP="00B911F6">
      <w:pPr>
        <w:ind w:left="1440"/>
        <w:jc w:val="both"/>
      </w:pPr>
      <w:r>
        <w:t>Unusual problems requiring specialized sampling procedures ………………</w:t>
      </w:r>
      <w:proofErr w:type="gramStart"/>
      <w:r>
        <w:t>.</w:t>
      </w:r>
      <w:r w:rsidR="00444524">
        <w:t xml:space="preserve"> </w:t>
      </w:r>
      <w:r w:rsidR="007B14E7">
        <w:t xml:space="preserve"> </w:t>
      </w:r>
      <w:r w:rsidR="00444524">
        <w:t>1</w:t>
      </w:r>
      <w:r w:rsidR="00DD1655">
        <w:t>3</w:t>
      </w:r>
      <w:proofErr w:type="gramEnd"/>
    </w:p>
    <w:p w:rsidR="00B911F6" w:rsidRDefault="00B911F6" w:rsidP="00DD1655">
      <w:pPr>
        <w:jc w:val="both"/>
      </w:pPr>
    </w:p>
    <w:p w:rsidR="00B911F6" w:rsidRDefault="00B911F6" w:rsidP="00B911F6">
      <w:pPr>
        <w:ind w:left="1440"/>
        <w:jc w:val="both"/>
      </w:pPr>
      <w:r>
        <w:t>Use of periodic data collection cycles ………………………………………...</w:t>
      </w:r>
      <w:r w:rsidR="00444524">
        <w:t xml:space="preserve"> </w:t>
      </w:r>
      <w:r w:rsidR="007B14E7">
        <w:t xml:space="preserve"> </w:t>
      </w:r>
      <w:r w:rsidR="00444524">
        <w:t>1</w:t>
      </w:r>
      <w:r w:rsidR="00DD1655">
        <w:t>3</w:t>
      </w:r>
    </w:p>
    <w:p w:rsidR="00B911F6" w:rsidRDefault="00B911F6" w:rsidP="00B911F6">
      <w:pPr>
        <w:ind w:left="1440"/>
        <w:jc w:val="both"/>
      </w:pPr>
    </w:p>
    <w:p w:rsidR="00B911F6" w:rsidRDefault="00B911F6" w:rsidP="00B911F6">
      <w:pPr>
        <w:pStyle w:val="ListParagraph"/>
        <w:numPr>
          <w:ilvl w:val="0"/>
          <w:numId w:val="17"/>
        </w:numPr>
        <w:jc w:val="both"/>
      </w:pPr>
      <w:r>
        <w:t>Methods to maximize response rates and deal with non-response issues …………….</w:t>
      </w:r>
      <w:r w:rsidR="00444524">
        <w:t xml:space="preserve"> </w:t>
      </w:r>
      <w:r w:rsidR="007B14E7">
        <w:t xml:space="preserve"> </w:t>
      </w:r>
      <w:r w:rsidR="00444524">
        <w:t>1</w:t>
      </w:r>
      <w:r w:rsidR="00DD1655">
        <w:t>3</w:t>
      </w:r>
    </w:p>
    <w:p w:rsidR="00B911F6" w:rsidRDefault="00B911F6" w:rsidP="00B911F6">
      <w:pPr>
        <w:pStyle w:val="ListParagraph"/>
        <w:jc w:val="both"/>
      </w:pPr>
    </w:p>
    <w:p w:rsidR="008821E2" w:rsidRDefault="00B911F6" w:rsidP="00B911F6">
      <w:pPr>
        <w:pStyle w:val="ListParagraph"/>
        <w:numPr>
          <w:ilvl w:val="0"/>
          <w:numId w:val="17"/>
        </w:numPr>
        <w:jc w:val="both"/>
      </w:pPr>
      <w:r>
        <w:t>Tests of procedures or methods to be undertaken ……………………………………</w:t>
      </w:r>
      <w:r w:rsidR="00444524">
        <w:t xml:space="preserve"> </w:t>
      </w:r>
      <w:r w:rsidR="007B14E7">
        <w:t xml:space="preserve"> </w:t>
      </w:r>
      <w:r w:rsidR="00444524">
        <w:t>1</w:t>
      </w:r>
      <w:r w:rsidR="00DD1655">
        <w:t>5</w:t>
      </w:r>
    </w:p>
    <w:p w:rsidR="008821E2" w:rsidRPr="008821E2" w:rsidRDefault="008821E2" w:rsidP="008821E2">
      <w:pPr>
        <w:pStyle w:val="ListParagraph"/>
        <w:rPr>
          <w:szCs w:val="24"/>
        </w:rPr>
      </w:pPr>
    </w:p>
    <w:p w:rsidR="008821E2" w:rsidRPr="008821E2" w:rsidRDefault="00B911F6" w:rsidP="00B911F6">
      <w:pPr>
        <w:pStyle w:val="ListParagraph"/>
        <w:numPr>
          <w:ilvl w:val="0"/>
          <w:numId w:val="17"/>
        </w:numPr>
        <w:jc w:val="both"/>
      </w:pPr>
      <w:r w:rsidRPr="008821E2">
        <w:rPr>
          <w:szCs w:val="24"/>
        </w:rPr>
        <w:t>Names and telephone numbers of people consulted on statistical methods; people who will collect the data …………………………………………………………………..</w:t>
      </w:r>
      <w:r w:rsidR="00444524">
        <w:rPr>
          <w:szCs w:val="24"/>
        </w:rPr>
        <w:t xml:space="preserve">  </w:t>
      </w:r>
      <w:r w:rsidR="00DD1655">
        <w:rPr>
          <w:szCs w:val="24"/>
        </w:rPr>
        <w:t xml:space="preserve"> 16</w:t>
      </w:r>
    </w:p>
    <w:p w:rsidR="008821E2" w:rsidRDefault="008821E2" w:rsidP="008821E2">
      <w:pPr>
        <w:pStyle w:val="ListParagraph"/>
      </w:pPr>
    </w:p>
    <w:p w:rsidR="004E5DBC" w:rsidRDefault="004E5DBC" w:rsidP="00444524">
      <w:pPr>
        <w:ind w:left="360"/>
        <w:jc w:val="both"/>
      </w:pPr>
    </w:p>
    <w:p w:rsidR="007B14E7" w:rsidRDefault="007B14E7" w:rsidP="00444524">
      <w:pPr>
        <w:ind w:left="360"/>
        <w:jc w:val="both"/>
      </w:pPr>
      <w:r>
        <w:t>Annex I. Health care facilities in the sample communities according to 2013 data from the Centers for Medicare &amp; Medicaid Services</w:t>
      </w:r>
    </w:p>
    <w:p w:rsidR="007B14E7" w:rsidRDefault="007B14E7" w:rsidP="00444524">
      <w:pPr>
        <w:ind w:left="360"/>
        <w:jc w:val="both"/>
      </w:pPr>
    </w:p>
    <w:p w:rsidR="008821E2" w:rsidRDefault="008821E2" w:rsidP="00444524">
      <w:pPr>
        <w:ind w:left="360"/>
        <w:jc w:val="both"/>
      </w:pPr>
      <w:r>
        <w:t xml:space="preserve">Annex </w:t>
      </w:r>
      <w:r w:rsidR="007B14E7">
        <w:t>J</w:t>
      </w:r>
      <w:r>
        <w:t xml:space="preserve">. </w:t>
      </w:r>
      <w:r w:rsidR="00444524">
        <w:t>Formulas for estimating means and variances</w:t>
      </w:r>
    </w:p>
    <w:p w:rsidR="00B343C2" w:rsidRDefault="00B343C2" w:rsidP="00444524">
      <w:pPr>
        <w:ind w:left="360"/>
        <w:jc w:val="both"/>
      </w:pPr>
    </w:p>
    <w:p w:rsidR="00B343C2" w:rsidRPr="008821E2" w:rsidRDefault="00B343C2" w:rsidP="00444524">
      <w:pPr>
        <w:ind w:left="360"/>
        <w:jc w:val="both"/>
      </w:pPr>
      <w:r>
        <w:t>Annex L. Sample size calculation</w:t>
      </w:r>
    </w:p>
    <w:p w:rsidR="008821E2" w:rsidRDefault="008821E2" w:rsidP="00B911F6">
      <w:pPr>
        <w:rPr>
          <w:szCs w:val="24"/>
        </w:rPr>
      </w:pPr>
    </w:p>
    <w:p w:rsidR="008821E2" w:rsidRDefault="008821E2" w:rsidP="00B911F6">
      <w:pPr>
        <w:rPr>
          <w:bCs/>
        </w:rPr>
        <w:sectPr w:rsidR="008821E2" w:rsidSect="00444524">
          <w:footerReference w:type="default" r:id="rId9"/>
          <w:pgSz w:w="12240" w:h="15840"/>
          <w:pgMar w:top="1440" w:right="1440" w:bottom="1440" w:left="1440" w:header="720" w:footer="720" w:gutter="0"/>
          <w:pgNumType w:fmt="lowerRoman" w:start="1"/>
          <w:cols w:space="720"/>
          <w:titlePg/>
          <w:docGrid w:linePitch="360"/>
        </w:sectPr>
      </w:pPr>
    </w:p>
    <w:p w:rsidR="00F73758" w:rsidRDefault="000356D8" w:rsidP="00B911F6">
      <w:pPr>
        <w:pStyle w:val="ListParagraph"/>
        <w:numPr>
          <w:ilvl w:val="0"/>
          <w:numId w:val="12"/>
        </w:numPr>
        <w:spacing w:line="480" w:lineRule="auto"/>
        <w:ind w:left="360"/>
        <w:rPr>
          <w:b/>
          <w:szCs w:val="24"/>
        </w:rPr>
      </w:pPr>
      <w:r w:rsidRPr="000356D8">
        <w:rPr>
          <w:b/>
        </w:rPr>
        <w:lastRenderedPageBreak/>
        <w:t>Potential respondent universe and respondent selection methods</w:t>
      </w:r>
    </w:p>
    <w:p w:rsidR="00D35B39" w:rsidRPr="00D35B39" w:rsidRDefault="00D35B39" w:rsidP="00B911F6">
      <w:pPr>
        <w:pStyle w:val="ListParagraph"/>
        <w:spacing w:line="480" w:lineRule="auto"/>
        <w:ind w:left="360"/>
        <w:rPr>
          <w:bCs/>
          <w:i/>
        </w:rPr>
      </w:pPr>
      <w:r>
        <w:rPr>
          <w:bCs/>
          <w:i/>
        </w:rPr>
        <w:t>Provider survey</w:t>
      </w:r>
    </w:p>
    <w:p w:rsidR="0044092F" w:rsidRDefault="00743A62" w:rsidP="00B911F6">
      <w:pPr>
        <w:pStyle w:val="ListParagraph"/>
        <w:spacing w:line="480" w:lineRule="auto"/>
        <w:ind w:left="360"/>
        <w:rPr>
          <w:szCs w:val="24"/>
        </w:rPr>
      </w:pPr>
      <w:r>
        <w:rPr>
          <w:bCs/>
        </w:rPr>
        <w:t xml:space="preserve">The potential respondent universe </w:t>
      </w:r>
      <w:r w:rsidR="00CD32F6">
        <w:rPr>
          <w:bCs/>
        </w:rPr>
        <w:t xml:space="preserve">for the provider survey </w:t>
      </w:r>
      <w:r>
        <w:rPr>
          <w:bCs/>
        </w:rPr>
        <w:t xml:space="preserve">will include </w:t>
      </w:r>
      <w:r w:rsidR="00CD32F6">
        <w:rPr>
          <w:bCs/>
        </w:rPr>
        <w:t xml:space="preserve">primary </w:t>
      </w:r>
      <w:r>
        <w:rPr>
          <w:bCs/>
        </w:rPr>
        <w:t xml:space="preserve">health care providers in rural </w:t>
      </w:r>
      <w:r w:rsidR="00A226C2">
        <w:rPr>
          <w:bCs/>
        </w:rPr>
        <w:t xml:space="preserve">small </w:t>
      </w:r>
      <w:r>
        <w:rPr>
          <w:bCs/>
        </w:rPr>
        <w:t>towns of the nine states in the study (</w:t>
      </w:r>
      <w:r w:rsidR="0044092F">
        <w:rPr>
          <w:bCs/>
        </w:rPr>
        <w:t>Arkansas, Louisiana, and Mississippi – Lower Mississippi Delta (LMD) region; Kansas, Oklahoma, and Texas – Southern Great Plains (SGP) region; and Iowa, Minnesota, and Wisconsin – Upper Midwest (UM</w:t>
      </w:r>
      <w:r w:rsidR="005D5130">
        <w:rPr>
          <w:bCs/>
        </w:rPr>
        <w:t>W</w:t>
      </w:r>
      <w:r w:rsidR="0044092F">
        <w:rPr>
          <w:bCs/>
        </w:rPr>
        <w:t xml:space="preserve">) region). These regions and states were selected to include areas in which poverty and lack of access to rural primary care are major problems (especially in the LMD and SGP) and areas where rapid growth in employment in the health care sector has been occurring since 2002 (true in parts of all three regions), as well as areas where growth has been less rapid. </w:t>
      </w:r>
      <w:r w:rsidR="00B02AFB">
        <w:rPr>
          <w:bCs/>
        </w:rPr>
        <w:t xml:space="preserve"> The UMW region</w:t>
      </w:r>
      <w:r w:rsidR="006D2950">
        <w:rPr>
          <w:bCs/>
        </w:rPr>
        <w:t xml:space="preserve"> provides</w:t>
      </w:r>
      <w:r w:rsidR="005D5130">
        <w:rPr>
          <w:bCs/>
        </w:rPr>
        <w:t xml:space="preserve"> a contrast to the LMD and SGP regions in access to rural primary care and health care utilization, as well as in the average level of poverty and other </w:t>
      </w:r>
      <w:r w:rsidR="007A693E">
        <w:rPr>
          <w:bCs/>
        </w:rPr>
        <w:t>socioeconomic and demographic characteristics.</w:t>
      </w:r>
      <w:r w:rsidR="005D5130">
        <w:rPr>
          <w:bCs/>
        </w:rPr>
        <w:t xml:space="preserve"> </w:t>
      </w:r>
      <w:r w:rsidR="0044092F">
        <w:rPr>
          <w:szCs w:val="24"/>
        </w:rPr>
        <w:t xml:space="preserve">These regions also include important variations </w:t>
      </w:r>
      <w:r w:rsidR="007A693E">
        <w:rPr>
          <w:szCs w:val="24"/>
        </w:rPr>
        <w:t xml:space="preserve">(both across and within them) </w:t>
      </w:r>
      <w:r w:rsidR="0044092F">
        <w:rPr>
          <w:szCs w:val="24"/>
        </w:rPr>
        <w:t>in health status of the population, presence of different racial and ethnic groups, social capital</w:t>
      </w:r>
      <w:r w:rsidR="007A693E">
        <w:rPr>
          <w:szCs w:val="24"/>
        </w:rPr>
        <w:t xml:space="preserve"> and other assets</w:t>
      </w:r>
      <w:r w:rsidR="0044092F">
        <w:rPr>
          <w:szCs w:val="24"/>
        </w:rPr>
        <w:t xml:space="preserve">, </w:t>
      </w:r>
      <w:r w:rsidR="00B5356A">
        <w:rPr>
          <w:szCs w:val="24"/>
        </w:rPr>
        <w:t xml:space="preserve">presence of retirement destination communities, </w:t>
      </w:r>
      <w:r w:rsidR="007A693E">
        <w:rPr>
          <w:szCs w:val="24"/>
        </w:rPr>
        <w:t xml:space="preserve">programs to improve access to rural health care, </w:t>
      </w:r>
      <w:r w:rsidR="0044092F">
        <w:rPr>
          <w:szCs w:val="24"/>
        </w:rPr>
        <w:t>and other key factors hypothesized to be related to rural health care provision.</w:t>
      </w:r>
    </w:p>
    <w:p w:rsidR="00A226C2" w:rsidRDefault="0044092F" w:rsidP="00B911F6">
      <w:pPr>
        <w:pStyle w:val="ListParagraph"/>
        <w:spacing w:line="480" w:lineRule="auto"/>
        <w:ind w:left="360" w:firstLine="720"/>
        <w:rPr>
          <w:szCs w:val="24"/>
        </w:rPr>
      </w:pPr>
      <w:r>
        <w:rPr>
          <w:szCs w:val="24"/>
        </w:rPr>
        <w:t>The rural towns</w:t>
      </w:r>
      <w:r w:rsidR="00CD32F6">
        <w:rPr>
          <w:szCs w:val="24"/>
        </w:rPr>
        <w:t xml:space="preserve"> in the universe of this study we</w:t>
      </w:r>
      <w:r>
        <w:rPr>
          <w:szCs w:val="24"/>
        </w:rPr>
        <w:t xml:space="preserve">re identified by </w:t>
      </w:r>
      <w:r w:rsidR="007A693E">
        <w:rPr>
          <w:szCs w:val="24"/>
        </w:rPr>
        <w:t xml:space="preserve">2000 </w:t>
      </w:r>
      <w:r>
        <w:rPr>
          <w:szCs w:val="24"/>
        </w:rPr>
        <w:t xml:space="preserve">Zip Code Tabulation Areas (ZCTAs), </w:t>
      </w:r>
      <w:r w:rsidR="00DF5C36">
        <w:rPr>
          <w:szCs w:val="24"/>
        </w:rPr>
        <w:t>which are based on Zip Codes as they were defined at the time of the 2000 Population Census.</w:t>
      </w:r>
      <w:r w:rsidR="00DF5C36">
        <w:rPr>
          <w:rStyle w:val="FootnoteReference"/>
          <w:szCs w:val="24"/>
        </w:rPr>
        <w:footnoteReference w:id="1"/>
      </w:r>
      <w:r w:rsidR="00DF5C36">
        <w:rPr>
          <w:szCs w:val="24"/>
        </w:rPr>
        <w:t xml:space="preserve">  We use</w:t>
      </w:r>
      <w:r w:rsidR="00CD32F6">
        <w:rPr>
          <w:szCs w:val="24"/>
        </w:rPr>
        <w:t>d</w:t>
      </w:r>
      <w:r w:rsidR="00DF5C36">
        <w:rPr>
          <w:szCs w:val="24"/>
        </w:rPr>
        <w:t xml:space="preserve"> ZCTAs as the primary sampling unit for this survey because this is the lowest geographic level at which data on health care access have been </w:t>
      </w:r>
      <w:r w:rsidR="00DF5C36">
        <w:rPr>
          <w:szCs w:val="24"/>
        </w:rPr>
        <w:lastRenderedPageBreak/>
        <w:t>compiled by the Dartmouth Health Atlas</w:t>
      </w:r>
      <w:r w:rsidR="007003CC">
        <w:rPr>
          <w:rStyle w:val="FootnoteReference"/>
          <w:szCs w:val="24"/>
        </w:rPr>
        <w:footnoteReference w:id="2"/>
      </w:r>
      <w:r w:rsidR="00DF5C36">
        <w:rPr>
          <w:szCs w:val="24"/>
        </w:rPr>
        <w:t xml:space="preserve"> (some of which data are used in our sampling approach), and because ZCTAs correspond closely to towns, especially in rural areas.</w:t>
      </w:r>
      <w:r w:rsidR="00A606E6">
        <w:rPr>
          <w:rStyle w:val="FootnoteReference"/>
          <w:szCs w:val="24"/>
        </w:rPr>
        <w:footnoteReference w:id="3"/>
      </w:r>
      <w:r w:rsidR="00DF5C36">
        <w:rPr>
          <w:szCs w:val="24"/>
        </w:rPr>
        <w:t xml:space="preserve">  </w:t>
      </w:r>
      <w:r w:rsidR="005D5130">
        <w:rPr>
          <w:szCs w:val="24"/>
        </w:rPr>
        <w:t>We use</w:t>
      </w:r>
      <w:r w:rsidR="00CD32F6">
        <w:rPr>
          <w:szCs w:val="24"/>
        </w:rPr>
        <w:t>d</w:t>
      </w:r>
      <w:r w:rsidR="005D5130">
        <w:rPr>
          <w:szCs w:val="24"/>
        </w:rPr>
        <w:t xml:space="preserve"> the Rural Urban Commuting Area (RUCA) codes to </w:t>
      </w:r>
      <w:r w:rsidR="00A606E6">
        <w:rPr>
          <w:szCs w:val="24"/>
        </w:rPr>
        <w:t xml:space="preserve">classify </w:t>
      </w:r>
      <w:r w:rsidR="005D5130">
        <w:rPr>
          <w:szCs w:val="24"/>
        </w:rPr>
        <w:t xml:space="preserve">which towns are rural, excluding towns </w:t>
      </w:r>
      <w:r w:rsidR="007A693E">
        <w:rPr>
          <w:szCs w:val="24"/>
        </w:rPr>
        <w:t xml:space="preserve">that are part of metropolitan urban core areas (RUCA codes 1 and 1.1), suburban areas with high dependence on commuting flows (greater than 30% </w:t>
      </w:r>
      <w:r w:rsidR="00CB19E9">
        <w:rPr>
          <w:szCs w:val="24"/>
        </w:rPr>
        <w:t>commuting share)</w:t>
      </w:r>
      <w:r w:rsidR="007A693E">
        <w:rPr>
          <w:szCs w:val="24"/>
        </w:rPr>
        <w:t xml:space="preserve"> to urban areas </w:t>
      </w:r>
      <w:r w:rsidR="00CB19E9">
        <w:rPr>
          <w:szCs w:val="24"/>
        </w:rPr>
        <w:t xml:space="preserve">(RUCA codes 2, 2.1, 4.1, 5.1, 7.1, 8.1, 10.1), and isolated rural areas </w:t>
      </w:r>
      <w:r w:rsidR="00650879">
        <w:rPr>
          <w:szCs w:val="24"/>
        </w:rPr>
        <w:t xml:space="preserve">not part of a metropolitan or </w:t>
      </w:r>
      <w:proofErr w:type="spellStart"/>
      <w:r w:rsidR="00650879">
        <w:rPr>
          <w:szCs w:val="24"/>
        </w:rPr>
        <w:t>micropolitan</w:t>
      </w:r>
      <w:proofErr w:type="spellEnd"/>
      <w:r w:rsidR="00650879">
        <w:rPr>
          <w:szCs w:val="24"/>
        </w:rPr>
        <w:t xml:space="preserve"> core and with low commuting dependence on such areas (RUCA codes 10, 10.3, 10.4, 10.5, and 10.6).</w:t>
      </w:r>
      <w:r w:rsidR="00C504BE">
        <w:rPr>
          <w:rStyle w:val="FootnoteReference"/>
          <w:szCs w:val="24"/>
        </w:rPr>
        <w:footnoteReference w:id="4"/>
      </w:r>
      <w:r w:rsidR="00650879">
        <w:rPr>
          <w:szCs w:val="24"/>
        </w:rPr>
        <w:t xml:space="preserve">  </w:t>
      </w:r>
    </w:p>
    <w:p w:rsidR="00CB19E9" w:rsidRDefault="00B5356A" w:rsidP="00B911F6">
      <w:pPr>
        <w:pStyle w:val="ListParagraph"/>
        <w:spacing w:line="480" w:lineRule="auto"/>
        <w:ind w:left="360" w:firstLine="720"/>
        <w:rPr>
          <w:szCs w:val="24"/>
        </w:rPr>
      </w:pPr>
      <w:r>
        <w:rPr>
          <w:szCs w:val="24"/>
        </w:rPr>
        <w:t>W</w:t>
      </w:r>
      <w:r w:rsidR="00650879">
        <w:rPr>
          <w:szCs w:val="24"/>
        </w:rPr>
        <w:t>e include</w:t>
      </w:r>
      <w:r w:rsidR="00CD32F6">
        <w:rPr>
          <w:szCs w:val="24"/>
        </w:rPr>
        <w:t>d</w:t>
      </w:r>
      <w:r w:rsidR="00650879">
        <w:rPr>
          <w:szCs w:val="24"/>
        </w:rPr>
        <w:t xml:space="preserve"> </w:t>
      </w:r>
      <w:r>
        <w:rPr>
          <w:szCs w:val="24"/>
        </w:rPr>
        <w:t>towns</w:t>
      </w:r>
      <w:r w:rsidR="00650879">
        <w:rPr>
          <w:szCs w:val="24"/>
        </w:rPr>
        <w:t xml:space="preserve"> </w:t>
      </w:r>
      <w:r w:rsidR="002E0FA0" w:rsidRPr="00E876F0">
        <w:rPr>
          <w:szCs w:val="24"/>
        </w:rPr>
        <w:t>in ZCTAs</w:t>
      </w:r>
      <w:r w:rsidR="002E0FA0">
        <w:rPr>
          <w:szCs w:val="24"/>
        </w:rPr>
        <w:t xml:space="preserve"> </w:t>
      </w:r>
      <w:r w:rsidR="00650879">
        <w:rPr>
          <w:szCs w:val="24"/>
        </w:rPr>
        <w:t xml:space="preserve">with a </w:t>
      </w:r>
      <w:r w:rsidR="00CD32F6">
        <w:rPr>
          <w:szCs w:val="24"/>
        </w:rPr>
        <w:t xml:space="preserve">2008 </w:t>
      </w:r>
      <w:r w:rsidR="00650879">
        <w:rPr>
          <w:szCs w:val="24"/>
        </w:rPr>
        <w:t>population of at least 2,500 and no more than 20,000</w:t>
      </w:r>
      <w:r w:rsidR="00A606E6">
        <w:rPr>
          <w:szCs w:val="24"/>
        </w:rPr>
        <w:t xml:space="preserve"> in the universe. This </w:t>
      </w:r>
      <w:r w:rsidR="006D2950">
        <w:rPr>
          <w:szCs w:val="24"/>
        </w:rPr>
        <w:t>focu</w:t>
      </w:r>
      <w:r w:rsidR="00650879">
        <w:rPr>
          <w:szCs w:val="24"/>
        </w:rPr>
        <w:t xml:space="preserve">s on </w:t>
      </w:r>
      <w:r w:rsidR="00905AF9">
        <w:rPr>
          <w:szCs w:val="24"/>
        </w:rPr>
        <w:t xml:space="preserve">small towns </w:t>
      </w:r>
      <w:r w:rsidR="006D2950">
        <w:rPr>
          <w:szCs w:val="24"/>
        </w:rPr>
        <w:t xml:space="preserve">is </w:t>
      </w:r>
      <w:r w:rsidR="000135F8">
        <w:rPr>
          <w:szCs w:val="24"/>
        </w:rPr>
        <w:t xml:space="preserve">to </w:t>
      </w:r>
      <w:r w:rsidR="006D2950">
        <w:rPr>
          <w:szCs w:val="24"/>
        </w:rPr>
        <w:t xml:space="preserve">ensure that the communities are large enough that </w:t>
      </w:r>
      <w:r w:rsidR="00650879">
        <w:rPr>
          <w:szCs w:val="24"/>
        </w:rPr>
        <w:t>recruitment and retention of primary health care providers is a realistic prospect (</w:t>
      </w:r>
      <w:r w:rsidR="0082123B">
        <w:rPr>
          <w:szCs w:val="24"/>
        </w:rPr>
        <w:t xml:space="preserve">96% of </w:t>
      </w:r>
      <w:r>
        <w:rPr>
          <w:szCs w:val="24"/>
        </w:rPr>
        <w:t>town</w:t>
      </w:r>
      <w:r w:rsidR="0082123B">
        <w:rPr>
          <w:szCs w:val="24"/>
        </w:rPr>
        <w:t xml:space="preserve">s with less than 2,500 population and meeting the RUCA code criteria in the study states </w:t>
      </w:r>
      <w:r w:rsidR="00650879">
        <w:rPr>
          <w:szCs w:val="24"/>
        </w:rPr>
        <w:t>do not have any primary care physicians</w:t>
      </w:r>
      <w:r w:rsidR="0082123B">
        <w:rPr>
          <w:szCs w:val="24"/>
        </w:rPr>
        <w:t xml:space="preserve">) and </w:t>
      </w:r>
      <w:r w:rsidR="006D2950">
        <w:rPr>
          <w:szCs w:val="24"/>
        </w:rPr>
        <w:t xml:space="preserve">small enough so that </w:t>
      </w:r>
      <w:r w:rsidR="0082123B">
        <w:rPr>
          <w:szCs w:val="24"/>
        </w:rPr>
        <w:t xml:space="preserve">recruiting and retaining primary care providers is </w:t>
      </w:r>
      <w:r w:rsidR="002E0FA0" w:rsidRPr="00E876F0">
        <w:rPr>
          <w:szCs w:val="24"/>
        </w:rPr>
        <w:t>likely to be</w:t>
      </w:r>
      <w:r w:rsidR="002E0FA0">
        <w:rPr>
          <w:szCs w:val="24"/>
        </w:rPr>
        <w:t xml:space="preserve"> </w:t>
      </w:r>
      <w:r w:rsidR="0082123B">
        <w:rPr>
          <w:szCs w:val="24"/>
        </w:rPr>
        <w:t xml:space="preserve">a </w:t>
      </w:r>
      <w:r w:rsidR="00A606E6">
        <w:rPr>
          <w:szCs w:val="24"/>
        </w:rPr>
        <w:t>serious</w:t>
      </w:r>
      <w:r w:rsidR="0082123B">
        <w:rPr>
          <w:szCs w:val="24"/>
        </w:rPr>
        <w:t xml:space="preserve"> problem (96% of </w:t>
      </w:r>
      <w:r>
        <w:rPr>
          <w:szCs w:val="24"/>
        </w:rPr>
        <w:t>town</w:t>
      </w:r>
      <w:r w:rsidR="0082123B">
        <w:rPr>
          <w:szCs w:val="24"/>
        </w:rPr>
        <w:t xml:space="preserve">s with more than 20,000 </w:t>
      </w:r>
      <w:r>
        <w:rPr>
          <w:szCs w:val="24"/>
        </w:rPr>
        <w:t xml:space="preserve">population </w:t>
      </w:r>
      <w:r w:rsidR="0082123B">
        <w:rPr>
          <w:szCs w:val="24"/>
        </w:rPr>
        <w:t>meeting the RUCA code criteria in the study states have more than 5 primary care physicians</w:t>
      </w:r>
      <w:r w:rsidR="00A606E6">
        <w:rPr>
          <w:szCs w:val="24"/>
        </w:rPr>
        <w:t>,</w:t>
      </w:r>
      <w:r w:rsidR="0082123B">
        <w:rPr>
          <w:szCs w:val="24"/>
        </w:rPr>
        <w:t xml:space="preserve"> and </w:t>
      </w:r>
      <w:r w:rsidR="00A606E6">
        <w:rPr>
          <w:szCs w:val="24"/>
        </w:rPr>
        <w:t>97% have a hospital)</w:t>
      </w:r>
      <w:r w:rsidR="00B02AFB">
        <w:rPr>
          <w:szCs w:val="24"/>
        </w:rPr>
        <w:t xml:space="preserve">.  We expect that recruitment and retention of health care providers is more </w:t>
      </w:r>
      <w:r w:rsidR="006D2950">
        <w:rPr>
          <w:szCs w:val="24"/>
        </w:rPr>
        <w:t>likely to be influenced by local community assets and investments</w:t>
      </w:r>
      <w:r w:rsidR="00B02AFB">
        <w:rPr>
          <w:szCs w:val="24"/>
        </w:rPr>
        <w:t xml:space="preserve"> in such small rural towns than in smaller rural settlements or larger towns and cities</w:t>
      </w:r>
      <w:r w:rsidR="00A606E6">
        <w:rPr>
          <w:szCs w:val="24"/>
        </w:rPr>
        <w:t xml:space="preserve">.  </w:t>
      </w:r>
    </w:p>
    <w:p w:rsidR="00A606E6" w:rsidRDefault="00A606E6" w:rsidP="00B911F6">
      <w:pPr>
        <w:pStyle w:val="ListParagraph"/>
        <w:spacing w:line="480" w:lineRule="auto"/>
        <w:ind w:left="360" w:firstLine="720"/>
        <w:rPr>
          <w:szCs w:val="24"/>
        </w:rPr>
      </w:pPr>
      <w:r>
        <w:rPr>
          <w:szCs w:val="24"/>
        </w:rPr>
        <w:lastRenderedPageBreak/>
        <w:t xml:space="preserve">The universe of </w:t>
      </w:r>
      <w:r w:rsidR="00A226C2">
        <w:rPr>
          <w:szCs w:val="24"/>
        </w:rPr>
        <w:t xml:space="preserve">small </w:t>
      </w:r>
      <w:r>
        <w:rPr>
          <w:szCs w:val="24"/>
        </w:rPr>
        <w:t xml:space="preserve">towns in the three study regions meeting these criteria includes </w:t>
      </w:r>
      <w:r w:rsidR="00905AF9">
        <w:rPr>
          <w:szCs w:val="24"/>
        </w:rPr>
        <w:t>809 small towns with a total population of 6.1 million in 2008</w:t>
      </w:r>
      <w:r w:rsidR="00A226C2">
        <w:rPr>
          <w:szCs w:val="24"/>
        </w:rPr>
        <w:t xml:space="preserve"> (about 9% of the U.S. rural population in 2008)</w:t>
      </w:r>
      <w:r w:rsidR="00905AF9">
        <w:rPr>
          <w:szCs w:val="24"/>
        </w:rPr>
        <w:t>.  51% of these towns have a hospital and 78% have at least one primary care physician, according to the Dartmouth Health Atlas data.</w:t>
      </w:r>
      <w:r w:rsidR="00A226C2">
        <w:rPr>
          <w:szCs w:val="24"/>
        </w:rPr>
        <w:t xml:space="preserve">  Among the towns that have at least one primary care physician, the mean population per </w:t>
      </w:r>
      <w:r w:rsidR="006D2950">
        <w:rPr>
          <w:szCs w:val="24"/>
        </w:rPr>
        <w:t xml:space="preserve">primary care </w:t>
      </w:r>
      <w:r w:rsidR="00A226C2">
        <w:rPr>
          <w:szCs w:val="24"/>
        </w:rPr>
        <w:t xml:space="preserve">physician is 2,275, but this ranges as high </w:t>
      </w:r>
      <w:r w:rsidR="00AE1B6B">
        <w:rPr>
          <w:szCs w:val="24"/>
        </w:rPr>
        <w:t>as 16,173</w:t>
      </w:r>
      <w:r w:rsidR="006D2950">
        <w:rPr>
          <w:szCs w:val="24"/>
        </w:rPr>
        <w:t xml:space="preserve"> and as low as 23</w:t>
      </w:r>
      <w:r w:rsidR="00AE1B6B">
        <w:rPr>
          <w:szCs w:val="24"/>
        </w:rPr>
        <w:t>3</w:t>
      </w:r>
      <w:r w:rsidR="006D2950">
        <w:rPr>
          <w:szCs w:val="24"/>
        </w:rPr>
        <w:t>.</w:t>
      </w:r>
      <w:r w:rsidR="00AE1B6B">
        <w:rPr>
          <w:szCs w:val="24"/>
        </w:rPr>
        <w:t xml:space="preserve">  36% of the towns in this universe have more than 3,500 p</w:t>
      </w:r>
      <w:r w:rsidR="00824024">
        <w:rPr>
          <w:szCs w:val="24"/>
        </w:rPr>
        <w:t xml:space="preserve">eople </w:t>
      </w:r>
      <w:r w:rsidR="00AE1B6B">
        <w:rPr>
          <w:szCs w:val="24"/>
        </w:rPr>
        <w:t xml:space="preserve">per primary care physician, </w:t>
      </w:r>
      <w:r w:rsidR="00124ED4">
        <w:rPr>
          <w:szCs w:val="24"/>
        </w:rPr>
        <w:t xml:space="preserve">potentially </w:t>
      </w:r>
      <w:r w:rsidR="00AE1B6B">
        <w:rPr>
          <w:szCs w:val="24"/>
        </w:rPr>
        <w:t>classifying these as primary care Health Professional Shortage Areas (HPSAs).</w:t>
      </w:r>
      <w:r w:rsidR="00AE1B6B">
        <w:rPr>
          <w:rStyle w:val="FootnoteReference"/>
          <w:szCs w:val="24"/>
        </w:rPr>
        <w:footnoteReference w:id="5"/>
      </w:r>
    </w:p>
    <w:p w:rsidR="00B23521" w:rsidRDefault="00124ED4" w:rsidP="00B23521">
      <w:pPr>
        <w:pStyle w:val="ListParagraph"/>
        <w:spacing w:line="480" w:lineRule="auto"/>
        <w:ind w:left="360" w:firstLine="720"/>
        <w:rPr>
          <w:szCs w:val="24"/>
        </w:rPr>
      </w:pPr>
      <w:r>
        <w:rPr>
          <w:szCs w:val="24"/>
        </w:rPr>
        <w:t xml:space="preserve">Within this universe of small rural towns, the universe of potential respondents includes </w:t>
      </w:r>
      <w:r w:rsidR="006C684C">
        <w:rPr>
          <w:szCs w:val="24"/>
        </w:rPr>
        <w:t xml:space="preserve">primary </w:t>
      </w:r>
      <w:r>
        <w:rPr>
          <w:szCs w:val="24"/>
        </w:rPr>
        <w:t>health care providers</w:t>
      </w:r>
      <w:r w:rsidR="007665AA">
        <w:rPr>
          <w:szCs w:val="24"/>
        </w:rPr>
        <w:t xml:space="preserve"> that provide health care services in these towns</w:t>
      </w:r>
      <w:r w:rsidR="006C684C">
        <w:rPr>
          <w:szCs w:val="24"/>
        </w:rPr>
        <w:t xml:space="preserve">. </w:t>
      </w:r>
      <w:r>
        <w:rPr>
          <w:szCs w:val="24"/>
        </w:rPr>
        <w:t>For the purposes of this study, “</w:t>
      </w:r>
      <w:r w:rsidR="00CD32F6">
        <w:rPr>
          <w:szCs w:val="24"/>
        </w:rPr>
        <w:t xml:space="preserve">primary </w:t>
      </w:r>
      <w:r>
        <w:rPr>
          <w:szCs w:val="24"/>
        </w:rPr>
        <w:t xml:space="preserve">health care providers” includes </w:t>
      </w:r>
      <w:r w:rsidR="00F307EB">
        <w:rPr>
          <w:szCs w:val="24"/>
        </w:rPr>
        <w:t xml:space="preserve">licensed </w:t>
      </w:r>
      <w:r>
        <w:rPr>
          <w:szCs w:val="24"/>
        </w:rPr>
        <w:t xml:space="preserve">physicians (with either a Doctor </w:t>
      </w:r>
      <w:r w:rsidR="00F307EB">
        <w:rPr>
          <w:szCs w:val="24"/>
        </w:rPr>
        <w:t xml:space="preserve">of Medicine </w:t>
      </w:r>
      <w:r>
        <w:rPr>
          <w:szCs w:val="24"/>
        </w:rPr>
        <w:t>(MD) or Doctor of Osteopath</w:t>
      </w:r>
      <w:r w:rsidR="00F307EB">
        <w:rPr>
          <w:szCs w:val="24"/>
        </w:rPr>
        <w:t>ic Medicine</w:t>
      </w:r>
      <w:r>
        <w:rPr>
          <w:szCs w:val="24"/>
        </w:rPr>
        <w:t xml:space="preserve"> (DO) degree)</w:t>
      </w:r>
      <w:r w:rsidR="006C684C">
        <w:rPr>
          <w:szCs w:val="24"/>
        </w:rPr>
        <w:t xml:space="preserve"> with a primary care specialty of family practice, general practice, internal medicine, </w:t>
      </w:r>
      <w:r w:rsidR="002C58FD">
        <w:rPr>
          <w:szCs w:val="24"/>
        </w:rPr>
        <w:t>geriatric medicine</w:t>
      </w:r>
      <w:r>
        <w:rPr>
          <w:szCs w:val="24"/>
        </w:rPr>
        <w:t xml:space="preserve">, </w:t>
      </w:r>
      <w:r w:rsidR="002C58FD">
        <w:rPr>
          <w:szCs w:val="24"/>
        </w:rPr>
        <w:t>or pediatric medicine;</w:t>
      </w:r>
      <w:r w:rsidR="002C58FD">
        <w:rPr>
          <w:rStyle w:val="FootnoteReference"/>
          <w:szCs w:val="24"/>
        </w:rPr>
        <w:footnoteReference w:id="6"/>
      </w:r>
      <w:r w:rsidR="002C58FD">
        <w:rPr>
          <w:szCs w:val="24"/>
        </w:rPr>
        <w:t xml:space="preserve"> </w:t>
      </w:r>
      <w:r>
        <w:rPr>
          <w:szCs w:val="24"/>
        </w:rPr>
        <w:t>dentists (</w:t>
      </w:r>
      <w:r w:rsidR="00F307EB">
        <w:rPr>
          <w:szCs w:val="24"/>
        </w:rPr>
        <w:t xml:space="preserve">with a </w:t>
      </w:r>
      <w:r>
        <w:rPr>
          <w:szCs w:val="24"/>
        </w:rPr>
        <w:t xml:space="preserve">Doctor of Dental Surgery </w:t>
      </w:r>
      <w:r w:rsidR="00F307EB">
        <w:rPr>
          <w:szCs w:val="24"/>
        </w:rPr>
        <w:t xml:space="preserve">(DDS) or Doctor of Dental Medicine (DMD) </w:t>
      </w:r>
      <w:r w:rsidR="002C58FD">
        <w:rPr>
          <w:szCs w:val="24"/>
        </w:rPr>
        <w:t>degree);</w:t>
      </w:r>
      <w:r>
        <w:rPr>
          <w:szCs w:val="24"/>
        </w:rPr>
        <w:t xml:space="preserve"> </w:t>
      </w:r>
      <w:r w:rsidR="00F307EB">
        <w:rPr>
          <w:szCs w:val="24"/>
        </w:rPr>
        <w:t>physician assistants or associates (with an appropriate graduate degree such as a Master of Physic</w:t>
      </w:r>
      <w:r w:rsidR="002C58FD">
        <w:rPr>
          <w:szCs w:val="24"/>
        </w:rPr>
        <w:t>ian Assistant Studies (MPAS));</w:t>
      </w:r>
      <w:r w:rsidR="00B51BD4">
        <w:rPr>
          <w:szCs w:val="24"/>
        </w:rPr>
        <w:t xml:space="preserve"> nurse practitioners (Registered Nurses with an appropriate graduate degre</w:t>
      </w:r>
      <w:r w:rsidR="002C58FD">
        <w:rPr>
          <w:szCs w:val="24"/>
        </w:rPr>
        <w:t>e such as a Masters in Nursing);</w:t>
      </w:r>
      <w:r w:rsidR="00B51BD4">
        <w:rPr>
          <w:szCs w:val="24"/>
        </w:rPr>
        <w:t xml:space="preserve"> </w:t>
      </w:r>
      <w:r w:rsidR="00CD32F6">
        <w:rPr>
          <w:szCs w:val="24"/>
        </w:rPr>
        <w:t xml:space="preserve">and </w:t>
      </w:r>
      <w:r w:rsidR="00B51BD4">
        <w:rPr>
          <w:szCs w:val="24"/>
        </w:rPr>
        <w:t>nurse midwi</w:t>
      </w:r>
      <w:r w:rsidR="003E73EA">
        <w:rPr>
          <w:szCs w:val="24"/>
        </w:rPr>
        <w:t>v</w:t>
      </w:r>
      <w:r w:rsidR="00B51BD4">
        <w:rPr>
          <w:szCs w:val="24"/>
        </w:rPr>
        <w:t>es (Registered Nurses with a</w:t>
      </w:r>
      <w:r w:rsidR="00F1414F">
        <w:rPr>
          <w:szCs w:val="24"/>
        </w:rPr>
        <w:t>t least a</w:t>
      </w:r>
      <w:r w:rsidR="00B51BD4">
        <w:rPr>
          <w:szCs w:val="24"/>
        </w:rPr>
        <w:t xml:space="preserve"> Masters in Nursing and certification as </w:t>
      </w:r>
      <w:r w:rsidR="00A24AE4">
        <w:rPr>
          <w:szCs w:val="24"/>
        </w:rPr>
        <w:t>a Certified Nurse Midwife (CNM)</w:t>
      </w:r>
      <w:r w:rsidR="00F1414F">
        <w:rPr>
          <w:szCs w:val="24"/>
        </w:rPr>
        <w:t>)</w:t>
      </w:r>
      <w:r w:rsidR="00B51BD4">
        <w:rPr>
          <w:szCs w:val="24"/>
        </w:rPr>
        <w:t xml:space="preserve">.  </w:t>
      </w:r>
      <w:r w:rsidR="0077075B">
        <w:rPr>
          <w:szCs w:val="24"/>
        </w:rPr>
        <w:t xml:space="preserve">We focus on these categories of health care providers to keep the scope of the study manageable within the budget available, yet significantly broader than most studies of rural primary health care providers (usually limited to a focus on </w:t>
      </w:r>
      <w:r w:rsidR="0077075B">
        <w:rPr>
          <w:szCs w:val="24"/>
        </w:rPr>
        <w:lastRenderedPageBreak/>
        <w:t xml:space="preserve">physicians).  Other categories of health care providers, such as </w:t>
      </w:r>
      <w:r w:rsidR="00F1414F">
        <w:rPr>
          <w:szCs w:val="24"/>
        </w:rPr>
        <w:t xml:space="preserve">other </w:t>
      </w:r>
      <w:r w:rsidR="0077075B">
        <w:rPr>
          <w:szCs w:val="24"/>
        </w:rPr>
        <w:t>nurses</w:t>
      </w:r>
      <w:r w:rsidR="00F1414F">
        <w:rPr>
          <w:szCs w:val="24"/>
        </w:rPr>
        <w:t xml:space="preserve"> besides nurse practitioners and nurse midwives</w:t>
      </w:r>
      <w:r w:rsidR="0077075B">
        <w:rPr>
          <w:szCs w:val="24"/>
        </w:rPr>
        <w:t>, mental health professionals, physical therapists, and others are also important and needed in rural areas, but will be beyond the scope of this study.</w:t>
      </w:r>
      <w:r w:rsidR="00B51BD4">
        <w:rPr>
          <w:szCs w:val="24"/>
        </w:rPr>
        <w:t xml:space="preserve">  </w:t>
      </w:r>
    </w:p>
    <w:p w:rsidR="00B23521" w:rsidRPr="00B23521" w:rsidRDefault="00320B99" w:rsidP="00B23521">
      <w:pPr>
        <w:pStyle w:val="ListParagraph"/>
        <w:spacing w:line="480" w:lineRule="auto"/>
        <w:ind w:left="360" w:firstLine="720"/>
        <w:rPr>
          <w:szCs w:val="24"/>
        </w:rPr>
      </w:pPr>
      <w:r>
        <w:rPr>
          <w:szCs w:val="24"/>
        </w:rPr>
        <w:t xml:space="preserve">We do not have the data available to list or characterize the entire population of these health care providers </w:t>
      </w:r>
      <w:r w:rsidRPr="000A5249">
        <w:rPr>
          <w:szCs w:val="24"/>
        </w:rPr>
        <w:t xml:space="preserve">within the universe of </w:t>
      </w:r>
      <w:r w:rsidR="00154A4E" w:rsidRPr="000A5249">
        <w:rPr>
          <w:szCs w:val="24"/>
        </w:rPr>
        <w:t xml:space="preserve">809 </w:t>
      </w:r>
      <w:r w:rsidRPr="000A5249">
        <w:rPr>
          <w:szCs w:val="24"/>
        </w:rPr>
        <w:t xml:space="preserve">small rural towns </w:t>
      </w:r>
      <w:r w:rsidR="00154A4E" w:rsidRPr="000A5249">
        <w:rPr>
          <w:szCs w:val="24"/>
        </w:rPr>
        <w:t xml:space="preserve">identified for </w:t>
      </w:r>
      <w:r w:rsidRPr="000A5249">
        <w:rPr>
          <w:szCs w:val="24"/>
        </w:rPr>
        <w:t xml:space="preserve">the </w:t>
      </w:r>
      <w:r w:rsidR="00154A4E" w:rsidRPr="000A5249">
        <w:rPr>
          <w:szCs w:val="24"/>
        </w:rPr>
        <w:t>sampling frame</w:t>
      </w:r>
      <w:r w:rsidRPr="000A5249">
        <w:rPr>
          <w:szCs w:val="24"/>
        </w:rPr>
        <w:t>.</w:t>
      </w:r>
      <w:r>
        <w:rPr>
          <w:szCs w:val="24"/>
        </w:rPr>
        <w:t xml:space="preserve">  </w:t>
      </w:r>
      <w:r w:rsidR="00E75E96" w:rsidRPr="000A5249">
        <w:rPr>
          <w:szCs w:val="24"/>
        </w:rPr>
        <w:t>However, a</w:t>
      </w:r>
      <w:r w:rsidR="001639ED" w:rsidRPr="000A5249">
        <w:rPr>
          <w:szCs w:val="24"/>
        </w:rPr>
        <w:t xml:space="preserve">s noted previously, 150 communities have been selected to be the focus of this study.  </w:t>
      </w:r>
      <w:r w:rsidR="00E75E96" w:rsidRPr="000A5249">
        <w:rPr>
          <w:szCs w:val="24"/>
        </w:rPr>
        <w:t>(</w:t>
      </w:r>
      <w:r w:rsidR="001639ED" w:rsidRPr="000A5249">
        <w:rPr>
          <w:szCs w:val="24"/>
        </w:rPr>
        <w:t xml:space="preserve">The </w:t>
      </w:r>
      <w:r w:rsidR="006B6DC9" w:rsidRPr="000A5249">
        <w:rPr>
          <w:szCs w:val="24"/>
        </w:rPr>
        <w:t>sampling</w:t>
      </w:r>
      <w:r w:rsidR="001639ED" w:rsidRPr="000A5249">
        <w:rPr>
          <w:szCs w:val="24"/>
        </w:rPr>
        <w:t xml:space="preserve"> process for those communities is described in Section B.2 of this document</w:t>
      </w:r>
      <w:r w:rsidR="000A5249">
        <w:rPr>
          <w:szCs w:val="24"/>
        </w:rPr>
        <w:t>)</w:t>
      </w:r>
      <w:r w:rsidR="001639ED" w:rsidRPr="000A5249">
        <w:rPr>
          <w:szCs w:val="24"/>
        </w:rPr>
        <w:t>.</w:t>
      </w:r>
      <w:r w:rsidR="001639ED">
        <w:rPr>
          <w:szCs w:val="24"/>
        </w:rPr>
        <w:t xml:space="preserve">  </w:t>
      </w:r>
      <w:r w:rsidR="007665AA">
        <w:rPr>
          <w:szCs w:val="24"/>
        </w:rPr>
        <w:t>A</w:t>
      </w:r>
      <w:r>
        <w:rPr>
          <w:szCs w:val="24"/>
        </w:rPr>
        <w:t xml:space="preserve"> list of health care providers working in each of the</w:t>
      </w:r>
      <w:r w:rsidR="00E75E96">
        <w:rPr>
          <w:szCs w:val="24"/>
        </w:rPr>
        <w:t xml:space="preserve"> 150</w:t>
      </w:r>
      <w:r>
        <w:rPr>
          <w:szCs w:val="24"/>
        </w:rPr>
        <w:t xml:space="preserve"> </w:t>
      </w:r>
      <w:r w:rsidR="007326B4">
        <w:rPr>
          <w:szCs w:val="24"/>
        </w:rPr>
        <w:t>sample</w:t>
      </w:r>
      <w:r w:rsidR="00E75E96">
        <w:rPr>
          <w:szCs w:val="24"/>
        </w:rPr>
        <w:t>d</w:t>
      </w:r>
      <w:r w:rsidR="007326B4">
        <w:rPr>
          <w:szCs w:val="24"/>
        </w:rPr>
        <w:t xml:space="preserve"> </w:t>
      </w:r>
      <w:r>
        <w:rPr>
          <w:szCs w:val="24"/>
        </w:rPr>
        <w:t xml:space="preserve">towns will be compiled using secondary sources of information </w:t>
      </w:r>
      <w:r w:rsidR="007665AA">
        <w:rPr>
          <w:szCs w:val="24"/>
        </w:rPr>
        <w:t xml:space="preserve">and verified and revised </w:t>
      </w:r>
      <w:r w:rsidR="00250B4D">
        <w:rPr>
          <w:szCs w:val="24"/>
        </w:rPr>
        <w:t xml:space="preserve">as needed </w:t>
      </w:r>
      <w:r w:rsidR="007665AA">
        <w:rPr>
          <w:szCs w:val="24"/>
        </w:rPr>
        <w:t xml:space="preserve">via </w:t>
      </w:r>
      <w:r w:rsidR="006B6DC9">
        <w:rPr>
          <w:szCs w:val="24"/>
        </w:rPr>
        <w:t>in</w:t>
      </w:r>
      <w:r w:rsidR="007665AA">
        <w:rPr>
          <w:szCs w:val="24"/>
        </w:rPr>
        <w:t>terviews</w:t>
      </w:r>
      <w:r w:rsidR="006B6DC9">
        <w:rPr>
          <w:szCs w:val="24"/>
        </w:rPr>
        <w:t xml:space="preserve"> with key informants</w:t>
      </w:r>
      <w:r w:rsidR="007665AA">
        <w:rPr>
          <w:szCs w:val="24"/>
        </w:rPr>
        <w:t xml:space="preserve">. The starting point for developing the list of providers will be the National </w:t>
      </w:r>
      <w:r w:rsidR="00B23521">
        <w:rPr>
          <w:szCs w:val="24"/>
        </w:rPr>
        <w:t>Provider Identifier (NPI) data available from the Centers for Medicare &amp; Medicaid Services (CMS), which are downloadable from the Internet (</w:t>
      </w:r>
      <w:hyperlink r:id="rId10" w:history="1">
        <w:r w:rsidR="00B23521">
          <w:rPr>
            <w:rStyle w:val="Hyperlink"/>
          </w:rPr>
          <w:t>http://nppes.viva-it.com/NPI_Files.html</w:t>
        </w:r>
      </w:hyperlink>
      <w:r w:rsidR="00B23521">
        <w:t xml:space="preserve">) and include identifying information for all health care providers covered by the Health Insurance Portability and Accountability Act (HIPAA). </w:t>
      </w:r>
      <w:r w:rsidR="00B23521" w:rsidRPr="000A5249">
        <w:t xml:space="preserve">The information from the NPI list </w:t>
      </w:r>
      <w:r w:rsidR="00A03322" w:rsidRPr="000A5249">
        <w:t>will be cross checked and supplemented by</w:t>
      </w:r>
      <w:r w:rsidR="004702F2" w:rsidRPr="000A5249">
        <w:t xml:space="preserve"> at least four other types of </w:t>
      </w:r>
      <w:r w:rsidR="00A03322" w:rsidRPr="000A5249">
        <w:t xml:space="preserve">secondary data sources, </w:t>
      </w:r>
      <w:r w:rsidR="00E745D2" w:rsidRPr="000A5249">
        <w:t>including</w:t>
      </w:r>
      <w:r w:rsidR="00A03322" w:rsidRPr="000A5249">
        <w:t xml:space="preserve"> </w:t>
      </w:r>
      <w:r w:rsidR="004702F2" w:rsidRPr="000A5249">
        <w:t xml:space="preserve">1) </w:t>
      </w:r>
      <w:r w:rsidR="00A03322" w:rsidRPr="000A5249">
        <w:t>professional organization</w:t>
      </w:r>
      <w:r w:rsidR="004702F2" w:rsidRPr="000A5249">
        <w:t xml:space="preserve"> directories (e.g.,</w:t>
      </w:r>
      <w:r w:rsidR="00A03322" w:rsidRPr="000A5249">
        <w:t xml:space="preserve"> the American Medical Association</w:t>
      </w:r>
      <w:r w:rsidR="004702F2" w:rsidRPr="000A5249">
        <w:t>,</w:t>
      </w:r>
      <w:r w:rsidR="00A03322" w:rsidRPr="000A5249">
        <w:t xml:space="preserve"> American Dental Association, state directories of health care providers</w:t>
      </w:r>
      <w:r w:rsidR="004702F2" w:rsidRPr="000A5249">
        <w:t>)</w:t>
      </w:r>
      <w:r w:rsidR="00A03322" w:rsidRPr="000A5249">
        <w:t xml:space="preserve">, </w:t>
      </w:r>
      <w:r w:rsidR="004702F2" w:rsidRPr="000A5249">
        <w:t>2) local health care facility websites (e.g., hospital and clinic websites), 3) other local organization websites (e.g., town or county website, Chamber of Commerce</w:t>
      </w:r>
      <w:r w:rsidR="00154A4E" w:rsidRPr="000A5249">
        <w:t>),</w:t>
      </w:r>
      <w:r w:rsidR="000A5249">
        <w:t xml:space="preserve"> </w:t>
      </w:r>
      <w:r w:rsidR="00154A4E" w:rsidRPr="000A5249">
        <w:t>and 4)</w:t>
      </w:r>
      <w:r w:rsidR="00A03322" w:rsidRPr="000A5249">
        <w:t xml:space="preserve"> other </w:t>
      </w:r>
      <w:r w:rsidR="00154A4E" w:rsidRPr="000A5249">
        <w:t xml:space="preserve">general </w:t>
      </w:r>
      <w:r w:rsidR="00A03322" w:rsidRPr="000A5249">
        <w:t xml:space="preserve">sources </w:t>
      </w:r>
      <w:r w:rsidR="00154A4E" w:rsidRPr="000A5249">
        <w:t>(e.g., white or yellow pages)</w:t>
      </w:r>
      <w:r w:rsidR="00A03322" w:rsidRPr="000A5249">
        <w:t>.</w:t>
      </w:r>
      <w:r w:rsidR="004702F2" w:rsidRPr="000A5249">
        <w:t xml:space="preserve"> To be included in our provider frame, an individual provider must be </w:t>
      </w:r>
      <w:r w:rsidR="00154A4E" w:rsidRPr="000A5249">
        <w:t>verified by</w:t>
      </w:r>
      <w:r w:rsidR="004702F2" w:rsidRPr="000A5249">
        <w:t xml:space="preserve"> least two sources.</w:t>
      </w:r>
      <w:r w:rsidR="004702F2">
        <w:t xml:space="preserve"> </w:t>
      </w:r>
    </w:p>
    <w:p w:rsidR="00B659BA" w:rsidRDefault="004E520A" w:rsidP="00B911F6">
      <w:pPr>
        <w:pStyle w:val="ListParagraph"/>
        <w:spacing w:line="480" w:lineRule="auto"/>
        <w:ind w:left="360" w:firstLine="720"/>
        <w:rPr>
          <w:szCs w:val="24"/>
        </w:rPr>
      </w:pPr>
      <w:r>
        <w:rPr>
          <w:szCs w:val="24"/>
        </w:rPr>
        <w:t xml:space="preserve">The respondents will be selected using a two stage stratified random sampling procedure.  In the first stage, 150 rural small towns </w:t>
      </w:r>
      <w:r w:rsidR="00005E9F">
        <w:rPr>
          <w:szCs w:val="24"/>
        </w:rPr>
        <w:t xml:space="preserve">have been </w:t>
      </w:r>
      <w:r>
        <w:rPr>
          <w:szCs w:val="24"/>
        </w:rPr>
        <w:t xml:space="preserve">selected from six strata: the </w:t>
      </w:r>
      <w:r>
        <w:rPr>
          <w:szCs w:val="24"/>
        </w:rPr>
        <w:lastRenderedPageBreak/>
        <w:t xml:space="preserve">three regions x whether the town has a hospital. </w:t>
      </w:r>
      <w:r w:rsidR="006B6DC9">
        <w:rPr>
          <w:szCs w:val="24"/>
        </w:rPr>
        <w:t xml:space="preserve"> </w:t>
      </w:r>
      <w:r>
        <w:rPr>
          <w:szCs w:val="24"/>
        </w:rPr>
        <w:t>In the second stage, providers will be selected from the population list of providers working in these 150 sample communities, stratified by provider types.  Details of the sampling procedure are provided in a subsequent section.</w:t>
      </w:r>
    </w:p>
    <w:p w:rsidR="004E520A" w:rsidRDefault="004E520A" w:rsidP="00B911F6">
      <w:pPr>
        <w:pStyle w:val="ListParagraph"/>
        <w:spacing w:line="480" w:lineRule="auto"/>
        <w:ind w:left="360" w:firstLine="720"/>
        <w:rPr>
          <w:szCs w:val="24"/>
        </w:rPr>
      </w:pPr>
      <w:r>
        <w:rPr>
          <w:szCs w:val="24"/>
        </w:rPr>
        <w:t xml:space="preserve">The expected response rate </w:t>
      </w:r>
      <w:r w:rsidR="00B57EDD">
        <w:rPr>
          <w:szCs w:val="24"/>
        </w:rPr>
        <w:t xml:space="preserve">to the provider survey </w:t>
      </w:r>
      <w:r>
        <w:rPr>
          <w:szCs w:val="24"/>
        </w:rPr>
        <w:t>is 80%.  The methods that will be used to maximize the response rate are discussed in a subsequent section.</w:t>
      </w:r>
    </w:p>
    <w:p w:rsidR="004E520A" w:rsidRDefault="004E520A" w:rsidP="004E520A">
      <w:pPr>
        <w:pStyle w:val="ListParagraph"/>
        <w:spacing w:line="480" w:lineRule="auto"/>
        <w:ind w:left="360"/>
        <w:rPr>
          <w:szCs w:val="24"/>
        </w:rPr>
      </w:pPr>
    </w:p>
    <w:p w:rsidR="004E520A" w:rsidRDefault="004E520A" w:rsidP="004E520A">
      <w:pPr>
        <w:pStyle w:val="ListParagraph"/>
        <w:spacing w:line="480" w:lineRule="auto"/>
        <w:ind w:left="360"/>
        <w:rPr>
          <w:i/>
          <w:szCs w:val="24"/>
        </w:rPr>
      </w:pPr>
      <w:r>
        <w:rPr>
          <w:i/>
          <w:szCs w:val="24"/>
        </w:rPr>
        <w:t>Key informant</w:t>
      </w:r>
      <w:r w:rsidR="00AF0A3A">
        <w:rPr>
          <w:i/>
          <w:szCs w:val="24"/>
        </w:rPr>
        <w:t xml:space="preserve"> </w:t>
      </w:r>
      <w:r w:rsidR="00AF0A3A" w:rsidRPr="000A5249">
        <w:rPr>
          <w:i/>
          <w:szCs w:val="24"/>
        </w:rPr>
        <w:t>semi-structured</w:t>
      </w:r>
      <w:r>
        <w:rPr>
          <w:i/>
          <w:szCs w:val="24"/>
        </w:rPr>
        <w:t xml:space="preserve"> interviews</w:t>
      </w:r>
    </w:p>
    <w:p w:rsidR="00C64C98" w:rsidRDefault="006B6DC9" w:rsidP="004E520A">
      <w:pPr>
        <w:pStyle w:val="ListParagraph"/>
        <w:spacing w:line="480" w:lineRule="auto"/>
        <w:ind w:left="360"/>
        <w:rPr>
          <w:szCs w:val="24"/>
        </w:rPr>
      </w:pPr>
      <w:r w:rsidRPr="000A5249">
        <w:rPr>
          <w:szCs w:val="24"/>
        </w:rPr>
        <w:t xml:space="preserve">Semi-structured interviews will be conducted with key informants from each of the 150 sample communities.  These </w:t>
      </w:r>
      <w:r w:rsidR="00AE1431" w:rsidRPr="000A5249">
        <w:rPr>
          <w:szCs w:val="24"/>
        </w:rPr>
        <w:t>key informants</w:t>
      </w:r>
      <w:r w:rsidR="00AE1431">
        <w:rPr>
          <w:szCs w:val="24"/>
        </w:rPr>
        <w:t xml:space="preserve"> will be of two types: (i) administrators of health care facilities, such as hospitals and clinics; and (ii) community leaders involved </w:t>
      </w:r>
      <w:r w:rsidR="000A5249">
        <w:rPr>
          <w:szCs w:val="24"/>
        </w:rPr>
        <w:t xml:space="preserve">or interested </w:t>
      </w:r>
      <w:r w:rsidR="00AE1431">
        <w:rPr>
          <w:szCs w:val="24"/>
        </w:rPr>
        <w:t xml:space="preserve">in recruiting and retaining health care providers. </w:t>
      </w:r>
    </w:p>
    <w:p w:rsidR="00C64C98" w:rsidRPr="00C64C98" w:rsidRDefault="00AE1431" w:rsidP="00C64C98">
      <w:pPr>
        <w:pStyle w:val="ListParagraph"/>
        <w:spacing w:line="480" w:lineRule="auto"/>
        <w:ind w:left="360" w:firstLine="630"/>
        <w:rPr>
          <w:szCs w:val="24"/>
        </w:rPr>
      </w:pPr>
      <w:r>
        <w:rPr>
          <w:szCs w:val="24"/>
        </w:rPr>
        <w:t>Health care facilities and administrators will be identified using the NPI database, supplemented</w:t>
      </w:r>
      <w:r w:rsidR="00AF0A3A">
        <w:rPr>
          <w:szCs w:val="24"/>
        </w:rPr>
        <w:t xml:space="preserve"> </w:t>
      </w:r>
      <w:r w:rsidR="00AF0A3A" w:rsidRPr="000A5249">
        <w:rPr>
          <w:szCs w:val="24"/>
        </w:rPr>
        <w:t>and verified</w:t>
      </w:r>
      <w:r>
        <w:rPr>
          <w:szCs w:val="24"/>
        </w:rPr>
        <w:t xml:space="preserve"> by other secondary data sources </w:t>
      </w:r>
      <w:r w:rsidRPr="000A5249">
        <w:rPr>
          <w:szCs w:val="24"/>
        </w:rPr>
        <w:t xml:space="preserve">as </w:t>
      </w:r>
      <w:r w:rsidR="00A01062" w:rsidRPr="000A5249">
        <w:rPr>
          <w:szCs w:val="24"/>
        </w:rPr>
        <w:t xml:space="preserve">described </w:t>
      </w:r>
      <w:r w:rsidR="00AF0A3A" w:rsidRPr="000A5249">
        <w:rPr>
          <w:szCs w:val="24"/>
        </w:rPr>
        <w:t>in the previous section</w:t>
      </w:r>
      <w:r w:rsidRPr="000A5249">
        <w:rPr>
          <w:szCs w:val="24"/>
        </w:rPr>
        <w:t>.</w:t>
      </w:r>
      <w:r>
        <w:rPr>
          <w:szCs w:val="24"/>
        </w:rPr>
        <w:t xml:space="preserve"> </w:t>
      </w:r>
      <w:r w:rsidR="00462233" w:rsidRPr="00C64C98">
        <w:rPr>
          <w:szCs w:val="24"/>
        </w:rPr>
        <w:t>We plan to interview up to two facility administrators (or their representatives)</w:t>
      </w:r>
      <w:r w:rsidR="000A5249">
        <w:rPr>
          <w:szCs w:val="24"/>
        </w:rPr>
        <w:t>, including the administrator of the largest hospital and the largest primary health care clinic</w:t>
      </w:r>
      <w:r w:rsidR="007F76F3">
        <w:rPr>
          <w:szCs w:val="24"/>
        </w:rPr>
        <w:t>, in communities that have these facilities</w:t>
      </w:r>
      <w:r w:rsidR="00462233" w:rsidRPr="00C64C98">
        <w:rPr>
          <w:szCs w:val="24"/>
        </w:rPr>
        <w:t>.</w:t>
      </w:r>
      <w:r w:rsidR="00DB35BE">
        <w:rPr>
          <w:szCs w:val="24"/>
        </w:rPr>
        <w:t xml:space="preserve"> </w:t>
      </w:r>
      <w:r w:rsidR="00A01062" w:rsidRPr="000A5249">
        <w:rPr>
          <w:szCs w:val="24"/>
        </w:rPr>
        <w:t xml:space="preserve">If there is no hospital </w:t>
      </w:r>
      <w:r w:rsidR="000A5249">
        <w:rPr>
          <w:szCs w:val="24"/>
        </w:rPr>
        <w:t>and</w:t>
      </w:r>
      <w:r w:rsidR="00A01062" w:rsidRPr="000A5249">
        <w:rPr>
          <w:szCs w:val="24"/>
        </w:rPr>
        <w:t xml:space="preserve"> no primary health care clinic in the community, we will seek to identify and interview up to two </w:t>
      </w:r>
      <w:r w:rsidR="00A80119" w:rsidRPr="000A5249">
        <w:rPr>
          <w:szCs w:val="24"/>
        </w:rPr>
        <w:t xml:space="preserve">knowledgeable </w:t>
      </w:r>
      <w:r w:rsidR="00A01062" w:rsidRPr="000A5249">
        <w:rPr>
          <w:szCs w:val="24"/>
        </w:rPr>
        <w:t xml:space="preserve">individuals who are involved in the health care industry in </w:t>
      </w:r>
      <w:r w:rsidR="00A80119" w:rsidRPr="000A5249">
        <w:rPr>
          <w:szCs w:val="24"/>
        </w:rPr>
        <w:t xml:space="preserve">another </w:t>
      </w:r>
      <w:r w:rsidR="00A01062" w:rsidRPr="000A5249">
        <w:rPr>
          <w:szCs w:val="24"/>
        </w:rPr>
        <w:t>way</w:t>
      </w:r>
      <w:r w:rsidR="00A80119" w:rsidRPr="000A5249">
        <w:rPr>
          <w:szCs w:val="24"/>
        </w:rPr>
        <w:t>, such as</w:t>
      </w:r>
      <w:r w:rsidR="00A01062" w:rsidRPr="000A5249">
        <w:rPr>
          <w:szCs w:val="24"/>
        </w:rPr>
        <w:t xml:space="preserve"> public health, nursing care facilities, or other </w:t>
      </w:r>
      <w:r w:rsidR="00A80119" w:rsidRPr="000A5249">
        <w:rPr>
          <w:szCs w:val="24"/>
        </w:rPr>
        <w:t xml:space="preserve">community </w:t>
      </w:r>
      <w:r w:rsidR="00A01062" w:rsidRPr="000A5249">
        <w:rPr>
          <w:szCs w:val="24"/>
        </w:rPr>
        <w:t>health-related programs.</w:t>
      </w:r>
      <w:r w:rsidR="007F76F3">
        <w:rPr>
          <w:rStyle w:val="FootnoteReference"/>
          <w:szCs w:val="24"/>
        </w:rPr>
        <w:footnoteReference w:id="7"/>
      </w:r>
    </w:p>
    <w:p w:rsidR="00C64C98" w:rsidRDefault="00C64C98" w:rsidP="00C64C98">
      <w:pPr>
        <w:pStyle w:val="ListParagraph"/>
        <w:spacing w:line="480" w:lineRule="auto"/>
        <w:ind w:left="360" w:firstLine="630"/>
        <w:rPr>
          <w:szCs w:val="24"/>
        </w:rPr>
      </w:pPr>
      <w:r w:rsidRPr="00C64C98">
        <w:rPr>
          <w:szCs w:val="24"/>
        </w:rPr>
        <w:t xml:space="preserve">We will also seek to interview up to two community leaders in each town. </w:t>
      </w:r>
      <w:r w:rsidR="00AF0A3A">
        <w:rPr>
          <w:szCs w:val="24"/>
        </w:rPr>
        <w:t xml:space="preserve"> </w:t>
      </w:r>
      <w:r w:rsidRPr="00C64C98">
        <w:rPr>
          <w:szCs w:val="24"/>
        </w:rPr>
        <w:t xml:space="preserve">Relevant community leaders will be </w:t>
      </w:r>
      <w:r w:rsidR="004F656E" w:rsidRPr="007F76F3">
        <w:rPr>
          <w:szCs w:val="24"/>
        </w:rPr>
        <w:t>verified or</w:t>
      </w:r>
      <w:r w:rsidR="004F656E">
        <w:rPr>
          <w:szCs w:val="24"/>
        </w:rPr>
        <w:t xml:space="preserve"> </w:t>
      </w:r>
      <w:r w:rsidRPr="00C64C98">
        <w:rPr>
          <w:szCs w:val="24"/>
        </w:rPr>
        <w:t xml:space="preserve">identified by contacting the chief executive officer of </w:t>
      </w:r>
      <w:r w:rsidRPr="00C64C98">
        <w:rPr>
          <w:szCs w:val="24"/>
        </w:rPr>
        <w:lastRenderedPageBreak/>
        <w:t xml:space="preserve">the town (i.e., the mayor or town manager), and by asking administrators of health care facilities for names of community leaders involved in health care issues. </w:t>
      </w:r>
      <w:r w:rsidR="00AF0A3A">
        <w:rPr>
          <w:szCs w:val="24"/>
        </w:rPr>
        <w:t xml:space="preserve"> </w:t>
      </w:r>
      <w:r w:rsidR="00A41B31" w:rsidRPr="007F76F3">
        <w:rPr>
          <w:szCs w:val="24"/>
        </w:rPr>
        <w:t>In addition to town mayors or managers, likely participants could include people involved in economic development or other local government or non-profit organizations.</w:t>
      </w:r>
    </w:p>
    <w:p w:rsidR="00A41B31" w:rsidRDefault="00A41B31" w:rsidP="00A41B31">
      <w:pPr>
        <w:pStyle w:val="ListParagraph"/>
        <w:spacing w:line="480" w:lineRule="auto"/>
        <w:ind w:left="360" w:firstLine="630"/>
        <w:rPr>
          <w:szCs w:val="24"/>
        </w:rPr>
      </w:pPr>
      <w:r w:rsidRPr="007F76F3">
        <w:rPr>
          <w:szCs w:val="24"/>
        </w:rPr>
        <w:t>Due to the widely varying situations in small communities, appropriate key informants may need to be identified on a case-by-case basis, following the pre</w:t>
      </w:r>
      <w:r w:rsidR="00AF0A3A" w:rsidRPr="007F76F3">
        <w:rPr>
          <w:szCs w:val="24"/>
        </w:rPr>
        <w:t>ferred</w:t>
      </w:r>
      <w:r w:rsidRPr="007F76F3">
        <w:rPr>
          <w:szCs w:val="24"/>
        </w:rPr>
        <w:t xml:space="preserve"> protocols to the extent possible.</w:t>
      </w:r>
      <w:r w:rsidR="006B6DC9" w:rsidRPr="007F76F3">
        <w:rPr>
          <w:szCs w:val="24"/>
        </w:rPr>
        <w:t xml:space="preserve">  In particularly small communities with no local health care </w:t>
      </w:r>
      <w:r w:rsidR="00AF0A3A" w:rsidRPr="007F76F3">
        <w:rPr>
          <w:szCs w:val="24"/>
        </w:rPr>
        <w:t>available</w:t>
      </w:r>
      <w:r w:rsidR="006B6DC9" w:rsidRPr="007F76F3">
        <w:rPr>
          <w:szCs w:val="24"/>
        </w:rPr>
        <w:t xml:space="preserve">, it may be necessary to contact key informants at the county level for </w:t>
      </w:r>
      <w:r w:rsidR="00AF0A3A" w:rsidRPr="007F76F3">
        <w:rPr>
          <w:szCs w:val="24"/>
        </w:rPr>
        <w:t xml:space="preserve">some types of </w:t>
      </w:r>
      <w:r w:rsidR="006B6DC9" w:rsidRPr="007F76F3">
        <w:rPr>
          <w:szCs w:val="24"/>
        </w:rPr>
        <w:t>information.</w:t>
      </w:r>
    </w:p>
    <w:p w:rsidR="00BD6DD4" w:rsidRDefault="00B57EDD" w:rsidP="00B911F6">
      <w:pPr>
        <w:pStyle w:val="ListParagraph"/>
        <w:spacing w:line="480" w:lineRule="auto"/>
        <w:ind w:left="360" w:firstLine="720"/>
        <w:rPr>
          <w:szCs w:val="24"/>
        </w:rPr>
      </w:pPr>
      <w:r>
        <w:rPr>
          <w:szCs w:val="24"/>
        </w:rPr>
        <w:t xml:space="preserve">The expected response rate to the key informant </w:t>
      </w:r>
      <w:r w:rsidR="00AF0A3A" w:rsidRPr="007F76F3">
        <w:rPr>
          <w:szCs w:val="24"/>
        </w:rPr>
        <w:t>semi-structured</w:t>
      </w:r>
      <w:r w:rsidR="00AF0A3A">
        <w:rPr>
          <w:szCs w:val="24"/>
        </w:rPr>
        <w:t xml:space="preserve"> </w:t>
      </w:r>
      <w:r>
        <w:rPr>
          <w:szCs w:val="24"/>
        </w:rPr>
        <w:t>interviews is 67%.</w:t>
      </w:r>
    </w:p>
    <w:p w:rsidR="00B57EDD" w:rsidRDefault="00B57EDD" w:rsidP="00B911F6">
      <w:pPr>
        <w:pStyle w:val="ListParagraph"/>
        <w:spacing w:line="480" w:lineRule="auto"/>
        <w:ind w:left="360" w:firstLine="720"/>
        <w:rPr>
          <w:szCs w:val="24"/>
        </w:rPr>
      </w:pPr>
    </w:p>
    <w:p w:rsidR="00F73758" w:rsidRDefault="00BD6DD4" w:rsidP="00B911F6">
      <w:pPr>
        <w:pStyle w:val="ListParagraph"/>
        <w:numPr>
          <w:ilvl w:val="0"/>
          <w:numId w:val="12"/>
        </w:numPr>
        <w:spacing w:line="480" w:lineRule="auto"/>
        <w:ind w:left="360"/>
        <w:rPr>
          <w:b/>
          <w:szCs w:val="24"/>
        </w:rPr>
      </w:pPr>
      <w:r>
        <w:rPr>
          <w:b/>
          <w:szCs w:val="24"/>
        </w:rPr>
        <w:t>Procedures for the collection of information</w:t>
      </w:r>
    </w:p>
    <w:p w:rsidR="00BD6DD4" w:rsidRPr="00BD6DD4" w:rsidRDefault="00BD6DD4" w:rsidP="00B911F6">
      <w:pPr>
        <w:pStyle w:val="ListParagraph"/>
        <w:spacing w:line="480" w:lineRule="auto"/>
        <w:ind w:left="360"/>
        <w:rPr>
          <w:b/>
          <w:szCs w:val="24"/>
        </w:rPr>
      </w:pPr>
      <w:r>
        <w:rPr>
          <w:b/>
          <w:szCs w:val="24"/>
        </w:rPr>
        <w:t>Sample selection</w:t>
      </w:r>
      <w:r w:rsidR="009D0F4B">
        <w:rPr>
          <w:b/>
          <w:szCs w:val="24"/>
        </w:rPr>
        <w:t xml:space="preserve"> </w:t>
      </w:r>
    </w:p>
    <w:p w:rsidR="00EC7A12" w:rsidRPr="00EC7A12" w:rsidRDefault="003147C2" w:rsidP="00B911F6">
      <w:pPr>
        <w:pStyle w:val="ListParagraph"/>
        <w:spacing w:line="480" w:lineRule="auto"/>
        <w:ind w:left="360"/>
        <w:rPr>
          <w:i/>
          <w:szCs w:val="24"/>
        </w:rPr>
      </w:pPr>
      <w:r>
        <w:rPr>
          <w:i/>
          <w:szCs w:val="24"/>
        </w:rPr>
        <w:t>Sample community selection</w:t>
      </w:r>
    </w:p>
    <w:p w:rsidR="00B343C2" w:rsidRDefault="00B343C2" w:rsidP="00B911F6">
      <w:pPr>
        <w:pStyle w:val="ListParagraph"/>
        <w:spacing w:line="480" w:lineRule="auto"/>
        <w:ind w:left="360"/>
        <w:rPr>
          <w:szCs w:val="24"/>
        </w:rPr>
      </w:pPr>
      <w:r>
        <w:rPr>
          <w:szCs w:val="24"/>
        </w:rPr>
        <w:t>The number of sample communities was calculated to ensure a margin of error of no more than 0.05 in measuring proportions in the provider survey, such as the proportion of respondents who felt that the quality of local schools was an important factor influencing their decision to work in the community. The sample size calculation is shown in Annex L.</w:t>
      </w:r>
    </w:p>
    <w:p w:rsidR="00A05ED0" w:rsidRDefault="00C64C98" w:rsidP="00B343C2">
      <w:pPr>
        <w:pStyle w:val="ListParagraph"/>
        <w:spacing w:line="480" w:lineRule="auto"/>
        <w:ind w:left="360" w:firstLine="720"/>
        <w:rPr>
          <w:szCs w:val="24"/>
        </w:rPr>
      </w:pPr>
      <w:r>
        <w:rPr>
          <w:szCs w:val="24"/>
        </w:rPr>
        <w:t xml:space="preserve">The </w:t>
      </w:r>
      <w:r w:rsidR="007326B4">
        <w:rPr>
          <w:szCs w:val="24"/>
        </w:rPr>
        <w:t xml:space="preserve">150 </w:t>
      </w:r>
      <w:r>
        <w:rPr>
          <w:szCs w:val="24"/>
        </w:rPr>
        <w:t xml:space="preserve">sample towns have </w:t>
      </w:r>
      <w:r w:rsidR="007326B4">
        <w:rPr>
          <w:szCs w:val="24"/>
        </w:rPr>
        <w:t>be</w:t>
      </w:r>
      <w:r>
        <w:rPr>
          <w:szCs w:val="24"/>
        </w:rPr>
        <w:t>en</w:t>
      </w:r>
      <w:r w:rsidR="007326B4">
        <w:rPr>
          <w:szCs w:val="24"/>
        </w:rPr>
        <w:t xml:space="preserve"> selected</w:t>
      </w:r>
      <w:r w:rsidR="00BD6DD4">
        <w:rPr>
          <w:szCs w:val="24"/>
        </w:rPr>
        <w:t xml:space="preserve"> using a stratified random sample.  Six strata w</w:t>
      </w:r>
      <w:r>
        <w:rPr>
          <w:szCs w:val="24"/>
        </w:rPr>
        <w:t>ere</w:t>
      </w:r>
      <w:r w:rsidR="00BD6DD4">
        <w:rPr>
          <w:szCs w:val="24"/>
        </w:rPr>
        <w:t xml:space="preserve"> used: the three study regions (LMD, SGP, </w:t>
      </w:r>
      <w:proofErr w:type="gramStart"/>
      <w:r w:rsidR="00BD6DD4">
        <w:rPr>
          <w:szCs w:val="24"/>
        </w:rPr>
        <w:t>UMW</w:t>
      </w:r>
      <w:proofErr w:type="gramEnd"/>
      <w:r w:rsidR="00BD6DD4">
        <w:rPr>
          <w:szCs w:val="24"/>
        </w:rPr>
        <w:t>) x whether or not the town has a hospital.  The allocation of the sample among the strata w</w:t>
      </w:r>
      <w:r>
        <w:rPr>
          <w:szCs w:val="24"/>
        </w:rPr>
        <w:t>as</w:t>
      </w:r>
      <w:r w:rsidR="00BD6DD4">
        <w:rPr>
          <w:szCs w:val="24"/>
        </w:rPr>
        <w:t xml:space="preserve"> based on minimizing the variance in the number of primary care physicians per population, which is expected to be strongly correlated with most of the variables investigated in the survey </w:t>
      </w:r>
      <w:r w:rsidR="00F1414F">
        <w:rPr>
          <w:szCs w:val="24"/>
        </w:rPr>
        <w:t>(</w:t>
      </w:r>
      <w:r w:rsidR="00BD6DD4">
        <w:rPr>
          <w:szCs w:val="24"/>
        </w:rPr>
        <w:t>e.g., local factors affecting health care provision</w:t>
      </w:r>
      <w:r w:rsidR="00CB54AC">
        <w:rPr>
          <w:szCs w:val="24"/>
        </w:rPr>
        <w:t>, availability and quality of health care</w:t>
      </w:r>
      <w:r w:rsidR="00BD6DD4">
        <w:rPr>
          <w:szCs w:val="24"/>
        </w:rPr>
        <w:t xml:space="preserve">).  Within each stratum, </w:t>
      </w:r>
      <w:r w:rsidR="00BD6DD4">
        <w:rPr>
          <w:szCs w:val="24"/>
        </w:rPr>
        <w:lastRenderedPageBreak/>
        <w:t>systematic sampling with a random start w</w:t>
      </w:r>
      <w:r>
        <w:rPr>
          <w:szCs w:val="24"/>
        </w:rPr>
        <w:t>as</w:t>
      </w:r>
      <w:r w:rsidR="00BD6DD4">
        <w:rPr>
          <w:szCs w:val="24"/>
        </w:rPr>
        <w:t xml:space="preserve"> used, with the </w:t>
      </w:r>
      <w:r w:rsidR="008E4560">
        <w:rPr>
          <w:szCs w:val="24"/>
        </w:rPr>
        <w:t>list of towns sorted by two variables: a variable based on ranges of the number of primary care physicians in the towns, and the population size of the town.  The use</w:t>
      </w:r>
      <w:r w:rsidR="00BD6DD4">
        <w:rPr>
          <w:szCs w:val="24"/>
        </w:rPr>
        <w:t xml:space="preserve"> </w:t>
      </w:r>
      <w:r w:rsidR="008E4560">
        <w:rPr>
          <w:szCs w:val="24"/>
        </w:rPr>
        <w:t>of systematic sampling with a random start produces unbiased and consistent estimates of population parameters and is more efficient than simple random sampling</w:t>
      </w:r>
      <w:r w:rsidR="00F1414F">
        <w:rPr>
          <w:szCs w:val="24"/>
        </w:rPr>
        <w:t xml:space="preserve"> if the variables used to sort the sample are correlated with the response variables</w:t>
      </w:r>
      <w:r w:rsidR="008E4560">
        <w:rPr>
          <w:szCs w:val="24"/>
        </w:rPr>
        <w:t>.</w:t>
      </w:r>
      <w:r w:rsidR="00E93211">
        <w:rPr>
          <w:rStyle w:val="FootnoteReference"/>
          <w:szCs w:val="24"/>
        </w:rPr>
        <w:footnoteReference w:id="8"/>
      </w:r>
      <w:r w:rsidR="008E4560">
        <w:rPr>
          <w:szCs w:val="24"/>
        </w:rPr>
        <w:t xml:space="preserve">  </w:t>
      </w:r>
    </w:p>
    <w:p w:rsidR="00642530" w:rsidRDefault="00642530" w:rsidP="00B911F6">
      <w:pPr>
        <w:pStyle w:val="ListParagraph"/>
        <w:spacing w:line="480" w:lineRule="auto"/>
        <w:ind w:left="360" w:firstLine="720"/>
        <w:rPr>
          <w:szCs w:val="24"/>
        </w:rPr>
      </w:pPr>
      <w:r>
        <w:rPr>
          <w:szCs w:val="24"/>
        </w:rPr>
        <w:t>Of the 150 sample communities, 1</w:t>
      </w:r>
      <w:r w:rsidR="00C64C98">
        <w:rPr>
          <w:szCs w:val="24"/>
        </w:rPr>
        <w:t>2</w:t>
      </w:r>
      <w:r>
        <w:rPr>
          <w:szCs w:val="24"/>
        </w:rPr>
        <w:t xml:space="preserve"> will be selected for inclusion in the pilot phase of the stu</w:t>
      </w:r>
      <w:r w:rsidR="00C64C98">
        <w:rPr>
          <w:szCs w:val="24"/>
        </w:rPr>
        <w:t>dy, as noted in Part A.  Two of these 12</w:t>
      </w:r>
      <w:r>
        <w:rPr>
          <w:szCs w:val="24"/>
        </w:rPr>
        <w:t xml:space="preserve"> communities will be </w:t>
      </w:r>
      <w:r w:rsidR="00C64C98">
        <w:rPr>
          <w:szCs w:val="24"/>
        </w:rPr>
        <w:t xml:space="preserve">randomly </w:t>
      </w:r>
      <w:r>
        <w:rPr>
          <w:szCs w:val="24"/>
        </w:rPr>
        <w:t xml:space="preserve">selected from </w:t>
      </w:r>
      <w:r w:rsidR="00C64C98">
        <w:rPr>
          <w:szCs w:val="24"/>
        </w:rPr>
        <w:t xml:space="preserve">each of </w:t>
      </w:r>
      <w:r>
        <w:rPr>
          <w:szCs w:val="24"/>
        </w:rPr>
        <w:t>the different strata discussed above. The data collected from the pilot phase communities will be combined with the data collected from the remaining 1</w:t>
      </w:r>
      <w:r w:rsidR="00C64C98">
        <w:rPr>
          <w:szCs w:val="24"/>
        </w:rPr>
        <w:t>38</w:t>
      </w:r>
      <w:r>
        <w:rPr>
          <w:szCs w:val="24"/>
        </w:rPr>
        <w:t xml:space="preserve"> sample communities in the analysis of results, except for survey questions that are revised or dropped as a result of the pilot study.</w:t>
      </w:r>
    </w:p>
    <w:p w:rsidR="003147C2" w:rsidRDefault="003147C2" w:rsidP="003147C2">
      <w:pPr>
        <w:spacing w:line="480" w:lineRule="auto"/>
        <w:ind w:left="360"/>
        <w:rPr>
          <w:i/>
          <w:szCs w:val="24"/>
        </w:rPr>
      </w:pPr>
    </w:p>
    <w:p w:rsidR="003147C2" w:rsidRPr="003147C2" w:rsidRDefault="003147C2" w:rsidP="003147C2">
      <w:pPr>
        <w:spacing w:line="480" w:lineRule="auto"/>
        <w:ind w:left="360"/>
        <w:rPr>
          <w:i/>
          <w:szCs w:val="24"/>
        </w:rPr>
      </w:pPr>
      <w:r>
        <w:rPr>
          <w:i/>
          <w:szCs w:val="24"/>
        </w:rPr>
        <w:t>Provider survey respondents</w:t>
      </w:r>
    </w:p>
    <w:p w:rsidR="00E93211" w:rsidRDefault="00107BF2" w:rsidP="003147C2">
      <w:pPr>
        <w:pStyle w:val="ListParagraph"/>
        <w:spacing w:line="480" w:lineRule="auto"/>
        <w:ind w:left="360"/>
        <w:rPr>
          <w:szCs w:val="24"/>
        </w:rPr>
      </w:pPr>
      <w:r>
        <w:rPr>
          <w:szCs w:val="24"/>
        </w:rPr>
        <w:t>The sample of respondent health care providers within each sample town will be selected</w:t>
      </w:r>
      <w:r w:rsidR="00824024">
        <w:rPr>
          <w:szCs w:val="24"/>
        </w:rPr>
        <w:t xml:space="preserve"> </w:t>
      </w:r>
      <w:r>
        <w:rPr>
          <w:szCs w:val="24"/>
        </w:rPr>
        <w:t xml:space="preserve">using a stratified simple random sample, in which the types of providers are the </w:t>
      </w:r>
      <w:r w:rsidR="007E55CB">
        <w:rPr>
          <w:szCs w:val="24"/>
        </w:rPr>
        <w:t xml:space="preserve">three </w:t>
      </w:r>
      <w:r>
        <w:rPr>
          <w:szCs w:val="24"/>
        </w:rPr>
        <w:t xml:space="preserve">strata (i.e., physicians, dentists, </w:t>
      </w:r>
      <w:r w:rsidR="007E55CB">
        <w:rPr>
          <w:szCs w:val="24"/>
        </w:rPr>
        <w:t>and other providers (physician assistants, nurse practitioners</w:t>
      </w:r>
      <w:r w:rsidR="00E93211">
        <w:rPr>
          <w:szCs w:val="24"/>
        </w:rPr>
        <w:t>,</w:t>
      </w:r>
      <w:r w:rsidR="007E55CB">
        <w:rPr>
          <w:szCs w:val="24"/>
        </w:rPr>
        <w:t xml:space="preserve"> </w:t>
      </w:r>
      <w:r w:rsidR="00C64C98">
        <w:rPr>
          <w:szCs w:val="24"/>
        </w:rPr>
        <w:t xml:space="preserve">and </w:t>
      </w:r>
      <w:r w:rsidR="007E55CB">
        <w:rPr>
          <w:szCs w:val="24"/>
        </w:rPr>
        <w:t xml:space="preserve">certified nurse midwives), each as one stratum).  The number selected within each stratum will be </w:t>
      </w:r>
      <w:r w:rsidR="00EC7A12">
        <w:rPr>
          <w:szCs w:val="24"/>
        </w:rPr>
        <w:t xml:space="preserve">roughly </w:t>
      </w:r>
      <w:r w:rsidR="007E55CB">
        <w:rPr>
          <w:szCs w:val="24"/>
        </w:rPr>
        <w:t>proportional to the total number of providers in that stratum working in the town, and the total number selected will be limited to a maximum of 8.  If there are 8 or fewer providers working in the town, a complete census of providers will be interviewed.</w:t>
      </w:r>
      <w:r w:rsidR="00642530">
        <w:rPr>
          <w:szCs w:val="24"/>
        </w:rPr>
        <w:t xml:space="preserve"> The reason for limiting the sample to a maximum of 8 providers per sample community is to </w:t>
      </w:r>
      <w:r w:rsidR="00642530">
        <w:rPr>
          <w:szCs w:val="24"/>
        </w:rPr>
        <w:lastRenderedPageBreak/>
        <w:t xml:space="preserve">limit the cost of the survey and the burden on members of any particular town, while </w:t>
      </w:r>
      <w:r w:rsidR="00F37CB0">
        <w:rPr>
          <w:szCs w:val="24"/>
        </w:rPr>
        <w:t xml:space="preserve">allowing a sufficient number of observations to be representative of the providers in the town.  A complete census of all providers within </w:t>
      </w:r>
      <w:r w:rsidR="00EC7A12">
        <w:rPr>
          <w:szCs w:val="24"/>
        </w:rPr>
        <w:t xml:space="preserve">every </w:t>
      </w:r>
      <w:r w:rsidR="00F37CB0">
        <w:rPr>
          <w:szCs w:val="24"/>
        </w:rPr>
        <w:t>town is not necessary for the purposes of this study, and would not be efficient because the information collected from multiple providers in the same town is not likely to be completely independent.</w:t>
      </w:r>
      <w:r w:rsidR="00F37CB0">
        <w:rPr>
          <w:rStyle w:val="FootnoteReference"/>
          <w:szCs w:val="24"/>
        </w:rPr>
        <w:footnoteReference w:id="9"/>
      </w:r>
      <w:r w:rsidR="00F37CB0">
        <w:rPr>
          <w:szCs w:val="24"/>
        </w:rPr>
        <w:t xml:space="preserve"> </w:t>
      </w:r>
      <w:r w:rsidR="007E55CB">
        <w:rPr>
          <w:szCs w:val="24"/>
        </w:rPr>
        <w:t xml:space="preserve"> </w:t>
      </w:r>
    </w:p>
    <w:p w:rsidR="00EC7A12" w:rsidRDefault="00EC7A12" w:rsidP="00B911F6">
      <w:pPr>
        <w:pStyle w:val="ListParagraph"/>
        <w:spacing w:line="480" w:lineRule="auto"/>
        <w:ind w:left="360" w:firstLine="720"/>
        <w:rPr>
          <w:szCs w:val="24"/>
        </w:rPr>
      </w:pPr>
      <w:r>
        <w:rPr>
          <w:szCs w:val="24"/>
        </w:rPr>
        <w:t>Considering the maximum sample of 8 health care providers per sample community, and the expected response rate of 80%, the maximum number of potential respondents in the 150 sample communities is 1500 (150 x 8/80%).</w:t>
      </w:r>
    </w:p>
    <w:p w:rsidR="003147C2" w:rsidRDefault="003147C2" w:rsidP="00251038">
      <w:pPr>
        <w:pStyle w:val="ListParagraph"/>
        <w:spacing w:line="480" w:lineRule="auto"/>
        <w:ind w:left="360"/>
        <w:rPr>
          <w:i/>
          <w:szCs w:val="24"/>
        </w:rPr>
      </w:pPr>
    </w:p>
    <w:p w:rsidR="00251038" w:rsidRDefault="00251038" w:rsidP="00251038">
      <w:pPr>
        <w:pStyle w:val="ListParagraph"/>
        <w:spacing w:line="480" w:lineRule="auto"/>
        <w:ind w:left="360"/>
        <w:rPr>
          <w:i/>
          <w:szCs w:val="24"/>
        </w:rPr>
      </w:pPr>
      <w:r>
        <w:rPr>
          <w:i/>
          <w:szCs w:val="24"/>
        </w:rPr>
        <w:t>Key informant</w:t>
      </w:r>
      <w:r w:rsidR="003147C2">
        <w:rPr>
          <w:i/>
          <w:szCs w:val="24"/>
        </w:rPr>
        <w:t>s</w:t>
      </w:r>
    </w:p>
    <w:p w:rsidR="00251038" w:rsidRPr="00251038" w:rsidRDefault="00251038" w:rsidP="00251038">
      <w:pPr>
        <w:pStyle w:val="ListParagraph"/>
        <w:spacing w:line="480" w:lineRule="auto"/>
        <w:ind w:left="360"/>
        <w:rPr>
          <w:szCs w:val="24"/>
        </w:rPr>
      </w:pPr>
      <w:r>
        <w:rPr>
          <w:szCs w:val="24"/>
        </w:rPr>
        <w:t>As noted above, we will seek to interview up to four key informants per sample community; two health care facility administrators and two community leaders. Considering the expected response rate of 67%, the maximum number of potential respondents to the key informant interviews is 900 (150 x 4/67%)</w:t>
      </w:r>
      <w:r w:rsidR="00B57EDD">
        <w:rPr>
          <w:szCs w:val="24"/>
        </w:rPr>
        <w:t>.</w:t>
      </w:r>
    </w:p>
    <w:p w:rsidR="00F73758" w:rsidRPr="003147C2" w:rsidRDefault="00AD5F0D" w:rsidP="003147C2">
      <w:pPr>
        <w:spacing w:line="480" w:lineRule="auto"/>
        <w:rPr>
          <w:rFonts w:eastAsia="Times New Roman"/>
        </w:rPr>
      </w:pPr>
      <w:r w:rsidRPr="003147C2">
        <w:rPr>
          <w:szCs w:val="24"/>
        </w:rPr>
        <w:t xml:space="preserve"> </w:t>
      </w:r>
      <w:r w:rsidR="00465B66" w:rsidRPr="003147C2">
        <w:rPr>
          <w:szCs w:val="24"/>
        </w:rPr>
        <w:t xml:space="preserve">  </w:t>
      </w:r>
    </w:p>
    <w:p w:rsidR="00302BC9" w:rsidRDefault="00302BC9" w:rsidP="00B911F6">
      <w:pPr>
        <w:pStyle w:val="ListParagraph"/>
        <w:spacing w:line="480" w:lineRule="auto"/>
        <w:ind w:left="360"/>
        <w:rPr>
          <w:szCs w:val="24"/>
        </w:rPr>
      </w:pPr>
      <w:r>
        <w:rPr>
          <w:b/>
          <w:szCs w:val="24"/>
        </w:rPr>
        <w:t>Estimation procedure</w:t>
      </w:r>
    </w:p>
    <w:p w:rsidR="00302BC9" w:rsidRDefault="00302BC9" w:rsidP="00B911F6">
      <w:pPr>
        <w:pStyle w:val="ListParagraph"/>
        <w:spacing w:line="480" w:lineRule="auto"/>
        <w:ind w:left="360"/>
        <w:rPr>
          <w:szCs w:val="24"/>
        </w:rPr>
      </w:pPr>
      <w:r>
        <w:rPr>
          <w:szCs w:val="24"/>
        </w:rPr>
        <w:t xml:space="preserve">The sample means and variances of the quantitative survey response variables will be estimated using the formulas provided in Annex </w:t>
      </w:r>
      <w:r w:rsidR="007B14E7">
        <w:rPr>
          <w:szCs w:val="24"/>
        </w:rPr>
        <w:t>J</w:t>
      </w:r>
      <w:r>
        <w:rPr>
          <w:szCs w:val="24"/>
        </w:rPr>
        <w:t>, which reflect the complex two stage sample design.  Comparisons of means of different subpopulations (e.g., communities with vs. without a hospital, communities in different regions) will be based on the formula</w:t>
      </w:r>
      <w:r w:rsidR="000E17AD">
        <w:rPr>
          <w:szCs w:val="24"/>
        </w:rPr>
        <w:t xml:space="preserve"> (which follows from the Central Limit Theorem)</w:t>
      </w:r>
      <w:r>
        <w:rPr>
          <w:szCs w:val="24"/>
        </w:rPr>
        <w:t>:</w:t>
      </w:r>
    </w:p>
    <w:p w:rsidR="00302BC9" w:rsidRDefault="00FF5384" w:rsidP="00B911F6">
      <w:pPr>
        <w:pStyle w:val="ListParagraph"/>
        <w:numPr>
          <w:ilvl w:val="0"/>
          <w:numId w:val="6"/>
        </w:numPr>
        <w:spacing w:line="480" w:lineRule="auto"/>
        <w:ind w:left="720"/>
        <w:jc w:val="center"/>
        <w:rPr>
          <w:szCs w:val="24"/>
        </w:rPr>
      </w:pPr>
      <m:oMath>
        <m:f>
          <m:fPr>
            <m:ctrlPr>
              <w:rPr>
                <w:rFonts w:ascii="Cambria Math" w:hAnsi="Cambria Math"/>
                <w:i/>
                <w:szCs w:val="24"/>
              </w:rPr>
            </m:ctrlPr>
          </m:fPr>
          <m:num>
            <m:acc>
              <m:accPr>
                <m:ctrlPr>
                  <w:rPr>
                    <w:rFonts w:ascii="Cambria Math" w:hAnsi="Cambria Math"/>
                    <w:i/>
                    <w:szCs w:val="24"/>
                  </w:rPr>
                </m:ctrlPr>
              </m:accPr>
              <m:e>
                <m:r>
                  <w:rPr>
                    <w:rFonts w:ascii="Cambria Math" w:hAnsi="Cambria Math"/>
                    <w:szCs w:val="24"/>
                  </w:rPr>
                  <m:t>(</m:t>
                </m:r>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acc>
              </m:e>
            </m:acc>
            <m:r>
              <w:rPr>
                <w:rFonts w:ascii="Cambria Math" w:hAnsi="Cambria Math"/>
                <w:szCs w:val="24"/>
              </w:rPr>
              <m:t>-</m:t>
            </m:r>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j</m:t>
                        </m:r>
                      </m:sub>
                    </m:sSub>
                  </m:e>
                </m:acc>
              </m:e>
            </m:acc>
            <m:r>
              <w:rPr>
                <w:rFonts w:ascii="Cambria Math"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y</m:t>
                    </m:r>
                  </m:e>
                </m:acc>
              </m:e>
              <m:sub>
                <m:r>
                  <w:rPr>
                    <w:rFonts w:ascii="Cambria Math" w:eastAsia="Times New Roman" w:hAnsi="Cambria Math"/>
                    <w:szCs w:val="24"/>
                  </w:rPr>
                  <m:t>i</m:t>
                </m:r>
              </m:sub>
            </m:sSub>
            <m:r>
              <w:rPr>
                <w:rFonts w:ascii="Cambria Math"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y</m:t>
                    </m:r>
                  </m:e>
                </m:acc>
              </m:e>
              <m:sub>
                <m:r>
                  <w:rPr>
                    <w:rFonts w:ascii="Cambria Math" w:eastAsia="Times New Roman" w:hAnsi="Cambria Math"/>
                    <w:szCs w:val="24"/>
                  </w:rPr>
                  <m:t>j</m:t>
                </m:r>
              </m:sub>
            </m:sSub>
            <m:r>
              <w:rPr>
                <w:rFonts w:ascii="Cambria Math" w:eastAsia="Times New Roman" w:hAnsi="Cambria Math"/>
                <w:szCs w:val="24"/>
              </w:rPr>
              <m:t>)</m:t>
            </m:r>
          </m:num>
          <m:den>
            <m:rad>
              <m:radPr>
                <m:degHide m:val="1"/>
                <m:ctrlPr>
                  <w:rPr>
                    <w:rFonts w:ascii="Cambria Math" w:hAnsi="Cambria Math"/>
                    <w:i/>
                    <w:szCs w:val="24"/>
                  </w:rPr>
                </m:ctrlPr>
              </m:radPr>
              <m:deg/>
              <m:e>
                <m:r>
                  <w:rPr>
                    <w:rFonts w:ascii="Cambria Math" w:hAnsi="Cambria Math"/>
                    <w:szCs w:val="24"/>
                  </w:rPr>
                  <m:t>V</m:t>
                </m:r>
                <m:d>
                  <m:dPr>
                    <m:ctrlPr>
                      <w:rPr>
                        <w:rFonts w:ascii="Cambria Math" w:eastAsia="Times New Roman" w:hAnsi="Cambria Math"/>
                        <w:i/>
                        <w:szCs w:val="24"/>
                      </w:rPr>
                    </m:ctrlPr>
                  </m:dPr>
                  <m:e>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acc>
                      </m:e>
                    </m:acc>
                    <m:r>
                      <w:rPr>
                        <w:rFonts w:ascii="Cambria Math" w:hAnsi="Cambria Math"/>
                        <w:szCs w:val="24"/>
                      </w:rPr>
                      <m:t>-</m:t>
                    </m:r>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j</m:t>
                                </m:r>
                              </m:sub>
                            </m:sSub>
                          </m:e>
                        </m:acc>
                      </m:e>
                    </m:acc>
                  </m:e>
                </m:d>
              </m:e>
            </m:rad>
          </m:den>
        </m:f>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D</m:t>
                </m:r>
              </m:e>
            </m:groupChr>
          </m:e>
        </m:box>
        <m:r>
          <w:rPr>
            <w:rFonts w:ascii="Cambria Math" w:eastAsia="Times New Roman" w:hAnsi="Cambria Math"/>
            <w:szCs w:val="24"/>
          </w:rPr>
          <m:t>N(0,1)</m:t>
        </m:r>
      </m:oMath>
      <w:r w:rsidR="00302BC9">
        <w:rPr>
          <w:szCs w:val="24"/>
        </w:rPr>
        <w:t>,</w:t>
      </w:r>
    </w:p>
    <w:p w:rsidR="00302BC9" w:rsidRPr="007F0E2A" w:rsidRDefault="00302BC9" w:rsidP="00B911F6">
      <w:pPr>
        <w:spacing w:line="480" w:lineRule="auto"/>
        <w:ind w:left="360"/>
        <w:rPr>
          <w:rFonts w:eastAsia="Times New Roman"/>
          <w:szCs w:val="24"/>
        </w:rPr>
      </w:pPr>
      <w:r>
        <w:rPr>
          <w:szCs w:val="24"/>
        </w:rPr>
        <w:t xml:space="preserve">where </w:t>
      </w:r>
      <m:oMath>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acc>
          </m:e>
        </m:acc>
      </m:oMath>
      <w:r w:rsidRPr="007F0E2A">
        <w:rPr>
          <w:rFonts w:eastAsia="Times New Roman"/>
          <w:szCs w:val="24"/>
        </w:rPr>
        <w:t xml:space="preserve"> and </w:t>
      </w:r>
      <m:oMath>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j</m:t>
                    </m:r>
                  </m:sub>
                </m:sSub>
              </m:e>
            </m:acc>
          </m:e>
        </m:acc>
      </m:oMath>
      <w:r w:rsidRPr="007F0E2A">
        <w:rPr>
          <w:rFonts w:eastAsia="Times New Roman"/>
          <w:szCs w:val="24"/>
        </w:rPr>
        <w:t xml:space="preserve"> are the sample means of </w:t>
      </w:r>
      <w:r w:rsidRPr="007F0E2A">
        <w:rPr>
          <w:rFonts w:eastAsia="Times New Roman"/>
          <w:i/>
          <w:szCs w:val="24"/>
        </w:rPr>
        <w:t>y</w:t>
      </w:r>
      <w:r w:rsidRPr="007F0E2A">
        <w:rPr>
          <w:rFonts w:eastAsia="Times New Roman"/>
          <w:szCs w:val="24"/>
        </w:rPr>
        <w:t xml:space="preserve"> in subpopulations </w:t>
      </w:r>
      <w:r w:rsidRPr="007F0E2A">
        <w:rPr>
          <w:rFonts w:eastAsia="Times New Roman"/>
          <w:i/>
          <w:szCs w:val="24"/>
        </w:rPr>
        <w:t>I</w:t>
      </w:r>
      <w:r w:rsidRPr="007F0E2A">
        <w:rPr>
          <w:rFonts w:eastAsia="Times New Roman"/>
          <w:szCs w:val="24"/>
        </w:rPr>
        <w:t xml:space="preserve"> and </w:t>
      </w:r>
      <w:r w:rsidRPr="007F0E2A">
        <w:rPr>
          <w:rFonts w:eastAsia="Times New Roman"/>
          <w:i/>
          <w:szCs w:val="24"/>
        </w:rPr>
        <w:t>J</w:t>
      </w:r>
      <w:r w:rsidRPr="007F0E2A">
        <w:rPr>
          <w:rFonts w:eastAsia="Times New Roman"/>
          <w:szCs w:val="24"/>
        </w:rPr>
        <w:t xml:space="preserve">, respectively (with </w:t>
      </w:r>
      <m:oMath>
        <m:r>
          <w:rPr>
            <w:rFonts w:ascii="Cambria Math" w:eastAsia="Times New Roman" w:hAnsi="Cambria Math"/>
            <w:szCs w:val="24"/>
          </w:rPr>
          <m:t>i∈I and j∈J</m:t>
        </m:r>
      </m:oMath>
      <w:r w:rsidRPr="007F0E2A">
        <w:rPr>
          <w:rFonts w:eastAsia="Times New Roman"/>
          <w:szCs w:val="24"/>
        </w:rPr>
        <w:t xml:space="preserve">); </w:t>
      </w:r>
      <m:oMath>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y</m:t>
                </m:r>
              </m:e>
            </m:acc>
          </m:e>
          <m:sub>
            <m:r>
              <w:rPr>
                <w:rFonts w:ascii="Cambria Math" w:eastAsia="Times New Roman" w:hAnsi="Cambria Math"/>
                <w:szCs w:val="24"/>
              </w:rPr>
              <m:t>i</m:t>
            </m:r>
          </m:sub>
        </m:sSub>
      </m:oMath>
      <w:r w:rsidRPr="007F0E2A">
        <w:rPr>
          <w:rFonts w:eastAsia="Times New Roman"/>
          <w:szCs w:val="24"/>
        </w:rPr>
        <w:t xml:space="preserve"> and </w:t>
      </w:r>
      <m:oMath>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y</m:t>
                </m:r>
              </m:e>
            </m:acc>
          </m:e>
          <m:sub>
            <m:r>
              <w:rPr>
                <w:rFonts w:ascii="Cambria Math" w:eastAsia="Times New Roman" w:hAnsi="Cambria Math"/>
                <w:szCs w:val="24"/>
              </w:rPr>
              <m:t>j</m:t>
            </m:r>
          </m:sub>
        </m:sSub>
      </m:oMath>
      <w:r w:rsidRPr="007F0E2A">
        <w:rPr>
          <w:rFonts w:eastAsia="Times New Roman"/>
          <w:szCs w:val="24"/>
        </w:rPr>
        <w:t xml:space="preserve"> are the subpopulation means of </w:t>
      </w:r>
      <w:r w:rsidRPr="007F0E2A">
        <w:rPr>
          <w:rFonts w:eastAsia="Times New Roman"/>
          <w:i/>
          <w:szCs w:val="24"/>
        </w:rPr>
        <w:t>y</w:t>
      </w:r>
      <w:r w:rsidRPr="007F0E2A">
        <w:rPr>
          <w:rFonts w:eastAsia="Times New Roman"/>
          <w:szCs w:val="24"/>
        </w:rPr>
        <w:t xml:space="preserve"> in subpopulations </w:t>
      </w:r>
      <w:r w:rsidRPr="007F0E2A">
        <w:rPr>
          <w:rFonts w:eastAsia="Times New Roman"/>
          <w:i/>
          <w:szCs w:val="24"/>
        </w:rPr>
        <w:t>I</w:t>
      </w:r>
      <w:r w:rsidRPr="007F0E2A">
        <w:rPr>
          <w:rFonts w:eastAsia="Times New Roman"/>
          <w:szCs w:val="24"/>
        </w:rPr>
        <w:t xml:space="preserve"> and </w:t>
      </w:r>
      <w:r w:rsidRPr="007F0E2A">
        <w:rPr>
          <w:rFonts w:eastAsia="Times New Roman"/>
          <w:i/>
          <w:szCs w:val="24"/>
        </w:rPr>
        <w:t>J</w:t>
      </w:r>
      <w:r w:rsidRPr="007F0E2A">
        <w:rPr>
          <w:rFonts w:eastAsia="Times New Roman"/>
          <w:szCs w:val="24"/>
        </w:rPr>
        <w:t xml:space="preserve">; </w:t>
      </w:r>
      <m:oMath>
        <m:r>
          <w:rPr>
            <w:rFonts w:ascii="Cambria Math" w:eastAsia="Times New Roman" w:hAnsi="Cambria Math"/>
            <w:szCs w:val="24"/>
          </w:rPr>
          <m:t>"</m:t>
        </m:r>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D</m:t>
                </m:r>
              </m:e>
            </m:groupChr>
          </m:e>
        </m:box>
        <m:r>
          <w:rPr>
            <w:rFonts w:ascii="Cambria Math" w:eastAsia="Times New Roman" w:hAnsi="Cambria Math"/>
            <w:szCs w:val="24"/>
          </w:rPr>
          <m:t>N(0,1)"</m:t>
        </m:r>
      </m:oMath>
      <w:r w:rsidRPr="007F0E2A">
        <w:rPr>
          <w:rFonts w:eastAsia="Times New Roman"/>
          <w:szCs w:val="24"/>
        </w:rPr>
        <w:t xml:space="preserve"> </w:t>
      </w:r>
      <w:r w:rsidR="000E17AD" w:rsidRPr="007F0E2A">
        <w:rPr>
          <w:rFonts w:eastAsia="Times New Roman"/>
          <w:szCs w:val="24"/>
        </w:rPr>
        <w:t>means “converges in distribution to a standard normal distribution”</w:t>
      </w:r>
      <w:r w:rsidRPr="007F0E2A">
        <w:rPr>
          <w:rFonts w:eastAsia="Times New Roman"/>
          <w:szCs w:val="24"/>
        </w:rPr>
        <w:t xml:space="preserve">; and </w:t>
      </w:r>
      <w:r w:rsidRPr="007F0E2A">
        <w:rPr>
          <w:rFonts w:eastAsia="Times New Roman"/>
          <w:i/>
          <w:szCs w:val="24"/>
        </w:rPr>
        <w:t>V( )</w:t>
      </w:r>
      <w:r w:rsidRPr="007F0E2A">
        <w:rPr>
          <w:rFonts w:eastAsia="Times New Roman"/>
          <w:szCs w:val="24"/>
        </w:rPr>
        <w:t xml:space="preserve"> denotes the variance</w:t>
      </w:r>
      <w:r w:rsidR="00521894" w:rsidRPr="007F0E2A">
        <w:rPr>
          <w:rFonts w:eastAsia="Times New Roman"/>
          <w:szCs w:val="24"/>
        </w:rPr>
        <w:t xml:space="preserve"> operator</w:t>
      </w:r>
      <w:r w:rsidRPr="007F0E2A">
        <w:rPr>
          <w:rFonts w:eastAsia="Times New Roman"/>
          <w:szCs w:val="24"/>
        </w:rPr>
        <w:t xml:space="preserve">.  </w:t>
      </w:r>
    </w:p>
    <w:p w:rsidR="00F73758" w:rsidRDefault="00302BC9" w:rsidP="00B911F6">
      <w:pPr>
        <w:spacing w:line="480" w:lineRule="auto"/>
        <w:ind w:left="360" w:firstLine="720"/>
        <w:rPr>
          <w:rFonts w:eastAsia="Times New Roman"/>
          <w:szCs w:val="24"/>
        </w:rPr>
      </w:pPr>
      <w:r w:rsidRPr="007F0E2A">
        <w:rPr>
          <w:rFonts w:eastAsia="Times New Roman"/>
          <w:szCs w:val="24"/>
        </w:rPr>
        <w:t>The variance of the difference in subpopulation means is estimated by the formula:</w:t>
      </w:r>
    </w:p>
    <w:p w:rsidR="00302BC9" w:rsidRPr="007F0E2A" w:rsidRDefault="00FF5384" w:rsidP="00B911F6">
      <w:pPr>
        <w:pStyle w:val="ListParagraph"/>
        <w:numPr>
          <w:ilvl w:val="0"/>
          <w:numId w:val="6"/>
        </w:numPr>
        <w:spacing w:line="480" w:lineRule="auto"/>
        <w:ind w:left="720"/>
        <w:jc w:val="center"/>
        <w:rPr>
          <w:rFonts w:eastAsia="Times New Roman"/>
          <w:szCs w:val="24"/>
        </w:rPr>
      </w:pPr>
      <m:oMath>
        <m:acc>
          <m:accPr>
            <m:ctrlPr>
              <w:rPr>
                <w:rFonts w:ascii="Cambria Math" w:eastAsia="Times New Roman" w:hAnsi="Cambria Math"/>
                <w:i/>
                <w:szCs w:val="24"/>
              </w:rPr>
            </m:ctrlPr>
          </m:accPr>
          <m:e>
            <m:r>
              <w:rPr>
                <w:rFonts w:ascii="Cambria Math" w:eastAsia="Times New Roman" w:hAnsi="Cambria Math"/>
                <w:szCs w:val="24"/>
              </w:rPr>
              <m:t>V</m:t>
            </m:r>
          </m:e>
        </m:acc>
        <m:d>
          <m:dPr>
            <m:ctrlPr>
              <w:rPr>
                <w:rFonts w:ascii="Cambria Math" w:eastAsia="Times New Roman" w:hAnsi="Cambria Math"/>
                <w:i/>
                <w:szCs w:val="24"/>
              </w:rPr>
            </m:ctrlPr>
          </m:dPr>
          <m:e>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acc>
              </m:e>
            </m:acc>
            <m:r>
              <w:rPr>
                <w:rFonts w:ascii="Cambria Math" w:hAnsi="Cambria Math"/>
                <w:szCs w:val="24"/>
              </w:rPr>
              <m:t>-</m:t>
            </m:r>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j</m:t>
                        </m:r>
                      </m:sub>
                    </m:sSub>
                  </m:e>
                </m:acc>
              </m:e>
            </m:acc>
          </m:e>
        </m:d>
        <m:r>
          <w:rPr>
            <w:rFonts w:ascii="Cambria Math" w:eastAsia="Times New Roman" w:hAnsi="Cambria Math"/>
            <w:szCs w:val="24"/>
          </w:rPr>
          <m:t>=</m:t>
        </m:r>
        <m:acc>
          <m:accPr>
            <m:ctrlPr>
              <w:rPr>
                <w:rFonts w:ascii="Cambria Math" w:eastAsia="Times New Roman" w:hAnsi="Cambria Math"/>
                <w:i/>
                <w:szCs w:val="24"/>
              </w:rPr>
            </m:ctrlPr>
          </m:accPr>
          <m:e>
            <m:r>
              <w:rPr>
                <w:rFonts w:ascii="Cambria Math" w:eastAsia="Times New Roman" w:hAnsi="Cambria Math"/>
                <w:szCs w:val="24"/>
              </w:rPr>
              <m:t>V</m:t>
            </m:r>
          </m:e>
        </m:acc>
        <m:d>
          <m:dPr>
            <m:ctrlPr>
              <w:rPr>
                <w:rFonts w:ascii="Cambria Math" w:eastAsia="Times New Roman" w:hAnsi="Cambria Math"/>
                <w:i/>
                <w:szCs w:val="24"/>
              </w:rPr>
            </m:ctrlPr>
          </m:dPr>
          <m:e>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acc>
              </m:e>
            </m:acc>
          </m:e>
        </m:d>
        <m:r>
          <w:rPr>
            <w:rFonts w:ascii="Cambria Math" w:eastAsia="Times New Roman" w:hAnsi="Cambria Math"/>
            <w:szCs w:val="24"/>
          </w:rPr>
          <m:t>+</m:t>
        </m:r>
        <m:acc>
          <m:accPr>
            <m:ctrlPr>
              <w:rPr>
                <w:rFonts w:ascii="Cambria Math" w:eastAsia="Times New Roman" w:hAnsi="Cambria Math"/>
                <w:i/>
                <w:szCs w:val="24"/>
              </w:rPr>
            </m:ctrlPr>
          </m:accPr>
          <m:e>
            <m:r>
              <w:rPr>
                <w:rFonts w:ascii="Cambria Math" w:eastAsia="Times New Roman" w:hAnsi="Cambria Math"/>
                <w:szCs w:val="24"/>
              </w:rPr>
              <m:t>V</m:t>
            </m:r>
          </m:e>
        </m:acc>
        <m:d>
          <m:dPr>
            <m:ctrlPr>
              <w:rPr>
                <w:rFonts w:ascii="Cambria Math" w:eastAsia="Times New Roman" w:hAnsi="Cambria Math"/>
                <w:i/>
                <w:szCs w:val="24"/>
              </w:rPr>
            </m:ctrlPr>
          </m:dPr>
          <m:e>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j</m:t>
                        </m:r>
                      </m:sub>
                    </m:sSub>
                  </m:e>
                </m:acc>
              </m:e>
            </m:acc>
          </m:e>
        </m:d>
        <m:r>
          <w:rPr>
            <w:rFonts w:ascii="Cambria Math" w:eastAsia="Times New Roman" w:hAnsi="Cambria Math"/>
            <w:szCs w:val="24"/>
          </w:rPr>
          <m:t>-2</m:t>
        </m:r>
        <m:acc>
          <m:accPr>
            <m:ctrlPr>
              <w:rPr>
                <w:rFonts w:ascii="Cambria Math" w:eastAsia="Times New Roman" w:hAnsi="Cambria Math"/>
                <w:i/>
                <w:szCs w:val="24"/>
              </w:rPr>
            </m:ctrlPr>
          </m:accPr>
          <m:e>
            <m:r>
              <w:rPr>
                <w:rFonts w:ascii="Cambria Math" w:eastAsia="Times New Roman" w:hAnsi="Cambria Math"/>
                <w:szCs w:val="24"/>
              </w:rPr>
              <m:t>Cov</m:t>
            </m:r>
          </m:e>
        </m:acc>
        <m:r>
          <w:rPr>
            <w:rFonts w:ascii="Cambria Math" w:eastAsia="Times New Roman" w:hAnsi="Cambria Math"/>
            <w:szCs w:val="24"/>
          </w:rPr>
          <m:t>(</m:t>
        </m:r>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acc>
          </m:e>
        </m:acc>
        <m:r>
          <w:rPr>
            <w:rFonts w:ascii="Cambria Math" w:hAnsi="Cambria Math"/>
            <w:szCs w:val="24"/>
          </w:rPr>
          <m:t>,</m:t>
        </m:r>
        <m:acc>
          <m:accPr>
            <m:ctrlPr>
              <w:rPr>
                <w:rFonts w:ascii="Cambria Math" w:hAnsi="Cambria Math"/>
                <w:i/>
                <w:szCs w:val="24"/>
              </w:rPr>
            </m:ctrlPr>
          </m:accPr>
          <m:e>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j</m:t>
                    </m:r>
                  </m:sub>
                </m:sSub>
              </m:e>
            </m:acc>
          </m:e>
        </m:acc>
        <m:r>
          <w:rPr>
            <w:rFonts w:ascii="Cambria Math" w:hAnsi="Cambria Math"/>
            <w:szCs w:val="24"/>
          </w:rPr>
          <m:t>)</m:t>
        </m:r>
      </m:oMath>
      <w:r w:rsidR="00302BC9" w:rsidRPr="007F0E2A">
        <w:rPr>
          <w:rFonts w:eastAsia="Times New Roman"/>
          <w:szCs w:val="24"/>
        </w:rPr>
        <w:t>,</w:t>
      </w:r>
    </w:p>
    <w:p w:rsidR="00030080" w:rsidRPr="007F0E2A" w:rsidRDefault="00302BC9" w:rsidP="00B911F6">
      <w:pPr>
        <w:spacing w:line="480" w:lineRule="auto"/>
        <w:ind w:left="360"/>
        <w:rPr>
          <w:rFonts w:eastAsia="Times New Roman"/>
          <w:szCs w:val="24"/>
        </w:rPr>
      </w:pPr>
      <w:proofErr w:type="gramStart"/>
      <w:r w:rsidRPr="007F0E2A">
        <w:rPr>
          <w:rFonts w:eastAsia="Times New Roman"/>
          <w:szCs w:val="24"/>
        </w:rPr>
        <w:t>where</w:t>
      </w:r>
      <w:proofErr w:type="gramEnd"/>
      <w:r w:rsidRPr="007F0E2A">
        <w:rPr>
          <w:rFonts w:eastAsia="Times New Roman"/>
          <w:szCs w:val="24"/>
        </w:rPr>
        <w:t xml:space="preserve"> </w:t>
      </w:r>
      <m:oMath>
        <m:acc>
          <m:accPr>
            <m:ctrlPr>
              <w:rPr>
                <w:rFonts w:ascii="Cambria Math" w:eastAsia="Times New Roman" w:hAnsi="Cambria Math"/>
                <w:i/>
                <w:szCs w:val="24"/>
              </w:rPr>
            </m:ctrlPr>
          </m:accPr>
          <m:e>
            <m:r>
              <w:rPr>
                <w:rFonts w:ascii="Cambria Math" w:eastAsia="Times New Roman" w:hAnsi="Cambria Math"/>
                <w:szCs w:val="24"/>
              </w:rPr>
              <m:t>V</m:t>
            </m:r>
          </m:e>
        </m:acc>
        <m:r>
          <w:rPr>
            <w:rFonts w:ascii="Cambria Math" w:eastAsia="Times New Roman" w:hAnsi="Cambria Math"/>
            <w:szCs w:val="24"/>
          </w:rPr>
          <m:t xml:space="preserve"> and </m:t>
        </m:r>
        <m:acc>
          <m:accPr>
            <m:ctrlPr>
              <w:rPr>
                <w:rFonts w:ascii="Cambria Math" w:eastAsia="Times New Roman" w:hAnsi="Cambria Math"/>
                <w:i/>
                <w:szCs w:val="24"/>
              </w:rPr>
            </m:ctrlPr>
          </m:accPr>
          <m:e>
            <m:r>
              <w:rPr>
                <w:rFonts w:ascii="Cambria Math" w:eastAsia="Times New Roman" w:hAnsi="Cambria Math"/>
                <w:szCs w:val="24"/>
              </w:rPr>
              <m:t>Cov</m:t>
            </m:r>
          </m:e>
        </m:acc>
      </m:oMath>
      <w:r w:rsidRPr="007F0E2A">
        <w:rPr>
          <w:rFonts w:eastAsia="Times New Roman"/>
          <w:szCs w:val="24"/>
        </w:rPr>
        <w:t xml:space="preserve"> refer to the estimated variance and covariance, respectively.  </w:t>
      </w:r>
    </w:p>
    <w:p w:rsidR="00F73758" w:rsidRDefault="000E17AD" w:rsidP="00B911F6">
      <w:pPr>
        <w:spacing w:line="480" w:lineRule="auto"/>
        <w:ind w:left="360" w:firstLine="720"/>
        <w:rPr>
          <w:rFonts w:eastAsia="Times New Roman"/>
          <w:szCs w:val="24"/>
        </w:rPr>
      </w:pPr>
      <w:r w:rsidRPr="007F0E2A">
        <w:rPr>
          <w:rFonts w:eastAsia="Times New Roman"/>
          <w:szCs w:val="24"/>
        </w:rPr>
        <w:t xml:space="preserve">In cases where the subpopulations being compared </w:t>
      </w:r>
      <w:r w:rsidR="00781A5A" w:rsidRPr="007F0E2A">
        <w:rPr>
          <w:rFonts w:eastAsia="Times New Roman"/>
          <w:szCs w:val="24"/>
        </w:rPr>
        <w:t xml:space="preserve">are sampled independently, such </w:t>
      </w:r>
      <w:r w:rsidRPr="007F0E2A">
        <w:rPr>
          <w:rFonts w:eastAsia="Times New Roman"/>
          <w:szCs w:val="24"/>
        </w:rPr>
        <w:t>as when they are from separate strata</w:t>
      </w:r>
      <w:r w:rsidR="00781A5A" w:rsidRPr="007F0E2A">
        <w:rPr>
          <w:rFonts w:eastAsia="Times New Roman"/>
          <w:szCs w:val="24"/>
        </w:rPr>
        <w:t xml:space="preserve"> (e.g., if comparing communities with vs. without a hospital or communities in different regions</w:t>
      </w:r>
      <w:r w:rsidRPr="007F0E2A">
        <w:rPr>
          <w:rFonts w:eastAsia="Times New Roman"/>
          <w:szCs w:val="24"/>
        </w:rPr>
        <w:t>), the covariance term in equation 2) is zero</w:t>
      </w:r>
      <w:r w:rsidR="00781A5A" w:rsidRPr="007F0E2A">
        <w:rPr>
          <w:rFonts w:eastAsia="Times New Roman"/>
          <w:szCs w:val="24"/>
        </w:rPr>
        <w:t xml:space="preserve">, simplifying the estimation.  </w:t>
      </w:r>
      <w:r w:rsidR="00CB54AC" w:rsidRPr="007F0E2A">
        <w:rPr>
          <w:rFonts w:eastAsia="Times New Roman"/>
          <w:szCs w:val="24"/>
        </w:rPr>
        <w:t xml:space="preserve">To </w:t>
      </w:r>
      <w:r w:rsidR="00781A5A" w:rsidRPr="007F0E2A">
        <w:rPr>
          <w:rFonts w:eastAsia="Times New Roman"/>
          <w:szCs w:val="24"/>
        </w:rPr>
        <w:t>compar</w:t>
      </w:r>
      <w:r w:rsidR="00CB54AC" w:rsidRPr="007F0E2A">
        <w:rPr>
          <w:rFonts w:eastAsia="Times New Roman"/>
          <w:szCs w:val="24"/>
        </w:rPr>
        <w:t>e</w:t>
      </w:r>
      <w:r w:rsidR="00781A5A" w:rsidRPr="007F0E2A">
        <w:rPr>
          <w:rFonts w:eastAsia="Times New Roman"/>
          <w:szCs w:val="24"/>
        </w:rPr>
        <w:t xml:space="preserve"> subpopulations that are not </w:t>
      </w:r>
      <w:r w:rsidR="00521894" w:rsidRPr="007F0E2A">
        <w:rPr>
          <w:rFonts w:eastAsia="Times New Roman"/>
          <w:szCs w:val="24"/>
        </w:rPr>
        <w:t>from separate strata</w:t>
      </w:r>
      <w:r w:rsidR="00781A5A" w:rsidRPr="007F0E2A">
        <w:rPr>
          <w:rFonts w:eastAsia="Times New Roman"/>
          <w:szCs w:val="24"/>
        </w:rPr>
        <w:t>, multiple regression analysis will be used to account for covariance among the subpopulations.</w:t>
      </w:r>
    </w:p>
    <w:p w:rsidR="00302BC9" w:rsidRPr="007F0E2A" w:rsidRDefault="00302BC9" w:rsidP="00B911F6">
      <w:pPr>
        <w:spacing w:line="480" w:lineRule="auto"/>
        <w:ind w:left="360" w:firstLine="720"/>
        <w:rPr>
          <w:rFonts w:eastAsia="Times New Roman"/>
          <w:szCs w:val="24"/>
        </w:rPr>
      </w:pPr>
      <w:r w:rsidRPr="007F0E2A">
        <w:rPr>
          <w:rFonts w:eastAsia="Times New Roman"/>
          <w:szCs w:val="24"/>
        </w:rPr>
        <w:t>An equivalent procedure to estimate the differences in means between subpopulations is to use an ordinary least squares (OLS) regression, with dummy categorical variables for each of the subpopulations except one (and using the appropriate estimators of the regression coefficients and variance matrix to reflect the complex sample design).</w:t>
      </w:r>
      <w:r w:rsidRPr="007F0E2A">
        <w:rPr>
          <w:rStyle w:val="FootnoteReference"/>
          <w:rFonts w:eastAsia="Times New Roman"/>
          <w:szCs w:val="24"/>
        </w:rPr>
        <w:footnoteReference w:id="10"/>
      </w:r>
      <w:r w:rsidRPr="007F0E2A">
        <w:rPr>
          <w:rFonts w:eastAsia="Times New Roman"/>
          <w:szCs w:val="24"/>
        </w:rPr>
        <w:t xml:space="preserve">  The coefficients of each of these dummy variables represent the difference in means between the subpopulation represented by the dummy variable and the excluded category.</w:t>
      </w:r>
    </w:p>
    <w:p w:rsidR="00F73758" w:rsidRDefault="00302BC9" w:rsidP="00B911F6">
      <w:pPr>
        <w:spacing w:line="480" w:lineRule="auto"/>
        <w:ind w:left="360" w:firstLine="720"/>
        <w:rPr>
          <w:rFonts w:eastAsia="Times New Roman"/>
          <w:szCs w:val="24"/>
        </w:rPr>
      </w:pPr>
      <w:r w:rsidRPr="007F0E2A">
        <w:rPr>
          <w:rFonts w:eastAsia="Times New Roman"/>
          <w:szCs w:val="24"/>
        </w:rPr>
        <w:lastRenderedPageBreak/>
        <w:t xml:space="preserve">The analysis using OLS regression will be extended to include other observed </w:t>
      </w:r>
      <w:r w:rsidR="00781A5A" w:rsidRPr="007F0E2A">
        <w:rPr>
          <w:rFonts w:eastAsia="Times New Roman"/>
          <w:szCs w:val="24"/>
        </w:rPr>
        <w:t>co</w:t>
      </w:r>
      <w:r w:rsidRPr="007F0E2A">
        <w:rPr>
          <w:rFonts w:eastAsia="Times New Roman"/>
          <w:szCs w:val="24"/>
        </w:rPr>
        <w:t>varia</w:t>
      </w:r>
      <w:r w:rsidR="00781A5A" w:rsidRPr="007F0E2A">
        <w:rPr>
          <w:rFonts w:eastAsia="Times New Roman"/>
          <w:szCs w:val="24"/>
        </w:rPr>
        <w:t>tes</w:t>
      </w:r>
      <w:r w:rsidRPr="007F0E2A">
        <w:rPr>
          <w:rFonts w:eastAsia="Times New Roman"/>
          <w:szCs w:val="24"/>
        </w:rPr>
        <w:t xml:space="preserve"> (</w:t>
      </w:r>
      <w:r w:rsidRPr="007F0E2A">
        <w:rPr>
          <w:rFonts w:eastAsia="Times New Roman"/>
          <w:i/>
          <w:szCs w:val="24"/>
        </w:rPr>
        <w:t>x</w:t>
      </w:r>
      <w:r w:rsidRPr="007F0E2A">
        <w:rPr>
          <w:rFonts w:eastAsia="Times New Roman"/>
          <w:szCs w:val="24"/>
        </w:rPr>
        <w:t xml:space="preserve">) </w:t>
      </w:r>
      <w:r w:rsidR="00D50639" w:rsidRPr="007F0E2A">
        <w:rPr>
          <w:rFonts w:eastAsia="Times New Roman"/>
          <w:szCs w:val="24"/>
        </w:rPr>
        <w:t xml:space="preserve">(some of which will come from other available data sources) </w:t>
      </w:r>
      <w:r w:rsidRPr="007F0E2A">
        <w:rPr>
          <w:rFonts w:eastAsia="Times New Roman"/>
          <w:szCs w:val="24"/>
        </w:rPr>
        <w:t xml:space="preserve">that are expected to be correlated with the </w:t>
      </w:r>
      <w:r w:rsidRPr="007F0E2A">
        <w:rPr>
          <w:rFonts w:eastAsia="Times New Roman"/>
          <w:i/>
          <w:szCs w:val="24"/>
        </w:rPr>
        <w:t>y</w:t>
      </w:r>
      <w:r w:rsidRPr="007F0E2A">
        <w:rPr>
          <w:rFonts w:eastAsia="Times New Roman"/>
          <w:szCs w:val="24"/>
        </w:rPr>
        <w:t xml:space="preserve"> variables (e.g., popul</w:t>
      </w:r>
      <w:r w:rsidR="00DB3B5A" w:rsidRPr="007F0E2A">
        <w:rPr>
          <w:rFonts w:eastAsia="Times New Roman"/>
          <w:szCs w:val="24"/>
        </w:rPr>
        <w:t xml:space="preserve">ation size of the community; </w:t>
      </w:r>
      <w:r w:rsidRPr="007F0E2A">
        <w:rPr>
          <w:rFonts w:eastAsia="Times New Roman"/>
          <w:szCs w:val="24"/>
        </w:rPr>
        <w:t xml:space="preserve">proximity to a metropolitan area, a highway, </w:t>
      </w:r>
      <w:r w:rsidR="00D50639" w:rsidRPr="007F0E2A">
        <w:rPr>
          <w:rFonts w:eastAsia="Times New Roman"/>
          <w:szCs w:val="24"/>
        </w:rPr>
        <w:t xml:space="preserve">or </w:t>
      </w:r>
      <w:r w:rsidRPr="007F0E2A">
        <w:rPr>
          <w:rFonts w:eastAsia="Times New Roman"/>
          <w:szCs w:val="24"/>
        </w:rPr>
        <w:t>natural amenities) as explanatory variables.  The</w:t>
      </w:r>
      <w:r w:rsidR="00D50639" w:rsidRPr="007F0E2A">
        <w:rPr>
          <w:rFonts w:eastAsia="Times New Roman"/>
          <w:szCs w:val="24"/>
        </w:rPr>
        <w:t>re are three</w:t>
      </w:r>
      <w:r w:rsidRPr="007F0E2A">
        <w:rPr>
          <w:rFonts w:eastAsia="Times New Roman"/>
          <w:szCs w:val="24"/>
        </w:rPr>
        <w:t xml:space="preserve"> purpose</w:t>
      </w:r>
      <w:r w:rsidR="003F0452" w:rsidRPr="007F0E2A">
        <w:rPr>
          <w:rFonts w:eastAsia="Times New Roman"/>
          <w:szCs w:val="24"/>
        </w:rPr>
        <w:t>s</w:t>
      </w:r>
      <w:r w:rsidRPr="007F0E2A">
        <w:rPr>
          <w:rFonts w:eastAsia="Times New Roman"/>
          <w:szCs w:val="24"/>
        </w:rPr>
        <w:t xml:space="preserve"> of this extens</w:t>
      </w:r>
      <w:r w:rsidR="003F0452" w:rsidRPr="007F0E2A">
        <w:rPr>
          <w:rFonts w:eastAsia="Times New Roman"/>
          <w:szCs w:val="24"/>
        </w:rPr>
        <w:t>ion</w:t>
      </w:r>
      <w:r w:rsidRPr="007F0E2A">
        <w:rPr>
          <w:rFonts w:eastAsia="Times New Roman"/>
          <w:szCs w:val="24"/>
        </w:rPr>
        <w:t xml:space="preserve">: </w:t>
      </w:r>
      <w:r w:rsidR="003F0452" w:rsidRPr="007F0E2A">
        <w:rPr>
          <w:rFonts w:eastAsia="Times New Roman"/>
          <w:szCs w:val="24"/>
        </w:rPr>
        <w:t>1) to account for the influence of other potentially confounding factors on the differences that are being estimated (e.g., accounting for the fact that differences in mean responses between communities with vs. without a hospital may be due to differences in their population size</w:t>
      </w:r>
      <w:r w:rsidR="00D50639" w:rsidRPr="007F0E2A">
        <w:rPr>
          <w:rFonts w:eastAsia="Times New Roman"/>
          <w:szCs w:val="24"/>
        </w:rPr>
        <w:t>, access to a city or other factors)</w:t>
      </w:r>
      <w:r w:rsidR="003F0452" w:rsidRPr="007F0E2A">
        <w:rPr>
          <w:rFonts w:eastAsia="Times New Roman"/>
          <w:szCs w:val="24"/>
        </w:rPr>
        <w:t xml:space="preserve">; 2) </w:t>
      </w:r>
      <w:r w:rsidR="00D50639" w:rsidRPr="007F0E2A">
        <w:rPr>
          <w:rFonts w:eastAsia="Times New Roman"/>
          <w:szCs w:val="24"/>
        </w:rPr>
        <w:t xml:space="preserve">to investigate the effects on the response variables of these other factors, many of which represent different types of assets and whose influence are part of the study objectives; and 3) to </w:t>
      </w:r>
      <w:r w:rsidR="003F0452" w:rsidRPr="007F0E2A">
        <w:rPr>
          <w:rFonts w:eastAsia="Times New Roman"/>
          <w:szCs w:val="24"/>
        </w:rPr>
        <w:t>reduc</w:t>
      </w:r>
      <w:r w:rsidR="00D50639" w:rsidRPr="007F0E2A">
        <w:rPr>
          <w:rFonts w:eastAsia="Times New Roman"/>
          <w:szCs w:val="24"/>
        </w:rPr>
        <w:t>e</w:t>
      </w:r>
      <w:r w:rsidR="003F0452" w:rsidRPr="007F0E2A">
        <w:rPr>
          <w:rFonts w:eastAsia="Times New Roman"/>
          <w:szCs w:val="24"/>
        </w:rPr>
        <w:t xml:space="preserve"> the residual unexplained variance, </w:t>
      </w:r>
      <w:r w:rsidR="00D50639" w:rsidRPr="007F0E2A">
        <w:rPr>
          <w:rFonts w:eastAsia="Times New Roman"/>
          <w:szCs w:val="24"/>
        </w:rPr>
        <w:t xml:space="preserve">which will improve </w:t>
      </w:r>
      <w:r w:rsidR="003F0452" w:rsidRPr="007F0E2A">
        <w:rPr>
          <w:rFonts w:eastAsia="Times New Roman"/>
          <w:szCs w:val="24"/>
        </w:rPr>
        <w:t>the efficiency of the estimated differences between target subpopulations.</w:t>
      </w:r>
    </w:p>
    <w:p w:rsidR="00F73758" w:rsidRDefault="00837395" w:rsidP="00B911F6">
      <w:pPr>
        <w:spacing w:line="480" w:lineRule="auto"/>
        <w:ind w:left="360" w:firstLine="720"/>
        <w:rPr>
          <w:rFonts w:eastAsia="Times New Roman"/>
          <w:szCs w:val="24"/>
        </w:rPr>
      </w:pPr>
      <w:r w:rsidRPr="007F0E2A">
        <w:rPr>
          <w:rFonts w:eastAsia="Times New Roman"/>
          <w:szCs w:val="24"/>
        </w:rPr>
        <w:t xml:space="preserve">One drawback of using OLS regressions to estimate the effects of factors on a binary response variable is that the predicted mean values of the response variable can be outside of the range of feasible values; i.e., greater than 1 or less than 0.  </w:t>
      </w:r>
      <w:r w:rsidR="004D00BD" w:rsidRPr="007F0E2A">
        <w:rPr>
          <w:rFonts w:eastAsia="Times New Roman"/>
          <w:szCs w:val="24"/>
        </w:rPr>
        <w:t>M</w:t>
      </w:r>
      <w:r w:rsidRPr="007F0E2A">
        <w:rPr>
          <w:rFonts w:eastAsia="Times New Roman"/>
          <w:szCs w:val="24"/>
        </w:rPr>
        <w:t xml:space="preserve">aximum likelihood discrete choice models, such as </w:t>
      </w:r>
      <w:proofErr w:type="spellStart"/>
      <w:r w:rsidRPr="007F0E2A">
        <w:rPr>
          <w:rFonts w:eastAsia="Times New Roman"/>
          <w:szCs w:val="24"/>
        </w:rPr>
        <w:t>probit</w:t>
      </w:r>
      <w:proofErr w:type="spellEnd"/>
      <w:r w:rsidRPr="007F0E2A">
        <w:rPr>
          <w:rFonts w:eastAsia="Times New Roman"/>
          <w:szCs w:val="24"/>
        </w:rPr>
        <w:t xml:space="preserve"> and </w:t>
      </w:r>
      <w:proofErr w:type="spellStart"/>
      <w:r w:rsidRPr="007F0E2A">
        <w:rPr>
          <w:rFonts w:eastAsia="Times New Roman"/>
          <w:szCs w:val="24"/>
        </w:rPr>
        <w:t>logit</w:t>
      </w:r>
      <w:proofErr w:type="spellEnd"/>
      <w:r w:rsidRPr="007F0E2A">
        <w:rPr>
          <w:rFonts w:eastAsia="Times New Roman"/>
          <w:szCs w:val="24"/>
        </w:rPr>
        <w:t xml:space="preserve"> </w:t>
      </w:r>
      <w:proofErr w:type="gramStart"/>
      <w:r w:rsidRPr="007F0E2A">
        <w:rPr>
          <w:rFonts w:eastAsia="Times New Roman"/>
          <w:szCs w:val="24"/>
        </w:rPr>
        <w:t>models,</w:t>
      </w:r>
      <w:proofErr w:type="gramEnd"/>
      <w:r w:rsidRPr="007F0E2A">
        <w:rPr>
          <w:rFonts w:eastAsia="Times New Roman"/>
          <w:szCs w:val="24"/>
        </w:rPr>
        <w:t xml:space="preserve"> are superior in this regard.</w:t>
      </w:r>
      <w:r w:rsidRPr="007F0E2A">
        <w:rPr>
          <w:rStyle w:val="FootnoteReference"/>
          <w:rFonts w:eastAsia="Times New Roman"/>
          <w:szCs w:val="24"/>
        </w:rPr>
        <w:footnoteReference w:id="11"/>
      </w:r>
      <w:r w:rsidRPr="007F0E2A">
        <w:rPr>
          <w:rFonts w:eastAsia="Times New Roman"/>
          <w:szCs w:val="24"/>
        </w:rPr>
        <w:t xml:space="preserve">  Hence we will also use </w:t>
      </w:r>
      <w:proofErr w:type="spellStart"/>
      <w:r w:rsidRPr="007F0E2A">
        <w:rPr>
          <w:rFonts w:eastAsia="Times New Roman"/>
          <w:szCs w:val="24"/>
        </w:rPr>
        <w:t>probit</w:t>
      </w:r>
      <w:proofErr w:type="spellEnd"/>
      <w:r w:rsidRPr="007F0E2A">
        <w:rPr>
          <w:rFonts w:eastAsia="Times New Roman"/>
          <w:szCs w:val="24"/>
        </w:rPr>
        <w:t xml:space="preserve"> models to estimate the influence of covariates on the probability of a positive response for binary response variables.</w:t>
      </w:r>
      <w:r w:rsidRPr="007F0E2A">
        <w:rPr>
          <w:rStyle w:val="FootnoteReference"/>
          <w:rFonts w:eastAsia="Times New Roman"/>
          <w:szCs w:val="24"/>
        </w:rPr>
        <w:footnoteReference w:id="12"/>
      </w:r>
      <w:r w:rsidRPr="007F0E2A">
        <w:rPr>
          <w:rFonts w:eastAsia="Times New Roman"/>
          <w:szCs w:val="24"/>
        </w:rPr>
        <w:t xml:space="preserve">  For multiple valued ordered response variables, ordered </w:t>
      </w:r>
      <w:proofErr w:type="spellStart"/>
      <w:r w:rsidRPr="007F0E2A">
        <w:rPr>
          <w:rFonts w:eastAsia="Times New Roman"/>
          <w:szCs w:val="24"/>
        </w:rPr>
        <w:t>probit</w:t>
      </w:r>
      <w:proofErr w:type="spellEnd"/>
      <w:r w:rsidRPr="007F0E2A">
        <w:rPr>
          <w:rFonts w:eastAsia="Times New Roman"/>
          <w:szCs w:val="24"/>
        </w:rPr>
        <w:t xml:space="preserve"> models will be used. </w:t>
      </w:r>
      <w:r w:rsidR="00576404" w:rsidRPr="007F0E2A">
        <w:rPr>
          <w:rFonts w:eastAsia="Times New Roman"/>
          <w:szCs w:val="24"/>
        </w:rPr>
        <w:t xml:space="preserve"> Almost all of the response variables collected in the survey will be either binary or ordered variables, so these models will be commonly used.</w:t>
      </w:r>
    </w:p>
    <w:p w:rsidR="007E55CB" w:rsidRDefault="007E55CB" w:rsidP="00B911F6">
      <w:pPr>
        <w:pStyle w:val="ListParagraph"/>
        <w:spacing w:line="480" w:lineRule="auto"/>
        <w:ind w:left="360"/>
        <w:rPr>
          <w:szCs w:val="24"/>
        </w:rPr>
      </w:pPr>
      <w:r>
        <w:rPr>
          <w:b/>
          <w:szCs w:val="24"/>
        </w:rPr>
        <w:lastRenderedPageBreak/>
        <w:t>Degree of accuracy needed</w:t>
      </w:r>
    </w:p>
    <w:p w:rsidR="0082480A" w:rsidRDefault="0082480A" w:rsidP="0082480A">
      <w:pPr>
        <w:spacing w:line="480" w:lineRule="auto"/>
        <w:ind w:left="360"/>
      </w:pPr>
      <w:r>
        <w:t>We seek to answer the research questions with the greatest possible accuracy, and the sampling approach has been designed with this objective in mind.  We illustrate the statistical power to answer research question 1.  Similar results apply for the other research questions.</w:t>
      </w:r>
    </w:p>
    <w:p w:rsidR="0082480A" w:rsidRDefault="0082480A" w:rsidP="0082480A">
      <w:pPr>
        <w:spacing w:line="480" w:lineRule="auto"/>
        <w:ind w:left="360" w:firstLine="630"/>
      </w:pPr>
      <w:r>
        <w:t>Research question 1 asks about the importance of different factors that may have influenced health care providers’ decision to practice in a particular town.  This ques</w:t>
      </w:r>
      <w:r w:rsidR="00535F52">
        <w:t>tion is addressed by Question 21</w:t>
      </w:r>
      <w:r>
        <w:t xml:space="preserve"> in the health care providers’ questionnaire.  The question asks about several factors, and asks the respondent to rate the importance of each factor on a scale from 1 (not at all important) to 5 (very important).  Although this is a five point scale, it can be summarized by a set of binary response variables.  For example, one binary response could be whether the factor is moderately or very important (response is at least 4 or not). </w:t>
      </w:r>
    </w:p>
    <w:p w:rsidR="0082480A" w:rsidRPr="0082480A" w:rsidRDefault="0082480A" w:rsidP="0082480A">
      <w:pPr>
        <w:spacing w:line="480" w:lineRule="auto"/>
        <w:ind w:left="360" w:firstLine="720"/>
      </w:pPr>
      <w:r>
        <w:t xml:space="preserve">The power calculation depends upon the sample size, the population </w:t>
      </w:r>
      <w:proofErr w:type="gramStart"/>
      <w:r>
        <w:t>size,</w:t>
      </w:r>
      <w:proofErr w:type="gramEnd"/>
      <w:r>
        <w:t xml:space="preserve"> the true population mean being estimated, the effect size, and the correlation between responses within a community (the “intra-cluster correlation coefficient”). We seek to detect an effect size of 0.10; e.g., a difference between a null hypothesis that 50% of the provider population considers the size of the town at least moderately important, and an alternative hypothesis that at least 60% of this population considers that factor at least moderately important. The power to detect such a difference is shown in Figures 1 and 2, as a function of different levels of the intra-cluster correlation coefficient (ρ), the sampling fraction within each community (m/M), and the true population proportion (0.5 or 0.9).  The results are insensitive to the sampling fraction but more sensitive to ρ, and in almost all cases the power is greater than 90%.  Even with the extreme case of ρ = 1, which we do not expect, the power is greater than 75%.</w:t>
      </w:r>
    </w:p>
    <w:p w:rsidR="00535F52" w:rsidRDefault="00535F52" w:rsidP="00535F52">
      <w:r>
        <w:rPr>
          <w:rFonts w:eastAsia="Times New Roman"/>
          <w:szCs w:val="24"/>
        </w:rPr>
        <w:br w:type="page"/>
      </w:r>
      <w:proofErr w:type="gramStart"/>
      <w:r>
        <w:lastRenderedPageBreak/>
        <w:t>Figure 1.</w:t>
      </w:r>
      <w:proofErr w:type="gramEnd"/>
      <w:r>
        <w:t xml:space="preserve">  Power analysis when the true population mean is 0.5, effect size is 0.1.</w:t>
      </w:r>
    </w:p>
    <w:p w:rsidR="00535F52" w:rsidRDefault="00535F52" w:rsidP="00535F52">
      <w:r>
        <w:rPr>
          <w:noProof/>
        </w:rPr>
        <w:drawing>
          <wp:inline distT="0" distB="0" distL="0" distR="0" wp14:anchorId="5881C0C0" wp14:editId="04CC6D14">
            <wp:extent cx="3950898" cy="37978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0898" cy="3797819"/>
                    </a:xfrm>
                    <a:prstGeom prst="rect">
                      <a:avLst/>
                    </a:prstGeom>
                    <a:noFill/>
                    <a:ln>
                      <a:noFill/>
                    </a:ln>
                  </pic:spPr>
                </pic:pic>
              </a:graphicData>
            </a:graphic>
          </wp:inline>
        </w:drawing>
      </w:r>
    </w:p>
    <w:p w:rsidR="00535F52" w:rsidRDefault="00535F52" w:rsidP="00535F52"/>
    <w:p w:rsidR="00535F52" w:rsidRDefault="00535F52" w:rsidP="00535F52">
      <w:proofErr w:type="gramStart"/>
      <w:r>
        <w:t>Figure 2.</w:t>
      </w:r>
      <w:proofErr w:type="gramEnd"/>
      <w:r>
        <w:t xml:space="preserve">  Power analysis when the true population mean is 0.9, effect size is 0.1.</w:t>
      </w:r>
    </w:p>
    <w:p w:rsidR="00535F52" w:rsidRDefault="00535F52" w:rsidP="00535F52">
      <w:r>
        <w:rPr>
          <w:noProof/>
        </w:rPr>
        <w:drawing>
          <wp:inline distT="0" distB="0" distL="0" distR="0" wp14:anchorId="31815E40" wp14:editId="4B0989C0">
            <wp:extent cx="4063042" cy="371415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7505" cy="3718237"/>
                    </a:xfrm>
                    <a:prstGeom prst="rect">
                      <a:avLst/>
                    </a:prstGeom>
                    <a:noFill/>
                    <a:ln>
                      <a:noFill/>
                    </a:ln>
                  </pic:spPr>
                </pic:pic>
              </a:graphicData>
            </a:graphic>
          </wp:inline>
        </w:drawing>
      </w:r>
    </w:p>
    <w:p w:rsidR="00535F52" w:rsidRDefault="00535F52" w:rsidP="00535F52"/>
    <w:p w:rsidR="00465B66" w:rsidRDefault="00465B66" w:rsidP="00B911F6">
      <w:pPr>
        <w:pStyle w:val="ListParagraph"/>
        <w:spacing w:line="480" w:lineRule="auto"/>
        <w:ind w:left="360"/>
        <w:rPr>
          <w:szCs w:val="24"/>
        </w:rPr>
      </w:pPr>
      <w:r>
        <w:rPr>
          <w:b/>
          <w:szCs w:val="24"/>
        </w:rPr>
        <w:lastRenderedPageBreak/>
        <w:t>Unusual problems requiring specialized sampling procedures</w:t>
      </w:r>
    </w:p>
    <w:p w:rsidR="00CB54AC" w:rsidRDefault="00535F52" w:rsidP="00B911F6">
      <w:pPr>
        <w:pStyle w:val="ListParagraph"/>
        <w:spacing w:line="480" w:lineRule="auto"/>
        <w:ind w:left="360"/>
        <w:rPr>
          <w:szCs w:val="24"/>
        </w:rPr>
      </w:pPr>
      <w:r>
        <w:rPr>
          <w:szCs w:val="24"/>
        </w:rPr>
        <w:t>There are no unusual problems requiring specialized sampling procedures.</w:t>
      </w:r>
    </w:p>
    <w:p w:rsidR="00535F52" w:rsidRDefault="00535F52" w:rsidP="00B911F6">
      <w:pPr>
        <w:pStyle w:val="ListParagraph"/>
        <w:spacing w:line="480" w:lineRule="auto"/>
        <w:ind w:left="360"/>
        <w:rPr>
          <w:szCs w:val="24"/>
        </w:rPr>
      </w:pPr>
    </w:p>
    <w:p w:rsidR="00465B66" w:rsidRDefault="00465B66" w:rsidP="00B911F6">
      <w:pPr>
        <w:pStyle w:val="ListParagraph"/>
        <w:spacing w:line="480" w:lineRule="auto"/>
        <w:ind w:left="360"/>
        <w:rPr>
          <w:szCs w:val="24"/>
        </w:rPr>
      </w:pPr>
      <w:r>
        <w:rPr>
          <w:b/>
          <w:szCs w:val="24"/>
        </w:rPr>
        <w:t>Use of periodic data collection cycles</w:t>
      </w:r>
    </w:p>
    <w:p w:rsidR="00465B66" w:rsidRDefault="00465B66" w:rsidP="00B911F6">
      <w:pPr>
        <w:pStyle w:val="ListParagraph"/>
        <w:spacing w:line="480" w:lineRule="auto"/>
        <w:ind w:left="360"/>
        <w:rPr>
          <w:szCs w:val="24"/>
        </w:rPr>
      </w:pPr>
      <w:r>
        <w:rPr>
          <w:szCs w:val="24"/>
        </w:rPr>
        <w:t>Not applicable; this is a one-time data collection effort.</w:t>
      </w:r>
    </w:p>
    <w:p w:rsidR="00465B66" w:rsidRDefault="00465B66" w:rsidP="00B911F6">
      <w:pPr>
        <w:spacing w:line="480" w:lineRule="auto"/>
        <w:ind w:left="360"/>
        <w:rPr>
          <w:szCs w:val="24"/>
        </w:rPr>
      </w:pPr>
    </w:p>
    <w:p w:rsidR="00F73758" w:rsidRDefault="00465B66" w:rsidP="00B911F6">
      <w:pPr>
        <w:pStyle w:val="ListParagraph"/>
        <w:numPr>
          <w:ilvl w:val="0"/>
          <w:numId w:val="12"/>
        </w:numPr>
        <w:spacing w:line="480" w:lineRule="auto"/>
        <w:ind w:left="360"/>
        <w:rPr>
          <w:b/>
          <w:szCs w:val="24"/>
        </w:rPr>
      </w:pPr>
      <w:r>
        <w:rPr>
          <w:b/>
          <w:szCs w:val="24"/>
        </w:rPr>
        <w:t>Methods to maximize response rates and deal with non-response issues</w:t>
      </w:r>
    </w:p>
    <w:p w:rsidR="00063010" w:rsidRDefault="00063010" w:rsidP="00B911F6">
      <w:pPr>
        <w:pStyle w:val="ListParagraph"/>
        <w:spacing w:line="480" w:lineRule="auto"/>
        <w:ind w:left="360"/>
        <w:rPr>
          <w:bCs/>
          <w:szCs w:val="24"/>
        </w:rPr>
      </w:pPr>
      <w:r>
        <w:rPr>
          <w:bCs/>
        </w:rPr>
        <w:t>Several research procedures will be incorporated to</w:t>
      </w:r>
      <w:r w:rsidRPr="003B3506">
        <w:rPr>
          <w:bCs/>
        </w:rPr>
        <w:t xml:space="preserve"> maximize</w:t>
      </w:r>
      <w:r>
        <w:rPr>
          <w:bCs/>
        </w:rPr>
        <w:t xml:space="preserve"> the </w:t>
      </w:r>
      <w:r w:rsidR="00535F52">
        <w:rPr>
          <w:bCs/>
        </w:rPr>
        <w:t>mail</w:t>
      </w:r>
      <w:r w:rsidR="00A41B31">
        <w:rPr>
          <w:bCs/>
        </w:rPr>
        <w:t>/web</w:t>
      </w:r>
      <w:r w:rsidR="00535F52">
        <w:rPr>
          <w:bCs/>
        </w:rPr>
        <w:t xml:space="preserve"> </w:t>
      </w:r>
      <w:r>
        <w:rPr>
          <w:bCs/>
        </w:rPr>
        <w:t xml:space="preserve">survey response rate.  </w:t>
      </w:r>
      <w:r>
        <w:rPr>
          <w:bCs/>
          <w:szCs w:val="24"/>
        </w:rPr>
        <w:t xml:space="preserve">Potential respondents will be provided with advance information about the project from a variety of sources.  </w:t>
      </w:r>
      <w:r w:rsidRPr="009E6189">
        <w:rPr>
          <w:bCs/>
          <w:szCs w:val="24"/>
        </w:rPr>
        <w:t xml:space="preserve">Notices and/or articles about the upcoming project will be placed in several applicable publications, such as the Journal of Rural Health and Rural Roads magazine, and on websites such as RuralHealthWeb.org and the National Rural Health Association website. </w:t>
      </w:r>
      <w:r w:rsidR="009E6189">
        <w:rPr>
          <w:bCs/>
          <w:szCs w:val="24"/>
        </w:rPr>
        <w:t xml:space="preserve"> </w:t>
      </w:r>
      <w:r>
        <w:rPr>
          <w:bCs/>
          <w:szCs w:val="24"/>
        </w:rPr>
        <w:t xml:space="preserve">Advance letters and a colorful informative sheet/brochure will be </w:t>
      </w:r>
      <w:r w:rsidR="00971C27">
        <w:rPr>
          <w:bCs/>
          <w:szCs w:val="24"/>
        </w:rPr>
        <w:t>sent</w:t>
      </w:r>
      <w:r>
        <w:rPr>
          <w:bCs/>
          <w:szCs w:val="24"/>
        </w:rPr>
        <w:t xml:space="preserve"> to sampled individuals</w:t>
      </w:r>
      <w:r w:rsidR="00971C27">
        <w:rPr>
          <w:bCs/>
          <w:szCs w:val="24"/>
        </w:rPr>
        <w:t xml:space="preserve"> prior to the paper survey mailing</w:t>
      </w:r>
      <w:r>
        <w:rPr>
          <w:bCs/>
          <w:szCs w:val="24"/>
        </w:rPr>
        <w:t xml:space="preserve">.  A project website will be available with additional information, and a toll-free number will be provided for those who have questions or concerns.  Potential respondents will be advised that project results will be available to them and other members of their community through the project website within 6 months after the completion of data collection.  </w:t>
      </w:r>
    </w:p>
    <w:p w:rsidR="00063010" w:rsidRDefault="00063010" w:rsidP="00B911F6">
      <w:pPr>
        <w:pStyle w:val="ListParagraph"/>
        <w:spacing w:line="480" w:lineRule="auto"/>
        <w:ind w:left="360" w:firstLine="720"/>
        <w:rPr>
          <w:bCs/>
        </w:rPr>
      </w:pPr>
      <w:r>
        <w:rPr>
          <w:bCs/>
        </w:rPr>
        <w:t xml:space="preserve">Operationally, limited samples will be drawn from the frame, with replicates added only as necessary.  </w:t>
      </w:r>
      <w:r w:rsidR="00CF2642">
        <w:rPr>
          <w:bCs/>
        </w:rPr>
        <w:t xml:space="preserve">A paper copy of the </w:t>
      </w:r>
      <w:r w:rsidR="00971C27">
        <w:rPr>
          <w:bCs/>
        </w:rPr>
        <w:t xml:space="preserve">survey will be </w:t>
      </w:r>
      <w:r w:rsidR="00CF2642">
        <w:rPr>
          <w:bCs/>
        </w:rPr>
        <w:t>mailed</w:t>
      </w:r>
      <w:r w:rsidR="00971C27">
        <w:rPr>
          <w:bCs/>
        </w:rPr>
        <w:t xml:space="preserve"> to sampled providers along with a cover letter and instructions for accessing the survey online if they choose.  A second copy of the survey</w:t>
      </w:r>
      <w:r w:rsidR="00CF2642">
        <w:rPr>
          <w:bCs/>
        </w:rPr>
        <w:t xml:space="preserve"> and instructions for online access</w:t>
      </w:r>
      <w:r w:rsidR="00971C27">
        <w:rPr>
          <w:bCs/>
        </w:rPr>
        <w:t xml:space="preserve"> will be sent to non-respondents</w:t>
      </w:r>
      <w:r w:rsidR="00CF2642">
        <w:rPr>
          <w:bCs/>
        </w:rPr>
        <w:t xml:space="preserve"> </w:t>
      </w:r>
      <w:r w:rsidR="00971C27">
        <w:rPr>
          <w:bCs/>
        </w:rPr>
        <w:t xml:space="preserve">after an appropriate time </w:t>
      </w:r>
      <w:r w:rsidR="007D6413">
        <w:rPr>
          <w:bCs/>
        </w:rPr>
        <w:t>span</w:t>
      </w:r>
      <w:r w:rsidR="00971C27">
        <w:rPr>
          <w:bCs/>
        </w:rPr>
        <w:t xml:space="preserve">, followed by reminder telephone calls as needed.  </w:t>
      </w:r>
      <w:r w:rsidR="007D6413">
        <w:rPr>
          <w:bCs/>
          <w:szCs w:val="24"/>
        </w:rPr>
        <w:t>R</w:t>
      </w:r>
      <w:r w:rsidR="00971C27">
        <w:rPr>
          <w:bCs/>
        </w:rPr>
        <w:t xml:space="preserve">espondents who </w:t>
      </w:r>
      <w:r w:rsidR="00971C27">
        <w:rPr>
          <w:bCs/>
        </w:rPr>
        <w:lastRenderedPageBreak/>
        <w:t xml:space="preserve">are unable or unwilling to complete the mail or web survey will </w:t>
      </w:r>
      <w:r w:rsidR="007D6413">
        <w:rPr>
          <w:bCs/>
        </w:rPr>
        <w:t xml:space="preserve">also </w:t>
      </w:r>
      <w:r w:rsidR="00971C27">
        <w:rPr>
          <w:bCs/>
        </w:rPr>
        <w:t>have the option to complete it by telephone.</w:t>
      </w:r>
      <w:r>
        <w:rPr>
          <w:bCs/>
          <w:szCs w:val="24"/>
        </w:rPr>
        <w:t xml:space="preserve"> </w:t>
      </w:r>
      <w:r>
        <w:rPr>
          <w:bCs/>
        </w:rPr>
        <w:t xml:space="preserve"> </w:t>
      </w:r>
    </w:p>
    <w:p w:rsidR="00063010" w:rsidRDefault="00063010" w:rsidP="00B911F6">
      <w:pPr>
        <w:pStyle w:val="ListParagraph"/>
        <w:spacing w:line="480" w:lineRule="auto"/>
        <w:ind w:left="360" w:firstLine="720"/>
        <w:rPr>
          <w:bCs/>
          <w:szCs w:val="24"/>
        </w:rPr>
      </w:pPr>
      <w:r>
        <w:rPr>
          <w:bCs/>
          <w:szCs w:val="24"/>
        </w:rPr>
        <w:t xml:space="preserve">The pilot study </w:t>
      </w:r>
      <w:r w:rsidR="009E6189">
        <w:rPr>
          <w:bCs/>
          <w:szCs w:val="24"/>
        </w:rPr>
        <w:t>in</w:t>
      </w:r>
      <w:r w:rsidR="00535F52">
        <w:rPr>
          <w:bCs/>
          <w:szCs w:val="24"/>
        </w:rPr>
        <w:t xml:space="preserve"> 12</w:t>
      </w:r>
      <w:r>
        <w:rPr>
          <w:bCs/>
          <w:szCs w:val="24"/>
        </w:rPr>
        <w:t xml:space="preserve"> communities will be particularly useful in identifying and evaluating any potential response rate and non-response issues.  Should any such problems arise during the pilot study, procedures can be adapted to address the issues at hand so that response rates for the ensuing</w:t>
      </w:r>
      <w:r w:rsidR="00535F52">
        <w:rPr>
          <w:bCs/>
          <w:szCs w:val="24"/>
        </w:rPr>
        <w:t xml:space="preserve"> 138</w:t>
      </w:r>
      <w:r>
        <w:rPr>
          <w:bCs/>
          <w:szCs w:val="24"/>
        </w:rPr>
        <w:t xml:space="preserve"> communities will be maximized.</w:t>
      </w:r>
    </w:p>
    <w:p w:rsidR="004362B6" w:rsidRDefault="004362B6" w:rsidP="00B911F6">
      <w:pPr>
        <w:pStyle w:val="ListParagraph"/>
        <w:spacing w:line="480" w:lineRule="auto"/>
        <w:ind w:left="360" w:firstLine="720"/>
        <w:rPr>
          <w:bCs/>
          <w:szCs w:val="24"/>
        </w:rPr>
      </w:pPr>
      <w:r>
        <w:rPr>
          <w:bCs/>
          <w:szCs w:val="24"/>
        </w:rPr>
        <w:t xml:space="preserve">We have a target </w:t>
      </w:r>
      <w:r w:rsidR="00334E0F">
        <w:rPr>
          <w:bCs/>
          <w:szCs w:val="24"/>
        </w:rPr>
        <w:t>response rate of 80%</w:t>
      </w:r>
      <w:r>
        <w:rPr>
          <w:bCs/>
          <w:szCs w:val="24"/>
        </w:rPr>
        <w:t xml:space="preserve"> and believe that this target is achievable based upon similar surveys conducted by the Survey and Behavioral Research Services (SBRS) group at Iowa State University – the organization that will implement the survey.</w:t>
      </w:r>
      <w:r w:rsidR="00EC0467">
        <w:rPr>
          <w:bCs/>
          <w:szCs w:val="24"/>
        </w:rPr>
        <w:t xml:space="preserve"> </w:t>
      </w:r>
      <w:r w:rsidR="00EC0467">
        <w:t>In 2009, SBRS completed data collection for a community-based study that focused on the impact of the retail sector in small rural communities (</w:t>
      </w:r>
      <w:r w:rsidR="00EC0467" w:rsidRPr="0019667E">
        <w:rPr>
          <w:i/>
        </w:rPr>
        <w:t>Community Resiliency</w:t>
      </w:r>
      <w:r w:rsidR="00EC0467">
        <w:rPr>
          <w:i/>
        </w:rPr>
        <w:t>: Role of the Retail Sector in Easing Sudden and Slow Motion Economic Shocks</w:t>
      </w:r>
      <w:r w:rsidR="00EC0467">
        <w:t xml:space="preserve">).  A sample of 32 communities in 8 states was chosen, and a total of 1,161 interviews were conducted with retail business owners, community leaders, and community residents (general population).  The sample for the retail owners and community leaders was developed in a manner similar to the process for the proposed project. The response rate for the community leaders was 76.4%, with a 61.8% response rate for the retail business owners. For the proposed project, it is expected that the response rate will exceed that of the </w:t>
      </w:r>
      <w:r w:rsidR="00EC0467" w:rsidRPr="005E608E">
        <w:rPr>
          <w:i/>
        </w:rPr>
        <w:t>Community Resiliency</w:t>
      </w:r>
      <w:r w:rsidR="00EC0467">
        <w:rPr>
          <w:i/>
        </w:rPr>
        <w:t xml:space="preserve"> </w:t>
      </w:r>
      <w:r w:rsidR="00EC0467">
        <w:t xml:space="preserve">project and could reach the target of 80%, given the significant follow-up measures planned (more than in the </w:t>
      </w:r>
      <w:r w:rsidR="00EC0467">
        <w:rPr>
          <w:i/>
        </w:rPr>
        <w:t xml:space="preserve">Community Resiliency </w:t>
      </w:r>
      <w:r w:rsidR="00EC0467">
        <w:t>project) and the high saliency of the topic (health care in rural communities) for the respondents.</w:t>
      </w:r>
      <w:r>
        <w:rPr>
          <w:bCs/>
          <w:szCs w:val="24"/>
        </w:rPr>
        <w:t xml:space="preserve"> </w:t>
      </w:r>
    </w:p>
    <w:p w:rsidR="00B23D00" w:rsidRDefault="00B23D00" w:rsidP="00B911F6">
      <w:pPr>
        <w:pStyle w:val="ListParagraph"/>
        <w:spacing w:line="480" w:lineRule="auto"/>
        <w:ind w:left="360" w:firstLine="720"/>
        <w:rPr>
          <w:szCs w:val="24"/>
        </w:rPr>
      </w:pPr>
      <w:r>
        <w:t xml:space="preserve">If the unit response rate in the pilot study is less than 80 percent, an investigation of potential nonresponse bias will be planned and implemented in the full survey, using data </w:t>
      </w:r>
      <w:r>
        <w:lastRenderedPageBreak/>
        <w:t>available from secondary sources, the sample frame, and the survey.  For example, we could investigate whether potential respondents having higher expected salaries were less likely to participate as respondents in the survey (due to higher opportunity costs of their time).  The analysis in thi</w:t>
      </w:r>
      <w:r w:rsidR="0095230D">
        <w:t xml:space="preserve">s example would combine data </w:t>
      </w:r>
      <w:r>
        <w:t>from secondary sources such as the Bureau of Labor Statistics on salary ranges existing for particular health care occupations in particular locations, information from the sample frame on the location and specific occupations of the potential respondents, and information from the survey on which potential respondents decided not to participate. Data from the survey could also be used to investigate the extent to which the responses to key survey questions – such as the importance of different types of community assets in affecting health care providers’ decisions to work in the community – differ between respondents from different occupational groups or different locations.  Combining these types of analysis will enable an assessment of the two components of non-response bias: i) differences between respondents and non-respondents in characteristics hypothesized to influence response variables of interest; and ii) the extent to which such characteristics are correlated with the response variables of interest.</w:t>
      </w:r>
    </w:p>
    <w:p w:rsidR="00334E0F" w:rsidRDefault="00334E0F">
      <w:pPr>
        <w:rPr>
          <w:szCs w:val="24"/>
        </w:rPr>
      </w:pPr>
    </w:p>
    <w:p w:rsidR="00F73758" w:rsidRDefault="00465B66" w:rsidP="00B911F6">
      <w:pPr>
        <w:pStyle w:val="ListParagraph"/>
        <w:numPr>
          <w:ilvl w:val="0"/>
          <w:numId w:val="12"/>
        </w:numPr>
        <w:spacing w:line="480" w:lineRule="auto"/>
        <w:ind w:left="360"/>
        <w:rPr>
          <w:b/>
          <w:szCs w:val="24"/>
        </w:rPr>
      </w:pPr>
      <w:r>
        <w:rPr>
          <w:b/>
          <w:szCs w:val="24"/>
        </w:rPr>
        <w:t>Tests of procedures or methods to be undertaken</w:t>
      </w:r>
    </w:p>
    <w:p w:rsidR="00E9327C" w:rsidRDefault="00891B23" w:rsidP="00B911F6">
      <w:pPr>
        <w:pStyle w:val="ListParagraph"/>
        <w:spacing w:line="480" w:lineRule="auto"/>
        <w:ind w:left="360"/>
      </w:pPr>
      <w:r>
        <w:rPr>
          <w:szCs w:val="24"/>
        </w:rPr>
        <w:t xml:space="preserve">The pilot study will be used to </w:t>
      </w:r>
      <w:r>
        <w:t>evaluate the survey protocol (e.g., the procedures used to identify</w:t>
      </w:r>
      <w:r w:rsidR="00D12061">
        <w:t xml:space="preserve">, inform and </w:t>
      </w:r>
      <w:r>
        <w:t>contact respondents</w:t>
      </w:r>
      <w:r w:rsidR="0073164F">
        <w:t>, schedu</w:t>
      </w:r>
      <w:r w:rsidR="00D12061">
        <w:t>le</w:t>
      </w:r>
      <w:r w:rsidR="0073164F">
        <w:t xml:space="preserve"> interviews, etc.) </w:t>
      </w:r>
      <w:r w:rsidRPr="00B44D41">
        <w:t>and</w:t>
      </w:r>
      <w:r>
        <w:t xml:space="preserve"> </w:t>
      </w:r>
      <w:r w:rsidR="0073164F">
        <w:t xml:space="preserve">to </w:t>
      </w:r>
      <w:r>
        <w:t>estimate the response rates for individual questions</w:t>
      </w:r>
      <w:r w:rsidR="0073164F">
        <w:t xml:space="preserve"> and the unit response to the survey as a whole</w:t>
      </w:r>
      <w:r w:rsidRPr="00B44D41">
        <w:t xml:space="preserve">. </w:t>
      </w:r>
      <w:r>
        <w:t xml:space="preserve">If the response rate is </w:t>
      </w:r>
      <w:r w:rsidR="0073164F">
        <w:t xml:space="preserve">below 70 percent </w:t>
      </w:r>
      <w:r>
        <w:t xml:space="preserve">for individual questions, </w:t>
      </w:r>
      <w:r w:rsidR="00D12061">
        <w:t xml:space="preserve">these </w:t>
      </w:r>
      <w:r>
        <w:t xml:space="preserve">questions </w:t>
      </w:r>
      <w:r w:rsidR="00B23D00">
        <w:t>will</w:t>
      </w:r>
      <w:r>
        <w:t xml:space="preserve"> be </w:t>
      </w:r>
      <w:r w:rsidR="0073164F">
        <w:t xml:space="preserve">revised </w:t>
      </w:r>
      <w:r w:rsidR="00B23D00">
        <w:t>to improve response rates</w:t>
      </w:r>
      <w:r w:rsidR="00D12061">
        <w:t xml:space="preserve"> </w:t>
      </w:r>
      <w:r w:rsidR="0073164F">
        <w:t xml:space="preserve">or </w:t>
      </w:r>
      <w:r>
        <w:t>dropped in the full survey.</w:t>
      </w:r>
      <w:r w:rsidR="0073164F">
        <w:t xml:space="preserve">  If the response rate to the pilot survey as a whole is below 80 percent, efforts to maximize the response rate</w:t>
      </w:r>
      <w:r w:rsidR="00B23D00">
        <w:t xml:space="preserve"> </w:t>
      </w:r>
      <w:r w:rsidR="0073164F">
        <w:t xml:space="preserve">will be applied </w:t>
      </w:r>
      <w:r w:rsidR="00E9327C">
        <w:t xml:space="preserve">to the </w:t>
      </w:r>
      <w:r w:rsidR="00E9327C">
        <w:lastRenderedPageBreak/>
        <w:t>fullest extent possible</w:t>
      </w:r>
      <w:r w:rsidR="00B23D00">
        <w:t>, and an investigation of nonresponse bias will be conducted, as described in the preceding section</w:t>
      </w:r>
      <w:r w:rsidR="00E9327C">
        <w:t>.</w:t>
      </w:r>
    </w:p>
    <w:p w:rsidR="00B911F6" w:rsidRDefault="00B911F6">
      <w:pPr>
        <w:rPr>
          <w:b/>
          <w:szCs w:val="24"/>
        </w:rPr>
      </w:pPr>
    </w:p>
    <w:p w:rsidR="00F73758" w:rsidRDefault="00A90E53" w:rsidP="00B911F6">
      <w:pPr>
        <w:pStyle w:val="ListParagraph"/>
        <w:numPr>
          <w:ilvl w:val="0"/>
          <w:numId w:val="12"/>
        </w:numPr>
        <w:spacing w:line="480" w:lineRule="auto"/>
        <w:ind w:left="360"/>
        <w:rPr>
          <w:b/>
          <w:szCs w:val="24"/>
        </w:rPr>
      </w:pPr>
      <w:r>
        <w:rPr>
          <w:b/>
          <w:szCs w:val="24"/>
        </w:rPr>
        <w:t xml:space="preserve">Names and telephone numbers of </w:t>
      </w:r>
      <w:r w:rsidR="00916CC4" w:rsidRPr="00E876F0">
        <w:rPr>
          <w:b/>
          <w:szCs w:val="24"/>
        </w:rPr>
        <w:t>people</w:t>
      </w:r>
      <w:r w:rsidR="00916CC4">
        <w:rPr>
          <w:b/>
          <w:szCs w:val="24"/>
        </w:rPr>
        <w:t xml:space="preserve"> </w:t>
      </w:r>
      <w:r>
        <w:rPr>
          <w:b/>
          <w:szCs w:val="24"/>
        </w:rPr>
        <w:t>consulted on statistical methods; people who will collect the data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410"/>
        <w:gridCol w:w="1818"/>
      </w:tblGrid>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b/>
                <w:szCs w:val="24"/>
              </w:rPr>
            </w:pPr>
            <w:r w:rsidRPr="007F0E2A">
              <w:rPr>
                <w:b/>
                <w:szCs w:val="24"/>
              </w:rPr>
              <w:t>Name</w:t>
            </w:r>
          </w:p>
        </w:tc>
        <w:tc>
          <w:tcPr>
            <w:tcW w:w="4410" w:type="dxa"/>
            <w:shd w:val="clear" w:color="auto" w:fill="auto"/>
            <w:vAlign w:val="center"/>
          </w:tcPr>
          <w:p w:rsidR="00063010" w:rsidRPr="007F0E2A" w:rsidRDefault="00063010" w:rsidP="00B911F6">
            <w:pPr>
              <w:pStyle w:val="ListParagraph"/>
              <w:spacing w:before="40" w:after="40"/>
              <w:ind w:left="360"/>
              <w:rPr>
                <w:b/>
                <w:szCs w:val="24"/>
              </w:rPr>
            </w:pPr>
            <w:r w:rsidRPr="007F0E2A">
              <w:rPr>
                <w:b/>
                <w:szCs w:val="24"/>
              </w:rPr>
              <w:t>Position</w:t>
            </w:r>
          </w:p>
        </w:tc>
        <w:tc>
          <w:tcPr>
            <w:tcW w:w="1818" w:type="dxa"/>
            <w:shd w:val="clear" w:color="auto" w:fill="auto"/>
            <w:vAlign w:val="center"/>
          </w:tcPr>
          <w:p w:rsidR="00063010" w:rsidRPr="007F0E2A" w:rsidRDefault="00063010" w:rsidP="00B911F6">
            <w:pPr>
              <w:pStyle w:val="ListParagraph"/>
              <w:spacing w:before="40" w:after="40"/>
              <w:ind w:left="360"/>
              <w:rPr>
                <w:b/>
                <w:szCs w:val="24"/>
              </w:rPr>
            </w:pPr>
            <w:r w:rsidRPr="007F0E2A">
              <w:rPr>
                <w:b/>
                <w:szCs w:val="24"/>
              </w:rPr>
              <w:t>Telephone</w:t>
            </w:r>
          </w:p>
        </w:tc>
      </w:tr>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Cindy Yu, PhD</w:t>
            </w:r>
          </w:p>
        </w:tc>
        <w:tc>
          <w:tcPr>
            <w:tcW w:w="4410"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Project Statistician, Assistant Professor of Statistics, Iowa State University</w:t>
            </w:r>
          </w:p>
        </w:tc>
        <w:tc>
          <w:tcPr>
            <w:tcW w:w="181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515-294-6885</w:t>
            </w:r>
          </w:p>
        </w:tc>
      </w:tr>
      <w:tr w:rsidR="00361BB1" w:rsidRPr="007F0E2A" w:rsidTr="00B911F6">
        <w:tc>
          <w:tcPr>
            <w:tcW w:w="2268" w:type="dxa"/>
            <w:shd w:val="clear" w:color="auto" w:fill="auto"/>
            <w:vAlign w:val="center"/>
          </w:tcPr>
          <w:p w:rsidR="00361BB1" w:rsidRPr="007F0E2A" w:rsidRDefault="00361BB1" w:rsidP="00B911F6">
            <w:pPr>
              <w:pStyle w:val="ListParagraph"/>
              <w:spacing w:before="40" w:after="40"/>
              <w:ind w:left="360"/>
              <w:rPr>
                <w:szCs w:val="24"/>
              </w:rPr>
            </w:pPr>
            <w:r>
              <w:rPr>
                <w:szCs w:val="24"/>
              </w:rPr>
              <w:t>Sarah Nusser, Ph.D.</w:t>
            </w:r>
          </w:p>
        </w:tc>
        <w:tc>
          <w:tcPr>
            <w:tcW w:w="4410" w:type="dxa"/>
            <w:shd w:val="clear" w:color="auto" w:fill="auto"/>
            <w:vAlign w:val="center"/>
          </w:tcPr>
          <w:p w:rsidR="00361BB1" w:rsidRPr="007F0E2A" w:rsidRDefault="00361BB1" w:rsidP="00B911F6">
            <w:pPr>
              <w:pStyle w:val="ListParagraph"/>
              <w:spacing w:before="40" w:after="40"/>
              <w:ind w:left="360"/>
              <w:rPr>
                <w:szCs w:val="24"/>
              </w:rPr>
            </w:pPr>
            <w:r>
              <w:rPr>
                <w:szCs w:val="24"/>
              </w:rPr>
              <w:t>Professor of Statistics, Iowa State University</w:t>
            </w:r>
          </w:p>
        </w:tc>
        <w:tc>
          <w:tcPr>
            <w:tcW w:w="1818" w:type="dxa"/>
            <w:shd w:val="clear" w:color="auto" w:fill="auto"/>
            <w:vAlign w:val="center"/>
          </w:tcPr>
          <w:p w:rsidR="00361BB1" w:rsidRPr="007F0E2A" w:rsidRDefault="00361BB1" w:rsidP="00B911F6">
            <w:pPr>
              <w:pStyle w:val="ListParagraph"/>
              <w:spacing w:before="40" w:after="40"/>
              <w:ind w:left="360"/>
              <w:rPr>
                <w:szCs w:val="24"/>
              </w:rPr>
            </w:pPr>
            <w:r>
              <w:rPr>
                <w:szCs w:val="24"/>
              </w:rPr>
              <w:t>515-294-9773</w:t>
            </w:r>
          </w:p>
        </w:tc>
      </w:tr>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Shirley Huck</w:t>
            </w:r>
          </w:p>
        </w:tc>
        <w:tc>
          <w:tcPr>
            <w:tcW w:w="4410"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Assistant Director, Survey &amp; Behavioral Research Services</w:t>
            </w:r>
            <w:r w:rsidR="00B23D00">
              <w:rPr>
                <w:szCs w:val="24"/>
              </w:rPr>
              <w:t xml:space="preserve"> (SBRS)</w:t>
            </w:r>
            <w:r w:rsidRPr="007F0E2A">
              <w:rPr>
                <w:szCs w:val="24"/>
              </w:rPr>
              <w:t>, Iowa State University</w:t>
            </w:r>
          </w:p>
        </w:tc>
        <w:tc>
          <w:tcPr>
            <w:tcW w:w="181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515-294-1652</w:t>
            </w:r>
          </w:p>
        </w:tc>
      </w:tr>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Janice Larson</w:t>
            </w:r>
          </w:p>
        </w:tc>
        <w:tc>
          <w:tcPr>
            <w:tcW w:w="4410"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SBRS Survey Unit Director</w:t>
            </w:r>
          </w:p>
        </w:tc>
        <w:tc>
          <w:tcPr>
            <w:tcW w:w="181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515-294-3451</w:t>
            </w:r>
          </w:p>
        </w:tc>
      </w:tr>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Allison Anderson</w:t>
            </w:r>
          </w:p>
        </w:tc>
        <w:tc>
          <w:tcPr>
            <w:tcW w:w="4410"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SBRS Project Manager</w:t>
            </w:r>
          </w:p>
        </w:tc>
        <w:tc>
          <w:tcPr>
            <w:tcW w:w="181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515-294-1949</w:t>
            </w:r>
          </w:p>
        </w:tc>
      </w:tr>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Jody Fox</w:t>
            </w:r>
          </w:p>
        </w:tc>
        <w:tc>
          <w:tcPr>
            <w:tcW w:w="4410"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SBRS Data Collection Supervisor</w:t>
            </w:r>
          </w:p>
        </w:tc>
        <w:tc>
          <w:tcPr>
            <w:tcW w:w="181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515-294-4289</w:t>
            </w:r>
          </w:p>
        </w:tc>
      </w:tr>
      <w:tr w:rsidR="00063010" w:rsidRPr="007F0E2A" w:rsidTr="00B911F6">
        <w:tc>
          <w:tcPr>
            <w:tcW w:w="226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Debbie Bahr</w:t>
            </w:r>
          </w:p>
        </w:tc>
        <w:tc>
          <w:tcPr>
            <w:tcW w:w="4410"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SBRS Data Collection Supervisor</w:t>
            </w:r>
          </w:p>
        </w:tc>
        <w:tc>
          <w:tcPr>
            <w:tcW w:w="1818" w:type="dxa"/>
            <w:shd w:val="clear" w:color="auto" w:fill="auto"/>
            <w:vAlign w:val="center"/>
          </w:tcPr>
          <w:p w:rsidR="00063010" w:rsidRPr="007F0E2A" w:rsidRDefault="00063010" w:rsidP="00B911F6">
            <w:pPr>
              <w:pStyle w:val="ListParagraph"/>
              <w:spacing w:before="40" w:after="40"/>
              <w:ind w:left="360"/>
              <w:rPr>
                <w:szCs w:val="24"/>
              </w:rPr>
            </w:pPr>
            <w:r w:rsidRPr="007F0E2A">
              <w:rPr>
                <w:szCs w:val="24"/>
              </w:rPr>
              <w:t>515-294-3104</w:t>
            </w:r>
          </w:p>
        </w:tc>
      </w:tr>
      <w:tr w:rsidR="007D6413" w:rsidRPr="007F0E2A" w:rsidTr="00B911F6">
        <w:tc>
          <w:tcPr>
            <w:tcW w:w="2268" w:type="dxa"/>
            <w:shd w:val="clear" w:color="auto" w:fill="auto"/>
            <w:vAlign w:val="center"/>
          </w:tcPr>
          <w:p w:rsidR="007D6413" w:rsidRPr="00DE60D4" w:rsidRDefault="007D6413" w:rsidP="00B911F6">
            <w:pPr>
              <w:pStyle w:val="ListParagraph"/>
              <w:spacing w:before="40" w:after="40"/>
              <w:ind w:left="360"/>
              <w:rPr>
                <w:szCs w:val="24"/>
              </w:rPr>
            </w:pPr>
            <w:r w:rsidRPr="00DE60D4">
              <w:rPr>
                <w:szCs w:val="24"/>
              </w:rPr>
              <w:t>Anthony Connor</w:t>
            </w:r>
          </w:p>
        </w:tc>
        <w:tc>
          <w:tcPr>
            <w:tcW w:w="4410" w:type="dxa"/>
            <w:shd w:val="clear" w:color="auto" w:fill="auto"/>
            <w:vAlign w:val="center"/>
          </w:tcPr>
          <w:p w:rsidR="007D6413" w:rsidRPr="00DE60D4" w:rsidRDefault="007D6413" w:rsidP="007D6413">
            <w:pPr>
              <w:pStyle w:val="ListParagraph"/>
              <w:spacing w:before="40" w:after="40"/>
              <w:ind w:left="360"/>
              <w:rPr>
                <w:szCs w:val="24"/>
              </w:rPr>
            </w:pPr>
            <w:r w:rsidRPr="00DE60D4">
              <w:rPr>
                <w:szCs w:val="24"/>
              </w:rPr>
              <w:t>SBRS Programmer &amp; Data Manager</w:t>
            </w:r>
          </w:p>
        </w:tc>
        <w:tc>
          <w:tcPr>
            <w:tcW w:w="1818" w:type="dxa"/>
            <w:shd w:val="clear" w:color="auto" w:fill="auto"/>
            <w:vAlign w:val="center"/>
          </w:tcPr>
          <w:p w:rsidR="007D6413" w:rsidRPr="00DE60D4" w:rsidRDefault="007D6413" w:rsidP="00B911F6">
            <w:pPr>
              <w:pStyle w:val="ListParagraph"/>
              <w:spacing w:before="40" w:after="40"/>
              <w:ind w:left="360"/>
              <w:rPr>
                <w:szCs w:val="24"/>
              </w:rPr>
            </w:pPr>
            <w:r w:rsidRPr="00DE60D4">
              <w:rPr>
                <w:szCs w:val="24"/>
              </w:rPr>
              <w:t>515-294-6211</w:t>
            </w:r>
          </w:p>
        </w:tc>
      </w:tr>
      <w:tr w:rsidR="007D6413" w:rsidRPr="007F0E2A" w:rsidTr="00B911F6">
        <w:tc>
          <w:tcPr>
            <w:tcW w:w="2268" w:type="dxa"/>
            <w:shd w:val="clear" w:color="auto" w:fill="auto"/>
            <w:vAlign w:val="center"/>
          </w:tcPr>
          <w:p w:rsidR="007D6413" w:rsidRPr="00DE60D4" w:rsidRDefault="007D6413" w:rsidP="00B911F6">
            <w:pPr>
              <w:pStyle w:val="ListParagraph"/>
              <w:spacing w:before="40" w:after="40"/>
              <w:ind w:left="360"/>
              <w:rPr>
                <w:szCs w:val="24"/>
              </w:rPr>
            </w:pPr>
            <w:r w:rsidRPr="00DE60D4">
              <w:rPr>
                <w:szCs w:val="24"/>
              </w:rPr>
              <w:t>Cathy Owen</w:t>
            </w:r>
          </w:p>
        </w:tc>
        <w:tc>
          <w:tcPr>
            <w:tcW w:w="4410" w:type="dxa"/>
            <w:shd w:val="clear" w:color="auto" w:fill="auto"/>
            <w:vAlign w:val="center"/>
          </w:tcPr>
          <w:p w:rsidR="007D6413" w:rsidRPr="00DE60D4" w:rsidRDefault="007D6413" w:rsidP="00B911F6">
            <w:pPr>
              <w:pStyle w:val="ListParagraph"/>
              <w:spacing w:before="40" w:after="40"/>
              <w:ind w:left="360"/>
              <w:rPr>
                <w:szCs w:val="24"/>
              </w:rPr>
            </w:pPr>
            <w:r w:rsidRPr="00DE60D4">
              <w:rPr>
                <w:szCs w:val="24"/>
              </w:rPr>
              <w:t>SBRS Database Manager</w:t>
            </w:r>
          </w:p>
        </w:tc>
        <w:tc>
          <w:tcPr>
            <w:tcW w:w="1818" w:type="dxa"/>
            <w:shd w:val="clear" w:color="auto" w:fill="auto"/>
            <w:vAlign w:val="center"/>
          </w:tcPr>
          <w:p w:rsidR="007D6413" w:rsidRPr="00DE60D4" w:rsidRDefault="007D6413" w:rsidP="00CC42F7">
            <w:pPr>
              <w:pStyle w:val="ListParagraph"/>
              <w:spacing w:before="40" w:after="40"/>
              <w:ind w:left="360"/>
              <w:rPr>
                <w:szCs w:val="24"/>
              </w:rPr>
            </w:pPr>
            <w:r w:rsidRPr="00DE60D4">
              <w:rPr>
                <w:szCs w:val="24"/>
              </w:rPr>
              <w:t>515-294-5346</w:t>
            </w:r>
          </w:p>
        </w:tc>
      </w:tr>
      <w:tr w:rsidR="007D6413" w:rsidRPr="007F0E2A" w:rsidTr="00B911F6">
        <w:tc>
          <w:tcPr>
            <w:tcW w:w="2268" w:type="dxa"/>
            <w:shd w:val="clear" w:color="auto" w:fill="auto"/>
            <w:vAlign w:val="center"/>
          </w:tcPr>
          <w:p w:rsidR="007D6413" w:rsidRPr="00DE60D4" w:rsidRDefault="007D6413" w:rsidP="00B911F6">
            <w:pPr>
              <w:pStyle w:val="ListParagraph"/>
              <w:spacing w:before="40" w:after="40"/>
              <w:ind w:left="360"/>
              <w:rPr>
                <w:szCs w:val="24"/>
              </w:rPr>
            </w:pPr>
            <w:r w:rsidRPr="00DE60D4">
              <w:rPr>
                <w:szCs w:val="24"/>
              </w:rPr>
              <w:t>Sue Thomas</w:t>
            </w:r>
          </w:p>
        </w:tc>
        <w:tc>
          <w:tcPr>
            <w:tcW w:w="4410" w:type="dxa"/>
            <w:shd w:val="clear" w:color="auto" w:fill="auto"/>
            <w:vAlign w:val="center"/>
          </w:tcPr>
          <w:p w:rsidR="007D6413" w:rsidRPr="00DE60D4" w:rsidRDefault="007D6413" w:rsidP="00B911F6">
            <w:pPr>
              <w:pStyle w:val="ListParagraph"/>
              <w:spacing w:before="40" w:after="40"/>
              <w:ind w:left="360"/>
              <w:rPr>
                <w:szCs w:val="24"/>
              </w:rPr>
            </w:pPr>
            <w:r w:rsidRPr="00DE60D4">
              <w:rPr>
                <w:szCs w:val="24"/>
              </w:rPr>
              <w:t>SBRS Data Collector</w:t>
            </w:r>
          </w:p>
        </w:tc>
        <w:tc>
          <w:tcPr>
            <w:tcW w:w="1818" w:type="dxa"/>
            <w:shd w:val="clear" w:color="auto" w:fill="auto"/>
            <w:vAlign w:val="center"/>
          </w:tcPr>
          <w:p w:rsidR="007D6413" w:rsidRPr="00DE60D4" w:rsidRDefault="007D6413" w:rsidP="00CC42F7">
            <w:pPr>
              <w:pStyle w:val="ListParagraph"/>
              <w:spacing w:before="40" w:after="40"/>
              <w:ind w:left="360"/>
              <w:rPr>
                <w:szCs w:val="24"/>
              </w:rPr>
            </w:pPr>
            <w:r w:rsidRPr="00DE60D4">
              <w:rPr>
                <w:szCs w:val="24"/>
              </w:rPr>
              <w:t>515-294-5242</w:t>
            </w:r>
          </w:p>
        </w:tc>
      </w:tr>
    </w:tbl>
    <w:p w:rsidR="00063010" w:rsidRDefault="00063010" w:rsidP="00B911F6">
      <w:pPr>
        <w:pStyle w:val="ListParagraph"/>
        <w:spacing w:line="480" w:lineRule="auto"/>
        <w:ind w:left="360"/>
        <w:rPr>
          <w:szCs w:val="24"/>
        </w:rPr>
      </w:pPr>
    </w:p>
    <w:sectPr w:rsidR="00063010" w:rsidSect="004445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84" w:rsidRDefault="00FF5384" w:rsidP="000F1538">
      <w:r>
        <w:separator/>
      </w:r>
    </w:p>
  </w:endnote>
  <w:endnote w:type="continuationSeparator" w:id="0">
    <w:p w:rsidR="00FF5384" w:rsidRDefault="00FF5384"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0A" w:rsidRDefault="0082480A">
    <w:pPr>
      <w:pStyle w:val="Footer"/>
      <w:jc w:val="right"/>
    </w:pPr>
    <w:r>
      <w:fldChar w:fldCharType="begin"/>
    </w:r>
    <w:r>
      <w:instrText xml:space="preserve"> PAGE   \* MERGEFORMAT </w:instrText>
    </w:r>
    <w:r>
      <w:fldChar w:fldCharType="separate"/>
    </w:r>
    <w:r w:rsidR="00221030">
      <w:rPr>
        <w:noProof/>
      </w:rPr>
      <w:t>16</w:t>
    </w:r>
    <w:r>
      <w:rPr>
        <w:noProof/>
      </w:rPr>
      <w:fldChar w:fldCharType="end"/>
    </w:r>
  </w:p>
  <w:p w:rsidR="0082480A" w:rsidRDefault="0082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84" w:rsidRDefault="00FF5384" w:rsidP="000F1538">
      <w:r>
        <w:separator/>
      </w:r>
    </w:p>
  </w:footnote>
  <w:footnote w:type="continuationSeparator" w:id="0">
    <w:p w:rsidR="00FF5384" w:rsidRDefault="00FF5384" w:rsidP="000F1538">
      <w:r>
        <w:continuationSeparator/>
      </w:r>
    </w:p>
  </w:footnote>
  <w:footnote w:id="1">
    <w:p w:rsidR="0082480A" w:rsidRDefault="0082480A">
      <w:pPr>
        <w:pStyle w:val="FootnoteText"/>
      </w:pPr>
      <w:r>
        <w:rPr>
          <w:rStyle w:val="FootnoteReference"/>
        </w:rPr>
        <w:footnoteRef/>
      </w:r>
      <w:r>
        <w:t xml:space="preserve"> ZCTAs are defined and data on them are available at the Census Bureau website: </w:t>
      </w:r>
      <w:hyperlink r:id="rId1" w:history="1">
        <w:r w:rsidRPr="00880D6B">
          <w:rPr>
            <w:rStyle w:val="Hyperlink"/>
          </w:rPr>
          <w:t>http://www.census.gov/geo/ZCTA/zcta.html</w:t>
        </w:r>
      </w:hyperlink>
      <w:proofErr w:type="gramStart"/>
      <w:r>
        <w:t>..</w:t>
      </w:r>
      <w:proofErr w:type="gramEnd"/>
    </w:p>
  </w:footnote>
  <w:footnote w:id="2">
    <w:p w:rsidR="0082480A" w:rsidRDefault="0082480A">
      <w:pPr>
        <w:pStyle w:val="FootnoteText"/>
      </w:pPr>
      <w:r>
        <w:rPr>
          <w:rStyle w:val="FootnoteReference"/>
        </w:rPr>
        <w:footnoteRef/>
      </w:r>
      <w:r>
        <w:t xml:space="preserve"> Information on the Dartmouth Health Atlas and downloadable health sector data are available at </w:t>
      </w:r>
      <w:hyperlink r:id="rId2" w:history="1">
        <w:r w:rsidRPr="00880D6B">
          <w:rPr>
            <w:rStyle w:val="Hyperlink"/>
          </w:rPr>
          <w:t>http://www.dartmouthatlas.org/</w:t>
        </w:r>
      </w:hyperlink>
      <w:r>
        <w:t xml:space="preserve">. </w:t>
      </w:r>
    </w:p>
  </w:footnote>
  <w:footnote w:id="3">
    <w:p w:rsidR="0082480A" w:rsidRDefault="0082480A">
      <w:pPr>
        <w:pStyle w:val="FootnoteText"/>
      </w:pPr>
      <w:r>
        <w:rPr>
          <w:rStyle w:val="FootnoteReference"/>
        </w:rPr>
        <w:footnoteRef/>
      </w:r>
      <w:r>
        <w:t xml:space="preserve"> Larger towns sometimes include more than one ZCTA.  In these cases, we combined these ZCTAs into a single town for the purposes of selecting the sample.  Henceforth we refer to the primary sampling unit as “towns”.</w:t>
      </w:r>
    </w:p>
  </w:footnote>
  <w:footnote w:id="4">
    <w:p w:rsidR="00C504BE" w:rsidRDefault="00C504BE">
      <w:pPr>
        <w:pStyle w:val="FootnoteText"/>
      </w:pPr>
      <w:r>
        <w:rPr>
          <w:rStyle w:val="FootnoteReference"/>
        </w:rPr>
        <w:footnoteRef/>
      </w:r>
      <w:r>
        <w:t xml:space="preserve"> Information on RUCA codes is available at: </w:t>
      </w:r>
      <w:hyperlink r:id="rId3" w:history="1">
        <w:r w:rsidRPr="00E079C6">
          <w:rPr>
            <w:rStyle w:val="Hyperlink"/>
          </w:rPr>
          <w:t>http://www.ers.usda.gov/data-products/rural-urban-commuting-area-codes/documentation.aspx</w:t>
        </w:r>
      </w:hyperlink>
    </w:p>
  </w:footnote>
  <w:footnote w:id="5">
    <w:p w:rsidR="0082480A" w:rsidRDefault="0082480A">
      <w:pPr>
        <w:pStyle w:val="FootnoteText"/>
      </w:pPr>
      <w:r>
        <w:rPr>
          <w:rStyle w:val="FootnoteReference"/>
        </w:rPr>
        <w:footnoteRef/>
      </w:r>
      <w:r>
        <w:t xml:space="preserve"> Other criteria besides the population per number of primary care physicians are also considered in designating primary care HPSAs: </w:t>
      </w:r>
      <w:hyperlink r:id="rId4" w:history="1">
        <w:r w:rsidRPr="00880D6B">
          <w:rPr>
            <w:rStyle w:val="Hyperlink"/>
          </w:rPr>
          <w:t>http://bhpr.hrsa.gov/shortage/hpsas/designationcriteria/primarycarehpsacriteria.html</w:t>
        </w:r>
      </w:hyperlink>
      <w:r>
        <w:t>.</w:t>
      </w:r>
    </w:p>
  </w:footnote>
  <w:footnote w:id="6">
    <w:p w:rsidR="0082480A" w:rsidRDefault="0082480A">
      <w:pPr>
        <w:pStyle w:val="FootnoteText"/>
      </w:pPr>
      <w:r>
        <w:rPr>
          <w:rStyle w:val="FootnoteReference"/>
        </w:rPr>
        <w:footnoteRef/>
      </w:r>
      <w:r>
        <w:t xml:space="preserve"> This definition of primary care specialties is based upon definitions used by Medicare. See: </w:t>
      </w:r>
      <w:hyperlink r:id="rId5" w:history="1">
        <w:r w:rsidRPr="009C2792">
          <w:rPr>
            <w:rStyle w:val="Hyperlink"/>
          </w:rPr>
          <w:t>http://www.medicare.gov/physiciancompare/staticpages/resources/specialtydefinitions.html</w:t>
        </w:r>
      </w:hyperlink>
      <w:r>
        <w:t>.</w:t>
      </w:r>
    </w:p>
  </w:footnote>
  <w:footnote w:id="7">
    <w:p w:rsidR="007F76F3" w:rsidRDefault="007F76F3">
      <w:pPr>
        <w:pStyle w:val="FootnoteText"/>
      </w:pPr>
      <w:r>
        <w:rPr>
          <w:rStyle w:val="FootnoteReference"/>
        </w:rPr>
        <w:footnoteRef/>
      </w:r>
      <w:r>
        <w:t xml:space="preserve"> Analysis of National Provider Identifier (NPI) data available from the Centers for Medicare &amp; Medicaid Services (CMS) indicates that 28 of the sample communities have no hospital or clinic, that the maximum number of hospitals in any of the sample towns is 3</w:t>
      </w:r>
      <w:r w:rsidR="007B14E7">
        <w:t>,</w:t>
      </w:r>
      <w:r>
        <w:t xml:space="preserve"> and </w:t>
      </w:r>
      <w:r w:rsidR="007B14E7">
        <w:t xml:space="preserve">that </w:t>
      </w:r>
      <w:r>
        <w:t xml:space="preserve">the maximum number of clinics is 10 (Annex I). </w:t>
      </w:r>
    </w:p>
  </w:footnote>
  <w:footnote w:id="8">
    <w:p w:rsidR="0082480A" w:rsidRDefault="0082480A">
      <w:pPr>
        <w:pStyle w:val="FootnoteText"/>
      </w:pPr>
      <w:r>
        <w:rPr>
          <w:rStyle w:val="FootnoteReference"/>
        </w:rPr>
        <w:footnoteRef/>
      </w:r>
      <w:r>
        <w:t xml:space="preserve"> If the variables used to sort the sample are uncorrelated with the variables of interest and the sort order is random, systematic sampling and simple random sampling are of similar efficiency (see </w:t>
      </w:r>
      <w:proofErr w:type="spellStart"/>
      <w:r>
        <w:t>Särndal</w:t>
      </w:r>
      <w:proofErr w:type="spellEnd"/>
      <w:r>
        <w:t xml:space="preserve">, et al. (2003), section 3.4).  </w:t>
      </w:r>
    </w:p>
  </w:footnote>
  <w:footnote w:id="9">
    <w:p w:rsidR="0082480A" w:rsidRDefault="0082480A">
      <w:pPr>
        <w:pStyle w:val="FootnoteText"/>
      </w:pPr>
      <w:r>
        <w:rPr>
          <w:rStyle w:val="FootnoteReference"/>
        </w:rPr>
        <w:footnoteRef/>
      </w:r>
      <w:r>
        <w:t xml:space="preserve"> </w:t>
      </w:r>
      <w:r>
        <w:rPr>
          <w:szCs w:val="24"/>
        </w:rPr>
        <w:t>We discuss the issue of non-independence and its implications for sampling efficiency further in a subsequent subsection.</w:t>
      </w:r>
    </w:p>
  </w:footnote>
  <w:footnote w:id="10">
    <w:p w:rsidR="0082480A" w:rsidRDefault="0082480A" w:rsidP="00302BC9">
      <w:pPr>
        <w:pStyle w:val="FootnoteText"/>
      </w:pPr>
      <w:r>
        <w:rPr>
          <w:rStyle w:val="FootnoteReference"/>
        </w:rPr>
        <w:footnoteRef/>
      </w:r>
      <w:r>
        <w:t xml:space="preserve"> Appropriate regression estimators for complex two stage sample designs are available in the software program </w:t>
      </w:r>
      <w:proofErr w:type="spellStart"/>
      <w:r>
        <w:t>Stata</w:t>
      </w:r>
      <w:proofErr w:type="spellEnd"/>
      <w:r>
        <w:t xml:space="preserve">, which will be used for the analysis.  The variance estimator used by </w:t>
      </w:r>
      <w:proofErr w:type="spellStart"/>
      <w:r>
        <w:t>Stata</w:t>
      </w:r>
      <w:proofErr w:type="spellEnd"/>
      <w:r>
        <w:t xml:space="preserve"> assumes a stratified simple random sample in the first stage, which yields a conservative estimate of the variance for the case of a stratified systematic sample (which we are using in the first stage).</w:t>
      </w:r>
    </w:p>
  </w:footnote>
  <w:footnote w:id="11">
    <w:p w:rsidR="0082480A" w:rsidRDefault="0082480A">
      <w:pPr>
        <w:pStyle w:val="FootnoteText"/>
      </w:pPr>
      <w:r>
        <w:rPr>
          <w:rStyle w:val="FootnoteReference"/>
        </w:rPr>
        <w:footnoteRef/>
      </w:r>
      <w:r>
        <w:t xml:space="preserve"> Furthermore, if the distribution function assumed in the maximum likelihood model is the correct one, maximum likelihood is the most efficient estimator.  However, violations of distributional assumptions, which can’t be tested in binary response models, can cause maximum likelihood estimators to be inconsistent and inefficient.  See </w:t>
      </w:r>
      <w:proofErr w:type="spellStart"/>
      <w:r>
        <w:t>Maddala</w:t>
      </w:r>
      <w:proofErr w:type="spellEnd"/>
      <w:r>
        <w:t xml:space="preserve"> (1983) for a discussion of maximum likelihood discrete choice and ordered response models.</w:t>
      </w:r>
    </w:p>
  </w:footnote>
  <w:footnote w:id="12">
    <w:p w:rsidR="0082480A" w:rsidRDefault="0082480A">
      <w:pPr>
        <w:pStyle w:val="FootnoteText"/>
      </w:pPr>
      <w:r>
        <w:rPr>
          <w:rStyle w:val="FootnoteReference"/>
        </w:rPr>
        <w:footnoteRef/>
      </w:r>
      <w:r>
        <w:t xml:space="preserve"> The difference between a </w:t>
      </w:r>
      <w:proofErr w:type="spellStart"/>
      <w:r>
        <w:t>probit</w:t>
      </w:r>
      <w:proofErr w:type="spellEnd"/>
      <w:r>
        <w:t xml:space="preserve"> and </w:t>
      </w:r>
      <w:proofErr w:type="spellStart"/>
      <w:r>
        <w:t>logit</w:t>
      </w:r>
      <w:proofErr w:type="spellEnd"/>
      <w:r>
        <w:t xml:space="preserve"> model is in the </w:t>
      </w:r>
      <w:proofErr w:type="spellStart"/>
      <w:r>
        <w:t>univariate</w:t>
      </w:r>
      <w:proofErr w:type="spellEnd"/>
      <w:r>
        <w:t xml:space="preserve"> distribution function assumed in the maximum likelihood model (normal vs. logistic).  In practice, the results of these models are quite similar.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06554A"/>
    <w:multiLevelType w:val="hybridMultilevel"/>
    <w:tmpl w:val="697E99DC"/>
    <w:lvl w:ilvl="0" w:tplc="A05C6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2"/>
  </w:num>
  <w:num w:numId="4">
    <w:abstractNumId w:val="5"/>
  </w:num>
  <w:num w:numId="5">
    <w:abstractNumId w:val="13"/>
  </w:num>
  <w:num w:numId="6">
    <w:abstractNumId w:val="8"/>
  </w:num>
  <w:num w:numId="7">
    <w:abstractNumId w:val="6"/>
  </w:num>
  <w:num w:numId="8">
    <w:abstractNumId w:val="9"/>
  </w:num>
  <w:num w:numId="9">
    <w:abstractNumId w:val="3"/>
  </w:num>
  <w:num w:numId="10">
    <w:abstractNumId w:val="11"/>
  </w:num>
  <w:num w:numId="11">
    <w:abstractNumId w:val="10"/>
  </w:num>
  <w:num w:numId="12">
    <w:abstractNumId w:val="7"/>
  </w:num>
  <w:num w:numId="13">
    <w:abstractNumId w:val="0"/>
  </w:num>
  <w:num w:numId="14">
    <w:abstractNumId w:val="14"/>
  </w:num>
  <w:num w:numId="15">
    <w:abstractNumId w:val="16"/>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43"/>
    <w:rsid w:val="00001441"/>
    <w:rsid w:val="00001D57"/>
    <w:rsid w:val="00004171"/>
    <w:rsid w:val="00005AA1"/>
    <w:rsid w:val="00005E9F"/>
    <w:rsid w:val="00010926"/>
    <w:rsid w:val="00013166"/>
    <w:rsid w:val="000135F8"/>
    <w:rsid w:val="00025768"/>
    <w:rsid w:val="00027E28"/>
    <w:rsid w:val="00030080"/>
    <w:rsid w:val="00032E69"/>
    <w:rsid w:val="000356D8"/>
    <w:rsid w:val="000553C5"/>
    <w:rsid w:val="00057B9A"/>
    <w:rsid w:val="00061F4E"/>
    <w:rsid w:val="00063010"/>
    <w:rsid w:val="00063CC5"/>
    <w:rsid w:val="000675BF"/>
    <w:rsid w:val="0007685B"/>
    <w:rsid w:val="000905C8"/>
    <w:rsid w:val="00090936"/>
    <w:rsid w:val="00095F7F"/>
    <w:rsid w:val="000A0EB4"/>
    <w:rsid w:val="000A5249"/>
    <w:rsid w:val="000B44B8"/>
    <w:rsid w:val="000C024A"/>
    <w:rsid w:val="000C186A"/>
    <w:rsid w:val="000C6381"/>
    <w:rsid w:val="000C75B2"/>
    <w:rsid w:val="000E17AD"/>
    <w:rsid w:val="000E2FCC"/>
    <w:rsid w:val="000E4C9B"/>
    <w:rsid w:val="000F1538"/>
    <w:rsid w:val="0010577D"/>
    <w:rsid w:val="00106AF8"/>
    <w:rsid w:val="0010715B"/>
    <w:rsid w:val="00107BF2"/>
    <w:rsid w:val="00107F8B"/>
    <w:rsid w:val="00110FCC"/>
    <w:rsid w:val="00121B88"/>
    <w:rsid w:val="00124ED4"/>
    <w:rsid w:val="001261EB"/>
    <w:rsid w:val="001356DD"/>
    <w:rsid w:val="0015044A"/>
    <w:rsid w:val="00154A4E"/>
    <w:rsid w:val="00156F0E"/>
    <w:rsid w:val="0016118D"/>
    <w:rsid w:val="00161224"/>
    <w:rsid w:val="001639ED"/>
    <w:rsid w:val="00171361"/>
    <w:rsid w:val="00181E8F"/>
    <w:rsid w:val="001A73DE"/>
    <w:rsid w:val="001B6BB3"/>
    <w:rsid w:val="001C0C10"/>
    <w:rsid w:val="001C2031"/>
    <w:rsid w:val="001C5927"/>
    <w:rsid w:val="001C6DF2"/>
    <w:rsid w:val="001D3CEE"/>
    <w:rsid w:val="001D4D0F"/>
    <w:rsid w:val="001E378A"/>
    <w:rsid w:val="001E419E"/>
    <w:rsid w:val="001E4A2F"/>
    <w:rsid w:val="001F3856"/>
    <w:rsid w:val="001F3E31"/>
    <w:rsid w:val="00203216"/>
    <w:rsid w:val="00213F27"/>
    <w:rsid w:val="002174E0"/>
    <w:rsid w:val="002176BA"/>
    <w:rsid w:val="002202D2"/>
    <w:rsid w:val="00221030"/>
    <w:rsid w:val="0022422F"/>
    <w:rsid w:val="00233174"/>
    <w:rsid w:val="002442FC"/>
    <w:rsid w:val="00250B4D"/>
    <w:rsid w:val="00251038"/>
    <w:rsid w:val="002615F7"/>
    <w:rsid w:val="00262A80"/>
    <w:rsid w:val="00264803"/>
    <w:rsid w:val="00265C99"/>
    <w:rsid w:val="0028033E"/>
    <w:rsid w:val="00284D8B"/>
    <w:rsid w:val="002852BF"/>
    <w:rsid w:val="00293DE8"/>
    <w:rsid w:val="002A0359"/>
    <w:rsid w:val="002B1273"/>
    <w:rsid w:val="002B2E83"/>
    <w:rsid w:val="002B3C4C"/>
    <w:rsid w:val="002C58FD"/>
    <w:rsid w:val="002D4524"/>
    <w:rsid w:val="002D4617"/>
    <w:rsid w:val="002D7155"/>
    <w:rsid w:val="002D7D05"/>
    <w:rsid w:val="002E0FA0"/>
    <w:rsid w:val="002E5771"/>
    <w:rsid w:val="00302BC9"/>
    <w:rsid w:val="00304F9C"/>
    <w:rsid w:val="00305224"/>
    <w:rsid w:val="003147C2"/>
    <w:rsid w:val="00320B99"/>
    <w:rsid w:val="00334E0F"/>
    <w:rsid w:val="00336DC7"/>
    <w:rsid w:val="00340210"/>
    <w:rsid w:val="00346F65"/>
    <w:rsid w:val="00361BB1"/>
    <w:rsid w:val="003651AA"/>
    <w:rsid w:val="003716B9"/>
    <w:rsid w:val="003723E4"/>
    <w:rsid w:val="0038328D"/>
    <w:rsid w:val="00384395"/>
    <w:rsid w:val="0038753B"/>
    <w:rsid w:val="0039424A"/>
    <w:rsid w:val="003B1584"/>
    <w:rsid w:val="003D0189"/>
    <w:rsid w:val="003D6923"/>
    <w:rsid w:val="003D6B11"/>
    <w:rsid w:val="003E114C"/>
    <w:rsid w:val="003E4119"/>
    <w:rsid w:val="003E73EA"/>
    <w:rsid w:val="003F0452"/>
    <w:rsid w:val="003F4DE9"/>
    <w:rsid w:val="003F7B0E"/>
    <w:rsid w:val="0041388E"/>
    <w:rsid w:val="004139F2"/>
    <w:rsid w:val="00421FEF"/>
    <w:rsid w:val="004362B6"/>
    <w:rsid w:val="00436826"/>
    <w:rsid w:val="0044092F"/>
    <w:rsid w:val="004425B9"/>
    <w:rsid w:val="00444524"/>
    <w:rsid w:val="0045207E"/>
    <w:rsid w:val="0045341D"/>
    <w:rsid w:val="0045639A"/>
    <w:rsid w:val="0045763B"/>
    <w:rsid w:val="00462233"/>
    <w:rsid w:val="00465B66"/>
    <w:rsid w:val="0046659F"/>
    <w:rsid w:val="004702F2"/>
    <w:rsid w:val="004764B0"/>
    <w:rsid w:val="004866A0"/>
    <w:rsid w:val="00494E51"/>
    <w:rsid w:val="004A3DCA"/>
    <w:rsid w:val="004B6253"/>
    <w:rsid w:val="004B6286"/>
    <w:rsid w:val="004C2977"/>
    <w:rsid w:val="004C4EFB"/>
    <w:rsid w:val="004D00BD"/>
    <w:rsid w:val="004D1F5F"/>
    <w:rsid w:val="004D310D"/>
    <w:rsid w:val="004D5343"/>
    <w:rsid w:val="004E520A"/>
    <w:rsid w:val="004E5A61"/>
    <w:rsid w:val="004E5DBC"/>
    <w:rsid w:val="004F4568"/>
    <w:rsid w:val="004F656E"/>
    <w:rsid w:val="00500701"/>
    <w:rsid w:val="00511F0E"/>
    <w:rsid w:val="00521894"/>
    <w:rsid w:val="00524118"/>
    <w:rsid w:val="0052443D"/>
    <w:rsid w:val="00535F52"/>
    <w:rsid w:val="00543B42"/>
    <w:rsid w:val="00546190"/>
    <w:rsid w:val="005546D7"/>
    <w:rsid w:val="00557061"/>
    <w:rsid w:val="005748E6"/>
    <w:rsid w:val="005754A8"/>
    <w:rsid w:val="00576404"/>
    <w:rsid w:val="00576C6D"/>
    <w:rsid w:val="00583DD2"/>
    <w:rsid w:val="005850ED"/>
    <w:rsid w:val="00585251"/>
    <w:rsid w:val="0059108F"/>
    <w:rsid w:val="0059400B"/>
    <w:rsid w:val="005952D1"/>
    <w:rsid w:val="00597955"/>
    <w:rsid w:val="005A5433"/>
    <w:rsid w:val="005B1A63"/>
    <w:rsid w:val="005D5130"/>
    <w:rsid w:val="005D77C3"/>
    <w:rsid w:val="005E255D"/>
    <w:rsid w:val="005F39A2"/>
    <w:rsid w:val="00602B58"/>
    <w:rsid w:val="00611232"/>
    <w:rsid w:val="006236FB"/>
    <w:rsid w:val="00631244"/>
    <w:rsid w:val="00640EE9"/>
    <w:rsid w:val="00641F89"/>
    <w:rsid w:val="00642530"/>
    <w:rsid w:val="00644F08"/>
    <w:rsid w:val="00650879"/>
    <w:rsid w:val="0065515F"/>
    <w:rsid w:val="00657504"/>
    <w:rsid w:val="00660FBA"/>
    <w:rsid w:val="0067016A"/>
    <w:rsid w:val="00680775"/>
    <w:rsid w:val="006866F3"/>
    <w:rsid w:val="00693427"/>
    <w:rsid w:val="006961A3"/>
    <w:rsid w:val="006A4F03"/>
    <w:rsid w:val="006B4D34"/>
    <w:rsid w:val="006B6DC9"/>
    <w:rsid w:val="006C327A"/>
    <w:rsid w:val="006C684C"/>
    <w:rsid w:val="006D1A47"/>
    <w:rsid w:val="006D2950"/>
    <w:rsid w:val="006D6220"/>
    <w:rsid w:val="006E18C4"/>
    <w:rsid w:val="006E34AA"/>
    <w:rsid w:val="006E7C88"/>
    <w:rsid w:val="006F13DE"/>
    <w:rsid w:val="006F3EF5"/>
    <w:rsid w:val="007003CC"/>
    <w:rsid w:val="00702909"/>
    <w:rsid w:val="00720D7D"/>
    <w:rsid w:val="00721C98"/>
    <w:rsid w:val="00726F23"/>
    <w:rsid w:val="0073164F"/>
    <w:rsid w:val="007326B4"/>
    <w:rsid w:val="00743A62"/>
    <w:rsid w:val="007524AF"/>
    <w:rsid w:val="00765A40"/>
    <w:rsid w:val="007665AA"/>
    <w:rsid w:val="00766BAA"/>
    <w:rsid w:val="0077075B"/>
    <w:rsid w:val="007719C3"/>
    <w:rsid w:val="00781A5A"/>
    <w:rsid w:val="00790A51"/>
    <w:rsid w:val="00790D5F"/>
    <w:rsid w:val="00791CFE"/>
    <w:rsid w:val="007A0FB9"/>
    <w:rsid w:val="007A6441"/>
    <w:rsid w:val="007A693E"/>
    <w:rsid w:val="007B0457"/>
    <w:rsid w:val="007B14E7"/>
    <w:rsid w:val="007B74BD"/>
    <w:rsid w:val="007D1DD7"/>
    <w:rsid w:val="007D42FC"/>
    <w:rsid w:val="007D482C"/>
    <w:rsid w:val="007D6413"/>
    <w:rsid w:val="007E011F"/>
    <w:rsid w:val="007E55CB"/>
    <w:rsid w:val="007F0E2A"/>
    <w:rsid w:val="007F1DFA"/>
    <w:rsid w:val="007F6DBA"/>
    <w:rsid w:val="007F7372"/>
    <w:rsid w:val="007F76F3"/>
    <w:rsid w:val="00806764"/>
    <w:rsid w:val="00815357"/>
    <w:rsid w:val="0082123B"/>
    <w:rsid w:val="00824024"/>
    <w:rsid w:val="0082480A"/>
    <w:rsid w:val="00830910"/>
    <w:rsid w:val="00833220"/>
    <w:rsid w:val="00835F0C"/>
    <w:rsid w:val="00837395"/>
    <w:rsid w:val="00837EE4"/>
    <w:rsid w:val="00843CDC"/>
    <w:rsid w:val="00850C09"/>
    <w:rsid w:val="00850ED5"/>
    <w:rsid w:val="008633F5"/>
    <w:rsid w:val="00870650"/>
    <w:rsid w:val="00873BEC"/>
    <w:rsid w:val="00873EBC"/>
    <w:rsid w:val="00875C1C"/>
    <w:rsid w:val="00876DB0"/>
    <w:rsid w:val="00881D2B"/>
    <w:rsid w:val="008821E2"/>
    <w:rsid w:val="00891B23"/>
    <w:rsid w:val="00893300"/>
    <w:rsid w:val="008936E3"/>
    <w:rsid w:val="00896BD3"/>
    <w:rsid w:val="008A0DD8"/>
    <w:rsid w:val="008A4B4C"/>
    <w:rsid w:val="008B3DD2"/>
    <w:rsid w:val="008B49AC"/>
    <w:rsid w:val="008B6079"/>
    <w:rsid w:val="008B7724"/>
    <w:rsid w:val="008B7948"/>
    <w:rsid w:val="008C7636"/>
    <w:rsid w:val="008D6EFB"/>
    <w:rsid w:val="008E4560"/>
    <w:rsid w:val="008E52A4"/>
    <w:rsid w:val="009036DF"/>
    <w:rsid w:val="00905AF9"/>
    <w:rsid w:val="009133CB"/>
    <w:rsid w:val="00914B90"/>
    <w:rsid w:val="00916CC4"/>
    <w:rsid w:val="00916CD3"/>
    <w:rsid w:val="00922189"/>
    <w:rsid w:val="009369D2"/>
    <w:rsid w:val="00941F2A"/>
    <w:rsid w:val="00945793"/>
    <w:rsid w:val="0095230D"/>
    <w:rsid w:val="00961FD2"/>
    <w:rsid w:val="009623E2"/>
    <w:rsid w:val="00966D68"/>
    <w:rsid w:val="00971C27"/>
    <w:rsid w:val="009760AB"/>
    <w:rsid w:val="0098251E"/>
    <w:rsid w:val="009A3814"/>
    <w:rsid w:val="009B5770"/>
    <w:rsid w:val="009B5AAE"/>
    <w:rsid w:val="009C3563"/>
    <w:rsid w:val="009D0F4B"/>
    <w:rsid w:val="009D62F6"/>
    <w:rsid w:val="009E6189"/>
    <w:rsid w:val="00A01062"/>
    <w:rsid w:val="00A02B53"/>
    <w:rsid w:val="00A03322"/>
    <w:rsid w:val="00A03DF8"/>
    <w:rsid w:val="00A05ED0"/>
    <w:rsid w:val="00A16423"/>
    <w:rsid w:val="00A21959"/>
    <w:rsid w:val="00A226C2"/>
    <w:rsid w:val="00A243B8"/>
    <w:rsid w:val="00A24AE4"/>
    <w:rsid w:val="00A27A6D"/>
    <w:rsid w:val="00A31669"/>
    <w:rsid w:val="00A3387C"/>
    <w:rsid w:val="00A41B31"/>
    <w:rsid w:val="00A452EA"/>
    <w:rsid w:val="00A46FDD"/>
    <w:rsid w:val="00A606E6"/>
    <w:rsid w:val="00A6647B"/>
    <w:rsid w:val="00A743E8"/>
    <w:rsid w:val="00A75605"/>
    <w:rsid w:val="00A80119"/>
    <w:rsid w:val="00A84D15"/>
    <w:rsid w:val="00A90E53"/>
    <w:rsid w:val="00A92A34"/>
    <w:rsid w:val="00AB03CC"/>
    <w:rsid w:val="00AC2218"/>
    <w:rsid w:val="00AC3EE5"/>
    <w:rsid w:val="00AD1A2B"/>
    <w:rsid w:val="00AD5F0D"/>
    <w:rsid w:val="00AD6CD8"/>
    <w:rsid w:val="00AE0F31"/>
    <w:rsid w:val="00AE1431"/>
    <w:rsid w:val="00AE1B6B"/>
    <w:rsid w:val="00AF0A3A"/>
    <w:rsid w:val="00AF4810"/>
    <w:rsid w:val="00B01A7D"/>
    <w:rsid w:val="00B02AFB"/>
    <w:rsid w:val="00B06429"/>
    <w:rsid w:val="00B12A14"/>
    <w:rsid w:val="00B13515"/>
    <w:rsid w:val="00B168ED"/>
    <w:rsid w:val="00B23521"/>
    <w:rsid w:val="00B23D00"/>
    <w:rsid w:val="00B343C2"/>
    <w:rsid w:val="00B43CA0"/>
    <w:rsid w:val="00B448DF"/>
    <w:rsid w:val="00B45010"/>
    <w:rsid w:val="00B51BD4"/>
    <w:rsid w:val="00B5356A"/>
    <w:rsid w:val="00B57EDD"/>
    <w:rsid w:val="00B659BA"/>
    <w:rsid w:val="00B74B80"/>
    <w:rsid w:val="00B86AA1"/>
    <w:rsid w:val="00B911F6"/>
    <w:rsid w:val="00BA178B"/>
    <w:rsid w:val="00BB0DFA"/>
    <w:rsid w:val="00BB43A2"/>
    <w:rsid w:val="00BB680A"/>
    <w:rsid w:val="00BB6EEB"/>
    <w:rsid w:val="00BC2FD1"/>
    <w:rsid w:val="00BC746E"/>
    <w:rsid w:val="00BD64CF"/>
    <w:rsid w:val="00BD6DD4"/>
    <w:rsid w:val="00BE0DE4"/>
    <w:rsid w:val="00BF7E23"/>
    <w:rsid w:val="00C0517A"/>
    <w:rsid w:val="00C058E4"/>
    <w:rsid w:val="00C16578"/>
    <w:rsid w:val="00C25844"/>
    <w:rsid w:val="00C31ECA"/>
    <w:rsid w:val="00C4659A"/>
    <w:rsid w:val="00C46F72"/>
    <w:rsid w:val="00C504BE"/>
    <w:rsid w:val="00C64C98"/>
    <w:rsid w:val="00C73113"/>
    <w:rsid w:val="00C745EA"/>
    <w:rsid w:val="00C83331"/>
    <w:rsid w:val="00C844D7"/>
    <w:rsid w:val="00C94872"/>
    <w:rsid w:val="00CA2880"/>
    <w:rsid w:val="00CB013C"/>
    <w:rsid w:val="00CB19E9"/>
    <w:rsid w:val="00CB54AC"/>
    <w:rsid w:val="00CB6BC8"/>
    <w:rsid w:val="00CC34BB"/>
    <w:rsid w:val="00CD32F6"/>
    <w:rsid w:val="00CF06CD"/>
    <w:rsid w:val="00CF2642"/>
    <w:rsid w:val="00D00C31"/>
    <w:rsid w:val="00D0109E"/>
    <w:rsid w:val="00D12061"/>
    <w:rsid w:val="00D22E06"/>
    <w:rsid w:val="00D26187"/>
    <w:rsid w:val="00D31AC1"/>
    <w:rsid w:val="00D3226A"/>
    <w:rsid w:val="00D35B39"/>
    <w:rsid w:val="00D409C1"/>
    <w:rsid w:val="00D463A5"/>
    <w:rsid w:val="00D50639"/>
    <w:rsid w:val="00D61813"/>
    <w:rsid w:val="00D620E1"/>
    <w:rsid w:val="00D624C0"/>
    <w:rsid w:val="00D92B6E"/>
    <w:rsid w:val="00DA0511"/>
    <w:rsid w:val="00DA495D"/>
    <w:rsid w:val="00DA5473"/>
    <w:rsid w:val="00DB3595"/>
    <w:rsid w:val="00DB35BE"/>
    <w:rsid w:val="00DB3B5A"/>
    <w:rsid w:val="00DB557A"/>
    <w:rsid w:val="00DC42C1"/>
    <w:rsid w:val="00DD1655"/>
    <w:rsid w:val="00DD2F8E"/>
    <w:rsid w:val="00DE4F59"/>
    <w:rsid w:val="00DE60D4"/>
    <w:rsid w:val="00DF2CDE"/>
    <w:rsid w:val="00DF5C36"/>
    <w:rsid w:val="00E35188"/>
    <w:rsid w:val="00E66444"/>
    <w:rsid w:val="00E678C3"/>
    <w:rsid w:val="00E70C6E"/>
    <w:rsid w:val="00E745D2"/>
    <w:rsid w:val="00E75E96"/>
    <w:rsid w:val="00E876F0"/>
    <w:rsid w:val="00E93211"/>
    <w:rsid w:val="00E9327C"/>
    <w:rsid w:val="00E974E7"/>
    <w:rsid w:val="00EA1ED0"/>
    <w:rsid w:val="00EA6D39"/>
    <w:rsid w:val="00EB67AD"/>
    <w:rsid w:val="00EB6C29"/>
    <w:rsid w:val="00EC0467"/>
    <w:rsid w:val="00EC2FC3"/>
    <w:rsid w:val="00EC6230"/>
    <w:rsid w:val="00EC7A12"/>
    <w:rsid w:val="00EE4E31"/>
    <w:rsid w:val="00EE5ABC"/>
    <w:rsid w:val="00F10EF6"/>
    <w:rsid w:val="00F1414F"/>
    <w:rsid w:val="00F20EB0"/>
    <w:rsid w:val="00F23458"/>
    <w:rsid w:val="00F23C0C"/>
    <w:rsid w:val="00F24C60"/>
    <w:rsid w:val="00F24D7F"/>
    <w:rsid w:val="00F307EB"/>
    <w:rsid w:val="00F3527B"/>
    <w:rsid w:val="00F37643"/>
    <w:rsid w:val="00F37CB0"/>
    <w:rsid w:val="00F5190E"/>
    <w:rsid w:val="00F56436"/>
    <w:rsid w:val="00F56DD8"/>
    <w:rsid w:val="00F73758"/>
    <w:rsid w:val="00F75213"/>
    <w:rsid w:val="00F76382"/>
    <w:rsid w:val="00F85D97"/>
    <w:rsid w:val="00F9288A"/>
    <w:rsid w:val="00FB4460"/>
    <w:rsid w:val="00FB7385"/>
    <w:rsid w:val="00FB776A"/>
    <w:rsid w:val="00FC1A12"/>
    <w:rsid w:val="00FC5059"/>
    <w:rsid w:val="00FC6227"/>
    <w:rsid w:val="00FD3E9D"/>
    <w:rsid w:val="00FE1986"/>
    <w:rsid w:val="00FE4413"/>
    <w:rsid w:val="00FF538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4">
    <w:name w:val="heading 4"/>
    <w:basedOn w:val="Normal"/>
    <w:next w:val="Normal"/>
    <w:link w:val="Heading4Char"/>
    <w:qFormat/>
    <w:rsid w:val="003B1584"/>
    <w:pPr>
      <w:keepNext/>
      <w:ind w:left="360"/>
      <w:outlineLvl w:val="3"/>
    </w:pPr>
    <w:rPr>
      <w:rFonts w:eastAsia="Times New Roman"/>
      <w:b/>
      <w:bCs/>
      <w:szCs w:val="24"/>
    </w:rPr>
  </w:style>
  <w:style w:type="paragraph" w:styleId="Heading5">
    <w:name w:val="heading 5"/>
    <w:basedOn w:val="Normal"/>
    <w:next w:val="Normal"/>
    <w:link w:val="Heading5Char"/>
    <w:qFormat/>
    <w:rsid w:val="003B1584"/>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584"/>
    <w:rPr>
      <w:rFonts w:eastAsia="Times New Roman"/>
      <w:b/>
      <w:bCs/>
      <w:sz w:val="24"/>
      <w:szCs w:val="24"/>
    </w:rPr>
  </w:style>
  <w:style w:type="character" w:customStyle="1" w:styleId="Heading5Char">
    <w:name w:val="Heading 5 Char"/>
    <w:basedOn w:val="DefaultParagraphFont"/>
    <w:link w:val="Heading5"/>
    <w:rsid w:val="003B1584"/>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styleId="CommentReference">
    <w:name w:val="annotation reference"/>
    <w:basedOn w:val="DefaultParagraphFont"/>
    <w:uiPriority w:val="99"/>
    <w:semiHidden/>
    <w:unhideWhenUsed/>
    <w:rsid w:val="003B1584"/>
    <w:rPr>
      <w:sz w:val="16"/>
      <w:szCs w:val="16"/>
    </w:rPr>
  </w:style>
  <w:style w:type="paragraph" w:styleId="CommentText">
    <w:name w:val="annotation text"/>
    <w:basedOn w:val="Normal"/>
    <w:link w:val="CommentTextChar"/>
    <w:uiPriority w:val="99"/>
    <w:semiHidden/>
    <w:unhideWhenUsed/>
    <w:rsid w:val="003B158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B1584"/>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3B158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B15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4">
    <w:name w:val="heading 4"/>
    <w:basedOn w:val="Normal"/>
    <w:next w:val="Normal"/>
    <w:link w:val="Heading4Char"/>
    <w:qFormat/>
    <w:rsid w:val="003B1584"/>
    <w:pPr>
      <w:keepNext/>
      <w:ind w:left="360"/>
      <w:outlineLvl w:val="3"/>
    </w:pPr>
    <w:rPr>
      <w:rFonts w:eastAsia="Times New Roman"/>
      <w:b/>
      <w:bCs/>
      <w:szCs w:val="24"/>
    </w:rPr>
  </w:style>
  <w:style w:type="paragraph" w:styleId="Heading5">
    <w:name w:val="heading 5"/>
    <w:basedOn w:val="Normal"/>
    <w:next w:val="Normal"/>
    <w:link w:val="Heading5Char"/>
    <w:qFormat/>
    <w:rsid w:val="003B1584"/>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584"/>
    <w:rPr>
      <w:rFonts w:eastAsia="Times New Roman"/>
      <w:b/>
      <w:bCs/>
      <w:sz w:val="24"/>
      <w:szCs w:val="24"/>
    </w:rPr>
  </w:style>
  <w:style w:type="character" w:customStyle="1" w:styleId="Heading5Char">
    <w:name w:val="Heading 5 Char"/>
    <w:basedOn w:val="DefaultParagraphFont"/>
    <w:link w:val="Heading5"/>
    <w:rsid w:val="003B1584"/>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styleId="CommentReference">
    <w:name w:val="annotation reference"/>
    <w:basedOn w:val="DefaultParagraphFont"/>
    <w:uiPriority w:val="99"/>
    <w:semiHidden/>
    <w:unhideWhenUsed/>
    <w:rsid w:val="003B1584"/>
    <w:rPr>
      <w:sz w:val="16"/>
      <w:szCs w:val="16"/>
    </w:rPr>
  </w:style>
  <w:style w:type="paragraph" w:styleId="CommentText">
    <w:name w:val="annotation text"/>
    <w:basedOn w:val="Normal"/>
    <w:link w:val="CommentTextChar"/>
    <w:uiPriority w:val="99"/>
    <w:semiHidden/>
    <w:unhideWhenUsed/>
    <w:rsid w:val="003B158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B1584"/>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3B158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B1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6136">
      <w:bodyDiv w:val="1"/>
      <w:marLeft w:val="0"/>
      <w:marRight w:val="0"/>
      <w:marTop w:val="0"/>
      <w:marBottom w:val="0"/>
      <w:divBdr>
        <w:top w:val="none" w:sz="0" w:space="0" w:color="auto"/>
        <w:left w:val="none" w:sz="0" w:space="0" w:color="auto"/>
        <w:bottom w:val="none" w:sz="0" w:space="0" w:color="auto"/>
        <w:right w:val="none" w:sz="0" w:space="0" w:color="auto"/>
      </w:divBdr>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 w:id="1774082330">
      <w:bodyDiv w:val="1"/>
      <w:marLeft w:val="0"/>
      <w:marRight w:val="0"/>
      <w:marTop w:val="0"/>
      <w:marBottom w:val="0"/>
      <w:divBdr>
        <w:top w:val="none" w:sz="0" w:space="0" w:color="auto"/>
        <w:left w:val="none" w:sz="0" w:space="0" w:color="auto"/>
        <w:bottom w:val="none" w:sz="0" w:space="0" w:color="auto"/>
        <w:right w:val="none" w:sz="0" w:space="0" w:color="auto"/>
      </w:divBdr>
    </w:div>
    <w:div w:id="18327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nppes.viva-it.com/NPI_Files.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rs.usda.gov/data-products/rural-urban-commuting-area-codes/documentation.aspx" TargetMode="External"/><Relationship Id="rId2" Type="http://schemas.openxmlformats.org/officeDocument/2006/relationships/hyperlink" Target="http://www.dartmouthatlas.org/" TargetMode="External"/><Relationship Id="rId1" Type="http://schemas.openxmlformats.org/officeDocument/2006/relationships/hyperlink" Target="http://www.census.gov/geo/ZCTA/zcta.html" TargetMode="External"/><Relationship Id="rId5" Type="http://schemas.openxmlformats.org/officeDocument/2006/relationships/hyperlink" Target="http://www.medicare.gov/physiciancompare/staticpages/resources/specialtydefinitions.html" TargetMode="External"/><Relationship Id="rId4" Type="http://schemas.openxmlformats.org/officeDocument/2006/relationships/hyperlink" Target="http://bhpr.hrsa.gov/shortage/hpsas/designationcriteria/primarycarehpsa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9BCA-073E-476C-8722-5A081DEE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27240</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WIN31TONT40</cp:lastModifiedBy>
  <cp:revision>3</cp:revision>
  <dcterms:created xsi:type="dcterms:W3CDTF">2014-01-23T15:34:00Z</dcterms:created>
  <dcterms:modified xsi:type="dcterms:W3CDTF">2014-01-23T15:46:00Z</dcterms:modified>
</cp:coreProperties>
</file>