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2E6" w:rsidRDefault="004112E6" w:rsidP="004112E6">
      <w:pPr>
        <w:pBdr>
          <w:bottom w:val="single" w:sz="4" w:space="1" w:color="auto"/>
        </w:pBdr>
        <w:tabs>
          <w:tab w:val="left" w:pos="1440"/>
          <w:tab w:val="left" w:pos="2520"/>
          <w:tab w:val="left" w:pos="2880"/>
          <w:tab w:val="left" w:pos="3600"/>
          <w:tab w:val="left" w:pos="4770"/>
          <w:tab w:val="left" w:pos="5130"/>
          <w:tab w:val="left" w:pos="5760"/>
          <w:tab w:val="left" w:pos="6480"/>
          <w:tab w:val="left" w:pos="7200"/>
          <w:tab w:val="left" w:pos="7920"/>
          <w:tab w:val="left" w:pos="8640"/>
        </w:tabs>
        <w:ind w:left="720" w:right="720"/>
        <w:jc w:val="center"/>
        <w:rPr>
          <w:sz w:val="16"/>
        </w:rPr>
      </w:pPr>
      <w:r>
        <w:rPr>
          <w:rFonts w:ascii="Copperplate31ab" w:hAnsi="Copperplate31ab"/>
          <w:b/>
          <w:sz w:val="72"/>
        </w:rPr>
        <w:t>Memorandum</w:t>
      </w:r>
    </w:p>
    <w:tbl>
      <w:tblPr>
        <w:tblW w:w="0" w:type="auto"/>
        <w:tblInd w:w="-90" w:type="dxa"/>
        <w:tblCellMar>
          <w:left w:w="0" w:type="dxa"/>
          <w:right w:w="0" w:type="dxa"/>
        </w:tblCellMar>
        <w:tblLook w:val="01E0" w:firstRow="1" w:lastRow="1" w:firstColumn="1" w:lastColumn="1" w:noHBand="0" w:noVBand="0"/>
      </w:tblPr>
      <w:tblGrid>
        <w:gridCol w:w="803"/>
        <w:gridCol w:w="4867"/>
        <w:gridCol w:w="1800"/>
        <w:gridCol w:w="1980"/>
      </w:tblGrid>
      <w:tr w:rsidR="004112E6" w:rsidRPr="004112E6" w:rsidTr="004112E6">
        <w:tc>
          <w:tcPr>
            <w:tcW w:w="803" w:type="dxa"/>
          </w:tcPr>
          <w:p w:rsidR="004112E6" w:rsidRPr="004112E6" w:rsidRDefault="004112E6" w:rsidP="004112E6">
            <w:pPr>
              <w:spacing w:after="0"/>
              <w:rPr>
                <w:rFonts w:ascii="Times New Roman" w:hAnsi="Times New Roman" w:cs="Times New Roman"/>
              </w:rPr>
            </w:pPr>
            <w:r w:rsidRPr="004112E6">
              <w:rPr>
                <w:rFonts w:ascii="Times New Roman" w:hAnsi="Times New Roman" w:cs="Times New Roman"/>
              </w:rPr>
              <w:t>Subject:</w:t>
            </w:r>
          </w:p>
        </w:tc>
        <w:tc>
          <w:tcPr>
            <w:tcW w:w="4867" w:type="dxa"/>
          </w:tcPr>
          <w:p w:rsidR="004112E6" w:rsidRPr="004112E6" w:rsidRDefault="004112E6" w:rsidP="004112E6">
            <w:pPr>
              <w:spacing w:after="0" w:line="240" w:lineRule="auto"/>
              <w:rPr>
                <w:rFonts w:ascii="Times New Roman" w:hAnsi="Times New Roman" w:cs="Times New Roman"/>
              </w:rPr>
            </w:pPr>
            <w:r w:rsidRPr="004112E6">
              <w:rPr>
                <w:rFonts w:ascii="Times New Roman" w:hAnsi="Times New Roman" w:cs="Times New Roman"/>
                <w:color w:val="000000"/>
              </w:rPr>
              <w:t xml:space="preserve">Request for a non-substantive change in recruitment </w:t>
            </w:r>
            <w:r>
              <w:rPr>
                <w:rFonts w:ascii="Times New Roman" w:hAnsi="Times New Roman" w:cs="Times New Roman"/>
                <w:color w:val="000000"/>
              </w:rPr>
              <w:t>protocol for State Child Nutrition Directors by the Farm to School Census (OMB Control No. 0536-0069)</w:t>
            </w:r>
          </w:p>
        </w:tc>
        <w:tc>
          <w:tcPr>
            <w:tcW w:w="1800" w:type="dxa"/>
          </w:tcPr>
          <w:p w:rsidR="004112E6" w:rsidRPr="004112E6" w:rsidRDefault="004112E6" w:rsidP="004112E6">
            <w:pPr>
              <w:spacing w:after="0"/>
              <w:jc w:val="center"/>
              <w:rPr>
                <w:rFonts w:ascii="Times New Roman" w:hAnsi="Times New Roman" w:cs="Times New Roman"/>
              </w:rPr>
            </w:pPr>
            <w:r>
              <w:rPr>
                <w:rFonts w:ascii="Times New Roman" w:hAnsi="Times New Roman" w:cs="Times New Roman"/>
              </w:rPr>
              <w:t>Date:</w:t>
            </w:r>
          </w:p>
        </w:tc>
        <w:tc>
          <w:tcPr>
            <w:tcW w:w="1980" w:type="dxa"/>
          </w:tcPr>
          <w:p w:rsidR="004112E6" w:rsidRPr="004112E6" w:rsidRDefault="004112E6" w:rsidP="004112E6">
            <w:pPr>
              <w:spacing w:after="0"/>
              <w:rPr>
                <w:rFonts w:ascii="Times New Roman" w:hAnsi="Times New Roman" w:cs="Times New Roman"/>
              </w:rPr>
            </w:pPr>
            <w:r w:rsidRPr="004112E6">
              <w:rPr>
                <w:rFonts w:ascii="Times New Roman" w:hAnsi="Times New Roman" w:cs="Times New Roman"/>
              </w:rPr>
              <w:t>February 26, 2013</w:t>
            </w:r>
          </w:p>
        </w:tc>
      </w:tr>
      <w:tr w:rsidR="004112E6" w:rsidRPr="004112E6" w:rsidTr="001019AB">
        <w:tc>
          <w:tcPr>
            <w:tcW w:w="9450" w:type="dxa"/>
            <w:gridSpan w:val="4"/>
          </w:tcPr>
          <w:p w:rsidR="004112E6" w:rsidRPr="004112E6" w:rsidRDefault="004112E6" w:rsidP="004112E6">
            <w:pPr>
              <w:spacing w:after="0" w:line="240" w:lineRule="auto"/>
              <w:rPr>
                <w:rFonts w:ascii="Times New Roman" w:hAnsi="Times New Roman" w:cs="Times New Roman"/>
              </w:rPr>
            </w:pPr>
          </w:p>
        </w:tc>
      </w:tr>
      <w:tr w:rsidR="004112E6" w:rsidRPr="004112E6" w:rsidTr="004112E6">
        <w:trPr>
          <w:cantSplit/>
        </w:trPr>
        <w:tc>
          <w:tcPr>
            <w:tcW w:w="803" w:type="dxa"/>
          </w:tcPr>
          <w:p w:rsidR="004112E6" w:rsidRPr="004112E6" w:rsidRDefault="004112E6" w:rsidP="001019AB">
            <w:pPr>
              <w:rPr>
                <w:rFonts w:ascii="Times New Roman" w:hAnsi="Times New Roman" w:cs="Times New Roman"/>
              </w:rPr>
            </w:pPr>
            <w:r w:rsidRPr="004112E6">
              <w:rPr>
                <w:rFonts w:ascii="Times New Roman" w:hAnsi="Times New Roman" w:cs="Times New Roman"/>
              </w:rPr>
              <w:t xml:space="preserve">From:  </w:t>
            </w:r>
          </w:p>
        </w:tc>
        <w:tc>
          <w:tcPr>
            <w:tcW w:w="4867" w:type="dxa"/>
          </w:tcPr>
          <w:p w:rsidR="004112E6" w:rsidRPr="004112E6" w:rsidRDefault="004112E6" w:rsidP="004112E6">
            <w:pPr>
              <w:spacing w:after="0" w:line="240" w:lineRule="auto"/>
              <w:rPr>
                <w:rFonts w:ascii="Times New Roman" w:hAnsi="Times New Roman" w:cs="Times New Roman"/>
              </w:rPr>
            </w:pPr>
            <w:r>
              <w:rPr>
                <w:rFonts w:ascii="Times New Roman" w:hAnsi="Times New Roman" w:cs="Times New Roman"/>
              </w:rPr>
              <w:t>Katherine Ralston</w:t>
            </w:r>
          </w:p>
          <w:p w:rsidR="004112E6" w:rsidRPr="004112E6" w:rsidRDefault="004112E6" w:rsidP="004112E6">
            <w:pPr>
              <w:spacing w:after="0" w:line="240" w:lineRule="auto"/>
              <w:rPr>
                <w:rFonts w:ascii="Times New Roman" w:hAnsi="Times New Roman" w:cs="Times New Roman"/>
              </w:rPr>
            </w:pPr>
            <w:r w:rsidRPr="004112E6">
              <w:rPr>
                <w:rFonts w:ascii="Times New Roman" w:hAnsi="Times New Roman" w:cs="Times New Roman"/>
              </w:rPr>
              <w:t xml:space="preserve">ERS </w:t>
            </w:r>
            <w:r>
              <w:rPr>
                <w:rFonts w:ascii="Times New Roman" w:hAnsi="Times New Roman" w:cs="Times New Roman"/>
              </w:rPr>
              <w:t xml:space="preserve">Project Manager </w:t>
            </w:r>
            <w:r w:rsidRPr="004112E6">
              <w:rPr>
                <w:rFonts w:ascii="Times New Roman" w:hAnsi="Times New Roman" w:cs="Times New Roman"/>
              </w:rPr>
              <w:t xml:space="preserve">for </w:t>
            </w:r>
            <w:r w:rsidRPr="004112E6">
              <w:rPr>
                <w:rFonts w:ascii="Times New Roman" w:hAnsi="Times New Roman" w:cs="Times New Roman"/>
                <w:color w:val="000000"/>
              </w:rPr>
              <w:t xml:space="preserve">the </w:t>
            </w:r>
            <w:r>
              <w:rPr>
                <w:rFonts w:ascii="Times New Roman" w:hAnsi="Times New Roman" w:cs="Times New Roman"/>
                <w:color w:val="000000"/>
              </w:rPr>
              <w:t xml:space="preserve">Farm to School Census </w:t>
            </w:r>
          </w:p>
        </w:tc>
        <w:tc>
          <w:tcPr>
            <w:tcW w:w="1800" w:type="dxa"/>
          </w:tcPr>
          <w:p w:rsidR="004112E6" w:rsidRPr="004112E6" w:rsidRDefault="004112E6" w:rsidP="001019AB">
            <w:pPr>
              <w:pStyle w:val="Footer"/>
              <w:widowControl/>
              <w:tabs>
                <w:tab w:val="clear" w:pos="4320"/>
                <w:tab w:val="clear" w:pos="8640"/>
              </w:tabs>
              <w:rPr>
                <w:sz w:val="22"/>
                <w:szCs w:val="22"/>
              </w:rPr>
            </w:pPr>
          </w:p>
        </w:tc>
        <w:tc>
          <w:tcPr>
            <w:tcW w:w="1980" w:type="dxa"/>
            <w:vMerge w:val="restart"/>
          </w:tcPr>
          <w:p w:rsidR="004112E6" w:rsidRPr="004112E6" w:rsidRDefault="004112E6" w:rsidP="001019AB">
            <w:pPr>
              <w:rPr>
                <w:rFonts w:ascii="Times New Roman" w:hAnsi="Times New Roman" w:cs="Times New Roman"/>
              </w:rPr>
            </w:pPr>
          </w:p>
        </w:tc>
      </w:tr>
      <w:tr w:rsidR="004112E6" w:rsidRPr="004112E6" w:rsidTr="004112E6">
        <w:trPr>
          <w:cantSplit/>
        </w:trPr>
        <w:tc>
          <w:tcPr>
            <w:tcW w:w="7470" w:type="dxa"/>
            <w:gridSpan w:val="3"/>
          </w:tcPr>
          <w:p w:rsidR="004112E6" w:rsidRPr="004112E6" w:rsidRDefault="004112E6" w:rsidP="001019AB">
            <w:pPr>
              <w:rPr>
                <w:rFonts w:ascii="Times New Roman" w:hAnsi="Times New Roman" w:cs="Times New Roman"/>
              </w:rPr>
            </w:pPr>
          </w:p>
        </w:tc>
        <w:tc>
          <w:tcPr>
            <w:tcW w:w="1980" w:type="dxa"/>
            <w:vMerge/>
          </w:tcPr>
          <w:p w:rsidR="004112E6" w:rsidRPr="004112E6" w:rsidRDefault="004112E6" w:rsidP="001019AB">
            <w:pPr>
              <w:rPr>
                <w:rFonts w:ascii="Times New Roman" w:hAnsi="Times New Roman" w:cs="Times New Roman"/>
              </w:rPr>
            </w:pPr>
          </w:p>
        </w:tc>
      </w:tr>
      <w:tr w:rsidR="004112E6" w:rsidRPr="004112E6" w:rsidTr="004112E6">
        <w:trPr>
          <w:cantSplit/>
        </w:trPr>
        <w:tc>
          <w:tcPr>
            <w:tcW w:w="803" w:type="dxa"/>
          </w:tcPr>
          <w:p w:rsidR="004112E6" w:rsidRPr="004112E6" w:rsidRDefault="004112E6" w:rsidP="004112E6">
            <w:pPr>
              <w:spacing w:after="0" w:line="240" w:lineRule="auto"/>
              <w:rPr>
                <w:rFonts w:ascii="Times New Roman" w:hAnsi="Times New Roman" w:cs="Times New Roman"/>
              </w:rPr>
            </w:pPr>
            <w:r w:rsidRPr="004112E6">
              <w:rPr>
                <w:rFonts w:ascii="Times New Roman" w:hAnsi="Times New Roman" w:cs="Times New Roman"/>
              </w:rPr>
              <w:t xml:space="preserve">To:  </w:t>
            </w:r>
          </w:p>
        </w:tc>
        <w:tc>
          <w:tcPr>
            <w:tcW w:w="6667" w:type="dxa"/>
            <w:gridSpan w:val="2"/>
          </w:tcPr>
          <w:p w:rsidR="004112E6" w:rsidRPr="004112E6" w:rsidRDefault="004112E6" w:rsidP="004112E6">
            <w:pPr>
              <w:spacing w:after="0" w:line="240" w:lineRule="auto"/>
              <w:rPr>
                <w:rFonts w:ascii="Times New Roman" w:hAnsi="Times New Roman" w:cs="Times New Roman"/>
              </w:rPr>
            </w:pPr>
            <w:r w:rsidRPr="004112E6">
              <w:rPr>
                <w:rFonts w:ascii="Times New Roman" w:hAnsi="Times New Roman" w:cs="Times New Roman"/>
              </w:rPr>
              <w:t xml:space="preserve">Jennifer Park, </w:t>
            </w:r>
          </w:p>
          <w:p w:rsidR="004112E6" w:rsidRPr="004112E6" w:rsidRDefault="004112E6" w:rsidP="004112E6">
            <w:pPr>
              <w:spacing w:after="0" w:line="240" w:lineRule="auto"/>
              <w:rPr>
                <w:rFonts w:ascii="Times New Roman" w:hAnsi="Times New Roman" w:cs="Times New Roman"/>
                <w:color w:val="000000"/>
              </w:rPr>
            </w:pPr>
            <w:r w:rsidRPr="004112E6">
              <w:rPr>
                <w:rFonts w:ascii="Times New Roman" w:hAnsi="Times New Roman" w:cs="Times New Roman"/>
                <w:color w:val="000000"/>
              </w:rPr>
              <w:t>Statistical and Science Policy,</w:t>
            </w:r>
          </w:p>
          <w:p w:rsidR="004112E6" w:rsidRPr="004112E6" w:rsidRDefault="004112E6" w:rsidP="004112E6">
            <w:pPr>
              <w:spacing w:after="0" w:line="240" w:lineRule="auto"/>
              <w:rPr>
                <w:rFonts w:ascii="Times New Roman" w:hAnsi="Times New Roman" w:cs="Times New Roman"/>
                <w:color w:val="000000"/>
              </w:rPr>
            </w:pPr>
            <w:r w:rsidRPr="004112E6">
              <w:rPr>
                <w:rFonts w:ascii="Times New Roman" w:hAnsi="Times New Roman" w:cs="Times New Roman"/>
                <w:color w:val="000000"/>
              </w:rPr>
              <w:t>Office of Information and Regulatory Affairs,</w:t>
            </w:r>
          </w:p>
          <w:p w:rsidR="004112E6" w:rsidRDefault="004112E6" w:rsidP="004112E6">
            <w:pPr>
              <w:spacing w:after="0" w:line="240" w:lineRule="auto"/>
              <w:rPr>
                <w:rFonts w:ascii="Times New Roman" w:hAnsi="Times New Roman" w:cs="Times New Roman"/>
                <w:color w:val="000000"/>
              </w:rPr>
            </w:pPr>
            <w:r w:rsidRPr="004112E6">
              <w:rPr>
                <w:rFonts w:ascii="Times New Roman" w:hAnsi="Times New Roman" w:cs="Times New Roman"/>
                <w:color w:val="000000"/>
              </w:rPr>
              <w:t>Office of Management and Budget</w:t>
            </w:r>
          </w:p>
          <w:p w:rsidR="004112E6" w:rsidRPr="004112E6" w:rsidRDefault="004112E6" w:rsidP="004112E6">
            <w:pPr>
              <w:spacing w:after="0" w:line="240" w:lineRule="auto"/>
              <w:rPr>
                <w:rFonts w:ascii="Times New Roman" w:hAnsi="Times New Roman" w:cs="Times New Roman"/>
              </w:rPr>
            </w:pPr>
          </w:p>
        </w:tc>
        <w:tc>
          <w:tcPr>
            <w:tcW w:w="1980" w:type="dxa"/>
            <w:vMerge/>
          </w:tcPr>
          <w:p w:rsidR="004112E6" w:rsidRPr="004112E6" w:rsidRDefault="004112E6" w:rsidP="004112E6">
            <w:pPr>
              <w:spacing w:after="0" w:line="240" w:lineRule="auto"/>
              <w:rPr>
                <w:rFonts w:ascii="Times New Roman" w:hAnsi="Times New Roman" w:cs="Times New Roman"/>
              </w:rPr>
            </w:pPr>
          </w:p>
        </w:tc>
      </w:tr>
    </w:tbl>
    <w:p w:rsidR="004112E6" w:rsidRDefault="004112E6" w:rsidP="008E321D">
      <w:pPr>
        <w:rPr>
          <w:rFonts w:ascii="Times New Roman" w:hAnsi="Times New Roman" w:cs="Times New Roman"/>
        </w:rPr>
      </w:pPr>
      <w:r>
        <w:rPr>
          <w:rFonts w:ascii="Times New Roman" w:hAnsi="Times New Roman" w:cs="Times New Roman"/>
        </w:rPr>
        <w:t xml:space="preserve">The Farm to School Census </w:t>
      </w:r>
      <w:r w:rsidR="00B92E9D">
        <w:rPr>
          <w:rFonts w:ascii="Times New Roman" w:hAnsi="Times New Roman" w:cs="Times New Roman"/>
        </w:rPr>
        <w:t xml:space="preserve">(OMB Control No. 0536-0069) </w:t>
      </w:r>
      <w:r>
        <w:rPr>
          <w:rFonts w:ascii="Times New Roman" w:hAnsi="Times New Roman" w:cs="Times New Roman"/>
        </w:rPr>
        <w:t xml:space="preserve">is a universe survey of public school district School Food Authorities in the U.S. to collect baseline information on purchases of locally-produced food for school meal programs.  It is </w:t>
      </w:r>
      <w:r w:rsidR="00E3798C">
        <w:rPr>
          <w:rFonts w:ascii="Times New Roman" w:hAnsi="Times New Roman" w:cs="Times New Roman"/>
        </w:rPr>
        <w:t xml:space="preserve">scheduled to begin fielding March </w:t>
      </w:r>
      <w:r w:rsidR="009825E1">
        <w:rPr>
          <w:rFonts w:ascii="Times New Roman" w:hAnsi="Times New Roman" w:cs="Times New Roman"/>
        </w:rPr>
        <w:t>4</w:t>
      </w:r>
      <w:r w:rsidR="00E3798C">
        <w:rPr>
          <w:rFonts w:ascii="Times New Roman" w:hAnsi="Times New Roman" w:cs="Times New Roman"/>
        </w:rPr>
        <w:t>, 2013.</w:t>
      </w:r>
    </w:p>
    <w:p w:rsidR="00864DD2" w:rsidRPr="004112E6" w:rsidRDefault="00864DD2" w:rsidP="008E321D">
      <w:pPr>
        <w:rPr>
          <w:rFonts w:ascii="Times New Roman" w:hAnsi="Times New Roman" w:cs="Times New Roman"/>
        </w:rPr>
      </w:pPr>
      <w:r w:rsidRPr="004112E6">
        <w:rPr>
          <w:rFonts w:ascii="Times New Roman" w:hAnsi="Times New Roman" w:cs="Times New Roman"/>
        </w:rPr>
        <w:t xml:space="preserve">Because the State Child Nutrition Directors </w:t>
      </w:r>
      <w:r w:rsidR="002B3851" w:rsidRPr="004112E6">
        <w:rPr>
          <w:rFonts w:ascii="Times New Roman" w:hAnsi="Times New Roman" w:cs="Times New Roman"/>
        </w:rPr>
        <w:t xml:space="preserve">(SCNDs) </w:t>
      </w:r>
      <w:r w:rsidR="00E3798C">
        <w:rPr>
          <w:rFonts w:ascii="Times New Roman" w:hAnsi="Times New Roman" w:cs="Times New Roman"/>
        </w:rPr>
        <w:t xml:space="preserve">are </w:t>
      </w:r>
      <w:r w:rsidRPr="004112E6">
        <w:rPr>
          <w:rFonts w:ascii="Times New Roman" w:hAnsi="Times New Roman" w:cs="Times New Roman"/>
        </w:rPr>
        <w:t xml:space="preserve">so critical to the success of the Farm to School Census, we </w:t>
      </w:r>
      <w:r w:rsidR="007E5302" w:rsidRPr="004112E6">
        <w:rPr>
          <w:rFonts w:ascii="Times New Roman" w:hAnsi="Times New Roman" w:cs="Times New Roman"/>
        </w:rPr>
        <w:t xml:space="preserve">are requesting two changes to the recruitment protocol for </w:t>
      </w:r>
      <w:r w:rsidR="002B3851" w:rsidRPr="004112E6">
        <w:rPr>
          <w:rFonts w:ascii="Times New Roman" w:hAnsi="Times New Roman" w:cs="Times New Roman"/>
        </w:rPr>
        <w:t>SCNDs</w:t>
      </w:r>
      <w:r w:rsidR="007E5302" w:rsidRPr="004112E6">
        <w:rPr>
          <w:rFonts w:ascii="Times New Roman" w:hAnsi="Times New Roman" w:cs="Times New Roman"/>
        </w:rPr>
        <w:t xml:space="preserve">.  First, we </w:t>
      </w:r>
      <w:r w:rsidRPr="004112E6">
        <w:rPr>
          <w:rFonts w:ascii="Times New Roman" w:hAnsi="Times New Roman" w:cs="Times New Roman"/>
        </w:rPr>
        <w:t xml:space="preserve">propose to </w:t>
      </w:r>
      <w:r w:rsidRPr="00E3798C">
        <w:rPr>
          <w:rFonts w:ascii="Times New Roman" w:hAnsi="Times New Roman" w:cs="Times New Roman"/>
        </w:rPr>
        <w:t xml:space="preserve">present a webinar to clarify the request for assistance </w:t>
      </w:r>
      <w:r w:rsidR="002B3851" w:rsidRPr="00E3798C">
        <w:rPr>
          <w:rFonts w:ascii="Times New Roman" w:hAnsi="Times New Roman" w:cs="Times New Roman"/>
        </w:rPr>
        <w:t xml:space="preserve">by SCNDs </w:t>
      </w:r>
      <w:r w:rsidRPr="00E3798C">
        <w:rPr>
          <w:rFonts w:ascii="Times New Roman" w:hAnsi="Times New Roman" w:cs="Times New Roman"/>
        </w:rPr>
        <w:t xml:space="preserve">and to provide an opportunity to answer any questions.   </w:t>
      </w:r>
      <w:r w:rsidR="002B3851" w:rsidRPr="00E3798C">
        <w:rPr>
          <w:rFonts w:ascii="Times New Roman" w:hAnsi="Times New Roman" w:cs="Times New Roman"/>
        </w:rPr>
        <w:t xml:space="preserve">The webinar will explain the purpose of the data collection and review the instructions for providing a list of public school district SFAs in the State and forwarding the Census invitation and reminder emails.  </w:t>
      </w:r>
      <w:r w:rsidRPr="00E3798C">
        <w:rPr>
          <w:rFonts w:ascii="Times New Roman" w:hAnsi="Times New Roman" w:cs="Times New Roman"/>
        </w:rPr>
        <w:t>The webinar would last for 1 hour</w:t>
      </w:r>
      <w:r w:rsidR="00E3798C">
        <w:rPr>
          <w:rFonts w:ascii="Times New Roman" w:hAnsi="Times New Roman" w:cs="Times New Roman"/>
        </w:rPr>
        <w:t xml:space="preserve">.  </w:t>
      </w:r>
      <w:r w:rsidR="00E3798C" w:rsidRPr="00E3798C">
        <w:rPr>
          <w:rFonts w:ascii="Times New Roman" w:hAnsi="Times New Roman" w:cs="Times New Roman"/>
        </w:rPr>
        <w:t xml:space="preserve">The implementation of this proposed recruitment protocol change will result in a total of </w:t>
      </w:r>
      <w:r w:rsidR="00E3798C">
        <w:rPr>
          <w:rFonts w:ascii="Times New Roman" w:hAnsi="Times New Roman" w:cs="Times New Roman"/>
        </w:rPr>
        <w:t>51</w:t>
      </w:r>
      <w:r w:rsidR="00E3798C" w:rsidRPr="00E3798C">
        <w:rPr>
          <w:rFonts w:ascii="Times New Roman" w:hAnsi="Times New Roman" w:cs="Times New Roman"/>
        </w:rPr>
        <w:t xml:space="preserve"> hours in annual response burden increase.  Thus, we request to increase the total annual hour burden for the </w:t>
      </w:r>
      <w:r w:rsidR="00E3798C">
        <w:rPr>
          <w:rFonts w:ascii="Times New Roman" w:hAnsi="Times New Roman" w:cs="Times New Roman"/>
        </w:rPr>
        <w:t xml:space="preserve">Farm to School Census </w:t>
      </w:r>
      <w:r w:rsidR="00E3798C" w:rsidRPr="00E3798C">
        <w:rPr>
          <w:rFonts w:ascii="Times New Roman" w:hAnsi="Times New Roman" w:cs="Times New Roman"/>
        </w:rPr>
        <w:t>(OMB Control No. 0536-006</w:t>
      </w:r>
      <w:r w:rsidR="00E3798C">
        <w:rPr>
          <w:rFonts w:ascii="Times New Roman" w:hAnsi="Times New Roman" w:cs="Times New Roman"/>
        </w:rPr>
        <w:t>9</w:t>
      </w:r>
      <w:r w:rsidR="00E3798C" w:rsidRPr="00E3798C">
        <w:rPr>
          <w:rFonts w:ascii="Times New Roman" w:hAnsi="Times New Roman" w:cs="Times New Roman"/>
        </w:rPr>
        <w:t xml:space="preserve">) from </w:t>
      </w:r>
      <w:r w:rsidR="00E3798C">
        <w:rPr>
          <w:rFonts w:ascii="Times New Roman" w:hAnsi="Times New Roman" w:cs="Times New Roman"/>
        </w:rPr>
        <w:t xml:space="preserve">the </w:t>
      </w:r>
      <w:r w:rsidR="00E3798C" w:rsidRPr="00E3798C">
        <w:rPr>
          <w:rFonts w:ascii="Times New Roman" w:hAnsi="Times New Roman" w:cs="Times New Roman"/>
        </w:rPr>
        <w:t xml:space="preserve">previously approved </w:t>
      </w:r>
      <w:r w:rsidR="00E3798C">
        <w:rPr>
          <w:rFonts w:ascii="Times New Roman" w:hAnsi="Times New Roman" w:cs="Times New Roman"/>
        </w:rPr>
        <w:t>1,953</w:t>
      </w:r>
      <w:r w:rsidR="00E3798C" w:rsidRPr="00E3798C">
        <w:rPr>
          <w:rFonts w:ascii="Times New Roman" w:hAnsi="Times New Roman" w:cs="Times New Roman"/>
        </w:rPr>
        <w:t xml:space="preserve"> hours to </w:t>
      </w:r>
      <w:r w:rsidR="00E3798C">
        <w:rPr>
          <w:rFonts w:ascii="Times New Roman" w:hAnsi="Times New Roman" w:cs="Times New Roman"/>
        </w:rPr>
        <w:t>2,004</w:t>
      </w:r>
      <w:r w:rsidR="00E3798C" w:rsidRPr="00E3798C">
        <w:rPr>
          <w:rFonts w:ascii="Times New Roman" w:hAnsi="Times New Roman" w:cs="Times New Roman"/>
        </w:rPr>
        <w:t xml:space="preserve"> hours</w:t>
      </w:r>
      <w:r w:rsidR="00E3798C">
        <w:rPr>
          <w:rFonts w:ascii="Times New Roman" w:hAnsi="Times New Roman" w:cs="Times New Roman"/>
        </w:rPr>
        <w:t xml:space="preserve">, </w:t>
      </w:r>
      <w:r w:rsidRPr="004112E6">
        <w:rPr>
          <w:rFonts w:ascii="Times New Roman" w:hAnsi="Times New Roman" w:cs="Times New Roman"/>
        </w:rPr>
        <w:t>as shown in the modified burden table below.</w:t>
      </w:r>
    </w:p>
    <w:p w:rsidR="00864DD2" w:rsidRPr="004112E6" w:rsidRDefault="00864DD2" w:rsidP="00864DD2">
      <w:pPr>
        <w:jc w:val="center"/>
        <w:rPr>
          <w:rFonts w:ascii="Times New Roman" w:hAnsi="Times New Roman" w:cs="Times New Roman"/>
          <w:b/>
          <w:iCs/>
        </w:rPr>
      </w:pPr>
      <w:r w:rsidRPr="004112E6">
        <w:rPr>
          <w:rFonts w:ascii="Times New Roman" w:hAnsi="Times New Roman" w:cs="Times New Roman"/>
          <w:b/>
          <w:iCs/>
        </w:rPr>
        <w:t>Farm to School Census Reporting Burden</w:t>
      </w:r>
    </w:p>
    <w:tbl>
      <w:tblPr>
        <w:tblStyle w:val="TableGrid"/>
        <w:tblW w:w="0" w:type="auto"/>
        <w:tblLook w:val="04A0" w:firstRow="1" w:lastRow="0" w:firstColumn="1" w:lastColumn="0" w:noHBand="0" w:noVBand="1"/>
      </w:tblPr>
      <w:tblGrid>
        <w:gridCol w:w="2023"/>
        <w:gridCol w:w="1642"/>
        <w:gridCol w:w="1560"/>
        <w:gridCol w:w="1298"/>
        <w:gridCol w:w="1526"/>
        <w:gridCol w:w="1527"/>
      </w:tblGrid>
      <w:tr w:rsidR="00864DD2" w:rsidRPr="004112E6" w:rsidTr="001019AB">
        <w:tc>
          <w:tcPr>
            <w:tcW w:w="0" w:type="auto"/>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color w:val="000000"/>
                <w:sz w:val="22"/>
                <w:szCs w:val="22"/>
              </w:rPr>
              <w:t>Description</w:t>
            </w:r>
          </w:p>
        </w:tc>
        <w:tc>
          <w:tcPr>
            <w:tcW w:w="0" w:type="auto"/>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color w:val="000000"/>
                <w:sz w:val="22"/>
                <w:szCs w:val="22"/>
              </w:rPr>
              <w:t>Estimated Number of Respondents or Non-respondents</w:t>
            </w:r>
          </w:p>
        </w:tc>
        <w:tc>
          <w:tcPr>
            <w:tcW w:w="0" w:type="auto"/>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color w:val="000000"/>
                <w:sz w:val="22"/>
                <w:szCs w:val="22"/>
              </w:rPr>
              <w:t>Responses or Non-responses Annually per Respondent</w:t>
            </w:r>
          </w:p>
        </w:tc>
        <w:tc>
          <w:tcPr>
            <w:tcW w:w="0" w:type="auto"/>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color w:val="000000"/>
                <w:sz w:val="22"/>
                <w:szCs w:val="22"/>
              </w:rPr>
              <w:t>Total Annual Reponses or Non-responses</w:t>
            </w:r>
          </w:p>
        </w:tc>
        <w:tc>
          <w:tcPr>
            <w:tcW w:w="0" w:type="auto"/>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color w:val="000000"/>
                <w:sz w:val="22"/>
                <w:szCs w:val="22"/>
              </w:rPr>
              <w:t>Estimated Average Number of Minutes per Response or Non-response</w:t>
            </w:r>
          </w:p>
        </w:tc>
        <w:tc>
          <w:tcPr>
            <w:tcW w:w="0" w:type="auto"/>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color w:val="000000"/>
                <w:sz w:val="22"/>
                <w:szCs w:val="22"/>
              </w:rPr>
              <w:t>Estimated Total Annual  Hours of Response and Non-response Burden</w:t>
            </w:r>
          </w:p>
        </w:tc>
      </w:tr>
      <w:tr w:rsidR="00864DD2" w:rsidRPr="004112E6" w:rsidTr="001019AB">
        <w:tc>
          <w:tcPr>
            <w:tcW w:w="0" w:type="auto"/>
            <w:gridSpan w:val="6"/>
            <w:vAlign w:val="bottom"/>
          </w:tcPr>
          <w:p w:rsidR="00864DD2" w:rsidRPr="004112E6" w:rsidRDefault="00864DD2" w:rsidP="001019AB">
            <w:pPr>
              <w:jc w:val="center"/>
              <w:rPr>
                <w:rFonts w:ascii="Times New Roman" w:hAnsi="Times New Roman"/>
                <w:color w:val="000000"/>
                <w:sz w:val="22"/>
                <w:szCs w:val="22"/>
              </w:rPr>
            </w:pPr>
            <w:r w:rsidRPr="004112E6">
              <w:rPr>
                <w:rFonts w:ascii="Times New Roman" w:hAnsi="Times New Roman"/>
                <w:color w:val="000000"/>
                <w:sz w:val="22"/>
                <w:szCs w:val="22"/>
              </w:rPr>
              <w:t>State Child Nutrition Directors</w:t>
            </w:r>
          </w:p>
          <w:p w:rsidR="00864DD2" w:rsidRPr="004112E6" w:rsidRDefault="00864DD2" w:rsidP="001019AB">
            <w:pPr>
              <w:jc w:val="center"/>
              <w:rPr>
                <w:rFonts w:ascii="Times New Roman" w:hAnsi="Times New Roman"/>
                <w:b/>
                <w:iCs/>
                <w:sz w:val="22"/>
                <w:szCs w:val="22"/>
              </w:rPr>
            </w:pPr>
          </w:p>
        </w:tc>
      </w:tr>
      <w:tr w:rsidR="00864DD2" w:rsidRPr="004112E6" w:rsidTr="001019AB">
        <w:tc>
          <w:tcPr>
            <w:tcW w:w="0" w:type="auto"/>
            <w:vAlign w:val="bottom"/>
          </w:tcPr>
          <w:p w:rsidR="00864DD2" w:rsidRPr="004112E6" w:rsidRDefault="00864DD2" w:rsidP="00351415">
            <w:pPr>
              <w:rPr>
                <w:rFonts w:ascii="Times New Roman" w:hAnsi="Times New Roman"/>
                <w:b/>
                <w:iCs/>
                <w:sz w:val="22"/>
                <w:szCs w:val="22"/>
              </w:rPr>
            </w:pPr>
            <w:r w:rsidRPr="004112E6">
              <w:rPr>
                <w:rFonts w:ascii="Times New Roman" w:hAnsi="Times New Roman"/>
                <w:color w:val="000000"/>
                <w:sz w:val="22"/>
                <w:szCs w:val="22"/>
              </w:rPr>
              <w:t xml:space="preserve">Forwarding request to participate from FNS Child Nutrition Division to SFA Food Service Directors, plus 3 reminders </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51</w:t>
            </w:r>
          </w:p>
        </w:tc>
        <w:tc>
          <w:tcPr>
            <w:tcW w:w="0" w:type="auto"/>
            <w:vAlign w:val="bottom"/>
          </w:tcPr>
          <w:p w:rsidR="00864DD2" w:rsidRPr="004112E6" w:rsidRDefault="004B7E88" w:rsidP="004B7E88">
            <w:pPr>
              <w:jc w:val="right"/>
              <w:rPr>
                <w:rFonts w:ascii="Times New Roman" w:hAnsi="Times New Roman"/>
                <w:b/>
                <w:iCs/>
                <w:sz w:val="22"/>
                <w:szCs w:val="22"/>
              </w:rPr>
            </w:pPr>
            <w:r>
              <w:rPr>
                <w:rFonts w:ascii="Times New Roman" w:hAnsi="Times New Roman"/>
                <w:color w:val="000000"/>
                <w:sz w:val="22"/>
                <w:szCs w:val="22"/>
              </w:rPr>
              <w:t>4</w:t>
            </w:r>
            <w:bookmarkStart w:id="0" w:name="_GoBack"/>
            <w:bookmarkEnd w:id="0"/>
          </w:p>
        </w:tc>
        <w:tc>
          <w:tcPr>
            <w:tcW w:w="0" w:type="auto"/>
            <w:vAlign w:val="bottom"/>
          </w:tcPr>
          <w:p w:rsidR="00864DD2" w:rsidRPr="004112E6" w:rsidRDefault="00864DD2" w:rsidP="004B7E88">
            <w:pPr>
              <w:jc w:val="right"/>
              <w:rPr>
                <w:rFonts w:ascii="Times New Roman" w:hAnsi="Times New Roman"/>
                <w:b/>
                <w:iCs/>
                <w:sz w:val="22"/>
                <w:szCs w:val="22"/>
              </w:rPr>
            </w:pPr>
            <w:r w:rsidRPr="004112E6">
              <w:rPr>
                <w:rFonts w:ascii="Times New Roman" w:hAnsi="Times New Roman"/>
                <w:color w:val="000000"/>
                <w:sz w:val="22"/>
                <w:szCs w:val="22"/>
              </w:rPr>
              <w:t>2</w:t>
            </w:r>
            <w:r w:rsidR="004B7E88">
              <w:rPr>
                <w:rFonts w:ascii="Times New Roman" w:hAnsi="Times New Roman"/>
                <w:color w:val="000000"/>
                <w:sz w:val="22"/>
                <w:szCs w:val="22"/>
              </w:rPr>
              <w:t>04</w:t>
            </w:r>
          </w:p>
        </w:tc>
        <w:tc>
          <w:tcPr>
            <w:tcW w:w="0" w:type="auto"/>
            <w:vAlign w:val="bottom"/>
          </w:tcPr>
          <w:p w:rsidR="00864DD2" w:rsidRPr="004112E6" w:rsidRDefault="004B7E88" w:rsidP="004B7E88">
            <w:pPr>
              <w:jc w:val="right"/>
              <w:rPr>
                <w:rFonts w:ascii="Times New Roman" w:hAnsi="Times New Roman"/>
                <w:b/>
                <w:iCs/>
                <w:sz w:val="22"/>
                <w:szCs w:val="22"/>
              </w:rPr>
            </w:pPr>
            <w:r>
              <w:rPr>
                <w:rFonts w:ascii="Times New Roman" w:hAnsi="Times New Roman"/>
                <w:color w:val="000000"/>
                <w:sz w:val="22"/>
                <w:szCs w:val="22"/>
              </w:rPr>
              <w:t>15</w:t>
            </w:r>
          </w:p>
        </w:tc>
        <w:tc>
          <w:tcPr>
            <w:tcW w:w="0" w:type="auto"/>
            <w:vAlign w:val="bottom"/>
          </w:tcPr>
          <w:p w:rsidR="00864DD2" w:rsidRPr="004112E6" w:rsidRDefault="004B7E88" w:rsidP="001019AB">
            <w:pPr>
              <w:jc w:val="right"/>
              <w:rPr>
                <w:rFonts w:ascii="Times New Roman" w:hAnsi="Times New Roman"/>
                <w:b/>
                <w:iCs/>
                <w:sz w:val="22"/>
                <w:szCs w:val="22"/>
              </w:rPr>
            </w:pPr>
            <w:r>
              <w:rPr>
                <w:rFonts w:ascii="Times New Roman" w:hAnsi="Times New Roman"/>
                <w:color w:val="000000"/>
                <w:sz w:val="22"/>
                <w:szCs w:val="22"/>
              </w:rPr>
              <w:t>51</w:t>
            </w:r>
          </w:p>
        </w:tc>
      </w:tr>
      <w:tr w:rsidR="00864DD2" w:rsidRPr="004112E6" w:rsidTr="001019AB">
        <w:tc>
          <w:tcPr>
            <w:tcW w:w="0" w:type="auto"/>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color w:val="000000"/>
                <w:sz w:val="22"/>
                <w:szCs w:val="22"/>
              </w:rPr>
              <w:t xml:space="preserve">Request to State </w:t>
            </w:r>
            <w:r w:rsidRPr="004112E6">
              <w:rPr>
                <w:rFonts w:ascii="Times New Roman" w:hAnsi="Times New Roman"/>
                <w:color w:val="000000"/>
                <w:sz w:val="22"/>
                <w:szCs w:val="22"/>
              </w:rPr>
              <w:lastRenderedPageBreak/>
              <w:t>Directors for list of School Food Authorities and Director Contact Information</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lastRenderedPageBreak/>
              <w:t>40</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40</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60</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40</w:t>
            </w:r>
          </w:p>
        </w:tc>
      </w:tr>
      <w:tr w:rsidR="004B7E88" w:rsidRPr="004112E6" w:rsidTr="001019AB">
        <w:tc>
          <w:tcPr>
            <w:tcW w:w="0" w:type="auto"/>
            <w:vAlign w:val="bottom"/>
          </w:tcPr>
          <w:p w:rsidR="004B7E88" w:rsidRPr="004112E6" w:rsidRDefault="004B7E88" w:rsidP="001019AB">
            <w:pPr>
              <w:rPr>
                <w:rFonts w:ascii="Times New Roman" w:hAnsi="Times New Roman"/>
                <w:color w:val="000000"/>
              </w:rPr>
            </w:pPr>
            <w:r>
              <w:rPr>
                <w:rFonts w:ascii="Times New Roman" w:hAnsi="Times New Roman"/>
                <w:color w:val="000000"/>
                <w:sz w:val="22"/>
                <w:szCs w:val="22"/>
              </w:rPr>
              <w:lastRenderedPageBreak/>
              <w:t>A</w:t>
            </w:r>
            <w:r w:rsidRPr="004112E6">
              <w:rPr>
                <w:rFonts w:ascii="Times New Roman" w:hAnsi="Times New Roman"/>
                <w:color w:val="000000"/>
                <w:sz w:val="22"/>
                <w:szCs w:val="22"/>
              </w:rPr>
              <w:t>ttendance at webinar</w:t>
            </w:r>
          </w:p>
        </w:tc>
        <w:tc>
          <w:tcPr>
            <w:tcW w:w="0" w:type="auto"/>
            <w:vAlign w:val="bottom"/>
          </w:tcPr>
          <w:p w:rsidR="004B7E88" w:rsidRPr="004112E6" w:rsidRDefault="004B7E88" w:rsidP="001019AB">
            <w:pPr>
              <w:jc w:val="right"/>
              <w:rPr>
                <w:rFonts w:ascii="Times New Roman" w:hAnsi="Times New Roman"/>
                <w:color w:val="000000"/>
              </w:rPr>
            </w:pPr>
            <w:r>
              <w:rPr>
                <w:rFonts w:ascii="Times New Roman" w:hAnsi="Times New Roman"/>
                <w:color w:val="000000"/>
              </w:rPr>
              <w:t>51</w:t>
            </w:r>
          </w:p>
        </w:tc>
        <w:tc>
          <w:tcPr>
            <w:tcW w:w="0" w:type="auto"/>
            <w:vAlign w:val="bottom"/>
          </w:tcPr>
          <w:p w:rsidR="004B7E88" w:rsidRPr="004112E6" w:rsidRDefault="004B7E88" w:rsidP="001019AB">
            <w:pPr>
              <w:jc w:val="right"/>
              <w:rPr>
                <w:rFonts w:ascii="Times New Roman" w:hAnsi="Times New Roman"/>
                <w:color w:val="000000"/>
              </w:rPr>
            </w:pPr>
            <w:r>
              <w:rPr>
                <w:rFonts w:ascii="Times New Roman" w:hAnsi="Times New Roman"/>
                <w:color w:val="000000"/>
              </w:rPr>
              <w:t>1</w:t>
            </w:r>
          </w:p>
        </w:tc>
        <w:tc>
          <w:tcPr>
            <w:tcW w:w="0" w:type="auto"/>
            <w:vAlign w:val="bottom"/>
          </w:tcPr>
          <w:p w:rsidR="004B7E88" w:rsidRPr="004112E6" w:rsidRDefault="004B7E88" w:rsidP="001019AB">
            <w:pPr>
              <w:jc w:val="right"/>
              <w:rPr>
                <w:rFonts w:ascii="Times New Roman" w:hAnsi="Times New Roman"/>
                <w:color w:val="000000"/>
              </w:rPr>
            </w:pPr>
            <w:r>
              <w:rPr>
                <w:rFonts w:ascii="Times New Roman" w:hAnsi="Times New Roman"/>
                <w:color w:val="000000"/>
              </w:rPr>
              <w:t>51</w:t>
            </w:r>
          </w:p>
        </w:tc>
        <w:tc>
          <w:tcPr>
            <w:tcW w:w="0" w:type="auto"/>
            <w:vAlign w:val="bottom"/>
          </w:tcPr>
          <w:p w:rsidR="004B7E88" w:rsidRPr="004112E6" w:rsidRDefault="004B7E88" w:rsidP="001019AB">
            <w:pPr>
              <w:jc w:val="right"/>
              <w:rPr>
                <w:rFonts w:ascii="Times New Roman" w:hAnsi="Times New Roman"/>
                <w:color w:val="000000"/>
              </w:rPr>
            </w:pPr>
            <w:r>
              <w:rPr>
                <w:rFonts w:ascii="Times New Roman" w:hAnsi="Times New Roman"/>
                <w:color w:val="000000"/>
              </w:rPr>
              <w:t>60</w:t>
            </w:r>
          </w:p>
        </w:tc>
        <w:tc>
          <w:tcPr>
            <w:tcW w:w="0" w:type="auto"/>
            <w:vAlign w:val="bottom"/>
          </w:tcPr>
          <w:p w:rsidR="004B7E88" w:rsidRPr="004112E6" w:rsidRDefault="004B7E88" w:rsidP="001019AB">
            <w:pPr>
              <w:jc w:val="right"/>
              <w:rPr>
                <w:rFonts w:ascii="Times New Roman" w:hAnsi="Times New Roman"/>
                <w:color w:val="000000"/>
              </w:rPr>
            </w:pPr>
            <w:r>
              <w:rPr>
                <w:rFonts w:ascii="Times New Roman" w:hAnsi="Times New Roman"/>
                <w:color w:val="000000"/>
              </w:rPr>
              <w:t>51</w:t>
            </w:r>
          </w:p>
        </w:tc>
      </w:tr>
      <w:tr w:rsidR="00864DD2" w:rsidRPr="004112E6" w:rsidTr="001019AB">
        <w:tc>
          <w:tcPr>
            <w:tcW w:w="0" w:type="auto"/>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color w:val="000000"/>
                <w:sz w:val="22"/>
                <w:szCs w:val="22"/>
              </w:rPr>
              <w:t xml:space="preserve">Non-respondents to request for list </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11</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11</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10</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2</w:t>
            </w:r>
          </w:p>
        </w:tc>
      </w:tr>
      <w:tr w:rsidR="004112E6" w:rsidRPr="004112E6" w:rsidTr="001019AB">
        <w:tc>
          <w:tcPr>
            <w:tcW w:w="0" w:type="auto"/>
            <w:gridSpan w:val="5"/>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b/>
                <w:bCs/>
                <w:color w:val="000000"/>
                <w:sz w:val="22"/>
                <w:szCs w:val="22"/>
              </w:rPr>
              <w:t>Total Burden, State Child Nutrition Directors</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b/>
                <w:bCs/>
                <w:color w:val="000000"/>
                <w:sz w:val="22"/>
                <w:szCs w:val="22"/>
              </w:rPr>
              <w:t>144</w:t>
            </w:r>
          </w:p>
        </w:tc>
      </w:tr>
      <w:tr w:rsidR="00864DD2" w:rsidRPr="004112E6" w:rsidTr="001019AB">
        <w:tc>
          <w:tcPr>
            <w:tcW w:w="0" w:type="auto"/>
            <w:gridSpan w:val="6"/>
            <w:vAlign w:val="bottom"/>
          </w:tcPr>
          <w:p w:rsidR="00864DD2" w:rsidRPr="004112E6" w:rsidRDefault="00864DD2" w:rsidP="001019AB">
            <w:pPr>
              <w:jc w:val="center"/>
              <w:rPr>
                <w:rFonts w:ascii="Times New Roman" w:hAnsi="Times New Roman"/>
                <w:b/>
                <w:bCs/>
                <w:color w:val="000000"/>
                <w:sz w:val="22"/>
                <w:szCs w:val="22"/>
              </w:rPr>
            </w:pPr>
            <w:r w:rsidRPr="004112E6">
              <w:rPr>
                <w:rFonts w:ascii="Times New Roman" w:hAnsi="Times New Roman"/>
                <w:b/>
                <w:bCs/>
                <w:color w:val="000000"/>
                <w:sz w:val="22"/>
                <w:szCs w:val="22"/>
              </w:rPr>
              <w:t xml:space="preserve">School Food Authority </w:t>
            </w:r>
            <w:r w:rsidR="00B53A8E">
              <w:rPr>
                <w:rFonts w:ascii="Times New Roman" w:hAnsi="Times New Roman"/>
                <w:b/>
                <w:bCs/>
                <w:color w:val="000000"/>
                <w:sz w:val="22"/>
                <w:szCs w:val="22"/>
              </w:rPr>
              <w:t xml:space="preserve">(SFA) </w:t>
            </w:r>
            <w:r w:rsidRPr="004112E6">
              <w:rPr>
                <w:rFonts w:ascii="Times New Roman" w:hAnsi="Times New Roman"/>
                <w:b/>
                <w:bCs/>
                <w:color w:val="000000"/>
                <w:sz w:val="22"/>
                <w:szCs w:val="22"/>
              </w:rPr>
              <w:t>Food Service Directors</w:t>
            </w:r>
          </w:p>
          <w:p w:rsidR="00864DD2" w:rsidRPr="004112E6" w:rsidRDefault="00864DD2" w:rsidP="001019AB">
            <w:pPr>
              <w:jc w:val="center"/>
              <w:rPr>
                <w:rFonts w:ascii="Times New Roman" w:hAnsi="Times New Roman"/>
                <w:b/>
                <w:iCs/>
                <w:sz w:val="22"/>
                <w:szCs w:val="22"/>
              </w:rPr>
            </w:pPr>
          </w:p>
        </w:tc>
      </w:tr>
      <w:tr w:rsidR="00864DD2" w:rsidRPr="004112E6" w:rsidTr="001019AB">
        <w:tc>
          <w:tcPr>
            <w:tcW w:w="0" w:type="auto"/>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color w:val="000000"/>
                <w:sz w:val="22"/>
                <w:szCs w:val="22"/>
              </w:rPr>
              <w:t xml:space="preserve">Farm to School Census for School Food Authority Directors </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10,494</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10,494</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9</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1,574</w:t>
            </w:r>
          </w:p>
        </w:tc>
      </w:tr>
      <w:tr w:rsidR="00864DD2" w:rsidRPr="004112E6" w:rsidTr="001019AB">
        <w:tc>
          <w:tcPr>
            <w:tcW w:w="0" w:type="auto"/>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color w:val="000000"/>
                <w:sz w:val="22"/>
                <w:szCs w:val="22"/>
              </w:rPr>
              <w:t xml:space="preserve">Non-respondents </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3,135</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3,135</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4</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209</w:t>
            </w:r>
          </w:p>
        </w:tc>
      </w:tr>
      <w:tr w:rsidR="00864DD2" w:rsidRPr="004112E6" w:rsidTr="001019AB">
        <w:tc>
          <w:tcPr>
            <w:tcW w:w="0" w:type="auto"/>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color w:val="000000"/>
                <w:sz w:val="22"/>
                <w:szCs w:val="22"/>
              </w:rPr>
              <w:t xml:space="preserve">Follow-up phone calls for non-response analysis </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100</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100</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15</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color w:val="000000"/>
                <w:sz w:val="22"/>
                <w:szCs w:val="22"/>
              </w:rPr>
              <w:t>25</w:t>
            </w:r>
          </w:p>
        </w:tc>
      </w:tr>
      <w:tr w:rsidR="00864DD2" w:rsidRPr="004112E6" w:rsidTr="001019AB">
        <w:tc>
          <w:tcPr>
            <w:tcW w:w="0" w:type="auto"/>
            <w:vAlign w:val="bottom"/>
          </w:tcPr>
          <w:p w:rsidR="00864DD2" w:rsidRPr="004112E6" w:rsidRDefault="00864DD2" w:rsidP="001019AB">
            <w:pPr>
              <w:rPr>
                <w:rFonts w:ascii="Times New Roman" w:hAnsi="Times New Roman"/>
                <w:color w:val="000000"/>
                <w:sz w:val="22"/>
                <w:szCs w:val="22"/>
              </w:rPr>
            </w:pPr>
            <w:r w:rsidRPr="004112E6">
              <w:rPr>
                <w:rFonts w:ascii="Times New Roman" w:hAnsi="Times New Roman"/>
                <w:color w:val="000000"/>
                <w:sz w:val="22"/>
                <w:szCs w:val="22"/>
              </w:rPr>
              <w:t>Reminder phone calls to Food Service Directors who have not responded after 1 month</w:t>
            </w:r>
          </w:p>
        </w:tc>
        <w:tc>
          <w:tcPr>
            <w:tcW w:w="0" w:type="auto"/>
            <w:vAlign w:val="bottom"/>
          </w:tcPr>
          <w:p w:rsidR="00864DD2" w:rsidRPr="004112E6" w:rsidRDefault="00864DD2" w:rsidP="001019AB">
            <w:pPr>
              <w:jc w:val="right"/>
              <w:rPr>
                <w:rFonts w:ascii="Times New Roman" w:hAnsi="Times New Roman"/>
                <w:color w:val="000000"/>
                <w:sz w:val="22"/>
                <w:szCs w:val="22"/>
              </w:rPr>
            </w:pPr>
            <w:r w:rsidRPr="004112E6">
              <w:rPr>
                <w:rFonts w:ascii="Times New Roman" w:hAnsi="Times New Roman"/>
                <w:color w:val="000000"/>
                <w:sz w:val="22"/>
                <w:szCs w:val="22"/>
              </w:rPr>
              <w:t>3,135</w:t>
            </w:r>
          </w:p>
        </w:tc>
        <w:tc>
          <w:tcPr>
            <w:tcW w:w="0" w:type="auto"/>
            <w:vAlign w:val="bottom"/>
          </w:tcPr>
          <w:p w:rsidR="00864DD2" w:rsidRPr="004112E6" w:rsidRDefault="00864DD2" w:rsidP="001019AB">
            <w:pPr>
              <w:jc w:val="right"/>
              <w:rPr>
                <w:rFonts w:ascii="Times New Roman" w:hAnsi="Times New Roman"/>
                <w:color w:val="000000"/>
                <w:sz w:val="22"/>
                <w:szCs w:val="22"/>
              </w:rPr>
            </w:pPr>
            <w:r w:rsidRPr="004112E6">
              <w:rPr>
                <w:rFonts w:ascii="Times New Roman" w:hAnsi="Times New Roman"/>
                <w:color w:val="000000"/>
                <w:sz w:val="22"/>
                <w:szCs w:val="22"/>
              </w:rPr>
              <w:t>1</w:t>
            </w:r>
          </w:p>
        </w:tc>
        <w:tc>
          <w:tcPr>
            <w:tcW w:w="0" w:type="auto"/>
            <w:vAlign w:val="bottom"/>
          </w:tcPr>
          <w:p w:rsidR="00864DD2" w:rsidRPr="004112E6" w:rsidRDefault="00864DD2" w:rsidP="001019AB">
            <w:pPr>
              <w:jc w:val="right"/>
              <w:rPr>
                <w:rFonts w:ascii="Times New Roman" w:hAnsi="Times New Roman"/>
                <w:color w:val="000000"/>
                <w:sz w:val="22"/>
                <w:szCs w:val="22"/>
              </w:rPr>
            </w:pPr>
            <w:r w:rsidRPr="004112E6">
              <w:rPr>
                <w:rFonts w:ascii="Times New Roman" w:hAnsi="Times New Roman"/>
                <w:color w:val="000000"/>
                <w:sz w:val="22"/>
                <w:szCs w:val="22"/>
              </w:rPr>
              <w:t>3,135</w:t>
            </w:r>
          </w:p>
        </w:tc>
        <w:tc>
          <w:tcPr>
            <w:tcW w:w="0" w:type="auto"/>
            <w:vAlign w:val="bottom"/>
          </w:tcPr>
          <w:p w:rsidR="00864DD2" w:rsidRPr="004112E6" w:rsidRDefault="00864DD2" w:rsidP="001019AB">
            <w:pPr>
              <w:jc w:val="right"/>
              <w:rPr>
                <w:rFonts w:ascii="Times New Roman" w:hAnsi="Times New Roman"/>
                <w:color w:val="000000"/>
                <w:sz w:val="22"/>
                <w:szCs w:val="22"/>
              </w:rPr>
            </w:pPr>
            <w:r w:rsidRPr="004112E6">
              <w:rPr>
                <w:rFonts w:ascii="Times New Roman" w:hAnsi="Times New Roman"/>
                <w:color w:val="000000"/>
                <w:sz w:val="22"/>
                <w:szCs w:val="22"/>
              </w:rPr>
              <w:t>1</w:t>
            </w:r>
          </w:p>
        </w:tc>
        <w:tc>
          <w:tcPr>
            <w:tcW w:w="0" w:type="auto"/>
            <w:vAlign w:val="bottom"/>
          </w:tcPr>
          <w:p w:rsidR="00864DD2" w:rsidRPr="004112E6" w:rsidRDefault="00864DD2" w:rsidP="001019AB">
            <w:pPr>
              <w:jc w:val="right"/>
              <w:rPr>
                <w:rFonts w:ascii="Times New Roman" w:hAnsi="Times New Roman"/>
                <w:color w:val="000000"/>
                <w:sz w:val="22"/>
                <w:szCs w:val="22"/>
              </w:rPr>
            </w:pPr>
            <w:r w:rsidRPr="004112E6">
              <w:rPr>
                <w:rFonts w:ascii="Times New Roman" w:hAnsi="Times New Roman"/>
                <w:color w:val="000000"/>
                <w:sz w:val="22"/>
                <w:szCs w:val="22"/>
              </w:rPr>
              <w:t>52</w:t>
            </w:r>
          </w:p>
        </w:tc>
      </w:tr>
      <w:tr w:rsidR="004112E6" w:rsidRPr="004112E6" w:rsidTr="001019AB">
        <w:tc>
          <w:tcPr>
            <w:tcW w:w="0" w:type="auto"/>
            <w:gridSpan w:val="5"/>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b/>
                <w:bCs/>
                <w:color w:val="000000"/>
                <w:sz w:val="22"/>
                <w:szCs w:val="22"/>
              </w:rPr>
              <w:t>Total Burden, School Food Authority Food Service Directors</w:t>
            </w:r>
          </w:p>
        </w:tc>
        <w:tc>
          <w:tcPr>
            <w:tcW w:w="0" w:type="auto"/>
            <w:vAlign w:val="bottom"/>
          </w:tcPr>
          <w:p w:rsidR="00864DD2" w:rsidRPr="004112E6" w:rsidRDefault="00864DD2" w:rsidP="001019AB">
            <w:pPr>
              <w:jc w:val="right"/>
              <w:rPr>
                <w:rFonts w:ascii="Times New Roman" w:hAnsi="Times New Roman"/>
                <w:b/>
                <w:iCs/>
                <w:sz w:val="22"/>
                <w:szCs w:val="22"/>
              </w:rPr>
            </w:pPr>
            <w:r w:rsidRPr="004112E6">
              <w:rPr>
                <w:rFonts w:ascii="Times New Roman" w:hAnsi="Times New Roman"/>
                <w:b/>
                <w:bCs/>
                <w:color w:val="000000"/>
                <w:sz w:val="22"/>
                <w:szCs w:val="22"/>
              </w:rPr>
              <w:t>1,860</w:t>
            </w:r>
          </w:p>
        </w:tc>
      </w:tr>
      <w:tr w:rsidR="004112E6" w:rsidRPr="004112E6" w:rsidTr="001019AB">
        <w:tc>
          <w:tcPr>
            <w:tcW w:w="0" w:type="auto"/>
            <w:gridSpan w:val="5"/>
            <w:vAlign w:val="bottom"/>
          </w:tcPr>
          <w:p w:rsidR="00864DD2" w:rsidRPr="004112E6" w:rsidRDefault="00864DD2" w:rsidP="001019AB">
            <w:pPr>
              <w:rPr>
                <w:rFonts w:ascii="Times New Roman" w:hAnsi="Times New Roman"/>
                <w:b/>
                <w:iCs/>
                <w:sz w:val="22"/>
                <w:szCs w:val="22"/>
              </w:rPr>
            </w:pPr>
            <w:r w:rsidRPr="004112E6">
              <w:rPr>
                <w:rFonts w:ascii="Times New Roman" w:hAnsi="Times New Roman"/>
                <w:b/>
                <w:bCs/>
                <w:color w:val="000000"/>
                <w:sz w:val="22"/>
                <w:szCs w:val="22"/>
              </w:rPr>
              <w:t>Total Burden</w:t>
            </w:r>
          </w:p>
        </w:tc>
        <w:tc>
          <w:tcPr>
            <w:tcW w:w="0" w:type="auto"/>
            <w:vAlign w:val="bottom"/>
          </w:tcPr>
          <w:p w:rsidR="00864DD2" w:rsidRPr="004112E6" w:rsidRDefault="00864DD2" w:rsidP="00864DD2">
            <w:pPr>
              <w:jc w:val="right"/>
              <w:rPr>
                <w:rFonts w:ascii="Times New Roman" w:hAnsi="Times New Roman"/>
                <w:b/>
                <w:iCs/>
                <w:sz w:val="22"/>
                <w:szCs w:val="22"/>
              </w:rPr>
            </w:pPr>
            <w:r w:rsidRPr="004112E6">
              <w:rPr>
                <w:rFonts w:ascii="Times New Roman" w:hAnsi="Times New Roman"/>
                <w:b/>
                <w:bCs/>
                <w:color w:val="000000"/>
                <w:sz w:val="22"/>
                <w:szCs w:val="22"/>
              </w:rPr>
              <w:t>2,004</w:t>
            </w:r>
          </w:p>
        </w:tc>
      </w:tr>
    </w:tbl>
    <w:p w:rsidR="00864DD2" w:rsidRPr="004112E6" w:rsidRDefault="00864DD2" w:rsidP="00864DD2">
      <w:pPr>
        <w:rPr>
          <w:rFonts w:ascii="Times New Roman" w:hAnsi="Times New Roman" w:cs="Times New Roman"/>
          <w:b/>
          <w:iCs/>
        </w:rPr>
      </w:pPr>
    </w:p>
    <w:p w:rsidR="00A609EB" w:rsidRDefault="00FC54BE" w:rsidP="008E321D">
      <w:pPr>
        <w:rPr>
          <w:rFonts w:ascii="Times New Roman" w:hAnsi="Times New Roman" w:cs="Times New Roman"/>
        </w:rPr>
      </w:pPr>
      <w:r>
        <w:rPr>
          <w:rFonts w:ascii="Times New Roman" w:hAnsi="Times New Roman" w:cs="Times New Roman"/>
        </w:rPr>
        <w:t xml:space="preserve">In order to invite SCNDs to participate in the webinar before the forwarding of Census invitations is scheduled to begin, we are </w:t>
      </w:r>
      <w:r w:rsidR="00A609EB">
        <w:rPr>
          <w:rFonts w:ascii="Times New Roman" w:hAnsi="Times New Roman" w:cs="Times New Roman"/>
        </w:rPr>
        <w:t xml:space="preserve">also </w:t>
      </w:r>
      <w:r>
        <w:rPr>
          <w:rFonts w:ascii="Times New Roman" w:hAnsi="Times New Roman" w:cs="Times New Roman"/>
        </w:rPr>
        <w:t>proposing a change in the timing and wording of the memo to SCNDs</w:t>
      </w:r>
      <w:r w:rsidR="00106A98">
        <w:rPr>
          <w:rFonts w:ascii="Times New Roman" w:hAnsi="Times New Roman" w:cs="Times New Roman"/>
        </w:rPr>
        <w:t xml:space="preserve"> (see attached revision)</w:t>
      </w:r>
      <w:r w:rsidR="00A609EB">
        <w:rPr>
          <w:rFonts w:ascii="Times New Roman" w:hAnsi="Times New Roman" w:cs="Times New Roman"/>
        </w:rPr>
        <w:t xml:space="preserve">.  </w:t>
      </w:r>
      <w:r w:rsidR="00EE18CB" w:rsidRPr="004112E6">
        <w:rPr>
          <w:rFonts w:ascii="Times New Roman" w:hAnsi="Times New Roman" w:cs="Times New Roman"/>
        </w:rPr>
        <w:t xml:space="preserve">The original memo </w:t>
      </w:r>
      <w:r w:rsidR="00A609EB">
        <w:rPr>
          <w:rFonts w:ascii="Times New Roman" w:hAnsi="Times New Roman" w:cs="Times New Roman"/>
        </w:rPr>
        <w:t xml:space="preserve">to SCNDs was scheduled to be transmitted at the same time fielding </w:t>
      </w:r>
      <w:r w:rsidR="00B53A8E">
        <w:rPr>
          <w:rFonts w:ascii="Times New Roman" w:hAnsi="Times New Roman" w:cs="Times New Roman"/>
        </w:rPr>
        <w:t xml:space="preserve">for </w:t>
      </w:r>
      <w:r w:rsidR="00A609EB">
        <w:rPr>
          <w:rFonts w:ascii="Times New Roman" w:hAnsi="Times New Roman" w:cs="Times New Roman"/>
        </w:rPr>
        <w:t xml:space="preserve">the </w:t>
      </w:r>
      <w:r w:rsidR="00B53A8E" w:rsidRPr="004112E6">
        <w:rPr>
          <w:rFonts w:ascii="Times New Roman" w:hAnsi="Times New Roman" w:cs="Times New Roman"/>
        </w:rPr>
        <w:t>SFA Food Service Directors</w:t>
      </w:r>
      <w:r w:rsidR="00B53A8E">
        <w:rPr>
          <w:rFonts w:ascii="Times New Roman" w:hAnsi="Times New Roman" w:cs="Times New Roman"/>
        </w:rPr>
        <w:t xml:space="preserve"> </w:t>
      </w:r>
      <w:r w:rsidR="00A609EB">
        <w:rPr>
          <w:rFonts w:ascii="Times New Roman" w:hAnsi="Times New Roman" w:cs="Times New Roman"/>
        </w:rPr>
        <w:t xml:space="preserve">Census was to begin; the memo requested SCNDs to immediately forward an attached invitation </w:t>
      </w:r>
      <w:r w:rsidR="00B53A8E">
        <w:rPr>
          <w:rFonts w:ascii="Times New Roman" w:hAnsi="Times New Roman" w:cs="Times New Roman"/>
        </w:rPr>
        <w:t xml:space="preserve">to </w:t>
      </w:r>
      <w:r w:rsidR="008E321D" w:rsidRPr="004112E6">
        <w:rPr>
          <w:rFonts w:ascii="Times New Roman" w:hAnsi="Times New Roman" w:cs="Times New Roman"/>
        </w:rPr>
        <w:t>SFA Food Service Directors</w:t>
      </w:r>
      <w:r w:rsidR="00A609EB">
        <w:rPr>
          <w:rFonts w:ascii="Times New Roman" w:hAnsi="Times New Roman" w:cs="Times New Roman"/>
        </w:rPr>
        <w:t xml:space="preserve"> and to provide a list of SFAs to ERS for use in constructing a list frame</w:t>
      </w:r>
      <w:r w:rsidR="008E321D" w:rsidRPr="004112E6">
        <w:rPr>
          <w:rFonts w:ascii="Times New Roman" w:hAnsi="Times New Roman" w:cs="Times New Roman"/>
        </w:rPr>
        <w:t xml:space="preserve">.  </w:t>
      </w:r>
    </w:p>
    <w:p w:rsidR="00A609EB" w:rsidRDefault="00A609EB" w:rsidP="008E321D">
      <w:pPr>
        <w:rPr>
          <w:rFonts w:ascii="Times New Roman" w:hAnsi="Times New Roman" w:cs="Times New Roman"/>
        </w:rPr>
      </w:pPr>
      <w:r>
        <w:rPr>
          <w:rFonts w:ascii="Times New Roman" w:hAnsi="Times New Roman" w:cs="Times New Roman"/>
        </w:rPr>
        <w:t xml:space="preserve">Under the proposed timing change, the memo to SCNDs would be sent several days ahead of the fielding date.   </w:t>
      </w:r>
      <w:r w:rsidRPr="004112E6">
        <w:rPr>
          <w:rFonts w:ascii="Times New Roman" w:hAnsi="Times New Roman" w:cs="Times New Roman"/>
        </w:rPr>
        <w:t xml:space="preserve">We would then send the invitation separately on the date that data collection </w:t>
      </w:r>
      <w:r w:rsidR="00B53A8E">
        <w:rPr>
          <w:rFonts w:ascii="Times New Roman" w:hAnsi="Times New Roman" w:cs="Times New Roman"/>
        </w:rPr>
        <w:t xml:space="preserve">for </w:t>
      </w:r>
      <w:r w:rsidR="00B53A8E" w:rsidRPr="004112E6">
        <w:rPr>
          <w:rFonts w:ascii="Times New Roman" w:hAnsi="Times New Roman" w:cs="Times New Roman"/>
        </w:rPr>
        <w:t>SFA Food Service Directors</w:t>
      </w:r>
      <w:r w:rsidR="00B53A8E">
        <w:rPr>
          <w:rFonts w:ascii="Times New Roman" w:hAnsi="Times New Roman" w:cs="Times New Roman"/>
        </w:rPr>
        <w:t xml:space="preserve"> </w:t>
      </w:r>
      <w:r w:rsidRPr="004112E6">
        <w:rPr>
          <w:rFonts w:ascii="Times New Roman" w:hAnsi="Times New Roman" w:cs="Times New Roman"/>
        </w:rPr>
        <w:t xml:space="preserve">is scheduled to begin, </w:t>
      </w:r>
      <w:r w:rsidR="00106A98">
        <w:rPr>
          <w:rFonts w:ascii="Times New Roman" w:hAnsi="Times New Roman" w:cs="Times New Roman"/>
        </w:rPr>
        <w:t xml:space="preserve">March 11, </w:t>
      </w:r>
      <w:r w:rsidRPr="004112E6">
        <w:rPr>
          <w:rFonts w:ascii="Times New Roman" w:hAnsi="Times New Roman" w:cs="Times New Roman"/>
        </w:rPr>
        <w:t xml:space="preserve">and request that the invitation be forwarded at that time. </w:t>
      </w:r>
      <w:r>
        <w:rPr>
          <w:rFonts w:ascii="Times New Roman" w:hAnsi="Times New Roman" w:cs="Times New Roman"/>
        </w:rPr>
        <w:t xml:space="preserve">  </w:t>
      </w:r>
    </w:p>
    <w:p w:rsidR="00106A98" w:rsidRDefault="00A609EB" w:rsidP="008E321D">
      <w:pPr>
        <w:rPr>
          <w:rFonts w:ascii="Times New Roman" w:hAnsi="Times New Roman" w:cs="Times New Roman"/>
        </w:rPr>
      </w:pPr>
      <w:r>
        <w:rPr>
          <w:rFonts w:ascii="Times New Roman" w:hAnsi="Times New Roman" w:cs="Times New Roman"/>
        </w:rPr>
        <w:t xml:space="preserve">This would provide time to </w:t>
      </w:r>
      <w:r w:rsidR="00106A98">
        <w:rPr>
          <w:rFonts w:ascii="Times New Roman" w:hAnsi="Times New Roman" w:cs="Times New Roman"/>
        </w:rPr>
        <w:t xml:space="preserve">hold the webinar and to ensure that SCNDs are fully prepared to forward the invitation on March 11, and to provide the list of SFAs in that State to ERS for use in developing a </w:t>
      </w:r>
      <w:r w:rsidR="008E321D" w:rsidRPr="004112E6">
        <w:rPr>
          <w:rFonts w:ascii="Times New Roman" w:hAnsi="Times New Roman" w:cs="Times New Roman"/>
        </w:rPr>
        <w:t>list</w:t>
      </w:r>
      <w:r w:rsidR="00E03BC9">
        <w:rPr>
          <w:rFonts w:ascii="Times New Roman" w:hAnsi="Times New Roman" w:cs="Times New Roman"/>
        </w:rPr>
        <w:t xml:space="preserve"> </w:t>
      </w:r>
      <w:r w:rsidR="008E321D" w:rsidRPr="004112E6">
        <w:rPr>
          <w:rFonts w:ascii="Times New Roman" w:hAnsi="Times New Roman" w:cs="Times New Roman"/>
        </w:rPr>
        <w:t>frame</w:t>
      </w:r>
      <w:r w:rsidR="00106A98">
        <w:rPr>
          <w:rFonts w:ascii="Times New Roman" w:hAnsi="Times New Roman" w:cs="Times New Roman"/>
        </w:rPr>
        <w:t xml:space="preserve">. </w:t>
      </w:r>
    </w:p>
    <w:p w:rsidR="00EE18CB" w:rsidRPr="004112E6" w:rsidRDefault="00EE18CB">
      <w:pPr>
        <w:rPr>
          <w:rFonts w:ascii="Times New Roman" w:hAnsi="Times New Roman" w:cs="Times New Roman"/>
        </w:rPr>
      </w:pPr>
    </w:p>
    <w:sectPr w:rsidR="00EE18CB" w:rsidRPr="004112E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0C" w:rsidRDefault="00724B0C">
      <w:pPr>
        <w:spacing w:after="0" w:line="240" w:lineRule="auto"/>
      </w:pPr>
      <w:r>
        <w:separator/>
      </w:r>
    </w:p>
  </w:endnote>
  <w:endnote w:type="continuationSeparator" w:id="0">
    <w:p w:rsidR="00724B0C" w:rsidRDefault="0072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60" w:rsidRDefault="00B92E9D" w:rsidP="00E155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5660" w:rsidRDefault="00724B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60" w:rsidRDefault="00B92E9D" w:rsidP="00E155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4015">
      <w:rPr>
        <w:rStyle w:val="PageNumber"/>
        <w:noProof/>
      </w:rPr>
      <w:t>2</w:t>
    </w:r>
    <w:r>
      <w:rPr>
        <w:rStyle w:val="PageNumber"/>
      </w:rPr>
      <w:fldChar w:fldCharType="end"/>
    </w:r>
  </w:p>
  <w:p w:rsidR="00125660" w:rsidRDefault="00724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0C" w:rsidRDefault="00724B0C">
      <w:pPr>
        <w:spacing w:after="0" w:line="240" w:lineRule="auto"/>
      </w:pPr>
      <w:r>
        <w:separator/>
      </w:r>
    </w:p>
  </w:footnote>
  <w:footnote w:type="continuationSeparator" w:id="0">
    <w:p w:rsidR="00724B0C" w:rsidRDefault="00724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CB"/>
    <w:rsid w:val="00106A98"/>
    <w:rsid w:val="002B3851"/>
    <w:rsid w:val="00351415"/>
    <w:rsid w:val="004112E6"/>
    <w:rsid w:val="004B7E88"/>
    <w:rsid w:val="00522160"/>
    <w:rsid w:val="00645000"/>
    <w:rsid w:val="00724B0C"/>
    <w:rsid w:val="007C6EE4"/>
    <w:rsid w:val="007E5302"/>
    <w:rsid w:val="00844015"/>
    <w:rsid w:val="00864DD2"/>
    <w:rsid w:val="008803A7"/>
    <w:rsid w:val="008E321D"/>
    <w:rsid w:val="009825E1"/>
    <w:rsid w:val="009C6288"/>
    <w:rsid w:val="009E4BAA"/>
    <w:rsid w:val="00A609EB"/>
    <w:rsid w:val="00B53A8E"/>
    <w:rsid w:val="00B92E9D"/>
    <w:rsid w:val="00C8243D"/>
    <w:rsid w:val="00E03BC9"/>
    <w:rsid w:val="00E3798C"/>
    <w:rsid w:val="00EE18CB"/>
    <w:rsid w:val="00FC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DD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112E6"/>
    <w:pPr>
      <w:widowControl w:val="0"/>
      <w:tabs>
        <w:tab w:val="center" w:pos="4320"/>
        <w:tab w:val="right" w:pos="8640"/>
      </w:tabs>
      <w:spacing w:after="0" w:line="240" w:lineRule="auto"/>
    </w:pPr>
    <w:rPr>
      <w:rFonts w:ascii="Times New Roman" w:eastAsia="Times New Roman" w:hAnsi="Times New Roman" w:cs="Times New Roman"/>
      <w:snapToGrid w:val="0"/>
      <w:sz w:val="20"/>
      <w:szCs w:val="20"/>
    </w:rPr>
  </w:style>
  <w:style w:type="character" w:customStyle="1" w:styleId="FooterChar">
    <w:name w:val="Footer Char"/>
    <w:basedOn w:val="DefaultParagraphFont"/>
    <w:link w:val="Footer"/>
    <w:rsid w:val="004112E6"/>
    <w:rPr>
      <w:rFonts w:ascii="Times New Roman" w:eastAsia="Times New Roman" w:hAnsi="Times New Roman" w:cs="Times New Roman"/>
      <w:snapToGrid w:val="0"/>
      <w:sz w:val="20"/>
      <w:szCs w:val="20"/>
    </w:rPr>
  </w:style>
  <w:style w:type="character" w:styleId="PageNumber">
    <w:name w:val="page number"/>
    <w:basedOn w:val="DefaultParagraphFont"/>
    <w:rsid w:val="004112E6"/>
  </w:style>
  <w:style w:type="paragraph" w:styleId="BalloonText">
    <w:name w:val="Balloon Text"/>
    <w:basedOn w:val="Normal"/>
    <w:link w:val="BalloonTextChar"/>
    <w:uiPriority w:val="99"/>
    <w:semiHidden/>
    <w:unhideWhenUsed/>
    <w:rsid w:val="004B7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E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DD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112E6"/>
    <w:pPr>
      <w:widowControl w:val="0"/>
      <w:tabs>
        <w:tab w:val="center" w:pos="4320"/>
        <w:tab w:val="right" w:pos="8640"/>
      </w:tabs>
      <w:spacing w:after="0" w:line="240" w:lineRule="auto"/>
    </w:pPr>
    <w:rPr>
      <w:rFonts w:ascii="Times New Roman" w:eastAsia="Times New Roman" w:hAnsi="Times New Roman" w:cs="Times New Roman"/>
      <w:snapToGrid w:val="0"/>
      <w:sz w:val="20"/>
      <w:szCs w:val="20"/>
    </w:rPr>
  </w:style>
  <w:style w:type="character" w:customStyle="1" w:styleId="FooterChar">
    <w:name w:val="Footer Char"/>
    <w:basedOn w:val="DefaultParagraphFont"/>
    <w:link w:val="Footer"/>
    <w:rsid w:val="004112E6"/>
    <w:rPr>
      <w:rFonts w:ascii="Times New Roman" w:eastAsia="Times New Roman" w:hAnsi="Times New Roman" w:cs="Times New Roman"/>
      <w:snapToGrid w:val="0"/>
      <w:sz w:val="20"/>
      <w:szCs w:val="20"/>
    </w:rPr>
  </w:style>
  <w:style w:type="character" w:styleId="PageNumber">
    <w:name w:val="page number"/>
    <w:basedOn w:val="DefaultParagraphFont"/>
    <w:rsid w:val="004112E6"/>
  </w:style>
  <w:style w:type="paragraph" w:styleId="BalloonText">
    <w:name w:val="Balloon Text"/>
    <w:basedOn w:val="Normal"/>
    <w:link w:val="BalloonTextChar"/>
    <w:uiPriority w:val="99"/>
    <w:semiHidden/>
    <w:unhideWhenUsed/>
    <w:rsid w:val="004B7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E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kralston</dc:creator>
  <cp:keywords/>
  <dc:description/>
  <cp:lastModifiedBy>kralston</cp:lastModifiedBy>
  <cp:revision>4</cp:revision>
  <dcterms:created xsi:type="dcterms:W3CDTF">2013-02-26T22:09:00Z</dcterms:created>
  <dcterms:modified xsi:type="dcterms:W3CDTF">2013-02-26T22:11:00Z</dcterms:modified>
</cp:coreProperties>
</file>