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442F5" w14:textId="77777777" w:rsidR="006B5E71" w:rsidRPr="006B5E71" w:rsidRDefault="00232DFB" w:rsidP="00232DFB">
      <w:pPr>
        <w:pStyle w:val="Title"/>
      </w:pPr>
      <w:bookmarkStart w:id="0" w:name="_GoBack"/>
      <w:bookmarkEnd w:id="0"/>
      <w:r w:rsidRPr="006B5E71">
        <w:t>JUSTIFICATION FOR NONMATERIAL/NONSUBSTANTIVE CHANGE</w:t>
      </w:r>
    </w:p>
    <w:p w14:paraId="650442F6" w14:textId="77777777" w:rsidR="006B5E71" w:rsidRPr="006B5E71" w:rsidRDefault="006B5E71" w:rsidP="00232DFB">
      <w:pPr>
        <w:pStyle w:val="Title"/>
      </w:pPr>
      <w:r w:rsidRPr="006B5E71">
        <w:t>United States Patent and Trademark Office</w:t>
      </w:r>
    </w:p>
    <w:p w14:paraId="650442F7" w14:textId="77777777" w:rsidR="006B5E71" w:rsidRPr="006B5E71" w:rsidRDefault="00B57D43" w:rsidP="00232DFB">
      <w:pPr>
        <w:pStyle w:val="Title"/>
      </w:pPr>
      <w:r w:rsidRPr="00B57D43">
        <w:t>Patent Processing (Updating)</w:t>
      </w:r>
    </w:p>
    <w:p w14:paraId="650442F8" w14:textId="77777777" w:rsidR="00232DFB" w:rsidRPr="006B5E71" w:rsidRDefault="006B5E71" w:rsidP="00232DFB">
      <w:pPr>
        <w:pStyle w:val="Title"/>
      </w:pPr>
      <w:r w:rsidRPr="006B5E71">
        <w:t>OMB CONTROL NUMBER</w:t>
      </w:r>
      <w:r w:rsidR="00232DFB" w:rsidRPr="006B5E71">
        <w:t xml:space="preserve"> 0651-003</w:t>
      </w:r>
      <w:r w:rsidR="00B57D43">
        <w:t>1</w:t>
      </w:r>
    </w:p>
    <w:p w14:paraId="650442F9" w14:textId="77777777" w:rsidR="006B5E71" w:rsidRPr="006B5E71" w:rsidRDefault="006B5E71" w:rsidP="00232DFB">
      <w:pPr>
        <w:pStyle w:val="Title"/>
      </w:pPr>
      <w:r w:rsidRPr="006B5E71">
        <w:t>(</w:t>
      </w:r>
      <w:r w:rsidR="00B57D43">
        <w:t>April 2015</w:t>
      </w:r>
      <w:r w:rsidRPr="006B5E71">
        <w:t>)</w:t>
      </w:r>
    </w:p>
    <w:p w14:paraId="650442FA" w14:textId="77777777" w:rsidR="006B5E71" w:rsidRPr="006B5E71" w:rsidRDefault="006B5E71" w:rsidP="00232DFB">
      <w:pPr>
        <w:jc w:val="both"/>
        <w:rPr>
          <w:rFonts w:ascii="Arial" w:hAnsi="Arial" w:cs="Arial"/>
          <w:color w:val="0070C0"/>
        </w:rPr>
      </w:pPr>
    </w:p>
    <w:p w14:paraId="650442FB" w14:textId="77777777" w:rsidR="006B5E71" w:rsidRPr="006B5E71" w:rsidRDefault="006B5E71" w:rsidP="00B83FF0">
      <w:pPr>
        <w:rPr>
          <w:rFonts w:ascii="Arial" w:hAnsi="Arial" w:cs="Arial"/>
          <w:u w:val="single"/>
        </w:rPr>
      </w:pPr>
      <w:r w:rsidRPr="006B5E71">
        <w:rPr>
          <w:rFonts w:ascii="Arial" w:hAnsi="Arial" w:cs="Arial"/>
          <w:u w:val="single"/>
        </w:rPr>
        <w:t>Background</w:t>
      </w:r>
    </w:p>
    <w:p w14:paraId="650442FC" w14:textId="77777777" w:rsidR="006B5E71" w:rsidRPr="006B5E71" w:rsidRDefault="006B5E71" w:rsidP="00B83FF0">
      <w:pPr>
        <w:rPr>
          <w:rFonts w:ascii="Arial" w:hAnsi="Arial" w:cs="Arial"/>
          <w:color w:val="0070C0"/>
        </w:rPr>
      </w:pPr>
    </w:p>
    <w:p w14:paraId="650442FD" w14:textId="77777777" w:rsidR="001014F8" w:rsidRDefault="00232DFB" w:rsidP="00B83FF0">
      <w:pPr>
        <w:autoSpaceDE w:val="0"/>
        <w:autoSpaceDN w:val="0"/>
        <w:adjustRightInd w:val="0"/>
        <w:rPr>
          <w:rFonts w:ascii="Arial" w:hAnsi="Arial" w:cs="Arial"/>
        </w:rPr>
      </w:pPr>
      <w:r w:rsidRPr="006B5E71">
        <w:rPr>
          <w:rFonts w:ascii="Arial" w:hAnsi="Arial" w:cs="Arial"/>
        </w:rPr>
        <w:t xml:space="preserve">The United States Patent and Trademark Office (USPTO) is submitting this </w:t>
      </w:r>
      <w:r w:rsidR="006B5E71" w:rsidRPr="006B5E71">
        <w:rPr>
          <w:rFonts w:ascii="Arial" w:hAnsi="Arial" w:cs="Arial"/>
        </w:rPr>
        <w:t>request to update information collection 0651-003</w:t>
      </w:r>
      <w:r w:rsidR="00B57D43">
        <w:rPr>
          <w:rFonts w:ascii="Arial" w:hAnsi="Arial" w:cs="Arial"/>
        </w:rPr>
        <w:t>1</w:t>
      </w:r>
      <w:r w:rsidR="003F7BB6">
        <w:rPr>
          <w:rFonts w:ascii="Arial" w:hAnsi="Arial" w:cs="Arial"/>
        </w:rPr>
        <w:t>,</w:t>
      </w:r>
      <w:r w:rsidR="001014F8">
        <w:rPr>
          <w:rFonts w:ascii="Arial" w:hAnsi="Arial" w:cs="Arial"/>
        </w:rPr>
        <w:t xml:space="preserve"> </w:t>
      </w:r>
      <w:r w:rsidR="003F7BB6">
        <w:rPr>
          <w:rFonts w:ascii="Arial" w:hAnsi="Arial" w:cs="Arial"/>
        </w:rPr>
        <w:t>“</w:t>
      </w:r>
      <w:r w:rsidR="00B57D43">
        <w:rPr>
          <w:rFonts w:ascii="Arial" w:hAnsi="Arial" w:cs="Arial"/>
        </w:rPr>
        <w:t>Patent Processing (Updating)</w:t>
      </w:r>
      <w:r w:rsidR="001014F8">
        <w:rPr>
          <w:rFonts w:ascii="Arial" w:hAnsi="Arial" w:cs="Arial"/>
        </w:rPr>
        <w:t>.</w:t>
      </w:r>
      <w:r w:rsidR="003F7BB6">
        <w:rPr>
          <w:rFonts w:ascii="Arial" w:hAnsi="Arial" w:cs="Arial"/>
        </w:rPr>
        <w:t>”</w:t>
      </w:r>
      <w:r w:rsidR="001014F8">
        <w:rPr>
          <w:rFonts w:ascii="Arial" w:hAnsi="Arial" w:cs="Arial"/>
        </w:rPr>
        <w:t xml:space="preserve"> </w:t>
      </w:r>
      <w:r w:rsidR="007A158A">
        <w:rPr>
          <w:rFonts w:ascii="Arial" w:hAnsi="Arial" w:cs="Arial"/>
        </w:rPr>
        <w:t>Specifically, f</w:t>
      </w:r>
      <w:r w:rsidR="00560105">
        <w:rPr>
          <w:rFonts w:ascii="Arial" w:hAnsi="Arial" w:cs="Arial"/>
        </w:rPr>
        <w:t xml:space="preserve">or consistency with amendments made to title 35, United States Code, by </w:t>
      </w:r>
      <w:r w:rsidR="0050293C">
        <w:rPr>
          <w:rFonts w:ascii="Arial" w:hAnsi="Arial" w:cs="Arial"/>
        </w:rPr>
        <w:t xml:space="preserve">provisions of </w:t>
      </w:r>
      <w:r w:rsidR="00560105">
        <w:rPr>
          <w:rFonts w:ascii="Arial" w:hAnsi="Arial" w:cs="Arial"/>
        </w:rPr>
        <w:t xml:space="preserve">title I of the </w:t>
      </w:r>
      <w:r w:rsidR="00560105" w:rsidRPr="00560105">
        <w:rPr>
          <w:rFonts w:ascii="Arial" w:hAnsi="Arial" w:cs="Arial"/>
        </w:rPr>
        <w:t>Patent Law Treaties Implementation Act of 2012</w:t>
      </w:r>
      <w:r w:rsidR="00560105">
        <w:rPr>
          <w:rFonts w:ascii="Arial" w:hAnsi="Arial" w:cs="Arial"/>
        </w:rPr>
        <w:t xml:space="preserve"> (“PLTIA”)</w:t>
      </w:r>
      <w:r w:rsidR="007A158A">
        <w:rPr>
          <w:rFonts w:ascii="Arial" w:hAnsi="Arial" w:cs="Arial"/>
        </w:rPr>
        <w:t xml:space="preserve"> </w:t>
      </w:r>
      <w:r w:rsidR="0050293C">
        <w:rPr>
          <w:rFonts w:ascii="Arial" w:hAnsi="Arial" w:cs="Arial"/>
        </w:rPr>
        <w:t xml:space="preserve">which </w:t>
      </w:r>
      <w:r w:rsidR="007A158A" w:rsidRPr="007A158A">
        <w:rPr>
          <w:rFonts w:ascii="Arial" w:hAnsi="Arial" w:cs="Arial"/>
        </w:rPr>
        <w:t>implement the provisions of the Geneva Act of the Hague Agreement Concerning the International Registration of Industrial Designs, July 2, 1999, 2279 U.N.T.S. 156</w:t>
      </w:r>
      <w:r w:rsidR="007A158A">
        <w:rPr>
          <w:rFonts w:ascii="Arial" w:hAnsi="Arial" w:cs="Arial"/>
        </w:rPr>
        <w:t xml:space="preserve"> </w:t>
      </w:r>
      <w:r w:rsidR="007A158A" w:rsidRPr="007A158A">
        <w:rPr>
          <w:rFonts w:ascii="Arial" w:hAnsi="Arial" w:cs="Arial"/>
        </w:rPr>
        <w:t>(hereinafter “Hague Agreement”)</w:t>
      </w:r>
      <w:r w:rsidR="00560105">
        <w:rPr>
          <w:rFonts w:ascii="Arial" w:hAnsi="Arial" w:cs="Arial"/>
        </w:rPr>
        <w:t xml:space="preserve">, and for consistency </w:t>
      </w:r>
      <w:r w:rsidR="007A158A">
        <w:rPr>
          <w:rFonts w:ascii="Arial" w:hAnsi="Arial" w:cs="Arial"/>
        </w:rPr>
        <w:t xml:space="preserve">with revisions </w:t>
      </w:r>
      <w:r w:rsidR="0050293C">
        <w:rPr>
          <w:rFonts w:ascii="Arial" w:hAnsi="Arial" w:cs="Arial"/>
        </w:rPr>
        <w:t xml:space="preserve">made </w:t>
      </w:r>
      <w:r w:rsidR="007A158A">
        <w:rPr>
          <w:rFonts w:ascii="Arial" w:hAnsi="Arial" w:cs="Arial"/>
        </w:rPr>
        <w:t xml:space="preserve">to </w:t>
      </w:r>
      <w:r w:rsidR="00560105" w:rsidRPr="00560105">
        <w:rPr>
          <w:rFonts w:ascii="Arial" w:hAnsi="Arial" w:cs="Arial"/>
        </w:rPr>
        <w:t xml:space="preserve">the relevant rules of practice in Title 37, Chapter I, of the Code of Federal Regulations </w:t>
      </w:r>
      <w:r w:rsidR="0050293C">
        <w:rPr>
          <w:rFonts w:ascii="Arial" w:hAnsi="Arial" w:cs="Arial"/>
        </w:rPr>
        <w:t xml:space="preserve">in order </w:t>
      </w:r>
      <w:r w:rsidR="00560105" w:rsidRPr="00560105">
        <w:rPr>
          <w:rFonts w:ascii="Arial" w:hAnsi="Arial" w:cs="Arial"/>
        </w:rPr>
        <w:t>to implement title I of the PLTIA</w:t>
      </w:r>
      <w:r w:rsidR="007A158A">
        <w:rPr>
          <w:rFonts w:ascii="Arial" w:hAnsi="Arial" w:cs="Arial"/>
        </w:rPr>
        <w:t>,</w:t>
      </w:r>
      <w:r w:rsidR="00560105" w:rsidRPr="00560105">
        <w:rPr>
          <w:rFonts w:ascii="Arial" w:hAnsi="Arial" w:cs="Arial"/>
        </w:rPr>
        <w:t xml:space="preserve"> </w:t>
      </w:r>
      <w:r w:rsidR="007A158A">
        <w:rPr>
          <w:rFonts w:ascii="Arial" w:hAnsi="Arial" w:cs="Arial"/>
        </w:rPr>
        <w:t>t</w:t>
      </w:r>
      <w:r w:rsidR="001014F8">
        <w:rPr>
          <w:rFonts w:ascii="Arial" w:hAnsi="Arial" w:cs="Arial"/>
        </w:rPr>
        <w:t>he USPTO</w:t>
      </w:r>
      <w:r w:rsidR="0063436C">
        <w:rPr>
          <w:rFonts w:ascii="Arial" w:hAnsi="Arial" w:cs="Arial"/>
        </w:rPr>
        <w:t xml:space="preserve"> is</w:t>
      </w:r>
      <w:r w:rsidR="001014F8">
        <w:rPr>
          <w:rFonts w:ascii="Arial" w:hAnsi="Arial" w:cs="Arial"/>
        </w:rPr>
        <w:t xml:space="preserve"> submitting </w:t>
      </w:r>
      <w:r w:rsidR="007A158A">
        <w:rPr>
          <w:rFonts w:ascii="Arial" w:hAnsi="Arial" w:cs="Arial"/>
        </w:rPr>
        <w:t xml:space="preserve">revised versions of </w:t>
      </w:r>
      <w:r w:rsidR="00560105">
        <w:rPr>
          <w:rFonts w:ascii="Arial" w:hAnsi="Arial" w:cs="Arial"/>
        </w:rPr>
        <w:t xml:space="preserve">the following </w:t>
      </w:r>
      <w:r w:rsidR="007A158A">
        <w:rPr>
          <w:rFonts w:ascii="Arial" w:hAnsi="Arial" w:cs="Arial"/>
        </w:rPr>
        <w:t>six</w:t>
      </w:r>
      <w:r w:rsidR="00560105">
        <w:rPr>
          <w:rFonts w:ascii="Arial" w:hAnsi="Arial" w:cs="Arial"/>
        </w:rPr>
        <w:t xml:space="preserve"> </w:t>
      </w:r>
      <w:r w:rsidR="001014F8">
        <w:rPr>
          <w:rFonts w:ascii="Arial" w:hAnsi="Arial" w:cs="Arial"/>
        </w:rPr>
        <w:t xml:space="preserve">forms </w:t>
      </w:r>
      <w:r w:rsidR="00560105">
        <w:rPr>
          <w:rFonts w:ascii="Arial" w:hAnsi="Arial" w:cs="Arial"/>
        </w:rPr>
        <w:t xml:space="preserve">currently </w:t>
      </w:r>
      <w:r w:rsidR="006B5E71" w:rsidRPr="006B5E71">
        <w:rPr>
          <w:rFonts w:ascii="Arial" w:hAnsi="Arial" w:cs="Arial"/>
        </w:rPr>
        <w:t>in this collection</w:t>
      </w:r>
      <w:r w:rsidR="001014F8">
        <w:rPr>
          <w:rFonts w:ascii="Arial" w:hAnsi="Arial" w:cs="Arial"/>
        </w:rPr>
        <w:t>:</w:t>
      </w:r>
    </w:p>
    <w:p w14:paraId="650442FE" w14:textId="77777777" w:rsidR="001014F8" w:rsidRDefault="001014F8" w:rsidP="00B83FF0">
      <w:pPr>
        <w:autoSpaceDE w:val="0"/>
        <w:autoSpaceDN w:val="0"/>
        <w:adjustRightInd w:val="0"/>
        <w:rPr>
          <w:rFonts w:ascii="Arial" w:hAnsi="Arial" w:cs="Arial"/>
        </w:rPr>
      </w:pPr>
    </w:p>
    <w:p w14:paraId="650442FF" w14:textId="77777777" w:rsidR="00DC1DA8" w:rsidRDefault="00DC1DA8" w:rsidP="007A158A">
      <w:pPr>
        <w:tabs>
          <w:tab w:val="left" w:pos="1440"/>
        </w:tabs>
        <w:autoSpaceDE w:val="0"/>
        <w:autoSpaceDN w:val="0"/>
        <w:adjustRightInd w:val="0"/>
        <w:rPr>
          <w:rFonts w:ascii="Arial" w:hAnsi="Arial" w:cs="Arial"/>
        </w:rPr>
      </w:pPr>
      <w:r>
        <w:rPr>
          <w:rFonts w:ascii="Arial" w:hAnsi="Arial" w:cs="Arial"/>
        </w:rPr>
        <w:t>(1)</w:t>
      </w:r>
      <w:r w:rsidR="007A158A">
        <w:rPr>
          <w:rFonts w:ascii="Arial" w:hAnsi="Arial" w:cs="Arial"/>
        </w:rPr>
        <w:tab/>
        <w:t>Processing Fee Under 37 CFR 1.17(i) Transmittal (PTO/SB/17i)</w:t>
      </w:r>
    </w:p>
    <w:p w14:paraId="65044300" w14:textId="77777777" w:rsidR="00DC1DA8" w:rsidRDefault="00DC1DA8" w:rsidP="00DC1DA8">
      <w:pPr>
        <w:autoSpaceDE w:val="0"/>
        <w:autoSpaceDN w:val="0"/>
        <w:adjustRightInd w:val="0"/>
        <w:ind w:left="1440" w:hanging="1440"/>
        <w:rPr>
          <w:rFonts w:ascii="Arial" w:hAnsi="Arial" w:cs="Arial"/>
        </w:rPr>
      </w:pPr>
      <w:r>
        <w:rPr>
          <w:rFonts w:ascii="Arial" w:hAnsi="Arial" w:cs="Arial"/>
        </w:rPr>
        <w:t>(2)</w:t>
      </w:r>
      <w:r>
        <w:rPr>
          <w:rFonts w:ascii="Arial" w:hAnsi="Arial" w:cs="Arial"/>
        </w:rPr>
        <w:tab/>
      </w:r>
      <w:r w:rsidR="007A158A">
        <w:rPr>
          <w:rFonts w:ascii="Arial" w:hAnsi="Arial" w:cs="Arial"/>
        </w:rPr>
        <w:t xml:space="preserve">Request for Expedited Examination of a Design Application </w:t>
      </w:r>
      <w:r w:rsidR="006D1994">
        <w:rPr>
          <w:rFonts w:ascii="Arial" w:hAnsi="Arial" w:cs="Arial"/>
        </w:rPr>
        <w:t xml:space="preserve">(37 CFR 1.155) </w:t>
      </w:r>
      <w:r w:rsidR="007A158A">
        <w:rPr>
          <w:rFonts w:ascii="Arial" w:hAnsi="Arial" w:cs="Arial"/>
        </w:rPr>
        <w:t>(PTO/SB/27)</w:t>
      </w:r>
    </w:p>
    <w:p w14:paraId="65044301" w14:textId="77777777" w:rsidR="00DC1DA8" w:rsidRDefault="00DC1DA8" w:rsidP="00DC1DA8">
      <w:pPr>
        <w:autoSpaceDE w:val="0"/>
        <w:autoSpaceDN w:val="0"/>
        <w:adjustRightInd w:val="0"/>
        <w:ind w:left="1440" w:hanging="1440"/>
        <w:rPr>
          <w:rFonts w:ascii="Arial" w:hAnsi="Arial" w:cs="Arial"/>
        </w:rPr>
      </w:pPr>
      <w:r>
        <w:rPr>
          <w:rFonts w:ascii="Arial" w:hAnsi="Arial" w:cs="Arial"/>
        </w:rPr>
        <w:t>(</w:t>
      </w:r>
      <w:r w:rsidR="007A158A">
        <w:rPr>
          <w:rFonts w:ascii="Arial" w:hAnsi="Arial" w:cs="Arial"/>
        </w:rPr>
        <w:t>3</w:t>
      </w:r>
      <w:r>
        <w:rPr>
          <w:rFonts w:ascii="Arial" w:hAnsi="Arial" w:cs="Arial"/>
        </w:rPr>
        <w:t>)</w:t>
      </w:r>
      <w:r>
        <w:rPr>
          <w:rFonts w:ascii="Arial" w:hAnsi="Arial" w:cs="Arial"/>
        </w:rPr>
        <w:tab/>
      </w:r>
      <w:r w:rsidR="007A158A">
        <w:rPr>
          <w:rFonts w:ascii="Arial" w:hAnsi="Arial" w:cs="Arial"/>
        </w:rPr>
        <w:t>Request for Continued Examination (RCE) Transmittal (PTO/SB/30)</w:t>
      </w:r>
    </w:p>
    <w:p w14:paraId="65044302" w14:textId="77777777" w:rsidR="007A158A" w:rsidRDefault="007A158A" w:rsidP="00DC1DA8">
      <w:pPr>
        <w:autoSpaceDE w:val="0"/>
        <w:autoSpaceDN w:val="0"/>
        <w:adjustRightInd w:val="0"/>
        <w:ind w:left="1440" w:hanging="1440"/>
        <w:rPr>
          <w:rFonts w:ascii="Arial" w:hAnsi="Arial" w:cs="Arial"/>
        </w:rPr>
      </w:pPr>
      <w:r>
        <w:rPr>
          <w:rFonts w:ascii="Arial" w:hAnsi="Arial" w:cs="Arial"/>
        </w:rPr>
        <w:t>(4)</w:t>
      </w:r>
      <w:r>
        <w:rPr>
          <w:rFonts w:ascii="Arial" w:hAnsi="Arial" w:cs="Arial"/>
        </w:rPr>
        <w:tab/>
        <w:t xml:space="preserve">Request for Continued Examination (RCE) Transmittal </w:t>
      </w:r>
      <w:r w:rsidR="006D1994">
        <w:rPr>
          <w:rFonts w:ascii="Arial" w:hAnsi="Arial" w:cs="Arial"/>
        </w:rPr>
        <w:t xml:space="preserve">(Submitted Only via EFS-Web) </w:t>
      </w:r>
      <w:r>
        <w:rPr>
          <w:rFonts w:ascii="Arial" w:hAnsi="Arial" w:cs="Arial"/>
        </w:rPr>
        <w:t>(PTO/SB/30</w:t>
      </w:r>
      <w:r w:rsidR="007313B7">
        <w:rPr>
          <w:rFonts w:ascii="Arial" w:hAnsi="Arial" w:cs="Arial"/>
        </w:rPr>
        <w:t>EFS</w:t>
      </w:r>
      <w:r>
        <w:rPr>
          <w:rFonts w:ascii="Arial" w:hAnsi="Arial" w:cs="Arial"/>
        </w:rPr>
        <w:t>)</w:t>
      </w:r>
    </w:p>
    <w:p w14:paraId="65044303" w14:textId="77777777" w:rsidR="006D1994" w:rsidRDefault="006D1994" w:rsidP="00DC1DA8">
      <w:pPr>
        <w:autoSpaceDE w:val="0"/>
        <w:autoSpaceDN w:val="0"/>
        <w:adjustRightInd w:val="0"/>
        <w:ind w:left="1440" w:hanging="1440"/>
        <w:rPr>
          <w:rFonts w:ascii="Arial" w:hAnsi="Arial" w:cs="Arial"/>
        </w:rPr>
      </w:pPr>
      <w:r>
        <w:rPr>
          <w:rFonts w:ascii="Arial" w:hAnsi="Arial" w:cs="Arial"/>
        </w:rPr>
        <w:t>(5)</w:t>
      </w:r>
      <w:r>
        <w:rPr>
          <w:rFonts w:ascii="Arial" w:hAnsi="Arial" w:cs="Arial"/>
        </w:rPr>
        <w:tab/>
        <w:t>Request to Retrieve Electronic Priority Application(s) (PTO/SB/38)</w:t>
      </w:r>
    </w:p>
    <w:p w14:paraId="65044304" w14:textId="77777777" w:rsidR="006D1994" w:rsidRDefault="006D1994" w:rsidP="00DC1DA8">
      <w:pPr>
        <w:autoSpaceDE w:val="0"/>
        <w:autoSpaceDN w:val="0"/>
        <w:adjustRightInd w:val="0"/>
        <w:ind w:left="1440" w:hanging="1440"/>
        <w:rPr>
          <w:rFonts w:ascii="Arial" w:hAnsi="Arial" w:cs="Arial"/>
        </w:rPr>
      </w:pPr>
      <w:r>
        <w:rPr>
          <w:rFonts w:ascii="Arial" w:hAnsi="Arial" w:cs="Arial"/>
        </w:rPr>
        <w:t>(6)</w:t>
      </w:r>
      <w:r>
        <w:rPr>
          <w:rFonts w:ascii="Arial" w:hAnsi="Arial" w:cs="Arial"/>
        </w:rPr>
        <w:tab/>
        <w:t>Request for Access to an Abandoned Application under 37 CFR 1.14 (PTO/SB/68)</w:t>
      </w:r>
    </w:p>
    <w:p w14:paraId="65044305" w14:textId="77777777" w:rsidR="000564BC" w:rsidRDefault="000564BC" w:rsidP="00B83FF0">
      <w:pPr>
        <w:rPr>
          <w:rFonts w:ascii="Arial" w:hAnsi="Arial" w:cs="Arial"/>
        </w:rPr>
      </w:pPr>
    </w:p>
    <w:p w14:paraId="65044306" w14:textId="77777777" w:rsidR="00DD0430" w:rsidRDefault="00276857" w:rsidP="00DD0430">
      <w:pPr>
        <w:rPr>
          <w:rFonts w:ascii="Arial" w:hAnsi="Arial" w:cs="Arial"/>
        </w:rPr>
      </w:pPr>
      <w:r>
        <w:rPr>
          <w:rFonts w:ascii="Arial" w:hAnsi="Arial" w:cs="Arial"/>
        </w:rPr>
        <w:t xml:space="preserve">On </w:t>
      </w:r>
      <w:r w:rsidR="00DD0430">
        <w:rPr>
          <w:rFonts w:ascii="Arial" w:hAnsi="Arial" w:cs="Arial"/>
        </w:rPr>
        <w:t xml:space="preserve">April 2, 2015, the USPTO </w:t>
      </w:r>
      <w:r>
        <w:rPr>
          <w:rFonts w:ascii="Arial" w:hAnsi="Arial" w:cs="Arial"/>
        </w:rPr>
        <w:t xml:space="preserve">published </w:t>
      </w:r>
      <w:r w:rsidR="00DD0430">
        <w:rPr>
          <w:rFonts w:ascii="Arial" w:hAnsi="Arial" w:cs="Arial"/>
        </w:rPr>
        <w:t xml:space="preserve">the </w:t>
      </w:r>
      <w:r>
        <w:rPr>
          <w:rFonts w:ascii="Arial" w:hAnsi="Arial" w:cs="Arial"/>
        </w:rPr>
        <w:t>final rule</w:t>
      </w:r>
      <w:r w:rsidR="00DD0430">
        <w:rPr>
          <w:rFonts w:ascii="Arial" w:hAnsi="Arial" w:cs="Arial"/>
        </w:rPr>
        <w:t xml:space="preserve"> “Changes To Implement the Hague Agreement Concerning International Registration of Industrial Designs” in the </w:t>
      </w:r>
      <w:r w:rsidR="00DD0430" w:rsidRPr="00DD0430">
        <w:rPr>
          <w:rFonts w:ascii="Arial" w:hAnsi="Arial" w:cs="Arial"/>
          <w:i/>
        </w:rPr>
        <w:t>Federal Register</w:t>
      </w:r>
      <w:r w:rsidR="00DD0430">
        <w:rPr>
          <w:rFonts w:ascii="Arial" w:hAnsi="Arial" w:cs="Arial"/>
        </w:rPr>
        <w:t xml:space="preserve"> at 80 FR 17918</w:t>
      </w:r>
      <w:r>
        <w:rPr>
          <w:rFonts w:ascii="Arial" w:hAnsi="Arial" w:cs="Arial"/>
        </w:rPr>
        <w:t xml:space="preserve">. </w:t>
      </w:r>
      <w:r w:rsidR="00DD0430" w:rsidRPr="00DD0430">
        <w:rPr>
          <w:rFonts w:ascii="Arial" w:hAnsi="Arial" w:cs="Arial"/>
        </w:rPr>
        <w:t>Under</w:t>
      </w:r>
      <w:r w:rsidR="00DD0430">
        <w:rPr>
          <w:rFonts w:ascii="Arial" w:hAnsi="Arial" w:cs="Arial"/>
        </w:rPr>
        <w:t xml:space="preserve"> </w:t>
      </w:r>
      <w:r w:rsidR="00DD0430" w:rsidRPr="00DD0430">
        <w:rPr>
          <w:rFonts w:ascii="Arial" w:hAnsi="Arial" w:cs="Arial"/>
        </w:rPr>
        <w:t>the Hague Agreement, qualified applicants may apply</w:t>
      </w:r>
      <w:r w:rsidR="00DD0430">
        <w:rPr>
          <w:rFonts w:ascii="Arial" w:hAnsi="Arial" w:cs="Arial"/>
        </w:rPr>
        <w:t xml:space="preserve"> </w:t>
      </w:r>
      <w:r w:rsidR="00DD0430" w:rsidRPr="00DD0430">
        <w:rPr>
          <w:rFonts w:ascii="Arial" w:hAnsi="Arial" w:cs="Arial"/>
        </w:rPr>
        <w:t>for design protection in the Contracting</w:t>
      </w:r>
      <w:r w:rsidR="00DD0430">
        <w:rPr>
          <w:rFonts w:ascii="Arial" w:hAnsi="Arial" w:cs="Arial"/>
        </w:rPr>
        <w:t xml:space="preserve"> </w:t>
      </w:r>
      <w:r w:rsidR="00DD0430" w:rsidRPr="00DD0430">
        <w:rPr>
          <w:rFonts w:ascii="Arial" w:hAnsi="Arial" w:cs="Arial"/>
        </w:rPr>
        <w:t>Parties to the Hague Agreement by filing</w:t>
      </w:r>
      <w:r w:rsidR="00DD0430">
        <w:rPr>
          <w:rFonts w:ascii="Arial" w:hAnsi="Arial" w:cs="Arial"/>
        </w:rPr>
        <w:t xml:space="preserve"> </w:t>
      </w:r>
      <w:r w:rsidR="00DD0430" w:rsidRPr="00DD0430">
        <w:rPr>
          <w:rFonts w:ascii="Arial" w:hAnsi="Arial" w:cs="Arial"/>
        </w:rPr>
        <w:t>a single, standardized international</w:t>
      </w:r>
      <w:r w:rsidR="00DD0430">
        <w:rPr>
          <w:rFonts w:ascii="Arial" w:hAnsi="Arial" w:cs="Arial"/>
        </w:rPr>
        <w:t xml:space="preserve"> </w:t>
      </w:r>
      <w:r w:rsidR="00DD0430" w:rsidRPr="00DD0430">
        <w:rPr>
          <w:rFonts w:ascii="Arial" w:hAnsi="Arial" w:cs="Arial"/>
        </w:rPr>
        <w:t>design application in a single language.</w:t>
      </w:r>
      <w:r w:rsidR="00DD0430">
        <w:rPr>
          <w:rFonts w:ascii="Arial" w:hAnsi="Arial" w:cs="Arial"/>
        </w:rPr>
        <w:t xml:space="preserve"> The April 2 </w:t>
      </w:r>
      <w:r w:rsidR="00DD0430" w:rsidRPr="00DD0430">
        <w:rPr>
          <w:rFonts w:ascii="Arial" w:hAnsi="Arial" w:cs="Arial"/>
        </w:rPr>
        <w:t>final rule revises</w:t>
      </w:r>
      <w:r w:rsidR="00DD0430">
        <w:rPr>
          <w:rFonts w:ascii="Arial" w:hAnsi="Arial" w:cs="Arial"/>
        </w:rPr>
        <w:t xml:space="preserve"> </w:t>
      </w:r>
      <w:r w:rsidR="00DD0430" w:rsidRPr="00DD0430">
        <w:rPr>
          <w:rFonts w:ascii="Arial" w:hAnsi="Arial" w:cs="Arial"/>
        </w:rPr>
        <w:t>the relevant rules of practice in title 37,</w:t>
      </w:r>
      <w:r w:rsidR="00DD0430">
        <w:rPr>
          <w:rFonts w:ascii="Arial" w:hAnsi="Arial" w:cs="Arial"/>
        </w:rPr>
        <w:t xml:space="preserve"> </w:t>
      </w:r>
      <w:r w:rsidR="00DD0430" w:rsidRPr="00DD0430">
        <w:rPr>
          <w:rFonts w:ascii="Arial" w:hAnsi="Arial" w:cs="Arial"/>
        </w:rPr>
        <w:t>chapter I, of the Code of Federal</w:t>
      </w:r>
      <w:r w:rsidR="00DD0430">
        <w:rPr>
          <w:rFonts w:ascii="Arial" w:hAnsi="Arial" w:cs="Arial"/>
        </w:rPr>
        <w:t xml:space="preserve"> </w:t>
      </w:r>
      <w:r w:rsidR="00DD0430" w:rsidRPr="00DD0430">
        <w:rPr>
          <w:rFonts w:ascii="Arial" w:hAnsi="Arial" w:cs="Arial"/>
        </w:rPr>
        <w:t>Regulations to implement title I of the</w:t>
      </w:r>
      <w:r w:rsidR="00DD0430">
        <w:rPr>
          <w:rFonts w:ascii="Arial" w:hAnsi="Arial" w:cs="Arial"/>
        </w:rPr>
        <w:t xml:space="preserve"> </w:t>
      </w:r>
      <w:r w:rsidR="00DD0430" w:rsidRPr="00DD0430">
        <w:rPr>
          <w:rFonts w:ascii="Arial" w:hAnsi="Arial" w:cs="Arial"/>
        </w:rPr>
        <w:t>PLTIA.</w:t>
      </w:r>
      <w:r w:rsidR="00DD0430">
        <w:rPr>
          <w:rFonts w:ascii="Arial" w:hAnsi="Arial" w:cs="Arial"/>
        </w:rPr>
        <w:t xml:space="preserve"> The changes in the April 2 final rule take effect on May 13, 2015.</w:t>
      </w:r>
    </w:p>
    <w:p w14:paraId="65044307" w14:textId="77777777" w:rsidR="00DD0430" w:rsidRDefault="00DD0430" w:rsidP="00DD0430">
      <w:pPr>
        <w:rPr>
          <w:rFonts w:ascii="Arial" w:hAnsi="Arial" w:cs="Arial"/>
        </w:rPr>
      </w:pPr>
    </w:p>
    <w:p w14:paraId="65044308" w14:textId="77777777" w:rsidR="00DD0430" w:rsidRPr="00DD0430" w:rsidRDefault="00DD0430" w:rsidP="00DD0430">
      <w:pPr>
        <w:rPr>
          <w:rFonts w:ascii="Arial" w:hAnsi="Arial" w:cs="Arial"/>
        </w:rPr>
      </w:pPr>
      <w:r>
        <w:rPr>
          <w:rFonts w:ascii="Arial" w:hAnsi="Arial" w:cs="Arial"/>
        </w:rPr>
        <w:t xml:space="preserve">During the rulemaking process for the April 2 final rule, the USPTO submitted </w:t>
      </w:r>
      <w:r w:rsidRPr="00DD0430">
        <w:rPr>
          <w:rFonts w:ascii="Arial" w:hAnsi="Arial" w:cs="Arial"/>
        </w:rPr>
        <w:t>a new information</w:t>
      </w:r>
      <w:r>
        <w:rPr>
          <w:rFonts w:ascii="Arial" w:hAnsi="Arial" w:cs="Arial"/>
        </w:rPr>
        <w:t xml:space="preserve"> </w:t>
      </w:r>
      <w:r w:rsidRPr="00DD0430">
        <w:rPr>
          <w:rFonts w:ascii="Arial" w:hAnsi="Arial" w:cs="Arial"/>
        </w:rPr>
        <w:t>collection under OMB control number</w:t>
      </w:r>
      <w:r>
        <w:rPr>
          <w:rFonts w:ascii="Arial" w:hAnsi="Arial" w:cs="Arial"/>
        </w:rPr>
        <w:t xml:space="preserve"> </w:t>
      </w:r>
      <w:r w:rsidRPr="00DD0430">
        <w:rPr>
          <w:rFonts w:ascii="Arial" w:hAnsi="Arial" w:cs="Arial"/>
        </w:rPr>
        <w:t>0651–0075 (‘‘International Design</w:t>
      </w:r>
    </w:p>
    <w:p w14:paraId="65044309" w14:textId="77777777" w:rsidR="0023644B" w:rsidRDefault="00DD0430" w:rsidP="00DD0430">
      <w:pPr>
        <w:rPr>
          <w:rFonts w:ascii="Arial" w:hAnsi="Arial" w:cs="Arial"/>
        </w:rPr>
      </w:pPr>
      <w:r w:rsidRPr="00DD0430">
        <w:rPr>
          <w:rFonts w:ascii="Arial" w:hAnsi="Arial" w:cs="Arial"/>
        </w:rPr>
        <w:t>Applications (Hague Agreement)’’)</w:t>
      </w:r>
      <w:r w:rsidR="00276857">
        <w:rPr>
          <w:rFonts w:ascii="Arial" w:hAnsi="Arial" w:cs="Arial"/>
        </w:rPr>
        <w:t xml:space="preserve">. </w:t>
      </w:r>
      <w:r w:rsidR="0023644B">
        <w:rPr>
          <w:rFonts w:ascii="Arial" w:hAnsi="Arial" w:cs="Arial"/>
        </w:rPr>
        <w:t xml:space="preserve">The USPTO submitted collection 0651-0075 to account for </w:t>
      </w:r>
      <w:r w:rsidR="0074422E">
        <w:rPr>
          <w:rFonts w:ascii="Arial" w:hAnsi="Arial" w:cs="Arial"/>
        </w:rPr>
        <w:t>the new application procedure</w:t>
      </w:r>
      <w:r w:rsidR="0023644B">
        <w:rPr>
          <w:rFonts w:ascii="Arial" w:hAnsi="Arial" w:cs="Arial"/>
        </w:rPr>
        <w:t xml:space="preserve"> for international design applications created by the final rule. OMB approved collection 0651-0075 on September 2, 2014.</w:t>
      </w:r>
    </w:p>
    <w:p w14:paraId="6504430A" w14:textId="77777777" w:rsidR="0023644B" w:rsidRDefault="0023644B" w:rsidP="00DD0430">
      <w:pPr>
        <w:rPr>
          <w:rFonts w:ascii="Arial" w:hAnsi="Arial" w:cs="Arial"/>
        </w:rPr>
      </w:pPr>
    </w:p>
    <w:p w14:paraId="6504430B" w14:textId="77777777" w:rsidR="00276857" w:rsidRDefault="00276857" w:rsidP="00DD0430">
      <w:pPr>
        <w:rPr>
          <w:rFonts w:ascii="Arial" w:hAnsi="Arial" w:cs="Arial"/>
        </w:rPr>
      </w:pPr>
      <w:r>
        <w:rPr>
          <w:rFonts w:ascii="Arial" w:hAnsi="Arial" w:cs="Arial"/>
        </w:rPr>
        <w:t xml:space="preserve">The </w:t>
      </w:r>
      <w:r w:rsidR="0074422E">
        <w:rPr>
          <w:rFonts w:ascii="Arial" w:hAnsi="Arial" w:cs="Arial"/>
        </w:rPr>
        <w:t xml:space="preserve">USPTO is not making the </w:t>
      </w:r>
      <w:r>
        <w:rPr>
          <w:rFonts w:ascii="Arial" w:hAnsi="Arial" w:cs="Arial"/>
        </w:rPr>
        <w:t xml:space="preserve">present submission </w:t>
      </w:r>
      <w:r w:rsidR="0074422E">
        <w:rPr>
          <w:rFonts w:ascii="Arial" w:hAnsi="Arial" w:cs="Arial"/>
        </w:rPr>
        <w:t xml:space="preserve">to account for </w:t>
      </w:r>
      <w:r w:rsidR="001F34D8">
        <w:rPr>
          <w:rFonts w:ascii="Arial" w:hAnsi="Arial" w:cs="Arial"/>
        </w:rPr>
        <w:t>any new application procedure</w:t>
      </w:r>
      <w:r w:rsidR="0074422E">
        <w:rPr>
          <w:rFonts w:ascii="Arial" w:hAnsi="Arial" w:cs="Arial"/>
        </w:rPr>
        <w:t xml:space="preserve">, or to otherwise add </w:t>
      </w:r>
      <w:r w:rsidR="001F34D8">
        <w:rPr>
          <w:rFonts w:ascii="Arial" w:hAnsi="Arial" w:cs="Arial"/>
        </w:rPr>
        <w:t>any new collection</w:t>
      </w:r>
      <w:r w:rsidR="0074422E">
        <w:rPr>
          <w:rFonts w:ascii="Arial" w:hAnsi="Arial" w:cs="Arial"/>
        </w:rPr>
        <w:t xml:space="preserve"> of information</w:t>
      </w:r>
      <w:r>
        <w:rPr>
          <w:rFonts w:ascii="Arial" w:hAnsi="Arial" w:cs="Arial"/>
        </w:rPr>
        <w:t xml:space="preserve">. The </w:t>
      </w:r>
      <w:r w:rsidR="001F34D8">
        <w:rPr>
          <w:rFonts w:ascii="Arial" w:hAnsi="Arial" w:cs="Arial"/>
        </w:rPr>
        <w:t xml:space="preserve">changes being </w:t>
      </w:r>
      <w:r w:rsidR="001F34D8">
        <w:rPr>
          <w:rFonts w:ascii="Arial" w:hAnsi="Arial" w:cs="Arial"/>
        </w:rPr>
        <w:lastRenderedPageBreak/>
        <w:t>made to the six forms identified above bring the language of the forms up to date with the statutory and regulatory changes that have been made as part of the Hague Agreement implementation process.</w:t>
      </w:r>
    </w:p>
    <w:p w14:paraId="6504430C" w14:textId="77777777" w:rsidR="00276857" w:rsidRDefault="00276857" w:rsidP="00B83FF0">
      <w:pPr>
        <w:rPr>
          <w:rFonts w:ascii="Arial" w:hAnsi="Arial" w:cs="Arial"/>
        </w:rPr>
      </w:pPr>
    </w:p>
    <w:p w14:paraId="6504430D" w14:textId="77777777" w:rsidR="0039755C" w:rsidRPr="00067B0A" w:rsidRDefault="0039755C" w:rsidP="00B83FF0">
      <w:pPr>
        <w:rPr>
          <w:rFonts w:ascii="Arial" w:hAnsi="Arial" w:cs="Arial"/>
          <w:u w:val="single"/>
        </w:rPr>
      </w:pPr>
      <w:r w:rsidRPr="00067B0A">
        <w:rPr>
          <w:rFonts w:ascii="Arial" w:hAnsi="Arial" w:cs="Arial"/>
          <w:u w:val="single"/>
        </w:rPr>
        <w:t>Summary of Changes</w:t>
      </w:r>
    </w:p>
    <w:p w14:paraId="6504430E" w14:textId="77777777" w:rsidR="0039755C" w:rsidRDefault="0039755C" w:rsidP="00B83FF0">
      <w:pPr>
        <w:rPr>
          <w:rFonts w:ascii="Arial" w:hAnsi="Arial" w:cs="Arial"/>
          <w:color w:val="0070C0"/>
        </w:rPr>
      </w:pPr>
    </w:p>
    <w:p w14:paraId="6504430F" w14:textId="77777777" w:rsidR="00FE6857" w:rsidRDefault="001F34D8" w:rsidP="00B83FF0">
      <w:pPr>
        <w:rPr>
          <w:rFonts w:ascii="Arial" w:hAnsi="Arial" w:cs="Arial"/>
        </w:rPr>
      </w:pPr>
      <w:r>
        <w:rPr>
          <w:rFonts w:ascii="Arial" w:hAnsi="Arial" w:cs="Arial"/>
        </w:rPr>
        <w:t xml:space="preserve">For consistency with amendments made to title 35, United States Code, and with revisions made to </w:t>
      </w:r>
      <w:r w:rsidRPr="00560105">
        <w:rPr>
          <w:rFonts w:ascii="Arial" w:hAnsi="Arial" w:cs="Arial"/>
        </w:rPr>
        <w:t>the relevant rules of practice in Title 37, Chapter I, of the Code of Federal Regulations</w:t>
      </w:r>
      <w:r>
        <w:rPr>
          <w:rFonts w:ascii="Arial" w:hAnsi="Arial" w:cs="Arial"/>
        </w:rPr>
        <w:t xml:space="preserve">, the six forms identified above have been revised </w:t>
      </w:r>
      <w:r w:rsidR="00FE6857">
        <w:rPr>
          <w:rFonts w:ascii="Arial" w:hAnsi="Arial" w:cs="Arial"/>
        </w:rPr>
        <w:t>as follows:</w:t>
      </w:r>
    </w:p>
    <w:p w14:paraId="65044310" w14:textId="77777777" w:rsidR="00FE6857" w:rsidRDefault="00FE6857" w:rsidP="00B83FF0">
      <w:pPr>
        <w:rPr>
          <w:rFonts w:ascii="Arial" w:hAnsi="Arial" w:cs="Arial"/>
        </w:rPr>
      </w:pPr>
    </w:p>
    <w:p w14:paraId="65044311" w14:textId="77777777" w:rsidR="008D62FA" w:rsidRDefault="00652D6E" w:rsidP="00B83FF0">
      <w:pPr>
        <w:numPr>
          <w:ilvl w:val="0"/>
          <w:numId w:val="8"/>
        </w:numPr>
        <w:autoSpaceDE w:val="0"/>
        <w:autoSpaceDN w:val="0"/>
        <w:adjustRightInd w:val="0"/>
        <w:ind w:left="0" w:firstLine="0"/>
        <w:rPr>
          <w:rFonts w:ascii="Arial" w:hAnsi="Arial" w:cs="Arial"/>
        </w:rPr>
      </w:pPr>
      <w:r>
        <w:rPr>
          <w:rFonts w:ascii="Arial" w:hAnsi="Arial" w:cs="Arial"/>
        </w:rPr>
        <w:t>PTO/SB/</w:t>
      </w:r>
      <w:r w:rsidR="001F34D8">
        <w:rPr>
          <w:rFonts w:ascii="Arial" w:hAnsi="Arial" w:cs="Arial"/>
        </w:rPr>
        <w:t>17i</w:t>
      </w:r>
      <w:r>
        <w:rPr>
          <w:rFonts w:ascii="Arial" w:hAnsi="Arial" w:cs="Arial"/>
        </w:rPr>
        <w:t xml:space="preserve">:  </w:t>
      </w:r>
      <w:r w:rsidR="00BA13FC">
        <w:rPr>
          <w:rFonts w:ascii="Arial" w:hAnsi="Arial" w:cs="Arial"/>
        </w:rPr>
        <w:t>references to 37 CFR 1.17(i)(1) have been updated to reflect the text of 37 CFR 1.17(i)(1) as revised by the April 2 final rule.</w:t>
      </w:r>
    </w:p>
    <w:p w14:paraId="65044312" w14:textId="77777777" w:rsidR="008D62FA" w:rsidRDefault="008D62FA" w:rsidP="00B83FF0">
      <w:pPr>
        <w:autoSpaceDE w:val="0"/>
        <w:autoSpaceDN w:val="0"/>
        <w:adjustRightInd w:val="0"/>
        <w:rPr>
          <w:rFonts w:ascii="Arial" w:hAnsi="Arial" w:cs="Arial"/>
        </w:rPr>
      </w:pPr>
    </w:p>
    <w:p w14:paraId="65044313" w14:textId="77777777" w:rsidR="009D2AFD" w:rsidRPr="008D62FA" w:rsidRDefault="00652D6E" w:rsidP="00B83FF0">
      <w:pPr>
        <w:numPr>
          <w:ilvl w:val="0"/>
          <w:numId w:val="8"/>
        </w:numPr>
        <w:autoSpaceDE w:val="0"/>
        <w:autoSpaceDN w:val="0"/>
        <w:adjustRightInd w:val="0"/>
        <w:ind w:left="0" w:firstLine="0"/>
        <w:rPr>
          <w:rFonts w:ascii="Arial" w:hAnsi="Arial" w:cs="Arial"/>
        </w:rPr>
      </w:pPr>
      <w:r w:rsidRPr="008D62FA">
        <w:rPr>
          <w:rFonts w:ascii="Arial" w:hAnsi="Arial" w:cs="Arial"/>
        </w:rPr>
        <w:t>PTO/SB/</w:t>
      </w:r>
      <w:r w:rsidR="00BA13FC">
        <w:rPr>
          <w:rFonts w:ascii="Arial" w:hAnsi="Arial" w:cs="Arial"/>
        </w:rPr>
        <w:t>27</w:t>
      </w:r>
      <w:r>
        <w:rPr>
          <w:rFonts w:ascii="Arial" w:hAnsi="Arial" w:cs="Arial"/>
        </w:rPr>
        <w:t xml:space="preserve">:  </w:t>
      </w:r>
      <w:r w:rsidR="007313B7">
        <w:rPr>
          <w:rFonts w:ascii="Arial" w:hAnsi="Arial" w:cs="Arial"/>
        </w:rPr>
        <w:t>references to 37 CFR1.155 have been updated to reflect the text of 37 CFR 1.155 as revised by the April 2 final rule</w:t>
      </w:r>
      <w:r w:rsidR="008D62FA">
        <w:rPr>
          <w:rFonts w:ascii="Arial" w:hAnsi="Arial" w:cs="Arial"/>
        </w:rPr>
        <w:t>.</w:t>
      </w:r>
    </w:p>
    <w:p w14:paraId="65044314" w14:textId="77777777" w:rsidR="00555CD8" w:rsidRDefault="00555CD8" w:rsidP="00B83FF0">
      <w:pPr>
        <w:autoSpaceDE w:val="0"/>
        <w:autoSpaceDN w:val="0"/>
        <w:adjustRightInd w:val="0"/>
        <w:rPr>
          <w:rFonts w:ascii="Arial" w:hAnsi="Arial" w:cs="Arial"/>
        </w:rPr>
      </w:pPr>
    </w:p>
    <w:p w14:paraId="65044315" w14:textId="77777777" w:rsidR="009D2AFD" w:rsidRDefault="00652D6E" w:rsidP="00B83FF0">
      <w:pPr>
        <w:numPr>
          <w:ilvl w:val="0"/>
          <w:numId w:val="8"/>
        </w:numPr>
        <w:autoSpaceDE w:val="0"/>
        <w:autoSpaceDN w:val="0"/>
        <w:adjustRightInd w:val="0"/>
        <w:ind w:left="0" w:firstLine="0"/>
        <w:rPr>
          <w:rFonts w:ascii="Arial" w:hAnsi="Arial" w:cs="Arial"/>
        </w:rPr>
      </w:pPr>
      <w:r>
        <w:rPr>
          <w:rFonts w:ascii="Arial" w:hAnsi="Arial" w:cs="Arial"/>
        </w:rPr>
        <w:t>PTO/SB/</w:t>
      </w:r>
      <w:r w:rsidR="007313B7">
        <w:rPr>
          <w:rFonts w:ascii="Arial" w:hAnsi="Arial" w:cs="Arial"/>
        </w:rPr>
        <w:t>30</w:t>
      </w:r>
      <w:r>
        <w:rPr>
          <w:rFonts w:ascii="Arial" w:hAnsi="Arial" w:cs="Arial"/>
        </w:rPr>
        <w:t xml:space="preserve">:  </w:t>
      </w:r>
      <w:r w:rsidR="00BA1423">
        <w:rPr>
          <w:rFonts w:ascii="Arial" w:hAnsi="Arial" w:cs="Arial"/>
        </w:rPr>
        <w:t>In the “Instruction Sheet for RCEs” at page 2 of the form,</w:t>
      </w:r>
      <w:r w:rsidR="00BA1423" w:rsidRPr="00BA1423">
        <w:rPr>
          <w:rFonts w:ascii="Arial" w:hAnsi="Arial" w:cs="Arial"/>
        </w:rPr>
        <w:t xml:space="preserve"> </w:t>
      </w:r>
      <w:r w:rsidR="00BA1423">
        <w:rPr>
          <w:rFonts w:ascii="Arial" w:hAnsi="Arial" w:cs="Arial"/>
        </w:rPr>
        <w:t>references to 37 CFR1.114 have been updated to reflect the text of 37 CFR 1.114 as revised by the April 2 final rule.</w:t>
      </w:r>
    </w:p>
    <w:p w14:paraId="65044316" w14:textId="77777777" w:rsidR="00BA1423" w:rsidRDefault="00BA1423" w:rsidP="00BA1423">
      <w:pPr>
        <w:pStyle w:val="ListParagraph"/>
        <w:rPr>
          <w:rFonts w:ascii="Arial" w:hAnsi="Arial" w:cs="Arial"/>
        </w:rPr>
      </w:pPr>
    </w:p>
    <w:p w14:paraId="65044317" w14:textId="77777777" w:rsidR="00BA1423" w:rsidRDefault="00BA1423" w:rsidP="00B83FF0">
      <w:pPr>
        <w:numPr>
          <w:ilvl w:val="0"/>
          <w:numId w:val="8"/>
        </w:numPr>
        <w:autoSpaceDE w:val="0"/>
        <w:autoSpaceDN w:val="0"/>
        <w:adjustRightInd w:val="0"/>
        <w:ind w:left="0" w:firstLine="0"/>
        <w:rPr>
          <w:rFonts w:ascii="Arial" w:hAnsi="Arial" w:cs="Arial"/>
        </w:rPr>
      </w:pPr>
      <w:r>
        <w:rPr>
          <w:rFonts w:ascii="Arial" w:hAnsi="Arial" w:cs="Arial"/>
        </w:rPr>
        <w:t>PTO/SB/30EFS:  In the “Instruction Sheet for RCEs” at page 2 of the form,</w:t>
      </w:r>
      <w:r w:rsidRPr="00BA1423">
        <w:rPr>
          <w:rFonts w:ascii="Arial" w:hAnsi="Arial" w:cs="Arial"/>
        </w:rPr>
        <w:t xml:space="preserve"> </w:t>
      </w:r>
      <w:r>
        <w:rPr>
          <w:rFonts w:ascii="Arial" w:hAnsi="Arial" w:cs="Arial"/>
        </w:rPr>
        <w:t>references to 37 CFR1.114 have been updated to reflect the text of 37 CFR 1.114 as revised by the April 2 final rule.</w:t>
      </w:r>
    </w:p>
    <w:p w14:paraId="65044318" w14:textId="77777777" w:rsidR="00BA1423" w:rsidRDefault="00BA1423" w:rsidP="00BA1423">
      <w:pPr>
        <w:pStyle w:val="ListParagraph"/>
        <w:rPr>
          <w:rFonts w:ascii="Arial" w:hAnsi="Arial" w:cs="Arial"/>
        </w:rPr>
      </w:pPr>
    </w:p>
    <w:p w14:paraId="65044319" w14:textId="77777777" w:rsidR="00BA1423" w:rsidRDefault="00BA1423" w:rsidP="00B83FF0">
      <w:pPr>
        <w:numPr>
          <w:ilvl w:val="0"/>
          <w:numId w:val="8"/>
        </w:numPr>
        <w:autoSpaceDE w:val="0"/>
        <w:autoSpaceDN w:val="0"/>
        <w:adjustRightInd w:val="0"/>
        <w:ind w:left="0" w:firstLine="0"/>
        <w:rPr>
          <w:rFonts w:ascii="Arial" w:hAnsi="Arial" w:cs="Arial"/>
        </w:rPr>
      </w:pPr>
      <w:r>
        <w:rPr>
          <w:rFonts w:ascii="Arial" w:hAnsi="Arial" w:cs="Arial"/>
        </w:rPr>
        <w:t xml:space="preserve">PTO/SB/38:  </w:t>
      </w:r>
      <w:r w:rsidR="00116E28">
        <w:rPr>
          <w:rFonts w:ascii="Arial" w:hAnsi="Arial" w:cs="Arial"/>
        </w:rPr>
        <w:t>references to 37 CFR1.55 have been updated to reflect the text of 37 CFR 1.55 as revised by the April 2 final rule.</w:t>
      </w:r>
    </w:p>
    <w:p w14:paraId="6504431A" w14:textId="77777777" w:rsidR="00116E28" w:rsidRDefault="00116E28" w:rsidP="00116E28">
      <w:pPr>
        <w:pStyle w:val="ListParagraph"/>
        <w:rPr>
          <w:rFonts w:ascii="Arial" w:hAnsi="Arial" w:cs="Arial"/>
        </w:rPr>
      </w:pPr>
    </w:p>
    <w:p w14:paraId="6504431B" w14:textId="77777777" w:rsidR="00116E28" w:rsidRDefault="00116E28" w:rsidP="00B83FF0">
      <w:pPr>
        <w:numPr>
          <w:ilvl w:val="0"/>
          <w:numId w:val="8"/>
        </w:numPr>
        <w:autoSpaceDE w:val="0"/>
        <w:autoSpaceDN w:val="0"/>
        <w:adjustRightInd w:val="0"/>
        <w:ind w:left="0" w:firstLine="0"/>
        <w:rPr>
          <w:rFonts w:ascii="Arial" w:hAnsi="Arial" w:cs="Arial"/>
        </w:rPr>
      </w:pPr>
      <w:r>
        <w:rPr>
          <w:rFonts w:ascii="Arial" w:hAnsi="Arial" w:cs="Arial"/>
        </w:rPr>
        <w:t>PTO/SB/68:  references to 37 CFR1.14 have been updated to reflect the text of 37 CFR 1.14 as revised by the April 2 final rule, and a reference has been added to 35 USC 386, a new provision of title 35, United States Code, added by title I of the PLTIA.</w:t>
      </w:r>
    </w:p>
    <w:p w14:paraId="6504431C" w14:textId="77777777" w:rsidR="00555CD8" w:rsidRDefault="00555CD8" w:rsidP="00B83FF0">
      <w:pPr>
        <w:rPr>
          <w:rFonts w:ascii="Arial" w:hAnsi="Arial" w:cs="Arial"/>
        </w:rPr>
      </w:pPr>
    </w:p>
    <w:p w14:paraId="6504431D" w14:textId="77777777" w:rsidR="0039755C" w:rsidRPr="00F13274" w:rsidRDefault="0039755C" w:rsidP="00B83FF0">
      <w:pPr>
        <w:rPr>
          <w:rFonts w:ascii="Arial" w:hAnsi="Arial" w:cs="Arial"/>
          <w:u w:val="single"/>
        </w:rPr>
      </w:pPr>
      <w:r w:rsidRPr="00F13274">
        <w:rPr>
          <w:rFonts w:ascii="Arial" w:hAnsi="Arial" w:cs="Arial"/>
          <w:u w:val="single"/>
        </w:rPr>
        <w:t>Changes in Burden</w:t>
      </w:r>
    </w:p>
    <w:p w14:paraId="6504431E" w14:textId="77777777" w:rsidR="007163D2" w:rsidRDefault="007163D2" w:rsidP="00B83FF0">
      <w:pPr>
        <w:rPr>
          <w:rFonts w:ascii="Arial" w:hAnsi="Arial" w:cs="Arial"/>
        </w:rPr>
      </w:pPr>
    </w:p>
    <w:p w14:paraId="6504431F" w14:textId="77777777" w:rsidR="00870161" w:rsidRDefault="005C0B34" w:rsidP="009D2960">
      <w:pPr>
        <w:rPr>
          <w:rFonts w:ascii="Arial" w:hAnsi="Arial" w:cs="Arial"/>
        </w:rPr>
      </w:pPr>
      <w:r w:rsidRPr="000C7EA0">
        <w:rPr>
          <w:rFonts w:ascii="Arial" w:hAnsi="Arial" w:cs="Arial"/>
        </w:rPr>
        <w:t xml:space="preserve">The proposed </w:t>
      </w:r>
      <w:r w:rsidR="00974A05">
        <w:rPr>
          <w:rFonts w:ascii="Arial" w:hAnsi="Arial" w:cs="Arial"/>
        </w:rPr>
        <w:t>revision</w:t>
      </w:r>
      <w:r w:rsidR="00E974F3">
        <w:rPr>
          <w:rFonts w:ascii="Arial" w:hAnsi="Arial" w:cs="Arial"/>
        </w:rPr>
        <w:t>s</w:t>
      </w:r>
      <w:r w:rsidR="00974A05">
        <w:rPr>
          <w:rFonts w:ascii="Arial" w:hAnsi="Arial" w:cs="Arial"/>
        </w:rPr>
        <w:t xml:space="preserve"> </w:t>
      </w:r>
      <w:r w:rsidR="00652D6E">
        <w:rPr>
          <w:rFonts w:ascii="Arial" w:hAnsi="Arial" w:cs="Arial"/>
        </w:rPr>
        <w:t>of t</w:t>
      </w:r>
      <w:r w:rsidRPr="000C7EA0">
        <w:rPr>
          <w:rFonts w:ascii="Arial" w:hAnsi="Arial" w:cs="Arial"/>
        </w:rPr>
        <w:t xml:space="preserve">hese </w:t>
      </w:r>
      <w:r w:rsidR="00974A05">
        <w:rPr>
          <w:rFonts w:ascii="Arial" w:hAnsi="Arial" w:cs="Arial"/>
        </w:rPr>
        <w:t xml:space="preserve">six </w:t>
      </w:r>
      <w:r w:rsidR="008D62FA">
        <w:rPr>
          <w:rFonts w:ascii="Arial" w:hAnsi="Arial" w:cs="Arial"/>
        </w:rPr>
        <w:t>f</w:t>
      </w:r>
      <w:r w:rsidRPr="000C7EA0">
        <w:rPr>
          <w:rFonts w:ascii="Arial" w:hAnsi="Arial" w:cs="Arial"/>
        </w:rPr>
        <w:t>orms will not result in a substantive change in the burden for this collection.</w:t>
      </w:r>
      <w:r w:rsidR="00974A05">
        <w:rPr>
          <w:rFonts w:ascii="Arial" w:hAnsi="Arial" w:cs="Arial"/>
        </w:rPr>
        <w:t xml:space="preserve"> </w:t>
      </w:r>
      <w:r w:rsidR="00870161">
        <w:rPr>
          <w:rFonts w:ascii="Arial" w:hAnsi="Arial" w:cs="Arial"/>
        </w:rPr>
        <w:t>The revisions bring the language of the forms up to date with the statutory and regulatory changes that have been made as part of the Hague Agreement implementation process.</w:t>
      </w:r>
    </w:p>
    <w:p w14:paraId="65044320" w14:textId="77777777" w:rsidR="00870161" w:rsidRDefault="00870161" w:rsidP="009D2960">
      <w:pPr>
        <w:rPr>
          <w:rFonts w:ascii="Arial" w:hAnsi="Arial" w:cs="Arial"/>
        </w:rPr>
      </w:pPr>
    </w:p>
    <w:p w14:paraId="65044321" w14:textId="77777777" w:rsidR="003F7BB6" w:rsidRDefault="00E974F3" w:rsidP="009D2960">
      <w:pPr>
        <w:rPr>
          <w:rFonts w:ascii="Arial" w:hAnsi="Arial" w:cs="Arial"/>
        </w:rPr>
      </w:pPr>
      <w:r>
        <w:rPr>
          <w:rFonts w:ascii="Arial" w:hAnsi="Arial" w:cs="Arial"/>
        </w:rPr>
        <w:t>Nor will the information being collected under 0651-0075 result in a substantive change in the burden for the six forms</w:t>
      </w:r>
      <w:r w:rsidR="00870161">
        <w:rPr>
          <w:rFonts w:ascii="Arial" w:hAnsi="Arial" w:cs="Arial"/>
        </w:rPr>
        <w:t xml:space="preserve"> being revised</w:t>
      </w:r>
      <w:r>
        <w:rPr>
          <w:rFonts w:ascii="Arial" w:hAnsi="Arial" w:cs="Arial"/>
        </w:rPr>
        <w:t xml:space="preserve">. </w:t>
      </w:r>
      <w:r w:rsidR="003A63A8">
        <w:rPr>
          <w:rFonts w:ascii="Arial" w:hAnsi="Arial" w:cs="Arial"/>
        </w:rPr>
        <w:t xml:space="preserve">As stated in the April 2 final rule, </w:t>
      </w:r>
      <w:r w:rsidR="003A63A8" w:rsidRPr="003A63A8">
        <w:rPr>
          <w:rFonts w:ascii="Arial" w:hAnsi="Arial" w:cs="Arial"/>
        </w:rPr>
        <w:t xml:space="preserve">the new application procedure for international design applications created through </w:t>
      </w:r>
      <w:r w:rsidR="003A63A8">
        <w:rPr>
          <w:rFonts w:ascii="Arial" w:hAnsi="Arial" w:cs="Arial"/>
        </w:rPr>
        <w:t xml:space="preserve">the </w:t>
      </w:r>
      <w:r w:rsidR="003A63A8" w:rsidRPr="003A63A8">
        <w:rPr>
          <w:rFonts w:ascii="Arial" w:hAnsi="Arial" w:cs="Arial"/>
        </w:rPr>
        <w:t>final rule merely provides applicants with a new avenue by which they may file a design application</w:t>
      </w:r>
      <w:r>
        <w:rPr>
          <w:rFonts w:ascii="Arial" w:hAnsi="Arial" w:cs="Arial"/>
        </w:rPr>
        <w:t xml:space="preserve">, i.e., </w:t>
      </w:r>
      <w:r w:rsidRPr="00E974F3">
        <w:rPr>
          <w:rFonts w:ascii="Arial" w:hAnsi="Arial" w:cs="Arial"/>
        </w:rPr>
        <w:t xml:space="preserve">several items in collection </w:t>
      </w:r>
      <w:r>
        <w:rPr>
          <w:rFonts w:ascii="Arial" w:hAnsi="Arial" w:cs="Arial"/>
        </w:rPr>
        <w:t xml:space="preserve">0651-0075 </w:t>
      </w:r>
      <w:r w:rsidRPr="00E974F3">
        <w:rPr>
          <w:rFonts w:ascii="Arial" w:hAnsi="Arial" w:cs="Arial"/>
        </w:rPr>
        <w:t>displace responses that the USPTO counts in other information collections</w:t>
      </w:r>
      <w:r>
        <w:rPr>
          <w:rFonts w:ascii="Arial" w:hAnsi="Arial" w:cs="Arial"/>
        </w:rPr>
        <w:t>.</w:t>
      </w:r>
    </w:p>
    <w:sectPr w:rsidR="003F7BB6" w:rsidSect="00232DFB">
      <w:headerReference w:type="default" r:id="rId12"/>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44324" w14:textId="77777777" w:rsidR="00D94903" w:rsidRDefault="00D94903">
      <w:r>
        <w:separator/>
      </w:r>
    </w:p>
  </w:endnote>
  <w:endnote w:type="continuationSeparator" w:id="0">
    <w:p w14:paraId="65044325" w14:textId="77777777" w:rsidR="00D94903" w:rsidRDefault="00D9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44327" w14:textId="77777777" w:rsidR="006E4A43" w:rsidRDefault="006E4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44328" w14:textId="77777777" w:rsidR="006E4A43" w:rsidRDefault="006E4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44329" w14:textId="77777777" w:rsidR="006E4A43" w:rsidRDefault="006E4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16B6">
      <w:rPr>
        <w:rStyle w:val="PageNumber"/>
        <w:noProof/>
      </w:rPr>
      <w:t>2</w:t>
    </w:r>
    <w:r>
      <w:rPr>
        <w:rStyle w:val="PageNumber"/>
      </w:rPr>
      <w:fldChar w:fldCharType="end"/>
    </w:r>
  </w:p>
  <w:p w14:paraId="6504432A" w14:textId="77777777" w:rsidR="006E4A43" w:rsidRDefault="006E4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44322" w14:textId="77777777" w:rsidR="00D94903" w:rsidRDefault="00D94903">
      <w:r>
        <w:separator/>
      </w:r>
    </w:p>
  </w:footnote>
  <w:footnote w:type="continuationSeparator" w:id="0">
    <w:p w14:paraId="65044323" w14:textId="77777777" w:rsidR="00D94903" w:rsidRDefault="00D94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44326" w14:textId="77777777" w:rsidR="006E4A43" w:rsidRPr="00841C9A" w:rsidRDefault="006E4A43" w:rsidP="00232DFB">
    <w:pPr>
      <w:pStyle w:val="Title"/>
      <w:rPr>
        <w:sz w:val="22"/>
        <w:szCs w:val="22"/>
      </w:rPr>
    </w:pPr>
    <w:r w:rsidRPr="00841C9A">
      <w:rPr>
        <w:sz w:val="22"/>
        <w:szCs w:val="22"/>
      </w:rPr>
      <w:t>JUSTIFICATION FOR NONMATERIAL/NONSUBSTANTIVE CHANGE TO 0651-00</w:t>
    </w:r>
    <w:r>
      <w:rPr>
        <w:sz w:val="22"/>
        <w:szCs w:val="22"/>
      </w:rPr>
      <w:t>3</w:t>
    </w:r>
    <w:r w:rsidR="00723A6F">
      <w:rPr>
        <w:sz w:val="22"/>
        <w:szCs w:val="22"/>
      </w:rPr>
      <w:t>1</w:t>
    </w:r>
    <w:r w:rsidRPr="00841C9A">
      <w:rPr>
        <w:sz w:val="22"/>
        <w:szCs w:val="22"/>
      </w:rPr>
      <w:t xml:space="preserve">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7B0F"/>
    <w:multiLevelType w:val="hybridMultilevel"/>
    <w:tmpl w:val="83E6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12C5E"/>
    <w:multiLevelType w:val="hybridMultilevel"/>
    <w:tmpl w:val="E4148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B51A2"/>
    <w:multiLevelType w:val="hybridMultilevel"/>
    <w:tmpl w:val="E59A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F9781D"/>
    <w:multiLevelType w:val="hybridMultilevel"/>
    <w:tmpl w:val="7FCC14AE"/>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C86498"/>
    <w:multiLevelType w:val="hybridMultilevel"/>
    <w:tmpl w:val="EEA8473C"/>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E05CCE"/>
    <w:multiLevelType w:val="hybridMultilevel"/>
    <w:tmpl w:val="7FCC14AE"/>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E16C3B"/>
    <w:multiLevelType w:val="hybridMultilevel"/>
    <w:tmpl w:val="D1B25556"/>
    <w:lvl w:ilvl="0" w:tplc="D9F661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B52EA8"/>
    <w:multiLevelType w:val="hybridMultilevel"/>
    <w:tmpl w:val="2BE8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047C5"/>
    <w:rsid w:val="00011250"/>
    <w:rsid w:val="00023C21"/>
    <w:rsid w:val="00037E47"/>
    <w:rsid w:val="00041427"/>
    <w:rsid w:val="000564BC"/>
    <w:rsid w:val="000635D7"/>
    <w:rsid w:val="00065720"/>
    <w:rsid w:val="00094CC7"/>
    <w:rsid w:val="000B5E51"/>
    <w:rsid w:val="000C7EA0"/>
    <w:rsid w:val="000D34C1"/>
    <w:rsid w:val="000E0994"/>
    <w:rsid w:val="000E22D2"/>
    <w:rsid w:val="000E7A35"/>
    <w:rsid w:val="001014F8"/>
    <w:rsid w:val="00101818"/>
    <w:rsid w:val="0010492B"/>
    <w:rsid w:val="00113BC3"/>
    <w:rsid w:val="0011481D"/>
    <w:rsid w:val="00116665"/>
    <w:rsid w:val="00116E28"/>
    <w:rsid w:val="00120FE3"/>
    <w:rsid w:val="001409D8"/>
    <w:rsid w:val="0014594F"/>
    <w:rsid w:val="00147068"/>
    <w:rsid w:val="00155198"/>
    <w:rsid w:val="0017561E"/>
    <w:rsid w:val="00190C79"/>
    <w:rsid w:val="00191201"/>
    <w:rsid w:val="00195F78"/>
    <w:rsid w:val="001B12C9"/>
    <w:rsid w:val="001D6EB4"/>
    <w:rsid w:val="001E6743"/>
    <w:rsid w:val="001F34D8"/>
    <w:rsid w:val="001F46A4"/>
    <w:rsid w:val="001F786D"/>
    <w:rsid w:val="00200F9A"/>
    <w:rsid w:val="002013B8"/>
    <w:rsid w:val="00203E4F"/>
    <w:rsid w:val="00227E17"/>
    <w:rsid w:val="002309CB"/>
    <w:rsid w:val="00232DFB"/>
    <w:rsid w:val="00233D00"/>
    <w:rsid w:val="0023644B"/>
    <w:rsid w:val="00275C0E"/>
    <w:rsid w:val="00276857"/>
    <w:rsid w:val="002A226D"/>
    <w:rsid w:val="002C7B61"/>
    <w:rsid w:val="002D694C"/>
    <w:rsid w:val="00310CDB"/>
    <w:rsid w:val="00311F56"/>
    <w:rsid w:val="0031530A"/>
    <w:rsid w:val="003405C0"/>
    <w:rsid w:val="00341397"/>
    <w:rsid w:val="00355558"/>
    <w:rsid w:val="003701D8"/>
    <w:rsid w:val="003869E6"/>
    <w:rsid w:val="003941BE"/>
    <w:rsid w:val="003953BA"/>
    <w:rsid w:val="0039755C"/>
    <w:rsid w:val="003A63A8"/>
    <w:rsid w:val="003D5A70"/>
    <w:rsid w:val="003F7BB6"/>
    <w:rsid w:val="00410160"/>
    <w:rsid w:val="0041467A"/>
    <w:rsid w:val="00415755"/>
    <w:rsid w:val="00426825"/>
    <w:rsid w:val="00447B44"/>
    <w:rsid w:val="004551CA"/>
    <w:rsid w:val="004602E5"/>
    <w:rsid w:val="00470FC0"/>
    <w:rsid w:val="00472F2F"/>
    <w:rsid w:val="004836B6"/>
    <w:rsid w:val="00486714"/>
    <w:rsid w:val="0048792A"/>
    <w:rsid w:val="004B0536"/>
    <w:rsid w:val="004C257A"/>
    <w:rsid w:val="004E6054"/>
    <w:rsid w:val="004F5042"/>
    <w:rsid w:val="0050293C"/>
    <w:rsid w:val="00510C9D"/>
    <w:rsid w:val="00520C81"/>
    <w:rsid w:val="005231D7"/>
    <w:rsid w:val="00525A71"/>
    <w:rsid w:val="0054721D"/>
    <w:rsid w:val="005478DE"/>
    <w:rsid w:val="005559BE"/>
    <w:rsid w:val="00555CD8"/>
    <w:rsid w:val="00560105"/>
    <w:rsid w:val="005632CD"/>
    <w:rsid w:val="005648A1"/>
    <w:rsid w:val="005814C3"/>
    <w:rsid w:val="00592C52"/>
    <w:rsid w:val="005A44DE"/>
    <w:rsid w:val="005B76F0"/>
    <w:rsid w:val="005C0980"/>
    <w:rsid w:val="005C0B34"/>
    <w:rsid w:val="005C42FD"/>
    <w:rsid w:val="005F4366"/>
    <w:rsid w:val="00613164"/>
    <w:rsid w:val="00614B55"/>
    <w:rsid w:val="00621CC6"/>
    <w:rsid w:val="00626F2C"/>
    <w:rsid w:val="0063436C"/>
    <w:rsid w:val="00645D99"/>
    <w:rsid w:val="006463AE"/>
    <w:rsid w:val="00652441"/>
    <w:rsid w:val="006528E7"/>
    <w:rsid w:val="00652D6E"/>
    <w:rsid w:val="00660C7F"/>
    <w:rsid w:val="006823D7"/>
    <w:rsid w:val="00684D03"/>
    <w:rsid w:val="006916B6"/>
    <w:rsid w:val="006A47A5"/>
    <w:rsid w:val="006A60BE"/>
    <w:rsid w:val="006B1363"/>
    <w:rsid w:val="006B5E71"/>
    <w:rsid w:val="006D16CC"/>
    <w:rsid w:val="006D1994"/>
    <w:rsid w:val="006D447E"/>
    <w:rsid w:val="006E4A43"/>
    <w:rsid w:val="00703054"/>
    <w:rsid w:val="0071331A"/>
    <w:rsid w:val="007163D2"/>
    <w:rsid w:val="00723A6F"/>
    <w:rsid w:val="007313B7"/>
    <w:rsid w:val="00731AA3"/>
    <w:rsid w:val="0074422E"/>
    <w:rsid w:val="00746222"/>
    <w:rsid w:val="00746D65"/>
    <w:rsid w:val="007A158A"/>
    <w:rsid w:val="007B7198"/>
    <w:rsid w:val="007B77A2"/>
    <w:rsid w:val="007C7CFF"/>
    <w:rsid w:val="007D05CB"/>
    <w:rsid w:val="008008D4"/>
    <w:rsid w:val="00806B7E"/>
    <w:rsid w:val="00813D5F"/>
    <w:rsid w:val="00832E17"/>
    <w:rsid w:val="008377C5"/>
    <w:rsid w:val="00847B79"/>
    <w:rsid w:val="00854A85"/>
    <w:rsid w:val="008560AD"/>
    <w:rsid w:val="00870161"/>
    <w:rsid w:val="0087340D"/>
    <w:rsid w:val="0087747F"/>
    <w:rsid w:val="00883939"/>
    <w:rsid w:val="008867B8"/>
    <w:rsid w:val="00892BA9"/>
    <w:rsid w:val="008D62FA"/>
    <w:rsid w:val="008D7CD7"/>
    <w:rsid w:val="008E79AE"/>
    <w:rsid w:val="008F75BB"/>
    <w:rsid w:val="009246BA"/>
    <w:rsid w:val="00935F8A"/>
    <w:rsid w:val="00937DEA"/>
    <w:rsid w:val="00937F65"/>
    <w:rsid w:val="0096099D"/>
    <w:rsid w:val="0096583B"/>
    <w:rsid w:val="00974A05"/>
    <w:rsid w:val="009A272D"/>
    <w:rsid w:val="009A3D1C"/>
    <w:rsid w:val="009A653F"/>
    <w:rsid w:val="009B3D12"/>
    <w:rsid w:val="009B6B34"/>
    <w:rsid w:val="009C00B3"/>
    <w:rsid w:val="009C5599"/>
    <w:rsid w:val="009C5DDB"/>
    <w:rsid w:val="009D2960"/>
    <w:rsid w:val="009D2AFD"/>
    <w:rsid w:val="009D7869"/>
    <w:rsid w:val="009E12C1"/>
    <w:rsid w:val="009F3386"/>
    <w:rsid w:val="009F435E"/>
    <w:rsid w:val="009F5362"/>
    <w:rsid w:val="00A00BB2"/>
    <w:rsid w:val="00A147E9"/>
    <w:rsid w:val="00A17BEF"/>
    <w:rsid w:val="00A34A68"/>
    <w:rsid w:val="00A41833"/>
    <w:rsid w:val="00A81D20"/>
    <w:rsid w:val="00AD1243"/>
    <w:rsid w:val="00AF2E37"/>
    <w:rsid w:val="00AF429A"/>
    <w:rsid w:val="00B048DD"/>
    <w:rsid w:val="00B145C5"/>
    <w:rsid w:val="00B14880"/>
    <w:rsid w:val="00B259A5"/>
    <w:rsid w:val="00B2730C"/>
    <w:rsid w:val="00B55C8D"/>
    <w:rsid w:val="00B57D43"/>
    <w:rsid w:val="00B83FF0"/>
    <w:rsid w:val="00BA13FC"/>
    <w:rsid w:val="00BA1423"/>
    <w:rsid w:val="00BC6D8B"/>
    <w:rsid w:val="00BC7132"/>
    <w:rsid w:val="00BD0D33"/>
    <w:rsid w:val="00BD2783"/>
    <w:rsid w:val="00C232E7"/>
    <w:rsid w:val="00C33736"/>
    <w:rsid w:val="00C33C4F"/>
    <w:rsid w:val="00C56817"/>
    <w:rsid w:val="00C73068"/>
    <w:rsid w:val="00C73BAB"/>
    <w:rsid w:val="00C817EA"/>
    <w:rsid w:val="00C81E47"/>
    <w:rsid w:val="00CA5631"/>
    <w:rsid w:val="00CF2E2B"/>
    <w:rsid w:val="00D13265"/>
    <w:rsid w:val="00D13410"/>
    <w:rsid w:val="00D16D08"/>
    <w:rsid w:val="00D31ECE"/>
    <w:rsid w:val="00D32141"/>
    <w:rsid w:val="00D322F2"/>
    <w:rsid w:val="00D40DA6"/>
    <w:rsid w:val="00D44D89"/>
    <w:rsid w:val="00D47B13"/>
    <w:rsid w:val="00D65A82"/>
    <w:rsid w:val="00D9396B"/>
    <w:rsid w:val="00D943D3"/>
    <w:rsid w:val="00D94903"/>
    <w:rsid w:val="00DC0C67"/>
    <w:rsid w:val="00DC1DA8"/>
    <w:rsid w:val="00DD0430"/>
    <w:rsid w:val="00DE3D7D"/>
    <w:rsid w:val="00DF1147"/>
    <w:rsid w:val="00E00496"/>
    <w:rsid w:val="00E21D55"/>
    <w:rsid w:val="00E27A1B"/>
    <w:rsid w:val="00E366D2"/>
    <w:rsid w:val="00E40DD8"/>
    <w:rsid w:val="00E60A7F"/>
    <w:rsid w:val="00E83E0D"/>
    <w:rsid w:val="00E974F3"/>
    <w:rsid w:val="00EA2E35"/>
    <w:rsid w:val="00EB5271"/>
    <w:rsid w:val="00EC03A6"/>
    <w:rsid w:val="00ED0446"/>
    <w:rsid w:val="00ED14F6"/>
    <w:rsid w:val="00ED20A0"/>
    <w:rsid w:val="00EE17A1"/>
    <w:rsid w:val="00EE5207"/>
    <w:rsid w:val="00EF26A1"/>
    <w:rsid w:val="00F11FDF"/>
    <w:rsid w:val="00F22C19"/>
    <w:rsid w:val="00F37072"/>
    <w:rsid w:val="00F43DE4"/>
    <w:rsid w:val="00F468E8"/>
    <w:rsid w:val="00F53B5B"/>
    <w:rsid w:val="00F84092"/>
    <w:rsid w:val="00FA0DCD"/>
    <w:rsid w:val="00FA1E5C"/>
    <w:rsid w:val="00FA72A5"/>
    <w:rsid w:val="00FD0D53"/>
    <w:rsid w:val="00FE4D45"/>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0D34C1"/>
    <w:rPr>
      <w:rFonts w:ascii="Tahoma" w:hAnsi="Tahoma" w:cs="Tahoma"/>
      <w:sz w:val="16"/>
      <w:szCs w:val="16"/>
    </w:rPr>
  </w:style>
  <w:style w:type="paragraph" w:styleId="ListParagraph">
    <w:name w:val="List Paragraph"/>
    <w:basedOn w:val="Normal"/>
    <w:uiPriority w:val="34"/>
    <w:qFormat/>
    <w:rsid w:val="00155198"/>
    <w:pPr>
      <w:ind w:left="720"/>
    </w:pPr>
  </w:style>
  <w:style w:type="paragraph" w:customStyle="1" w:styleId="para">
    <w:name w:val="para"/>
    <w:basedOn w:val="Normal"/>
    <w:rsid w:val="00C232E7"/>
    <w:pPr>
      <w:spacing w:before="100" w:beforeAutospacing="1" w:after="100" w:afterAutospacing="1"/>
    </w:pPr>
  </w:style>
  <w:style w:type="paragraph" w:styleId="Header">
    <w:name w:val="header"/>
    <w:basedOn w:val="Normal"/>
    <w:link w:val="HeaderChar"/>
    <w:rsid w:val="008D62FA"/>
    <w:pPr>
      <w:tabs>
        <w:tab w:val="center" w:pos="4680"/>
        <w:tab w:val="right" w:pos="9360"/>
      </w:tabs>
    </w:pPr>
  </w:style>
  <w:style w:type="character" w:customStyle="1" w:styleId="HeaderChar">
    <w:name w:val="Header Char"/>
    <w:link w:val="Header"/>
    <w:rsid w:val="008D62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0D34C1"/>
    <w:rPr>
      <w:rFonts w:ascii="Tahoma" w:hAnsi="Tahoma" w:cs="Tahoma"/>
      <w:sz w:val="16"/>
      <w:szCs w:val="16"/>
    </w:rPr>
  </w:style>
  <w:style w:type="paragraph" w:styleId="ListParagraph">
    <w:name w:val="List Paragraph"/>
    <w:basedOn w:val="Normal"/>
    <w:uiPriority w:val="34"/>
    <w:qFormat/>
    <w:rsid w:val="00155198"/>
    <w:pPr>
      <w:ind w:left="720"/>
    </w:pPr>
  </w:style>
  <w:style w:type="paragraph" w:customStyle="1" w:styleId="para">
    <w:name w:val="para"/>
    <w:basedOn w:val="Normal"/>
    <w:rsid w:val="00C232E7"/>
    <w:pPr>
      <w:spacing w:before="100" w:beforeAutospacing="1" w:after="100" w:afterAutospacing="1"/>
    </w:pPr>
  </w:style>
  <w:style w:type="paragraph" w:styleId="Header">
    <w:name w:val="header"/>
    <w:basedOn w:val="Normal"/>
    <w:link w:val="HeaderChar"/>
    <w:rsid w:val="008D62FA"/>
    <w:pPr>
      <w:tabs>
        <w:tab w:val="center" w:pos="4680"/>
        <w:tab w:val="right" w:pos="9360"/>
      </w:tabs>
    </w:pPr>
  </w:style>
  <w:style w:type="character" w:customStyle="1" w:styleId="HeaderChar">
    <w:name w:val="Header Char"/>
    <w:link w:val="Header"/>
    <w:rsid w:val="008D62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State xmlns="d66e9825-2daf-4b7d-8148-29fe61dc28c3" xsi:nil="true"/>
    <Approved_x0020_by_x0020_PTO xmlns="eed187cc-37b6-41c4-a212-0f8f86212de1">No</Approved_x0020_by_x0020_PTO>
    <Year xmlns="d66e9825-2daf-4b7d-8148-29fe61dc28c3">2015</Year>
    <IC_x0020_Category xmlns="eed187cc-37b6-41c4-a212-0f8f86212de1">Change Worksheet</IC_x0020_Category>
    <Collection_x0020_Number xmlns="d66e9825-2daf-4b7d-8148-29fe61dc28c3">0651-0031</Collection_x0020_Number>
    <Document_x0020_Type xmlns="d66e9825-2daf-4b7d-8148-29fe61dc28c3" xsi:nil="tru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5003-C4C1-4FC8-B692-7691344AF91F}">
  <ds:schemaRefs>
    <ds:schemaRef ds:uri="http://www.w3.org/XML/1998/namespace"/>
    <ds:schemaRef ds:uri="eed187cc-37b6-41c4-a212-0f8f86212de1"/>
    <ds:schemaRef ds:uri="http://schemas.microsoft.com/office/2006/documentManagement/types"/>
    <ds:schemaRef ds:uri="http://purl.org/dc/elements/1.1/"/>
    <ds:schemaRef ds:uri="d66e9825-2daf-4b7d-8148-29fe61dc28c3"/>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C31CDE8-7FE4-424F-B84B-9685C3371FAA}">
  <ds:schemaRefs>
    <ds:schemaRef ds:uri="http://schemas.microsoft.com/sharepoint/v3/contenttype/forms"/>
  </ds:schemaRefs>
</ds:datastoreItem>
</file>

<file path=customXml/itemProps3.xml><?xml version="1.0" encoding="utf-8"?>
<ds:datastoreItem xmlns:ds="http://schemas.openxmlformats.org/officeDocument/2006/customXml" ds:itemID="{B6C1E59F-F51F-45DB-A2D0-39D2B748B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41C232-F992-48AB-A857-04A4A997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Chaange Worksheet</vt:lpstr>
    </vt:vector>
  </TitlesOfParts>
  <Company>U.S. Patent and Trademark Office</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Chaange Worksheet</dc:title>
  <dc:creator>Rob Flax</dc:creator>
  <cp:lastModifiedBy>Hall, Drew (AMBIT)</cp:lastModifiedBy>
  <cp:revision>2</cp:revision>
  <cp:lastPrinted>2012-07-05T15:00:00Z</cp:lastPrinted>
  <dcterms:created xsi:type="dcterms:W3CDTF">2015-04-14T12:54:00Z</dcterms:created>
  <dcterms:modified xsi:type="dcterms:W3CDTF">2015-04-14T12:54:00Z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