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D0411" w14:textId="77777777" w:rsidR="007C52B1" w:rsidRPr="00D2299E" w:rsidRDefault="007C52B1" w:rsidP="007C52B1">
      <w:pPr>
        <w:tabs>
          <w:tab w:val="left" w:pos="-720"/>
          <w:tab w:val="right" w:pos="8622"/>
        </w:tabs>
        <w:jc w:val="center"/>
        <w:rPr>
          <w:rFonts w:ascii="Times New Roman" w:hAnsi="Times New Roman"/>
          <w:b/>
          <w:sz w:val="24"/>
          <w:szCs w:val="24"/>
        </w:rPr>
      </w:pPr>
      <w:bookmarkStart w:id="0" w:name="_GoBack"/>
      <w:bookmarkEnd w:id="0"/>
      <w:r w:rsidRPr="00D2299E">
        <w:rPr>
          <w:rFonts w:ascii="Times New Roman" w:hAnsi="Times New Roman"/>
          <w:b/>
          <w:sz w:val="24"/>
          <w:szCs w:val="24"/>
        </w:rPr>
        <w:t>Health Resources and Services Administration</w:t>
      </w:r>
    </w:p>
    <w:p w14:paraId="0D6D0412" w14:textId="77777777" w:rsidR="007C52B1" w:rsidRDefault="001879E5">
      <w:pPr>
        <w:tabs>
          <w:tab w:val="left" w:pos="-720"/>
          <w:tab w:val="right" w:pos="8622"/>
        </w:tabs>
        <w:jc w:val="center"/>
        <w:rPr>
          <w:rFonts w:ascii="Times New Roman" w:hAnsi="Times New Roman"/>
          <w:b/>
          <w:bCs/>
          <w:sz w:val="24"/>
          <w:szCs w:val="24"/>
        </w:rPr>
      </w:pPr>
      <w:r>
        <w:rPr>
          <w:rFonts w:ascii="Times New Roman" w:hAnsi="Times New Roman"/>
          <w:b/>
          <w:bCs/>
          <w:sz w:val="24"/>
          <w:szCs w:val="24"/>
        </w:rPr>
        <w:t>SUPPORTING STATEMENT</w:t>
      </w:r>
      <w:r w:rsidR="007C52B1">
        <w:rPr>
          <w:rFonts w:ascii="Times New Roman" w:hAnsi="Times New Roman"/>
          <w:b/>
          <w:bCs/>
          <w:sz w:val="24"/>
          <w:szCs w:val="24"/>
        </w:rPr>
        <w:t xml:space="preserve"> </w:t>
      </w:r>
    </w:p>
    <w:p w14:paraId="0D6D0413" w14:textId="69F9045A" w:rsidR="001879E5" w:rsidRDefault="001600E5" w:rsidP="0033551D">
      <w:pPr>
        <w:tabs>
          <w:tab w:val="left" w:pos="-720"/>
          <w:tab w:val="right" w:pos="8622"/>
        </w:tabs>
        <w:jc w:val="center"/>
        <w:rPr>
          <w:rFonts w:ascii="Times New Roman" w:hAnsi="Times New Roman"/>
          <w:sz w:val="24"/>
          <w:szCs w:val="24"/>
        </w:rPr>
      </w:pPr>
      <w:r>
        <w:rPr>
          <w:rFonts w:ascii="Times New Roman" w:hAnsi="Times New Roman"/>
          <w:b/>
          <w:bCs/>
          <w:sz w:val="24"/>
          <w:szCs w:val="24"/>
        </w:rPr>
        <w:t xml:space="preserve">HRSA Office of Regional Operations (ORO) 2016 Tele-Behavioral Health Webcast Series </w:t>
      </w:r>
    </w:p>
    <w:p w14:paraId="0D6D0414" w14:textId="77777777" w:rsidR="001879E5" w:rsidRDefault="001879E5">
      <w:pPr>
        <w:tabs>
          <w:tab w:val="left" w:pos="-720"/>
          <w:tab w:val="right" w:pos="8622"/>
        </w:tabs>
        <w:rPr>
          <w:rFonts w:ascii="Times New Roman" w:hAnsi="Times New Roman"/>
          <w:sz w:val="24"/>
          <w:szCs w:val="24"/>
        </w:rPr>
      </w:pPr>
    </w:p>
    <w:p w14:paraId="0D6D0415" w14:textId="77777777" w:rsidR="001879E5" w:rsidRDefault="001879E5">
      <w:pPr>
        <w:tabs>
          <w:tab w:val="left" w:pos="-720"/>
          <w:tab w:val="left" w:pos="720"/>
          <w:tab w:val="right" w:pos="8622"/>
        </w:tabs>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t>Justification</w:t>
      </w:r>
    </w:p>
    <w:p w14:paraId="0D6D0416" w14:textId="77777777" w:rsidR="001879E5" w:rsidRDefault="001879E5">
      <w:pPr>
        <w:tabs>
          <w:tab w:val="left" w:pos="-720"/>
          <w:tab w:val="left" w:pos="720"/>
          <w:tab w:val="right" w:pos="8622"/>
        </w:tabs>
        <w:rPr>
          <w:rFonts w:ascii="Times New Roman" w:hAnsi="Times New Roman"/>
          <w:sz w:val="24"/>
          <w:szCs w:val="24"/>
        </w:rPr>
      </w:pPr>
    </w:p>
    <w:p w14:paraId="0D6D0417" w14:textId="77777777" w:rsidR="001879E5" w:rsidRDefault="001879E5">
      <w:pPr>
        <w:tabs>
          <w:tab w:val="left" w:pos="-720"/>
          <w:tab w:val="left" w:pos="44"/>
          <w:tab w:val="left" w:pos="720"/>
          <w:tab w:val="right" w:pos="8622"/>
        </w:tabs>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u w:val="single"/>
        </w:rPr>
        <w:t>Circumstances of Information Collection</w:t>
      </w:r>
    </w:p>
    <w:p w14:paraId="0D6D0418" w14:textId="77777777" w:rsidR="001879E5" w:rsidRDefault="001879E5">
      <w:pPr>
        <w:tabs>
          <w:tab w:val="left" w:pos="-720"/>
          <w:tab w:val="left" w:pos="44"/>
          <w:tab w:val="left" w:pos="720"/>
          <w:tab w:val="right" w:pos="8622"/>
        </w:tabs>
        <w:rPr>
          <w:rFonts w:ascii="Times New Roman" w:hAnsi="Times New Roman"/>
          <w:sz w:val="24"/>
          <w:szCs w:val="24"/>
        </w:rPr>
      </w:pPr>
    </w:p>
    <w:p w14:paraId="0D6D0419" w14:textId="77777777" w:rsidR="00A342EB" w:rsidRDefault="00A342EB" w:rsidP="00A342EB">
      <w:pPr>
        <w:pStyle w:val="Heading2"/>
        <w:rPr>
          <w:b w:val="0"/>
          <w:color w:val="auto"/>
          <w:sz w:val="24"/>
          <w:szCs w:val="24"/>
        </w:rPr>
      </w:pPr>
      <w:r>
        <w:rPr>
          <w:b w:val="0"/>
          <w:color w:val="auto"/>
          <w:sz w:val="24"/>
          <w:szCs w:val="24"/>
        </w:rPr>
        <w:t xml:space="preserve">The Health Resources and Services Administration (HRSA) currently has approval under the generic clearance, </w:t>
      </w:r>
      <w:r w:rsidRPr="00B425DD">
        <w:rPr>
          <w:b w:val="0"/>
          <w:color w:val="auto"/>
          <w:sz w:val="24"/>
          <w:szCs w:val="24"/>
        </w:rPr>
        <w:t xml:space="preserve">Office of Management and Budget </w:t>
      </w:r>
      <w:r>
        <w:rPr>
          <w:b w:val="0"/>
          <w:color w:val="auto"/>
          <w:sz w:val="24"/>
          <w:szCs w:val="24"/>
        </w:rPr>
        <w:t xml:space="preserve">(OMB) </w:t>
      </w:r>
      <w:r w:rsidR="00F1420F">
        <w:rPr>
          <w:b w:val="0"/>
          <w:color w:val="auto"/>
          <w:sz w:val="24"/>
          <w:szCs w:val="24"/>
        </w:rPr>
        <w:t xml:space="preserve">Control </w:t>
      </w:r>
      <w:r>
        <w:rPr>
          <w:b w:val="0"/>
          <w:color w:val="auto"/>
          <w:sz w:val="24"/>
          <w:szCs w:val="24"/>
        </w:rPr>
        <w:t>No. 0915-0212, to conduct customer satisfaction surveys and focus groups.  This collection of information helps fulfill the requirements of:</w:t>
      </w:r>
    </w:p>
    <w:p w14:paraId="0D6D041A" w14:textId="77777777" w:rsidR="00A342EB" w:rsidRDefault="00A342EB" w:rsidP="00A342EB">
      <w:pPr>
        <w:pStyle w:val="Heading2"/>
        <w:numPr>
          <w:ilvl w:val="0"/>
          <w:numId w:val="1"/>
        </w:numPr>
        <w:rPr>
          <w:b w:val="0"/>
          <w:color w:val="auto"/>
          <w:sz w:val="24"/>
          <w:szCs w:val="24"/>
        </w:rPr>
      </w:pPr>
      <w:r>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14:paraId="0D6D041B" w14:textId="77777777" w:rsidR="00A342EB" w:rsidRDefault="00A342EB">
      <w:pPr>
        <w:tabs>
          <w:tab w:val="left" w:pos="-720"/>
        </w:tabs>
        <w:rPr>
          <w:rFonts w:ascii="Times New Roman" w:hAnsi="Times New Roman"/>
          <w:sz w:val="24"/>
          <w:szCs w:val="24"/>
        </w:rPr>
      </w:pPr>
    </w:p>
    <w:p w14:paraId="0D6D041C" w14:textId="0703B342" w:rsidR="004E3605" w:rsidRDefault="001879E5">
      <w:pPr>
        <w:tabs>
          <w:tab w:val="left" w:pos="-720"/>
        </w:tabs>
        <w:rPr>
          <w:rFonts w:ascii="Times New Roman" w:hAnsi="Times New Roman"/>
          <w:sz w:val="24"/>
          <w:szCs w:val="24"/>
        </w:rPr>
      </w:pPr>
      <w:r w:rsidRPr="00A4213C">
        <w:rPr>
          <w:rFonts w:ascii="Times New Roman" w:hAnsi="Times New Roman"/>
          <w:sz w:val="24"/>
          <w:szCs w:val="24"/>
        </w:rPr>
        <w:t xml:space="preserve">This is a request for OMB approval </w:t>
      </w:r>
      <w:r w:rsidR="00A342EB" w:rsidRPr="00A4213C">
        <w:rPr>
          <w:rFonts w:ascii="Times New Roman" w:hAnsi="Times New Roman"/>
          <w:sz w:val="24"/>
          <w:szCs w:val="24"/>
        </w:rPr>
        <w:t xml:space="preserve">of a qualitative </w:t>
      </w:r>
      <w:r w:rsidR="00F1420F" w:rsidRPr="00A4213C">
        <w:rPr>
          <w:rFonts w:ascii="Times New Roman" w:hAnsi="Times New Roman"/>
          <w:sz w:val="24"/>
          <w:szCs w:val="24"/>
        </w:rPr>
        <w:t xml:space="preserve">voluntary </w:t>
      </w:r>
      <w:r w:rsidR="00A342EB" w:rsidRPr="00A4213C">
        <w:rPr>
          <w:rFonts w:ascii="Times New Roman" w:hAnsi="Times New Roman"/>
          <w:sz w:val="24"/>
          <w:szCs w:val="24"/>
        </w:rPr>
        <w:t>customer satisfaction survey</w:t>
      </w:r>
      <w:r w:rsidR="0033551D">
        <w:rPr>
          <w:rFonts w:ascii="Times New Roman" w:hAnsi="Times New Roman"/>
          <w:sz w:val="24"/>
          <w:szCs w:val="24"/>
        </w:rPr>
        <w:t xml:space="preserve"> </w:t>
      </w:r>
      <w:r w:rsidR="00A342EB" w:rsidRPr="00A4213C">
        <w:rPr>
          <w:rFonts w:ascii="Times New Roman" w:hAnsi="Times New Roman"/>
          <w:sz w:val="24"/>
          <w:szCs w:val="24"/>
        </w:rPr>
        <w:t xml:space="preserve">under HRSA’s generic clearance. </w:t>
      </w:r>
      <w:r w:rsidR="00472378" w:rsidRPr="00A4213C">
        <w:rPr>
          <w:rFonts w:ascii="Times New Roman" w:hAnsi="Times New Roman"/>
          <w:sz w:val="24"/>
          <w:szCs w:val="24"/>
        </w:rPr>
        <w:t xml:space="preserve"> </w:t>
      </w:r>
    </w:p>
    <w:p w14:paraId="0D6D041D" w14:textId="77777777" w:rsidR="004E3605" w:rsidRDefault="004E3605">
      <w:pPr>
        <w:tabs>
          <w:tab w:val="left" w:pos="-720"/>
        </w:tabs>
        <w:rPr>
          <w:rFonts w:ascii="Times New Roman" w:hAnsi="Times New Roman"/>
          <w:sz w:val="24"/>
          <w:szCs w:val="24"/>
        </w:rPr>
      </w:pPr>
    </w:p>
    <w:p w14:paraId="754264F6" w14:textId="77777777" w:rsidR="00AA24D1" w:rsidRPr="00FA4FEE" w:rsidRDefault="00AA24D1" w:rsidP="00AA24D1">
      <w:pPr>
        <w:rPr>
          <w:rFonts w:ascii="Times New Roman" w:hAnsi="Times New Roman"/>
          <w:sz w:val="24"/>
          <w:szCs w:val="24"/>
        </w:rPr>
      </w:pPr>
      <w:r w:rsidRPr="006F747E">
        <w:rPr>
          <w:rFonts w:ascii="Times New Roman" w:hAnsi="Times New Roman"/>
          <w:sz w:val="24"/>
          <w:szCs w:val="24"/>
        </w:rPr>
        <w:t xml:space="preserve">One of the biggest barriers to individuals receiving </w:t>
      </w:r>
      <w:r>
        <w:rPr>
          <w:rFonts w:ascii="Times New Roman" w:hAnsi="Times New Roman"/>
          <w:sz w:val="24"/>
          <w:szCs w:val="24"/>
        </w:rPr>
        <w:t>behavioral health services is access,</w:t>
      </w:r>
      <w:r w:rsidRPr="006F747E">
        <w:rPr>
          <w:rFonts w:ascii="Times New Roman" w:hAnsi="Times New Roman"/>
          <w:sz w:val="24"/>
          <w:szCs w:val="24"/>
        </w:rPr>
        <w:t xml:space="preserve"> especially in </w:t>
      </w:r>
      <w:r>
        <w:rPr>
          <w:rFonts w:ascii="Times New Roman" w:hAnsi="Times New Roman"/>
          <w:sz w:val="24"/>
          <w:szCs w:val="24"/>
        </w:rPr>
        <w:t>already underserved</w:t>
      </w:r>
      <w:r w:rsidRPr="006F747E">
        <w:rPr>
          <w:rFonts w:ascii="Times New Roman" w:hAnsi="Times New Roman"/>
          <w:sz w:val="24"/>
          <w:szCs w:val="24"/>
        </w:rPr>
        <w:t xml:space="preserve"> communities. With</w:t>
      </w:r>
      <w:r>
        <w:rPr>
          <w:rFonts w:ascii="Times New Roman" w:hAnsi="Times New Roman"/>
          <w:sz w:val="24"/>
          <w:szCs w:val="24"/>
        </w:rPr>
        <w:t xml:space="preserve"> a</w:t>
      </w:r>
      <w:r w:rsidRPr="006F747E">
        <w:rPr>
          <w:rFonts w:ascii="Times New Roman" w:hAnsi="Times New Roman"/>
          <w:sz w:val="24"/>
          <w:szCs w:val="24"/>
        </w:rPr>
        <w:t xml:space="preserve"> growing trend towards using technology-based interventions to deliver behavioral health treatment and recovery services</w:t>
      </w:r>
      <w:r>
        <w:rPr>
          <w:rFonts w:ascii="Times New Roman" w:hAnsi="Times New Roman"/>
          <w:sz w:val="24"/>
          <w:szCs w:val="24"/>
        </w:rPr>
        <w:t xml:space="preserve">, it is imperative that HRSA be at the forefront of providing information and training on this topic to healthcare providers. </w:t>
      </w:r>
    </w:p>
    <w:p w14:paraId="48DC1F75" w14:textId="77777777" w:rsidR="00AA24D1" w:rsidRDefault="00AA24D1">
      <w:pPr>
        <w:tabs>
          <w:tab w:val="left" w:pos="-720"/>
        </w:tabs>
        <w:rPr>
          <w:rFonts w:ascii="Times New Roman" w:hAnsi="Times New Roman"/>
          <w:sz w:val="24"/>
          <w:szCs w:val="24"/>
        </w:rPr>
      </w:pPr>
    </w:p>
    <w:p w14:paraId="17EF35AC" w14:textId="77777777" w:rsidR="00AA24D1" w:rsidRPr="00FA4FEE" w:rsidRDefault="001600E5" w:rsidP="00AA24D1">
      <w:pPr>
        <w:rPr>
          <w:rFonts w:ascii="Times New Roman" w:hAnsi="Times New Roman"/>
          <w:sz w:val="24"/>
          <w:szCs w:val="24"/>
        </w:rPr>
      </w:pPr>
      <w:r>
        <w:rPr>
          <w:rFonts w:ascii="Times New Roman" w:hAnsi="Times New Roman"/>
          <w:sz w:val="24"/>
          <w:szCs w:val="24"/>
        </w:rPr>
        <w:t xml:space="preserve">HRSA’s Office of Regional Operations (ORO) will obtain feedback from participants </w:t>
      </w:r>
      <w:r w:rsidR="006F747E">
        <w:rPr>
          <w:rFonts w:ascii="Times New Roman" w:hAnsi="Times New Roman"/>
          <w:sz w:val="24"/>
          <w:szCs w:val="24"/>
        </w:rPr>
        <w:t>who attended</w:t>
      </w:r>
      <w:r>
        <w:rPr>
          <w:rFonts w:ascii="Times New Roman" w:hAnsi="Times New Roman"/>
          <w:sz w:val="24"/>
          <w:szCs w:val="24"/>
        </w:rPr>
        <w:t xml:space="preserve"> </w:t>
      </w:r>
      <w:r w:rsidR="00090E64">
        <w:rPr>
          <w:rFonts w:ascii="Times New Roman" w:hAnsi="Times New Roman"/>
          <w:sz w:val="24"/>
          <w:szCs w:val="24"/>
        </w:rPr>
        <w:t xml:space="preserve">any of three </w:t>
      </w:r>
      <w:r>
        <w:rPr>
          <w:rFonts w:ascii="Times New Roman" w:hAnsi="Times New Roman"/>
          <w:sz w:val="24"/>
          <w:szCs w:val="24"/>
        </w:rPr>
        <w:t>webcasts for provider organizations about developing or expanding tele-behavioral health services for underserved populations.</w:t>
      </w:r>
      <w:r w:rsidR="00B5427E">
        <w:rPr>
          <w:rFonts w:ascii="Times New Roman" w:hAnsi="Times New Roman"/>
          <w:sz w:val="24"/>
          <w:szCs w:val="24"/>
        </w:rPr>
        <w:t xml:space="preserve"> </w:t>
      </w:r>
      <w:r w:rsidR="00AA24D1">
        <w:rPr>
          <w:rFonts w:ascii="Times New Roman" w:hAnsi="Times New Roman"/>
          <w:sz w:val="24"/>
          <w:szCs w:val="24"/>
        </w:rPr>
        <w:t>The webcasts occurred April 14, April 28, and May 19, 2016.  The goal of the series was to improve providers’ knowledge and awareness of tele-behavioral health services, provide information on tele-behavioral health that attendees perceive as useful, and ultimately increase the amount of tele-behavioral health services provided by attendee organizations. Feedback will be gathered approximately six months after the webcast series in order to assess mid-term, rather than short-term, effects of the webcast series.</w:t>
      </w:r>
    </w:p>
    <w:p w14:paraId="0D6D041F" w14:textId="77777777" w:rsidR="001F78C0" w:rsidRDefault="001F78C0">
      <w:pPr>
        <w:tabs>
          <w:tab w:val="left" w:pos="-720"/>
        </w:tabs>
        <w:rPr>
          <w:rFonts w:ascii="Times New Roman" w:hAnsi="Times New Roman"/>
          <w:sz w:val="24"/>
          <w:szCs w:val="24"/>
        </w:rPr>
      </w:pPr>
    </w:p>
    <w:p w14:paraId="0D6D0420" w14:textId="7643ADA5" w:rsidR="00FA4FEE" w:rsidRDefault="001879E5">
      <w:pPr>
        <w:tabs>
          <w:tab w:val="left" w:pos="-720"/>
        </w:tabs>
        <w:rPr>
          <w:rFonts w:ascii="Times New Roman" w:hAnsi="Times New Roman"/>
          <w:sz w:val="24"/>
          <w:szCs w:val="24"/>
        </w:rPr>
      </w:pPr>
      <w:r>
        <w:rPr>
          <w:rFonts w:ascii="Times New Roman" w:hAnsi="Times New Roman"/>
          <w:sz w:val="24"/>
          <w:szCs w:val="24"/>
        </w:rPr>
        <w:t>Executive Order 12862 directs agencies that "provide significant services directly to the public" to "survey customers to determine the kind and quality of services they want and their level of satisfaction with existing services</w:t>
      </w:r>
      <w:r w:rsidR="001A7DA8">
        <w:rPr>
          <w:rFonts w:ascii="Times New Roman" w:hAnsi="Times New Roman"/>
          <w:sz w:val="24"/>
          <w:szCs w:val="24"/>
        </w:rPr>
        <w:t>.</w:t>
      </w:r>
      <w:r>
        <w:rPr>
          <w:rFonts w:ascii="Times New Roman" w:hAnsi="Times New Roman"/>
          <w:sz w:val="24"/>
          <w:szCs w:val="24"/>
        </w:rPr>
        <w:t xml:space="preserve">" </w:t>
      </w:r>
      <w:r w:rsidR="00190FE2" w:rsidRPr="00190FE2">
        <w:rPr>
          <w:rFonts w:ascii="Times New Roman" w:eastAsiaTheme="minorEastAsia" w:hAnsi="Times New Roman"/>
          <w:sz w:val="24"/>
          <w:szCs w:val="24"/>
        </w:rP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The Agency will collect, analyze, and interpret information gathered to identify strengths and weaknesses of the webcast series and make improvements in service delivery based on feedback.  </w:t>
      </w:r>
      <w:r w:rsidR="00190FE2">
        <w:rPr>
          <w:rFonts w:ascii="Times New Roman" w:eastAsiaTheme="minorEastAsia" w:hAnsi="Times New Roman"/>
          <w:sz w:val="24"/>
          <w:szCs w:val="24"/>
        </w:rPr>
        <w:t>Specifically, we will</w:t>
      </w:r>
      <w:r w:rsidR="00090E64">
        <w:rPr>
          <w:rFonts w:ascii="Times New Roman" w:hAnsi="Times New Roman"/>
          <w:sz w:val="24"/>
          <w:szCs w:val="24"/>
        </w:rPr>
        <w:t xml:space="preserve"> assess whether attendance at all or part of this webcast series improved attendees’ knowledge about and awareness of tele-behavioral health; assess the degree to which attendees found such content useful; and</w:t>
      </w:r>
      <w:r w:rsidR="00A52872">
        <w:rPr>
          <w:rFonts w:ascii="Times New Roman" w:hAnsi="Times New Roman"/>
          <w:sz w:val="24"/>
          <w:szCs w:val="24"/>
        </w:rPr>
        <w:t xml:space="preserve"> determine</w:t>
      </w:r>
      <w:r w:rsidR="00090E64">
        <w:rPr>
          <w:rFonts w:ascii="Times New Roman" w:hAnsi="Times New Roman"/>
          <w:sz w:val="24"/>
          <w:szCs w:val="24"/>
        </w:rPr>
        <w:t xml:space="preserve"> whether or </w:t>
      </w:r>
      <w:r w:rsidR="00090E64">
        <w:rPr>
          <w:rFonts w:ascii="Times New Roman" w:hAnsi="Times New Roman"/>
          <w:sz w:val="24"/>
          <w:szCs w:val="24"/>
        </w:rPr>
        <w:lastRenderedPageBreak/>
        <w:t>not participation in all or part of th</w:t>
      </w:r>
      <w:r w:rsidR="00490BAB">
        <w:rPr>
          <w:rFonts w:ascii="Times New Roman" w:hAnsi="Times New Roman"/>
          <w:sz w:val="24"/>
          <w:szCs w:val="24"/>
        </w:rPr>
        <w:t xml:space="preserve">e </w:t>
      </w:r>
      <w:r w:rsidR="00090E64">
        <w:rPr>
          <w:rFonts w:ascii="Times New Roman" w:hAnsi="Times New Roman"/>
          <w:sz w:val="24"/>
          <w:szCs w:val="24"/>
        </w:rPr>
        <w:t xml:space="preserve">webcast series </w:t>
      </w:r>
      <w:r w:rsidR="003C64FF">
        <w:rPr>
          <w:rFonts w:ascii="Times New Roman" w:hAnsi="Times New Roman"/>
          <w:sz w:val="24"/>
          <w:szCs w:val="24"/>
        </w:rPr>
        <w:t>is correlated with</w:t>
      </w:r>
      <w:r w:rsidR="00090E64">
        <w:rPr>
          <w:rFonts w:ascii="Times New Roman" w:hAnsi="Times New Roman"/>
          <w:sz w:val="24"/>
          <w:szCs w:val="24"/>
        </w:rPr>
        <w:t xml:space="preserve"> </w:t>
      </w:r>
      <w:r w:rsidR="00A52872">
        <w:rPr>
          <w:rFonts w:ascii="Times New Roman" w:hAnsi="Times New Roman"/>
          <w:sz w:val="24"/>
          <w:szCs w:val="24"/>
        </w:rPr>
        <w:t xml:space="preserve">the amount of tele-behavioral health services provided by attendee organizations. Attendees will also have the </w:t>
      </w:r>
      <w:r w:rsidR="00490BAB">
        <w:rPr>
          <w:rFonts w:ascii="Times New Roman" w:hAnsi="Times New Roman"/>
          <w:sz w:val="24"/>
          <w:szCs w:val="24"/>
        </w:rPr>
        <w:t>opportunity to</w:t>
      </w:r>
      <w:r w:rsidR="00A52872">
        <w:rPr>
          <w:rFonts w:ascii="Times New Roman" w:hAnsi="Times New Roman"/>
          <w:sz w:val="24"/>
          <w:szCs w:val="24"/>
        </w:rPr>
        <w:t xml:space="preserve"> offer i</w:t>
      </w:r>
      <w:r w:rsidR="00490BAB">
        <w:rPr>
          <w:rFonts w:ascii="Times New Roman" w:hAnsi="Times New Roman"/>
          <w:sz w:val="24"/>
          <w:szCs w:val="24"/>
        </w:rPr>
        <w:t xml:space="preserve">nsight or opinions on barriers </w:t>
      </w:r>
      <w:r w:rsidR="00A52872">
        <w:rPr>
          <w:rFonts w:ascii="Times New Roman" w:hAnsi="Times New Roman"/>
          <w:sz w:val="24"/>
          <w:szCs w:val="24"/>
        </w:rPr>
        <w:t xml:space="preserve">to the initiation, use, or expansion of tele-behavioral health services </w:t>
      </w:r>
      <w:r w:rsidR="00490BAB">
        <w:rPr>
          <w:rFonts w:ascii="Times New Roman" w:hAnsi="Times New Roman"/>
          <w:sz w:val="24"/>
          <w:szCs w:val="24"/>
        </w:rPr>
        <w:t>and any other comments on the webcast or topic area they would like to share</w:t>
      </w:r>
      <w:r w:rsidR="00A52872">
        <w:rPr>
          <w:rFonts w:ascii="Times New Roman" w:hAnsi="Times New Roman"/>
          <w:sz w:val="24"/>
          <w:szCs w:val="24"/>
        </w:rPr>
        <w:t>.</w:t>
      </w:r>
      <w:r w:rsidR="00190FE2">
        <w:rPr>
          <w:rFonts w:ascii="Times New Roman" w:hAnsi="Times New Roman"/>
          <w:sz w:val="24"/>
          <w:szCs w:val="24"/>
        </w:rPr>
        <w:t xml:space="preserve"> </w:t>
      </w:r>
      <w:r w:rsidR="00190FE2" w:rsidRPr="00190FE2">
        <w:rPr>
          <w:rFonts w:ascii="Times New Roman" w:eastAsiaTheme="minorEastAsia" w:hAnsi="Times New Roman"/>
          <w:sz w:val="24"/>
          <w:szCs w:val="24"/>
        </w:rPr>
        <w:t xml:space="preserve">If this information is not collected, vital feedback from customers and stakeholders on the </w:t>
      </w:r>
      <w:r w:rsidR="00190FE2">
        <w:rPr>
          <w:rFonts w:ascii="Times New Roman" w:eastAsiaTheme="minorEastAsia" w:hAnsi="Times New Roman"/>
          <w:sz w:val="24"/>
          <w:szCs w:val="24"/>
        </w:rPr>
        <w:t>webcast series</w:t>
      </w:r>
      <w:r w:rsidR="00190FE2" w:rsidRPr="00190FE2">
        <w:rPr>
          <w:rFonts w:ascii="Times New Roman" w:eastAsiaTheme="minorEastAsia" w:hAnsi="Times New Roman"/>
          <w:sz w:val="24"/>
          <w:szCs w:val="24"/>
        </w:rPr>
        <w:t xml:space="preserve"> will be unavailable.</w:t>
      </w:r>
    </w:p>
    <w:p w14:paraId="0D6D0421" w14:textId="77777777" w:rsidR="001879E5" w:rsidRDefault="001879E5">
      <w:pPr>
        <w:tabs>
          <w:tab w:val="left" w:pos="-720"/>
        </w:tabs>
        <w:rPr>
          <w:rFonts w:ascii="Times New Roman" w:hAnsi="Times New Roman"/>
          <w:sz w:val="24"/>
          <w:szCs w:val="24"/>
        </w:rPr>
      </w:pPr>
    </w:p>
    <w:p w14:paraId="0D6D0422" w14:textId="77777777"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u w:val="single"/>
        </w:rPr>
        <w:t>Purpose and Use of the Information</w:t>
      </w:r>
    </w:p>
    <w:p w14:paraId="0D6D0423" w14:textId="77777777" w:rsidR="001879E5" w:rsidRDefault="001879E5">
      <w:pPr>
        <w:tabs>
          <w:tab w:val="left" w:pos="-720"/>
          <w:tab w:val="left" w:pos="720"/>
          <w:tab w:val="right" w:pos="8648"/>
        </w:tabs>
        <w:rPr>
          <w:rFonts w:ascii="Times New Roman" w:hAnsi="Times New Roman"/>
          <w:sz w:val="24"/>
          <w:szCs w:val="24"/>
        </w:rPr>
      </w:pPr>
    </w:p>
    <w:p w14:paraId="2DF5AF91" w14:textId="1516EBA4" w:rsidR="00A24E14" w:rsidRDefault="006F747E" w:rsidP="00A24E14">
      <w:pPr>
        <w:tabs>
          <w:tab w:val="left" w:pos="-720"/>
        </w:tabs>
        <w:rPr>
          <w:rFonts w:ascii="Times New Roman" w:hAnsi="Times New Roman"/>
          <w:sz w:val="24"/>
          <w:szCs w:val="24"/>
        </w:rPr>
      </w:pPr>
      <w:r>
        <w:rPr>
          <w:rFonts w:ascii="Times New Roman" w:hAnsi="Times New Roman"/>
          <w:sz w:val="24"/>
          <w:szCs w:val="24"/>
        </w:rPr>
        <w:t xml:space="preserve">The primary use of the information </w:t>
      </w:r>
      <w:r w:rsidR="00643FD8">
        <w:rPr>
          <w:rFonts w:ascii="Times New Roman" w:hAnsi="Times New Roman"/>
          <w:sz w:val="24"/>
          <w:szCs w:val="24"/>
        </w:rPr>
        <w:t>to be collected</w:t>
      </w:r>
      <w:r>
        <w:rPr>
          <w:rFonts w:ascii="Times New Roman" w:hAnsi="Times New Roman"/>
          <w:sz w:val="24"/>
          <w:szCs w:val="24"/>
        </w:rPr>
        <w:t xml:space="preserve"> is to identify how well the webcast series attain</w:t>
      </w:r>
      <w:r w:rsidR="008B26BE">
        <w:rPr>
          <w:rFonts w:ascii="Times New Roman" w:hAnsi="Times New Roman"/>
          <w:sz w:val="24"/>
          <w:szCs w:val="24"/>
        </w:rPr>
        <w:t>ed</w:t>
      </w:r>
      <w:r>
        <w:rPr>
          <w:rFonts w:ascii="Times New Roman" w:hAnsi="Times New Roman"/>
          <w:sz w:val="24"/>
          <w:szCs w:val="24"/>
        </w:rPr>
        <w:t xml:space="preserve"> its goals</w:t>
      </w:r>
      <w:r w:rsidR="003111D1">
        <w:rPr>
          <w:rFonts w:ascii="Times New Roman" w:hAnsi="Times New Roman"/>
          <w:sz w:val="24"/>
          <w:szCs w:val="24"/>
        </w:rPr>
        <w:t xml:space="preserve"> of</w:t>
      </w:r>
      <w:r>
        <w:rPr>
          <w:rFonts w:ascii="Times New Roman" w:hAnsi="Times New Roman"/>
          <w:sz w:val="24"/>
          <w:szCs w:val="24"/>
        </w:rPr>
        <w:t xml:space="preserve"> improving providers’ knowledge and awareness of tele-behavioral health services</w:t>
      </w:r>
      <w:r w:rsidR="00643FD8">
        <w:rPr>
          <w:rFonts w:ascii="Times New Roman" w:hAnsi="Times New Roman"/>
          <w:sz w:val="24"/>
          <w:szCs w:val="24"/>
        </w:rPr>
        <w:t>,</w:t>
      </w:r>
      <w:r w:rsidR="00A24E14">
        <w:rPr>
          <w:rFonts w:ascii="Times New Roman" w:hAnsi="Times New Roman"/>
          <w:sz w:val="24"/>
          <w:szCs w:val="24"/>
        </w:rPr>
        <w:t xml:space="preserve"> providing information on tele-behavioral health that attendees perceive as useful</w:t>
      </w:r>
      <w:r w:rsidR="00643FD8">
        <w:rPr>
          <w:rFonts w:ascii="Times New Roman" w:hAnsi="Times New Roman"/>
          <w:sz w:val="24"/>
          <w:szCs w:val="24"/>
        </w:rPr>
        <w:t>,</w:t>
      </w:r>
      <w:r w:rsidR="00A24E14">
        <w:rPr>
          <w:rFonts w:ascii="Times New Roman" w:hAnsi="Times New Roman"/>
          <w:sz w:val="24"/>
          <w:szCs w:val="24"/>
        </w:rPr>
        <w:t xml:space="preserve"> and increasing the amount of tele-behavioral health services provided by attendee organizations. </w:t>
      </w:r>
      <w:r w:rsidR="008B26BE">
        <w:rPr>
          <w:rFonts w:ascii="Times New Roman" w:hAnsi="Times New Roman"/>
          <w:sz w:val="24"/>
          <w:szCs w:val="24"/>
        </w:rPr>
        <w:t xml:space="preserve">The </w:t>
      </w:r>
      <w:r w:rsidR="00643FD8">
        <w:rPr>
          <w:rFonts w:ascii="Times New Roman" w:hAnsi="Times New Roman"/>
          <w:sz w:val="24"/>
          <w:szCs w:val="24"/>
        </w:rPr>
        <w:t xml:space="preserve">information collected </w:t>
      </w:r>
      <w:r w:rsidR="00A24E14">
        <w:rPr>
          <w:rFonts w:ascii="Times New Roman" w:hAnsi="Times New Roman"/>
          <w:sz w:val="24"/>
          <w:szCs w:val="24"/>
        </w:rPr>
        <w:t xml:space="preserve">will be used internally by HRSA staff to determine if a similar webcast series should be offered at a later date and if changes to the webcast series might help to better attain the stated goals. Similarly, information provided on barriers to the initiation, use, or expansion of tele-behavioral health as well as any other feedback on the webcast or topic area that attendees share will be used by HRSA staff to select topics for and/or inform future webcasts </w:t>
      </w:r>
      <w:r w:rsidR="008B26BE">
        <w:rPr>
          <w:rFonts w:ascii="Times New Roman" w:hAnsi="Times New Roman"/>
          <w:sz w:val="24"/>
          <w:szCs w:val="24"/>
        </w:rPr>
        <w:t>on tele-behavioral health in order to ensure we provide effective and relevant training to the field.</w:t>
      </w:r>
      <w:r w:rsidR="006719B1">
        <w:rPr>
          <w:rFonts w:ascii="Times New Roman" w:hAnsi="Times New Roman"/>
          <w:sz w:val="24"/>
          <w:szCs w:val="24"/>
        </w:rPr>
        <w:t xml:space="preserve"> Finally, survey results may be utilized to assess the nature and extent of future technical assistance needs of HRSA provider organizations. It is likely that regional office staff may be utilized to provide on-site, organization-specific technical assistance</w:t>
      </w:r>
      <w:r w:rsidR="002E2BCD">
        <w:rPr>
          <w:rFonts w:ascii="Times New Roman" w:hAnsi="Times New Roman"/>
          <w:sz w:val="24"/>
          <w:szCs w:val="24"/>
        </w:rPr>
        <w:t xml:space="preserve"> based on the information gathered</w:t>
      </w:r>
      <w:r w:rsidR="006719B1">
        <w:rPr>
          <w:rFonts w:ascii="Times New Roman" w:hAnsi="Times New Roman"/>
          <w:sz w:val="24"/>
          <w:szCs w:val="24"/>
        </w:rPr>
        <w:t>.</w:t>
      </w:r>
    </w:p>
    <w:p w14:paraId="75115D6C" w14:textId="77777777" w:rsidR="00A24E14" w:rsidRDefault="00A24E14" w:rsidP="00A24E14">
      <w:pPr>
        <w:tabs>
          <w:tab w:val="left" w:pos="-720"/>
        </w:tabs>
        <w:rPr>
          <w:rFonts w:ascii="Times New Roman" w:hAnsi="Times New Roman"/>
          <w:sz w:val="24"/>
          <w:szCs w:val="24"/>
        </w:rPr>
      </w:pPr>
    </w:p>
    <w:p w14:paraId="0D6D0429" w14:textId="77777777"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u w:val="single"/>
        </w:rPr>
        <w:t>Use of Improved Information Technology</w:t>
      </w:r>
    </w:p>
    <w:p w14:paraId="0D6D042A" w14:textId="77777777" w:rsidR="001879E5" w:rsidRDefault="001879E5">
      <w:pPr>
        <w:tabs>
          <w:tab w:val="left" w:pos="-720"/>
          <w:tab w:val="left" w:pos="720"/>
          <w:tab w:val="right" w:pos="8648"/>
        </w:tabs>
        <w:rPr>
          <w:rFonts w:ascii="Times New Roman" w:hAnsi="Times New Roman"/>
          <w:sz w:val="24"/>
          <w:szCs w:val="24"/>
        </w:rPr>
      </w:pPr>
    </w:p>
    <w:p w14:paraId="1E81990C" w14:textId="70FBB4F7" w:rsidR="008B26BE" w:rsidRDefault="008B26BE">
      <w:pPr>
        <w:tabs>
          <w:tab w:val="left" w:pos="-720"/>
          <w:tab w:val="left" w:pos="720"/>
          <w:tab w:val="right" w:pos="8648"/>
        </w:tabs>
        <w:rPr>
          <w:rFonts w:ascii="Times New Roman" w:hAnsi="Times New Roman"/>
          <w:sz w:val="24"/>
          <w:szCs w:val="24"/>
        </w:rPr>
      </w:pPr>
      <w:r>
        <w:rPr>
          <w:rFonts w:ascii="Times New Roman" w:hAnsi="Times New Roman"/>
          <w:sz w:val="24"/>
          <w:szCs w:val="24"/>
        </w:rPr>
        <w:t>Information</w:t>
      </w:r>
      <w:r w:rsidR="00BE6082">
        <w:rPr>
          <w:rFonts w:ascii="Times New Roman" w:hAnsi="Times New Roman"/>
          <w:sz w:val="24"/>
          <w:szCs w:val="24"/>
        </w:rPr>
        <w:t xml:space="preserve"> will be gathered via a web-based </w:t>
      </w:r>
      <w:r>
        <w:rPr>
          <w:rFonts w:ascii="Times New Roman" w:hAnsi="Times New Roman"/>
          <w:sz w:val="24"/>
          <w:szCs w:val="24"/>
        </w:rPr>
        <w:t>format, and requests and reminders to complete the survey will be sent to attendees via email.</w:t>
      </w:r>
    </w:p>
    <w:p w14:paraId="0D6D042F" w14:textId="77777777" w:rsidR="00896384" w:rsidRPr="00896384" w:rsidRDefault="00896384" w:rsidP="00896384">
      <w:pPr>
        <w:tabs>
          <w:tab w:val="left" w:pos="-720"/>
        </w:tabs>
        <w:rPr>
          <w:rFonts w:ascii="Times New Roman" w:hAnsi="Times New Roman"/>
          <w:sz w:val="24"/>
          <w:szCs w:val="24"/>
        </w:rPr>
      </w:pPr>
    </w:p>
    <w:p w14:paraId="0D6D0430" w14:textId="77777777"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u w:val="single"/>
        </w:rPr>
        <w:t>Efforts to Avoid Duplication</w:t>
      </w:r>
    </w:p>
    <w:p w14:paraId="053EF9A3" w14:textId="77777777" w:rsidR="00C65941" w:rsidRDefault="00C65941">
      <w:pPr>
        <w:tabs>
          <w:tab w:val="left" w:pos="-720"/>
          <w:tab w:val="left" w:pos="720"/>
          <w:tab w:val="right" w:pos="8648"/>
        </w:tabs>
        <w:rPr>
          <w:rFonts w:ascii="Times New Roman" w:hAnsi="Times New Roman"/>
          <w:sz w:val="24"/>
          <w:szCs w:val="24"/>
        </w:rPr>
      </w:pPr>
    </w:p>
    <w:p w14:paraId="0D6D0431" w14:textId="5310D12F" w:rsidR="001879E5" w:rsidRDefault="00F078F5">
      <w:pPr>
        <w:tabs>
          <w:tab w:val="left" w:pos="-720"/>
          <w:tab w:val="left" w:pos="720"/>
          <w:tab w:val="right" w:pos="8648"/>
        </w:tabs>
        <w:rPr>
          <w:rFonts w:ascii="Times New Roman" w:hAnsi="Times New Roman"/>
          <w:sz w:val="24"/>
          <w:szCs w:val="24"/>
        </w:rPr>
      </w:pPr>
      <w:r>
        <w:rPr>
          <w:rFonts w:ascii="Times New Roman" w:hAnsi="Times New Roman"/>
          <w:sz w:val="24"/>
          <w:szCs w:val="24"/>
        </w:rPr>
        <w:t>The survey is designed to</w:t>
      </w:r>
      <w:r w:rsidR="008B26BE">
        <w:rPr>
          <w:rFonts w:ascii="Times New Roman" w:hAnsi="Times New Roman"/>
          <w:sz w:val="24"/>
          <w:szCs w:val="24"/>
        </w:rPr>
        <w:t xml:space="preserve"> assess the effect of a particular webcast series offered by HRSA</w:t>
      </w:r>
      <w:r w:rsidR="00643FD8">
        <w:rPr>
          <w:rFonts w:ascii="Times New Roman" w:hAnsi="Times New Roman"/>
          <w:sz w:val="24"/>
          <w:szCs w:val="24"/>
        </w:rPr>
        <w:t>.  No</w:t>
      </w:r>
      <w:r w:rsidR="008B26BE">
        <w:rPr>
          <w:rFonts w:ascii="Times New Roman" w:hAnsi="Times New Roman"/>
          <w:sz w:val="24"/>
          <w:szCs w:val="24"/>
        </w:rPr>
        <w:t xml:space="preserve"> other organization is collecting information on this activity. Similarly, </w:t>
      </w:r>
      <w:r>
        <w:rPr>
          <w:rFonts w:ascii="Times New Roman" w:hAnsi="Times New Roman"/>
          <w:sz w:val="24"/>
          <w:szCs w:val="24"/>
        </w:rPr>
        <w:t>there is no information</w:t>
      </w:r>
      <w:r w:rsidR="008B26BE">
        <w:rPr>
          <w:rFonts w:ascii="Times New Roman" w:hAnsi="Times New Roman"/>
          <w:sz w:val="24"/>
          <w:szCs w:val="24"/>
        </w:rPr>
        <w:t xml:space="preserve"> on barriers to the initiation, use, and expansion of tele-behavioral health</w:t>
      </w:r>
      <w:r>
        <w:rPr>
          <w:rFonts w:ascii="Times New Roman" w:hAnsi="Times New Roman"/>
          <w:sz w:val="24"/>
          <w:szCs w:val="24"/>
        </w:rPr>
        <w:t xml:space="preserve"> from the provider segment likely to attend a HRSA webcast series. </w:t>
      </w:r>
      <w:r w:rsidR="008B26BE">
        <w:rPr>
          <w:rFonts w:ascii="Times New Roman" w:hAnsi="Times New Roman"/>
          <w:sz w:val="24"/>
          <w:szCs w:val="24"/>
        </w:rPr>
        <w:t>HRSA</w:t>
      </w:r>
      <w:r>
        <w:rPr>
          <w:rFonts w:ascii="Times New Roman" w:hAnsi="Times New Roman"/>
          <w:sz w:val="24"/>
          <w:szCs w:val="24"/>
        </w:rPr>
        <w:t xml:space="preserve"> also has not previously</w:t>
      </w:r>
      <w:r w:rsidR="008B26BE">
        <w:rPr>
          <w:rFonts w:ascii="Times New Roman" w:hAnsi="Times New Roman"/>
          <w:sz w:val="24"/>
          <w:szCs w:val="24"/>
        </w:rPr>
        <w:t xml:space="preserve"> offered providers</w:t>
      </w:r>
      <w:r>
        <w:rPr>
          <w:rFonts w:ascii="Times New Roman" w:hAnsi="Times New Roman"/>
          <w:sz w:val="24"/>
          <w:szCs w:val="24"/>
        </w:rPr>
        <w:t xml:space="preserve"> </w:t>
      </w:r>
      <w:r w:rsidR="008B26BE">
        <w:rPr>
          <w:rFonts w:ascii="Times New Roman" w:hAnsi="Times New Roman"/>
          <w:sz w:val="24"/>
          <w:szCs w:val="24"/>
        </w:rPr>
        <w:t>an open-ended opportunity to offer comments on tele-behavioral health in order to inform future training offerings.</w:t>
      </w:r>
    </w:p>
    <w:p w14:paraId="0D6D0433" w14:textId="77777777" w:rsidR="001879E5" w:rsidRDefault="001879E5">
      <w:pPr>
        <w:tabs>
          <w:tab w:val="left" w:pos="-720"/>
        </w:tabs>
        <w:rPr>
          <w:rFonts w:ascii="Times New Roman" w:hAnsi="Times New Roman"/>
          <w:sz w:val="24"/>
          <w:szCs w:val="24"/>
        </w:rPr>
      </w:pPr>
    </w:p>
    <w:p w14:paraId="0D6D0434" w14:textId="77777777"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u w:val="single"/>
        </w:rPr>
        <w:t>Involvement of Small Entities</w:t>
      </w:r>
    </w:p>
    <w:p w14:paraId="7B8DAD51" w14:textId="77777777" w:rsidR="00C65941" w:rsidRDefault="00C65941">
      <w:pPr>
        <w:tabs>
          <w:tab w:val="left" w:pos="-720"/>
          <w:tab w:val="left" w:pos="720"/>
          <w:tab w:val="right" w:pos="8648"/>
        </w:tabs>
        <w:rPr>
          <w:rFonts w:ascii="Times New Roman" w:hAnsi="Times New Roman"/>
          <w:sz w:val="24"/>
          <w:szCs w:val="24"/>
        </w:rPr>
      </w:pPr>
    </w:p>
    <w:p w14:paraId="6F5F6D36" w14:textId="77777777" w:rsidR="00E931BF" w:rsidRPr="00EC2243" w:rsidRDefault="00E931BF" w:rsidP="00E931BF">
      <w:pPr>
        <w:tabs>
          <w:tab w:val="left" w:pos="-720"/>
        </w:tabs>
        <w:rPr>
          <w:rFonts w:ascii="Times New Roman" w:hAnsi="Times New Roman"/>
          <w:sz w:val="24"/>
          <w:szCs w:val="24"/>
        </w:rPr>
      </w:pPr>
      <w:r w:rsidRPr="00EC2243">
        <w:rPr>
          <w:rFonts w:ascii="Times New Roman" w:hAnsi="Times New Roman"/>
          <w:sz w:val="24"/>
          <w:szCs w:val="24"/>
        </w:rPr>
        <w:t xml:space="preserve">This activity does not have significant impact on small entities. </w:t>
      </w:r>
    </w:p>
    <w:p w14:paraId="2EEC1611" w14:textId="77777777" w:rsidR="00643FD8" w:rsidRDefault="00643FD8">
      <w:pPr>
        <w:tabs>
          <w:tab w:val="left" w:pos="-720"/>
        </w:tabs>
        <w:rPr>
          <w:rFonts w:ascii="Times New Roman" w:hAnsi="Times New Roman"/>
          <w:sz w:val="24"/>
          <w:szCs w:val="24"/>
        </w:rPr>
      </w:pPr>
    </w:p>
    <w:p w14:paraId="0D6D043D" w14:textId="77777777"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6.</w:t>
      </w:r>
      <w:r>
        <w:rPr>
          <w:rFonts w:ascii="Times New Roman" w:hAnsi="Times New Roman"/>
          <w:sz w:val="24"/>
          <w:szCs w:val="24"/>
        </w:rPr>
        <w:tab/>
      </w:r>
      <w:r>
        <w:rPr>
          <w:rFonts w:ascii="Times New Roman" w:hAnsi="Times New Roman"/>
          <w:sz w:val="24"/>
          <w:szCs w:val="24"/>
          <w:u w:val="single"/>
        </w:rPr>
        <w:t>Consequences if Information Collected Less Frequently</w:t>
      </w:r>
    </w:p>
    <w:p w14:paraId="5BFB8368" w14:textId="77777777" w:rsidR="00C65941" w:rsidRDefault="00C65941">
      <w:pPr>
        <w:tabs>
          <w:tab w:val="left" w:pos="-720"/>
          <w:tab w:val="left" w:pos="720"/>
          <w:tab w:val="right" w:pos="8648"/>
        </w:tabs>
        <w:rPr>
          <w:rFonts w:ascii="Times New Roman" w:hAnsi="Times New Roman"/>
          <w:sz w:val="24"/>
          <w:szCs w:val="24"/>
        </w:rPr>
      </w:pPr>
    </w:p>
    <w:p w14:paraId="0D6D043E" w14:textId="4746752B" w:rsidR="001879E5" w:rsidRDefault="00C65941">
      <w:pPr>
        <w:tabs>
          <w:tab w:val="left" w:pos="-720"/>
          <w:tab w:val="left" w:pos="720"/>
          <w:tab w:val="right" w:pos="8648"/>
        </w:tabs>
        <w:rPr>
          <w:rFonts w:ascii="Times New Roman" w:hAnsi="Times New Roman"/>
          <w:sz w:val="24"/>
          <w:szCs w:val="24"/>
        </w:rPr>
      </w:pPr>
      <w:r>
        <w:rPr>
          <w:rFonts w:ascii="Times New Roman" w:hAnsi="Times New Roman"/>
          <w:sz w:val="24"/>
          <w:szCs w:val="24"/>
        </w:rPr>
        <w:t>This survey is a one-time evaluation of the relevance, usefulness, and effectiveness of a time-</w:t>
      </w:r>
      <w:r>
        <w:rPr>
          <w:rFonts w:ascii="Times New Roman" w:hAnsi="Times New Roman"/>
          <w:sz w:val="24"/>
          <w:szCs w:val="24"/>
        </w:rPr>
        <w:lastRenderedPageBreak/>
        <w:t xml:space="preserve">limited webcast series. </w:t>
      </w:r>
    </w:p>
    <w:p w14:paraId="0D6D0443" w14:textId="77777777" w:rsidR="001879E5" w:rsidRDefault="001879E5">
      <w:pPr>
        <w:tabs>
          <w:tab w:val="left" w:pos="-720"/>
        </w:tabs>
        <w:rPr>
          <w:rFonts w:ascii="Times New Roman" w:hAnsi="Times New Roman"/>
          <w:sz w:val="24"/>
          <w:szCs w:val="24"/>
        </w:rPr>
      </w:pPr>
    </w:p>
    <w:p w14:paraId="0D6D0444" w14:textId="77777777" w:rsidR="001879E5" w:rsidRDefault="0061278C">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7.</w:t>
      </w:r>
      <w:r>
        <w:rPr>
          <w:rFonts w:ascii="Times New Roman" w:hAnsi="Times New Roman"/>
          <w:sz w:val="24"/>
          <w:szCs w:val="24"/>
        </w:rPr>
        <w:tab/>
      </w:r>
      <w:r>
        <w:rPr>
          <w:rFonts w:ascii="Times New Roman" w:hAnsi="Times New Roman"/>
          <w:sz w:val="24"/>
          <w:szCs w:val="24"/>
          <w:u w:val="single"/>
        </w:rPr>
        <w:t>Consistency With the Guidelines in 5 CFR 1320.5(d)(2)</w:t>
      </w:r>
    </w:p>
    <w:p w14:paraId="0D6D0445" w14:textId="77777777" w:rsidR="001879E5" w:rsidRDefault="001879E5">
      <w:pPr>
        <w:tabs>
          <w:tab w:val="left" w:pos="-720"/>
          <w:tab w:val="left" w:pos="720"/>
          <w:tab w:val="right" w:pos="8677"/>
        </w:tabs>
        <w:rPr>
          <w:rFonts w:ascii="Times New Roman" w:hAnsi="Times New Roman"/>
          <w:sz w:val="24"/>
          <w:szCs w:val="24"/>
        </w:rPr>
      </w:pPr>
    </w:p>
    <w:p w14:paraId="0D6D0446" w14:textId="77777777" w:rsidR="001879E5" w:rsidRDefault="001879E5">
      <w:pPr>
        <w:tabs>
          <w:tab w:val="left" w:pos="-720"/>
        </w:tabs>
        <w:rPr>
          <w:rFonts w:ascii="Times New Roman" w:hAnsi="Times New Roman"/>
          <w:sz w:val="24"/>
          <w:szCs w:val="24"/>
        </w:rPr>
      </w:pPr>
      <w:r>
        <w:rPr>
          <w:rFonts w:ascii="Times New Roman" w:hAnsi="Times New Roman"/>
          <w:sz w:val="24"/>
          <w:szCs w:val="24"/>
        </w:rPr>
        <w:t>These surveys will be implemented in a manner fully consistent with 5 CFR 1320.5(d)(2).</w:t>
      </w:r>
    </w:p>
    <w:p w14:paraId="0D6D0447" w14:textId="77777777" w:rsidR="001879E5" w:rsidRDefault="001879E5">
      <w:pPr>
        <w:tabs>
          <w:tab w:val="left" w:pos="-720"/>
        </w:tabs>
        <w:rPr>
          <w:rFonts w:ascii="Times New Roman" w:hAnsi="Times New Roman"/>
          <w:sz w:val="24"/>
          <w:szCs w:val="24"/>
        </w:rPr>
      </w:pPr>
    </w:p>
    <w:p w14:paraId="0D6D0448" w14:textId="77777777" w:rsidR="001879E5" w:rsidRDefault="001879E5">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u w:val="single"/>
        </w:rPr>
        <w:t>Consultation Outside the Agency</w:t>
      </w:r>
    </w:p>
    <w:p w14:paraId="0D6D0449" w14:textId="77777777" w:rsidR="001879E5" w:rsidRDefault="001879E5">
      <w:pPr>
        <w:tabs>
          <w:tab w:val="left" w:pos="-720"/>
          <w:tab w:val="left" w:pos="720"/>
          <w:tab w:val="right" w:pos="8677"/>
        </w:tabs>
        <w:rPr>
          <w:rFonts w:ascii="Times New Roman" w:hAnsi="Times New Roman"/>
          <w:sz w:val="24"/>
          <w:szCs w:val="24"/>
        </w:rPr>
      </w:pPr>
    </w:p>
    <w:p w14:paraId="3E1938AC" w14:textId="77777777" w:rsidR="009B5A14" w:rsidRDefault="009B5A14" w:rsidP="009B5A14">
      <w:pPr>
        <w:tabs>
          <w:tab w:val="left" w:pos="-720"/>
        </w:tabs>
        <w:rPr>
          <w:rFonts w:ascii="Times New Roman" w:hAnsi="Times New Roman"/>
          <w:sz w:val="24"/>
          <w:szCs w:val="24"/>
        </w:rPr>
      </w:pPr>
      <w:r>
        <w:rPr>
          <w:rFonts w:ascii="Times New Roman" w:hAnsi="Times New Roman"/>
          <w:sz w:val="24"/>
          <w:szCs w:val="24"/>
        </w:rPr>
        <w:t>The notice required in 5 CFR 1320.8(d) was published</w:t>
      </w:r>
      <w:r>
        <w:rPr>
          <w:rFonts w:ascii="Times New Roman" w:hAnsi="Times New Roman"/>
          <w:b/>
          <w:bCs/>
          <w:sz w:val="24"/>
          <w:szCs w:val="24"/>
        </w:rPr>
        <w:t xml:space="preserve"> </w:t>
      </w:r>
      <w:r>
        <w:rPr>
          <w:rFonts w:ascii="Times New Roman" w:hAnsi="Times New Roman"/>
          <w:sz w:val="24"/>
          <w:szCs w:val="24"/>
        </w:rPr>
        <w:t xml:space="preserve">in the </w:t>
      </w:r>
      <w:r>
        <w:rPr>
          <w:rFonts w:ascii="Times New Roman" w:hAnsi="Times New Roman"/>
          <w:i/>
          <w:iCs/>
          <w:sz w:val="24"/>
          <w:szCs w:val="24"/>
        </w:rPr>
        <w:t>Federal Register</w:t>
      </w:r>
      <w:r>
        <w:rPr>
          <w:rFonts w:ascii="Times New Roman" w:hAnsi="Times New Roman"/>
          <w:sz w:val="24"/>
          <w:szCs w:val="24"/>
        </w:rPr>
        <w:t xml:space="preserve"> on December 17, 2014, (Vol. 79, No.242, pages 75164).  No public comments were received.  </w:t>
      </w:r>
    </w:p>
    <w:p w14:paraId="1AADBA90" w14:textId="77777777" w:rsidR="009B5A14" w:rsidRDefault="009B5A14">
      <w:pPr>
        <w:tabs>
          <w:tab w:val="left" w:pos="-720"/>
        </w:tabs>
        <w:rPr>
          <w:rFonts w:ascii="Times New Roman" w:hAnsi="Times New Roman"/>
          <w:sz w:val="24"/>
          <w:szCs w:val="24"/>
        </w:rPr>
      </w:pPr>
    </w:p>
    <w:p w14:paraId="0D6D044B" w14:textId="77777777" w:rsidR="001879E5" w:rsidRDefault="001879E5">
      <w:pPr>
        <w:tabs>
          <w:tab w:val="left" w:pos="-720"/>
        </w:tabs>
        <w:rPr>
          <w:rFonts w:ascii="Times New Roman" w:hAnsi="Times New Roman"/>
          <w:sz w:val="24"/>
          <w:szCs w:val="24"/>
        </w:rPr>
      </w:pPr>
    </w:p>
    <w:p w14:paraId="0D6D044C" w14:textId="77777777" w:rsidR="001879E5" w:rsidRDefault="001879E5">
      <w:pPr>
        <w:tabs>
          <w:tab w:val="left" w:pos="720"/>
          <w:tab w:val="right" w:pos="8677"/>
        </w:tabs>
        <w:rPr>
          <w:rFonts w:ascii="Times New Roman" w:hAnsi="Times New Roman"/>
          <w:sz w:val="24"/>
          <w:szCs w:val="24"/>
          <w:u w:val="single"/>
        </w:rPr>
      </w:pPr>
      <w:r>
        <w:rPr>
          <w:rFonts w:ascii="Times New Roman" w:hAnsi="Times New Roman"/>
          <w:sz w:val="24"/>
          <w:szCs w:val="24"/>
        </w:rPr>
        <w:t>9.</w:t>
      </w:r>
      <w:r>
        <w:rPr>
          <w:rFonts w:ascii="Times New Roman" w:hAnsi="Times New Roman"/>
          <w:sz w:val="24"/>
          <w:szCs w:val="24"/>
        </w:rPr>
        <w:tab/>
        <w:t xml:space="preserve"> </w:t>
      </w:r>
      <w:r>
        <w:rPr>
          <w:rFonts w:ascii="Times New Roman" w:hAnsi="Times New Roman"/>
          <w:sz w:val="24"/>
          <w:szCs w:val="24"/>
          <w:u w:val="single"/>
        </w:rPr>
        <w:t>Remuneration of Respondents</w:t>
      </w:r>
    </w:p>
    <w:p w14:paraId="0D6D0450" w14:textId="77777777" w:rsidR="001879E5" w:rsidRDefault="001879E5">
      <w:pPr>
        <w:tabs>
          <w:tab w:val="left" w:pos="720"/>
          <w:tab w:val="right" w:pos="8677"/>
        </w:tabs>
        <w:rPr>
          <w:rFonts w:ascii="Times New Roman" w:hAnsi="Times New Roman"/>
          <w:sz w:val="24"/>
          <w:szCs w:val="24"/>
        </w:rPr>
      </w:pPr>
    </w:p>
    <w:p w14:paraId="7509C0B2" w14:textId="123250D9" w:rsidR="00C65941" w:rsidRDefault="00C65941">
      <w:pPr>
        <w:tabs>
          <w:tab w:val="left" w:pos="720"/>
          <w:tab w:val="right" w:pos="8677"/>
        </w:tabs>
        <w:rPr>
          <w:rFonts w:ascii="Times New Roman" w:hAnsi="Times New Roman"/>
          <w:sz w:val="24"/>
          <w:szCs w:val="24"/>
        </w:rPr>
      </w:pPr>
      <w:r>
        <w:rPr>
          <w:rFonts w:ascii="Times New Roman" w:hAnsi="Times New Roman"/>
          <w:sz w:val="24"/>
          <w:szCs w:val="24"/>
        </w:rPr>
        <w:t>Not applicable.</w:t>
      </w:r>
    </w:p>
    <w:p w14:paraId="0D6D0451" w14:textId="77777777" w:rsidR="0033551D" w:rsidRDefault="0033551D">
      <w:pPr>
        <w:tabs>
          <w:tab w:val="left" w:pos="720"/>
          <w:tab w:val="right" w:pos="8677"/>
        </w:tabs>
        <w:rPr>
          <w:rFonts w:ascii="Times New Roman" w:hAnsi="Times New Roman"/>
          <w:sz w:val="24"/>
          <w:szCs w:val="24"/>
        </w:rPr>
      </w:pPr>
    </w:p>
    <w:p w14:paraId="0D6D0452" w14:textId="77777777" w:rsidR="001879E5" w:rsidRDefault="001879E5">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10.</w:t>
      </w:r>
      <w:r>
        <w:rPr>
          <w:rFonts w:ascii="Times New Roman" w:hAnsi="Times New Roman"/>
          <w:sz w:val="24"/>
          <w:szCs w:val="24"/>
        </w:rPr>
        <w:tab/>
      </w:r>
      <w:r>
        <w:rPr>
          <w:rFonts w:ascii="Times New Roman" w:hAnsi="Times New Roman"/>
          <w:sz w:val="24"/>
          <w:szCs w:val="24"/>
          <w:u w:val="single"/>
        </w:rPr>
        <w:t>Assurance of Confidentiality</w:t>
      </w:r>
    </w:p>
    <w:p w14:paraId="0D6D0453" w14:textId="77777777" w:rsidR="001879E5" w:rsidRDefault="001879E5">
      <w:pPr>
        <w:tabs>
          <w:tab w:val="left" w:pos="-720"/>
          <w:tab w:val="left" w:pos="720"/>
          <w:tab w:val="right" w:pos="8677"/>
        </w:tabs>
        <w:rPr>
          <w:rFonts w:ascii="Times New Roman" w:hAnsi="Times New Roman"/>
          <w:sz w:val="24"/>
          <w:szCs w:val="24"/>
        </w:rPr>
      </w:pPr>
    </w:p>
    <w:p w14:paraId="0D6D0457" w14:textId="4DA151E8" w:rsidR="008C13E2" w:rsidRDefault="00C65941">
      <w:pPr>
        <w:tabs>
          <w:tab w:val="left" w:pos="-720"/>
        </w:tabs>
        <w:rPr>
          <w:rFonts w:ascii="Times New Roman" w:hAnsi="Times New Roman"/>
          <w:sz w:val="24"/>
          <w:szCs w:val="24"/>
        </w:rPr>
      </w:pPr>
      <w:r>
        <w:rPr>
          <w:rFonts w:ascii="Times New Roman" w:hAnsi="Times New Roman"/>
          <w:sz w:val="24"/>
          <w:szCs w:val="24"/>
        </w:rPr>
        <w:t xml:space="preserve">This survey will not collect any PII; participation will be voluntary and responses are anonymous. </w:t>
      </w:r>
    </w:p>
    <w:p w14:paraId="0D6D0458" w14:textId="77777777" w:rsidR="001879E5" w:rsidRDefault="001879E5">
      <w:pPr>
        <w:tabs>
          <w:tab w:val="left" w:pos="-720"/>
        </w:tabs>
        <w:rPr>
          <w:rFonts w:ascii="Times New Roman" w:hAnsi="Times New Roman"/>
          <w:sz w:val="24"/>
          <w:szCs w:val="24"/>
        </w:rPr>
      </w:pPr>
    </w:p>
    <w:p w14:paraId="0D6D0459" w14:textId="77777777" w:rsidR="001879E5" w:rsidRDefault="001879E5">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u w:val="single"/>
        </w:rPr>
        <w:t>Questions of a Sensitive Nature</w:t>
      </w:r>
    </w:p>
    <w:p w14:paraId="0D6D045F" w14:textId="5C1CDEE3" w:rsidR="00896384" w:rsidRDefault="00896384" w:rsidP="00C65941">
      <w:pPr>
        <w:widowControl/>
        <w:spacing w:before="120"/>
        <w:rPr>
          <w:rFonts w:ascii="Times New Roman" w:hAnsi="Times New Roman"/>
          <w:sz w:val="24"/>
          <w:szCs w:val="24"/>
        </w:rPr>
      </w:pPr>
    </w:p>
    <w:p w14:paraId="5A9F9323" w14:textId="286F115F" w:rsidR="00C65941" w:rsidRPr="00896384" w:rsidRDefault="00C65941" w:rsidP="00C65941">
      <w:pPr>
        <w:widowControl/>
        <w:spacing w:before="120"/>
        <w:rPr>
          <w:rFonts w:ascii="Times New Roman" w:hAnsi="Times New Roman"/>
          <w:sz w:val="24"/>
          <w:highlight w:val="yellow"/>
        </w:rPr>
      </w:pPr>
      <w:r>
        <w:rPr>
          <w:rFonts w:ascii="Times New Roman" w:hAnsi="Times New Roman"/>
          <w:sz w:val="24"/>
          <w:szCs w:val="24"/>
        </w:rPr>
        <w:t>The survey does not contain</w:t>
      </w:r>
      <w:r w:rsidR="00924018">
        <w:rPr>
          <w:rFonts w:ascii="Times New Roman" w:hAnsi="Times New Roman"/>
          <w:sz w:val="24"/>
          <w:szCs w:val="24"/>
        </w:rPr>
        <w:t xml:space="preserve"> questions of a sensitive nature.</w:t>
      </w:r>
    </w:p>
    <w:p w14:paraId="0D6D0460" w14:textId="77777777" w:rsidR="001879E5" w:rsidRDefault="001879E5">
      <w:pPr>
        <w:tabs>
          <w:tab w:val="left" w:pos="-720"/>
        </w:tabs>
        <w:rPr>
          <w:rFonts w:ascii="Times New Roman" w:hAnsi="Times New Roman"/>
          <w:sz w:val="24"/>
          <w:szCs w:val="24"/>
        </w:rPr>
      </w:pPr>
    </w:p>
    <w:p w14:paraId="0D6D0461" w14:textId="77777777" w:rsidR="001879E5" w:rsidRDefault="00896384" w:rsidP="00896384">
      <w:pPr>
        <w:tabs>
          <w:tab w:val="left" w:pos="-720"/>
          <w:tab w:val="left" w:pos="1575"/>
        </w:tabs>
        <w:rPr>
          <w:rFonts w:ascii="Times New Roman" w:hAnsi="Times New Roman"/>
          <w:sz w:val="24"/>
          <w:szCs w:val="24"/>
        </w:rPr>
      </w:pPr>
      <w:r>
        <w:rPr>
          <w:rFonts w:ascii="Times New Roman" w:hAnsi="Times New Roman"/>
          <w:sz w:val="24"/>
          <w:szCs w:val="24"/>
        </w:rPr>
        <w:tab/>
      </w:r>
    </w:p>
    <w:p w14:paraId="0D6D0462" w14:textId="77777777" w:rsidR="001879E5" w:rsidRDefault="001879E5">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12.</w:t>
      </w:r>
      <w:r>
        <w:rPr>
          <w:rFonts w:ascii="Times New Roman" w:hAnsi="Times New Roman"/>
          <w:sz w:val="24"/>
          <w:szCs w:val="24"/>
        </w:rPr>
        <w:tab/>
      </w:r>
      <w:r>
        <w:rPr>
          <w:rFonts w:ascii="Times New Roman" w:hAnsi="Times New Roman"/>
          <w:sz w:val="24"/>
          <w:szCs w:val="24"/>
          <w:u w:val="single"/>
        </w:rPr>
        <w:t>Estimates of Annualized Hour Burden</w:t>
      </w:r>
    </w:p>
    <w:p w14:paraId="0D6D0463" w14:textId="77777777" w:rsidR="001879E5" w:rsidRDefault="001879E5">
      <w:pPr>
        <w:tabs>
          <w:tab w:val="left" w:pos="-720"/>
          <w:tab w:val="left" w:pos="720"/>
          <w:tab w:val="right" w:pos="10080"/>
        </w:tabs>
        <w:rPr>
          <w:rFonts w:ascii="Times New Roman" w:hAnsi="Times New Roman"/>
          <w:sz w:val="24"/>
          <w:szCs w:val="24"/>
          <w:u w:val="single"/>
        </w:rPr>
      </w:pPr>
    </w:p>
    <w:p w14:paraId="0D6D0464" w14:textId="77777777" w:rsidR="00176576" w:rsidRPr="004239BD" w:rsidRDefault="00176576" w:rsidP="00176576">
      <w:pPr>
        <w:pStyle w:val="NormalSS"/>
        <w:ind w:firstLine="0"/>
        <w:jc w:val="left"/>
        <w:rPr>
          <w:i/>
          <w:iCs/>
          <w:szCs w:val="24"/>
        </w:rPr>
      </w:pPr>
      <w:r w:rsidRPr="004239BD">
        <w:rPr>
          <w:i/>
          <w:iCs/>
          <w:szCs w:val="24"/>
        </w:rPr>
        <w:t>Respondents</w:t>
      </w:r>
      <w:r w:rsidR="0033551D">
        <w:rPr>
          <w:i/>
          <w:iCs/>
          <w:szCs w:val="24"/>
        </w:rPr>
        <w:t>:</w:t>
      </w:r>
    </w:p>
    <w:p w14:paraId="40BF28B1" w14:textId="77777777" w:rsidR="00924018" w:rsidRDefault="00924018" w:rsidP="00176576">
      <w:pPr>
        <w:pStyle w:val="NormalSS"/>
        <w:ind w:firstLine="0"/>
        <w:jc w:val="left"/>
        <w:rPr>
          <w:szCs w:val="24"/>
        </w:rPr>
      </w:pPr>
    </w:p>
    <w:p w14:paraId="0D6D0465" w14:textId="094E8B1D" w:rsidR="00176576" w:rsidRDefault="00190FE2" w:rsidP="00176576">
      <w:pPr>
        <w:pStyle w:val="NormalSS"/>
        <w:ind w:firstLine="0"/>
        <w:jc w:val="left"/>
        <w:rPr>
          <w:szCs w:val="24"/>
        </w:rPr>
      </w:pPr>
      <w:r>
        <w:rPr>
          <w:szCs w:val="24"/>
        </w:rPr>
        <w:t>R</w:t>
      </w:r>
      <w:r w:rsidR="00924018">
        <w:rPr>
          <w:szCs w:val="24"/>
        </w:rPr>
        <w:t xml:space="preserve">espondents will be </w:t>
      </w:r>
      <w:r>
        <w:rPr>
          <w:szCs w:val="24"/>
        </w:rPr>
        <w:t>all</w:t>
      </w:r>
      <w:r w:rsidR="00924018">
        <w:rPr>
          <w:szCs w:val="24"/>
        </w:rPr>
        <w:t xml:space="preserve"> webcast participants who voluntarily complete the </w:t>
      </w:r>
      <w:r w:rsidR="00BE6082">
        <w:rPr>
          <w:szCs w:val="24"/>
        </w:rPr>
        <w:t>web-based</w:t>
      </w:r>
      <w:r w:rsidR="00924018">
        <w:rPr>
          <w:szCs w:val="24"/>
        </w:rPr>
        <w:t xml:space="preserve"> survey after receiving an email requesting their participation</w:t>
      </w:r>
      <w:r w:rsidR="00BC057E">
        <w:rPr>
          <w:szCs w:val="24"/>
        </w:rPr>
        <w:t xml:space="preserve"> in this one-time collection of data</w:t>
      </w:r>
      <w:r w:rsidR="00924018">
        <w:rPr>
          <w:szCs w:val="24"/>
        </w:rPr>
        <w:t xml:space="preserve">. Approximately </w:t>
      </w:r>
      <w:r w:rsidR="00165A73">
        <w:rPr>
          <w:szCs w:val="24"/>
        </w:rPr>
        <w:t xml:space="preserve">300 </w:t>
      </w:r>
      <w:r w:rsidR="00924018">
        <w:rPr>
          <w:szCs w:val="24"/>
        </w:rPr>
        <w:t xml:space="preserve">people participated in the webcast series, so those </w:t>
      </w:r>
      <w:r w:rsidR="00165A73">
        <w:rPr>
          <w:szCs w:val="24"/>
        </w:rPr>
        <w:t>300</w:t>
      </w:r>
      <w:r w:rsidR="00924018">
        <w:rPr>
          <w:szCs w:val="24"/>
        </w:rPr>
        <w:t xml:space="preserve"> will be contacted </w:t>
      </w:r>
      <w:r>
        <w:rPr>
          <w:szCs w:val="24"/>
        </w:rPr>
        <w:t xml:space="preserve">via email </w:t>
      </w:r>
      <w:r w:rsidR="00924018">
        <w:rPr>
          <w:szCs w:val="24"/>
        </w:rPr>
        <w:t xml:space="preserve">for voluntary participation. </w:t>
      </w:r>
    </w:p>
    <w:p w14:paraId="6E555749" w14:textId="77777777" w:rsidR="00924018" w:rsidRDefault="00924018" w:rsidP="00176576">
      <w:pPr>
        <w:pStyle w:val="NormalSS"/>
        <w:ind w:firstLine="0"/>
        <w:jc w:val="left"/>
        <w:rPr>
          <w:szCs w:val="24"/>
        </w:rPr>
      </w:pPr>
    </w:p>
    <w:p w14:paraId="47FA4081" w14:textId="1F6D1A07" w:rsidR="00924018" w:rsidRDefault="00BC057E" w:rsidP="00176576">
      <w:pPr>
        <w:pStyle w:val="NormalSS"/>
        <w:ind w:firstLine="0"/>
        <w:jc w:val="left"/>
        <w:rPr>
          <w:i/>
          <w:szCs w:val="24"/>
        </w:rPr>
      </w:pPr>
      <w:r>
        <w:rPr>
          <w:i/>
          <w:szCs w:val="24"/>
        </w:rPr>
        <w:t>Annual burden estimates:</w:t>
      </w:r>
    </w:p>
    <w:p w14:paraId="04111C08" w14:textId="77777777" w:rsidR="00BC057E" w:rsidRDefault="00BC057E" w:rsidP="00176576">
      <w:pPr>
        <w:pStyle w:val="NormalSS"/>
        <w:ind w:firstLine="0"/>
        <w:jc w:val="left"/>
        <w:rPr>
          <w:szCs w:val="24"/>
        </w:rPr>
      </w:pPr>
    </w:p>
    <w:p w14:paraId="378C3E15" w14:textId="167E5FF2" w:rsidR="00BC057E" w:rsidRDefault="00BC057E" w:rsidP="00176576">
      <w:pPr>
        <w:pStyle w:val="NormalSS"/>
        <w:ind w:firstLine="0"/>
        <w:jc w:val="left"/>
        <w:rPr>
          <w:szCs w:val="24"/>
        </w:rPr>
      </w:pPr>
      <w:r>
        <w:rPr>
          <w:szCs w:val="24"/>
        </w:rPr>
        <w:t xml:space="preserve">The total respondent burden for the one-time web-based customer satisfaction survey is estimated to be </w:t>
      </w:r>
      <w:r w:rsidR="00165A73">
        <w:rPr>
          <w:szCs w:val="24"/>
        </w:rPr>
        <w:t>15.03</w:t>
      </w:r>
      <w:r>
        <w:rPr>
          <w:szCs w:val="24"/>
        </w:rPr>
        <w:t xml:space="preserve"> hours. As mentioned above, </w:t>
      </w:r>
      <w:r w:rsidR="00165A73">
        <w:rPr>
          <w:szCs w:val="24"/>
        </w:rPr>
        <w:t>300</w:t>
      </w:r>
      <w:r>
        <w:rPr>
          <w:szCs w:val="24"/>
        </w:rPr>
        <w:t xml:space="preserve"> people will be contacted to participate. </w:t>
      </w:r>
      <w:r w:rsidR="00D713DB">
        <w:rPr>
          <w:szCs w:val="24"/>
        </w:rPr>
        <w:t xml:space="preserve">We will </w:t>
      </w:r>
      <w:r>
        <w:rPr>
          <w:szCs w:val="24"/>
        </w:rPr>
        <w:t xml:space="preserve">plan for a high response rate (approximately </w:t>
      </w:r>
      <w:r w:rsidR="004739BE">
        <w:rPr>
          <w:szCs w:val="24"/>
        </w:rPr>
        <w:t xml:space="preserve">30 </w:t>
      </w:r>
      <w:r>
        <w:rPr>
          <w:szCs w:val="24"/>
        </w:rPr>
        <w:t xml:space="preserve">percent), </w:t>
      </w:r>
      <w:r w:rsidR="00D713DB">
        <w:rPr>
          <w:szCs w:val="24"/>
        </w:rPr>
        <w:t xml:space="preserve">to account for the full possible burden to respondents. We expect the survey to take </w:t>
      </w:r>
      <w:r w:rsidR="000A383A">
        <w:rPr>
          <w:szCs w:val="24"/>
        </w:rPr>
        <w:t>10</w:t>
      </w:r>
      <w:r w:rsidR="00D713DB">
        <w:rPr>
          <w:szCs w:val="24"/>
        </w:rPr>
        <w:t xml:space="preserve"> minutes to complete.</w:t>
      </w:r>
    </w:p>
    <w:p w14:paraId="0D6D046B" w14:textId="77777777" w:rsidR="00176576" w:rsidRPr="004239BD" w:rsidRDefault="00176576" w:rsidP="00176576">
      <w:pPr>
        <w:pStyle w:val="NormalSS"/>
        <w:ind w:firstLine="0"/>
        <w:jc w:val="left"/>
        <w:rPr>
          <w:szCs w:val="24"/>
        </w:rPr>
      </w:pPr>
    </w:p>
    <w:p w14:paraId="0D6D046C" w14:textId="77777777" w:rsidR="00176576" w:rsidRPr="004239BD" w:rsidRDefault="00176576" w:rsidP="00176576">
      <w:pPr>
        <w:pStyle w:val="NormalSS"/>
        <w:ind w:firstLine="0"/>
        <w:jc w:val="left"/>
        <w:rPr>
          <w:szCs w:val="24"/>
        </w:rPr>
      </w:pPr>
    </w:p>
    <w:tbl>
      <w:tblPr>
        <w:tblW w:w="1105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350"/>
        <w:gridCol w:w="1260"/>
        <w:gridCol w:w="1170"/>
        <w:gridCol w:w="1260"/>
        <w:gridCol w:w="900"/>
        <w:gridCol w:w="1080"/>
        <w:gridCol w:w="1158"/>
      </w:tblGrid>
      <w:tr w:rsidR="007D1E4C" w:rsidRPr="004239BD" w14:paraId="0D6D0475" w14:textId="77777777" w:rsidTr="00CB2E46">
        <w:tc>
          <w:tcPr>
            <w:tcW w:w="2880" w:type="dxa"/>
          </w:tcPr>
          <w:p w14:paraId="0D6D046D" w14:textId="77777777" w:rsidR="00176576" w:rsidRPr="0019133F" w:rsidRDefault="00176576" w:rsidP="00176576">
            <w:pPr>
              <w:rPr>
                <w:rFonts w:ascii="Times New Roman" w:hAnsi="Times New Roman"/>
                <w:sz w:val="22"/>
                <w:szCs w:val="22"/>
              </w:rPr>
            </w:pPr>
            <w:r w:rsidRPr="0019133F">
              <w:rPr>
                <w:rFonts w:ascii="Times New Roman" w:hAnsi="Times New Roman"/>
                <w:sz w:val="22"/>
                <w:szCs w:val="22"/>
              </w:rPr>
              <w:lastRenderedPageBreak/>
              <w:t>Type of Collection</w:t>
            </w:r>
          </w:p>
        </w:tc>
        <w:tc>
          <w:tcPr>
            <w:tcW w:w="1350" w:type="dxa"/>
          </w:tcPr>
          <w:p w14:paraId="0D6D046E" w14:textId="77777777" w:rsidR="00176576" w:rsidRPr="0019133F" w:rsidRDefault="00176576" w:rsidP="00176576">
            <w:pPr>
              <w:rPr>
                <w:rFonts w:ascii="Times New Roman" w:hAnsi="Times New Roman"/>
                <w:sz w:val="22"/>
                <w:szCs w:val="22"/>
              </w:rPr>
            </w:pPr>
            <w:r w:rsidRPr="0019133F">
              <w:rPr>
                <w:rFonts w:ascii="Times New Roman" w:hAnsi="Times New Roman"/>
                <w:sz w:val="22"/>
                <w:szCs w:val="22"/>
              </w:rPr>
              <w:t>Number of Respondents</w:t>
            </w:r>
          </w:p>
        </w:tc>
        <w:tc>
          <w:tcPr>
            <w:tcW w:w="1260" w:type="dxa"/>
          </w:tcPr>
          <w:p w14:paraId="0D6D046F" w14:textId="77777777" w:rsidR="00176576" w:rsidRPr="0019133F" w:rsidRDefault="00176576" w:rsidP="00176576">
            <w:pPr>
              <w:pStyle w:val="Center"/>
              <w:spacing w:line="240" w:lineRule="auto"/>
              <w:jc w:val="left"/>
              <w:rPr>
                <w:sz w:val="22"/>
                <w:szCs w:val="22"/>
              </w:rPr>
            </w:pPr>
            <w:r w:rsidRPr="0019133F">
              <w:rPr>
                <w:sz w:val="22"/>
                <w:szCs w:val="22"/>
              </w:rPr>
              <w:t>Responses per Respondent</w:t>
            </w:r>
          </w:p>
        </w:tc>
        <w:tc>
          <w:tcPr>
            <w:tcW w:w="1170" w:type="dxa"/>
          </w:tcPr>
          <w:p w14:paraId="0D6D0470" w14:textId="77777777" w:rsidR="00176576" w:rsidRPr="0019133F" w:rsidRDefault="00176576" w:rsidP="00176576">
            <w:pPr>
              <w:rPr>
                <w:rFonts w:ascii="Times New Roman" w:hAnsi="Times New Roman"/>
                <w:sz w:val="22"/>
                <w:szCs w:val="22"/>
              </w:rPr>
            </w:pPr>
            <w:r w:rsidRPr="0019133F">
              <w:rPr>
                <w:rFonts w:ascii="Times New Roman" w:hAnsi="Times New Roman"/>
                <w:sz w:val="22"/>
                <w:szCs w:val="22"/>
              </w:rPr>
              <w:t>Total Responses</w:t>
            </w:r>
          </w:p>
        </w:tc>
        <w:tc>
          <w:tcPr>
            <w:tcW w:w="1260" w:type="dxa"/>
          </w:tcPr>
          <w:p w14:paraId="0D6D0471" w14:textId="77777777" w:rsidR="00176576" w:rsidRPr="0019133F" w:rsidRDefault="00176576" w:rsidP="00176576">
            <w:pPr>
              <w:rPr>
                <w:rFonts w:ascii="Times New Roman" w:hAnsi="Times New Roman"/>
                <w:sz w:val="22"/>
                <w:szCs w:val="22"/>
              </w:rPr>
            </w:pPr>
            <w:r w:rsidRPr="0019133F">
              <w:rPr>
                <w:rFonts w:ascii="Times New Roman" w:hAnsi="Times New Roman"/>
                <w:sz w:val="22"/>
                <w:szCs w:val="22"/>
              </w:rPr>
              <w:t>Hours per Respondent</w:t>
            </w:r>
          </w:p>
        </w:tc>
        <w:tc>
          <w:tcPr>
            <w:tcW w:w="900" w:type="dxa"/>
          </w:tcPr>
          <w:p w14:paraId="0D6D0472" w14:textId="77777777" w:rsidR="00176576" w:rsidRPr="0019133F" w:rsidRDefault="00176576" w:rsidP="00176576">
            <w:pPr>
              <w:rPr>
                <w:rFonts w:ascii="Times New Roman" w:hAnsi="Times New Roman"/>
                <w:sz w:val="22"/>
                <w:szCs w:val="22"/>
              </w:rPr>
            </w:pPr>
            <w:r w:rsidRPr="0019133F">
              <w:rPr>
                <w:rFonts w:ascii="Times New Roman" w:hAnsi="Times New Roman"/>
                <w:sz w:val="22"/>
                <w:szCs w:val="22"/>
              </w:rPr>
              <w:t>Total Burden Hours</w:t>
            </w:r>
          </w:p>
        </w:tc>
        <w:tc>
          <w:tcPr>
            <w:tcW w:w="1080" w:type="dxa"/>
          </w:tcPr>
          <w:p w14:paraId="0D6D0473" w14:textId="77777777" w:rsidR="00176576" w:rsidRPr="0019133F" w:rsidRDefault="00176576" w:rsidP="00176576">
            <w:pPr>
              <w:rPr>
                <w:rFonts w:ascii="Times New Roman" w:hAnsi="Times New Roman"/>
                <w:sz w:val="22"/>
                <w:szCs w:val="22"/>
              </w:rPr>
            </w:pPr>
            <w:r w:rsidRPr="0019133F">
              <w:rPr>
                <w:rFonts w:ascii="Times New Roman" w:hAnsi="Times New Roman"/>
                <w:sz w:val="22"/>
                <w:szCs w:val="22"/>
              </w:rPr>
              <w:t>Wage Rate</w:t>
            </w:r>
          </w:p>
        </w:tc>
        <w:tc>
          <w:tcPr>
            <w:tcW w:w="1158" w:type="dxa"/>
          </w:tcPr>
          <w:p w14:paraId="0D6D0474" w14:textId="77777777" w:rsidR="00176576" w:rsidRPr="0019133F" w:rsidRDefault="00176576" w:rsidP="00176576">
            <w:pPr>
              <w:rPr>
                <w:rFonts w:ascii="Times New Roman" w:hAnsi="Times New Roman"/>
                <w:sz w:val="22"/>
                <w:szCs w:val="22"/>
              </w:rPr>
            </w:pPr>
            <w:r w:rsidRPr="0019133F">
              <w:rPr>
                <w:rFonts w:ascii="Times New Roman" w:hAnsi="Times New Roman"/>
                <w:sz w:val="22"/>
                <w:szCs w:val="22"/>
              </w:rPr>
              <w:t>Total Hour Cost</w:t>
            </w:r>
          </w:p>
        </w:tc>
      </w:tr>
      <w:tr w:rsidR="007D1E4C" w:rsidRPr="00531A2A" w14:paraId="0D6D047E" w14:textId="77777777" w:rsidTr="00CB2E46">
        <w:trPr>
          <w:trHeight w:val="552"/>
        </w:trPr>
        <w:tc>
          <w:tcPr>
            <w:tcW w:w="2880" w:type="dxa"/>
            <w:vAlign w:val="center"/>
          </w:tcPr>
          <w:p w14:paraId="0D6D0476" w14:textId="5F7851A8" w:rsidR="00176576" w:rsidRPr="00BC057E" w:rsidRDefault="00BC057E" w:rsidP="009C02B9">
            <w:pPr>
              <w:pStyle w:val="TOC1"/>
              <w:rPr>
                <w:sz w:val="22"/>
                <w:szCs w:val="22"/>
              </w:rPr>
            </w:pPr>
            <w:r w:rsidRPr="00BC057E">
              <w:rPr>
                <w:sz w:val="22"/>
                <w:szCs w:val="22"/>
              </w:rPr>
              <w:t>Tele-behavioral Health Webcast Series Evaluation</w:t>
            </w:r>
            <w:r w:rsidR="007B2471" w:rsidRPr="00BC057E">
              <w:rPr>
                <w:sz w:val="22"/>
                <w:szCs w:val="22"/>
              </w:rPr>
              <w:t xml:space="preserve"> </w:t>
            </w:r>
          </w:p>
        </w:tc>
        <w:tc>
          <w:tcPr>
            <w:tcW w:w="1350" w:type="dxa"/>
            <w:vAlign w:val="center"/>
          </w:tcPr>
          <w:p w14:paraId="0D6D0477" w14:textId="6D9B4467" w:rsidR="00176576" w:rsidRPr="00BC057E" w:rsidRDefault="00165A73" w:rsidP="00176576">
            <w:pPr>
              <w:rPr>
                <w:rFonts w:ascii="Times New Roman" w:hAnsi="Times New Roman"/>
                <w:sz w:val="22"/>
                <w:szCs w:val="22"/>
              </w:rPr>
            </w:pPr>
            <w:r>
              <w:rPr>
                <w:rFonts w:ascii="Times New Roman" w:hAnsi="Times New Roman"/>
                <w:sz w:val="22"/>
                <w:szCs w:val="22"/>
              </w:rPr>
              <w:t>90</w:t>
            </w:r>
          </w:p>
        </w:tc>
        <w:tc>
          <w:tcPr>
            <w:tcW w:w="1260" w:type="dxa"/>
            <w:vAlign w:val="center"/>
          </w:tcPr>
          <w:p w14:paraId="0D6D0478" w14:textId="58296106" w:rsidR="00176576" w:rsidRPr="00BC057E" w:rsidRDefault="00BC057E" w:rsidP="00176576">
            <w:pPr>
              <w:pStyle w:val="Center"/>
              <w:spacing w:line="240" w:lineRule="auto"/>
              <w:jc w:val="left"/>
              <w:rPr>
                <w:sz w:val="22"/>
                <w:szCs w:val="22"/>
              </w:rPr>
            </w:pPr>
            <w:r>
              <w:rPr>
                <w:sz w:val="22"/>
                <w:szCs w:val="22"/>
              </w:rPr>
              <w:t>1</w:t>
            </w:r>
          </w:p>
        </w:tc>
        <w:tc>
          <w:tcPr>
            <w:tcW w:w="1170" w:type="dxa"/>
            <w:vAlign w:val="center"/>
          </w:tcPr>
          <w:p w14:paraId="0D6D0479" w14:textId="15A4D5B6" w:rsidR="00176576" w:rsidRPr="00BC057E" w:rsidRDefault="00165A73" w:rsidP="00176576">
            <w:pPr>
              <w:rPr>
                <w:rFonts w:ascii="Times New Roman" w:hAnsi="Times New Roman"/>
                <w:sz w:val="22"/>
                <w:szCs w:val="22"/>
              </w:rPr>
            </w:pPr>
            <w:r>
              <w:rPr>
                <w:rFonts w:ascii="Times New Roman" w:hAnsi="Times New Roman"/>
                <w:sz w:val="22"/>
                <w:szCs w:val="22"/>
              </w:rPr>
              <w:t>90</w:t>
            </w:r>
          </w:p>
        </w:tc>
        <w:tc>
          <w:tcPr>
            <w:tcW w:w="1260" w:type="dxa"/>
            <w:vAlign w:val="center"/>
          </w:tcPr>
          <w:p w14:paraId="0D6D047A" w14:textId="78BD7312" w:rsidR="00176576" w:rsidRPr="00BC057E" w:rsidRDefault="000A383A" w:rsidP="00176576">
            <w:pPr>
              <w:rPr>
                <w:rFonts w:ascii="Times New Roman" w:hAnsi="Times New Roman"/>
                <w:sz w:val="22"/>
                <w:szCs w:val="22"/>
              </w:rPr>
            </w:pPr>
            <w:r>
              <w:rPr>
                <w:rFonts w:ascii="Times New Roman" w:hAnsi="Times New Roman"/>
                <w:sz w:val="22"/>
                <w:szCs w:val="22"/>
              </w:rPr>
              <w:t>0.167</w:t>
            </w:r>
          </w:p>
        </w:tc>
        <w:tc>
          <w:tcPr>
            <w:tcW w:w="900" w:type="dxa"/>
            <w:vAlign w:val="center"/>
          </w:tcPr>
          <w:p w14:paraId="0D6D047B" w14:textId="6FA768E7" w:rsidR="00176576" w:rsidRPr="00BC057E" w:rsidRDefault="00165A73" w:rsidP="00176576">
            <w:pPr>
              <w:rPr>
                <w:rFonts w:ascii="Times New Roman" w:hAnsi="Times New Roman"/>
                <w:sz w:val="22"/>
                <w:szCs w:val="22"/>
              </w:rPr>
            </w:pPr>
            <w:r>
              <w:rPr>
                <w:rFonts w:ascii="Times New Roman" w:hAnsi="Times New Roman"/>
                <w:sz w:val="22"/>
                <w:szCs w:val="22"/>
              </w:rPr>
              <w:t>15.03</w:t>
            </w:r>
          </w:p>
        </w:tc>
        <w:tc>
          <w:tcPr>
            <w:tcW w:w="1080" w:type="dxa"/>
            <w:vAlign w:val="center"/>
          </w:tcPr>
          <w:p w14:paraId="0D6D047C" w14:textId="2C6EE4C8" w:rsidR="00176576" w:rsidRPr="00BC057E" w:rsidRDefault="002D7AD2" w:rsidP="00176576">
            <w:pPr>
              <w:rPr>
                <w:rFonts w:ascii="Times New Roman" w:hAnsi="Times New Roman"/>
                <w:sz w:val="22"/>
                <w:szCs w:val="22"/>
              </w:rPr>
            </w:pPr>
            <w:r>
              <w:rPr>
                <w:rFonts w:ascii="Times New Roman" w:hAnsi="Times New Roman"/>
                <w:sz w:val="22"/>
                <w:szCs w:val="22"/>
              </w:rPr>
              <w:t>$51.59</w:t>
            </w:r>
            <w:r>
              <w:rPr>
                <w:rStyle w:val="FootnoteReference"/>
                <w:rFonts w:ascii="Times New Roman" w:hAnsi="Times New Roman"/>
                <w:sz w:val="22"/>
                <w:szCs w:val="22"/>
              </w:rPr>
              <w:footnoteReference w:id="1"/>
            </w:r>
          </w:p>
        </w:tc>
        <w:tc>
          <w:tcPr>
            <w:tcW w:w="1158" w:type="dxa"/>
            <w:vAlign w:val="center"/>
          </w:tcPr>
          <w:p w14:paraId="0D6D047D" w14:textId="640DE768" w:rsidR="00176576" w:rsidRPr="00BC057E" w:rsidRDefault="00165A73" w:rsidP="00301BCD">
            <w:pPr>
              <w:rPr>
                <w:rFonts w:ascii="Times New Roman" w:hAnsi="Times New Roman"/>
                <w:sz w:val="22"/>
                <w:szCs w:val="22"/>
              </w:rPr>
            </w:pPr>
            <w:r>
              <w:rPr>
                <w:rFonts w:ascii="Times New Roman" w:hAnsi="Times New Roman"/>
                <w:sz w:val="22"/>
                <w:szCs w:val="22"/>
              </w:rPr>
              <w:t>$775.40</w:t>
            </w:r>
          </w:p>
        </w:tc>
      </w:tr>
      <w:tr w:rsidR="007D1E4C" w:rsidRPr="00531A2A" w14:paraId="0D6D0487" w14:textId="77777777" w:rsidTr="00CB2E46">
        <w:trPr>
          <w:trHeight w:val="552"/>
        </w:trPr>
        <w:tc>
          <w:tcPr>
            <w:tcW w:w="2880" w:type="dxa"/>
            <w:vAlign w:val="center"/>
          </w:tcPr>
          <w:p w14:paraId="0D6D047F" w14:textId="77777777" w:rsidR="00176576" w:rsidRPr="00531A2A" w:rsidRDefault="0033551D" w:rsidP="00176576">
            <w:pPr>
              <w:rPr>
                <w:rFonts w:ascii="Times New Roman" w:hAnsi="Times New Roman"/>
                <w:sz w:val="22"/>
                <w:szCs w:val="22"/>
                <w:highlight w:val="yellow"/>
              </w:rPr>
            </w:pPr>
            <w:r w:rsidRPr="0033551D">
              <w:rPr>
                <w:rFonts w:ascii="Times New Roman" w:hAnsi="Times New Roman"/>
                <w:sz w:val="22"/>
                <w:szCs w:val="22"/>
              </w:rPr>
              <w:t>Total</w:t>
            </w:r>
          </w:p>
        </w:tc>
        <w:tc>
          <w:tcPr>
            <w:tcW w:w="1350" w:type="dxa"/>
            <w:vAlign w:val="center"/>
          </w:tcPr>
          <w:p w14:paraId="0D6D0480" w14:textId="69F7318E" w:rsidR="00176576" w:rsidRPr="00165A73" w:rsidRDefault="00165A73" w:rsidP="00176576">
            <w:pPr>
              <w:rPr>
                <w:rFonts w:ascii="Times New Roman" w:hAnsi="Times New Roman"/>
                <w:sz w:val="22"/>
                <w:szCs w:val="22"/>
              </w:rPr>
            </w:pPr>
            <w:r w:rsidRPr="00165A73">
              <w:rPr>
                <w:rFonts w:ascii="Times New Roman" w:hAnsi="Times New Roman"/>
                <w:sz w:val="22"/>
                <w:szCs w:val="22"/>
              </w:rPr>
              <w:t>90</w:t>
            </w:r>
          </w:p>
        </w:tc>
        <w:tc>
          <w:tcPr>
            <w:tcW w:w="1260" w:type="dxa"/>
            <w:vAlign w:val="center"/>
          </w:tcPr>
          <w:p w14:paraId="0D6D0481" w14:textId="4B350C9F" w:rsidR="00176576" w:rsidRPr="00165A73" w:rsidRDefault="00165A73" w:rsidP="00176576">
            <w:pPr>
              <w:rPr>
                <w:rFonts w:ascii="Times New Roman" w:hAnsi="Times New Roman"/>
                <w:sz w:val="22"/>
                <w:szCs w:val="22"/>
              </w:rPr>
            </w:pPr>
            <w:r w:rsidRPr="00165A73">
              <w:rPr>
                <w:rFonts w:ascii="Times New Roman" w:hAnsi="Times New Roman"/>
                <w:sz w:val="22"/>
                <w:szCs w:val="22"/>
              </w:rPr>
              <w:t>1</w:t>
            </w:r>
          </w:p>
        </w:tc>
        <w:tc>
          <w:tcPr>
            <w:tcW w:w="1170" w:type="dxa"/>
            <w:vAlign w:val="center"/>
          </w:tcPr>
          <w:p w14:paraId="0D6D0482" w14:textId="4D320927" w:rsidR="00176576" w:rsidRPr="00165A73" w:rsidRDefault="00165A73" w:rsidP="00176576">
            <w:pPr>
              <w:rPr>
                <w:rFonts w:ascii="Times New Roman" w:hAnsi="Times New Roman"/>
                <w:sz w:val="22"/>
                <w:szCs w:val="22"/>
              </w:rPr>
            </w:pPr>
            <w:r w:rsidRPr="00165A73">
              <w:rPr>
                <w:rFonts w:ascii="Times New Roman" w:hAnsi="Times New Roman"/>
                <w:sz w:val="22"/>
                <w:szCs w:val="22"/>
              </w:rPr>
              <w:t>90</w:t>
            </w:r>
          </w:p>
        </w:tc>
        <w:tc>
          <w:tcPr>
            <w:tcW w:w="1260" w:type="dxa"/>
            <w:vAlign w:val="center"/>
          </w:tcPr>
          <w:p w14:paraId="0D6D0483" w14:textId="1395EB65" w:rsidR="00176576" w:rsidRPr="00165A73" w:rsidRDefault="00165A73" w:rsidP="00176576">
            <w:pPr>
              <w:rPr>
                <w:rFonts w:ascii="Times New Roman" w:hAnsi="Times New Roman"/>
                <w:sz w:val="22"/>
                <w:szCs w:val="22"/>
              </w:rPr>
            </w:pPr>
            <w:r w:rsidRPr="00165A73">
              <w:rPr>
                <w:rFonts w:ascii="Times New Roman" w:hAnsi="Times New Roman"/>
                <w:sz w:val="22"/>
                <w:szCs w:val="22"/>
              </w:rPr>
              <w:t>0.167</w:t>
            </w:r>
          </w:p>
        </w:tc>
        <w:tc>
          <w:tcPr>
            <w:tcW w:w="900" w:type="dxa"/>
            <w:vAlign w:val="center"/>
          </w:tcPr>
          <w:p w14:paraId="0D6D0484" w14:textId="79744D71" w:rsidR="00176576" w:rsidRPr="00165A73" w:rsidRDefault="00165A73" w:rsidP="00176576">
            <w:pPr>
              <w:rPr>
                <w:rFonts w:ascii="Times New Roman" w:hAnsi="Times New Roman"/>
                <w:sz w:val="22"/>
                <w:szCs w:val="22"/>
              </w:rPr>
            </w:pPr>
            <w:r w:rsidRPr="00165A73">
              <w:rPr>
                <w:rFonts w:ascii="Times New Roman" w:hAnsi="Times New Roman"/>
                <w:sz w:val="22"/>
                <w:szCs w:val="22"/>
              </w:rPr>
              <w:t>15.03</w:t>
            </w:r>
          </w:p>
        </w:tc>
        <w:tc>
          <w:tcPr>
            <w:tcW w:w="1080" w:type="dxa"/>
            <w:vAlign w:val="center"/>
          </w:tcPr>
          <w:p w14:paraId="0D6D0485" w14:textId="7DCBDA63" w:rsidR="00176576" w:rsidRPr="00165A73" w:rsidRDefault="00165A73" w:rsidP="00176576">
            <w:pPr>
              <w:rPr>
                <w:rFonts w:ascii="Times New Roman" w:hAnsi="Times New Roman"/>
                <w:sz w:val="22"/>
                <w:szCs w:val="22"/>
              </w:rPr>
            </w:pPr>
            <w:r w:rsidRPr="00165A73">
              <w:rPr>
                <w:rFonts w:ascii="Times New Roman" w:hAnsi="Times New Roman"/>
                <w:sz w:val="22"/>
                <w:szCs w:val="22"/>
              </w:rPr>
              <w:t>$51.59</w:t>
            </w:r>
          </w:p>
        </w:tc>
        <w:tc>
          <w:tcPr>
            <w:tcW w:w="1158" w:type="dxa"/>
            <w:vAlign w:val="center"/>
          </w:tcPr>
          <w:p w14:paraId="0D6D0486" w14:textId="10860F37" w:rsidR="00176576" w:rsidRPr="00165A73" w:rsidRDefault="00165A73" w:rsidP="00176576">
            <w:pPr>
              <w:rPr>
                <w:rFonts w:ascii="Times New Roman" w:hAnsi="Times New Roman"/>
                <w:sz w:val="22"/>
                <w:szCs w:val="22"/>
              </w:rPr>
            </w:pPr>
            <w:r w:rsidRPr="00165A73">
              <w:rPr>
                <w:rFonts w:ascii="Times New Roman" w:hAnsi="Times New Roman"/>
                <w:sz w:val="22"/>
                <w:szCs w:val="22"/>
              </w:rPr>
              <w:t>$775.40</w:t>
            </w:r>
          </w:p>
        </w:tc>
      </w:tr>
    </w:tbl>
    <w:p w14:paraId="0D6D048A" w14:textId="77777777" w:rsidR="00FA4FEE" w:rsidRDefault="00FA4FEE" w:rsidP="00176576">
      <w:pPr>
        <w:pStyle w:val="NormalSS"/>
        <w:ind w:firstLine="0"/>
        <w:jc w:val="left"/>
        <w:rPr>
          <w:i/>
          <w:szCs w:val="24"/>
        </w:rPr>
      </w:pPr>
    </w:p>
    <w:p w14:paraId="0A032727" w14:textId="77777777" w:rsidR="00D713DB" w:rsidRDefault="00D713DB" w:rsidP="00176576">
      <w:pPr>
        <w:pStyle w:val="NormalSS"/>
        <w:ind w:firstLine="0"/>
        <w:jc w:val="left"/>
        <w:rPr>
          <w:i/>
          <w:szCs w:val="24"/>
        </w:rPr>
      </w:pPr>
    </w:p>
    <w:p w14:paraId="0D6D048B" w14:textId="77777777" w:rsidR="00176576" w:rsidRPr="00176576" w:rsidRDefault="00176576" w:rsidP="00176576">
      <w:pPr>
        <w:pStyle w:val="NormalSS"/>
        <w:ind w:firstLine="0"/>
        <w:jc w:val="left"/>
        <w:rPr>
          <w:i/>
          <w:szCs w:val="24"/>
        </w:rPr>
      </w:pPr>
      <w:r w:rsidRPr="00176576">
        <w:rPr>
          <w:i/>
          <w:szCs w:val="24"/>
        </w:rPr>
        <w:t>Planned frequency of information collection</w:t>
      </w:r>
      <w:r w:rsidR="0033551D">
        <w:rPr>
          <w:i/>
          <w:szCs w:val="24"/>
        </w:rPr>
        <w:t>:</w:t>
      </w:r>
    </w:p>
    <w:p w14:paraId="1CEF5FFA" w14:textId="77777777" w:rsidR="00BC057E" w:rsidRDefault="00BC057E" w:rsidP="00176576">
      <w:pPr>
        <w:pStyle w:val="NormalSS"/>
        <w:ind w:firstLine="0"/>
        <w:jc w:val="left"/>
        <w:rPr>
          <w:bCs/>
          <w:szCs w:val="24"/>
        </w:rPr>
      </w:pPr>
    </w:p>
    <w:p w14:paraId="0D6D048C" w14:textId="2641ABF3" w:rsidR="00176576" w:rsidRPr="004239BD" w:rsidRDefault="00BC057E" w:rsidP="00176576">
      <w:pPr>
        <w:pStyle w:val="NormalSS"/>
        <w:ind w:firstLine="0"/>
        <w:jc w:val="left"/>
        <w:rPr>
          <w:bCs/>
          <w:szCs w:val="24"/>
        </w:rPr>
      </w:pPr>
      <w:r>
        <w:rPr>
          <w:bCs/>
          <w:szCs w:val="24"/>
        </w:rPr>
        <w:t>This is a one-time collection of data.</w:t>
      </w:r>
    </w:p>
    <w:p w14:paraId="0D6D0490" w14:textId="77777777" w:rsidR="007A25D0" w:rsidRDefault="007A25D0">
      <w:pPr>
        <w:tabs>
          <w:tab w:val="left" w:pos="-720"/>
          <w:tab w:val="left" w:pos="720"/>
          <w:tab w:val="right" w:pos="10080"/>
        </w:tabs>
        <w:rPr>
          <w:rFonts w:ascii="Times New Roman" w:hAnsi="Times New Roman"/>
          <w:sz w:val="24"/>
          <w:szCs w:val="24"/>
        </w:rPr>
      </w:pPr>
    </w:p>
    <w:p w14:paraId="0D6D0491" w14:textId="77777777" w:rsidR="001879E5" w:rsidRDefault="001879E5">
      <w:pPr>
        <w:tabs>
          <w:tab w:val="left" w:pos="720"/>
          <w:tab w:val="right" w:pos="8732"/>
        </w:tabs>
        <w:rPr>
          <w:rFonts w:ascii="Times New Roman" w:hAnsi="Times New Roman"/>
          <w:sz w:val="24"/>
          <w:szCs w:val="24"/>
          <w:u w:val="single"/>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u w:val="single"/>
        </w:rPr>
        <w:t>Estimates of Annualized Cost Burden to Respondents</w:t>
      </w:r>
    </w:p>
    <w:p w14:paraId="0D6D0492" w14:textId="77777777" w:rsidR="008C13E2" w:rsidRDefault="008C13E2">
      <w:pPr>
        <w:tabs>
          <w:tab w:val="left" w:pos="720"/>
          <w:tab w:val="right" w:pos="8732"/>
        </w:tabs>
        <w:rPr>
          <w:rFonts w:ascii="Times New Roman" w:hAnsi="Times New Roman"/>
          <w:sz w:val="24"/>
          <w:szCs w:val="24"/>
          <w:u w:val="single"/>
        </w:rPr>
      </w:pPr>
    </w:p>
    <w:p w14:paraId="3AA52137" w14:textId="2577A2A8" w:rsidR="00D713DB" w:rsidRPr="00D713DB" w:rsidRDefault="00D713DB">
      <w:pPr>
        <w:tabs>
          <w:tab w:val="left" w:pos="720"/>
          <w:tab w:val="right" w:pos="8732"/>
        </w:tabs>
        <w:rPr>
          <w:rFonts w:ascii="Times New Roman" w:hAnsi="Times New Roman"/>
          <w:sz w:val="24"/>
          <w:szCs w:val="24"/>
        </w:rPr>
      </w:pPr>
      <w:r>
        <w:rPr>
          <w:rFonts w:ascii="Times New Roman" w:hAnsi="Times New Roman"/>
          <w:sz w:val="24"/>
          <w:szCs w:val="24"/>
        </w:rPr>
        <w:t>The only cost burden to respondents is the time to complete the web-based survey.</w:t>
      </w:r>
    </w:p>
    <w:p w14:paraId="0D6D0495" w14:textId="77777777" w:rsidR="001879E5" w:rsidRDefault="001879E5">
      <w:pPr>
        <w:tabs>
          <w:tab w:val="left" w:pos="-720"/>
        </w:tabs>
        <w:rPr>
          <w:rFonts w:ascii="Times New Roman" w:hAnsi="Times New Roman"/>
          <w:sz w:val="24"/>
          <w:szCs w:val="24"/>
        </w:rPr>
      </w:pPr>
    </w:p>
    <w:p w14:paraId="0D6D0496" w14:textId="77777777" w:rsidR="001879E5" w:rsidRDefault="001879E5">
      <w:pPr>
        <w:tabs>
          <w:tab w:val="left" w:pos="720"/>
          <w:tab w:val="right" w:pos="8732"/>
        </w:tabs>
        <w:rPr>
          <w:rFonts w:ascii="Times New Roman" w:hAnsi="Times New Roman"/>
          <w:sz w:val="24"/>
          <w:szCs w:val="24"/>
          <w:u w:val="single"/>
        </w:rPr>
      </w:pPr>
      <w:r>
        <w:rPr>
          <w:rFonts w:ascii="Times New Roman" w:hAnsi="Times New Roman"/>
          <w:sz w:val="24"/>
          <w:szCs w:val="24"/>
        </w:rPr>
        <w:t>14.</w:t>
      </w:r>
      <w:r>
        <w:rPr>
          <w:rFonts w:ascii="Times New Roman" w:hAnsi="Times New Roman"/>
          <w:sz w:val="24"/>
          <w:szCs w:val="24"/>
        </w:rPr>
        <w:tab/>
      </w:r>
      <w:r>
        <w:rPr>
          <w:rFonts w:ascii="Times New Roman" w:hAnsi="Times New Roman"/>
          <w:sz w:val="24"/>
          <w:szCs w:val="24"/>
          <w:u w:val="single"/>
        </w:rPr>
        <w:t>Estimates of Annualized Cost to the Government</w:t>
      </w:r>
    </w:p>
    <w:p w14:paraId="33B35300" w14:textId="471FAEC5" w:rsidR="00D713DB" w:rsidRPr="008C13E2" w:rsidRDefault="00D713DB" w:rsidP="00D713DB">
      <w:pPr>
        <w:pStyle w:val="BodyTextIndent"/>
        <w:spacing w:before="120"/>
        <w:ind w:left="0"/>
        <w:rPr>
          <w:rFonts w:ascii="Times New Roman" w:hAnsi="Times New Roman"/>
          <w:highlight w:val="yellow"/>
        </w:rPr>
      </w:pPr>
      <w:r>
        <w:rPr>
          <w:rFonts w:ascii="Times New Roman" w:hAnsi="Times New Roman"/>
        </w:rPr>
        <w:t xml:space="preserve">Responses to the survey will be reviewed by </w:t>
      </w:r>
      <w:r w:rsidR="0015058A">
        <w:rPr>
          <w:rFonts w:ascii="Times New Roman" w:hAnsi="Times New Roman"/>
        </w:rPr>
        <w:t xml:space="preserve">a team of two </w:t>
      </w:r>
      <w:r w:rsidR="00411F94">
        <w:rPr>
          <w:rFonts w:ascii="Times New Roman" w:hAnsi="Times New Roman"/>
        </w:rPr>
        <w:t xml:space="preserve">senior-level </w:t>
      </w:r>
      <w:r w:rsidR="0015058A">
        <w:rPr>
          <w:rFonts w:ascii="Times New Roman" w:hAnsi="Times New Roman"/>
        </w:rPr>
        <w:t>ORO staff</w:t>
      </w:r>
      <w:r w:rsidR="002E2BCD">
        <w:rPr>
          <w:rFonts w:ascii="Times New Roman" w:hAnsi="Times New Roman"/>
        </w:rPr>
        <w:t xml:space="preserve"> in </w:t>
      </w:r>
      <w:r w:rsidR="00C673E0">
        <w:rPr>
          <w:rFonts w:ascii="Times New Roman" w:hAnsi="Times New Roman"/>
        </w:rPr>
        <w:t>GS13 and</w:t>
      </w:r>
      <w:r w:rsidR="002F7E47">
        <w:rPr>
          <w:rFonts w:ascii="Times New Roman" w:hAnsi="Times New Roman"/>
        </w:rPr>
        <w:t xml:space="preserve"> GS14</w:t>
      </w:r>
      <w:r w:rsidR="00C673E0">
        <w:rPr>
          <w:rFonts w:ascii="Times New Roman" w:hAnsi="Times New Roman"/>
        </w:rPr>
        <w:t xml:space="preserve"> </w:t>
      </w:r>
      <w:r w:rsidR="002E2BCD">
        <w:rPr>
          <w:rFonts w:ascii="Times New Roman" w:hAnsi="Times New Roman"/>
        </w:rPr>
        <w:t>(or equivalent) positions.</w:t>
      </w:r>
      <w:r w:rsidR="0015058A">
        <w:rPr>
          <w:rFonts w:ascii="Times New Roman" w:hAnsi="Times New Roman"/>
        </w:rPr>
        <w:t xml:space="preserve"> We estimate that each member of the team will spend</w:t>
      </w:r>
      <w:r w:rsidR="00C673E0">
        <w:rPr>
          <w:rFonts w:ascii="Times New Roman" w:hAnsi="Times New Roman"/>
        </w:rPr>
        <w:t xml:space="preserve"> five</w:t>
      </w:r>
      <w:r w:rsidR="0015058A">
        <w:rPr>
          <w:rFonts w:ascii="Times New Roman" w:hAnsi="Times New Roman"/>
        </w:rPr>
        <w:t xml:space="preserve"> hours reviewing the responses. </w:t>
      </w:r>
      <w:r w:rsidR="00C673E0">
        <w:rPr>
          <w:rFonts w:ascii="Times New Roman" w:hAnsi="Times New Roman"/>
        </w:rPr>
        <w:t xml:space="preserve">The hourly rate for a GS13 Step 9 is $55.10 and the hourly rate </w:t>
      </w:r>
      <w:r w:rsidR="00B0065D">
        <w:rPr>
          <w:rFonts w:ascii="Times New Roman" w:hAnsi="Times New Roman"/>
        </w:rPr>
        <w:t>for GS14</w:t>
      </w:r>
      <w:r w:rsidR="002F7E47">
        <w:rPr>
          <w:rFonts w:ascii="Times New Roman" w:hAnsi="Times New Roman"/>
        </w:rPr>
        <w:t xml:space="preserve"> Step 6 is $61.07. The total cost of this five hour review is $580.85 ($55.10 x 5 + $61.07 x 5). </w:t>
      </w:r>
      <w:r w:rsidR="0015058A">
        <w:rPr>
          <w:rFonts w:ascii="Times New Roman" w:hAnsi="Times New Roman"/>
        </w:rPr>
        <w:t xml:space="preserve">We will use a free online survey tool such as </w:t>
      </w:r>
      <w:r w:rsidR="00B0065D">
        <w:rPr>
          <w:rFonts w:ascii="Times New Roman" w:hAnsi="Times New Roman"/>
        </w:rPr>
        <w:t>Survey Monkey</w:t>
      </w:r>
      <w:r w:rsidR="0015058A">
        <w:rPr>
          <w:rFonts w:ascii="Times New Roman" w:hAnsi="Times New Roman"/>
        </w:rPr>
        <w:t xml:space="preserve"> to gather and analyze the responses. For the multiple choice/Likert scale questions, the online survey tool will calculate the number of responses per answer choice, making it easier for the ORO staff to review responses in the aggregate.</w:t>
      </w:r>
    </w:p>
    <w:p w14:paraId="0D6D049B" w14:textId="77777777" w:rsidR="001879E5" w:rsidRDefault="001879E5">
      <w:pPr>
        <w:tabs>
          <w:tab w:val="left" w:pos="-720"/>
        </w:tabs>
        <w:rPr>
          <w:rFonts w:ascii="Times New Roman" w:hAnsi="Times New Roman"/>
          <w:sz w:val="24"/>
          <w:szCs w:val="24"/>
        </w:rPr>
      </w:pPr>
    </w:p>
    <w:p w14:paraId="0D6D049C" w14:textId="77777777" w:rsidR="001879E5" w:rsidRDefault="001879E5">
      <w:pPr>
        <w:tabs>
          <w:tab w:val="left" w:pos="-720"/>
          <w:tab w:val="left" w:pos="44"/>
          <w:tab w:val="left" w:pos="720"/>
          <w:tab w:val="right" w:pos="8732"/>
        </w:tabs>
        <w:rPr>
          <w:rFonts w:ascii="Times New Roman" w:hAnsi="Times New Roman"/>
          <w:sz w:val="24"/>
          <w:szCs w:val="24"/>
          <w:u w:val="single"/>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u w:val="single"/>
        </w:rPr>
        <w:t>Change in Burden</w:t>
      </w:r>
    </w:p>
    <w:p w14:paraId="0D6D049D" w14:textId="77777777" w:rsidR="001879E5" w:rsidRDefault="001879E5">
      <w:pPr>
        <w:tabs>
          <w:tab w:val="left" w:pos="-720"/>
          <w:tab w:val="left" w:pos="44"/>
          <w:tab w:val="left" w:pos="720"/>
          <w:tab w:val="right" w:pos="8732"/>
        </w:tabs>
        <w:rPr>
          <w:rFonts w:ascii="Times New Roman" w:hAnsi="Times New Roman"/>
          <w:sz w:val="24"/>
          <w:szCs w:val="24"/>
        </w:rPr>
      </w:pPr>
    </w:p>
    <w:p w14:paraId="0D6D049E" w14:textId="77777777" w:rsidR="001879E5" w:rsidRDefault="000038EB">
      <w:pPr>
        <w:tabs>
          <w:tab w:val="left" w:pos="-720"/>
        </w:tabs>
        <w:rPr>
          <w:rFonts w:ascii="Times New Roman" w:hAnsi="Times New Roman"/>
          <w:sz w:val="24"/>
          <w:szCs w:val="24"/>
        </w:rPr>
      </w:pPr>
      <w:r>
        <w:rPr>
          <w:rFonts w:ascii="Times New Roman" w:hAnsi="Times New Roman"/>
          <w:sz w:val="24"/>
          <w:szCs w:val="24"/>
        </w:rPr>
        <w:t xml:space="preserve">Not Applicable.  </w:t>
      </w:r>
      <w:r w:rsidR="00B906CD">
        <w:rPr>
          <w:rFonts w:ascii="Times New Roman" w:hAnsi="Times New Roman"/>
          <w:sz w:val="24"/>
          <w:szCs w:val="24"/>
        </w:rPr>
        <w:t>This is a new activity under HRSA’s generic clearance and will be included in the total burden currently approved by OMB under OMB Control No. 0915-0212.</w:t>
      </w:r>
    </w:p>
    <w:p w14:paraId="0D6D049F" w14:textId="77777777" w:rsidR="001879E5" w:rsidRDefault="001879E5">
      <w:pPr>
        <w:tabs>
          <w:tab w:val="left" w:pos="-720"/>
        </w:tabs>
        <w:rPr>
          <w:rFonts w:ascii="Times New Roman" w:hAnsi="Times New Roman"/>
          <w:sz w:val="24"/>
          <w:szCs w:val="24"/>
        </w:rPr>
      </w:pPr>
    </w:p>
    <w:p w14:paraId="0D6D04A0" w14:textId="77777777" w:rsidR="001879E5" w:rsidRDefault="001879E5">
      <w:pPr>
        <w:tabs>
          <w:tab w:val="left" w:pos="-720"/>
          <w:tab w:val="left" w:pos="720"/>
          <w:tab w:val="right" w:pos="8732"/>
        </w:tabs>
        <w:rPr>
          <w:rFonts w:ascii="Times New Roman" w:hAnsi="Times New Roman"/>
          <w:sz w:val="24"/>
          <w:szCs w:val="24"/>
          <w:u w:val="single"/>
        </w:rPr>
      </w:pPr>
      <w:r>
        <w:rPr>
          <w:rFonts w:ascii="Times New Roman" w:hAnsi="Times New Roman"/>
          <w:sz w:val="24"/>
          <w:szCs w:val="24"/>
        </w:rPr>
        <w:t>16.</w:t>
      </w:r>
      <w:r>
        <w:rPr>
          <w:rFonts w:ascii="Times New Roman" w:hAnsi="Times New Roman"/>
          <w:sz w:val="24"/>
          <w:szCs w:val="24"/>
        </w:rPr>
        <w:tab/>
      </w:r>
      <w:r>
        <w:rPr>
          <w:rFonts w:ascii="Times New Roman" w:hAnsi="Times New Roman"/>
          <w:sz w:val="24"/>
          <w:szCs w:val="24"/>
          <w:u w:val="single"/>
        </w:rPr>
        <w:t>Plans for Analysis and Timetable of Key Activities</w:t>
      </w:r>
    </w:p>
    <w:p w14:paraId="538995AA" w14:textId="77777777" w:rsidR="003C64FF" w:rsidRDefault="003C64FF">
      <w:pPr>
        <w:tabs>
          <w:tab w:val="left" w:pos="-720"/>
          <w:tab w:val="left" w:pos="720"/>
          <w:tab w:val="right" w:pos="8732"/>
        </w:tabs>
        <w:rPr>
          <w:rFonts w:ascii="Times New Roman" w:hAnsi="Times New Roman"/>
          <w:sz w:val="24"/>
          <w:szCs w:val="24"/>
          <w:u w:val="single"/>
        </w:rPr>
      </w:pPr>
    </w:p>
    <w:p w14:paraId="603F78CB" w14:textId="1810EDA6" w:rsidR="003C64FF" w:rsidRPr="003C64FF" w:rsidRDefault="003C64FF">
      <w:pPr>
        <w:tabs>
          <w:tab w:val="left" w:pos="-720"/>
          <w:tab w:val="left" w:pos="720"/>
          <w:tab w:val="right" w:pos="8732"/>
        </w:tabs>
        <w:rPr>
          <w:rFonts w:ascii="Times New Roman" w:hAnsi="Times New Roman"/>
          <w:sz w:val="24"/>
          <w:szCs w:val="24"/>
        </w:rPr>
      </w:pPr>
      <w:r>
        <w:rPr>
          <w:rFonts w:ascii="Times New Roman" w:hAnsi="Times New Roman"/>
          <w:sz w:val="24"/>
          <w:szCs w:val="24"/>
        </w:rPr>
        <w:t xml:space="preserve">The web-based evaluation of the webcast series will be available approximately six months after the last </w:t>
      </w:r>
      <w:r w:rsidR="00411F94">
        <w:rPr>
          <w:rFonts w:ascii="Times New Roman" w:hAnsi="Times New Roman"/>
          <w:sz w:val="24"/>
          <w:szCs w:val="24"/>
        </w:rPr>
        <w:t xml:space="preserve">webcast session. The survey will be open for two weeks. Once the survey closes, ORO staff will review responses in order to ascertain whether additional offerings similar to this webcast series would be beneficial to the field. Similarly, ORO staff will review responses to the open-ended questions to identify areas of need or interest for future tele-behavioral health focused webinars. </w:t>
      </w:r>
    </w:p>
    <w:p w14:paraId="0D6D04A1" w14:textId="77777777" w:rsidR="00176576" w:rsidRDefault="00176576" w:rsidP="00176576">
      <w:pPr>
        <w:pStyle w:val="NormalSS"/>
        <w:ind w:firstLine="0"/>
        <w:jc w:val="left"/>
        <w:rPr>
          <w:szCs w:val="24"/>
        </w:rPr>
      </w:pPr>
    </w:p>
    <w:p w14:paraId="0D6D04A4" w14:textId="77777777" w:rsidR="001879E5" w:rsidRDefault="001879E5">
      <w:pPr>
        <w:tabs>
          <w:tab w:val="left" w:pos="720"/>
          <w:tab w:val="right" w:pos="8692"/>
        </w:tabs>
        <w:rPr>
          <w:rFonts w:ascii="Times New Roman" w:hAnsi="Times New Roman"/>
          <w:sz w:val="24"/>
          <w:szCs w:val="24"/>
          <w:u w:val="single"/>
        </w:rPr>
      </w:pPr>
      <w:r>
        <w:rPr>
          <w:rFonts w:ascii="Times New Roman" w:hAnsi="Times New Roman"/>
          <w:sz w:val="24"/>
          <w:szCs w:val="24"/>
        </w:rPr>
        <w:lastRenderedPageBreak/>
        <w:t>17.</w:t>
      </w:r>
      <w:r>
        <w:rPr>
          <w:rFonts w:ascii="Times New Roman" w:hAnsi="Times New Roman"/>
          <w:sz w:val="24"/>
          <w:szCs w:val="24"/>
        </w:rPr>
        <w:tab/>
      </w:r>
      <w:r>
        <w:rPr>
          <w:rFonts w:ascii="Times New Roman" w:hAnsi="Times New Roman"/>
          <w:sz w:val="24"/>
          <w:szCs w:val="24"/>
          <w:u w:val="single"/>
        </w:rPr>
        <w:t>Exemption for Display of Expiration Date</w:t>
      </w:r>
    </w:p>
    <w:p w14:paraId="0D6D04A5" w14:textId="77777777" w:rsidR="001879E5" w:rsidRDefault="001879E5">
      <w:pPr>
        <w:tabs>
          <w:tab w:val="left" w:pos="720"/>
          <w:tab w:val="right" w:pos="8692"/>
        </w:tabs>
        <w:rPr>
          <w:rFonts w:ascii="Times New Roman" w:hAnsi="Times New Roman"/>
          <w:sz w:val="24"/>
          <w:szCs w:val="24"/>
        </w:rPr>
      </w:pPr>
    </w:p>
    <w:p w14:paraId="0D6D04A6" w14:textId="77777777" w:rsidR="001879E5" w:rsidRDefault="001879E5">
      <w:pPr>
        <w:tabs>
          <w:tab w:val="left" w:pos="-720"/>
        </w:tabs>
        <w:rPr>
          <w:rFonts w:ascii="Times New Roman" w:hAnsi="Times New Roman"/>
          <w:sz w:val="24"/>
          <w:szCs w:val="24"/>
        </w:rPr>
      </w:pPr>
      <w:r>
        <w:rPr>
          <w:rFonts w:ascii="Times New Roman" w:hAnsi="Times New Roman"/>
          <w:sz w:val="24"/>
          <w:szCs w:val="24"/>
        </w:rPr>
        <w:t>No exemption is being requested.  The expiration date will be displayed.</w:t>
      </w:r>
    </w:p>
    <w:p w14:paraId="0D6D04A7" w14:textId="77777777" w:rsidR="001879E5" w:rsidRDefault="001879E5">
      <w:pPr>
        <w:tabs>
          <w:tab w:val="left" w:pos="-720"/>
        </w:tabs>
        <w:rPr>
          <w:rFonts w:ascii="Times New Roman" w:hAnsi="Times New Roman"/>
          <w:sz w:val="24"/>
          <w:szCs w:val="24"/>
        </w:rPr>
      </w:pPr>
    </w:p>
    <w:p w14:paraId="0D6D04A8" w14:textId="77777777" w:rsidR="001879E5" w:rsidRDefault="001879E5">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18.</w:t>
      </w:r>
      <w:r>
        <w:rPr>
          <w:rFonts w:ascii="Times New Roman" w:hAnsi="Times New Roman"/>
          <w:sz w:val="24"/>
          <w:szCs w:val="24"/>
        </w:rPr>
        <w:tab/>
      </w:r>
      <w:r>
        <w:rPr>
          <w:rFonts w:ascii="Times New Roman" w:hAnsi="Times New Roman"/>
          <w:sz w:val="24"/>
          <w:szCs w:val="24"/>
          <w:u w:val="single"/>
        </w:rPr>
        <w:t>Certifications</w:t>
      </w:r>
    </w:p>
    <w:p w14:paraId="0D6D04A9" w14:textId="77777777" w:rsidR="001879E5" w:rsidRDefault="001879E5">
      <w:pPr>
        <w:tabs>
          <w:tab w:val="left" w:pos="-720"/>
          <w:tab w:val="left" w:pos="720"/>
          <w:tab w:val="right" w:pos="8692"/>
        </w:tabs>
        <w:rPr>
          <w:rFonts w:ascii="Times New Roman" w:hAnsi="Times New Roman"/>
          <w:sz w:val="24"/>
          <w:szCs w:val="24"/>
        </w:rPr>
      </w:pPr>
    </w:p>
    <w:p w14:paraId="0D6D04AA" w14:textId="77777777" w:rsidR="001879E5" w:rsidRPr="00176576" w:rsidRDefault="00B906CD" w:rsidP="00176576">
      <w:pPr>
        <w:tabs>
          <w:tab w:val="left" w:pos="-720"/>
        </w:tabs>
        <w:rPr>
          <w:rFonts w:ascii="Times New Roman" w:hAnsi="Times New Roman"/>
          <w:sz w:val="24"/>
          <w:szCs w:val="24"/>
        </w:rPr>
      </w:pPr>
      <w:r>
        <w:rPr>
          <w:rFonts w:ascii="Times New Roman" w:hAnsi="Times New Roman"/>
          <w:sz w:val="24"/>
          <w:szCs w:val="24"/>
        </w:rPr>
        <w:t>This information collection activity</w:t>
      </w:r>
      <w:r w:rsidR="001879E5">
        <w:rPr>
          <w:rFonts w:ascii="Times New Roman" w:hAnsi="Times New Roman"/>
          <w:sz w:val="24"/>
          <w:szCs w:val="24"/>
        </w:rPr>
        <w:t xml:space="preserve"> will comply with the</w:t>
      </w:r>
      <w:r w:rsidR="00176576">
        <w:rPr>
          <w:rFonts w:ascii="Times New Roman" w:hAnsi="Times New Roman"/>
          <w:sz w:val="24"/>
          <w:szCs w:val="24"/>
        </w:rPr>
        <w:t xml:space="preserve"> requirements in 5 CFR 1320.9. </w:t>
      </w:r>
    </w:p>
    <w:sectPr w:rsidR="001879E5" w:rsidRPr="00176576" w:rsidSect="00721134">
      <w:footerReference w:type="default" r:id="rId12"/>
      <w:pgSz w:w="12240" w:h="15840"/>
      <w:pgMar w:top="1440" w:right="1440" w:bottom="108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CD629" w14:textId="77777777" w:rsidR="009F4F33" w:rsidRDefault="009F4F33">
      <w:r>
        <w:separator/>
      </w:r>
    </w:p>
  </w:endnote>
  <w:endnote w:type="continuationSeparator" w:id="0">
    <w:p w14:paraId="12EDE995" w14:textId="77777777" w:rsidR="009F4F33" w:rsidRDefault="009F4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D04AF" w14:textId="77777777" w:rsidR="00896384" w:rsidRDefault="00896384">
    <w:pPr>
      <w:framePr w:wrap="notBeside" w:hAnchor="text" w:xAlign="center"/>
      <w:rPr>
        <w:sz w:val="24"/>
        <w:szCs w:val="24"/>
      </w:rPr>
    </w:pPr>
    <w:r>
      <w:rPr>
        <w:rFonts w:ascii="Times New Roman" w:hAnsi="Times New Roman"/>
        <w:sz w:val="2"/>
        <w:szCs w:val="2"/>
      </w:rPr>
      <w:fldChar w:fldCharType="begin"/>
    </w:r>
    <w:r>
      <w:rPr>
        <w:rFonts w:ascii="Times New Roman" w:hAnsi="Times New Roman"/>
        <w:sz w:val="2"/>
        <w:szCs w:val="2"/>
      </w:rPr>
      <w:instrText xml:space="preserve"> PAGE  </w:instrText>
    </w:r>
    <w:r>
      <w:rPr>
        <w:rFonts w:ascii="Times New Roman" w:hAnsi="Times New Roman"/>
        <w:sz w:val="2"/>
        <w:szCs w:val="2"/>
      </w:rPr>
      <w:fldChar w:fldCharType="separate"/>
    </w:r>
    <w:r w:rsidR="00B0065D">
      <w:rPr>
        <w:rFonts w:ascii="Times New Roman" w:hAnsi="Times New Roman"/>
        <w:noProof/>
        <w:sz w:val="2"/>
        <w:szCs w:val="2"/>
      </w:rPr>
      <w:t>1</w:t>
    </w:r>
    <w:r>
      <w:rPr>
        <w:rFonts w:ascii="Times New Roman" w:hAnsi="Times New Roman"/>
        <w:sz w:val="2"/>
        <w:szCs w:val="2"/>
      </w:rPr>
      <w:fldChar w:fldCharType="end"/>
    </w:r>
  </w:p>
  <w:p w14:paraId="0D6D04B0" w14:textId="77777777" w:rsidR="00896384" w:rsidRDefault="00896384">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7F7B66" w14:textId="77777777" w:rsidR="009F4F33" w:rsidRDefault="009F4F33">
      <w:r>
        <w:separator/>
      </w:r>
    </w:p>
  </w:footnote>
  <w:footnote w:type="continuationSeparator" w:id="0">
    <w:p w14:paraId="2B153E7B" w14:textId="77777777" w:rsidR="009F4F33" w:rsidRDefault="009F4F33">
      <w:r>
        <w:continuationSeparator/>
      </w:r>
    </w:p>
  </w:footnote>
  <w:footnote w:id="1">
    <w:p w14:paraId="354BA84B" w14:textId="33C76544" w:rsidR="002D7AD2" w:rsidRPr="00165A73" w:rsidRDefault="002D7AD2">
      <w:pPr>
        <w:pStyle w:val="FootnoteText"/>
        <w:rPr>
          <w:rFonts w:ascii="Times New Roman" w:hAnsi="Times New Roman"/>
        </w:rPr>
      </w:pPr>
      <w:r w:rsidRPr="00165A73">
        <w:rPr>
          <w:rStyle w:val="FootnoteReference"/>
          <w:rFonts w:ascii="Times New Roman" w:hAnsi="Times New Roman"/>
        </w:rPr>
        <w:footnoteRef/>
      </w:r>
      <w:r w:rsidRPr="00165A73">
        <w:rPr>
          <w:rFonts w:ascii="Times New Roman" w:hAnsi="Times New Roman"/>
        </w:rPr>
        <w:t xml:space="preserve"> The wage rate used here is the average of the mean estimated wage rates of the four professions most likely to attend the webcast series: Physicians/Surgeons ($97.33), Registered Nurses ($34.14), Social Workers ($23.88), and Medical and Health Services Managers ($50.99). The mean estimated wage rates used are from the U.S. Department of Labor, Bureau of Labor Statistics: </w:t>
      </w:r>
      <w:hyperlink r:id="rId1" w:history="1">
        <w:r w:rsidR="00165A73" w:rsidRPr="00C52E04">
          <w:rPr>
            <w:rStyle w:val="Hyperlink"/>
            <w:rFonts w:ascii="Times New Roman" w:hAnsi="Times New Roman"/>
          </w:rPr>
          <w:t>http://www.bls.gov/oes/current/oes_nat.htm</w:t>
        </w:r>
      </w:hyperlink>
      <w:r w:rsidR="00165A73">
        <w:rPr>
          <w:rFonts w:ascii="Times New Roman" w:hAnsi="Times New Roman"/>
        </w:rPr>
        <w:t>, accessed April 20,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5"/>
  </w:num>
  <w:num w:numId="2">
    <w:abstractNumId w:val="2"/>
  </w:num>
  <w:num w:numId="3">
    <w:abstractNumId w:val="0"/>
  </w:num>
  <w:num w:numId="4">
    <w:abstractNumId w:val="10"/>
  </w:num>
  <w:num w:numId="5">
    <w:abstractNumId w:val="9"/>
  </w:num>
  <w:num w:numId="6">
    <w:abstractNumId w:val="8"/>
  </w:num>
  <w:num w:numId="7">
    <w:abstractNumId w:val="1"/>
  </w:num>
  <w:num w:numId="8">
    <w:abstractNumId w:val="4"/>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9A"/>
    <w:rsid w:val="000038EB"/>
    <w:rsid w:val="0000591F"/>
    <w:rsid w:val="00031530"/>
    <w:rsid w:val="00063279"/>
    <w:rsid w:val="0007192E"/>
    <w:rsid w:val="00072B9E"/>
    <w:rsid w:val="00077808"/>
    <w:rsid w:val="00090E64"/>
    <w:rsid w:val="000A383A"/>
    <w:rsid w:val="000E26C2"/>
    <w:rsid w:val="000F2D27"/>
    <w:rsid w:val="000F4A39"/>
    <w:rsid w:val="001017B2"/>
    <w:rsid w:val="00116F07"/>
    <w:rsid w:val="00144B81"/>
    <w:rsid w:val="001502BC"/>
    <w:rsid w:val="0015058A"/>
    <w:rsid w:val="0015649D"/>
    <w:rsid w:val="001600E5"/>
    <w:rsid w:val="00165A73"/>
    <w:rsid w:val="00176576"/>
    <w:rsid w:val="001879E5"/>
    <w:rsid w:val="00190FE2"/>
    <w:rsid w:val="0019133F"/>
    <w:rsid w:val="001A1DD1"/>
    <w:rsid w:val="001A7DA8"/>
    <w:rsid w:val="001E58D1"/>
    <w:rsid w:val="001F05FA"/>
    <w:rsid w:val="001F78C0"/>
    <w:rsid w:val="00213C9A"/>
    <w:rsid w:val="00225692"/>
    <w:rsid w:val="002279BC"/>
    <w:rsid w:val="00233B3F"/>
    <w:rsid w:val="00246222"/>
    <w:rsid w:val="002D2BBC"/>
    <w:rsid w:val="002D7AD2"/>
    <w:rsid w:val="002E2BCD"/>
    <w:rsid w:val="002E2CAB"/>
    <w:rsid w:val="002E5C9D"/>
    <w:rsid w:val="002F4029"/>
    <w:rsid w:val="002F402D"/>
    <w:rsid w:val="002F7E47"/>
    <w:rsid w:val="00301BCD"/>
    <w:rsid w:val="003111D1"/>
    <w:rsid w:val="00330C42"/>
    <w:rsid w:val="0033551D"/>
    <w:rsid w:val="00344701"/>
    <w:rsid w:val="0034728B"/>
    <w:rsid w:val="00375373"/>
    <w:rsid w:val="003C64FF"/>
    <w:rsid w:val="00404E64"/>
    <w:rsid w:val="00411F94"/>
    <w:rsid w:val="004239BD"/>
    <w:rsid w:val="0046323A"/>
    <w:rsid w:val="00472378"/>
    <w:rsid w:val="004739BE"/>
    <w:rsid w:val="00490BAB"/>
    <w:rsid w:val="004D7017"/>
    <w:rsid w:val="004E3605"/>
    <w:rsid w:val="004E3A1F"/>
    <w:rsid w:val="004F33ED"/>
    <w:rsid w:val="00517A6C"/>
    <w:rsid w:val="00522C38"/>
    <w:rsid w:val="00531A2A"/>
    <w:rsid w:val="00537117"/>
    <w:rsid w:val="00557C4D"/>
    <w:rsid w:val="0056606F"/>
    <w:rsid w:val="00587151"/>
    <w:rsid w:val="005B3A05"/>
    <w:rsid w:val="005B4A77"/>
    <w:rsid w:val="005C14A7"/>
    <w:rsid w:val="005F7618"/>
    <w:rsid w:val="0061278C"/>
    <w:rsid w:val="00623295"/>
    <w:rsid w:val="0063434A"/>
    <w:rsid w:val="00642A5E"/>
    <w:rsid w:val="00643FD8"/>
    <w:rsid w:val="006719B1"/>
    <w:rsid w:val="006E3B33"/>
    <w:rsid w:val="006F747E"/>
    <w:rsid w:val="00721134"/>
    <w:rsid w:val="007214F6"/>
    <w:rsid w:val="007312BE"/>
    <w:rsid w:val="0075457F"/>
    <w:rsid w:val="00782F66"/>
    <w:rsid w:val="00796F36"/>
    <w:rsid w:val="007A25D0"/>
    <w:rsid w:val="007B2471"/>
    <w:rsid w:val="007B2EB6"/>
    <w:rsid w:val="007C52B1"/>
    <w:rsid w:val="007D1E4C"/>
    <w:rsid w:val="007D2413"/>
    <w:rsid w:val="007E4179"/>
    <w:rsid w:val="008163BB"/>
    <w:rsid w:val="008165B2"/>
    <w:rsid w:val="008464F9"/>
    <w:rsid w:val="00850760"/>
    <w:rsid w:val="00896384"/>
    <w:rsid w:val="00897C50"/>
    <w:rsid w:val="008B26BE"/>
    <w:rsid w:val="008C13E2"/>
    <w:rsid w:val="008C6E8E"/>
    <w:rsid w:val="008D1D94"/>
    <w:rsid w:val="008F5FB0"/>
    <w:rsid w:val="00924018"/>
    <w:rsid w:val="00990233"/>
    <w:rsid w:val="00990C1B"/>
    <w:rsid w:val="009910A4"/>
    <w:rsid w:val="009B5A14"/>
    <w:rsid w:val="009B68A7"/>
    <w:rsid w:val="009C02B9"/>
    <w:rsid w:val="009D2EC6"/>
    <w:rsid w:val="009D6C07"/>
    <w:rsid w:val="009D73F6"/>
    <w:rsid w:val="009F4F33"/>
    <w:rsid w:val="00A24E14"/>
    <w:rsid w:val="00A342EB"/>
    <w:rsid w:val="00A4213C"/>
    <w:rsid w:val="00A52872"/>
    <w:rsid w:val="00A60207"/>
    <w:rsid w:val="00A91DCD"/>
    <w:rsid w:val="00AA24D1"/>
    <w:rsid w:val="00AE120A"/>
    <w:rsid w:val="00AE1A75"/>
    <w:rsid w:val="00B0065D"/>
    <w:rsid w:val="00B21125"/>
    <w:rsid w:val="00B237EB"/>
    <w:rsid w:val="00B37D64"/>
    <w:rsid w:val="00B40D39"/>
    <w:rsid w:val="00B425DD"/>
    <w:rsid w:val="00B5427E"/>
    <w:rsid w:val="00B54521"/>
    <w:rsid w:val="00B906CD"/>
    <w:rsid w:val="00BA092C"/>
    <w:rsid w:val="00BA1E23"/>
    <w:rsid w:val="00BC057E"/>
    <w:rsid w:val="00BC6B01"/>
    <w:rsid w:val="00BC761A"/>
    <w:rsid w:val="00BD7A9C"/>
    <w:rsid w:val="00BE3CF6"/>
    <w:rsid w:val="00BE6082"/>
    <w:rsid w:val="00BF3FA7"/>
    <w:rsid w:val="00C22F5A"/>
    <w:rsid w:val="00C50E75"/>
    <w:rsid w:val="00C65941"/>
    <w:rsid w:val="00C673E0"/>
    <w:rsid w:val="00C710C1"/>
    <w:rsid w:val="00C9190E"/>
    <w:rsid w:val="00C91E67"/>
    <w:rsid w:val="00CA1D43"/>
    <w:rsid w:val="00CB2B80"/>
    <w:rsid w:val="00CB2E46"/>
    <w:rsid w:val="00CB7B5B"/>
    <w:rsid w:val="00CD4592"/>
    <w:rsid w:val="00CE4102"/>
    <w:rsid w:val="00D2299E"/>
    <w:rsid w:val="00D32AA8"/>
    <w:rsid w:val="00D67A56"/>
    <w:rsid w:val="00D713DB"/>
    <w:rsid w:val="00D90E19"/>
    <w:rsid w:val="00E81AC4"/>
    <w:rsid w:val="00E931BF"/>
    <w:rsid w:val="00F007C3"/>
    <w:rsid w:val="00F0115D"/>
    <w:rsid w:val="00F078F5"/>
    <w:rsid w:val="00F1420F"/>
    <w:rsid w:val="00F303CF"/>
    <w:rsid w:val="00F46FFB"/>
    <w:rsid w:val="00F52E70"/>
    <w:rsid w:val="00F66291"/>
    <w:rsid w:val="00F80C75"/>
    <w:rsid w:val="00FA4FEE"/>
    <w:rsid w:val="00FB18E6"/>
    <w:rsid w:val="00FC259B"/>
    <w:rsid w:val="00FC2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D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unhideWhenUsed/>
    <w:rsid w:val="00782F66"/>
    <w:pPr>
      <w:tabs>
        <w:tab w:val="center" w:pos="4680"/>
        <w:tab w:val="right" w:pos="9360"/>
      </w:tabs>
    </w:pPr>
  </w:style>
  <w:style w:type="character" w:customStyle="1" w:styleId="HeaderChar">
    <w:name w:val="Header Char"/>
    <w:basedOn w:val="DefaultParagraphFont"/>
    <w:link w:val="Header"/>
    <w:uiPriority w:val="99"/>
    <w:locked/>
    <w:rsid w:val="00782F66"/>
    <w:rPr>
      <w:rFonts w:ascii="Courier" w:hAnsi="Courier" w:cs="Times New Roman"/>
      <w:sz w:val="20"/>
      <w:szCs w:val="20"/>
    </w:rPr>
  </w:style>
  <w:style w:type="paragraph" w:styleId="Footer">
    <w:name w:val="footer"/>
    <w:basedOn w:val="Normal"/>
    <w:link w:val="FooterChar"/>
    <w:uiPriority w:val="99"/>
    <w:unhideWhenUsed/>
    <w:rsid w:val="00782F66"/>
    <w:pPr>
      <w:tabs>
        <w:tab w:val="center" w:pos="4680"/>
        <w:tab w:val="right" w:pos="9360"/>
      </w:tabs>
    </w:pPr>
  </w:style>
  <w:style w:type="character" w:customStyle="1" w:styleId="FooterChar">
    <w:name w:val="Footer Char"/>
    <w:basedOn w:val="DefaultParagraphFont"/>
    <w:link w:val="Footer"/>
    <w:uiPriority w:val="99"/>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character" w:styleId="FollowedHyperlink">
    <w:name w:val="FollowedHyperlink"/>
    <w:basedOn w:val="DefaultParagraphFont"/>
    <w:uiPriority w:val="99"/>
    <w:semiHidden/>
    <w:unhideWhenUsed/>
    <w:rsid w:val="00D713DB"/>
    <w:rPr>
      <w:color w:val="800080" w:themeColor="followedHyperlink"/>
      <w:u w:val="single"/>
    </w:rPr>
  </w:style>
  <w:style w:type="paragraph" w:styleId="FootnoteText">
    <w:name w:val="footnote text"/>
    <w:basedOn w:val="Normal"/>
    <w:link w:val="FootnoteTextChar"/>
    <w:uiPriority w:val="99"/>
    <w:semiHidden/>
    <w:unhideWhenUsed/>
    <w:rsid w:val="002D7AD2"/>
  </w:style>
  <w:style w:type="character" w:customStyle="1" w:styleId="FootnoteTextChar">
    <w:name w:val="Footnote Text Char"/>
    <w:basedOn w:val="DefaultParagraphFont"/>
    <w:link w:val="FootnoteText"/>
    <w:uiPriority w:val="99"/>
    <w:semiHidden/>
    <w:rsid w:val="002D7AD2"/>
    <w:rPr>
      <w:rFonts w:ascii="Courier" w:hAnsi="Courier"/>
      <w:sz w:val="20"/>
      <w:szCs w:val="20"/>
    </w:rPr>
  </w:style>
  <w:style w:type="character" w:styleId="FootnoteReference">
    <w:name w:val="footnote reference"/>
    <w:basedOn w:val="DefaultParagraphFont"/>
    <w:uiPriority w:val="99"/>
    <w:semiHidden/>
    <w:unhideWhenUsed/>
    <w:rsid w:val="002D7AD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unhideWhenUsed/>
    <w:rsid w:val="00782F66"/>
    <w:pPr>
      <w:tabs>
        <w:tab w:val="center" w:pos="4680"/>
        <w:tab w:val="right" w:pos="9360"/>
      </w:tabs>
    </w:pPr>
  </w:style>
  <w:style w:type="character" w:customStyle="1" w:styleId="HeaderChar">
    <w:name w:val="Header Char"/>
    <w:basedOn w:val="DefaultParagraphFont"/>
    <w:link w:val="Header"/>
    <w:uiPriority w:val="99"/>
    <w:locked/>
    <w:rsid w:val="00782F66"/>
    <w:rPr>
      <w:rFonts w:ascii="Courier" w:hAnsi="Courier" w:cs="Times New Roman"/>
      <w:sz w:val="20"/>
      <w:szCs w:val="20"/>
    </w:rPr>
  </w:style>
  <w:style w:type="paragraph" w:styleId="Footer">
    <w:name w:val="footer"/>
    <w:basedOn w:val="Normal"/>
    <w:link w:val="FooterChar"/>
    <w:uiPriority w:val="99"/>
    <w:unhideWhenUsed/>
    <w:rsid w:val="00782F66"/>
    <w:pPr>
      <w:tabs>
        <w:tab w:val="center" w:pos="4680"/>
        <w:tab w:val="right" w:pos="9360"/>
      </w:tabs>
    </w:pPr>
  </w:style>
  <w:style w:type="character" w:customStyle="1" w:styleId="FooterChar">
    <w:name w:val="Footer Char"/>
    <w:basedOn w:val="DefaultParagraphFont"/>
    <w:link w:val="Footer"/>
    <w:uiPriority w:val="99"/>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character" w:styleId="FollowedHyperlink">
    <w:name w:val="FollowedHyperlink"/>
    <w:basedOn w:val="DefaultParagraphFont"/>
    <w:uiPriority w:val="99"/>
    <w:semiHidden/>
    <w:unhideWhenUsed/>
    <w:rsid w:val="00D713DB"/>
    <w:rPr>
      <w:color w:val="800080" w:themeColor="followedHyperlink"/>
      <w:u w:val="single"/>
    </w:rPr>
  </w:style>
  <w:style w:type="paragraph" w:styleId="FootnoteText">
    <w:name w:val="footnote text"/>
    <w:basedOn w:val="Normal"/>
    <w:link w:val="FootnoteTextChar"/>
    <w:uiPriority w:val="99"/>
    <w:semiHidden/>
    <w:unhideWhenUsed/>
    <w:rsid w:val="002D7AD2"/>
  </w:style>
  <w:style w:type="character" w:customStyle="1" w:styleId="FootnoteTextChar">
    <w:name w:val="Footnote Text Char"/>
    <w:basedOn w:val="DefaultParagraphFont"/>
    <w:link w:val="FootnoteText"/>
    <w:uiPriority w:val="99"/>
    <w:semiHidden/>
    <w:rsid w:val="002D7AD2"/>
    <w:rPr>
      <w:rFonts w:ascii="Courier" w:hAnsi="Courier"/>
      <w:sz w:val="20"/>
      <w:szCs w:val="20"/>
    </w:rPr>
  </w:style>
  <w:style w:type="character" w:styleId="FootnoteReference">
    <w:name w:val="footnote reference"/>
    <w:basedOn w:val="DefaultParagraphFont"/>
    <w:uiPriority w:val="99"/>
    <w:semiHidden/>
    <w:unhideWhenUsed/>
    <w:rsid w:val="002D7A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earanceType xmlns="4967143e-3350-4318-8b8c-f9b56d178eaa">Generic</Clearance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600C5253004B4383F85A471F095D18" ma:contentTypeVersion="3" ma:contentTypeDescription="Create a new document." ma:contentTypeScope="" ma:versionID="d74648f5f43379ed527fc5af7213aa10">
  <xsd:schema xmlns:xsd="http://www.w3.org/2001/XMLSchema" xmlns:xs="http://www.w3.org/2001/XMLSchema" xmlns:p="http://schemas.microsoft.com/office/2006/metadata/properties" xmlns:ns2="4967143e-3350-4318-8b8c-f9b56d178eaa" targetNamespace="http://schemas.microsoft.com/office/2006/metadata/properties" ma:root="true" ma:fieldsID="defb44c48193deaf4b9b361fc8bc5a4f" ns2:_="">
    <xsd:import namespace="4967143e-3350-4318-8b8c-f9b56d178eaa"/>
    <xsd:element name="properties">
      <xsd:complexType>
        <xsd:sequence>
          <xsd:element name="documentManagement">
            <xsd:complexType>
              <xsd:all>
                <xsd:element ref="ns2:Clearanc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7143e-3350-4318-8b8c-f9b56d178eaa" elementFormDefault="qualified">
    <xsd:import namespace="http://schemas.microsoft.com/office/2006/documentManagement/types"/>
    <xsd:import namespace="http://schemas.microsoft.com/office/infopath/2007/PartnerControls"/>
    <xsd:element name="ClearanceType" ma:index="8" nillable="true" ma:displayName="Clearance Type" ma:format="Dropdown" ma:internalName="ClearanceType">
      <xsd:simpleType>
        <xsd:restriction base="dms:Choice">
          <xsd:enumeration value="Generic"/>
          <xsd:enumeration value="Emergency"/>
          <xsd:enumeration value="Non-Substantive or Non-Material Change"/>
          <xsd:enumeration value="Standard"/>
          <xsd:enumeration value="All OMB Cleara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BBA2E-0936-4977-888B-1D5630AB2C68}">
  <ds:schemaRefs>
    <ds:schemaRef ds:uri="http://schemas.microsoft.com/sharepoint/v3/contenttype/forms"/>
  </ds:schemaRefs>
</ds:datastoreItem>
</file>

<file path=customXml/itemProps2.xml><?xml version="1.0" encoding="utf-8"?>
<ds:datastoreItem xmlns:ds="http://schemas.openxmlformats.org/officeDocument/2006/customXml" ds:itemID="{64CC5929-F7ED-4A6B-A7AB-FE8C9A4742A9}">
  <ds:schemaRefs>
    <ds:schemaRef ds:uri="http://schemas.microsoft.com/office/2006/metadata/properties"/>
    <ds:schemaRef ds:uri="http://schemas.microsoft.com/office/infopath/2007/PartnerControls"/>
    <ds:schemaRef ds:uri="4967143e-3350-4318-8b8c-f9b56d178eaa"/>
  </ds:schemaRefs>
</ds:datastoreItem>
</file>

<file path=customXml/itemProps3.xml><?xml version="1.0" encoding="utf-8"?>
<ds:datastoreItem xmlns:ds="http://schemas.openxmlformats.org/officeDocument/2006/customXml" ds:itemID="{4D7ED512-3BD1-4EC8-8600-D2EE8E3AF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7143e-3350-4318-8b8c-f9b56d178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64F49A-C3F0-4A9D-977A-206D9E703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GENERIC - Supporting Statement Template</vt:lpstr>
    </vt:vector>
  </TitlesOfParts>
  <Company>HRSA</Company>
  <LinksUpToDate>false</LinksUpToDate>
  <CharactersWithSpaces>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Supporting Statement Template</dc:title>
  <dc:creator>Jodi.Duckhorn</dc:creator>
  <cp:lastModifiedBy>Windows User</cp:lastModifiedBy>
  <cp:revision>4</cp:revision>
  <cp:lastPrinted>2016-05-03T12:46:00Z</cp:lastPrinted>
  <dcterms:created xsi:type="dcterms:W3CDTF">2016-05-03T12:46:00Z</dcterms:created>
  <dcterms:modified xsi:type="dcterms:W3CDTF">2016-05-03T12:56:00Z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0x010100D2600C5253004B4383F85A471F095D18</vt:lpwstr>
  </property>
</Properties>
</file>