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597B673D" w:rsidR="001879E5" w:rsidRDefault="0096682A"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Maternal, Infant, and Early Childhood Home Visiting Program Technical Assistance Feedback and Satisfaction Surveys</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77777777"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0B634308"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p>
    <w:p w14:paraId="0D6D041D" w14:textId="77777777" w:rsidR="004E3605" w:rsidRDefault="004E3605">
      <w:pPr>
        <w:tabs>
          <w:tab w:val="left" w:pos="-720"/>
        </w:tabs>
        <w:rPr>
          <w:rFonts w:ascii="Times New Roman" w:hAnsi="Times New Roman"/>
          <w:sz w:val="24"/>
          <w:szCs w:val="24"/>
        </w:rPr>
      </w:pPr>
    </w:p>
    <w:p w14:paraId="4F343962" w14:textId="3BD3951B" w:rsidR="005D0D7C" w:rsidRPr="005D0D7C" w:rsidRDefault="005D0D7C">
      <w:pPr>
        <w:tabs>
          <w:tab w:val="left" w:pos="-720"/>
        </w:tabs>
        <w:rPr>
          <w:rFonts w:ascii="Times New Roman" w:hAnsi="Times New Roman"/>
          <w:sz w:val="24"/>
          <w:szCs w:val="24"/>
        </w:rPr>
      </w:pPr>
      <w:r>
        <w:rPr>
          <w:rFonts w:ascii="Times New Roman" w:hAnsi="Times New Roman"/>
          <w:sz w:val="24"/>
          <w:szCs w:val="24"/>
        </w:rPr>
        <w:t xml:space="preserve">The Maternal and Child Health Bureau’s Division of Home Visiting and Early Childhood Systems (DHVECS) conducts numerous training and technical assistance (TA) activities to support Maternal, Infant, and Early Childhood Home Visiting Program (Federal Home Visiting Program) grantees in the implementation of their grants.  TA activities are conducted both by federal staff and contracted TA providers.  In order to </w:t>
      </w:r>
      <w:r w:rsidR="0055034A">
        <w:rPr>
          <w:rFonts w:ascii="Times New Roman" w:hAnsi="Times New Roman"/>
          <w:sz w:val="24"/>
          <w:szCs w:val="24"/>
        </w:rPr>
        <w:t>assess</w:t>
      </w:r>
      <w:r>
        <w:rPr>
          <w:rFonts w:ascii="Times New Roman" w:hAnsi="Times New Roman"/>
          <w:sz w:val="24"/>
          <w:szCs w:val="24"/>
        </w:rPr>
        <w:t xml:space="preserve"> Federal Home Visiting Program grantee’s </w:t>
      </w:r>
      <w:r w:rsidR="0055034A">
        <w:rPr>
          <w:rFonts w:ascii="Times New Roman" w:hAnsi="Times New Roman"/>
          <w:sz w:val="24"/>
          <w:szCs w:val="24"/>
        </w:rPr>
        <w:t xml:space="preserve">customer </w:t>
      </w:r>
      <w:r>
        <w:rPr>
          <w:rFonts w:ascii="Times New Roman" w:hAnsi="Times New Roman"/>
          <w:sz w:val="24"/>
          <w:szCs w:val="24"/>
        </w:rPr>
        <w:t>satisfaction with th</w:t>
      </w:r>
      <w:r w:rsidR="0055034A">
        <w:rPr>
          <w:rFonts w:ascii="Times New Roman" w:hAnsi="Times New Roman"/>
          <w:sz w:val="24"/>
          <w:szCs w:val="24"/>
        </w:rPr>
        <w:t>ese</w:t>
      </w:r>
      <w:r>
        <w:rPr>
          <w:rFonts w:ascii="Times New Roman" w:hAnsi="Times New Roman"/>
          <w:sz w:val="24"/>
          <w:szCs w:val="24"/>
        </w:rPr>
        <w:t xml:space="preserve"> </w:t>
      </w:r>
      <w:r w:rsidR="0055034A">
        <w:rPr>
          <w:rFonts w:ascii="Times New Roman" w:hAnsi="Times New Roman"/>
          <w:sz w:val="24"/>
          <w:szCs w:val="24"/>
        </w:rPr>
        <w:t xml:space="preserve">ongoing </w:t>
      </w:r>
      <w:r>
        <w:rPr>
          <w:rFonts w:ascii="Times New Roman" w:hAnsi="Times New Roman"/>
          <w:sz w:val="24"/>
          <w:szCs w:val="24"/>
        </w:rPr>
        <w:t xml:space="preserve">TA activities, </w:t>
      </w:r>
      <w:r w:rsidR="00910925">
        <w:rPr>
          <w:rFonts w:ascii="Times New Roman" w:hAnsi="Times New Roman"/>
          <w:sz w:val="24"/>
          <w:szCs w:val="24"/>
        </w:rPr>
        <w:t>HRSA</w:t>
      </w:r>
      <w:r>
        <w:rPr>
          <w:rFonts w:ascii="Times New Roman" w:hAnsi="Times New Roman"/>
          <w:sz w:val="24"/>
          <w:szCs w:val="24"/>
        </w:rPr>
        <w:t xml:space="preserve"> is proposing to implement qualitative TA feedback and satisfaction surveys.</w:t>
      </w:r>
      <w:r w:rsidR="00170F93">
        <w:rPr>
          <w:rFonts w:ascii="Times New Roman" w:hAnsi="Times New Roman"/>
          <w:sz w:val="24"/>
          <w:szCs w:val="24"/>
        </w:rPr>
        <w:t xml:space="preserve">  </w:t>
      </w:r>
      <w:r w:rsidR="0055034A">
        <w:rPr>
          <w:rFonts w:ascii="Times New Roman" w:hAnsi="Times New Roman"/>
          <w:sz w:val="24"/>
          <w:szCs w:val="24"/>
        </w:rPr>
        <w:t xml:space="preserve">Information from these surveys will be used for program improvement purposes only.  </w:t>
      </w:r>
      <w:r w:rsidR="00170F93">
        <w:rPr>
          <w:rFonts w:ascii="Times New Roman" w:hAnsi="Times New Roman"/>
          <w:sz w:val="24"/>
          <w:szCs w:val="24"/>
        </w:rPr>
        <w:t>The Federal Ho</w:t>
      </w:r>
      <w:r w:rsidR="004F23D2">
        <w:rPr>
          <w:rFonts w:ascii="Times New Roman" w:hAnsi="Times New Roman"/>
          <w:sz w:val="24"/>
          <w:szCs w:val="24"/>
        </w:rPr>
        <w:t>m</w:t>
      </w:r>
      <w:r w:rsidR="00170F93">
        <w:rPr>
          <w:rFonts w:ascii="Times New Roman" w:hAnsi="Times New Roman"/>
          <w:sz w:val="24"/>
          <w:szCs w:val="24"/>
        </w:rPr>
        <w:t>e Visiting Program was originally authorized under the Affordable Care Act, and was most recently reauthorized through fiscal year 2017 under the Medicaid Access and CHIP Reauthorization Act of 2015.</w:t>
      </w:r>
      <w:r>
        <w:rPr>
          <w:rFonts w:ascii="Times New Roman" w:hAnsi="Times New Roman"/>
          <w:sz w:val="24"/>
          <w:szCs w:val="24"/>
        </w:rPr>
        <w:t xml:space="preserve">  </w:t>
      </w:r>
    </w:p>
    <w:p w14:paraId="218A4A05" w14:textId="77777777" w:rsidR="005D0D7C" w:rsidRDefault="005D0D7C">
      <w:pPr>
        <w:tabs>
          <w:tab w:val="left" w:pos="-720"/>
        </w:tabs>
        <w:rPr>
          <w:rFonts w:ascii="Times New Roman" w:hAnsi="Times New Roman"/>
          <w:sz w:val="24"/>
          <w:szCs w:val="24"/>
          <w:highlight w:val="yellow"/>
        </w:rPr>
      </w:pPr>
    </w:p>
    <w:p w14:paraId="356DD9FB" w14:textId="4A486CE9" w:rsidR="00170F93"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70F93">
        <w:rPr>
          <w:rFonts w:ascii="Times New Roman" w:hAnsi="Times New Roman"/>
          <w:sz w:val="24"/>
          <w:szCs w:val="24"/>
        </w:rPr>
        <w:t xml:space="preserve">The objectives of this data collection request is to assess Federal Home Visiting Program grantee’s </w:t>
      </w:r>
      <w:r w:rsidR="0055034A">
        <w:rPr>
          <w:rFonts w:ascii="Times New Roman" w:hAnsi="Times New Roman"/>
          <w:sz w:val="24"/>
          <w:szCs w:val="24"/>
        </w:rPr>
        <w:t xml:space="preserve">customer </w:t>
      </w:r>
      <w:r w:rsidR="00170F93">
        <w:rPr>
          <w:rFonts w:ascii="Times New Roman" w:hAnsi="Times New Roman"/>
          <w:sz w:val="24"/>
          <w:szCs w:val="24"/>
        </w:rPr>
        <w:t>satisfaction with the training and technical assistance services provided to them by federal staff and contracted TA providers.  This information will be used to improve the quality and effectiveness of TA offerings</w:t>
      </w:r>
      <w:r w:rsidR="0055034A">
        <w:rPr>
          <w:rFonts w:ascii="Times New Roman" w:hAnsi="Times New Roman"/>
          <w:sz w:val="24"/>
          <w:szCs w:val="24"/>
        </w:rPr>
        <w:t xml:space="preserve"> and will be used for program improvement purposes only</w:t>
      </w:r>
      <w:r w:rsidR="00170F93">
        <w:rPr>
          <w:rFonts w:ascii="Times New Roman" w:hAnsi="Times New Roman"/>
          <w:sz w:val="24"/>
          <w:szCs w:val="24"/>
        </w:rPr>
        <w:t>.</w:t>
      </w:r>
      <w:r>
        <w:rPr>
          <w:rFonts w:ascii="Times New Roman" w:hAnsi="Times New Roman"/>
          <w:sz w:val="24"/>
          <w:szCs w:val="24"/>
        </w:rPr>
        <w:t xml:space="preserve">  </w:t>
      </w:r>
    </w:p>
    <w:p w14:paraId="69512416" w14:textId="77777777" w:rsidR="00170F93" w:rsidRDefault="00170F93">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1EF5C593" w14:textId="5786F624" w:rsidR="004F23D2" w:rsidRDefault="004F23D2" w:rsidP="00896384">
      <w:pPr>
        <w:spacing w:before="120"/>
        <w:rPr>
          <w:rFonts w:ascii="Times New Roman" w:hAnsi="Times New Roman"/>
          <w:sz w:val="24"/>
        </w:rPr>
      </w:pPr>
      <w:r>
        <w:rPr>
          <w:rFonts w:ascii="Times New Roman" w:hAnsi="Times New Roman"/>
          <w:sz w:val="24"/>
        </w:rPr>
        <w:t xml:space="preserve">The purpose of this information collection request is to assess </w:t>
      </w:r>
      <w:r w:rsidR="00910925">
        <w:rPr>
          <w:rFonts w:ascii="Times New Roman" w:hAnsi="Times New Roman"/>
          <w:sz w:val="24"/>
        </w:rPr>
        <w:t>TA participant</w:t>
      </w:r>
      <w:r>
        <w:rPr>
          <w:rFonts w:ascii="Times New Roman" w:hAnsi="Times New Roman"/>
          <w:sz w:val="24"/>
        </w:rPr>
        <w:t xml:space="preserve"> satisfaction with various training and technical assistance activities.  TA activities are conducted by federal staff and contracted TA providers in order to support grantees in the implementation of their grants.  </w:t>
      </w:r>
      <w:r>
        <w:rPr>
          <w:rFonts w:ascii="Times New Roman" w:hAnsi="Times New Roman"/>
          <w:sz w:val="24"/>
        </w:rPr>
        <w:lastRenderedPageBreak/>
        <w:t xml:space="preserve">Understanding </w:t>
      </w:r>
      <w:r w:rsidR="00910925">
        <w:rPr>
          <w:rFonts w:ascii="Times New Roman" w:hAnsi="Times New Roman"/>
          <w:sz w:val="24"/>
        </w:rPr>
        <w:t>TA participant</w:t>
      </w:r>
      <w:r>
        <w:rPr>
          <w:rFonts w:ascii="Times New Roman" w:hAnsi="Times New Roman"/>
          <w:sz w:val="24"/>
        </w:rPr>
        <w:t xml:space="preserve"> </w:t>
      </w:r>
      <w:r w:rsidR="0055034A">
        <w:rPr>
          <w:rFonts w:ascii="Times New Roman" w:hAnsi="Times New Roman"/>
          <w:sz w:val="24"/>
        </w:rPr>
        <w:t xml:space="preserve">customer </w:t>
      </w:r>
      <w:r>
        <w:rPr>
          <w:rFonts w:ascii="Times New Roman" w:hAnsi="Times New Roman"/>
          <w:sz w:val="24"/>
        </w:rPr>
        <w:t xml:space="preserve">satisfaction with these activities can assist </w:t>
      </w:r>
      <w:r w:rsidR="00910925">
        <w:rPr>
          <w:rFonts w:ascii="Times New Roman" w:hAnsi="Times New Roman"/>
          <w:sz w:val="24"/>
        </w:rPr>
        <w:t>HRSA</w:t>
      </w:r>
      <w:r>
        <w:rPr>
          <w:rFonts w:ascii="Times New Roman" w:hAnsi="Times New Roman"/>
          <w:sz w:val="24"/>
        </w:rPr>
        <w:t xml:space="preserve"> in properly tailoring TA to grantee preferences and improve grantee participation in voluntary TA activities.  </w:t>
      </w:r>
    </w:p>
    <w:p w14:paraId="6B53DAAE" w14:textId="418C5EE2" w:rsidR="0096682A" w:rsidRDefault="00910925" w:rsidP="00896384">
      <w:pPr>
        <w:spacing w:before="120"/>
        <w:rPr>
          <w:rFonts w:ascii="Times New Roman" w:hAnsi="Times New Roman"/>
          <w:sz w:val="24"/>
        </w:rPr>
      </w:pPr>
      <w:r>
        <w:rPr>
          <w:rFonts w:ascii="Times New Roman" w:hAnsi="Times New Roman"/>
          <w:sz w:val="24"/>
        </w:rPr>
        <w:t>HRSA</w:t>
      </w:r>
      <w:r w:rsidR="0096682A">
        <w:rPr>
          <w:rFonts w:ascii="Times New Roman" w:hAnsi="Times New Roman"/>
          <w:sz w:val="24"/>
        </w:rPr>
        <w:t xml:space="preserve"> provides TA to grantees through multiple means</w:t>
      </w:r>
      <w:r w:rsidR="001F0484">
        <w:rPr>
          <w:rFonts w:ascii="Times New Roman" w:hAnsi="Times New Roman"/>
          <w:sz w:val="24"/>
        </w:rPr>
        <w:t>, including</w:t>
      </w:r>
      <w:r w:rsidR="0096682A">
        <w:rPr>
          <w:rFonts w:ascii="Times New Roman" w:hAnsi="Times New Roman"/>
          <w:sz w:val="24"/>
        </w:rPr>
        <w:t xml:space="preserve">: site visits; </w:t>
      </w:r>
      <w:r>
        <w:rPr>
          <w:rFonts w:ascii="Times New Roman" w:hAnsi="Times New Roman"/>
          <w:sz w:val="24"/>
        </w:rPr>
        <w:t>federally-</w:t>
      </w:r>
      <w:r w:rsidR="0096682A">
        <w:rPr>
          <w:rFonts w:ascii="Times New Roman" w:hAnsi="Times New Roman"/>
          <w:sz w:val="24"/>
        </w:rPr>
        <w:t>facilitated grantee town halls</w:t>
      </w:r>
      <w:r w:rsidR="0055034A">
        <w:rPr>
          <w:rFonts w:ascii="Times New Roman" w:hAnsi="Times New Roman"/>
          <w:sz w:val="24"/>
        </w:rPr>
        <w:t>, and</w:t>
      </w:r>
      <w:r w:rsidR="0096682A">
        <w:rPr>
          <w:rFonts w:ascii="Times New Roman" w:hAnsi="Times New Roman"/>
          <w:sz w:val="24"/>
        </w:rPr>
        <w:t xml:space="preserve">; </w:t>
      </w:r>
      <w:r w:rsidR="00885127">
        <w:rPr>
          <w:rFonts w:ascii="Times New Roman" w:hAnsi="Times New Roman"/>
          <w:sz w:val="24"/>
        </w:rPr>
        <w:t>in-person grantee meetings</w:t>
      </w:r>
      <w:r w:rsidR="001F0484">
        <w:rPr>
          <w:rFonts w:ascii="Times New Roman" w:hAnsi="Times New Roman"/>
          <w:sz w:val="24"/>
        </w:rPr>
        <w:t xml:space="preserve">. </w:t>
      </w:r>
    </w:p>
    <w:p w14:paraId="73F05617" w14:textId="5ED7DAD6" w:rsidR="00802A88" w:rsidRDefault="0096682A" w:rsidP="00896384">
      <w:pPr>
        <w:spacing w:before="120"/>
        <w:rPr>
          <w:rFonts w:ascii="Times New Roman" w:hAnsi="Times New Roman"/>
          <w:sz w:val="24"/>
        </w:rPr>
      </w:pPr>
      <w:r>
        <w:rPr>
          <w:rFonts w:ascii="Times New Roman" w:hAnsi="Times New Roman"/>
          <w:sz w:val="24"/>
        </w:rPr>
        <w:t>Grant</w:t>
      </w:r>
      <w:r w:rsidR="001F0484">
        <w:rPr>
          <w:rFonts w:ascii="Times New Roman" w:hAnsi="Times New Roman"/>
          <w:sz w:val="24"/>
        </w:rPr>
        <w:t>ee satisfaction surveys have been developed to best solicit feedback for different TA strategies, and are included in this clearance package.</w:t>
      </w:r>
      <w:r w:rsidR="00885127">
        <w:rPr>
          <w:rFonts w:ascii="Times New Roman" w:hAnsi="Times New Roman"/>
          <w:sz w:val="24"/>
        </w:rPr>
        <w:t xml:space="preserve">  While in some cases different TA strategies are best evaluated using different methods, </w:t>
      </w:r>
      <w:r w:rsidR="00910925">
        <w:rPr>
          <w:rFonts w:ascii="Times New Roman" w:hAnsi="Times New Roman"/>
          <w:sz w:val="24"/>
        </w:rPr>
        <w:t>HRSA</w:t>
      </w:r>
      <w:r w:rsidR="00885127">
        <w:rPr>
          <w:rFonts w:ascii="Times New Roman" w:hAnsi="Times New Roman"/>
          <w:sz w:val="24"/>
        </w:rPr>
        <w:t xml:space="preserve"> has attempted to standardize these customer feedback and satisfaction surveys to promote the ability </w:t>
      </w:r>
      <w:r w:rsidR="00910925">
        <w:rPr>
          <w:rFonts w:ascii="Times New Roman" w:hAnsi="Times New Roman"/>
          <w:sz w:val="24"/>
        </w:rPr>
        <w:t>for</w:t>
      </w:r>
      <w:r w:rsidR="00885127">
        <w:rPr>
          <w:rFonts w:ascii="Times New Roman" w:hAnsi="Times New Roman"/>
          <w:sz w:val="24"/>
        </w:rPr>
        <w:t xml:space="preserve"> findings to be compared across TA modalities. </w:t>
      </w:r>
    </w:p>
    <w:p w14:paraId="3E22E6EB" w14:textId="77777777" w:rsidR="00802A88" w:rsidRDefault="00802A88" w:rsidP="00802A88">
      <w:pPr>
        <w:pStyle w:val="NormalSS"/>
        <w:ind w:firstLine="0"/>
        <w:jc w:val="left"/>
        <w:rPr>
          <w:szCs w:val="24"/>
        </w:rPr>
      </w:pPr>
    </w:p>
    <w:p w14:paraId="7E216A7E" w14:textId="36CB9D50" w:rsidR="00885127" w:rsidRDefault="00802A88" w:rsidP="00802A88">
      <w:pPr>
        <w:pStyle w:val="NormalSS"/>
        <w:ind w:firstLine="0"/>
        <w:jc w:val="left"/>
      </w:pPr>
      <w:r>
        <w:rPr>
          <w:szCs w:val="24"/>
        </w:rPr>
        <w:t xml:space="preserve">This information collection request contains </w:t>
      </w:r>
      <w:r w:rsidR="00537E53">
        <w:rPr>
          <w:szCs w:val="24"/>
        </w:rPr>
        <w:t>three</w:t>
      </w:r>
      <w:r>
        <w:rPr>
          <w:szCs w:val="24"/>
        </w:rPr>
        <w:t xml:space="preserve"> types of customer feedback and satisfaction surveys: the site visit assessment form; grantee town hall </w:t>
      </w:r>
      <w:r w:rsidR="00537E53">
        <w:rPr>
          <w:szCs w:val="24"/>
        </w:rPr>
        <w:t>satisfaction survey</w:t>
      </w:r>
      <w:r>
        <w:rPr>
          <w:szCs w:val="24"/>
        </w:rPr>
        <w:t xml:space="preserve">, and; all-grantee meeting </w:t>
      </w:r>
      <w:r w:rsidR="00537E53">
        <w:rPr>
          <w:szCs w:val="24"/>
        </w:rPr>
        <w:t>assessment</w:t>
      </w:r>
      <w:r>
        <w:rPr>
          <w:szCs w:val="24"/>
        </w:rPr>
        <w:t xml:space="preserve"> forms.  Each of these forms is tailored to specific TA activities and includes information pertinent to those types of activities.  </w:t>
      </w:r>
      <w:r w:rsidR="00885127">
        <w:t xml:space="preserve"> </w:t>
      </w:r>
    </w:p>
    <w:p w14:paraId="541132C8" w14:textId="77777777" w:rsidR="00802A88" w:rsidRDefault="00802A88" w:rsidP="00802A88">
      <w:pPr>
        <w:rPr>
          <w:rFonts w:ascii="Times New Roman" w:hAnsi="Times New Roman"/>
          <w:sz w:val="24"/>
        </w:rPr>
      </w:pPr>
    </w:p>
    <w:p w14:paraId="539BCC02" w14:textId="5CF2A3C9" w:rsidR="001F0484" w:rsidRDefault="001F0484" w:rsidP="00802A88">
      <w:pPr>
        <w:rPr>
          <w:rFonts w:ascii="Times New Roman" w:hAnsi="Times New Roman"/>
          <w:sz w:val="24"/>
        </w:rPr>
      </w:pPr>
      <w:r>
        <w:rPr>
          <w:rFonts w:ascii="Times New Roman" w:hAnsi="Times New Roman"/>
          <w:sz w:val="24"/>
        </w:rPr>
        <w:t xml:space="preserve">Surveys will be </w:t>
      </w:r>
      <w:r w:rsidR="0096682A">
        <w:rPr>
          <w:rFonts w:ascii="Times New Roman" w:hAnsi="Times New Roman"/>
          <w:sz w:val="24"/>
        </w:rPr>
        <w:t xml:space="preserve">implemented following the conclusion of TA activities and will be provided to all </w:t>
      </w:r>
      <w:r w:rsidR="00910925">
        <w:rPr>
          <w:rFonts w:ascii="Times New Roman" w:hAnsi="Times New Roman"/>
          <w:sz w:val="24"/>
        </w:rPr>
        <w:t>TA participants</w:t>
      </w:r>
      <w:r w:rsidR="0096682A">
        <w:rPr>
          <w:rFonts w:ascii="Times New Roman" w:hAnsi="Times New Roman"/>
          <w:sz w:val="24"/>
        </w:rPr>
        <w:t xml:space="preserve"> who participated in the activity.  Completion of the survey is voluntary.</w:t>
      </w:r>
    </w:p>
    <w:p w14:paraId="0F60FE2A" w14:textId="77777777" w:rsidR="00802A88" w:rsidRDefault="00802A88" w:rsidP="00802A88">
      <w:pPr>
        <w:rPr>
          <w:rFonts w:ascii="Times New Roman" w:hAnsi="Times New Roman"/>
          <w:sz w:val="24"/>
        </w:rPr>
      </w:pPr>
    </w:p>
    <w:p w14:paraId="08F1C932" w14:textId="4C8F8BDC" w:rsidR="00885127" w:rsidRDefault="00885127" w:rsidP="00802A88">
      <w:pPr>
        <w:rPr>
          <w:rFonts w:ascii="Times New Roman" w:hAnsi="Times New Roman"/>
          <w:sz w:val="24"/>
        </w:rPr>
      </w:pPr>
      <w:r>
        <w:rPr>
          <w:rFonts w:ascii="Times New Roman" w:hAnsi="Times New Roman"/>
          <w:sz w:val="24"/>
        </w:rPr>
        <w:t xml:space="preserve">Feedback contained in the surveys will be summarized and used by federal staff and TA providers to identify the strengths and weaknesses of particular TA events, as well as be used more broadly to identify TA strategies, modalities, </w:t>
      </w:r>
      <w:r w:rsidR="009246D7">
        <w:rPr>
          <w:rFonts w:ascii="Times New Roman" w:hAnsi="Times New Roman"/>
          <w:sz w:val="24"/>
        </w:rPr>
        <w:t xml:space="preserve">and </w:t>
      </w:r>
      <w:r>
        <w:rPr>
          <w:rFonts w:ascii="Times New Roman" w:hAnsi="Times New Roman"/>
          <w:sz w:val="24"/>
        </w:rPr>
        <w:t>content</w:t>
      </w:r>
      <w:r w:rsidR="009246D7">
        <w:rPr>
          <w:rFonts w:ascii="Times New Roman" w:hAnsi="Times New Roman"/>
          <w:sz w:val="24"/>
        </w:rPr>
        <w:t xml:space="preserve"> that </w:t>
      </w:r>
      <w:r w:rsidR="00910925">
        <w:rPr>
          <w:rFonts w:ascii="Times New Roman" w:hAnsi="Times New Roman"/>
          <w:sz w:val="24"/>
        </w:rPr>
        <w:t>TA participants</w:t>
      </w:r>
      <w:r w:rsidR="009246D7">
        <w:rPr>
          <w:rFonts w:ascii="Times New Roman" w:hAnsi="Times New Roman"/>
          <w:sz w:val="24"/>
        </w:rPr>
        <w:t xml:space="preserve"> find most useful.  In addition, grantee feedback on TA activities conducted by contracted TA providers is an essential component of the </w:t>
      </w:r>
      <w:r w:rsidR="00537E53">
        <w:rPr>
          <w:rFonts w:ascii="Times New Roman" w:hAnsi="Times New Roman"/>
          <w:sz w:val="24"/>
        </w:rPr>
        <w:t>assessment</w:t>
      </w:r>
      <w:r w:rsidR="009246D7">
        <w:rPr>
          <w:rFonts w:ascii="Times New Roman" w:hAnsi="Times New Roman"/>
          <w:sz w:val="24"/>
        </w:rPr>
        <w:t xml:space="preserve"> of contractor performance.  By collecting this information, </w:t>
      </w:r>
      <w:r w:rsidR="00910925">
        <w:rPr>
          <w:rFonts w:ascii="Times New Roman" w:hAnsi="Times New Roman"/>
          <w:sz w:val="24"/>
        </w:rPr>
        <w:t>HRSA</w:t>
      </w:r>
      <w:r w:rsidR="009246D7">
        <w:rPr>
          <w:rFonts w:ascii="Times New Roman" w:hAnsi="Times New Roman"/>
          <w:sz w:val="24"/>
        </w:rPr>
        <w:t xml:space="preserve"> is better able to assess the performance of contractor personnel and promote accountability to high-quality TA delivered by contractors.  Feedback and satisfaction data will also be used to inform a continuous quality improvement framework to test and refine TA strategies. </w:t>
      </w:r>
      <w:r>
        <w:rPr>
          <w:rFonts w:ascii="Times New Roman" w:hAnsi="Times New Roman"/>
          <w:sz w:val="24"/>
        </w:rPr>
        <w:t xml:space="preserve">  </w:t>
      </w:r>
    </w:p>
    <w:p w14:paraId="3BF6C4C5" w14:textId="1AEE5633" w:rsidR="004F23D2" w:rsidRPr="004F23D2" w:rsidRDefault="0096682A" w:rsidP="00896384">
      <w:pPr>
        <w:spacing w:before="120"/>
        <w:rPr>
          <w:rFonts w:ascii="Times New Roman" w:hAnsi="Times New Roman"/>
          <w:sz w:val="24"/>
        </w:rPr>
      </w:pPr>
      <w:r>
        <w:rPr>
          <w:rFonts w:ascii="Times New Roman" w:hAnsi="Times New Roman"/>
          <w:sz w:val="24"/>
        </w:rPr>
        <w:t xml:space="preserve">   </w:t>
      </w: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5DE285C3" w14:textId="08C9ADBF" w:rsidR="00914F2D" w:rsidRDefault="00914F2D">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web-based survey delivery software, such as SurveyMonkey to provide the survey instrument</w:t>
      </w:r>
      <w:r w:rsidR="00910925">
        <w:rPr>
          <w:rFonts w:ascii="Times New Roman" w:hAnsi="Times New Roman"/>
          <w:sz w:val="24"/>
          <w:szCs w:val="24"/>
        </w:rPr>
        <w:t>s</w:t>
      </w:r>
      <w:r>
        <w:rPr>
          <w:rFonts w:ascii="Times New Roman" w:hAnsi="Times New Roman"/>
          <w:sz w:val="24"/>
          <w:szCs w:val="24"/>
        </w:rPr>
        <w:t xml:space="preserve"> to </w:t>
      </w:r>
      <w:r w:rsidR="00910925">
        <w:rPr>
          <w:rFonts w:ascii="Times New Roman" w:hAnsi="Times New Roman"/>
          <w:sz w:val="24"/>
          <w:szCs w:val="24"/>
        </w:rPr>
        <w:t>TA participants</w:t>
      </w:r>
      <w:r>
        <w:rPr>
          <w:rFonts w:ascii="Times New Roman" w:hAnsi="Times New Roman"/>
          <w:sz w:val="24"/>
          <w:szCs w:val="24"/>
        </w:rPr>
        <w:t xml:space="preserve">.  The use of a web-based application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90% of survey responses will be collected electronically.  The exceptions may occur during in-person meetings, such as all-grantee meetings where immediate feedback is provided on paper forms.  However, </w:t>
      </w:r>
      <w:r w:rsidR="00910925">
        <w:rPr>
          <w:rFonts w:ascii="Times New Roman" w:hAnsi="Times New Roman"/>
          <w:sz w:val="24"/>
          <w:szCs w:val="24"/>
        </w:rPr>
        <w:t>HRSA</w:t>
      </w:r>
      <w:r>
        <w:rPr>
          <w:rFonts w:ascii="Times New Roman" w:hAnsi="Times New Roman"/>
          <w:sz w:val="24"/>
          <w:szCs w:val="24"/>
        </w:rPr>
        <w:t xml:space="preserve"> is also utilizing conference support </w:t>
      </w:r>
      <w:r w:rsidR="007C591D">
        <w:rPr>
          <w:rFonts w:ascii="Times New Roman" w:hAnsi="Times New Roman"/>
          <w:sz w:val="24"/>
          <w:szCs w:val="24"/>
        </w:rPr>
        <w:t xml:space="preserve">and logistics </w:t>
      </w:r>
      <w:r>
        <w:rPr>
          <w:rFonts w:ascii="Times New Roman" w:hAnsi="Times New Roman"/>
          <w:sz w:val="24"/>
          <w:szCs w:val="24"/>
        </w:rPr>
        <w:t xml:space="preserve">applications to </w:t>
      </w:r>
      <w:r w:rsidR="007C591D">
        <w:rPr>
          <w:rFonts w:ascii="Times New Roman" w:hAnsi="Times New Roman"/>
          <w:sz w:val="24"/>
          <w:szCs w:val="24"/>
        </w:rPr>
        <w:t>encourage participants to complete these surveys electronically, whenever possible.</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1" w14:textId="77777777" w:rsidR="001879E5" w:rsidRDefault="001879E5">
      <w:pPr>
        <w:tabs>
          <w:tab w:val="left" w:pos="-720"/>
          <w:tab w:val="left" w:pos="720"/>
          <w:tab w:val="right" w:pos="8648"/>
        </w:tabs>
        <w:rPr>
          <w:rFonts w:ascii="Times New Roman" w:hAnsi="Times New Roman"/>
          <w:sz w:val="24"/>
          <w:szCs w:val="24"/>
        </w:rPr>
      </w:pPr>
    </w:p>
    <w:p w14:paraId="39163F61" w14:textId="25CEBCE9"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participants in </w:t>
      </w:r>
      <w:r w:rsidR="00C72C00">
        <w:rPr>
          <w:rFonts w:ascii="Times New Roman" w:hAnsi="Times New Roman"/>
          <w:sz w:val="24"/>
          <w:szCs w:val="24"/>
        </w:rPr>
        <w:t xml:space="preserve">ongoing </w:t>
      </w:r>
      <w:r>
        <w:rPr>
          <w:rFonts w:ascii="Times New Roman" w:hAnsi="Times New Roman"/>
          <w:sz w:val="24"/>
          <w:szCs w:val="24"/>
        </w:rPr>
        <w:t>Federal Home Visiting Program TA activities.</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pPr>
        <w:tabs>
          <w:tab w:val="left" w:pos="-720"/>
          <w:tab w:val="left" w:pos="720"/>
          <w:tab w:val="right" w:pos="8648"/>
        </w:tabs>
        <w:rPr>
          <w:rFonts w:ascii="Times New Roman" w:hAnsi="Times New Roman"/>
          <w:sz w:val="24"/>
          <w:szCs w:val="24"/>
        </w:rPr>
      </w:pPr>
    </w:p>
    <w:p w14:paraId="461D1A62" w14:textId="585D1F49"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Proposed data collection includes participants in Federal Home Visiting Program TA activities.  Generally, participation in these activities does not involve small entities, as most participants represent grantee organizations, which are typically state governments.  No small businesses will be involved in this proposed information collection.  Additionally, completion of the data collection forms is purely voluntary.</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0E487B45" w14:textId="5733EA1B" w:rsidR="00A11ACD"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each TA activity.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in order to tailor TA activities to grantee preferences.  Contracted TA providers are contractually obligated to </w:t>
      </w:r>
      <w:r w:rsidR="00A11ACD">
        <w:rPr>
          <w:rFonts w:ascii="Times New Roman" w:hAnsi="Times New Roman"/>
          <w:sz w:val="24"/>
          <w:szCs w:val="24"/>
        </w:rPr>
        <w:t>conduct, submit, and utilize grantee feedback and satisfaction surveys in order to assess their work and engage in improvement activities.</w:t>
      </w:r>
    </w:p>
    <w:p w14:paraId="5ECD62FC" w14:textId="77777777" w:rsidR="00A11ACD" w:rsidRDefault="00A11ACD">
      <w:pPr>
        <w:tabs>
          <w:tab w:val="left" w:pos="-720"/>
          <w:tab w:val="left" w:pos="720"/>
          <w:tab w:val="right" w:pos="8648"/>
        </w:tabs>
        <w:rPr>
          <w:rFonts w:ascii="Times New Roman" w:hAnsi="Times New Roman"/>
          <w:sz w:val="24"/>
          <w:szCs w:val="24"/>
        </w:rPr>
      </w:pPr>
    </w:p>
    <w:p w14:paraId="0786093E" w14:textId="085B3391" w:rsidR="00192835" w:rsidRDefault="00A11ACD">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77777777"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public comments were received.  </w:t>
      </w:r>
    </w:p>
    <w:p w14:paraId="1AADBA90" w14:textId="77777777" w:rsidR="009B5A14" w:rsidRDefault="009B5A14">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2DD6093C" w14:textId="659FAE31" w:rsidR="00A11ACD" w:rsidRDefault="00A11ACD">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7" w14:textId="72659B6D" w:rsidR="008C13E2" w:rsidRDefault="001879E5" w:rsidP="00A11AC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3F089909" w14:textId="47E3D273" w:rsidR="00A11ACD" w:rsidRDefault="00A11ACD">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59EF06D0" w14:textId="07320147" w:rsidR="00450C56" w:rsidRDefault="00A11ACD" w:rsidP="00176576">
      <w:pPr>
        <w:pStyle w:val="NormalSS"/>
        <w:ind w:firstLine="0"/>
        <w:jc w:val="left"/>
        <w:rPr>
          <w:szCs w:val="24"/>
        </w:rPr>
      </w:pPr>
      <w:r>
        <w:rPr>
          <w:szCs w:val="24"/>
        </w:rPr>
        <w:lastRenderedPageBreak/>
        <w:t>Respondents include participants in</w:t>
      </w:r>
      <w:r w:rsidR="00C72C00">
        <w:rPr>
          <w:szCs w:val="24"/>
        </w:rPr>
        <w:t xml:space="preserve"> ongoing</w:t>
      </w:r>
      <w:r>
        <w:rPr>
          <w:szCs w:val="24"/>
        </w:rPr>
        <w:t xml:space="preserve"> </w:t>
      </w:r>
      <w:r w:rsidR="00874A63">
        <w:rPr>
          <w:szCs w:val="24"/>
        </w:rPr>
        <w:t>Federal Home Visiting Program</w:t>
      </w:r>
      <w:r>
        <w:rPr>
          <w:szCs w:val="24"/>
        </w:rPr>
        <w:t xml:space="preserve"> TA activities.  </w:t>
      </w:r>
      <w:r w:rsidR="00874A63">
        <w:rPr>
          <w:szCs w:val="24"/>
        </w:rPr>
        <w:t>HRSA</w:t>
      </w:r>
      <w:r>
        <w:rPr>
          <w:szCs w:val="24"/>
        </w:rPr>
        <w:t xml:space="preserve"> estimates that approximately </w:t>
      </w:r>
      <w:r w:rsidR="00537E53">
        <w:rPr>
          <w:szCs w:val="24"/>
        </w:rPr>
        <w:t>55</w:t>
      </w:r>
      <w:r>
        <w:rPr>
          <w:szCs w:val="24"/>
        </w:rPr>
        <w:t xml:space="preserve"> TA activities will occur annually </w:t>
      </w:r>
      <w:r w:rsidR="00450C56">
        <w:rPr>
          <w:szCs w:val="24"/>
        </w:rPr>
        <w:t xml:space="preserve">with an average participation of 25 participants </w:t>
      </w:r>
      <w:r>
        <w:rPr>
          <w:szCs w:val="24"/>
        </w:rPr>
        <w:t xml:space="preserve">and </w:t>
      </w:r>
      <w:r w:rsidR="00450C56">
        <w:rPr>
          <w:szCs w:val="24"/>
        </w:rPr>
        <w:t>an</w:t>
      </w:r>
      <w:r>
        <w:rPr>
          <w:szCs w:val="24"/>
        </w:rPr>
        <w:t xml:space="preserve"> average time to complete the TA feedback and satisfaction survey </w:t>
      </w:r>
      <w:r w:rsidR="00450C56">
        <w:rPr>
          <w:szCs w:val="24"/>
        </w:rPr>
        <w:t>of</w:t>
      </w:r>
      <w:r>
        <w:rPr>
          <w:szCs w:val="24"/>
        </w:rPr>
        <w:t xml:space="preserve"> </w:t>
      </w:r>
      <w:r w:rsidR="00450C56">
        <w:rPr>
          <w:szCs w:val="24"/>
        </w:rPr>
        <w:t>0.25 hours.</w:t>
      </w:r>
      <w:r w:rsidR="00F664F3">
        <w:rPr>
          <w:szCs w:val="24"/>
        </w:rPr>
        <w:t xml:space="preserve">  The total annual burden estimate for respondents is </w:t>
      </w:r>
      <w:r w:rsidR="0055034A">
        <w:rPr>
          <w:szCs w:val="24"/>
        </w:rPr>
        <w:t>508.5</w:t>
      </w:r>
      <w:r w:rsidR="00F664F3">
        <w:rPr>
          <w:szCs w:val="24"/>
        </w:rPr>
        <w:t xml:space="preserve"> hours.</w:t>
      </w:r>
    </w:p>
    <w:p w14:paraId="12985515" w14:textId="77777777" w:rsidR="00450C56" w:rsidRDefault="00450C56" w:rsidP="00176576">
      <w:pPr>
        <w:pStyle w:val="NormalSS"/>
        <w:ind w:firstLine="0"/>
        <w:jc w:val="left"/>
        <w:rPr>
          <w:szCs w:val="24"/>
        </w:rPr>
      </w:pPr>
    </w:p>
    <w:p w14:paraId="0A0D5A00" w14:textId="59879171" w:rsidR="00A11ACD" w:rsidRPr="004239BD" w:rsidRDefault="00450C56" w:rsidP="00176576">
      <w:pPr>
        <w:pStyle w:val="NormalSS"/>
        <w:ind w:firstLine="0"/>
        <w:jc w:val="left"/>
        <w:rPr>
          <w:szCs w:val="24"/>
        </w:rPr>
      </w:pPr>
      <w:r>
        <w:rPr>
          <w:szCs w:val="24"/>
        </w:rPr>
        <w:t xml:space="preserve">This burden estimate is based on the number of TA activities included in contractual arrangements between </w:t>
      </w:r>
      <w:r w:rsidR="00874A63">
        <w:rPr>
          <w:szCs w:val="24"/>
        </w:rPr>
        <w:t>HRSA</w:t>
      </w:r>
      <w:r>
        <w:rPr>
          <w:szCs w:val="24"/>
        </w:rPr>
        <w:t xml:space="preserve"> and contracted TA providers, as well as </w:t>
      </w:r>
      <w:r w:rsidR="00F664F3">
        <w:rPr>
          <w:szCs w:val="24"/>
        </w:rPr>
        <w:t>additional TA activities led by federal staff (grantee town halls, all-grantee meeting).</w:t>
      </w:r>
      <w:r>
        <w:rPr>
          <w:szCs w:val="24"/>
        </w:rPr>
        <w:t xml:space="preserve">  </w:t>
      </w:r>
    </w:p>
    <w:p w14:paraId="6CE14689" w14:textId="77777777" w:rsidR="00802A88" w:rsidRDefault="00802A88" w:rsidP="00176576">
      <w:pPr>
        <w:pStyle w:val="NormalSS"/>
        <w:ind w:firstLine="0"/>
        <w:jc w:val="left"/>
        <w:rPr>
          <w:i/>
          <w:iCs/>
          <w:szCs w:val="24"/>
        </w:rPr>
      </w:pPr>
    </w:p>
    <w:p w14:paraId="0D6D046B" w14:textId="49EC7BB1" w:rsidR="00176576" w:rsidRPr="004239BD" w:rsidRDefault="00176576" w:rsidP="00176576">
      <w:pPr>
        <w:pStyle w:val="NormalSS"/>
        <w:ind w:firstLine="0"/>
        <w:jc w:val="left"/>
        <w:rPr>
          <w:szCs w:val="24"/>
        </w:rPr>
      </w:pPr>
      <w:r w:rsidRPr="004239BD">
        <w:rPr>
          <w:i/>
          <w:iCs/>
          <w:szCs w:val="24"/>
        </w:rPr>
        <w:t>Annual burden estimates</w:t>
      </w:r>
      <w:r w:rsidR="0033551D">
        <w:rPr>
          <w:i/>
          <w:iCs/>
          <w:szCs w:val="24"/>
        </w:rPr>
        <w:t>:</w:t>
      </w:r>
    </w:p>
    <w:p w14:paraId="0D6D046C" w14:textId="77777777"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440"/>
        <w:gridCol w:w="1260"/>
        <w:gridCol w:w="1170"/>
        <w:gridCol w:w="1260"/>
        <w:gridCol w:w="900"/>
        <w:gridCol w:w="1080"/>
        <w:gridCol w:w="1338"/>
      </w:tblGrid>
      <w:tr w:rsidR="007D1E4C" w:rsidRPr="004239BD" w14:paraId="0D6D0475" w14:textId="77777777" w:rsidTr="00EC1EFF">
        <w:tc>
          <w:tcPr>
            <w:tcW w:w="2610" w:type="dxa"/>
          </w:tcPr>
          <w:p w14:paraId="0D6D046D"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440" w:type="dxa"/>
          </w:tcPr>
          <w:p w14:paraId="0D6D046E" w14:textId="4ABDAD98"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r w:rsidR="00EC1EFF">
              <w:rPr>
                <w:rStyle w:val="FootnoteReference"/>
                <w:rFonts w:ascii="Times New Roman" w:hAnsi="Times New Roman"/>
                <w:sz w:val="22"/>
                <w:szCs w:val="22"/>
              </w:rPr>
              <w:footnoteReference w:id="1"/>
            </w:r>
          </w:p>
        </w:tc>
        <w:tc>
          <w:tcPr>
            <w:tcW w:w="1260" w:type="dxa"/>
          </w:tcPr>
          <w:p w14:paraId="0D6D046F" w14:textId="77777777"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14:paraId="0D6D0470"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14:paraId="0D6D0471"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14:paraId="0D6D0472"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080" w:type="dxa"/>
          </w:tcPr>
          <w:p w14:paraId="0D6D0473" w14:textId="7525FFBE"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r w:rsidR="00927461">
              <w:rPr>
                <w:rStyle w:val="FootnoteReference"/>
                <w:rFonts w:ascii="Times New Roman" w:hAnsi="Times New Roman"/>
                <w:sz w:val="22"/>
                <w:szCs w:val="22"/>
              </w:rPr>
              <w:footnoteReference w:id="2"/>
            </w:r>
          </w:p>
        </w:tc>
        <w:tc>
          <w:tcPr>
            <w:tcW w:w="1338" w:type="dxa"/>
          </w:tcPr>
          <w:p w14:paraId="0D6D0474" w14:textId="77777777"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14:paraId="0D6D047E" w14:textId="77777777" w:rsidTr="00EC1EFF">
        <w:trPr>
          <w:trHeight w:val="552"/>
        </w:trPr>
        <w:tc>
          <w:tcPr>
            <w:tcW w:w="2610" w:type="dxa"/>
            <w:vAlign w:val="center"/>
          </w:tcPr>
          <w:p w14:paraId="0D6D0476" w14:textId="1998059B" w:rsidR="00176576" w:rsidRPr="003A5DE4" w:rsidRDefault="003A5DE4" w:rsidP="009C02B9">
            <w:pPr>
              <w:pStyle w:val="TOC1"/>
              <w:rPr>
                <w:sz w:val="22"/>
                <w:szCs w:val="22"/>
              </w:rPr>
            </w:pPr>
            <w:r>
              <w:rPr>
                <w:sz w:val="22"/>
                <w:szCs w:val="22"/>
              </w:rPr>
              <w:t>Site Visit Assessment Form</w:t>
            </w:r>
          </w:p>
        </w:tc>
        <w:tc>
          <w:tcPr>
            <w:tcW w:w="1440" w:type="dxa"/>
            <w:vAlign w:val="center"/>
          </w:tcPr>
          <w:p w14:paraId="0D6D0477" w14:textId="38F59AF7" w:rsidR="00176576" w:rsidRPr="0056262D" w:rsidRDefault="0056262D" w:rsidP="0056262D">
            <w:pPr>
              <w:jc w:val="center"/>
              <w:rPr>
                <w:rFonts w:ascii="Times New Roman" w:hAnsi="Times New Roman"/>
                <w:sz w:val="22"/>
                <w:szCs w:val="22"/>
              </w:rPr>
            </w:pPr>
            <w:r w:rsidRPr="0056262D">
              <w:rPr>
                <w:rFonts w:ascii="Times New Roman" w:hAnsi="Times New Roman"/>
                <w:sz w:val="22"/>
                <w:szCs w:val="22"/>
              </w:rPr>
              <w:t>1,250</w:t>
            </w:r>
          </w:p>
        </w:tc>
        <w:tc>
          <w:tcPr>
            <w:tcW w:w="1260" w:type="dxa"/>
            <w:vAlign w:val="center"/>
          </w:tcPr>
          <w:p w14:paraId="0D6D0478" w14:textId="39403066" w:rsidR="00176576" w:rsidRPr="0056262D" w:rsidRDefault="0056262D" w:rsidP="0056262D">
            <w:pPr>
              <w:pStyle w:val="Center"/>
              <w:spacing w:line="240" w:lineRule="auto"/>
              <w:rPr>
                <w:sz w:val="22"/>
                <w:szCs w:val="22"/>
              </w:rPr>
            </w:pPr>
            <w:r>
              <w:rPr>
                <w:sz w:val="22"/>
                <w:szCs w:val="22"/>
              </w:rPr>
              <w:t>1</w:t>
            </w:r>
          </w:p>
        </w:tc>
        <w:tc>
          <w:tcPr>
            <w:tcW w:w="1170" w:type="dxa"/>
            <w:vAlign w:val="center"/>
          </w:tcPr>
          <w:p w14:paraId="0D6D0479" w14:textId="6E8D8973" w:rsidR="00176576" w:rsidRPr="0056262D" w:rsidRDefault="0056262D" w:rsidP="0056262D">
            <w:pPr>
              <w:jc w:val="center"/>
              <w:rPr>
                <w:rFonts w:ascii="Times New Roman" w:hAnsi="Times New Roman"/>
                <w:sz w:val="22"/>
                <w:szCs w:val="22"/>
              </w:rPr>
            </w:pPr>
            <w:r>
              <w:rPr>
                <w:rFonts w:ascii="Times New Roman" w:hAnsi="Times New Roman"/>
                <w:sz w:val="22"/>
                <w:szCs w:val="22"/>
              </w:rPr>
              <w:t>1,250</w:t>
            </w:r>
          </w:p>
        </w:tc>
        <w:tc>
          <w:tcPr>
            <w:tcW w:w="1260" w:type="dxa"/>
            <w:vAlign w:val="center"/>
          </w:tcPr>
          <w:p w14:paraId="0D6D047A" w14:textId="46DEFD29" w:rsidR="00176576" w:rsidRPr="0056262D" w:rsidRDefault="0056262D" w:rsidP="0056262D">
            <w:pPr>
              <w:jc w:val="center"/>
              <w:rPr>
                <w:rFonts w:ascii="Times New Roman" w:hAnsi="Times New Roman"/>
                <w:sz w:val="22"/>
                <w:szCs w:val="22"/>
              </w:rPr>
            </w:pPr>
            <w:r>
              <w:rPr>
                <w:rFonts w:ascii="Times New Roman" w:hAnsi="Times New Roman"/>
                <w:sz w:val="22"/>
                <w:szCs w:val="22"/>
              </w:rPr>
              <w:t>0.25</w:t>
            </w:r>
          </w:p>
        </w:tc>
        <w:tc>
          <w:tcPr>
            <w:tcW w:w="900" w:type="dxa"/>
            <w:vAlign w:val="center"/>
          </w:tcPr>
          <w:p w14:paraId="0D6D047B" w14:textId="73A2D573" w:rsidR="00176576" w:rsidRPr="0056262D" w:rsidRDefault="0056262D" w:rsidP="0056262D">
            <w:pPr>
              <w:jc w:val="center"/>
              <w:rPr>
                <w:rFonts w:ascii="Times New Roman" w:hAnsi="Times New Roman"/>
                <w:sz w:val="22"/>
                <w:szCs w:val="22"/>
              </w:rPr>
            </w:pPr>
            <w:r>
              <w:rPr>
                <w:rFonts w:ascii="Times New Roman" w:hAnsi="Times New Roman"/>
                <w:sz w:val="22"/>
                <w:szCs w:val="22"/>
              </w:rPr>
              <w:t>312.5</w:t>
            </w:r>
          </w:p>
        </w:tc>
        <w:tc>
          <w:tcPr>
            <w:tcW w:w="1080" w:type="dxa"/>
            <w:vAlign w:val="center"/>
          </w:tcPr>
          <w:p w14:paraId="0D6D047C" w14:textId="2AB26192" w:rsidR="00176576" w:rsidRPr="0056262D" w:rsidRDefault="00927461" w:rsidP="0056262D">
            <w:pPr>
              <w:jc w:val="center"/>
              <w:rPr>
                <w:rFonts w:ascii="Times New Roman" w:hAnsi="Times New Roman"/>
                <w:sz w:val="22"/>
                <w:szCs w:val="22"/>
              </w:rPr>
            </w:pPr>
            <w:r>
              <w:rPr>
                <w:rFonts w:ascii="Times New Roman" w:hAnsi="Times New Roman"/>
                <w:sz w:val="22"/>
                <w:szCs w:val="22"/>
              </w:rPr>
              <w:t>$35.82</w:t>
            </w:r>
          </w:p>
        </w:tc>
        <w:tc>
          <w:tcPr>
            <w:tcW w:w="1338" w:type="dxa"/>
            <w:vAlign w:val="center"/>
          </w:tcPr>
          <w:p w14:paraId="0D6D047D" w14:textId="368A5814" w:rsidR="00176576" w:rsidRPr="0056262D" w:rsidRDefault="00927461" w:rsidP="0056262D">
            <w:pPr>
              <w:jc w:val="center"/>
              <w:rPr>
                <w:rFonts w:ascii="Times New Roman" w:hAnsi="Times New Roman"/>
                <w:sz w:val="22"/>
                <w:szCs w:val="22"/>
              </w:rPr>
            </w:pPr>
            <w:r>
              <w:rPr>
                <w:rFonts w:ascii="Times New Roman" w:hAnsi="Times New Roman"/>
                <w:sz w:val="22"/>
                <w:szCs w:val="22"/>
              </w:rPr>
              <w:t>$11,193.75</w:t>
            </w:r>
          </w:p>
        </w:tc>
      </w:tr>
      <w:tr w:rsidR="00F664F3" w:rsidRPr="00531A2A" w14:paraId="5AFA81D3" w14:textId="77777777" w:rsidTr="00EC1EFF">
        <w:trPr>
          <w:trHeight w:val="552"/>
        </w:trPr>
        <w:tc>
          <w:tcPr>
            <w:tcW w:w="2610" w:type="dxa"/>
            <w:vAlign w:val="center"/>
          </w:tcPr>
          <w:p w14:paraId="0003B866" w14:textId="2D586E12" w:rsidR="00F664F3" w:rsidRPr="003A5DE4" w:rsidRDefault="006A5915" w:rsidP="00537E53">
            <w:pPr>
              <w:pStyle w:val="TOC1"/>
              <w:rPr>
                <w:sz w:val="22"/>
                <w:szCs w:val="22"/>
              </w:rPr>
            </w:pPr>
            <w:r>
              <w:rPr>
                <w:sz w:val="22"/>
                <w:szCs w:val="22"/>
              </w:rPr>
              <w:t xml:space="preserve">Town Hall </w:t>
            </w:r>
            <w:r w:rsidR="00537E53">
              <w:rPr>
                <w:sz w:val="22"/>
                <w:szCs w:val="22"/>
              </w:rPr>
              <w:t>Satisfaction Survey</w:t>
            </w:r>
          </w:p>
        </w:tc>
        <w:tc>
          <w:tcPr>
            <w:tcW w:w="1440" w:type="dxa"/>
            <w:vAlign w:val="center"/>
          </w:tcPr>
          <w:p w14:paraId="29C5D0B6" w14:textId="48E38886" w:rsidR="00F664F3" w:rsidRPr="0056262D" w:rsidRDefault="0056262D" w:rsidP="0056262D">
            <w:pPr>
              <w:jc w:val="center"/>
              <w:rPr>
                <w:rFonts w:ascii="Times New Roman" w:hAnsi="Times New Roman"/>
                <w:sz w:val="22"/>
                <w:szCs w:val="22"/>
              </w:rPr>
            </w:pPr>
            <w:r>
              <w:rPr>
                <w:rFonts w:ascii="Times New Roman" w:hAnsi="Times New Roman"/>
                <w:sz w:val="22"/>
                <w:szCs w:val="22"/>
              </w:rPr>
              <w:t>100</w:t>
            </w:r>
          </w:p>
        </w:tc>
        <w:tc>
          <w:tcPr>
            <w:tcW w:w="1260" w:type="dxa"/>
            <w:vAlign w:val="center"/>
          </w:tcPr>
          <w:p w14:paraId="24E49DAD" w14:textId="5BF95E29" w:rsidR="00F664F3" w:rsidRPr="0056262D" w:rsidRDefault="0056262D" w:rsidP="0056262D">
            <w:pPr>
              <w:pStyle w:val="Center"/>
              <w:spacing w:line="240" w:lineRule="auto"/>
              <w:rPr>
                <w:sz w:val="22"/>
                <w:szCs w:val="22"/>
              </w:rPr>
            </w:pPr>
            <w:r>
              <w:rPr>
                <w:sz w:val="22"/>
                <w:szCs w:val="22"/>
              </w:rPr>
              <w:t>4</w:t>
            </w:r>
          </w:p>
        </w:tc>
        <w:tc>
          <w:tcPr>
            <w:tcW w:w="1170" w:type="dxa"/>
            <w:vAlign w:val="center"/>
          </w:tcPr>
          <w:p w14:paraId="7181C90E" w14:textId="089E30CD" w:rsidR="00F664F3" w:rsidRPr="0056262D" w:rsidRDefault="0056262D" w:rsidP="0056262D">
            <w:pPr>
              <w:jc w:val="center"/>
              <w:rPr>
                <w:rFonts w:ascii="Times New Roman" w:hAnsi="Times New Roman"/>
                <w:sz w:val="22"/>
                <w:szCs w:val="22"/>
              </w:rPr>
            </w:pPr>
            <w:r>
              <w:rPr>
                <w:rFonts w:ascii="Times New Roman" w:hAnsi="Times New Roman"/>
                <w:sz w:val="22"/>
                <w:szCs w:val="22"/>
              </w:rPr>
              <w:t>400</w:t>
            </w:r>
          </w:p>
        </w:tc>
        <w:tc>
          <w:tcPr>
            <w:tcW w:w="1260" w:type="dxa"/>
            <w:vAlign w:val="center"/>
          </w:tcPr>
          <w:p w14:paraId="1B0B000F" w14:textId="37C2DD26" w:rsidR="00F664F3" w:rsidRPr="0056262D" w:rsidRDefault="0056262D" w:rsidP="0056262D">
            <w:pPr>
              <w:jc w:val="center"/>
              <w:rPr>
                <w:rFonts w:ascii="Times New Roman" w:hAnsi="Times New Roman"/>
                <w:sz w:val="22"/>
                <w:szCs w:val="22"/>
              </w:rPr>
            </w:pPr>
            <w:r>
              <w:rPr>
                <w:rFonts w:ascii="Times New Roman" w:hAnsi="Times New Roman"/>
                <w:sz w:val="22"/>
                <w:szCs w:val="22"/>
              </w:rPr>
              <w:t>0.25</w:t>
            </w:r>
          </w:p>
        </w:tc>
        <w:tc>
          <w:tcPr>
            <w:tcW w:w="900" w:type="dxa"/>
            <w:vAlign w:val="center"/>
          </w:tcPr>
          <w:p w14:paraId="100DF2C7" w14:textId="49AAC8E1" w:rsidR="00F664F3" w:rsidRPr="0056262D" w:rsidRDefault="0056262D" w:rsidP="0056262D">
            <w:pPr>
              <w:jc w:val="center"/>
              <w:rPr>
                <w:rFonts w:ascii="Times New Roman" w:hAnsi="Times New Roman"/>
                <w:sz w:val="22"/>
                <w:szCs w:val="22"/>
              </w:rPr>
            </w:pPr>
            <w:r>
              <w:rPr>
                <w:rFonts w:ascii="Times New Roman" w:hAnsi="Times New Roman"/>
                <w:sz w:val="22"/>
                <w:szCs w:val="22"/>
              </w:rPr>
              <w:t>100</w:t>
            </w:r>
          </w:p>
        </w:tc>
        <w:tc>
          <w:tcPr>
            <w:tcW w:w="1080" w:type="dxa"/>
            <w:vAlign w:val="center"/>
          </w:tcPr>
          <w:p w14:paraId="02278008" w14:textId="3480AB02" w:rsidR="00F664F3" w:rsidRPr="0056262D" w:rsidRDefault="00927461" w:rsidP="0056262D">
            <w:pPr>
              <w:jc w:val="center"/>
              <w:rPr>
                <w:rFonts w:ascii="Times New Roman" w:hAnsi="Times New Roman"/>
                <w:sz w:val="22"/>
                <w:szCs w:val="22"/>
              </w:rPr>
            </w:pPr>
            <w:r>
              <w:rPr>
                <w:rFonts w:ascii="Times New Roman" w:hAnsi="Times New Roman"/>
                <w:sz w:val="22"/>
                <w:szCs w:val="22"/>
              </w:rPr>
              <w:t>$35.82</w:t>
            </w:r>
          </w:p>
        </w:tc>
        <w:tc>
          <w:tcPr>
            <w:tcW w:w="1338" w:type="dxa"/>
            <w:vAlign w:val="center"/>
          </w:tcPr>
          <w:p w14:paraId="40676E2D" w14:textId="0969A6E5" w:rsidR="00F664F3" w:rsidRPr="0056262D" w:rsidRDefault="00927461" w:rsidP="0056262D">
            <w:pPr>
              <w:jc w:val="center"/>
              <w:rPr>
                <w:rFonts w:ascii="Times New Roman" w:hAnsi="Times New Roman"/>
                <w:sz w:val="22"/>
                <w:szCs w:val="22"/>
              </w:rPr>
            </w:pPr>
            <w:r>
              <w:rPr>
                <w:rFonts w:ascii="Times New Roman" w:hAnsi="Times New Roman"/>
                <w:sz w:val="22"/>
                <w:szCs w:val="22"/>
              </w:rPr>
              <w:t>$3,582.00</w:t>
            </w:r>
          </w:p>
        </w:tc>
      </w:tr>
      <w:tr w:rsidR="006A5915" w:rsidRPr="00531A2A" w14:paraId="78F547C0" w14:textId="77777777" w:rsidTr="00EC1EFF">
        <w:trPr>
          <w:trHeight w:val="552"/>
        </w:trPr>
        <w:tc>
          <w:tcPr>
            <w:tcW w:w="2610" w:type="dxa"/>
            <w:vAlign w:val="center"/>
          </w:tcPr>
          <w:p w14:paraId="2BDDAFC4" w14:textId="72D35F92" w:rsidR="006A5915" w:rsidRDefault="006A5915" w:rsidP="00537E53">
            <w:pPr>
              <w:pStyle w:val="TOC1"/>
              <w:rPr>
                <w:sz w:val="22"/>
                <w:szCs w:val="22"/>
              </w:rPr>
            </w:pPr>
            <w:r>
              <w:rPr>
                <w:sz w:val="22"/>
                <w:szCs w:val="22"/>
              </w:rPr>
              <w:t xml:space="preserve">MIECHV All-Grantee Meeting </w:t>
            </w:r>
            <w:r w:rsidR="00537E53">
              <w:rPr>
                <w:sz w:val="22"/>
                <w:szCs w:val="22"/>
              </w:rPr>
              <w:t>Assessment</w:t>
            </w:r>
            <w:r>
              <w:rPr>
                <w:sz w:val="22"/>
                <w:szCs w:val="22"/>
              </w:rPr>
              <w:t xml:space="preserve"> Forms</w:t>
            </w:r>
            <w:r w:rsidR="00CA1201">
              <w:rPr>
                <w:sz w:val="22"/>
                <w:szCs w:val="22"/>
              </w:rPr>
              <w:t xml:space="preserve"> (Overall and Individual Sessions)</w:t>
            </w:r>
          </w:p>
        </w:tc>
        <w:tc>
          <w:tcPr>
            <w:tcW w:w="1440" w:type="dxa"/>
            <w:vAlign w:val="center"/>
          </w:tcPr>
          <w:p w14:paraId="72ACC991" w14:textId="37E943EB" w:rsidR="006A5915" w:rsidRPr="0056262D" w:rsidRDefault="0056262D" w:rsidP="0056262D">
            <w:pPr>
              <w:jc w:val="center"/>
              <w:rPr>
                <w:rFonts w:ascii="Times New Roman" w:hAnsi="Times New Roman"/>
                <w:sz w:val="22"/>
                <w:szCs w:val="22"/>
              </w:rPr>
            </w:pPr>
            <w:r>
              <w:rPr>
                <w:rFonts w:ascii="Times New Roman" w:hAnsi="Times New Roman"/>
                <w:sz w:val="22"/>
                <w:szCs w:val="22"/>
              </w:rPr>
              <w:t>300</w:t>
            </w:r>
          </w:p>
        </w:tc>
        <w:tc>
          <w:tcPr>
            <w:tcW w:w="1260" w:type="dxa"/>
            <w:vAlign w:val="center"/>
          </w:tcPr>
          <w:p w14:paraId="69BDB7EF" w14:textId="035F6C46" w:rsidR="006A5915" w:rsidRPr="0056262D" w:rsidRDefault="009E701D" w:rsidP="0056262D">
            <w:pPr>
              <w:pStyle w:val="Center"/>
              <w:spacing w:line="240" w:lineRule="auto"/>
              <w:rPr>
                <w:sz w:val="22"/>
                <w:szCs w:val="22"/>
              </w:rPr>
            </w:pPr>
            <w:r>
              <w:rPr>
                <w:sz w:val="22"/>
                <w:szCs w:val="22"/>
              </w:rPr>
              <w:t>4</w:t>
            </w:r>
          </w:p>
        </w:tc>
        <w:tc>
          <w:tcPr>
            <w:tcW w:w="1170" w:type="dxa"/>
            <w:vAlign w:val="center"/>
          </w:tcPr>
          <w:p w14:paraId="2E463A32" w14:textId="704F8701" w:rsidR="006A5915" w:rsidRPr="0056262D" w:rsidRDefault="009E701D" w:rsidP="0056262D">
            <w:pPr>
              <w:jc w:val="center"/>
              <w:rPr>
                <w:rFonts w:ascii="Times New Roman" w:hAnsi="Times New Roman"/>
                <w:sz w:val="22"/>
                <w:szCs w:val="22"/>
              </w:rPr>
            </w:pPr>
            <w:r>
              <w:rPr>
                <w:rFonts w:ascii="Times New Roman" w:hAnsi="Times New Roman"/>
                <w:sz w:val="22"/>
                <w:szCs w:val="22"/>
              </w:rPr>
              <w:t>1,2</w:t>
            </w:r>
            <w:r w:rsidR="0056262D">
              <w:rPr>
                <w:rFonts w:ascii="Times New Roman" w:hAnsi="Times New Roman"/>
                <w:sz w:val="22"/>
                <w:szCs w:val="22"/>
              </w:rPr>
              <w:t>00</w:t>
            </w:r>
          </w:p>
        </w:tc>
        <w:tc>
          <w:tcPr>
            <w:tcW w:w="1260" w:type="dxa"/>
            <w:vAlign w:val="center"/>
          </w:tcPr>
          <w:p w14:paraId="573358FE" w14:textId="5E2FF3C9" w:rsidR="009E701D" w:rsidRPr="0056262D" w:rsidRDefault="0056262D" w:rsidP="009E701D">
            <w:pPr>
              <w:jc w:val="center"/>
              <w:rPr>
                <w:rFonts w:ascii="Times New Roman" w:hAnsi="Times New Roman"/>
                <w:sz w:val="22"/>
                <w:szCs w:val="22"/>
              </w:rPr>
            </w:pPr>
            <w:r>
              <w:rPr>
                <w:rFonts w:ascii="Times New Roman" w:hAnsi="Times New Roman"/>
                <w:sz w:val="22"/>
                <w:szCs w:val="22"/>
              </w:rPr>
              <w:t>0.</w:t>
            </w:r>
            <w:r w:rsidR="009E701D">
              <w:rPr>
                <w:rFonts w:ascii="Times New Roman" w:hAnsi="Times New Roman"/>
                <w:sz w:val="22"/>
                <w:szCs w:val="22"/>
              </w:rPr>
              <w:t>08</w:t>
            </w:r>
          </w:p>
        </w:tc>
        <w:tc>
          <w:tcPr>
            <w:tcW w:w="900" w:type="dxa"/>
            <w:vAlign w:val="center"/>
          </w:tcPr>
          <w:p w14:paraId="67E9F764" w14:textId="466EB17E" w:rsidR="006A5915" w:rsidRPr="0056262D" w:rsidRDefault="009E701D" w:rsidP="0056262D">
            <w:pPr>
              <w:jc w:val="center"/>
              <w:rPr>
                <w:rFonts w:ascii="Times New Roman" w:hAnsi="Times New Roman"/>
                <w:sz w:val="22"/>
                <w:szCs w:val="22"/>
              </w:rPr>
            </w:pPr>
            <w:r>
              <w:rPr>
                <w:rFonts w:ascii="Times New Roman" w:hAnsi="Times New Roman"/>
                <w:sz w:val="22"/>
                <w:szCs w:val="22"/>
              </w:rPr>
              <w:t>96</w:t>
            </w:r>
          </w:p>
        </w:tc>
        <w:tc>
          <w:tcPr>
            <w:tcW w:w="1080" w:type="dxa"/>
            <w:vAlign w:val="center"/>
          </w:tcPr>
          <w:p w14:paraId="15C49F7B" w14:textId="472D311C" w:rsidR="006A5915" w:rsidRPr="0056262D" w:rsidRDefault="00927461" w:rsidP="0056262D">
            <w:pPr>
              <w:jc w:val="center"/>
              <w:rPr>
                <w:rFonts w:ascii="Times New Roman" w:hAnsi="Times New Roman"/>
                <w:sz w:val="22"/>
                <w:szCs w:val="22"/>
              </w:rPr>
            </w:pPr>
            <w:r>
              <w:rPr>
                <w:rFonts w:ascii="Times New Roman" w:hAnsi="Times New Roman"/>
                <w:sz w:val="22"/>
                <w:szCs w:val="22"/>
              </w:rPr>
              <w:t>$35.82</w:t>
            </w:r>
          </w:p>
        </w:tc>
        <w:tc>
          <w:tcPr>
            <w:tcW w:w="1338" w:type="dxa"/>
            <w:vAlign w:val="center"/>
          </w:tcPr>
          <w:p w14:paraId="3326F798" w14:textId="673725D2" w:rsidR="006A5915" w:rsidRPr="0056262D" w:rsidRDefault="00927461" w:rsidP="001C39A6">
            <w:pPr>
              <w:jc w:val="center"/>
              <w:rPr>
                <w:rFonts w:ascii="Times New Roman" w:hAnsi="Times New Roman"/>
                <w:sz w:val="22"/>
                <w:szCs w:val="22"/>
              </w:rPr>
            </w:pPr>
            <w:r>
              <w:rPr>
                <w:rFonts w:ascii="Times New Roman" w:hAnsi="Times New Roman"/>
                <w:sz w:val="22"/>
                <w:szCs w:val="22"/>
              </w:rPr>
              <w:t>$</w:t>
            </w:r>
            <w:r w:rsidR="001C39A6">
              <w:rPr>
                <w:rFonts w:ascii="Times New Roman" w:hAnsi="Times New Roman"/>
                <w:sz w:val="22"/>
                <w:szCs w:val="22"/>
              </w:rPr>
              <w:t>3,438.72</w:t>
            </w:r>
          </w:p>
        </w:tc>
      </w:tr>
      <w:tr w:rsidR="007D1E4C" w:rsidRPr="00531A2A" w14:paraId="0D6D0487" w14:textId="77777777" w:rsidTr="00EC1EFF">
        <w:trPr>
          <w:trHeight w:val="552"/>
        </w:trPr>
        <w:tc>
          <w:tcPr>
            <w:tcW w:w="2610" w:type="dxa"/>
            <w:vAlign w:val="center"/>
          </w:tcPr>
          <w:p w14:paraId="0D6D047F" w14:textId="06C7D4C6" w:rsidR="00176576" w:rsidRPr="00531A2A" w:rsidRDefault="0033551D" w:rsidP="00176576">
            <w:pPr>
              <w:rPr>
                <w:rFonts w:ascii="Times New Roman" w:hAnsi="Times New Roman"/>
                <w:sz w:val="22"/>
                <w:szCs w:val="22"/>
                <w:highlight w:val="yellow"/>
              </w:rPr>
            </w:pPr>
            <w:r w:rsidRPr="0033551D">
              <w:rPr>
                <w:rFonts w:ascii="Times New Roman" w:hAnsi="Times New Roman"/>
                <w:sz w:val="22"/>
                <w:szCs w:val="22"/>
              </w:rPr>
              <w:t>Total</w:t>
            </w:r>
          </w:p>
        </w:tc>
        <w:tc>
          <w:tcPr>
            <w:tcW w:w="1440" w:type="dxa"/>
            <w:vAlign w:val="center"/>
          </w:tcPr>
          <w:p w14:paraId="0D6D0480" w14:textId="75CEEC6D" w:rsidR="00176576" w:rsidRPr="0056262D" w:rsidRDefault="00537E53" w:rsidP="00784263">
            <w:pPr>
              <w:jc w:val="center"/>
              <w:rPr>
                <w:rFonts w:ascii="Times New Roman" w:hAnsi="Times New Roman"/>
                <w:sz w:val="22"/>
                <w:szCs w:val="22"/>
              </w:rPr>
            </w:pPr>
            <w:r>
              <w:rPr>
                <w:rFonts w:ascii="Times New Roman" w:hAnsi="Times New Roman"/>
                <w:sz w:val="22"/>
                <w:szCs w:val="22"/>
              </w:rPr>
              <w:t>1,650</w:t>
            </w:r>
          </w:p>
        </w:tc>
        <w:tc>
          <w:tcPr>
            <w:tcW w:w="1260" w:type="dxa"/>
            <w:vAlign w:val="center"/>
          </w:tcPr>
          <w:p w14:paraId="0D6D0481" w14:textId="77777777" w:rsidR="00176576" w:rsidRPr="0056262D" w:rsidRDefault="00176576" w:rsidP="0056262D">
            <w:pPr>
              <w:jc w:val="center"/>
              <w:rPr>
                <w:rFonts w:ascii="Times New Roman" w:hAnsi="Times New Roman"/>
                <w:sz w:val="22"/>
                <w:szCs w:val="22"/>
              </w:rPr>
            </w:pPr>
          </w:p>
        </w:tc>
        <w:tc>
          <w:tcPr>
            <w:tcW w:w="1170" w:type="dxa"/>
            <w:vAlign w:val="center"/>
          </w:tcPr>
          <w:p w14:paraId="0D6D0482" w14:textId="5AD1CB68" w:rsidR="00176576" w:rsidRPr="0056262D" w:rsidRDefault="00537E53" w:rsidP="009E701D">
            <w:pPr>
              <w:jc w:val="center"/>
              <w:rPr>
                <w:rFonts w:ascii="Times New Roman" w:hAnsi="Times New Roman"/>
                <w:sz w:val="22"/>
                <w:szCs w:val="22"/>
              </w:rPr>
            </w:pPr>
            <w:r>
              <w:rPr>
                <w:rFonts w:ascii="Times New Roman" w:hAnsi="Times New Roman"/>
                <w:sz w:val="22"/>
                <w:szCs w:val="22"/>
              </w:rPr>
              <w:t>2,850</w:t>
            </w:r>
          </w:p>
        </w:tc>
        <w:tc>
          <w:tcPr>
            <w:tcW w:w="1260" w:type="dxa"/>
            <w:vAlign w:val="center"/>
          </w:tcPr>
          <w:p w14:paraId="0D6D0483" w14:textId="67F7A96D" w:rsidR="00176576" w:rsidRPr="0056262D" w:rsidRDefault="00176576" w:rsidP="0056262D">
            <w:pPr>
              <w:jc w:val="center"/>
              <w:rPr>
                <w:rFonts w:ascii="Times New Roman" w:hAnsi="Times New Roman"/>
                <w:sz w:val="22"/>
                <w:szCs w:val="22"/>
              </w:rPr>
            </w:pPr>
          </w:p>
        </w:tc>
        <w:tc>
          <w:tcPr>
            <w:tcW w:w="900" w:type="dxa"/>
            <w:vAlign w:val="center"/>
          </w:tcPr>
          <w:p w14:paraId="0D6D0484" w14:textId="209B084B" w:rsidR="00176576" w:rsidRPr="0056262D" w:rsidRDefault="00537E53" w:rsidP="009E701D">
            <w:pPr>
              <w:jc w:val="center"/>
              <w:rPr>
                <w:rFonts w:ascii="Times New Roman" w:hAnsi="Times New Roman"/>
                <w:sz w:val="22"/>
                <w:szCs w:val="22"/>
              </w:rPr>
            </w:pPr>
            <w:r>
              <w:rPr>
                <w:rFonts w:ascii="Times New Roman" w:hAnsi="Times New Roman"/>
                <w:sz w:val="22"/>
                <w:szCs w:val="22"/>
              </w:rPr>
              <w:t>508.5</w:t>
            </w:r>
          </w:p>
        </w:tc>
        <w:tc>
          <w:tcPr>
            <w:tcW w:w="1080" w:type="dxa"/>
            <w:vAlign w:val="center"/>
          </w:tcPr>
          <w:p w14:paraId="0D6D0485" w14:textId="47D44C92" w:rsidR="00176576" w:rsidRPr="0056262D" w:rsidRDefault="00176576" w:rsidP="0056262D">
            <w:pPr>
              <w:jc w:val="center"/>
              <w:rPr>
                <w:rFonts w:ascii="Times New Roman" w:hAnsi="Times New Roman"/>
                <w:sz w:val="22"/>
                <w:szCs w:val="22"/>
              </w:rPr>
            </w:pPr>
          </w:p>
        </w:tc>
        <w:tc>
          <w:tcPr>
            <w:tcW w:w="1338" w:type="dxa"/>
            <w:vAlign w:val="center"/>
          </w:tcPr>
          <w:p w14:paraId="0D6D0486" w14:textId="1B2449FB" w:rsidR="00176576" w:rsidRPr="0056262D" w:rsidRDefault="00927461" w:rsidP="00537E53">
            <w:pPr>
              <w:jc w:val="center"/>
              <w:rPr>
                <w:rFonts w:ascii="Times New Roman" w:hAnsi="Times New Roman"/>
                <w:sz w:val="22"/>
                <w:szCs w:val="22"/>
              </w:rPr>
            </w:pPr>
            <w:r>
              <w:rPr>
                <w:rFonts w:ascii="Times New Roman" w:hAnsi="Times New Roman"/>
                <w:sz w:val="22"/>
                <w:szCs w:val="22"/>
              </w:rPr>
              <w:t>$</w:t>
            </w:r>
            <w:r w:rsidR="00537E53">
              <w:rPr>
                <w:rFonts w:ascii="Times New Roman" w:hAnsi="Times New Roman"/>
                <w:sz w:val="22"/>
                <w:szCs w:val="22"/>
              </w:rPr>
              <w:t>18,214.47</w:t>
            </w:r>
          </w:p>
        </w:tc>
      </w:tr>
    </w:tbl>
    <w:p w14:paraId="0D6D0488" w14:textId="77777777" w:rsidR="00176576" w:rsidRPr="004239BD" w:rsidRDefault="00176576" w:rsidP="00176576">
      <w:pPr>
        <w:pStyle w:val="NormalSS"/>
        <w:ind w:firstLine="0"/>
        <w:jc w:val="left"/>
        <w:rPr>
          <w:szCs w:val="24"/>
        </w:rPr>
      </w:pPr>
    </w:p>
    <w:p w14:paraId="0D6D048A" w14:textId="2467B0F9" w:rsidR="00FA4FEE" w:rsidRDefault="00802A88" w:rsidP="00176576">
      <w:pPr>
        <w:pStyle w:val="NormalSS"/>
        <w:ind w:firstLine="0"/>
        <w:jc w:val="left"/>
        <w:rPr>
          <w:szCs w:val="24"/>
        </w:rPr>
      </w:pPr>
      <w:r>
        <w:rPr>
          <w:szCs w:val="24"/>
        </w:rPr>
        <w:t xml:space="preserve">This information collection request contains </w:t>
      </w:r>
      <w:r w:rsidR="00537E53">
        <w:rPr>
          <w:szCs w:val="24"/>
        </w:rPr>
        <w:t>three</w:t>
      </w:r>
      <w:r>
        <w:rPr>
          <w:szCs w:val="24"/>
        </w:rPr>
        <w:t xml:space="preserve"> types of customer feedback and satisfaction surveys: the site visit assessment form; grantee town hall </w:t>
      </w:r>
      <w:r w:rsidR="00537E53">
        <w:rPr>
          <w:szCs w:val="24"/>
        </w:rPr>
        <w:t>satisfaction survey</w:t>
      </w:r>
      <w:r>
        <w:rPr>
          <w:szCs w:val="24"/>
        </w:rPr>
        <w:t xml:space="preserve">, and; all-grantee meeting </w:t>
      </w:r>
      <w:r w:rsidR="00537E53">
        <w:rPr>
          <w:szCs w:val="24"/>
        </w:rPr>
        <w:t>assessment</w:t>
      </w:r>
      <w:r>
        <w:rPr>
          <w:szCs w:val="24"/>
        </w:rPr>
        <w:t xml:space="preserve"> forms.  The annual burden estimate table summarizes the number of respondents per year per form (note that respondents do not represent an unduplicated count as the same respondent may participate in multiple TA activities per year).</w:t>
      </w:r>
    </w:p>
    <w:p w14:paraId="6A45EC56" w14:textId="77777777" w:rsidR="00802A88" w:rsidRPr="00802A88" w:rsidRDefault="00802A88" w:rsidP="00176576">
      <w:pPr>
        <w:pStyle w:val="NormalSS"/>
        <w:ind w:firstLine="0"/>
        <w:jc w:val="left"/>
        <w:rPr>
          <w:szCs w:val="24"/>
        </w:rPr>
      </w:pPr>
    </w:p>
    <w:p w14:paraId="0D6D048B" w14:textId="77777777" w:rsid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601F2AF" w14:textId="77777777" w:rsidR="00802A88" w:rsidRDefault="00802A88" w:rsidP="00176576">
      <w:pPr>
        <w:pStyle w:val="NormalSS"/>
        <w:ind w:firstLine="0"/>
        <w:jc w:val="left"/>
        <w:rPr>
          <w:i/>
          <w:szCs w:val="24"/>
        </w:rPr>
      </w:pPr>
    </w:p>
    <w:p w14:paraId="13C7E8F6" w14:textId="7740E07C" w:rsidR="00802A88" w:rsidRPr="00802A88" w:rsidRDefault="00802A88" w:rsidP="00176576">
      <w:pPr>
        <w:pStyle w:val="NormalSS"/>
        <w:ind w:firstLine="0"/>
        <w:jc w:val="left"/>
        <w:rPr>
          <w:szCs w:val="24"/>
        </w:rPr>
      </w:pPr>
      <w:r>
        <w:rPr>
          <w:szCs w:val="24"/>
        </w:rPr>
        <w:t>Information will be collected at the conclusion of each TA activity.</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6188A562" w14:textId="77777777" w:rsidR="0070166F" w:rsidRDefault="0070166F" w:rsidP="0070166F">
      <w:pPr>
        <w:pStyle w:val="BodyTextIndent"/>
        <w:ind w:left="360"/>
        <w:rPr>
          <w:rFonts w:ascii="Times New Roman" w:hAnsi="Times New Roman"/>
          <w:u w:val="single"/>
        </w:rPr>
      </w:pPr>
    </w:p>
    <w:p w14:paraId="0D6D0494" w14:textId="77858C41" w:rsidR="008C13E2" w:rsidRPr="0070166F" w:rsidRDefault="0070166F" w:rsidP="0070166F">
      <w:pPr>
        <w:pStyle w:val="BodyTextIndent"/>
        <w:ind w:left="360"/>
        <w:rPr>
          <w:rFonts w:ascii="Times New Roman" w:hAnsi="Times New Roman"/>
        </w:rPr>
      </w:pPr>
      <w:r w:rsidRPr="0070166F">
        <w:rPr>
          <w:rFonts w:ascii="Times New Roman" w:hAnsi="Times New Roman"/>
        </w:rPr>
        <w:t>HR</w:t>
      </w:r>
      <w:r>
        <w:rPr>
          <w:rFonts w:ascii="Times New Roman" w:hAnsi="Times New Roman"/>
        </w:rPr>
        <w:t>SA anticipates the total annualized cost to respondents to be $</w:t>
      </w:r>
      <w:r w:rsidR="0055034A">
        <w:rPr>
          <w:rFonts w:ascii="Times New Roman" w:hAnsi="Times New Roman"/>
        </w:rPr>
        <w:t>18,214.47</w:t>
      </w:r>
      <w:r>
        <w:rPr>
          <w:rFonts w:ascii="Times New Roman" w:hAnsi="Times New Roman"/>
        </w:rPr>
        <w:t>.  No capital or start-up costs are associated with this information collection request.  The total annualized cost estimate is related to the time for respondents to complete and submit satisfaction surveys.</w:t>
      </w:r>
    </w:p>
    <w:p w14:paraId="0D6D0495" w14:textId="77777777" w:rsidR="001879E5" w:rsidRDefault="001879E5">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10522087" w14:textId="77777777" w:rsidR="001C39A6" w:rsidRDefault="001C39A6">
      <w:pPr>
        <w:tabs>
          <w:tab w:val="left" w:pos="720"/>
          <w:tab w:val="right" w:pos="8732"/>
        </w:tabs>
        <w:rPr>
          <w:rFonts w:ascii="Times New Roman" w:hAnsi="Times New Roman"/>
          <w:sz w:val="24"/>
          <w:szCs w:val="24"/>
        </w:rPr>
      </w:pPr>
    </w:p>
    <w:p w14:paraId="0D6D0497" w14:textId="6B767792" w:rsidR="001879E5" w:rsidRDefault="0070166F">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14:paraId="074E8CA6" w14:textId="149F137F" w:rsidR="0070166F" w:rsidRDefault="0070166F" w:rsidP="0070166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14:paraId="603054C6" w14:textId="10A0594F" w:rsidR="00E46F9F" w:rsidRPr="00E46F9F" w:rsidRDefault="00E46F9F" w:rsidP="00E46F9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14:paraId="233A74C9" w14:textId="2B8A5058" w:rsidR="0070166F" w:rsidRDefault="0070166F" w:rsidP="0070166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for administering and analyzing government-furnished TA satisfaction surveys</w:t>
      </w:r>
    </w:p>
    <w:p w14:paraId="6142A122" w14:textId="77777777" w:rsidR="0070166F" w:rsidRDefault="0070166F" w:rsidP="0070166F">
      <w:pPr>
        <w:pStyle w:val="ListParagraph"/>
        <w:tabs>
          <w:tab w:val="left" w:pos="720"/>
          <w:tab w:val="right" w:pos="8732"/>
        </w:tabs>
        <w:ind w:left="0"/>
        <w:rPr>
          <w:rFonts w:ascii="Times New Roman" w:hAnsi="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70166F" w14:paraId="29A73B16" w14:textId="77777777" w:rsidTr="0070166F">
        <w:tc>
          <w:tcPr>
            <w:tcW w:w="3192" w:type="dxa"/>
          </w:tcPr>
          <w:p w14:paraId="5F0BA44B" w14:textId="2FB63E3F"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92" w:type="dxa"/>
          </w:tcPr>
          <w:p w14:paraId="5CAAA863" w14:textId="7D7EB78C"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92" w:type="dxa"/>
          </w:tcPr>
          <w:p w14:paraId="1A0AC153" w14:textId="01546CB3"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14:paraId="7F0297D5" w14:textId="77777777" w:rsidTr="0070166F">
        <w:tc>
          <w:tcPr>
            <w:tcW w:w="3192" w:type="dxa"/>
          </w:tcPr>
          <w:p w14:paraId="4BFCEC11" w14:textId="77777777"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Oversight of Contractors</w:t>
            </w:r>
          </w:p>
          <w:p w14:paraId="0F927BBC" w14:textId="0A9BD996"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(Government Program Analyst - 10%)</w:t>
            </w:r>
          </w:p>
        </w:tc>
        <w:tc>
          <w:tcPr>
            <w:tcW w:w="3192" w:type="dxa"/>
          </w:tcPr>
          <w:p w14:paraId="01A18C61" w14:textId="49DD5B1B"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Federal staff time to oversee contractors who administer TA activities</w:t>
            </w:r>
          </w:p>
        </w:tc>
        <w:tc>
          <w:tcPr>
            <w:tcW w:w="3192" w:type="dxa"/>
          </w:tcPr>
          <w:p w14:paraId="2D9317BE" w14:textId="6701A7E6"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$10,136</w:t>
            </w:r>
          </w:p>
        </w:tc>
      </w:tr>
      <w:tr w:rsidR="0070166F" w14:paraId="1C4620B6" w14:textId="77777777" w:rsidTr="0070166F">
        <w:tc>
          <w:tcPr>
            <w:tcW w:w="3192" w:type="dxa"/>
          </w:tcPr>
          <w:p w14:paraId="2187BA7C" w14:textId="459307A2"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Cost of Contractual Support</w:t>
            </w:r>
          </w:p>
        </w:tc>
        <w:tc>
          <w:tcPr>
            <w:tcW w:w="3192" w:type="dxa"/>
          </w:tcPr>
          <w:p w14:paraId="6F09D8B9" w14:textId="728ED62E"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Time and effort for contractors to administer, analyze, and report on satisfaction surveys</w:t>
            </w:r>
          </w:p>
        </w:tc>
        <w:tc>
          <w:tcPr>
            <w:tcW w:w="3192" w:type="dxa"/>
          </w:tcPr>
          <w:p w14:paraId="67CC1B74" w14:textId="60DA2667" w:rsidR="0070166F" w:rsidRDefault="00E37D4D" w:rsidP="0055034A">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w:t>
            </w:r>
            <w:r w:rsidR="0055034A">
              <w:rPr>
                <w:rFonts w:ascii="Times New Roman" w:hAnsi="Times New Roman"/>
                <w:sz w:val="24"/>
                <w:szCs w:val="24"/>
              </w:rPr>
              <w:t>63,481</w:t>
            </w:r>
          </w:p>
        </w:tc>
      </w:tr>
      <w:tr w:rsidR="0070166F" w14:paraId="4B023BA0" w14:textId="77777777" w:rsidTr="0070166F">
        <w:tc>
          <w:tcPr>
            <w:tcW w:w="3192" w:type="dxa"/>
          </w:tcPr>
          <w:p w14:paraId="6F9F023B" w14:textId="4225747D" w:rsidR="0070166F"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Administration of Government Satisfaction Survey</w:t>
            </w:r>
          </w:p>
          <w:p w14:paraId="4961AB5A" w14:textId="7A11873B" w:rsidR="00E37D4D"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(Government Program Analyst – 5%)</w:t>
            </w:r>
          </w:p>
        </w:tc>
        <w:tc>
          <w:tcPr>
            <w:tcW w:w="3192" w:type="dxa"/>
          </w:tcPr>
          <w:p w14:paraId="42F76F3E" w14:textId="0D7DD24E" w:rsidR="0070166F"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Federal staff time to administer, analyze, and report on government-furnished TA satisfaction surveys</w:t>
            </w:r>
          </w:p>
        </w:tc>
        <w:tc>
          <w:tcPr>
            <w:tcW w:w="3192" w:type="dxa"/>
          </w:tcPr>
          <w:p w14:paraId="2973654E" w14:textId="2EF9B528" w:rsidR="0070166F"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$2,672</w:t>
            </w:r>
          </w:p>
        </w:tc>
      </w:tr>
    </w:tbl>
    <w:p w14:paraId="542C7F87" w14:textId="77777777" w:rsidR="0070166F" w:rsidRDefault="0070166F" w:rsidP="0070166F">
      <w:pPr>
        <w:pStyle w:val="ListParagraph"/>
        <w:tabs>
          <w:tab w:val="left" w:pos="720"/>
          <w:tab w:val="right" w:pos="8732"/>
        </w:tabs>
        <w:ind w:left="0"/>
        <w:rPr>
          <w:rFonts w:ascii="Times New Roman" w:hAnsi="Times New Roman"/>
          <w:sz w:val="24"/>
          <w:szCs w:val="24"/>
        </w:rPr>
      </w:pPr>
    </w:p>
    <w:p w14:paraId="3CA78990" w14:textId="337B17D5" w:rsidR="00E37D4D"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HRSA anticipates the average annual cost for the federal government will include personnel costs for contractual oversight.  This will include a federal program analyst at Grade 13 Step 4 ($48.73 hourly rate) for 208 hours and a federal program analyst for administering, analyzing, and reporting on government-furnished TA satisfaction surveys</w:t>
      </w:r>
      <w:r w:rsidR="004152C9">
        <w:rPr>
          <w:rFonts w:ascii="Times New Roman" w:hAnsi="Times New Roman"/>
          <w:sz w:val="24"/>
          <w:szCs w:val="24"/>
        </w:rPr>
        <w:t xml:space="preserve"> at Grade 9 Step 1 ($25.69 hourly rate) for 104 hours.</w:t>
      </w:r>
    </w:p>
    <w:p w14:paraId="6B7CF2CA" w14:textId="77777777" w:rsidR="004152C9" w:rsidRDefault="004152C9" w:rsidP="0070166F">
      <w:pPr>
        <w:pStyle w:val="ListParagraph"/>
        <w:tabs>
          <w:tab w:val="left" w:pos="720"/>
          <w:tab w:val="right" w:pos="8732"/>
        </w:tabs>
        <w:ind w:left="0"/>
        <w:rPr>
          <w:rFonts w:ascii="Times New Roman" w:hAnsi="Times New Roman"/>
          <w:sz w:val="24"/>
          <w:szCs w:val="24"/>
        </w:rPr>
      </w:pPr>
    </w:p>
    <w:p w14:paraId="144E282A" w14:textId="74DBA2D8" w:rsidR="004152C9" w:rsidRDefault="004152C9"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Additionally, the federal government supports several TA contractors who administer TA satisfaction surveys on behalf of the federal government.  HRSA estimates that these activities constitute 5% of total contract costs.</w:t>
      </w:r>
    </w:p>
    <w:p w14:paraId="58CFFA69" w14:textId="77777777" w:rsidR="004152C9" w:rsidRDefault="004152C9" w:rsidP="0070166F">
      <w:pPr>
        <w:pStyle w:val="ListParagraph"/>
        <w:tabs>
          <w:tab w:val="left" w:pos="720"/>
          <w:tab w:val="right" w:pos="8732"/>
        </w:tabs>
        <w:ind w:left="0"/>
        <w:rPr>
          <w:rFonts w:ascii="Times New Roman" w:hAnsi="Times New Roman"/>
          <w:sz w:val="24"/>
          <w:szCs w:val="24"/>
        </w:rPr>
      </w:pPr>
    </w:p>
    <w:p w14:paraId="3DC68475" w14:textId="4BE1BA7D" w:rsidR="004152C9" w:rsidRPr="0070166F" w:rsidRDefault="004152C9"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The total cost to the federal government for these activities is $</w:t>
      </w:r>
      <w:r w:rsidR="0055034A">
        <w:rPr>
          <w:rFonts w:ascii="Times New Roman" w:hAnsi="Times New Roman"/>
          <w:sz w:val="24"/>
          <w:szCs w:val="24"/>
        </w:rPr>
        <w:t>76,289</w:t>
      </w:r>
      <w:r>
        <w:rPr>
          <w:rFonts w:ascii="Times New Roman" w:hAnsi="Times New Roman"/>
          <w:sz w:val="24"/>
          <w:szCs w:val="24"/>
        </w:rPr>
        <w:t xml:space="preserve"> per year.</w:t>
      </w:r>
    </w:p>
    <w:p w14:paraId="0D6D049B" w14:textId="77777777" w:rsidR="001879E5" w:rsidRDefault="001879E5">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0D6D04A3" w14:textId="5A78E9B2" w:rsidR="006E3B33" w:rsidRDefault="004152C9">
      <w:pPr>
        <w:tabs>
          <w:tab w:val="left" w:pos="-720"/>
          <w:tab w:val="right" w:pos="8692"/>
        </w:tabs>
        <w:rPr>
          <w:rFonts w:ascii="Times New Roman" w:hAnsi="Times New Roman"/>
          <w:sz w:val="24"/>
          <w:szCs w:val="24"/>
        </w:rPr>
      </w:pPr>
      <w:r>
        <w:rPr>
          <w:rFonts w:ascii="Times New Roman" w:hAnsi="Times New Roman"/>
          <w:sz w:val="24"/>
          <w:szCs w:val="24"/>
        </w:rPr>
        <w:t>Plans for analysis include aggregation and descriptive statistics of survey results in order to summarize grantee feedback on TA activities.  TA satisfaction surveys will be administered throughout the year following the conclusion of each TA activity.  Surveys administered by contracted TA providers will be summarized in monthly reports submitted to HRSA.</w:t>
      </w:r>
    </w:p>
    <w:p w14:paraId="78941368" w14:textId="77777777" w:rsidR="004152C9" w:rsidRDefault="004152C9">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lastRenderedPageBreak/>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77777777"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4C5B10">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 w:id="1">
    <w:p w14:paraId="69B9836C" w14:textId="12D88412" w:rsidR="00EC1EFF" w:rsidRPr="00EC1EFF" w:rsidRDefault="00EC1EFF">
      <w:pPr>
        <w:pStyle w:val="FootnoteText"/>
        <w:rPr>
          <w:rFonts w:ascii="Times New Roman" w:hAnsi="Times New Roman"/>
        </w:rPr>
      </w:pPr>
      <w:r>
        <w:rPr>
          <w:rStyle w:val="FootnoteReference"/>
        </w:rPr>
        <w:footnoteRef/>
      </w:r>
      <w:r>
        <w:t xml:space="preserve"> </w:t>
      </w:r>
      <w:r>
        <w:rPr>
          <w:rFonts w:ascii="Times New Roman" w:hAnsi="Times New Roman"/>
        </w:rPr>
        <w:t>The number of respondents is not an unduplicated count</w:t>
      </w:r>
    </w:p>
  </w:footnote>
  <w:footnote w:id="2">
    <w:p w14:paraId="4DD10AEB" w14:textId="6C3D2671" w:rsidR="00927461" w:rsidRPr="00927461" w:rsidRDefault="00927461">
      <w:pPr>
        <w:pStyle w:val="FootnoteText"/>
        <w:rPr>
          <w:rFonts w:ascii="Times New Roman" w:hAnsi="Times New Roman"/>
        </w:rPr>
      </w:pPr>
      <w:r>
        <w:rPr>
          <w:rStyle w:val="FootnoteReference"/>
        </w:rPr>
        <w:footnoteRef/>
      </w:r>
      <w:r>
        <w:t xml:space="preserve"> </w:t>
      </w:r>
      <w:r>
        <w:rPr>
          <w:rFonts w:ascii="Times New Roman" w:hAnsi="Times New Roman"/>
        </w:rPr>
        <w:t xml:space="preserve">Wages for MIECHV grantee staff is based on the 2014 Bureau of Labor Statistics data for the median hourly wage for Social and Community Service Managers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11"/>
  </w:num>
  <w:num w:numId="5">
    <w:abstractNumId w:val="10"/>
  </w:num>
  <w:num w:numId="6">
    <w:abstractNumId w:val="9"/>
  </w:num>
  <w:num w:numId="7">
    <w:abstractNumId w:val="1"/>
  </w:num>
  <w:num w:numId="8">
    <w:abstractNumId w:val="4"/>
  </w:num>
  <w:num w:numId="9">
    <w:abstractNumId w:val="7"/>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7192E"/>
    <w:rsid w:val="00072B9E"/>
    <w:rsid w:val="00077808"/>
    <w:rsid w:val="000E26C2"/>
    <w:rsid w:val="000F2D27"/>
    <w:rsid w:val="000F4A39"/>
    <w:rsid w:val="001017B2"/>
    <w:rsid w:val="00116F07"/>
    <w:rsid w:val="00144B81"/>
    <w:rsid w:val="00170F93"/>
    <w:rsid w:val="00176576"/>
    <w:rsid w:val="001879E5"/>
    <w:rsid w:val="0019133F"/>
    <w:rsid w:val="00192835"/>
    <w:rsid w:val="001C39A6"/>
    <w:rsid w:val="001E58D1"/>
    <w:rsid w:val="001F0484"/>
    <w:rsid w:val="001F05FA"/>
    <w:rsid w:val="001F78C0"/>
    <w:rsid w:val="00213C9A"/>
    <w:rsid w:val="002279BC"/>
    <w:rsid w:val="00233B3F"/>
    <w:rsid w:val="00246222"/>
    <w:rsid w:val="002D2BBC"/>
    <w:rsid w:val="002E5C9D"/>
    <w:rsid w:val="002F402D"/>
    <w:rsid w:val="00301BCD"/>
    <w:rsid w:val="00330C42"/>
    <w:rsid w:val="0033551D"/>
    <w:rsid w:val="00344701"/>
    <w:rsid w:val="003A5DE4"/>
    <w:rsid w:val="00404E64"/>
    <w:rsid w:val="004152C9"/>
    <w:rsid w:val="004239BD"/>
    <w:rsid w:val="00450C56"/>
    <w:rsid w:val="0046323A"/>
    <w:rsid w:val="00472378"/>
    <w:rsid w:val="004C5B10"/>
    <w:rsid w:val="004E3605"/>
    <w:rsid w:val="004E3A1F"/>
    <w:rsid w:val="004F23D2"/>
    <w:rsid w:val="004F33ED"/>
    <w:rsid w:val="00522C38"/>
    <w:rsid w:val="00531A2A"/>
    <w:rsid w:val="00537117"/>
    <w:rsid w:val="00537E53"/>
    <w:rsid w:val="0055034A"/>
    <w:rsid w:val="00557C4D"/>
    <w:rsid w:val="0056262D"/>
    <w:rsid w:val="0056606F"/>
    <w:rsid w:val="00587151"/>
    <w:rsid w:val="005B4A77"/>
    <w:rsid w:val="005D0D7C"/>
    <w:rsid w:val="005F2587"/>
    <w:rsid w:val="005F7618"/>
    <w:rsid w:val="0061278C"/>
    <w:rsid w:val="00623295"/>
    <w:rsid w:val="0063434A"/>
    <w:rsid w:val="00642A5E"/>
    <w:rsid w:val="006A5915"/>
    <w:rsid w:val="006E3B33"/>
    <w:rsid w:val="0070166F"/>
    <w:rsid w:val="00721134"/>
    <w:rsid w:val="007214F6"/>
    <w:rsid w:val="007312BE"/>
    <w:rsid w:val="0075457F"/>
    <w:rsid w:val="00782F66"/>
    <w:rsid w:val="00784263"/>
    <w:rsid w:val="00796F36"/>
    <w:rsid w:val="007A25D0"/>
    <w:rsid w:val="007B2471"/>
    <w:rsid w:val="007C52B1"/>
    <w:rsid w:val="007C591D"/>
    <w:rsid w:val="007D1E4C"/>
    <w:rsid w:val="007D2413"/>
    <w:rsid w:val="00802A88"/>
    <w:rsid w:val="008163BB"/>
    <w:rsid w:val="008165B2"/>
    <w:rsid w:val="00850760"/>
    <w:rsid w:val="00874A63"/>
    <w:rsid w:val="00885127"/>
    <w:rsid w:val="00896384"/>
    <w:rsid w:val="008C13E2"/>
    <w:rsid w:val="008D1D94"/>
    <w:rsid w:val="00910925"/>
    <w:rsid w:val="00914F2D"/>
    <w:rsid w:val="009246D7"/>
    <w:rsid w:val="00927461"/>
    <w:rsid w:val="0096682A"/>
    <w:rsid w:val="00990233"/>
    <w:rsid w:val="009910A4"/>
    <w:rsid w:val="009B5A14"/>
    <w:rsid w:val="009B68A7"/>
    <w:rsid w:val="009C02B9"/>
    <w:rsid w:val="009D2EC6"/>
    <w:rsid w:val="009D6C07"/>
    <w:rsid w:val="009D73F6"/>
    <w:rsid w:val="009E701D"/>
    <w:rsid w:val="00A11ACD"/>
    <w:rsid w:val="00A342EB"/>
    <w:rsid w:val="00A4213C"/>
    <w:rsid w:val="00A4633A"/>
    <w:rsid w:val="00A60207"/>
    <w:rsid w:val="00A91DCD"/>
    <w:rsid w:val="00AE120A"/>
    <w:rsid w:val="00AE1A75"/>
    <w:rsid w:val="00B21125"/>
    <w:rsid w:val="00B237EB"/>
    <w:rsid w:val="00B37D64"/>
    <w:rsid w:val="00B40D39"/>
    <w:rsid w:val="00B425DD"/>
    <w:rsid w:val="00B54521"/>
    <w:rsid w:val="00B906CD"/>
    <w:rsid w:val="00BA092C"/>
    <w:rsid w:val="00BA1E23"/>
    <w:rsid w:val="00BC6B01"/>
    <w:rsid w:val="00BC761A"/>
    <w:rsid w:val="00BF3FA7"/>
    <w:rsid w:val="00C22F5A"/>
    <w:rsid w:val="00C50E75"/>
    <w:rsid w:val="00C710C1"/>
    <w:rsid w:val="00C72C00"/>
    <w:rsid w:val="00C91E67"/>
    <w:rsid w:val="00CA1201"/>
    <w:rsid w:val="00CA1D43"/>
    <w:rsid w:val="00CB2B80"/>
    <w:rsid w:val="00CB2E46"/>
    <w:rsid w:val="00CD4592"/>
    <w:rsid w:val="00CE4102"/>
    <w:rsid w:val="00D2299E"/>
    <w:rsid w:val="00D32AA8"/>
    <w:rsid w:val="00D67A56"/>
    <w:rsid w:val="00D90485"/>
    <w:rsid w:val="00D90E19"/>
    <w:rsid w:val="00E228E8"/>
    <w:rsid w:val="00E37D4D"/>
    <w:rsid w:val="00E46F9F"/>
    <w:rsid w:val="00EC1EFF"/>
    <w:rsid w:val="00F007C3"/>
    <w:rsid w:val="00F0115D"/>
    <w:rsid w:val="00F1420F"/>
    <w:rsid w:val="00F46FFB"/>
    <w:rsid w:val="00F66291"/>
    <w:rsid w:val="00F664F3"/>
    <w:rsid w:val="00F80C7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4967143e-3350-4318-8b8c-f9b56d178eaa"/>
    <ds:schemaRef ds:uri="http://purl.org/dc/dcmitype/"/>
  </ds:schemaRefs>
</ds:datastoreItem>
</file>

<file path=customXml/itemProps3.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C0DFA-39BD-40B5-B3F9-16448E16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Peplinski, Kyle  (HRSA)</cp:lastModifiedBy>
  <cp:revision>2</cp:revision>
  <dcterms:created xsi:type="dcterms:W3CDTF">2016-05-12T13:17:00Z</dcterms:created>
  <dcterms:modified xsi:type="dcterms:W3CDTF">2016-05-12T13:17:00Z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