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51A99" w14:textId="77777777" w:rsidR="00CC046E" w:rsidRPr="009D5CEF" w:rsidRDefault="00CC046E" w:rsidP="00CC046E">
      <w:pPr>
        <w:spacing w:line="276" w:lineRule="auto"/>
        <w:jc w:val="center"/>
        <w:rPr>
          <w:b/>
        </w:rPr>
      </w:pPr>
      <w:r w:rsidRPr="00B53AF4">
        <w:rPr>
          <w:b/>
        </w:rPr>
        <w:t xml:space="preserve">Project </w:t>
      </w:r>
      <w:r>
        <w:rPr>
          <w:b/>
        </w:rPr>
        <w:t>Description</w:t>
      </w:r>
    </w:p>
    <w:p w14:paraId="551DC3D3" w14:textId="13B44489" w:rsidR="00442DE9" w:rsidRDefault="002C6B4F" w:rsidP="009C2DF0">
      <w:pPr>
        <w:spacing w:line="276" w:lineRule="auto"/>
        <w:jc w:val="center"/>
        <w:rPr>
          <w:b/>
        </w:rPr>
      </w:pPr>
      <w:r>
        <w:rPr>
          <w:b/>
        </w:rPr>
        <w:t>HEADS UP Audience Research Study</w:t>
      </w:r>
    </w:p>
    <w:p w14:paraId="71EE6298" w14:textId="77777777" w:rsidR="00442DE9" w:rsidRDefault="00442DE9" w:rsidP="009C2DF0">
      <w:pPr>
        <w:spacing w:line="276" w:lineRule="auto"/>
        <w:rPr>
          <w:b/>
        </w:rPr>
      </w:pPr>
    </w:p>
    <w:p w14:paraId="75CD44F2" w14:textId="40F131A1" w:rsidR="009D5CEF" w:rsidRPr="009D5CEF" w:rsidRDefault="00B53AF4" w:rsidP="009C2DF0">
      <w:pPr>
        <w:spacing w:line="276" w:lineRule="auto"/>
        <w:rPr>
          <w:b/>
        </w:rPr>
      </w:pPr>
      <w:r w:rsidRPr="00B53AF4">
        <w:rPr>
          <w:b/>
        </w:rPr>
        <w:t xml:space="preserve">Project </w:t>
      </w:r>
      <w:r w:rsidR="00442DE9">
        <w:rPr>
          <w:b/>
        </w:rPr>
        <w:t>Description</w:t>
      </w:r>
    </w:p>
    <w:p w14:paraId="5EDAE828" w14:textId="77777777" w:rsidR="009D5CEF" w:rsidRDefault="009D5CEF" w:rsidP="009C2DF0">
      <w:r w:rsidRPr="000B0210">
        <w:rPr>
          <w:shd w:val="clear" w:color="auto" w:fill="FFFFFF"/>
        </w:rPr>
        <w:t>A traumatic brain injury (TBI) is caused by a bump, blow or jolt to the head or a penetrating head injury that disrupts the normal function of the brain.</w:t>
      </w:r>
      <w:r w:rsidRPr="000B0210">
        <w:rPr>
          <w:rStyle w:val="apple-converted-space"/>
          <w:shd w:val="clear" w:color="auto" w:fill="FFFFFF"/>
        </w:rPr>
        <w:t xml:space="preserve"> On average approximately 1.7 million TBIs occur annually in the United States. </w:t>
      </w:r>
      <w:r w:rsidRPr="000B0210">
        <w:rPr>
          <w:shd w:val="clear" w:color="auto" w:fill="FFFFFF"/>
        </w:rPr>
        <w:t>CDC’s research and programs work to prevent TBI and help people better recognize, respond, and recover if a TBI occurs.</w:t>
      </w:r>
      <w:r w:rsidRPr="000B0210">
        <w:t xml:space="preserve"> </w:t>
      </w:r>
    </w:p>
    <w:p w14:paraId="0F092445" w14:textId="77777777" w:rsidR="009D5CEF" w:rsidRDefault="009D5CEF" w:rsidP="009C2DF0"/>
    <w:p w14:paraId="6CC12775" w14:textId="77777777" w:rsidR="009D5CEF" w:rsidRPr="000B0210" w:rsidRDefault="009D5CEF" w:rsidP="009C2DF0">
      <w:r>
        <w:t xml:space="preserve">The CDC’s HEADS UP initiative provides important information on preventing, recognizing, and responding to concussion to five key audiences: youth and high school athletes, coaches, parents, school professionals, and health care providers. The initiative launched in 2003, and at the time solely served health care providers. Over the past twelve years, HEADS UP expanded to serve the five audiences noted above. </w:t>
      </w:r>
    </w:p>
    <w:p w14:paraId="49139CC7" w14:textId="77777777" w:rsidR="009D5CEF" w:rsidRPr="000B0210" w:rsidRDefault="009D5CEF" w:rsidP="009C2DF0"/>
    <w:p w14:paraId="7798EE0C" w14:textId="6D694B04" w:rsidR="009D5CEF" w:rsidRDefault="009D5CEF" w:rsidP="001B4E0F">
      <w:r>
        <w:t xml:space="preserve">CDC requests approval to test the effectiveness of messages, concepts, and materials of HEADS UP in order to ensure that HEADS UP meets the needs of its key audiences. </w:t>
      </w:r>
      <w:r w:rsidRPr="00FE0243">
        <w:t xml:space="preserve">CDC intends </w:t>
      </w:r>
      <w:r>
        <w:t xml:space="preserve">to use message testing with users of the HEADS UP materials to improve upon existing campaign materials. </w:t>
      </w:r>
      <w:r w:rsidR="009255C7">
        <w:t xml:space="preserve">This project involves a series of </w:t>
      </w:r>
      <w:r w:rsidR="001B4E0F">
        <w:t>focus groups</w:t>
      </w:r>
      <w:r w:rsidR="009255C7">
        <w:t xml:space="preserve"> with primary audiences.</w:t>
      </w:r>
    </w:p>
    <w:p w14:paraId="0D1BD78E" w14:textId="77777777" w:rsidR="003965FD" w:rsidRPr="00FE0243" w:rsidRDefault="003965FD" w:rsidP="009C2DF0"/>
    <w:p w14:paraId="41744A2D" w14:textId="3C99D33F" w:rsidR="003965FD" w:rsidRDefault="003965FD" w:rsidP="009C2DF0">
      <w:pPr>
        <w:rPr>
          <w:b/>
        </w:rPr>
      </w:pPr>
      <w:r w:rsidRPr="00FE0243">
        <w:rPr>
          <w:b/>
        </w:rPr>
        <w:t>Who are we trying to influence?</w:t>
      </w:r>
    </w:p>
    <w:p w14:paraId="7449F28C" w14:textId="77777777" w:rsidR="00584D7B" w:rsidRPr="00584D7B" w:rsidRDefault="00584D7B" w:rsidP="009C2DF0">
      <w:pPr>
        <w:rPr>
          <w:b/>
        </w:rPr>
      </w:pPr>
    </w:p>
    <w:p w14:paraId="254E80EF" w14:textId="521F9B99" w:rsidR="003965FD" w:rsidRPr="00FE0243" w:rsidRDefault="003965FD" w:rsidP="00641362">
      <w:pPr>
        <w:pStyle w:val="Default"/>
        <w:spacing w:before="8"/>
        <w:rPr>
          <w:rFonts w:ascii="Times New Roman" w:hAnsi="Times New Roman" w:cs="Times New Roman"/>
          <w:color w:val="auto"/>
        </w:rPr>
      </w:pPr>
      <w:r w:rsidRPr="00FE0243">
        <w:rPr>
          <w:rFonts w:ascii="Times New Roman" w:hAnsi="Times New Roman" w:cs="Times New Roman"/>
          <w:b/>
          <w:color w:val="auto"/>
        </w:rPr>
        <w:t>Primary Audience:</w:t>
      </w:r>
      <w:r w:rsidRPr="00FE0243">
        <w:rPr>
          <w:rFonts w:ascii="Times New Roman" w:hAnsi="Times New Roman" w:cs="Times New Roman"/>
          <w:color w:val="auto"/>
        </w:rPr>
        <w:t xml:space="preserve"> </w:t>
      </w:r>
      <w:r w:rsidR="009D5CEF">
        <w:rPr>
          <w:rFonts w:ascii="Times New Roman" w:hAnsi="Times New Roman" w:cs="Times New Roman"/>
          <w:color w:val="auto"/>
        </w:rPr>
        <w:t xml:space="preserve">Youth and high school athletes, parents, coaches, school professionals, and health care providers. </w:t>
      </w:r>
    </w:p>
    <w:p w14:paraId="4730DE4D" w14:textId="77777777" w:rsidR="00881F3E" w:rsidRPr="00FE0243" w:rsidRDefault="00881F3E" w:rsidP="009C2DF0"/>
    <w:p w14:paraId="2AC44EC6" w14:textId="7B6FBA88" w:rsidR="003965FD" w:rsidRPr="001B4E0F" w:rsidRDefault="003965FD" w:rsidP="009C2DF0">
      <w:pPr>
        <w:rPr>
          <w:b/>
        </w:rPr>
      </w:pPr>
      <w:r w:rsidRPr="00FE0243">
        <w:rPr>
          <w:b/>
        </w:rPr>
        <w:t xml:space="preserve">What do we want them to DO as a result of this communication? </w:t>
      </w:r>
    </w:p>
    <w:p w14:paraId="2D38D3C8" w14:textId="32200F93" w:rsidR="009D5CEF" w:rsidRDefault="009D63EC" w:rsidP="009C2DF0">
      <w:pPr>
        <w:spacing w:line="276" w:lineRule="auto"/>
        <w:rPr>
          <w:color w:val="auto"/>
        </w:rPr>
      </w:pPr>
      <w:r>
        <w:rPr>
          <w:color w:val="auto"/>
        </w:rPr>
        <w:t xml:space="preserve">In our planned </w:t>
      </w:r>
      <w:r w:rsidR="001B4E0F">
        <w:rPr>
          <w:color w:val="auto"/>
        </w:rPr>
        <w:t>focus groups</w:t>
      </w:r>
      <w:r>
        <w:rPr>
          <w:color w:val="auto"/>
        </w:rPr>
        <w:t xml:space="preserve">, </w:t>
      </w:r>
      <w:r w:rsidR="009D5CEF">
        <w:rPr>
          <w:color w:val="auto"/>
        </w:rPr>
        <w:t>our</w:t>
      </w:r>
      <w:r w:rsidR="0017640E">
        <w:rPr>
          <w:color w:val="auto"/>
        </w:rPr>
        <w:t xml:space="preserve"> goal is</w:t>
      </w:r>
      <w:r w:rsidR="009D5CEF">
        <w:rPr>
          <w:color w:val="auto"/>
        </w:rPr>
        <w:t xml:space="preserve"> to learn about perceptions and experiences </w:t>
      </w:r>
      <w:r w:rsidR="0056522F">
        <w:rPr>
          <w:color w:val="auto"/>
        </w:rPr>
        <w:t>with HEADS UP</w:t>
      </w:r>
      <w:r w:rsidR="009255C7">
        <w:rPr>
          <w:color w:val="auto"/>
        </w:rPr>
        <w:t xml:space="preserve"> from primary and secondary audiences. </w:t>
      </w:r>
    </w:p>
    <w:p w14:paraId="79652847" w14:textId="77777777" w:rsidR="00E77AE2" w:rsidRDefault="00E77AE2" w:rsidP="009C2DF0">
      <w:pPr>
        <w:spacing w:line="276" w:lineRule="auto"/>
        <w:rPr>
          <w:color w:val="auto"/>
        </w:rPr>
      </w:pPr>
    </w:p>
    <w:p w14:paraId="480EBF25" w14:textId="631B92A9" w:rsidR="003965FD" w:rsidRDefault="00E77AE2" w:rsidP="009C2DF0">
      <w:pPr>
        <w:spacing w:line="276" w:lineRule="auto"/>
        <w:rPr>
          <w:color w:val="auto"/>
        </w:rPr>
      </w:pPr>
      <w:r>
        <w:rPr>
          <w:color w:val="auto"/>
        </w:rPr>
        <w:t xml:space="preserve">We will </w:t>
      </w:r>
      <w:r w:rsidR="00A60DDA">
        <w:rPr>
          <w:color w:val="auto"/>
        </w:rPr>
        <w:t>us</w:t>
      </w:r>
      <w:r w:rsidR="00E46042">
        <w:rPr>
          <w:color w:val="auto"/>
        </w:rPr>
        <w:t>e</w:t>
      </w:r>
      <w:r w:rsidR="00A60DDA">
        <w:rPr>
          <w:color w:val="auto"/>
        </w:rPr>
        <w:t xml:space="preserve"> what we learn from message testing to</w:t>
      </w:r>
      <w:r w:rsidR="009D63EC">
        <w:rPr>
          <w:color w:val="auto"/>
        </w:rPr>
        <w:t xml:space="preserve"> develop </w:t>
      </w:r>
      <w:r>
        <w:rPr>
          <w:color w:val="auto"/>
        </w:rPr>
        <w:t>updated HEADS UP</w:t>
      </w:r>
      <w:r w:rsidR="009D63EC">
        <w:rPr>
          <w:color w:val="auto"/>
        </w:rPr>
        <w:t xml:space="preserve"> campaign materials </w:t>
      </w:r>
      <w:r w:rsidR="00AC494B">
        <w:rPr>
          <w:color w:val="auto"/>
        </w:rPr>
        <w:t xml:space="preserve">that reflect users’ needs and preferences. We </w:t>
      </w:r>
      <w:r>
        <w:rPr>
          <w:color w:val="auto"/>
        </w:rPr>
        <w:t xml:space="preserve">will test </w:t>
      </w:r>
      <w:r w:rsidR="00AC494B">
        <w:rPr>
          <w:color w:val="auto"/>
        </w:rPr>
        <w:t xml:space="preserve">these updated materials </w:t>
      </w:r>
      <w:r>
        <w:rPr>
          <w:color w:val="auto"/>
        </w:rPr>
        <w:t xml:space="preserve">with a subset of </w:t>
      </w:r>
      <w:r w:rsidR="001B4E0F">
        <w:rPr>
          <w:color w:val="auto"/>
        </w:rPr>
        <w:t xml:space="preserve">focus groups </w:t>
      </w:r>
      <w:r>
        <w:rPr>
          <w:color w:val="auto"/>
        </w:rPr>
        <w:t xml:space="preserve">participants during subsequent </w:t>
      </w:r>
      <w:r w:rsidR="001B4E0F">
        <w:rPr>
          <w:color w:val="auto"/>
        </w:rPr>
        <w:t>focus groups</w:t>
      </w:r>
      <w:r>
        <w:rPr>
          <w:color w:val="auto"/>
        </w:rPr>
        <w:t xml:space="preserve">. </w:t>
      </w:r>
      <w:r w:rsidR="00A60DDA">
        <w:rPr>
          <w:color w:val="auto"/>
        </w:rPr>
        <w:t xml:space="preserve">Message testing will let us know what </w:t>
      </w:r>
      <w:r w:rsidR="00CF3AA1">
        <w:rPr>
          <w:color w:val="auto"/>
        </w:rPr>
        <w:t xml:space="preserve">these groups </w:t>
      </w:r>
      <w:r w:rsidR="00AC494B">
        <w:rPr>
          <w:color w:val="auto"/>
        </w:rPr>
        <w:t>need/</w:t>
      </w:r>
      <w:r w:rsidR="00A60DDA">
        <w:rPr>
          <w:color w:val="auto"/>
        </w:rPr>
        <w:t xml:space="preserve">want to hear about </w:t>
      </w:r>
      <w:r>
        <w:rPr>
          <w:color w:val="auto"/>
        </w:rPr>
        <w:t>concussion</w:t>
      </w:r>
      <w:r w:rsidR="00A60DDA">
        <w:rPr>
          <w:color w:val="auto"/>
        </w:rPr>
        <w:t xml:space="preserve">, and where they want to hear it. </w:t>
      </w:r>
      <w:r>
        <w:rPr>
          <w:color w:val="auto"/>
        </w:rPr>
        <w:t>Youth and high school athletes, coaches, and parents, school professionals, and health care providers can use these updated materials to learn how to recognize the signs and symptoms of concussion and know what to do if they suspect a young person has a concussion.</w:t>
      </w:r>
      <w:r w:rsidR="00AC494B">
        <w:rPr>
          <w:color w:val="auto"/>
        </w:rPr>
        <w:t xml:space="preserve"> We will learn which messages are most salient and motivating to our audiences to support positive </w:t>
      </w:r>
      <w:r w:rsidR="008C292F">
        <w:rPr>
          <w:color w:val="auto"/>
        </w:rPr>
        <w:t>behaviours</w:t>
      </w:r>
      <w:r w:rsidR="00AC494B">
        <w:rPr>
          <w:color w:val="auto"/>
        </w:rPr>
        <w:t xml:space="preserve"> regarding concussion.</w:t>
      </w:r>
    </w:p>
    <w:p w14:paraId="4A1A3ED4" w14:textId="77777777" w:rsidR="00665179" w:rsidRDefault="00665179" w:rsidP="009C2DF0">
      <w:pPr>
        <w:spacing w:line="276" w:lineRule="auto"/>
        <w:rPr>
          <w:color w:val="auto"/>
        </w:rPr>
      </w:pPr>
    </w:p>
    <w:p w14:paraId="152A55EF" w14:textId="6B9B952A" w:rsidR="004A7111" w:rsidRPr="000B0210" w:rsidRDefault="00584D7B" w:rsidP="009C2DF0">
      <w:pPr>
        <w:autoSpaceDE w:val="0"/>
        <w:autoSpaceDN w:val="0"/>
        <w:adjustRightInd w:val="0"/>
        <w:spacing w:line="276" w:lineRule="auto"/>
      </w:pPr>
      <w:r w:rsidRPr="00584D7B">
        <w:t xml:space="preserve">This information collection is necessary because it will allow CDC to evaluate the effectiveness of HEADS UP in supporting key audiences with understanding </w:t>
      </w:r>
      <w:r w:rsidR="00641362">
        <w:t xml:space="preserve">of </w:t>
      </w:r>
      <w:r w:rsidRPr="00584D7B">
        <w:t xml:space="preserve">how to prevent, recognize and respond to concussion. </w:t>
      </w:r>
      <w:r w:rsidR="004A7111">
        <w:t xml:space="preserve">This research effort will enable CDC to provide effective messages and action steps to support key audiences in taking actions to protect themselves and respond to concussion. </w:t>
      </w:r>
    </w:p>
    <w:p w14:paraId="78C7D7A3" w14:textId="77777777" w:rsidR="00ED7539" w:rsidRDefault="00ED7539" w:rsidP="009C2DF0">
      <w:pPr>
        <w:spacing w:line="276" w:lineRule="auto"/>
      </w:pPr>
    </w:p>
    <w:p w14:paraId="25A88951" w14:textId="77777777" w:rsidR="003965FD" w:rsidRPr="00FE0243" w:rsidRDefault="003965FD" w:rsidP="009C2DF0">
      <w:pPr>
        <w:rPr>
          <w:b/>
        </w:rPr>
      </w:pPr>
      <w:r w:rsidRPr="00FE0243">
        <w:rPr>
          <w:b/>
        </w:rPr>
        <w:t xml:space="preserve">How do we expect communications to work towards achieving this? </w:t>
      </w:r>
    </w:p>
    <w:p w14:paraId="4DA8C111" w14:textId="77777777" w:rsidR="009E67C8" w:rsidRPr="00FE0243" w:rsidRDefault="003965FD" w:rsidP="009C2DF0">
      <w:pPr>
        <w:pStyle w:val="BodyText"/>
        <w:rPr>
          <w:rFonts w:ascii="Times New Roman" w:hAnsi="Times New Roman"/>
          <w:color w:val="000000"/>
        </w:rPr>
      </w:pPr>
      <w:r w:rsidRPr="00FE0243">
        <w:rPr>
          <w:rFonts w:ascii="Times New Roman" w:hAnsi="Times New Roman"/>
          <w:color w:val="000000"/>
        </w:rPr>
        <w:t>Content strategy includes:</w:t>
      </w:r>
    </w:p>
    <w:p w14:paraId="5E037E71" w14:textId="05DB4581" w:rsidR="009E67C8" w:rsidRPr="00584D7B" w:rsidRDefault="003965FD" w:rsidP="009C2DF0">
      <w:pPr>
        <w:pStyle w:val="BodyText"/>
        <w:numPr>
          <w:ilvl w:val="0"/>
          <w:numId w:val="5"/>
        </w:numPr>
        <w:spacing w:after="0" w:line="276" w:lineRule="auto"/>
        <w:rPr>
          <w:rFonts w:ascii="Times New Roman" w:hAnsi="Times New Roman"/>
          <w:color w:val="000000"/>
        </w:rPr>
      </w:pPr>
      <w:r w:rsidRPr="00FE0243">
        <w:rPr>
          <w:rFonts w:ascii="Times New Roman" w:hAnsi="Times New Roman"/>
          <w:color w:val="000000"/>
        </w:rPr>
        <w:lastRenderedPageBreak/>
        <w:t>Time-saving — focus on short messages and useful tips</w:t>
      </w:r>
      <w:r w:rsidR="009E67C8" w:rsidRPr="00FE0243">
        <w:rPr>
          <w:rFonts w:ascii="Times New Roman" w:hAnsi="Times New Roman"/>
          <w:color w:val="000000"/>
        </w:rPr>
        <w:t xml:space="preserve"> </w:t>
      </w:r>
      <w:r w:rsidRPr="00FE0243">
        <w:rPr>
          <w:rFonts w:ascii="Times New Roman" w:hAnsi="Times New Roman"/>
          <w:color w:val="000000"/>
        </w:rPr>
        <w:t>/</w:t>
      </w:r>
      <w:r w:rsidR="009E67C8" w:rsidRPr="00FE0243">
        <w:rPr>
          <w:rFonts w:ascii="Times New Roman" w:hAnsi="Times New Roman"/>
          <w:color w:val="000000"/>
        </w:rPr>
        <w:t xml:space="preserve"> </w:t>
      </w:r>
      <w:r w:rsidRPr="00FE0243">
        <w:rPr>
          <w:rFonts w:ascii="Times New Roman" w:hAnsi="Times New Roman"/>
          <w:color w:val="000000"/>
        </w:rPr>
        <w:t>tools</w:t>
      </w:r>
      <w:r w:rsidR="009E67C8" w:rsidRPr="00FE0243">
        <w:rPr>
          <w:rFonts w:ascii="Times New Roman" w:hAnsi="Times New Roman"/>
          <w:color w:val="000000"/>
        </w:rPr>
        <w:t xml:space="preserve"> </w:t>
      </w:r>
      <w:r w:rsidRPr="00FE0243">
        <w:rPr>
          <w:rFonts w:ascii="Times New Roman" w:hAnsi="Times New Roman"/>
          <w:color w:val="000000"/>
        </w:rPr>
        <w:t>/</w:t>
      </w:r>
      <w:r w:rsidR="009E67C8" w:rsidRPr="00FE0243">
        <w:rPr>
          <w:rFonts w:ascii="Times New Roman" w:hAnsi="Times New Roman"/>
          <w:color w:val="000000"/>
        </w:rPr>
        <w:t xml:space="preserve"> </w:t>
      </w:r>
      <w:r w:rsidRPr="00FE0243">
        <w:rPr>
          <w:rFonts w:ascii="Times New Roman" w:hAnsi="Times New Roman"/>
          <w:color w:val="000000"/>
        </w:rPr>
        <w:t>facts</w:t>
      </w:r>
      <w:r w:rsidR="005E37DD">
        <w:rPr>
          <w:rFonts w:ascii="Times New Roman" w:hAnsi="Times New Roman"/>
          <w:color w:val="000000"/>
        </w:rPr>
        <w:t xml:space="preserve"> that are easy to absorb</w:t>
      </w:r>
      <w:r w:rsidR="00584D7B">
        <w:rPr>
          <w:rFonts w:ascii="Times New Roman" w:hAnsi="Times New Roman"/>
          <w:color w:val="000000"/>
        </w:rPr>
        <w:t xml:space="preserve"> given </w:t>
      </w:r>
      <w:r w:rsidR="00AC494B">
        <w:rPr>
          <w:rFonts w:ascii="Times New Roman" w:hAnsi="Times New Roman"/>
          <w:color w:val="000000"/>
        </w:rPr>
        <w:t xml:space="preserve">our </w:t>
      </w:r>
      <w:r w:rsidR="00584D7B">
        <w:rPr>
          <w:rFonts w:ascii="Times New Roman" w:hAnsi="Times New Roman"/>
          <w:color w:val="000000"/>
        </w:rPr>
        <w:t>audiences’ busy lives.</w:t>
      </w:r>
    </w:p>
    <w:p w14:paraId="3F252316" w14:textId="0940AD62" w:rsidR="00AC494B" w:rsidRDefault="00584D7B" w:rsidP="00AC494B">
      <w:pPr>
        <w:pStyle w:val="BodyText"/>
        <w:numPr>
          <w:ilvl w:val="0"/>
          <w:numId w:val="5"/>
        </w:numPr>
        <w:spacing w:after="0" w:line="276" w:lineRule="auto"/>
        <w:rPr>
          <w:rFonts w:ascii="Times New Roman" w:hAnsi="Times New Roman"/>
          <w:color w:val="000000"/>
        </w:rPr>
      </w:pPr>
      <w:r>
        <w:rPr>
          <w:rFonts w:ascii="Times New Roman" w:hAnsi="Times New Roman"/>
          <w:color w:val="000000"/>
        </w:rPr>
        <w:t xml:space="preserve">Relevance </w:t>
      </w:r>
      <w:r w:rsidRPr="00FE0243">
        <w:rPr>
          <w:rFonts w:ascii="Times New Roman" w:hAnsi="Times New Roman"/>
          <w:color w:val="000000"/>
        </w:rPr>
        <w:t>— </w:t>
      </w:r>
      <w:r w:rsidR="00AC494B">
        <w:rPr>
          <w:rFonts w:ascii="Times New Roman" w:hAnsi="Times New Roman"/>
          <w:color w:val="000000"/>
        </w:rPr>
        <w:t>e</w:t>
      </w:r>
      <w:r>
        <w:rPr>
          <w:rFonts w:ascii="Times New Roman" w:hAnsi="Times New Roman"/>
          <w:color w:val="000000"/>
        </w:rPr>
        <w:t xml:space="preserve">nsure revised HEADS UP materials meet </w:t>
      </w:r>
      <w:r w:rsidR="00AC494B">
        <w:rPr>
          <w:rFonts w:ascii="Times New Roman" w:hAnsi="Times New Roman"/>
          <w:color w:val="000000"/>
        </w:rPr>
        <w:t xml:space="preserve">our </w:t>
      </w:r>
      <w:r>
        <w:rPr>
          <w:rFonts w:ascii="Times New Roman" w:hAnsi="Times New Roman"/>
          <w:color w:val="000000"/>
        </w:rPr>
        <w:t>audiences’ current information needs and preferences regarding concussion</w:t>
      </w:r>
      <w:r w:rsidR="00AC494B">
        <w:rPr>
          <w:rFonts w:ascii="Times New Roman" w:hAnsi="Times New Roman"/>
          <w:color w:val="000000"/>
        </w:rPr>
        <w:t xml:space="preserve"> and are useful in the diverse settings in which they seek to prevent, respond, manage and address concussions.</w:t>
      </w:r>
    </w:p>
    <w:p w14:paraId="22913B6A" w14:textId="1228BBA8" w:rsidR="00AC494B" w:rsidRPr="00FE0243" w:rsidRDefault="00AC494B" w:rsidP="00AC494B">
      <w:pPr>
        <w:pStyle w:val="BodyText"/>
        <w:numPr>
          <w:ilvl w:val="0"/>
          <w:numId w:val="5"/>
        </w:numPr>
        <w:spacing w:after="0" w:line="276" w:lineRule="auto"/>
        <w:rPr>
          <w:rFonts w:ascii="Times New Roman" w:hAnsi="Times New Roman"/>
          <w:color w:val="000000"/>
        </w:rPr>
      </w:pPr>
      <w:r>
        <w:rPr>
          <w:rFonts w:ascii="Times New Roman" w:hAnsi="Times New Roman"/>
          <w:color w:val="000000"/>
        </w:rPr>
        <w:t>Accessible</w:t>
      </w:r>
      <w:r w:rsidRPr="00FE0243">
        <w:rPr>
          <w:rFonts w:ascii="Times New Roman" w:hAnsi="Times New Roman"/>
          <w:color w:val="000000"/>
        </w:rPr>
        <w:t xml:space="preserve"> — </w:t>
      </w:r>
      <w:r>
        <w:rPr>
          <w:rFonts w:ascii="Times New Roman" w:hAnsi="Times New Roman"/>
          <w:color w:val="000000"/>
        </w:rPr>
        <w:t>ensure the tone is</w:t>
      </w:r>
      <w:r w:rsidR="00247756">
        <w:rPr>
          <w:rFonts w:ascii="Times New Roman" w:hAnsi="Times New Roman"/>
          <w:color w:val="000000"/>
        </w:rPr>
        <w:t xml:space="preserve"> direct, clear, real and salient with our audiences.</w:t>
      </w:r>
    </w:p>
    <w:p w14:paraId="181CC3D3" w14:textId="77777777" w:rsidR="00AC494B" w:rsidRPr="00AC494B" w:rsidRDefault="00AC494B" w:rsidP="00247756">
      <w:pPr>
        <w:pStyle w:val="BodyText"/>
        <w:spacing w:after="0" w:line="276" w:lineRule="auto"/>
        <w:ind w:left="720"/>
        <w:rPr>
          <w:rFonts w:ascii="Times New Roman" w:hAnsi="Times New Roman"/>
          <w:color w:val="000000"/>
        </w:rPr>
      </w:pPr>
    </w:p>
    <w:p w14:paraId="79158F74" w14:textId="77777777" w:rsidR="003965FD" w:rsidRPr="00FE0243" w:rsidRDefault="003965FD" w:rsidP="009C2DF0"/>
    <w:p w14:paraId="21C04A4B" w14:textId="4AB65AC7" w:rsidR="003965FD" w:rsidRPr="001B4E0F" w:rsidRDefault="003965FD" w:rsidP="009C2DF0">
      <w:pPr>
        <w:rPr>
          <w:b/>
        </w:rPr>
      </w:pPr>
      <w:r w:rsidRPr="00FE0243">
        <w:rPr>
          <w:b/>
        </w:rPr>
        <w:t>What are we trying to convey?</w:t>
      </w:r>
    </w:p>
    <w:p w14:paraId="2D53322A" w14:textId="0EEE68FD" w:rsidR="003965FD" w:rsidRPr="00FE0243" w:rsidRDefault="0020024E" w:rsidP="009C2DF0">
      <w:pPr>
        <w:spacing w:line="276" w:lineRule="auto"/>
      </w:pPr>
      <w:r>
        <w:t xml:space="preserve">Our goal is to </w:t>
      </w:r>
      <w:r w:rsidR="009D63EC">
        <w:t xml:space="preserve">convey </w:t>
      </w:r>
      <w:r>
        <w:t xml:space="preserve">the message </w:t>
      </w:r>
      <w:r w:rsidR="00584D7B">
        <w:t xml:space="preserve">to audiences that concussion is a serious injury and every audience has a responsibility to know how to </w:t>
      </w:r>
      <w:r w:rsidR="00456C5B">
        <w:t xml:space="preserve">protect themselves from concussion, </w:t>
      </w:r>
      <w:r w:rsidR="00584D7B">
        <w:t>recognize the signs and symptoms of concussion</w:t>
      </w:r>
      <w:r w:rsidR="00456C5B">
        <w:t>,</w:t>
      </w:r>
      <w:r w:rsidR="00584D7B">
        <w:t xml:space="preserve"> and </w:t>
      </w:r>
      <w:r w:rsidR="00456C5B">
        <w:t xml:space="preserve">know </w:t>
      </w:r>
      <w:r w:rsidR="00584D7B">
        <w:t>what to do if they suspect a young athlete has a concussion.</w:t>
      </w:r>
    </w:p>
    <w:p w14:paraId="0859432F" w14:textId="77777777" w:rsidR="00E03FB6" w:rsidRDefault="00E03FB6" w:rsidP="009C2DF0">
      <w:pPr>
        <w:spacing w:line="276" w:lineRule="auto"/>
      </w:pPr>
    </w:p>
    <w:p w14:paraId="51A40D2B" w14:textId="50C55B22" w:rsidR="00E03FB6" w:rsidRDefault="00E03FB6" w:rsidP="001B4E0F">
      <w:pPr>
        <w:rPr>
          <w:b/>
        </w:rPr>
      </w:pPr>
      <w:r>
        <w:rPr>
          <w:b/>
        </w:rPr>
        <w:t xml:space="preserve">How are we </w:t>
      </w:r>
      <w:r w:rsidRPr="00E03FB6">
        <w:rPr>
          <w:b/>
        </w:rPr>
        <w:t>recruit</w:t>
      </w:r>
      <w:r>
        <w:rPr>
          <w:b/>
        </w:rPr>
        <w:t xml:space="preserve">ing and </w:t>
      </w:r>
      <w:r w:rsidRPr="00E03FB6">
        <w:rPr>
          <w:b/>
        </w:rPr>
        <w:t xml:space="preserve">screening </w:t>
      </w:r>
      <w:r>
        <w:rPr>
          <w:b/>
        </w:rPr>
        <w:t>p</w:t>
      </w:r>
      <w:r w:rsidR="008038BF">
        <w:rPr>
          <w:b/>
        </w:rPr>
        <w:t>artic</w:t>
      </w:r>
      <w:r w:rsidR="00706DE4">
        <w:rPr>
          <w:b/>
        </w:rPr>
        <w:t>i</w:t>
      </w:r>
      <w:r w:rsidR="008038BF">
        <w:rPr>
          <w:b/>
        </w:rPr>
        <w:t>pant</w:t>
      </w:r>
      <w:r>
        <w:rPr>
          <w:b/>
        </w:rPr>
        <w:t>s?</w:t>
      </w:r>
    </w:p>
    <w:p w14:paraId="01974EE8" w14:textId="35893B0D" w:rsidR="00150B75" w:rsidRPr="001B4E0F" w:rsidRDefault="001B4E0F" w:rsidP="001B4E0F">
      <w:pPr>
        <w:spacing w:line="276" w:lineRule="auto"/>
        <w:rPr>
          <w:bCs/>
        </w:rPr>
      </w:pPr>
      <w:r>
        <w:rPr>
          <w:bCs/>
        </w:rPr>
        <w:t>Focus groups</w:t>
      </w:r>
      <w:r w:rsidR="00584D7B" w:rsidRPr="001B4E0F">
        <w:rPr>
          <w:bCs/>
        </w:rPr>
        <w:t xml:space="preserve"> </w:t>
      </w:r>
      <w:r w:rsidR="00C45A94" w:rsidRPr="001B4E0F">
        <w:rPr>
          <w:bCs/>
        </w:rPr>
        <w:t xml:space="preserve">will be conducted </w:t>
      </w:r>
      <w:r w:rsidR="00584D7B" w:rsidRPr="001B4E0F">
        <w:rPr>
          <w:bCs/>
        </w:rPr>
        <w:t xml:space="preserve">with </w:t>
      </w:r>
      <w:r w:rsidR="009255C7" w:rsidRPr="001B4E0F">
        <w:rPr>
          <w:bCs/>
        </w:rPr>
        <w:t>up to 15</w:t>
      </w:r>
      <w:r w:rsidR="00263DD4" w:rsidRPr="001B4E0F">
        <w:rPr>
          <w:bCs/>
        </w:rPr>
        <w:t>0</w:t>
      </w:r>
      <w:r w:rsidR="00584D7B" w:rsidRPr="001B4E0F">
        <w:rPr>
          <w:bCs/>
        </w:rPr>
        <w:t xml:space="preserve"> </w:t>
      </w:r>
      <w:r w:rsidR="00E77C62" w:rsidRPr="001B4E0F">
        <w:rPr>
          <w:bCs/>
        </w:rPr>
        <w:t>representatives of</w:t>
      </w:r>
      <w:r w:rsidR="00263DD4" w:rsidRPr="001B4E0F">
        <w:rPr>
          <w:bCs/>
        </w:rPr>
        <w:t xml:space="preserve"> the five audiences (</w:t>
      </w:r>
      <w:r w:rsidR="009255C7" w:rsidRPr="001B4E0F">
        <w:rPr>
          <w:bCs/>
        </w:rPr>
        <w:t>recruit 3</w:t>
      </w:r>
      <w:r w:rsidR="00665179" w:rsidRPr="001B4E0F">
        <w:rPr>
          <w:bCs/>
        </w:rPr>
        <w:t>0</w:t>
      </w:r>
      <w:r w:rsidR="00584D7B" w:rsidRPr="001B4E0F">
        <w:rPr>
          <w:bCs/>
        </w:rPr>
        <w:t xml:space="preserve"> representative from each audience) to learn about perceptions and experiences with HEADS UP. </w:t>
      </w:r>
      <w:r>
        <w:rPr>
          <w:bCs/>
        </w:rPr>
        <w:t>Focus groups</w:t>
      </w:r>
      <w:r w:rsidR="00584D7B" w:rsidRPr="001B4E0F">
        <w:rPr>
          <w:bCs/>
        </w:rPr>
        <w:t xml:space="preserve"> will identify how HEADS UP resources are</w:t>
      </w:r>
      <w:r w:rsidR="00641362" w:rsidRPr="001B4E0F">
        <w:rPr>
          <w:bCs/>
        </w:rPr>
        <w:t>/could be</w:t>
      </w:r>
      <w:r w:rsidR="00584D7B" w:rsidRPr="001B4E0F">
        <w:rPr>
          <w:bCs/>
        </w:rPr>
        <w:t xml:space="preserve"> used, areas where gaps in content and format exist, and factors that influence or create barriers to </w:t>
      </w:r>
      <w:r w:rsidR="00E93B1C" w:rsidRPr="001B4E0F">
        <w:rPr>
          <w:bCs/>
        </w:rPr>
        <w:t>behaviour</w:t>
      </w:r>
      <w:r w:rsidR="00584D7B" w:rsidRPr="001B4E0F">
        <w:rPr>
          <w:bCs/>
        </w:rPr>
        <w:t xml:space="preserve"> change related to concussion. </w:t>
      </w:r>
      <w:r w:rsidR="009255C7" w:rsidRPr="001B4E0F">
        <w:rPr>
          <w:bCs/>
        </w:rPr>
        <w:t xml:space="preserve">We will conduct six </w:t>
      </w:r>
      <w:r>
        <w:rPr>
          <w:bCs/>
        </w:rPr>
        <w:t>focus groups</w:t>
      </w:r>
      <w:r w:rsidR="009255C7" w:rsidRPr="001B4E0F">
        <w:rPr>
          <w:bCs/>
        </w:rPr>
        <w:t xml:space="preserve">. We will recruit five participants for each </w:t>
      </w:r>
      <w:r>
        <w:rPr>
          <w:bCs/>
        </w:rPr>
        <w:t>group</w:t>
      </w:r>
      <w:r w:rsidR="009255C7" w:rsidRPr="001B4E0F">
        <w:rPr>
          <w:bCs/>
        </w:rPr>
        <w:t xml:space="preserve"> for three participants to attend each </w:t>
      </w:r>
      <w:r>
        <w:rPr>
          <w:bCs/>
        </w:rPr>
        <w:t>group</w:t>
      </w:r>
      <w:r w:rsidR="009255C7" w:rsidRPr="001B4E0F">
        <w:rPr>
          <w:bCs/>
        </w:rPr>
        <w:t xml:space="preserve">. </w:t>
      </w:r>
      <w:r w:rsidR="00150B75">
        <w:t xml:space="preserve">Information collection with parents, coaches, youth and high school athletes, healthcare providers, and school professionals for the triads will be conducted using a telephone screener and survey that identifies these targeted audiences. See </w:t>
      </w:r>
      <w:r w:rsidR="005C2BF9">
        <w:t>Attachment</w:t>
      </w:r>
      <w:r w:rsidR="00150B75">
        <w:t xml:space="preserve"> B for Screeners. Recruitment and screening will be conducted through </w:t>
      </w:r>
      <w:r w:rsidR="00150B75" w:rsidRPr="009B2660">
        <w:t xml:space="preserve">HEADS UP networks and partners to ensure we reach audience members with experience using the HEADS UP materials.  </w:t>
      </w:r>
    </w:p>
    <w:p w14:paraId="07BC5D33" w14:textId="77777777" w:rsidR="002A628B" w:rsidRDefault="002A628B" w:rsidP="002A628B">
      <w:pPr>
        <w:spacing w:line="276" w:lineRule="auto"/>
        <w:rPr>
          <w:bCs/>
        </w:rPr>
      </w:pPr>
    </w:p>
    <w:p w14:paraId="2CA9C4E9" w14:textId="77777777" w:rsidR="00306CE2" w:rsidRDefault="00C45A94" w:rsidP="002A628B">
      <w:pPr>
        <w:spacing w:line="276" w:lineRule="auto"/>
      </w:pPr>
      <w:r w:rsidRPr="002A628B">
        <w:rPr>
          <w:bCs/>
        </w:rPr>
        <w:t>A</w:t>
      </w:r>
      <w:r w:rsidR="009B2660" w:rsidRPr="002A628B">
        <w:rPr>
          <w:bCs/>
        </w:rPr>
        <w:t xml:space="preserve"> series of </w:t>
      </w:r>
      <w:r w:rsidR="002A628B">
        <w:rPr>
          <w:bCs/>
        </w:rPr>
        <w:t>focus groups</w:t>
      </w:r>
      <w:r w:rsidR="009B2660" w:rsidRPr="002A628B">
        <w:rPr>
          <w:bCs/>
        </w:rPr>
        <w:t xml:space="preserve"> with a subset of </w:t>
      </w:r>
      <w:r w:rsidR="009C4C95" w:rsidRPr="002A628B">
        <w:rPr>
          <w:bCs/>
        </w:rPr>
        <w:t xml:space="preserve">15 </w:t>
      </w:r>
      <w:r w:rsidR="009B2660" w:rsidRPr="002A628B">
        <w:rPr>
          <w:bCs/>
        </w:rPr>
        <w:t xml:space="preserve">respondents from the </w:t>
      </w:r>
      <w:r w:rsidR="002A628B">
        <w:rPr>
          <w:bCs/>
        </w:rPr>
        <w:t>focus groups</w:t>
      </w:r>
      <w:r w:rsidR="009B2660" w:rsidRPr="002A628B">
        <w:rPr>
          <w:bCs/>
        </w:rPr>
        <w:t xml:space="preserve"> above</w:t>
      </w:r>
      <w:r w:rsidRPr="002A628B">
        <w:rPr>
          <w:bCs/>
        </w:rPr>
        <w:t xml:space="preserve"> will be conducted</w:t>
      </w:r>
      <w:r w:rsidR="009B2660" w:rsidRPr="002A628B">
        <w:rPr>
          <w:bCs/>
        </w:rPr>
        <w:t xml:space="preserve"> </w:t>
      </w:r>
      <w:r w:rsidR="00584D7B" w:rsidRPr="002A628B">
        <w:rPr>
          <w:bCs/>
        </w:rPr>
        <w:t xml:space="preserve">to gain feedback on revised HEADS UP materials based on the input from the </w:t>
      </w:r>
      <w:r w:rsidR="002A628B">
        <w:rPr>
          <w:bCs/>
        </w:rPr>
        <w:t>focus groups</w:t>
      </w:r>
      <w:r w:rsidR="00584D7B" w:rsidRPr="002A628B">
        <w:rPr>
          <w:bCs/>
        </w:rPr>
        <w:t xml:space="preserve">. </w:t>
      </w:r>
      <w:r w:rsidR="00150B75" w:rsidRPr="00BD3A0B">
        <w:t xml:space="preserve">Information collection with parents, coaches, youth, healthcare providers, and school professionals for the </w:t>
      </w:r>
      <w:r w:rsidR="002A628B">
        <w:t>focus groups</w:t>
      </w:r>
      <w:r w:rsidR="00150B75" w:rsidRPr="00BD3A0B">
        <w:t xml:space="preserve"> will be conducted using a telephone screener that identified these target audiences. Research participants will be recruited from a subset of participants in the </w:t>
      </w:r>
      <w:r w:rsidR="002A628B">
        <w:t>groups</w:t>
      </w:r>
      <w:r w:rsidR="00150B75">
        <w:t xml:space="preserve"> outlined above</w:t>
      </w:r>
      <w:r w:rsidR="00150B75" w:rsidRPr="00BD3A0B">
        <w:t xml:space="preserve">. </w:t>
      </w:r>
      <w:r w:rsidR="00150B75">
        <w:t>Recruitment and screening similarly will be conducted through outreach to HEADS UP partners and networks to ensure we reach audience members with experience using the HEADS UP materials.</w:t>
      </w:r>
      <w:r w:rsidR="002A628B">
        <w:t xml:space="preserve"> </w:t>
      </w:r>
    </w:p>
    <w:p w14:paraId="3603798C" w14:textId="77777777" w:rsidR="00306CE2" w:rsidRDefault="00306CE2" w:rsidP="002A628B">
      <w:pPr>
        <w:spacing w:line="276" w:lineRule="auto"/>
      </w:pPr>
    </w:p>
    <w:p w14:paraId="3A3E7B06" w14:textId="14F68410" w:rsidR="00584D7B" w:rsidRDefault="002A628B" w:rsidP="002A628B">
      <w:pPr>
        <w:spacing w:line="276" w:lineRule="auto"/>
      </w:pPr>
      <w:r>
        <w:t xml:space="preserve">Attachment C includes the survey instruments for the focus groups and follow up focus groups. </w:t>
      </w:r>
      <w:r w:rsidR="00306CE2">
        <w:t>Attachment D includes the informed consent forms for this study.</w:t>
      </w:r>
    </w:p>
    <w:p w14:paraId="2FFAF8F5" w14:textId="77777777" w:rsidR="00584D7B" w:rsidRDefault="00584D7B" w:rsidP="009C2DF0">
      <w:pPr>
        <w:spacing w:line="276" w:lineRule="auto"/>
      </w:pPr>
    </w:p>
    <w:p w14:paraId="007A4D02" w14:textId="6EE8FDEC" w:rsidR="0009180C" w:rsidRPr="0009180C" w:rsidRDefault="0009180C" w:rsidP="00BD3A0B">
      <w:pPr>
        <w:spacing w:line="276" w:lineRule="auto"/>
        <w:rPr>
          <w:i/>
          <w:color w:val="auto"/>
        </w:rPr>
      </w:pPr>
      <w:r>
        <w:rPr>
          <w:i/>
          <w:color w:val="auto"/>
        </w:rPr>
        <w:t>Incentives</w:t>
      </w:r>
    </w:p>
    <w:p w14:paraId="722F3F7E" w14:textId="2B4FF113" w:rsidR="00F24657" w:rsidRDefault="00BD3A0B" w:rsidP="00D13F95">
      <w:pPr>
        <w:spacing w:line="276" w:lineRule="auto"/>
      </w:pPr>
      <w:r w:rsidRPr="00BD3A0B">
        <w:rPr>
          <w:color w:val="auto"/>
        </w:rPr>
        <w:t>We intend to provide incentives for the phone-based</w:t>
      </w:r>
      <w:r w:rsidR="009C4C95">
        <w:rPr>
          <w:color w:val="auto"/>
        </w:rPr>
        <w:t xml:space="preserve"> </w:t>
      </w:r>
      <w:r w:rsidR="002A628B">
        <w:rPr>
          <w:color w:val="auto"/>
        </w:rPr>
        <w:t>focus groups</w:t>
      </w:r>
      <w:r w:rsidRPr="00BD3A0B">
        <w:rPr>
          <w:color w:val="auto"/>
        </w:rPr>
        <w:t xml:space="preserve">. In our past research activities with HEADS UP audiences, we have found that offering an incentive </w:t>
      </w:r>
      <w:r w:rsidR="002A628B">
        <w:rPr>
          <w:color w:val="auto"/>
        </w:rPr>
        <w:t>was</w:t>
      </w:r>
      <w:r w:rsidRPr="00BD3A0B">
        <w:rPr>
          <w:color w:val="auto"/>
        </w:rPr>
        <w:t xml:space="preserve"> an important part of our recruitment strategy and greatly helped us recruit diverse participants with many competing demands on their time, increase participation, and reduce overall data collection costs. </w:t>
      </w:r>
      <w:r w:rsidR="005E0019" w:rsidRPr="00437ECF">
        <w:t>Participants (apart from youth and high school athletes) will be offered $</w:t>
      </w:r>
      <w:r w:rsidR="00F24657">
        <w:t>30</w:t>
      </w:r>
      <w:r w:rsidR="005E0019" w:rsidRPr="00437ECF">
        <w:t xml:space="preserve"> to participate in </w:t>
      </w:r>
      <w:r w:rsidR="005E0019">
        <w:t>the focus groups</w:t>
      </w:r>
      <w:r w:rsidR="005E0019" w:rsidRPr="00437ECF">
        <w:t xml:space="preserve"> and $</w:t>
      </w:r>
      <w:r w:rsidR="00F24657">
        <w:t>20</w:t>
      </w:r>
      <w:r w:rsidR="005E0019" w:rsidRPr="00437ECF">
        <w:t xml:space="preserve"> to participate in </w:t>
      </w:r>
      <w:r w:rsidR="005E0019">
        <w:lastRenderedPageBreak/>
        <w:t>the follow up focus groups</w:t>
      </w:r>
      <w:r w:rsidR="005E0019" w:rsidRPr="00437ECF">
        <w:t>. Youth and high school athletes will be offered $</w:t>
      </w:r>
      <w:r w:rsidR="00F24657">
        <w:t>20</w:t>
      </w:r>
      <w:r w:rsidR="005E0019" w:rsidRPr="00437ECF">
        <w:t xml:space="preserve"> to participate in </w:t>
      </w:r>
      <w:r w:rsidR="005E0019">
        <w:t>the focus groups</w:t>
      </w:r>
      <w:r w:rsidR="005E0019" w:rsidRPr="00437ECF">
        <w:t xml:space="preserve"> and $1</w:t>
      </w:r>
      <w:r w:rsidR="00F24657">
        <w:t>5</w:t>
      </w:r>
      <w:bookmarkStart w:id="0" w:name="_GoBack"/>
      <w:bookmarkEnd w:id="0"/>
      <w:r w:rsidR="005E0019" w:rsidRPr="00437ECF">
        <w:t xml:space="preserve"> to participate in </w:t>
      </w:r>
      <w:r w:rsidR="005E0019">
        <w:t>the follow up focus groups</w:t>
      </w:r>
      <w:r w:rsidR="005E0019" w:rsidRPr="00437ECF">
        <w:t xml:space="preserve">. </w:t>
      </w:r>
    </w:p>
    <w:p w14:paraId="3ABCFD16" w14:textId="77777777" w:rsidR="00F24657" w:rsidRDefault="00F24657" w:rsidP="00D13F95">
      <w:pPr>
        <w:spacing w:line="276" w:lineRule="auto"/>
      </w:pPr>
    </w:p>
    <w:p w14:paraId="7E9FD854" w14:textId="7F45FF78" w:rsidR="005E0019" w:rsidRDefault="00D13F95" w:rsidP="00BD3A0B">
      <w:pPr>
        <w:spacing w:line="276" w:lineRule="auto"/>
      </w:pPr>
      <w:r w:rsidRPr="00BD3A0B">
        <w:rPr>
          <w:color w:val="auto"/>
        </w:rPr>
        <w:t>Providing incentives is also standard pract</w:t>
      </w:r>
      <w:r>
        <w:rPr>
          <w:color w:val="auto"/>
        </w:rPr>
        <w:t>ice when conducting small group discussions</w:t>
      </w:r>
      <w:r w:rsidRPr="00BD3A0B">
        <w:rPr>
          <w:color w:val="auto"/>
        </w:rPr>
        <w:t xml:space="preserve">. In focus groups, incentives are typically provided to help ensure that enough participants take part in the </w:t>
      </w:r>
      <w:r w:rsidRPr="00437ECF">
        <w:rPr>
          <w:color w:val="auto"/>
        </w:rPr>
        <w:t xml:space="preserve">focus group (1) and they can </w:t>
      </w:r>
      <w:r w:rsidRPr="00437ECF">
        <w:rPr>
          <w:iCs/>
          <w:color w:val="auto"/>
        </w:rPr>
        <w:t>serve as a “stimulus [for participants] to attend the session”</w:t>
      </w:r>
      <w:r w:rsidRPr="00437ECF">
        <w:rPr>
          <w:color w:val="auto"/>
        </w:rPr>
        <w:t xml:space="preserve"> (2). </w:t>
      </w:r>
      <w:r w:rsidR="005E0019">
        <w:t xml:space="preserve">Existing research about audiences’ knowledge and behaviors related to concussion indicates that </w:t>
      </w:r>
      <w:r w:rsidR="005E0019">
        <w:rPr>
          <w:color w:val="221E1F"/>
        </w:rPr>
        <w:t>a</w:t>
      </w:r>
      <w:r w:rsidR="005E0019" w:rsidRPr="007402C4">
        <w:rPr>
          <w:color w:val="221E1F"/>
        </w:rPr>
        <w:t xml:space="preserve">s many as two thirds of young athletes </w:t>
      </w:r>
      <w:r w:rsidR="005E0019">
        <w:rPr>
          <w:color w:val="221E1F"/>
        </w:rPr>
        <w:t>do</w:t>
      </w:r>
      <w:r w:rsidR="005E0019" w:rsidRPr="007402C4">
        <w:rPr>
          <w:color w:val="221E1F"/>
        </w:rPr>
        <w:t xml:space="preserve"> not take th</w:t>
      </w:r>
      <w:r w:rsidR="005E0019">
        <w:rPr>
          <w:color w:val="221E1F"/>
        </w:rPr>
        <w:t xml:space="preserve">e critical first step of reporting their concussion symptoms (3, 4). </w:t>
      </w:r>
      <w:r>
        <w:rPr>
          <w:color w:val="221E1F"/>
        </w:rPr>
        <w:t>Our research indicates that concussion is a sensitive topic for young athletes, their parents, coaches, health care providers, and school professionals</w:t>
      </w:r>
      <w:r w:rsidR="00E61640">
        <w:rPr>
          <w:color w:val="221E1F"/>
        </w:rPr>
        <w:t>,</w:t>
      </w:r>
      <w:r>
        <w:rPr>
          <w:color w:val="221E1F"/>
        </w:rPr>
        <w:t xml:space="preserve"> and there are barriers that athletes face to reporting their symptoms. Given these considerations</w:t>
      </w:r>
      <w:r w:rsidR="00E61640">
        <w:rPr>
          <w:color w:val="221E1F"/>
        </w:rPr>
        <w:t xml:space="preserve">, we feel that it is necessary to offer incentives for these focus groups so that audiences are willing to speak openly about this issue. </w:t>
      </w:r>
    </w:p>
    <w:p w14:paraId="0F4A679D" w14:textId="77777777" w:rsidR="002A628B" w:rsidRPr="00437ECF" w:rsidRDefault="002A628B" w:rsidP="00BD3A0B">
      <w:pPr>
        <w:spacing w:line="276" w:lineRule="auto"/>
      </w:pPr>
    </w:p>
    <w:p w14:paraId="4EBBF106" w14:textId="77777777" w:rsidR="005F1B40" w:rsidRPr="00BD3A0B" w:rsidRDefault="005F1B40" w:rsidP="00BD3A0B">
      <w:pPr>
        <w:pStyle w:val="ListParagraph"/>
        <w:numPr>
          <w:ilvl w:val="0"/>
          <w:numId w:val="6"/>
        </w:numPr>
        <w:spacing w:line="276" w:lineRule="auto"/>
        <w:contextualSpacing w:val="0"/>
      </w:pPr>
      <w:r w:rsidRPr="00BD3A0B">
        <w:rPr>
          <w:i/>
        </w:rPr>
        <w:t>Making Health Communication Programs Work</w:t>
      </w:r>
      <w:r w:rsidRPr="00BD3A0B">
        <w:t xml:space="preserve">, National Cancer Institute, 2001  </w:t>
      </w:r>
      <w:hyperlink r:id="rId7" w:history="1">
        <w:r w:rsidRPr="00BD3A0B">
          <w:rPr>
            <w:rStyle w:val="Hyperlink"/>
            <w:color w:val="auto"/>
          </w:rPr>
          <w:t>http://www.cancer.gov/cancertopics/cancerlibrary/pinkbook/Pink_Book.pdf</w:t>
        </w:r>
      </w:hyperlink>
      <w:r w:rsidRPr="00BD3A0B">
        <w:t xml:space="preserve"> </w:t>
      </w:r>
    </w:p>
    <w:p w14:paraId="719412B4" w14:textId="474E7DF6" w:rsidR="005D0967" w:rsidRPr="005E0019" w:rsidRDefault="005F1B40" w:rsidP="00513C2A">
      <w:pPr>
        <w:pStyle w:val="ListParagraph"/>
        <w:numPr>
          <w:ilvl w:val="0"/>
          <w:numId w:val="6"/>
        </w:numPr>
        <w:spacing w:line="276" w:lineRule="auto"/>
        <w:contextualSpacing w:val="0"/>
        <w:rPr>
          <w:b/>
        </w:rPr>
      </w:pPr>
      <w:r w:rsidRPr="00513C2A">
        <w:rPr>
          <w:bCs/>
          <w:i/>
        </w:rPr>
        <w:t>Focus Groups: A Practical Guide for Applied Research</w:t>
      </w:r>
      <w:r w:rsidR="00263DD4" w:rsidRPr="00513C2A">
        <w:rPr>
          <w:bCs/>
        </w:rPr>
        <w:t xml:space="preserve">, </w:t>
      </w:r>
      <w:r w:rsidRPr="00513C2A">
        <w:rPr>
          <w:bCs/>
        </w:rPr>
        <w:t>Richard A. Krueger, Mary Anne Casey, 2008.</w:t>
      </w:r>
    </w:p>
    <w:p w14:paraId="124893E9" w14:textId="27604173" w:rsidR="005E0019" w:rsidRPr="005E0019" w:rsidRDefault="005E0019" w:rsidP="00513C2A">
      <w:pPr>
        <w:pStyle w:val="ListParagraph"/>
        <w:numPr>
          <w:ilvl w:val="0"/>
          <w:numId w:val="6"/>
        </w:numPr>
        <w:spacing w:line="276" w:lineRule="auto"/>
        <w:contextualSpacing w:val="0"/>
        <w:rPr>
          <w:b/>
        </w:rPr>
      </w:pPr>
      <w:r w:rsidRPr="00D057CD">
        <w:rPr>
          <w:color w:val="auto"/>
        </w:rPr>
        <w:t xml:space="preserve">Chrisman SP, Quitiquit C, Rivara FP. Qualitative study of barriers to concussive symptom reporting in high school athletics. </w:t>
      </w:r>
      <w:r w:rsidRPr="00D057CD">
        <w:rPr>
          <w:i/>
          <w:color w:val="auto"/>
        </w:rPr>
        <w:t>J Adolesc Health</w:t>
      </w:r>
      <w:r w:rsidRPr="00D057CD">
        <w:rPr>
          <w:color w:val="auto"/>
        </w:rPr>
        <w:t>. 2013;52(3):330-335.</w:t>
      </w:r>
    </w:p>
    <w:p w14:paraId="32BB9B8A" w14:textId="2B145C73" w:rsidR="005E0019" w:rsidRPr="00513C2A" w:rsidRDefault="005E0019" w:rsidP="00513C2A">
      <w:pPr>
        <w:pStyle w:val="ListParagraph"/>
        <w:numPr>
          <w:ilvl w:val="0"/>
          <w:numId w:val="6"/>
        </w:numPr>
        <w:spacing w:line="276" w:lineRule="auto"/>
        <w:contextualSpacing w:val="0"/>
        <w:rPr>
          <w:b/>
        </w:rPr>
      </w:pPr>
      <w:r w:rsidRPr="00D057CD">
        <w:t xml:space="preserve">Rivara FP, Schiff MA, Chrisman SP, Chung SK, Ellenbogen RG, Herring SA. The effect of coach education on reporting of concussions among high school athletes after passage of a </w:t>
      </w:r>
      <w:r w:rsidRPr="00D057CD">
        <w:rPr>
          <w:rStyle w:val="highlight2"/>
        </w:rPr>
        <w:t>concussion</w:t>
      </w:r>
      <w:r w:rsidRPr="00D057CD">
        <w:t xml:space="preserve"> law. </w:t>
      </w:r>
      <w:hyperlink r:id="rId8" w:tooltip="The American journal of sports medicine." w:history="1">
        <w:r w:rsidRPr="00D057CD">
          <w:rPr>
            <w:i/>
          </w:rPr>
          <w:t>Am J Sports Med</w:t>
        </w:r>
        <w:r w:rsidRPr="00D057CD">
          <w:t>.</w:t>
        </w:r>
      </w:hyperlink>
      <w:r w:rsidRPr="00D057CD">
        <w:t xml:space="preserve"> 2014;42(5):1197-1203.</w:t>
      </w:r>
    </w:p>
    <w:sectPr w:rsidR="005E0019" w:rsidRPr="00513C2A" w:rsidSect="00B327E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CE53E" w14:textId="77777777" w:rsidR="00167995" w:rsidRDefault="00167995" w:rsidP="00881F3E">
      <w:r>
        <w:separator/>
      </w:r>
    </w:p>
  </w:endnote>
  <w:endnote w:type="continuationSeparator" w:id="0">
    <w:p w14:paraId="43A5E77C" w14:textId="77777777" w:rsidR="00167995" w:rsidRDefault="00167995" w:rsidP="0088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DIN-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661DB" w14:textId="77777777" w:rsidR="00167995" w:rsidRDefault="00167995" w:rsidP="00881F3E">
      <w:r>
        <w:separator/>
      </w:r>
    </w:p>
  </w:footnote>
  <w:footnote w:type="continuationSeparator" w:id="0">
    <w:p w14:paraId="4CD3A6D3" w14:textId="77777777" w:rsidR="00167995" w:rsidRDefault="00167995" w:rsidP="00881F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8C4"/>
    <w:multiLevelType w:val="hybridMultilevel"/>
    <w:tmpl w:val="B08C685A"/>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973086"/>
    <w:multiLevelType w:val="hybridMultilevel"/>
    <w:tmpl w:val="E134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42E3F"/>
    <w:multiLevelType w:val="hybridMultilevel"/>
    <w:tmpl w:val="B142D562"/>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C298F"/>
    <w:multiLevelType w:val="hybridMultilevel"/>
    <w:tmpl w:val="FA7E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35819"/>
    <w:multiLevelType w:val="hybridMultilevel"/>
    <w:tmpl w:val="5F7A36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166B0"/>
    <w:multiLevelType w:val="hybridMultilevel"/>
    <w:tmpl w:val="62082102"/>
    <w:lvl w:ilvl="0" w:tplc="AFF60B30">
      <w:start w:val="1"/>
      <w:numFmt w:val="decimal"/>
      <w:lvlText w:val="%1."/>
      <w:lvlJc w:val="left"/>
      <w:pPr>
        <w:ind w:left="360" w:hanging="360"/>
      </w:pPr>
      <w:rPr>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1134012"/>
    <w:multiLevelType w:val="hybridMultilevel"/>
    <w:tmpl w:val="4E1C19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CF4C4D"/>
    <w:multiLevelType w:val="hybridMultilevel"/>
    <w:tmpl w:val="D2A0C1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BD3470"/>
    <w:multiLevelType w:val="hybridMultilevel"/>
    <w:tmpl w:val="EDFEAA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B3191E"/>
    <w:multiLevelType w:val="hybridMultilevel"/>
    <w:tmpl w:val="7676F1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3524C41"/>
    <w:multiLevelType w:val="hybridMultilevel"/>
    <w:tmpl w:val="33F81C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964C3E"/>
    <w:multiLevelType w:val="hybridMultilevel"/>
    <w:tmpl w:val="75AA925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700891"/>
    <w:multiLevelType w:val="hybridMultilevel"/>
    <w:tmpl w:val="954A9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6523D4"/>
    <w:multiLevelType w:val="hybridMultilevel"/>
    <w:tmpl w:val="317CEB26"/>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FE7D42"/>
    <w:multiLevelType w:val="hybridMultilevel"/>
    <w:tmpl w:val="3A6C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B7566"/>
    <w:multiLevelType w:val="hybridMultilevel"/>
    <w:tmpl w:val="43463604"/>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7A2D7E"/>
    <w:multiLevelType w:val="hybridMultilevel"/>
    <w:tmpl w:val="80AA8EF2"/>
    <w:lvl w:ilvl="0" w:tplc="4AA899D4">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3E52D1"/>
    <w:multiLevelType w:val="hybridMultilevel"/>
    <w:tmpl w:val="187805F0"/>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97F281F"/>
    <w:multiLevelType w:val="hybridMultilevel"/>
    <w:tmpl w:val="82FC8DE2"/>
    <w:lvl w:ilvl="0" w:tplc="985A31D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4C2E52"/>
    <w:multiLevelType w:val="hybridMultilevel"/>
    <w:tmpl w:val="733C60A8"/>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B6711C"/>
    <w:multiLevelType w:val="hybridMultilevel"/>
    <w:tmpl w:val="28860D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C87141"/>
    <w:multiLevelType w:val="hybridMultilevel"/>
    <w:tmpl w:val="608408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06563A"/>
    <w:multiLevelType w:val="hybridMultilevel"/>
    <w:tmpl w:val="5954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466500"/>
    <w:multiLevelType w:val="hybridMultilevel"/>
    <w:tmpl w:val="CAEEC196"/>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7AD0019"/>
    <w:multiLevelType w:val="hybridMultilevel"/>
    <w:tmpl w:val="E188A52C"/>
    <w:lvl w:ilvl="0" w:tplc="39549B84">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7A0B3B14"/>
    <w:multiLevelType w:val="hybridMultilevel"/>
    <w:tmpl w:val="39AA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6C4C49"/>
    <w:multiLevelType w:val="hybridMultilevel"/>
    <w:tmpl w:val="64B867B8"/>
    <w:lvl w:ilvl="0" w:tplc="B99E7904">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357FD"/>
    <w:multiLevelType w:val="hybridMultilevel"/>
    <w:tmpl w:val="7E66AD1E"/>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3"/>
  </w:num>
  <w:num w:numId="3">
    <w:abstractNumId w:val="14"/>
  </w:num>
  <w:num w:numId="4">
    <w:abstractNumId w:val="22"/>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4"/>
  </w:num>
  <w:num w:numId="9">
    <w:abstractNumId w:val="18"/>
  </w:num>
  <w:num w:numId="10">
    <w:abstractNumId w:val="9"/>
  </w:num>
  <w:num w:numId="11">
    <w:abstractNumId w:val="6"/>
  </w:num>
  <w:num w:numId="12">
    <w:abstractNumId w:val="27"/>
  </w:num>
  <w:num w:numId="13">
    <w:abstractNumId w:val="15"/>
  </w:num>
  <w:num w:numId="14">
    <w:abstractNumId w:val="10"/>
  </w:num>
  <w:num w:numId="15">
    <w:abstractNumId w:val="11"/>
  </w:num>
  <w:num w:numId="16">
    <w:abstractNumId w:val="20"/>
  </w:num>
  <w:num w:numId="17">
    <w:abstractNumId w:val="16"/>
  </w:num>
  <w:num w:numId="18">
    <w:abstractNumId w:val="26"/>
  </w:num>
  <w:num w:numId="19">
    <w:abstractNumId w:val="8"/>
  </w:num>
  <w:num w:numId="20">
    <w:abstractNumId w:val="21"/>
  </w:num>
  <w:num w:numId="21">
    <w:abstractNumId w:val="12"/>
  </w:num>
  <w:num w:numId="22">
    <w:abstractNumId w:val="7"/>
  </w:num>
  <w:num w:numId="23">
    <w:abstractNumId w:val="23"/>
  </w:num>
  <w:num w:numId="24">
    <w:abstractNumId w:val="13"/>
  </w:num>
  <w:num w:numId="25">
    <w:abstractNumId w:val="17"/>
  </w:num>
  <w:num w:numId="26">
    <w:abstractNumId w:val="0"/>
  </w:num>
  <w:num w:numId="27">
    <w:abstractNumId w:val="19"/>
  </w:num>
  <w:num w:numId="28">
    <w:abstractNumId w:val="5"/>
    <w:lvlOverride w:ilvl="0">
      <w:startOverride w:val="1"/>
    </w:lvlOverride>
    <w:lvlOverride w:ilvl="1"/>
    <w:lvlOverride w:ilvl="2"/>
    <w:lvlOverride w:ilvl="3"/>
    <w:lvlOverride w:ilvl="4"/>
    <w:lvlOverride w:ilvl="5"/>
    <w:lvlOverride w:ilvl="6"/>
    <w:lvlOverride w:ilvl="7"/>
    <w:lvlOverride w:ilvl="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FD"/>
    <w:rsid w:val="000337C9"/>
    <w:rsid w:val="00034315"/>
    <w:rsid w:val="0009180C"/>
    <w:rsid w:val="000A59AA"/>
    <w:rsid w:val="000C1A5E"/>
    <w:rsid w:val="000E4435"/>
    <w:rsid w:val="000F4483"/>
    <w:rsid w:val="00150B75"/>
    <w:rsid w:val="00167995"/>
    <w:rsid w:val="0017640E"/>
    <w:rsid w:val="001B4E0F"/>
    <w:rsid w:val="001E5AB1"/>
    <w:rsid w:val="0020024E"/>
    <w:rsid w:val="00222EB5"/>
    <w:rsid w:val="00247756"/>
    <w:rsid w:val="0026108D"/>
    <w:rsid w:val="00263DD4"/>
    <w:rsid w:val="00292AE0"/>
    <w:rsid w:val="002A628B"/>
    <w:rsid w:val="002C4BFD"/>
    <w:rsid w:val="002C6B4F"/>
    <w:rsid w:val="00306CE2"/>
    <w:rsid w:val="003159A6"/>
    <w:rsid w:val="00333BF8"/>
    <w:rsid w:val="00344B89"/>
    <w:rsid w:val="00357023"/>
    <w:rsid w:val="00375489"/>
    <w:rsid w:val="003965FD"/>
    <w:rsid w:val="003A0C59"/>
    <w:rsid w:val="003C5628"/>
    <w:rsid w:val="003F20D9"/>
    <w:rsid w:val="0040213B"/>
    <w:rsid w:val="0042595B"/>
    <w:rsid w:val="00430787"/>
    <w:rsid w:val="00437ECF"/>
    <w:rsid w:val="00442DE9"/>
    <w:rsid w:val="00456C5B"/>
    <w:rsid w:val="00457172"/>
    <w:rsid w:val="004A7111"/>
    <w:rsid w:val="004C58A5"/>
    <w:rsid w:val="004D3E7B"/>
    <w:rsid w:val="00513C2A"/>
    <w:rsid w:val="00541B99"/>
    <w:rsid w:val="00543A18"/>
    <w:rsid w:val="00556C59"/>
    <w:rsid w:val="0056522F"/>
    <w:rsid w:val="00584D7B"/>
    <w:rsid w:val="005B7F27"/>
    <w:rsid w:val="005C2BF9"/>
    <w:rsid w:val="005D0967"/>
    <w:rsid w:val="005D17E4"/>
    <w:rsid w:val="005E0019"/>
    <w:rsid w:val="005E37DD"/>
    <w:rsid w:val="005F1B40"/>
    <w:rsid w:val="0061312A"/>
    <w:rsid w:val="00641362"/>
    <w:rsid w:val="006632F4"/>
    <w:rsid w:val="00665179"/>
    <w:rsid w:val="006E1B52"/>
    <w:rsid w:val="00706DE4"/>
    <w:rsid w:val="00725236"/>
    <w:rsid w:val="00725CDC"/>
    <w:rsid w:val="00726DAA"/>
    <w:rsid w:val="00773B43"/>
    <w:rsid w:val="007E28FC"/>
    <w:rsid w:val="007F4329"/>
    <w:rsid w:val="008038BF"/>
    <w:rsid w:val="00807A30"/>
    <w:rsid w:val="00843904"/>
    <w:rsid w:val="00881F3E"/>
    <w:rsid w:val="00895B01"/>
    <w:rsid w:val="008C292F"/>
    <w:rsid w:val="009255C7"/>
    <w:rsid w:val="00974540"/>
    <w:rsid w:val="00985E25"/>
    <w:rsid w:val="009B2660"/>
    <w:rsid w:val="009C2DF0"/>
    <w:rsid w:val="009C4C95"/>
    <w:rsid w:val="009D5CEF"/>
    <w:rsid w:val="009D63EC"/>
    <w:rsid w:val="009E67C8"/>
    <w:rsid w:val="00A027D6"/>
    <w:rsid w:val="00A17CC3"/>
    <w:rsid w:val="00A60DDA"/>
    <w:rsid w:val="00AB3E3F"/>
    <w:rsid w:val="00AC494B"/>
    <w:rsid w:val="00B327E0"/>
    <w:rsid w:val="00B32867"/>
    <w:rsid w:val="00B429CB"/>
    <w:rsid w:val="00B53AF4"/>
    <w:rsid w:val="00B54168"/>
    <w:rsid w:val="00B67E5D"/>
    <w:rsid w:val="00B77AF6"/>
    <w:rsid w:val="00BB35BB"/>
    <w:rsid w:val="00BD3A0B"/>
    <w:rsid w:val="00BE0E0C"/>
    <w:rsid w:val="00C12C73"/>
    <w:rsid w:val="00C242E1"/>
    <w:rsid w:val="00C45A94"/>
    <w:rsid w:val="00C50DF9"/>
    <w:rsid w:val="00C51515"/>
    <w:rsid w:val="00C63BC3"/>
    <w:rsid w:val="00C66D7B"/>
    <w:rsid w:val="00C80A2E"/>
    <w:rsid w:val="00CC046E"/>
    <w:rsid w:val="00CD24E3"/>
    <w:rsid w:val="00CF3AA1"/>
    <w:rsid w:val="00D04EF0"/>
    <w:rsid w:val="00D13F95"/>
    <w:rsid w:val="00D51D0A"/>
    <w:rsid w:val="00D96115"/>
    <w:rsid w:val="00E00BEC"/>
    <w:rsid w:val="00E03FB6"/>
    <w:rsid w:val="00E43002"/>
    <w:rsid w:val="00E46042"/>
    <w:rsid w:val="00E61640"/>
    <w:rsid w:val="00E77AE2"/>
    <w:rsid w:val="00E77C62"/>
    <w:rsid w:val="00E93B1C"/>
    <w:rsid w:val="00EB3048"/>
    <w:rsid w:val="00ED7539"/>
    <w:rsid w:val="00EE765B"/>
    <w:rsid w:val="00EF6BEC"/>
    <w:rsid w:val="00F24657"/>
    <w:rsid w:val="00F93B4C"/>
    <w:rsid w:val="00FC7CB6"/>
    <w:rsid w:val="00FE0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A9E336"/>
  <w15:docId w15:val="{EE005ED1-8CF0-4F64-A80B-4F04317C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5FD"/>
    <w:pPr>
      <w:spacing w:after="0" w:line="240" w:lineRule="auto"/>
    </w:pPr>
    <w:rPr>
      <w:rFonts w:ascii="Times New Roman" w:eastAsia="ヒラギノ角ゴ Pro W3" w:hAnsi="Times New Roman" w:cs="Times New Roman"/>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65FD"/>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
    <w:name w:val="Body Text"/>
    <w:basedOn w:val="Normal"/>
    <w:link w:val="BodyTextChar"/>
    <w:uiPriority w:val="99"/>
    <w:rsid w:val="003965FD"/>
    <w:pPr>
      <w:widowControl w:val="0"/>
      <w:tabs>
        <w:tab w:val="left" w:pos="340"/>
      </w:tabs>
      <w:suppressAutoHyphens/>
      <w:autoSpaceDE w:val="0"/>
      <w:autoSpaceDN w:val="0"/>
      <w:adjustRightInd w:val="0"/>
      <w:spacing w:after="180" w:line="360" w:lineRule="atLeast"/>
      <w:textAlignment w:val="center"/>
    </w:pPr>
    <w:rPr>
      <w:rFonts w:ascii="DIN-Light" w:eastAsia="Times New Roman" w:hAnsi="DIN-Light"/>
      <w:color w:val="FFFFFF"/>
      <w:spacing w:val="-2"/>
      <w:lang w:eastAsia="x-none"/>
    </w:rPr>
  </w:style>
  <w:style w:type="character" w:customStyle="1" w:styleId="BodyTextChar">
    <w:name w:val="Body Text Char"/>
    <w:basedOn w:val="DefaultParagraphFont"/>
    <w:link w:val="BodyText"/>
    <w:uiPriority w:val="99"/>
    <w:rsid w:val="003965FD"/>
    <w:rPr>
      <w:rFonts w:ascii="DIN-Light" w:eastAsia="Times New Roman" w:hAnsi="DIN-Light" w:cs="Times New Roman"/>
      <w:color w:val="FFFFFF"/>
      <w:spacing w:val="-2"/>
      <w:sz w:val="24"/>
      <w:szCs w:val="24"/>
      <w:lang w:val="en-GB" w:eastAsia="x-none"/>
    </w:rPr>
  </w:style>
  <w:style w:type="character" w:customStyle="1" w:styleId="RedBodyTextBullet">
    <w:name w:val="Red Body Text Bullet"/>
    <w:uiPriority w:val="99"/>
    <w:rsid w:val="003965FD"/>
    <w:rPr>
      <w:color w:val="E11519"/>
    </w:rPr>
  </w:style>
  <w:style w:type="paragraph" w:styleId="ListParagraph">
    <w:name w:val="List Paragraph"/>
    <w:basedOn w:val="Normal"/>
    <w:link w:val="ListParagraphChar"/>
    <w:uiPriority w:val="34"/>
    <w:qFormat/>
    <w:rsid w:val="009E67C8"/>
    <w:pPr>
      <w:ind w:left="720"/>
      <w:contextualSpacing/>
    </w:pPr>
  </w:style>
  <w:style w:type="character" w:styleId="CommentReference">
    <w:name w:val="annotation reference"/>
    <w:basedOn w:val="DefaultParagraphFont"/>
    <w:uiPriority w:val="99"/>
    <w:semiHidden/>
    <w:unhideWhenUsed/>
    <w:rsid w:val="000C1A5E"/>
    <w:rPr>
      <w:sz w:val="16"/>
      <w:szCs w:val="16"/>
    </w:rPr>
  </w:style>
  <w:style w:type="paragraph" w:styleId="CommentText">
    <w:name w:val="annotation text"/>
    <w:basedOn w:val="Normal"/>
    <w:link w:val="CommentTextChar"/>
    <w:uiPriority w:val="99"/>
    <w:unhideWhenUsed/>
    <w:rsid w:val="000C1A5E"/>
    <w:rPr>
      <w:sz w:val="20"/>
      <w:szCs w:val="20"/>
    </w:rPr>
  </w:style>
  <w:style w:type="character" w:customStyle="1" w:styleId="CommentTextChar">
    <w:name w:val="Comment Text Char"/>
    <w:basedOn w:val="DefaultParagraphFont"/>
    <w:link w:val="CommentText"/>
    <w:uiPriority w:val="99"/>
    <w:rsid w:val="000C1A5E"/>
    <w:rPr>
      <w:rFonts w:ascii="Times New Roman" w:eastAsia="ヒラギノ角ゴ Pro W3" w:hAnsi="Times New Roman" w:cs="Times New Roman"/>
      <w:color w:val="000000"/>
      <w:sz w:val="20"/>
      <w:szCs w:val="20"/>
      <w:lang w:val="en-GB"/>
    </w:rPr>
  </w:style>
  <w:style w:type="paragraph" w:styleId="CommentSubject">
    <w:name w:val="annotation subject"/>
    <w:basedOn w:val="CommentText"/>
    <w:next w:val="CommentText"/>
    <w:link w:val="CommentSubjectChar"/>
    <w:uiPriority w:val="99"/>
    <w:semiHidden/>
    <w:unhideWhenUsed/>
    <w:rsid w:val="000C1A5E"/>
    <w:rPr>
      <w:b/>
      <w:bCs/>
    </w:rPr>
  </w:style>
  <w:style w:type="character" w:customStyle="1" w:styleId="CommentSubjectChar">
    <w:name w:val="Comment Subject Char"/>
    <w:basedOn w:val="CommentTextChar"/>
    <w:link w:val="CommentSubject"/>
    <w:uiPriority w:val="99"/>
    <w:semiHidden/>
    <w:rsid w:val="000C1A5E"/>
    <w:rPr>
      <w:rFonts w:ascii="Times New Roman" w:eastAsia="ヒラギノ角ゴ Pro W3" w:hAnsi="Times New Roman" w:cs="Times New Roman"/>
      <w:b/>
      <w:bCs/>
      <w:color w:val="000000"/>
      <w:sz w:val="20"/>
      <w:szCs w:val="20"/>
      <w:lang w:val="en-GB"/>
    </w:rPr>
  </w:style>
  <w:style w:type="paragraph" w:styleId="BalloonText">
    <w:name w:val="Balloon Text"/>
    <w:basedOn w:val="Normal"/>
    <w:link w:val="BalloonTextChar"/>
    <w:uiPriority w:val="99"/>
    <w:semiHidden/>
    <w:unhideWhenUsed/>
    <w:rsid w:val="000C1A5E"/>
    <w:rPr>
      <w:rFonts w:ascii="Tahoma" w:hAnsi="Tahoma" w:cs="Tahoma"/>
      <w:sz w:val="16"/>
      <w:szCs w:val="16"/>
    </w:rPr>
  </w:style>
  <w:style w:type="character" w:customStyle="1" w:styleId="BalloonTextChar">
    <w:name w:val="Balloon Text Char"/>
    <w:basedOn w:val="DefaultParagraphFont"/>
    <w:link w:val="BalloonText"/>
    <w:uiPriority w:val="99"/>
    <w:semiHidden/>
    <w:rsid w:val="000C1A5E"/>
    <w:rPr>
      <w:rFonts w:ascii="Tahoma" w:eastAsia="ヒラギノ角ゴ Pro W3" w:hAnsi="Tahoma" w:cs="Tahoma"/>
      <w:color w:val="000000"/>
      <w:sz w:val="16"/>
      <w:szCs w:val="16"/>
      <w:lang w:val="en-GB"/>
    </w:rPr>
  </w:style>
  <w:style w:type="character" w:styleId="Hyperlink">
    <w:name w:val="Hyperlink"/>
    <w:basedOn w:val="DefaultParagraphFont"/>
    <w:uiPriority w:val="99"/>
    <w:semiHidden/>
    <w:unhideWhenUsed/>
    <w:rsid w:val="005F1B40"/>
    <w:rPr>
      <w:color w:val="0000FF"/>
      <w:u w:val="single"/>
    </w:rPr>
  </w:style>
  <w:style w:type="character" w:customStyle="1" w:styleId="apple-converted-space">
    <w:name w:val="apple-converted-space"/>
    <w:basedOn w:val="DefaultParagraphFont"/>
    <w:rsid w:val="00556C59"/>
  </w:style>
  <w:style w:type="character" w:styleId="Strong">
    <w:name w:val="Strong"/>
    <w:basedOn w:val="DefaultParagraphFont"/>
    <w:uiPriority w:val="22"/>
    <w:qFormat/>
    <w:rsid w:val="00556C59"/>
    <w:rPr>
      <w:b/>
      <w:bCs/>
    </w:rPr>
  </w:style>
  <w:style w:type="paragraph" w:styleId="NormalWeb">
    <w:name w:val="Normal (Web)"/>
    <w:basedOn w:val="Normal"/>
    <w:rsid w:val="00584D7B"/>
    <w:pPr>
      <w:spacing w:before="100" w:beforeAutospacing="1" w:after="100" w:afterAutospacing="1"/>
    </w:pPr>
    <w:rPr>
      <w:rFonts w:ascii="Arial Unicode MS" w:eastAsia="Arial Unicode MS" w:hAnsi="Arial Unicode MS"/>
      <w:color w:val="auto"/>
      <w:szCs w:val="20"/>
      <w:lang w:val="en-US"/>
    </w:rPr>
  </w:style>
  <w:style w:type="character" w:customStyle="1" w:styleId="ListParagraphChar">
    <w:name w:val="List Paragraph Char"/>
    <w:basedOn w:val="DefaultParagraphFont"/>
    <w:link w:val="ListParagraph"/>
    <w:uiPriority w:val="34"/>
    <w:locked/>
    <w:rsid w:val="009B2660"/>
    <w:rPr>
      <w:rFonts w:ascii="Times New Roman" w:eastAsia="ヒラギノ角ゴ Pro W3" w:hAnsi="Times New Roman" w:cs="Times New Roman"/>
      <w:color w:val="000000"/>
      <w:sz w:val="24"/>
      <w:szCs w:val="24"/>
      <w:lang w:val="en-GB"/>
    </w:rPr>
  </w:style>
  <w:style w:type="paragraph" w:styleId="HTMLPreformatted">
    <w:name w:val="HTML Preformatted"/>
    <w:basedOn w:val="Normal"/>
    <w:link w:val="HTMLPreformattedChar"/>
    <w:uiPriority w:val="99"/>
    <w:unhideWhenUsed/>
    <w:rsid w:val="005D0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rsid w:val="005D0967"/>
    <w:rPr>
      <w:rFonts w:ascii="Courier New" w:eastAsia="Times New Roman" w:hAnsi="Courier New" w:cs="Courier New"/>
      <w:sz w:val="20"/>
      <w:szCs w:val="20"/>
    </w:rPr>
  </w:style>
  <w:style w:type="paragraph" w:styleId="Header">
    <w:name w:val="header"/>
    <w:basedOn w:val="Normal"/>
    <w:link w:val="HeaderChar"/>
    <w:uiPriority w:val="99"/>
    <w:unhideWhenUsed/>
    <w:rsid w:val="00881F3E"/>
    <w:pPr>
      <w:tabs>
        <w:tab w:val="center" w:pos="4680"/>
        <w:tab w:val="right" w:pos="9360"/>
      </w:tabs>
    </w:pPr>
  </w:style>
  <w:style w:type="character" w:customStyle="1" w:styleId="HeaderChar">
    <w:name w:val="Header Char"/>
    <w:basedOn w:val="DefaultParagraphFont"/>
    <w:link w:val="Header"/>
    <w:uiPriority w:val="99"/>
    <w:rsid w:val="00881F3E"/>
    <w:rPr>
      <w:rFonts w:ascii="Times New Roman" w:eastAsia="ヒラギノ角ゴ Pro W3" w:hAnsi="Times New Roman" w:cs="Times New Roman"/>
      <w:color w:val="000000"/>
      <w:sz w:val="24"/>
      <w:szCs w:val="24"/>
      <w:lang w:val="en-GB"/>
    </w:rPr>
  </w:style>
  <w:style w:type="paragraph" w:styleId="Footer">
    <w:name w:val="footer"/>
    <w:basedOn w:val="Normal"/>
    <w:link w:val="FooterChar"/>
    <w:uiPriority w:val="99"/>
    <w:unhideWhenUsed/>
    <w:rsid w:val="00881F3E"/>
    <w:pPr>
      <w:tabs>
        <w:tab w:val="center" w:pos="4680"/>
        <w:tab w:val="right" w:pos="9360"/>
      </w:tabs>
    </w:pPr>
  </w:style>
  <w:style w:type="character" w:customStyle="1" w:styleId="FooterChar">
    <w:name w:val="Footer Char"/>
    <w:basedOn w:val="DefaultParagraphFont"/>
    <w:link w:val="Footer"/>
    <w:uiPriority w:val="99"/>
    <w:rsid w:val="00881F3E"/>
    <w:rPr>
      <w:rFonts w:ascii="Times New Roman" w:eastAsia="ヒラギノ角ゴ Pro W3" w:hAnsi="Times New Roman" w:cs="Times New Roman"/>
      <w:color w:val="000000"/>
      <w:sz w:val="24"/>
      <w:szCs w:val="24"/>
      <w:lang w:val="en-GB"/>
    </w:rPr>
  </w:style>
  <w:style w:type="character" w:customStyle="1" w:styleId="highlight2">
    <w:name w:val="highlight2"/>
    <w:basedOn w:val="DefaultParagraphFont"/>
    <w:rsid w:val="005E0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4787">
      <w:bodyDiv w:val="1"/>
      <w:marLeft w:val="0"/>
      <w:marRight w:val="0"/>
      <w:marTop w:val="0"/>
      <w:marBottom w:val="0"/>
      <w:divBdr>
        <w:top w:val="none" w:sz="0" w:space="0" w:color="auto"/>
        <w:left w:val="none" w:sz="0" w:space="0" w:color="auto"/>
        <w:bottom w:val="none" w:sz="0" w:space="0" w:color="auto"/>
        <w:right w:val="none" w:sz="0" w:space="0" w:color="auto"/>
      </w:divBdr>
      <w:divsChild>
        <w:div w:id="499660635">
          <w:marLeft w:val="0"/>
          <w:marRight w:val="0"/>
          <w:marTop w:val="0"/>
          <w:marBottom w:val="0"/>
          <w:divBdr>
            <w:top w:val="none" w:sz="0" w:space="0" w:color="auto"/>
            <w:left w:val="none" w:sz="0" w:space="0" w:color="auto"/>
            <w:bottom w:val="none" w:sz="0" w:space="0" w:color="auto"/>
            <w:right w:val="none" w:sz="0" w:space="0" w:color="auto"/>
          </w:divBdr>
        </w:div>
        <w:div w:id="1023750441">
          <w:marLeft w:val="0"/>
          <w:marRight w:val="0"/>
          <w:marTop w:val="0"/>
          <w:marBottom w:val="0"/>
          <w:divBdr>
            <w:top w:val="none" w:sz="0" w:space="0" w:color="auto"/>
            <w:left w:val="none" w:sz="0" w:space="0" w:color="auto"/>
            <w:bottom w:val="none" w:sz="0" w:space="0" w:color="auto"/>
            <w:right w:val="none" w:sz="0" w:space="0" w:color="auto"/>
          </w:divBdr>
        </w:div>
        <w:div w:id="1055473647">
          <w:marLeft w:val="0"/>
          <w:marRight w:val="0"/>
          <w:marTop w:val="0"/>
          <w:marBottom w:val="0"/>
          <w:divBdr>
            <w:top w:val="none" w:sz="0" w:space="0" w:color="auto"/>
            <w:left w:val="none" w:sz="0" w:space="0" w:color="auto"/>
            <w:bottom w:val="none" w:sz="0" w:space="0" w:color="auto"/>
            <w:right w:val="none" w:sz="0" w:space="0" w:color="auto"/>
          </w:divBdr>
        </w:div>
      </w:divsChild>
    </w:div>
    <w:div w:id="64863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4569704" TargetMode="External"/><Relationship Id="rId3" Type="http://schemas.openxmlformats.org/officeDocument/2006/relationships/settings" Target="settings.xml"/><Relationship Id="rId7" Type="http://schemas.openxmlformats.org/officeDocument/2006/relationships/hyperlink" Target="http://www.cancer.gov/cancertopics/cancerlibrary/pinkbook/Pink_Boo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1173</Words>
  <Characters>6690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Donnell, Zoe</cp:lastModifiedBy>
  <cp:revision>2</cp:revision>
  <dcterms:created xsi:type="dcterms:W3CDTF">2016-03-25T21:28:00Z</dcterms:created>
  <dcterms:modified xsi:type="dcterms:W3CDTF">2016-03-25T21:28:00Z</dcterms:modified>
</cp:coreProperties>
</file>