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3739" w14:textId="77777777" w:rsidR="000C7785" w:rsidRPr="0031716D" w:rsidRDefault="000C7785">
      <w:pPr>
        <w:rPr>
          <w:rFonts w:ascii="Calibri" w:hAnsi="Calibri"/>
          <w:b/>
          <w:sz w:val="40"/>
          <w:szCs w:val="40"/>
        </w:rPr>
      </w:pPr>
    </w:p>
    <w:p w14:paraId="3E9A7281" w14:textId="77777777" w:rsidR="000C7785" w:rsidRPr="0031716D" w:rsidRDefault="000C7785">
      <w:pPr>
        <w:rPr>
          <w:rFonts w:ascii="Calibri" w:hAnsi="Calibri"/>
          <w:b/>
          <w:sz w:val="40"/>
          <w:szCs w:val="40"/>
        </w:rPr>
      </w:pPr>
    </w:p>
    <w:p w14:paraId="46278ED0" w14:textId="77777777" w:rsidR="000C7785" w:rsidRPr="0031716D" w:rsidRDefault="000C7785">
      <w:pPr>
        <w:rPr>
          <w:rFonts w:ascii="Calibri" w:hAnsi="Calibri"/>
          <w:b/>
          <w:sz w:val="40"/>
          <w:szCs w:val="40"/>
        </w:rPr>
      </w:pPr>
    </w:p>
    <w:p w14:paraId="769E9421" w14:textId="77777777" w:rsidR="000C7785" w:rsidRPr="0031716D" w:rsidRDefault="000C7785">
      <w:pPr>
        <w:rPr>
          <w:rFonts w:ascii="Calibri" w:hAnsi="Calibri"/>
          <w:b/>
          <w:sz w:val="40"/>
          <w:szCs w:val="40"/>
        </w:rPr>
      </w:pPr>
    </w:p>
    <w:p w14:paraId="3CA5BCA3" w14:textId="7CAF1338" w:rsidR="00CC2AAD" w:rsidRPr="0031716D" w:rsidRDefault="007B6C37" w:rsidP="000C7785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OADC </w:t>
      </w:r>
      <w:r w:rsidR="00991BEF">
        <w:rPr>
          <w:rFonts w:ascii="Calibri" w:hAnsi="Calibri"/>
          <w:b/>
          <w:sz w:val="40"/>
          <w:szCs w:val="40"/>
        </w:rPr>
        <w:t xml:space="preserve">Message and </w:t>
      </w:r>
      <w:r w:rsidR="000C7785" w:rsidRPr="0031716D">
        <w:rPr>
          <w:rFonts w:ascii="Calibri" w:hAnsi="Calibri"/>
          <w:b/>
          <w:sz w:val="40"/>
          <w:szCs w:val="40"/>
        </w:rPr>
        <w:t>Material</w:t>
      </w:r>
      <w:r w:rsidR="00083B8B" w:rsidRPr="0031716D">
        <w:rPr>
          <w:rFonts w:ascii="Calibri" w:hAnsi="Calibri"/>
          <w:b/>
          <w:sz w:val="40"/>
          <w:szCs w:val="40"/>
        </w:rPr>
        <w:t xml:space="preserve"> </w:t>
      </w:r>
      <w:r w:rsidR="00BA695C">
        <w:rPr>
          <w:rFonts w:ascii="Calibri" w:hAnsi="Calibri"/>
          <w:b/>
          <w:sz w:val="40"/>
          <w:szCs w:val="40"/>
        </w:rPr>
        <w:t>Feedback</w:t>
      </w:r>
      <w:r w:rsidR="00083B8B" w:rsidRPr="0031716D">
        <w:rPr>
          <w:rFonts w:ascii="Calibri" w:hAnsi="Calibri"/>
          <w:b/>
          <w:sz w:val="40"/>
          <w:szCs w:val="40"/>
        </w:rPr>
        <w:t xml:space="preserve"> </w:t>
      </w:r>
      <w:r w:rsidR="00B25A81">
        <w:rPr>
          <w:rFonts w:ascii="Calibri" w:hAnsi="Calibri"/>
          <w:b/>
          <w:sz w:val="40"/>
          <w:szCs w:val="40"/>
        </w:rPr>
        <w:t xml:space="preserve">Surveys </w:t>
      </w:r>
      <w:r w:rsidR="00962B58">
        <w:rPr>
          <w:rFonts w:ascii="Calibri" w:hAnsi="Calibri"/>
          <w:b/>
          <w:sz w:val="40"/>
          <w:szCs w:val="40"/>
        </w:rPr>
        <w:t xml:space="preserve">— </w:t>
      </w:r>
      <w:r w:rsidR="000C7785" w:rsidRPr="0031716D">
        <w:rPr>
          <w:rFonts w:ascii="Calibri" w:hAnsi="Calibri"/>
          <w:b/>
          <w:sz w:val="40"/>
          <w:szCs w:val="40"/>
        </w:rPr>
        <w:t>Protocol</w:t>
      </w:r>
    </w:p>
    <w:p w14:paraId="3D427C6D" w14:textId="09402D8A" w:rsidR="00083B8B" w:rsidRPr="0031716D" w:rsidRDefault="00083B8B">
      <w:pPr>
        <w:rPr>
          <w:rFonts w:ascii="Calibri" w:hAnsi="Calibri"/>
        </w:rPr>
      </w:pPr>
      <w:r w:rsidRPr="0031716D">
        <w:rPr>
          <w:rFonts w:ascii="Calibri" w:hAnsi="Calibri"/>
        </w:rPr>
        <w:br w:type="page"/>
      </w:r>
    </w:p>
    <w:p w14:paraId="2940611B" w14:textId="77777777" w:rsidR="00083B8B" w:rsidRPr="0031716D" w:rsidRDefault="00083B8B" w:rsidP="00083B8B">
      <w:pPr>
        <w:pBdr>
          <w:bottom w:val="single" w:sz="4" w:space="1" w:color="auto"/>
        </w:pBdr>
        <w:rPr>
          <w:rFonts w:ascii="Calibri" w:hAnsi="Calibri"/>
          <w:b/>
          <w:color w:val="5B9BD5" w:themeColor="accent1"/>
          <w:sz w:val="28"/>
        </w:rPr>
      </w:pPr>
      <w:r w:rsidRPr="0031716D">
        <w:rPr>
          <w:rFonts w:ascii="Calibri" w:hAnsi="Calibri"/>
          <w:b/>
          <w:sz w:val="36"/>
        </w:rPr>
        <w:lastRenderedPageBreak/>
        <w:t>Table of Contents</w:t>
      </w:r>
    </w:p>
    <w:p w14:paraId="25DA0DF8" w14:textId="77777777" w:rsidR="00083B8B" w:rsidRPr="0031716D" w:rsidRDefault="00083B8B" w:rsidP="00083B8B">
      <w:pPr>
        <w:pStyle w:val="TOC1"/>
        <w:tabs>
          <w:tab w:val="right" w:leader="dot" w:pos="9350"/>
        </w:tabs>
        <w:rPr>
          <w:rFonts w:ascii="Calibri" w:hAnsi="Calibri"/>
          <w:b/>
          <w:color w:val="5B9BD5" w:themeColor="accent1"/>
          <w:sz w:val="28"/>
        </w:rPr>
      </w:pPr>
    </w:p>
    <w:p w14:paraId="75609D51" w14:textId="77777777" w:rsidR="000A068C" w:rsidRPr="000A068C" w:rsidRDefault="00083B8B">
      <w:pPr>
        <w:pStyle w:val="TOC1"/>
        <w:tabs>
          <w:tab w:val="right" w:leader="dot" w:pos="9350"/>
        </w:tabs>
        <w:rPr>
          <w:b/>
          <w:noProof/>
          <w:sz w:val="28"/>
          <w:szCs w:val="28"/>
        </w:rPr>
      </w:pPr>
      <w:r w:rsidRPr="000A068C">
        <w:rPr>
          <w:rFonts w:ascii="Calibri" w:hAnsi="Calibri"/>
          <w:b/>
          <w:color w:val="5B9BD5" w:themeColor="accent1"/>
          <w:sz w:val="28"/>
          <w:szCs w:val="28"/>
        </w:rPr>
        <w:fldChar w:fldCharType="begin"/>
      </w:r>
      <w:r w:rsidRPr="000A068C">
        <w:rPr>
          <w:rFonts w:ascii="Calibri" w:hAnsi="Calibri"/>
          <w:b/>
          <w:color w:val="5B9BD5" w:themeColor="accent1"/>
          <w:sz w:val="28"/>
          <w:szCs w:val="28"/>
        </w:rPr>
        <w:instrText xml:space="preserve"> TOC \o "1-3" </w:instrText>
      </w:r>
      <w:r w:rsidRPr="000A068C">
        <w:rPr>
          <w:rFonts w:ascii="Calibri" w:hAnsi="Calibri"/>
          <w:b/>
          <w:color w:val="5B9BD5" w:themeColor="accent1"/>
          <w:sz w:val="28"/>
          <w:szCs w:val="28"/>
        </w:rPr>
        <w:fldChar w:fldCharType="separate"/>
      </w:r>
      <w:r w:rsidR="000A068C" w:rsidRPr="000A068C">
        <w:rPr>
          <w:rFonts w:ascii="Calibri" w:hAnsi="Calibri"/>
          <w:b/>
          <w:noProof/>
          <w:sz w:val="28"/>
          <w:szCs w:val="28"/>
        </w:rPr>
        <w:t>Objectives</w:t>
      </w:r>
      <w:r w:rsidR="000A068C" w:rsidRPr="000A068C">
        <w:rPr>
          <w:b/>
          <w:noProof/>
          <w:sz w:val="28"/>
          <w:szCs w:val="28"/>
        </w:rPr>
        <w:tab/>
      </w:r>
      <w:r w:rsidR="000A068C" w:rsidRPr="000A068C">
        <w:rPr>
          <w:b/>
          <w:noProof/>
          <w:sz w:val="28"/>
          <w:szCs w:val="28"/>
        </w:rPr>
        <w:fldChar w:fldCharType="begin"/>
      </w:r>
      <w:r w:rsidR="000A068C" w:rsidRPr="000A068C">
        <w:rPr>
          <w:b/>
          <w:noProof/>
          <w:sz w:val="28"/>
          <w:szCs w:val="28"/>
        </w:rPr>
        <w:instrText xml:space="preserve"> PAGEREF _Toc318452774 \h </w:instrText>
      </w:r>
      <w:r w:rsidR="000A068C" w:rsidRPr="000A068C">
        <w:rPr>
          <w:b/>
          <w:noProof/>
          <w:sz w:val="28"/>
          <w:szCs w:val="28"/>
        </w:rPr>
      </w:r>
      <w:r w:rsidR="000A068C" w:rsidRPr="000A068C">
        <w:rPr>
          <w:b/>
          <w:noProof/>
          <w:sz w:val="28"/>
          <w:szCs w:val="28"/>
        </w:rPr>
        <w:fldChar w:fldCharType="separate"/>
      </w:r>
      <w:r w:rsidR="00FE10D9">
        <w:rPr>
          <w:b/>
          <w:noProof/>
          <w:sz w:val="28"/>
          <w:szCs w:val="28"/>
        </w:rPr>
        <w:t>3</w:t>
      </w:r>
      <w:r w:rsidR="000A068C" w:rsidRPr="000A068C">
        <w:rPr>
          <w:b/>
          <w:noProof/>
          <w:sz w:val="28"/>
          <w:szCs w:val="28"/>
        </w:rPr>
        <w:fldChar w:fldCharType="end"/>
      </w:r>
    </w:p>
    <w:p w14:paraId="1680121B" w14:textId="21EBFF1A" w:rsidR="000A068C" w:rsidRPr="000A068C" w:rsidRDefault="000A068C">
      <w:pPr>
        <w:pStyle w:val="TOC1"/>
        <w:tabs>
          <w:tab w:val="right" w:leader="dot" w:pos="9350"/>
        </w:tabs>
        <w:rPr>
          <w:b/>
          <w:noProof/>
          <w:sz w:val="28"/>
          <w:szCs w:val="28"/>
        </w:rPr>
      </w:pPr>
      <w:r w:rsidRPr="000A068C">
        <w:rPr>
          <w:rFonts w:ascii="Calibri" w:hAnsi="Calibri"/>
          <w:b/>
          <w:noProof/>
          <w:sz w:val="28"/>
          <w:szCs w:val="28"/>
        </w:rPr>
        <w:t>Participants</w:t>
      </w:r>
      <w:r w:rsidRPr="000A068C">
        <w:rPr>
          <w:b/>
          <w:noProof/>
          <w:sz w:val="28"/>
          <w:szCs w:val="28"/>
        </w:rPr>
        <w:tab/>
      </w:r>
      <w:r w:rsidRPr="000A068C">
        <w:rPr>
          <w:b/>
          <w:noProof/>
          <w:sz w:val="28"/>
          <w:szCs w:val="28"/>
        </w:rPr>
        <w:fldChar w:fldCharType="begin"/>
      </w:r>
      <w:r w:rsidRPr="000A068C">
        <w:rPr>
          <w:b/>
          <w:noProof/>
          <w:sz w:val="28"/>
          <w:szCs w:val="28"/>
        </w:rPr>
        <w:instrText xml:space="preserve"> PAGEREF _Toc318452775 \h </w:instrText>
      </w:r>
      <w:r w:rsidRPr="000A068C">
        <w:rPr>
          <w:b/>
          <w:noProof/>
          <w:sz w:val="28"/>
          <w:szCs w:val="28"/>
        </w:rPr>
      </w:r>
      <w:r w:rsidRPr="000A068C">
        <w:rPr>
          <w:b/>
          <w:noProof/>
          <w:sz w:val="28"/>
          <w:szCs w:val="28"/>
        </w:rPr>
        <w:fldChar w:fldCharType="separate"/>
      </w:r>
      <w:r w:rsidR="00FE10D9">
        <w:rPr>
          <w:b/>
          <w:noProof/>
          <w:sz w:val="28"/>
          <w:szCs w:val="28"/>
        </w:rPr>
        <w:t>3</w:t>
      </w:r>
      <w:r w:rsidRPr="000A068C">
        <w:rPr>
          <w:b/>
          <w:noProof/>
          <w:sz w:val="28"/>
          <w:szCs w:val="28"/>
        </w:rPr>
        <w:fldChar w:fldCharType="end"/>
      </w:r>
    </w:p>
    <w:p w14:paraId="4A435C04" w14:textId="290BE979" w:rsidR="000A068C" w:rsidRPr="000A068C" w:rsidRDefault="000A068C">
      <w:pPr>
        <w:pStyle w:val="TOC1"/>
        <w:tabs>
          <w:tab w:val="right" w:leader="dot" w:pos="9350"/>
        </w:tabs>
        <w:rPr>
          <w:b/>
          <w:noProof/>
          <w:sz w:val="28"/>
          <w:szCs w:val="28"/>
        </w:rPr>
      </w:pPr>
      <w:r w:rsidRPr="000A068C">
        <w:rPr>
          <w:rFonts w:ascii="Calibri" w:hAnsi="Calibri"/>
          <w:b/>
          <w:noProof/>
          <w:sz w:val="28"/>
          <w:szCs w:val="28"/>
        </w:rPr>
        <w:t>Recruitment</w:t>
      </w:r>
      <w:r w:rsidRPr="000A068C">
        <w:rPr>
          <w:b/>
          <w:noProof/>
          <w:sz w:val="28"/>
          <w:szCs w:val="28"/>
        </w:rPr>
        <w:tab/>
      </w:r>
      <w:r w:rsidRPr="000A068C">
        <w:rPr>
          <w:b/>
          <w:noProof/>
          <w:sz w:val="28"/>
          <w:szCs w:val="28"/>
        </w:rPr>
        <w:fldChar w:fldCharType="begin"/>
      </w:r>
      <w:r w:rsidRPr="000A068C">
        <w:rPr>
          <w:b/>
          <w:noProof/>
          <w:sz w:val="28"/>
          <w:szCs w:val="28"/>
        </w:rPr>
        <w:instrText xml:space="preserve"> PAGEREF _Toc318452776 \h </w:instrText>
      </w:r>
      <w:r w:rsidRPr="000A068C">
        <w:rPr>
          <w:b/>
          <w:noProof/>
          <w:sz w:val="28"/>
          <w:szCs w:val="28"/>
        </w:rPr>
      </w:r>
      <w:r w:rsidRPr="000A068C">
        <w:rPr>
          <w:b/>
          <w:noProof/>
          <w:sz w:val="28"/>
          <w:szCs w:val="28"/>
        </w:rPr>
        <w:fldChar w:fldCharType="separate"/>
      </w:r>
      <w:r w:rsidR="00FE10D9">
        <w:rPr>
          <w:b/>
          <w:noProof/>
          <w:sz w:val="28"/>
          <w:szCs w:val="28"/>
        </w:rPr>
        <w:t>4</w:t>
      </w:r>
      <w:r w:rsidRPr="000A068C">
        <w:rPr>
          <w:b/>
          <w:noProof/>
          <w:sz w:val="28"/>
          <w:szCs w:val="28"/>
        </w:rPr>
        <w:fldChar w:fldCharType="end"/>
      </w:r>
    </w:p>
    <w:p w14:paraId="152DE6DD" w14:textId="49088ED0" w:rsidR="000A068C" w:rsidRPr="000A068C" w:rsidRDefault="000A068C">
      <w:pPr>
        <w:pStyle w:val="TOC1"/>
        <w:tabs>
          <w:tab w:val="right" w:leader="dot" w:pos="9350"/>
        </w:tabs>
        <w:rPr>
          <w:b/>
          <w:noProof/>
          <w:sz w:val="28"/>
          <w:szCs w:val="28"/>
        </w:rPr>
      </w:pPr>
      <w:r w:rsidRPr="000A068C">
        <w:rPr>
          <w:rFonts w:ascii="Calibri" w:hAnsi="Calibri"/>
          <w:b/>
          <w:noProof/>
          <w:sz w:val="28"/>
          <w:szCs w:val="28"/>
        </w:rPr>
        <w:t>Methods</w:t>
      </w:r>
      <w:r w:rsidRPr="000A068C">
        <w:rPr>
          <w:b/>
          <w:noProof/>
          <w:sz w:val="28"/>
          <w:szCs w:val="28"/>
        </w:rPr>
        <w:tab/>
      </w:r>
      <w:r w:rsidRPr="000A068C">
        <w:rPr>
          <w:b/>
          <w:noProof/>
          <w:sz w:val="28"/>
          <w:szCs w:val="28"/>
        </w:rPr>
        <w:fldChar w:fldCharType="begin"/>
      </w:r>
      <w:r w:rsidRPr="000A068C">
        <w:rPr>
          <w:b/>
          <w:noProof/>
          <w:sz w:val="28"/>
          <w:szCs w:val="28"/>
        </w:rPr>
        <w:instrText xml:space="preserve"> PAGEREF _Toc318452777 \h </w:instrText>
      </w:r>
      <w:r w:rsidRPr="000A068C">
        <w:rPr>
          <w:b/>
          <w:noProof/>
          <w:sz w:val="28"/>
          <w:szCs w:val="28"/>
        </w:rPr>
      </w:r>
      <w:r w:rsidRPr="000A068C">
        <w:rPr>
          <w:b/>
          <w:noProof/>
          <w:sz w:val="28"/>
          <w:szCs w:val="28"/>
        </w:rPr>
        <w:fldChar w:fldCharType="separate"/>
      </w:r>
      <w:r w:rsidR="00FE10D9">
        <w:rPr>
          <w:b/>
          <w:noProof/>
          <w:sz w:val="28"/>
          <w:szCs w:val="28"/>
        </w:rPr>
        <w:t>5</w:t>
      </w:r>
      <w:r w:rsidRPr="000A068C">
        <w:rPr>
          <w:b/>
          <w:noProof/>
          <w:sz w:val="28"/>
          <w:szCs w:val="28"/>
        </w:rPr>
        <w:fldChar w:fldCharType="end"/>
      </w:r>
    </w:p>
    <w:p w14:paraId="7E1FB9A2" w14:textId="6362A0C3" w:rsidR="00D07478" w:rsidRPr="000A068C" w:rsidRDefault="00083B8B" w:rsidP="00083B8B">
      <w:pPr>
        <w:rPr>
          <w:rFonts w:ascii="Calibri" w:hAnsi="Calibri"/>
          <w:b/>
          <w:color w:val="5B9BD5" w:themeColor="accent1"/>
          <w:sz w:val="28"/>
          <w:szCs w:val="28"/>
        </w:rPr>
      </w:pPr>
      <w:r w:rsidRPr="000A068C">
        <w:rPr>
          <w:rFonts w:ascii="Calibri" w:hAnsi="Calibri"/>
          <w:b/>
          <w:color w:val="5B9BD5" w:themeColor="accent1"/>
          <w:sz w:val="28"/>
          <w:szCs w:val="28"/>
        </w:rPr>
        <w:fldChar w:fldCharType="end"/>
      </w:r>
    </w:p>
    <w:p w14:paraId="59BE3453" w14:textId="77777777" w:rsidR="00D07478" w:rsidRPr="0031716D" w:rsidRDefault="00D07478">
      <w:pPr>
        <w:rPr>
          <w:rFonts w:ascii="Calibri" w:hAnsi="Calibri"/>
          <w:b/>
          <w:color w:val="5B9BD5" w:themeColor="accent1"/>
          <w:sz w:val="44"/>
        </w:rPr>
      </w:pPr>
      <w:r w:rsidRPr="0031716D">
        <w:rPr>
          <w:rFonts w:ascii="Calibri" w:hAnsi="Calibri"/>
          <w:b/>
          <w:color w:val="5B9BD5" w:themeColor="accent1"/>
          <w:sz w:val="44"/>
        </w:rPr>
        <w:br w:type="page"/>
      </w:r>
    </w:p>
    <w:p w14:paraId="70EA4C09" w14:textId="77777777" w:rsidR="00D07478" w:rsidRPr="0031716D" w:rsidRDefault="00D07478" w:rsidP="00D07478">
      <w:pPr>
        <w:pStyle w:val="Heading1"/>
        <w:pBdr>
          <w:bottom w:val="single" w:sz="4" w:space="1" w:color="auto"/>
        </w:pBdr>
        <w:rPr>
          <w:rFonts w:ascii="Calibri" w:hAnsi="Calibri"/>
          <w:color w:val="auto"/>
        </w:rPr>
      </w:pPr>
      <w:bookmarkStart w:id="0" w:name="_Toc318452774"/>
      <w:r w:rsidRPr="0031716D">
        <w:rPr>
          <w:rFonts w:ascii="Calibri" w:hAnsi="Calibri"/>
          <w:color w:val="auto"/>
        </w:rPr>
        <w:lastRenderedPageBreak/>
        <w:t>Objectives</w:t>
      </w:r>
      <w:bookmarkEnd w:id="0"/>
    </w:p>
    <w:p w14:paraId="3E4138FA" w14:textId="77777777" w:rsidR="002B2D82" w:rsidRPr="00FD6005" w:rsidRDefault="002B2D82" w:rsidP="00FD6005"/>
    <w:p w14:paraId="495B88E1" w14:textId="356AF002" w:rsidR="002B2D82" w:rsidRPr="002B2D82" w:rsidRDefault="00D07478" w:rsidP="00FD6005">
      <w:r w:rsidRPr="00FD6005">
        <w:t xml:space="preserve">The Centers for Disease Control and Prevention (CDC), Office of the Associate Director for Communication (OADC) </w:t>
      </w:r>
      <w:r w:rsidR="002B2D82" w:rsidRPr="002B2D82">
        <w:t xml:space="preserve">is collecting feedback on 4 </w:t>
      </w:r>
      <w:r w:rsidR="002B2D82">
        <w:t xml:space="preserve">sample </w:t>
      </w:r>
      <w:r w:rsidR="002B2D82" w:rsidRPr="002B2D82">
        <w:t xml:space="preserve">health </w:t>
      </w:r>
      <w:r w:rsidR="002B2D82">
        <w:t xml:space="preserve">communication materials that are </w:t>
      </w:r>
      <w:r w:rsidR="002B2D82" w:rsidRPr="002B2D82">
        <w:t xml:space="preserve">used to communicate with the public about urgent and emerging public health issues (such as a flu epidemic). The goal of the study is to learn how to create more effective messages and materials to communicate </w:t>
      </w:r>
      <w:r w:rsidR="002B2D82">
        <w:t xml:space="preserve">to the public </w:t>
      </w:r>
      <w:r w:rsidR="002B2D82" w:rsidRPr="002B2D82">
        <w:t xml:space="preserve">about urgent public health issues in the future. </w:t>
      </w:r>
    </w:p>
    <w:p w14:paraId="64750D88" w14:textId="77777777" w:rsidR="00D07478" w:rsidRPr="00FD6005" w:rsidRDefault="00D07478" w:rsidP="002B2D82">
      <w:pPr>
        <w:spacing w:before="120"/>
      </w:pPr>
    </w:p>
    <w:p w14:paraId="799512BD" w14:textId="7CE19799" w:rsidR="00D07478" w:rsidRPr="0031716D" w:rsidRDefault="009B166D" w:rsidP="00D07478">
      <w:pPr>
        <w:rPr>
          <w:rFonts w:ascii="Calibri" w:hAnsi="Calibri"/>
        </w:rPr>
      </w:pPr>
      <w:r>
        <w:rPr>
          <w:rFonts w:ascii="Calibri" w:hAnsi="Calibri"/>
        </w:rPr>
        <w:t xml:space="preserve">On behalf of </w:t>
      </w:r>
      <w:r w:rsidR="00D07478" w:rsidRPr="0031716D">
        <w:rPr>
          <w:rFonts w:ascii="Calibri" w:hAnsi="Calibri"/>
        </w:rPr>
        <w:t>OADC</w:t>
      </w:r>
      <w:r>
        <w:rPr>
          <w:rFonts w:ascii="Calibri" w:hAnsi="Calibri"/>
        </w:rPr>
        <w:t xml:space="preserve">, CommunicateHealth </w:t>
      </w:r>
      <w:r w:rsidR="00D07478" w:rsidRPr="0031716D">
        <w:rPr>
          <w:rFonts w:ascii="Calibri" w:hAnsi="Calibri"/>
        </w:rPr>
        <w:t xml:space="preserve">will </w:t>
      </w:r>
      <w:r w:rsidR="008A759E">
        <w:rPr>
          <w:rFonts w:ascii="Calibri" w:hAnsi="Calibri"/>
        </w:rPr>
        <w:t xml:space="preserve">administer surveys </w:t>
      </w:r>
      <w:r>
        <w:rPr>
          <w:rFonts w:ascii="Calibri" w:hAnsi="Calibri"/>
        </w:rPr>
        <w:t>(</w:t>
      </w:r>
      <w:r>
        <w:rPr>
          <w:rFonts w:ascii="Calibri" w:hAnsi="Calibri"/>
          <w:b/>
        </w:rPr>
        <w:t>Attachment B</w:t>
      </w:r>
      <w:r>
        <w:rPr>
          <w:rFonts w:ascii="Calibri" w:hAnsi="Calibri"/>
        </w:rPr>
        <w:t>)</w:t>
      </w:r>
      <w:r w:rsidR="00E50413">
        <w:rPr>
          <w:rFonts w:ascii="Calibri" w:hAnsi="Calibri"/>
        </w:rPr>
        <w:t>, via a 3</w:t>
      </w:r>
      <w:r w:rsidR="00E50413" w:rsidRPr="00FF2761">
        <w:rPr>
          <w:rFonts w:ascii="Calibri" w:hAnsi="Calibri"/>
          <w:vertAlign w:val="superscript"/>
        </w:rPr>
        <w:t>rd</w:t>
      </w:r>
      <w:r w:rsidR="00E50413">
        <w:rPr>
          <w:rFonts w:ascii="Calibri" w:hAnsi="Calibri"/>
        </w:rPr>
        <w:t xml:space="preserve"> party vendor,</w:t>
      </w:r>
      <w:r w:rsidRPr="0031716D">
        <w:rPr>
          <w:rFonts w:ascii="Calibri" w:hAnsi="Calibri"/>
        </w:rPr>
        <w:t xml:space="preserve"> </w:t>
      </w:r>
      <w:r w:rsidR="00D07478" w:rsidRPr="0031716D">
        <w:rPr>
          <w:rFonts w:ascii="Calibri" w:hAnsi="Calibri"/>
        </w:rPr>
        <w:t xml:space="preserve">to a </w:t>
      </w:r>
      <w:r w:rsidR="008D607D">
        <w:rPr>
          <w:rFonts w:ascii="Calibri" w:hAnsi="Calibri"/>
        </w:rPr>
        <w:t>diverse mix</w:t>
      </w:r>
      <w:r w:rsidR="008D607D" w:rsidRPr="0031716D">
        <w:rPr>
          <w:rFonts w:ascii="Calibri" w:hAnsi="Calibri"/>
        </w:rPr>
        <w:t xml:space="preserve"> </w:t>
      </w:r>
      <w:r w:rsidR="00D07478" w:rsidRPr="0031716D">
        <w:rPr>
          <w:rFonts w:ascii="Calibri" w:hAnsi="Calibri"/>
        </w:rPr>
        <w:t xml:space="preserve">of the general public to evaluate </w:t>
      </w:r>
      <w:r w:rsidR="005C7494">
        <w:rPr>
          <w:rFonts w:ascii="Calibri" w:hAnsi="Calibri"/>
        </w:rPr>
        <w:t>the</w:t>
      </w:r>
      <w:r w:rsidR="00D07478" w:rsidRPr="0031716D">
        <w:rPr>
          <w:rFonts w:ascii="Calibri" w:hAnsi="Calibri"/>
        </w:rPr>
        <w:t xml:space="preserve"> following aspects of </w:t>
      </w:r>
      <w:r w:rsidR="003002F2">
        <w:rPr>
          <w:rFonts w:ascii="Calibri" w:hAnsi="Calibri"/>
        </w:rPr>
        <w:t>the health</w:t>
      </w:r>
      <w:r w:rsidR="003002F2" w:rsidRPr="0031716D">
        <w:rPr>
          <w:rFonts w:ascii="Calibri" w:hAnsi="Calibri"/>
        </w:rPr>
        <w:t xml:space="preserve"> </w:t>
      </w:r>
      <w:r w:rsidR="00C45CAF">
        <w:rPr>
          <w:rFonts w:ascii="Calibri" w:hAnsi="Calibri"/>
        </w:rPr>
        <w:t xml:space="preserve">messages and </w:t>
      </w:r>
      <w:r w:rsidR="00D07478" w:rsidRPr="0031716D">
        <w:rPr>
          <w:rFonts w:ascii="Calibri" w:hAnsi="Calibri"/>
        </w:rPr>
        <w:t>materials:</w:t>
      </w:r>
    </w:p>
    <w:p w14:paraId="66FCD1EC" w14:textId="77777777" w:rsidR="00D07478" w:rsidRPr="0031716D" w:rsidRDefault="00D07478" w:rsidP="00D0747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31716D">
        <w:rPr>
          <w:rFonts w:ascii="Calibri" w:hAnsi="Calibri"/>
        </w:rPr>
        <w:t>Clarity of the material’s target audience, main message, and intended behavioral recommendation</w:t>
      </w:r>
    </w:p>
    <w:p w14:paraId="0C0E2EEB" w14:textId="382B787F" w:rsidR="00D07478" w:rsidRPr="0031716D" w:rsidRDefault="00D07478" w:rsidP="00D0747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31716D">
        <w:rPr>
          <w:rFonts w:ascii="Calibri" w:hAnsi="Calibri"/>
        </w:rPr>
        <w:t>Comprehensibility</w:t>
      </w:r>
      <w:r w:rsidR="003002F2">
        <w:rPr>
          <w:rFonts w:ascii="Calibri" w:hAnsi="Calibri"/>
        </w:rPr>
        <w:t xml:space="preserve"> — how easy </w:t>
      </w:r>
      <w:r w:rsidR="00A135D9">
        <w:rPr>
          <w:rFonts w:ascii="Calibri" w:hAnsi="Calibri"/>
        </w:rPr>
        <w:t xml:space="preserve">are messages in </w:t>
      </w:r>
      <w:r w:rsidR="003002F2">
        <w:rPr>
          <w:rFonts w:ascii="Calibri" w:hAnsi="Calibri"/>
        </w:rPr>
        <w:t>the material to understand</w:t>
      </w:r>
    </w:p>
    <w:p w14:paraId="172A9B3B" w14:textId="455112DF" w:rsidR="00D07478" w:rsidRPr="0031716D" w:rsidRDefault="00D07478" w:rsidP="00D0747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31716D">
        <w:rPr>
          <w:rFonts w:ascii="Calibri" w:hAnsi="Calibri"/>
        </w:rPr>
        <w:t>Utility</w:t>
      </w:r>
      <w:r w:rsidR="003002F2">
        <w:rPr>
          <w:rFonts w:ascii="Calibri" w:hAnsi="Calibri"/>
        </w:rPr>
        <w:t xml:space="preserve"> — how useful </w:t>
      </w:r>
      <w:r w:rsidR="00A135D9">
        <w:rPr>
          <w:rFonts w:ascii="Calibri" w:hAnsi="Calibri"/>
        </w:rPr>
        <w:t>are messages in</w:t>
      </w:r>
      <w:r w:rsidR="003002F2">
        <w:rPr>
          <w:rFonts w:ascii="Calibri" w:hAnsi="Calibri"/>
        </w:rPr>
        <w:t xml:space="preserve"> the material</w:t>
      </w:r>
    </w:p>
    <w:p w14:paraId="5891E034" w14:textId="77777777" w:rsidR="00D07478" w:rsidRPr="0031716D" w:rsidRDefault="00D07478" w:rsidP="00D07478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31716D">
        <w:rPr>
          <w:rFonts w:ascii="Calibri" w:hAnsi="Calibri"/>
        </w:rPr>
        <w:t>Design quality</w:t>
      </w:r>
    </w:p>
    <w:p w14:paraId="6F530673" w14:textId="77777777" w:rsidR="00D07478" w:rsidRPr="0031716D" w:rsidRDefault="00D07478" w:rsidP="00D07478">
      <w:pPr>
        <w:pStyle w:val="ListParagraph"/>
        <w:numPr>
          <w:ilvl w:val="0"/>
          <w:numId w:val="0"/>
        </w:numPr>
        <w:ind w:left="768"/>
        <w:rPr>
          <w:rFonts w:ascii="Calibri" w:hAnsi="Calibri"/>
        </w:rPr>
      </w:pPr>
    </w:p>
    <w:p w14:paraId="5F2B68A1" w14:textId="626DAD6B" w:rsidR="00D07478" w:rsidRPr="0031716D" w:rsidRDefault="00D07478" w:rsidP="00D07478">
      <w:pPr>
        <w:rPr>
          <w:rFonts w:ascii="Calibri" w:hAnsi="Calibri"/>
        </w:rPr>
      </w:pPr>
      <w:r w:rsidRPr="0031716D">
        <w:rPr>
          <w:rFonts w:ascii="Calibri" w:hAnsi="Calibri"/>
        </w:rPr>
        <w:t xml:space="preserve">Table 1 summarizes the number of </w:t>
      </w:r>
      <w:r w:rsidR="009800B6">
        <w:rPr>
          <w:rFonts w:ascii="Calibri" w:hAnsi="Calibri"/>
        </w:rPr>
        <w:t>surveys</w:t>
      </w:r>
      <w:r w:rsidRPr="0031716D">
        <w:rPr>
          <w:rFonts w:ascii="Calibri" w:hAnsi="Calibri"/>
        </w:rPr>
        <w:t xml:space="preserve">, health materials, and </w:t>
      </w:r>
      <w:r w:rsidR="002F3891">
        <w:rPr>
          <w:rFonts w:ascii="Calibri" w:hAnsi="Calibri"/>
        </w:rPr>
        <w:t>number of participants</w:t>
      </w:r>
      <w:r w:rsidRPr="0031716D">
        <w:rPr>
          <w:rFonts w:ascii="Calibri" w:hAnsi="Calibri"/>
        </w:rPr>
        <w:t xml:space="preserve">. </w:t>
      </w:r>
    </w:p>
    <w:p w14:paraId="1F59D643" w14:textId="77777777" w:rsidR="00D07478" w:rsidRPr="0031716D" w:rsidRDefault="00D07478" w:rsidP="00D07478">
      <w:pPr>
        <w:rPr>
          <w:rFonts w:ascii="Calibri" w:hAnsi="Calibri"/>
        </w:rPr>
      </w:pPr>
    </w:p>
    <w:p w14:paraId="547D7FC9" w14:textId="77777777" w:rsidR="00D07478" w:rsidRPr="0031716D" w:rsidRDefault="00D07478" w:rsidP="00D07478">
      <w:pPr>
        <w:rPr>
          <w:rFonts w:ascii="Calibri" w:hAnsi="Calibri"/>
          <w:b/>
        </w:rPr>
      </w:pPr>
      <w:r w:rsidRPr="0031716D">
        <w:rPr>
          <w:rFonts w:ascii="Calibri" w:hAnsi="Calibri"/>
          <w:b/>
        </w:rPr>
        <w:t>Table 1. Material and Participants by Survey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2340"/>
        <w:gridCol w:w="2070"/>
      </w:tblGrid>
      <w:tr w:rsidR="002F3891" w:rsidRPr="0031716D" w14:paraId="42275853" w14:textId="77777777" w:rsidTr="00C51088">
        <w:tc>
          <w:tcPr>
            <w:tcW w:w="1350" w:type="dxa"/>
          </w:tcPr>
          <w:p w14:paraId="6D9C2BBE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b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b/>
                <w:szCs w:val="20"/>
                <w:lang w:eastAsia="en-US"/>
              </w:rPr>
              <w:t>Survey</w:t>
            </w:r>
          </w:p>
        </w:tc>
        <w:tc>
          <w:tcPr>
            <w:tcW w:w="2340" w:type="dxa"/>
          </w:tcPr>
          <w:p w14:paraId="1B46FD2E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b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b/>
                <w:szCs w:val="20"/>
                <w:lang w:eastAsia="en-US"/>
              </w:rPr>
              <w:t>Material</w:t>
            </w:r>
          </w:p>
        </w:tc>
        <w:tc>
          <w:tcPr>
            <w:tcW w:w="2070" w:type="dxa"/>
          </w:tcPr>
          <w:p w14:paraId="7189D19F" w14:textId="45576726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b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0"/>
                <w:lang w:eastAsia="en-US"/>
              </w:rPr>
              <w:t>Participants</w:t>
            </w:r>
            <w:r w:rsidRPr="0031716D">
              <w:rPr>
                <w:rFonts w:ascii="Calibri" w:eastAsia="Calibri" w:hAnsi="Calibri" w:cs="Arial"/>
                <w:b/>
                <w:szCs w:val="20"/>
                <w:lang w:eastAsia="en-US"/>
              </w:rPr>
              <w:t xml:space="preserve"> </w:t>
            </w:r>
          </w:p>
        </w:tc>
      </w:tr>
      <w:tr w:rsidR="002F3891" w:rsidRPr="0031716D" w14:paraId="5FEB6EB7" w14:textId="77777777" w:rsidTr="00C51088">
        <w:tc>
          <w:tcPr>
            <w:tcW w:w="1350" w:type="dxa"/>
          </w:tcPr>
          <w:p w14:paraId="7A743015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1</w:t>
            </w:r>
          </w:p>
        </w:tc>
        <w:tc>
          <w:tcPr>
            <w:tcW w:w="2340" w:type="dxa"/>
          </w:tcPr>
          <w:p w14:paraId="56657DDA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#1 Material</w:t>
            </w:r>
          </w:p>
        </w:tc>
        <w:tc>
          <w:tcPr>
            <w:tcW w:w="2070" w:type="dxa"/>
          </w:tcPr>
          <w:p w14:paraId="461EF4F8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15</w:t>
            </w:r>
          </w:p>
        </w:tc>
      </w:tr>
      <w:tr w:rsidR="002F3891" w:rsidRPr="0031716D" w14:paraId="16AB78B6" w14:textId="77777777" w:rsidTr="00C51088">
        <w:tc>
          <w:tcPr>
            <w:tcW w:w="1350" w:type="dxa"/>
          </w:tcPr>
          <w:p w14:paraId="66034C81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2</w:t>
            </w:r>
          </w:p>
        </w:tc>
        <w:tc>
          <w:tcPr>
            <w:tcW w:w="2340" w:type="dxa"/>
          </w:tcPr>
          <w:p w14:paraId="279ACB87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#2 Material</w:t>
            </w:r>
          </w:p>
        </w:tc>
        <w:tc>
          <w:tcPr>
            <w:tcW w:w="2070" w:type="dxa"/>
          </w:tcPr>
          <w:p w14:paraId="33572500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15</w:t>
            </w:r>
          </w:p>
        </w:tc>
      </w:tr>
      <w:tr w:rsidR="002F3891" w:rsidRPr="0031716D" w14:paraId="3F9E1DBC" w14:textId="77777777" w:rsidTr="00C51088">
        <w:tc>
          <w:tcPr>
            <w:tcW w:w="1350" w:type="dxa"/>
          </w:tcPr>
          <w:p w14:paraId="4B42AD9E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3</w:t>
            </w:r>
          </w:p>
        </w:tc>
        <w:tc>
          <w:tcPr>
            <w:tcW w:w="2340" w:type="dxa"/>
          </w:tcPr>
          <w:p w14:paraId="580B5586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#3 Material</w:t>
            </w:r>
          </w:p>
        </w:tc>
        <w:tc>
          <w:tcPr>
            <w:tcW w:w="2070" w:type="dxa"/>
          </w:tcPr>
          <w:p w14:paraId="41FDFF67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15</w:t>
            </w:r>
          </w:p>
        </w:tc>
      </w:tr>
      <w:tr w:rsidR="002F3891" w:rsidRPr="0031716D" w14:paraId="1F30F2FB" w14:textId="77777777" w:rsidTr="00C51088">
        <w:tc>
          <w:tcPr>
            <w:tcW w:w="1350" w:type="dxa"/>
          </w:tcPr>
          <w:p w14:paraId="2FE779DC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4</w:t>
            </w:r>
          </w:p>
        </w:tc>
        <w:tc>
          <w:tcPr>
            <w:tcW w:w="2340" w:type="dxa"/>
          </w:tcPr>
          <w:p w14:paraId="5E3AA81D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Survey #4 Material</w:t>
            </w:r>
          </w:p>
        </w:tc>
        <w:tc>
          <w:tcPr>
            <w:tcW w:w="2070" w:type="dxa"/>
          </w:tcPr>
          <w:p w14:paraId="22B665B3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31716D">
              <w:rPr>
                <w:rFonts w:ascii="Calibri" w:eastAsia="Calibri" w:hAnsi="Calibri" w:cs="Arial"/>
                <w:szCs w:val="20"/>
                <w:lang w:eastAsia="en-US"/>
              </w:rPr>
              <w:t>15</w:t>
            </w:r>
          </w:p>
        </w:tc>
      </w:tr>
      <w:tr w:rsidR="002F3891" w:rsidRPr="0031716D" w14:paraId="1528B64F" w14:textId="77777777" w:rsidTr="00C51088">
        <w:tc>
          <w:tcPr>
            <w:tcW w:w="1350" w:type="dxa"/>
          </w:tcPr>
          <w:p w14:paraId="33E646CC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</w:p>
        </w:tc>
        <w:tc>
          <w:tcPr>
            <w:tcW w:w="2340" w:type="dxa"/>
          </w:tcPr>
          <w:p w14:paraId="2436E21E" w14:textId="77777777" w:rsidR="002F3891" w:rsidRPr="0031716D" w:rsidRDefault="002F3891" w:rsidP="00C51088">
            <w:pPr>
              <w:outlineLvl w:val="0"/>
              <w:rPr>
                <w:rFonts w:ascii="Calibri" w:eastAsia="Calibri" w:hAnsi="Calibri" w:cs="Arial"/>
                <w:szCs w:val="20"/>
                <w:lang w:eastAsia="en-US"/>
              </w:rPr>
            </w:pPr>
          </w:p>
        </w:tc>
        <w:tc>
          <w:tcPr>
            <w:tcW w:w="2070" w:type="dxa"/>
          </w:tcPr>
          <w:p w14:paraId="131629C1" w14:textId="451CFF56" w:rsidR="002F3891" w:rsidRPr="0031716D" w:rsidRDefault="00C362B0" w:rsidP="00C51088">
            <w:pPr>
              <w:outlineLvl w:val="0"/>
              <w:rPr>
                <w:rFonts w:ascii="Calibri" w:eastAsia="Calibri" w:hAnsi="Calibri" w:cs="Arial"/>
                <w:b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0"/>
                <w:lang w:eastAsia="en-US"/>
              </w:rPr>
              <w:t xml:space="preserve">Total: </w:t>
            </w:r>
            <w:r w:rsidR="002F3891">
              <w:rPr>
                <w:rFonts w:ascii="Calibri" w:eastAsia="Calibri" w:hAnsi="Calibri" w:cs="Arial"/>
                <w:b/>
                <w:szCs w:val="20"/>
                <w:lang w:eastAsia="en-US"/>
              </w:rPr>
              <w:t>60</w:t>
            </w:r>
          </w:p>
        </w:tc>
      </w:tr>
    </w:tbl>
    <w:p w14:paraId="55E6ABC5" w14:textId="77777777" w:rsidR="00D07478" w:rsidRPr="0031716D" w:rsidRDefault="00D07478" w:rsidP="00D07478">
      <w:pPr>
        <w:rPr>
          <w:rFonts w:ascii="Calibri" w:hAnsi="Calibri"/>
        </w:rPr>
      </w:pPr>
    </w:p>
    <w:p w14:paraId="0D5891D1" w14:textId="2554F1A5" w:rsidR="00D07478" w:rsidRPr="0031716D" w:rsidRDefault="00D07478" w:rsidP="00D07478">
      <w:pPr>
        <w:rPr>
          <w:rFonts w:ascii="Calibri" w:hAnsi="Calibri"/>
        </w:rPr>
      </w:pPr>
      <w:r w:rsidRPr="0031716D">
        <w:rPr>
          <w:rFonts w:ascii="Calibri" w:hAnsi="Calibri"/>
        </w:rPr>
        <w:t>Specifically, OADC wants to learn:</w:t>
      </w:r>
    </w:p>
    <w:p w14:paraId="0E77B637" w14:textId="75C9C8E7" w:rsidR="00D07478" w:rsidRPr="0031716D" w:rsidRDefault="00D07478" w:rsidP="008B50BB">
      <w:pPr>
        <w:pStyle w:val="BodyText"/>
        <w:tabs>
          <w:tab w:val="left" w:pos="2111"/>
        </w:tabs>
        <w:spacing w:before="4"/>
        <w:ind w:left="0" w:firstLine="0"/>
      </w:pPr>
    </w:p>
    <w:p w14:paraId="21961826" w14:textId="22278659" w:rsidR="00D07478" w:rsidRPr="0031716D" w:rsidRDefault="00616ED0" w:rsidP="00FD6005">
      <w:pPr>
        <w:pStyle w:val="BodyText"/>
        <w:numPr>
          <w:ilvl w:val="0"/>
          <w:numId w:val="23"/>
        </w:numPr>
        <w:tabs>
          <w:tab w:val="left" w:pos="2111"/>
        </w:tabs>
        <w:spacing w:before="4"/>
      </w:pPr>
      <w:r>
        <w:t xml:space="preserve">How </w:t>
      </w:r>
      <w:r w:rsidR="002F3891">
        <w:t xml:space="preserve">do participants rate </w:t>
      </w:r>
      <w:r>
        <w:t xml:space="preserve">the materials </w:t>
      </w:r>
      <w:r w:rsidR="007026C9">
        <w:t xml:space="preserve">and messages </w:t>
      </w:r>
      <w:r>
        <w:t xml:space="preserve">in terms of being easy to </w:t>
      </w:r>
      <w:r w:rsidR="002F3891">
        <w:t xml:space="preserve">understand, useful, and </w:t>
      </w:r>
      <w:r>
        <w:t xml:space="preserve">well </w:t>
      </w:r>
      <w:r w:rsidR="002F3891">
        <w:t>designed?</w:t>
      </w:r>
    </w:p>
    <w:p w14:paraId="16293E2D" w14:textId="77777777" w:rsidR="00D07478" w:rsidRPr="0031716D" w:rsidRDefault="00D07478" w:rsidP="00D07478">
      <w:pPr>
        <w:rPr>
          <w:rFonts w:ascii="Calibri" w:hAnsi="Calibri"/>
        </w:rPr>
      </w:pPr>
    </w:p>
    <w:p w14:paraId="47430C0E" w14:textId="5588D7CC" w:rsidR="00D07478" w:rsidRPr="0031716D" w:rsidRDefault="00A135D9" w:rsidP="00D07478">
      <w:pPr>
        <w:rPr>
          <w:rFonts w:ascii="Calibri" w:hAnsi="Calibri"/>
        </w:rPr>
      </w:pPr>
      <w:r>
        <w:rPr>
          <w:rFonts w:ascii="Calibri" w:hAnsi="Calibri"/>
        </w:rPr>
        <w:t xml:space="preserve">Based on findings, </w:t>
      </w:r>
      <w:r w:rsidR="00D07478" w:rsidRPr="0031716D">
        <w:rPr>
          <w:rFonts w:ascii="Calibri" w:hAnsi="Calibri"/>
        </w:rPr>
        <w:t xml:space="preserve">CommunicateHealth will </w:t>
      </w:r>
      <w:r>
        <w:rPr>
          <w:rFonts w:ascii="Calibri" w:hAnsi="Calibri"/>
        </w:rPr>
        <w:t>make recommendations for improving messages and materials</w:t>
      </w:r>
      <w:r w:rsidR="002B2D82">
        <w:rPr>
          <w:rFonts w:ascii="Calibri" w:hAnsi="Calibri"/>
        </w:rPr>
        <w:t xml:space="preserve"> on urgent and emerging public health issues</w:t>
      </w:r>
      <w:r>
        <w:rPr>
          <w:rFonts w:ascii="Calibri" w:hAnsi="Calibri"/>
        </w:rPr>
        <w:t xml:space="preserve"> in the future. </w:t>
      </w:r>
    </w:p>
    <w:p w14:paraId="72324867" w14:textId="77777777" w:rsidR="00D07478" w:rsidRPr="0031716D" w:rsidRDefault="00D07478" w:rsidP="00D07478">
      <w:pPr>
        <w:pStyle w:val="Heading1"/>
        <w:pBdr>
          <w:bottom w:val="single" w:sz="4" w:space="1" w:color="auto"/>
        </w:pBdr>
        <w:rPr>
          <w:rFonts w:ascii="Calibri" w:hAnsi="Calibri"/>
          <w:color w:val="auto"/>
        </w:rPr>
      </w:pPr>
      <w:bookmarkStart w:id="1" w:name="_Toc318452775"/>
      <w:r w:rsidRPr="0031716D">
        <w:rPr>
          <w:rFonts w:ascii="Calibri" w:hAnsi="Calibri"/>
          <w:color w:val="auto"/>
        </w:rPr>
        <w:t>Participants</w:t>
      </w:r>
      <w:bookmarkEnd w:id="1"/>
    </w:p>
    <w:p w14:paraId="03271338" w14:textId="26C0E1B4" w:rsidR="00D07478" w:rsidRPr="0031716D" w:rsidRDefault="00DB1CE6" w:rsidP="00D07478">
      <w:pPr>
        <w:spacing w:beforeLines="1" w:before="2" w:afterLines="1" w:after="2"/>
        <w:rPr>
          <w:rFonts w:ascii="Calibri" w:hAnsi="Calibri"/>
        </w:rPr>
      </w:pPr>
      <w:r>
        <w:t xml:space="preserve">On behalf of OADC, </w:t>
      </w:r>
      <w:r w:rsidRPr="00F12494">
        <w:t xml:space="preserve">CommunicateHealth will conduct online surveys with 60 participants </w:t>
      </w:r>
      <w:r>
        <w:t xml:space="preserve">using Qualtrics, a </w:t>
      </w:r>
      <w:r w:rsidRPr="00204D0F">
        <w:rPr>
          <w:rFonts w:cs="Arial"/>
          <w:szCs w:val="22"/>
        </w:rPr>
        <w:t>secure survey platform</w:t>
      </w:r>
      <w:r>
        <w:rPr>
          <w:rStyle w:val="FootnoteReference"/>
          <w:rFonts w:cs="Arial"/>
          <w:szCs w:val="22"/>
        </w:rPr>
        <w:footnoteReference w:id="1"/>
      </w:r>
      <w:r w:rsidRPr="00204D0F">
        <w:rPr>
          <w:rFonts w:cs="Arial"/>
          <w:szCs w:val="22"/>
        </w:rPr>
        <w:t xml:space="preserve">. </w:t>
      </w:r>
      <w:r w:rsidR="004417F2" w:rsidRPr="00204D0F">
        <w:rPr>
          <w:rFonts w:cs="Arial"/>
          <w:szCs w:val="22"/>
        </w:rPr>
        <w:t xml:space="preserve">IT security clearance for the use of the Qualtrics online survey has been granted by the </w:t>
      </w:r>
      <w:r w:rsidR="004417F2">
        <w:rPr>
          <w:rFonts w:cs="Arial"/>
          <w:szCs w:val="22"/>
        </w:rPr>
        <w:t xml:space="preserve">CDC, </w:t>
      </w:r>
      <w:r w:rsidR="004417F2" w:rsidRPr="00204D0F">
        <w:rPr>
          <w:rFonts w:cs="Arial"/>
          <w:szCs w:val="22"/>
        </w:rPr>
        <w:t xml:space="preserve">NCEH Information System Security Officer (ISSO). </w:t>
      </w:r>
      <w:r w:rsidR="00D07478" w:rsidRPr="0031716D">
        <w:rPr>
          <w:rFonts w:ascii="Calibri" w:hAnsi="Calibri"/>
        </w:rPr>
        <w:t xml:space="preserve">Our </w:t>
      </w:r>
      <w:r w:rsidR="00D07478" w:rsidRPr="0031716D">
        <w:rPr>
          <w:rFonts w:ascii="Calibri" w:hAnsi="Calibri"/>
        </w:rPr>
        <w:lastRenderedPageBreak/>
        <w:t xml:space="preserve">desired participants are </w:t>
      </w:r>
      <w:r w:rsidR="002F3891">
        <w:rPr>
          <w:rFonts w:ascii="Calibri" w:hAnsi="Calibri"/>
        </w:rPr>
        <w:t xml:space="preserve">a diverse mix of </w:t>
      </w:r>
      <w:r>
        <w:rPr>
          <w:rFonts w:ascii="Calibri" w:hAnsi="Calibri"/>
        </w:rPr>
        <w:t>the general public</w:t>
      </w:r>
      <w:r w:rsidR="00D07478" w:rsidRPr="0031716D">
        <w:rPr>
          <w:rFonts w:ascii="Calibri" w:hAnsi="Calibri"/>
        </w:rPr>
        <w:t xml:space="preserve"> </w:t>
      </w:r>
      <w:r w:rsidR="00A0576C">
        <w:rPr>
          <w:rFonts w:ascii="Calibri" w:hAnsi="Calibri"/>
        </w:rPr>
        <w:t xml:space="preserve">in </w:t>
      </w:r>
      <w:r w:rsidR="00D07478" w:rsidRPr="0031716D">
        <w:rPr>
          <w:rFonts w:ascii="Calibri" w:hAnsi="Calibri"/>
        </w:rPr>
        <w:t xml:space="preserve">education levels, races and ethnicities, and income levels. </w:t>
      </w:r>
    </w:p>
    <w:p w14:paraId="0D18F755" w14:textId="77777777" w:rsidR="00D07478" w:rsidRPr="0031716D" w:rsidRDefault="00D07478" w:rsidP="00D07478">
      <w:pPr>
        <w:rPr>
          <w:rFonts w:ascii="Calibri" w:hAnsi="Calibri"/>
        </w:rPr>
      </w:pPr>
    </w:p>
    <w:p w14:paraId="11D51CE6" w14:textId="7B224246" w:rsidR="00D07478" w:rsidRPr="0031716D" w:rsidRDefault="00685D0A" w:rsidP="00D07478">
      <w:pPr>
        <w:rPr>
          <w:rFonts w:ascii="Calibri" w:hAnsi="Calibri"/>
        </w:rPr>
      </w:pPr>
      <w:r>
        <w:rPr>
          <w:rFonts w:ascii="Calibri" w:hAnsi="Calibri"/>
        </w:rPr>
        <w:t>The screener questions and response quotas will yield a sample with</w:t>
      </w:r>
      <w:r w:rsidR="00D07478" w:rsidRPr="0031716D">
        <w:rPr>
          <w:rFonts w:ascii="Calibri" w:hAnsi="Calibri"/>
        </w:rPr>
        <w:t xml:space="preserve"> the following characteristics: </w:t>
      </w:r>
    </w:p>
    <w:p w14:paraId="37C263AF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b/>
          <w:szCs w:val="20"/>
        </w:rPr>
      </w:pPr>
      <w:r w:rsidRPr="0031716D">
        <w:rPr>
          <w:rFonts w:ascii="Calibri" w:hAnsi="Calibri" w:cs="Arial"/>
          <w:b/>
          <w:szCs w:val="20"/>
        </w:rPr>
        <w:t xml:space="preserve">Age: </w:t>
      </w:r>
      <w:r w:rsidRPr="0031716D">
        <w:rPr>
          <w:rFonts w:ascii="Calibri" w:hAnsi="Calibri" w:cs="Arial"/>
          <w:szCs w:val="20"/>
        </w:rPr>
        <w:t>Mixed, 18 and over</w:t>
      </w:r>
    </w:p>
    <w:p w14:paraId="37770DC0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>Gender</w:t>
      </w:r>
      <w:r w:rsidRPr="0031716D">
        <w:rPr>
          <w:rFonts w:ascii="Calibri" w:hAnsi="Calibri" w:cs="Arial"/>
          <w:szCs w:val="20"/>
        </w:rPr>
        <w:t>: Mixed</w:t>
      </w:r>
    </w:p>
    <w:p w14:paraId="6D574062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>Race/Ethnicity</w:t>
      </w:r>
      <w:r w:rsidRPr="0031716D">
        <w:rPr>
          <w:rFonts w:ascii="Calibri" w:hAnsi="Calibri" w:cs="Arial"/>
          <w:szCs w:val="20"/>
        </w:rPr>
        <w:t xml:space="preserve">: Mixed </w:t>
      </w:r>
    </w:p>
    <w:p w14:paraId="474DF44D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>Education Level:</w:t>
      </w:r>
      <w:r w:rsidRPr="0031716D">
        <w:rPr>
          <w:rFonts w:ascii="Calibri" w:hAnsi="Calibri" w:cs="Arial"/>
          <w:szCs w:val="20"/>
        </w:rPr>
        <w:t xml:space="preserve"> Mixed</w:t>
      </w:r>
      <w:r w:rsidRPr="0031716D">
        <w:rPr>
          <w:rFonts w:ascii="Calibri" w:hAnsi="Calibri" w:cs="Arial"/>
        </w:rPr>
        <w:t>, at least half of the participants cite some college education completed or less</w:t>
      </w:r>
    </w:p>
    <w:p w14:paraId="14A1FBD3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>Income:</w:t>
      </w:r>
      <w:r w:rsidRPr="0031716D">
        <w:rPr>
          <w:rFonts w:ascii="Calibri" w:hAnsi="Calibri" w:cs="Arial"/>
          <w:szCs w:val="20"/>
        </w:rPr>
        <w:t xml:space="preserve"> Mixed, at least half of participants cite an income of $50,000 or less</w:t>
      </w:r>
    </w:p>
    <w:p w14:paraId="25469CEE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 xml:space="preserve">Geography: </w:t>
      </w:r>
      <w:r w:rsidRPr="0031716D">
        <w:rPr>
          <w:rFonts w:ascii="Calibri" w:hAnsi="Calibri" w:cs="Arial"/>
          <w:szCs w:val="20"/>
        </w:rPr>
        <w:t>Mixed</w:t>
      </w:r>
    </w:p>
    <w:p w14:paraId="20FF10AF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Lines="1" w:before="2" w:afterLines="1" w:after="2"/>
        <w:rPr>
          <w:rFonts w:ascii="Calibri" w:hAnsi="Calibri" w:cs="Arial"/>
          <w:szCs w:val="20"/>
        </w:rPr>
      </w:pPr>
      <w:r w:rsidRPr="0031716D">
        <w:rPr>
          <w:rFonts w:ascii="Calibri" w:hAnsi="Calibri" w:cs="Arial"/>
          <w:b/>
          <w:szCs w:val="20"/>
        </w:rPr>
        <w:t>Health Literacy Level:</w:t>
      </w:r>
      <w:r w:rsidRPr="0031716D">
        <w:rPr>
          <w:rFonts w:ascii="Calibri" w:hAnsi="Calibri" w:cs="Arial"/>
          <w:szCs w:val="20"/>
        </w:rPr>
        <w:t xml:space="preserve"> Mixed</w:t>
      </w:r>
    </w:p>
    <w:p w14:paraId="229D7FED" w14:textId="77777777" w:rsidR="00D07478" w:rsidRPr="0031716D" w:rsidRDefault="00D07478" w:rsidP="00D07478">
      <w:pPr>
        <w:spacing w:beforeLines="1" w:before="2" w:afterLines="1" w:after="2"/>
        <w:rPr>
          <w:rFonts w:ascii="Calibri" w:hAnsi="Calibri" w:cs="Arial"/>
          <w:szCs w:val="20"/>
        </w:rPr>
      </w:pPr>
    </w:p>
    <w:p w14:paraId="260D74E1" w14:textId="6C5580B2" w:rsidR="00D07478" w:rsidRPr="0031716D" w:rsidRDefault="00685D0A" w:rsidP="00D07478">
      <w:pPr>
        <w:spacing w:beforeLines="1" w:before="2" w:afterLines="1" w:after="2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The screener questions</w:t>
      </w:r>
      <w:r w:rsidRPr="0031716D">
        <w:rPr>
          <w:rFonts w:ascii="Calibri" w:hAnsi="Calibri" w:cs="Arial"/>
          <w:szCs w:val="20"/>
        </w:rPr>
        <w:t xml:space="preserve"> </w:t>
      </w:r>
      <w:r w:rsidR="00D07478" w:rsidRPr="0031716D">
        <w:rPr>
          <w:rFonts w:ascii="Calibri" w:hAnsi="Calibri" w:cs="Arial"/>
          <w:szCs w:val="20"/>
        </w:rPr>
        <w:t>will exclude from participation people who:</w:t>
      </w:r>
    </w:p>
    <w:p w14:paraId="6D498FF6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="0" w:after="0"/>
        <w:rPr>
          <w:rFonts w:ascii="Calibri" w:hAnsi="Calibri"/>
        </w:rPr>
      </w:pPr>
      <w:r w:rsidRPr="0031716D">
        <w:rPr>
          <w:rFonts w:ascii="Calibri" w:hAnsi="Calibri"/>
        </w:rPr>
        <w:t>Are under the age of 18</w:t>
      </w:r>
    </w:p>
    <w:p w14:paraId="3A24C15C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="0" w:after="0"/>
        <w:rPr>
          <w:rFonts w:ascii="Calibri" w:hAnsi="Calibri"/>
        </w:rPr>
      </w:pPr>
      <w:r w:rsidRPr="0031716D">
        <w:rPr>
          <w:rFonts w:ascii="Calibri" w:hAnsi="Calibri"/>
        </w:rPr>
        <w:t>Have participated in any research within the past 6 months</w:t>
      </w:r>
    </w:p>
    <w:p w14:paraId="2F1ABCF7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="0" w:after="0"/>
        <w:rPr>
          <w:rFonts w:ascii="Calibri" w:hAnsi="Calibri"/>
        </w:rPr>
      </w:pPr>
      <w:r w:rsidRPr="0031716D">
        <w:rPr>
          <w:rFonts w:ascii="Calibri" w:hAnsi="Calibri"/>
        </w:rPr>
        <w:t>Conduct market research or work in advertising or public relations</w:t>
      </w:r>
    </w:p>
    <w:p w14:paraId="2FD021B4" w14:textId="77777777" w:rsidR="00D07478" w:rsidRPr="0031716D" w:rsidRDefault="00D07478" w:rsidP="00D07478">
      <w:pPr>
        <w:pStyle w:val="ListParagraph"/>
        <w:numPr>
          <w:ilvl w:val="0"/>
          <w:numId w:val="4"/>
        </w:numPr>
        <w:spacing w:before="0" w:after="0"/>
        <w:rPr>
          <w:rFonts w:ascii="Calibri" w:hAnsi="Calibri"/>
        </w:rPr>
      </w:pPr>
      <w:r w:rsidRPr="0031716D">
        <w:rPr>
          <w:rFonts w:ascii="Calibri" w:hAnsi="Calibri"/>
        </w:rPr>
        <w:t>Are</w:t>
      </w:r>
      <w:r w:rsidRPr="0031716D">
        <w:rPr>
          <w:rFonts w:ascii="Calibri" w:hAnsi="Calibri" w:cs="Arial"/>
          <w:szCs w:val="20"/>
        </w:rPr>
        <w:t xml:space="preserve"> unable to speak and read English well enough to complete the study</w:t>
      </w:r>
    </w:p>
    <w:p w14:paraId="5EA9C54A" w14:textId="77777777" w:rsidR="00D07478" w:rsidRPr="0031716D" w:rsidRDefault="00D07478" w:rsidP="00D07478">
      <w:pPr>
        <w:pStyle w:val="Heading1"/>
        <w:pBdr>
          <w:bottom w:val="single" w:sz="4" w:space="1" w:color="auto"/>
        </w:pBdr>
        <w:rPr>
          <w:rFonts w:ascii="Calibri" w:hAnsi="Calibri"/>
          <w:color w:val="auto"/>
        </w:rPr>
      </w:pPr>
      <w:bookmarkStart w:id="2" w:name="_Toc318452776"/>
      <w:r w:rsidRPr="0031716D">
        <w:rPr>
          <w:rFonts w:ascii="Calibri" w:hAnsi="Calibri"/>
          <w:color w:val="auto"/>
        </w:rPr>
        <w:t>Recruitment</w:t>
      </w:r>
      <w:bookmarkEnd w:id="2"/>
    </w:p>
    <w:p w14:paraId="6319BEB9" w14:textId="086FAF98" w:rsidR="00184F3E" w:rsidRPr="00EC4CCE" w:rsidRDefault="00184F3E" w:rsidP="00184F3E">
      <w:pPr>
        <w:rPr>
          <w:rFonts w:cs="Arial"/>
          <w:szCs w:val="20"/>
        </w:rPr>
      </w:pPr>
      <w:r>
        <w:rPr>
          <w:rFonts w:cs="Arial"/>
          <w:szCs w:val="20"/>
        </w:rPr>
        <w:t xml:space="preserve">Qualtrics will invite participants from their nation-wide participant panel </w:t>
      </w:r>
      <w:r w:rsidRPr="00EC4CCE">
        <w:rPr>
          <w:rFonts w:cs="Arial"/>
          <w:szCs w:val="20"/>
        </w:rPr>
        <w:t xml:space="preserve">to complete the online surveys. </w:t>
      </w:r>
      <w:r w:rsidR="00A0576C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 xml:space="preserve">panel is </w:t>
      </w:r>
      <w:r w:rsidRPr="00EC4CCE">
        <w:rPr>
          <w:rFonts w:cs="Arial"/>
          <w:szCs w:val="20"/>
        </w:rPr>
        <w:t xml:space="preserve">a large, national database of diverse participants who have volunteered to participate in </w:t>
      </w:r>
      <w:r w:rsidR="009E1153">
        <w:rPr>
          <w:rFonts w:cs="Arial"/>
          <w:szCs w:val="20"/>
        </w:rPr>
        <w:t xml:space="preserve">their </w:t>
      </w:r>
      <w:r w:rsidRPr="00EC4CCE">
        <w:rPr>
          <w:rFonts w:cs="Arial"/>
          <w:szCs w:val="20"/>
        </w:rPr>
        <w:t>online surveys</w:t>
      </w:r>
      <w:r w:rsidR="009E1153">
        <w:rPr>
          <w:rFonts w:cs="Arial"/>
          <w:szCs w:val="20"/>
        </w:rPr>
        <w:t xml:space="preserve">. </w:t>
      </w:r>
      <w:r w:rsidRPr="00EC4CCE">
        <w:rPr>
          <w:rFonts w:cs="Arial"/>
          <w:szCs w:val="20"/>
        </w:rPr>
        <w:t>Qualtrics volunteers are anonymous to both CDC and CommunicateHealth.</w:t>
      </w:r>
    </w:p>
    <w:p w14:paraId="26C1362A" w14:textId="77777777" w:rsidR="00D07478" w:rsidRPr="0031716D" w:rsidRDefault="00D07478" w:rsidP="00D07478">
      <w:pPr>
        <w:rPr>
          <w:rFonts w:ascii="Calibri" w:hAnsi="Calibri"/>
        </w:rPr>
      </w:pPr>
    </w:p>
    <w:p w14:paraId="18216BE7" w14:textId="77777777" w:rsidR="00184F3E" w:rsidRDefault="00184F3E" w:rsidP="00184F3E">
      <w:pPr>
        <w:rPr>
          <w:rFonts w:cs="Arial"/>
          <w:szCs w:val="20"/>
        </w:rPr>
      </w:pPr>
      <w:r>
        <w:rPr>
          <w:rFonts w:cs="Arial"/>
          <w:szCs w:val="20"/>
        </w:rPr>
        <w:t>Qualtrics will email potential p</w:t>
      </w:r>
      <w:r w:rsidRPr="00204D0F">
        <w:rPr>
          <w:rFonts w:cs="Arial"/>
          <w:szCs w:val="20"/>
        </w:rPr>
        <w:t xml:space="preserve">articipants </w:t>
      </w:r>
      <w:r>
        <w:rPr>
          <w:rFonts w:cs="Arial"/>
          <w:szCs w:val="20"/>
        </w:rPr>
        <w:t>a survey invitation (</w:t>
      </w:r>
      <w:r w:rsidRPr="00836ED8">
        <w:rPr>
          <w:rFonts w:cs="Arial"/>
          <w:b/>
          <w:szCs w:val="20"/>
        </w:rPr>
        <w:t>Attachment C</w:t>
      </w:r>
      <w:r>
        <w:rPr>
          <w:rFonts w:cs="Arial"/>
          <w:szCs w:val="20"/>
        </w:rPr>
        <w:t xml:space="preserve">). The process for screening and completing the surveys will include the following steps: </w:t>
      </w:r>
    </w:p>
    <w:p w14:paraId="55354346" w14:textId="77777777" w:rsidR="00184F3E" w:rsidRPr="00594606" w:rsidRDefault="00184F3E" w:rsidP="00184F3E">
      <w:pPr>
        <w:pStyle w:val="ListParagraph"/>
        <w:numPr>
          <w:ilvl w:val="0"/>
          <w:numId w:val="20"/>
        </w:numPr>
        <w:spacing w:before="0" w:after="0"/>
        <w:rPr>
          <w:rFonts w:cs="Arial"/>
          <w:szCs w:val="20"/>
        </w:rPr>
      </w:pPr>
      <w:r w:rsidRPr="00594606">
        <w:rPr>
          <w:rFonts w:cs="Arial"/>
          <w:szCs w:val="20"/>
        </w:rPr>
        <w:t xml:space="preserve">If the </w:t>
      </w:r>
      <w:r>
        <w:rPr>
          <w:rFonts w:cs="Arial"/>
          <w:szCs w:val="20"/>
        </w:rPr>
        <w:t>panel member</w:t>
      </w:r>
      <w:r w:rsidRPr="00594606">
        <w:rPr>
          <w:rFonts w:cs="Arial"/>
          <w:szCs w:val="20"/>
        </w:rPr>
        <w:t xml:space="preserve"> volunteers to participate, they will click on a survey link in the email invitation</w:t>
      </w:r>
      <w:r>
        <w:rPr>
          <w:rFonts w:cs="Arial"/>
          <w:szCs w:val="20"/>
        </w:rPr>
        <w:t>.</w:t>
      </w:r>
    </w:p>
    <w:p w14:paraId="7762C3C5" w14:textId="77777777" w:rsidR="00184F3E" w:rsidRDefault="00184F3E" w:rsidP="00184F3E">
      <w:pPr>
        <w:pStyle w:val="ListParagraph"/>
        <w:numPr>
          <w:ilvl w:val="0"/>
          <w:numId w:val="20"/>
        </w:numPr>
        <w:spacing w:before="0" w:after="0"/>
        <w:rPr>
          <w:rFonts w:cs="Arial"/>
          <w:szCs w:val="20"/>
        </w:rPr>
      </w:pPr>
      <w:r>
        <w:rPr>
          <w:rFonts w:cs="Arial"/>
          <w:szCs w:val="20"/>
        </w:rPr>
        <w:t>The participant</w:t>
      </w:r>
      <w:r w:rsidRPr="00594606">
        <w:rPr>
          <w:rFonts w:cs="Arial"/>
          <w:szCs w:val="20"/>
        </w:rPr>
        <w:t xml:space="preserve"> will answer a set of screener questions, which will ask about the p</w:t>
      </w:r>
      <w:r>
        <w:rPr>
          <w:rFonts w:cs="Arial"/>
          <w:szCs w:val="20"/>
        </w:rPr>
        <w:t>articipant’s</w:t>
      </w:r>
      <w:r w:rsidRPr="00594606">
        <w:rPr>
          <w:rFonts w:cs="Arial"/>
          <w:szCs w:val="20"/>
        </w:rPr>
        <w:t xml:space="preserve"> age, gender, race/ethnicity, education level, income, geographic location, and health literacy level</w:t>
      </w:r>
      <w:r w:rsidRPr="00836ED8">
        <w:rPr>
          <w:rFonts w:cs="Arial"/>
          <w:szCs w:val="20"/>
        </w:rPr>
        <w:t xml:space="preserve"> (estimated</w:t>
      </w:r>
      <w:r>
        <w:rPr>
          <w:rFonts w:cs="Arial"/>
          <w:szCs w:val="20"/>
        </w:rPr>
        <w:t xml:space="preserve"> completion time is 3 minutes) </w:t>
      </w:r>
      <w:r w:rsidRPr="00836ED8">
        <w:rPr>
          <w:rFonts w:cs="Arial"/>
          <w:szCs w:val="20"/>
        </w:rPr>
        <w:t>(</w:t>
      </w:r>
      <w:r w:rsidRPr="00836ED8">
        <w:rPr>
          <w:rFonts w:cs="Arial"/>
          <w:b/>
          <w:szCs w:val="20"/>
        </w:rPr>
        <w:t>Attachment</w:t>
      </w:r>
      <w:r w:rsidRPr="00594606">
        <w:rPr>
          <w:rFonts w:cs="Arial"/>
          <w:b/>
          <w:szCs w:val="20"/>
        </w:rPr>
        <w:t>s</w:t>
      </w:r>
      <w:r w:rsidRPr="00836ED8">
        <w:rPr>
          <w:rFonts w:cs="Arial"/>
          <w:b/>
          <w:szCs w:val="20"/>
        </w:rPr>
        <w:t xml:space="preserve"> D [text] and F [online]</w:t>
      </w:r>
      <w:r w:rsidRPr="00594606">
        <w:rPr>
          <w:rFonts w:cs="Arial"/>
          <w:szCs w:val="20"/>
        </w:rPr>
        <w:t>).</w:t>
      </w:r>
    </w:p>
    <w:p w14:paraId="22FD59A0" w14:textId="409DDE4C" w:rsidR="00184F3E" w:rsidRDefault="00184F3E" w:rsidP="00184F3E">
      <w:pPr>
        <w:pStyle w:val="ListParagraph"/>
        <w:numPr>
          <w:ilvl w:val="0"/>
          <w:numId w:val="20"/>
        </w:numPr>
        <w:spacing w:before="0" w:after="0"/>
        <w:rPr>
          <w:rFonts w:cs="Arial"/>
          <w:szCs w:val="20"/>
        </w:rPr>
      </w:pPr>
      <w:r>
        <w:rPr>
          <w:rFonts w:cs="Arial"/>
          <w:szCs w:val="20"/>
        </w:rPr>
        <w:t>To ensure a diverse mix of participants, the number of eligible participants will be capped using quotas on each screener question</w:t>
      </w:r>
      <w:r w:rsidR="00E50413">
        <w:rPr>
          <w:rFonts w:cs="Arial"/>
          <w:szCs w:val="20"/>
        </w:rPr>
        <w:t xml:space="preserve"> (e.g., </w:t>
      </w:r>
      <w:r w:rsidR="00FE10D9">
        <w:rPr>
          <w:rFonts w:cs="Arial"/>
          <w:szCs w:val="20"/>
        </w:rPr>
        <w:t>Quota on education level will be 50% of participants with some college education completed or less</w:t>
      </w:r>
      <w:r w:rsidR="00E50413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</w:p>
    <w:p w14:paraId="6C6408BE" w14:textId="77777777" w:rsidR="00184F3E" w:rsidRDefault="00184F3E" w:rsidP="00184F3E">
      <w:pPr>
        <w:pStyle w:val="ListParagraph"/>
        <w:numPr>
          <w:ilvl w:val="0"/>
          <w:numId w:val="20"/>
        </w:numPr>
        <w:spacing w:before="0" w:after="0"/>
        <w:rPr>
          <w:rFonts w:cs="Arial"/>
          <w:szCs w:val="20"/>
        </w:rPr>
      </w:pPr>
      <w:r w:rsidRPr="00594606">
        <w:rPr>
          <w:rFonts w:cs="Arial"/>
          <w:szCs w:val="20"/>
        </w:rPr>
        <w:t>If the participant qualifies and consents</w:t>
      </w:r>
      <w:r>
        <w:rPr>
          <w:rFonts w:cs="Arial"/>
          <w:szCs w:val="20"/>
        </w:rPr>
        <w:t xml:space="preserve"> </w:t>
      </w:r>
      <w:r w:rsidRPr="00836ED8">
        <w:rPr>
          <w:rFonts w:cs="Arial"/>
          <w:szCs w:val="20"/>
        </w:rPr>
        <w:t>(</w:t>
      </w:r>
      <w:r w:rsidRPr="00836ED8">
        <w:rPr>
          <w:rFonts w:cs="Arial"/>
          <w:b/>
          <w:szCs w:val="20"/>
        </w:rPr>
        <w:t>Attachment</w:t>
      </w:r>
      <w:r w:rsidRPr="00594606">
        <w:rPr>
          <w:rFonts w:cs="Arial"/>
          <w:b/>
          <w:szCs w:val="20"/>
        </w:rPr>
        <w:t>s</w:t>
      </w:r>
      <w:r>
        <w:rPr>
          <w:rFonts w:cs="Arial"/>
          <w:b/>
          <w:szCs w:val="20"/>
        </w:rPr>
        <w:t xml:space="preserve"> F [text] and G</w:t>
      </w:r>
      <w:r w:rsidRPr="00836ED8">
        <w:rPr>
          <w:rFonts w:cs="Arial"/>
          <w:b/>
          <w:szCs w:val="20"/>
        </w:rPr>
        <w:t xml:space="preserve"> [online]</w:t>
      </w:r>
      <w:r w:rsidRPr="00594606">
        <w:rPr>
          <w:rFonts w:cs="Arial"/>
          <w:szCs w:val="20"/>
        </w:rPr>
        <w:t>)</w:t>
      </w:r>
      <w:r>
        <w:rPr>
          <w:rFonts w:cs="Arial"/>
          <w:szCs w:val="20"/>
        </w:rPr>
        <w:t>,</w:t>
      </w:r>
      <w:r w:rsidRPr="00594606">
        <w:rPr>
          <w:rFonts w:cs="Arial"/>
          <w:szCs w:val="20"/>
        </w:rPr>
        <w:t xml:space="preserve"> they’ll complete survey questions about </w:t>
      </w:r>
      <w:r>
        <w:rPr>
          <w:rFonts w:cs="Arial"/>
          <w:szCs w:val="20"/>
        </w:rPr>
        <w:t xml:space="preserve">one </w:t>
      </w:r>
      <w:r w:rsidRPr="00594606">
        <w:rPr>
          <w:rFonts w:cs="Arial"/>
          <w:szCs w:val="20"/>
        </w:rPr>
        <w:t>material (</w:t>
      </w:r>
      <w:r w:rsidRPr="00836ED8">
        <w:rPr>
          <w:rFonts w:cs="Arial"/>
          <w:szCs w:val="20"/>
        </w:rPr>
        <w:t>estimated completion time is 12 minutes) (</w:t>
      </w:r>
      <w:r w:rsidRPr="00836ED8">
        <w:rPr>
          <w:rFonts w:cs="Arial"/>
          <w:b/>
          <w:szCs w:val="20"/>
        </w:rPr>
        <w:t>Attachment</w:t>
      </w:r>
      <w:r w:rsidRPr="00594606">
        <w:rPr>
          <w:rFonts w:cs="Arial"/>
          <w:b/>
          <w:szCs w:val="20"/>
        </w:rPr>
        <w:t>s</w:t>
      </w:r>
      <w:r>
        <w:rPr>
          <w:rFonts w:cs="Arial"/>
          <w:b/>
          <w:szCs w:val="20"/>
        </w:rPr>
        <w:t xml:space="preserve"> H [text] and I</w:t>
      </w:r>
      <w:r w:rsidRPr="00836ED8">
        <w:rPr>
          <w:rFonts w:cs="Arial"/>
          <w:b/>
          <w:szCs w:val="20"/>
        </w:rPr>
        <w:t xml:space="preserve"> [online]</w:t>
      </w:r>
      <w:r w:rsidRPr="00594606">
        <w:rPr>
          <w:rFonts w:cs="Arial"/>
          <w:szCs w:val="20"/>
        </w:rPr>
        <w:t>).</w:t>
      </w:r>
    </w:p>
    <w:p w14:paraId="39424D63" w14:textId="77777777" w:rsidR="004A2264" w:rsidRPr="00836ED8" w:rsidRDefault="004A2264" w:rsidP="008B50BB">
      <w:pPr>
        <w:pStyle w:val="ListParagraph"/>
        <w:numPr>
          <w:ilvl w:val="0"/>
          <w:numId w:val="0"/>
        </w:numPr>
        <w:spacing w:before="0" w:after="0"/>
        <w:ind w:left="787"/>
        <w:rPr>
          <w:rFonts w:cs="Arial"/>
          <w:szCs w:val="20"/>
        </w:rPr>
      </w:pPr>
    </w:p>
    <w:p w14:paraId="04F54C8E" w14:textId="771441C3" w:rsidR="004A2264" w:rsidRDefault="004A2264" w:rsidP="004A2264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Participants will answer all screener and material-related survey questions anonymously. OADC and CommunicateHealth will not have access to any personally identifiable information about participants.</w:t>
      </w:r>
      <w:r w:rsidR="000B1FEC">
        <w:rPr>
          <w:rFonts w:cs="Arial"/>
          <w:szCs w:val="20"/>
        </w:rPr>
        <w:t xml:space="preserve"> </w:t>
      </w:r>
      <w:r w:rsidR="000B1FEC" w:rsidRPr="000B1FEC">
        <w:rPr>
          <w:rFonts w:cs="Arial"/>
          <w:szCs w:val="20"/>
        </w:rPr>
        <w:t xml:space="preserve">CommunicateHealth will access participant responses through the Qualtrics reporting dashboard where participants are identified </w:t>
      </w:r>
      <w:r w:rsidR="006A0811">
        <w:rPr>
          <w:rFonts w:cs="Arial"/>
          <w:szCs w:val="20"/>
        </w:rPr>
        <w:t xml:space="preserve">only </w:t>
      </w:r>
      <w:r w:rsidR="000B1FEC" w:rsidRPr="000B1FEC">
        <w:rPr>
          <w:rFonts w:cs="Arial"/>
          <w:szCs w:val="20"/>
        </w:rPr>
        <w:t>by a unique ID number.</w:t>
      </w:r>
    </w:p>
    <w:p w14:paraId="51868441" w14:textId="77777777" w:rsidR="004A2264" w:rsidRDefault="004A2264" w:rsidP="00903F58">
      <w:pPr>
        <w:rPr>
          <w:rFonts w:ascii="Calibri" w:hAnsi="Calibri"/>
          <w:b/>
        </w:rPr>
      </w:pPr>
    </w:p>
    <w:p w14:paraId="34D7F9D9" w14:textId="5C98C642" w:rsidR="002F71A8" w:rsidRPr="008B50BB" w:rsidRDefault="002F71A8" w:rsidP="004A2264">
      <w:pPr>
        <w:rPr>
          <w:b/>
        </w:rPr>
      </w:pPr>
      <w:r w:rsidRPr="008B50BB">
        <w:rPr>
          <w:b/>
        </w:rPr>
        <w:t>Incentives</w:t>
      </w:r>
    </w:p>
    <w:p w14:paraId="62AA6600" w14:textId="26F02BD3" w:rsidR="004A2264" w:rsidRPr="009E1E8B" w:rsidRDefault="009B7D80" w:rsidP="004A2264">
      <w:r>
        <w:t>Qualtrics will offer p</w:t>
      </w:r>
      <w:r w:rsidR="004A2264">
        <w:t xml:space="preserve">articipants </w:t>
      </w:r>
      <w:r w:rsidR="004A2264" w:rsidRPr="00314FED">
        <w:t>reward points (small, non-monetary incentives) as a token of appreciation for their participation</w:t>
      </w:r>
      <w:r w:rsidR="004A2264">
        <w:t>. The email invitation includes the number of reward points offered for the survey (</w:t>
      </w:r>
      <w:r w:rsidR="004A2264" w:rsidRPr="008B50BB">
        <w:rPr>
          <w:b/>
        </w:rPr>
        <w:t>Attachment C</w:t>
      </w:r>
      <w:r w:rsidR="004A2264">
        <w:t xml:space="preserve">). </w:t>
      </w:r>
    </w:p>
    <w:p w14:paraId="3E17F447" w14:textId="77777777" w:rsidR="004A2264" w:rsidRDefault="004A2264" w:rsidP="004A2264"/>
    <w:p w14:paraId="38031F4F" w14:textId="77777777" w:rsidR="004A2264" w:rsidRDefault="004A2264" w:rsidP="004A2264">
      <w:r w:rsidRPr="00941FD1">
        <w:t>This small</w:t>
      </w:r>
      <w:r>
        <w:t xml:space="preserve"> non-monetary</w:t>
      </w:r>
      <w:r w:rsidRPr="00941FD1">
        <w:t xml:space="preserve"> incentive</w:t>
      </w:r>
      <w:r>
        <w:t>:</w:t>
      </w:r>
    </w:p>
    <w:p w14:paraId="6A8147ED" w14:textId="77777777" w:rsidR="00184F3E" w:rsidRDefault="00184F3E" w:rsidP="00184F3E">
      <w:pPr>
        <w:pStyle w:val="ListParagraph"/>
        <w:numPr>
          <w:ilvl w:val="0"/>
          <w:numId w:val="7"/>
        </w:numPr>
        <w:spacing w:before="0" w:after="0"/>
      </w:pPr>
      <w:r>
        <w:t>Is consistent with industry standards for quantitative data collection efforts.</w:t>
      </w:r>
    </w:p>
    <w:p w14:paraId="7CB1470E" w14:textId="77777777" w:rsidR="00184F3E" w:rsidRDefault="00184F3E" w:rsidP="00184F3E">
      <w:pPr>
        <w:pStyle w:val="ListParagraph"/>
        <w:numPr>
          <w:ilvl w:val="0"/>
          <w:numId w:val="7"/>
        </w:numPr>
        <w:spacing w:before="0" w:after="0"/>
      </w:pPr>
      <w:r>
        <w:t>Is given by Qualtrics (not CommunicateHealth or OADC) to panel members for surveys they take through Qualtrics, in accordance with their panel membership.</w:t>
      </w:r>
    </w:p>
    <w:p w14:paraId="37FFDCDF" w14:textId="77777777" w:rsidR="00184F3E" w:rsidRDefault="00184F3E" w:rsidP="00184F3E">
      <w:pPr>
        <w:pStyle w:val="ListParagraph"/>
        <w:numPr>
          <w:ilvl w:val="0"/>
          <w:numId w:val="7"/>
        </w:numPr>
        <w:spacing w:before="0" w:after="0"/>
      </w:pPr>
      <w:r>
        <w:t>Will accumulate for panel participants as they take additional surveys (unrelated to this study) through Qualtrics, eventually being redeemed for items such as gift cards and subscriptions (e.g., magazines).</w:t>
      </w:r>
    </w:p>
    <w:p w14:paraId="6DC9295B" w14:textId="77777777" w:rsidR="00184F3E" w:rsidRDefault="00184F3E" w:rsidP="00184F3E">
      <w:pPr>
        <w:pStyle w:val="ListParagraph"/>
        <w:numPr>
          <w:ilvl w:val="0"/>
          <w:numId w:val="7"/>
        </w:numPr>
        <w:spacing w:before="0" w:after="0"/>
      </w:pPr>
      <w:r>
        <w:t>Is required by Qualtrics in order to conduct recruitment from their diverse national panel of participants.</w:t>
      </w:r>
    </w:p>
    <w:p w14:paraId="594479CC" w14:textId="77777777" w:rsidR="00184F3E" w:rsidRDefault="00184F3E" w:rsidP="00184F3E">
      <w:pPr>
        <w:pStyle w:val="ListParagraph"/>
        <w:numPr>
          <w:ilvl w:val="0"/>
          <w:numId w:val="7"/>
        </w:numPr>
        <w:spacing w:before="0" w:after="0"/>
      </w:pPr>
      <w:r>
        <w:t>Is needed to receive a sufficient response rate, based on CommunicateHealth’s and Qualtrics’ previous experiences to ensure recruitment and retention for this hard-to-reach population (diverse, low income, and limited education) in similar studies. For example, CommunicateHealth, on behalf of ATSDR, received OMB clearance for a similar study involving the use of Qualtrics reward points under NCEH/ATSDR Generic Clearance for Routine Customer Feedback (OMB# 0923-0047), approved October 2015.</w:t>
      </w:r>
    </w:p>
    <w:p w14:paraId="33017D1F" w14:textId="77777777" w:rsidR="00184F3E" w:rsidRDefault="00184F3E" w:rsidP="00184F3E">
      <w:pPr>
        <w:rPr>
          <w:rFonts w:ascii="Calibri" w:hAnsi="Calibri"/>
          <w:b/>
        </w:rPr>
      </w:pPr>
    </w:p>
    <w:p w14:paraId="5B29EB52" w14:textId="735417E6" w:rsidR="00184F3E" w:rsidRPr="0031716D" w:rsidRDefault="00184F3E" w:rsidP="00184F3E">
      <w:pPr>
        <w:rPr>
          <w:rFonts w:ascii="Calibri" w:eastAsia="Calibri" w:hAnsi="Calibri" w:cs="Arial"/>
          <w:szCs w:val="20"/>
        </w:rPr>
      </w:pPr>
      <w:r>
        <w:rPr>
          <w:rFonts w:cs="Arial"/>
          <w:szCs w:val="22"/>
        </w:rPr>
        <w:t>Qualtrics will provide reward points to participants who qualify, consent, and complete the survey. Qualtrics will not provide reward points to non-eligible participants.</w:t>
      </w:r>
    </w:p>
    <w:p w14:paraId="7ACCCD64" w14:textId="77777777" w:rsidR="00D07478" w:rsidRPr="0031716D" w:rsidRDefault="00D07478" w:rsidP="00D07478">
      <w:pPr>
        <w:pStyle w:val="Heading1"/>
        <w:pBdr>
          <w:bottom w:val="single" w:sz="4" w:space="1" w:color="auto"/>
        </w:pBdr>
        <w:rPr>
          <w:rFonts w:ascii="Calibri" w:hAnsi="Calibri"/>
          <w:color w:val="auto"/>
        </w:rPr>
      </w:pPr>
      <w:bookmarkStart w:id="3" w:name="_Toc318452777"/>
      <w:r w:rsidRPr="0031716D">
        <w:rPr>
          <w:rFonts w:ascii="Calibri" w:hAnsi="Calibri"/>
          <w:color w:val="auto"/>
        </w:rPr>
        <w:t>Methods</w:t>
      </w:r>
      <w:bookmarkEnd w:id="3"/>
    </w:p>
    <w:p w14:paraId="1DF06DD1" w14:textId="621B137A" w:rsidR="00D07478" w:rsidRPr="0031716D" w:rsidRDefault="00E50413" w:rsidP="00D07478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On behalf of OADC, CommunicateHealth will </w:t>
      </w:r>
      <w:r w:rsidR="00683BDA">
        <w:rPr>
          <w:rFonts w:ascii="Calibri" w:hAnsi="Calibri"/>
        </w:rPr>
        <w:t>collect feedback on</w:t>
      </w:r>
      <w:r w:rsidR="00683BDA" w:rsidRPr="0031716D">
        <w:rPr>
          <w:rFonts w:ascii="Calibri" w:hAnsi="Calibri"/>
        </w:rPr>
        <w:t xml:space="preserve"> </w:t>
      </w:r>
      <w:r w:rsidR="00D07478" w:rsidRPr="0031716D">
        <w:rPr>
          <w:rFonts w:ascii="Calibri" w:hAnsi="Calibri"/>
        </w:rPr>
        <w:t>4 health materia</w:t>
      </w:r>
      <w:r w:rsidR="0044699A">
        <w:rPr>
          <w:rFonts w:ascii="Calibri" w:hAnsi="Calibri"/>
        </w:rPr>
        <w:t xml:space="preserve">ls </w:t>
      </w:r>
      <w:r>
        <w:rPr>
          <w:rFonts w:ascii="Calibri" w:hAnsi="Calibri"/>
        </w:rPr>
        <w:t xml:space="preserve">via 4 separate brief online </w:t>
      </w:r>
      <w:r w:rsidR="000B1FEC">
        <w:rPr>
          <w:rFonts w:ascii="Calibri" w:hAnsi="Calibri"/>
        </w:rPr>
        <w:t xml:space="preserve">Qualtrics </w:t>
      </w:r>
      <w:r>
        <w:rPr>
          <w:rFonts w:ascii="Calibri" w:hAnsi="Calibri"/>
        </w:rPr>
        <w:t xml:space="preserve">surveys. </w:t>
      </w:r>
      <w:r w:rsidR="00D07478" w:rsidRPr="0031716D">
        <w:rPr>
          <w:rFonts w:ascii="Calibri" w:hAnsi="Calibri"/>
        </w:rPr>
        <w:t xml:space="preserve">Each survey </w:t>
      </w:r>
      <w:r w:rsidR="007C0522">
        <w:rPr>
          <w:rFonts w:ascii="Calibri" w:hAnsi="Calibri"/>
        </w:rPr>
        <w:t xml:space="preserve">(screener plus survey) </w:t>
      </w:r>
      <w:r w:rsidR="00D07478" w:rsidRPr="0031716D">
        <w:rPr>
          <w:rFonts w:ascii="Calibri" w:hAnsi="Calibri"/>
        </w:rPr>
        <w:t>will take approximately 1</w:t>
      </w:r>
      <w:r w:rsidR="007C0522">
        <w:rPr>
          <w:rFonts w:ascii="Calibri" w:hAnsi="Calibri"/>
        </w:rPr>
        <w:t>5</w:t>
      </w:r>
      <w:r w:rsidR="00D07478" w:rsidRPr="0031716D">
        <w:rPr>
          <w:rFonts w:ascii="Calibri" w:hAnsi="Calibri"/>
        </w:rPr>
        <w:t xml:space="preserve"> minutes to complete.</w:t>
      </w:r>
    </w:p>
    <w:p w14:paraId="3315825F" w14:textId="77777777" w:rsidR="00D07478" w:rsidRPr="0031716D" w:rsidRDefault="00D07478" w:rsidP="00D07478">
      <w:pPr>
        <w:rPr>
          <w:rFonts w:ascii="Calibri" w:hAnsi="Calibri"/>
        </w:rPr>
      </w:pPr>
    </w:p>
    <w:p w14:paraId="10A6DF57" w14:textId="23FEC81B" w:rsidR="002F71A8" w:rsidRDefault="002F71A8" w:rsidP="008B50BB">
      <w:pPr>
        <w:rPr>
          <w:rFonts w:ascii="Calibri" w:hAnsi="Calibri"/>
        </w:rPr>
      </w:pPr>
      <w:r>
        <w:rPr>
          <w:rFonts w:ascii="Calibri" w:hAnsi="Calibri"/>
        </w:rPr>
        <w:t xml:space="preserve">All surveys </w:t>
      </w:r>
      <w:r w:rsidR="00D07478" w:rsidRPr="0031716D">
        <w:rPr>
          <w:rFonts w:ascii="Calibri" w:hAnsi="Calibri"/>
        </w:rPr>
        <w:t>contain the same set of questions.</w:t>
      </w:r>
      <w:r w:rsidR="00421E2A">
        <w:rPr>
          <w:rFonts w:ascii="Calibri" w:hAnsi="Calibri"/>
        </w:rPr>
        <w:t xml:space="preserve"> </w:t>
      </w:r>
    </w:p>
    <w:p w14:paraId="6AB86777" w14:textId="77777777" w:rsidR="002F71A8" w:rsidRDefault="002F71A8" w:rsidP="008B50BB">
      <w:pPr>
        <w:rPr>
          <w:rFonts w:ascii="Calibri" w:hAnsi="Calibri"/>
        </w:rPr>
      </w:pPr>
    </w:p>
    <w:p w14:paraId="2C5F113C" w14:textId="1825B068" w:rsidR="002F71A8" w:rsidRDefault="002F71A8" w:rsidP="002F71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The survey will include: </w:t>
      </w:r>
    </w:p>
    <w:p w14:paraId="58E03890" w14:textId="77777777" w:rsidR="00EF15C1" w:rsidRPr="004A2CE0" w:rsidRDefault="00EF15C1" w:rsidP="00EF15C1">
      <w:pPr>
        <w:pStyle w:val="ListParagraph"/>
        <w:numPr>
          <w:ilvl w:val="0"/>
          <w:numId w:val="7"/>
        </w:numPr>
        <w:spacing w:before="0" w:after="0"/>
      </w:pPr>
      <w:r w:rsidRPr="004A2CE0">
        <w:t xml:space="preserve">Screener questions </w:t>
      </w:r>
      <w:r>
        <w:t>(3 minutes) (</w:t>
      </w:r>
      <w:r w:rsidRPr="00836ED8">
        <w:rPr>
          <w:b/>
        </w:rPr>
        <w:t>Attachments D [text] and E [online]</w:t>
      </w:r>
      <w:r>
        <w:t>)</w:t>
      </w:r>
    </w:p>
    <w:p w14:paraId="2CE6D451" w14:textId="77777777" w:rsidR="00EF15C1" w:rsidRPr="004A2CE0" w:rsidRDefault="00EF15C1" w:rsidP="00EF15C1">
      <w:pPr>
        <w:pStyle w:val="ListParagraph"/>
        <w:numPr>
          <w:ilvl w:val="1"/>
          <w:numId w:val="7"/>
        </w:numPr>
        <w:spacing w:before="0" w:after="0"/>
      </w:pPr>
      <w:r w:rsidRPr="004A2CE0">
        <w:t xml:space="preserve">Note: no </w:t>
      </w:r>
      <w:r>
        <w:t xml:space="preserve">personally </w:t>
      </w:r>
      <w:r w:rsidRPr="004A2CE0">
        <w:t>identifiable information will be collected</w:t>
      </w:r>
    </w:p>
    <w:p w14:paraId="2E6BDF66" w14:textId="77777777" w:rsidR="00EF15C1" w:rsidRPr="004A2CE0" w:rsidRDefault="00EF15C1" w:rsidP="00EF15C1">
      <w:pPr>
        <w:pStyle w:val="ListParagraph"/>
        <w:numPr>
          <w:ilvl w:val="0"/>
          <w:numId w:val="7"/>
        </w:numPr>
        <w:spacing w:before="0" w:after="0"/>
      </w:pPr>
      <w:r w:rsidRPr="004A2CE0">
        <w:t xml:space="preserve">Consent </w:t>
      </w:r>
      <w:r>
        <w:t>(</w:t>
      </w:r>
      <w:r>
        <w:rPr>
          <w:b/>
        </w:rPr>
        <w:t>Attachments F</w:t>
      </w:r>
      <w:r w:rsidRPr="00836ED8">
        <w:rPr>
          <w:b/>
        </w:rPr>
        <w:t xml:space="preserve"> [text] a</w:t>
      </w:r>
      <w:r>
        <w:rPr>
          <w:b/>
        </w:rPr>
        <w:t>nd G</w:t>
      </w:r>
      <w:r w:rsidRPr="00836ED8">
        <w:rPr>
          <w:b/>
        </w:rPr>
        <w:t xml:space="preserve"> [online]</w:t>
      </w:r>
      <w:r>
        <w:t>)</w:t>
      </w:r>
    </w:p>
    <w:p w14:paraId="7B6619D4" w14:textId="77777777" w:rsidR="00EF15C1" w:rsidRDefault="00EF15C1" w:rsidP="00EF15C1">
      <w:pPr>
        <w:pStyle w:val="ListParagraph"/>
        <w:numPr>
          <w:ilvl w:val="0"/>
          <w:numId w:val="7"/>
        </w:numPr>
        <w:spacing w:before="0" w:after="0"/>
      </w:pPr>
      <w:r>
        <w:t>Health material questions (12 minutes) (</w:t>
      </w:r>
      <w:r>
        <w:rPr>
          <w:b/>
        </w:rPr>
        <w:t>Attachments H</w:t>
      </w:r>
      <w:r w:rsidRPr="00836ED8">
        <w:rPr>
          <w:b/>
        </w:rPr>
        <w:t xml:space="preserve"> [text] a</w:t>
      </w:r>
      <w:r>
        <w:rPr>
          <w:b/>
        </w:rPr>
        <w:t>nd I</w:t>
      </w:r>
      <w:r w:rsidRPr="00836ED8">
        <w:rPr>
          <w:b/>
        </w:rPr>
        <w:t xml:space="preserve"> [online]</w:t>
      </w:r>
      <w:r>
        <w:t>)</w:t>
      </w:r>
    </w:p>
    <w:p w14:paraId="16F9C8B0" w14:textId="77777777" w:rsidR="00EF15C1" w:rsidRPr="004A2CE0" w:rsidRDefault="00EF15C1" w:rsidP="00EF15C1">
      <w:pPr>
        <w:pStyle w:val="ListParagraph"/>
        <w:numPr>
          <w:ilvl w:val="1"/>
          <w:numId w:val="7"/>
        </w:numPr>
        <w:spacing w:before="0" w:after="0"/>
      </w:pPr>
      <w:r>
        <w:t>Review a</w:t>
      </w:r>
      <w:r w:rsidRPr="004A2CE0">
        <w:t xml:space="preserve"> 1-2 page CDC health material </w:t>
      </w:r>
    </w:p>
    <w:p w14:paraId="0794C65B" w14:textId="004F7167" w:rsidR="00EF15C1" w:rsidRPr="004A2CE0" w:rsidRDefault="009E6D0F" w:rsidP="00EF15C1">
      <w:pPr>
        <w:pStyle w:val="ListParagraph"/>
        <w:numPr>
          <w:ilvl w:val="1"/>
          <w:numId w:val="7"/>
        </w:numPr>
        <w:spacing w:before="0" w:after="0"/>
      </w:pPr>
      <w:r>
        <w:lastRenderedPageBreak/>
        <w:t>Answer q</w:t>
      </w:r>
      <w:r w:rsidR="00EF15C1" w:rsidRPr="004A2CE0">
        <w:t>uestions about main target audience, message, and intended behavioral recommendation</w:t>
      </w:r>
    </w:p>
    <w:p w14:paraId="718A504C" w14:textId="02BE3BBD" w:rsidR="00EF15C1" w:rsidRPr="004A2CE0" w:rsidRDefault="009E6D0F" w:rsidP="00EF15C1">
      <w:pPr>
        <w:pStyle w:val="ListParagraph"/>
        <w:numPr>
          <w:ilvl w:val="1"/>
          <w:numId w:val="7"/>
        </w:numPr>
        <w:spacing w:before="0" w:after="0"/>
      </w:pPr>
      <w:r>
        <w:t>Answer q</w:t>
      </w:r>
      <w:r w:rsidR="00EF15C1" w:rsidRPr="004A2CE0">
        <w:t>uestions adapted from the Consumer Information Rating Form (CIRF) developed by Krass et al. (2002) on comprehensibility, utility, and design quality</w:t>
      </w:r>
    </w:p>
    <w:p w14:paraId="6D293A0C" w14:textId="62375923" w:rsidR="002F71A8" w:rsidRPr="004A2CE0" w:rsidRDefault="00EF15C1" w:rsidP="00EF15C1">
      <w:pPr>
        <w:pStyle w:val="ListParagraph"/>
        <w:numPr>
          <w:ilvl w:val="0"/>
          <w:numId w:val="7"/>
        </w:numPr>
        <w:spacing w:before="0" w:after="0"/>
      </w:pPr>
      <w:r w:rsidRPr="004A2CE0">
        <w:t>Thank you message</w:t>
      </w:r>
      <w:r w:rsidR="002F71A8" w:rsidRPr="004A2CE0">
        <w:tab/>
      </w:r>
    </w:p>
    <w:p w14:paraId="56034EAA" w14:textId="77777777" w:rsidR="00EF15C1" w:rsidRPr="00EF15C1" w:rsidRDefault="00EF15C1" w:rsidP="008B50BB"/>
    <w:p w14:paraId="3EDD1D22" w14:textId="7235998E" w:rsidR="00EF15C1" w:rsidRPr="00EF15C1" w:rsidRDefault="00EF15C1" w:rsidP="00EF15C1">
      <w:r w:rsidRPr="00EF15C1">
        <w:t xml:space="preserve">Participants </w:t>
      </w:r>
      <w:r w:rsidR="00184F3E">
        <w:t xml:space="preserve">will </w:t>
      </w:r>
      <w:r w:rsidRPr="00EF15C1">
        <w:t>complete screener questions, consent, and health material questions via 1 survey link.</w:t>
      </w:r>
    </w:p>
    <w:p w14:paraId="1105A45A" w14:textId="6039C749" w:rsidR="00D07478" w:rsidRPr="0031716D" w:rsidRDefault="00D07478" w:rsidP="00D07478">
      <w:pPr>
        <w:outlineLvl w:val="0"/>
        <w:rPr>
          <w:rFonts w:ascii="Calibri" w:eastAsia="Calibri" w:hAnsi="Calibri" w:cs="Arial"/>
          <w:szCs w:val="20"/>
        </w:rPr>
      </w:pPr>
    </w:p>
    <w:p w14:paraId="6ED372DA" w14:textId="77777777" w:rsidR="00D07478" w:rsidRPr="0031716D" w:rsidRDefault="00D07478" w:rsidP="00D07478">
      <w:pPr>
        <w:rPr>
          <w:rFonts w:ascii="Calibri" w:hAnsi="Calibri"/>
          <w:b/>
        </w:rPr>
      </w:pPr>
      <w:r w:rsidRPr="0031716D">
        <w:rPr>
          <w:rFonts w:ascii="Calibri" w:hAnsi="Calibri"/>
          <w:b/>
        </w:rPr>
        <w:t>Handling of Data and Records</w:t>
      </w:r>
    </w:p>
    <w:p w14:paraId="06FA112C" w14:textId="7FAF4B8A" w:rsidR="00D07478" w:rsidRDefault="00184F3E" w:rsidP="00D07478">
      <w:pPr>
        <w:widowControl w:val="0"/>
        <w:tabs>
          <w:tab w:val="left" w:pos="360"/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Neither OADC </w:t>
      </w:r>
      <w:r w:rsidR="00E50413">
        <w:rPr>
          <w:rFonts w:ascii="Calibri" w:hAnsi="Calibri"/>
        </w:rPr>
        <w:t>n</w:t>
      </w:r>
      <w:r>
        <w:rPr>
          <w:rFonts w:ascii="Calibri" w:hAnsi="Calibri"/>
        </w:rPr>
        <w:t xml:space="preserve">or CommunicateHealth will collect </w:t>
      </w:r>
      <w:r w:rsidR="00D07478" w:rsidRPr="0031716D">
        <w:rPr>
          <w:rFonts w:ascii="Calibri" w:hAnsi="Calibri"/>
        </w:rPr>
        <w:t xml:space="preserve">individually identifiable information from </w:t>
      </w:r>
      <w:r w:rsidR="00D07478" w:rsidRPr="008B50BB">
        <w:rPr>
          <w:rFonts w:ascii="Calibri" w:hAnsi="Calibri"/>
        </w:rPr>
        <w:t>participants</w:t>
      </w:r>
      <w:r w:rsidR="00D07478" w:rsidRPr="0031716D">
        <w:rPr>
          <w:rFonts w:ascii="Calibri" w:hAnsi="Calibri"/>
        </w:rPr>
        <w:t xml:space="preserve"> in this study. </w:t>
      </w:r>
      <w:r w:rsidR="00D07478" w:rsidRPr="0031716D">
        <w:rPr>
          <w:rFonts w:ascii="Calibri" w:hAnsi="Calibri" w:cs="Helvetica"/>
          <w:color w:val="000000"/>
        </w:rPr>
        <w:t xml:space="preserve">The proposed data collection will have little or no effect on the participants’ privacy. </w:t>
      </w:r>
      <w:r>
        <w:rPr>
          <w:rFonts w:ascii="Calibri" w:hAnsi="Calibri" w:cs="Helvetica"/>
          <w:color w:val="000000"/>
        </w:rPr>
        <w:t>CommunicateHealth will use o</w:t>
      </w:r>
      <w:r w:rsidR="00D07478" w:rsidRPr="0031716D">
        <w:rPr>
          <w:rFonts w:ascii="Calibri" w:hAnsi="Calibri"/>
        </w:rPr>
        <w:t xml:space="preserve">nly comments, quotes, and quantitative responses from participants to inform </w:t>
      </w:r>
      <w:r w:rsidR="009B320A">
        <w:rPr>
          <w:rFonts w:ascii="Calibri" w:hAnsi="Calibri"/>
        </w:rPr>
        <w:t>improvements to future material revisions</w:t>
      </w:r>
      <w:r w:rsidR="00D07478" w:rsidRPr="0031716D">
        <w:rPr>
          <w:rFonts w:ascii="Calibri" w:hAnsi="Calibri"/>
        </w:rPr>
        <w:t xml:space="preserve">. </w:t>
      </w:r>
    </w:p>
    <w:p w14:paraId="2134A8AF" w14:textId="77777777" w:rsidR="000B1E07" w:rsidRDefault="000B1E07" w:rsidP="00D07478">
      <w:pPr>
        <w:widowControl w:val="0"/>
        <w:tabs>
          <w:tab w:val="left" w:pos="360"/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</w:p>
    <w:p w14:paraId="48F47F8C" w14:textId="47599DA3" w:rsidR="000B1E07" w:rsidRPr="0031716D" w:rsidRDefault="00181761" w:rsidP="00D07478">
      <w:pPr>
        <w:widowControl w:val="0"/>
        <w:tabs>
          <w:tab w:val="left" w:pos="360"/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  <w:r w:rsidRPr="00204D0F">
        <w:rPr>
          <w:rFonts w:cs="Arial"/>
          <w:szCs w:val="22"/>
        </w:rPr>
        <w:t xml:space="preserve">IT security clearance for the use of the Qualtrics online survey has been granted by the </w:t>
      </w:r>
      <w:r>
        <w:rPr>
          <w:rFonts w:cs="Arial"/>
          <w:szCs w:val="22"/>
        </w:rPr>
        <w:t xml:space="preserve">CDC, </w:t>
      </w:r>
      <w:r w:rsidRPr="00204D0F">
        <w:rPr>
          <w:rFonts w:cs="Arial"/>
          <w:szCs w:val="22"/>
        </w:rPr>
        <w:t>NCEH Information System Security Officer (ISSO).</w:t>
      </w:r>
    </w:p>
    <w:p w14:paraId="427187BF" w14:textId="77777777" w:rsidR="00D07478" w:rsidRPr="0031716D" w:rsidRDefault="00D07478" w:rsidP="00D07478">
      <w:pPr>
        <w:rPr>
          <w:rFonts w:ascii="Calibri" w:hAnsi="Calibri"/>
          <w:b/>
        </w:rPr>
      </w:pPr>
    </w:p>
    <w:p w14:paraId="18717E29" w14:textId="77777777" w:rsidR="00D07478" w:rsidRPr="0031716D" w:rsidRDefault="00D07478" w:rsidP="00D07478">
      <w:pPr>
        <w:rPr>
          <w:rFonts w:ascii="Calibri" w:hAnsi="Calibri"/>
        </w:rPr>
      </w:pPr>
      <w:r w:rsidRPr="0031716D">
        <w:rPr>
          <w:rFonts w:ascii="Calibri" w:hAnsi="Calibri"/>
          <w:b/>
        </w:rPr>
        <w:t>IRB review</w:t>
      </w:r>
    </w:p>
    <w:p w14:paraId="5501A137" w14:textId="472CB0F3" w:rsidR="00D07478" w:rsidRPr="0031716D" w:rsidRDefault="002C389F" w:rsidP="00D07478">
      <w:pPr>
        <w:rPr>
          <w:rFonts w:ascii="Calibri" w:hAnsi="Calibri"/>
        </w:rPr>
      </w:pPr>
      <w:r>
        <w:rPr>
          <w:rFonts w:ascii="Calibri" w:hAnsi="Calibri"/>
        </w:rPr>
        <w:t xml:space="preserve">On February 3, 2016, the OADC IRB officer, Dr. Dogan Eroglu, determined this project is </w:t>
      </w:r>
      <w:r w:rsidR="0086428D">
        <w:rPr>
          <w:rFonts w:ascii="Calibri" w:hAnsi="Calibri"/>
        </w:rPr>
        <w:t>non-research</w:t>
      </w:r>
      <w:r>
        <w:rPr>
          <w:rFonts w:ascii="Calibri" w:hAnsi="Calibri"/>
        </w:rPr>
        <w:t>.</w:t>
      </w:r>
      <w:r w:rsidR="008766A1">
        <w:rPr>
          <w:rFonts w:ascii="Calibri" w:hAnsi="Calibri"/>
        </w:rPr>
        <w:t xml:space="preserve"> </w:t>
      </w:r>
      <w:r>
        <w:rPr>
          <w:rFonts w:ascii="Calibri" w:hAnsi="Calibri"/>
        </w:rPr>
        <w:t>Natalie Brown, OADS, agreed with this determination.</w:t>
      </w:r>
    </w:p>
    <w:p w14:paraId="3A92AF45" w14:textId="77777777" w:rsidR="00D07478" w:rsidRPr="0031716D" w:rsidRDefault="00D07478" w:rsidP="00D07478">
      <w:pPr>
        <w:rPr>
          <w:rFonts w:ascii="Calibri" w:hAnsi="Calibri"/>
        </w:rPr>
      </w:pPr>
    </w:p>
    <w:p w14:paraId="285AC050" w14:textId="77ED5163" w:rsidR="00D07478" w:rsidRPr="0031716D" w:rsidRDefault="009C4741" w:rsidP="00D07478">
      <w:pPr>
        <w:rPr>
          <w:rFonts w:ascii="Calibri" w:hAnsi="Calibri"/>
        </w:rPr>
      </w:pPr>
      <w:r>
        <w:rPr>
          <w:rFonts w:ascii="Calibri" w:hAnsi="Calibri"/>
          <w:b/>
        </w:rPr>
        <w:t>HMTS</w:t>
      </w:r>
      <w:r w:rsidR="00D07478" w:rsidRPr="0031716D">
        <w:rPr>
          <w:rFonts w:ascii="Calibri" w:hAnsi="Calibri"/>
          <w:b/>
        </w:rPr>
        <w:t xml:space="preserve"> review</w:t>
      </w:r>
    </w:p>
    <w:p w14:paraId="3C907329" w14:textId="55DA17B9" w:rsidR="00D07478" w:rsidRPr="0031716D" w:rsidRDefault="00D07478" w:rsidP="00D07478">
      <w:pPr>
        <w:rPr>
          <w:rFonts w:ascii="Calibri" w:hAnsi="Calibri"/>
        </w:rPr>
      </w:pPr>
      <w:r w:rsidRPr="0031716D">
        <w:rPr>
          <w:rFonts w:ascii="Calibri" w:hAnsi="Calibri"/>
        </w:rPr>
        <w:t xml:space="preserve">This project will undergo </w:t>
      </w:r>
      <w:r w:rsidR="009C4741">
        <w:rPr>
          <w:rFonts w:ascii="Calibri" w:hAnsi="Calibri"/>
        </w:rPr>
        <w:t>HMTS</w:t>
      </w:r>
      <w:r w:rsidRPr="0031716D">
        <w:rPr>
          <w:rFonts w:ascii="Calibri" w:hAnsi="Calibri"/>
        </w:rPr>
        <w:t xml:space="preserve"> review.</w:t>
      </w:r>
    </w:p>
    <w:p w14:paraId="0C9ECB48" w14:textId="77777777" w:rsidR="00D07478" w:rsidRPr="0031716D" w:rsidRDefault="00D07478" w:rsidP="00D07478">
      <w:pPr>
        <w:rPr>
          <w:rFonts w:ascii="Calibri" w:hAnsi="Calibri"/>
        </w:rPr>
      </w:pPr>
    </w:p>
    <w:p w14:paraId="42E94566" w14:textId="77777777" w:rsidR="00D07478" w:rsidRPr="0031716D" w:rsidRDefault="00D07478" w:rsidP="00D07478">
      <w:pPr>
        <w:pStyle w:val="Normal1"/>
        <w:spacing w:line="240" w:lineRule="auto"/>
        <w:rPr>
          <w:rFonts w:ascii="Calibri" w:hAnsi="Calibri"/>
          <w:b/>
          <w:color w:val="auto"/>
          <w:sz w:val="24"/>
          <w:szCs w:val="24"/>
        </w:rPr>
      </w:pPr>
      <w:r w:rsidRPr="0031716D">
        <w:rPr>
          <w:rFonts w:ascii="Calibri" w:hAnsi="Calibri" w:cs="Times New Roman"/>
          <w:b/>
          <w:color w:val="auto"/>
          <w:sz w:val="24"/>
          <w:szCs w:val="24"/>
        </w:rPr>
        <w:t>Data analysis plan</w:t>
      </w:r>
    </w:p>
    <w:p w14:paraId="75673976" w14:textId="77777777" w:rsidR="000417F2" w:rsidRDefault="00D07478" w:rsidP="00D07478">
      <w:pPr>
        <w:pStyle w:val="Normal1"/>
        <w:spacing w:line="240" w:lineRule="auto"/>
        <w:rPr>
          <w:rFonts w:ascii="Calibri" w:hAnsi="Calibri"/>
          <w:sz w:val="24"/>
          <w:szCs w:val="24"/>
        </w:rPr>
      </w:pPr>
      <w:r w:rsidRPr="0031716D">
        <w:rPr>
          <w:rFonts w:ascii="Calibri" w:hAnsi="Calibri"/>
          <w:sz w:val="24"/>
          <w:szCs w:val="24"/>
        </w:rPr>
        <w:t>CommunicateHealth will</w:t>
      </w:r>
      <w:r w:rsidR="000417F2">
        <w:rPr>
          <w:rFonts w:ascii="Calibri" w:hAnsi="Calibri"/>
          <w:sz w:val="24"/>
          <w:szCs w:val="24"/>
        </w:rPr>
        <w:t>:</w:t>
      </w:r>
    </w:p>
    <w:p w14:paraId="2524758D" w14:textId="7120DE92" w:rsidR="000417F2" w:rsidRDefault="000417F2" w:rsidP="008B50BB">
      <w:pPr>
        <w:pStyle w:val="Normal1"/>
        <w:numPr>
          <w:ilvl w:val="0"/>
          <w:numId w:val="22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="00D07478" w:rsidRPr="0031716D">
        <w:rPr>
          <w:rFonts w:ascii="Calibri" w:hAnsi="Calibri"/>
          <w:sz w:val="24"/>
          <w:szCs w:val="24"/>
        </w:rPr>
        <w:t>eport participant characteristics</w:t>
      </w:r>
      <w:r w:rsidR="007D2A74">
        <w:rPr>
          <w:rFonts w:ascii="Calibri" w:hAnsi="Calibri"/>
          <w:sz w:val="24"/>
          <w:szCs w:val="24"/>
        </w:rPr>
        <w:t xml:space="preserve"> in the aggregate</w:t>
      </w:r>
    </w:p>
    <w:p w14:paraId="16D7A11E" w14:textId="15076BF8" w:rsidR="000417F2" w:rsidRDefault="000417F2" w:rsidP="008B50BB">
      <w:pPr>
        <w:pStyle w:val="Normal1"/>
        <w:numPr>
          <w:ilvl w:val="0"/>
          <w:numId w:val="22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Analyze and report descriptive statistics only for close-ended survey responses</w:t>
      </w:r>
    </w:p>
    <w:p w14:paraId="0A183565" w14:textId="02F1DDAE" w:rsidR="00D07478" w:rsidRPr="0031716D" w:rsidRDefault="000417F2" w:rsidP="008B50BB">
      <w:pPr>
        <w:pStyle w:val="Normal1"/>
        <w:numPr>
          <w:ilvl w:val="0"/>
          <w:numId w:val="22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="00D07478" w:rsidRPr="0031716D">
        <w:rPr>
          <w:rFonts w:ascii="Calibri" w:hAnsi="Calibri"/>
          <w:sz w:val="24"/>
          <w:szCs w:val="24"/>
        </w:rPr>
        <w:t>eview and code open-ended responses for themes</w:t>
      </w:r>
    </w:p>
    <w:p w14:paraId="5DC52746" w14:textId="77777777" w:rsidR="00D07478" w:rsidRPr="0031716D" w:rsidRDefault="00D07478" w:rsidP="00D07478">
      <w:pPr>
        <w:rPr>
          <w:rFonts w:ascii="Calibri" w:hAnsi="Calibri"/>
        </w:rPr>
      </w:pPr>
    </w:p>
    <w:p w14:paraId="6F80A27C" w14:textId="77777777" w:rsidR="00D07478" w:rsidRPr="0031716D" w:rsidRDefault="00D07478" w:rsidP="00D07478">
      <w:pPr>
        <w:rPr>
          <w:rFonts w:ascii="Calibri" w:hAnsi="Calibri"/>
          <w:b/>
        </w:rPr>
      </w:pPr>
      <w:bookmarkStart w:id="4" w:name="_Toc291429073"/>
      <w:r w:rsidRPr="0031716D">
        <w:rPr>
          <w:rFonts w:ascii="Calibri" w:hAnsi="Calibri"/>
          <w:b/>
        </w:rPr>
        <w:t>Final Report and Recommendations</w:t>
      </w:r>
      <w:bookmarkEnd w:id="4"/>
    </w:p>
    <w:p w14:paraId="0E836624" w14:textId="10931A7C" w:rsidR="00D07478" w:rsidRPr="0031716D" w:rsidRDefault="00D07478" w:rsidP="00B551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</w:rPr>
      </w:pPr>
      <w:r w:rsidRPr="0031716D">
        <w:rPr>
          <w:rFonts w:ascii="Calibri" w:hAnsi="Calibri"/>
        </w:rPr>
        <w:t>CommunicateHealth will analyze feedback from the survey</w:t>
      </w:r>
      <w:r w:rsidR="00616ED0">
        <w:rPr>
          <w:rFonts w:ascii="Calibri" w:hAnsi="Calibri"/>
        </w:rPr>
        <w:t>s</w:t>
      </w:r>
      <w:r w:rsidRPr="0031716D">
        <w:rPr>
          <w:rFonts w:ascii="Calibri" w:hAnsi="Calibri"/>
        </w:rPr>
        <w:t xml:space="preserve"> to identif</w:t>
      </w:r>
      <w:r w:rsidR="000417F2">
        <w:rPr>
          <w:rFonts w:ascii="Calibri" w:hAnsi="Calibri"/>
        </w:rPr>
        <w:t xml:space="preserve">y how participants rated each of the 4 materials on dimensions of </w:t>
      </w:r>
      <w:r w:rsidR="00574EA4">
        <w:rPr>
          <w:rFonts w:ascii="Calibri" w:hAnsi="Calibri"/>
        </w:rPr>
        <w:t xml:space="preserve">message </w:t>
      </w:r>
      <w:r w:rsidRPr="0031716D">
        <w:rPr>
          <w:rFonts w:ascii="Calibri" w:hAnsi="Calibri"/>
        </w:rPr>
        <w:t>comprehension, utility, and attractiveness</w:t>
      </w:r>
      <w:r w:rsidR="000417F2">
        <w:rPr>
          <w:rFonts w:ascii="Calibri" w:hAnsi="Calibri"/>
        </w:rPr>
        <w:t xml:space="preserve">. </w:t>
      </w:r>
      <w:r w:rsidRPr="0031716D">
        <w:rPr>
          <w:rFonts w:ascii="Calibri" w:hAnsi="Calibri"/>
        </w:rPr>
        <w:t>Findings wil</w:t>
      </w:r>
      <w:r w:rsidR="007A4A76">
        <w:rPr>
          <w:rFonts w:ascii="Calibri" w:hAnsi="Calibri"/>
        </w:rPr>
        <w:t>l be summarized in a report and</w:t>
      </w:r>
      <w:r w:rsidRPr="0031716D">
        <w:rPr>
          <w:rFonts w:ascii="Calibri" w:hAnsi="Calibri"/>
        </w:rPr>
        <w:t xml:space="preserve"> used </w:t>
      </w:r>
      <w:r w:rsidR="001E195F">
        <w:rPr>
          <w:rFonts w:ascii="Calibri" w:hAnsi="Calibri"/>
        </w:rPr>
        <w:t>to improve public</w:t>
      </w:r>
      <w:r w:rsidR="00574EA4">
        <w:rPr>
          <w:rFonts w:ascii="Calibri" w:hAnsi="Calibri"/>
        </w:rPr>
        <w:t xml:space="preserve"> health</w:t>
      </w:r>
      <w:r w:rsidR="001E195F">
        <w:rPr>
          <w:rFonts w:ascii="Calibri" w:hAnsi="Calibri"/>
        </w:rPr>
        <w:t xml:space="preserve"> communication materials</w:t>
      </w:r>
      <w:r w:rsidR="00184F3E">
        <w:rPr>
          <w:rFonts w:ascii="Calibri" w:hAnsi="Calibri"/>
        </w:rPr>
        <w:t xml:space="preserve"> in the future</w:t>
      </w:r>
      <w:r w:rsidR="001E195F">
        <w:rPr>
          <w:rFonts w:ascii="Calibri" w:hAnsi="Calibri"/>
        </w:rPr>
        <w:t xml:space="preserve">. </w:t>
      </w:r>
      <w:bookmarkStart w:id="5" w:name="_GoBack"/>
      <w:bookmarkEnd w:id="5"/>
    </w:p>
    <w:sectPr w:rsidR="00D07478" w:rsidRPr="0031716D" w:rsidSect="001A266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1CA1E" w14:textId="77777777" w:rsidR="00682327" w:rsidRDefault="00682327" w:rsidP="000C7785">
      <w:r>
        <w:separator/>
      </w:r>
    </w:p>
  </w:endnote>
  <w:endnote w:type="continuationSeparator" w:id="0">
    <w:p w14:paraId="2623590D" w14:textId="77777777" w:rsidR="00682327" w:rsidRDefault="00682327" w:rsidP="000C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36EA" w14:textId="77777777" w:rsidR="00682327" w:rsidRDefault="00682327" w:rsidP="009B7D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BD51B" w14:textId="77777777" w:rsidR="00682327" w:rsidRDefault="00682327" w:rsidP="001A26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8243" w14:textId="77777777" w:rsidR="00682327" w:rsidRDefault="00682327" w:rsidP="009B7D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811">
      <w:rPr>
        <w:rStyle w:val="PageNumber"/>
        <w:noProof/>
      </w:rPr>
      <w:t>5</w:t>
    </w:r>
    <w:r>
      <w:rPr>
        <w:rStyle w:val="PageNumber"/>
      </w:rPr>
      <w:fldChar w:fldCharType="end"/>
    </w:r>
  </w:p>
  <w:p w14:paraId="385EB62C" w14:textId="77777777" w:rsidR="00682327" w:rsidRDefault="00682327" w:rsidP="001A26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58A7C" w14:textId="77777777" w:rsidR="00682327" w:rsidRDefault="00682327" w:rsidP="000C7785">
      <w:r>
        <w:separator/>
      </w:r>
    </w:p>
  </w:footnote>
  <w:footnote w:type="continuationSeparator" w:id="0">
    <w:p w14:paraId="7A8F2631" w14:textId="77777777" w:rsidR="00682327" w:rsidRDefault="00682327" w:rsidP="000C7785">
      <w:r>
        <w:continuationSeparator/>
      </w:r>
    </w:p>
  </w:footnote>
  <w:footnote w:id="1">
    <w:p w14:paraId="2F1E3E0F" w14:textId="77777777" w:rsidR="00682327" w:rsidRPr="00FF2761" w:rsidRDefault="00682327" w:rsidP="00DB1CE6">
      <w:pPr>
        <w:pStyle w:val="FootnoteText"/>
        <w:rPr>
          <w:rFonts w:ascii="Calibri" w:hAnsi="Calibri"/>
        </w:rPr>
      </w:pPr>
      <w:r w:rsidRPr="00FF2761">
        <w:rPr>
          <w:rStyle w:val="FootnoteReference"/>
          <w:rFonts w:ascii="Calibri" w:hAnsi="Calibri"/>
        </w:rPr>
        <w:footnoteRef/>
      </w:r>
      <w:r w:rsidRPr="00FF2761">
        <w:rPr>
          <w:rFonts w:ascii="Calibri" w:hAnsi="Calibri"/>
        </w:rPr>
        <w:t xml:space="preserve"> http://www.qualtrics.com/security-statement/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0310" w14:textId="74BCDBE8" w:rsidR="00682327" w:rsidRDefault="00682327">
    <w:pPr>
      <w:pStyle w:val="Header"/>
    </w:pPr>
    <w:r>
      <w:t>Attachment A: OADC Message and Material Feedback Surveys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7E4"/>
    <w:multiLevelType w:val="hybridMultilevel"/>
    <w:tmpl w:val="3916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B30"/>
    <w:multiLevelType w:val="hybridMultilevel"/>
    <w:tmpl w:val="CBA61694"/>
    <w:lvl w:ilvl="0" w:tplc="6FE8A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EE0840D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A84948"/>
    <w:multiLevelType w:val="hybridMultilevel"/>
    <w:tmpl w:val="6A18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DE"/>
    <w:multiLevelType w:val="hybridMultilevel"/>
    <w:tmpl w:val="A210EA1A"/>
    <w:lvl w:ilvl="0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743F0"/>
    <w:multiLevelType w:val="hybridMultilevel"/>
    <w:tmpl w:val="1CA0A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2F357F"/>
    <w:multiLevelType w:val="hybridMultilevel"/>
    <w:tmpl w:val="F696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11CA5"/>
    <w:multiLevelType w:val="hybridMultilevel"/>
    <w:tmpl w:val="47EED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31040"/>
    <w:multiLevelType w:val="hybridMultilevel"/>
    <w:tmpl w:val="24F6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5886"/>
    <w:multiLevelType w:val="hybridMultilevel"/>
    <w:tmpl w:val="3FBA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3629"/>
    <w:multiLevelType w:val="hybridMultilevel"/>
    <w:tmpl w:val="FD06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745"/>
    <w:multiLevelType w:val="hybridMultilevel"/>
    <w:tmpl w:val="75A0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72D01"/>
    <w:multiLevelType w:val="hybridMultilevel"/>
    <w:tmpl w:val="7D72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5F95"/>
    <w:multiLevelType w:val="hybridMultilevel"/>
    <w:tmpl w:val="DBF8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AD94953"/>
    <w:multiLevelType w:val="hybridMultilevel"/>
    <w:tmpl w:val="6FA6B6A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47CC2F86"/>
    <w:multiLevelType w:val="hybridMultilevel"/>
    <w:tmpl w:val="B71A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D152F"/>
    <w:multiLevelType w:val="hybridMultilevel"/>
    <w:tmpl w:val="C200ED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C2B0E"/>
    <w:multiLevelType w:val="hybridMultilevel"/>
    <w:tmpl w:val="AB06A5A6"/>
    <w:lvl w:ilvl="0" w:tplc="597A27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F1766"/>
    <w:multiLevelType w:val="hybridMultilevel"/>
    <w:tmpl w:val="AD5E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80AC8"/>
    <w:multiLevelType w:val="hybridMultilevel"/>
    <w:tmpl w:val="829E4F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A534AF"/>
    <w:multiLevelType w:val="hybridMultilevel"/>
    <w:tmpl w:val="CE7CEB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AD87A71"/>
    <w:multiLevelType w:val="hybridMultilevel"/>
    <w:tmpl w:val="4CEE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9"/>
  </w:num>
  <w:num w:numId="6">
    <w:abstractNumId w:val="16"/>
  </w:num>
  <w:num w:numId="7">
    <w:abstractNumId w:val="5"/>
  </w:num>
  <w:num w:numId="8">
    <w:abstractNumId w:val="19"/>
  </w:num>
  <w:num w:numId="9">
    <w:abstractNumId w:val="17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2"/>
  </w:num>
  <w:num w:numId="19">
    <w:abstractNumId w:val="20"/>
  </w:num>
  <w:num w:numId="20">
    <w:abstractNumId w:val="14"/>
  </w:num>
  <w:num w:numId="21">
    <w:abstractNumId w:val="13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85"/>
    <w:rsid w:val="000417F2"/>
    <w:rsid w:val="00083B8B"/>
    <w:rsid w:val="000909D9"/>
    <w:rsid w:val="000A068C"/>
    <w:rsid w:val="000A7901"/>
    <w:rsid w:val="000B1E07"/>
    <w:rsid w:val="000B1FEC"/>
    <w:rsid w:val="000C7785"/>
    <w:rsid w:val="000D2801"/>
    <w:rsid w:val="000E3209"/>
    <w:rsid w:val="000E3A3A"/>
    <w:rsid w:val="00170991"/>
    <w:rsid w:val="00171DF8"/>
    <w:rsid w:val="00181761"/>
    <w:rsid w:val="00184F3E"/>
    <w:rsid w:val="001A266F"/>
    <w:rsid w:val="001E195F"/>
    <w:rsid w:val="002341E6"/>
    <w:rsid w:val="002700EF"/>
    <w:rsid w:val="002774A5"/>
    <w:rsid w:val="002B2D82"/>
    <w:rsid w:val="002C389F"/>
    <w:rsid w:val="002E198A"/>
    <w:rsid w:val="002F3891"/>
    <w:rsid w:val="002F71A8"/>
    <w:rsid w:val="003002F2"/>
    <w:rsid w:val="0031716D"/>
    <w:rsid w:val="0032226F"/>
    <w:rsid w:val="003D13D2"/>
    <w:rsid w:val="00421E2A"/>
    <w:rsid w:val="0043297F"/>
    <w:rsid w:val="004417F2"/>
    <w:rsid w:val="00445C46"/>
    <w:rsid w:val="0044699A"/>
    <w:rsid w:val="0049577F"/>
    <w:rsid w:val="004A2264"/>
    <w:rsid w:val="004C239B"/>
    <w:rsid w:val="00513AF7"/>
    <w:rsid w:val="00574EA4"/>
    <w:rsid w:val="005C7494"/>
    <w:rsid w:val="00616ED0"/>
    <w:rsid w:val="00682327"/>
    <w:rsid w:val="00683BDA"/>
    <w:rsid w:val="00685D0A"/>
    <w:rsid w:val="006A0811"/>
    <w:rsid w:val="006A2095"/>
    <w:rsid w:val="006A545D"/>
    <w:rsid w:val="006B6FBD"/>
    <w:rsid w:val="006D4C4F"/>
    <w:rsid w:val="006D6DF1"/>
    <w:rsid w:val="007026C9"/>
    <w:rsid w:val="0073242B"/>
    <w:rsid w:val="007441D2"/>
    <w:rsid w:val="00755FC6"/>
    <w:rsid w:val="007A4A76"/>
    <w:rsid w:val="007B6C37"/>
    <w:rsid w:val="007C0522"/>
    <w:rsid w:val="007C33A8"/>
    <w:rsid w:val="007D2A74"/>
    <w:rsid w:val="007F7615"/>
    <w:rsid w:val="0082587D"/>
    <w:rsid w:val="008540EA"/>
    <w:rsid w:val="0086428D"/>
    <w:rsid w:val="008766A1"/>
    <w:rsid w:val="008A759E"/>
    <w:rsid w:val="008B3448"/>
    <w:rsid w:val="008B50BB"/>
    <w:rsid w:val="008D607D"/>
    <w:rsid w:val="00903F58"/>
    <w:rsid w:val="00962B58"/>
    <w:rsid w:val="009800B6"/>
    <w:rsid w:val="0098634F"/>
    <w:rsid w:val="00991BEF"/>
    <w:rsid w:val="009B166D"/>
    <w:rsid w:val="009B320A"/>
    <w:rsid w:val="009B7D80"/>
    <w:rsid w:val="009C4741"/>
    <w:rsid w:val="009E1153"/>
    <w:rsid w:val="009E6D0F"/>
    <w:rsid w:val="00A0576C"/>
    <w:rsid w:val="00A135D9"/>
    <w:rsid w:val="00A300C4"/>
    <w:rsid w:val="00A43B04"/>
    <w:rsid w:val="00A87970"/>
    <w:rsid w:val="00B02113"/>
    <w:rsid w:val="00B25A81"/>
    <w:rsid w:val="00B551B8"/>
    <w:rsid w:val="00BA6429"/>
    <w:rsid w:val="00BA695C"/>
    <w:rsid w:val="00BC7FDF"/>
    <w:rsid w:val="00BF06F7"/>
    <w:rsid w:val="00C07BBB"/>
    <w:rsid w:val="00C20F2D"/>
    <w:rsid w:val="00C362B0"/>
    <w:rsid w:val="00C45CAF"/>
    <w:rsid w:val="00C51088"/>
    <w:rsid w:val="00CA649D"/>
    <w:rsid w:val="00CC2AAD"/>
    <w:rsid w:val="00CC64CC"/>
    <w:rsid w:val="00D07478"/>
    <w:rsid w:val="00D612C2"/>
    <w:rsid w:val="00D75E5B"/>
    <w:rsid w:val="00DB1CE6"/>
    <w:rsid w:val="00E21499"/>
    <w:rsid w:val="00E50413"/>
    <w:rsid w:val="00E548D2"/>
    <w:rsid w:val="00ED3C67"/>
    <w:rsid w:val="00EF15C1"/>
    <w:rsid w:val="00F324CC"/>
    <w:rsid w:val="00F42213"/>
    <w:rsid w:val="00F62590"/>
    <w:rsid w:val="00FD6005"/>
    <w:rsid w:val="00FE10D9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EDCC0"/>
  <w15:docId w15:val="{82BD5314-A7FF-47F3-9A47-8F2BFA6E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D07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785"/>
  </w:style>
  <w:style w:type="paragraph" w:styleId="Footer">
    <w:name w:val="footer"/>
    <w:basedOn w:val="Normal"/>
    <w:link w:val="FooterChar"/>
    <w:uiPriority w:val="99"/>
    <w:unhideWhenUsed/>
    <w:rsid w:val="000C7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785"/>
  </w:style>
  <w:style w:type="paragraph" w:styleId="TOC1">
    <w:name w:val="toc 1"/>
    <w:basedOn w:val="Normal"/>
    <w:next w:val="Normal"/>
    <w:autoRedefine/>
    <w:uiPriority w:val="39"/>
    <w:rsid w:val="00083B8B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rsid w:val="00D0747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D07478"/>
    <w:pPr>
      <w:numPr>
        <w:numId w:val="1"/>
      </w:numPr>
      <w:spacing w:before="120" w:after="120"/>
      <w:contextualSpacing/>
    </w:pPr>
    <w:rPr>
      <w:rFonts w:eastAsia="Times New Roman" w:cs="Times New Roman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D07478"/>
    <w:pPr>
      <w:widowControl w:val="0"/>
      <w:ind w:left="2111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07478"/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D07478"/>
    <w:rPr>
      <w:rFonts w:eastAsia="Times New Roman" w:cs="Times New Roman"/>
      <w:lang w:eastAsia="ja-JP"/>
    </w:rPr>
  </w:style>
  <w:style w:type="paragraph" w:customStyle="1" w:styleId="Normal1">
    <w:name w:val="Normal1"/>
    <w:rsid w:val="00D0747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D07478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4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47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rsid w:val="00D0747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8B344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3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3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44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F71A8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71A8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2F71A8"/>
    <w:rPr>
      <w:vertAlign w:val="superscript"/>
    </w:rPr>
  </w:style>
  <w:style w:type="paragraph" w:styleId="Revision">
    <w:name w:val="Revision"/>
    <w:hidden/>
    <w:uiPriority w:val="99"/>
    <w:semiHidden/>
    <w:rsid w:val="002F71A8"/>
  </w:style>
  <w:style w:type="character" w:styleId="PageNumber">
    <w:name w:val="page number"/>
    <w:basedOn w:val="DefaultParagraphFont"/>
    <w:uiPriority w:val="99"/>
    <w:semiHidden/>
    <w:unhideWhenUsed/>
    <w:rsid w:val="001A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 Health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Baur, Cynthia (CDC/OD/OADC)</cp:lastModifiedBy>
  <cp:revision>5</cp:revision>
  <dcterms:created xsi:type="dcterms:W3CDTF">2016-05-31T17:38:00Z</dcterms:created>
  <dcterms:modified xsi:type="dcterms:W3CDTF">2016-06-01T12:56:00Z</dcterms:modified>
</cp:coreProperties>
</file>