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D96F90" w14:textId="50EEF543" w:rsidR="00007517" w:rsidRDefault="00E6357B" w:rsidP="000075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Arial" w:hAnsi="Arial" w:cs="Arial"/>
          <w:b/>
          <w:bCs/>
        </w:rPr>
      </w:pPr>
      <w:r w:rsidRPr="00E6357B">
        <w:rPr>
          <w:rFonts w:ascii="Arial" w:hAnsi="Arial" w:cs="Arial"/>
          <w:b/>
          <w:bCs/>
        </w:rPr>
        <w:t>Testing of Spanish-language Messages for the National Diabetes Prevention Program (National DPP)</w:t>
      </w:r>
    </w:p>
    <w:p w14:paraId="2799D4EF" w14:textId="77777777" w:rsidR="00007517" w:rsidRDefault="00007517" w:rsidP="00007517">
      <w:pPr>
        <w:jc w:val="center"/>
        <w:rPr>
          <w:rFonts w:ascii="Arial" w:hAnsi="Arial" w:cs="Arial"/>
          <w:b/>
        </w:rPr>
      </w:pPr>
    </w:p>
    <w:p w14:paraId="538AA4B2" w14:textId="77777777" w:rsidR="00007517" w:rsidRDefault="00007517" w:rsidP="00007517">
      <w:pPr>
        <w:jc w:val="center"/>
        <w:rPr>
          <w:rFonts w:ascii="Arial" w:hAnsi="Arial" w:cs="Arial"/>
          <w:b/>
        </w:rPr>
      </w:pPr>
      <w:r>
        <w:rPr>
          <w:rFonts w:ascii="Arial" w:hAnsi="Arial" w:cs="Arial"/>
          <w:b/>
        </w:rPr>
        <w:t>Supplement to the HMTS Expedited Review Form</w:t>
      </w:r>
    </w:p>
    <w:p w14:paraId="08DD32A2" w14:textId="77777777" w:rsidR="00B62624" w:rsidRDefault="00B62624" w:rsidP="00007517">
      <w:pPr>
        <w:jc w:val="center"/>
        <w:rPr>
          <w:rFonts w:ascii="Arial" w:hAnsi="Arial" w:cs="Arial"/>
          <w:b/>
        </w:rPr>
      </w:pPr>
    </w:p>
    <w:p w14:paraId="28EC2EE5" w14:textId="77777777" w:rsidR="00B62624" w:rsidRDefault="00B62624" w:rsidP="00007517">
      <w:pPr>
        <w:jc w:val="center"/>
        <w:rPr>
          <w:rFonts w:ascii="Arial" w:hAnsi="Arial" w:cs="Arial"/>
          <w:b/>
        </w:rPr>
      </w:pPr>
    </w:p>
    <w:p w14:paraId="07CFC9F5" w14:textId="77777777" w:rsidR="00B62624" w:rsidRDefault="00B62624" w:rsidP="00B62624">
      <w:pPr>
        <w:rPr>
          <w:rFonts w:ascii="Arial" w:hAnsi="Arial" w:cs="Arial"/>
          <w:b/>
        </w:rPr>
      </w:pPr>
    </w:p>
    <w:p w14:paraId="516FBDD5" w14:textId="77777777" w:rsidR="00B62624" w:rsidRPr="00B62624" w:rsidRDefault="00B62624" w:rsidP="00B62624">
      <w:pPr>
        <w:spacing w:line="276" w:lineRule="auto"/>
        <w:rPr>
          <w:rFonts w:ascii="Arial" w:hAnsi="Arial" w:cs="Arial"/>
        </w:rPr>
      </w:pPr>
    </w:p>
    <w:p w14:paraId="04FD5050" w14:textId="5E96F65F" w:rsidR="00CE0883" w:rsidRDefault="00CE0883" w:rsidP="00B62624">
      <w:pPr>
        <w:pStyle w:val="ListParagraph"/>
        <w:numPr>
          <w:ilvl w:val="0"/>
          <w:numId w:val="9"/>
        </w:numPr>
        <w:spacing w:line="276" w:lineRule="auto"/>
        <w:rPr>
          <w:rFonts w:ascii="Arial" w:hAnsi="Arial" w:cs="Arial"/>
        </w:rPr>
      </w:pPr>
      <w:r>
        <w:rPr>
          <w:rFonts w:ascii="Arial" w:hAnsi="Arial" w:cs="Arial"/>
        </w:rPr>
        <w:t>Project Summary</w:t>
      </w:r>
      <w:r w:rsidR="003306D2">
        <w:rPr>
          <w:rFonts w:ascii="Arial" w:hAnsi="Arial" w:cs="Arial"/>
        </w:rPr>
        <w:tab/>
      </w:r>
      <w:r w:rsidR="003306D2">
        <w:rPr>
          <w:rFonts w:ascii="Arial" w:hAnsi="Arial" w:cs="Arial"/>
        </w:rPr>
        <w:tab/>
      </w:r>
      <w:r w:rsidR="003306D2">
        <w:rPr>
          <w:rFonts w:ascii="Arial" w:hAnsi="Arial" w:cs="Arial"/>
        </w:rPr>
        <w:tab/>
      </w:r>
      <w:r w:rsidR="003306D2">
        <w:rPr>
          <w:rFonts w:ascii="Arial" w:hAnsi="Arial" w:cs="Arial"/>
        </w:rPr>
        <w:tab/>
      </w:r>
      <w:r w:rsidR="003306D2">
        <w:rPr>
          <w:rFonts w:ascii="Arial" w:hAnsi="Arial" w:cs="Arial"/>
        </w:rPr>
        <w:tab/>
      </w:r>
      <w:r w:rsidR="003306D2">
        <w:rPr>
          <w:rFonts w:ascii="Arial" w:hAnsi="Arial" w:cs="Arial"/>
        </w:rPr>
        <w:tab/>
      </w:r>
      <w:r w:rsidR="003306D2">
        <w:rPr>
          <w:rFonts w:ascii="Arial" w:hAnsi="Arial" w:cs="Arial"/>
        </w:rPr>
        <w:tab/>
        <w:t>1</w:t>
      </w:r>
    </w:p>
    <w:p w14:paraId="46D2624E" w14:textId="5BC2B9CE" w:rsidR="00B62624" w:rsidRPr="00B62624" w:rsidRDefault="003306D2" w:rsidP="00B62624">
      <w:pPr>
        <w:pStyle w:val="ListParagraph"/>
        <w:numPr>
          <w:ilvl w:val="0"/>
          <w:numId w:val="9"/>
        </w:numPr>
        <w:spacing w:line="276" w:lineRule="auto"/>
        <w:rPr>
          <w:rFonts w:ascii="Arial" w:hAnsi="Arial" w:cs="Arial"/>
        </w:rPr>
      </w:pPr>
      <w:r>
        <w:rPr>
          <w:rFonts w:ascii="Arial" w:hAnsi="Arial" w:cs="Arial"/>
        </w:rPr>
        <w:t>Background</w:t>
      </w:r>
      <w:r w:rsidR="00363DE4">
        <w:rPr>
          <w:rFonts w:ascii="Arial" w:hAnsi="Arial" w:cs="Arial"/>
        </w:rPr>
        <w:tab/>
      </w:r>
      <w:r w:rsidR="00363DE4">
        <w:rPr>
          <w:rFonts w:ascii="Arial" w:hAnsi="Arial" w:cs="Arial"/>
        </w:rPr>
        <w:tab/>
      </w:r>
      <w:r w:rsidR="00F362B1">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w:t>
      </w:r>
    </w:p>
    <w:p w14:paraId="19A72932" w14:textId="02E501F5" w:rsidR="00AC302A" w:rsidRDefault="00AC302A" w:rsidP="00B62624">
      <w:pPr>
        <w:pStyle w:val="ListParagraph"/>
        <w:numPr>
          <w:ilvl w:val="0"/>
          <w:numId w:val="9"/>
        </w:numPr>
        <w:spacing w:line="276" w:lineRule="auto"/>
        <w:rPr>
          <w:rFonts w:ascii="Arial" w:hAnsi="Arial" w:cs="Arial"/>
        </w:rPr>
      </w:pPr>
      <w:r>
        <w:rPr>
          <w:rFonts w:ascii="Arial" w:hAnsi="Arial" w:cs="Arial"/>
        </w:rPr>
        <w:t>Methodology</w:t>
      </w:r>
      <w:r w:rsidR="00280CD5">
        <w:rPr>
          <w:rFonts w:ascii="Arial" w:hAnsi="Arial" w:cs="Arial"/>
        </w:rPr>
        <w:tab/>
      </w:r>
      <w:r w:rsidR="00280CD5">
        <w:rPr>
          <w:rFonts w:ascii="Arial" w:hAnsi="Arial" w:cs="Arial"/>
        </w:rPr>
        <w:tab/>
      </w:r>
      <w:r w:rsidR="00280CD5">
        <w:rPr>
          <w:rFonts w:ascii="Arial" w:hAnsi="Arial" w:cs="Arial"/>
        </w:rPr>
        <w:tab/>
      </w:r>
      <w:r w:rsidR="00280CD5">
        <w:rPr>
          <w:rFonts w:ascii="Arial" w:hAnsi="Arial" w:cs="Arial"/>
        </w:rPr>
        <w:tab/>
      </w:r>
      <w:r w:rsidR="00280CD5">
        <w:rPr>
          <w:rFonts w:ascii="Arial" w:hAnsi="Arial" w:cs="Arial"/>
        </w:rPr>
        <w:tab/>
      </w:r>
      <w:r w:rsidR="00280CD5">
        <w:rPr>
          <w:rFonts w:ascii="Arial" w:hAnsi="Arial" w:cs="Arial"/>
        </w:rPr>
        <w:tab/>
      </w:r>
      <w:r w:rsidR="00280CD5">
        <w:rPr>
          <w:rFonts w:ascii="Arial" w:hAnsi="Arial" w:cs="Arial"/>
        </w:rPr>
        <w:tab/>
      </w:r>
      <w:r w:rsidR="00280CD5">
        <w:rPr>
          <w:rFonts w:ascii="Arial" w:hAnsi="Arial" w:cs="Arial"/>
        </w:rPr>
        <w:tab/>
      </w:r>
      <w:r w:rsidR="003306D2">
        <w:rPr>
          <w:rFonts w:ascii="Arial" w:hAnsi="Arial" w:cs="Arial"/>
        </w:rPr>
        <w:t>2</w:t>
      </w:r>
    </w:p>
    <w:p w14:paraId="09289BB0" w14:textId="3B7D933B" w:rsidR="003306D2" w:rsidRDefault="00B62624" w:rsidP="00B62624">
      <w:pPr>
        <w:pStyle w:val="ListParagraph"/>
        <w:numPr>
          <w:ilvl w:val="0"/>
          <w:numId w:val="9"/>
        </w:numPr>
        <w:spacing w:line="276" w:lineRule="auto"/>
        <w:rPr>
          <w:rFonts w:ascii="Arial" w:hAnsi="Arial" w:cs="Arial"/>
        </w:rPr>
      </w:pPr>
      <w:r w:rsidRPr="00B62624">
        <w:rPr>
          <w:rFonts w:ascii="Arial" w:hAnsi="Arial" w:cs="Arial"/>
        </w:rPr>
        <w:t xml:space="preserve">Modes for </w:t>
      </w:r>
      <w:r w:rsidR="003306D2">
        <w:rPr>
          <w:rFonts w:ascii="Arial" w:hAnsi="Arial" w:cs="Arial"/>
        </w:rPr>
        <w:t>T</w:t>
      </w:r>
      <w:r w:rsidR="003D5FC8">
        <w:rPr>
          <w:rFonts w:ascii="Arial" w:hAnsi="Arial" w:cs="Arial"/>
        </w:rPr>
        <w:t>esting</w:t>
      </w:r>
      <w:r w:rsidR="00F362B1">
        <w:rPr>
          <w:rFonts w:ascii="Arial" w:hAnsi="Arial" w:cs="Arial"/>
        </w:rPr>
        <w:tab/>
      </w:r>
      <w:r w:rsidR="00F362B1">
        <w:rPr>
          <w:rFonts w:ascii="Arial" w:hAnsi="Arial" w:cs="Arial"/>
        </w:rPr>
        <w:tab/>
      </w:r>
      <w:r w:rsidR="00F362B1">
        <w:rPr>
          <w:rFonts w:ascii="Arial" w:hAnsi="Arial" w:cs="Arial"/>
        </w:rPr>
        <w:tab/>
      </w:r>
      <w:r w:rsidR="00F362B1">
        <w:rPr>
          <w:rFonts w:ascii="Arial" w:hAnsi="Arial" w:cs="Arial"/>
        </w:rPr>
        <w:tab/>
      </w:r>
      <w:r w:rsidR="00F362B1">
        <w:rPr>
          <w:rFonts w:ascii="Arial" w:hAnsi="Arial" w:cs="Arial"/>
        </w:rPr>
        <w:tab/>
      </w:r>
      <w:r w:rsidR="000F65CA">
        <w:rPr>
          <w:rFonts w:ascii="Arial" w:hAnsi="Arial" w:cs="Arial"/>
        </w:rPr>
        <w:tab/>
      </w:r>
      <w:r w:rsidR="000F65CA">
        <w:rPr>
          <w:rFonts w:ascii="Arial" w:hAnsi="Arial" w:cs="Arial"/>
        </w:rPr>
        <w:tab/>
      </w:r>
      <w:r w:rsidR="003306D2">
        <w:rPr>
          <w:rFonts w:ascii="Arial" w:hAnsi="Arial" w:cs="Arial"/>
        </w:rPr>
        <w:t>4</w:t>
      </w:r>
    </w:p>
    <w:p w14:paraId="10122095" w14:textId="7E332056" w:rsidR="00B62624" w:rsidRPr="00B62624" w:rsidRDefault="003306D2" w:rsidP="00B62624">
      <w:pPr>
        <w:pStyle w:val="ListParagraph"/>
        <w:numPr>
          <w:ilvl w:val="0"/>
          <w:numId w:val="9"/>
        </w:numPr>
        <w:spacing w:line="276" w:lineRule="auto"/>
        <w:rPr>
          <w:rFonts w:ascii="Arial" w:hAnsi="Arial" w:cs="Arial"/>
        </w:rPr>
      </w:pPr>
      <w:r>
        <w:rPr>
          <w:rFonts w:ascii="Arial" w:hAnsi="Arial" w:cs="Arial"/>
        </w:rPr>
        <w:t>Overview of Focus Groups</w:t>
      </w:r>
      <w:r w:rsidR="00F362B1">
        <w:rPr>
          <w:rFonts w:ascii="Arial" w:hAnsi="Arial" w:cs="Arial"/>
        </w:rPr>
        <w:tab/>
      </w:r>
      <w:r w:rsidR="00F362B1">
        <w:rPr>
          <w:rFonts w:ascii="Arial" w:hAnsi="Arial" w:cs="Arial"/>
        </w:rPr>
        <w:tab/>
      </w:r>
      <w:r w:rsidR="00F362B1">
        <w:rPr>
          <w:rFonts w:ascii="Arial" w:hAnsi="Arial" w:cs="Arial"/>
        </w:rPr>
        <w:tab/>
      </w:r>
      <w:r>
        <w:rPr>
          <w:rFonts w:ascii="Arial" w:hAnsi="Arial" w:cs="Arial"/>
        </w:rPr>
        <w:tab/>
      </w:r>
      <w:r>
        <w:rPr>
          <w:rFonts w:ascii="Arial" w:hAnsi="Arial" w:cs="Arial"/>
        </w:rPr>
        <w:tab/>
      </w:r>
      <w:r>
        <w:rPr>
          <w:rFonts w:ascii="Arial" w:hAnsi="Arial" w:cs="Arial"/>
        </w:rPr>
        <w:tab/>
        <w:t>4</w:t>
      </w:r>
    </w:p>
    <w:p w14:paraId="2278AA3B" w14:textId="20E61FE8" w:rsidR="00B62624" w:rsidRPr="00B62624" w:rsidRDefault="00CB0401" w:rsidP="00B62624">
      <w:pPr>
        <w:pStyle w:val="ListParagraph"/>
        <w:numPr>
          <w:ilvl w:val="0"/>
          <w:numId w:val="9"/>
        </w:numPr>
        <w:spacing w:line="276" w:lineRule="auto"/>
        <w:rPr>
          <w:rFonts w:ascii="Arial" w:hAnsi="Arial" w:cs="Arial"/>
        </w:rPr>
      </w:pPr>
      <w:r>
        <w:rPr>
          <w:rFonts w:ascii="Arial" w:hAnsi="Arial" w:cs="Arial"/>
        </w:rPr>
        <w:t>Gifts</w:t>
      </w:r>
      <w:r w:rsidR="00F362B1">
        <w:rPr>
          <w:rFonts w:ascii="Arial" w:hAnsi="Arial" w:cs="Arial"/>
        </w:rPr>
        <w:tab/>
      </w:r>
      <w:r w:rsidR="00F362B1">
        <w:rPr>
          <w:rFonts w:ascii="Arial" w:hAnsi="Arial" w:cs="Arial"/>
        </w:rPr>
        <w:tab/>
      </w:r>
      <w:r w:rsidR="00225B50">
        <w:rPr>
          <w:rFonts w:ascii="Arial" w:hAnsi="Arial" w:cs="Arial"/>
        </w:rPr>
        <w:tab/>
      </w:r>
      <w:r w:rsidR="00F362B1">
        <w:rPr>
          <w:rFonts w:ascii="Arial" w:hAnsi="Arial" w:cs="Arial"/>
        </w:rPr>
        <w:tab/>
      </w:r>
      <w:r w:rsidR="00F362B1">
        <w:rPr>
          <w:rFonts w:ascii="Arial" w:hAnsi="Arial" w:cs="Arial"/>
        </w:rPr>
        <w:tab/>
      </w:r>
      <w:r w:rsidR="00F362B1">
        <w:rPr>
          <w:rFonts w:ascii="Arial" w:hAnsi="Arial" w:cs="Arial"/>
        </w:rPr>
        <w:tab/>
      </w:r>
      <w:r w:rsidR="00F362B1">
        <w:rPr>
          <w:rFonts w:ascii="Arial" w:hAnsi="Arial" w:cs="Arial"/>
        </w:rPr>
        <w:tab/>
      </w:r>
      <w:r w:rsidR="00F362B1">
        <w:rPr>
          <w:rFonts w:ascii="Arial" w:hAnsi="Arial" w:cs="Arial"/>
        </w:rPr>
        <w:tab/>
      </w:r>
      <w:r w:rsidR="00F362B1">
        <w:rPr>
          <w:rFonts w:ascii="Arial" w:hAnsi="Arial" w:cs="Arial"/>
        </w:rPr>
        <w:tab/>
      </w:r>
      <w:r w:rsidR="003306D2">
        <w:rPr>
          <w:rFonts w:ascii="Arial" w:hAnsi="Arial" w:cs="Arial"/>
        </w:rPr>
        <w:t>5</w:t>
      </w:r>
    </w:p>
    <w:p w14:paraId="115928D5" w14:textId="3181D12E" w:rsidR="00712410" w:rsidRDefault="003306D2" w:rsidP="00B62624">
      <w:pPr>
        <w:pStyle w:val="ListParagraph"/>
        <w:numPr>
          <w:ilvl w:val="0"/>
          <w:numId w:val="9"/>
        </w:numPr>
        <w:spacing w:line="276" w:lineRule="auto"/>
        <w:rPr>
          <w:rFonts w:ascii="Arial" w:hAnsi="Arial" w:cs="Arial"/>
        </w:rPr>
      </w:pPr>
      <w:r>
        <w:rPr>
          <w:rFonts w:ascii="Arial" w:hAnsi="Arial" w:cs="Arial"/>
        </w:rPr>
        <w:t>Duration of F</w:t>
      </w:r>
      <w:r w:rsidR="00712410">
        <w:rPr>
          <w:rFonts w:ascii="Arial" w:hAnsi="Arial" w:cs="Arial"/>
        </w:rPr>
        <w:t>ocus</w:t>
      </w:r>
      <w:r>
        <w:rPr>
          <w:rFonts w:ascii="Arial" w:hAnsi="Arial" w:cs="Arial"/>
        </w:rPr>
        <w:t xml:space="preserve"> G</w:t>
      </w:r>
      <w:r w:rsidR="00B62624" w:rsidRPr="00B62624">
        <w:rPr>
          <w:rFonts w:ascii="Arial" w:hAnsi="Arial" w:cs="Arial"/>
        </w:rPr>
        <w:t>roups</w:t>
      </w:r>
      <w:r w:rsidR="00225B50">
        <w:rPr>
          <w:rFonts w:ascii="Arial" w:hAnsi="Arial" w:cs="Arial"/>
        </w:rPr>
        <w:tab/>
      </w:r>
      <w:r w:rsidR="00225B50">
        <w:rPr>
          <w:rFonts w:ascii="Arial" w:hAnsi="Arial" w:cs="Arial"/>
        </w:rPr>
        <w:tab/>
      </w:r>
      <w:r w:rsidR="00225B50">
        <w:rPr>
          <w:rFonts w:ascii="Arial" w:hAnsi="Arial" w:cs="Arial"/>
        </w:rPr>
        <w:tab/>
      </w:r>
      <w:r w:rsidR="00225B50">
        <w:rPr>
          <w:rFonts w:ascii="Arial" w:hAnsi="Arial" w:cs="Arial"/>
        </w:rPr>
        <w:tab/>
      </w:r>
      <w:r w:rsidR="00225B50">
        <w:rPr>
          <w:rFonts w:ascii="Arial" w:hAnsi="Arial" w:cs="Arial"/>
        </w:rPr>
        <w:tab/>
      </w:r>
      <w:r w:rsidR="00225B50">
        <w:rPr>
          <w:rFonts w:ascii="Arial" w:hAnsi="Arial" w:cs="Arial"/>
        </w:rPr>
        <w:tab/>
      </w:r>
      <w:r>
        <w:rPr>
          <w:rFonts w:ascii="Arial" w:hAnsi="Arial" w:cs="Arial"/>
        </w:rPr>
        <w:t>5</w:t>
      </w:r>
    </w:p>
    <w:p w14:paraId="5C4298AB" w14:textId="27B18BB2" w:rsidR="003306D2" w:rsidRDefault="003306D2" w:rsidP="00B62624">
      <w:pPr>
        <w:pStyle w:val="ListParagraph"/>
        <w:numPr>
          <w:ilvl w:val="0"/>
          <w:numId w:val="9"/>
        </w:numPr>
        <w:spacing w:line="276" w:lineRule="auto"/>
        <w:rPr>
          <w:rFonts w:ascii="Arial" w:hAnsi="Arial" w:cs="Arial"/>
        </w:rPr>
      </w:pPr>
      <w:r>
        <w:rPr>
          <w:rFonts w:ascii="Arial" w:hAnsi="Arial" w:cs="Arial"/>
        </w:rPr>
        <w:t>Burden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6</w:t>
      </w:r>
    </w:p>
    <w:p w14:paraId="2524DB4A" w14:textId="4D9DECFB" w:rsidR="005712C0" w:rsidRDefault="005712C0" w:rsidP="00CE0883">
      <w:pPr>
        <w:spacing w:line="276" w:lineRule="auto"/>
        <w:rPr>
          <w:rFonts w:ascii="Arial" w:hAnsi="Arial" w:cs="Arial"/>
        </w:rPr>
      </w:pPr>
    </w:p>
    <w:p w14:paraId="049143CF" w14:textId="77777777" w:rsidR="005712C0" w:rsidRPr="003306D2" w:rsidRDefault="005712C0" w:rsidP="005712C0">
      <w:pPr>
        <w:rPr>
          <w:rFonts w:ascii="Arial" w:hAnsi="Arial" w:cs="Arial"/>
          <w:b/>
          <w:i/>
        </w:rPr>
      </w:pPr>
      <w:r w:rsidRPr="003306D2">
        <w:rPr>
          <w:rFonts w:ascii="Arial" w:hAnsi="Arial" w:cs="Arial"/>
          <w:b/>
        </w:rPr>
        <w:t>Appendices</w:t>
      </w:r>
    </w:p>
    <w:p w14:paraId="2FEE84AB" w14:textId="3BDD8243" w:rsidR="005712C0" w:rsidRPr="003306D2" w:rsidRDefault="00BC2685" w:rsidP="005712C0">
      <w:pPr>
        <w:pStyle w:val="ListParagraph"/>
        <w:numPr>
          <w:ilvl w:val="0"/>
          <w:numId w:val="23"/>
        </w:numPr>
        <w:rPr>
          <w:rFonts w:ascii="Arial" w:hAnsi="Arial" w:cs="Arial"/>
        </w:rPr>
      </w:pPr>
      <w:r w:rsidRPr="003306D2">
        <w:rPr>
          <w:rFonts w:ascii="Arial" w:hAnsi="Arial" w:cs="Arial"/>
        </w:rPr>
        <w:t xml:space="preserve">Recruitment Process and </w:t>
      </w:r>
      <w:r w:rsidR="005712C0" w:rsidRPr="003306D2">
        <w:rPr>
          <w:rFonts w:ascii="Arial" w:hAnsi="Arial" w:cs="Arial"/>
        </w:rPr>
        <w:t>Screener</w:t>
      </w:r>
    </w:p>
    <w:p w14:paraId="53E30C14" w14:textId="611CFBA3" w:rsidR="005712C0" w:rsidRPr="003306D2" w:rsidRDefault="005712C0" w:rsidP="005712C0">
      <w:pPr>
        <w:pStyle w:val="ListParagraph"/>
        <w:numPr>
          <w:ilvl w:val="0"/>
          <w:numId w:val="23"/>
        </w:numPr>
        <w:rPr>
          <w:rFonts w:ascii="Arial" w:hAnsi="Arial" w:cs="Arial"/>
        </w:rPr>
      </w:pPr>
      <w:r w:rsidRPr="003306D2">
        <w:rPr>
          <w:rFonts w:ascii="Arial" w:hAnsi="Arial" w:cs="Arial"/>
        </w:rPr>
        <w:t>Side-by-side English-Spanish translation of messages to be tested</w:t>
      </w:r>
    </w:p>
    <w:p w14:paraId="485337BA" w14:textId="77777777" w:rsidR="005712C0" w:rsidRPr="003306D2" w:rsidRDefault="005712C0" w:rsidP="005712C0">
      <w:pPr>
        <w:pStyle w:val="ListParagraph"/>
        <w:numPr>
          <w:ilvl w:val="0"/>
          <w:numId w:val="23"/>
        </w:numPr>
        <w:rPr>
          <w:rFonts w:ascii="Arial" w:hAnsi="Arial" w:cs="Arial"/>
        </w:rPr>
      </w:pPr>
      <w:r w:rsidRPr="003306D2">
        <w:rPr>
          <w:rFonts w:ascii="Arial" w:hAnsi="Arial" w:cs="Arial"/>
        </w:rPr>
        <w:t>Protocol and materials for in-person focus groups with the primary audience</w:t>
      </w:r>
    </w:p>
    <w:p w14:paraId="3B8DB9F4" w14:textId="77777777" w:rsidR="005712C0" w:rsidRPr="003306D2" w:rsidRDefault="005712C0" w:rsidP="005712C0">
      <w:pPr>
        <w:pStyle w:val="ListParagraph"/>
        <w:numPr>
          <w:ilvl w:val="0"/>
          <w:numId w:val="23"/>
        </w:numPr>
        <w:rPr>
          <w:rFonts w:ascii="Arial" w:hAnsi="Arial" w:cs="Arial"/>
        </w:rPr>
      </w:pPr>
      <w:r w:rsidRPr="003306D2">
        <w:rPr>
          <w:rFonts w:ascii="Arial" w:hAnsi="Arial" w:cs="Arial"/>
        </w:rPr>
        <w:t>Protocol and materials for the online focus group with the primary audience</w:t>
      </w:r>
    </w:p>
    <w:p w14:paraId="4723A83F" w14:textId="77777777" w:rsidR="005712C0" w:rsidRPr="00B47646" w:rsidRDefault="005712C0" w:rsidP="005712C0">
      <w:pPr>
        <w:pStyle w:val="ListParagraph"/>
        <w:numPr>
          <w:ilvl w:val="0"/>
          <w:numId w:val="23"/>
        </w:numPr>
        <w:rPr>
          <w:rFonts w:asciiTheme="minorHAnsi" w:hAnsiTheme="minorHAnsi"/>
        </w:rPr>
      </w:pPr>
      <w:r w:rsidRPr="003306D2">
        <w:rPr>
          <w:rFonts w:ascii="Arial" w:hAnsi="Arial" w:cs="Arial"/>
        </w:rPr>
        <w:t>Protocol and materials for the in-person focus groups with family members</w:t>
      </w:r>
    </w:p>
    <w:p w14:paraId="3E9934AC" w14:textId="77777777" w:rsidR="005712C0" w:rsidRDefault="005712C0" w:rsidP="00CE0883">
      <w:pPr>
        <w:spacing w:line="276" w:lineRule="auto"/>
        <w:rPr>
          <w:rFonts w:ascii="Arial" w:hAnsi="Arial" w:cs="Arial"/>
        </w:rPr>
      </w:pPr>
    </w:p>
    <w:p w14:paraId="5AB09032" w14:textId="77777777" w:rsidR="005712C0" w:rsidRPr="00CE0883" w:rsidRDefault="005712C0" w:rsidP="00CE0883">
      <w:pPr>
        <w:spacing w:line="276" w:lineRule="auto"/>
        <w:rPr>
          <w:rFonts w:ascii="Arial" w:hAnsi="Arial" w:cs="Arial"/>
        </w:rPr>
      </w:pPr>
    </w:p>
    <w:p w14:paraId="7D269BC9" w14:textId="77777777" w:rsidR="00CE2432" w:rsidRDefault="00CE2432" w:rsidP="00B62624">
      <w:pPr>
        <w:spacing w:line="276" w:lineRule="auto"/>
        <w:rPr>
          <w:rFonts w:ascii="Arial" w:hAnsi="Arial" w:cs="Arial"/>
        </w:rPr>
        <w:sectPr w:rsidR="00CE2432" w:rsidSect="00CF0A6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1C90EE46" w14:textId="63A73F2B" w:rsidR="00F81116" w:rsidRPr="003306D2" w:rsidRDefault="00F81116" w:rsidP="00BE0E17">
      <w:pPr>
        <w:rPr>
          <w:rFonts w:asciiTheme="minorHAnsi" w:hAnsiTheme="minorHAnsi"/>
          <w:b/>
          <w:u w:val="single"/>
        </w:rPr>
      </w:pPr>
      <w:r w:rsidRPr="003306D2">
        <w:rPr>
          <w:rFonts w:asciiTheme="minorHAnsi" w:hAnsiTheme="minorHAnsi"/>
          <w:b/>
          <w:u w:val="single"/>
        </w:rPr>
        <w:lastRenderedPageBreak/>
        <w:t>Project Summary</w:t>
      </w:r>
    </w:p>
    <w:p w14:paraId="7F11A9AD" w14:textId="77777777" w:rsidR="00F81116" w:rsidRDefault="00F81116">
      <w:pPr>
        <w:rPr>
          <w:rFonts w:asciiTheme="minorHAnsi" w:hAnsiTheme="minorHAnsi"/>
          <w:b/>
          <w:sz w:val="22"/>
          <w:szCs w:val="22"/>
        </w:rPr>
      </w:pPr>
    </w:p>
    <w:p w14:paraId="4876FDC6" w14:textId="7AEB6575" w:rsidR="00A43121" w:rsidRPr="001836CC" w:rsidRDefault="00A43121">
      <w:pPr>
        <w:rPr>
          <w:rFonts w:asciiTheme="minorHAnsi" w:hAnsiTheme="minorHAnsi"/>
        </w:rPr>
      </w:pPr>
      <w:r w:rsidRPr="001836CC">
        <w:rPr>
          <w:rFonts w:asciiTheme="minorHAnsi" w:hAnsiTheme="minorHAnsi"/>
          <w:b/>
        </w:rPr>
        <w:t>Goal</w:t>
      </w:r>
      <w:r w:rsidRPr="001836CC">
        <w:rPr>
          <w:rFonts w:asciiTheme="minorHAnsi" w:hAnsiTheme="minorHAnsi"/>
        </w:rPr>
        <w:t xml:space="preserve">:  To </w:t>
      </w:r>
      <w:r w:rsidR="00DD7F24">
        <w:rPr>
          <w:rFonts w:asciiTheme="minorHAnsi" w:hAnsiTheme="minorHAnsi"/>
        </w:rPr>
        <w:t>conduct message testing activities to ensure that CDC disseminates</w:t>
      </w:r>
      <w:r w:rsidRPr="001836CC">
        <w:rPr>
          <w:rFonts w:asciiTheme="minorHAnsi" w:hAnsiTheme="minorHAnsi"/>
        </w:rPr>
        <w:t xml:space="preserve"> culturally and linguistically appropriate diabetes prevention messages </w:t>
      </w:r>
      <w:r w:rsidR="00DD7F24">
        <w:rPr>
          <w:rFonts w:asciiTheme="minorHAnsi" w:hAnsiTheme="minorHAnsi"/>
        </w:rPr>
        <w:t xml:space="preserve">for </w:t>
      </w:r>
      <w:r w:rsidR="00E404A1" w:rsidRPr="001836CC">
        <w:rPr>
          <w:rFonts w:asciiTheme="minorHAnsi" w:hAnsiTheme="minorHAnsi"/>
        </w:rPr>
        <w:t>selected Hispanic/Spanish speaking audiences</w:t>
      </w:r>
      <w:r w:rsidR="002B26F8" w:rsidRPr="001836CC">
        <w:rPr>
          <w:rFonts w:asciiTheme="minorHAnsi" w:hAnsiTheme="minorHAnsi"/>
        </w:rPr>
        <w:t>.</w:t>
      </w:r>
    </w:p>
    <w:p w14:paraId="5C7B3D0E" w14:textId="77777777" w:rsidR="00A43121" w:rsidRPr="001836CC" w:rsidRDefault="00A43121">
      <w:pPr>
        <w:rPr>
          <w:rFonts w:asciiTheme="minorHAnsi" w:hAnsiTheme="minorHAnsi"/>
        </w:rPr>
      </w:pPr>
    </w:p>
    <w:p w14:paraId="7EE21DB8" w14:textId="720D4B54" w:rsidR="00A43121" w:rsidRPr="001836CC" w:rsidRDefault="00A43121">
      <w:pPr>
        <w:rPr>
          <w:rFonts w:asciiTheme="minorHAnsi" w:hAnsiTheme="minorHAnsi"/>
        </w:rPr>
      </w:pPr>
      <w:r w:rsidRPr="001836CC">
        <w:rPr>
          <w:rFonts w:asciiTheme="minorHAnsi" w:hAnsiTheme="minorHAnsi"/>
          <w:b/>
        </w:rPr>
        <w:t>How Information Will Be Used</w:t>
      </w:r>
      <w:r w:rsidRPr="001836CC">
        <w:rPr>
          <w:rFonts w:asciiTheme="minorHAnsi" w:hAnsiTheme="minorHAnsi"/>
        </w:rPr>
        <w:t>:  To</w:t>
      </w:r>
      <w:r w:rsidR="002B26F8" w:rsidRPr="001836CC">
        <w:rPr>
          <w:rFonts w:asciiTheme="minorHAnsi" w:hAnsiTheme="minorHAnsi"/>
        </w:rPr>
        <w:t xml:space="preserve"> determine whether </w:t>
      </w:r>
      <w:r w:rsidR="000E7F39" w:rsidRPr="001836CC">
        <w:rPr>
          <w:rFonts w:asciiTheme="minorHAnsi" w:hAnsiTheme="minorHAnsi"/>
        </w:rPr>
        <w:t xml:space="preserve">the </w:t>
      </w:r>
      <w:r w:rsidR="002B26F8" w:rsidRPr="001836CC">
        <w:rPr>
          <w:rFonts w:asciiTheme="minorHAnsi" w:hAnsiTheme="minorHAnsi"/>
        </w:rPr>
        <w:t xml:space="preserve">Spanish language translations </w:t>
      </w:r>
      <w:r w:rsidR="000E7F39" w:rsidRPr="001836CC">
        <w:rPr>
          <w:rFonts w:asciiTheme="minorHAnsi" w:hAnsiTheme="minorHAnsi"/>
        </w:rPr>
        <w:t xml:space="preserve">and graphics </w:t>
      </w:r>
      <w:r w:rsidR="002B26F8" w:rsidRPr="001836CC">
        <w:rPr>
          <w:rFonts w:asciiTheme="minorHAnsi" w:hAnsiTheme="minorHAnsi"/>
        </w:rPr>
        <w:t xml:space="preserve">are </w:t>
      </w:r>
      <w:r w:rsidR="000E7F39" w:rsidRPr="001836CC">
        <w:rPr>
          <w:rFonts w:asciiTheme="minorHAnsi" w:hAnsiTheme="minorHAnsi"/>
        </w:rPr>
        <w:t xml:space="preserve">usable in their current forms, or if they need </w:t>
      </w:r>
      <w:r w:rsidR="00B0363B" w:rsidRPr="001836CC">
        <w:rPr>
          <w:rFonts w:asciiTheme="minorHAnsi" w:hAnsiTheme="minorHAnsi"/>
        </w:rPr>
        <w:t>modification to be clear, persuasive, and useful to the target audiences</w:t>
      </w:r>
      <w:r w:rsidR="000E7F39" w:rsidRPr="001836CC">
        <w:rPr>
          <w:rFonts w:asciiTheme="minorHAnsi" w:hAnsiTheme="minorHAnsi"/>
        </w:rPr>
        <w:t>.</w:t>
      </w:r>
    </w:p>
    <w:p w14:paraId="42A91228" w14:textId="77777777" w:rsidR="00855191" w:rsidRPr="001836CC" w:rsidRDefault="00855191">
      <w:pPr>
        <w:rPr>
          <w:rFonts w:asciiTheme="minorHAnsi" w:hAnsiTheme="minorHAnsi"/>
        </w:rPr>
      </w:pPr>
    </w:p>
    <w:p w14:paraId="54E43E7C" w14:textId="77777777" w:rsidR="00855191" w:rsidRPr="001836CC" w:rsidRDefault="00855191" w:rsidP="00855191">
      <w:pPr>
        <w:rPr>
          <w:rFonts w:asciiTheme="minorHAnsi" w:hAnsiTheme="minorHAnsi"/>
        </w:rPr>
      </w:pPr>
      <w:r w:rsidRPr="001836CC">
        <w:rPr>
          <w:rFonts w:asciiTheme="minorHAnsi" w:hAnsiTheme="minorHAnsi"/>
          <w:b/>
        </w:rPr>
        <w:t>Methods</w:t>
      </w:r>
      <w:r w:rsidRPr="001836CC">
        <w:rPr>
          <w:rFonts w:asciiTheme="minorHAnsi" w:hAnsiTheme="minorHAnsi"/>
        </w:rPr>
        <w:t>:  Messages will be discussed and tested in 9 focus groups.  8 focus groups will be conducted in-person and 1 focus group will be conducted online.</w:t>
      </w:r>
    </w:p>
    <w:p w14:paraId="533DF256" w14:textId="77777777" w:rsidR="00855191" w:rsidRPr="001836CC" w:rsidRDefault="00855191" w:rsidP="00855191">
      <w:pPr>
        <w:rPr>
          <w:rFonts w:asciiTheme="minorHAnsi" w:hAnsiTheme="minorHAnsi"/>
        </w:rPr>
      </w:pPr>
    </w:p>
    <w:p w14:paraId="0A86BE8A" w14:textId="2272088B" w:rsidR="00855191" w:rsidRPr="001836CC" w:rsidRDefault="00855191" w:rsidP="00855191">
      <w:pPr>
        <w:rPr>
          <w:rFonts w:asciiTheme="minorHAnsi" w:hAnsiTheme="minorHAnsi"/>
        </w:rPr>
      </w:pPr>
      <w:r w:rsidRPr="001836CC">
        <w:rPr>
          <w:rFonts w:asciiTheme="minorHAnsi" w:hAnsiTheme="minorHAnsi"/>
          <w:b/>
        </w:rPr>
        <w:t>Respondent Population</w:t>
      </w:r>
      <w:r w:rsidRPr="001836CC">
        <w:rPr>
          <w:rFonts w:asciiTheme="minorHAnsi" w:hAnsiTheme="minorHAnsi"/>
        </w:rPr>
        <w:t>:  The primary target audience is Hispanics ages 45-70 who are at risk of developing type 2 diabetes and speak solely Spanish or prefer to speak Spanish (Spanish dominant)</w:t>
      </w:r>
      <w:r w:rsidR="00457AD1" w:rsidRPr="001836CC">
        <w:rPr>
          <w:rFonts w:asciiTheme="minorHAnsi" w:hAnsiTheme="minorHAnsi"/>
        </w:rPr>
        <w:t xml:space="preserve">.  </w:t>
      </w:r>
    </w:p>
    <w:p w14:paraId="6E0F3B95" w14:textId="77777777" w:rsidR="00EB4E92" w:rsidRPr="001836CC" w:rsidRDefault="00EB4E92" w:rsidP="00855191">
      <w:pPr>
        <w:rPr>
          <w:rFonts w:asciiTheme="minorHAnsi" w:hAnsiTheme="minorHAnsi"/>
        </w:rPr>
      </w:pPr>
    </w:p>
    <w:p w14:paraId="60DD5D37" w14:textId="77777777" w:rsidR="00EB4E92" w:rsidRPr="00B47646" w:rsidRDefault="00EB4E92" w:rsidP="00EB4E92">
      <w:pPr>
        <w:rPr>
          <w:rFonts w:asciiTheme="minorHAnsi" w:hAnsiTheme="minorHAnsi"/>
        </w:rPr>
      </w:pPr>
      <w:r w:rsidRPr="00B47646">
        <w:rPr>
          <w:rFonts w:asciiTheme="minorHAnsi" w:hAnsiTheme="minorHAnsi"/>
        </w:rPr>
        <w:t>For this activity, persons are considered to be at risk for type 2 diabetes if they meet any of the following self-reported criteria:</w:t>
      </w:r>
    </w:p>
    <w:p w14:paraId="274DF99F" w14:textId="77777777" w:rsidR="00EB4E92" w:rsidRPr="001527FB" w:rsidRDefault="00EB4E92" w:rsidP="00EB4E92">
      <w:pPr>
        <w:pStyle w:val="ListParagraph"/>
        <w:numPr>
          <w:ilvl w:val="0"/>
          <w:numId w:val="22"/>
        </w:numPr>
        <w:rPr>
          <w:rFonts w:asciiTheme="minorHAnsi" w:hAnsiTheme="minorHAnsi"/>
        </w:rPr>
      </w:pPr>
      <w:r w:rsidRPr="001527FB">
        <w:rPr>
          <w:rFonts w:asciiTheme="minorHAnsi" w:hAnsiTheme="minorHAnsi"/>
        </w:rPr>
        <w:t>Have been diagnosed with prediabetes</w:t>
      </w:r>
    </w:p>
    <w:p w14:paraId="756E1F27" w14:textId="77777777" w:rsidR="00EB4E92" w:rsidRPr="00B47646" w:rsidRDefault="00EB4E92" w:rsidP="00EB4E92">
      <w:pPr>
        <w:pStyle w:val="ListParagraph"/>
        <w:numPr>
          <w:ilvl w:val="0"/>
          <w:numId w:val="22"/>
        </w:numPr>
        <w:rPr>
          <w:rFonts w:asciiTheme="minorHAnsi" w:hAnsiTheme="minorHAnsi"/>
        </w:rPr>
      </w:pPr>
      <w:r w:rsidRPr="00B47646">
        <w:rPr>
          <w:rFonts w:asciiTheme="minorHAnsi" w:hAnsiTheme="minorHAnsi"/>
        </w:rPr>
        <w:t>Are overweight</w:t>
      </w:r>
    </w:p>
    <w:p w14:paraId="1CAE0592" w14:textId="77777777" w:rsidR="00EB4E92" w:rsidRPr="00B47646" w:rsidRDefault="00EB4E92" w:rsidP="00EB4E92">
      <w:pPr>
        <w:pStyle w:val="ListParagraph"/>
        <w:numPr>
          <w:ilvl w:val="0"/>
          <w:numId w:val="22"/>
        </w:numPr>
        <w:rPr>
          <w:rFonts w:asciiTheme="minorHAnsi" w:hAnsiTheme="minorHAnsi"/>
        </w:rPr>
      </w:pPr>
      <w:r w:rsidRPr="00B47646">
        <w:rPr>
          <w:rFonts w:asciiTheme="minorHAnsi" w:hAnsiTheme="minorHAnsi"/>
        </w:rPr>
        <w:t>Have a family member who has/had type 2 diabetes</w:t>
      </w:r>
    </w:p>
    <w:p w14:paraId="5B1862D1" w14:textId="77777777" w:rsidR="00EB4E92" w:rsidRPr="00B47646" w:rsidRDefault="00EB4E92" w:rsidP="00EB4E92">
      <w:pPr>
        <w:pStyle w:val="ListParagraph"/>
        <w:numPr>
          <w:ilvl w:val="0"/>
          <w:numId w:val="22"/>
        </w:numPr>
        <w:rPr>
          <w:rFonts w:asciiTheme="minorHAnsi" w:hAnsiTheme="minorHAnsi"/>
        </w:rPr>
      </w:pPr>
      <w:r w:rsidRPr="00B47646">
        <w:rPr>
          <w:rFonts w:asciiTheme="minorHAnsi" w:hAnsiTheme="minorHAnsi"/>
        </w:rPr>
        <w:t>Ever gave birth to a baby that weighed more than 9 pounds</w:t>
      </w:r>
    </w:p>
    <w:p w14:paraId="5193CF48" w14:textId="77777777" w:rsidR="00EB4E92" w:rsidRPr="00B47646" w:rsidRDefault="00EB4E92" w:rsidP="00EB4E92">
      <w:pPr>
        <w:pStyle w:val="ListParagraph"/>
        <w:numPr>
          <w:ilvl w:val="0"/>
          <w:numId w:val="22"/>
        </w:numPr>
        <w:rPr>
          <w:rFonts w:asciiTheme="minorHAnsi" w:hAnsiTheme="minorHAnsi"/>
        </w:rPr>
      </w:pPr>
      <w:r w:rsidRPr="00B47646">
        <w:rPr>
          <w:rFonts w:asciiTheme="minorHAnsi" w:hAnsiTheme="minorHAnsi"/>
        </w:rPr>
        <w:t>Ever had diabetes while pregnant (gestational diabetes)</w:t>
      </w:r>
    </w:p>
    <w:p w14:paraId="596DB59E" w14:textId="77777777" w:rsidR="00EB4E92" w:rsidRPr="00B47646" w:rsidRDefault="00EB4E92" w:rsidP="00855191">
      <w:pPr>
        <w:rPr>
          <w:rFonts w:asciiTheme="minorHAnsi" w:hAnsiTheme="minorHAnsi"/>
        </w:rPr>
      </w:pPr>
    </w:p>
    <w:p w14:paraId="4B91C0D2" w14:textId="319F1B0C" w:rsidR="00EB4E92" w:rsidRPr="00B47646" w:rsidRDefault="00EB4E92" w:rsidP="00855191">
      <w:pPr>
        <w:rPr>
          <w:rFonts w:asciiTheme="minorHAnsi" w:hAnsiTheme="minorHAnsi"/>
        </w:rPr>
      </w:pPr>
      <w:r w:rsidRPr="00B47646">
        <w:rPr>
          <w:rFonts w:asciiTheme="minorHAnsi" w:hAnsiTheme="minorHAnsi"/>
        </w:rPr>
        <w:t>A secondary audience is family members of individuals in the primary target audience.  Family members may be ages 18-70.</w:t>
      </w:r>
    </w:p>
    <w:p w14:paraId="6E4859D2" w14:textId="77777777" w:rsidR="00855191" w:rsidRPr="00B47646" w:rsidRDefault="00855191" w:rsidP="00855191">
      <w:pPr>
        <w:rPr>
          <w:rFonts w:asciiTheme="minorHAnsi" w:hAnsiTheme="minorHAnsi"/>
        </w:rPr>
      </w:pPr>
    </w:p>
    <w:p w14:paraId="68AAB523" w14:textId="77777777" w:rsidR="00855191" w:rsidRPr="00B47646" w:rsidRDefault="00855191" w:rsidP="00855191">
      <w:pPr>
        <w:rPr>
          <w:rFonts w:asciiTheme="minorHAnsi" w:hAnsiTheme="minorHAnsi"/>
        </w:rPr>
      </w:pPr>
      <w:r w:rsidRPr="00B47646">
        <w:rPr>
          <w:rFonts w:asciiTheme="minorHAnsi" w:hAnsiTheme="minorHAnsi"/>
          <w:b/>
        </w:rPr>
        <w:t>Analysis Techniques</w:t>
      </w:r>
      <w:r w:rsidRPr="00B47646">
        <w:rPr>
          <w:rFonts w:asciiTheme="minorHAnsi" w:hAnsiTheme="minorHAnsi"/>
        </w:rPr>
        <w:t xml:space="preserve">: </w:t>
      </w:r>
    </w:p>
    <w:p w14:paraId="76D8F952" w14:textId="4FB762C4" w:rsidR="00855191" w:rsidRPr="00B47646" w:rsidRDefault="009E2398" w:rsidP="00855191">
      <w:pPr>
        <w:rPr>
          <w:rFonts w:asciiTheme="minorHAnsi" w:hAnsiTheme="minorHAnsi"/>
        </w:rPr>
      </w:pPr>
      <w:r>
        <w:rPr>
          <w:rFonts w:asciiTheme="minorHAnsi" w:hAnsiTheme="minorHAnsi"/>
        </w:rPr>
        <w:t>Focus group notes will be analyzed to identify major themes. The themes and the details will additionally be explored to look for differences by sex as well as for differences between reactions of people online as compared to those in person. The family member reactions will be compared to those of the primary audience.</w:t>
      </w:r>
    </w:p>
    <w:p w14:paraId="1DD9F00E" w14:textId="77777777" w:rsidR="00434349" w:rsidRPr="00B47646" w:rsidRDefault="00434349" w:rsidP="00855191">
      <w:pPr>
        <w:rPr>
          <w:rFonts w:asciiTheme="minorHAnsi" w:hAnsiTheme="minorHAnsi"/>
        </w:rPr>
      </w:pPr>
    </w:p>
    <w:p w14:paraId="1A1EA660" w14:textId="77777777" w:rsidR="00EB4E92" w:rsidRDefault="00EB4E92" w:rsidP="00855191">
      <w:pPr>
        <w:rPr>
          <w:rFonts w:asciiTheme="minorHAnsi" w:hAnsiTheme="minorHAnsi"/>
          <w:b/>
        </w:rPr>
      </w:pPr>
      <w:r>
        <w:rPr>
          <w:rFonts w:asciiTheme="minorHAnsi" w:hAnsiTheme="minorHAnsi"/>
          <w:b/>
        </w:rPr>
        <w:br w:type="page"/>
      </w:r>
    </w:p>
    <w:p w14:paraId="71BF27EF" w14:textId="2A765EC6" w:rsidR="00855191" w:rsidRPr="00707A3F" w:rsidRDefault="00855191" w:rsidP="00855191">
      <w:pPr>
        <w:rPr>
          <w:rFonts w:asciiTheme="minorHAnsi" w:hAnsiTheme="minorHAnsi"/>
          <w:b/>
          <w:i/>
        </w:rPr>
      </w:pPr>
      <w:r w:rsidRPr="003306D2">
        <w:rPr>
          <w:rFonts w:asciiTheme="minorHAnsi" w:hAnsiTheme="minorHAnsi"/>
          <w:b/>
          <w:u w:val="single"/>
        </w:rPr>
        <w:lastRenderedPageBreak/>
        <w:t>Background</w:t>
      </w:r>
    </w:p>
    <w:p w14:paraId="4D6BE420" w14:textId="77777777" w:rsidR="00855191" w:rsidRDefault="00855191" w:rsidP="00855191">
      <w:pPr>
        <w:rPr>
          <w:rFonts w:asciiTheme="minorHAnsi" w:hAnsiTheme="minorHAnsi"/>
          <w:sz w:val="22"/>
          <w:szCs w:val="22"/>
        </w:rPr>
      </w:pPr>
    </w:p>
    <w:p w14:paraId="6A5465BF" w14:textId="51317628" w:rsidR="00855191" w:rsidRPr="00E0405D" w:rsidRDefault="00855191" w:rsidP="00855191">
      <w:pPr>
        <w:rPr>
          <w:rFonts w:asciiTheme="minorHAnsi" w:hAnsiTheme="minorHAnsi"/>
        </w:rPr>
      </w:pPr>
      <w:r w:rsidRPr="00E0405D">
        <w:rPr>
          <w:rFonts w:asciiTheme="minorHAnsi" w:hAnsiTheme="minorHAnsi"/>
        </w:rPr>
        <w:t>CDC’s National Diabetes Prevention Program (National DPP), which is part of the Division of Diabetes Translation, has developed messages to test with people at risk for type 2 diabetes as well as fam</w:t>
      </w:r>
      <w:r w:rsidR="007951C5">
        <w:rPr>
          <w:rFonts w:asciiTheme="minorHAnsi" w:hAnsiTheme="minorHAnsi"/>
        </w:rPr>
        <w:t>ily members.  Messages include</w:t>
      </w:r>
      <w:bookmarkStart w:id="0" w:name="_GoBack"/>
      <w:bookmarkEnd w:id="0"/>
      <w:r w:rsidRPr="00E0405D">
        <w:rPr>
          <w:rFonts w:asciiTheme="minorHAnsi" w:hAnsiTheme="minorHAnsi"/>
        </w:rPr>
        <w:t xml:space="preserve"> those about prediabetes and being at risk for type 2 diabetes; the</w:t>
      </w:r>
      <w:r w:rsidR="00BE3F5D" w:rsidRPr="00E0405D">
        <w:rPr>
          <w:rFonts w:asciiTheme="minorHAnsi" w:hAnsiTheme="minorHAnsi"/>
        </w:rPr>
        <w:t xml:space="preserve"> </w:t>
      </w:r>
      <w:r w:rsidRPr="00E0405D">
        <w:rPr>
          <w:rFonts w:asciiTheme="minorHAnsi" w:hAnsiTheme="minorHAnsi"/>
        </w:rPr>
        <w:t xml:space="preserve">National DPP lifestyle change program; calls to action; and reasons to prevent type 2 diabetes will be tested. </w:t>
      </w:r>
    </w:p>
    <w:p w14:paraId="42D04127" w14:textId="77777777" w:rsidR="00855191" w:rsidRPr="00E0405D" w:rsidRDefault="00855191" w:rsidP="00855191">
      <w:pPr>
        <w:rPr>
          <w:rFonts w:asciiTheme="minorHAnsi" w:hAnsiTheme="minorHAnsi"/>
        </w:rPr>
      </w:pPr>
    </w:p>
    <w:p w14:paraId="4A605D2B" w14:textId="77777777" w:rsidR="00855191" w:rsidRPr="00E0405D" w:rsidRDefault="00855191" w:rsidP="00855191">
      <w:pPr>
        <w:rPr>
          <w:rFonts w:asciiTheme="minorHAnsi" w:hAnsiTheme="minorHAnsi"/>
        </w:rPr>
      </w:pPr>
      <w:r w:rsidRPr="00E0405D">
        <w:rPr>
          <w:rFonts w:asciiTheme="minorHAnsi" w:hAnsiTheme="minorHAnsi"/>
        </w:rPr>
        <w:t>Many of these messages are duplicates or modifications of existing English-language National DPP messages, adapted to reflect research-identified cultural contexts. Messages will be tested in Spanish. The testing is being done to create culturally sensitive and relevant Web content and outreach materials for use with Spanish-dominant Hispanics.  Thematic messages are being tested in prototype “contexts” to show visually as well as in written language, what the thematic messages are conveying. The testing will focus specifically on the language of the thematic message, not on the visual elements.</w:t>
      </w:r>
    </w:p>
    <w:p w14:paraId="7A08D51E" w14:textId="77777777" w:rsidR="00E0405D" w:rsidRDefault="00E0405D" w:rsidP="00855191">
      <w:pPr>
        <w:rPr>
          <w:rFonts w:asciiTheme="minorHAnsi" w:hAnsiTheme="minorHAnsi"/>
          <w:sz w:val="22"/>
          <w:szCs w:val="22"/>
        </w:rPr>
      </w:pPr>
    </w:p>
    <w:p w14:paraId="3FE4D35D" w14:textId="2D2F246C" w:rsidR="00E0405D" w:rsidRPr="00E0405D" w:rsidRDefault="00E0405D" w:rsidP="00855191">
      <w:pPr>
        <w:rPr>
          <w:rFonts w:asciiTheme="minorHAnsi" w:hAnsiTheme="minorHAnsi"/>
        </w:rPr>
      </w:pPr>
      <w:r w:rsidRPr="00E0405D">
        <w:rPr>
          <w:rFonts w:asciiTheme="minorHAnsi" w:hAnsiTheme="minorHAnsi"/>
        </w:rPr>
        <w:t xml:space="preserve">See </w:t>
      </w:r>
      <w:r w:rsidRPr="00E0405D">
        <w:rPr>
          <w:rFonts w:asciiTheme="minorHAnsi" w:hAnsiTheme="minorHAnsi"/>
          <w:b/>
        </w:rPr>
        <w:t xml:space="preserve">Appendix </w:t>
      </w:r>
      <w:r w:rsidR="005712C0">
        <w:rPr>
          <w:rFonts w:asciiTheme="minorHAnsi" w:hAnsiTheme="minorHAnsi"/>
          <w:b/>
        </w:rPr>
        <w:t>2</w:t>
      </w:r>
      <w:r w:rsidR="00A60038">
        <w:rPr>
          <w:rFonts w:asciiTheme="minorHAnsi" w:hAnsiTheme="minorHAnsi"/>
        </w:rPr>
        <w:t xml:space="preserve"> for</w:t>
      </w:r>
      <w:r w:rsidRPr="00E0405D">
        <w:rPr>
          <w:rFonts w:asciiTheme="minorHAnsi" w:hAnsiTheme="minorHAnsi"/>
        </w:rPr>
        <w:t xml:space="preserve"> side</w:t>
      </w:r>
      <w:r w:rsidR="00A60038">
        <w:rPr>
          <w:rFonts w:asciiTheme="minorHAnsi" w:hAnsiTheme="minorHAnsi"/>
        </w:rPr>
        <w:t>-by-side English-Spanish translations</w:t>
      </w:r>
      <w:r w:rsidRPr="00E0405D">
        <w:rPr>
          <w:rFonts w:asciiTheme="minorHAnsi" w:hAnsiTheme="minorHAnsi"/>
        </w:rPr>
        <w:t xml:space="preserve"> of the </w:t>
      </w:r>
      <w:r w:rsidR="003927A7">
        <w:rPr>
          <w:rFonts w:asciiTheme="minorHAnsi" w:hAnsiTheme="minorHAnsi"/>
        </w:rPr>
        <w:t>messages to be tested</w:t>
      </w:r>
      <w:r w:rsidRPr="00E0405D">
        <w:rPr>
          <w:rFonts w:asciiTheme="minorHAnsi" w:hAnsiTheme="minorHAnsi"/>
        </w:rPr>
        <w:t>.</w:t>
      </w:r>
    </w:p>
    <w:p w14:paraId="6DE318F4" w14:textId="77777777" w:rsidR="00855191" w:rsidRPr="00E0405D" w:rsidRDefault="00855191" w:rsidP="00855191">
      <w:pPr>
        <w:rPr>
          <w:rFonts w:asciiTheme="minorHAnsi" w:hAnsiTheme="minorHAnsi"/>
          <w:highlight w:val="yellow"/>
        </w:rPr>
      </w:pPr>
    </w:p>
    <w:p w14:paraId="3C413CC8" w14:textId="77777777" w:rsidR="00855191" w:rsidRPr="005712C0" w:rsidRDefault="00855191" w:rsidP="00855191">
      <w:pPr>
        <w:rPr>
          <w:rFonts w:asciiTheme="minorHAnsi" w:hAnsiTheme="minorHAnsi"/>
          <w:b/>
          <w:u w:val="single"/>
        </w:rPr>
      </w:pPr>
      <w:r w:rsidRPr="005712C0">
        <w:rPr>
          <w:rFonts w:asciiTheme="minorHAnsi" w:hAnsiTheme="minorHAnsi"/>
          <w:b/>
          <w:u w:val="single"/>
        </w:rPr>
        <w:t>Methodology</w:t>
      </w:r>
    </w:p>
    <w:p w14:paraId="2DC58D1D" w14:textId="77777777" w:rsidR="00855191" w:rsidRPr="004014F3" w:rsidRDefault="00855191" w:rsidP="00855191">
      <w:pPr>
        <w:rPr>
          <w:rFonts w:asciiTheme="minorHAnsi" w:hAnsiTheme="minorHAnsi"/>
        </w:rPr>
      </w:pPr>
    </w:p>
    <w:p w14:paraId="24350CEA" w14:textId="77777777" w:rsidR="00855191" w:rsidRDefault="00855191" w:rsidP="00855191">
      <w:pPr>
        <w:rPr>
          <w:rFonts w:asciiTheme="minorHAnsi" w:hAnsiTheme="minorHAnsi"/>
        </w:rPr>
      </w:pPr>
      <w:r w:rsidRPr="004014F3">
        <w:rPr>
          <w:rFonts w:asciiTheme="minorHAnsi" w:hAnsiTheme="minorHAnsi"/>
        </w:rPr>
        <w:t>Focus groups with men and women at risk for type 2 diabetes and family members of individuals at risk for diabetes will be conducted in-person in one of two locations, TBD. Focus groups will be conducted in Spanish as this effort seeks to test messages in Spanish to inform CDC’s communication efforts with Spanish-speaking audiences.</w:t>
      </w:r>
    </w:p>
    <w:p w14:paraId="616DFD14" w14:textId="77777777" w:rsidR="00855191" w:rsidRDefault="00855191">
      <w:pPr>
        <w:rPr>
          <w:rFonts w:asciiTheme="minorHAnsi" w:hAnsiTheme="minorHAnsi"/>
          <w:sz w:val="22"/>
          <w:szCs w:val="22"/>
        </w:rPr>
      </w:pPr>
    </w:p>
    <w:p w14:paraId="39C439CC" w14:textId="77777777" w:rsidR="00855191" w:rsidRPr="004014F3" w:rsidRDefault="00855191" w:rsidP="00855191">
      <w:pPr>
        <w:rPr>
          <w:rFonts w:asciiTheme="minorHAnsi" w:hAnsiTheme="minorHAnsi"/>
        </w:rPr>
      </w:pPr>
      <w:r w:rsidRPr="004014F3">
        <w:rPr>
          <w:rFonts w:asciiTheme="minorHAnsi" w:hAnsiTheme="minorHAnsi"/>
        </w:rPr>
        <w:t>Four audience groups will participate in the message testing:</w:t>
      </w:r>
    </w:p>
    <w:p w14:paraId="0CE75AF2" w14:textId="04951908" w:rsidR="00855191" w:rsidRPr="004014F3" w:rsidRDefault="00855191" w:rsidP="00855191">
      <w:pPr>
        <w:rPr>
          <w:rFonts w:asciiTheme="minorHAnsi" w:hAnsiTheme="minorHAnsi"/>
        </w:rPr>
      </w:pPr>
      <w:r w:rsidRPr="004014F3">
        <w:rPr>
          <w:rFonts w:asciiTheme="minorHAnsi" w:hAnsiTheme="minorHAnsi"/>
        </w:rPr>
        <w:t>1.</w:t>
      </w:r>
      <w:r w:rsidRPr="004014F3">
        <w:rPr>
          <w:rFonts w:asciiTheme="minorHAnsi" w:hAnsiTheme="minorHAnsi"/>
        </w:rPr>
        <w:tab/>
        <w:t>Men at risk for type 2 diabetes. Three focus groups will be conducted with Hispanic men. Research and past CDC efforts suggest that men have unique motivators and barriers to health, disease prevention, and joining health programs. They also often have different roles and responsibilities in their household as it relates to health-related decisions and behaviors, such as food purchasing and preparation. Additionally, given that fewer at-risk men participate in lifestyle change programs than at-risk women, it remains important to speak to men to determine how they might be influenced to see the benefits of participation in a lifestyle change program. The focus groups with men will include a mix of low acculturation or moderate/high acculturation, and all will be Spanish-language dominant and at risk for type 2 diabetes. Questions related to language have been included in the screener to help assess</w:t>
      </w:r>
      <w:r w:rsidR="00BE3F5D">
        <w:rPr>
          <w:rFonts w:asciiTheme="minorHAnsi" w:hAnsiTheme="minorHAnsi"/>
        </w:rPr>
        <w:t xml:space="preserve"> </w:t>
      </w:r>
      <w:r w:rsidRPr="004014F3">
        <w:rPr>
          <w:rFonts w:asciiTheme="minorHAnsi" w:hAnsiTheme="minorHAnsi"/>
        </w:rPr>
        <w:t>acculturation level.</w:t>
      </w:r>
      <w:r>
        <w:rPr>
          <w:rFonts w:asciiTheme="minorHAnsi" w:hAnsiTheme="minorHAnsi"/>
        </w:rPr>
        <w:t xml:space="preserve"> </w:t>
      </w:r>
      <w:r w:rsidRPr="004014F3">
        <w:rPr>
          <w:rFonts w:asciiTheme="minorHAnsi" w:hAnsiTheme="minorHAnsi"/>
        </w:rPr>
        <w:t>The participants will be recruited to represent a mix of countries of origin, age groups, and levels of education. All participants will be ages 45–70.</w:t>
      </w:r>
    </w:p>
    <w:p w14:paraId="2298ACC4" w14:textId="77777777" w:rsidR="00855191" w:rsidRPr="004014F3" w:rsidRDefault="00855191" w:rsidP="00855191">
      <w:pPr>
        <w:rPr>
          <w:rFonts w:asciiTheme="minorHAnsi" w:hAnsiTheme="minorHAnsi"/>
        </w:rPr>
      </w:pPr>
    </w:p>
    <w:p w14:paraId="4DB2E896" w14:textId="12B7E163" w:rsidR="00855191" w:rsidRPr="004014F3" w:rsidRDefault="00855191" w:rsidP="00855191">
      <w:pPr>
        <w:rPr>
          <w:rFonts w:asciiTheme="minorHAnsi" w:hAnsiTheme="minorHAnsi"/>
        </w:rPr>
      </w:pPr>
      <w:r w:rsidRPr="004014F3">
        <w:rPr>
          <w:rFonts w:asciiTheme="minorHAnsi" w:hAnsiTheme="minorHAnsi"/>
        </w:rPr>
        <w:t>2.</w:t>
      </w:r>
      <w:r w:rsidRPr="004014F3">
        <w:rPr>
          <w:rFonts w:asciiTheme="minorHAnsi" w:hAnsiTheme="minorHAnsi"/>
        </w:rPr>
        <w:tab/>
        <w:t xml:space="preserve">Women at risk for type 2 diabetes. Three focus groups will be conducted with Hispanic women. Research and </w:t>
      </w:r>
      <w:r>
        <w:rPr>
          <w:rFonts w:asciiTheme="minorHAnsi" w:hAnsiTheme="minorHAnsi"/>
        </w:rPr>
        <w:t>past CDC efforts suggest</w:t>
      </w:r>
      <w:r w:rsidRPr="004014F3">
        <w:rPr>
          <w:rFonts w:asciiTheme="minorHAnsi" w:hAnsiTheme="minorHAnsi"/>
        </w:rPr>
        <w:t xml:space="preserve"> women are different </w:t>
      </w:r>
      <w:r w:rsidR="00553DFF">
        <w:rPr>
          <w:rFonts w:asciiTheme="minorHAnsi" w:hAnsiTheme="minorHAnsi"/>
        </w:rPr>
        <w:t xml:space="preserve">from men </w:t>
      </w:r>
      <w:r w:rsidRPr="004014F3">
        <w:rPr>
          <w:rFonts w:asciiTheme="minorHAnsi" w:hAnsiTheme="minorHAnsi"/>
        </w:rPr>
        <w:t xml:space="preserve">with regard to core cultural values, and they frequently serve as the center of the family. They are typically the functional food and nutrition decision makers and seek health information and make health </w:t>
      </w:r>
      <w:r w:rsidRPr="004014F3">
        <w:rPr>
          <w:rFonts w:asciiTheme="minorHAnsi" w:hAnsiTheme="minorHAnsi"/>
        </w:rPr>
        <w:lastRenderedPageBreak/>
        <w:t>care decisions for all family members. Because they are potentially the primary audience for health information and health program messages, they are important to hear from alone. Additionally, it is important to note that women in mixed-sex groups can be reticent to participate as fully as men. The focus groups with women will include a mix of low acculturation or moderate/high acculturation, and all will be Spanish-language dominant and at risk for type</w:t>
      </w:r>
      <w:r w:rsidR="00BE3F5D">
        <w:rPr>
          <w:rFonts w:asciiTheme="minorHAnsi" w:hAnsiTheme="minorHAnsi"/>
        </w:rPr>
        <w:t xml:space="preserve"> </w:t>
      </w:r>
      <w:r w:rsidRPr="004014F3">
        <w:rPr>
          <w:rFonts w:asciiTheme="minorHAnsi" w:hAnsiTheme="minorHAnsi"/>
        </w:rPr>
        <w:t>2 diabetes. Questions related to language have been included in the screener to help assess acculturation level. The participants will be recruited to represent a mix of countries of origin, age groups, and levels of education. All participants will be ages 45–70.</w:t>
      </w:r>
    </w:p>
    <w:p w14:paraId="63919ECD" w14:textId="77777777" w:rsidR="00855191" w:rsidRPr="004014F3" w:rsidRDefault="00855191" w:rsidP="00855191">
      <w:pPr>
        <w:rPr>
          <w:rFonts w:asciiTheme="minorHAnsi" w:hAnsiTheme="minorHAnsi"/>
        </w:rPr>
      </w:pPr>
    </w:p>
    <w:p w14:paraId="0DD791E8" w14:textId="66EDFA8E" w:rsidR="00855191" w:rsidRPr="004014F3" w:rsidRDefault="00855191" w:rsidP="00855191">
      <w:pPr>
        <w:rPr>
          <w:rFonts w:asciiTheme="minorHAnsi" w:hAnsiTheme="minorHAnsi"/>
        </w:rPr>
      </w:pPr>
      <w:r w:rsidRPr="004014F3">
        <w:rPr>
          <w:rFonts w:asciiTheme="minorHAnsi" w:hAnsiTheme="minorHAnsi"/>
        </w:rPr>
        <w:t>3.</w:t>
      </w:r>
      <w:r w:rsidRPr="004014F3">
        <w:rPr>
          <w:rFonts w:asciiTheme="minorHAnsi" w:hAnsiTheme="minorHAnsi"/>
        </w:rPr>
        <w:tab/>
        <w:t xml:space="preserve">Persons at high risk for developing type 2 diabetes with a potential preference for online program participation. One focus group will be conducted with individuals with a potential preference for an online CDC-recognized lifestyle change program to explore any unique differences or considerations for individuals who may be more active online users and who would want to join an online program and those who would prefer an in-person program. </w:t>
      </w:r>
      <w:r>
        <w:rPr>
          <w:rFonts w:asciiTheme="minorHAnsi" w:hAnsiTheme="minorHAnsi"/>
        </w:rPr>
        <w:t xml:space="preserve">National DPP lifestyle change program is currently offered in-person and on-line. This group will be used to test messages relevant to the on-line program specifically. </w:t>
      </w:r>
      <w:r w:rsidRPr="004014F3">
        <w:rPr>
          <w:rFonts w:asciiTheme="minorHAnsi" w:hAnsiTheme="minorHAnsi"/>
        </w:rPr>
        <w:t>All participants will be Spanish-language dominant and at risk for developing type 2 diabetes. All participants will have accessed the Internet in the past 7 days and looked at health websites in the past 30 days. We</w:t>
      </w:r>
      <w:r w:rsidR="00BE3F5D">
        <w:rPr>
          <w:rFonts w:asciiTheme="minorHAnsi" w:hAnsiTheme="minorHAnsi"/>
        </w:rPr>
        <w:t xml:space="preserve"> </w:t>
      </w:r>
      <w:r w:rsidRPr="004014F3">
        <w:rPr>
          <w:rFonts w:asciiTheme="minorHAnsi" w:hAnsiTheme="minorHAnsi"/>
        </w:rPr>
        <w:t>will also attempt to recruit a mix of men and women with low and moderate/high acculturation. Questions related to language have been included in the screener to help assess acculturation level</w:t>
      </w:r>
      <w:r w:rsidR="00E0405D">
        <w:rPr>
          <w:rFonts w:asciiTheme="minorHAnsi" w:hAnsiTheme="minorHAnsi"/>
        </w:rPr>
        <w:t>.</w:t>
      </w:r>
      <w:r w:rsidRPr="004014F3">
        <w:rPr>
          <w:rFonts w:asciiTheme="minorHAnsi" w:hAnsiTheme="minorHAnsi"/>
        </w:rPr>
        <w:t xml:space="preserve"> All participants will be ages 45–70.</w:t>
      </w:r>
    </w:p>
    <w:p w14:paraId="2205261C" w14:textId="77777777" w:rsidR="00855191" w:rsidRPr="004014F3" w:rsidRDefault="00855191" w:rsidP="00855191">
      <w:pPr>
        <w:rPr>
          <w:rFonts w:asciiTheme="minorHAnsi" w:hAnsiTheme="minorHAnsi"/>
        </w:rPr>
      </w:pPr>
    </w:p>
    <w:p w14:paraId="3A93B5D2" w14:textId="77777777" w:rsidR="00855191" w:rsidRPr="004014F3" w:rsidRDefault="00855191" w:rsidP="00855191">
      <w:pPr>
        <w:rPr>
          <w:rFonts w:asciiTheme="minorHAnsi" w:hAnsiTheme="minorHAnsi"/>
        </w:rPr>
      </w:pPr>
      <w:r w:rsidRPr="004014F3">
        <w:rPr>
          <w:rFonts w:asciiTheme="minorHAnsi" w:hAnsiTheme="minorHAnsi"/>
        </w:rPr>
        <w:t xml:space="preserve">The focus group with individuals with a potential preference for the online program will be conducted remotely given that they are being recruited for their increased level of online use. This will also permit participants from around the country to participate in the same discussion with minimal effort, as do CDC-recognized online lifestyle change programs. </w:t>
      </w:r>
    </w:p>
    <w:p w14:paraId="4FB3153A" w14:textId="77777777" w:rsidR="00855191" w:rsidRPr="004014F3" w:rsidRDefault="00855191" w:rsidP="00855191">
      <w:pPr>
        <w:rPr>
          <w:rFonts w:asciiTheme="minorHAnsi" w:hAnsiTheme="minorHAnsi"/>
        </w:rPr>
      </w:pPr>
    </w:p>
    <w:p w14:paraId="25FF94F1" w14:textId="145DBA06" w:rsidR="00855191" w:rsidRPr="004014F3" w:rsidRDefault="00BE3F5D" w:rsidP="00855191">
      <w:pPr>
        <w:rPr>
          <w:rFonts w:asciiTheme="minorHAnsi" w:hAnsiTheme="minorHAnsi"/>
        </w:rPr>
      </w:pPr>
      <w:r>
        <w:rPr>
          <w:rFonts w:asciiTheme="minorHAnsi" w:hAnsiTheme="minorHAnsi"/>
        </w:rPr>
        <w:t xml:space="preserve">4. </w:t>
      </w:r>
      <w:r>
        <w:rPr>
          <w:rFonts w:asciiTheme="minorHAnsi" w:hAnsiTheme="minorHAnsi"/>
        </w:rPr>
        <w:tab/>
      </w:r>
      <w:r w:rsidR="00855191" w:rsidRPr="005712C0">
        <w:rPr>
          <w:rFonts w:asciiTheme="minorHAnsi" w:hAnsiTheme="minorHAnsi"/>
        </w:rPr>
        <w:t xml:space="preserve">Family members of individuals at risk for type 2 diabetes. Two focus groups will be held with family members of individuals at risk for type 2 diabetes. This audience was selected because research and past CDC efforts suggest family members (e.g., adult children, spouses, </w:t>
      </w:r>
      <w:proofErr w:type="gramStart"/>
      <w:r w:rsidR="00855191" w:rsidRPr="005712C0">
        <w:rPr>
          <w:rFonts w:asciiTheme="minorHAnsi" w:hAnsiTheme="minorHAnsi"/>
        </w:rPr>
        <w:t>other</w:t>
      </w:r>
      <w:proofErr w:type="gramEnd"/>
      <w:r w:rsidR="00855191" w:rsidRPr="005712C0">
        <w:rPr>
          <w:rFonts w:asciiTheme="minorHAnsi" w:hAnsiTheme="minorHAnsi"/>
        </w:rPr>
        <w:t xml:space="preserve"> relatives) are potential gatekeepers of diabetes prevention information for others in the</w:t>
      </w:r>
      <w:r>
        <w:rPr>
          <w:rFonts w:asciiTheme="minorHAnsi" w:hAnsiTheme="minorHAnsi"/>
        </w:rPr>
        <w:t xml:space="preserve"> </w:t>
      </w:r>
      <w:r w:rsidR="00855191" w:rsidRPr="005712C0">
        <w:rPr>
          <w:rFonts w:asciiTheme="minorHAnsi" w:hAnsiTheme="minorHAnsi"/>
        </w:rPr>
        <w:t>family at risk for type 2 diabetes. In other words, individuals who perhaps are not themselves at risk for diabetes may still be an audience for National DPP messages and materials as they may share this information with at-risk family members (e.g., parents, grandparents, aunts/uncles) they may be concerned about. Therefore, it will be important to explore the reactions of family members of at-risk individuals to messages. Although family members who may share information may not necessarily be Spanish-dominant themselves, given that the messages and concepts to be tested will be in Spanish, the individuals recruited will report either a preference for speaking and reading in Spanish or an equal preference for Spanish and English. All participants will report having a family member (e.g., parent, grandparent, son/daughter, brother/sister, aunt/uncle) ages 45–70 they believe is at risk for developing type 2 diabetes (e.g., is overweight/obese). All participants will be at least 18 years of age and no older than 70. We will also attempt to recruit a mix of men and women with low and moderate/hig</w:t>
      </w:r>
      <w:r w:rsidR="000B6D6D">
        <w:rPr>
          <w:rFonts w:asciiTheme="minorHAnsi" w:hAnsiTheme="minorHAnsi"/>
        </w:rPr>
        <w:t xml:space="preserve">h </w:t>
      </w:r>
      <w:r w:rsidR="00855191" w:rsidRPr="004014F3">
        <w:rPr>
          <w:rFonts w:asciiTheme="minorHAnsi" w:hAnsiTheme="minorHAnsi"/>
        </w:rPr>
        <w:lastRenderedPageBreak/>
        <w:t>acculturation.  Questions related to language have been included in the screener to help assess acculturation level</w:t>
      </w:r>
      <w:r w:rsidR="00855191">
        <w:rPr>
          <w:rFonts w:asciiTheme="minorHAnsi" w:hAnsiTheme="minorHAnsi"/>
        </w:rPr>
        <w:t>.</w:t>
      </w:r>
    </w:p>
    <w:p w14:paraId="5901A236" w14:textId="77777777" w:rsidR="00855191" w:rsidRDefault="00855191" w:rsidP="00855191">
      <w:pPr>
        <w:rPr>
          <w:rFonts w:asciiTheme="minorHAnsi" w:hAnsiTheme="minorHAnsi"/>
          <w:b/>
          <w:i/>
          <w:u w:val="single"/>
        </w:rPr>
      </w:pPr>
    </w:p>
    <w:p w14:paraId="2EB8E874" w14:textId="77777777" w:rsidR="00855191" w:rsidRPr="005712C0" w:rsidRDefault="00855191" w:rsidP="00855191">
      <w:pPr>
        <w:rPr>
          <w:rFonts w:asciiTheme="minorHAnsi" w:hAnsiTheme="minorHAnsi"/>
          <w:b/>
          <w:u w:val="single"/>
        </w:rPr>
      </w:pPr>
      <w:r w:rsidRPr="005712C0">
        <w:rPr>
          <w:rFonts w:asciiTheme="minorHAnsi" w:hAnsiTheme="minorHAnsi"/>
          <w:b/>
          <w:u w:val="single"/>
        </w:rPr>
        <w:t xml:space="preserve">Modes for Testing </w:t>
      </w:r>
    </w:p>
    <w:p w14:paraId="06BA8721" w14:textId="77777777" w:rsidR="00855191" w:rsidRPr="00013DBE" w:rsidRDefault="00855191" w:rsidP="00855191">
      <w:pPr>
        <w:rPr>
          <w:rFonts w:asciiTheme="minorHAnsi" w:hAnsiTheme="minorHAnsi"/>
          <w:b/>
          <w:sz w:val="22"/>
          <w:szCs w:val="22"/>
        </w:rPr>
      </w:pPr>
    </w:p>
    <w:p w14:paraId="3CDEC06D" w14:textId="7130089A" w:rsidR="00855191" w:rsidRPr="0020180E" w:rsidRDefault="00855191" w:rsidP="00855191">
      <w:pPr>
        <w:rPr>
          <w:rFonts w:asciiTheme="minorHAnsi" w:hAnsiTheme="minorHAnsi"/>
        </w:rPr>
      </w:pPr>
      <w:r w:rsidRPr="0020180E">
        <w:rPr>
          <w:rFonts w:asciiTheme="minorHAnsi" w:hAnsiTheme="minorHAnsi"/>
        </w:rPr>
        <w:t xml:space="preserve">The National DPP is proposing data collection using two modes of focus groups: in-person focus groups and remote focus groups using a telephone and a computer for simultaneous viewing of messages. After being screened and agreeing to participate, participants will be sent an email to which the information sheet is attached. </w:t>
      </w:r>
      <w:r w:rsidR="005712C0">
        <w:rPr>
          <w:rFonts w:asciiTheme="minorHAnsi" w:hAnsiTheme="minorHAnsi"/>
        </w:rPr>
        <w:t xml:space="preserve">See </w:t>
      </w:r>
      <w:r w:rsidR="005712C0" w:rsidRPr="005712C0">
        <w:rPr>
          <w:rFonts w:asciiTheme="minorHAnsi" w:hAnsiTheme="minorHAnsi"/>
          <w:b/>
        </w:rPr>
        <w:t>Appendix 1</w:t>
      </w:r>
      <w:r w:rsidR="005712C0">
        <w:rPr>
          <w:rFonts w:asciiTheme="minorHAnsi" w:hAnsiTheme="minorHAnsi"/>
        </w:rPr>
        <w:t xml:space="preserve"> for the screening tool.</w:t>
      </w:r>
    </w:p>
    <w:p w14:paraId="4888DB5B" w14:textId="77777777" w:rsidR="00855191" w:rsidRPr="0020180E" w:rsidRDefault="00855191" w:rsidP="00855191">
      <w:pPr>
        <w:rPr>
          <w:rFonts w:asciiTheme="minorHAnsi" w:hAnsiTheme="minorHAnsi"/>
        </w:rPr>
      </w:pPr>
    </w:p>
    <w:p w14:paraId="00A074E2" w14:textId="129D819A" w:rsidR="00855191" w:rsidRDefault="00855191" w:rsidP="005712C0">
      <w:pPr>
        <w:rPr>
          <w:rFonts w:asciiTheme="minorHAnsi" w:hAnsiTheme="minorHAnsi"/>
        </w:rPr>
      </w:pPr>
      <w:r w:rsidRPr="005712C0">
        <w:rPr>
          <w:rFonts w:asciiTheme="minorHAnsi" w:hAnsiTheme="minorHAnsi"/>
        </w:rPr>
        <w:t>For in-person focus groups</w:t>
      </w:r>
      <w:r w:rsidR="005712C0">
        <w:rPr>
          <w:rFonts w:asciiTheme="minorHAnsi" w:hAnsiTheme="minorHAnsi"/>
        </w:rPr>
        <w:t>, which will take place with the primary and secondary audience (persons at risk for type 2 diabetes and family members of persons at risk for type 2 diabetes)</w:t>
      </w:r>
      <w:r w:rsidRPr="005712C0">
        <w:rPr>
          <w:rFonts w:asciiTheme="minorHAnsi" w:hAnsiTheme="minorHAnsi"/>
        </w:rPr>
        <w:t xml:space="preserve">, messages will be presented on separate sheets of paper which will be passed out to the participants (see subsequent pages for how each of the messages will be presented to participants).  See </w:t>
      </w:r>
      <w:r w:rsidRPr="005712C0">
        <w:rPr>
          <w:rFonts w:asciiTheme="minorHAnsi" w:hAnsiTheme="minorHAnsi"/>
          <w:b/>
        </w:rPr>
        <w:t>Append</w:t>
      </w:r>
      <w:r w:rsidR="005712C0">
        <w:rPr>
          <w:rFonts w:asciiTheme="minorHAnsi" w:hAnsiTheme="minorHAnsi"/>
          <w:b/>
        </w:rPr>
        <w:t>ices</w:t>
      </w:r>
      <w:r w:rsidRPr="005712C0">
        <w:rPr>
          <w:rFonts w:asciiTheme="minorHAnsi" w:hAnsiTheme="minorHAnsi"/>
          <w:b/>
        </w:rPr>
        <w:t xml:space="preserve"> </w:t>
      </w:r>
      <w:r w:rsidR="005712C0">
        <w:rPr>
          <w:rFonts w:asciiTheme="minorHAnsi" w:hAnsiTheme="minorHAnsi"/>
          <w:b/>
        </w:rPr>
        <w:t>3</w:t>
      </w:r>
      <w:r w:rsidR="005712C0" w:rsidRPr="005712C0">
        <w:rPr>
          <w:rFonts w:asciiTheme="minorHAnsi" w:hAnsiTheme="minorHAnsi"/>
        </w:rPr>
        <w:t xml:space="preserve"> (persons at risk)</w:t>
      </w:r>
      <w:r w:rsidR="005712C0">
        <w:rPr>
          <w:rFonts w:asciiTheme="minorHAnsi" w:hAnsiTheme="minorHAnsi"/>
          <w:b/>
        </w:rPr>
        <w:t xml:space="preserve"> </w:t>
      </w:r>
      <w:r w:rsidR="005712C0" w:rsidRPr="005712C0">
        <w:rPr>
          <w:rFonts w:asciiTheme="minorHAnsi" w:hAnsiTheme="minorHAnsi"/>
        </w:rPr>
        <w:t xml:space="preserve">and </w:t>
      </w:r>
      <w:r w:rsidR="005712C0">
        <w:rPr>
          <w:rFonts w:asciiTheme="minorHAnsi" w:hAnsiTheme="minorHAnsi"/>
          <w:b/>
        </w:rPr>
        <w:t>5</w:t>
      </w:r>
      <w:r w:rsidR="005712C0" w:rsidRPr="005712C0">
        <w:rPr>
          <w:rFonts w:asciiTheme="minorHAnsi" w:hAnsiTheme="minorHAnsi"/>
        </w:rPr>
        <w:t xml:space="preserve"> (family members) </w:t>
      </w:r>
      <w:r w:rsidRPr="005712C0">
        <w:rPr>
          <w:rFonts w:asciiTheme="minorHAnsi" w:hAnsiTheme="minorHAnsi"/>
        </w:rPr>
        <w:t>for further details about procedures that will be followed for in-person focus group participants.</w:t>
      </w:r>
    </w:p>
    <w:p w14:paraId="48089242" w14:textId="77777777" w:rsidR="00E0405D" w:rsidRPr="005712C0" w:rsidRDefault="00E0405D" w:rsidP="005712C0">
      <w:pPr>
        <w:rPr>
          <w:rFonts w:asciiTheme="minorHAnsi" w:hAnsiTheme="minorHAnsi"/>
        </w:rPr>
      </w:pPr>
    </w:p>
    <w:p w14:paraId="26B0B8F3" w14:textId="4FD0BD6C" w:rsidR="00855191" w:rsidRPr="005712C0" w:rsidRDefault="00855191" w:rsidP="005712C0">
      <w:pPr>
        <w:spacing w:after="200"/>
        <w:rPr>
          <w:rFonts w:asciiTheme="minorHAnsi" w:hAnsiTheme="minorHAnsi"/>
        </w:rPr>
      </w:pPr>
      <w:r w:rsidRPr="005712C0">
        <w:rPr>
          <w:rFonts w:asciiTheme="minorHAnsi" w:hAnsiTheme="minorHAnsi"/>
        </w:rPr>
        <w:t xml:space="preserve">For remote focus groups, discussions will be conducted remotely using a toll-free telephone line and by computer using the GoToMeeting web conferencing service. Instructions on how to join the discussion by phone and computer will be provided to the participants by e-mail. During the focus group, messages will be presented to the participants in a fashion similar to how they are shown to the in-person focus group participants, except that the remote participants will be viewing them on their computer screen.  See </w:t>
      </w:r>
      <w:r w:rsidRPr="005712C0">
        <w:rPr>
          <w:rFonts w:asciiTheme="minorHAnsi" w:hAnsiTheme="minorHAnsi"/>
          <w:b/>
        </w:rPr>
        <w:t xml:space="preserve">Appendix </w:t>
      </w:r>
      <w:r w:rsidR="005712C0">
        <w:rPr>
          <w:rFonts w:asciiTheme="minorHAnsi" w:hAnsiTheme="minorHAnsi"/>
          <w:b/>
        </w:rPr>
        <w:t>4</w:t>
      </w:r>
      <w:r w:rsidRPr="005712C0">
        <w:rPr>
          <w:rFonts w:asciiTheme="minorHAnsi" w:hAnsiTheme="minorHAnsi"/>
        </w:rPr>
        <w:t xml:space="preserve"> for further details about procedures that will be followed for remote focus groups and for screenshots of how messages will be viewed by remote participants.</w:t>
      </w:r>
    </w:p>
    <w:p w14:paraId="68683784" w14:textId="77777777" w:rsidR="000107F6" w:rsidRDefault="000107F6" w:rsidP="000107F6">
      <w:pPr>
        <w:rPr>
          <w:rFonts w:asciiTheme="minorHAnsi" w:hAnsiTheme="minorHAnsi"/>
          <w:b/>
          <w:i/>
        </w:rPr>
      </w:pPr>
    </w:p>
    <w:p w14:paraId="6C6E0AA8" w14:textId="77777777" w:rsidR="00855191" w:rsidRPr="003306D2" w:rsidRDefault="00855191" w:rsidP="000107F6">
      <w:pPr>
        <w:rPr>
          <w:rFonts w:asciiTheme="minorHAnsi" w:hAnsiTheme="minorHAnsi"/>
          <w:b/>
          <w:u w:val="single"/>
        </w:rPr>
      </w:pPr>
      <w:r w:rsidRPr="003306D2">
        <w:rPr>
          <w:rFonts w:asciiTheme="minorHAnsi" w:hAnsiTheme="minorHAnsi"/>
          <w:b/>
          <w:u w:val="single"/>
        </w:rPr>
        <w:t>Overview of Focus Groups</w:t>
      </w:r>
    </w:p>
    <w:p w14:paraId="1D01BCCA" w14:textId="77777777" w:rsidR="00855191" w:rsidRDefault="00855191" w:rsidP="00855191">
      <w:pPr>
        <w:rPr>
          <w:rFonts w:asciiTheme="minorHAnsi" w:hAnsiTheme="minorHAnsi"/>
          <w:sz w:val="22"/>
          <w:szCs w:val="22"/>
        </w:rPr>
      </w:pPr>
    </w:p>
    <w:tbl>
      <w:tblPr>
        <w:tblStyle w:val="TableGrid"/>
        <w:tblW w:w="9350" w:type="dxa"/>
        <w:jc w:val="center"/>
        <w:tblLook w:val="04A0" w:firstRow="1" w:lastRow="0" w:firstColumn="1" w:lastColumn="0" w:noHBand="0" w:noVBand="1"/>
      </w:tblPr>
      <w:tblGrid>
        <w:gridCol w:w="4405"/>
        <w:gridCol w:w="1170"/>
        <w:gridCol w:w="900"/>
        <w:gridCol w:w="1440"/>
        <w:gridCol w:w="1435"/>
      </w:tblGrid>
      <w:tr w:rsidR="00855191" w14:paraId="548B897F" w14:textId="77777777" w:rsidTr="005712C0">
        <w:trPr>
          <w:tblHeader/>
          <w:jc w:val="center"/>
        </w:trPr>
        <w:tc>
          <w:tcPr>
            <w:tcW w:w="4405" w:type="dxa"/>
          </w:tcPr>
          <w:p w14:paraId="66B46108" w14:textId="77777777" w:rsidR="00855191" w:rsidRDefault="00855191" w:rsidP="00A503E7">
            <w:pPr>
              <w:rPr>
                <w:rFonts w:asciiTheme="minorHAnsi" w:hAnsiTheme="minorHAnsi"/>
                <w:sz w:val="22"/>
                <w:szCs w:val="22"/>
              </w:rPr>
            </w:pPr>
            <w:r>
              <w:rPr>
                <w:rFonts w:asciiTheme="minorHAnsi" w:hAnsiTheme="minorHAnsi"/>
                <w:sz w:val="22"/>
                <w:szCs w:val="22"/>
              </w:rPr>
              <w:t>Type of Respondents</w:t>
            </w:r>
          </w:p>
        </w:tc>
        <w:tc>
          <w:tcPr>
            <w:tcW w:w="1170" w:type="dxa"/>
          </w:tcPr>
          <w:p w14:paraId="30FB4CF8" w14:textId="77777777" w:rsidR="00855191" w:rsidRDefault="00855191" w:rsidP="00A503E7">
            <w:pPr>
              <w:jc w:val="center"/>
              <w:rPr>
                <w:rFonts w:asciiTheme="minorHAnsi" w:hAnsiTheme="minorHAnsi"/>
                <w:sz w:val="22"/>
                <w:szCs w:val="22"/>
              </w:rPr>
            </w:pPr>
            <w:r>
              <w:rPr>
                <w:rFonts w:asciiTheme="minorHAnsi" w:hAnsiTheme="minorHAnsi"/>
                <w:sz w:val="22"/>
                <w:szCs w:val="22"/>
              </w:rPr>
              <w:t>Type of Focus Group</w:t>
            </w:r>
          </w:p>
        </w:tc>
        <w:tc>
          <w:tcPr>
            <w:tcW w:w="900" w:type="dxa"/>
          </w:tcPr>
          <w:p w14:paraId="33C49080" w14:textId="77777777" w:rsidR="00855191" w:rsidRDefault="00855191" w:rsidP="00A503E7">
            <w:pPr>
              <w:jc w:val="center"/>
              <w:rPr>
                <w:rFonts w:asciiTheme="minorHAnsi" w:hAnsiTheme="minorHAnsi"/>
                <w:sz w:val="22"/>
                <w:szCs w:val="22"/>
              </w:rPr>
            </w:pPr>
            <w:r>
              <w:rPr>
                <w:rFonts w:asciiTheme="minorHAnsi" w:hAnsiTheme="minorHAnsi"/>
                <w:sz w:val="22"/>
                <w:szCs w:val="22"/>
              </w:rPr>
              <w:t>No. Focus Groups</w:t>
            </w:r>
          </w:p>
        </w:tc>
        <w:tc>
          <w:tcPr>
            <w:tcW w:w="1440" w:type="dxa"/>
          </w:tcPr>
          <w:p w14:paraId="16E84024" w14:textId="244BFFBA" w:rsidR="00855191" w:rsidRDefault="00855191" w:rsidP="00E0405D">
            <w:pPr>
              <w:jc w:val="center"/>
              <w:rPr>
                <w:rFonts w:asciiTheme="minorHAnsi" w:hAnsiTheme="minorHAnsi"/>
                <w:sz w:val="22"/>
                <w:szCs w:val="22"/>
              </w:rPr>
            </w:pPr>
            <w:r>
              <w:rPr>
                <w:rFonts w:asciiTheme="minorHAnsi" w:hAnsiTheme="minorHAnsi"/>
                <w:sz w:val="22"/>
                <w:szCs w:val="22"/>
              </w:rPr>
              <w:t xml:space="preserve">No. </w:t>
            </w:r>
            <w:r w:rsidR="00E0405D">
              <w:rPr>
                <w:rFonts w:asciiTheme="minorHAnsi" w:hAnsiTheme="minorHAnsi"/>
                <w:sz w:val="22"/>
                <w:szCs w:val="22"/>
              </w:rPr>
              <w:t>Respondent</w:t>
            </w:r>
            <w:r>
              <w:rPr>
                <w:rFonts w:asciiTheme="minorHAnsi" w:hAnsiTheme="minorHAnsi"/>
                <w:sz w:val="22"/>
                <w:szCs w:val="22"/>
              </w:rPr>
              <w:t>s per Group</w:t>
            </w:r>
          </w:p>
        </w:tc>
        <w:tc>
          <w:tcPr>
            <w:tcW w:w="1435" w:type="dxa"/>
          </w:tcPr>
          <w:p w14:paraId="66F15D0C" w14:textId="77777777" w:rsidR="00855191" w:rsidRDefault="00855191" w:rsidP="00A503E7">
            <w:pPr>
              <w:jc w:val="center"/>
              <w:rPr>
                <w:rFonts w:asciiTheme="minorHAnsi" w:hAnsiTheme="minorHAnsi"/>
                <w:sz w:val="22"/>
                <w:szCs w:val="22"/>
              </w:rPr>
            </w:pPr>
            <w:r>
              <w:rPr>
                <w:rFonts w:asciiTheme="minorHAnsi" w:hAnsiTheme="minorHAnsi"/>
                <w:sz w:val="22"/>
                <w:szCs w:val="22"/>
              </w:rPr>
              <w:t>Total No. Respondents</w:t>
            </w:r>
          </w:p>
        </w:tc>
      </w:tr>
      <w:tr w:rsidR="00855191" w14:paraId="62C28A2E" w14:textId="77777777" w:rsidTr="00A503E7">
        <w:trPr>
          <w:jc w:val="center"/>
        </w:trPr>
        <w:tc>
          <w:tcPr>
            <w:tcW w:w="4405" w:type="dxa"/>
          </w:tcPr>
          <w:p w14:paraId="0826BBCF" w14:textId="77777777" w:rsidR="00855191" w:rsidRDefault="00855191" w:rsidP="00A503E7">
            <w:pPr>
              <w:rPr>
                <w:rFonts w:asciiTheme="minorHAnsi" w:hAnsiTheme="minorHAnsi"/>
                <w:sz w:val="22"/>
                <w:szCs w:val="22"/>
              </w:rPr>
            </w:pPr>
            <w:r>
              <w:rPr>
                <w:rFonts w:asciiTheme="minorHAnsi" w:hAnsiTheme="minorHAnsi"/>
                <w:sz w:val="22"/>
                <w:szCs w:val="22"/>
              </w:rPr>
              <w:t>Hispanic men ages 45-70 who are at risk of developing type 2 diabetes and speak solely Spanish or prefer to speak Spanish</w:t>
            </w:r>
          </w:p>
        </w:tc>
        <w:tc>
          <w:tcPr>
            <w:tcW w:w="1170" w:type="dxa"/>
            <w:vAlign w:val="center"/>
          </w:tcPr>
          <w:p w14:paraId="50FFB28A" w14:textId="77777777" w:rsidR="00855191" w:rsidRDefault="00855191" w:rsidP="00A503E7">
            <w:pPr>
              <w:jc w:val="center"/>
              <w:rPr>
                <w:rFonts w:asciiTheme="minorHAnsi" w:hAnsiTheme="minorHAnsi"/>
                <w:sz w:val="22"/>
                <w:szCs w:val="22"/>
              </w:rPr>
            </w:pPr>
            <w:r>
              <w:rPr>
                <w:rFonts w:asciiTheme="minorHAnsi" w:hAnsiTheme="minorHAnsi"/>
                <w:sz w:val="22"/>
                <w:szCs w:val="22"/>
              </w:rPr>
              <w:t>In person</w:t>
            </w:r>
          </w:p>
        </w:tc>
        <w:tc>
          <w:tcPr>
            <w:tcW w:w="900" w:type="dxa"/>
            <w:vAlign w:val="center"/>
          </w:tcPr>
          <w:p w14:paraId="7C7136C4" w14:textId="77777777" w:rsidR="00855191" w:rsidRDefault="00855191" w:rsidP="00A503E7">
            <w:pPr>
              <w:jc w:val="center"/>
              <w:rPr>
                <w:rFonts w:asciiTheme="minorHAnsi" w:hAnsiTheme="minorHAnsi"/>
                <w:sz w:val="22"/>
                <w:szCs w:val="22"/>
              </w:rPr>
            </w:pPr>
            <w:r>
              <w:rPr>
                <w:rFonts w:asciiTheme="minorHAnsi" w:hAnsiTheme="minorHAnsi"/>
                <w:sz w:val="22"/>
                <w:szCs w:val="22"/>
              </w:rPr>
              <w:t>3*</w:t>
            </w:r>
          </w:p>
        </w:tc>
        <w:tc>
          <w:tcPr>
            <w:tcW w:w="1440" w:type="dxa"/>
            <w:vAlign w:val="center"/>
          </w:tcPr>
          <w:p w14:paraId="1E4EE6DB" w14:textId="77777777" w:rsidR="00855191" w:rsidRDefault="00855191" w:rsidP="00A503E7">
            <w:pPr>
              <w:jc w:val="center"/>
              <w:rPr>
                <w:rFonts w:asciiTheme="minorHAnsi" w:hAnsiTheme="minorHAnsi"/>
                <w:sz w:val="22"/>
                <w:szCs w:val="22"/>
              </w:rPr>
            </w:pPr>
            <w:r>
              <w:rPr>
                <w:rFonts w:asciiTheme="minorHAnsi" w:hAnsiTheme="minorHAnsi"/>
                <w:sz w:val="22"/>
                <w:szCs w:val="22"/>
              </w:rPr>
              <w:t>10</w:t>
            </w:r>
          </w:p>
        </w:tc>
        <w:tc>
          <w:tcPr>
            <w:tcW w:w="1435" w:type="dxa"/>
            <w:vAlign w:val="center"/>
          </w:tcPr>
          <w:p w14:paraId="53FB1787" w14:textId="77777777" w:rsidR="00855191" w:rsidRDefault="00855191" w:rsidP="00A503E7">
            <w:pPr>
              <w:jc w:val="center"/>
              <w:rPr>
                <w:rFonts w:asciiTheme="minorHAnsi" w:hAnsiTheme="minorHAnsi"/>
                <w:sz w:val="22"/>
                <w:szCs w:val="22"/>
              </w:rPr>
            </w:pPr>
            <w:r>
              <w:rPr>
                <w:rFonts w:asciiTheme="minorHAnsi" w:hAnsiTheme="minorHAnsi"/>
                <w:sz w:val="22"/>
                <w:szCs w:val="22"/>
              </w:rPr>
              <w:t>30</w:t>
            </w:r>
          </w:p>
        </w:tc>
      </w:tr>
      <w:tr w:rsidR="00855191" w14:paraId="49074D34" w14:textId="77777777" w:rsidTr="00A503E7">
        <w:trPr>
          <w:jc w:val="center"/>
        </w:trPr>
        <w:tc>
          <w:tcPr>
            <w:tcW w:w="4405" w:type="dxa"/>
          </w:tcPr>
          <w:p w14:paraId="5C3BF561" w14:textId="77777777" w:rsidR="00855191" w:rsidRDefault="00855191" w:rsidP="00A503E7">
            <w:pPr>
              <w:rPr>
                <w:rFonts w:asciiTheme="minorHAnsi" w:hAnsiTheme="minorHAnsi"/>
                <w:sz w:val="22"/>
                <w:szCs w:val="22"/>
              </w:rPr>
            </w:pPr>
            <w:r>
              <w:rPr>
                <w:rFonts w:asciiTheme="minorHAnsi" w:hAnsiTheme="minorHAnsi"/>
                <w:sz w:val="22"/>
                <w:szCs w:val="22"/>
              </w:rPr>
              <w:t>Hispanic women ages 45-70 who are at risk of developing type 2 diabetes and speak solely Spanish or prefer to speak Spanish</w:t>
            </w:r>
          </w:p>
        </w:tc>
        <w:tc>
          <w:tcPr>
            <w:tcW w:w="1170" w:type="dxa"/>
            <w:vAlign w:val="center"/>
          </w:tcPr>
          <w:p w14:paraId="03416EF2" w14:textId="77777777" w:rsidR="00855191" w:rsidRDefault="00855191" w:rsidP="00A503E7">
            <w:pPr>
              <w:jc w:val="center"/>
              <w:rPr>
                <w:rFonts w:asciiTheme="minorHAnsi" w:hAnsiTheme="minorHAnsi"/>
                <w:sz w:val="22"/>
                <w:szCs w:val="22"/>
              </w:rPr>
            </w:pPr>
            <w:r>
              <w:rPr>
                <w:rFonts w:asciiTheme="minorHAnsi" w:hAnsiTheme="minorHAnsi"/>
                <w:sz w:val="22"/>
                <w:szCs w:val="22"/>
              </w:rPr>
              <w:t>In person</w:t>
            </w:r>
          </w:p>
        </w:tc>
        <w:tc>
          <w:tcPr>
            <w:tcW w:w="900" w:type="dxa"/>
            <w:vAlign w:val="center"/>
          </w:tcPr>
          <w:p w14:paraId="0049F230" w14:textId="77777777" w:rsidR="00855191" w:rsidRDefault="00855191" w:rsidP="00A503E7">
            <w:pPr>
              <w:jc w:val="center"/>
              <w:rPr>
                <w:rFonts w:asciiTheme="minorHAnsi" w:hAnsiTheme="minorHAnsi"/>
                <w:sz w:val="22"/>
                <w:szCs w:val="22"/>
              </w:rPr>
            </w:pPr>
            <w:r>
              <w:rPr>
                <w:rFonts w:asciiTheme="minorHAnsi" w:hAnsiTheme="minorHAnsi"/>
                <w:sz w:val="22"/>
                <w:szCs w:val="22"/>
              </w:rPr>
              <w:t>3*</w:t>
            </w:r>
          </w:p>
        </w:tc>
        <w:tc>
          <w:tcPr>
            <w:tcW w:w="1440" w:type="dxa"/>
            <w:vAlign w:val="center"/>
          </w:tcPr>
          <w:p w14:paraId="2FDCDEBA" w14:textId="77777777" w:rsidR="00855191" w:rsidRDefault="00855191" w:rsidP="00A503E7">
            <w:pPr>
              <w:jc w:val="center"/>
              <w:rPr>
                <w:rFonts w:asciiTheme="minorHAnsi" w:hAnsiTheme="minorHAnsi"/>
                <w:sz w:val="22"/>
                <w:szCs w:val="22"/>
              </w:rPr>
            </w:pPr>
            <w:r>
              <w:rPr>
                <w:rFonts w:asciiTheme="minorHAnsi" w:hAnsiTheme="minorHAnsi"/>
                <w:sz w:val="22"/>
                <w:szCs w:val="22"/>
              </w:rPr>
              <w:t>10</w:t>
            </w:r>
          </w:p>
        </w:tc>
        <w:tc>
          <w:tcPr>
            <w:tcW w:w="1435" w:type="dxa"/>
            <w:vAlign w:val="center"/>
          </w:tcPr>
          <w:p w14:paraId="47595464" w14:textId="77777777" w:rsidR="00855191" w:rsidRDefault="00855191" w:rsidP="00A503E7">
            <w:pPr>
              <w:jc w:val="center"/>
              <w:rPr>
                <w:rFonts w:asciiTheme="minorHAnsi" w:hAnsiTheme="minorHAnsi"/>
                <w:sz w:val="22"/>
                <w:szCs w:val="22"/>
              </w:rPr>
            </w:pPr>
            <w:r>
              <w:rPr>
                <w:rFonts w:asciiTheme="minorHAnsi" w:hAnsiTheme="minorHAnsi"/>
                <w:sz w:val="22"/>
                <w:szCs w:val="22"/>
              </w:rPr>
              <w:t>30</w:t>
            </w:r>
          </w:p>
        </w:tc>
      </w:tr>
      <w:tr w:rsidR="00855191" w14:paraId="361EEBBA" w14:textId="77777777" w:rsidTr="00A503E7">
        <w:trPr>
          <w:jc w:val="center"/>
        </w:trPr>
        <w:tc>
          <w:tcPr>
            <w:tcW w:w="4405" w:type="dxa"/>
          </w:tcPr>
          <w:p w14:paraId="3829ABAB" w14:textId="77777777" w:rsidR="00855191" w:rsidRDefault="00855191" w:rsidP="00A503E7">
            <w:pPr>
              <w:rPr>
                <w:rFonts w:asciiTheme="minorHAnsi" w:hAnsiTheme="minorHAnsi"/>
                <w:sz w:val="22"/>
                <w:szCs w:val="22"/>
              </w:rPr>
            </w:pPr>
            <w:r>
              <w:rPr>
                <w:rFonts w:asciiTheme="minorHAnsi" w:hAnsiTheme="minorHAnsi"/>
                <w:sz w:val="22"/>
                <w:szCs w:val="22"/>
              </w:rPr>
              <w:t>Hispanic men and women ages 45-70 who are at risk of developing type 2 diabetes and speak solely Spanish or prefer to speak Spanish</w:t>
            </w:r>
          </w:p>
        </w:tc>
        <w:tc>
          <w:tcPr>
            <w:tcW w:w="1170" w:type="dxa"/>
            <w:vAlign w:val="center"/>
          </w:tcPr>
          <w:p w14:paraId="31AB888D" w14:textId="77777777" w:rsidR="00855191" w:rsidRDefault="00855191" w:rsidP="00A503E7">
            <w:pPr>
              <w:jc w:val="center"/>
              <w:rPr>
                <w:rFonts w:asciiTheme="minorHAnsi" w:hAnsiTheme="minorHAnsi"/>
                <w:sz w:val="22"/>
                <w:szCs w:val="22"/>
              </w:rPr>
            </w:pPr>
            <w:r>
              <w:rPr>
                <w:rFonts w:asciiTheme="minorHAnsi" w:hAnsiTheme="minorHAnsi"/>
                <w:sz w:val="22"/>
                <w:szCs w:val="22"/>
              </w:rPr>
              <w:t>Online</w:t>
            </w:r>
          </w:p>
        </w:tc>
        <w:tc>
          <w:tcPr>
            <w:tcW w:w="900" w:type="dxa"/>
            <w:vAlign w:val="center"/>
          </w:tcPr>
          <w:p w14:paraId="1CA2635D" w14:textId="77777777" w:rsidR="00855191" w:rsidRDefault="00855191" w:rsidP="00A503E7">
            <w:pPr>
              <w:jc w:val="center"/>
              <w:rPr>
                <w:rFonts w:asciiTheme="minorHAnsi" w:hAnsiTheme="minorHAnsi"/>
                <w:sz w:val="22"/>
                <w:szCs w:val="22"/>
              </w:rPr>
            </w:pPr>
            <w:r>
              <w:rPr>
                <w:rFonts w:asciiTheme="minorHAnsi" w:hAnsiTheme="minorHAnsi"/>
                <w:sz w:val="22"/>
                <w:szCs w:val="22"/>
              </w:rPr>
              <w:t>1</w:t>
            </w:r>
          </w:p>
        </w:tc>
        <w:tc>
          <w:tcPr>
            <w:tcW w:w="1440" w:type="dxa"/>
            <w:vAlign w:val="center"/>
          </w:tcPr>
          <w:p w14:paraId="1CCAADF8" w14:textId="77777777" w:rsidR="00855191" w:rsidRDefault="00855191" w:rsidP="00A503E7">
            <w:pPr>
              <w:jc w:val="center"/>
              <w:rPr>
                <w:rFonts w:asciiTheme="minorHAnsi" w:hAnsiTheme="minorHAnsi"/>
                <w:sz w:val="22"/>
                <w:szCs w:val="22"/>
              </w:rPr>
            </w:pPr>
            <w:r>
              <w:rPr>
                <w:rFonts w:asciiTheme="minorHAnsi" w:hAnsiTheme="minorHAnsi"/>
                <w:sz w:val="22"/>
                <w:szCs w:val="22"/>
              </w:rPr>
              <w:t>10</w:t>
            </w:r>
          </w:p>
        </w:tc>
        <w:tc>
          <w:tcPr>
            <w:tcW w:w="1435" w:type="dxa"/>
            <w:vAlign w:val="center"/>
          </w:tcPr>
          <w:p w14:paraId="2680CC00" w14:textId="77777777" w:rsidR="00855191" w:rsidRDefault="00855191" w:rsidP="00A503E7">
            <w:pPr>
              <w:jc w:val="center"/>
              <w:rPr>
                <w:rFonts w:asciiTheme="minorHAnsi" w:hAnsiTheme="minorHAnsi"/>
                <w:sz w:val="22"/>
                <w:szCs w:val="22"/>
              </w:rPr>
            </w:pPr>
            <w:r>
              <w:rPr>
                <w:rFonts w:asciiTheme="minorHAnsi" w:hAnsiTheme="minorHAnsi"/>
                <w:sz w:val="22"/>
                <w:szCs w:val="22"/>
              </w:rPr>
              <w:t>10</w:t>
            </w:r>
          </w:p>
        </w:tc>
      </w:tr>
      <w:tr w:rsidR="000A0D81" w14:paraId="354F714A" w14:textId="77777777" w:rsidTr="00A503E7">
        <w:trPr>
          <w:jc w:val="center"/>
        </w:trPr>
        <w:tc>
          <w:tcPr>
            <w:tcW w:w="4405" w:type="dxa"/>
          </w:tcPr>
          <w:p w14:paraId="1E362964" w14:textId="14F0A851" w:rsidR="000A0D81" w:rsidRDefault="000A0D81" w:rsidP="000A0D81">
            <w:pPr>
              <w:rPr>
                <w:rFonts w:asciiTheme="minorHAnsi" w:hAnsiTheme="minorHAnsi"/>
                <w:sz w:val="22"/>
                <w:szCs w:val="22"/>
              </w:rPr>
            </w:pPr>
            <w:r>
              <w:rPr>
                <w:rFonts w:asciiTheme="minorHAnsi" w:hAnsiTheme="minorHAnsi"/>
                <w:sz w:val="22"/>
                <w:szCs w:val="22"/>
              </w:rPr>
              <w:t>Family members, ages 18-70, of Hispanic men and women ages 45-70 who are at risk of developing type 2 diabetes and speak solely Spanish or prefer to speak Spanish</w:t>
            </w:r>
          </w:p>
        </w:tc>
        <w:tc>
          <w:tcPr>
            <w:tcW w:w="1170" w:type="dxa"/>
            <w:vAlign w:val="center"/>
          </w:tcPr>
          <w:p w14:paraId="1EDEAEE2" w14:textId="6F75F800" w:rsidR="000A0D81" w:rsidRDefault="000A0D81" w:rsidP="000A0D81">
            <w:pPr>
              <w:jc w:val="center"/>
              <w:rPr>
                <w:rFonts w:asciiTheme="minorHAnsi" w:hAnsiTheme="minorHAnsi"/>
                <w:sz w:val="22"/>
                <w:szCs w:val="22"/>
              </w:rPr>
            </w:pPr>
            <w:r>
              <w:rPr>
                <w:rFonts w:asciiTheme="minorHAnsi" w:hAnsiTheme="minorHAnsi"/>
                <w:sz w:val="22"/>
                <w:szCs w:val="22"/>
              </w:rPr>
              <w:t>In person</w:t>
            </w:r>
          </w:p>
        </w:tc>
        <w:tc>
          <w:tcPr>
            <w:tcW w:w="900" w:type="dxa"/>
            <w:vAlign w:val="center"/>
          </w:tcPr>
          <w:p w14:paraId="5FE7C780" w14:textId="1BB818A3" w:rsidR="000A0D81" w:rsidRDefault="000A0D81" w:rsidP="000A0D81">
            <w:pPr>
              <w:jc w:val="center"/>
              <w:rPr>
                <w:rFonts w:asciiTheme="minorHAnsi" w:hAnsiTheme="minorHAnsi"/>
                <w:sz w:val="22"/>
                <w:szCs w:val="22"/>
              </w:rPr>
            </w:pPr>
            <w:r>
              <w:rPr>
                <w:rFonts w:asciiTheme="minorHAnsi" w:hAnsiTheme="minorHAnsi"/>
                <w:sz w:val="22"/>
                <w:szCs w:val="22"/>
              </w:rPr>
              <w:t>2</w:t>
            </w:r>
          </w:p>
        </w:tc>
        <w:tc>
          <w:tcPr>
            <w:tcW w:w="1440" w:type="dxa"/>
            <w:vAlign w:val="center"/>
          </w:tcPr>
          <w:p w14:paraId="59DD6A91" w14:textId="0095DBD7" w:rsidR="000A0D81" w:rsidRDefault="000A0D81" w:rsidP="000A0D81">
            <w:pPr>
              <w:jc w:val="center"/>
              <w:rPr>
                <w:rFonts w:asciiTheme="minorHAnsi" w:hAnsiTheme="minorHAnsi"/>
                <w:sz w:val="22"/>
                <w:szCs w:val="22"/>
              </w:rPr>
            </w:pPr>
            <w:r>
              <w:rPr>
                <w:rFonts w:asciiTheme="minorHAnsi" w:hAnsiTheme="minorHAnsi"/>
                <w:sz w:val="22"/>
                <w:szCs w:val="22"/>
              </w:rPr>
              <w:t>10</w:t>
            </w:r>
          </w:p>
        </w:tc>
        <w:tc>
          <w:tcPr>
            <w:tcW w:w="1435" w:type="dxa"/>
            <w:vAlign w:val="center"/>
          </w:tcPr>
          <w:p w14:paraId="1E4E1A30" w14:textId="101F8A8B" w:rsidR="000A0D81" w:rsidRDefault="000A0D81" w:rsidP="000A0D81">
            <w:pPr>
              <w:jc w:val="center"/>
              <w:rPr>
                <w:rFonts w:asciiTheme="minorHAnsi" w:hAnsiTheme="minorHAnsi"/>
                <w:sz w:val="22"/>
                <w:szCs w:val="22"/>
              </w:rPr>
            </w:pPr>
            <w:r>
              <w:rPr>
                <w:rFonts w:asciiTheme="minorHAnsi" w:hAnsiTheme="minorHAnsi"/>
                <w:sz w:val="22"/>
                <w:szCs w:val="22"/>
              </w:rPr>
              <w:t>20</w:t>
            </w:r>
          </w:p>
        </w:tc>
      </w:tr>
      <w:tr w:rsidR="000A0D81" w14:paraId="363E23E7" w14:textId="77777777" w:rsidTr="00A503E7">
        <w:trPr>
          <w:jc w:val="center"/>
        </w:trPr>
        <w:tc>
          <w:tcPr>
            <w:tcW w:w="4405" w:type="dxa"/>
          </w:tcPr>
          <w:p w14:paraId="56C049C8" w14:textId="08F42219" w:rsidR="000A0D81" w:rsidRDefault="000A0D81" w:rsidP="000A0D81">
            <w:pPr>
              <w:jc w:val="right"/>
              <w:rPr>
                <w:rFonts w:asciiTheme="minorHAnsi" w:hAnsiTheme="minorHAnsi"/>
                <w:sz w:val="22"/>
                <w:szCs w:val="22"/>
              </w:rPr>
            </w:pPr>
            <w:r>
              <w:rPr>
                <w:rFonts w:asciiTheme="minorHAnsi" w:hAnsiTheme="minorHAnsi"/>
                <w:sz w:val="22"/>
                <w:szCs w:val="22"/>
              </w:rPr>
              <w:lastRenderedPageBreak/>
              <w:t>TOTAL</w:t>
            </w:r>
          </w:p>
        </w:tc>
        <w:tc>
          <w:tcPr>
            <w:tcW w:w="1170" w:type="dxa"/>
            <w:vAlign w:val="center"/>
          </w:tcPr>
          <w:p w14:paraId="29DB5D7E" w14:textId="77777777" w:rsidR="000A0D81" w:rsidRDefault="000A0D81" w:rsidP="000A0D81">
            <w:pPr>
              <w:jc w:val="center"/>
              <w:rPr>
                <w:rFonts w:asciiTheme="minorHAnsi" w:hAnsiTheme="minorHAnsi"/>
                <w:sz w:val="22"/>
                <w:szCs w:val="22"/>
              </w:rPr>
            </w:pPr>
          </w:p>
        </w:tc>
        <w:tc>
          <w:tcPr>
            <w:tcW w:w="900" w:type="dxa"/>
            <w:vAlign w:val="center"/>
          </w:tcPr>
          <w:p w14:paraId="5F9E6A76" w14:textId="18CCD002" w:rsidR="000A0D81" w:rsidRDefault="000A0D81" w:rsidP="000A0D81">
            <w:pPr>
              <w:jc w:val="center"/>
              <w:rPr>
                <w:rFonts w:asciiTheme="minorHAnsi" w:hAnsiTheme="minorHAnsi"/>
                <w:sz w:val="22"/>
                <w:szCs w:val="22"/>
              </w:rPr>
            </w:pPr>
            <w:r>
              <w:rPr>
                <w:rFonts w:asciiTheme="minorHAnsi" w:hAnsiTheme="minorHAnsi"/>
                <w:sz w:val="22"/>
                <w:szCs w:val="22"/>
              </w:rPr>
              <w:t>9</w:t>
            </w:r>
          </w:p>
        </w:tc>
        <w:tc>
          <w:tcPr>
            <w:tcW w:w="1440" w:type="dxa"/>
            <w:vAlign w:val="center"/>
          </w:tcPr>
          <w:p w14:paraId="5B6719D7" w14:textId="77777777" w:rsidR="000A0D81" w:rsidRDefault="000A0D81" w:rsidP="000A0D81">
            <w:pPr>
              <w:jc w:val="center"/>
              <w:rPr>
                <w:rFonts w:asciiTheme="minorHAnsi" w:hAnsiTheme="minorHAnsi"/>
                <w:sz w:val="22"/>
                <w:szCs w:val="22"/>
              </w:rPr>
            </w:pPr>
          </w:p>
        </w:tc>
        <w:tc>
          <w:tcPr>
            <w:tcW w:w="1435" w:type="dxa"/>
            <w:vAlign w:val="center"/>
          </w:tcPr>
          <w:p w14:paraId="1D57394E" w14:textId="045495AD" w:rsidR="000A0D81" w:rsidRDefault="000A0D81" w:rsidP="000A0D81">
            <w:pPr>
              <w:jc w:val="center"/>
              <w:rPr>
                <w:rFonts w:asciiTheme="minorHAnsi" w:hAnsiTheme="minorHAnsi"/>
                <w:sz w:val="22"/>
                <w:szCs w:val="22"/>
              </w:rPr>
            </w:pPr>
            <w:r>
              <w:rPr>
                <w:rFonts w:asciiTheme="minorHAnsi" w:hAnsiTheme="minorHAnsi"/>
                <w:sz w:val="22"/>
                <w:szCs w:val="22"/>
              </w:rPr>
              <w:t>90</w:t>
            </w:r>
          </w:p>
        </w:tc>
      </w:tr>
    </w:tbl>
    <w:p w14:paraId="6C044414" w14:textId="15266FCB" w:rsidR="00855191" w:rsidRPr="007E1965" w:rsidRDefault="00855191" w:rsidP="00305630">
      <w:pPr>
        <w:ind w:left="90" w:hanging="90"/>
        <w:rPr>
          <w:rFonts w:asciiTheme="minorHAnsi" w:hAnsiTheme="minorHAnsi"/>
          <w:sz w:val="22"/>
          <w:szCs w:val="22"/>
        </w:rPr>
      </w:pPr>
      <w:r>
        <w:rPr>
          <w:rFonts w:asciiTheme="minorHAnsi" w:hAnsiTheme="minorHAnsi"/>
          <w:sz w:val="22"/>
          <w:szCs w:val="22"/>
        </w:rPr>
        <w:t>*2 focus groups will be conducted with participants who are Internet users. 1 focus group will be cond</w:t>
      </w:r>
      <w:r w:rsidR="00835489">
        <w:rPr>
          <w:rFonts w:asciiTheme="minorHAnsi" w:hAnsiTheme="minorHAnsi"/>
          <w:sz w:val="22"/>
          <w:szCs w:val="22"/>
        </w:rPr>
        <w:t>ucted with participants who report</w:t>
      </w:r>
      <w:r>
        <w:rPr>
          <w:rFonts w:asciiTheme="minorHAnsi" w:hAnsiTheme="minorHAnsi"/>
          <w:sz w:val="22"/>
          <w:szCs w:val="22"/>
        </w:rPr>
        <w:t xml:space="preserve"> no Internet use or limited Internet use.</w:t>
      </w:r>
    </w:p>
    <w:p w14:paraId="7AB4A77A" w14:textId="77777777" w:rsidR="00855191" w:rsidRPr="0020180E" w:rsidRDefault="00855191" w:rsidP="00855191">
      <w:pPr>
        <w:spacing w:after="200"/>
        <w:rPr>
          <w:rFonts w:asciiTheme="minorHAnsi" w:hAnsiTheme="minorHAnsi"/>
        </w:rPr>
      </w:pPr>
    </w:p>
    <w:p w14:paraId="7F89E907" w14:textId="77777777" w:rsidR="00855191" w:rsidRPr="005712C0" w:rsidRDefault="00855191" w:rsidP="00855191">
      <w:pPr>
        <w:spacing w:after="200"/>
        <w:rPr>
          <w:rFonts w:asciiTheme="minorHAnsi" w:hAnsiTheme="minorHAnsi"/>
          <w:u w:val="single"/>
        </w:rPr>
      </w:pPr>
      <w:r w:rsidRPr="005712C0">
        <w:rPr>
          <w:rFonts w:asciiTheme="minorHAnsi" w:hAnsiTheme="minorHAnsi"/>
          <w:b/>
          <w:u w:val="single"/>
        </w:rPr>
        <w:t>Gifts</w:t>
      </w:r>
    </w:p>
    <w:p w14:paraId="03C64138" w14:textId="7A5676E7" w:rsidR="00855191" w:rsidRDefault="00855191" w:rsidP="000107F6">
      <w:pPr>
        <w:rPr>
          <w:rFonts w:asciiTheme="minorHAnsi" w:hAnsiTheme="minorHAnsi"/>
        </w:rPr>
      </w:pPr>
      <w:r w:rsidRPr="0020180E">
        <w:rPr>
          <w:rFonts w:asciiTheme="minorHAnsi" w:hAnsiTheme="minorHAnsi"/>
        </w:rPr>
        <w:t>All participants will receive a $75 gift card to show appreciation for their participation. Recruiting firms have indicated that $75 is the current standard minimum amount needed as a</w:t>
      </w:r>
      <w:r w:rsidR="000107F6">
        <w:rPr>
          <w:rFonts w:asciiTheme="minorHAnsi" w:hAnsiTheme="minorHAnsi"/>
        </w:rPr>
        <w:t xml:space="preserve"> </w:t>
      </w:r>
      <w:r w:rsidRPr="0020180E">
        <w:rPr>
          <w:rFonts w:asciiTheme="minorHAnsi" w:hAnsiTheme="minorHAnsi"/>
        </w:rPr>
        <w:t xml:space="preserve">show of appreciation for general audience participation in focus groups. Because these are focus groups, not surveys, and because the same intensity of participation is required for both in-person and on-line focus group participants, all will be given the gift card to show appreciation for their participation. </w:t>
      </w:r>
    </w:p>
    <w:p w14:paraId="621C626B" w14:textId="77777777" w:rsidR="000107F6" w:rsidRDefault="000107F6" w:rsidP="005712C0">
      <w:pPr>
        <w:rPr>
          <w:rFonts w:asciiTheme="minorHAnsi" w:hAnsiTheme="minorHAnsi"/>
        </w:rPr>
      </w:pPr>
    </w:p>
    <w:p w14:paraId="75B12A04" w14:textId="77777777" w:rsidR="000107F6" w:rsidRPr="0020180E" w:rsidRDefault="000107F6" w:rsidP="005712C0">
      <w:pPr>
        <w:rPr>
          <w:rFonts w:asciiTheme="minorHAnsi" w:hAnsiTheme="minorHAnsi"/>
        </w:rPr>
      </w:pPr>
      <w:r w:rsidRPr="0020180E">
        <w:rPr>
          <w:rFonts w:asciiTheme="minorHAnsi" w:hAnsiTheme="minorHAnsi"/>
        </w:rPr>
        <w:t xml:space="preserve">The in-person focus group participants (consumers) will receive the incentive at the focus group facility immediately after the conclusion of the discussion groups. Remote participants will receive their incentive by mail upon completion of the discussion group in the form of a $75 gift card (e.g., Visa Gift Card). </w:t>
      </w:r>
    </w:p>
    <w:p w14:paraId="45A8BEEB" w14:textId="77777777" w:rsidR="000107F6" w:rsidRDefault="000107F6" w:rsidP="00855191">
      <w:pPr>
        <w:spacing w:after="200"/>
        <w:rPr>
          <w:rFonts w:asciiTheme="minorHAnsi" w:hAnsiTheme="minorHAnsi"/>
        </w:rPr>
      </w:pPr>
    </w:p>
    <w:p w14:paraId="6A85502F" w14:textId="77777777" w:rsidR="000107F6" w:rsidRPr="005712C0" w:rsidRDefault="000107F6" w:rsidP="000107F6">
      <w:pPr>
        <w:spacing w:after="200" w:line="276" w:lineRule="auto"/>
        <w:rPr>
          <w:rFonts w:asciiTheme="minorHAnsi" w:hAnsiTheme="minorHAnsi"/>
          <w:b/>
          <w:u w:val="single"/>
        </w:rPr>
      </w:pPr>
      <w:r w:rsidRPr="005712C0">
        <w:rPr>
          <w:rFonts w:asciiTheme="minorHAnsi" w:hAnsiTheme="minorHAnsi"/>
          <w:b/>
          <w:u w:val="single"/>
        </w:rPr>
        <w:t>Duration of Focus Groups</w:t>
      </w:r>
    </w:p>
    <w:p w14:paraId="17620ACC" w14:textId="77777777" w:rsidR="000107F6" w:rsidRPr="0020180E" w:rsidRDefault="000107F6" w:rsidP="000107F6">
      <w:pPr>
        <w:rPr>
          <w:rFonts w:asciiTheme="minorHAnsi" w:hAnsiTheme="minorHAnsi"/>
        </w:rPr>
      </w:pPr>
      <w:r w:rsidRPr="0020180E">
        <w:rPr>
          <w:rFonts w:asciiTheme="minorHAnsi" w:hAnsiTheme="minorHAnsi"/>
        </w:rPr>
        <w:t xml:space="preserve">The duration of the </w:t>
      </w:r>
      <w:r>
        <w:rPr>
          <w:rFonts w:asciiTheme="minorHAnsi" w:hAnsiTheme="minorHAnsi"/>
        </w:rPr>
        <w:t>focus</w:t>
      </w:r>
      <w:r w:rsidRPr="0020180E">
        <w:rPr>
          <w:rFonts w:asciiTheme="minorHAnsi" w:hAnsiTheme="minorHAnsi"/>
        </w:rPr>
        <w:t xml:space="preserve"> groups, by type of group/audience, will be as follows:</w:t>
      </w:r>
    </w:p>
    <w:p w14:paraId="2744E0EB" w14:textId="77777777" w:rsidR="000107F6" w:rsidRDefault="000107F6" w:rsidP="000107F6">
      <w:pPr>
        <w:pStyle w:val="ListParagraph"/>
        <w:numPr>
          <w:ilvl w:val="0"/>
          <w:numId w:val="6"/>
        </w:numPr>
        <w:rPr>
          <w:rFonts w:asciiTheme="minorHAnsi" w:hAnsiTheme="minorHAnsi"/>
        </w:rPr>
      </w:pPr>
      <w:r w:rsidRPr="0020180E">
        <w:rPr>
          <w:rFonts w:asciiTheme="minorHAnsi" w:hAnsiTheme="minorHAnsi"/>
        </w:rPr>
        <w:t>Focus groups (9-10 participants) with consumers: 90 minutes</w:t>
      </w:r>
    </w:p>
    <w:p w14:paraId="187562AD" w14:textId="77777777" w:rsidR="000107F6" w:rsidRPr="0020180E" w:rsidRDefault="000107F6" w:rsidP="000107F6">
      <w:pPr>
        <w:pStyle w:val="ListParagraph"/>
        <w:numPr>
          <w:ilvl w:val="0"/>
          <w:numId w:val="6"/>
        </w:numPr>
        <w:spacing w:after="200" w:line="276" w:lineRule="auto"/>
        <w:rPr>
          <w:rFonts w:asciiTheme="minorHAnsi" w:hAnsiTheme="minorHAnsi"/>
        </w:rPr>
      </w:pPr>
      <w:r w:rsidRPr="0020180E">
        <w:rPr>
          <w:rFonts w:asciiTheme="minorHAnsi" w:hAnsiTheme="minorHAnsi"/>
        </w:rPr>
        <w:t>Focus groups (9-10 participants) with family members: 90 minutes</w:t>
      </w:r>
    </w:p>
    <w:p w14:paraId="551F2045" w14:textId="77777777" w:rsidR="00855191" w:rsidRDefault="00855191" w:rsidP="005712C0">
      <w:pPr>
        <w:spacing w:after="200"/>
        <w:rPr>
          <w:rFonts w:asciiTheme="minorHAnsi" w:hAnsiTheme="minorHAnsi"/>
        </w:rPr>
      </w:pPr>
      <w:r w:rsidRPr="0020180E">
        <w:rPr>
          <w:rFonts w:asciiTheme="minorHAnsi" w:hAnsiTheme="minorHAnsi"/>
        </w:rPr>
        <w:t xml:space="preserve">Focus groups with consumers will last for 90 minutes. Focus groups with family members will also last for 90 minutes. The allotted time of 90 minutes will allow time for all participants to share their thoughts and provide their input. </w:t>
      </w:r>
    </w:p>
    <w:p w14:paraId="24054CFC" w14:textId="10F28C90" w:rsidR="0039137A" w:rsidRDefault="0039137A" w:rsidP="00855191">
      <w:pPr>
        <w:spacing w:after="200" w:line="276" w:lineRule="auto"/>
        <w:rPr>
          <w:rFonts w:asciiTheme="minorHAnsi" w:hAnsiTheme="minorHAnsi"/>
        </w:rPr>
      </w:pPr>
      <w:r w:rsidRPr="0020180E">
        <w:rPr>
          <w:rFonts w:asciiTheme="minorHAnsi" w:hAnsiTheme="minorHAnsi"/>
        </w:rPr>
        <w:t>Moderator guides will be used to facilitate the focus group discussions with consumers and family members.</w:t>
      </w:r>
      <w:r>
        <w:rPr>
          <w:rFonts w:asciiTheme="minorHAnsi" w:hAnsiTheme="minorHAnsi"/>
        </w:rPr>
        <w:t xml:space="preserve"> The guides for all focus group discussions have been included </w:t>
      </w:r>
      <w:r w:rsidR="00EE4D80">
        <w:rPr>
          <w:rFonts w:asciiTheme="minorHAnsi" w:hAnsiTheme="minorHAnsi"/>
        </w:rPr>
        <w:t>in the</w:t>
      </w:r>
      <w:r>
        <w:rPr>
          <w:rFonts w:asciiTheme="minorHAnsi" w:hAnsiTheme="minorHAnsi"/>
        </w:rPr>
        <w:t xml:space="preserve"> appendices.</w:t>
      </w:r>
    </w:p>
    <w:p w14:paraId="5849E1B4" w14:textId="77777777" w:rsidR="001B13C0" w:rsidRDefault="001B13C0" w:rsidP="00855191">
      <w:pPr>
        <w:rPr>
          <w:rFonts w:asciiTheme="minorHAnsi" w:hAnsiTheme="minorHAnsi"/>
          <w:b/>
          <w:i/>
        </w:rPr>
      </w:pPr>
    </w:p>
    <w:p w14:paraId="07B0311E" w14:textId="77777777" w:rsidR="00855191" w:rsidRPr="003306D2" w:rsidRDefault="00855191" w:rsidP="009D468E">
      <w:pPr>
        <w:keepNext/>
        <w:keepLines/>
        <w:rPr>
          <w:rFonts w:asciiTheme="minorHAnsi" w:hAnsiTheme="minorHAnsi"/>
          <w:b/>
          <w:i/>
          <w:u w:val="single"/>
        </w:rPr>
      </w:pPr>
      <w:r w:rsidRPr="003306D2">
        <w:rPr>
          <w:rFonts w:asciiTheme="minorHAnsi" w:hAnsiTheme="minorHAnsi"/>
          <w:b/>
          <w:u w:val="single"/>
        </w:rPr>
        <w:lastRenderedPageBreak/>
        <w:t>Burden</w:t>
      </w:r>
    </w:p>
    <w:p w14:paraId="0D5903F3" w14:textId="77777777" w:rsidR="00855191" w:rsidRDefault="00855191" w:rsidP="009D468E">
      <w:pPr>
        <w:keepNext/>
        <w:keepLines/>
        <w:rPr>
          <w:rFonts w:asciiTheme="minorHAnsi" w:hAnsiTheme="minorHAnsi"/>
          <w:b/>
          <w:i/>
        </w:rPr>
      </w:pPr>
    </w:p>
    <w:tbl>
      <w:tblPr>
        <w:tblStyle w:val="TableGrid"/>
        <w:tblW w:w="0" w:type="auto"/>
        <w:tblLook w:val="04A0" w:firstRow="1" w:lastRow="0" w:firstColumn="1" w:lastColumn="0" w:noHBand="0" w:noVBand="1"/>
      </w:tblPr>
      <w:tblGrid>
        <w:gridCol w:w="1587"/>
        <w:gridCol w:w="2626"/>
        <w:gridCol w:w="1379"/>
        <w:gridCol w:w="1509"/>
        <w:gridCol w:w="1244"/>
        <w:gridCol w:w="992"/>
        <w:gridCol w:w="13"/>
      </w:tblGrid>
      <w:tr w:rsidR="00855191" w14:paraId="5BC7F497" w14:textId="77777777" w:rsidTr="00E0405D">
        <w:tc>
          <w:tcPr>
            <w:tcW w:w="1587" w:type="dxa"/>
            <w:shd w:val="clear" w:color="auto" w:fill="F2F2F2" w:themeFill="background1" w:themeFillShade="F2"/>
            <w:vAlign w:val="center"/>
          </w:tcPr>
          <w:p w14:paraId="2AF92FA9" w14:textId="0CC172E0" w:rsidR="00855191" w:rsidRPr="00D40986" w:rsidRDefault="001E07F3" w:rsidP="009D468E">
            <w:pPr>
              <w:keepNext/>
              <w:keepLines/>
              <w:jc w:val="center"/>
              <w:rPr>
                <w:rFonts w:asciiTheme="minorHAnsi" w:hAnsiTheme="minorHAnsi"/>
                <w:sz w:val="22"/>
                <w:szCs w:val="22"/>
              </w:rPr>
            </w:pPr>
            <w:r>
              <w:rPr>
                <w:rFonts w:asciiTheme="minorHAnsi" w:hAnsiTheme="minorHAnsi"/>
                <w:sz w:val="22"/>
                <w:szCs w:val="22"/>
              </w:rPr>
              <w:t>Type of Respondents</w:t>
            </w:r>
          </w:p>
        </w:tc>
        <w:tc>
          <w:tcPr>
            <w:tcW w:w="2626" w:type="dxa"/>
            <w:shd w:val="clear" w:color="auto" w:fill="F2F2F2" w:themeFill="background1" w:themeFillShade="F2"/>
            <w:vAlign w:val="center"/>
          </w:tcPr>
          <w:p w14:paraId="34A62A95" w14:textId="77777777" w:rsidR="00855191" w:rsidRPr="00D40986" w:rsidRDefault="00855191" w:rsidP="009D468E">
            <w:pPr>
              <w:keepNext/>
              <w:keepLines/>
              <w:jc w:val="center"/>
              <w:rPr>
                <w:rFonts w:asciiTheme="minorHAnsi" w:hAnsiTheme="minorHAnsi"/>
                <w:sz w:val="22"/>
                <w:szCs w:val="22"/>
              </w:rPr>
            </w:pPr>
            <w:r w:rsidRPr="00D40986">
              <w:rPr>
                <w:rFonts w:asciiTheme="minorHAnsi" w:hAnsiTheme="minorHAnsi"/>
                <w:sz w:val="22"/>
                <w:szCs w:val="22"/>
              </w:rPr>
              <w:t>Form Name</w:t>
            </w:r>
          </w:p>
        </w:tc>
        <w:tc>
          <w:tcPr>
            <w:tcW w:w="1379" w:type="dxa"/>
            <w:shd w:val="clear" w:color="auto" w:fill="F2F2F2" w:themeFill="background1" w:themeFillShade="F2"/>
            <w:vAlign w:val="center"/>
          </w:tcPr>
          <w:p w14:paraId="65BC54D8" w14:textId="77777777" w:rsidR="00855191" w:rsidRPr="00D40986" w:rsidRDefault="00855191" w:rsidP="009D468E">
            <w:pPr>
              <w:keepNext/>
              <w:keepLines/>
              <w:jc w:val="center"/>
              <w:rPr>
                <w:rFonts w:asciiTheme="minorHAnsi" w:hAnsiTheme="minorHAnsi"/>
                <w:sz w:val="22"/>
                <w:szCs w:val="22"/>
              </w:rPr>
            </w:pPr>
            <w:r w:rsidRPr="00D40986">
              <w:rPr>
                <w:rFonts w:asciiTheme="minorHAnsi" w:hAnsiTheme="minorHAnsi"/>
                <w:sz w:val="22"/>
                <w:szCs w:val="22"/>
              </w:rPr>
              <w:t>Number of Respondents</w:t>
            </w:r>
          </w:p>
        </w:tc>
        <w:tc>
          <w:tcPr>
            <w:tcW w:w="1509" w:type="dxa"/>
            <w:shd w:val="clear" w:color="auto" w:fill="F2F2F2" w:themeFill="background1" w:themeFillShade="F2"/>
            <w:vAlign w:val="center"/>
          </w:tcPr>
          <w:p w14:paraId="050FBD96" w14:textId="77777777" w:rsidR="00855191" w:rsidRPr="00D40986" w:rsidRDefault="00855191" w:rsidP="009D468E">
            <w:pPr>
              <w:keepNext/>
              <w:keepLines/>
              <w:jc w:val="center"/>
              <w:rPr>
                <w:rFonts w:asciiTheme="minorHAnsi" w:hAnsiTheme="minorHAnsi"/>
                <w:sz w:val="22"/>
                <w:szCs w:val="22"/>
              </w:rPr>
            </w:pPr>
            <w:r w:rsidRPr="00D40986">
              <w:rPr>
                <w:rFonts w:asciiTheme="minorHAnsi" w:hAnsiTheme="minorHAnsi"/>
                <w:sz w:val="22"/>
                <w:szCs w:val="22"/>
              </w:rPr>
              <w:t>Number of Responses per Respondent</w:t>
            </w:r>
          </w:p>
        </w:tc>
        <w:tc>
          <w:tcPr>
            <w:tcW w:w="1244" w:type="dxa"/>
            <w:shd w:val="clear" w:color="auto" w:fill="F2F2F2" w:themeFill="background1" w:themeFillShade="F2"/>
            <w:vAlign w:val="center"/>
          </w:tcPr>
          <w:p w14:paraId="47E8D22C" w14:textId="77777777" w:rsidR="00855191" w:rsidRPr="00D40986" w:rsidRDefault="00855191" w:rsidP="009D468E">
            <w:pPr>
              <w:keepNext/>
              <w:keepLines/>
              <w:jc w:val="center"/>
              <w:rPr>
                <w:rFonts w:asciiTheme="minorHAnsi" w:hAnsiTheme="minorHAnsi"/>
                <w:sz w:val="22"/>
                <w:szCs w:val="22"/>
              </w:rPr>
            </w:pPr>
            <w:r w:rsidRPr="00D40986">
              <w:rPr>
                <w:rFonts w:asciiTheme="minorHAnsi" w:hAnsiTheme="minorHAnsi"/>
                <w:sz w:val="22"/>
                <w:szCs w:val="22"/>
              </w:rPr>
              <w:t>Burden per Response (in hr)</w:t>
            </w:r>
          </w:p>
        </w:tc>
        <w:tc>
          <w:tcPr>
            <w:tcW w:w="1005" w:type="dxa"/>
            <w:gridSpan w:val="2"/>
            <w:shd w:val="clear" w:color="auto" w:fill="F2F2F2" w:themeFill="background1" w:themeFillShade="F2"/>
            <w:vAlign w:val="center"/>
          </w:tcPr>
          <w:p w14:paraId="49D3C20B" w14:textId="77777777" w:rsidR="00855191" w:rsidRPr="00D40986" w:rsidRDefault="00855191" w:rsidP="009D468E">
            <w:pPr>
              <w:keepNext/>
              <w:keepLines/>
              <w:jc w:val="center"/>
              <w:rPr>
                <w:rFonts w:asciiTheme="minorHAnsi" w:hAnsiTheme="minorHAnsi"/>
                <w:sz w:val="22"/>
                <w:szCs w:val="22"/>
              </w:rPr>
            </w:pPr>
            <w:r w:rsidRPr="00D40986">
              <w:rPr>
                <w:rFonts w:asciiTheme="minorHAnsi" w:hAnsiTheme="minorHAnsi"/>
                <w:sz w:val="22"/>
                <w:szCs w:val="22"/>
              </w:rPr>
              <w:t>Total Burden (in hr)</w:t>
            </w:r>
          </w:p>
        </w:tc>
      </w:tr>
      <w:tr w:rsidR="00855191" w:rsidRPr="00D40986" w14:paraId="587A1834" w14:textId="77777777" w:rsidTr="00E0405D">
        <w:tc>
          <w:tcPr>
            <w:tcW w:w="1587" w:type="dxa"/>
            <w:vMerge w:val="restart"/>
          </w:tcPr>
          <w:p w14:paraId="2A46CC1A" w14:textId="77777777" w:rsidR="00855191" w:rsidRPr="00D40986" w:rsidRDefault="00855191" w:rsidP="009D468E">
            <w:pPr>
              <w:keepNext/>
              <w:keepLines/>
              <w:jc w:val="center"/>
              <w:rPr>
                <w:rFonts w:asciiTheme="minorHAnsi" w:hAnsiTheme="minorHAnsi"/>
                <w:sz w:val="22"/>
                <w:szCs w:val="22"/>
              </w:rPr>
            </w:pPr>
            <w:r w:rsidRPr="00D40986">
              <w:rPr>
                <w:rFonts w:asciiTheme="minorHAnsi" w:hAnsiTheme="minorHAnsi"/>
                <w:sz w:val="22"/>
                <w:szCs w:val="22"/>
              </w:rPr>
              <w:t>Consumers - 1</w:t>
            </w:r>
          </w:p>
          <w:p w14:paraId="7910D0DE" w14:textId="77777777" w:rsidR="00855191" w:rsidRPr="00D40986" w:rsidRDefault="00855191" w:rsidP="009D468E">
            <w:pPr>
              <w:keepNext/>
              <w:keepLines/>
              <w:jc w:val="center"/>
              <w:rPr>
                <w:rFonts w:asciiTheme="minorHAnsi" w:hAnsiTheme="minorHAnsi"/>
                <w:sz w:val="22"/>
                <w:szCs w:val="22"/>
              </w:rPr>
            </w:pPr>
          </w:p>
        </w:tc>
        <w:tc>
          <w:tcPr>
            <w:tcW w:w="2626" w:type="dxa"/>
          </w:tcPr>
          <w:p w14:paraId="1529C32C" w14:textId="77777777" w:rsidR="00855191" w:rsidRPr="00D40986" w:rsidRDefault="00855191" w:rsidP="009D468E">
            <w:pPr>
              <w:keepNext/>
              <w:keepLines/>
              <w:jc w:val="center"/>
              <w:rPr>
                <w:rFonts w:asciiTheme="minorHAnsi" w:hAnsiTheme="minorHAnsi"/>
                <w:sz w:val="22"/>
                <w:szCs w:val="22"/>
              </w:rPr>
            </w:pPr>
            <w:r w:rsidRPr="00D40986">
              <w:rPr>
                <w:rFonts w:asciiTheme="minorHAnsi" w:hAnsiTheme="minorHAnsi"/>
                <w:sz w:val="22"/>
                <w:szCs w:val="22"/>
              </w:rPr>
              <w:t>Consumer Discussion Group Recruitment Screener</w:t>
            </w:r>
          </w:p>
        </w:tc>
        <w:tc>
          <w:tcPr>
            <w:tcW w:w="1379" w:type="dxa"/>
          </w:tcPr>
          <w:p w14:paraId="7E311F76" w14:textId="77777777" w:rsidR="00855191" w:rsidRPr="00D40986" w:rsidRDefault="00855191" w:rsidP="009D468E">
            <w:pPr>
              <w:keepNext/>
              <w:keepLines/>
              <w:jc w:val="center"/>
              <w:rPr>
                <w:rFonts w:asciiTheme="minorHAnsi" w:hAnsiTheme="minorHAnsi"/>
                <w:sz w:val="22"/>
                <w:szCs w:val="22"/>
              </w:rPr>
            </w:pPr>
            <w:r w:rsidRPr="00D40986">
              <w:rPr>
                <w:rFonts w:asciiTheme="minorHAnsi" w:hAnsiTheme="minorHAnsi"/>
                <w:sz w:val="22"/>
                <w:szCs w:val="22"/>
              </w:rPr>
              <w:t>60</w:t>
            </w:r>
          </w:p>
        </w:tc>
        <w:tc>
          <w:tcPr>
            <w:tcW w:w="1509" w:type="dxa"/>
          </w:tcPr>
          <w:p w14:paraId="3D90DFB6" w14:textId="77777777" w:rsidR="00855191" w:rsidRPr="00D40986" w:rsidRDefault="00855191" w:rsidP="009D468E">
            <w:pPr>
              <w:keepNext/>
              <w:keepLines/>
              <w:jc w:val="center"/>
              <w:rPr>
                <w:rFonts w:asciiTheme="minorHAnsi" w:hAnsiTheme="minorHAnsi"/>
                <w:sz w:val="22"/>
                <w:szCs w:val="22"/>
              </w:rPr>
            </w:pPr>
            <w:r w:rsidRPr="00D40986">
              <w:rPr>
                <w:rFonts w:asciiTheme="minorHAnsi" w:hAnsiTheme="minorHAnsi"/>
                <w:sz w:val="22"/>
                <w:szCs w:val="22"/>
              </w:rPr>
              <w:t>1</w:t>
            </w:r>
          </w:p>
        </w:tc>
        <w:tc>
          <w:tcPr>
            <w:tcW w:w="1244" w:type="dxa"/>
          </w:tcPr>
          <w:p w14:paraId="79E32E0B" w14:textId="77777777" w:rsidR="00855191" w:rsidRPr="00D40986" w:rsidRDefault="00855191" w:rsidP="009D468E">
            <w:pPr>
              <w:keepNext/>
              <w:keepLines/>
              <w:jc w:val="center"/>
              <w:rPr>
                <w:rFonts w:asciiTheme="minorHAnsi" w:hAnsiTheme="minorHAnsi"/>
                <w:sz w:val="22"/>
                <w:szCs w:val="22"/>
              </w:rPr>
            </w:pPr>
            <w:r w:rsidRPr="00D40986">
              <w:rPr>
                <w:rFonts w:asciiTheme="minorHAnsi" w:hAnsiTheme="minorHAnsi"/>
                <w:sz w:val="22"/>
                <w:szCs w:val="22"/>
              </w:rPr>
              <w:t>15/60</w:t>
            </w:r>
          </w:p>
        </w:tc>
        <w:tc>
          <w:tcPr>
            <w:tcW w:w="1005" w:type="dxa"/>
            <w:gridSpan w:val="2"/>
          </w:tcPr>
          <w:p w14:paraId="1B6A4F8A" w14:textId="77777777" w:rsidR="00855191" w:rsidRPr="00D40986" w:rsidRDefault="00855191" w:rsidP="009D468E">
            <w:pPr>
              <w:keepNext/>
              <w:keepLines/>
              <w:jc w:val="center"/>
              <w:rPr>
                <w:rFonts w:asciiTheme="minorHAnsi" w:hAnsiTheme="minorHAnsi"/>
                <w:sz w:val="22"/>
                <w:szCs w:val="22"/>
              </w:rPr>
            </w:pPr>
            <w:r w:rsidRPr="00D40986">
              <w:rPr>
                <w:rFonts w:asciiTheme="minorHAnsi" w:hAnsiTheme="minorHAnsi"/>
                <w:sz w:val="22"/>
                <w:szCs w:val="22"/>
              </w:rPr>
              <w:t>15</w:t>
            </w:r>
          </w:p>
        </w:tc>
      </w:tr>
      <w:tr w:rsidR="00855191" w:rsidRPr="00A503E7" w14:paraId="25406E83" w14:textId="77777777" w:rsidTr="00E0405D">
        <w:tc>
          <w:tcPr>
            <w:tcW w:w="1587" w:type="dxa"/>
            <w:vMerge/>
          </w:tcPr>
          <w:p w14:paraId="5EFF7022" w14:textId="77777777" w:rsidR="00855191" w:rsidRPr="00A503E7" w:rsidRDefault="00855191" w:rsidP="00A503E7">
            <w:pPr>
              <w:jc w:val="center"/>
              <w:rPr>
                <w:rFonts w:asciiTheme="minorHAnsi" w:hAnsiTheme="minorHAnsi"/>
                <w:sz w:val="22"/>
                <w:szCs w:val="22"/>
              </w:rPr>
            </w:pPr>
          </w:p>
        </w:tc>
        <w:tc>
          <w:tcPr>
            <w:tcW w:w="2626" w:type="dxa"/>
          </w:tcPr>
          <w:p w14:paraId="087DC21D" w14:textId="77777777" w:rsidR="00855191" w:rsidRPr="00A503E7" w:rsidRDefault="00855191" w:rsidP="00A503E7">
            <w:pPr>
              <w:jc w:val="center"/>
              <w:rPr>
                <w:rFonts w:asciiTheme="minorHAnsi" w:hAnsiTheme="minorHAnsi"/>
                <w:sz w:val="22"/>
                <w:szCs w:val="22"/>
              </w:rPr>
            </w:pPr>
            <w:r w:rsidRPr="00A503E7">
              <w:rPr>
                <w:rFonts w:asciiTheme="minorHAnsi" w:hAnsiTheme="minorHAnsi"/>
                <w:sz w:val="22"/>
                <w:szCs w:val="22"/>
              </w:rPr>
              <w:t>Moderator’s Guide for Focus Groups with Consumers</w:t>
            </w:r>
          </w:p>
        </w:tc>
        <w:tc>
          <w:tcPr>
            <w:tcW w:w="1379" w:type="dxa"/>
          </w:tcPr>
          <w:p w14:paraId="5B8C8C61" w14:textId="77777777" w:rsidR="00855191" w:rsidRPr="00A503E7" w:rsidRDefault="00855191" w:rsidP="00A503E7">
            <w:pPr>
              <w:jc w:val="center"/>
              <w:rPr>
                <w:rFonts w:asciiTheme="minorHAnsi" w:hAnsiTheme="minorHAnsi"/>
                <w:sz w:val="22"/>
                <w:szCs w:val="22"/>
              </w:rPr>
            </w:pPr>
            <w:r w:rsidRPr="00A503E7">
              <w:rPr>
                <w:rFonts w:asciiTheme="minorHAnsi" w:hAnsiTheme="minorHAnsi"/>
                <w:sz w:val="22"/>
                <w:szCs w:val="22"/>
              </w:rPr>
              <w:t>60</w:t>
            </w:r>
          </w:p>
        </w:tc>
        <w:tc>
          <w:tcPr>
            <w:tcW w:w="1509" w:type="dxa"/>
          </w:tcPr>
          <w:p w14:paraId="39F247C5" w14:textId="77777777" w:rsidR="00855191" w:rsidRPr="00A503E7" w:rsidRDefault="00855191" w:rsidP="00A503E7">
            <w:pPr>
              <w:jc w:val="center"/>
              <w:rPr>
                <w:rFonts w:asciiTheme="minorHAnsi" w:hAnsiTheme="minorHAnsi"/>
                <w:sz w:val="22"/>
                <w:szCs w:val="22"/>
              </w:rPr>
            </w:pPr>
            <w:r w:rsidRPr="00A503E7">
              <w:rPr>
                <w:rFonts w:asciiTheme="minorHAnsi" w:hAnsiTheme="minorHAnsi"/>
                <w:sz w:val="22"/>
                <w:szCs w:val="22"/>
              </w:rPr>
              <w:t>1</w:t>
            </w:r>
          </w:p>
        </w:tc>
        <w:tc>
          <w:tcPr>
            <w:tcW w:w="1244" w:type="dxa"/>
          </w:tcPr>
          <w:p w14:paraId="1EB824F0" w14:textId="77777777" w:rsidR="00855191" w:rsidRPr="00A503E7" w:rsidRDefault="00855191" w:rsidP="00A503E7">
            <w:pPr>
              <w:jc w:val="center"/>
              <w:rPr>
                <w:rFonts w:asciiTheme="minorHAnsi" w:hAnsiTheme="minorHAnsi"/>
                <w:sz w:val="22"/>
                <w:szCs w:val="22"/>
              </w:rPr>
            </w:pPr>
            <w:r w:rsidRPr="00A503E7">
              <w:rPr>
                <w:rFonts w:asciiTheme="minorHAnsi" w:hAnsiTheme="minorHAnsi"/>
                <w:sz w:val="22"/>
                <w:szCs w:val="22"/>
              </w:rPr>
              <w:t>90/60</w:t>
            </w:r>
          </w:p>
        </w:tc>
        <w:tc>
          <w:tcPr>
            <w:tcW w:w="1005" w:type="dxa"/>
            <w:gridSpan w:val="2"/>
          </w:tcPr>
          <w:p w14:paraId="196DD2E6" w14:textId="77777777" w:rsidR="00855191" w:rsidRPr="00A503E7" w:rsidRDefault="00855191" w:rsidP="00A503E7">
            <w:pPr>
              <w:jc w:val="center"/>
              <w:rPr>
                <w:rFonts w:asciiTheme="minorHAnsi" w:hAnsiTheme="minorHAnsi"/>
                <w:sz w:val="22"/>
                <w:szCs w:val="22"/>
              </w:rPr>
            </w:pPr>
            <w:r w:rsidRPr="00A503E7">
              <w:rPr>
                <w:rFonts w:asciiTheme="minorHAnsi" w:hAnsiTheme="minorHAnsi"/>
                <w:sz w:val="22"/>
                <w:szCs w:val="22"/>
              </w:rPr>
              <w:t>90</w:t>
            </w:r>
          </w:p>
        </w:tc>
      </w:tr>
      <w:tr w:rsidR="00855191" w:rsidRPr="00D40986" w14:paraId="16037AC1" w14:textId="77777777" w:rsidTr="00E0405D">
        <w:tc>
          <w:tcPr>
            <w:tcW w:w="1587" w:type="dxa"/>
            <w:vMerge w:val="restart"/>
          </w:tcPr>
          <w:p w14:paraId="33DC70D5" w14:textId="77777777" w:rsidR="00855191" w:rsidRPr="00D40986" w:rsidRDefault="00855191" w:rsidP="00A503E7">
            <w:pPr>
              <w:jc w:val="center"/>
              <w:rPr>
                <w:rFonts w:asciiTheme="minorHAnsi" w:hAnsiTheme="minorHAnsi"/>
                <w:sz w:val="22"/>
                <w:szCs w:val="22"/>
              </w:rPr>
            </w:pPr>
            <w:r w:rsidRPr="00D40986">
              <w:rPr>
                <w:rFonts w:asciiTheme="minorHAnsi" w:hAnsiTheme="minorHAnsi"/>
                <w:sz w:val="22"/>
                <w:szCs w:val="22"/>
              </w:rPr>
              <w:t>Consumers -2</w:t>
            </w:r>
          </w:p>
        </w:tc>
        <w:tc>
          <w:tcPr>
            <w:tcW w:w="2626" w:type="dxa"/>
          </w:tcPr>
          <w:p w14:paraId="2AE15BAB" w14:textId="77777777" w:rsidR="00855191" w:rsidRPr="00D40986" w:rsidRDefault="00855191" w:rsidP="00A503E7">
            <w:pPr>
              <w:jc w:val="center"/>
              <w:rPr>
                <w:rFonts w:asciiTheme="minorHAnsi" w:hAnsiTheme="minorHAnsi"/>
                <w:sz w:val="22"/>
                <w:szCs w:val="22"/>
              </w:rPr>
            </w:pPr>
            <w:r w:rsidRPr="00D40986">
              <w:rPr>
                <w:rFonts w:asciiTheme="minorHAnsi" w:hAnsiTheme="minorHAnsi"/>
                <w:sz w:val="22"/>
                <w:szCs w:val="22"/>
              </w:rPr>
              <w:t>Internet Preference Discussion Group Recruitment Screener</w:t>
            </w:r>
          </w:p>
        </w:tc>
        <w:tc>
          <w:tcPr>
            <w:tcW w:w="1379" w:type="dxa"/>
          </w:tcPr>
          <w:p w14:paraId="2286831E" w14:textId="77777777" w:rsidR="00855191" w:rsidRPr="00D40986" w:rsidRDefault="00855191" w:rsidP="00A503E7">
            <w:pPr>
              <w:jc w:val="center"/>
              <w:rPr>
                <w:rFonts w:asciiTheme="minorHAnsi" w:hAnsiTheme="minorHAnsi"/>
                <w:sz w:val="22"/>
                <w:szCs w:val="22"/>
              </w:rPr>
            </w:pPr>
            <w:r w:rsidRPr="00D40986">
              <w:rPr>
                <w:rFonts w:asciiTheme="minorHAnsi" w:hAnsiTheme="minorHAnsi"/>
                <w:sz w:val="22"/>
                <w:szCs w:val="22"/>
              </w:rPr>
              <w:t>10</w:t>
            </w:r>
          </w:p>
        </w:tc>
        <w:tc>
          <w:tcPr>
            <w:tcW w:w="1509" w:type="dxa"/>
          </w:tcPr>
          <w:p w14:paraId="1D60E121" w14:textId="77777777" w:rsidR="00855191" w:rsidRPr="00D40986" w:rsidRDefault="00855191" w:rsidP="00A503E7">
            <w:pPr>
              <w:jc w:val="center"/>
              <w:rPr>
                <w:rFonts w:asciiTheme="minorHAnsi" w:hAnsiTheme="minorHAnsi"/>
                <w:sz w:val="22"/>
                <w:szCs w:val="22"/>
              </w:rPr>
            </w:pPr>
            <w:r w:rsidRPr="00D40986">
              <w:rPr>
                <w:rFonts w:asciiTheme="minorHAnsi" w:hAnsiTheme="minorHAnsi"/>
                <w:sz w:val="22"/>
                <w:szCs w:val="22"/>
              </w:rPr>
              <w:t>1</w:t>
            </w:r>
          </w:p>
        </w:tc>
        <w:tc>
          <w:tcPr>
            <w:tcW w:w="1244" w:type="dxa"/>
          </w:tcPr>
          <w:p w14:paraId="28A9708D" w14:textId="77777777" w:rsidR="00855191" w:rsidRPr="00D40986" w:rsidRDefault="00855191" w:rsidP="00A503E7">
            <w:pPr>
              <w:jc w:val="center"/>
              <w:rPr>
                <w:rFonts w:asciiTheme="minorHAnsi" w:hAnsiTheme="minorHAnsi"/>
                <w:sz w:val="22"/>
                <w:szCs w:val="22"/>
              </w:rPr>
            </w:pPr>
            <w:r w:rsidRPr="00D40986">
              <w:rPr>
                <w:rFonts w:asciiTheme="minorHAnsi" w:hAnsiTheme="minorHAnsi"/>
                <w:sz w:val="22"/>
                <w:szCs w:val="22"/>
              </w:rPr>
              <w:t>15/60</w:t>
            </w:r>
          </w:p>
        </w:tc>
        <w:tc>
          <w:tcPr>
            <w:tcW w:w="1005" w:type="dxa"/>
            <w:gridSpan w:val="2"/>
          </w:tcPr>
          <w:p w14:paraId="074FA898" w14:textId="77777777" w:rsidR="00855191" w:rsidRPr="00D40986" w:rsidRDefault="00855191" w:rsidP="00A503E7">
            <w:pPr>
              <w:jc w:val="center"/>
              <w:rPr>
                <w:rFonts w:asciiTheme="minorHAnsi" w:hAnsiTheme="minorHAnsi"/>
                <w:sz w:val="22"/>
                <w:szCs w:val="22"/>
              </w:rPr>
            </w:pPr>
            <w:r>
              <w:rPr>
                <w:rFonts w:asciiTheme="minorHAnsi" w:hAnsiTheme="minorHAnsi"/>
                <w:sz w:val="22"/>
                <w:szCs w:val="22"/>
              </w:rPr>
              <w:t>3</w:t>
            </w:r>
          </w:p>
        </w:tc>
      </w:tr>
      <w:tr w:rsidR="00855191" w:rsidRPr="00A503E7" w14:paraId="04113A2A" w14:textId="77777777" w:rsidTr="00E0405D">
        <w:tc>
          <w:tcPr>
            <w:tcW w:w="1587" w:type="dxa"/>
            <w:vMerge/>
          </w:tcPr>
          <w:p w14:paraId="1E89060C" w14:textId="77777777" w:rsidR="00855191" w:rsidRPr="00A503E7" w:rsidRDefault="00855191" w:rsidP="00A503E7">
            <w:pPr>
              <w:jc w:val="center"/>
              <w:rPr>
                <w:rFonts w:asciiTheme="minorHAnsi" w:hAnsiTheme="minorHAnsi"/>
                <w:sz w:val="22"/>
                <w:szCs w:val="22"/>
              </w:rPr>
            </w:pPr>
          </w:p>
        </w:tc>
        <w:tc>
          <w:tcPr>
            <w:tcW w:w="2626" w:type="dxa"/>
          </w:tcPr>
          <w:p w14:paraId="09B9BC3A" w14:textId="77777777" w:rsidR="00855191" w:rsidRPr="00A503E7" w:rsidRDefault="00855191" w:rsidP="00A503E7">
            <w:pPr>
              <w:jc w:val="center"/>
              <w:rPr>
                <w:rFonts w:asciiTheme="minorHAnsi" w:hAnsiTheme="minorHAnsi"/>
                <w:sz w:val="22"/>
                <w:szCs w:val="22"/>
              </w:rPr>
            </w:pPr>
            <w:r w:rsidRPr="00A503E7">
              <w:rPr>
                <w:rFonts w:asciiTheme="minorHAnsi" w:hAnsiTheme="minorHAnsi"/>
                <w:sz w:val="22"/>
                <w:szCs w:val="22"/>
              </w:rPr>
              <w:t>Moderator’s Guide for Focus Groups with Internet Preference</w:t>
            </w:r>
          </w:p>
        </w:tc>
        <w:tc>
          <w:tcPr>
            <w:tcW w:w="1379" w:type="dxa"/>
          </w:tcPr>
          <w:p w14:paraId="3576A396" w14:textId="77777777" w:rsidR="00855191" w:rsidRPr="00A503E7" w:rsidRDefault="00855191" w:rsidP="00A503E7">
            <w:pPr>
              <w:jc w:val="center"/>
              <w:rPr>
                <w:rFonts w:asciiTheme="minorHAnsi" w:hAnsiTheme="minorHAnsi"/>
                <w:sz w:val="22"/>
                <w:szCs w:val="22"/>
              </w:rPr>
            </w:pPr>
            <w:r w:rsidRPr="00A503E7">
              <w:rPr>
                <w:rFonts w:asciiTheme="minorHAnsi" w:hAnsiTheme="minorHAnsi"/>
                <w:sz w:val="22"/>
                <w:szCs w:val="22"/>
              </w:rPr>
              <w:t>10</w:t>
            </w:r>
          </w:p>
        </w:tc>
        <w:tc>
          <w:tcPr>
            <w:tcW w:w="1509" w:type="dxa"/>
          </w:tcPr>
          <w:p w14:paraId="236E72E8" w14:textId="77777777" w:rsidR="00855191" w:rsidRPr="00A503E7" w:rsidRDefault="00855191" w:rsidP="00A503E7">
            <w:pPr>
              <w:jc w:val="center"/>
              <w:rPr>
                <w:rFonts w:asciiTheme="minorHAnsi" w:hAnsiTheme="minorHAnsi"/>
                <w:sz w:val="22"/>
                <w:szCs w:val="22"/>
              </w:rPr>
            </w:pPr>
            <w:r w:rsidRPr="00A503E7">
              <w:rPr>
                <w:rFonts w:asciiTheme="minorHAnsi" w:hAnsiTheme="minorHAnsi"/>
                <w:sz w:val="22"/>
                <w:szCs w:val="22"/>
              </w:rPr>
              <w:t>1</w:t>
            </w:r>
          </w:p>
        </w:tc>
        <w:tc>
          <w:tcPr>
            <w:tcW w:w="1244" w:type="dxa"/>
          </w:tcPr>
          <w:p w14:paraId="5F3AF7B6" w14:textId="77777777" w:rsidR="00855191" w:rsidRPr="00A503E7" w:rsidRDefault="00855191" w:rsidP="00A503E7">
            <w:pPr>
              <w:jc w:val="center"/>
              <w:rPr>
                <w:rFonts w:asciiTheme="minorHAnsi" w:hAnsiTheme="minorHAnsi"/>
                <w:sz w:val="22"/>
                <w:szCs w:val="22"/>
              </w:rPr>
            </w:pPr>
            <w:r w:rsidRPr="00A503E7">
              <w:rPr>
                <w:rFonts w:asciiTheme="minorHAnsi" w:hAnsiTheme="minorHAnsi"/>
                <w:sz w:val="22"/>
                <w:szCs w:val="22"/>
              </w:rPr>
              <w:t>90/60</w:t>
            </w:r>
          </w:p>
        </w:tc>
        <w:tc>
          <w:tcPr>
            <w:tcW w:w="1005" w:type="dxa"/>
            <w:gridSpan w:val="2"/>
          </w:tcPr>
          <w:p w14:paraId="743DDB41" w14:textId="77777777" w:rsidR="00855191" w:rsidRPr="00A503E7" w:rsidRDefault="00855191" w:rsidP="00A503E7">
            <w:pPr>
              <w:jc w:val="center"/>
              <w:rPr>
                <w:rFonts w:asciiTheme="minorHAnsi" w:hAnsiTheme="minorHAnsi"/>
                <w:sz w:val="22"/>
                <w:szCs w:val="22"/>
              </w:rPr>
            </w:pPr>
            <w:r w:rsidRPr="00A503E7">
              <w:rPr>
                <w:rFonts w:asciiTheme="minorHAnsi" w:hAnsiTheme="minorHAnsi"/>
                <w:sz w:val="22"/>
                <w:szCs w:val="22"/>
              </w:rPr>
              <w:t>15</w:t>
            </w:r>
          </w:p>
        </w:tc>
      </w:tr>
      <w:tr w:rsidR="00855191" w:rsidRPr="00D40986" w14:paraId="10FE9ED6" w14:textId="77777777" w:rsidTr="00E0405D">
        <w:trPr>
          <w:gridAfter w:val="1"/>
          <w:wAfter w:w="13" w:type="dxa"/>
        </w:trPr>
        <w:tc>
          <w:tcPr>
            <w:tcW w:w="1587" w:type="dxa"/>
            <w:vMerge w:val="restart"/>
          </w:tcPr>
          <w:p w14:paraId="0CB287A2" w14:textId="77777777" w:rsidR="00855191" w:rsidRPr="00D40986" w:rsidRDefault="00855191" w:rsidP="00A503E7">
            <w:pPr>
              <w:jc w:val="center"/>
              <w:rPr>
                <w:rFonts w:asciiTheme="minorHAnsi" w:hAnsiTheme="minorHAnsi"/>
                <w:sz w:val="22"/>
                <w:szCs w:val="22"/>
              </w:rPr>
            </w:pPr>
            <w:r w:rsidRPr="00D40986">
              <w:rPr>
                <w:rFonts w:asciiTheme="minorHAnsi" w:hAnsiTheme="minorHAnsi"/>
                <w:sz w:val="22"/>
                <w:szCs w:val="22"/>
              </w:rPr>
              <w:t>Family Members</w:t>
            </w:r>
          </w:p>
        </w:tc>
        <w:tc>
          <w:tcPr>
            <w:tcW w:w="2626" w:type="dxa"/>
          </w:tcPr>
          <w:p w14:paraId="380A051A" w14:textId="77777777" w:rsidR="00855191" w:rsidRPr="00D40986" w:rsidRDefault="00855191" w:rsidP="00A503E7">
            <w:pPr>
              <w:jc w:val="center"/>
              <w:rPr>
                <w:rFonts w:asciiTheme="minorHAnsi" w:hAnsiTheme="minorHAnsi"/>
                <w:sz w:val="22"/>
                <w:szCs w:val="22"/>
              </w:rPr>
            </w:pPr>
            <w:r w:rsidRPr="00D40986">
              <w:rPr>
                <w:rFonts w:asciiTheme="minorHAnsi" w:hAnsiTheme="minorHAnsi"/>
                <w:sz w:val="22"/>
                <w:szCs w:val="22"/>
              </w:rPr>
              <w:t>Family Members Discussion Group Recruitment Screener</w:t>
            </w:r>
          </w:p>
        </w:tc>
        <w:tc>
          <w:tcPr>
            <w:tcW w:w="1379" w:type="dxa"/>
          </w:tcPr>
          <w:p w14:paraId="73729993" w14:textId="77777777" w:rsidR="00855191" w:rsidRPr="00D40986" w:rsidRDefault="00855191" w:rsidP="00A503E7">
            <w:pPr>
              <w:jc w:val="center"/>
              <w:rPr>
                <w:rFonts w:asciiTheme="minorHAnsi" w:hAnsiTheme="minorHAnsi"/>
                <w:sz w:val="22"/>
                <w:szCs w:val="22"/>
              </w:rPr>
            </w:pPr>
            <w:r w:rsidRPr="00D40986">
              <w:rPr>
                <w:rFonts w:asciiTheme="minorHAnsi" w:hAnsiTheme="minorHAnsi"/>
                <w:sz w:val="22"/>
                <w:szCs w:val="22"/>
              </w:rPr>
              <w:t>20</w:t>
            </w:r>
          </w:p>
        </w:tc>
        <w:tc>
          <w:tcPr>
            <w:tcW w:w="1509" w:type="dxa"/>
          </w:tcPr>
          <w:p w14:paraId="0E7A8229" w14:textId="77777777" w:rsidR="00855191" w:rsidRPr="00D40986" w:rsidRDefault="00855191" w:rsidP="00A503E7">
            <w:pPr>
              <w:jc w:val="center"/>
              <w:rPr>
                <w:rFonts w:asciiTheme="minorHAnsi" w:hAnsiTheme="minorHAnsi"/>
                <w:sz w:val="22"/>
                <w:szCs w:val="22"/>
              </w:rPr>
            </w:pPr>
            <w:r w:rsidRPr="00D40986">
              <w:rPr>
                <w:rFonts w:asciiTheme="minorHAnsi" w:hAnsiTheme="minorHAnsi"/>
                <w:sz w:val="22"/>
                <w:szCs w:val="22"/>
              </w:rPr>
              <w:t>1</w:t>
            </w:r>
          </w:p>
        </w:tc>
        <w:tc>
          <w:tcPr>
            <w:tcW w:w="1244" w:type="dxa"/>
          </w:tcPr>
          <w:p w14:paraId="0CE005C9" w14:textId="77777777" w:rsidR="00855191" w:rsidRPr="00D40986" w:rsidRDefault="00855191" w:rsidP="00A503E7">
            <w:pPr>
              <w:jc w:val="center"/>
              <w:rPr>
                <w:rFonts w:asciiTheme="minorHAnsi" w:hAnsiTheme="minorHAnsi"/>
                <w:sz w:val="22"/>
                <w:szCs w:val="22"/>
              </w:rPr>
            </w:pPr>
            <w:r w:rsidRPr="00D40986">
              <w:rPr>
                <w:rFonts w:asciiTheme="minorHAnsi" w:hAnsiTheme="minorHAnsi"/>
                <w:sz w:val="22"/>
                <w:szCs w:val="22"/>
              </w:rPr>
              <w:t>15/60</w:t>
            </w:r>
          </w:p>
        </w:tc>
        <w:tc>
          <w:tcPr>
            <w:tcW w:w="992" w:type="dxa"/>
          </w:tcPr>
          <w:p w14:paraId="094AADEA" w14:textId="77777777" w:rsidR="00855191" w:rsidRPr="00D40986" w:rsidRDefault="00855191" w:rsidP="00A503E7">
            <w:pPr>
              <w:jc w:val="center"/>
              <w:rPr>
                <w:rFonts w:asciiTheme="minorHAnsi" w:hAnsiTheme="minorHAnsi"/>
                <w:sz w:val="22"/>
                <w:szCs w:val="22"/>
              </w:rPr>
            </w:pPr>
            <w:r w:rsidRPr="00D40986">
              <w:rPr>
                <w:rFonts w:asciiTheme="minorHAnsi" w:hAnsiTheme="minorHAnsi"/>
                <w:sz w:val="22"/>
                <w:szCs w:val="22"/>
              </w:rPr>
              <w:t>5</w:t>
            </w:r>
          </w:p>
        </w:tc>
      </w:tr>
      <w:tr w:rsidR="00855191" w:rsidRPr="00A503E7" w14:paraId="20CFCEF5" w14:textId="77777777" w:rsidTr="00E0405D">
        <w:trPr>
          <w:gridAfter w:val="1"/>
          <w:wAfter w:w="13" w:type="dxa"/>
        </w:trPr>
        <w:tc>
          <w:tcPr>
            <w:tcW w:w="1587" w:type="dxa"/>
            <w:vMerge/>
          </w:tcPr>
          <w:p w14:paraId="13202D65" w14:textId="77777777" w:rsidR="00855191" w:rsidRPr="00A503E7" w:rsidRDefault="00855191" w:rsidP="00A503E7">
            <w:pPr>
              <w:jc w:val="center"/>
              <w:rPr>
                <w:rFonts w:asciiTheme="minorHAnsi" w:hAnsiTheme="minorHAnsi"/>
                <w:sz w:val="22"/>
                <w:szCs w:val="22"/>
              </w:rPr>
            </w:pPr>
          </w:p>
        </w:tc>
        <w:tc>
          <w:tcPr>
            <w:tcW w:w="2626" w:type="dxa"/>
          </w:tcPr>
          <w:p w14:paraId="547A3144" w14:textId="77777777" w:rsidR="00855191" w:rsidRPr="00A503E7" w:rsidRDefault="00855191" w:rsidP="00A503E7">
            <w:pPr>
              <w:jc w:val="center"/>
              <w:rPr>
                <w:rFonts w:asciiTheme="minorHAnsi" w:hAnsiTheme="minorHAnsi"/>
                <w:sz w:val="22"/>
                <w:szCs w:val="22"/>
              </w:rPr>
            </w:pPr>
            <w:r w:rsidRPr="00A503E7">
              <w:rPr>
                <w:rFonts w:asciiTheme="minorHAnsi" w:hAnsiTheme="minorHAnsi"/>
                <w:sz w:val="22"/>
                <w:szCs w:val="22"/>
              </w:rPr>
              <w:t>Moderator’s Guide for Focus Group with Family Members</w:t>
            </w:r>
          </w:p>
        </w:tc>
        <w:tc>
          <w:tcPr>
            <w:tcW w:w="1379" w:type="dxa"/>
          </w:tcPr>
          <w:p w14:paraId="6EC0D2AB" w14:textId="77777777" w:rsidR="00855191" w:rsidRPr="00A503E7" w:rsidRDefault="00855191" w:rsidP="00A503E7">
            <w:pPr>
              <w:jc w:val="center"/>
              <w:rPr>
                <w:rFonts w:asciiTheme="minorHAnsi" w:hAnsiTheme="minorHAnsi"/>
                <w:sz w:val="22"/>
                <w:szCs w:val="22"/>
              </w:rPr>
            </w:pPr>
            <w:r w:rsidRPr="00A503E7">
              <w:rPr>
                <w:rFonts w:asciiTheme="minorHAnsi" w:hAnsiTheme="minorHAnsi"/>
                <w:sz w:val="22"/>
                <w:szCs w:val="22"/>
              </w:rPr>
              <w:t>20</w:t>
            </w:r>
          </w:p>
        </w:tc>
        <w:tc>
          <w:tcPr>
            <w:tcW w:w="1509" w:type="dxa"/>
          </w:tcPr>
          <w:p w14:paraId="765EE992" w14:textId="77777777" w:rsidR="00855191" w:rsidRPr="00A503E7" w:rsidRDefault="00855191" w:rsidP="00A503E7">
            <w:pPr>
              <w:jc w:val="center"/>
              <w:rPr>
                <w:rFonts w:asciiTheme="minorHAnsi" w:hAnsiTheme="minorHAnsi"/>
                <w:sz w:val="22"/>
                <w:szCs w:val="22"/>
              </w:rPr>
            </w:pPr>
            <w:r w:rsidRPr="00A503E7">
              <w:rPr>
                <w:rFonts w:asciiTheme="minorHAnsi" w:hAnsiTheme="minorHAnsi"/>
                <w:sz w:val="22"/>
                <w:szCs w:val="22"/>
              </w:rPr>
              <w:t>1</w:t>
            </w:r>
          </w:p>
        </w:tc>
        <w:tc>
          <w:tcPr>
            <w:tcW w:w="1244" w:type="dxa"/>
          </w:tcPr>
          <w:p w14:paraId="32338532" w14:textId="77777777" w:rsidR="00855191" w:rsidRPr="00A503E7" w:rsidRDefault="00855191" w:rsidP="00A503E7">
            <w:pPr>
              <w:jc w:val="center"/>
              <w:rPr>
                <w:rFonts w:asciiTheme="minorHAnsi" w:hAnsiTheme="minorHAnsi"/>
                <w:sz w:val="22"/>
                <w:szCs w:val="22"/>
              </w:rPr>
            </w:pPr>
            <w:r w:rsidRPr="00A503E7">
              <w:rPr>
                <w:rFonts w:asciiTheme="minorHAnsi" w:hAnsiTheme="minorHAnsi"/>
                <w:sz w:val="22"/>
                <w:szCs w:val="22"/>
              </w:rPr>
              <w:t>90/60</w:t>
            </w:r>
          </w:p>
        </w:tc>
        <w:tc>
          <w:tcPr>
            <w:tcW w:w="992" w:type="dxa"/>
          </w:tcPr>
          <w:p w14:paraId="7D898C14" w14:textId="77777777" w:rsidR="00855191" w:rsidRPr="00A503E7" w:rsidRDefault="00855191" w:rsidP="00A503E7">
            <w:pPr>
              <w:jc w:val="center"/>
              <w:rPr>
                <w:rFonts w:asciiTheme="minorHAnsi" w:hAnsiTheme="minorHAnsi"/>
                <w:sz w:val="22"/>
                <w:szCs w:val="22"/>
              </w:rPr>
            </w:pPr>
            <w:r w:rsidRPr="00A503E7">
              <w:rPr>
                <w:rFonts w:asciiTheme="minorHAnsi" w:hAnsiTheme="minorHAnsi"/>
                <w:sz w:val="22"/>
                <w:szCs w:val="22"/>
              </w:rPr>
              <w:t>30</w:t>
            </w:r>
          </w:p>
        </w:tc>
      </w:tr>
      <w:tr w:rsidR="007E6EC3" w:rsidRPr="00A503E7" w14:paraId="526AA267" w14:textId="77777777" w:rsidTr="00E0405D">
        <w:trPr>
          <w:gridAfter w:val="1"/>
          <w:wAfter w:w="13" w:type="dxa"/>
        </w:trPr>
        <w:tc>
          <w:tcPr>
            <w:tcW w:w="1587" w:type="dxa"/>
          </w:tcPr>
          <w:p w14:paraId="68292B67" w14:textId="77777777" w:rsidR="007E6EC3" w:rsidRPr="00A503E7" w:rsidRDefault="007E6EC3" w:rsidP="00A503E7">
            <w:pPr>
              <w:jc w:val="center"/>
              <w:rPr>
                <w:rFonts w:asciiTheme="minorHAnsi" w:hAnsiTheme="minorHAnsi"/>
                <w:sz w:val="22"/>
                <w:szCs w:val="22"/>
              </w:rPr>
            </w:pPr>
          </w:p>
        </w:tc>
        <w:tc>
          <w:tcPr>
            <w:tcW w:w="2626" w:type="dxa"/>
          </w:tcPr>
          <w:p w14:paraId="0E72F705" w14:textId="73EE1380" w:rsidR="007E6EC3" w:rsidRPr="00A503E7" w:rsidRDefault="007E6EC3" w:rsidP="009D468E">
            <w:pPr>
              <w:jc w:val="right"/>
              <w:rPr>
                <w:rFonts w:asciiTheme="minorHAnsi" w:hAnsiTheme="minorHAnsi"/>
                <w:sz w:val="22"/>
                <w:szCs w:val="22"/>
              </w:rPr>
            </w:pPr>
            <w:r>
              <w:rPr>
                <w:rFonts w:asciiTheme="minorHAnsi" w:hAnsiTheme="minorHAnsi"/>
                <w:sz w:val="22"/>
                <w:szCs w:val="22"/>
              </w:rPr>
              <w:t>TOTAL</w:t>
            </w:r>
          </w:p>
        </w:tc>
        <w:tc>
          <w:tcPr>
            <w:tcW w:w="1379" w:type="dxa"/>
          </w:tcPr>
          <w:p w14:paraId="6B7B442B" w14:textId="77777777" w:rsidR="007E6EC3" w:rsidRPr="00A503E7" w:rsidRDefault="007E6EC3" w:rsidP="00A503E7">
            <w:pPr>
              <w:jc w:val="center"/>
              <w:rPr>
                <w:rFonts w:asciiTheme="minorHAnsi" w:hAnsiTheme="minorHAnsi"/>
                <w:sz w:val="22"/>
                <w:szCs w:val="22"/>
              </w:rPr>
            </w:pPr>
          </w:p>
        </w:tc>
        <w:tc>
          <w:tcPr>
            <w:tcW w:w="1509" w:type="dxa"/>
          </w:tcPr>
          <w:p w14:paraId="72F31F27" w14:textId="77777777" w:rsidR="007E6EC3" w:rsidRPr="00A503E7" w:rsidRDefault="007E6EC3" w:rsidP="00A503E7">
            <w:pPr>
              <w:jc w:val="center"/>
              <w:rPr>
                <w:rFonts w:asciiTheme="minorHAnsi" w:hAnsiTheme="minorHAnsi"/>
                <w:sz w:val="22"/>
                <w:szCs w:val="22"/>
              </w:rPr>
            </w:pPr>
          </w:p>
        </w:tc>
        <w:tc>
          <w:tcPr>
            <w:tcW w:w="1244" w:type="dxa"/>
          </w:tcPr>
          <w:p w14:paraId="73FF0CFB" w14:textId="77777777" w:rsidR="007E6EC3" w:rsidRPr="00A503E7" w:rsidRDefault="007E6EC3" w:rsidP="00A503E7">
            <w:pPr>
              <w:jc w:val="center"/>
              <w:rPr>
                <w:rFonts w:asciiTheme="minorHAnsi" w:hAnsiTheme="minorHAnsi"/>
                <w:sz w:val="22"/>
                <w:szCs w:val="22"/>
              </w:rPr>
            </w:pPr>
          </w:p>
        </w:tc>
        <w:tc>
          <w:tcPr>
            <w:tcW w:w="992" w:type="dxa"/>
          </w:tcPr>
          <w:p w14:paraId="1AA1F617" w14:textId="5FE51F49" w:rsidR="007E6EC3" w:rsidRPr="00A503E7" w:rsidRDefault="007E6EC3" w:rsidP="00A503E7">
            <w:pPr>
              <w:jc w:val="center"/>
              <w:rPr>
                <w:rFonts w:asciiTheme="minorHAnsi" w:hAnsiTheme="minorHAnsi"/>
                <w:sz w:val="22"/>
                <w:szCs w:val="22"/>
              </w:rPr>
            </w:pPr>
            <w:r>
              <w:rPr>
                <w:rFonts w:asciiTheme="minorHAnsi" w:hAnsiTheme="minorHAnsi"/>
                <w:sz w:val="22"/>
                <w:szCs w:val="22"/>
              </w:rPr>
              <w:t>158</w:t>
            </w:r>
          </w:p>
        </w:tc>
      </w:tr>
    </w:tbl>
    <w:p w14:paraId="2C342D3D" w14:textId="77777777" w:rsidR="00855191" w:rsidRPr="00855191" w:rsidRDefault="00855191" w:rsidP="00855191">
      <w:pPr>
        <w:rPr>
          <w:rFonts w:asciiTheme="minorHAnsi" w:hAnsiTheme="minorHAnsi"/>
          <w:b/>
        </w:rPr>
      </w:pPr>
    </w:p>
    <w:p w14:paraId="620F22A7" w14:textId="77777777" w:rsidR="00855191" w:rsidRPr="0020180E" w:rsidRDefault="00855191" w:rsidP="00855191">
      <w:pPr>
        <w:spacing w:after="200" w:line="276" w:lineRule="auto"/>
        <w:rPr>
          <w:rFonts w:asciiTheme="minorHAnsi" w:hAnsiTheme="minorHAnsi"/>
        </w:rPr>
      </w:pPr>
    </w:p>
    <w:p w14:paraId="7AFF7694" w14:textId="60347D05" w:rsidR="00DD5A8B" w:rsidRDefault="00DD5A8B">
      <w:pPr>
        <w:spacing w:after="200" w:line="276" w:lineRule="auto"/>
        <w:rPr>
          <w:rFonts w:asciiTheme="minorHAnsi" w:hAnsiTheme="minorHAnsi"/>
          <w:b/>
          <w:sz w:val="22"/>
          <w:szCs w:val="22"/>
        </w:rPr>
      </w:pPr>
    </w:p>
    <w:sectPr w:rsidR="00DD5A8B" w:rsidSect="00BE0E17">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4CCC6" w14:textId="77777777" w:rsidR="0008686A" w:rsidRDefault="0008686A" w:rsidP="00774264">
      <w:r>
        <w:separator/>
      </w:r>
    </w:p>
  </w:endnote>
  <w:endnote w:type="continuationSeparator" w:id="0">
    <w:p w14:paraId="4AD17C2F" w14:textId="77777777" w:rsidR="0008686A" w:rsidRDefault="0008686A" w:rsidP="00774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8DE95" w14:textId="77777777" w:rsidR="005712C0" w:rsidRDefault="005712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92F30" w14:textId="77777777" w:rsidR="004014F3" w:rsidRDefault="004014F3">
    <w:pPr>
      <w:pStyle w:val="Footer"/>
      <w:jc w:val="right"/>
    </w:pPr>
  </w:p>
  <w:p w14:paraId="657418BB" w14:textId="77777777" w:rsidR="004014F3" w:rsidRDefault="004014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00D1F" w14:textId="77777777" w:rsidR="005712C0" w:rsidRDefault="005712C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5575293"/>
      <w:docPartObj>
        <w:docPartGallery w:val="Page Numbers (Bottom of Page)"/>
        <w:docPartUnique/>
      </w:docPartObj>
    </w:sdtPr>
    <w:sdtEndPr>
      <w:rPr>
        <w:noProof/>
      </w:rPr>
    </w:sdtEndPr>
    <w:sdtContent>
      <w:p w14:paraId="31D5FA29" w14:textId="77777777" w:rsidR="00E0405D" w:rsidRDefault="00E0405D">
        <w:pPr>
          <w:pStyle w:val="Footer"/>
          <w:jc w:val="center"/>
        </w:pPr>
      </w:p>
      <w:p w14:paraId="22703482" w14:textId="0E401F94" w:rsidR="00E0405D" w:rsidRDefault="00E0405D">
        <w:pPr>
          <w:pStyle w:val="Footer"/>
          <w:jc w:val="center"/>
        </w:pPr>
        <w:r>
          <w:fldChar w:fldCharType="begin"/>
        </w:r>
        <w:r>
          <w:instrText xml:space="preserve"> PAGE   \* MERGEFORMAT </w:instrText>
        </w:r>
        <w:r>
          <w:fldChar w:fldCharType="separate"/>
        </w:r>
        <w:r w:rsidR="007951C5">
          <w:rPr>
            <w:noProof/>
          </w:rPr>
          <w:t>6</w:t>
        </w:r>
        <w:r>
          <w:rPr>
            <w:noProof/>
          </w:rPr>
          <w:fldChar w:fldCharType="end"/>
        </w:r>
      </w:p>
    </w:sdtContent>
  </w:sdt>
  <w:p w14:paraId="2952260D" w14:textId="2BBB3661" w:rsidR="004014F3" w:rsidRPr="006523A2" w:rsidRDefault="004014F3" w:rsidP="00CB4A20">
    <w:pPr>
      <w:pStyle w:val="Footer"/>
      <w:jc w:val="right"/>
      <w:rPr>
        <w:b/>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59F10C" w14:textId="77777777" w:rsidR="0008686A" w:rsidRDefault="0008686A" w:rsidP="00774264">
      <w:r>
        <w:separator/>
      </w:r>
    </w:p>
  </w:footnote>
  <w:footnote w:type="continuationSeparator" w:id="0">
    <w:p w14:paraId="5CADAA34" w14:textId="77777777" w:rsidR="0008686A" w:rsidRDefault="0008686A" w:rsidP="007742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DBE15" w14:textId="77777777" w:rsidR="005712C0" w:rsidRDefault="005712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70FB3" w14:textId="77777777" w:rsidR="004014F3" w:rsidRDefault="004014F3">
    <w:pPr>
      <w:pStyle w:val="Header"/>
      <w:jc w:val="right"/>
    </w:pPr>
  </w:p>
  <w:p w14:paraId="0AF23A3A" w14:textId="77777777" w:rsidR="004014F3" w:rsidRDefault="004014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DD89E" w14:textId="77777777" w:rsidR="005712C0" w:rsidRDefault="005712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350BA"/>
    <w:multiLevelType w:val="hybridMultilevel"/>
    <w:tmpl w:val="555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754D4"/>
    <w:multiLevelType w:val="hybridMultilevel"/>
    <w:tmpl w:val="B75E0342"/>
    <w:lvl w:ilvl="0" w:tplc="3B2C98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A1FAE"/>
    <w:multiLevelType w:val="hybridMultilevel"/>
    <w:tmpl w:val="14A0C240"/>
    <w:lvl w:ilvl="0" w:tplc="77DC95D8">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335C2"/>
    <w:multiLevelType w:val="hybridMultilevel"/>
    <w:tmpl w:val="0CFC87CC"/>
    <w:lvl w:ilvl="0" w:tplc="C50036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44423"/>
    <w:multiLevelType w:val="hybridMultilevel"/>
    <w:tmpl w:val="FBDEF95C"/>
    <w:lvl w:ilvl="0" w:tplc="9B1C126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147708"/>
    <w:multiLevelType w:val="hybridMultilevel"/>
    <w:tmpl w:val="01124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5C3FC6"/>
    <w:multiLevelType w:val="hybridMultilevel"/>
    <w:tmpl w:val="DAF0E5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D953B7"/>
    <w:multiLevelType w:val="hybridMultilevel"/>
    <w:tmpl w:val="8FBA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1648A6"/>
    <w:multiLevelType w:val="hybridMultilevel"/>
    <w:tmpl w:val="A0DC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CB2C25"/>
    <w:multiLevelType w:val="hybridMultilevel"/>
    <w:tmpl w:val="8DB868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9734083"/>
    <w:multiLevelType w:val="hybridMultilevel"/>
    <w:tmpl w:val="914E0100"/>
    <w:lvl w:ilvl="0" w:tplc="4CCC89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85557C"/>
    <w:multiLevelType w:val="hybridMultilevel"/>
    <w:tmpl w:val="626C3F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84E2271"/>
    <w:multiLevelType w:val="hybridMultilevel"/>
    <w:tmpl w:val="F6744B3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489375E7"/>
    <w:multiLevelType w:val="hybridMultilevel"/>
    <w:tmpl w:val="0B088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1252C"/>
    <w:multiLevelType w:val="hybridMultilevel"/>
    <w:tmpl w:val="90FA5F60"/>
    <w:lvl w:ilvl="0" w:tplc="77DC95D8">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0C16A0"/>
    <w:multiLevelType w:val="hybridMultilevel"/>
    <w:tmpl w:val="652A9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AD7AC7"/>
    <w:multiLevelType w:val="hybridMultilevel"/>
    <w:tmpl w:val="01124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044B93"/>
    <w:multiLevelType w:val="hybridMultilevel"/>
    <w:tmpl w:val="D2B02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5F045B"/>
    <w:multiLevelType w:val="hybridMultilevel"/>
    <w:tmpl w:val="F9B64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BF6FA8"/>
    <w:multiLevelType w:val="hybridMultilevel"/>
    <w:tmpl w:val="9A649E34"/>
    <w:lvl w:ilvl="0" w:tplc="4CCC89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1D367C"/>
    <w:multiLevelType w:val="hybridMultilevel"/>
    <w:tmpl w:val="CFEABFB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3E90467"/>
    <w:multiLevelType w:val="hybridMultilevel"/>
    <w:tmpl w:val="335A4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6119EB"/>
    <w:multiLevelType w:val="hybridMultilevel"/>
    <w:tmpl w:val="18D0521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7BA70F33"/>
    <w:multiLevelType w:val="hybridMultilevel"/>
    <w:tmpl w:val="E2383F3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18"/>
  </w:num>
  <w:num w:numId="2">
    <w:abstractNumId w:val="10"/>
  </w:num>
  <w:num w:numId="3">
    <w:abstractNumId w:val="1"/>
  </w:num>
  <w:num w:numId="4">
    <w:abstractNumId w:val="6"/>
  </w:num>
  <w:num w:numId="5">
    <w:abstractNumId w:val="19"/>
  </w:num>
  <w:num w:numId="6">
    <w:abstractNumId w:val="3"/>
  </w:num>
  <w:num w:numId="7">
    <w:abstractNumId w:val="12"/>
  </w:num>
  <w:num w:numId="8">
    <w:abstractNumId w:val="23"/>
  </w:num>
  <w:num w:numId="9">
    <w:abstractNumId w:val="21"/>
  </w:num>
  <w:num w:numId="10">
    <w:abstractNumId w:val="2"/>
  </w:num>
  <w:num w:numId="11">
    <w:abstractNumId w:val="14"/>
  </w:num>
  <w:num w:numId="12">
    <w:abstractNumId w:val="7"/>
  </w:num>
  <w:num w:numId="13">
    <w:abstractNumId w:val="4"/>
  </w:num>
  <w:num w:numId="14">
    <w:abstractNumId w:val="13"/>
  </w:num>
  <w:num w:numId="15">
    <w:abstractNumId w:val="9"/>
  </w:num>
  <w:num w:numId="16">
    <w:abstractNumId w:val="0"/>
  </w:num>
  <w:num w:numId="17">
    <w:abstractNumId w:val="17"/>
  </w:num>
  <w:num w:numId="18">
    <w:abstractNumId w:val="20"/>
  </w:num>
  <w:num w:numId="19">
    <w:abstractNumId w:val="8"/>
  </w:num>
  <w:num w:numId="20">
    <w:abstractNumId w:val="15"/>
  </w:num>
  <w:num w:numId="21">
    <w:abstractNumId w:val="22"/>
  </w:num>
  <w:num w:numId="22">
    <w:abstractNumId w:val="11"/>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f81b7585-0068-481f-9d86-376b41026b64"/>
  </w:docVars>
  <w:rsids>
    <w:rsidRoot w:val="00CF0A6A"/>
    <w:rsid w:val="00007517"/>
    <w:rsid w:val="000107F6"/>
    <w:rsid w:val="00013DBE"/>
    <w:rsid w:val="00014EF1"/>
    <w:rsid w:val="00015E80"/>
    <w:rsid w:val="00035C2B"/>
    <w:rsid w:val="000407E5"/>
    <w:rsid w:val="0004257B"/>
    <w:rsid w:val="0004356E"/>
    <w:rsid w:val="00050A4A"/>
    <w:rsid w:val="0005368C"/>
    <w:rsid w:val="00057EEA"/>
    <w:rsid w:val="000611EB"/>
    <w:rsid w:val="0008686A"/>
    <w:rsid w:val="00090E35"/>
    <w:rsid w:val="000A0D81"/>
    <w:rsid w:val="000B67B0"/>
    <w:rsid w:val="000B6D6D"/>
    <w:rsid w:val="000C5908"/>
    <w:rsid w:val="000D3D73"/>
    <w:rsid w:val="000D48B3"/>
    <w:rsid w:val="000E7F39"/>
    <w:rsid w:val="000F2180"/>
    <w:rsid w:val="000F2F9F"/>
    <w:rsid w:val="000F65CA"/>
    <w:rsid w:val="0010374C"/>
    <w:rsid w:val="001110D5"/>
    <w:rsid w:val="001316DF"/>
    <w:rsid w:val="00132078"/>
    <w:rsid w:val="00137288"/>
    <w:rsid w:val="001527FB"/>
    <w:rsid w:val="0015602F"/>
    <w:rsid w:val="001604AF"/>
    <w:rsid w:val="00162022"/>
    <w:rsid w:val="00167619"/>
    <w:rsid w:val="00172D2B"/>
    <w:rsid w:val="00177D74"/>
    <w:rsid w:val="00180BB2"/>
    <w:rsid w:val="001836CC"/>
    <w:rsid w:val="001A01AD"/>
    <w:rsid w:val="001A21A6"/>
    <w:rsid w:val="001A5792"/>
    <w:rsid w:val="001A7231"/>
    <w:rsid w:val="001B13C0"/>
    <w:rsid w:val="001C29A5"/>
    <w:rsid w:val="001C646E"/>
    <w:rsid w:val="001D0635"/>
    <w:rsid w:val="001D0A96"/>
    <w:rsid w:val="001E07F3"/>
    <w:rsid w:val="001E280C"/>
    <w:rsid w:val="001E2F49"/>
    <w:rsid w:val="001E67AE"/>
    <w:rsid w:val="0020180E"/>
    <w:rsid w:val="00204C84"/>
    <w:rsid w:val="00207C3D"/>
    <w:rsid w:val="0021182E"/>
    <w:rsid w:val="00214A4E"/>
    <w:rsid w:val="00225390"/>
    <w:rsid w:val="00225B50"/>
    <w:rsid w:val="002311B7"/>
    <w:rsid w:val="00232B66"/>
    <w:rsid w:val="00236F41"/>
    <w:rsid w:val="00240DA6"/>
    <w:rsid w:val="00253961"/>
    <w:rsid w:val="00280CD5"/>
    <w:rsid w:val="00286A5C"/>
    <w:rsid w:val="0029488A"/>
    <w:rsid w:val="002948FA"/>
    <w:rsid w:val="00295C1D"/>
    <w:rsid w:val="002A39D1"/>
    <w:rsid w:val="002A4528"/>
    <w:rsid w:val="002B26F8"/>
    <w:rsid w:val="002C1173"/>
    <w:rsid w:val="002C2C91"/>
    <w:rsid w:val="002D4E6D"/>
    <w:rsid w:val="002D6323"/>
    <w:rsid w:val="002E2267"/>
    <w:rsid w:val="002E3999"/>
    <w:rsid w:val="002F3465"/>
    <w:rsid w:val="002F7A75"/>
    <w:rsid w:val="00300752"/>
    <w:rsid w:val="00305630"/>
    <w:rsid w:val="003130AD"/>
    <w:rsid w:val="00314D95"/>
    <w:rsid w:val="00315A62"/>
    <w:rsid w:val="00316AC4"/>
    <w:rsid w:val="0032027B"/>
    <w:rsid w:val="0032755A"/>
    <w:rsid w:val="003306D2"/>
    <w:rsid w:val="00333EC5"/>
    <w:rsid w:val="00340C3B"/>
    <w:rsid w:val="0034698B"/>
    <w:rsid w:val="00350C9E"/>
    <w:rsid w:val="003606BF"/>
    <w:rsid w:val="00363DE4"/>
    <w:rsid w:val="0036513B"/>
    <w:rsid w:val="00366419"/>
    <w:rsid w:val="003866C6"/>
    <w:rsid w:val="0039137A"/>
    <w:rsid w:val="003927A7"/>
    <w:rsid w:val="003A04F8"/>
    <w:rsid w:val="003B397B"/>
    <w:rsid w:val="003B7B6B"/>
    <w:rsid w:val="003D0C83"/>
    <w:rsid w:val="003D174A"/>
    <w:rsid w:val="003D5FC8"/>
    <w:rsid w:val="003D7A4C"/>
    <w:rsid w:val="003F53B7"/>
    <w:rsid w:val="004014F3"/>
    <w:rsid w:val="00404012"/>
    <w:rsid w:val="004130C2"/>
    <w:rsid w:val="004167C0"/>
    <w:rsid w:val="004307C5"/>
    <w:rsid w:val="00434349"/>
    <w:rsid w:val="0043512A"/>
    <w:rsid w:val="00435CAB"/>
    <w:rsid w:val="004422CD"/>
    <w:rsid w:val="00457AD1"/>
    <w:rsid w:val="00457BA0"/>
    <w:rsid w:val="004626A1"/>
    <w:rsid w:val="004649EE"/>
    <w:rsid w:val="00472BFB"/>
    <w:rsid w:val="00486FD1"/>
    <w:rsid w:val="00496EDD"/>
    <w:rsid w:val="00497579"/>
    <w:rsid w:val="004A2B84"/>
    <w:rsid w:val="004A420D"/>
    <w:rsid w:val="004B1509"/>
    <w:rsid w:val="004B1A0C"/>
    <w:rsid w:val="004B3FFD"/>
    <w:rsid w:val="004B6B4B"/>
    <w:rsid w:val="004C1647"/>
    <w:rsid w:val="004C280F"/>
    <w:rsid w:val="004C3D03"/>
    <w:rsid w:val="004D2FE3"/>
    <w:rsid w:val="004D7D08"/>
    <w:rsid w:val="004E411F"/>
    <w:rsid w:val="004F0915"/>
    <w:rsid w:val="004F785A"/>
    <w:rsid w:val="00503C11"/>
    <w:rsid w:val="00507D1B"/>
    <w:rsid w:val="005128DF"/>
    <w:rsid w:val="005131D1"/>
    <w:rsid w:val="00526865"/>
    <w:rsid w:val="00537879"/>
    <w:rsid w:val="00553DFF"/>
    <w:rsid w:val="005712C0"/>
    <w:rsid w:val="00586ECF"/>
    <w:rsid w:val="0059273D"/>
    <w:rsid w:val="0059688B"/>
    <w:rsid w:val="005A3EA7"/>
    <w:rsid w:val="005A6416"/>
    <w:rsid w:val="005A716C"/>
    <w:rsid w:val="005B4880"/>
    <w:rsid w:val="005B7444"/>
    <w:rsid w:val="005C1EB8"/>
    <w:rsid w:val="005C605F"/>
    <w:rsid w:val="005C6184"/>
    <w:rsid w:val="005F2BFA"/>
    <w:rsid w:val="0060655C"/>
    <w:rsid w:val="00606AA1"/>
    <w:rsid w:val="006118E8"/>
    <w:rsid w:val="00614570"/>
    <w:rsid w:val="00623CAB"/>
    <w:rsid w:val="00634DA8"/>
    <w:rsid w:val="00636E65"/>
    <w:rsid w:val="00646820"/>
    <w:rsid w:val="0067244C"/>
    <w:rsid w:val="00673DED"/>
    <w:rsid w:val="0068116C"/>
    <w:rsid w:val="00682ED9"/>
    <w:rsid w:val="00684F91"/>
    <w:rsid w:val="0069486A"/>
    <w:rsid w:val="006A4EF7"/>
    <w:rsid w:val="006B4E49"/>
    <w:rsid w:val="006C10E3"/>
    <w:rsid w:val="006C59DE"/>
    <w:rsid w:val="006C777F"/>
    <w:rsid w:val="006D0C00"/>
    <w:rsid w:val="006D441A"/>
    <w:rsid w:val="006D5DBB"/>
    <w:rsid w:val="00702E55"/>
    <w:rsid w:val="00703B17"/>
    <w:rsid w:val="00707A3F"/>
    <w:rsid w:val="0071141D"/>
    <w:rsid w:val="00712394"/>
    <w:rsid w:val="00712410"/>
    <w:rsid w:val="0072595F"/>
    <w:rsid w:val="00744F6B"/>
    <w:rsid w:val="007505E3"/>
    <w:rsid w:val="00766A22"/>
    <w:rsid w:val="00767A60"/>
    <w:rsid w:val="00774264"/>
    <w:rsid w:val="007826DE"/>
    <w:rsid w:val="007945F9"/>
    <w:rsid w:val="007951C5"/>
    <w:rsid w:val="00795973"/>
    <w:rsid w:val="007A629E"/>
    <w:rsid w:val="007B1EEE"/>
    <w:rsid w:val="007C3DA3"/>
    <w:rsid w:val="007C5C7E"/>
    <w:rsid w:val="007C71C9"/>
    <w:rsid w:val="007E1965"/>
    <w:rsid w:val="007E6EC3"/>
    <w:rsid w:val="007F7BB1"/>
    <w:rsid w:val="0080048A"/>
    <w:rsid w:val="008043EB"/>
    <w:rsid w:val="00816936"/>
    <w:rsid w:val="0082095E"/>
    <w:rsid w:val="0082167F"/>
    <w:rsid w:val="00835489"/>
    <w:rsid w:val="00855191"/>
    <w:rsid w:val="0085739C"/>
    <w:rsid w:val="00873C37"/>
    <w:rsid w:val="00891254"/>
    <w:rsid w:val="008A6D52"/>
    <w:rsid w:val="008A6E95"/>
    <w:rsid w:val="008B49AD"/>
    <w:rsid w:val="008C2803"/>
    <w:rsid w:val="008C4D43"/>
    <w:rsid w:val="008C61A2"/>
    <w:rsid w:val="008E4F1B"/>
    <w:rsid w:val="009046F7"/>
    <w:rsid w:val="00905E3A"/>
    <w:rsid w:val="009100E4"/>
    <w:rsid w:val="00925CB0"/>
    <w:rsid w:val="0094491D"/>
    <w:rsid w:val="00950B8A"/>
    <w:rsid w:val="00963539"/>
    <w:rsid w:val="0097121A"/>
    <w:rsid w:val="009717C2"/>
    <w:rsid w:val="0098306A"/>
    <w:rsid w:val="00984DC9"/>
    <w:rsid w:val="009867EA"/>
    <w:rsid w:val="00986EE9"/>
    <w:rsid w:val="00993A8C"/>
    <w:rsid w:val="00996939"/>
    <w:rsid w:val="009A01E9"/>
    <w:rsid w:val="009B09DF"/>
    <w:rsid w:val="009C7A4F"/>
    <w:rsid w:val="009D468E"/>
    <w:rsid w:val="009E2398"/>
    <w:rsid w:val="009F18A5"/>
    <w:rsid w:val="009F1A2D"/>
    <w:rsid w:val="009F5752"/>
    <w:rsid w:val="00A16819"/>
    <w:rsid w:val="00A25031"/>
    <w:rsid w:val="00A30379"/>
    <w:rsid w:val="00A310C6"/>
    <w:rsid w:val="00A40059"/>
    <w:rsid w:val="00A43121"/>
    <w:rsid w:val="00A47245"/>
    <w:rsid w:val="00A47316"/>
    <w:rsid w:val="00A57AA9"/>
    <w:rsid w:val="00A60038"/>
    <w:rsid w:val="00A630DE"/>
    <w:rsid w:val="00A63D7B"/>
    <w:rsid w:val="00A72EA4"/>
    <w:rsid w:val="00A7441F"/>
    <w:rsid w:val="00A85254"/>
    <w:rsid w:val="00AA478C"/>
    <w:rsid w:val="00AA517E"/>
    <w:rsid w:val="00AB0E71"/>
    <w:rsid w:val="00AC302A"/>
    <w:rsid w:val="00AC35D3"/>
    <w:rsid w:val="00AC5F69"/>
    <w:rsid w:val="00AC6A44"/>
    <w:rsid w:val="00AD341A"/>
    <w:rsid w:val="00AE3D48"/>
    <w:rsid w:val="00AE4B86"/>
    <w:rsid w:val="00AF6C1B"/>
    <w:rsid w:val="00B018A3"/>
    <w:rsid w:val="00B0363B"/>
    <w:rsid w:val="00B04F81"/>
    <w:rsid w:val="00B178BC"/>
    <w:rsid w:val="00B31F9B"/>
    <w:rsid w:val="00B3399D"/>
    <w:rsid w:val="00B44873"/>
    <w:rsid w:val="00B47646"/>
    <w:rsid w:val="00B55E7B"/>
    <w:rsid w:val="00B62624"/>
    <w:rsid w:val="00B76A02"/>
    <w:rsid w:val="00B77FB5"/>
    <w:rsid w:val="00B913C1"/>
    <w:rsid w:val="00B93216"/>
    <w:rsid w:val="00BA0397"/>
    <w:rsid w:val="00BA1A59"/>
    <w:rsid w:val="00BA772F"/>
    <w:rsid w:val="00BB4B5E"/>
    <w:rsid w:val="00BC14A7"/>
    <w:rsid w:val="00BC2685"/>
    <w:rsid w:val="00BC3DE1"/>
    <w:rsid w:val="00BE0E17"/>
    <w:rsid w:val="00BE3F5D"/>
    <w:rsid w:val="00BF5B00"/>
    <w:rsid w:val="00BF69C5"/>
    <w:rsid w:val="00BF7767"/>
    <w:rsid w:val="00C02671"/>
    <w:rsid w:val="00C11D85"/>
    <w:rsid w:val="00C14CDF"/>
    <w:rsid w:val="00C16E6C"/>
    <w:rsid w:val="00C206D0"/>
    <w:rsid w:val="00C215A6"/>
    <w:rsid w:val="00C27EE5"/>
    <w:rsid w:val="00C36524"/>
    <w:rsid w:val="00C47FAA"/>
    <w:rsid w:val="00C575EB"/>
    <w:rsid w:val="00C57E8D"/>
    <w:rsid w:val="00C7526E"/>
    <w:rsid w:val="00C75D70"/>
    <w:rsid w:val="00C84933"/>
    <w:rsid w:val="00C9048A"/>
    <w:rsid w:val="00CA5564"/>
    <w:rsid w:val="00CA6E99"/>
    <w:rsid w:val="00CB0401"/>
    <w:rsid w:val="00CB4A20"/>
    <w:rsid w:val="00CC0478"/>
    <w:rsid w:val="00CC0ABE"/>
    <w:rsid w:val="00CC28EA"/>
    <w:rsid w:val="00CC48DA"/>
    <w:rsid w:val="00CD09C3"/>
    <w:rsid w:val="00CD7DC2"/>
    <w:rsid w:val="00CE0883"/>
    <w:rsid w:val="00CE2432"/>
    <w:rsid w:val="00CF0A6A"/>
    <w:rsid w:val="00D03FF1"/>
    <w:rsid w:val="00D043B0"/>
    <w:rsid w:val="00D06A82"/>
    <w:rsid w:val="00D10B56"/>
    <w:rsid w:val="00D171A1"/>
    <w:rsid w:val="00D33F8D"/>
    <w:rsid w:val="00D40986"/>
    <w:rsid w:val="00D53283"/>
    <w:rsid w:val="00D53756"/>
    <w:rsid w:val="00D61281"/>
    <w:rsid w:val="00D65524"/>
    <w:rsid w:val="00D66920"/>
    <w:rsid w:val="00D73A18"/>
    <w:rsid w:val="00D90D74"/>
    <w:rsid w:val="00D926A4"/>
    <w:rsid w:val="00DA0AEA"/>
    <w:rsid w:val="00DA3F5A"/>
    <w:rsid w:val="00DB2826"/>
    <w:rsid w:val="00DB5604"/>
    <w:rsid w:val="00DD5A8B"/>
    <w:rsid w:val="00DD7F24"/>
    <w:rsid w:val="00DE5CF8"/>
    <w:rsid w:val="00DF404D"/>
    <w:rsid w:val="00E01610"/>
    <w:rsid w:val="00E03799"/>
    <w:rsid w:val="00E0405D"/>
    <w:rsid w:val="00E07100"/>
    <w:rsid w:val="00E072F7"/>
    <w:rsid w:val="00E10E75"/>
    <w:rsid w:val="00E160A0"/>
    <w:rsid w:val="00E17693"/>
    <w:rsid w:val="00E2276A"/>
    <w:rsid w:val="00E23998"/>
    <w:rsid w:val="00E27225"/>
    <w:rsid w:val="00E368B4"/>
    <w:rsid w:val="00E404A1"/>
    <w:rsid w:val="00E5664B"/>
    <w:rsid w:val="00E61E4F"/>
    <w:rsid w:val="00E6357B"/>
    <w:rsid w:val="00E65665"/>
    <w:rsid w:val="00E7179A"/>
    <w:rsid w:val="00E73D80"/>
    <w:rsid w:val="00E925C6"/>
    <w:rsid w:val="00E934BC"/>
    <w:rsid w:val="00EA0654"/>
    <w:rsid w:val="00EA137C"/>
    <w:rsid w:val="00EB41A7"/>
    <w:rsid w:val="00EB4E92"/>
    <w:rsid w:val="00EC364B"/>
    <w:rsid w:val="00EC7079"/>
    <w:rsid w:val="00ED152E"/>
    <w:rsid w:val="00ED2050"/>
    <w:rsid w:val="00EE4D80"/>
    <w:rsid w:val="00EF5F13"/>
    <w:rsid w:val="00EF6316"/>
    <w:rsid w:val="00F0133F"/>
    <w:rsid w:val="00F019E5"/>
    <w:rsid w:val="00F1002A"/>
    <w:rsid w:val="00F130FC"/>
    <w:rsid w:val="00F1658A"/>
    <w:rsid w:val="00F21E1D"/>
    <w:rsid w:val="00F229B1"/>
    <w:rsid w:val="00F2660F"/>
    <w:rsid w:val="00F30E12"/>
    <w:rsid w:val="00F334EB"/>
    <w:rsid w:val="00F362B1"/>
    <w:rsid w:val="00F44987"/>
    <w:rsid w:val="00F47ABF"/>
    <w:rsid w:val="00F63F4E"/>
    <w:rsid w:val="00F66E4C"/>
    <w:rsid w:val="00F67B7F"/>
    <w:rsid w:val="00F757DF"/>
    <w:rsid w:val="00F81116"/>
    <w:rsid w:val="00F8159E"/>
    <w:rsid w:val="00F84658"/>
    <w:rsid w:val="00F84ADF"/>
    <w:rsid w:val="00F84E1D"/>
    <w:rsid w:val="00FB1CF5"/>
    <w:rsid w:val="00FB2638"/>
    <w:rsid w:val="00FB7BDA"/>
    <w:rsid w:val="00FC22C6"/>
    <w:rsid w:val="00FD0022"/>
    <w:rsid w:val="00FD182E"/>
    <w:rsid w:val="00FD1A7E"/>
    <w:rsid w:val="00FD21CF"/>
    <w:rsid w:val="00FD2478"/>
    <w:rsid w:val="00FD7236"/>
    <w:rsid w:val="00FE6752"/>
    <w:rsid w:val="00FF6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480523"/>
  <w15:docId w15:val="{EDA582FE-ED86-4DC7-A233-398766530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A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00752"/>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0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0A6A"/>
    <w:pPr>
      <w:ind w:left="720"/>
      <w:contextualSpacing/>
    </w:pPr>
  </w:style>
  <w:style w:type="character" w:styleId="Emphasis">
    <w:name w:val="Emphasis"/>
    <w:basedOn w:val="DefaultParagraphFont"/>
    <w:uiPriority w:val="20"/>
    <w:qFormat/>
    <w:rsid w:val="00C575EB"/>
    <w:rPr>
      <w:i/>
      <w:iCs/>
    </w:rPr>
  </w:style>
  <w:style w:type="paragraph" w:styleId="Header">
    <w:name w:val="header"/>
    <w:basedOn w:val="Normal"/>
    <w:link w:val="HeaderChar"/>
    <w:unhideWhenUsed/>
    <w:rsid w:val="00774264"/>
    <w:pPr>
      <w:tabs>
        <w:tab w:val="center" w:pos="4680"/>
        <w:tab w:val="right" w:pos="9360"/>
      </w:tabs>
    </w:pPr>
  </w:style>
  <w:style w:type="character" w:customStyle="1" w:styleId="HeaderChar">
    <w:name w:val="Header Char"/>
    <w:basedOn w:val="DefaultParagraphFont"/>
    <w:link w:val="Header"/>
    <w:rsid w:val="0077426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4264"/>
    <w:pPr>
      <w:tabs>
        <w:tab w:val="center" w:pos="4680"/>
        <w:tab w:val="right" w:pos="9360"/>
      </w:tabs>
    </w:pPr>
  </w:style>
  <w:style w:type="character" w:customStyle="1" w:styleId="FooterChar">
    <w:name w:val="Footer Char"/>
    <w:basedOn w:val="DefaultParagraphFont"/>
    <w:link w:val="Footer"/>
    <w:uiPriority w:val="99"/>
    <w:rsid w:val="0077426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84933"/>
    <w:rPr>
      <w:rFonts w:ascii="Tahoma" w:hAnsi="Tahoma" w:cs="Tahoma"/>
      <w:sz w:val="16"/>
      <w:szCs w:val="16"/>
    </w:rPr>
  </w:style>
  <w:style w:type="character" w:customStyle="1" w:styleId="BalloonTextChar">
    <w:name w:val="Balloon Text Char"/>
    <w:basedOn w:val="DefaultParagraphFont"/>
    <w:link w:val="BalloonText"/>
    <w:uiPriority w:val="99"/>
    <w:semiHidden/>
    <w:rsid w:val="00C84933"/>
    <w:rPr>
      <w:rFonts w:ascii="Tahoma" w:eastAsia="Times New Roman" w:hAnsi="Tahoma" w:cs="Tahoma"/>
      <w:sz w:val="16"/>
      <w:szCs w:val="16"/>
    </w:rPr>
  </w:style>
  <w:style w:type="character" w:customStyle="1" w:styleId="apple-converted-space">
    <w:name w:val="apple-converted-space"/>
    <w:basedOn w:val="DefaultParagraphFont"/>
    <w:rsid w:val="00162022"/>
  </w:style>
  <w:style w:type="paragraph" w:styleId="FootnoteText">
    <w:name w:val="footnote text"/>
    <w:basedOn w:val="Normal"/>
    <w:link w:val="FootnoteTextChar"/>
    <w:uiPriority w:val="99"/>
    <w:unhideWhenUsed/>
    <w:rsid w:val="006D5DBB"/>
    <w:rPr>
      <w:sz w:val="20"/>
      <w:szCs w:val="20"/>
    </w:rPr>
  </w:style>
  <w:style w:type="character" w:customStyle="1" w:styleId="FootnoteTextChar">
    <w:name w:val="Footnote Text Char"/>
    <w:basedOn w:val="DefaultParagraphFont"/>
    <w:link w:val="FootnoteText"/>
    <w:uiPriority w:val="99"/>
    <w:rsid w:val="006D5DB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D5DBB"/>
    <w:rPr>
      <w:vertAlign w:val="superscript"/>
    </w:rPr>
  </w:style>
  <w:style w:type="character" w:styleId="CommentReference">
    <w:name w:val="annotation reference"/>
    <w:basedOn w:val="DefaultParagraphFont"/>
    <w:uiPriority w:val="99"/>
    <w:semiHidden/>
    <w:unhideWhenUsed/>
    <w:rsid w:val="00CC28EA"/>
    <w:rPr>
      <w:sz w:val="16"/>
      <w:szCs w:val="16"/>
    </w:rPr>
  </w:style>
  <w:style w:type="paragraph" w:styleId="CommentText">
    <w:name w:val="annotation text"/>
    <w:basedOn w:val="Normal"/>
    <w:link w:val="CommentTextChar"/>
    <w:uiPriority w:val="99"/>
    <w:unhideWhenUsed/>
    <w:rsid w:val="00CC28EA"/>
    <w:rPr>
      <w:sz w:val="20"/>
      <w:szCs w:val="20"/>
    </w:rPr>
  </w:style>
  <w:style w:type="character" w:customStyle="1" w:styleId="CommentTextChar">
    <w:name w:val="Comment Text Char"/>
    <w:basedOn w:val="DefaultParagraphFont"/>
    <w:link w:val="CommentText"/>
    <w:uiPriority w:val="99"/>
    <w:rsid w:val="00CC28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C28EA"/>
    <w:rPr>
      <w:b/>
      <w:bCs/>
    </w:rPr>
  </w:style>
  <w:style w:type="character" w:customStyle="1" w:styleId="CommentSubjectChar">
    <w:name w:val="Comment Subject Char"/>
    <w:basedOn w:val="CommentTextChar"/>
    <w:link w:val="CommentSubject"/>
    <w:uiPriority w:val="99"/>
    <w:semiHidden/>
    <w:rsid w:val="00CC28EA"/>
    <w:rPr>
      <w:rFonts w:ascii="Times New Roman" w:eastAsia="Times New Roman" w:hAnsi="Times New Roman" w:cs="Times New Roman"/>
      <w:b/>
      <w:bCs/>
      <w:sz w:val="20"/>
      <w:szCs w:val="20"/>
    </w:rPr>
  </w:style>
  <w:style w:type="paragraph" w:customStyle="1" w:styleId="Default">
    <w:name w:val="Default"/>
    <w:rsid w:val="00744F6B"/>
    <w:pPr>
      <w:autoSpaceDE w:val="0"/>
      <w:autoSpaceDN w:val="0"/>
      <w:adjustRightInd w:val="0"/>
      <w:spacing w:after="0" w:line="240" w:lineRule="auto"/>
    </w:pPr>
    <w:rPr>
      <w:rFonts w:ascii="Myriad Pro" w:hAnsi="Myriad Pro" w:cs="Myriad Pro"/>
      <w:color w:val="000000"/>
      <w:sz w:val="24"/>
      <w:szCs w:val="24"/>
    </w:rPr>
  </w:style>
  <w:style w:type="character" w:customStyle="1" w:styleId="A1">
    <w:name w:val="A1"/>
    <w:uiPriority w:val="99"/>
    <w:rsid w:val="00744F6B"/>
    <w:rPr>
      <w:rFonts w:cs="Myriad Pro"/>
      <w:color w:val="858506"/>
      <w:sz w:val="22"/>
      <w:szCs w:val="22"/>
    </w:rPr>
  </w:style>
  <w:style w:type="character" w:customStyle="1" w:styleId="A3">
    <w:name w:val="A3"/>
    <w:uiPriority w:val="99"/>
    <w:rsid w:val="00744F6B"/>
    <w:rPr>
      <w:rFonts w:cs="Myriad Pro"/>
      <w:color w:val="646464"/>
      <w:sz w:val="18"/>
      <w:szCs w:val="18"/>
    </w:rPr>
  </w:style>
  <w:style w:type="character" w:styleId="Hyperlink">
    <w:name w:val="Hyperlink"/>
    <w:basedOn w:val="DefaultParagraphFont"/>
    <w:uiPriority w:val="99"/>
    <w:unhideWhenUsed/>
    <w:rsid w:val="00A40059"/>
    <w:rPr>
      <w:color w:val="0000FF" w:themeColor="hyperlink"/>
      <w:u w:val="single"/>
    </w:rPr>
  </w:style>
  <w:style w:type="character" w:customStyle="1" w:styleId="Heading1Char">
    <w:name w:val="Heading 1 Char"/>
    <w:basedOn w:val="DefaultParagraphFont"/>
    <w:link w:val="Heading1"/>
    <w:rsid w:val="00300752"/>
    <w:rPr>
      <w:rFonts w:ascii="Times New Roman" w:eastAsia="Times New Roman" w:hAnsi="Times New Roman" w:cs="Times New Roman"/>
      <w:b/>
      <w:bCs/>
      <w:sz w:val="24"/>
      <w:szCs w:val="24"/>
    </w:rPr>
  </w:style>
  <w:style w:type="paragraph" w:styleId="Revision">
    <w:name w:val="Revision"/>
    <w:hidden/>
    <w:uiPriority w:val="99"/>
    <w:semiHidden/>
    <w:rsid w:val="0060655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544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118640-E6A3-49E4-B179-06F1C2967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7</Pages>
  <Words>2041</Words>
  <Characters>11640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AED</Company>
  <LinksUpToDate>false</LinksUpToDate>
  <CharactersWithSpaces>13654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lplanas</dc:creator>
  <cp:lastModifiedBy>Macaluso, Renita (CDC/ONDIEH/NCCDPHP)</cp:lastModifiedBy>
  <cp:revision>8</cp:revision>
  <cp:lastPrinted>2012-09-05T15:52:00Z</cp:lastPrinted>
  <dcterms:created xsi:type="dcterms:W3CDTF">2016-06-30T14:55:00Z</dcterms:created>
  <dcterms:modified xsi:type="dcterms:W3CDTF">2016-06-30T23:05:00Z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