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16" w:rsidRPr="00557803" w:rsidRDefault="008C2E16" w:rsidP="008C2E16">
      <w:pPr>
        <w:autoSpaceDE w:val="0"/>
        <w:autoSpaceDN w:val="0"/>
        <w:adjustRightInd w:val="0"/>
        <w:spacing w:line="480" w:lineRule="auto"/>
        <w:jc w:val="center"/>
        <w:rPr>
          <w:b/>
          <w:sz w:val="24"/>
          <w:szCs w:val="24"/>
        </w:rPr>
      </w:pPr>
      <w:r w:rsidRPr="00557803">
        <w:rPr>
          <w:b/>
          <w:sz w:val="24"/>
          <w:szCs w:val="24"/>
        </w:rPr>
        <w:t>References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33226" w:rsidRDefault="008C2E16" w:rsidP="00D33226">
      <w:pPr>
        <w:ind w:left="720" w:hanging="720"/>
        <w:rPr>
          <w:sz w:val="24"/>
          <w:szCs w:val="24"/>
        </w:rPr>
      </w:pPr>
      <w:r w:rsidRPr="00557803">
        <w:rPr>
          <w:sz w:val="24"/>
          <w:szCs w:val="24"/>
        </w:rPr>
        <w:t>Cantor, D. (2010) “Two Approaches to Address Non-Response: A Case Study with the Health Information National Trends Survey (HINTS)” pp. 73-98 in Rutten, L., Hesse, B., Moser, R. and G. Kreps (</w:t>
      </w:r>
      <w:proofErr w:type="spellStart"/>
      <w:proofErr w:type="gramStart"/>
      <w:r w:rsidRPr="00557803">
        <w:rPr>
          <w:sz w:val="24"/>
          <w:szCs w:val="24"/>
        </w:rPr>
        <w:t>eds</w:t>
      </w:r>
      <w:proofErr w:type="spellEnd"/>
      <w:proofErr w:type="gramEnd"/>
      <w:r w:rsidRPr="00557803">
        <w:rPr>
          <w:sz w:val="24"/>
          <w:szCs w:val="24"/>
        </w:rPr>
        <w:t xml:space="preserve">) </w:t>
      </w:r>
      <w:r w:rsidRPr="00557803">
        <w:rPr>
          <w:i/>
          <w:sz w:val="24"/>
          <w:szCs w:val="24"/>
        </w:rPr>
        <w:t>Building the Evidence Base in Cancer Communication</w:t>
      </w:r>
      <w:r w:rsidRPr="00557803">
        <w:rPr>
          <w:sz w:val="24"/>
          <w:szCs w:val="24"/>
        </w:rPr>
        <w:t>.  Hampton Press: Cresskill, NJ.</w:t>
      </w:r>
    </w:p>
    <w:p w:rsidR="00D33226" w:rsidRDefault="00D33226" w:rsidP="00D33226">
      <w:pPr>
        <w:ind w:left="720" w:hanging="720"/>
        <w:rPr>
          <w:sz w:val="24"/>
          <w:szCs w:val="24"/>
        </w:rPr>
      </w:pPr>
    </w:p>
    <w:p w:rsidR="00D33226" w:rsidRDefault="00D33226" w:rsidP="00D33226">
      <w:pPr>
        <w:ind w:left="720" w:hanging="720"/>
        <w:rPr>
          <w:sz w:val="24"/>
          <w:szCs w:val="24"/>
        </w:rPr>
      </w:pPr>
      <w:r w:rsidRPr="00D33226">
        <w:rPr>
          <w:sz w:val="24"/>
          <w:szCs w:val="24"/>
        </w:rPr>
        <w:t>Cantor, D. (2009). Two approaches to address non-response: A case study with the Health Information National Trends Survey (HINTS) In Rutten, L., Hesse, B., Moser, R. and G. Kreps (</w:t>
      </w:r>
      <w:proofErr w:type="spellStart"/>
      <w:proofErr w:type="gramStart"/>
      <w:r w:rsidRPr="00D33226">
        <w:rPr>
          <w:sz w:val="24"/>
          <w:szCs w:val="24"/>
        </w:rPr>
        <w:t>eds</w:t>
      </w:r>
      <w:proofErr w:type="spellEnd"/>
      <w:proofErr w:type="gramEnd"/>
      <w:r w:rsidRPr="00D33226">
        <w:rPr>
          <w:sz w:val="24"/>
          <w:szCs w:val="24"/>
        </w:rPr>
        <w:t xml:space="preserve">) </w:t>
      </w:r>
      <w:r w:rsidRPr="00D33226">
        <w:rPr>
          <w:i/>
          <w:sz w:val="24"/>
          <w:szCs w:val="24"/>
        </w:rPr>
        <w:t>Health Communication</w:t>
      </w:r>
      <w:r w:rsidRPr="00D33226">
        <w:rPr>
          <w:sz w:val="24"/>
          <w:szCs w:val="24"/>
        </w:rPr>
        <w:t>. Hampton Press: Cresskill, NJ.</w:t>
      </w:r>
    </w:p>
    <w:p w:rsidR="004959D2" w:rsidRPr="00D33226" w:rsidRDefault="004959D2" w:rsidP="00D33226">
      <w:pPr>
        <w:ind w:left="720" w:hanging="720"/>
        <w:rPr>
          <w:sz w:val="24"/>
          <w:szCs w:val="24"/>
        </w:rPr>
      </w:pPr>
    </w:p>
    <w:p w:rsidR="008C2E16" w:rsidRPr="00557803" w:rsidRDefault="008C2E16" w:rsidP="008C2E16">
      <w:pPr>
        <w:ind w:left="720" w:hanging="720"/>
        <w:rPr>
          <w:sz w:val="24"/>
          <w:szCs w:val="24"/>
        </w:rPr>
      </w:pPr>
      <w:r w:rsidRPr="00557803">
        <w:rPr>
          <w:sz w:val="24"/>
          <w:szCs w:val="24"/>
        </w:rPr>
        <w:t>Cantor, D., Sigman, R., Crystal-</w:t>
      </w:r>
      <w:proofErr w:type="spellStart"/>
      <w:r w:rsidRPr="00557803">
        <w:rPr>
          <w:sz w:val="24"/>
          <w:szCs w:val="24"/>
        </w:rPr>
        <w:t>Monsour</w:t>
      </w:r>
      <w:proofErr w:type="spellEnd"/>
      <w:r w:rsidRPr="00557803">
        <w:rPr>
          <w:sz w:val="24"/>
          <w:szCs w:val="24"/>
        </w:rPr>
        <w:t xml:space="preserve">, S., Davis, T. and K. </w:t>
      </w:r>
      <w:proofErr w:type="gramStart"/>
      <w:r w:rsidRPr="00557803">
        <w:rPr>
          <w:sz w:val="24"/>
          <w:szCs w:val="24"/>
        </w:rPr>
        <w:t>Coa</w:t>
      </w:r>
      <w:proofErr w:type="gramEnd"/>
      <w:r w:rsidRPr="00557803">
        <w:rPr>
          <w:sz w:val="24"/>
          <w:szCs w:val="24"/>
        </w:rPr>
        <w:t xml:space="preserve"> (2007). </w:t>
      </w:r>
      <w:proofErr w:type="gramStart"/>
      <w:r w:rsidRPr="00557803">
        <w:rPr>
          <w:i/>
          <w:sz w:val="24"/>
          <w:szCs w:val="24"/>
        </w:rPr>
        <w:t>Results of the HINTS III Pilot of Mail Survey</w:t>
      </w:r>
      <w:r w:rsidRPr="00557803">
        <w:rPr>
          <w:sz w:val="24"/>
          <w:szCs w:val="24"/>
        </w:rPr>
        <w:t>.</w:t>
      </w:r>
      <w:proofErr w:type="gramEnd"/>
      <w:r w:rsidRPr="00557803">
        <w:rPr>
          <w:sz w:val="24"/>
          <w:szCs w:val="24"/>
        </w:rPr>
        <w:t xml:space="preserve">  Presentation to the National Cancer Institute, November 19, 2007.</w:t>
      </w:r>
    </w:p>
    <w:p w:rsidR="008C2E16" w:rsidRPr="00557803" w:rsidRDefault="008C2E16" w:rsidP="008C2E16">
      <w:pPr>
        <w:ind w:left="720" w:hanging="720"/>
        <w:rPr>
          <w:sz w:val="24"/>
          <w:szCs w:val="24"/>
        </w:rPr>
      </w:pPr>
    </w:p>
    <w:p w:rsidR="008C2E16" w:rsidRPr="00557803" w:rsidRDefault="008C2E16" w:rsidP="008C2E16">
      <w:pPr>
        <w:ind w:left="720" w:hanging="720"/>
        <w:rPr>
          <w:sz w:val="24"/>
          <w:szCs w:val="24"/>
        </w:rPr>
      </w:pPr>
      <w:r w:rsidRPr="00557803">
        <w:rPr>
          <w:sz w:val="24"/>
          <w:szCs w:val="24"/>
        </w:rPr>
        <w:t xml:space="preserve">Church, A. (1993) “Estimating the Effect of Incentives on Mail Survey Response Rates: A Meta-Analysis.”  Public Opinion Quarterly </w:t>
      </w:r>
      <w:r w:rsidRPr="00557803">
        <w:rPr>
          <w:bCs/>
          <w:sz w:val="24"/>
          <w:szCs w:val="24"/>
        </w:rPr>
        <w:t>Volume 57:62-79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  <w:proofErr w:type="spellStart"/>
      <w:proofErr w:type="gramStart"/>
      <w:r w:rsidRPr="00557803">
        <w:rPr>
          <w:sz w:val="24"/>
          <w:szCs w:val="24"/>
        </w:rPr>
        <w:t>Croyle</w:t>
      </w:r>
      <w:proofErr w:type="spellEnd"/>
      <w:r w:rsidRPr="00557803">
        <w:rPr>
          <w:sz w:val="24"/>
          <w:szCs w:val="24"/>
        </w:rPr>
        <w:t xml:space="preserve">, R.T., and </w:t>
      </w:r>
      <w:proofErr w:type="spellStart"/>
      <w:r w:rsidRPr="00557803">
        <w:rPr>
          <w:sz w:val="24"/>
          <w:szCs w:val="24"/>
        </w:rPr>
        <w:t>Lerman</w:t>
      </w:r>
      <w:proofErr w:type="spellEnd"/>
      <w:r w:rsidRPr="00557803">
        <w:rPr>
          <w:sz w:val="24"/>
          <w:szCs w:val="24"/>
        </w:rPr>
        <w:t>, C. (1999).</w:t>
      </w:r>
      <w:proofErr w:type="gramEnd"/>
      <w:r w:rsidRPr="00557803">
        <w:rPr>
          <w:sz w:val="24"/>
          <w:szCs w:val="24"/>
        </w:rPr>
        <w:t xml:space="preserve"> </w:t>
      </w:r>
      <w:proofErr w:type="gramStart"/>
      <w:r w:rsidRPr="00557803">
        <w:rPr>
          <w:sz w:val="24"/>
          <w:szCs w:val="24"/>
        </w:rPr>
        <w:t>Risk communication in genetic testing for Journal of the National Cancer Institute.</w:t>
      </w:r>
      <w:proofErr w:type="gramEnd"/>
      <w:r w:rsidRPr="00557803">
        <w:rPr>
          <w:sz w:val="24"/>
          <w:szCs w:val="24"/>
        </w:rPr>
        <w:t xml:space="preserve"> Monographs, 25, 59-66.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  <w:proofErr w:type="gramStart"/>
      <w:r w:rsidRPr="00557803">
        <w:rPr>
          <w:sz w:val="24"/>
          <w:szCs w:val="24"/>
        </w:rPr>
        <w:t>Curtin, R., Presser, S., and Singer, E. (2005).</w:t>
      </w:r>
      <w:proofErr w:type="gramEnd"/>
      <w:r w:rsidRPr="00557803">
        <w:rPr>
          <w:sz w:val="24"/>
          <w:szCs w:val="24"/>
        </w:rPr>
        <w:t xml:space="preserve"> Changes in the telephone survey nonresponse over the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/>
        <w:jc w:val="left"/>
        <w:rPr>
          <w:sz w:val="24"/>
          <w:szCs w:val="24"/>
        </w:rPr>
      </w:pPr>
      <w:proofErr w:type="gramStart"/>
      <w:r w:rsidRPr="00557803">
        <w:rPr>
          <w:sz w:val="24"/>
          <w:szCs w:val="24"/>
        </w:rPr>
        <w:t>past</w:t>
      </w:r>
      <w:proofErr w:type="gramEnd"/>
      <w:r w:rsidRPr="00557803">
        <w:rPr>
          <w:sz w:val="24"/>
          <w:szCs w:val="24"/>
        </w:rPr>
        <w:t xml:space="preserve"> quarter century. </w:t>
      </w:r>
      <w:r w:rsidRPr="00557803">
        <w:rPr>
          <w:i/>
          <w:iCs/>
          <w:sz w:val="24"/>
          <w:szCs w:val="24"/>
        </w:rPr>
        <w:t>Public Opinion Quarterly, 69</w:t>
      </w:r>
      <w:r w:rsidRPr="00557803">
        <w:rPr>
          <w:sz w:val="24"/>
          <w:szCs w:val="24"/>
        </w:rPr>
        <w:t>, 87-98.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  <w:proofErr w:type="spellStart"/>
      <w:proofErr w:type="gramStart"/>
      <w:r w:rsidRPr="00557803">
        <w:rPr>
          <w:sz w:val="24"/>
          <w:szCs w:val="24"/>
        </w:rPr>
        <w:t>Dillman</w:t>
      </w:r>
      <w:proofErr w:type="spellEnd"/>
      <w:r w:rsidRPr="00557803">
        <w:rPr>
          <w:sz w:val="24"/>
          <w:szCs w:val="24"/>
        </w:rPr>
        <w:t>, D. A. (2000).</w:t>
      </w:r>
      <w:proofErr w:type="gramEnd"/>
      <w:r w:rsidRPr="00557803">
        <w:rPr>
          <w:sz w:val="24"/>
          <w:szCs w:val="24"/>
        </w:rPr>
        <w:t xml:space="preserve"> </w:t>
      </w:r>
      <w:r w:rsidRPr="00557803">
        <w:rPr>
          <w:i/>
          <w:iCs/>
          <w:sz w:val="24"/>
          <w:szCs w:val="24"/>
        </w:rPr>
        <w:t xml:space="preserve">Mail and Internet surveys: The tailored design method, </w:t>
      </w:r>
      <w:r w:rsidRPr="00557803">
        <w:rPr>
          <w:sz w:val="24"/>
          <w:szCs w:val="24"/>
        </w:rPr>
        <w:t xml:space="preserve">(2nd </w:t>
      </w:r>
      <w:proofErr w:type="gramStart"/>
      <w:r w:rsidRPr="00557803">
        <w:rPr>
          <w:sz w:val="24"/>
          <w:szCs w:val="24"/>
        </w:rPr>
        <w:t>ed</w:t>
      </w:r>
      <w:proofErr w:type="gramEnd"/>
      <w:r w:rsidRPr="00557803">
        <w:rPr>
          <w:sz w:val="24"/>
          <w:szCs w:val="24"/>
        </w:rPr>
        <w:t>.). New York: John Wiley &amp; Sons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  <w:proofErr w:type="spellStart"/>
      <w:r w:rsidRPr="00557803">
        <w:rPr>
          <w:sz w:val="24"/>
          <w:szCs w:val="24"/>
        </w:rPr>
        <w:t>Dillman</w:t>
      </w:r>
      <w:proofErr w:type="spellEnd"/>
      <w:r w:rsidRPr="00557803">
        <w:rPr>
          <w:sz w:val="24"/>
          <w:szCs w:val="24"/>
        </w:rPr>
        <w:t>, D.A., Smyth, J.D. and Christian, L.M. (2009</w:t>
      </w:r>
      <w:proofErr w:type="gramStart"/>
      <w:r w:rsidRPr="00557803">
        <w:rPr>
          <w:sz w:val="24"/>
          <w:szCs w:val="24"/>
        </w:rPr>
        <w:t xml:space="preserve">)  </w:t>
      </w:r>
      <w:r w:rsidRPr="00557803">
        <w:rPr>
          <w:i/>
          <w:sz w:val="24"/>
          <w:szCs w:val="24"/>
        </w:rPr>
        <w:t>Internet</w:t>
      </w:r>
      <w:proofErr w:type="gramEnd"/>
      <w:r w:rsidRPr="00557803">
        <w:rPr>
          <w:i/>
          <w:sz w:val="24"/>
          <w:szCs w:val="24"/>
        </w:rPr>
        <w:t>, mail, and mixed-mode surveys</w:t>
      </w:r>
      <w:r w:rsidRPr="00557803">
        <w:rPr>
          <w:sz w:val="24"/>
          <w:szCs w:val="24"/>
        </w:rPr>
        <w:t xml:space="preserve">:  </w:t>
      </w:r>
      <w:r w:rsidRPr="00557803">
        <w:rPr>
          <w:i/>
          <w:sz w:val="24"/>
          <w:szCs w:val="24"/>
        </w:rPr>
        <w:t>The tailored design method</w:t>
      </w:r>
      <w:r w:rsidRPr="00557803">
        <w:rPr>
          <w:sz w:val="24"/>
          <w:szCs w:val="24"/>
        </w:rPr>
        <w:t xml:space="preserve">.  Hoboken, NJ: John Wiley &amp; Sons. 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  <w:proofErr w:type="spellStart"/>
      <w:proofErr w:type="gramStart"/>
      <w:r w:rsidRPr="00557803">
        <w:rPr>
          <w:sz w:val="24"/>
          <w:szCs w:val="24"/>
        </w:rPr>
        <w:t>Fischhoff</w:t>
      </w:r>
      <w:proofErr w:type="spellEnd"/>
      <w:r w:rsidRPr="00557803">
        <w:rPr>
          <w:sz w:val="24"/>
          <w:szCs w:val="24"/>
        </w:rPr>
        <w:t xml:space="preserve">, B., </w:t>
      </w:r>
      <w:proofErr w:type="spellStart"/>
      <w:r w:rsidRPr="00557803">
        <w:rPr>
          <w:sz w:val="24"/>
          <w:szCs w:val="24"/>
        </w:rPr>
        <w:t>Bostrom</w:t>
      </w:r>
      <w:proofErr w:type="spellEnd"/>
      <w:r w:rsidRPr="00557803">
        <w:rPr>
          <w:sz w:val="24"/>
          <w:szCs w:val="24"/>
        </w:rPr>
        <w:t xml:space="preserve">, A., and </w:t>
      </w:r>
      <w:proofErr w:type="spellStart"/>
      <w:r w:rsidRPr="00557803">
        <w:rPr>
          <w:sz w:val="24"/>
          <w:szCs w:val="24"/>
        </w:rPr>
        <w:t>Quadrel</w:t>
      </w:r>
      <w:proofErr w:type="spellEnd"/>
      <w:r w:rsidRPr="00557803">
        <w:rPr>
          <w:sz w:val="24"/>
          <w:szCs w:val="24"/>
        </w:rPr>
        <w:t>, M.J. (1993).</w:t>
      </w:r>
      <w:proofErr w:type="gramEnd"/>
      <w:r w:rsidRPr="00557803">
        <w:rPr>
          <w:sz w:val="24"/>
          <w:szCs w:val="24"/>
        </w:rPr>
        <w:t xml:space="preserve"> </w:t>
      </w:r>
      <w:proofErr w:type="gramStart"/>
      <w:r w:rsidRPr="00557803">
        <w:rPr>
          <w:sz w:val="24"/>
          <w:szCs w:val="24"/>
        </w:rPr>
        <w:t>Risk perception and communication.</w:t>
      </w:r>
      <w:proofErr w:type="gramEnd"/>
      <w:r w:rsidRPr="00557803">
        <w:rPr>
          <w:sz w:val="24"/>
          <w:szCs w:val="24"/>
        </w:rPr>
        <w:t xml:space="preserve"> </w:t>
      </w:r>
      <w:r w:rsidRPr="00557803">
        <w:rPr>
          <w:i/>
          <w:iCs/>
          <w:sz w:val="24"/>
          <w:szCs w:val="24"/>
        </w:rPr>
        <w:t>Annual Review of Public Health</w:t>
      </w:r>
      <w:r w:rsidRPr="00557803">
        <w:rPr>
          <w:sz w:val="24"/>
          <w:szCs w:val="24"/>
        </w:rPr>
        <w:t>, 14, 183-203.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sz w:val="24"/>
          <w:szCs w:val="24"/>
        </w:rPr>
      </w:pPr>
      <w:proofErr w:type="spellStart"/>
      <w:proofErr w:type="gramStart"/>
      <w:r w:rsidRPr="00557803">
        <w:rPr>
          <w:sz w:val="24"/>
          <w:szCs w:val="24"/>
        </w:rPr>
        <w:t>Glanz</w:t>
      </w:r>
      <w:proofErr w:type="spellEnd"/>
      <w:r w:rsidRPr="00557803">
        <w:rPr>
          <w:sz w:val="24"/>
          <w:szCs w:val="24"/>
        </w:rPr>
        <w:t xml:space="preserve">, K., Lewis, F.M., and </w:t>
      </w:r>
      <w:proofErr w:type="spellStart"/>
      <w:r w:rsidRPr="00557803">
        <w:rPr>
          <w:sz w:val="24"/>
          <w:szCs w:val="24"/>
        </w:rPr>
        <w:t>Rimer</w:t>
      </w:r>
      <w:proofErr w:type="spellEnd"/>
      <w:r w:rsidRPr="00557803">
        <w:rPr>
          <w:sz w:val="24"/>
          <w:szCs w:val="24"/>
        </w:rPr>
        <w:t>, B.K. (1997).</w:t>
      </w:r>
      <w:proofErr w:type="gramEnd"/>
      <w:r w:rsidRPr="00557803">
        <w:rPr>
          <w:sz w:val="24"/>
          <w:szCs w:val="24"/>
        </w:rPr>
        <w:t xml:space="preserve"> </w:t>
      </w:r>
      <w:proofErr w:type="gramStart"/>
      <w:r w:rsidRPr="00557803">
        <w:rPr>
          <w:i/>
          <w:iCs/>
          <w:sz w:val="24"/>
          <w:szCs w:val="24"/>
        </w:rPr>
        <w:t>Health behavior and health education</w:t>
      </w:r>
      <w:r w:rsidRPr="00557803">
        <w:rPr>
          <w:sz w:val="24"/>
          <w:szCs w:val="24"/>
        </w:rPr>
        <w:t>.</w:t>
      </w:r>
      <w:proofErr w:type="gramEnd"/>
      <w:r w:rsidRPr="00557803">
        <w:rPr>
          <w:sz w:val="24"/>
          <w:szCs w:val="24"/>
        </w:rPr>
        <w:t xml:space="preserve"> San Francisco: John Wiley &amp; Sons, Inc.</w:t>
      </w:r>
    </w:p>
    <w:p w:rsidR="008C2E16" w:rsidRPr="00D33226" w:rsidRDefault="008C2E16" w:rsidP="008C2E16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D33226" w:rsidRPr="00D33226" w:rsidRDefault="00D33226" w:rsidP="00D33226">
      <w:pPr>
        <w:pStyle w:val="P1-StandPara"/>
        <w:spacing w:line="240" w:lineRule="exact"/>
        <w:ind w:left="576" w:hanging="576"/>
        <w:rPr>
          <w:sz w:val="24"/>
          <w:szCs w:val="24"/>
        </w:rPr>
      </w:pPr>
      <w:proofErr w:type="spellStart"/>
      <w:r w:rsidRPr="00D33226">
        <w:rPr>
          <w:sz w:val="24"/>
          <w:szCs w:val="24"/>
        </w:rPr>
        <w:t>Iannacchione</w:t>
      </w:r>
      <w:proofErr w:type="spellEnd"/>
      <w:r w:rsidRPr="00D33226">
        <w:rPr>
          <w:sz w:val="24"/>
          <w:szCs w:val="24"/>
        </w:rPr>
        <w:t xml:space="preserve">, V. (2011) Research Synthesis:  The changing role of Address-Based Sampling in survey research.  </w:t>
      </w:r>
      <w:proofErr w:type="gramStart"/>
      <w:r w:rsidRPr="00D33226">
        <w:rPr>
          <w:i/>
          <w:sz w:val="24"/>
          <w:szCs w:val="24"/>
        </w:rPr>
        <w:t>Public Opinion Quarterly</w:t>
      </w:r>
      <w:r w:rsidRPr="00D33226">
        <w:rPr>
          <w:sz w:val="24"/>
          <w:szCs w:val="24"/>
        </w:rPr>
        <w:t>.</w:t>
      </w:r>
      <w:proofErr w:type="gramEnd"/>
      <w:r w:rsidRPr="00D33226">
        <w:rPr>
          <w:sz w:val="24"/>
          <w:szCs w:val="24"/>
        </w:rPr>
        <w:t xml:space="preserve"> </w:t>
      </w:r>
      <w:proofErr w:type="spellStart"/>
      <w:proofErr w:type="gramStart"/>
      <w:r w:rsidRPr="00D33226">
        <w:rPr>
          <w:color w:val="333300"/>
          <w:sz w:val="24"/>
          <w:szCs w:val="24"/>
        </w:rPr>
        <w:t>doi</w:t>
      </w:r>
      <w:proofErr w:type="spellEnd"/>
      <w:proofErr w:type="gramEnd"/>
      <w:r w:rsidRPr="00D33226">
        <w:rPr>
          <w:color w:val="333300"/>
          <w:sz w:val="24"/>
          <w:szCs w:val="24"/>
        </w:rPr>
        <w:t xml:space="preserve">: </w:t>
      </w:r>
      <w:r w:rsidRPr="00D33226">
        <w:rPr>
          <w:rStyle w:val="slug-doi"/>
          <w:color w:val="333300"/>
          <w:sz w:val="24"/>
          <w:szCs w:val="24"/>
        </w:rPr>
        <w:t>10.1093/</w:t>
      </w:r>
      <w:proofErr w:type="spellStart"/>
      <w:r w:rsidRPr="00D33226">
        <w:rPr>
          <w:rStyle w:val="slug-doi"/>
          <w:color w:val="333300"/>
          <w:sz w:val="24"/>
          <w:szCs w:val="24"/>
        </w:rPr>
        <w:t>poq</w:t>
      </w:r>
      <w:proofErr w:type="spellEnd"/>
      <w:r w:rsidRPr="00D33226">
        <w:rPr>
          <w:rStyle w:val="slug-doi"/>
          <w:color w:val="333300"/>
          <w:sz w:val="24"/>
          <w:szCs w:val="24"/>
        </w:rPr>
        <w:t>/nfr017</w:t>
      </w:r>
      <w:r w:rsidRPr="00D33226">
        <w:rPr>
          <w:color w:val="333300"/>
          <w:sz w:val="24"/>
          <w:szCs w:val="24"/>
        </w:rPr>
        <w:t xml:space="preserve"> </w:t>
      </w:r>
    </w:p>
    <w:p w:rsidR="00D33226" w:rsidRPr="00D33226" w:rsidRDefault="00D33226" w:rsidP="00D33226">
      <w:pPr>
        <w:pStyle w:val="P1-StandPara"/>
        <w:spacing w:line="240" w:lineRule="exact"/>
        <w:ind w:left="576" w:hanging="576"/>
        <w:rPr>
          <w:sz w:val="24"/>
          <w:szCs w:val="24"/>
        </w:rPr>
      </w:pPr>
    </w:p>
    <w:p w:rsidR="00D33226" w:rsidRPr="00D33226" w:rsidRDefault="00D33226" w:rsidP="00D33226">
      <w:pPr>
        <w:pStyle w:val="N0-FlLftBullet"/>
        <w:rPr>
          <w:rFonts w:ascii="Times New Roman" w:hAnsi="Times New Roman"/>
          <w:szCs w:val="24"/>
        </w:rPr>
      </w:pPr>
      <w:proofErr w:type="gramStart"/>
      <w:r w:rsidRPr="00D33226">
        <w:rPr>
          <w:rFonts w:ascii="Times New Roman" w:hAnsi="Times New Roman"/>
          <w:szCs w:val="24"/>
        </w:rPr>
        <w:t>Norman, G., and Sigman, R. (2009).</w:t>
      </w:r>
      <w:proofErr w:type="gramEnd"/>
      <w:r w:rsidRPr="00D33226">
        <w:rPr>
          <w:rFonts w:ascii="Times New Roman" w:hAnsi="Times New Roman"/>
          <w:szCs w:val="24"/>
        </w:rPr>
        <w:t xml:space="preserve"> Using addresses as sampling units in the 2007 Health Information National Trends Survey. </w:t>
      </w:r>
      <w:proofErr w:type="gramStart"/>
      <w:r w:rsidRPr="00D33226">
        <w:rPr>
          <w:rFonts w:ascii="Times New Roman" w:hAnsi="Times New Roman"/>
          <w:i/>
          <w:iCs/>
          <w:szCs w:val="24"/>
        </w:rPr>
        <w:t>ASA Proceedings of the Survey Research Methods</w:t>
      </w:r>
      <w:r w:rsidRPr="00D33226">
        <w:rPr>
          <w:rFonts w:ascii="Times New Roman" w:hAnsi="Times New Roman"/>
          <w:szCs w:val="24"/>
        </w:rPr>
        <w:t>, Alexandria, VA.</w:t>
      </w:r>
      <w:proofErr w:type="gramEnd"/>
    </w:p>
    <w:p w:rsidR="00D33226" w:rsidRPr="00D33226" w:rsidRDefault="00D33226" w:rsidP="00D33226">
      <w:pPr>
        <w:rPr>
          <w:sz w:val="24"/>
          <w:szCs w:val="24"/>
        </w:rPr>
      </w:pPr>
    </w:p>
    <w:p w:rsidR="00D33226" w:rsidRPr="00D33226" w:rsidRDefault="00D33226" w:rsidP="008C2E16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8C2E16" w:rsidRPr="00D33226" w:rsidRDefault="008C2E16" w:rsidP="008C2E16">
      <w:pPr>
        <w:autoSpaceDE w:val="0"/>
        <w:autoSpaceDN w:val="0"/>
        <w:adjustRightInd w:val="0"/>
        <w:spacing w:line="240" w:lineRule="auto"/>
        <w:ind w:left="540" w:hanging="540"/>
        <w:jc w:val="left"/>
        <w:rPr>
          <w:sz w:val="24"/>
          <w:szCs w:val="24"/>
        </w:rPr>
      </w:pPr>
      <w:r w:rsidRPr="00D33226">
        <w:rPr>
          <w:sz w:val="24"/>
          <w:szCs w:val="24"/>
        </w:rPr>
        <w:lastRenderedPageBreak/>
        <w:t xml:space="preserve">Rogers, E.M. (1995). </w:t>
      </w:r>
      <w:proofErr w:type="gramStart"/>
      <w:r w:rsidRPr="00D33226">
        <w:rPr>
          <w:sz w:val="24"/>
          <w:szCs w:val="24"/>
        </w:rPr>
        <w:t>Lessons for guidelines from the diffusion of innovations.</w:t>
      </w:r>
      <w:proofErr w:type="gramEnd"/>
      <w:r w:rsidRPr="00D33226">
        <w:rPr>
          <w:sz w:val="24"/>
          <w:szCs w:val="24"/>
        </w:rPr>
        <w:t xml:space="preserve"> </w:t>
      </w:r>
      <w:r w:rsidRPr="00D33226">
        <w:rPr>
          <w:i/>
          <w:iCs/>
          <w:sz w:val="24"/>
          <w:szCs w:val="24"/>
        </w:rPr>
        <w:t>The Joint Commission Journal on Quality Improvement</w:t>
      </w:r>
      <w:r w:rsidRPr="00D33226">
        <w:rPr>
          <w:sz w:val="24"/>
          <w:szCs w:val="24"/>
        </w:rPr>
        <w:t>, 21(7), 324-328.</w:t>
      </w:r>
    </w:p>
    <w:p w:rsidR="008C2E16" w:rsidRPr="00D33226" w:rsidRDefault="008C2E16" w:rsidP="008C2E16">
      <w:pPr>
        <w:autoSpaceDE w:val="0"/>
        <w:autoSpaceDN w:val="0"/>
        <w:adjustRightInd w:val="0"/>
        <w:spacing w:line="240" w:lineRule="auto"/>
        <w:ind w:left="540" w:hanging="540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547" w:hanging="547"/>
        <w:jc w:val="left"/>
        <w:rPr>
          <w:sz w:val="24"/>
          <w:szCs w:val="24"/>
        </w:rPr>
      </w:pPr>
      <w:proofErr w:type="gramStart"/>
      <w:r w:rsidRPr="00557803">
        <w:rPr>
          <w:sz w:val="24"/>
          <w:szCs w:val="24"/>
        </w:rPr>
        <w:t xml:space="preserve">Singer, E., Van </w:t>
      </w:r>
      <w:proofErr w:type="spellStart"/>
      <w:r w:rsidRPr="00557803">
        <w:rPr>
          <w:sz w:val="24"/>
          <w:szCs w:val="24"/>
        </w:rPr>
        <w:t>Hoewyck</w:t>
      </w:r>
      <w:proofErr w:type="spellEnd"/>
      <w:r w:rsidRPr="00557803">
        <w:rPr>
          <w:sz w:val="24"/>
          <w:szCs w:val="24"/>
        </w:rPr>
        <w:t>, J., &amp; Maher, M. P. (2000).</w:t>
      </w:r>
      <w:proofErr w:type="gramEnd"/>
      <w:r w:rsidRPr="00557803">
        <w:rPr>
          <w:sz w:val="24"/>
          <w:szCs w:val="24"/>
        </w:rPr>
        <w:t xml:space="preserve"> </w:t>
      </w:r>
      <w:proofErr w:type="gramStart"/>
      <w:r w:rsidRPr="00557803">
        <w:rPr>
          <w:sz w:val="24"/>
          <w:szCs w:val="24"/>
        </w:rPr>
        <w:t>Experiments with incentives in telephone surveys.</w:t>
      </w:r>
      <w:proofErr w:type="gramEnd"/>
      <w:r w:rsidRPr="00557803">
        <w:rPr>
          <w:sz w:val="24"/>
          <w:szCs w:val="24"/>
        </w:rPr>
        <w:t xml:space="preserve"> Public Opinion Quarterly, 64, 171–188.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540" w:hanging="540"/>
        <w:jc w:val="left"/>
        <w:rPr>
          <w:sz w:val="24"/>
          <w:szCs w:val="24"/>
        </w:rPr>
      </w:pPr>
    </w:p>
    <w:p w:rsidR="008C2E16" w:rsidRPr="00557803" w:rsidRDefault="008C2E16" w:rsidP="008C2E16">
      <w:pPr>
        <w:pStyle w:val="CM37"/>
        <w:spacing w:after="115" w:line="263" w:lineRule="atLeast"/>
        <w:ind w:left="540" w:hanging="540"/>
        <w:rPr>
          <w:rFonts w:ascii="Times New Roman" w:hAnsi="Times New Roman"/>
        </w:rPr>
      </w:pPr>
      <w:proofErr w:type="spellStart"/>
      <w:r w:rsidRPr="00557803">
        <w:rPr>
          <w:rFonts w:ascii="Times New Roman" w:hAnsi="Times New Roman"/>
        </w:rPr>
        <w:t>Viswanath</w:t>
      </w:r>
      <w:proofErr w:type="spellEnd"/>
      <w:r w:rsidRPr="00557803">
        <w:rPr>
          <w:rFonts w:ascii="Times New Roman" w:hAnsi="Times New Roman"/>
        </w:rPr>
        <w:t xml:space="preserve"> </w:t>
      </w:r>
      <w:proofErr w:type="gramStart"/>
      <w:r w:rsidRPr="00557803">
        <w:rPr>
          <w:rFonts w:ascii="Times New Roman" w:hAnsi="Times New Roman"/>
        </w:rPr>
        <w:t>K.,</w:t>
      </w:r>
      <w:proofErr w:type="gramEnd"/>
      <w:r w:rsidRPr="00557803">
        <w:rPr>
          <w:rFonts w:ascii="Times New Roman" w:hAnsi="Times New Roman"/>
        </w:rPr>
        <w:t xml:space="preserve"> and Finnegan J.R. (1996). The knowledge gap hypothesis: 25 years later. </w:t>
      </w:r>
      <w:proofErr w:type="gramStart"/>
      <w:r w:rsidRPr="00557803">
        <w:rPr>
          <w:rFonts w:ascii="Times New Roman" w:hAnsi="Times New Roman"/>
        </w:rPr>
        <w:t xml:space="preserve">In B. Burleson (Ed.) </w:t>
      </w:r>
      <w:r w:rsidRPr="00557803">
        <w:rPr>
          <w:rFonts w:ascii="Times New Roman" w:hAnsi="Times New Roman"/>
          <w:i/>
          <w:iCs/>
        </w:rPr>
        <w:t>Communication Yearbook 19</w:t>
      </w:r>
      <w:r w:rsidRPr="00557803">
        <w:rPr>
          <w:rFonts w:ascii="Times New Roman" w:hAnsi="Times New Roman"/>
        </w:rPr>
        <w:t>, 187-227.</w:t>
      </w:r>
      <w:proofErr w:type="gramEnd"/>
      <w:r w:rsidRPr="00557803">
        <w:rPr>
          <w:rFonts w:ascii="Times New Roman" w:hAnsi="Times New Roman"/>
        </w:rPr>
        <w:t xml:space="preserve"> Thousand Oaks, Calif.: Sage Publications. 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540" w:hanging="540"/>
        <w:jc w:val="left"/>
        <w:rPr>
          <w:sz w:val="24"/>
          <w:szCs w:val="24"/>
        </w:rPr>
      </w:pP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540" w:hanging="540"/>
        <w:jc w:val="left"/>
        <w:rPr>
          <w:sz w:val="24"/>
          <w:szCs w:val="24"/>
        </w:rPr>
      </w:pPr>
      <w:r w:rsidRPr="00557803">
        <w:rPr>
          <w:sz w:val="24"/>
          <w:szCs w:val="24"/>
        </w:rPr>
        <w:t xml:space="preserve">Weinstein, N.D. (1993). </w:t>
      </w:r>
      <w:proofErr w:type="gramStart"/>
      <w:r w:rsidRPr="00557803">
        <w:rPr>
          <w:sz w:val="24"/>
          <w:szCs w:val="24"/>
        </w:rPr>
        <w:t>Testing four competing theories of health-protective behavior.</w:t>
      </w:r>
      <w:proofErr w:type="gramEnd"/>
      <w:r w:rsidRPr="00557803">
        <w:rPr>
          <w:sz w:val="24"/>
          <w:szCs w:val="24"/>
        </w:rPr>
        <w:t xml:space="preserve"> </w:t>
      </w:r>
      <w:r w:rsidRPr="00557803">
        <w:rPr>
          <w:i/>
          <w:iCs/>
          <w:sz w:val="24"/>
          <w:szCs w:val="24"/>
        </w:rPr>
        <w:t>Health Psychology</w:t>
      </w:r>
      <w:r w:rsidRPr="00557803">
        <w:rPr>
          <w:sz w:val="24"/>
          <w:szCs w:val="24"/>
        </w:rPr>
        <w:t>, 12(4), 324-333.</w:t>
      </w:r>
    </w:p>
    <w:p w:rsidR="008C2E16" w:rsidRPr="00557803" w:rsidRDefault="008C2E16" w:rsidP="008C2E16">
      <w:pPr>
        <w:autoSpaceDE w:val="0"/>
        <w:autoSpaceDN w:val="0"/>
        <w:adjustRightInd w:val="0"/>
        <w:spacing w:line="240" w:lineRule="auto"/>
        <w:ind w:left="540" w:hanging="540"/>
        <w:jc w:val="left"/>
        <w:rPr>
          <w:sz w:val="24"/>
          <w:szCs w:val="24"/>
        </w:rPr>
      </w:pPr>
    </w:p>
    <w:p w:rsidR="008C2E16" w:rsidRPr="00557803" w:rsidRDefault="008C2E16" w:rsidP="008C2E16">
      <w:pPr>
        <w:ind w:left="540" w:hanging="540"/>
        <w:jc w:val="left"/>
        <w:rPr>
          <w:sz w:val="24"/>
          <w:szCs w:val="24"/>
        </w:rPr>
      </w:pPr>
      <w:proofErr w:type="gramStart"/>
      <w:r w:rsidRPr="00557803">
        <w:rPr>
          <w:sz w:val="24"/>
          <w:szCs w:val="24"/>
        </w:rPr>
        <w:t>Westat, (2009) Health Information National Trends Survey (HINTS) 2007 Final Report.</w:t>
      </w:r>
      <w:proofErr w:type="gramEnd"/>
      <w:r w:rsidRPr="00557803">
        <w:rPr>
          <w:sz w:val="24"/>
          <w:szCs w:val="24"/>
        </w:rPr>
        <w:t xml:space="preserve">  </w:t>
      </w:r>
      <w:proofErr w:type="gramStart"/>
      <w:r w:rsidRPr="00557803">
        <w:rPr>
          <w:sz w:val="24"/>
          <w:szCs w:val="24"/>
        </w:rPr>
        <w:t>Submitted to the National Cancer Institute, February, 2009.</w:t>
      </w:r>
      <w:proofErr w:type="gramEnd"/>
      <w:r w:rsidRPr="00557803">
        <w:rPr>
          <w:sz w:val="24"/>
          <w:szCs w:val="24"/>
        </w:rPr>
        <w:t xml:space="preserve">  Available at </w:t>
      </w:r>
      <w:hyperlink r:id="rId7" w:history="1">
        <w:r w:rsidRPr="00557803">
          <w:rPr>
            <w:rStyle w:val="Hyperlink"/>
            <w:sz w:val="24"/>
            <w:szCs w:val="24"/>
          </w:rPr>
          <w:t>http://hints.cancer.gov/hints/instrument.jsp</w:t>
        </w:r>
      </w:hyperlink>
      <w:r w:rsidRPr="00557803">
        <w:rPr>
          <w:sz w:val="24"/>
          <w:szCs w:val="24"/>
        </w:rPr>
        <w:t>, last accessed February 9, 2011.</w:t>
      </w:r>
    </w:p>
    <w:p w:rsidR="008C2E16" w:rsidRPr="009309FC" w:rsidRDefault="008C2E16" w:rsidP="008C2E16">
      <w:pPr>
        <w:autoSpaceDE w:val="0"/>
        <w:autoSpaceDN w:val="0"/>
        <w:adjustRightInd w:val="0"/>
        <w:spacing w:line="240" w:lineRule="auto"/>
        <w:jc w:val="left"/>
        <w:rPr>
          <w:rFonts w:ascii="Garamond" w:hAnsi="Garamond" w:cs="Garamond"/>
          <w:sz w:val="24"/>
          <w:szCs w:val="24"/>
        </w:rPr>
      </w:pPr>
    </w:p>
    <w:p w:rsidR="008C2E16" w:rsidRPr="009309FC" w:rsidRDefault="008C2E16" w:rsidP="008C2E16">
      <w:pPr>
        <w:autoSpaceDE w:val="0"/>
        <w:autoSpaceDN w:val="0"/>
        <w:adjustRightInd w:val="0"/>
        <w:spacing w:line="240" w:lineRule="auto"/>
        <w:jc w:val="left"/>
        <w:rPr>
          <w:rFonts w:ascii="Garamond" w:hAnsi="Garamond" w:cs="Garamond"/>
          <w:sz w:val="24"/>
          <w:szCs w:val="24"/>
        </w:rPr>
      </w:pPr>
    </w:p>
    <w:sectPr w:rsidR="008C2E16" w:rsidRPr="009309FC" w:rsidSect="008C2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CB" w:rsidRDefault="00A241CB" w:rsidP="00A241CB">
      <w:pPr>
        <w:spacing w:line="240" w:lineRule="auto"/>
      </w:pPr>
      <w:r>
        <w:separator/>
      </w:r>
    </w:p>
  </w:endnote>
  <w:endnote w:type="continuationSeparator" w:id="0">
    <w:p w:rsidR="00A241CB" w:rsidRDefault="00A241CB" w:rsidP="00A24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GFLG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A87" w:rsidRDefault="000A4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A87" w:rsidRDefault="000A4A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A87" w:rsidRDefault="000A4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CB" w:rsidRDefault="00A241CB" w:rsidP="00A241CB">
      <w:pPr>
        <w:spacing w:line="240" w:lineRule="auto"/>
      </w:pPr>
      <w:r>
        <w:separator/>
      </w:r>
    </w:p>
  </w:footnote>
  <w:footnote w:type="continuationSeparator" w:id="0">
    <w:p w:rsidR="00A241CB" w:rsidRDefault="00A241CB" w:rsidP="00A241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A87" w:rsidRDefault="000A4A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A87" w:rsidRDefault="000A4A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CB" w:rsidRDefault="000A4A87">
    <w:pPr>
      <w:pStyle w:val="Header"/>
    </w:pPr>
    <w:r>
      <w:t xml:space="preserve">APPENDIX </w:t>
    </w:r>
    <w:r>
      <w:t>M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16"/>
    <w:rsid w:val="000A4A87"/>
    <w:rsid w:val="004959D2"/>
    <w:rsid w:val="006D7CEC"/>
    <w:rsid w:val="008B72D7"/>
    <w:rsid w:val="008C2E16"/>
    <w:rsid w:val="00950D8D"/>
    <w:rsid w:val="00A241CB"/>
    <w:rsid w:val="00D33226"/>
    <w:rsid w:val="00E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16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2E16"/>
    <w:rPr>
      <w:color w:val="0000FF"/>
      <w:u w:val="single"/>
    </w:rPr>
  </w:style>
  <w:style w:type="paragraph" w:customStyle="1" w:styleId="CM37">
    <w:name w:val="CM37"/>
    <w:basedOn w:val="Normal"/>
    <w:next w:val="Normal"/>
    <w:uiPriority w:val="99"/>
    <w:rsid w:val="008C2E16"/>
    <w:pPr>
      <w:autoSpaceDE w:val="0"/>
      <w:autoSpaceDN w:val="0"/>
      <w:adjustRightInd w:val="0"/>
      <w:spacing w:line="240" w:lineRule="auto"/>
      <w:jc w:val="left"/>
    </w:pPr>
    <w:rPr>
      <w:rFonts w:ascii="LGFLG F+ Times" w:eastAsia="Calibri" w:hAnsi="LGFLG F+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1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C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241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CB"/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link w:val="P1-StandParaChar"/>
    <w:rsid w:val="00D33226"/>
    <w:pPr>
      <w:spacing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P1-StandParaChar">
    <w:name w:val="P1-Stand Para Char"/>
    <w:link w:val="P1-StandPara"/>
    <w:rsid w:val="00D33226"/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D33226"/>
    <w:pPr>
      <w:tabs>
        <w:tab w:val="left" w:pos="576"/>
      </w:tabs>
      <w:spacing w:after="240"/>
      <w:ind w:left="576" w:hanging="576"/>
      <w:jc w:val="left"/>
    </w:pPr>
    <w:rPr>
      <w:rFonts w:ascii="Garamond" w:hAnsi="Garamond"/>
      <w:sz w:val="24"/>
    </w:rPr>
  </w:style>
  <w:style w:type="character" w:customStyle="1" w:styleId="slug-doi">
    <w:name w:val="slug-doi"/>
    <w:basedOn w:val="DefaultParagraphFont"/>
    <w:rsid w:val="00D33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16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2E16"/>
    <w:rPr>
      <w:color w:val="0000FF"/>
      <w:u w:val="single"/>
    </w:rPr>
  </w:style>
  <w:style w:type="paragraph" w:customStyle="1" w:styleId="CM37">
    <w:name w:val="CM37"/>
    <w:basedOn w:val="Normal"/>
    <w:next w:val="Normal"/>
    <w:uiPriority w:val="99"/>
    <w:rsid w:val="008C2E16"/>
    <w:pPr>
      <w:autoSpaceDE w:val="0"/>
      <w:autoSpaceDN w:val="0"/>
      <w:adjustRightInd w:val="0"/>
      <w:spacing w:line="240" w:lineRule="auto"/>
      <w:jc w:val="left"/>
    </w:pPr>
    <w:rPr>
      <w:rFonts w:ascii="LGFLG F+ Times" w:eastAsia="Calibri" w:hAnsi="LGFLG F+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1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C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241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CB"/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link w:val="P1-StandParaChar"/>
    <w:rsid w:val="00D33226"/>
    <w:pPr>
      <w:spacing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P1-StandParaChar">
    <w:name w:val="P1-Stand Para Char"/>
    <w:link w:val="P1-StandPara"/>
    <w:rsid w:val="00D33226"/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D33226"/>
    <w:pPr>
      <w:tabs>
        <w:tab w:val="left" w:pos="576"/>
      </w:tabs>
      <w:spacing w:after="240"/>
      <w:ind w:left="576" w:hanging="576"/>
      <w:jc w:val="left"/>
    </w:pPr>
    <w:rPr>
      <w:rFonts w:ascii="Garamond" w:hAnsi="Garamond"/>
      <w:sz w:val="24"/>
    </w:rPr>
  </w:style>
  <w:style w:type="character" w:customStyle="1" w:styleId="slug-doi">
    <w:name w:val="slug-doi"/>
    <w:basedOn w:val="DefaultParagraphFont"/>
    <w:rsid w:val="00D3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ints.cancer.gov/hints/instrument.js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E5A1F7AA.dotm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Terisa Davis</dc:creator>
  <cp:lastModifiedBy>Terisa Davis</cp:lastModifiedBy>
  <cp:revision>2</cp:revision>
  <dcterms:created xsi:type="dcterms:W3CDTF">2014-11-04T20:28:00Z</dcterms:created>
  <dcterms:modified xsi:type="dcterms:W3CDTF">2014-11-04T20:28:00Z</dcterms:modified>
</cp:coreProperties>
</file>