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FC" w:rsidRDefault="005F5DCE" w:rsidP="005F5DC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Non-Substantive C</w:t>
      </w:r>
      <w:r w:rsidR="00E30D1E">
        <w:rPr>
          <w:b/>
          <w:sz w:val="28"/>
          <w:szCs w:val="28"/>
        </w:rPr>
        <w:t>hange Request to Control Number</w:t>
      </w:r>
      <w:r>
        <w:rPr>
          <w:b/>
          <w:sz w:val="28"/>
          <w:szCs w:val="28"/>
        </w:rPr>
        <w:t xml:space="preserve"> 0938-1174</w:t>
      </w:r>
    </w:p>
    <w:p w:rsidR="005F5DCE" w:rsidRDefault="005F5DCE" w:rsidP="005F5DCE">
      <w:pPr>
        <w:rPr>
          <w:sz w:val="24"/>
          <w:szCs w:val="24"/>
        </w:rPr>
      </w:pPr>
    </w:p>
    <w:p w:rsidR="00177666" w:rsidRDefault="005F5DCE" w:rsidP="005F5DCE">
      <w:pPr>
        <w:rPr>
          <w:sz w:val="24"/>
          <w:szCs w:val="24"/>
        </w:rPr>
      </w:pPr>
      <w:r>
        <w:rPr>
          <w:sz w:val="24"/>
          <w:szCs w:val="24"/>
        </w:rPr>
        <w:t xml:space="preserve">This is a non-substantive change request to </w:t>
      </w:r>
      <w:r w:rsidR="00C0427E">
        <w:rPr>
          <w:sz w:val="24"/>
          <w:szCs w:val="24"/>
        </w:rPr>
        <w:t>OMB control number 0938-1174 (</w:t>
      </w:r>
      <w:r w:rsidR="00C0427E" w:rsidRPr="00C0427E">
        <w:rPr>
          <w:sz w:val="24"/>
          <w:szCs w:val="24"/>
        </w:rPr>
        <w:t>Essential Health Benefits Benchmark Plans</w:t>
      </w:r>
      <w:r w:rsidR="00C0427E">
        <w:rPr>
          <w:sz w:val="24"/>
          <w:szCs w:val="24"/>
        </w:rPr>
        <w:t xml:space="preserve">) to </w:t>
      </w:r>
      <w:r>
        <w:rPr>
          <w:sz w:val="24"/>
          <w:szCs w:val="24"/>
        </w:rPr>
        <w:t xml:space="preserve">increase </w:t>
      </w:r>
      <w:r w:rsidR="00D57559">
        <w:rPr>
          <w:sz w:val="24"/>
          <w:szCs w:val="24"/>
        </w:rPr>
        <w:t xml:space="preserve">the number of respondents from 153 issuers to </w:t>
      </w:r>
      <w:r w:rsidR="00177666">
        <w:rPr>
          <w:sz w:val="24"/>
          <w:szCs w:val="24"/>
        </w:rPr>
        <w:t>158, which</w:t>
      </w:r>
      <w:r w:rsidR="00D57559">
        <w:rPr>
          <w:sz w:val="24"/>
          <w:szCs w:val="24"/>
        </w:rPr>
        <w:t xml:space="preserve"> include</w:t>
      </w:r>
      <w:r w:rsidR="00177666">
        <w:rPr>
          <w:sz w:val="24"/>
          <w:szCs w:val="24"/>
        </w:rPr>
        <w:t>s</w:t>
      </w:r>
      <w:r w:rsidR="00D57559">
        <w:rPr>
          <w:sz w:val="24"/>
          <w:szCs w:val="24"/>
        </w:rPr>
        <w:t xml:space="preserve"> </w:t>
      </w:r>
      <w:r w:rsidR="00177666">
        <w:rPr>
          <w:sz w:val="24"/>
          <w:szCs w:val="24"/>
        </w:rPr>
        <w:t xml:space="preserve">U.S. </w:t>
      </w:r>
      <w:r w:rsidR="00D57559">
        <w:rPr>
          <w:sz w:val="24"/>
          <w:szCs w:val="24"/>
        </w:rPr>
        <w:t>territorie</w:t>
      </w:r>
      <w:r w:rsidR="00177666">
        <w:rPr>
          <w:sz w:val="24"/>
          <w:szCs w:val="24"/>
        </w:rPr>
        <w:t>s</w:t>
      </w:r>
      <w:r w:rsidR="00177666" w:rsidRPr="00177666">
        <w:t xml:space="preserve"> </w:t>
      </w:r>
      <w:r w:rsidR="00177666">
        <w:t>(</w:t>
      </w:r>
      <w:r w:rsidR="00177666" w:rsidRPr="00177666">
        <w:rPr>
          <w:sz w:val="24"/>
          <w:szCs w:val="24"/>
        </w:rPr>
        <w:t>Puerto Rico, Guam, the U.S. Virgin Islands, American Samoa, and the Northern Mariana Islands</w:t>
      </w:r>
      <w:r w:rsidR="00177666">
        <w:rPr>
          <w:sz w:val="24"/>
          <w:szCs w:val="24"/>
        </w:rPr>
        <w:t xml:space="preserve">) and </w:t>
      </w:r>
      <w:r w:rsidR="00D57559">
        <w:rPr>
          <w:sz w:val="24"/>
          <w:szCs w:val="24"/>
        </w:rPr>
        <w:t xml:space="preserve">increasing the burden </w:t>
      </w:r>
      <w:r w:rsidR="00177666" w:rsidRPr="00177666">
        <w:rPr>
          <w:sz w:val="24"/>
          <w:szCs w:val="24"/>
        </w:rPr>
        <w:t>across all respondents</w:t>
      </w:r>
      <w:r w:rsidR="00177666">
        <w:rPr>
          <w:sz w:val="24"/>
          <w:szCs w:val="24"/>
        </w:rPr>
        <w:t xml:space="preserve"> </w:t>
      </w:r>
      <w:r w:rsidR="00177666" w:rsidRPr="00177666">
        <w:rPr>
          <w:sz w:val="24"/>
          <w:szCs w:val="24"/>
        </w:rPr>
        <w:t xml:space="preserve">subject to the reporting requirements of this rule </w:t>
      </w:r>
      <w:r w:rsidR="00177666">
        <w:rPr>
          <w:sz w:val="24"/>
          <w:szCs w:val="24"/>
        </w:rPr>
        <w:t>as indicated below</w:t>
      </w:r>
      <w:r w:rsidR="00D57559">
        <w:rPr>
          <w:sz w:val="24"/>
          <w:szCs w:val="24"/>
        </w:rPr>
        <w:t xml:space="preserve">.  </w:t>
      </w:r>
      <w:r w:rsidR="00177666">
        <w:rPr>
          <w:sz w:val="24"/>
          <w:szCs w:val="24"/>
        </w:rPr>
        <w:t xml:space="preserve">There is no change </w:t>
      </w:r>
      <w:r w:rsidR="00E30D1E">
        <w:rPr>
          <w:sz w:val="24"/>
          <w:szCs w:val="24"/>
        </w:rPr>
        <w:t>to</w:t>
      </w:r>
      <w:r w:rsidR="00177666">
        <w:rPr>
          <w:sz w:val="24"/>
          <w:szCs w:val="24"/>
        </w:rPr>
        <w:t xml:space="preserve"> the estimate </w:t>
      </w:r>
      <w:r w:rsidR="00177666" w:rsidRPr="00177666">
        <w:rPr>
          <w:sz w:val="24"/>
          <w:szCs w:val="24"/>
        </w:rPr>
        <w:t>of the burden for a single health insurance issuer</w:t>
      </w:r>
      <w:r w:rsidR="00177666">
        <w:rPr>
          <w:sz w:val="24"/>
          <w:szCs w:val="24"/>
        </w:rPr>
        <w:t>.</w:t>
      </w:r>
    </w:p>
    <w:p w:rsidR="005F5DCE" w:rsidRPr="005F5DCE" w:rsidRDefault="00D57559" w:rsidP="005F5DCE">
      <w:pPr>
        <w:rPr>
          <w:sz w:val="24"/>
          <w:szCs w:val="24"/>
        </w:rPr>
      </w:pPr>
      <w:r>
        <w:rPr>
          <w:sz w:val="24"/>
          <w:szCs w:val="24"/>
        </w:rPr>
        <w:t>In the</w:t>
      </w:r>
      <w:r w:rsidR="00E30D1E">
        <w:rPr>
          <w:sz w:val="24"/>
          <w:szCs w:val="24"/>
        </w:rPr>
        <w:t xml:space="preserve"> proposed rule on essential health benefits (EHB), CMS-9980-P, </w:t>
      </w:r>
      <w:r>
        <w:rPr>
          <w:sz w:val="24"/>
          <w:szCs w:val="24"/>
        </w:rPr>
        <w:t>we</w:t>
      </w:r>
      <w:r w:rsidR="00645AC5">
        <w:rPr>
          <w:sz w:val="24"/>
          <w:szCs w:val="24"/>
        </w:rPr>
        <w:t xml:space="preserve"> explain that the Public Health Service Act </w:t>
      </w:r>
      <w:r w:rsidR="00AA264B">
        <w:rPr>
          <w:sz w:val="24"/>
          <w:szCs w:val="24"/>
        </w:rPr>
        <w:t xml:space="preserve">(PHS Act) </w:t>
      </w:r>
      <w:r w:rsidR="00645AC5">
        <w:rPr>
          <w:sz w:val="24"/>
          <w:szCs w:val="24"/>
        </w:rPr>
        <w:t>defines “state” to include the territories and that consequently, the PHS Act</w:t>
      </w:r>
      <w:r w:rsidR="00AA264B">
        <w:rPr>
          <w:sz w:val="24"/>
          <w:szCs w:val="24"/>
        </w:rPr>
        <w:t xml:space="preserve"> </w:t>
      </w:r>
      <w:r w:rsidR="00645AC5">
        <w:rPr>
          <w:sz w:val="24"/>
          <w:szCs w:val="24"/>
        </w:rPr>
        <w:t>requirements related to EHB apply to the territories.</w:t>
      </w:r>
      <w:r w:rsidR="00AA264B">
        <w:rPr>
          <w:sz w:val="24"/>
          <w:szCs w:val="24"/>
        </w:rPr>
        <w:t xml:space="preserve">  </w:t>
      </w:r>
      <w:r>
        <w:rPr>
          <w:sz w:val="24"/>
          <w:szCs w:val="24"/>
        </w:rPr>
        <w:t>Therefore</w:t>
      </w:r>
      <w:r w:rsidR="00AA264B">
        <w:rPr>
          <w:sz w:val="24"/>
          <w:szCs w:val="24"/>
        </w:rPr>
        <w:t xml:space="preserve">, we </w:t>
      </w:r>
      <w:r>
        <w:rPr>
          <w:sz w:val="24"/>
          <w:szCs w:val="24"/>
        </w:rPr>
        <w:t xml:space="preserve">request to </w:t>
      </w:r>
      <w:r w:rsidR="00C0427E">
        <w:rPr>
          <w:sz w:val="24"/>
          <w:szCs w:val="24"/>
        </w:rPr>
        <w:t xml:space="preserve">add </w:t>
      </w:r>
      <w:r w:rsidR="007F79C5">
        <w:rPr>
          <w:sz w:val="24"/>
          <w:szCs w:val="24"/>
        </w:rPr>
        <w:t xml:space="preserve">the following sentence </w:t>
      </w:r>
      <w:r w:rsidR="00BC4123">
        <w:rPr>
          <w:sz w:val="24"/>
          <w:szCs w:val="24"/>
        </w:rPr>
        <w:t>to</w:t>
      </w:r>
      <w:r w:rsidR="00C0427E">
        <w:rPr>
          <w:sz w:val="24"/>
          <w:szCs w:val="24"/>
        </w:rPr>
        <w:t xml:space="preserve"> </w:t>
      </w:r>
      <w:r w:rsidR="00BC4123">
        <w:rPr>
          <w:sz w:val="24"/>
          <w:szCs w:val="24"/>
        </w:rPr>
        <w:t xml:space="preserve">the </w:t>
      </w:r>
      <w:r w:rsidR="00C0427E">
        <w:rPr>
          <w:sz w:val="24"/>
          <w:szCs w:val="24"/>
        </w:rPr>
        <w:t xml:space="preserve">justification and </w:t>
      </w:r>
      <w:r w:rsidR="00BC4123">
        <w:rPr>
          <w:sz w:val="24"/>
          <w:szCs w:val="24"/>
        </w:rPr>
        <w:t>burden on issuers sections of Part A of the supporting statement</w:t>
      </w:r>
      <w:r w:rsidR="007F79C5">
        <w:rPr>
          <w:sz w:val="24"/>
          <w:szCs w:val="24"/>
        </w:rPr>
        <w:t>, “As defined in proposed rule</w:t>
      </w:r>
      <w:r w:rsidR="007F79C5" w:rsidRPr="007F79C5">
        <w:t xml:space="preserve"> </w:t>
      </w:r>
      <w:r w:rsidR="007F79C5">
        <w:t xml:space="preserve">on </w:t>
      </w:r>
      <w:r w:rsidR="007F79C5" w:rsidRPr="007F79C5">
        <w:rPr>
          <w:sz w:val="24"/>
          <w:szCs w:val="24"/>
        </w:rPr>
        <w:t>essential health benefits (EHB), CMS-9980-P</w:t>
      </w:r>
      <w:r w:rsidR="007F79C5">
        <w:rPr>
          <w:sz w:val="24"/>
          <w:szCs w:val="24"/>
        </w:rPr>
        <w:t xml:space="preserve"> and for EHB purposes, territories are included in the d</w:t>
      </w:r>
      <w:bookmarkStart w:id="0" w:name="_GoBack"/>
      <w:bookmarkEnd w:id="0"/>
      <w:r w:rsidR="007F79C5">
        <w:rPr>
          <w:sz w:val="24"/>
          <w:szCs w:val="24"/>
        </w:rPr>
        <w:t>efinition of states</w:t>
      </w:r>
      <w:r w:rsidR="00BC4123">
        <w:rPr>
          <w:sz w:val="24"/>
          <w:szCs w:val="24"/>
        </w:rPr>
        <w:t>.</w:t>
      </w:r>
      <w:r w:rsidR="007F79C5">
        <w:rPr>
          <w:sz w:val="24"/>
          <w:szCs w:val="24"/>
        </w:rPr>
        <w:t>”</w:t>
      </w:r>
    </w:p>
    <w:p w:rsidR="005F5DCE" w:rsidRDefault="005F5DCE" w:rsidP="005F5DCE">
      <w:pPr>
        <w:jc w:val="center"/>
        <w:rPr>
          <w:sz w:val="28"/>
          <w:szCs w:val="28"/>
        </w:rPr>
      </w:pPr>
    </w:p>
    <w:p w:rsidR="00D57559" w:rsidRDefault="00177666" w:rsidP="005C6206">
      <w:pPr>
        <w:rPr>
          <w:sz w:val="24"/>
          <w:szCs w:val="24"/>
        </w:rPr>
      </w:pPr>
      <w:r>
        <w:rPr>
          <w:sz w:val="24"/>
          <w:szCs w:val="24"/>
        </w:rPr>
        <w:t>*Estimate of the burden across a</w:t>
      </w:r>
      <w:r w:rsidR="005C6206" w:rsidRPr="005C6206">
        <w:rPr>
          <w:sz w:val="24"/>
          <w:szCs w:val="24"/>
        </w:rPr>
        <w:t>ll respondents</w:t>
      </w:r>
      <w:r>
        <w:rPr>
          <w:sz w:val="24"/>
          <w:szCs w:val="24"/>
        </w:rPr>
        <w:t xml:space="preserve"> </w:t>
      </w:r>
      <w:r w:rsidR="00D36BAF">
        <w:rPr>
          <w:sz w:val="24"/>
          <w:szCs w:val="24"/>
        </w:rPr>
        <w:t>that</w:t>
      </w:r>
      <w:r w:rsidR="005C6206" w:rsidRPr="005C6206">
        <w:rPr>
          <w:sz w:val="24"/>
          <w:szCs w:val="24"/>
        </w:rPr>
        <w:t xml:space="preserve"> are subject to the reporting</w:t>
      </w:r>
      <w:r w:rsidR="005C6206">
        <w:rPr>
          <w:sz w:val="24"/>
          <w:szCs w:val="24"/>
        </w:rPr>
        <w:t xml:space="preserve"> </w:t>
      </w:r>
      <w:r w:rsidR="005C6206" w:rsidRPr="005C6206">
        <w:rPr>
          <w:sz w:val="24"/>
          <w:szCs w:val="24"/>
        </w:rPr>
        <w:t>requirements of this rule.</w:t>
      </w:r>
    </w:p>
    <w:p w:rsidR="00D57559" w:rsidRDefault="00D57559" w:rsidP="00D57559">
      <w:pPr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5"/>
        <w:gridCol w:w="1915"/>
        <w:gridCol w:w="1915"/>
        <w:gridCol w:w="1746"/>
      </w:tblGrid>
      <w:tr w:rsidR="00D57559" w:rsidTr="00D57559">
        <w:trPr>
          <w:trHeight w:hRule="exact" w:val="116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Numb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D57559" w:rsidRDefault="00D57559">
            <w:pPr>
              <w:autoSpaceDE w:val="0"/>
              <w:autoSpaceDN w:val="0"/>
              <w:adjustRightInd w:val="0"/>
              <w:spacing w:before="41" w:after="0" w:line="275" w:lineRule="auto"/>
              <w:ind w:left="102" w:righ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nts)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Numb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D57559" w:rsidRDefault="00D57559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57559" w:rsidRDefault="00D57559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559" w:rsidTr="00D57559">
        <w:trPr>
          <w:trHeight w:hRule="exact" w:val="7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  <w:p w:rsidR="00D57559" w:rsidRDefault="00D57559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ubmission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5C67A4" w:rsidP="00BB1041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1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BB1041" w:rsidP="005C67A4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5C67A4" w:rsidP="005C67A4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559" w:rsidRDefault="00D57559" w:rsidP="00177666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C67A4">
              <w:rPr>
                <w:rFonts w:ascii="Times New Roman" w:hAnsi="Times New Roman" w:cs="Times New Roman"/>
                <w:sz w:val="24"/>
                <w:szCs w:val="24"/>
              </w:rPr>
              <w:t>48,664</w:t>
            </w:r>
          </w:p>
        </w:tc>
      </w:tr>
    </w:tbl>
    <w:p w:rsidR="00D57559" w:rsidRPr="005F5DCE" w:rsidRDefault="00D57559" w:rsidP="005F5DCE">
      <w:pPr>
        <w:rPr>
          <w:sz w:val="24"/>
          <w:szCs w:val="24"/>
        </w:rPr>
      </w:pPr>
    </w:p>
    <w:sectPr w:rsidR="00D57559" w:rsidRPr="005F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CE"/>
    <w:rsid w:val="00177666"/>
    <w:rsid w:val="002855FC"/>
    <w:rsid w:val="005C6206"/>
    <w:rsid w:val="005C67A4"/>
    <w:rsid w:val="005F5DCE"/>
    <w:rsid w:val="00645AC5"/>
    <w:rsid w:val="007F79C5"/>
    <w:rsid w:val="00A323D6"/>
    <w:rsid w:val="00AA264B"/>
    <w:rsid w:val="00BB1041"/>
    <w:rsid w:val="00BC4123"/>
    <w:rsid w:val="00C0427E"/>
    <w:rsid w:val="00D36BAF"/>
    <w:rsid w:val="00D57559"/>
    <w:rsid w:val="00E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Stanley</dc:creator>
  <cp:lastModifiedBy>Leigha Basini</cp:lastModifiedBy>
  <cp:revision>2</cp:revision>
  <dcterms:created xsi:type="dcterms:W3CDTF">2013-02-05T19:58:00Z</dcterms:created>
  <dcterms:modified xsi:type="dcterms:W3CDTF">2013-02-05T19:58:00Z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-551135945</vt:i4>
  </property>
  <property fmtid="{D5CDD505-2E9C-101B-9397-08002B2CF9AE}" pid="3" name="_NewReviewCycle">
    <vt:lpwstr/>
  </property>
  <property fmtid="{D5CDD505-2E9C-101B-9397-08002B2CF9AE}" pid="4" name="_EmailSubject">
    <vt:lpwstr>Non-Substantive Revision to EHB Benchmark PRA (Mini-Reg)</vt:lpwstr>
  </property>
  <property fmtid="{D5CDD505-2E9C-101B-9397-08002B2CF9AE}" pid="5" name="_AuthorEmail">
    <vt:lpwstr>Leigha.Basini1@cms.hhs.gov</vt:lpwstr>
  </property>
  <property fmtid="{D5CDD505-2E9C-101B-9397-08002B2CF9AE}" pid="6" name="_AuthorEmailDisplayName">
    <vt:lpwstr>Basini, Leigha (CMS/CCIIO)</vt:lpwstr>
  </property>
  <property fmtid="{D5CDD505-2E9C-101B-9397-08002B2CF9AE}" pid="7" name="_PreviousAdHocReviewCycleID">
    <vt:i4>-1655811408</vt:i4>
  </property>
</Properties>
</file>