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89" w:rsidRDefault="00833889" w:rsidP="00833889">
      <w:pPr>
        <w:keepNext/>
        <w:jc w:val="both"/>
        <w:outlineLvl w:val="7"/>
        <w:rPr>
          <w:rFonts w:ascii="Arial" w:hAnsi="Arial" w:cs="Arial"/>
          <w:b/>
          <w:bCs/>
          <w:color w:val="FF0000"/>
          <w:szCs w:val="24"/>
        </w:rPr>
      </w:pPr>
      <w:r>
        <w:rPr>
          <w:rFonts w:ascii="Arial" w:hAnsi="Arial" w:cs="Arial"/>
          <w:b/>
          <w:bCs/>
          <w:szCs w:val="24"/>
        </w:rPr>
        <w:t>B.</w:t>
      </w:r>
      <w:r>
        <w:rPr>
          <w:rFonts w:ascii="Arial" w:hAnsi="Arial" w:cs="Arial"/>
          <w:b/>
          <w:bCs/>
          <w:szCs w:val="24"/>
        </w:rPr>
        <w:tab/>
        <w:t xml:space="preserve">Collection of Information Employing Statistical Methods. </w:t>
      </w:r>
    </w:p>
    <w:p w:rsidR="00833889" w:rsidRDefault="00833889" w:rsidP="00833889">
      <w:pPr>
        <w:jc w:val="both"/>
        <w:rPr>
          <w:rFonts w:ascii="Arial" w:hAnsi="Arial" w:cs="Arial"/>
          <w:b/>
          <w:bCs/>
          <w:szCs w:val="24"/>
          <w:highlight w:val="yellow"/>
        </w:rPr>
      </w:pPr>
    </w:p>
    <w:p w:rsidR="00833889" w:rsidRDefault="00833889" w:rsidP="00833889">
      <w:pPr>
        <w:spacing w:after="200" w:line="276" w:lineRule="auto"/>
        <w:rPr>
          <w:rFonts w:ascii="Arial" w:eastAsia="Calibri" w:hAnsi="Arial" w:cs="Arial"/>
          <w:b/>
          <w:bCs/>
          <w:szCs w:val="24"/>
        </w:rPr>
      </w:pPr>
      <w:r>
        <w:rPr>
          <w:rFonts w:ascii="Arial" w:eastAsia="Calibri" w:hAnsi="Arial" w:cs="Arial"/>
          <w:b/>
          <w:szCs w:val="24"/>
          <w:lang w:val="en"/>
        </w:rPr>
        <w:t xml:space="preserve">B1.  </w:t>
      </w:r>
      <w:r>
        <w:rPr>
          <w:rFonts w:ascii="Arial" w:eastAsia="Calibri" w:hAnsi="Arial" w:cs="Arial"/>
          <w:b/>
          <w:bCs/>
          <w:szCs w:val="24"/>
        </w:rPr>
        <w:t>Respondent Universe and Sampling Methods</w:t>
      </w:r>
    </w:p>
    <w:p w:rsidR="00833889" w:rsidRDefault="00833889" w:rsidP="00833889">
      <w:pPr>
        <w:spacing w:after="200" w:line="276" w:lineRule="auto"/>
        <w:rPr>
          <w:rFonts w:ascii="Arial" w:eastAsia="Calibri" w:hAnsi="Arial" w:cs="Arial"/>
          <w:szCs w:val="24"/>
          <w:lang w:val="en"/>
        </w:rPr>
      </w:pPr>
      <w:r>
        <w:rPr>
          <w:rFonts w:ascii="Arial" w:eastAsia="Calibri" w:hAnsi="Arial" w:cs="Arial"/>
          <w:szCs w:val="24"/>
          <w:lang w:val="en"/>
        </w:rPr>
        <w:t>We will be collecting data from three states with high levels of IPV: Nevada, Oklahoma and South Carolina.  Since our objective is to develop an e-learning curriculum that will be effective in reducing levels of IPV, targeting states with high levels for our pilot test will provide a test of the procedures under conditions of maximum potential impact.  The following table presents the number of physicians, nurses and social workers in these states:</w:t>
      </w:r>
    </w:p>
    <w:tbl>
      <w:tblPr>
        <w:tblW w:w="9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420"/>
        <w:gridCol w:w="1730"/>
        <w:gridCol w:w="1660"/>
        <w:gridCol w:w="1598"/>
      </w:tblGrid>
      <w:tr w:rsidR="00833889" w:rsidTr="00833889">
        <w:trPr>
          <w:trHeight w:val="727"/>
        </w:trPr>
        <w:tc>
          <w:tcPr>
            <w:tcW w:w="3165" w:type="dxa"/>
            <w:tcBorders>
              <w:top w:val="single" w:sz="4" w:space="0" w:color="auto"/>
              <w:left w:val="single" w:sz="4" w:space="0" w:color="auto"/>
              <w:bottom w:val="single" w:sz="4" w:space="0" w:color="auto"/>
              <w:right w:val="single" w:sz="4" w:space="0" w:color="auto"/>
            </w:tcBorders>
            <w:vAlign w:val="bottom"/>
            <w:hideMark/>
          </w:tcPr>
          <w:p w:rsidR="00833889" w:rsidRDefault="00833889">
            <w:pPr>
              <w:jc w:val="center"/>
              <w:rPr>
                <w:rFonts w:ascii="Arial" w:hAnsi="Arial" w:cs="Arial"/>
                <w:b/>
                <w:bCs/>
                <w:color w:val="000000"/>
                <w:sz w:val="20"/>
                <w:szCs w:val="24"/>
              </w:rPr>
            </w:pPr>
            <w:r>
              <w:rPr>
                <w:rFonts w:ascii="Arial" w:hAnsi="Arial" w:cs="Arial"/>
                <w:b/>
                <w:bCs/>
                <w:color w:val="000000"/>
                <w:sz w:val="20"/>
                <w:szCs w:val="24"/>
              </w:rPr>
              <w:t>Respondent Group</w:t>
            </w:r>
          </w:p>
        </w:tc>
        <w:tc>
          <w:tcPr>
            <w:tcW w:w="1420" w:type="dxa"/>
            <w:tcBorders>
              <w:top w:val="single" w:sz="4" w:space="0" w:color="auto"/>
              <w:left w:val="single" w:sz="4" w:space="0" w:color="auto"/>
              <w:bottom w:val="single" w:sz="4" w:space="0" w:color="auto"/>
              <w:right w:val="single" w:sz="4" w:space="0" w:color="auto"/>
            </w:tcBorders>
            <w:vAlign w:val="bottom"/>
            <w:hideMark/>
          </w:tcPr>
          <w:p w:rsidR="00833889" w:rsidRDefault="00833889">
            <w:pPr>
              <w:jc w:val="center"/>
              <w:rPr>
                <w:rFonts w:ascii="Arial" w:hAnsi="Arial" w:cs="Arial"/>
                <w:b/>
                <w:bCs/>
                <w:color w:val="000000"/>
                <w:sz w:val="20"/>
                <w:szCs w:val="24"/>
              </w:rPr>
            </w:pPr>
            <w:r>
              <w:rPr>
                <w:rFonts w:ascii="Arial" w:hAnsi="Arial" w:cs="Arial"/>
                <w:b/>
                <w:bCs/>
                <w:color w:val="000000"/>
                <w:sz w:val="20"/>
                <w:szCs w:val="24"/>
              </w:rPr>
              <w:t xml:space="preserve">State Population Estimate: </w:t>
            </w:r>
            <w:r>
              <w:rPr>
                <w:rFonts w:ascii="Arial" w:hAnsi="Arial" w:cs="Arial"/>
                <w:b/>
                <w:bCs/>
                <w:color w:val="000000"/>
                <w:sz w:val="20"/>
                <w:szCs w:val="24"/>
              </w:rPr>
              <w:br/>
            </w:r>
            <w:r>
              <w:rPr>
                <w:rFonts w:ascii="Arial" w:hAnsi="Arial" w:cs="Arial"/>
                <w:b/>
                <w:bCs/>
                <w:i/>
                <w:iCs/>
                <w:color w:val="000000"/>
                <w:sz w:val="20"/>
                <w:szCs w:val="24"/>
              </w:rPr>
              <w:t>Oklahoma</w:t>
            </w:r>
          </w:p>
        </w:tc>
        <w:tc>
          <w:tcPr>
            <w:tcW w:w="1730" w:type="dxa"/>
            <w:tcBorders>
              <w:top w:val="single" w:sz="4" w:space="0" w:color="auto"/>
              <w:left w:val="single" w:sz="4" w:space="0" w:color="auto"/>
              <w:bottom w:val="single" w:sz="4" w:space="0" w:color="auto"/>
              <w:right w:val="single" w:sz="4" w:space="0" w:color="auto"/>
            </w:tcBorders>
            <w:vAlign w:val="bottom"/>
            <w:hideMark/>
          </w:tcPr>
          <w:p w:rsidR="00833889" w:rsidRDefault="00833889">
            <w:pPr>
              <w:jc w:val="center"/>
              <w:rPr>
                <w:rFonts w:ascii="Arial" w:hAnsi="Arial" w:cs="Arial"/>
                <w:b/>
                <w:bCs/>
                <w:color w:val="000000"/>
                <w:sz w:val="20"/>
                <w:szCs w:val="24"/>
              </w:rPr>
            </w:pPr>
            <w:r>
              <w:rPr>
                <w:rFonts w:ascii="Arial" w:hAnsi="Arial" w:cs="Arial"/>
                <w:b/>
                <w:bCs/>
                <w:color w:val="000000"/>
                <w:sz w:val="20"/>
                <w:szCs w:val="24"/>
              </w:rPr>
              <w:t>State Population Estimate:</w:t>
            </w:r>
            <w:r>
              <w:rPr>
                <w:rFonts w:ascii="Arial" w:hAnsi="Arial" w:cs="Arial"/>
                <w:b/>
                <w:bCs/>
                <w:color w:val="000000"/>
                <w:sz w:val="20"/>
                <w:szCs w:val="24"/>
              </w:rPr>
              <w:br/>
            </w:r>
            <w:r>
              <w:rPr>
                <w:rFonts w:ascii="Arial" w:hAnsi="Arial" w:cs="Arial"/>
                <w:b/>
                <w:bCs/>
                <w:i/>
                <w:iCs/>
                <w:color w:val="000000"/>
                <w:sz w:val="20"/>
                <w:szCs w:val="24"/>
              </w:rPr>
              <w:t>Nevada</w:t>
            </w:r>
            <w:r>
              <w:rPr>
                <w:rFonts w:ascii="Arial" w:hAnsi="Arial" w:cs="Arial"/>
                <w:b/>
                <w:bCs/>
                <w:color w:val="000000"/>
                <w:sz w:val="20"/>
                <w:szCs w:val="24"/>
              </w:rPr>
              <w:t xml:space="preserve"> </w:t>
            </w:r>
          </w:p>
        </w:tc>
        <w:tc>
          <w:tcPr>
            <w:tcW w:w="1660" w:type="dxa"/>
            <w:tcBorders>
              <w:top w:val="single" w:sz="4" w:space="0" w:color="auto"/>
              <w:left w:val="single" w:sz="4" w:space="0" w:color="auto"/>
              <w:bottom w:val="single" w:sz="4" w:space="0" w:color="auto"/>
              <w:right w:val="single" w:sz="4" w:space="0" w:color="auto"/>
            </w:tcBorders>
            <w:vAlign w:val="bottom"/>
            <w:hideMark/>
          </w:tcPr>
          <w:p w:rsidR="00833889" w:rsidRDefault="00833889">
            <w:pPr>
              <w:jc w:val="center"/>
              <w:rPr>
                <w:rFonts w:ascii="Arial" w:hAnsi="Arial" w:cs="Arial"/>
                <w:b/>
                <w:bCs/>
                <w:color w:val="000000"/>
                <w:sz w:val="20"/>
                <w:szCs w:val="24"/>
              </w:rPr>
            </w:pPr>
            <w:r>
              <w:rPr>
                <w:rFonts w:ascii="Arial" w:hAnsi="Arial" w:cs="Arial"/>
                <w:b/>
                <w:bCs/>
                <w:color w:val="000000"/>
                <w:sz w:val="20"/>
                <w:szCs w:val="24"/>
              </w:rPr>
              <w:t>State Population Estimate:</w:t>
            </w:r>
            <w:r>
              <w:rPr>
                <w:rFonts w:ascii="Arial" w:hAnsi="Arial" w:cs="Arial"/>
                <w:b/>
                <w:bCs/>
                <w:color w:val="000000"/>
                <w:sz w:val="20"/>
                <w:szCs w:val="24"/>
              </w:rPr>
              <w:br/>
            </w:r>
            <w:r>
              <w:rPr>
                <w:rFonts w:ascii="Arial" w:hAnsi="Arial" w:cs="Arial"/>
                <w:b/>
                <w:bCs/>
                <w:i/>
                <w:iCs/>
                <w:color w:val="000000"/>
                <w:sz w:val="20"/>
                <w:szCs w:val="24"/>
              </w:rPr>
              <w:t>South Carolina</w:t>
            </w:r>
          </w:p>
        </w:tc>
        <w:tc>
          <w:tcPr>
            <w:tcW w:w="1598" w:type="dxa"/>
            <w:tcBorders>
              <w:top w:val="single" w:sz="4" w:space="0" w:color="auto"/>
              <w:left w:val="single" w:sz="4" w:space="0" w:color="auto"/>
              <w:bottom w:val="single" w:sz="4" w:space="0" w:color="auto"/>
              <w:right w:val="single" w:sz="4" w:space="0" w:color="auto"/>
            </w:tcBorders>
            <w:vAlign w:val="center"/>
            <w:hideMark/>
          </w:tcPr>
          <w:p w:rsidR="00833889" w:rsidRDefault="00833889">
            <w:pPr>
              <w:jc w:val="center"/>
              <w:rPr>
                <w:rFonts w:ascii="Arial" w:hAnsi="Arial" w:cs="Arial"/>
                <w:b/>
                <w:bCs/>
                <w:color w:val="000000"/>
                <w:sz w:val="20"/>
                <w:szCs w:val="24"/>
              </w:rPr>
            </w:pPr>
            <w:r>
              <w:rPr>
                <w:rFonts w:ascii="Arial" w:hAnsi="Arial" w:cs="Arial"/>
                <w:b/>
                <w:bCs/>
                <w:color w:val="000000"/>
                <w:sz w:val="20"/>
                <w:szCs w:val="24"/>
              </w:rPr>
              <w:t>Total Population Estimate</w:t>
            </w:r>
          </w:p>
        </w:tc>
      </w:tr>
      <w:tr w:rsidR="00833889" w:rsidTr="00833889">
        <w:trPr>
          <w:trHeight w:val="350"/>
        </w:trPr>
        <w:tc>
          <w:tcPr>
            <w:tcW w:w="3165"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833889" w:rsidRDefault="00833889">
            <w:pPr>
              <w:rPr>
                <w:rFonts w:ascii="Arial" w:hAnsi="Arial" w:cs="Arial"/>
                <w:b/>
                <w:color w:val="000000"/>
                <w:sz w:val="22"/>
                <w:szCs w:val="24"/>
                <w:vertAlign w:val="superscript"/>
              </w:rPr>
            </w:pPr>
            <w:r>
              <w:rPr>
                <w:rFonts w:ascii="Arial" w:hAnsi="Arial" w:cs="Arial"/>
                <w:b/>
                <w:color w:val="000000"/>
                <w:sz w:val="22"/>
                <w:szCs w:val="24"/>
              </w:rPr>
              <w:t>Health Care Providers</w:t>
            </w:r>
            <w:r>
              <w:rPr>
                <w:rFonts w:ascii="Arial" w:hAnsi="Arial" w:cs="Arial"/>
                <w:b/>
                <w:color w:val="000000"/>
                <w:sz w:val="22"/>
                <w:szCs w:val="24"/>
                <w:vertAlign w:val="superscript"/>
              </w:rPr>
              <w:t>1</w:t>
            </w:r>
          </w:p>
        </w:tc>
        <w:tc>
          <w:tcPr>
            <w:tcW w:w="14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33889" w:rsidRDefault="00833889">
            <w:pPr>
              <w:rPr>
                <w:rFonts w:ascii="Arial" w:hAnsi="Arial" w:cs="Arial"/>
                <w:b/>
                <w:color w:val="000000"/>
                <w:sz w:val="22"/>
                <w:szCs w:val="24"/>
              </w:rPr>
            </w:pPr>
            <w:r>
              <w:rPr>
                <w:rFonts w:ascii="Arial" w:hAnsi="Arial" w:cs="Arial"/>
                <w:b/>
                <w:color w:val="000000"/>
                <w:sz w:val="22"/>
                <w:szCs w:val="24"/>
              </w:rPr>
              <w:t>48,326</w:t>
            </w:r>
          </w:p>
        </w:tc>
        <w:tc>
          <w:tcPr>
            <w:tcW w:w="173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33889" w:rsidRDefault="00833889">
            <w:pPr>
              <w:rPr>
                <w:rFonts w:ascii="Arial" w:hAnsi="Arial" w:cs="Arial"/>
                <w:b/>
                <w:color w:val="000000"/>
                <w:sz w:val="22"/>
                <w:szCs w:val="24"/>
              </w:rPr>
            </w:pPr>
            <w:r>
              <w:rPr>
                <w:rFonts w:ascii="Arial" w:hAnsi="Arial" w:cs="Arial"/>
                <w:b/>
                <w:color w:val="000000"/>
                <w:sz w:val="22"/>
                <w:szCs w:val="24"/>
              </w:rPr>
              <w:t>22,920</w:t>
            </w:r>
          </w:p>
        </w:tc>
        <w:tc>
          <w:tcPr>
            <w:tcW w:w="16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33889" w:rsidRDefault="00833889">
            <w:pPr>
              <w:rPr>
                <w:rFonts w:ascii="Arial" w:hAnsi="Arial" w:cs="Arial"/>
                <w:b/>
                <w:color w:val="000000"/>
                <w:sz w:val="22"/>
                <w:szCs w:val="24"/>
              </w:rPr>
            </w:pPr>
            <w:r>
              <w:rPr>
                <w:rFonts w:ascii="Arial" w:hAnsi="Arial" w:cs="Arial"/>
                <w:b/>
                <w:color w:val="000000"/>
                <w:sz w:val="22"/>
                <w:szCs w:val="24"/>
              </w:rPr>
              <w:t>59,660</w:t>
            </w:r>
          </w:p>
        </w:tc>
        <w:tc>
          <w:tcPr>
            <w:tcW w:w="15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3889" w:rsidRDefault="00833889">
            <w:pPr>
              <w:jc w:val="center"/>
              <w:rPr>
                <w:rFonts w:ascii="Arial" w:hAnsi="Arial" w:cs="Arial"/>
                <w:b/>
                <w:color w:val="000000"/>
                <w:sz w:val="22"/>
                <w:szCs w:val="24"/>
              </w:rPr>
            </w:pPr>
            <w:r>
              <w:rPr>
                <w:rFonts w:ascii="Arial" w:hAnsi="Arial" w:cs="Arial"/>
                <w:b/>
                <w:color w:val="000000"/>
                <w:sz w:val="22"/>
                <w:szCs w:val="24"/>
              </w:rPr>
              <w:t>130,490</w:t>
            </w:r>
          </w:p>
        </w:tc>
      </w:tr>
      <w:tr w:rsidR="00833889" w:rsidTr="00833889">
        <w:trPr>
          <w:trHeight w:val="350"/>
        </w:trPr>
        <w:tc>
          <w:tcPr>
            <w:tcW w:w="3165" w:type="dxa"/>
            <w:tcBorders>
              <w:top w:val="single" w:sz="4" w:space="0" w:color="auto"/>
              <w:left w:val="single" w:sz="4" w:space="0" w:color="auto"/>
              <w:bottom w:val="single" w:sz="4" w:space="0" w:color="auto"/>
              <w:right w:val="single" w:sz="4" w:space="0" w:color="auto"/>
            </w:tcBorders>
            <w:vAlign w:val="bottom"/>
            <w:hideMark/>
          </w:tcPr>
          <w:p w:rsidR="00833889" w:rsidRDefault="00833889">
            <w:pPr>
              <w:rPr>
                <w:rFonts w:ascii="Arial" w:hAnsi="Arial" w:cs="Arial"/>
                <w:color w:val="000000"/>
                <w:sz w:val="22"/>
                <w:szCs w:val="24"/>
              </w:rPr>
            </w:pPr>
            <w:r>
              <w:rPr>
                <w:rFonts w:ascii="Arial" w:hAnsi="Arial" w:cs="Arial"/>
                <w:color w:val="000000"/>
                <w:sz w:val="22"/>
                <w:szCs w:val="24"/>
              </w:rPr>
              <w:t xml:space="preserve">     Physicians</w:t>
            </w:r>
            <w:r>
              <w:rPr>
                <w:rFonts w:ascii="Arial" w:hAnsi="Arial" w:cs="Arial"/>
                <w:color w:val="000000"/>
                <w:sz w:val="22"/>
                <w:szCs w:val="24"/>
                <w:vertAlign w:val="superscript"/>
              </w:rPr>
              <w:t>2</w:t>
            </w:r>
            <w:r>
              <w:rPr>
                <w:rFonts w:ascii="Arial" w:hAnsi="Arial" w:cs="Arial"/>
                <w:color w:val="000000"/>
                <w:sz w:val="22"/>
                <w:szCs w:val="24"/>
              </w:rPr>
              <w:t xml:space="preserve"> </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7,070</w:t>
            </w:r>
          </w:p>
        </w:tc>
        <w:tc>
          <w:tcPr>
            <w:tcW w:w="1730"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3,050</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5,950</w:t>
            </w:r>
          </w:p>
        </w:tc>
        <w:tc>
          <w:tcPr>
            <w:tcW w:w="1598" w:type="dxa"/>
            <w:tcBorders>
              <w:top w:val="single" w:sz="4" w:space="0" w:color="auto"/>
              <w:left w:val="single" w:sz="4" w:space="0" w:color="auto"/>
              <w:bottom w:val="single" w:sz="4" w:space="0" w:color="auto"/>
              <w:right w:val="single" w:sz="4" w:space="0" w:color="auto"/>
            </w:tcBorders>
            <w:vAlign w:val="center"/>
            <w:hideMark/>
          </w:tcPr>
          <w:p w:rsidR="00833889" w:rsidRDefault="00833889">
            <w:pPr>
              <w:jc w:val="center"/>
              <w:rPr>
                <w:rFonts w:ascii="Arial" w:hAnsi="Arial" w:cs="Arial"/>
                <w:color w:val="000000"/>
                <w:sz w:val="22"/>
                <w:szCs w:val="24"/>
              </w:rPr>
            </w:pPr>
            <w:r>
              <w:rPr>
                <w:rFonts w:ascii="Arial" w:hAnsi="Arial" w:cs="Arial"/>
                <w:color w:val="000000"/>
                <w:sz w:val="22"/>
                <w:szCs w:val="24"/>
              </w:rPr>
              <w:t>16,070</w:t>
            </w:r>
          </w:p>
        </w:tc>
      </w:tr>
      <w:tr w:rsidR="00833889" w:rsidTr="00833889">
        <w:trPr>
          <w:trHeight w:val="276"/>
        </w:trPr>
        <w:tc>
          <w:tcPr>
            <w:tcW w:w="3165"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 xml:space="preserve">     Nurses</w:t>
            </w:r>
            <w:r>
              <w:rPr>
                <w:rFonts w:ascii="Arial" w:hAnsi="Arial" w:cs="Arial"/>
                <w:color w:val="000000"/>
                <w:sz w:val="22"/>
                <w:szCs w:val="24"/>
                <w:vertAlign w:val="superscript"/>
              </w:rPr>
              <w:t>4</w:t>
            </w:r>
            <w:r>
              <w:rPr>
                <w:rFonts w:ascii="Arial" w:hAnsi="Arial" w:cs="Arial"/>
                <w:color w:val="000000"/>
                <w:sz w:val="22"/>
                <w:szCs w:val="24"/>
              </w:rPr>
              <w:t xml:space="preserve"> </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39,390</w:t>
            </w:r>
          </w:p>
        </w:tc>
        <w:tc>
          <w:tcPr>
            <w:tcW w:w="1730"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19,140</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51,410</w:t>
            </w:r>
          </w:p>
        </w:tc>
        <w:tc>
          <w:tcPr>
            <w:tcW w:w="1598" w:type="dxa"/>
            <w:tcBorders>
              <w:top w:val="single" w:sz="4" w:space="0" w:color="auto"/>
              <w:left w:val="single" w:sz="4" w:space="0" w:color="auto"/>
              <w:bottom w:val="single" w:sz="4" w:space="0" w:color="auto"/>
              <w:right w:val="single" w:sz="4" w:space="0" w:color="auto"/>
            </w:tcBorders>
            <w:vAlign w:val="center"/>
            <w:hideMark/>
          </w:tcPr>
          <w:p w:rsidR="00833889" w:rsidRDefault="00833889">
            <w:pPr>
              <w:jc w:val="center"/>
              <w:rPr>
                <w:rFonts w:ascii="Arial" w:hAnsi="Arial" w:cs="Arial"/>
                <w:color w:val="000000"/>
                <w:sz w:val="22"/>
                <w:szCs w:val="24"/>
              </w:rPr>
            </w:pPr>
            <w:r>
              <w:rPr>
                <w:rFonts w:ascii="Arial" w:hAnsi="Arial" w:cs="Arial"/>
                <w:color w:val="000000"/>
                <w:sz w:val="22"/>
                <w:szCs w:val="24"/>
              </w:rPr>
              <w:t>109,940</w:t>
            </w:r>
          </w:p>
        </w:tc>
      </w:tr>
      <w:tr w:rsidR="00833889" w:rsidTr="00833889">
        <w:trPr>
          <w:trHeight w:val="332"/>
        </w:trPr>
        <w:tc>
          <w:tcPr>
            <w:tcW w:w="3165"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 xml:space="preserve">     Medical Social Workers</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1,450</w:t>
            </w:r>
          </w:p>
        </w:tc>
        <w:tc>
          <w:tcPr>
            <w:tcW w:w="1730"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730</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833889" w:rsidRDefault="00833889">
            <w:pPr>
              <w:rPr>
                <w:rFonts w:ascii="Arial" w:hAnsi="Arial" w:cs="Arial"/>
                <w:color w:val="000000"/>
                <w:sz w:val="22"/>
                <w:szCs w:val="24"/>
              </w:rPr>
            </w:pPr>
            <w:r>
              <w:rPr>
                <w:rFonts w:ascii="Arial" w:hAnsi="Arial" w:cs="Arial"/>
                <w:color w:val="000000"/>
                <w:sz w:val="22"/>
                <w:szCs w:val="24"/>
              </w:rPr>
              <w:t>2,300</w:t>
            </w:r>
          </w:p>
        </w:tc>
        <w:tc>
          <w:tcPr>
            <w:tcW w:w="1598" w:type="dxa"/>
            <w:tcBorders>
              <w:top w:val="single" w:sz="4" w:space="0" w:color="auto"/>
              <w:left w:val="single" w:sz="4" w:space="0" w:color="auto"/>
              <w:bottom w:val="single" w:sz="4" w:space="0" w:color="auto"/>
              <w:right w:val="single" w:sz="4" w:space="0" w:color="auto"/>
            </w:tcBorders>
            <w:vAlign w:val="center"/>
            <w:hideMark/>
          </w:tcPr>
          <w:p w:rsidR="00833889" w:rsidRDefault="00833889">
            <w:pPr>
              <w:jc w:val="center"/>
              <w:rPr>
                <w:rFonts w:ascii="Arial" w:hAnsi="Arial" w:cs="Arial"/>
                <w:color w:val="000000"/>
                <w:sz w:val="22"/>
                <w:szCs w:val="24"/>
              </w:rPr>
            </w:pPr>
            <w:r>
              <w:rPr>
                <w:rFonts w:ascii="Arial" w:hAnsi="Arial" w:cs="Arial"/>
                <w:color w:val="000000"/>
                <w:sz w:val="22"/>
                <w:szCs w:val="24"/>
              </w:rPr>
              <w:t>4,480</w:t>
            </w:r>
          </w:p>
        </w:tc>
      </w:tr>
    </w:tbl>
    <w:p w:rsidR="00833889" w:rsidRDefault="00833889" w:rsidP="0083388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6"/>
          <w:szCs w:val="22"/>
        </w:rPr>
      </w:pPr>
      <w:r>
        <w:rPr>
          <w:rFonts w:ascii="Arial" w:hAnsi="Arial" w:cs="Arial"/>
          <w:sz w:val="18"/>
          <w:szCs w:val="22"/>
          <w:vertAlign w:val="superscript"/>
        </w:rPr>
        <w:t>1</w:t>
      </w:r>
      <w:r>
        <w:rPr>
          <w:rFonts w:ascii="Arial" w:hAnsi="Arial" w:cs="Arial"/>
          <w:sz w:val="16"/>
          <w:szCs w:val="22"/>
        </w:rPr>
        <w:t>All estimates were taken from the US Dept. of Labor Bureau of Labor Statistics accessed on January 30, 2014.</w:t>
      </w:r>
    </w:p>
    <w:p w:rsidR="00833889" w:rsidRDefault="00833889" w:rsidP="0083388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6"/>
          <w:szCs w:val="16"/>
        </w:rPr>
      </w:pPr>
      <w:r>
        <w:rPr>
          <w:rFonts w:ascii="Arial" w:hAnsi="Arial" w:cs="Arial"/>
          <w:sz w:val="16"/>
          <w:szCs w:val="16"/>
          <w:vertAlign w:val="superscript"/>
        </w:rPr>
        <w:t>2</w:t>
      </w:r>
      <w:r>
        <w:rPr>
          <w:rFonts w:ascii="Arial" w:hAnsi="Arial" w:cs="Arial"/>
          <w:sz w:val="16"/>
          <w:szCs w:val="16"/>
        </w:rPr>
        <w:t>The category of physicians includes family and general practitioners, internets, obstetricians/gynecologists, pediatricians, and “other” physicians.</w:t>
      </w:r>
    </w:p>
    <w:p w:rsidR="00833889" w:rsidRDefault="00833889" w:rsidP="0083388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6"/>
          <w:szCs w:val="22"/>
        </w:rPr>
      </w:pPr>
      <w:r>
        <w:rPr>
          <w:rFonts w:ascii="Arial" w:hAnsi="Arial" w:cs="Arial"/>
          <w:sz w:val="18"/>
          <w:szCs w:val="22"/>
          <w:vertAlign w:val="superscript"/>
        </w:rPr>
        <w:t>3</w:t>
      </w:r>
      <w:r>
        <w:rPr>
          <w:rFonts w:ascii="Arial" w:hAnsi="Arial" w:cs="Arial"/>
          <w:sz w:val="16"/>
          <w:szCs w:val="22"/>
          <w:vertAlign w:val="superscript"/>
        </w:rPr>
        <w:t xml:space="preserve"> </w:t>
      </w:r>
      <w:r>
        <w:rPr>
          <w:rFonts w:ascii="Arial" w:hAnsi="Arial" w:cs="Arial"/>
          <w:sz w:val="16"/>
          <w:szCs w:val="22"/>
        </w:rPr>
        <w:t>The category of nurses includes registered nurses and licensed practical nurses.</w:t>
      </w:r>
    </w:p>
    <w:p w:rsidR="00833889" w:rsidRDefault="00833889" w:rsidP="00833889">
      <w:pPr>
        <w:spacing w:after="200" w:line="276" w:lineRule="auto"/>
        <w:rPr>
          <w:rFonts w:ascii="Arial" w:eastAsia="Calibri" w:hAnsi="Arial" w:cs="Arial"/>
          <w:szCs w:val="24"/>
          <w:lang w:val="en"/>
        </w:rPr>
      </w:pPr>
    </w:p>
    <w:p w:rsidR="00833889" w:rsidRDefault="00833889" w:rsidP="00833889">
      <w:pPr>
        <w:spacing w:after="200" w:line="276" w:lineRule="auto"/>
        <w:rPr>
          <w:rFonts w:ascii="Arial" w:eastAsia="Calibri" w:hAnsi="Arial" w:cs="Arial"/>
          <w:szCs w:val="24"/>
          <w:lang w:val="en"/>
        </w:rPr>
      </w:pPr>
      <w:r>
        <w:rPr>
          <w:rFonts w:ascii="Arial" w:eastAsia="Calibri" w:hAnsi="Arial" w:cs="Arial"/>
          <w:szCs w:val="24"/>
          <w:lang w:val="en"/>
        </w:rPr>
        <w:t>A useful article for the determination of the minimum sample size needed for our pilot study is Hertzog (2008).</w:t>
      </w:r>
      <w:r>
        <w:rPr>
          <w:rFonts w:ascii="Arial" w:eastAsia="Calibri" w:hAnsi="Arial" w:cs="Arial"/>
          <w:i/>
          <w:position w:val="6"/>
          <w:sz w:val="18"/>
          <w:szCs w:val="24"/>
          <w:lang w:val="en"/>
        </w:rPr>
        <w:footnoteReference w:id="1"/>
      </w:r>
      <w:r>
        <w:rPr>
          <w:rFonts w:ascii="Arial" w:eastAsia="Calibri" w:hAnsi="Arial" w:cs="Arial"/>
          <w:szCs w:val="24"/>
          <w:lang w:val="en"/>
        </w:rPr>
        <w:t xml:space="preserve">  If we are simply estimating a proportion, as we will when we assess the change in the proportion of practitioners who will screen for IPV in the posttest and follow-up, Hertzog indicates that the 95% confidence interval of the proportion will be plus or minus 5% with a sample of </w:t>
      </w:r>
      <w:r>
        <w:rPr>
          <w:rFonts w:ascii="Arial" w:eastAsia="Calibri" w:hAnsi="Arial" w:cs="Arial"/>
          <w:i/>
          <w:szCs w:val="24"/>
          <w:lang w:val="en"/>
        </w:rPr>
        <w:t>n</w:t>
      </w:r>
      <w:r>
        <w:rPr>
          <w:rFonts w:ascii="Arial" w:eastAsia="Calibri" w:hAnsi="Arial" w:cs="Arial"/>
          <w:szCs w:val="24"/>
          <w:lang w:val="en"/>
        </w:rPr>
        <w:t xml:space="preserve"> = 40 per group (Table 1, p. 182).  This Hertzog recommendation parallels the required sample size estimate derived from </w:t>
      </w:r>
      <w:proofErr w:type="spellStart"/>
      <w:r>
        <w:rPr>
          <w:rFonts w:ascii="Arial" w:hAnsi="Arial" w:cs="Arial"/>
          <w:szCs w:val="24"/>
        </w:rPr>
        <w:t>Potvin</w:t>
      </w:r>
      <w:proofErr w:type="spellEnd"/>
      <w:r>
        <w:rPr>
          <w:rFonts w:ascii="Arial" w:hAnsi="Arial" w:cs="Arial"/>
          <w:szCs w:val="24"/>
        </w:rPr>
        <w:t xml:space="preserve"> and </w:t>
      </w:r>
      <w:proofErr w:type="spellStart"/>
      <w:r>
        <w:rPr>
          <w:rFonts w:ascii="Arial" w:hAnsi="Arial" w:cs="Arial"/>
          <w:szCs w:val="24"/>
        </w:rPr>
        <w:t>Schutz</w:t>
      </w:r>
      <w:proofErr w:type="spellEnd"/>
      <w:r>
        <w:rPr>
          <w:rFonts w:ascii="Arial" w:hAnsi="Arial" w:cs="Arial"/>
          <w:szCs w:val="24"/>
        </w:rPr>
        <w:t xml:space="preserve">, (2000). </w:t>
      </w:r>
    </w:p>
    <w:p w:rsidR="00833889" w:rsidRDefault="00833889" w:rsidP="00833889">
      <w:pPr>
        <w:spacing w:after="200" w:line="276" w:lineRule="auto"/>
        <w:rPr>
          <w:rFonts w:ascii="Arial" w:eastAsia="Calibri" w:hAnsi="Arial" w:cs="Arial"/>
          <w:szCs w:val="24"/>
          <w:lang w:val="en"/>
        </w:rPr>
      </w:pPr>
      <w:r>
        <w:rPr>
          <w:rFonts w:ascii="Arial" w:eastAsia="Calibri" w:hAnsi="Arial" w:cs="Arial"/>
          <w:szCs w:val="24"/>
          <w:lang w:val="en"/>
        </w:rPr>
        <w:t xml:space="preserve">Short, </w:t>
      </w:r>
      <w:proofErr w:type="spellStart"/>
      <w:r>
        <w:rPr>
          <w:rFonts w:ascii="Arial" w:eastAsia="Calibri" w:hAnsi="Arial" w:cs="Arial"/>
          <w:szCs w:val="24"/>
          <w:lang w:val="en"/>
        </w:rPr>
        <w:t>Suprenaut</w:t>
      </w:r>
      <w:proofErr w:type="spellEnd"/>
      <w:r>
        <w:rPr>
          <w:rFonts w:ascii="Arial" w:eastAsia="Calibri" w:hAnsi="Arial" w:cs="Arial"/>
          <w:szCs w:val="24"/>
          <w:lang w:val="en"/>
        </w:rPr>
        <w:t>, and Harris Jr.</w:t>
      </w:r>
      <w:r>
        <w:rPr>
          <w:rFonts w:ascii="Arial" w:eastAsia="Calibri" w:hAnsi="Arial" w:cs="Arial"/>
          <w:i/>
          <w:position w:val="6"/>
          <w:sz w:val="18"/>
          <w:szCs w:val="24"/>
          <w:lang w:val="en"/>
        </w:rPr>
        <w:footnoteReference w:id="2"/>
      </w:r>
      <w:r>
        <w:rPr>
          <w:rFonts w:ascii="Arial" w:eastAsia="Calibri" w:hAnsi="Arial" w:cs="Arial"/>
          <w:szCs w:val="24"/>
          <w:lang w:val="en"/>
        </w:rPr>
        <w:t xml:space="preserve"> and Harris et al.</w:t>
      </w:r>
      <w:r>
        <w:rPr>
          <w:rFonts w:ascii="Arial" w:eastAsia="Calibri" w:hAnsi="Arial" w:cs="Arial"/>
          <w:i/>
          <w:position w:val="6"/>
          <w:sz w:val="18"/>
          <w:szCs w:val="24"/>
          <w:lang w:val="en"/>
        </w:rPr>
        <w:footnoteReference w:id="3"/>
      </w:r>
      <w:r>
        <w:rPr>
          <w:rFonts w:ascii="Arial" w:eastAsia="Calibri" w:hAnsi="Arial" w:cs="Arial"/>
          <w:szCs w:val="24"/>
          <w:lang w:val="en"/>
        </w:rPr>
        <w:t xml:space="preserve"> conducted similar evaluations of online CME intimate partner violence courses with physicians using paper surveys. In these studies, the enrollment response rate was 6%. Other OWH projects related to </w:t>
      </w:r>
      <w:r>
        <w:rPr>
          <w:rFonts w:ascii="Arial" w:eastAsia="Calibri" w:hAnsi="Arial" w:cs="Arial"/>
          <w:szCs w:val="24"/>
          <w:lang w:val="en"/>
        </w:rPr>
        <w:lastRenderedPageBreak/>
        <w:t>domestic violence have state response rates of 10% to 30%. We are anticipating a response rate of 10% from each association.</w:t>
      </w:r>
    </w:p>
    <w:p w:rsidR="00833889" w:rsidRDefault="00833889" w:rsidP="00833889">
      <w:pPr>
        <w:spacing w:after="200" w:line="276" w:lineRule="auto"/>
        <w:rPr>
          <w:rFonts w:ascii="Arial" w:eastAsia="Calibri" w:hAnsi="Arial" w:cs="Arial"/>
          <w:szCs w:val="24"/>
          <w:lang w:val="en"/>
        </w:rPr>
      </w:pPr>
      <w:r>
        <w:rPr>
          <w:rFonts w:ascii="Arial" w:eastAsia="Calibri" w:hAnsi="Arial" w:cs="Arial"/>
          <w:szCs w:val="24"/>
          <w:lang w:val="en"/>
        </w:rPr>
        <w:t>Short et al. (2006) and Harris et al. (2002) reported retention rates of 66% after 6 weeks and 84% after 6 months.  We expect a retention rate of at least 80%</w:t>
      </w:r>
    </w:p>
    <w:p w:rsidR="00833889" w:rsidRDefault="00833889" w:rsidP="00833889">
      <w:pPr>
        <w:spacing w:after="200" w:line="276" w:lineRule="auto"/>
        <w:rPr>
          <w:rFonts w:ascii="Arial" w:eastAsia="Calibri" w:hAnsi="Arial" w:cs="Arial"/>
          <w:color w:val="FF0000"/>
          <w:szCs w:val="24"/>
          <w:lang w:val="en"/>
        </w:rPr>
      </w:pPr>
      <w:r>
        <w:rPr>
          <w:rFonts w:ascii="Arial" w:eastAsia="Calibri" w:hAnsi="Arial" w:cs="Arial"/>
          <w:szCs w:val="24"/>
          <w:lang w:val="en"/>
        </w:rPr>
        <w:t xml:space="preserve">We anticipate the Cronbach’s alphas for the measures to be fairly high.  Based on similar evaluations of online IPV curriculums, Cronbach alphas for an IPV attitude scale ranged from .73 to .91. Cronbach alpha’s for Short et al. (2006)’s for a perceived knowledge scale was fairly high (α &gt;.95) as well. With our sample of physicians (urgent care and all other physicians), nurses, and social workers we anticipate the reliabilities of our knowledge and attitude scales to be </w:t>
      </w:r>
      <w:r>
        <w:rPr>
          <w:rFonts w:ascii="Arial" w:eastAsia="Calibri" w:hAnsi="Arial" w:cs="Arial"/>
          <w:szCs w:val="24"/>
        </w:rPr>
        <w:t>at least .70 (test-retest correlation), a lower bound to acceptable stability (</w:t>
      </w:r>
      <w:proofErr w:type="spellStart"/>
      <w:r>
        <w:rPr>
          <w:rFonts w:ascii="Arial" w:eastAsia="Calibri" w:hAnsi="Arial" w:cs="Arial"/>
          <w:szCs w:val="24"/>
        </w:rPr>
        <w:t>Nunnally</w:t>
      </w:r>
      <w:proofErr w:type="spellEnd"/>
      <w:r>
        <w:rPr>
          <w:rFonts w:ascii="Arial" w:eastAsia="Calibri" w:hAnsi="Arial" w:cs="Arial"/>
          <w:szCs w:val="24"/>
        </w:rPr>
        <w:t xml:space="preserve"> &amp; Bernstein, 1994).  With high reliabilities (e.g., </w:t>
      </w:r>
      <w:r>
        <w:rPr>
          <w:rFonts w:ascii="Arial" w:eastAsia="Calibri" w:hAnsi="Arial" w:cs="Arial"/>
          <w:i/>
          <w:szCs w:val="24"/>
        </w:rPr>
        <w:t>r</w:t>
      </w:r>
      <w:r>
        <w:rPr>
          <w:rFonts w:ascii="Arial" w:eastAsia="Calibri" w:hAnsi="Arial" w:cs="Arial"/>
          <w:szCs w:val="24"/>
        </w:rPr>
        <w:t xml:space="preserve"> = .80), a sample size of </w:t>
      </w:r>
      <w:r>
        <w:rPr>
          <w:rFonts w:ascii="Arial" w:eastAsia="Calibri" w:hAnsi="Arial" w:cs="Arial"/>
          <w:i/>
          <w:szCs w:val="24"/>
        </w:rPr>
        <w:t>n</w:t>
      </w:r>
      <w:r>
        <w:rPr>
          <w:rFonts w:ascii="Arial" w:eastAsia="Calibri" w:hAnsi="Arial" w:cs="Arial"/>
          <w:szCs w:val="24"/>
        </w:rPr>
        <w:t xml:space="preserve"> = 40 per group ensures a 95% confidence interval from .73-.86 (Table 4, p. 184). </w:t>
      </w:r>
    </w:p>
    <w:p w:rsidR="00833889" w:rsidRDefault="00833889" w:rsidP="00833889">
      <w:pPr>
        <w:spacing w:after="200" w:line="276" w:lineRule="auto"/>
        <w:rPr>
          <w:rFonts w:ascii="Arial" w:eastAsia="Calibri" w:hAnsi="Arial" w:cs="Arial"/>
          <w:szCs w:val="24"/>
        </w:rPr>
      </w:pPr>
      <w:r>
        <w:rPr>
          <w:rFonts w:ascii="Arial" w:eastAsia="Calibri" w:hAnsi="Arial" w:cs="Arial"/>
          <w:szCs w:val="24"/>
        </w:rPr>
        <w:t xml:space="preserve">For the within-subjects (pre, post, and follow-up) design we are proposing, Hertzog (2008) indicates that power will be above .80 for even small effects with samples </w:t>
      </w:r>
      <w:r>
        <w:rPr>
          <w:rFonts w:ascii="Arial" w:eastAsia="Calibri" w:hAnsi="Arial" w:cs="Arial"/>
          <w:i/>
          <w:szCs w:val="24"/>
        </w:rPr>
        <w:t>n</w:t>
      </w:r>
      <w:r>
        <w:rPr>
          <w:rFonts w:ascii="Arial" w:eastAsia="Calibri" w:hAnsi="Arial" w:cs="Arial"/>
          <w:szCs w:val="24"/>
        </w:rPr>
        <w:t xml:space="preserve"> = 40 or greater (p. 188), assuming within-subject correlations of </w:t>
      </w:r>
      <w:r>
        <w:rPr>
          <w:rFonts w:ascii="Arial" w:eastAsia="Calibri" w:hAnsi="Arial" w:cs="Arial"/>
          <w:i/>
          <w:szCs w:val="24"/>
        </w:rPr>
        <w:t>r</w:t>
      </w:r>
      <w:r>
        <w:rPr>
          <w:rFonts w:ascii="Arial" w:eastAsia="Calibri" w:hAnsi="Arial" w:cs="Arial"/>
          <w:szCs w:val="24"/>
        </w:rPr>
        <w:t xml:space="preserve"> = .60.</w:t>
      </w:r>
    </w:p>
    <w:p w:rsidR="00833889" w:rsidRDefault="00833889" w:rsidP="00833889">
      <w:pPr>
        <w:spacing w:after="200" w:line="276" w:lineRule="auto"/>
        <w:rPr>
          <w:rFonts w:ascii="Arial" w:eastAsia="Calibri" w:hAnsi="Arial" w:cs="Arial"/>
          <w:szCs w:val="24"/>
          <w:lang w:val="en"/>
        </w:rPr>
      </w:pPr>
      <w:r>
        <w:rPr>
          <w:rFonts w:ascii="Arial" w:eastAsia="Calibri" w:hAnsi="Arial" w:cs="Arial"/>
          <w:szCs w:val="24"/>
        </w:rPr>
        <w:t xml:space="preserve">Thus, we will target obtaining samples (after attrition) of n=400 from each of the four groups (two groups of physicians-urgent care physicians, other physicians, nurses, and social workers) in each of the three states with a total </w:t>
      </w:r>
      <w:r>
        <w:rPr>
          <w:rFonts w:ascii="Arial" w:eastAsia="Calibri" w:hAnsi="Arial" w:cs="Arial"/>
          <w:i/>
          <w:szCs w:val="24"/>
        </w:rPr>
        <w:t>n</w:t>
      </w:r>
      <w:r>
        <w:rPr>
          <w:rFonts w:ascii="Arial" w:eastAsia="Calibri" w:hAnsi="Arial" w:cs="Arial"/>
          <w:szCs w:val="24"/>
        </w:rPr>
        <w:t xml:space="preserve"> = 1600.  If a greater number of participants complete the e-learning module and the three data collection times, we will randomly sample from the pool of respondents.</w:t>
      </w:r>
    </w:p>
    <w:p w:rsidR="00833889" w:rsidRDefault="00833889" w:rsidP="00833889">
      <w:pPr>
        <w:spacing w:after="200" w:line="276" w:lineRule="auto"/>
        <w:rPr>
          <w:rFonts w:ascii="Arial" w:eastAsia="Calibri" w:hAnsi="Arial" w:cs="Arial"/>
          <w:b/>
          <w:bCs/>
          <w:szCs w:val="24"/>
        </w:rPr>
      </w:pPr>
      <w:r>
        <w:rPr>
          <w:rFonts w:ascii="Arial" w:eastAsia="Calibri" w:hAnsi="Arial" w:cs="Arial"/>
          <w:b/>
          <w:bCs/>
          <w:szCs w:val="24"/>
        </w:rPr>
        <w:t>B.2</w:t>
      </w:r>
      <w:r>
        <w:rPr>
          <w:rFonts w:ascii="Arial" w:eastAsia="Calibri" w:hAnsi="Arial" w:cs="Arial"/>
          <w:b/>
          <w:bCs/>
          <w:szCs w:val="24"/>
        </w:rPr>
        <w:tab/>
        <w:t>Procedures for the Collection of Information</w:t>
      </w:r>
    </w:p>
    <w:p w:rsidR="00833889" w:rsidRDefault="00833889" w:rsidP="00833889">
      <w:pPr>
        <w:spacing w:after="200" w:line="276" w:lineRule="auto"/>
        <w:rPr>
          <w:rFonts w:ascii="Arial" w:eastAsia="Calibri" w:hAnsi="Arial" w:cs="Arial"/>
          <w:b/>
          <w:bCs/>
          <w:szCs w:val="24"/>
        </w:rPr>
      </w:pPr>
      <w:r>
        <w:rPr>
          <w:rFonts w:ascii="Arial" w:eastAsia="Calibri" w:hAnsi="Arial" w:cs="Arial"/>
          <w:szCs w:val="24"/>
        </w:rPr>
        <w:t>The following presents data collection procedures for the evaluation project:</w:t>
      </w:r>
    </w:p>
    <w:p w:rsidR="00833889" w:rsidRDefault="00833889" w:rsidP="00833889">
      <w:pPr>
        <w:numPr>
          <w:ilvl w:val="0"/>
          <w:numId w:val="1"/>
        </w:numPr>
        <w:spacing w:after="200" w:line="276" w:lineRule="auto"/>
        <w:rPr>
          <w:rFonts w:ascii="Arial" w:eastAsia="Calibri" w:hAnsi="Arial" w:cs="Arial"/>
          <w:szCs w:val="24"/>
        </w:rPr>
      </w:pPr>
      <w:r>
        <w:rPr>
          <w:rFonts w:ascii="Arial" w:eastAsia="Calibri" w:hAnsi="Arial" w:cs="Arial"/>
          <w:szCs w:val="24"/>
        </w:rPr>
        <w:t>Establish agreements and obtain IRB approval (if necessary) from each professional association.  GEARS will collect IRB approval letters from all associations participating in the evaluation.</w:t>
      </w:r>
    </w:p>
    <w:p w:rsidR="00833889" w:rsidRDefault="00833889" w:rsidP="00833889">
      <w:pPr>
        <w:numPr>
          <w:ilvl w:val="0"/>
          <w:numId w:val="1"/>
        </w:numPr>
        <w:spacing w:after="200" w:line="276" w:lineRule="auto"/>
        <w:rPr>
          <w:rFonts w:ascii="Arial" w:eastAsia="Calibri" w:hAnsi="Arial" w:cs="Arial"/>
          <w:szCs w:val="24"/>
        </w:rPr>
      </w:pPr>
      <w:r>
        <w:rPr>
          <w:rFonts w:ascii="Arial" w:eastAsia="Calibri" w:hAnsi="Arial" w:cs="Arial"/>
          <w:szCs w:val="24"/>
        </w:rPr>
        <w:t>Obtain OMB clearance.</w:t>
      </w:r>
    </w:p>
    <w:p w:rsidR="00833889" w:rsidRDefault="00833889" w:rsidP="00833889">
      <w:pPr>
        <w:numPr>
          <w:ilvl w:val="0"/>
          <w:numId w:val="1"/>
        </w:numPr>
        <w:spacing w:after="200" w:line="276" w:lineRule="auto"/>
        <w:rPr>
          <w:rFonts w:ascii="Arial" w:eastAsia="Calibri" w:hAnsi="Arial" w:cs="Arial"/>
          <w:szCs w:val="24"/>
        </w:rPr>
      </w:pPr>
      <w:r>
        <w:rPr>
          <w:rFonts w:ascii="Arial" w:eastAsia="Calibri" w:hAnsi="Arial" w:cs="Arial"/>
          <w:szCs w:val="24"/>
        </w:rPr>
        <w:t xml:space="preserve">Finalize all forms by making any changes suggested by OMB. Make sure the OMB clearance number is printed on all forms. </w:t>
      </w:r>
    </w:p>
    <w:p w:rsidR="00833889" w:rsidRDefault="00833889" w:rsidP="00833889">
      <w:pPr>
        <w:numPr>
          <w:ilvl w:val="0"/>
          <w:numId w:val="1"/>
        </w:numPr>
        <w:spacing w:after="200" w:line="276" w:lineRule="auto"/>
        <w:rPr>
          <w:rFonts w:ascii="Arial" w:eastAsia="Calibri" w:hAnsi="Arial" w:cs="Arial"/>
          <w:szCs w:val="24"/>
        </w:rPr>
      </w:pPr>
      <w:r>
        <w:rPr>
          <w:rFonts w:ascii="Arial" w:eastAsia="Calibri" w:hAnsi="Arial" w:cs="Arial"/>
          <w:szCs w:val="24"/>
        </w:rPr>
        <w:t xml:space="preserve">The day OMB clearance is received, GEARS will send an email to each association to:  1) inform them that OMB clearance has been obtained, and 2) They will receive a letter to distribute electronically to their members in the three pilot states within the next 3 </w:t>
      </w:r>
      <w:proofErr w:type="spellStart"/>
      <w:r>
        <w:rPr>
          <w:rFonts w:ascii="Arial" w:eastAsia="Calibri" w:hAnsi="Arial" w:cs="Arial"/>
          <w:szCs w:val="24"/>
        </w:rPr>
        <w:t>days.Participants</w:t>
      </w:r>
      <w:proofErr w:type="spellEnd"/>
      <w:r>
        <w:rPr>
          <w:rFonts w:ascii="Arial" w:eastAsia="Calibri" w:hAnsi="Arial" w:cs="Arial"/>
          <w:szCs w:val="24"/>
        </w:rPr>
        <w:t xml:space="preserve"> will be redirected from the e-</w:t>
      </w:r>
      <w:r>
        <w:rPr>
          <w:rFonts w:ascii="Arial" w:eastAsia="Calibri" w:hAnsi="Arial" w:cs="Arial"/>
          <w:szCs w:val="24"/>
        </w:rPr>
        <w:lastRenderedPageBreak/>
        <w:t>learning course to an online site to take all assessments (e.g. Pre, Post, 3 month follow-up).</w:t>
      </w:r>
    </w:p>
    <w:p w:rsidR="00833889" w:rsidRDefault="00833889" w:rsidP="00833889">
      <w:pPr>
        <w:numPr>
          <w:ilvl w:val="0"/>
          <w:numId w:val="1"/>
        </w:numPr>
        <w:spacing w:after="200" w:line="276" w:lineRule="auto"/>
        <w:rPr>
          <w:rFonts w:ascii="Arial" w:eastAsia="Calibri" w:hAnsi="Arial" w:cs="Arial"/>
          <w:szCs w:val="24"/>
        </w:rPr>
      </w:pPr>
      <w:r>
        <w:rPr>
          <w:rFonts w:ascii="Arial" w:eastAsia="Calibri" w:hAnsi="Arial" w:cs="Arial"/>
          <w:szCs w:val="24"/>
        </w:rPr>
        <w:t>Members will have 2 weeks to sign-up for the course and take the pre-test. During this 2 week period, the associations will be provided with an email reminder to forward to their members reminding them of the e-learning opportunity.</w:t>
      </w:r>
    </w:p>
    <w:p w:rsidR="00833889" w:rsidRDefault="00833889" w:rsidP="00833889">
      <w:pPr>
        <w:numPr>
          <w:ilvl w:val="0"/>
          <w:numId w:val="1"/>
        </w:numPr>
        <w:spacing w:after="200" w:line="276" w:lineRule="auto"/>
        <w:rPr>
          <w:rFonts w:ascii="Arial" w:eastAsia="Calibri" w:hAnsi="Arial" w:cs="Arial"/>
          <w:szCs w:val="24"/>
          <w:u w:val="single"/>
        </w:rPr>
      </w:pPr>
      <w:r>
        <w:rPr>
          <w:rFonts w:ascii="Arial" w:eastAsia="Calibri" w:hAnsi="Arial" w:cs="Arial"/>
          <w:szCs w:val="24"/>
        </w:rPr>
        <w:t>Participants will have 2 weeks from the time they take the pre-test to take the course and the post-test. We will send 1 week and 1 day reminders during this 2 week period.</w:t>
      </w:r>
    </w:p>
    <w:p w:rsidR="00833889" w:rsidRDefault="00833889" w:rsidP="00833889">
      <w:pPr>
        <w:numPr>
          <w:ilvl w:val="0"/>
          <w:numId w:val="1"/>
        </w:numPr>
        <w:spacing w:after="200" w:line="276" w:lineRule="auto"/>
        <w:rPr>
          <w:rFonts w:ascii="Arial" w:eastAsia="Calibri" w:hAnsi="Arial" w:cs="Arial"/>
          <w:szCs w:val="24"/>
          <w:u w:val="single"/>
        </w:rPr>
      </w:pPr>
      <w:r>
        <w:rPr>
          <w:rFonts w:ascii="Arial" w:eastAsia="Calibri" w:hAnsi="Arial" w:cs="Arial"/>
          <w:szCs w:val="24"/>
        </w:rPr>
        <w:t>Participants who have completed the posttest will be sent email reminders to complete the 3-month follow-up assessment at 1 month, 2 weeks, and on the day of eligibility.</w:t>
      </w:r>
    </w:p>
    <w:p w:rsidR="00833889" w:rsidRDefault="00833889" w:rsidP="00833889">
      <w:pPr>
        <w:numPr>
          <w:ilvl w:val="0"/>
          <w:numId w:val="1"/>
        </w:numPr>
        <w:spacing w:after="200" w:line="276" w:lineRule="auto"/>
        <w:rPr>
          <w:rFonts w:ascii="Arial" w:eastAsia="Calibri" w:hAnsi="Arial" w:cs="Arial"/>
          <w:szCs w:val="24"/>
          <w:u w:val="single"/>
        </w:rPr>
      </w:pPr>
      <w:r>
        <w:rPr>
          <w:rFonts w:ascii="Arial" w:eastAsia="Calibri" w:hAnsi="Arial" w:cs="Arial"/>
          <w:szCs w:val="24"/>
        </w:rPr>
        <w:t>Participants will be given 1 week after the day of eligibility to complete the 3-month follow-up assessment. After completing the follow-up assessment, they will be given the option of receiving CEU/CME credits for their participation.</w:t>
      </w:r>
    </w:p>
    <w:p w:rsidR="00833889" w:rsidRDefault="00833889" w:rsidP="00833889">
      <w:pPr>
        <w:keepNext/>
        <w:jc w:val="both"/>
        <w:outlineLvl w:val="7"/>
        <w:rPr>
          <w:rFonts w:ascii="Arial" w:hAnsi="Arial" w:cs="Arial"/>
          <w:b/>
          <w:bCs/>
          <w:szCs w:val="24"/>
        </w:rPr>
      </w:pPr>
      <w:r>
        <w:rPr>
          <w:rFonts w:ascii="Arial" w:hAnsi="Arial" w:cs="Arial"/>
          <w:b/>
          <w:bCs/>
          <w:szCs w:val="24"/>
        </w:rPr>
        <w:t>B.3</w:t>
      </w:r>
      <w:r>
        <w:rPr>
          <w:rFonts w:ascii="Arial" w:hAnsi="Arial" w:cs="Arial"/>
          <w:b/>
          <w:bCs/>
          <w:szCs w:val="24"/>
        </w:rPr>
        <w:tab/>
        <w:t>Methods to Maximize Response Rates and Deal with Nonresponse</w:t>
      </w:r>
    </w:p>
    <w:p w:rsidR="00833889" w:rsidRDefault="00833889" w:rsidP="00833889">
      <w:pPr>
        <w:jc w:val="both"/>
        <w:rPr>
          <w:rFonts w:ascii="Arial" w:hAnsi="Arial" w:cs="Arial"/>
          <w:szCs w:val="24"/>
          <w:highlight w:val="red"/>
        </w:rPr>
      </w:pPr>
    </w:p>
    <w:p w:rsidR="00833889" w:rsidRDefault="00833889" w:rsidP="00833889">
      <w:pPr>
        <w:jc w:val="both"/>
        <w:rPr>
          <w:rFonts w:ascii="Arial" w:hAnsi="Arial" w:cs="Arial"/>
          <w:szCs w:val="24"/>
        </w:rPr>
      </w:pPr>
      <w:r>
        <w:rPr>
          <w:rFonts w:ascii="Arial" w:hAnsi="Arial" w:cs="Arial"/>
          <w:szCs w:val="24"/>
        </w:rPr>
        <w:t>Several reminders will be used from recruitment to follow-up and CME/CEU credits will be offered to participants to increase response rates for this data collection. During the 2-week recruitment period, associations will send an email reminding their members to of the deadline to sign-up for the study. GEARS will send reminders to all participants during the 2 week period given to participants to take the course. GEARS will also send periodic reminders (1 month, 2 weeks, and 1 day) during the 3-month follow-up period. Drafts of communications (letters and email reminders) can be found in Appendix C.</w:t>
      </w:r>
    </w:p>
    <w:p w:rsidR="00833889" w:rsidRDefault="00833889" w:rsidP="00833889">
      <w:pPr>
        <w:jc w:val="both"/>
        <w:rPr>
          <w:rFonts w:ascii="Arial" w:hAnsi="Arial" w:cs="Arial"/>
          <w:szCs w:val="24"/>
        </w:rPr>
      </w:pPr>
    </w:p>
    <w:p w:rsidR="00833889" w:rsidRDefault="00833889" w:rsidP="00833889">
      <w:pPr>
        <w:keepNext/>
        <w:jc w:val="both"/>
        <w:outlineLvl w:val="7"/>
        <w:rPr>
          <w:rFonts w:ascii="Arial" w:hAnsi="Arial" w:cs="Arial"/>
          <w:b/>
          <w:bCs/>
          <w:szCs w:val="24"/>
        </w:rPr>
      </w:pPr>
      <w:r>
        <w:rPr>
          <w:rFonts w:ascii="Arial" w:hAnsi="Arial" w:cs="Arial"/>
          <w:b/>
          <w:bCs/>
          <w:szCs w:val="24"/>
        </w:rPr>
        <w:t>B.4</w:t>
      </w:r>
      <w:r>
        <w:rPr>
          <w:rFonts w:ascii="Arial" w:hAnsi="Arial" w:cs="Arial"/>
          <w:b/>
          <w:bCs/>
          <w:szCs w:val="24"/>
        </w:rPr>
        <w:tab/>
        <w:t xml:space="preserve">Test of Procedures or Methods to be </w:t>
      </w:r>
      <w:proofErr w:type="gramStart"/>
      <w:r>
        <w:rPr>
          <w:rFonts w:ascii="Arial" w:hAnsi="Arial" w:cs="Arial"/>
          <w:b/>
          <w:bCs/>
          <w:szCs w:val="24"/>
        </w:rPr>
        <w:t>Undertaken</w:t>
      </w:r>
      <w:proofErr w:type="gramEnd"/>
    </w:p>
    <w:p w:rsidR="00833889" w:rsidRDefault="00833889" w:rsidP="00833889">
      <w:pPr>
        <w:jc w:val="both"/>
        <w:rPr>
          <w:rFonts w:ascii="Arial" w:hAnsi="Arial" w:cs="Arial"/>
          <w:b/>
          <w:bCs/>
          <w:szCs w:val="24"/>
          <w:highlight w:val="red"/>
        </w:rPr>
      </w:pPr>
    </w:p>
    <w:p w:rsidR="00833889" w:rsidRDefault="00833889" w:rsidP="00833889">
      <w:pPr>
        <w:jc w:val="both"/>
        <w:rPr>
          <w:rFonts w:ascii="Arial" w:hAnsi="Arial" w:cs="Arial"/>
          <w:szCs w:val="24"/>
        </w:rPr>
      </w:pPr>
      <w:r>
        <w:rPr>
          <w:rFonts w:ascii="Arial" w:hAnsi="Arial" w:cs="Arial"/>
          <w:szCs w:val="24"/>
        </w:rPr>
        <w:t>Several of the questions and item chosen for this evaluation have been selected from standardized instruments from the literature on educating healthcare providers about domestic violence. Questions about perceived knowledge of IPV and clinical practices related to screening, treating, and referring were taken from the Physician Readiness to Manage Intimate Partner Violence (PREMIS) scale.</w:t>
      </w:r>
      <w:r>
        <w:rPr>
          <w:rFonts w:ascii="Arial" w:hAnsi="Arial" w:cs="Arial"/>
          <w:i/>
          <w:position w:val="6"/>
          <w:sz w:val="18"/>
          <w:szCs w:val="24"/>
        </w:rPr>
        <w:footnoteReference w:id="4"/>
      </w:r>
      <w:r>
        <w:rPr>
          <w:rFonts w:ascii="Arial" w:hAnsi="Arial" w:cs="Arial"/>
          <w:szCs w:val="24"/>
        </w:rPr>
        <w:t xml:space="preserve">  This scale is widely referenced in the literature and has been used to evaluate an online CME course. Cronbach Alpha’s for the perceived knowledge scale is fairly high (α &gt;.95). Questions about attitudes about IPV were taken from the Health Care Provider survey for Domestic Violence scale.</w:t>
      </w:r>
      <w:r>
        <w:rPr>
          <w:rFonts w:ascii="Arial" w:hAnsi="Arial" w:cs="Arial"/>
          <w:i/>
          <w:position w:val="6"/>
          <w:sz w:val="18"/>
          <w:szCs w:val="24"/>
        </w:rPr>
        <w:footnoteReference w:id="5"/>
      </w:r>
      <w:r>
        <w:rPr>
          <w:rFonts w:ascii="Arial" w:hAnsi="Arial" w:cs="Arial"/>
          <w:szCs w:val="24"/>
        </w:rPr>
        <w:t xml:space="preserve"> This survey is also widely known in the literature and has been used to assess </w:t>
      </w:r>
      <w:r>
        <w:rPr>
          <w:rFonts w:ascii="Arial" w:hAnsi="Arial" w:cs="Arial"/>
          <w:szCs w:val="24"/>
        </w:rPr>
        <w:lastRenderedPageBreak/>
        <w:t>an online CME course. Cronbach’s alphas for the HCP-DV scale range from .73 to .91. Additional references, reliability, and validity information for all of the items from existing scales can be found in Appendix D. Questions about the functionality of the course were taken from Wang (2003)</w:t>
      </w:r>
      <w:r>
        <w:rPr>
          <w:rStyle w:val="FootnoteReference"/>
          <w:rFonts w:ascii="Arial" w:hAnsi="Arial" w:cs="Arial"/>
          <w:szCs w:val="24"/>
        </w:rPr>
        <w:footnoteReference w:id="6"/>
      </w:r>
      <w:r>
        <w:rPr>
          <w:rFonts w:ascii="Arial" w:hAnsi="Arial" w:cs="Arial"/>
          <w:szCs w:val="24"/>
        </w:rPr>
        <w:t xml:space="preserve"> e-Learner Satisfaction (ELS) scale. Cronbach’s alphas for this scale range from .88 to .90.</w:t>
      </w:r>
    </w:p>
    <w:p w:rsidR="00833889" w:rsidRDefault="00833889" w:rsidP="00833889">
      <w:pPr>
        <w:jc w:val="both"/>
        <w:rPr>
          <w:rFonts w:ascii="Arial" w:hAnsi="Arial" w:cs="Arial"/>
          <w:szCs w:val="24"/>
        </w:rPr>
      </w:pPr>
    </w:p>
    <w:p w:rsidR="00833889" w:rsidRDefault="00833889" w:rsidP="00833889">
      <w:pPr>
        <w:jc w:val="both"/>
        <w:rPr>
          <w:rFonts w:ascii="Arial" w:hAnsi="Arial" w:cs="Arial"/>
          <w:szCs w:val="24"/>
        </w:rPr>
      </w:pPr>
      <w:r>
        <w:rPr>
          <w:rFonts w:ascii="Arial" w:hAnsi="Arial" w:cs="Arial"/>
          <w:szCs w:val="24"/>
        </w:rPr>
        <w:t xml:space="preserve">All of the questions used assess knowledge of the 9 course modules were developed by GEARS. GEARS developed 5-10 questions based on the learning objectives for each of the 9 modules. These questions were piloted by internal GEARS staff and reviewed by our statistician, subcontractor, and OWH. </w:t>
      </w:r>
    </w:p>
    <w:p w:rsidR="00833889" w:rsidRDefault="00833889" w:rsidP="00833889">
      <w:pPr>
        <w:pStyle w:val="Heading8"/>
        <w:rPr>
          <w:szCs w:val="24"/>
        </w:rPr>
      </w:pPr>
    </w:p>
    <w:p w:rsidR="00833889" w:rsidRDefault="00833889" w:rsidP="00833889">
      <w:pPr>
        <w:pStyle w:val="Heading8"/>
        <w:rPr>
          <w:szCs w:val="24"/>
        </w:rPr>
      </w:pPr>
      <w:r>
        <w:rPr>
          <w:szCs w:val="24"/>
        </w:rPr>
        <w:t>B.5</w:t>
      </w:r>
      <w:r>
        <w:rPr>
          <w:szCs w:val="24"/>
        </w:rPr>
        <w:tab/>
        <w:t>Individuals Consulted on Statistical Aspects and Individuals Collecting and/or Analyzing Data</w:t>
      </w:r>
    </w:p>
    <w:p w:rsidR="00833889" w:rsidRDefault="00833889" w:rsidP="00833889">
      <w:pPr>
        <w:keepNext/>
        <w:jc w:val="both"/>
        <w:rPr>
          <w:rFonts w:ascii="Arial" w:hAnsi="Arial" w:cs="Arial"/>
          <w:szCs w:val="24"/>
        </w:rPr>
      </w:pPr>
    </w:p>
    <w:p w:rsidR="00833889" w:rsidRDefault="00833889" w:rsidP="00833889">
      <w:pPr>
        <w:keepNext/>
        <w:jc w:val="both"/>
        <w:rPr>
          <w:rFonts w:ascii="Arial" w:hAnsi="Arial" w:cs="Arial"/>
          <w:szCs w:val="24"/>
          <w:u w:val="single"/>
        </w:rPr>
      </w:pPr>
      <w:r>
        <w:rPr>
          <w:rFonts w:ascii="Arial" w:hAnsi="Arial" w:cs="Arial"/>
          <w:szCs w:val="24"/>
          <w:u w:val="single"/>
        </w:rPr>
        <w:t>Program Development Contact</w:t>
      </w:r>
    </w:p>
    <w:p w:rsidR="00833889" w:rsidRDefault="00833889" w:rsidP="00833889">
      <w:pPr>
        <w:pStyle w:val="NormalWeb"/>
        <w:spacing w:before="0" w:beforeAutospacing="0" w:after="0" w:afterAutospacing="0"/>
        <w:rPr>
          <w:rFonts w:ascii="Arial" w:hAnsi="Arial" w:cs="Arial"/>
        </w:rPr>
      </w:pPr>
      <w:r>
        <w:rPr>
          <w:rFonts w:ascii="Arial" w:hAnsi="Arial" w:cs="Arial"/>
        </w:rPr>
        <w:t>Adrienne Smith, Ph.D., MS, CHES</w:t>
      </w:r>
    </w:p>
    <w:p w:rsidR="00833889" w:rsidRDefault="00833889" w:rsidP="00833889">
      <w:pPr>
        <w:pStyle w:val="NormalWeb"/>
        <w:spacing w:before="0" w:beforeAutospacing="0" w:after="0" w:afterAutospacing="0"/>
        <w:rPr>
          <w:rFonts w:ascii="Arial" w:hAnsi="Arial" w:cs="Arial"/>
        </w:rPr>
      </w:pPr>
      <w:r>
        <w:rPr>
          <w:rFonts w:ascii="Arial" w:hAnsi="Arial" w:cs="Arial"/>
        </w:rPr>
        <w:t>Public Health Advisor</w:t>
      </w:r>
    </w:p>
    <w:p w:rsidR="00833889" w:rsidRDefault="00833889" w:rsidP="00833889">
      <w:pPr>
        <w:pStyle w:val="NormalWeb"/>
        <w:spacing w:before="0" w:beforeAutospacing="0" w:after="0" w:afterAutospacing="0"/>
        <w:rPr>
          <w:rFonts w:ascii="Arial" w:hAnsi="Arial" w:cs="Arial"/>
        </w:rPr>
      </w:pPr>
      <w:r>
        <w:rPr>
          <w:rFonts w:ascii="Arial" w:hAnsi="Arial" w:cs="Arial"/>
        </w:rPr>
        <w:t>U.S. Department of Health and Human Services</w:t>
      </w:r>
    </w:p>
    <w:p w:rsidR="00833889" w:rsidRDefault="00833889" w:rsidP="00833889">
      <w:pPr>
        <w:pStyle w:val="NormalWeb"/>
        <w:spacing w:before="0" w:beforeAutospacing="0" w:after="0" w:afterAutospacing="0"/>
        <w:rPr>
          <w:rFonts w:ascii="Arial" w:hAnsi="Arial" w:cs="Arial"/>
        </w:rPr>
      </w:pPr>
      <w:r>
        <w:rPr>
          <w:rFonts w:ascii="Arial" w:hAnsi="Arial" w:cs="Arial"/>
        </w:rPr>
        <w:t>Office on Women's Health</w:t>
      </w:r>
    </w:p>
    <w:p w:rsidR="00833889" w:rsidRDefault="00833889" w:rsidP="00833889">
      <w:pPr>
        <w:pStyle w:val="NormalWeb"/>
        <w:spacing w:before="0" w:beforeAutospacing="0" w:after="0" w:afterAutospacing="0"/>
        <w:rPr>
          <w:rFonts w:ascii="Arial" w:hAnsi="Arial" w:cs="Arial"/>
        </w:rPr>
      </w:pPr>
      <w:r>
        <w:rPr>
          <w:rFonts w:ascii="Arial" w:hAnsi="Arial" w:cs="Arial"/>
        </w:rPr>
        <w:t>202-401-8325</w:t>
      </w:r>
    </w:p>
    <w:p w:rsidR="00833889" w:rsidRDefault="00833889" w:rsidP="00833889">
      <w:pPr>
        <w:pStyle w:val="NormalWeb"/>
        <w:spacing w:before="0" w:beforeAutospacing="0" w:after="0" w:afterAutospacing="0"/>
        <w:rPr>
          <w:rFonts w:ascii="Arial" w:hAnsi="Arial" w:cs="Arial"/>
        </w:rPr>
      </w:pPr>
      <w:hyperlink r:id="rId8" w:history="1">
        <w:r>
          <w:rPr>
            <w:rStyle w:val="Hyperlink"/>
          </w:rPr>
          <w:t>Adrienne.Smith@hhs.gov</w:t>
        </w:r>
      </w:hyperlink>
    </w:p>
    <w:p w:rsidR="00833889" w:rsidRDefault="00833889" w:rsidP="00833889">
      <w:pPr>
        <w:keepNext/>
        <w:jc w:val="both"/>
        <w:rPr>
          <w:rFonts w:ascii="Arial" w:hAnsi="Arial" w:cs="Arial"/>
          <w:szCs w:val="24"/>
        </w:rPr>
      </w:pPr>
    </w:p>
    <w:p w:rsidR="00833889" w:rsidRDefault="00833889" w:rsidP="00833889">
      <w:pPr>
        <w:jc w:val="both"/>
        <w:rPr>
          <w:rFonts w:ascii="Arial" w:hAnsi="Arial" w:cs="Arial"/>
          <w:szCs w:val="24"/>
          <w:u w:val="single"/>
        </w:rPr>
      </w:pPr>
      <w:r>
        <w:rPr>
          <w:rFonts w:ascii="Arial" w:hAnsi="Arial" w:cs="Arial"/>
          <w:szCs w:val="24"/>
          <w:u w:val="single"/>
        </w:rPr>
        <w:t>Data Collection/Analysis and Statistical Contact</w:t>
      </w:r>
    </w:p>
    <w:p w:rsidR="00833889" w:rsidRDefault="00833889" w:rsidP="00833889">
      <w:pPr>
        <w:keepNext/>
        <w:jc w:val="both"/>
        <w:rPr>
          <w:rFonts w:ascii="Arial" w:hAnsi="Arial" w:cs="Arial"/>
          <w:szCs w:val="24"/>
        </w:rPr>
      </w:pPr>
      <w:r>
        <w:rPr>
          <w:rFonts w:ascii="Arial" w:hAnsi="Arial" w:cs="Arial"/>
          <w:szCs w:val="24"/>
        </w:rPr>
        <w:t>Deborah Brome, Ph.D.</w:t>
      </w:r>
    </w:p>
    <w:p w:rsidR="00833889" w:rsidRDefault="00833889" w:rsidP="00833889">
      <w:pPr>
        <w:keepNext/>
        <w:jc w:val="both"/>
        <w:rPr>
          <w:rFonts w:ascii="Arial" w:hAnsi="Arial" w:cs="Arial"/>
          <w:szCs w:val="24"/>
        </w:rPr>
      </w:pPr>
      <w:r>
        <w:rPr>
          <w:rFonts w:ascii="Arial" w:hAnsi="Arial" w:cs="Arial"/>
          <w:szCs w:val="24"/>
        </w:rPr>
        <w:t>Vice President and Director of Evaluation &amp; Applied Research</w:t>
      </w:r>
    </w:p>
    <w:p w:rsidR="00833889" w:rsidRDefault="00833889" w:rsidP="00833889">
      <w:pPr>
        <w:keepNext/>
        <w:jc w:val="both"/>
        <w:rPr>
          <w:rFonts w:ascii="Arial" w:hAnsi="Arial" w:cs="Arial"/>
          <w:b/>
        </w:rPr>
      </w:pPr>
      <w:r>
        <w:rPr>
          <w:rFonts w:ascii="Arial" w:hAnsi="Arial" w:cs="Arial"/>
        </w:rPr>
        <w:t>Global Evaluation &amp; Applied Research Solutions (GEARS Inc.)</w:t>
      </w:r>
    </w:p>
    <w:p w:rsidR="00833889" w:rsidRDefault="00833889" w:rsidP="00833889">
      <w:pPr>
        <w:jc w:val="both"/>
        <w:rPr>
          <w:rFonts w:ascii="Arial" w:hAnsi="Arial" w:cs="Arial"/>
          <w:szCs w:val="24"/>
        </w:rPr>
      </w:pPr>
      <w:r>
        <w:rPr>
          <w:rFonts w:ascii="Arial" w:hAnsi="Arial" w:cs="Arial"/>
          <w:szCs w:val="24"/>
        </w:rPr>
        <w:t>301-429-5982</w:t>
      </w:r>
    </w:p>
    <w:p w:rsidR="00833889" w:rsidRDefault="00833889" w:rsidP="00833889">
      <w:pPr>
        <w:jc w:val="both"/>
        <w:rPr>
          <w:rFonts w:ascii="Arial" w:hAnsi="Arial" w:cs="Arial"/>
          <w:szCs w:val="24"/>
        </w:rPr>
      </w:pPr>
      <w:hyperlink r:id="rId9" w:history="1">
        <w:r>
          <w:rPr>
            <w:rStyle w:val="Hyperlink"/>
            <w:szCs w:val="24"/>
          </w:rPr>
          <w:t>dbrome@getingears.com</w:t>
        </w:r>
      </w:hyperlink>
    </w:p>
    <w:p w:rsidR="00833889" w:rsidRDefault="00833889" w:rsidP="00833889">
      <w:pPr>
        <w:jc w:val="both"/>
        <w:rPr>
          <w:rFonts w:ascii="Arial" w:hAnsi="Arial" w:cs="Arial"/>
          <w:szCs w:val="24"/>
        </w:rPr>
      </w:pPr>
    </w:p>
    <w:p w:rsidR="00833889" w:rsidRDefault="00833889" w:rsidP="00833889">
      <w:pPr>
        <w:jc w:val="both"/>
        <w:rPr>
          <w:rFonts w:ascii="Arial" w:hAnsi="Arial" w:cs="Arial"/>
          <w:szCs w:val="24"/>
        </w:rPr>
      </w:pPr>
      <w:r>
        <w:rPr>
          <w:rFonts w:ascii="Arial" w:hAnsi="Arial" w:cs="Arial"/>
          <w:szCs w:val="24"/>
        </w:rPr>
        <w:t>Michael Milburn, Ph.D.</w:t>
      </w:r>
    </w:p>
    <w:p w:rsidR="00833889" w:rsidRDefault="00833889" w:rsidP="00833889">
      <w:pPr>
        <w:jc w:val="both"/>
        <w:rPr>
          <w:rFonts w:ascii="Arial" w:hAnsi="Arial" w:cs="Arial"/>
          <w:szCs w:val="24"/>
        </w:rPr>
      </w:pPr>
      <w:r>
        <w:rPr>
          <w:rFonts w:ascii="Arial" w:hAnsi="Arial" w:cs="Arial"/>
          <w:szCs w:val="24"/>
        </w:rPr>
        <w:t>Professor of Psychology</w:t>
      </w:r>
    </w:p>
    <w:p w:rsidR="00833889" w:rsidRDefault="00833889" w:rsidP="00833889">
      <w:pPr>
        <w:jc w:val="both"/>
        <w:rPr>
          <w:rFonts w:ascii="Arial" w:hAnsi="Arial" w:cs="Arial"/>
          <w:szCs w:val="24"/>
        </w:rPr>
      </w:pPr>
      <w:r>
        <w:rPr>
          <w:rFonts w:ascii="Arial" w:hAnsi="Arial" w:cs="Arial"/>
          <w:szCs w:val="24"/>
        </w:rPr>
        <w:t>University of Massachusetts, Boston</w:t>
      </w:r>
    </w:p>
    <w:p w:rsidR="00833889" w:rsidRDefault="00833889" w:rsidP="00833889">
      <w:pPr>
        <w:jc w:val="both"/>
        <w:rPr>
          <w:rFonts w:ascii="Arial" w:hAnsi="Arial" w:cs="Arial"/>
          <w:szCs w:val="24"/>
        </w:rPr>
      </w:pPr>
      <w:r>
        <w:rPr>
          <w:rFonts w:ascii="Arial" w:hAnsi="Arial" w:cs="Arial"/>
          <w:szCs w:val="24"/>
        </w:rPr>
        <w:t>100 Morrissey Boulevard</w:t>
      </w:r>
    </w:p>
    <w:p w:rsidR="00833889" w:rsidRDefault="00833889" w:rsidP="00833889">
      <w:pPr>
        <w:jc w:val="both"/>
        <w:rPr>
          <w:rFonts w:ascii="Arial" w:hAnsi="Arial" w:cs="Arial"/>
          <w:szCs w:val="24"/>
        </w:rPr>
      </w:pPr>
      <w:r>
        <w:rPr>
          <w:rFonts w:ascii="Arial" w:hAnsi="Arial" w:cs="Arial"/>
          <w:szCs w:val="24"/>
        </w:rPr>
        <w:t>Boston, Massachusetts</w:t>
      </w:r>
    </w:p>
    <w:p w:rsidR="00833889" w:rsidRDefault="00833889" w:rsidP="00833889">
      <w:pPr>
        <w:jc w:val="both"/>
        <w:rPr>
          <w:rFonts w:ascii="Arial" w:hAnsi="Arial" w:cs="Arial"/>
          <w:szCs w:val="24"/>
        </w:rPr>
      </w:pPr>
      <w:r>
        <w:rPr>
          <w:rFonts w:ascii="Arial" w:hAnsi="Arial" w:cs="Arial"/>
          <w:szCs w:val="24"/>
        </w:rPr>
        <w:t>617-287-6386</w:t>
      </w:r>
    </w:p>
    <w:p w:rsidR="00833889" w:rsidRDefault="00833889" w:rsidP="00833889">
      <w:pPr>
        <w:jc w:val="both"/>
        <w:rPr>
          <w:rFonts w:ascii="Arial" w:hAnsi="Arial" w:cs="Arial"/>
          <w:szCs w:val="24"/>
        </w:rPr>
      </w:pPr>
      <w:hyperlink r:id="rId10" w:history="1">
        <w:r>
          <w:rPr>
            <w:rStyle w:val="Hyperlink"/>
            <w:szCs w:val="24"/>
          </w:rPr>
          <w:t>Michael.Milburn@getingears.com</w:t>
        </w:r>
      </w:hyperlink>
    </w:p>
    <w:p w:rsidR="00FE1861" w:rsidRDefault="00FE1861">
      <w:bookmarkStart w:id="0" w:name="_GoBack"/>
      <w:bookmarkEnd w:id="0"/>
    </w:p>
    <w:sectPr w:rsidR="00FE18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89" w:rsidRDefault="00833889" w:rsidP="00833889">
      <w:r>
        <w:separator/>
      </w:r>
    </w:p>
  </w:endnote>
  <w:endnote w:type="continuationSeparator" w:id="0">
    <w:p w:rsidR="00833889" w:rsidRDefault="00833889" w:rsidP="0083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89" w:rsidRDefault="00833889" w:rsidP="00833889">
      <w:r>
        <w:separator/>
      </w:r>
    </w:p>
  </w:footnote>
  <w:footnote w:type="continuationSeparator" w:id="0">
    <w:p w:rsidR="00833889" w:rsidRDefault="00833889" w:rsidP="00833889">
      <w:r>
        <w:continuationSeparator/>
      </w:r>
    </w:p>
  </w:footnote>
  <w:footnote w:id="1">
    <w:p w:rsidR="00833889" w:rsidRDefault="00833889" w:rsidP="00833889">
      <w:pPr>
        <w:pStyle w:val="FootnoteText"/>
        <w:rPr>
          <w:szCs w:val="18"/>
        </w:rPr>
      </w:pPr>
      <w:r>
        <w:rPr>
          <w:rStyle w:val="FootnoteReference"/>
          <w:szCs w:val="18"/>
        </w:rPr>
        <w:footnoteRef/>
      </w:r>
      <w:r>
        <w:rPr>
          <w:szCs w:val="18"/>
        </w:rPr>
        <w:t xml:space="preserve"> </w:t>
      </w:r>
      <w:r>
        <w:rPr>
          <w:i w:val="0"/>
          <w:szCs w:val="18"/>
        </w:rPr>
        <w:t>Hertzog identified abstracts of pilot studies funded by National Institutes of Health (NIH) National Institute of Nursing Research (NINR),  R03 and R15 grants from 2002 to 2004 were obtained using the CRISP database (National Institutes of Health, 2005), and Medline was searched for articles on pilot studies published in 2004 and referenced in the category of nursing.  The sample sizes for studies similar to ours ranged from n = 24 to n = 419, with a median of n = 49.</w:t>
      </w:r>
    </w:p>
  </w:footnote>
  <w:footnote w:id="2">
    <w:p w:rsidR="00833889" w:rsidRDefault="00833889" w:rsidP="00833889">
      <w:pPr>
        <w:pStyle w:val="FootnoteText"/>
        <w:rPr>
          <w:i w:val="0"/>
        </w:rPr>
      </w:pPr>
      <w:r>
        <w:rPr>
          <w:rStyle w:val="FootnoteReference"/>
        </w:rPr>
        <w:footnoteRef/>
      </w:r>
      <w:r>
        <w:t xml:space="preserve"> </w:t>
      </w:r>
      <w:proofErr w:type="gramStart"/>
      <w:r>
        <w:rPr>
          <w:i w:val="0"/>
        </w:rPr>
        <w:t xml:space="preserve">Short, L. M., </w:t>
      </w:r>
      <w:proofErr w:type="spellStart"/>
      <w:r>
        <w:rPr>
          <w:i w:val="0"/>
        </w:rPr>
        <w:t>Surprenant</w:t>
      </w:r>
      <w:proofErr w:type="spellEnd"/>
      <w:r>
        <w:rPr>
          <w:i w:val="0"/>
        </w:rPr>
        <w:t>, Z. J., &amp; Harris Jr., J. M. (2006).</w:t>
      </w:r>
      <w:proofErr w:type="gramEnd"/>
      <w:r>
        <w:rPr>
          <w:i w:val="0"/>
        </w:rPr>
        <w:t xml:space="preserve">  </w:t>
      </w:r>
      <w:proofErr w:type="gramStart"/>
      <w:r>
        <w:rPr>
          <w:i w:val="0"/>
        </w:rPr>
        <w:t>A community-based trail of an online intimate partner violence CME program.</w:t>
      </w:r>
      <w:proofErr w:type="gramEnd"/>
      <w:r>
        <w:rPr>
          <w:i w:val="0"/>
        </w:rPr>
        <w:t xml:space="preserve">  </w:t>
      </w:r>
      <w:r>
        <w:t xml:space="preserve">American Journal of Preventative Medicine, 30(2), </w:t>
      </w:r>
      <w:r>
        <w:rPr>
          <w:i w:val="0"/>
        </w:rPr>
        <w:t>181-185. doi:10.1016/j.ampre.2005.10.012</w:t>
      </w:r>
    </w:p>
  </w:footnote>
  <w:footnote w:id="3">
    <w:p w:rsidR="00833889" w:rsidRDefault="00833889" w:rsidP="00833889">
      <w:pPr>
        <w:pStyle w:val="FootnoteText"/>
        <w:rPr>
          <w:i w:val="0"/>
        </w:rPr>
      </w:pPr>
      <w:r>
        <w:rPr>
          <w:rStyle w:val="FootnoteReference"/>
        </w:rPr>
        <w:footnoteRef/>
      </w:r>
      <w:r>
        <w:t xml:space="preserve"> </w:t>
      </w:r>
      <w:proofErr w:type="gramStart"/>
      <w:r>
        <w:rPr>
          <w:i w:val="0"/>
        </w:rPr>
        <w:t xml:space="preserve">Harris Jr., J. M., </w:t>
      </w:r>
      <w:proofErr w:type="spellStart"/>
      <w:r>
        <w:rPr>
          <w:i w:val="0"/>
        </w:rPr>
        <w:t>Kutob</w:t>
      </w:r>
      <w:proofErr w:type="spellEnd"/>
      <w:r>
        <w:rPr>
          <w:i w:val="0"/>
        </w:rPr>
        <w:t xml:space="preserve">, R. M., </w:t>
      </w:r>
      <w:proofErr w:type="spellStart"/>
      <w:r>
        <w:rPr>
          <w:i w:val="0"/>
        </w:rPr>
        <w:t>Surprenant</w:t>
      </w:r>
      <w:proofErr w:type="spellEnd"/>
      <w:r>
        <w:rPr>
          <w:i w:val="0"/>
        </w:rPr>
        <w:t xml:space="preserve">, Z. J., </w:t>
      </w:r>
      <w:proofErr w:type="spellStart"/>
      <w:r>
        <w:rPr>
          <w:i w:val="0"/>
        </w:rPr>
        <w:t>Maiuro</w:t>
      </w:r>
      <w:proofErr w:type="spellEnd"/>
      <w:r>
        <w:rPr>
          <w:i w:val="0"/>
        </w:rPr>
        <w:t>, R. D., &amp; Delate, T. A. (2002).</w:t>
      </w:r>
      <w:proofErr w:type="gramEnd"/>
      <w:r>
        <w:rPr>
          <w:i w:val="0"/>
        </w:rPr>
        <w:t xml:space="preserve">  Can internet-based education improve physician confidence in dealing with domestic violence?  </w:t>
      </w:r>
      <w:proofErr w:type="gramStart"/>
      <w:r>
        <w:t xml:space="preserve">Methods for Continuing Medical Education, 34(4), </w:t>
      </w:r>
      <w:r>
        <w:rPr>
          <w:i w:val="0"/>
        </w:rPr>
        <w:t>287-292.</w:t>
      </w:r>
      <w:proofErr w:type="gramEnd"/>
      <w:r>
        <w:rPr>
          <w:i w:val="0"/>
        </w:rPr>
        <w:t xml:space="preserve"> </w:t>
      </w:r>
      <w:proofErr w:type="spellStart"/>
      <w:r>
        <w:rPr>
          <w:i w:val="0"/>
        </w:rPr>
        <w:t>doi</w:t>
      </w:r>
      <w:proofErr w:type="spellEnd"/>
      <w:r>
        <w:rPr>
          <w:i w:val="0"/>
        </w:rPr>
        <w:t>:</w:t>
      </w:r>
    </w:p>
  </w:footnote>
  <w:footnote w:id="4">
    <w:p w:rsidR="00833889" w:rsidRDefault="00833889" w:rsidP="00833889">
      <w:pPr>
        <w:pStyle w:val="FootnoteText"/>
        <w:rPr>
          <w:i w:val="0"/>
        </w:rPr>
      </w:pPr>
      <w:r>
        <w:rPr>
          <w:rStyle w:val="FootnoteReference"/>
        </w:rPr>
        <w:footnoteRef/>
      </w:r>
      <w:r>
        <w:t xml:space="preserve"> </w:t>
      </w:r>
      <w:proofErr w:type="gramStart"/>
      <w:r>
        <w:rPr>
          <w:i w:val="0"/>
        </w:rPr>
        <w:t xml:space="preserve">Short, L. M., Alpert, E., Harris, J. M., &amp; </w:t>
      </w:r>
      <w:proofErr w:type="spellStart"/>
      <w:r>
        <w:rPr>
          <w:i w:val="0"/>
        </w:rPr>
        <w:t>Suprenant</w:t>
      </w:r>
      <w:proofErr w:type="spellEnd"/>
      <w:r>
        <w:rPr>
          <w:i w:val="0"/>
        </w:rPr>
        <w:t>, Z. J. (2006).</w:t>
      </w:r>
      <w:proofErr w:type="gramEnd"/>
      <w:r>
        <w:rPr>
          <w:i w:val="0"/>
        </w:rPr>
        <w:t xml:space="preserve"> </w:t>
      </w:r>
      <w:proofErr w:type="gramStart"/>
      <w:r>
        <w:rPr>
          <w:i w:val="0"/>
        </w:rPr>
        <w:t>A tool for measuring Physician Readiness to Manage Intimate Partner Violence (PREMIS).</w:t>
      </w:r>
      <w:proofErr w:type="gramEnd"/>
      <w:r>
        <w:t xml:space="preserve"> American Journal of Preventative Medicine, 30(2), 173-180. </w:t>
      </w:r>
      <w:r>
        <w:rPr>
          <w:i w:val="0"/>
        </w:rPr>
        <w:t>doi:10.1016/j.ampre.2005.10.009</w:t>
      </w:r>
    </w:p>
  </w:footnote>
  <w:footnote w:id="5">
    <w:p w:rsidR="00833889" w:rsidRDefault="00833889" w:rsidP="00833889">
      <w:pPr>
        <w:ind w:right="-810"/>
        <w:rPr>
          <w:rFonts w:ascii="Times New Roman" w:hAnsi="Times New Roman"/>
          <w:bCs/>
          <w:iCs/>
          <w:sz w:val="18"/>
        </w:rPr>
      </w:pPr>
      <w:r>
        <w:rPr>
          <w:rStyle w:val="FootnoteReference"/>
        </w:rPr>
        <w:footnoteRef/>
      </w:r>
      <w:r>
        <w:t xml:space="preserve"> </w:t>
      </w:r>
      <w:proofErr w:type="spellStart"/>
      <w:r>
        <w:rPr>
          <w:rFonts w:ascii="Times New Roman" w:hAnsi="Times New Roman"/>
          <w:bCs/>
          <w:iCs/>
          <w:sz w:val="18"/>
        </w:rPr>
        <w:t>Maiuro</w:t>
      </w:r>
      <w:proofErr w:type="spellEnd"/>
      <w:r>
        <w:rPr>
          <w:rFonts w:ascii="Times New Roman" w:hAnsi="Times New Roman"/>
          <w:bCs/>
          <w:iCs/>
          <w:sz w:val="18"/>
        </w:rPr>
        <w:t xml:space="preserve">, R.D., </w:t>
      </w:r>
      <w:proofErr w:type="spellStart"/>
      <w:r>
        <w:rPr>
          <w:rFonts w:ascii="Times New Roman" w:hAnsi="Times New Roman"/>
          <w:bCs/>
          <w:iCs/>
          <w:sz w:val="18"/>
        </w:rPr>
        <w:t>Vitaliano</w:t>
      </w:r>
      <w:proofErr w:type="spellEnd"/>
      <w:r>
        <w:rPr>
          <w:rFonts w:ascii="Times New Roman" w:hAnsi="Times New Roman"/>
          <w:bCs/>
          <w:iCs/>
          <w:sz w:val="18"/>
        </w:rPr>
        <w:t xml:space="preserve"> P. P., </w:t>
      </w:r>
      <w:proofErr w:type="spellStart"/>
      <w:r>
        <w:rPr>
          <w:rFonts w:ascii="Times New Roman" w:hAnsi="Times New Roman"/>
          <w:bCs/>
          <w:iCs/>
          <w:sz w:val="18"/>
        </w:rPr>
        <w:t>Sugg</w:t>
      </w:r>
      <w:proofErr w:type="spellEnd"/>
      <w:r>
        <w:rPr>
          <w:rFonts w:ascii="Times New Roman" w:hAnsi="Times New Roman"/>
          <w:bCs/>
          <w:iCs/>
          <w:sz w:val="18"/>
        </w:rPr>
        <w:t xml:space="preserve">, N. K., Thompson, D. C., </w:t>
      </w:r>
      <w:proofErr w:type="spellStart"/>
      <w:r>
        <w:rPr>
          <w:rFonts w:ascii="Times New Roman" w:hAnsi="Times New Roman"/>
          <w:bCs/>
          <w:iCs/>
          <w:sz w:val="18"/>
        </w:rPr>
        <w:t>Rivara</w:t>
      </w:r>
      <w:proofErr w:type="spellEnd"/>
      <w:r>
        <w:rPr>
          <w:rFonts w:ascii="Times New Roman" w:hAnsi="Times New Roman"/>
          <w:bCs/>
          <w:iCs/>
          <w:sz w:val="18"/>
        </w:rPr>
        <w:t>, F. P., &amp; Thompson, R. S. (2000). Development of a Health Care</w:t>
      </w:r>
    </w:p>
    <w:p w:rsidR="00833889" w:rsidRDefault="00833889" w:rsidP="00833889">
      <w:pPr>
        <w:ind w:right="-810"/>
        <w:rPr>
          <w:rFonts w:ascii="Times New Roman" w:hAnsi="Times New Roman"/>
          <w:bCs/>
          <w:iCs/>
          <w:sz w:val="18"/>
        </w:rPr>
      </w:pPr>
      <w:r>
        <w:rPr>
          <w:rFonts w:ascii="Times New Roman" w:hAnsi="Times New Roman"/>
          <w:bCs/>
          <w:iCs/>
          <w:sz w:val="18"/>
        </w:rPr>
        <w:t xml:space="preserve">      Provider Survey for Domestic Violence: Psychometric Properties.  </w:t>
      </w:r>
      <w:r>
        <w:rPr>
          <w:rFonts w:ascii="Times New Roman" w:hAnsi="Times New Roman"/>
          <w:bCs/>
          <w:i/>
          <w:iCs/>
          <w:sz w:val="18"/>
        </w:rPr>
        <w:t>American Journal of Preventative Medicine, 19(4),</w:t>
      </w:r>
      <w:r>
        <w:rPr>
          <w:rFonts w:ascii="Times New Roman" w:hAnsi="Times New Roman"/>
          <w:bCs/>
          <w:iCs/>
          <w:sz w:val="18"/>
        </w:rPr>
        <w:t xml:space="preserve"> 245-252.</w:t>
      </w:r>
    </w:p>
    <w:p w:rsidR="00833889" w:rsidRDefault="00833889" w:rsidP="00833889">
      <w:pPr>
        <w:ind w:right="-810"/>
        <w:rPr>
          <w:rFonts w:ascii="Times New Roman" w:hAnsi="Times New Roman"/>
          <w:bCs/>
          <w:iCs/>
          <w:sz w:val="22"/>
        </w:rPr>
      </w:pPr>
      <w:r>
        <w:rPr>
          <w:rFonts w:ascii="Times New Roman" w:hAnsi="Times New Roman"/>
          <w:bCs/>
          <w:iCs/>
          <w:sz w:val="18"/>
        </w:rPr>
        <w:t xml:space="preserve">     </w:t>
      </w:r>
      <w:proofErr w:type="spellStart"/>
      <w:r>
        <w:rPr>
          <w:rFonts w:ascii="Times New Roman" w:hAnsi="Times New Roman"/>
          <w:bCs/>
          <w:iCs/>
          <w:sz w:val="18"/>
        </w:rPr>
        <w:t>doi</w:t>
      </w:r>
      <w:proofErr w:type="spellEnd"/>
      <w:r>
        <w:rPr>
          <w:rFonts w:ascii="Times New Roman" w:hAnsi="Times New Roman"/>
          <w:bCs/>
          <w:iCs/>
          <w:sz w:val="18"/>
        </w:rPr>
        <w:t>: 10.1016/S0749-3797(00)00230-0</w:t>
      </w:r>
    </w:p>
    <w:p w:rsidR="00833889" w:rsidRDefault="00833889" w:rsidP="00833889">
      <w:pPr>
        <w:pStyle w:val="FootnoteText"/>
        <w:rPr>
          <w:rFonts w:ascii="Calibri" w:hAnsi="Calibri"/>
        </w:rPr>
      </w:pPr>
    </w:p>
  </w:footnote>
  <w:footnote w:id="6">
    <w:p w:rsidR="00833889" w:rsidRDefault="00833889" w:rsidP="00833889">
      <w:pPr>
        <w:pStyle w:val="FootnoteText"/>
      </w:pPr>
      <w:r>
        <w:rPr>
          <w:rStyle w:val="FootnoteReference"/>
        </w:rPr>
        <w:footnoteRef/>
      </w:r>
      <w:r>
        <w:t xml:space="preserve"> Wang, Y. (2003). </w:t>
      </w:r>
      <w:proofErr w:type="gramStart"/>
      <w:r>
        <w:t>Assessment of learner satisfaction with asynchronous electronic learning systems.</w:t>
      </w:r>
      <w:proofErr w:type="gramEnd"/>
      <w:r>
        <w:t xml:space="preserve">  Information &amp; Management, 41, 75-86.  http://dx.doi.org/10.1016/S0378-7206(03)00028-4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11933"/>
    <w:multiLevelType w:val="hybridMultilevel"/>
    <w:tmpl w:val="BE3EF7D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89"/>
    <w:rsid w:val="00833889"/>
    <w:rsid w:val="00FE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833889"/>
    <w:pPr>
      <w:spacing w:after="0" w:line="240" w:lineRule="auto"/>
    </w:pPr>
    <w:rPr>
      <w:rFonts w:ascii="Book Antiqua" w:eastAsia="Times New Roman" w:hAnsi="Book Antiqua" w:cs="Times New Roman"/>
      <w:sz w:val="24"/>
      <w:szCs w:val="20"/>
    </w:rPr>
  </w:style>
  <w:style w:type="paragraph" w:styleId="Heading8">
    <w:name w:val="heading 8"/>
    <w:basedOn w:val="Normal"/>
    <w:next w:val="Normal"/>
    <w:link w:val="Heading8Char"/>
    <w:uiPriority w:val="99"/>
    <w:semiHidden/>
    <w:unhideWhenUsed/>
    <w:qFormat/>
    <w:rsid w:val="00833889"/>
    <w:pPr>
      <w:keepNext/>
      <w:jc w:val="both"/>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rsid w:val="00833889"/>
    <w:rPr>
      <w:rFonts w:ascii="Arial" w:eastAsia="Times New Roman" w:hAnsi="Arial" w:cs="Arial"/>
      <w:b/>
      <w:bCs/>
      <w:sz w:val="24"/>
      <w:szCs w:val="20"/>
    </w:rPr>
  </w:style>
  <w:style w:type="character" w:styleId="Hyperlink">
    <w:name w:val="Hyperlink"/>
    <w:semiHidden/>
    <w:unhideWhenUsed/>
    <w:rsid w:val="00833889"/>
    <w:rPr>
      <w:color w:val="0000FF"/>
      <w:u w:val="single"/>
    </w:rPr>
  </w:style>
  <w:style w:type="paragraph" w:styleId="NormalWeb">
    <w:name w:val="Normal (Web)"/>
    <w:basedOn w:val="Normal"/>
    <w:uiPriority w:val="99"/>
    <w:semiHidden/>
    <w:unhideWhenUsed/>
    <w:rsid w:val="00833889"/>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833889"/>
    <w:pPr>
      <w:ind w:left="360" w:hanging="360"/>
    </w:pPr>
    <w:rPr>
      <w:i/>
      <w:sz w:val="18"/>
    </w:rPr>
  </w:style>
  <w:style w:type="character" w:customStyle="1" w:styleId="FootnoteTextChar">
    <w:name w:val="Footnote Text Char"/>
    <w:basedOn w:val="DefaultParagraphFont"/>
    <w:link w:val="FootnoteText"/>
    <w:uiPriority w:val="99"/>
    <w:semiHidden/>
    <w:rsid w:val="00833889"/>
    <w:rPr>
      <w:rFonts w:ascii="Book Antiqua" w:eastAsia="Times New Roman" w:hAnsi="Book Antiqua" w:cs="Times New Roman"/>
      <w:i/>
      <w:sz w:val="18"/>
      <w:szCs w:val="20"/>
    </w:rPr>
  </w:style>
  <w:style w:type="character" w:styleId="FootnoteReference">
    <w:name w:val="footnote reference"/>
    <w:semiHidden/>
    <w:unhideWhenUsed/>
    <w:rsid w:val="00833889"/>
    <w:rPr>
      <w:i/>
      <w:iCs w:val="0"/>
      <w:position w:val="6"/>
      <w:sz w:val="18"/>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833889"/>
    <w:pPr>
      <w:spacing w:after="0" w:line="240" w:lineRule="auto"/>
    </w:pPr>
    <w:rPr>
      <w:rFonts w:ascii="Book Antiqua" w:eastAsia="Times New Roman" w:hAnsi="Book Antiqua" w:cs="Times New Roman"/>
      <w:sz w:val="24"/>
      <w:szCs w:val="20"/>
    </w:rPr>
  </w:style>
  <w:style w:type="paragraph" w:styleId="Heading8">
    <w:name w:val="heading 8"/>
    <w:basedOn w:val="Normal"/>
    <w:next w:val="Normal"/>
    <w:link w:val="Heading8Char"/>
    <w:uiPriority w:val="99"/>
    <w:semiHidden/>
    <w:unhideWhenUsed/>
    <w:qFormat/>
    <w:rsid w:val="00833889"/>
    <w:pPr>
      <w:keepNext/>
      <w:jc w:val="both"/>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rsid w:val="00833889"/>
    <w:rPr>
      <w:rFonts w:ascii="Arial" w:eastAsia="Times New Roman" w:hAnsi="Arial" w:cs="Arial"/>
      <w:b/>
      <w:bCs/>
      <w:sz w:val="24"/>
      <w:szCs w:val="20"/>
    </w:rPr>
  </w:style>
  <w:style w:type="character" w:styleId="Hyperlink">
    <w:name w:val="Hyperlink"/>
    <w:semiHidden/>
    <w:unhideWhenUsed/>
    <w:rsid w:val="00833889"/>
    <w:rPr>
      <w:color w:val="0000FF"/>
      <w:u w:val="single"/>
    </w:rPr>
  </w:style>
  <w:style w:type="paragraph" w:styleId="NormalWeb">
    <w:name w:val="Normal (Web)"/>
    <w:basedOn w:val="Normal"/>
    <w:uiPriority w:val="99"/>
    <w:semiHidden/>
    <w:unhideWhenUsed/>
    <w:rsid w:val="00833889"/>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833889"/>
    <w:pPr>
      <w:ind w:left="360" w:hanging="360"/>
    </w:pPr>
    <w:rPr>
      <w:i/>
      <w:sz w:val="18"/>
    </w:rPr>
  </w:style>
  <w:style w:type="character" w:customStyle="1" w:styleId="FootnoteTextChar">
    <w:name w:val="Footnote Text Char"/>
    <w:basedOn w:val="DefaultParagraphFont"/>
    <w:link w:val="FootnoteText"/>
    <w:uiPriority w:val="99"/>
    <w:semiHidden/>
    <w:rsid w:val="00833889"/>
    <w:rPr>
      <w:rFonts w:ascii="Book Antiqua" w:eastAsia="Times New Roman" w:hAnsi="Book Antiqua" w:cs="Times New Roman"/>
      <w:i/>
      <w:sz w:val="18"/>
      <w:szCs w:val="20"/>
    </w:rPr>
  </w:style>
  <w:style w:type="character" w:styleId="FootnoteReference">
    <w:name w:val="footnote reference"/>
    <w:semiHidden/>
    <w:unhideWhenUsed/>
    <w:rsid w:val="00833889"/>
    <w:rPr>
      <w:i/>
      <w:iCs w:val="0"/>
      <w:position w:val="6"/>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enne.Smith@hh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chael.Milburn@getingears.com" TargetMode="External"/><Relationship Id="rId4" Type="http://schemas.openxmlformats.org/officeDocument/2006/relationships/settings" Target="settings.xml"/><Relationship Id="rId9" Type="http://schemas.openxmlformats.org/officeDocument/2006/relationships/hyperlink" Target="mailto:dbrome@getinge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 Sherrette (OS/ASA/OCIO/OEA)</dc:creator>
  <cp:lastModifiedBy>Funn, Sherrette (OS/ASA/OCIO/OEA)</cp:lastModifiedBy>
  <cp:revision>1</cp:revision>
  <dcterms:created xsi:type="dcterms:W3CDTF">2015-02-25T20:48:00Z</dcterms:created>
  <dcterms:modified xsi:type="dcterms:W3CDTF">2015-02-25T20:49:00Z</dcterms:modified>
</cp:coreProperties>
</file>