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969" w:rsidRPr="00E414BD" w:rsidRDefault="00980C09">
      <w:pPr>
        <w:rPr>
          <w:rFonts w:ascii="Times New Roman" w:hAnsi="Times New Roman" w:cs="Times New Roman"/>
          <w:b/>
          <w:sz w:val="24"/>
          <w:szCs w:val="24"/>
        </w:rPr>
      </w:pPr>
      <w:r w:rsidRPr="00E414BD">
        <w:rPr>
          <w:rFonts w:ascii="Times New Roman" w:hAnsi="Times New Roman" w:cs="Times New Roman"/>
          <w:b/>
          <w:sz w:val="24"/>
          <w:szCs w:val="24"/>
        </w:rPr>
        <w:t>NCVS CS Field Test</w:t>
      </w:r>
      <w:r w:rsidR="00E72AEB" w:rsidRPr="00E414BD">
        <w:rPr>
          <w:rFonts w:ascii="Times New Roman" w:hAnsi="Times New Roman" w:cs="Times New Roman"/>
          <w:b/>
          <w:sz w:val="24"/>
          <w:szCs w:val="24"/>
        </w:rPr>
        <w:t xml:space="preserve"> - </w:t>
      </w:r>
      <w:r w:rsidRPr="00E414BD">
        <w:rPr>
          <w:rFonts w:ascii="Times New Roman" w:hAnsi="Times New Roman" w:cs="Times New Roman"/>
          <w:b/>
          <w:sz w:val="24"/>
          <w:szCs w:val="24"/>
        </w:rPr>
        <w:t>OMB Submission</w:t>
      </w:r>
      <w:r w:rsidR="00E72AEB" w:rsidRPr="00E414BD">
        <w:rPr>
          <w:rFonts w:ascii="Times New Roman" w:hAnsi="Times New Roman" w:cs="Times New Roman"/>
          <w:b/>
          <w:sz w:val="24"/>
          <w:szCs w:val="24"/>
        </w:rPr>
        <w:t xml:space="preserve"> – Statement A </w:t>
      </w:r>
    </w:p>
    <w:p w:rsidR="00980C09" w:rsidRPr="00E414BD" w:rsidRDefault="00980C09">
      <w:pPr>
        <w:rPr>
          <w:rFonts w:ascii="Times New Roman" w:hAnsi="Times New Roman" w:cs="Times New Roman"/>
          <w:sz w:val="24"/>
          <w:szCs w:val="24"/>
        </w:rPr>
      </w:pPr>
    </w:p>
    <w:p w:rsidR="00F313E7" w:rsidRPr="00E414BD" w:rsidRDefault="00F313E7" w:rsidP="00F313E7">
      <w:pPr>
        <w:rPr>
          <w:rFonts w:ascii="Times New Roman" w:hAnsi="Times New Roman" w:cs="Times New Roman"/>
          <w:sz w:val="24"/>
          <w:szCs w:val="24"/>
        </w:rPr>
      </w:pPr>
      <w:r w:rsidRPr="00E414BD">
        <w:rPr>
          <w:rFonts w:ascii="Times New Roman" w:hAnsi="Times New Roman" w:cs="Times New Roman"/>
          <w:b/>
          <w:bCs/>
          <w:sz w:val="24"/>
          <w:szCs w:val="24"/>
        </w:rPr>
        <w:t xml:space="preserve">A. Justification </w:t>
      </w:r>
    </w:p>
    <w:p w:rsidR="00980C09" w:rsidRPr="00E414BD" w:rsidRDefault="00980C09">
      <w:pPr>
        <w:rPr>
          <w:rFonts w:ascii="Times New Roman" w:hAnsi="Times New Roman" w:cs="Times New Roman"/>
          <w:sz w:val="24"/>
          <w:szCs w:val="24"/>
        </w:rPr>
      </w:pPr>
    </w:p>
    <w:p w:rsidR="00EF09B0" w:rsidRPr="00E414BD" w:rsidRDefault="00EF09B0" w:rsidP="00EF09B0">
      <w:pPr>
        <w:rPr>
          <w:rFonts w:ascii="Times New Roman" w:hAnsi="Times New Roman" w:cs="Times New Roman"/>
          <w:sz w:val="24"/>
          <w:szCs w:val="24"/>
        </w:rPr>
      </w:pPr>
      <w:r w:rsidRPr="00E414BD">
        <w:rPr>
          <w:rFonts w:ascii="Times New Roman" w:hAnsi="Times New Roman" w:cs="Times New Roman"/>
          <w:b/>
          <w:bCs/>
          <w:sz w:val="24"/>
          <w:szCs w:val="24"/>
        </w:rPr>
        <w:t xml:space="preserve">A1. </w:t>
      </w:r>
      <w:r w:rsidR="003940EF" w:rsidRPr="00E414BD">
        <w:rPr>
          <w:rFonts w:ascii="Times New Roman" w:hAnsi="Times New Roman" w:cs="Times New Roman"/>
          <w:b/>
          <w:bCs/>
          <w:sz w:val="24"/>
          <w:szCs w:val="24"/>
        </w:rPr>
        <w:t>Necessity of Information</w:t>
      </w:r>
    </w:p>
    <w:p w:rsidR="00EF09B0" w:rsidRPr="00E414BD" w:rsidRDefault="00EF09B0" w:rsidP="0011536C">
      <w:pPr>
        <w:rPr>
          <w:rFonts w:ascii="Times New Roman" w:hAnsi="Times New Roman" w:cs="Times New Roman"/>
          <w:i/>
          <w:sz w:val="24"/>
          <w:szCs w:val="24"/>
        </w:rPr>
      </w:pPr>
    </w:p>
    <w:p w:rsidR="00EF09B0" w:rsidRPr="00E414BD" w:rsidRDefault="00F313E7" w:rsidP="00AB3DC9">
      <w:pPr>
        <w:rPr>
          <w:rFonts w:ascii="Times New Roman" w:hAnsi="Times New Roman" w:cs="Times New Roman"/>
          <w:sz w:val="24"/>
          <w:szCs w:val="24"/>
        </w:rPr>
      </w:pPr>
      <w:r w:rsidRPr="00E414BD">
        <w:rPr>
          <w:rFonts w:ascii="Times New Roman" w:hAnsi="Times New Roman" w:cs="Times New Roman"/>
          <w:sz w:val="24"/>
          <w:szCs w:val="24"/>
        </w:rPr>
        <w:t xml:space="preserve">The Bureau of Justice Statistics (BJS), of the U.S. Department of Justice, requests clearance </w:t>
      </w:r>
      <w:r w:rsidR="00EF09B0" w:rsidRPr="00E414BD">
        <w:rPr>
          <w:rFonts w:ascii="Times New Roman" w:hAnsi="Times New Roman" w:cs="Times New Roman"/>
          <w:sz w:val="24"/>
          <w:szCs w:val="24"/>
        </w:rPr>
        <w:t xml:space="preserve">to conduct a large-scale field test </w:t>
      </w:r>
      <w:r w:rsidRPr="00E414BD">
        <w:rPr>
          <w:rFonts w:ascii="Times New Roman" w:hAnsi="Times New Roman" w:cs="Times New Roman"/>
          <w:sz w:val="24"/>
          <w:szCs w:val="24"/>
        </w:rPr>
        <w:t>for activities related to the National Crime Victimization Survey Redesign Research (NCVS-RR) program</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 xml:space="preserve">BJS, in consultation with Westat under a cooperative agreement (Award </w:t>
      </w:r>
      <w:r w:rsidR="003871B4" w:rsidRPr="00E414BD">
        <w:rPr>
          <w:rFonts w:ascii="Times New Roman" w:hAnsi="Times New Roman" w:cs="Times New Roman"/>
          <w:sz w:val="24"/>
          <w:szCs w:val="24"/>
        </w:rPr>
        <w:t xml:space="preserve">2010-NV-CX-K077 </w:t>
      </w:r>
      <w:r w:rsidRPr="00E414BD">
        <w:rPr>
          <w:rFonts w:ascii="Times New Roman" w:hAnsi="Times New Roman" w:cs="Times New Roman"/>
          <w:i/>
          <w:sz w:val="24"/>
          <w:szCs w:val="24"/>
        </w:rPr>
        <w:t>National Crime Victimization Survey</w:t>
      </w:r>
      <w:r w:rsidR="003871B4" w:rsidRPr="00E414BD">
        <w:rPr>
          <w:rFonts w:ascii="Times New Roman" w:hAnsi="Times New Roman" w:cs="Times New Roman"/>
          <w:i/>
          <w:sz w:val="24"/>
          <w:szCs w:val="24"/>
        </w:rPr>
        <w:t xml:space="preserve"> on Sub-National Estimates</w:t>
      </w:r>
      <w:r w:rsidRPr="00E414BD">
        <w:rPr>
          <w:rFonts w:ascii="Times New Roman" w:hAnsi="Times New Roman" w:cs="Times New Roman"/>
          <w:sz w:val="24"/>
          <w:szCs w:val="24"/>
        </w:rPr>
        <w:t xml:space="preserve">), has planned methodological research to develop </w:t>
      </w:r>
      <w:r w:rsidR="00AB3DC9" w:rsidRPr="00E414BD">
        <w:rPr>
          <w:rFonts w:ascii="Times New Roman" w:hAnsi="Times New Roman" w:cs="Times New Roman"/>
          <w:sz w:val="24"/>
          <w:szCs w:val="24"/>
        </w:rPr>
        <w:t xml:space="preserve">a companion </w:t>
      </w:r>
      <w:r w:rsidR="00EF09B0" w:rsidRPr="00E414BD">
        <w:rPr>
          <w:rFonts w:ascii="Times New Roman" w:hAnsi="Times New Roman" w:cs="Times New Roman"/>
          <w:sz w:val="24"/>
          <w:szCs w:val="24"/>
        </w:rPr>
        <w:t xml:space="preserve">survey </w:t>
      </w:r>
      <w:r w:rsidR="00AB3DC9" w:rsidRPr="00E414BD">
        <w:rPr>
          <w:rFonts w:ascii="Times New Roman" w:hAnsi="Times New Roman" w:cs="Times New Roman"/>
          <w:sz w:val="24"/>
          <w:szCs w:val="24"/>
        </w:rPr>
        <w:t>to the NCVS data collection in order to support lower cost, sub-national estimates</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This activity falls under authorities of the Omnibus Crime Control Act of 1968 in which BJS is charged to “conduct or support research relating to methods of gathering or analyzing justice statistics;” (Section 302(c)(12))</w:t>
      </w:r>
      <w:r w:rsidR="00750158">
        <w:rPr>
          <w:rFonts w:ascii="Times New Roman" w:hAnsi="Times New Roman" w:cs="Times New Roman"/>
          <w:sz w:val="24"/>
          <w:szCs w:val="24"/>
        </w:rPr>
        <w:t xml:space="preserve">. </w:t>
      </w:r>
      <w:r w:rsidR="00EF09B0" w:rsidRPr="00E414BD">
        <w:rPr>
          <w:rFonts w:ascii="Times New Roman" w:hAnsi="Times New Roman" w:cs="Times New Roman"/>
          <w:sz w:val="24"/>
          <w:szCs w:val="24"/>
        </w:rPr>
        <w:t>The next phase of research tests an address-based sampling (ABS) design with only mail-based surveys to collect data for reliable local area estimates of criminal victimization.</w:t>
      </w:r>
    </w:p>
    <w:p w:rsidR="00EF09B0" w:rsidRPr="00E414BD" w:rsidRDefault="00EF09B0" w:rsidP="00AB3DC9">
      <w:pPr>
        <w:rPr>
          <w:rFonts w:ascii="Times New Roman" w:hAnsi="Times New Roman" w:cs="Times New Roman"/>
          <w:sz w:val="24"/>
          <w:szCs w:val="24"/>
        </w:rPr>
      </w:pPr>
    </w:p>
    <w:p w:rsidR="00EF09B0" w:rsidRPr="00E414BD" w:rsidRDefault="00EF09B0" w:rsidP="00EF09B0">
      <w:pPr>
        <w:rPr>
          <w:rFonts w:ascii="Times New Roman" w:hAnsi="Times New Roman" w:cs="Times New Roman"/>
          <w:b/>
          <w:sz w:val="24"/>
          <w:szCs w:val="24"/>
        </w:rPr>
      </w:pPr>
      <w:r w:rsidRPr="00E414BD">
        <w:rPr>
          <w:rFonts w:ascii="Times New Roman" w:hAnsi="Times New Roman" w:cs="Times New Roman"/>
          <w:b/>
          <w:sz w:val="24"/>
          <w:szCs w:val="24"/>
        </w:rPr>
        <w:t>Overview</w:t>
      </w:r>
    </w:p>
    <w:p w:rsidR="00EF09B0" w:rsidRPr="00E414BD" w:rsidRDefault="00EF09B0" w:rsidP="00EF09B0">
      <w:pPr>
        <w:rPr>
          <w:rFonts w:ascii="Times New Roman" w:hAnsi="Times New Roman" w:cs="Times New Roman"/>
          <w:sz w:val="24"/>
          <w:szCs w:val="24"/>
        </w:rPr>
      </w:pPr>
    </w:p>
    <w:p w:rsidR="00EF09B0" w:rsidRPr="00E414BD" w:rsidRDefault="00EF09B0" w:rsidP="00EF09B0">
      <w:pPr>
        <w:rPr>
          <w:rFonts w:ascii="Times New Roman" w:hAnsi="Times New Roman" w:cs="Times New Roman"/>
          <w:sz w:val="24"/>
          <w:szCs w:val="24"/>
        </w:rPr>
      </w:pPr>
      <w:r w:rsidRPr="00E414BD">
        <w:rPr>
          <w:rFonts w:ascii="Times New Roman" w:hAnsi="Times New Roman" w:cs="Times New Roman"/>
          <w:sz w:val="24"/>
          <w:szCs w:val="24"/>
        </w:rPr>
        <w:t>Since 2008, BJS has initiated numerous research projects to assess and improve upon the core NCVS methodology. During 2009</w:t>
      </w:r>
      <w:r w:rsidR="006F2E43" w:rsidRPr="00E414BD">
        <w:rPr>
          <w:rFonts w:ascii="Times New Roman" w:hAnsi="Times New Roman" w:cs="Times New Roman"/>
          <w:sz w:val="24"/>
          <w:szCs w:val="24"/>
        </w:rPr>
        <w:t>,</w:t>
      </w:r>
      <w:r w:rsidRPr="00E414BD">
        <w:rPr>
          <w:rFonts w:ascii="Times New Roman" w:hAnsi="Times New Roman" w:cs="Times New Roman"/>
          <w:sz w:val="24"/>
          <w:szCs w:val="24"/>
        </w:rPr>
        <w:t xml:space="preserve"> BJS met with various stakeholders, including the Federal Committee on Statistical Methodology and representatives from state statistical analysis centers, state and local law enforcement agencies, the Office of Management and Budget, and Congressional staff to discuss the role of the NCVS. The discussions included the need for sub-national estimates and the challenges and potential methodologies for providing these estimates. The purpose of the current research is to develop and evaluate a cost effective sub-national companion survey of victimization. </w:t>
      </w:r>
    </w:p>
    <w:p w:rsidR="00EF09B0" w:rsidRPr="00E414BD" w:rsidRDefault="00EF09B0" w:rsidP="00EF09B0">
      <w:pPr>
        <w:rPr>
          <w:rFonts w:ascii="Times New Roman" w:hAnsi="Times New Roman" w:cs="Times New Roman"/>
          <w:sz w:val="24"/>
          <w:szCs w:val="24"/>
        </w:rPr>
      </w:pPr>
    </w:p>
    <w:p w:rsidR="00EF09B0" w:rsidRPr="00E414BD" w:rsidRDefault="00EF09B0" w:rsidP="00EF09B0">
      <w:pPr>
        <w:rPr>
          <w:rFonts w:ascii="Times New Roman" w:hAnsi="Times New Roman" w:cs="Times New Roman"/>
          <w:sz w:val="24"/>
          <w:szCs w:val="24"/>
        </w:rPr>
      </w:pPr>
      <w:r w:rsidRPr="00E414BD">
        <w:rPr>
          <w:rFonts w:ascii="Times New Roman" w:hAnsi="Times New Roman" w:cs="Times New Roman"/>
          <w:sz w:val="24"/>
          <w:szCs w:val="24"/>
        </w:rPr>
        <w:t>In the first phase of research of the NCVS Companion Survey (CS), BJS attempted to use the existing NCVS instruments adapted to a computer-assisted telephone interview (CATI) environment using an address-based sample (ABS)</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 xml:space="preserve">Based on the results of this research we have concluded that it is extremely difficult, if not impossible, to replicate NCVS estimates of victimization rates using a low-cost data collection approach. The NCVS is a large and complex survey, with many potential sources of relative bias compared with low-cost alternative data collection approaches, including nonresponse, mode effects, and house effects in data collection and processing. It does not seem feasible to control for all of these differences in a low-cost vehicle, regardless of the sample design or data collection mode(s). NCVS estimates of victimization rates are very sensitive to many of these factors, so estimates may change substantially when even small deviations occur in the survey process. Truman and Planty (2012) describe how the victimization estimates in the core NCVS changed when the sample size increased and new interviewers were needed; Rand (2008) reviews some effects when the sampled geographic areas changed and the data collection software was revised. </w:t>
      </w:r>
    </w:p>
    <w:p w:rsidR="00EF09B0" w:rsidRPr="00E414BD" w:rsidRDefault="00EF09B0" w:rsidP="00EF09B0">
      <w:pPr>
        <w:rPr>
          <w:rFonts w:ascii="Times New Roman" w:hAnsi="Times New Roman" w:cs="Times New Roman"/>
          <w:sz w:val="24"/>
          <w:szCs w:val="24"/>
        </w:rPr>
      </w:pPr>
    </w:p>
    <w:p w:rsidR="00EF09B0" w:rsidRPr="00E414BD" w:rsidRDefault="00EF09B0" w:rsidP="00EF09B0">
      <w:pPr>
        <w:rPr>
          <w:rFonts w:ascii="Times New Roman" w:hAnsi="Times New Roman" w:cs="Times New Roman"/>
          <w:sz w:val="24"/>
          <w:szCs w:val="24"/>
        </w:rPr>
      </w:pPr>
      <w:r w:rsidRPr="00E414BD">
        <w:rPr>
          <w:rFonts w:ascii="Times New Roman" w:hAnsi="Times New Roman" w:cs="Times New Roman"/>
          <w:sz w:val="24"/>
          <w:szCs w:val="24"/>
        </w:rPr>
        <w:t>In the next phase of research</w:t>
      </w:r>
      <w:r w:rsidR="00852128" w:rsidRPr="00E414BD">
        <w:rPr>
          <w:rFonts w:ascii="Times New Roman" w:hAnsi="Times New Roman" w:cs="Times New Roman"/>
          <w:sz w:val="24"/>
          <w:szCs w:val="24"/>
        </w:rPr>
        <w:t>,</w:t>
      </w:r>
      <w:r w:rsidRPr="00E414BD">
        <w:rPr>
          <w:rFonts w:ascii="Times New Roman" w:hAnsi="Times New Roman" w:cs="Times New Roman"/>
          <w:sz w:val="24"/>
          <w:szCs w:val="24"/>
        </w:rPr>
        <w:t xml:space="preserve"> we have begun developing a low-cost, self-administered approach that can support sub-national estimates of crime victimization, using a less complex instrument than the current NCVS</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 xml:space="preserve">The goal </w:t>
      </w:r>
      <w:r w:rsidR="00BD3328" w:rsidRPr="00E414BD">
        <w:rPr>
          <w:rFonts w:ascii="Times New Roman" w:hAnsi="Times New Roman" w:cs="Times New Roman"/>
          <w:sz w:val="24"/>
          <w:szCs w:val="24"/>
        </w:rPr>
        <w:t xml:space="preserve">of this Companion Survey Field Test is to </w:t>
      </w:r>
      <w:r w:rsidRPr="00E414BD">
        <w:rPr>
          <w:rFonts w:ascii="Times New Roman" w:hAnsi="Times New Roman" w:cs="Times New Roman"/>
          <w:sz w:val="24"/>
          <w:szCs w:val="24"/>
        </w:rPr>
        <w:t xml:space="preserve">generate a survey </w:t>
      </w:r>
      <w:r w:rsidRPr="00E414BD">
        <w:rPr>
          <w:rFonts w:ascii="Times New Roman" w:hAnsi="Times New Roman" w:cs="Times New Roman"/>
          <w:sz w:val="24"/>
          <w:szCs w:val="24"/>
        </w:rPr>
        <w:lastRenderedPageBreak/>
        <w:t xml:space="preserve">that could parallel NCVS and Uniform Crime Report (UCR) estimates over time, rather than replicate either of them, and could be used to assess whether local initiatives are correlated with changes in crime rates. </w:t>
      </w:r>
      <w:r w:rsidR="00BD3328" w:rsidRPr="00E414BD">
        <w:rPr>
          <w:rFonts w:ascii="Times New Roman" w:hAnsi="Times New Roman" w:cs="Times New Roman"/>
          <w:sz w:val="24"/>
          <w:szCs w:val="24"/>
        </w:rPr>
        <w:t>A secondary goal is to assess change over time, as the Field Test will be administered over two years, with a cross-sectional ABS in 2015 and a second ABS sample 2016 (in 2016 we will select an independent cross-sectional sample and will also subsample some 2015 addresses to receive a follow</w:t>
      </w:r>
      <w:r w:rsidR="00E414BD">
        <w:rPr>
          <w:rFonts w:ascii="Times New Roman" w:hAnsi="Times New Roman" w:cs="Times New Roman"/>
          <w:sz w:val="24"/>
          <w:szCs w:val="24"/>
        </w:rPr>
        <w:t>-</w:t>
      </w:r>
      <w:r w:rsidR="00BD3328" w:rsidRPr="00E414BD">
        <w:rPr>
          <w:rFonts w:ascii="Times New Roman" w:hAnsi="Times New Roman" w:cs="Times New Roman"/>
          <w:sz w:val="24"/>
          <w:szCs w:val="24"/>
        </w:rPr>
        <w:t>up in 2016). The rationale for collecting data in two years is that we are able to assess the ability of the instruments to detect change over time</w:t>
      </w:r>
      <w:r w:rsidR="00750158">
        <w:rPr>
          <w:rFonts w:ascii="Times New Roman" w:hAnsi="Times New Roman" w:cs="Times New Roman"/>
          <w:sz w:val="24"/>
          <w:szCs w:val="24"/>
        </w:rPr>
        <w:t xml:space="preserve">. </w:t>
      </w:r>
      <w:r w:rsidR="00491256" w:rsidRPr="00E414BD">
        <w:rPr>
          <w:rFonts w:ascii="Times New Roman" w:hAnsi="Times New Roman" w:cs="Times New Roman"/>
          <w:sz w:val="24"/>
          <w:szCs w:val="24"/>
        </w:rPr>
        <w:t>An additional feature of the surveys being tested is the inclusion of a set of questions on perceptions of neighborhood safety, fear of crime, and police effectiveness, which would allow the survey to be used to assess changes in these perceptions as well. This information is not currently available from the NCVS</w:t>
      </w:r>
      <w:r w:rsidR="00750158">
        <w:rPr>
          <w:rFonts w:ascii="Times New Roman" w:hAnsi="Times New Roman" w:cs="Times New Roman"/>
          <w:sz w:val="24"/>
          <w:szCs w:val="24"/>
        </w:rPr>
        <w:t xml:space="preserve">. </w:t>
      </w:r>
      <w:r w:rsidR="00BD3328" w:rsidRPr="00E414BD">
        <w:rPr>
          <w:rFonts w:ascii="Times New Roman" w:hAnsi="Times New Roman" w:cs="Times New Roman"/>
          <w:sz w:val="24"/>
          <w:szCs w:val="24"/>
        </w:rPr>
        <w:t>Supporting Statement B provides more detail on the proposed methodology and more in-depth discussion on the research goals of the CS Field Test.</w:t>
      </w:r>
    </w:p>
    <w:p w:rsidR="00FE78BF" w:rsidRPr="00E414BD" w:rsidRDefault="00FE78BF" w:rsidP="00F313E7">
      <w:pPr>
        <w:rPr>
          <w:rFonts w:ascii="Times New Roman" w:hAnsi="Times New Roman" w:cs="Times New Roman"/>
          <w:b/>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A2. Needs and Uses </w:t>
      </w:r>
    </w:p>
    <w:p w:rsidR="00852128" w:rsidRPr="00E414BD" w:rsidRDefault="00852128" w:rsidP="00F313E7">
      <w:pPr>
        <w:rPr>
          <w:rFonts w:ascii="Times New Roman" w:hAnsi="Times New Roman" w:cs="Times New Roman"/>
          <w:sz w:val="24"/>
          <w:szCs w:val="24"/>
        </w:rPr>
      </w:pPr>
    </w:p>
    <w:p w:rsidR="00FE78BF" w:rsidRPr="00E414BD" w:rsidRDefault="00FE78BF" w:rsidP="00FE78BF">
      <w:pPr>
        <w:rPr>
          <w:rFonts w:ascii="Times New Roman" w:hAnsi="Times New Roman" w:cs="Times New Roman"/>
          <w:sz w:val="24"/>
          <w:szCs w:val="24"/>
        </w:rPr>
      </w:pPr>
      <w:r w:rsidRPr="00E414BD">
        <w:rPr>
          <w:rFonts w:ascii="Times New Roman" w:hAnsi="Times New Roman" w:cs="Times New Roman"/>
          <w:sz w:val="24"/>
          <w:szCs w:val="24"/>
        </w:rPr>
        <w:t>The NCVS provides the largest national forum for victims to describe the characteristics and consequences of victimization. Since the inception of the NCVS, there has been demand for data at a sub-national level. The three major reviews of the NCVS program (</w:t>
      </w:r>
      <w:proofErr w:type="spellStart"/>
      <w:r w:rsidRPr="00E414BD">
        <w:rPr>
          <w:rFonts w:ascii="Times New Roman" w:hAnsi="Times New Roman" w:cs="Times New Roman"/>
          <w:sz w:val="24"/>
          <w:szCs w:val="24"/>
        </w:rPr>
        <w:t>Penick</w:t>
      </w:r>
      <w:proofErr w:type="spellEnd"/>
      <w:r w:rsidRPr="00E414BD">
        <w:rPr>
          <w:rFonts w:ascii="Times New Roman" w:hAnsi="Times New Roman" w:cs="Times New Roman"/>
          <w:sz w:val="24"/>
          <w:szCs w:val="24"/>
        </w:rPr>
        <w:t xml:space="preserve"> and Owens, 1976; </w:t>
      </w:r>
      <w:proofErr w:type="spellStart"/>
      <w:r w:rsidRPr="00E414BD">
        <w:rPr>
          <w:rFonts w:ascii="Times New Roman" w:hAnsi="Times New Roman" w:cs="Times New Roman"/>
          <w:sz w:val="24"/>
          <w:szCs w:val="24"/>
        </w:rPr>
        <w:t>Biderman</w:t>
      </w:r>
      <w:proofErr w:type="spellEnd"/>
      <w:r w:rsidRPr="00E414BD">
        <w:rPr>
          <w:rFonts w:ascii="Times New Roman" w:hAnsi="Times New Roman" w:cs="Times New Roman"/>
          <w:sz w:val="24"/>
          <w:szCs w:val="24"/>
        </w:rPr>
        <w:t xml:space="preserve"> et al., 1986; Groves and Cork, 2008) all point to the demand local criminal justice administrators have for empirical information to shape policy. In the early years, a series of surveys were conducted in cities (e.g., </w:t>
      </w:r>
      <w:proofErr w:type="spellStart"/>
      <w:r w:rsidRPr="00E414BD">
        <w:rPr>
          <w:rFonts w:ascii="Times New Roman" w:hAnsi="Times New Roman" w:cs="Times New Roman"/>
          <w:sz w:val="24"/>
          <w:szCs w:val="24"/>
        </w:rPr>
        <w:t>Hindelang</w:t>
      </w:r>
      <w:proofErr w:type="spellEnd"/>
      <w:r w:rsidRPr="00E414BD">
        <w:rPr>
          <w:rFonts w:ascii="Times New Roman" w:hAnsi="Times New Roman" w:cs="Times New Roman"/>
          <w:sz w:val="24"/>
          <w:szCs w:val="24"/>
        </w:rPr>
        <w:t>, et al., 1978). This included surveys in eight “Impact” cities to assist in evaluating crime prevention programs in those areas. These surveys were conducted outside of the regular NCVS data collection system with designs that differed from the national survey. For example, they included a 12-month reference period and were conducted as one-time surveys over relatively short periods of time. These surveys were not continued, partly because variation in implementation across cities seemed to confound analyst abilities to compare rates across areas (</w:t>
      </w:r>
      <w:proofErr w:type="spellStart"/>
      <w:r w:rsidRPr="00E414BD">
        <w:rPr>
          <w:rFonts w:ascii="Times New Roman" w:hAnsi="Times New Roman" w:cs="Times New Roman"/>
          <w:sz w:val="24"/>
          <w:szCs w:val="24"/>
        </w:rPr>
        <w:t>Penick</w:t>
      </w:r>
      <w:proofErr w:type="spellEnd"/>
      <w:r w:rsidRPr="00E414BD">
        <w:rPr>
          <w:rFonts w:ascii="Times New Roman" w:hAnsi="Times New Roman" w:cs="Times New Roman"/>
          <w:sz w:val="24"/>
          <w:szCs w:val="24"/>
        </w:rPr>
        <w:t xml:space="preserve"> and Owens, 1976)</w:t>
      </w:r>
      <w:r w:rsidR="00750158">
        <w:rPr>
          <w:rFonts w:ascii="Times New Roman" w:hAnsi="Times New Roman" w:cs="Times New Roman"/>
          <w:sz w:val="24"/>
          <w:szCs w:val="24"/>
        </w:rPr>
        <w:t xml:space="preserve">. </w:t>
      </w:r>
    </w:p>
    <w:p w:rsidR="00FE78BF" w:rsidRPr="00E414BD" w:rsidRDefault="00FE78BF" w:rsidP="00FE78BF">
      <w:pPr>
        <w:rPr>
          <w:rFonts w:ascii="Times New Roman" w:hAnsi="Times New Roman" w:cs="Times New Roman"/>
          <w:sz w:val="24"/>
          <w:szCs w:val="24"/>
        </w:rPr>
      </w:pPr>
    </w:p>
    <w:p w:rsidR="00FE78BF" w:rsidRPr="00E414BD" w:rsidRDefault="00FE78BF" w:rsidP="00FE78BF">
      <w:pPr>
        <w:rPr>
          <w:rFonts w:ascii="Times New Roman" w:hAnsi="Times New Roman" w:cs="Times New Roman"/>
          <w:sz w:val="24"/>
          <w:szCs w:val="24"/>
        </w:rPr>
      </w:pPr>
      <w:r w:rsidRPr="00E414BD">
        <w:rPr>
          <w:rFonts w:ascii="Times New Roman" w:hAnsi="Times New Roman" w:cs="Times New Roman"/>
          <w:sz w:val="24"/>
          <w:szCs w:val="24"/>
        </w:rPr>
        <w:t xml:space="preserve">Since these early years, the demand for local area estimates has remained strong. A number of states have conducted their own surveys by using a mailed paper questionnaire or by telephone (e.g., </w:t>
      </w:r>
      <w:proofErr w:type="spellStart"/>
      <w:r w:rsidRPr="00E414BD">
        <w:rPr>
          <w:rFonts w:ascii="Times New Roman" w:hAnsi="Times New Roman" w:cs="Times New Roman"/>
          <w:sz w:val="24"/>
          <w:szCs w:val="24"/>
        </w:rPr>
        <w:t>Giblin</w:t>
      </w:r>
      <w:proofErr w:type="spellEnd"/>
      <w:r w:rsidRPr="00E414BD">
        <w:rPr>
          <w:rFonts w:ascii="Times New Roman" w:hAnsi="Times New Roman" w:cs="Times New Roman"/>
          <w:sz w:val="24"/>
          <w:szCs w:val="24"/>
        </w:rPr>
        <w:t xml:space="preserve">, 2003; Haddon and Christenson, 2005). The BJS has tried to meet the demand for information in several different ways. One was to provide both technical assistance and software to conduct victimization surveys. A second was to publish MSA-level estimates for 20 locations using the current sample design (e.g., Lauritsen and </w:t>
      </w:r>
      <w:proofErr w:type="spellStart"/>
      <w:r w:rsidRPr="00E414BD">
        <w:rPr>
          <w:rFonts w:ascii="Times New Roman" w:hAnsi="Times New Roman" w:cs="Times New Roman"/>
          <w:sz w:val="24"/>
          <w:szCs w:val="24"/>
        </w:rPr>
        <w:t>Schaum</w:t>
      </w:r>
      <w:proofErr w:type="spellEnd"/>
      <w:r w:rsidRPr="00E414BD">
        <w:rPr>
          <w:rFonts w:ascii="Times New Roman" w:hAnsi="Times New Roman" w:cs="Times New Roman"/>
          <w:sz w:val="24"/>
          <w:szCs w:val="24"/>
        </w:rPr>
        <w:t xml:space="preserve">, 2005). In both cases, these efforts found interested audiences. However, they have not been widely used to shape local policy. The current Request for Applications (RFA) presents an opportunity significantly to advance the NCVS program’s capability for producing sub-national data by developing and evaluating “a cost effective sub-national companion survey of victimization” (RFA, p. 4). The idea is to administer a companion survey (CS) in areas that include NCVS data collection (e.g., MSA). The CS and the NCVS would be blended together to produce estimates that have acceptable levels of precision for key estimates. Ideally this design would form the basis of developing and generating small area (or synthetic) estimates for regions that are not covered by a CS. As mentioned in the RFA, an alternative approach is also being investigated by the Census Bureau to expand the NCVS sample in targeted areas. Relative to expanding the sample, an important advantage of the CS methodology is its flexibility. The CS can be scaled and administered to fit the funding environment, as well as shaped to meet user needs without altering the core NCVS. </w:t>
      </w:r>
      <w:r w:rsidRPr="00E414BD">
        <w:rPr>
          <w:rFonts w:ascii="Times New Roman" w:hAnsi="Times New Roman" w:cs="Times New Roman"/>
          <w:sz w:val="24"/>
          <w:szCs w:val="24"/>
        </w:rPr>
        <w:lastRenderedPageBreak/>
        <w:t>This flexibility is one design feature that has been proposed as a highly desirable feature of a redesigned NCVS (Groves, and Cork, 2008; Cantor and Lynch, 2007).</w:t>
      </w:r>
    </w:p>
    <w:p w:rsidR="00FE78BF" w:rsidRPr="00E414BD" w:rsidRDefault="00FE78BF" w:rsidP="00FE78BF">
      <w:pPr>
        <w:rPr>
          <w:rFonts w:ascii="Times New Roman" w:hAnsi="Times New Roman" w:cs="Times New Roman"/>
          <w:sz w:val="24"/>
          <w:szCs w:val="24"/>
        </w:rPr>
      </w:pPr>
    </w:p>
    <w:p w:rsidR="00FD3A2A" w:rsidRPr="00E414BD" w:rsidRDefault="00FD3A2A" w:rsidP="00FD3A2A">
      <w:pPr>
        <w:rPr>
          <w:rFonts w:ascii="Times New Roman" w:hAnsi="Times New Roman" w:cs="Times New Roman"/>
          <w:sz w:val="24"/>
          <w:szCs w:val="24"/>
        </w:rPr>
      </w:pPr>
      <w:r w:rsidRPr="00E414BD">
        <w:rPr>
          <w:rFonts w:ascii="Times New Roman" w:hAnsi="Times New Roman" w:cs="Times New Roman"/>
          <w:sz w:val="24"/>
          <w:szCs w:val="24"/>
        </w:rPr>
        <w:t>If the Field Test concludes that a low-cost approach is viable for producing sub-national estimates, BJS, along with State and local criminal justice agencies can use the approach for assessing change at the State or local level</w:t>
      </w:r>
      <w:r w:rsidR="00750158">
        <w:rPr>
          <w:rFonts w:ascii="Times New Roman" w:hAnsi="Times New Roman" w:cs="Times New Roman"/>
          <w:sz w:val="24"/>
          <w:szCs w:val="24"/>
        </w:rPr>
        <w:t xml:space="preserve">. </w:t>
      </w:r>
    </w:p>
    <w:p w:rsidR="00852128" w:rsidRPr="00E414BD" w:rsidRDefault="00852128" w:rsidP="00F313E7">
      <w:pPr>
        <w:rPr>
          <w:rFonts w:ascii="Times New Roman" w:hAnsi="Times New Roman" w:cs="Times New Roman"/>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A3. Use of Technology </w:t>
      </w:r>
    </w:p>
    <w:p w:rsidR="00FE78BF" w:rsidRPr="00E414BD" w:rsidRDefault="00FE78BF" w:rsidP="00F313E7">
      <w:pPr>
        <w:rPr>
          <w:rFonts w:ascii="Times New Roman" w:hAnsi="Times New Roman" w:cs="Times New Roman"/>
          <w:sz w:val="24"/>
          <w:szCs w:val="24"/>
        </w:rPr>
      </w:pPr>
    </w:p>
    <w:p w:rsidR="00112F68" w:rsidRPr="00E414BD" w:rsidRDefault="00FD3A2A" w:rsidP="00F313E7">
      <w:pPr>
        <w:rPr>
          <w:rFonts w:ascii="Times New Roman" w:hAnsi="Times New Roman" w:cs="Times New Roman"/>
          <w:sz w:val="24"/>
          <w:szCs w:val="24"/>
        </w:rPr>
      </w:pPr>
      <w:r w:rsidRPr="00E414BD">
        <w:rPr>
          <w:rFonts w:ascii="Times New Roman" w:hAnsi="Times New Roman" w:cs="Times New Roman"/>
          <w:sz w:val="24"/>
          <w:szCs w:val="24"/>
        </w:rPr>
        <w:t>Since the goal of the CS study is to generate a low-cost option for assessing change at the local level, we have opted to reduce the reliance on technology in the design of the Field Study</w:t>
      </w:r>
      <w:r w:rsidR="00750158">
        <w:rPr>
          <w:rFonts w:ascii="Times New Roman" w:hAnsi="Times New Roman" w:cs="Times New Roman"/>
          <w:sz w:val="24"/>
          <w:szCs w:val="24"/>
        </w:rPr>
        <w:t xml:space="preserve">. </w:t>
      </w:r>
      <w:r w:rsidR="00112F68" w:rsidRPr="00E414BD">
        <w:rPr>
          <w:rFonts w:ascii="Times New Roman" w:hAnsi="Times New Roman" w:cs="Times New Roman"/>
          <w:sz w:val="24"/>
          <w:szCs w:val="24"/>
        </w:rPr>
        <w:t>The self-administered survey will be conducted using mailed paper instruments</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The rationale is that we want a design that can be easily implemented by local jurisdictions</w:t>
      </w:r>
      <w:r w:rsidR="00750158">
        <w:rPr>
          <w:rFonts w:ascii="Times New Roman" w:hAnsi="Times New Roman" w:cs="Times New Roman"/>
          <w:sz w:val="24"/>
          <w:szCs w:val="24"/>
        </w:rPr>
        <w:t xml:space="preserve">. </w:t>
      </w:r>
      <w:r w:rsidR="00112F68" w:rsidRPr="00E414BD">
        <w:rPr>
          <w:rFonts w:ascii="Times New Roman" w:hAnsi="Times New Roman" w:cs="Times New Roman"/>
          <w:sz w:val="24"/>
          <w:szCs w:val="24"/>
        </w:rPr>
        <w:t>One option to incorporate technology into the CS administration would be to offer a concurrent web-based survey option</w:t>
      </w:r>
      <w:r w:rsidR="00750158">
        <w:rPr>
          <w:rFonts w:ascii="Times New Roman" w:hAnsi="Times New Roman" w:cs="Times New Roman"/>
          <w:sz w:val="24"/>
          <w:szCs w:val="24"/>
        </w:rPr>
        <w:t xml:space="preserve">. </w:t>
      </w:r>
      <w:r w:rsidR="00112F68" w:rsidRPr="00E414BD">
        <w:rPr>
          <w:rFonts w:ascii="Times New Roman" w:hAnsi="Times New Roman" w:cs="Times New Roman"/>
          <w:sz w:val="24"/>
          <w:szCs w:val="24"/>
        </w:rPr>
        <w:t>However, this would increase costs and complexity (both operational and analytic), and has actually been found to depress response rates compared with a mail-based survey alone (</w:t>
      </w:r>
      <w:r w:rsidR="00623008" w:rsidRPr="00E414BD">
        <w:rPr>
          <w:rFonts w:ascii="Times New Roman" w:hAnsi="Times New Roman" w:cs="Times New Roman"/>
          <w:sz w:val="24"/>
          <w:szCs w:val="24"/>
        </w:rPr>
        <w:t xml:space="preserve">Millar and </w:t>
      </w:r>
      <w:proofErr w:type="spellStart"/>
      <w:r w:rsidR="00623008" w:rsidRPr="00E414BD">
        <w:rPr>
          <w:rFonts w:ascii="Times New Roman" w:hAnsi="Times New Roman" w:cs="Times New Roman"/>
          <w:sz w:val="24"/>
          <w:szCs w:val="24"/>
        </w:rPr>
        <w:t>Dillman</w:t>
      </w:r>
      <w:proofErr w:type="spellEnd"/>
      <w:r w:rsidR="00623008" w:rsidRPr="00E414BD">
        <w:rPr>
          <w:rFonts w:ascii="Times New Roman" w:hAnsi="Times New Roman" w:cs="Times New Roman"/>
          <w:sz w:val="24"/>
          <w:szCs w:val="24"/>
        </w:rPr>
        <w:t>, 2011</w:t>
      </w:r>
      <w:r w:rsidR="00112F68" w:rsidRPr="00E414BD">
        <w:rPr>
          <w:rFonts w:ascii="Times New Roman" w:hAnsi="Times New Roman" w:cs="Times New Roman"/>
          <w:sz w:val="24"/>
          <w:szCs w:val="24"/>
        </w:rPr>
        <w:t>).</w:t>
      </w:r>
    </w:p>
    <w:p w:rsidR="00112F68" w:rsidRPr="00E414BD" w:rsidRDefault="00112F68" w:rsidP="00F313E7">
      <w:pPr>
        <w:rPr>
          <w:rFonts w:ascii="Times New Roman" w:hAnsi="Times New Roman" w:cs="Times New Roman"/>
          <w:sz w:val="24"/>
          <w:szCs w:val="24"/>
        </w:rPr>
      </w:pPr>
    </w:p>
    <w:p w:rsidR="00FD3A2A" w:rsidRPr="00E414BD" w:rsidRDefault="00FD3A2A" w:rsidP="00F313E7">
      <w:pPr>
        <w:rPr>
          <w:rFonts w:ascii="Times New Roman" w:hAnsi="Times New Roman" w:cs="Times New Roman"/>
          <w:sz w:val="24"/>
          <w:szCs w:val="24"/>
        </w:rPr>
      </w:pPr>
      <w:r w:rsidRPr="00E414BD">
        <w:rPr>
          <w:rFonts w:ascii="Times New Roman" w:hAnsi="Times New Roman" w:cs="Times New Roman"/>
          <w:sz w:val="24"/>
          <w:szCs w:val="24"/>
        </w:rPr>
        <w:t>At this time, we plan to use automated call prompts using Interactive Voice Response (IVR) technology to non-responding households where a telephone number is available</w:t>
      </w:r>
      <w:r w:rsidR="00750158">
        <w:rPr>
          <w:rFonts w:ascii="Times New Roman" w:hAnsi="Times New Roman" w:cs="Times New Roman"/>
          <w:sz w:val="24"/>
          <w:szCs w:val="24"/>
        </w:rPr>
        <w:t xml:space="preserve">. </w:t>
      </w:r>
      <w:r w:rsidR="00106E51" w:rsidRPr="00E414BD">
        <w:rPr>
          <w:rFonts w:ascii="Times New Roman" w:hAnsi="Times New Roman" w:cs="Times New Roman"/>
          <w:sz w:val="24"/>
          <w:szCs w:val="24"/>
        </w:rPr>
        <w:t>IVR technology is generally inexpensive and this would be a realistic option for local jurisdictions opting to launch their own surveys</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 xml:space="preserve">We also plan to use </w:t>
      </w:r>
      <w:proofErr w:type="spellStart"/>
      <w:r w:rsidRPr="00E414BD">
        <w:rPr>
          <w:rFonts w:ascii="Times New Roman" w:hAnsi="Times New Roman" w:cs="Times New Roman"/>
          <w:sz w:val="24"/>
          <w:szCs w:val="24"/>
        </w:rPr>
        <w:t>scannable</w:t>
      </w:r>
      <w:proofErr w:type="spellEnd"/>
      <w:r w:rsidRPr="00E414BD">
        <w:rPr>
          <w:rFonts w:ascii="Times New Roman" w:hAnsi="Times New Roman" w:cs="Times New Roman"/>
          <w:sz w:val="24"/>
          <w:szCs w:val="24"/>
        </w:rPr>
        <w:t xml:space="preserve"> forms and technology for capturing the data</w:t>
      </w:r>
      <w:r w:rsidR="00750158">
        <w:rPr>
          <w:rFonts w:ascii="Times New Roman" w:hAnsi="Times New Roman" w:cs="Times New Roman"/>
          <w:sz w:val="24"/>
          <w:szCs w:val="24"/>
        </w:rPr>
        <w:t xml:space="preserve">. </w:t>
      </w:r>
      <w:r w:rsidR="00106E51" w:rsidRPr="00E414BD">
        <w:rPr>
          <w:rFonts w:ascii="Times New Roman" w:hAnsi="Times New Roman" w:cs="Times New Roman"/>
          <w:sz w:val="24"/>
          <w:szCs w:val="24"/>
        </w:rPr>
        <w:t>This may not be an option for local jurisdictions,</w:t>
      </w:r>
      <w:r w:rsidRPr="00E414BD">
        <w:rPr>
          <w:rFonts w:ascii="Times New Roman" w:hAnsi="Times New Roman" w:cs="Times New Roman"/>
          <w:sz w:val="24"/>
          <w:szCs w:val="24"/>
        </w:rPr>
        <w:t xml:space="preserve"> </w:t>
      </w:r>
      <w:r w:rsidR="00106E51" w:rsidRPr="00E414BD">
        <w:rPr>
          <w:rFonts w:ascii="Times New Roman" w:hAnsi="Times New Roman" w:cs="Times New Roman"/>
          <w:sz w:val="24"/>
          <w:szCs w:val="24"/>
        </w:rPr>
        <w:t xml:space="preserve">and so </w:t>
      </w:r>
      <w:r w:rsidRPr="00E414BD">
        <w:rPr>
          <w:rFonts w:ascii="Times New Roman" w:hAnsi="Times New Roman" w:cs="Times New Roman"/>
          <w:sz w:val="24"/>
          <w:szCs w:val="24"/>
        </w:rPr>
        <w:t xml:space="preserve">final instruments will be </w:t>
      </w:r>
      <w:r w:rsidR="00106E51" w:rsidRPr="00E414BD">
        <w:rPr>
          <w:rFonts w:ascii="Times New Roman" w:hAnsi="Times New Roman" w:cs="Times New Roman"/>
          <w:sz w:val="24"/>
          <w:szCs w:val="24"/>
        </w:rPr>
        <w:t xml:space="preserve">available </w:t>
      </w:r>
      <w:r w:rsidRPr="00E414BD">
        <w:rPr>
          <w:rFonts w:ascii="Times New Roman" w:hAnsi="Times New Roman" w:cs="Times New Roman"/>
          <w:sz w:val="24"/>
          <w:szCs w:val="24"/>
        </w:rPr>
        <w:t xml:space="preserve">in </w:t>
      </w:r>
      <w:r w:rsidR="00106E51" w:rsidRPr="00E414BD">
        <w:rPr>
          <w:rFonts w:ascii="Times New Roman" w:hAnsi="Times New Roman" w:cs="Times New Roman"/>
          <w:sz w:val="24"/>
          <w:szCs w:val="24"/>
        </w:rPr>
        <w:t xml:space="preserve">both </w:t>
      </w:r>
      <w:r w:rsidRPr="00E414BD">
        <w:rPr>
          <w:rFonts w:ascii="Times New Roman" w:hAnsi="Times New Roman" w:cs="Times New Roman"/>
          <w:sz w:val="24"/>
          <w:szCs w:val="24"/>
        </w:rPr>
        <w:t>PDF and Word so that jurisdictions can adapt them for their own use.</w:t>
      </w:r>
    </w:p>
    <w:p w:rsidR="00FE78BF" w:rsidRPr="00E414BD" w:rsidRDefault="00FE78BF" w:rsidP="00F313E7">
      <w:pPr>
        <w:rPr>
          <w:rFonts w:ascii="Times New Roman" w:hAnsi="Times New Roman" w:cs="Times New Roman"/>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A4. Efforts to Identify Duplication </w:t>
      </w:r>
    </w:p>
    <w:p w:rsidR="00FE78BF" w:rsidRPr="00E414BD" w:rsidRDefault="00FE78BF" w:rsidP="00F313E7">
      <w:pPr>
        <w:rPr>
          <w:rFonts w:ascii="Times New Roman" w:hAnsi="Times New Roman" w:cs="Times New Roman"/>
          <w:sz w:val="24"/>
          <w:szCs w:val="24"/>
        </w:rPr>
      </w:pPr>
    </w:p>
    <w:p w:rsidR="00106E51" w:rsidRPr="00E414BD" w:rsidRDefault="00385283" w:rsidP="00F313E7">
      <w:pPr>
        <w:rPr>
          <w:rFonts w:ascii="Times New Roman" w:hAnsi="Times New Roman" w:cs="Times New Roman"/>
          <w:sz w:val="24"/>
          <w:szCs w:val="24"/>
        </w:rPr>
      </w:pPr>
      <w:r w:rsidRPr="00E414BD">
        <w:rPr>
          <w:rFonts w:ascii="Times New Roman" w:hAnsi="Times New Roman" w:cs="Times New Roman"/>
          <w:sz w:val="24"/>
          <w:szCs w:val="24"/>
        </w:rPr>
        <w:t xml:space="preserve">To date, we have identified no studies that duplicate the Companion Survey </w:t>
      </w:r>
      <w:r w:rsidR="00F941C7" w:rsidRPr="00E414BD">
        <w:rPr>
          <w:rFonts w:ascii="Times New Roman" w:hAnsi="Times New Roman" w:cs="Times New Roman"/>
          <w:sz w:val="24"/>
          <w:szCs w:val="24"/>
        </w:rPr>
        <w:t>goals of creating a standardized, low-cost method of estimating victimization at the sub-national level</w:t>
      </w:r>
      <w:r w:rsidR="00750158">
        <w:rPr>
          <w:rFonts w:ascii="Times New Roman" w:hAnsi="Times New Roman" w:cs="Times New Roman"/>
          <w:sz w:val="24"/>
          <w:szCs w:val="24"/>
        </w:rPr>
        <w:t xml:space="preserve">. </w:t>
      </w:r>
      <w:r w:rsidR="00B12A3D" w:rsidRPr="00E414BD">
        <w:rPr>
          <w:rFonts w:ascii="Times New Roman" w:hAnsi="Times New Roman" w:cs="Times New Roman"/>
          <w:sz w:val="24"/>
          <w:szCs w:val="24"/>
        </w:rPr>
        <w:t xml:space="preserve">The NCVS is currently the only tool for collecting </w:t>
      </w:r>
      <w:r w:rsidR="00F941C7" w:rsidRPr="00E414BD">
        <w:rPr>
          <w:rFonts w:ascii="Times New Roman" w:hAnsi="Times New Roman" w:cs="Times New Roman"/>
          <w:sz w:val="24"/>
          <w:szCs w:val="24"/>
        </w:rPr>
        <w:t xml:space="preserve">national </w:t>
      </w:r>
      <w:r w:rsidR="00B12A3D" w:rsidRPr="00E414BD">
        <w:rPr>
          <w:rFonts w:ascii="Times New Roman" w:hAnsi="Times New Roman" w:cs="Times New Roman"/>
          <w:sz w:val="24"/>
          <w:szCs w:val="24"/>
        </w:rPr>
        <w:t>victimization data on crimes not reported to the police</w:t>
      </w:r>
      <w:r w:rsidR="00750158">
        <w:rPr>
          <w:rFonts w:ascii="Times New Roman" w:hAnsi="Times New Roman" w:cs="Times New Roman"/>
          <w:sz w:val="24"/>
          <w:szCs w:val="24"/>
        </w:rPr>
        <w:t xml:space="preserve">. </w:t>
      </w:r>
      <w:r w:rsidR="007D3A8D" w:rsidRPr="00E414BD">
        <w:rPr>
          <w:rFonts w:ascii="Times New Roman" w:hAnsi="Times New Roman" w:cs="Times New Roman"/>
          <w:sz w:val="24"/>
          <w:szCs w:val="24"/>
        </w:rPr>
        <w:t>Two other databases maintain data on police reports, including the Uniform Crime Reports (UCR) and the National Incident-Based Reporting System (NIBRS)</w:t>
      </w:r>
      <w:r w:rsidR="00750158">
        <w:rPr>
          <w:rFonts w:ascii="Times New Roman" w:hAnsi="Times New Roman" w:cs="Times New Roman"/>
          <w:sz w:val="24"/>
          <w:szCs w:val="24"/>
        </w:rPr>
        <w:t xml:space="preserve">. </w:t>
      </w:r>
      <w:r w:rsidR="007D3A8D" w:rsidRPr="00E414BD">
        <w:rPr>
          <w:rFonts w:ascii="Times New Roman" w:hAnsi="Times New Roman" w:cs="Times New Roman"/>
          <w:sz w:val="24"/>
          <w:szCs w:val="24"/>
        </w:rPr>
        <w:t>The UCR is an FBI</w:t>
      </w:r>
      <w:r w:rsidR="00106EDC" w:rsidRPr="00E414BD">
        <w:rPr>
          <w:rFonts w:ascii="Times New Roman" w:hAnsi="Times New Roman" w:cs="Times New Roman"/>
          <w:sz w:val="24"/>
          <w:szCs w:val="24"/>
        </w:rPr>
        <w:t>-</w:t>
      </w:r>
      <w:r w:rsidR="007D3A8D" w:rsidRPr="00E414BD">
        <w:rPr>
          <w:rFonts w:ascii="Times New Roman" w:hAnsi="Times New Roman" w:cs="Times New Roman"/>
          <w:sz w:val="24"/>
          <w:szCs w:val="24"/>
        </w:rPr>
        <w:t>maintained database tracking murder, robbery, rape, aggravated assault, burglary, theft, vehicle theft, and arson</w:t>
      </w:r>
      <w:r w:rsidR="00750158">
        <w:rPr>
          <w:rFonts w:ascii="Times New Roman" w:hAnsi="Times New Roman" w:cs="Times New Roman"/>
          <w:sz w:val="24"/>
          <w:szCs w:val="24"/>
        </w:rPr>
        <w:t xml:space="preserve">. </w:t>
      </w:r>
      <w:r w:rsidR="007D3A8D" w:rsidRPr="00E414BD">
        <w:rPr>
          <w:rFonts w:ascii="Times New Roman" w:hAnsi="Times New Roman" w:cs="Times New Roman"/>
          <w:sz w:val="24"/>
          <w:szCs w:val="24"/>
        </w:rPr>
        <w:t xml:space="preserve">Local law enforcement agencies </w:t>
      </w:r>
      <w:r w:rsidR="00E66D52" w:rsidRPr="00E414BD">
        <w:rPr>
          <w:rFonts w:ascii="Times New Roman" w:hAnsi="Times New Roman" w:cs="Times New Roman"/>
          <w:sz w:val="24"/>
          <w:szCs w:val="24"/>
        </w:rPr>
        <w:t xml:space="preserve">voluntarily </w:t>
      </w:r>
      <w:r w:rsidR="007D3A8D" w:rsidRPr="00E414BD">
        <w:rPr>
          <w:rFonts w:ascii="Times New Roman" w:hAnsi="Times New Roman" w:cs="Times New Roman"/>
          <w:sz w:val="24"/>
          <w:szCs w:val="24"/>
        </w:rPr>
        <w:t>report UCR data to the FBI</w:t>
      </w:r>
      <w:r w:rsidR="00750158">
        <w:rPr>
          <w:rFonts w:ascii="Times New Roman" w:hAnsi="Times New Roman" w:cs="Times New Roman"/>
          <w:sz w:val="24"/>
          <w:szCs w:val="24"/>
        </w:rPr>
        <w:t xml:space="preserve">. </w:t>
      </w:r>
      <w:r w:rsidR="00106EDC" w:rsidRPr="00E414BD">
        <w:rPr>
          <w:rFonts w:ascii="Times New Roman" w:hAnsi="Times New Roman" w:cs="Times New Roman"/>
          <w:sz w:val="24"/>
          <w:szCs w:val="24"/>
        </w:rPr>
        <w:t xml:space="preserve">There is variability across localities, however, in the percentages of crimes are reported to the police and also variability in how those crimes are classified by the law enforcement agencies (Rosenfeld, 2007). </w:t>
      </w:r>
      <w:r w:rsidR="007D3A8D" w:rsidRPr="00E414BD">
        <w:rPr>
          <w:rFonts w:ascii="Times New Roman" w:hAnsi="Times New Roman" w:cs="Times New Roman"/>
          <w:sz w:val="24"/>
          <w:szCs w:val="24"/>
        </w:rPr>
        <w:t xml:space="preserve">The NIBRS </w:t>
      </w:r>
      <w:r w:rsidR="00736954" w:rsidRPr="00E414BD">
        <w:rPr>
          <w:rFonts w:ascii="Times New Roman" w:hAnsi="Times New Roman" w:cs="Times New Roman"/>
          <w:sz w:val="24"/>
          <w:szCs w:val="24"/>
        </w:rPr>
        <w:t xml:space="preserve">was </w:t>
      </w:r>
      <w:r w:rsidR="007D3A8D" w:rsidRPr="00E414BD">
        <w:rPr>
          <w:rFonts w:ascii="Times New Roman" w:hAnsi="Times New Roman" w:cs="Times New Roman"/>
          <w:sz w:val="24"/>
          <w:szCs w:val="24"/>
        </w:rPr>
        <w:t>developed to replace the UCR, expanding the types of crimes it tracks and addressing some of the limitations of the UCR approach</w:t>
      </w:r>
      <w:r w:rsidR="00750158">
        <w:rPr>
          <w:rFonts w:ascii="Times New Roman" w:hAnsi="Times New Roman" w:cs="Times New Roman"/>
          <w:sz w:val="24"/>
          <w:szCs w:val="24"/>
        </w:rPr>
        <w:t xml:space="preserve">. </w:t>
      </w:r>
      <w:r w:rsidR="007D3A8D" w:rsidRPr="00E414BD">
        <w:rPr>
          <w:rFonts w:ascii="Times New Roman" w:hAnsi="Times New Roman" w:cs="Times New Roman"/>
          <w:sz w:val="24"/>
          <w:szCs w:val="24"/>
        </w:rPr>
        <w:t>However</w:t>
      </w:r>
      <w:r w:rsidR="00A32CC8" w:rsidRPr="00E414BD">
        <w:rPr>
          <w:rFonts w:ascii="Times New Roman" w:hAnsi="Times New Roman" w:cs="Times New Roman"/>
          <w:sz w:val="24"/>
          <w:szCs w:val="24"/>
        </w:rPr>
        <w:t>,</w:t>
      </w:r>
      <w:r w:rsidR="007D3A8D" w:rsidRPr="00E414BD">
        <w:rPr>
          <w:rFonts w:ascii="Times New Roman" w:hAnsi="Times New Roman" w:cs="Times New Roman"/>
          <w:sz w:val="24"/>
          <w:szCs w:val="24"/>
        </w:rPr>
        <w:t xml:space="preserve"> implementation of the NIBRS has been slow</w:t>
      </w:r>
      <w:r w:rsidR="00750158">
        <w:rPr>
          <w:rFonts w:ascii="Times New Roman" w:hAnsi="Times New Roman" w:cs="Times New Roman"/>
          <w:sz w:val="24"/>
          <w:szCs w:val="24"/>
        </w:rPr>
        <w:t xml:space="preserve">. </w:t>
      </w:r>
      <w:r w:rsidR="007D3A8D" w:rsidRPr="00E414BD">
        <w:rPr>
          <w:rFonts w:ascii="Times New Roman" w:hAnsi="Times New Roman" w:cs="Times New Roman"/>
          <w:sz w:val="24"/>
          <w:szCs w:val="24"/>
        </w:rPr>
        <w:t xml:space="preserve">Neither the UCR nor the NIBRS are able to </w:t>
      </w:r>
      <w:r w:rsidR="00FE727D" w:rsidRPr="00E414BD">
        <w:rPr>
          <w:rFonts w:ascii="Times New Roman" w:hAnsi="Times New Roman" w:cs="Times New Roman"/>
          <w:sz w:val="24"/>
          <w:szCs w:val="24"/>
        </w:rPr>
        <w:t>provide overall estimates on victimization because these databases only include incidents reported to the police</w:t>
      </w:r>
      <w:r w:rsidR="00A32CC8" w:rsidRPr="00E414BD">
        <w:rPr>
          <w:rFonts w:ascii="Times New Roman" w:hAnsi="Times New Roman" w:cs="Times New Roman"/>
          <w:sz w:val="24"/>
          <w:szCs w:val="24"/>
        </w:rPr>
        <w:t xml:space="preserve"> and uploaded to the databases</w:t>
      </w:r>
      <w:r w:rsidR="00750158">
        <w:rPr>
          <w:rFonts w:ascii="Times New Roman" w:hAnsi="Times New Roman" w:cs="Times New Roman"/>
          <w:sz w:val="24"/>
          <w:szCs w:val="24"/>
        </w:rPr>
        <w:t xml:space="preserve">. </w:t>
      </w:r>
      <w:r w:rsidR="00FE727D" w:rsidRPr="00E414BD">
        <w:rPr>
          <w:rFonts w:ascii="Times New Roman" w:hAnsi="Times New Roman" w:cs="Times New Roman"/>
          <w:sz w:val="24"/>
          <w:szCs w:val="24"/>
        </w:rPr>
        <w:t xml:space="preserve">Findings from the NCVS suggest that only about half of violent </w:t>
      </w:r>
      <w:r w:rsidR="00297413" w:rsidRPr="00E414BD">
        <w:rPr>
          <w:rFonts w:ascii="Times New Roman" w:hAnsi="Times New Roman" w:cs="Times New Roman"/>
          <w:sz w:val="24"/>
          <w:szCs w:val="24"/>
        </w:rPr>
        <w:t xml:space="preserve">victimizations </w:t>
      </w:r>
      <w:r w:rsidR="00FE727D" w:rsidRPr="00E414BD">
        <w:rPr>
          <w:rFonts w:ascii="Times New Roman" w:hAnsi="Times New Roman" w:cs="Times New Roman"/>
          <w:sz w:val="24"/>
          <w:szCs w:val="24"/>
        </w:rPr>
        <w:t>are reported to the police (Langton, et al., 2012)</w:t>
      </w:r>
      <w:r w:rsidR="00297413" w:rsidRPr="00E414BD">
        <w:rPr>
          <w:rFonts w:ascii="Times New Roman" w:hAnsi="Times New Roman" w:cs="Times New Roman"/>
          <w:sz w:val="24"/>
          <w:szCs w:val="24"/>
        </w:rPr>
        <w:t xml:space="preserve">, which means that the UCR data </w:t>
      </w:r>
      <w:r w:rsidR="00A32CC8" w:rsidRPr="00E414BD">
        <w:rPr>
          <w:rFonts w:ascii="Times New Roman" w:hAnsi="Times New Roman" w:cs="Times New Roman"/>
          <w:sz w:val="24"/>
          <w:szCs w:val="24"/>
        </w:rPr>
        <w:t xml:space="preserve">are </w:t>
      </w:r>
      <w:r w:rsidR="00297413" w:rsidRPr="00E414BD">
        <w:rPr>
          <w:rFonts w:ascii="Times New Roman" w:hAnsi="Times New Roman" w:cs="Times New Roman"/>
          <w:sz w:val="24"/>
          <w:szCs w:val="24"/>
        </w:rPr>
        <w:t xml:space="preserve">not </w:t>
      </w:r>
      <w:r w:rsidR="00A32CC8" w:rsidRPr="00E414BD">
        <w:rPr>
          <w:rFonts w:ascii="Times New Roman" w:hAnsi="Times New Roman" w:cs="Times New Roman"/>
          <w:sz w:val="24"/>
          <w:szCs w:val="24"/>
        </w:rPr>
        <w:t xml:space="preserve">ideal </w:t>
      </w:r>
      <w:r w:rsidR="00297413" w:rsidRPr="00E414BD">
        <w:rPr>
          <w:rFonts w:ascii="Times New Roman" w:hAnsi="Times New Roman" w:cs="Times New Roman"/>
          <w:sz w:val="24"/>
          <w:szCs w:val="24"/>
        </w:rPr>
        <w:t>for generating estimates of overall victimization in the U.S</w:t>
      </w:r>
      <w:r w:rsidR="00750158">
        <w:rPr>
          <w:rFonts w:ascii="Times New Roman" w:hAnsi="Times New Roman" w:cs="Times New Roman"/>
          <w:sz w:val="24"/>
          <w:szCs w:val="24"/>
        </w:rPr>
        <w:t xml:space="preserve">. </w:t>
      </w:r>
    </w:p>
    <w:p w:rsidR="00B12A3D" w:rsidRPr="00E414BD" w:rsidRDefault="00B12A3D" w:rsidP="00F313E7">
      <w:pPr>
        <w:rPr>
          <w:rFonts w:ascii="Times New Roman" w:hAnsi="Times New Roman" w:cs="Times New Roman"/>
          <w:sz w:val="24"/>
          <w:szCs w:val="24"/>
        </w:rPr>
      </w:pPr>
    </w:p>
    <w:p w:rsidR="000E1EF7" w:rsidRPr="00E414BD" w:rsidRDefault="00544109" w:rsidP="00F313E7">
      <w:pPr>
        <w:rPr>
          <w:rFonts w:ascii="Times New Roman" w:hAnsi="Times New Roman" w:cs="Times New Roman"/>
          <w:sz w:val="24"/>
          <w:szCs w:val="24"/>
        </w:rPr>
      </w:pPr>
      <w:r w:rsidRPr="00E414BD">
        <w:rPr>
          <w:rFonts w:ascii="Times New Roman" w:hAnsi="Times New Roman" w:cs="Times New Roman"/>
          <w:sz w:val="24"/>
          <w:szCs w:val="24"/>
        </w:rPr>
        <w:lastRenderedPageBreak/>
        <w:t xml:space="preserve">BJS has </w:t>
      </w:r>
      <w:r w:rsidR="002E7224" w:rsidRPr="00E414BD">
        <w:rPr>
          <w:rFonts w:ascii="Times New Roman" w:hAnsi="Times New Roman" w:cs="Times New Roman"/>
          <w:sz w:val="24"/>
          <w:szCs w:val="24"/>
        </w:rPr>
        <w:t xml:space="preserve">investigated </w:t>
      </w:r>
      <w:r w:rsidRPr="00E414BD">
        <w:rPr>
          <w:rFonts w:ascii="Times New Roman" w:hAnsi="Times New Roman" w:cs="Times New Roman"/>
          <w:sz w:val="24"/>
          <w:szCs w:val="24"/>
        </w:rPr>
        <w:t xml:space="preserve">other methods for producing </w:t>
      </w:r>
      <w:r w:rsidR="002E7224" w:rsidRPr="00E414BD">
        <w:rPr>
          <w:rFonts w:ascii="Times New Roman" w:hAnsi="Times New Roman" w:cs="Times New Roman"/>
          <w:sz w:val="24"/>
          <w:szCs w:val="24"/>
        </w:rPr>
        <w:t xml:space="preserve">victimization </w:t>
      </w:r>
      <w:r w:rsidRPr="00E414BD">
        <w:rPr>
          <w:rFonts w:ascii="Times New Roman" w:hAnsi="Times New Roman" w:cs="Times New Roman"/>
          <w:sz w:val="24"/>
          <w:szCs w:val="24"/>
        </w:rPr>
        <w:t>estimates at the sub-national level</w:t>
      </w:r>
      <w:r w:rsidR="002E7224" w:rsidRPr="00E414BD">
        <w:rPr>
          <w:rFonts w:ascii="Times New Roman" w:hAnsi="Times New Roman" w:cs="Times New Roman"/>
          <w:sz w:val="24"/>
          <w:szCs w:val="24"/>
        </w:rPr>
        <w:t xml:space="preserve"> in the past</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These have included local area oversampling in the NCVS as well as modeling efforts to support small area estimation</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Oversampling within the core NCVS is very expensive</w:t>
      </w:r>
      <w:r w:rsidR="00785E5F" w:rsidRPr="00E414BD">
        <w:rPr>
          <w:rFonts w:ascii="Times New Roman" w:hAnsi="Times New Roman" w:cs="Times New Roman"/>
          <w:sz w:val="24"/>
          <w:szCs w:val="24"/>
        </w:rPr>
        <w:t>, and w</w:t>
      </w:r>
      <w:r w:rsidR="002E7224" w:rsidRPr="00E414BD">
        <w:rPr>
          <w:rFonts w:ascii="Times New Roman" w:hAnsi="Times New Roman" w:cs="Times New Roman"/>
          <w:sz w:val="24"/>
          <w:szCs w:val="24"/>
        </w:rPr>
        <w:t xml:space="preserve">hile BJS has hope for small-area estimation (SAE) in the future, there are </w:t>
      </w:r>
      <w:r w:rsidR="003A2C32" w:rsidRPr="00E414BD">
        <w:rPr>
          <w:rFonts w:ascii="Times New Roman" w:hAnsi="Times New Roman" w:cs="Times New Roman"/>
          <w:sz w:val="24"/>
          <w:szCs w:val="24"/>
        </w:rPr>
        <w:t xml:space="preserve">many </w:t>
      </w:r>
      <w:r w:rsidR="002E7224" w:rsidRPr="00E414BD">
        <w:rPr>
          <w:rFonts w:ascii="Times New Roman" w:hAnsi="Times New Roman" w:cs="Times New Roman"/>
          <w:sz w:val="24"/>
          <w:szCs w:val="24"/>
        </w:rPr>
        <w:t>sub-national areas that are not well covered by the NCVS and so would not be candidates for SAE</w:t>
      </w:r>
      <w:r w:rsidR="003A2C32" w:rsidRPr="00E414BD">
        <w:rPr>
          <w:rFonts w:ascii="Times New Roman" w:hAnsi="Times New Roman" w:cs="Times New Roman"/>
          <w:sz w:val="24"/>
          <w:szCs w:val="24"/>
        </w:rPr>
        <w:t xml:space="preserve"> modeling</w:t>
      </w:r>
      <w:r w:rsidR="00750158">
        <w:rPr>
          <w:rFonts w:ascii="Times New Roman" w:hAnsi="Times New Roman" w:cs="Times New Roman"/>
          <w:sz w:val="24"/>
          <w:szCs w:val="24"/>
        </w:rPr>
        <w:t xml:space="preserve">. </w:t>
      </w:r>
    </w:p>
    <w:p w:rsidR="000E1EF7" w:rsidRPr="00E414BD" w:rsidRDefault="000E1EF7" w:rsidP="00F313E7">
      <w:pPr>
        <w:rPr>
          <w:rFonts w:ascii="Times New Roman" w:hAnsi="Times New Roman" w:cs="Times New Roman"/>
          <w:sz w:val="24"/>
          <w:szCs w:val="24"/>
        </w:rPr>
      </w:pPr>
    </w:p>
    <w:p w:rsidR="00A14B8B" w:rsidRPr="00E414BD" w:rsidRDefault="002E7224" w:rsidP="00F313E7">
      <w:pPr>
        <w:rPr>
          <w:rFonts w:ascii="Times New Roman" w:hAnsi="Times New Roman" w:cs="Times New Roman"/>
          <w:sz w:val="24"/>
          <w:szCs w:val="24"/>
        </w:rPr>
      </w:pPr>
      <w:r w:rsidRPr="00E414BD">
        <w:rPr>
          <w:rFonts w:ascii="Times New Roman" w:hAnsi="Times New Roman" w:cs="Times New Roman"/>
          <w:sz w:val="24"/>
          <w:szCs w:val="24"/>
        </w:rPr>
        <w:t>In addition to BJS investigation, t</w:t>
      </w:r>
      <w:r w:rsidR="00A14B8B" w:rsidRPr="00E414BD">
        <w:rPr>
          <w:rFonts w:ascii="Times New Roman" w:hAnsi="Times New Roman" w:cs="Times New Roman"/>
          <w:sz w:val="24"/>
          <w:szCs w:val="24"/>
        </w:rPr>
        <w:t xml:space="preserve">here have been </w:t>
      </w:r>
      <w:r w:rsidRPr="00E414BD">
        <w:rPr>
          <w:rFonts w:ascii="Times New Roman" w:hAnsi="Times New Roman" w:cs="Times New Roman"/>
          <w:sz w:val="24"/>
          <w:szCs w:val="24"/>
        </w:rPr>
        <w:t xml:space="preserve">efforts </w:t>
      </w:r>
      <w:r w:rsidR="00A14B8B" w:rsidRPr="00E414BD">
        <w:rPr>
          <w:rFonts w:ascii="Times New Roman" w:hAnsi="Times New Roman" w:cs="Times New Roman"/>
          <w:sz w:val="24"/>
          <w:szCs w:val="24"/>
        </w:rPr>
        <w:t>by some States and localities to produce victimization rates at the local level</w:t>
      </w:r>
      <w:r w:rsidR="00750158">
        <w:rPr>
          <w:rFonts w:ascii="Times New Roman" w:hAnsi="Times New Roman" w:cs="Times New Roman"/>
          <w:sz w:val="24"/>
          <w:szCs w:val="24"/>
        </w:rPr>
        <w:t xml:space="preserve">. </w:t>
      </w:r>
      <w:r w:rsidR="000E1EF7" w:rsidRPr="00E414BD">
        <w:rPr>
          <w:rFonts w:ascii="Times New Roman" w:hAnsi="Times New Roman" w:cs="Times New Roman"/>
          <w:sz w:val="24"/>
          <w:szCs w:val="24"/>
        </w:rPr>
        <w:t>A recent review conducted for BJS by the Justice Research and Statistics Association (JRSA) identified twenty-five data collection efforts completed over the past dozen years conducted by 14 States</w:t>
      </w:r>
      <w:r w:rsidR="00750158">
        <w:rPr>
          <w:rFonts w:ascii="Times New Roman" w:hAnsi="Times New Roman" w:cs="Times New Roman"/>
          <w:sz w:val="24"/>
          <w:szCs w:val="24"/>
        </w:rPr>
        <w:t xml:space="preserve">. </w:t>
      </w:r>
      <w:r w:rsidR="004C7EC6" w:rsidRPr="00E414BD">
        <w:rPr>
          <w:rFonts w:ascii="Times New Roman" w:hAnsi="Times New Roman" w:cs="Times New Roman"/>
          <w:sz w:val="24"/>
          <w:szCs w:val="24"/>
        </w:rPr>
        <w:t xml:space="preserve">Some of these </w:t>
      </w:r>
      <w:r w:rsidR="007E7AFD" w:rsidRPr="00E414BD">
        <w:rPr>
          <w:rFonts w:ascii="Times New Roman" w:hAnsi="Times New Roman" w:cs="Times New Roman"/>
          <w:sz w:val="24"/>
          <w:szCs w:val="24"/>
        </w:rPr>
        <w:t xml:space="preserve">surveys </w:t>
      </w:r>
      <w:r w:rsidR="00703BBC" w:rsidRPr="00E414BD">
        <w:rPr>
          <w:rFonts w:ascii="Times New Roman" w:hAnsi="Times New Roman" w:cs="Times New Roman"/>
          <w:sz w:val="24"/>
          <w:szCs w:val="24"/>
        </w:rPr>
        <w:t xml:space="preserve">have been </w:t>
      </w:r>
      <w:r w:rsidR="004C7EC6" w:rsidRPr="00E414BD">
        <w:rPr>
          <w:rFonts w:ascii="Times New Roman" w:hAnsi="Times New Roman" w:cs="Times New Roman"/>
          <w:sz w:val="24"/>
          <w:szCs w:val="24"/>
        </w:rPr>
        <w:t xml:space="preserve">conducted using BJS grant funding, </w:t>
      </w:r>
      <w:r w:rsidR="00703BBC" w:rsidRPr="00E414BD">
        <w:rPr>
          <w:rFonts w:ascii="Times New Roman" w:hAnsi="Times New Roman" w:cs="Times New Roman"/>
          <w:sz w:val="24"/>
          <w:szCs w:val="24"/>
        </w:rPr>
        <w:t xml:space="preserve">while others were </w:t>
      </w:r>
      <w:r w:rsidR="007E7AFD" w:rsidRPr="00E414BD">
        <w:rPr>
          <w:rFonts w:ascii="Times New Roman" w:hAnsi="Times New Roman" w:cs="Times New Roman"/>
          <w:sz w:val="24"/>
          <w:szCs w:val="24"/>
        </w:rPr>
        <w:t xml:space="preserve">funded </w:t>
      </w:r>
      <w:r w:rsidR="00703BBC" w:rsidRPr="00E414BD">
        <w:rPr>
          <w:rFonts w:ascii="Times New Roman" w:hAnsi="Times New Roman" w:cs="Times New Roman"/>
          <w:sz w:val="24"/>
          <w:szCs w:val="24"/>
        </w:rPr>
        <w:t>at the local level</w:t>
      </w:r>
      <w:r w:rsidR="00750158">
        <w:rPr>
          <w:rFonts w:ascii="Times New Roman" w:hAnsi="Times New Roman" w:cs="Times New Roman"/>
          <w:sz w:val="24"/>
          <w:szCs w:val="24"/>
        </w:rPr>
        <w:t xml:space="preserve">. </w:t>
      </w:r>
      <w:r w:rsidR="00544109" w:rsidRPr="00E414BD">
        <w:rPr>
          <w:rFonts w:ascii="Times New Roman" w:hAnsi="Times New Roman" w:cs="Times New Roman"/>
          <w:sz w:val="24"/>
          <w:szCs w:val="24"/>
        </w:rPr>
        <w:t xml:space="preserve">All of the reviewed instruments are different, </w:t>
      </w:r>
      <w:r w:rsidR="00385283" w:rsidRPr="00E414BD">
        <w:rPr>
          <w:rFonts w:ascii="Times New Roman" w:hAnsi="Times New Roman" w:cs="Times New Roman"/>
          <w:sz w:val="24"/>
          <w:szCs w:val="24"/>
        </w:rPr>
        <w:t>the</w:t>
      </w:r>
      <w:r w:rsidR="003A2C32" w:rsidRPr="00E414BD">
        <w:rPr>
          <w:rFonts w:ascii="Times New Roman" w:hAnsi="Times New Roman" w:cs="Times New Roman"/>
          <w:sz w:val="24"/>
          <w:szCs w:val="24"/>
        </w:rPr>
        <w:t>ir</w:t>
      </w:r>
      <w:r w:rsidR="00385283" w:rsidRPr="00E414BD">
        <w:rPr>
          <w:rFonts w:ascii="Times New Roman" w:hAnsi="Times New Roman" w:cs="Times New Roman"/>
          <w:sz w:val="24"/>
          <w:szCs w:val="24"/>
        </w:rPr>
        <w:t xml:space="preserve"> data collection methods vary, </w:t>
      </w:r>
      <w:r w:rsidRPr="00E414BD">
        <w:rPr>
          <w:rFonts w:ascii="Times New Roman" w:hAnsi="Times New Roman" w:cs="Times New Roman"/>
          <w:sz w:val="24"/>
          <w:szCs w:val="24"/>
        </w:rPr>
        <w:t>and it is unclear what testing was completed in order to develop the instruments</w:t>
      </w:r>
      <w:r w:rsidR="00385283" w:rsidRPr="00E414BD">
        <w:rPr>
          <w:rFonts w:ascii="Times New Roman" w:hAnsi="Times New Roman" w:cs="Times New Roman"/>
          <w:sz w:val="24"/>
          <w:szCs w:val="24"/>
        </w:rPr>
        <w:t xml:space="preserve"> and methodologies</w:t>
      </w:r>
      <w:r w:rsidR="00750158">
        <w:rPr>
          <w:rFonts w:ascii="Times New Roman" w:hAnsi="Times New Roman" w:cs="Times New Roman"/>
          <w:sz w:val="24"/>
          <w:szCs w:val="24"/>
        </w:rPr>
        <w:t xml:space="preserve">. </w:t>
      </w:r>
      <w:r w:rsidR="00385283" w:rsidRPr="00E414BD">
        <w:rPr>
          <w:rFonts w:ascii="Times New Roman" w:hAnsi="Times New Roman" w:cs="Times New Roman"/>
          <w:sz w:val="24"/>
          <w:szCs w:val="24"/>
        </w:rPr>
        <w:t xml:space="preserve">The goal of the NCVS Companion Survey is to provide a standard data collection strategy and instrumentation that would include </w:t>
      </w:r>
      <w:r w:rsidR="003A2C32" w:rsidRPr="00E414BD">
        <w:rPr>
          <w:rFonts w:ascii="Times New Roman" w:hAnsi="Times New Roman" w:cs="Times New Roman"/>
          <w:sz w:val="24"/>
          <w:szCs w:val="24"/>
        </w:rPr>
        <w:t>space for questions tailored to the locality</w:t>
      </w:r>
      <w:r w:rsidR="00750158">
        <w:rPr>
          <w:rFonts w:ascii="Times New Roman" w:hAnsi="Times New Roman" w:cs="Times New Roman"/>
          <w:sz w:val="24"/>
          <w:szCs w:val="24"/>
        </w:rPr>
        <w:t xml:space="preserve">. </w:t>
      </w:r>
      <w:r w:rsidR="003A2C32" w:rsidRPr="00E414BD">
        <w:rPr>
          <w:rFonts w:ascii="Times New Roman" w:hAnsi="Times New Roman" w:cs="Times New Roman"/>
          <w:sz w:val="24"/>
          <w:szCs w:val="24"/>
        </w:rPr>
        <w:t>Currently there are no such instruments available.</w:t>
      </w:r>
    </w:p>
    <w:p w:rsidR="00623008" w:rsidRPr="00E414BD" w:rsidRDefault="00623008" w:rsidP="00F313E7">
      <w:pPr>
        <w:rPr>
          <w:rFonts w:ascii="Times New Roman" w:hAnsi="Times New Roman" w:cs="Times New Roman"/>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A5. Efforts to Minimize Burden </w:t>
      </w:r>
    </w:p>
    <w:p w:rsidR="00FE78BF" w:rsidRPr="00E414BD" w:rsidRDefault="00FE78BF" w:rsidP="00F313E7">
      <w:pPr>
        <w:rPr>
          <w:rFonts w:ascii="Times New Roman" w:hAnsi="Times New Roman" w:cs="Times New Roman"/>
          <w:sz w:val="24"/>
          <w:szCs w:val="24"/>
        </w:rPr>
      </w:pPr>
    </w:p>
    <w:p w:rsidR="00FA36CD" w:rsidRPr="00E414BD" w:rsidRDefault="00FA36CD" w:rsidP="00FA36CD">
      <w:pPr>
        <w:rPr>
          <w:rFonts w:ascii="Times New Roman" w:hAnsi="Times New Roman" w:cs="Times New Roman"/>
          <w:sz w:val="24"/>
          <w:szCs w:val="24"/>
        </w:rPr>
      </w:pPr>
      <w:r w:rsidRPr="00E414BD">
        <w:rPr>
          <w:rFonts w:ascii="Times New Roman" w:hAnsi="Times New Roman" w:cs="Times New Roman"/>
          <w:sz w:val="24"/>
          <w:szCs w:val="24"/>
        </w:rPr>
        <w:t>All materials that are provided to the respondent have been designed to be easy to use and to read. The written materials (e.g., advance letters) have been written to be as short and direct as possible. Cognitive interviews and pretest debriefing interviews have been completed to ensure questions are easily understood by respondents and can be answered with a minimal amount of effort. In addition, the instruments include skip patterns so that respondents only provide detailed information if a victimization has occurred</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 xml:space="preserve"> </w:t>
      </w:r>
    </w:p>
    <w:p w:rsidR="00FA36CD" w:rsidRPr="00E414BD" w:rsidRDefault="00FA36CD" w:rsidP="00FA36CD">
      <w:pPr>
        <w:rPr>
          <w:rFonts w:ascii="Times New Roman" w:hAnsi="Times New Roman" w:cs="Times New Roman"/>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A6. Consequences of Less Frequent Collection </w:t>
      </w:r>
    </w:p>
    <w:p w:rsidR="00FE78BF" w:rsidRPr="00E414BD" w:rsidRDefault="00FE78BF" w:rsidP="00F313E7">
      <w:pPr>
        <w:rPr>
          <w:rFonts w:ascii="Times New Roman" w:hAnsi="Times New Roman" w:cs="Times New Roman"/>
          <w:sz w:val="24"/>
          <w:szCs w:val="24"/>
        </w:rPr>
      </w:pPr>
    </w:p>
    <w:p w:rsidR="00B44541" w:rsidRPr="00E414BD" w:rsidRDefault="00B44541" w:rsidP="00F313E7">
      <w:pPr>
        <w:rPr>
          <w:rFonts w:ascii="Times New Roman" w:hAnsi="Times New Roman" w:cs="Times New Roman"/>
          <w:sz w:val="24"/>
          <w:szCs w:val="24"/>
        </w:rPr>
      </w:pPr>
      <w:r w:rsidRPr="00E414BD">
        <w:rPr>
          <w:rFonts w:ascii="Times New Roman" w:hAnsi="Times New Roman" w:cs="Times New Roman"/>
          <w:sz w:val="24"/>
          <w:szCs w:val="24"/>
        </w:rPr>
        <w:t xml:space="preserve">The Companion Survey Field Test is planned as a </w:t>
      </w:r>
      <w:r w:rsidR="00785E5F" w:rsidRPr="00E414BD">
        <w:rPr>
          <w:rFonts w:ascii="Times New Roman" w:hAnsi="Times New Roman" w:cs="Times New Roman"/>
          <w:sz w:val="24"/>
          <w:szCs w:val="24"/>
        </w:rPr>
        <w:t>two</w:t>
      </w:r>
      <w:r w:rsidRPr="00E414BD">
        <w:rPr>
          <w:rFonts w:ascii="Times New Roman" w:hAnsi="Times New Roman" w:cs="Times New Roman"/>
          <w:sz w:val="24"/>
          <w:szCs w:val="24"/>
        </w:rPr>
        <w:t>-time collection</w:t>
      </w:r>
      <w:r w:rsidR="00BD3328" w:rsidRPr="00E414BD">
        <w:rPr>
          <w:rFonts w:ascii="Times New Roman" w:hAnsi="Times New Roman" w:cs="Times New Roman"/>
          <w:sz w:val="24"/>
          <w:szCs w:val="24"/>
        </w:rPr>
        <w:t xml:space="preserve"> in 2015 and </w:t>
      </w:r>
      <w:r w:rsidR="00785E5F" w:rsidRPr="00E414BD">
        <w:rPr>
          <w:rFonts w:ascii="Times New Roman" w:hAnsi="Times New Roman" w:cs="Times New Roman"/>
          <w:sz w:val="24"/>
          <w:szCs w:val="24"/>
        </w:rPr>
        <w:t xml:space="preserve">again in </w:t>
      </w:r>
      <w:r w:rsidR="00BD3328" w:rsidRPr="00E414BD">
        <w:rPr>
          <w:rFonts w:ascii="Times New Roman" w:hAnsi="Times New Roman" w:cs="Times New Roman"/>
          <w:sz w:val="24"/>
          <w:szCs w:val="24"/>
        </w:rPr>
        <w:t>2016</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 xml:space="preserve">The results will be used to make recommendations for whether the proposed methodology </w:t>
      </w:r>
      <w:r w:rsidR="000B5082" w:rsidRPr="00E414BD">
        <w:rPr>
          <w:rFonts w:ascii="Times New Roman" w:hAnsi="Times New Roman" w:cs="Times New Roman"/>
          <w:sz w:val="24"/>
          <w:szCs w:val="24"/>
        </w:rPr>
        <w:t>might</w:t>
      </w:r>
      <w:r w:rsidRPr="00E414BD">
        <w:rPr>
          <w:rFonts w:ascii="Times New Roman" w:hAnsi="Times New Roman" w:cs="Times New Roman"/>
          <w:sz w:val="24"/>
          <w:szCs w:val="24"/>
        </w:rPr>
        <w:t xml:space="preserve"> be used by BJS and local jurisdictions for supporting local area estimates.</w:t>
      </w:r>
    </w:p>
    <w:p w:rsidR="00B44541" w:rsidRPr="00E414BD" w:rsidRDefault="00B44541" w:rsidP="00F313E7">
      <w:pPr>
        <w:rPr>
          <w:rFonts w:ascii="Times New Roman" w:hAnsi="Times New Roman" w:cs="Times New Roman"/>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A7. Special Circumstances Influencing Collection </w:t>
      </w:r>
    </w:p>
    <w:p w:rsidR="00FE78BF" w:rsidRPr="00E414BD" w:rsidRDefault="00FE78BF" w:rsidP="00F313E7">
      <w:pPr>
        <w:rPr>
          <w:rFonts w:ascii="Times New Roman" w:hAnsi="Times New Roman" w:cs="Times New Roman"/>
          <w:sz w:val="24"/>
          <w:szCs w:val="24"/>
        </w:rPr>
      </w:pPr>
    </w:p>
    <w:p w:rsidR="000B5082" w:rsidRPr="00E414BD" w:rsidRDefault="000B5082" w:rsidP="00F313E7">
      <w:pPr>
        <w:rPr>
          <w:rFonts w:ascii="Times New Roman" w:hAnsi="Times New Roman" w:cs="Times New Roman"/>
          <w:sz w:val="24"/>
          <w:szCs w:val="24"/>
        </w:rPr>
      </w:pPr>
      <w:r w:rsidRPr="00E414BD">
        <w:rPr>
          <w:rFonts w:ascii="Times New Roman" w:hAnsi="Times New Roman" w:cs="Times New Roman"/>
          <w:sz w:val="24"/>
          <w:szCs w:val="24"/>
        </w:rPr>
        <w:t>These data will be collected in a manner consistent with the guidelines in 5 CFR 1320.6.</w:t>
      </w:r>
    </w:p>
    <w:p w:rsidR="00B44541" w:rsidRPr="00E414BD" w:rsidRDefault="00B44541" w:rsidP="00F313E7">
      <w:pPr>
        <w:rPr>
          <w:rFonts w:ascii="Times New Roman" w:hAnsi="Times New Roman" w:cs="Times New Roman"/>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A8. Federal Register Publication and Outside Consultation </w:t>
      </w:r>
    </w:p>
    <w:p w:rsidR="00FE78BF" w:rsidRPr="00E414BD" w:rsidRDefault="00FE78BF" w:rsidP="00F313E7">
      <w:pPr>
        <w:rPr>
          <w:rFonts w:ascii="Times New Roman" w:hAnsi="Times New Roman" w:cs="Times New Roman"/>
          <w:sz w:val="24"/>
          <w:szCs w:val="24"/>
        </w:rPr>
      </w:pPr>
    </w:p>
    <w:p w:rsidR="000B5082" w:rsidRPr="00E414BD" w:rsidRDefault="000B5082" w:rsidP="000B5082">
      <w:pPr>
        <w:rPr>
          <w:rFonts w:ascii="Times New Roman" w:hAnsi="Times New Roman" w:cs="Times New Roman"/>
          <w:sz w:val="24"/>
          <w:szCs w:val="24"/>
        </w:rPr>
      </w:pPr>
      <w:r w:rsidRPr="00E414BD">
        <w:rPr>
          <w:rFonts w:ascii="Times New Roman" w:hAnsi="Times New Roman" w:cs="Times New Roman"/>
          <w:sz w:val="24"/>
          <w:szCs w:val="24"/>
        </w:rPr>
        <w:t xml:space="preserve">The research under this clearance is consistent with the guidelines in 5 CFR 1320.6. The 60 and 30-day notices for public commentary </w:t>
      </w:r>
      <w:r w:rsidR="00DE70AF">
        <w:rPr>
          <w:rFonts w:ascii="Times New Roman" w:hAnsi="Times New Roman" w:cs="Times New Roman"/>
          <w:sz w:val="24"/>
          <w:szCs w:val="24"/>
        </w:rPr>
        <w:t>were</w:t>
      </w:r>
      <w:r w:rsidRPr="00E414BD">
        <w:rPr>
          <w:rFonts w:ascii="Times New Roman" w:hAnsi="Times New Roman" w:cs="Times New Roman"/>
          <w:sz w:val="24"/>
          <w:szCs w:val="24"/>
        </w:rPr>
        <w:t xml:space="preserve"> published in the Federal Register</w:t>
      </w:r>
      <w:r w:rsidR="00750158">
        <w:rPr>
          <w:rFonts w:ascii="Times New Roman" w:hAnsi="Times New Roman" w:cs="Times New Roman"/>
          <w:sz w:val="24"/>
          <w:szCs w:val="24"/>
        </w:rPr>
        <w:t xml:space="preserve">. </w:t>
      </w:r>
      <w:r w:rsidR="00DE70AF">
        <w:rPr>
          <w:rFonts w:ascii="Times New Roman" w:hAnsi="Times New Roman" w:cs="Times New Roman"/>
          <w:sz w:val="24"/>
          <w:szCs w:val="24"/>
        </w:rPr>
        <w:t xml:space="preserve">No comments were received. </w:t>
      </w:r>
      <w:bookmarkStart w:id="0" w:name="_GoBack"/>
      <w:bookmarkEnd w:id="0"/>
      <w:r w:rsidR="00343D1B" w:rsidRPr="00E414BD">
        <w:rPr>
          <w:rFonts w:ascii="Times New Roman" w:hAnsi="Times New Roman" w:cs="Times New Roman"/>
          <w:sz w:val="24"/>
          <w:szCs w:val="24"/>
        </w:rPr>
        <w:t>Various methods and content experts have been consulted, including</w:t>
      </w:r>
      <w:r w:rsidRPr="00E414BD">
        <w:rPr>
          <w:rFonts w:ascii="Times New Roman" w:hAnsi="Times New Roman" w:cs="Times New Roman"/>
          <w:sz w:val="24"/>
          <w:szCs w:val="24"/>
        </w:rPr>
        <w:t>:</w:t>
      </w:r>
    </w:p>
    <w:p w:rsidR="000B5082" w:rsidRPr="00E414BD" w:rsidRDefault="000B5082" w:rsidP="000B5082">
      <w:pPr>
        <w:rPr>
          <w:rFonts w:ascii="Times New Roman" w:hAnsi="Times New Roman" w:cs="Times New Roman"/>
          <w:sz w:val="24"/>
          <w:szCs w:val="24"/>
        </w:rPr>
      </w:pPr>
    </w:p>
    <w:p w:rsidR="00343D1B" w:rsidRPr="00E414BD" w:rsidRDefault="000B5082" w:rsidP="00992504">
      <w:pPr>
        <w:ind w:left="720"/>
        <w:rPr>
          <w:rFonts w:ascii="Times New Roman" w:hAnsi="Times New Roman" w:cs="Times New Roman"/>
          <w:sz w:val="24"/>
          <w:szCs w:val="24"/>
        </w:rPr>
      </w:pPr>
      <w:r w:rsidRPr="00E414BD">
        <w:rPr>
          <w:rFonts w:ascii="Times New Roman" w:hAnsi="Times New Roman" w:cs="Times New Roman"/>
          <w:sz w:val="24"/>
          <w:szCs w:val="24"/>
        </w:rPr>
        <w:t>Dr. Mike Brick –</w:t>
      </w:r>
      <w:r w:rsidR="00343D1B" w:rsidRPr="00E414BD">
        <w:rPr>
          <w:rFonts w:ascii="Times New Roman" w:hAnsi="Times New Roman" w:cs="Times New Roman"/>
          <w:sz w:val="24"/>
          <w:szCs w:val="24"/>
        </w:rPr>
        <w:t xml:space="preserve"> Director Westat Survey Methods Unit</w:t>
      </w:r>
    </w:p>
    <w:p w:rsidR="000B5082" w:rsidRPr="00E414BD" w:rsidRDefault="00343D1B" w:rsidP="00992504">
      <w:pPr>
        <w:ind w:left="720"/>
        <w:rPr>
          <w:rFonts w:ascii="Times New Roman" w:hAnsi="Times New Roman" w:cs="Times New Roman"/>
          <w:sz w:val="24"/>
          <w:szCs w:val="24"/>
        </w:rPr>
      </w:pPr>
      <w:r w:rsidRPr="00E414BD">
        <w:rPr>
          <w:rFonts w:ascii="Times New Roman" w:hAnsi="Times New Roman" w:cs="Times New Roman"/>
          <w:sz w:val="24"/>
          <w:szCs w:val="24"/>
        </w:rPr>
        <w:t>MikeBrick@westat.com</w:t>
      </w:r>
    </w:p>
    <w:p w:rsidR="00343D1B" w:rsidRPr="00E414BD" w:rsidRDefault="00343D1B" w:rsidP="00992504">
      <w:pPr>
        <w:ind w:left="720"/>
        <w:rPr>
          <w:rFonts w:ascii="Times New Roman" w:hAnsi="Times New Roman" w:cs="Times New Roman"/>
          <w:sz w:val="24"/>
          <w:szCs w:val="24"/>
        </w:rPr>
      </w:pPr>
      <w:r w:rsidRPr="00E414BD">
        <w:rPr>
          <w:rFonts w:ascii="Times New Roman" w:hAnsi="Times New Roman" w:cs="Times New Roman"/>
          <w:sz w:val="24"/>
          <w:szCs w:val="24"/>
        </w:rPr>
        <w:t>301-294-2004</w:t>
      </w:r>
    </w:p>
    <w:p w:rsidR="00343D1B" w:rsidRPr="00E414BD" w:rsidRDefault="00343D1B" w:rsidP="00992504">
      <w:pPr>
        <w:ind w:left="720"/>
        <w:rPr>
          <w:rFonts w:ascii="Times New Roman" w:hAnsi="Times New Roman" w:cs="Times New Roman"/>
          <w:sz w:val="24"/>
          <w:szCs w:val="24"/>
        </w:rPr>
      </w:pPr>
    </w:p>
    <w:p w:rsidR="00343D1B" w:rsidRPr="00E414BD" w:rsidRDefault="00343D1B" w:rsidP="00992504">
      <w:pPr>
        <w:ind w:left="720"/>
        <w:rPr>
          <w:rFonts w:ascii="Times New Roman" w:hAnsi="Times New Roman" w:cs="Times New Roman"/>
          <w:sz w:val="24"/>
          <w:szCs w:val="24"/>
        </w:rPr>
      </w:pPr>
      <w:r w:rsidRPr="00E414BD">
        <w:rPr>
          <w:rFonts w:ascii="Times New Roman" w:hAnsi="Times New Roman" w:cs="Times New Roman"/>
          <w:sz w:val="24"/>
          <w:szCs w:val="24"/>
        </w:rPr>
        <w:lastRenderedPageBreak/>
        <w:t xml:space="preserve">Dr. Sharon </w:t>
      </w:r>
      <w:proofErr w:type="spellStart"/>
      <w:r w:rsidRPr="00E414BD">
        <w:rPr>
          <w:rFonts w:ascii="Times New Roman" w:hAnsi="Times New Roman" w:cs="Times New Roman"/>
          <w:sz w:val="24"/>
          <w:szCs w:val="24"/>
        </w:rPr>
        <w:t>Lohr</w:t>
      </w:r>
      <w:proofErr w:type="spellEnd"/>
      <w:r w:rsidRPr="00E414BD">
        <w:rPr>
          <w:rFonts w:ascii="Times New Roman" w:hAnsi="Times New Roman" w:cs="Times New Roman"/>
          <w:sz w:val="24"/>
          <w:szCs w:val="24"/>
        </w:rPr>
        <w:t xml:space="preserve"> </w:t>
      </w:r>
      <w:r w:rsidR="00E72AEB" w:rsidRPr="00E414BD">
        <w:rPr>
          <w:rFonts w:ascii="Times New Roman" w:hAnsi="Times New Roman" w:cs="Times New Roman"/>
          <w:sz w:val="24"/>
          <w:szCs w:val="24"/>
        </w:rPr>
        <w:t>–</w:t>
      </w:r>
      <w:r w:rsidRPr="00E414BD">
        <w:rPr>
          <w:rFonts w:ascii="Times New Roman" w:hAnsi="Times New Roman" w:cs="Times New Roman"/>
          <w:sz w:val="24"/>
          <w:szCs w:val="24"/>
        </w:rPr>
        <w:t xml:space="preserve"> </w:t>
      </w:r>
      <w:r w:rsidR="00E72AEB" w:rsidRPr="00E414BD">
        <w:rPr>
          <w:rFonts w:ascii="Times New Roman" w:hAnsi="Times New Roman" w:cs="Times New Roman"/>
          <w:sz w:val="24"/>
          <w:szCs w:val="24"/>
        </w:rPr>
        <w:t>Senior Statistician</w:t>
      </w:r>
    </w:p>
    <w:p w:rsidR="00E72AEB" w:rsidRPr="00E414BD" w:rsidRDefault="00E72AEB" w:rsidP="00992504">
      <w:pPr>
        <w:ind w:left="720"/>
        <w:rPr>
          <w:rFonts w:ascii="Times New Roman" w:hAnsi="Times New Roman" w:cs="Times New Roman"/>
          <w:sz w:val="24"/>
          <w:szCs w:val="24"/>
        </w:rPr>
      </w:pPr>
      <w:r w:rsidRPr="00E414BD">
        <w:rPr>
          <w:rFonts w:ascii="Times New Roman" w:hAnsi="Times New Roman" w:cs="Times New Roman"/>
          <w:sz w:val="24"/>
          <w:szCs w:val="24"/>
        </w:rPr>
        <w:t>SharonLohr@westat.com</w:t>
      </w:r>
    </w:p>
    <w:p w:rsidR="00343D1B" w:rsidRPr="00E414BD" w:rsidRDefault="00E72AEB" w:rsidP="00992504">
      <w:pPr>
        <w:ind w:left="720"/>
        <w:rPr>
          <w:rFonts w:ascii="Times New Roman" w:hAnsi="Times New Roman" w:cs="Times New Roman"/>
          <w:sz w:val="24"/>
          <w:szCs w:val="24"/>
        </w:rPr>
      </w:pPr>
      <w:r w:rsidRPr="00E414BD">
        <w:rPr>
          <w:rFonts w:ascii="Times New Roman" w:hAnsi="Times New Roman" w:cs="Times New Roman"/>
          <w:sz w:val="24"/>
          <w:szCs w:val="24"/>
        </w:rPr>
        <w:t>301-738-3512</w:t>
      </w:r>
    </w:p>
    <w:p w:rsidR="00E72AEB" w:rsidRPr="00E414BD" w:rsidRDefault="00E72AEB" w:rsidP="00992504">
      <w:pPr>
        <w:ind w:left="720"/>
        <w:rPr>
          <w:rFonts w:ascii="Times New Roman" w:hAnsi="Times New Roman" w:cs="Times New Roman"/>
          <w:sz w:val="24"/>
          <w:szCs w:val="24"/>
        </w:rPr>
      </w:pPr>
    </w:p>
    <w:p w:rsidR="00E72AEB" w:rsidRPr="00E414BD" w:rsidRDefault="00E72AEB" w:rsidP="00992504">
      <w:pPr>
        <w:ind w:left="720"/>
        <w:rPr>
          <w:rFonts w:ascii="Times New Roman" w:hAnsi="Times New Roman" w:cs="Times New Roman"/>
          <w:sz w:val="24"/>
          <w:szCs w:val="24"/>
        </w:rPr>
      </w:pPr>
      <w:r w:rsidRPr="00E414BD">
        <w:rPr>
          <w:rFonts w:ascii="Times New Roman" w:hAnsi="Times New Roman" w:cs="Times New Roman"/>
          <w:sz w:val="24"/>
          <w:szCs w:val="24"/>
        </w:rPr>
        <w:t>Dr. David Cantor – Senior Methodologist</w:t>
      </w:r>
    </w:p>
    <w:p w:rsidR="00E72AEB" w:rsidRPr="00E414BD" w:rsidRDefault="00E72AEB" w:rsidP="00992504">
      <w:pPr>
        <w:ind w:left="720"/>
        <w:rPr>
          <w:rFonts w:ascii="Times New Roman" w:hAnsi="Times New Roman" w:cs="Times New Roman"/>
          <w:sz w:val="24"/>
          <w:szCs w:val="24"/>
        </w:rPr>
      </w:pPr>
      <w:r w:rsidRPr="00E414BD">
        <w:rPr>
          <w:rFonts w:ascii="Times New Roman" w:hAnsi="Times New Roman" w:cs="Times New Roman"/>
          <w:sz w:val="24"/>
          <w:szCs w:val="24"/>
        </w:rPr>
        <w:t>DavidCantor@westat.com</w:t>
      </w:r>
    </w:p>
    <w:p w:rsidR="00E72AEB" w:rsidRPr="00E414BD" w:rsidRDefault="00E72AEB" w:rsidP="00992504">
      <w:pPr>
        <w:ind w:left="720"/>
        <w:rPr>
          <w:rFonts w:ascii="Times New Roman" w:hAnsi="Times New Roman" w:cs="Times New Roman"/>
          <w:sz w:val="24"/>
          <w:szCs w:val="24"/>
        </w:rPr>
      </w:pPr>
      <w:r w:rsidRPr="00E414BD">
        <w:rPr>
          <w:rFonts w:ascii="Times New Roman" w:hAnsi="Times New Roman" w:cs="Times New Roman"/>
          <w:sz w:val="24"/>
          <w:szCs w:val="24"/>
        </w:rPr>
        <w:t>301-294-2080</w:t>
      </w:r>
    </w:p>
    <w:p w:rsidR="00B44541" w:rsidRPr="00E414BD" w:rsidRDefault="00B44541" w:rsidP="00F313E7">
      <w:pPr>
        <w:rPr>
          <w:rFonts w:ascii="Times New Roman" w:hAnsi="Times New Roman" w:cs="Times New Roman"/>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A9. Payment or Gift to Respondents </w:t>
      </w:r>
    </w:p>
    <w:p w:rsidR="00FE78BF" w:rsidRPr="00E414BD" w:rsidRDefault="00FE78BF" w:rsidP="00F313E7">
      <w:pPr>
        <w:rPr>
          <w:rFonts w:ascii="Times New Roman" w:hAnsi="Times New Roman" w:cs="Times New Roman"/>
          <w:sz w:val="24"/>
          <w:szCs w:val="24"/>
        </w:rPr>
      </w:pPr>
    </w:p>
    <w:p w:rsidR="00D433F8" w:rsidRPr="00E414BD" w:rsidRDefault="00D433F8" w:rsidP="00D433F8">
      <w:pPr>
        <w:rPr>
          <w:rFonts w:ascii="Times New Roman" w:hAnsi="Times New Roman" w:cs="Times New Roman"/>
          <w:sz w:val="24"/>
          <w:szCs w:val="24"/>
        </w:rPr>
      </w:pPr>
      <w:r w:rsidRPr="00E414BD">
        <w:rPr>
          <w:rFonts w:ascii="Times New Roman" w:hAnsi="Times New Roman" w:cs="Times New Roman"/>
          <w:sz w:val="24"/>
          <w:szCs w:val="24"/>
        </w:rPr>
        <w:t xml:space="preserve">As has been documented elsewhere (e.g., Brick and Williams, 2013; Curtin, et al., 2005), it is increasingly difficult to achieve high response rates in surveys. In some instances, incentives have been found to be cost neutral as the price of the incentive is offset by the reduction in field time and contact attempts necessary to garner participation (RTI, 2002; U.S. Department of Health and Human Services, 2010). </w:t>
      </w:r>
    </w:p>
    <w:p w:rsidR="00D433F8" w:rsidRPr="00E414BD" w:rsidRDefault="00D433F8" w:rsidP="00D433F8">
      <w:pPr>
        <w:rPr>
          <w:rFonts w:ascii="Times New Roman" w:hAnsi="Times New Roman" w:cs="Times New Roman"/>
          <w:sz w:val="24"/>
          <w:szCs w:val="24"/>
        </w:rPr>
      </w:pPr>
    </w:p>
    <w:p w:rsidR="00D433F8" w:rsidRPr="00E414BD" w:rsidRDefault="00D433F8" w:rsidP="00D433F8">
      <w:pPr>
        <w:rPr>
          <w:rFonts w:ascii="Times New Roman" w:hAnsi="Times New Roman" w:cs="Times New Roman"/>
          <w:sz w:val="24"/>
          <w:szCs w:val="24"/>
        </w:rPr>
      </w:pPr>
      <w:r w:rsidRPr="00E414BD">
        <w:rPr>
          <w:rFonts w:ascii="Times New Roman" w:hAnsi="Times New Roman" w:cs="Times New Roman"/>
          <w:sz w:val="24"/>
          <w:szCs w:val="24"/>
        </w:rPr>
        <w:t>Maximizing statistical power and coverage will be critical for the project since less than 4 percent of the respondents are expected to report a violent crime in the past 12 months. Young people and minorities, who consistently exhibit high nonresponse rates in household surveys, are at higher risk of being a victim, which makes the risk of nonresponse bias relatively high for the critical estimates of this research. Several studies have found that incentives are particularly effective for minority and low income groups (Singer, 2002). These groups are also subject to higher risk of violent crime.</w:t>
      </w:r>
    </w:p>
    <w:p w:rsidR="00D433F8" w:rsidRPr="00E414BD" w:rsidRDefault="00D433F8" w:rsidP="00D433F8">
      <w:pPr>
        <w:rPr>
          <w:rFonts w:ascii="Times New Roman" w:hAnsi="Times New Roman" w:cs="Times New Roman"/>
          <w:sz w:val="24"/>
          <w:szCs w:val="24"/>
        </w:rPr>
      </w:pPr>
    </w:p>
    <w:p w:rsidR="00D433F8" w:rsidRPr="00E414BD" w:rsidRDefault="00D433F8" w:rsidP="00D433F8">
      <w:pPr>
        <w:rPr>
          <w:rFonts w:ascii="Times New Roman" w:hAnsi="Times New Roman" w:cs="Times New Roman"/>
          <w:sz w:val="24"/>
          <w:szCs w:val="24"/>
        </w:rPr>
      </w:pPr>
      <w:r w:rsidRPr="00E414BD">
        <w:rPr>
          <w:rFonts w:ascii="Times New Roman" w:hAnsi="Times New Roman" w:cs="Times New Roman"/>
          <w:sz w:val="24"/>
          <w:szCs w:val="24"/>
        </w:rPr>
        <w:t>An important goal of the Field Test is to inform design decisions for the final Companion Survey design. Maximizing response rates will be necessary for comparing the results of the CS to the current NCVS, which has response rates in the high 80s. Maximizing response rates for the proposed study will reduce the extent that observed differences with the NCVS are due to nonresponse bias.</w:t>
      </w:r>
    </w:p>
    <w:p w:rsidR="00D433F8" w:rsidRPr="00E414BD" w:rsidRDefault="00D433F8" w:rsidP="00D433F8">
      <w:pPr>
        <w:rPr>
          <w:rFonts w:ascii="Times New Roman" w:hAnsi="Times New Roman" w:cs="Times New Roman"/>
          <w:sz w:val="24"/>
          <w:szCs w:val="24"/>
        </w:rPr>
      </w:pPr>
    </w:p>
    <w:p w:rsidR="008F69FF" w:rsidRPr="00E414BD" w:rsidRDefault="00D433F8" w:rsidP="008F69FF">
      <w:pPr>
        <w:rPr>
          <w:rFonts w:ascii="Times New Roman" w:hAnsi="Times New Roman" w:cs="Times New Roman"/>
          <w:sz w:val="24"/>
          <w:szCs w:val="24"/>
        </w:rPr>
      </w:pPr>
      <w:r w:rsidRPr="00E414BD">
        <w:rPr>
          <w:rFonts w:ascii="Times New Roman" w:hAnsi="Times New Roman" w:cs="Times New Roman"/>
          <w:sz w:val="24"/>
          <w:szCs w:val="24"/>
        </w:rPr>
        <w:t>We propose providing a pre-paid $2 incentive in the initial mailing to all sampled addresses</w:t>
      </w:r>
      <w:r w:rsidR="00750158">
        <w:rPr>
          <w:rFonts w:ascii="Times New Roman" w:hAnsi="Times New Roman" w:cs="Times New Roman"/>
          <w:sz w:val="24"/>
          <w:szCs w:val="24"/>
        </w:rPr>
        <w:t xml:space="preserve">. </w:t>
      </w:r>
      <w:r w:rsidR="00623008" w:rsidRPr="00E414BD">
        <w:rPr>
          <w:rFonts w:ascii="Times New Roman" w:hAnsi="Times New Roman" w:cs="Times New Roman"/>
          <w:sz w:val="24"/>
          <w:szCs w:val="24"/>
        </w:rPr>
        <w:t>In a meta-analysis of recent studies, Mercer et al. (2014) found that a $2 prepaid incentive can increase mail survey response rates by approximately 10 percentage points</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 xml:space="preserve"> </w:t>
      </w:r>
    </w:p>
    <w:p w:rsidR="00D433F8" w:rsidRPr="00E414BD" w:rsidRDefault="00D433F8" w:rsidP="00F313E7">
      <w:pPr>
        <w:rPr>
          <w:rFonts w:ascii="Times New Roman" w:hAnsi="Times New Roman" w:cs="Times New Roman"/>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A10. Assurance of Confidentiality </w:t>
      </w:r>
    </w:p>
    <w:p w:rsidR="00FE78BF" w:rsidRPr="00E414BD" w:rsidRDefault="00FE78BF" w:rsidP="00F313E7">
      <w:pPr>
        <w:rPr>
          <w:rFonts w:ascii="Times New Roman" w:hAnsi="Times New Roman" w:cs="Times New Roman"/>
          <w:sz w:val="24"/>
          <w:szCs w:val="24"/>
        </w:rPr>
      </w:pPr>
    </w:p>
    <w:p w:rsidR="008F69FF" w:rsidRPr="00E414BD" w:rsidRDefault="008F69FF" w:rsidP="008F69FF">
      <w:pPr>
        <w:rPr>
          <w:rFonts w:ascii="Times New Roman" w:hAnsi="Times New Roman" w:cs="Times New Roman"/>
          <w:sz w:val="24"/>
          <w:szCs w:val="24"/>
        </w:rPr>
      </w:pPr>
      <w:r w:rsidRPr="00E414BD">
        <w:rPr>
          <w:rFonts w:ascii="Times New Roman" w:hAnsi="Times New Roman" w:cs="Times New Roman"/>
          <w:sz w:val="24"/>
          <w:szCs w:val="24"/>
        </w:rPr>
        <w:t>All respondents will be given assurance that all responses will be protected as required under Title 42, United States Code, Section 3732. All respondents who participate in the survey will be presented with this information in the cover letter accompanying the questionnaire</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BJS and Westat hold in confidence any information that could identify an individual according to Title 42, United States Code, Sections 3735 and 3789g</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 xml:space="preserve">Victimization rates will be published in aggregate form. </w:t>
      </w:r>
    </w:p>
    <w:p w:rsidR="008F69FF" w:rsidRPr="00E414BD" w:rsidRDefault="008F69FF" w:rsidP="008F69FF">
      <w:pPr>
        <w:rPr>
          <w:rFonts w:ascii="Times New Roman" w:hAnsi="Times New Roman" w:cs="Times New Roman"/>
          <w:sz w:val="24"/>
          <w:szCs w:val="24"/>
        </w:rPr>
      </w:pPr>
    </w:p>
    <w:p w:rsidR="008F69FF" w:rsidRPr="00E414BD" w:rsidRDefault="008F69FF" w:rsidP="008F69FF">
      <w:pPr>
        <w:rPr>
          <w:rFonts w:ascii="Times New Roman" w:hAnsi="Times New Roman" w:cs="Times New Roman"/>
          <w:sz w:val="24"/>
          <w:szCs w:val="24"/>
        </w:rPr>
      </w:pPr>
      <w:r w:rsidRPr="00E414BD">
        <w:rPr>
          <w:rFonts w:ascii="Times New Roman" w:hAnsi="Times New Roman" w:cs="Times New Roman"/>
          <w:sz w:val="24"/>
          <w:szCs w:val="24"/>
        </w:rPr>
        <w:t xml:space="preserve">As required under Title 42 USC, section 3879g, BJS and its data collection agents will take all necessary steps to mask the identity of survey respondents, including suppression of </w:t>
      </w:r>
      <w:r w:rsidRPr="00E414BD">
        <w:rPr>
          <w:rFonts w:ascii="Times New Roman" w:hAnsi="Times New Roman" w:cs="Times New Roman"/>
          <w:sz w:val="24"/>
          <w:szCs w:val="24"/>
        </w:rPr>
        <w:lastRenderedPageBreak/>
        <w:t xml:space="preserve">demographic characteristics and other potentially identifying information, especially in situations in which cell sizes are small. </w:t>
      </w:r>
    </w:p>
    <w:p w:rsidR="00B44541" w:rsidRPr="00E414BD" w:rsidRDefault="00B44541" w:rsidP="00F313E7">
      <w:pPr>
        <w:rPr>
          <w:rFonts w:ascii="Times New Roman" w:hAnsi="Times New Roman" w:cs="Times New Roman"/>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A11. Justification for Sensitive Questions </w:t>
      </w:r>
    </w:p>
    <w:p w:rsidR="00FE78BF" w:rsidRPr="00E414BD" w:rsidRDefault="00FE78BF" w:rsidP="00F313E7">
      <w:pPr>
        <w:rPr>
          <w:rFonts w:ascii="Times New Roman" w:hAnsi="Times New Roman" w:cs="Times New Roman"/>
          <w:sz w:val="24"/>
          <w:szCs w:val="24"/>
        </w:rPr>
      </w:pPr>
    </w:p>
    <w:p w:rsidR="002009EF" w:rsidRPr="00E414BD" w:rsidRDefault="002009EF" w:rsidP="002009EF">
      <w:pPr>
        <w:rPr>
          <w:rFonts w:ascii="Times New Roman" w:hAnsi="Times New Roman" w:cs="Times New Roman"/>
          <w:sz w:val="24"/>
          <w:szCs w:val="24"/>
        </w:rPr>
      </w:pPr>
      <w:r w:rsidRPr="00E414BD">
        <w:rPr>
          <w:rFonts w:ascii="Times New Roman" w:hAnsi="Times New Roman" w:cs="Times New Roman"/>
          <w:sz w:val="24"/>
          <w:szCs w:val="24"/>
        </w:rPr>
        <w:t>The Companion Survey asks about experiences that may be sensitive for some respondents (e.g. rape and sexual assault)</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Given the objective of the CS — to estimate the amount of victimization in the nation — this is inevitable</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All respondents have the option of refusing to answer the survey, and are able to skip any question they are uncomfortable with.</w:t>
      </w:r>
    </w:p>
    <w:p w:rsidR="00D64F08" w:rsidRPr="00E414BD" w:rsidRDefault="00D64F08" w:rsidP="00F313E7">
      <w:pPr>
        <w:rPr>
          <w:rFonts w:ascii="Times New Roman" w:hAnsi="Times New Roman" w:cs="Times New Roman"/>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A12. Estimate of Hour Burden </w:t>
      </w:r>
    </w:p>
    <w:p w:rsidR="00FE78BF" w:rsidRPr="00E414BD" w:rsidRDefault="00FE78BF" w:rsidP="00F313E7">
      <w:pPr>
        <w:rPr>
          <w:rFonts w:ascii="Times New Roman" w:hAnsi="Times New Roman" w:cs="Times New Roman"/>
          <w:sz w:val="24"/>
          <w:szCs w:val="24"/>
        </w:rPr>
      </w:pPr>
    </w:p>
    <w:p w:rsidR="00E113CA" w:rsidRPr="00E414BD" w:rsidRDefault="00E113CA" w:rsidP="00E113CA">
      <w:pPr>
        <w:rPr>
          <w:rFonts w:ascii="Times New Roman" w:hAnsi="Times New Roman" w:cs="Times New Roman"/>
          <w:sz w:val="24"/>
          <w:szCs w:val="24"/>
        </w:rPr>
      </w:pPr>
      <w:r w:rsidRPr="00E414BD">
        <w:rPr>
          <w:rFonts w:ascii="Times New Roman" w:hAnsi="Times New Roman" w:cs="Times New Roman"/>
          <w:sz w:val="24"/>
          <w:szCs w:val="24"/>
        </w:rPr>
        <w:t xml:space="preserve">The total estimated burden is </w:t>
      </w:r>
      <w:r w:rsidR="00F25A9B" w:rsidRPr="00E414BD">
        <w:rPr>
          <w:rFonts w:ascii="Times New Roman" w:hAnsi="Times New Roman" w:cs="Times New Roman"/>
          <w:sz w:val="24"/>
          <w:szCs w:val="24"/>
        </w:rPr>
        <w:t>37,575</w:t>
      </w:r>
      <w:r w:rsidRPr="00E414BD">
        <w:rPr>
          <w:rFonts w:ascii="Times New Roman" w:hAnsi="Times New Roman" w:cs="Times New Roman"/>
          <w:sz w:val="24"/>
          <w:szCs w:val="24"/>
        </w:rPr>
        <w:t xml:space="preserve"> hours. </w:t>
      </w:r>
    </w:p>
    <w:p w:rsidR="002009EF" w:rsidRPr="00E414BD" w:rsidRDefault="002009EF" w:rsidP="00F313E7">
      <w:pPr>
        <w:rPr>
          <w:rFonts w:ascii="Times New Roman" w:hAnsi="Times New Roman" w:cs="Times New Roman"/>
          <w:sz w:val="24"/>
          <w:szCs w:val="24"/>
        </w:rPr>
      </w:pPr>
    </w:p>
    <w:p w:rsidR="00E113CA" w:rsidRPr="00E414BD" w:rsidRDefault="00E113CA" w:rsidP="00E113CA">
      <w:pPr>
        <w:rPr>
          <w:rFonts w:ascii="Times New Roman" w:hAnsi="Times New Roman" w:cs="Times New Roman"/>
          <w:sz w:val="24"/>
          <w:szCs w:val="24"/>
        </w:rPr>
      </w:pPr>
      <w:r w:rsidRPr="00E414BD">
        <w:rPr>
          <w:rFonts w:ascii="Times New Roman" w:hAnsi="Times New Roman" w:cs="Times New Roman"/>
          <w:sz w:val="24"/>
          <w:szCs w:val="24"/>
        </w:rPr>
        <w:t xml:space="preserve">Burden hours reflect the relative rarity of crime and the need to screen a large number of people to obtain sufficient numbers of victims in each primary sampling unit (PSU) to enable comparisons across all conditions, across PSUs, and to the NCVS. The calculation of burden hours for the NCVS-CS Field Test is provided in Table 1. </w:t>
      </w:r>
    </w:p>
    <w:p w:rsidR="00DE1C54" w:rsidRPr="00E414BD" w:rsidRDefault="00DE1C54">
      <w:pPr>
        <w:spacing w:after="200" w:line="276" w:lineRule="auto"/>
        <w:rPr>
          <w:rFonts w:ascii="Times New Roman" w:hAnsi="Times New Roman" w:cs="Times New Roman"/>
          <w:sz w:val="24"/>
          <w:szCs w:val="24"/>
        </w:rPr>
      </w:pPr>
    </w:p>
    <w:p w:rsidR="00E113CA" w:rsidRPr="00E414BD" w:rsidRDefault="00E113CA" w:rsidP="00F313E7">
      <w:pPr>
        <w:rPr>
          <w:rFonts w:ascii="Times New Roman" w:hAnsi="Times New Roman" w:cs="Times New Roman"/>
          <w:sz w:val="24"/>
          <w:szCs w:val="24"/>
        </w:rPr>
      </w:pPr>
      <w:r w:rsidRPr="00E414BD">
        <w:rPr>
          <w:rFonts w:ascii="Times New Roman" w:hAnsi="Times New Roman" w:cs="Times New Roman"/>
          <w:sz w:val="24"/>
          <w:szCs w:val="24"/>
        </w:rPr>
        <w:t>Table 1. Burden hour calculations</w:t>
      </w:r>
    </w:p>
    <w:tbl>
      <w:tblPr>
        <w:tblStyle w:val="TableGrid"/>
        <w:tblW w:w="0" w:type="auto"/>
        <w:tblLayout w:type="fixed"/>
        <w:tblLook w:val="04A0" w:firstRow="1" w:lastRow="0" w:firstColumn="1" w:lastColumn="0" w:noHBand="0" w:noVBand="1"/>
      </w:tblPr>
      <w:tblGrid>
        <w:gridCol w:w="1638"/>
        <w:gridCol w:w="1170"/>
        <w:gridCol w:w="1260"/>
        <w:gridCol w:w="1260"/>
        <w:gridCol w:w="1350"/>
        <w:gridCol w:w="1051"/>
        <w:gridCol w:w="954"/>
        <w:gridCol w:w="893"/>
      </w:tblGrid>
      <w:tr w:rsidR="000C2D71" w:rsidRPr="00E414BD" w:rsidTr="001C26B8">
        <w:tc>
          <w:tcPr>
            <w:tcW w:w="1638" w:type="dxa"/>
            <w:vAlign w:val="center"/>
          </w:tcPr>
          <w:p w:rsidR="000C2D71" w:rsidRPr="00E414BD" w:rsidRDefault="000C2D71" w:rsidP="000C2D71">
            <w:pPr>
              <w:jc w:val="center"/>
              <w:rPr>
                <w:rFonts w:ascii="Times New Roman" w:hAnsi="Times New Roman" w:cs="Times New Roman"/>
                <w:sz w:val="24"/>
                <w:szCs w:val="24"/>
              </w:rPr>
            </w:pPr>
            <w:r w:rsidRPr="00E414BD">
              <w:rPr>
                <w:rFonts w:ascii="Times New Roman" w:hAnsi="Times New Roman" w:cs="Times New Roman"/>
                <w:sz w:val="24"/>
                <w:szCs w:val="24"/>
              </w:rPr>
              <w:t>Type of data collection</w:t>
            </w:r>
          </w:p>
        </w:tc>
        <w:tc>
          <w:tcPr>
            <w:tcW w:w="1170" w:type="dxa"/>
            <w:vAlign w:val="center"/>
          </w:tcPr>
          <w:p w:rsidR="000C2D71" w:rsidRPr="00E414BD" w:rsidRDefault="000C2D71" w:rsidP="000C2D71">
            <w:pPr>
              <w:jc w:val="center"/>
              <w:rPr>
                <w:rFonts w:ascii="Times New Roman" w:hAnsi="Times New Roman" w:cs="Times New Roman"/>
                <w:sz w:val="24"/>
                <w:szCs w:val="24"/>
              </w:rPr>
            </w:pPr>
            <w:r w:rsidRPr="00E414BD">
              <w:rPr>
                <w:rFonts w:ascii="Times New Roman" w:hAnsi="Times New Roman" w:cs="Times New Roman"/>
                <w:sz w:val="24"/>
                <w:szCs w:val="24"/>
              </w:rPr>
              <w:t># of total responses per sample address</w:t>
            </w:r>
          </w:p>
        </w:tc>
        <w:tc>
          <w:tcPr>
            <w:tcW w:w="1260" w:type="dxa"/>
            <w:vAlign w:val="center"/>
          </w:tcPr>
          <w:p w:rsidR="000C2D71" w:rsidRPr="00E414BD" w:rsidRDefault="000C2D71" w:rsidP="000C2D71">
            <w:pPr>
              <w:jc w:val="center"/>
              <w:rPr>
                <w:rFonts w:ascii="Times New Roman" w:hAnsi="Times New Roman" w:cs="Times New Roman"/>
                <w:sz w:val="24"/>
                <w:szCs w:val="24"/>
              </w:rPr>
            </w:pPr>
            <w:r w:rsidRPr="00E414BD">
              <w:rPr>
                <w:rFonts w:ascii="Times New Roman" w:hAnsi="Times New Roman" w:cs="Times New Roman"/>
                <w:sz w:val="24"/>
                <w:szCs w:val="24"/>
              </w:rPr>
              <w:t># completed surveys 2015</w:t>
            </w:r>
          </w:p>
        </w:tc>
        <w:tc>
          <w:tcPr>
            <w:tcW w:w="1260" w:type="dxa"/>
            <w:vAlign w:val="center"/>
          </w:tcPr>
          <w:p w:rsidR="000C2D71" w:rsidRPr="00E414BD" w:rsidRDefault="000C2D71" w:rsidP="000C2D71">
            <w:pPr>
              <w:jc w:val="center"/>
              <w:rPr>
                <w:rFonts w:ascii="Times New Roman" w:hAnsi="Times New Roman" w:cs="Times New Roman"/>
                <w:sz w:val="24"/>
                <w:szCs w:val="24"/>
              </w:rPr>
            </w:pPr>
            <w:r w:rsidRPr="00E414BD">
              <w:rPr>
                <w:rFonts w:ascii="Times New Roman" w:hAnsi="Times New Roman" w:cs="Times New Roman"/>
                <w:sz w:val="24"/>
                <w:szCs w:val="24"/>
              </w:rPr>
              <w:t># completed surveys 2016</w:t>
            </w:r>
          </w:p>
        </w:tc>
        <w:tc>
          <w:tcPr>
            <w:tcW w:w="1350" w:type="dxa"/>
            <w:vAlign w:val="center"/>
          </w:tcPr>
          <w:p w:rsidR="000C2D71" w:rsidRPr="00E414BD" w:rsidRDefault="00E414BD" w:rsidP="000C2D71">
            <w:pPr>
              <w:jc w:val="center"/>
              <w:rPr>
                <w:rFonts w:ascii="Times New Roman" w:hAnsi="Times New Roman" w:cs="Times New Roman"/>
                <w:sz w:val="24"/>
                <w:szCs w:val="24"/>
              </w:rPr>
            </w:pPr>
            <w:r>
              <w:rPr>
                <w:rFonts w:ascii="Times New Roman" w:hAnsi="Times New Roman" w:cs="Times New Roman"/>
                <w:sz w:val="24"/>
                <w:szCs w:val="24"/>
              </w:rPr>
              <w:t xml:space="preserve">Avg. </w:t>
            </w:r>
            <w:proofErr w:type="spellStart"/>
            <w:r>
              <w:rPr>
                <w:rFonts w:ascii="Times New Roman" w:hAnsi="Times New Roman" w:cs="Times New Roman"/>
                <w:sz w:val="24"/>
                <w:szCs w:val="24"/>
              </w:rPr>
              <w:t>min</w:t>
            </w:r>
            <w:r w:rsidR="000C2D71" w:rsidRPr="00E414BD">
              <w:rPr>
                <w:rFonts w:ascii="Times New Roman" w:hAnsi="Times New Roman" w:cs="Times New Roman"/>
                <w:sz w:val="24"/>
                <w:szCs w:val="24"/>
              </w:rPr>
              <w:t>s</w:t>
            </w:r>
            <w:proofErr w:type="spellEnd"/>
            <w:r>
              <w:rPr>
                <w:rFonts w:ascii="Times New Roman" w:hAnsi="Times New Roman" w:cs="Times New Roman"/>
                <w:sz w:val="24"/>
                <w:szCs w:val="24"/>
              </w:rPr>
              <w:t>.</w:t>
            </w:r>
            <w:r w:rsidR="000C2D71" w:rsidRPr="00E414BD">
              <w:rPr>
                <w:rFonts w:ascii="Times New Roman" w:hAnsi="Times New Roman" w:cs="Times New Roman"/>
                <w:sz w:val="24"/>
                <w:szCs w:val="24"/>
              </w:rPr>
              <w:t xml:space="preserve"> to complete per response</w:t>
            </w:r>
          </w:p>
        </w:tc>
        <w:tc>
          <w:tcPr>
            <w:tcW w:w="1051" w:type="dxa"/>
            <w:vAlign w:val="center"/>
          </w:tcPr>
          <w:p w:rsidR="000C2D71" w:rsidRPr="00E414BD" w:rsidRDefault="000C2D71" w:rsidP="000C2D71">
            <w:pPr>
              <w:jc w:val="center"/>
              <w:rPr>
                <w:rFonts w:ascii="Times New Roman" w:hAnsi="Times New Roman" w:cs="Times New Roman"/>
                <w:sz w:val="24"/>
                <w:szCs w:val="24"/>
              </w:rPr>
            </w:pPr>
            <w:r w:rsidRPr="00E414BD">
              <w:rPr>
                <w:rFonts w:ascii="Times New Roman" w:hAnsi="Times New Roman" w:cs="Times New Roman"/>
                <w:sz w:val="24"/>
                <w:szCs w:val="24"/>
              </w:rPr>
              <w:t>Year 1 hours</w:t>
            </w:r>
          </w:p>
        </w:tc>
        <w:tc>
          <w:tcPr>
            <w:tcW w:w="954" w:type="dxa"/>
            <w:vAlign w:val="center"/>
          </w:tcPr>
          <w:p w:rsidR="000C2D71" w:rsidRPr="00E414BD" w:rsidRDefault="000C2D71" w:rsidP="000C2D71">
            <w:pPr>
              <w:jc w:val="center"/>
              <w:rPr>
                <w:rFonts w:ascii="Times New Roman" w:hAnsi="Times New Roman" w:cs="Times New Roman"/>
                <w:sz w:val="24"/>
                <w:szCs w:val="24"/>
              </w:rPr>
            </w:pPr>
            <w:r w:rsidRPr="00E414BD">
              <w:rPr>
                <w:rFonts w:ascii="Times New Roman" w:hAnsi="Times New Roman" w:cs="Times New Roman"/>
                <w:sz w:val="24"/>
                <w:szCs w:val="24"/>
              </w:rPr>
              <w:t>Year 2 hours</w:t>
            </w:r>
          </w:p>
        </w:tc>
        <w:tc>
          <w:tcPr>
            <w:tcW w:w="893" w:type="dxa"/>
            <w:vAlign w:val="center"/>
          </w:tcPr>
          <w:p w:rsidR="000C2D71" w:rsidRPr="00E414BD" w:rsidRDefault="000C2D71" w:rsidP="000C2D71">
            <w:pPr>
              <w:jc w:val="center"/>
              <w:rPr>
                <w:rFonts w:ascii="Times New Roman" w:hAnsi="Times New Roman" w:cs="Times New Roman"/>
                <w:sz w:val="24"/>
                <w:szCs w:val="24"/>
              </w:rPr>
            </w:pPr>
            <w:r w:rsidRPr="00E414BD">
              <w:rPr>
                <w:rFonts w:ascii="Times New Roman" w:hAnsi="Times New Roman" w:cs="Times New Roman"/>
                <w:sz w:val="24"/>
                <w:szCs w:val="24"/>
              </w:rPr>
              <w:t>Total burden</w:t>
            </w:r>
          </w:p>
        </w:tc>
      </w:tr>
      <w:tr w:rsidR="000C2D71" w:rsidRPr="00E414BD" w:rsidTr="00BA2E00">
        <w:tc>
          <w:tcPr>
            <w:tcW w:w="9576" w:type="dxa"/>
            <w:gridSpan w:val="8"/>
          </w:tcPr>
          <w:p w:rsidR="000C2D71" w:rsidRPr="00E414BD" w:rsidRDefault="000C2D71" w:rsidP="000C2D71">
            <w:pPr>
              <w:rPr>
                <w:rFonts w:ascii="Times New Roman" w:hAnsi="Times New Roman" w:cs="Times New Roman"/>
                <w:sz w:val="24"/>
                <w:szCs w:val="24"/>
              </w:rPr>
            </w:pPr>
            <w:r w:rsidRPr="00E414BD">
              <w:rPr>
                <w:rFonts w:ascii="Times New Roman" w:hAnsi="Times New Roman" w:cs="Times New Roman"/>
                <w:sz w:val="24"/>
                <w:szCs w:val="24"/>
              </w:rPr>
              <w:t>Mail survey – Incident-Level version</w:t>
            </w:r>
          </w:p>
        </w:tc>
      </w:tr>
      <w:tr w:rsidR="000C2D71" w:rsidRPr="00E414BD" w:rsidTr="001C26B8">
        <w:tc>
          <w:tcPr>
            <w:tcW w:w="1638" w:type="dxa"/>
          </w:tcPr>
          <w:p w:rsidR="000C2D71" w:rsidRPr="00E414BD" w:rsidRDefault="000C2D71" w:rsidP="000C2D71">
            <w:pPr>
              <w:ind w:left="180"/>
              <w:rPr>
                <w:rFonts w:ascii="Times New Roman" w:hAnsi="Times New Roman" w:cs="Times New Roman"/>
                <w:sz w:val="24"/>
                <w:szCs w:val="24"/>
              </w:rPr>
            </w:pPr>
            <w:r w:rsidRPr="00E414BD">
              <w:rPr>
                <w:rFonts w:ascii="Times New Roman" w:hAnsi="Times New Roman" w:cs="Times New Roman"/>
                <w:sz w:val="24"/>
                <w:szCs w:val="24"/>
              </w:rPr>
              <w:t>Independent Sample</w:t>
            </w:r>
          </w:p>
        </w:tc>
        <w:tc>
          <w:tcPr>
            <w:tcW w:w="117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w:t>
            </w:r>
          </w:p>
        </w:tc>
        <w:tc>
          <w:tcPr>
            <w:tcW w:w="126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37,575</w:t>
            </w:r>
          </w:p>
        </w:tc>
        <w:tc>
          <w:tcPr>
            <w:tcW w:w="126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37,575</w:t>
            </w:r>
          </w:p>
        </w:tc>
        <w:tc>
          <w:tcPr>
            <w:tcW w:w="135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10.5</w:t>
            </w:r>
          </w:p>
        </w:tc>
        <w:tc>
          <w:tcPr>
            <w:tcW w:w="1051"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8,767.5</w:t>
            </w:r>
          </w:p>
        </w:tc>
        <w:tc>
          <w:tcPr>
            <w:tcW w:w="954"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8,767.5</w:t>
            </w:r>
          </w:p>
        </w:tc>
        <w:tc>
          <w:tcPr>
            <w:tcW w:w="893"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17,535</w:t>
            </w:r>
          </w:p>
        </w:tc>
      </w:tr>
      <w:tr w:rsidR="000C2D71" w:rsidRPr="00E414BD" w:rsidTr="001C26B8">
        <w:tc>
          <w:tcPr>
            <w:tcW w:w="1638" w:type="dxa"/>
          </w:tcPr>
          <w:p w:rsidR="000C2D71" w:rsidRPr="00E414BD" w:rsidRDefault="000C2D71" w:rsidP="000C2D71">
            <w:pPr>
              <w:ind w:left="180"/>
              <w:rPr>
                <w:rFonts w:ascii="Times New Roman" w:hAnsi="Times New Roman" w:cs="Times New Roman"/>
                <w:sz w:val="24"/>
                <w:szCs w:val="24"/>
              </w:rPr>
            </w:pPr>
            <w:r w:rsidRPr="00E414BD">
              <w:rPr>
                <w:rFonts w:ascii="Times New Roman" w:hAnsi="Times New Roman" w:cs="Times New Roman"/>
                <w:sz w:val="24"/>
                <w:szCs w:val="24"/>
              </w:rPr>
              <w:t>Overlap Sample</w:t>
            </w:r>
          </w:p>
        </w:tc>
        <w:tc>
          <w:tcPr>
            <w:tcW w:w="117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2</w:t>
            </w:r>
          </w:p>
        </w:tc>
        <w:tc>
          <w:tcPr>
            <w:tcW w:w="126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12,525</w:t>
            </w:r>
          </w:p>
        </w:tc>
        <w:tc>
          <w:tcPr>
            <w:tcW w:w="126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12,525</w:t>
            </w:r>
          </w:p>
        </w:tc>
        <w:tc>
          <w:tcPr>
            <w:tcW w:w="135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10.5</w:t>
            </w:r>
          </w:p>
        </w:tc>
        <w:tc>
          <w:tcPr>
            <w:tcW w:w="1051"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8,767.5</w:t>
            </w:r>
          </w:p>
        </w:tc>
        <w:tc>
          <w:tcPr>
            <w:tcW w:w="954"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8,767.5</w:t>
            </w:r>
          </w:p>
        </w:tc>
        <w:tc>
          <w:tcPr>
            <w:tcW w:w="893"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17,535</w:t>
            </w:r>
          </w:p>
        </w:tc>
      </w:tr>
      <w:tr w:rsidR="00DE1C54" w:rsidRPr="00E414BD" w:rsidTr="000C2D71">
        <w:tc>
          <w:tcPr>
            <w:tcW w:w="9576" w:type="dxa"/>
            <w:gridSpan w:val="8"/>
            <w:vAlign w:val="center"/>
          </w:tcPr>
          <w:p w:rsidR="00DE1C54" w:rsidRPr="00E414BD" w:rsidRDefault="00DE1C54" w:rsidP="000C2D71">
            <w:pPr>
              <w:rPr>
                <w:rFonts w:ascii="Times New Roman" w:hAnsi="Times New Roman" w:cs="Times New Roman"/>
                <w:sz w:val="24"/>
                <w:szCs w:val="24"/>
              </w:rPr>
            </w:pP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t>Avg</w:t>
            </w:r>
            <w:r w:rsidR="00E414BD">
              <w:rPr>
                <w:rFonts w:ascii="Times New Roman" w:hAnsi="Times New Roman" w:cs="Times New Roman"/>
                <w:sz w:val="24"/>
                <w:szCs w:val="24"/>
              </w:rPr>
              <w:t>.</w:t>
            </w:r>
            <w:r w:rsidRPr="00E414BD">
              <w:rPr>
                <w:rFonts w:ascii="Times New Roman" w:hAnsi="Times New Roman" w:cs="Times New Roman"/>
                <w:sz w:val="24"/>
                <w:szCs w:val="24"/>
              </w:rPr>
              <w:t xml:space="preserve"> minutes per </w:t>
            </w:r>
            <w:r w:rsidR="00D85D86" w:rsidRPr="00E414BD">
              <w:rPr>
                <w:rFonts w:ascii="Times New Roman" w:hAnsi="Times New Roman" w:cs="Times New Roman"/>
                <w:sz w:val="24"/>
                <w:szCs w:val="24"/>
              </w:rPr>
              <w:t>non-</w:t>
            </w:r>
            <w:r w:rsidRPr="00E414BD">
              <w:rPr>
                <w:rFonts w:ascii="Times New Roman" w:hAnsi="Times New Roman" w:cs="Times New Roman"/>
                <w:sz w:val="24"/>
                <w:szCs w:val="24"/>
              </w:rPr>
              <w:t>victimized household: 9.5 minutes</w:t>
            </w:r>
          </w:p>
          <w:p w:rsidR="00DE1C54" w:rsidRPr="00E414BD" w:rsidRDefault="00DE1C54" w:rsidP="000C2D71">
            <w:pPr>
              <w:rPr>
                <w:rFonts w:ascii="Times New Roman" w:hAnsi="Times New Roman" w:cs="Times New Roman"/>
                <w:sz w:val="24"/>
                <w:szCs w:val="24"/>
              </w:rPr>
            </w:pP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t>Avg</w:t>
            </w:r>
            <w:r w:rsidR="00E414BD">
              <w:rPr>
                <w:rFonts w:ascii="Times New Roman" w:hAnsi="Times New Roman" w:cs="Times New Roman"/>
                <w:sz w:val="24"/>
                <w:szCs w:val="24"/>
              </w:rPr>
              <w:t>.</w:t>
            </w:r>
            <w:r w:rsidRPr="00E414BD">
              <w:rPr>
                <w:rFonts w:ascii="Times New Roman" w:hAnsi="Times New Roman" w:cs="Times New Roman"/>
                <w:sz w:val="24"/>
                <w:szCs w:val="24"/>
              </w:rPr>
              <w:t xml:space="preserve"> minutes per victimized household: 15.1 minutes</w:t>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p>
        </w:tc>
      </w:tr>
      <w:tr w:rsidR="000C2D71" w:rsidRPr="00E414BD" w:rsidTr="000C2D71">
        <w:tc>
          <w:tcPr>
            <w:tcW w:w="9576" w:type="dxa"/>
            <w:gridSpan w:val="8"/>
            <w:vAlign w:val="center"/>
          </w:tcPr>
          <w:p w:rsidR="000C2D71" w:rsidRPr="00E414BD" w:rsidRDefault="000C2D71" w:rsidP="000C2D71">
            <w:pPr>
              <w:rPr>
                <w:rFonts w:ascii="Times New Roman" w:hAnsi="Times New Roman" w:cs="Times New Roman"/>
                <w:sz w:val="24"/>
                <w:szCs w:val="24"/>
              </w:rPr>
            </w:pPr>
            <w:r w:rsidRPr="00E414BD">
              <w:rPr>
                <w:rFonts w:ascii="Times New Roman" w:hAnsi="Times New Roman" w:cs="Times New Roman"/>
                <w:sz w:val="24"/>
                <w:szCs w:val="24"/>
              </w:rPr>
              <w:t>Mail survey – Person-Level version</w:t>
            </w:r>
          </w:p>
        </w:tc>
      </w:tr>
      <w:tr w:rsidR="000C2D71" w:rsidRPr="00E414BD" w:rsidTr="001C26B8">
        <w:tc>
          <w:tcPr>
            <w:tcW w:w="1638" w:type="dxa"/>
          </w:tcPr>
          <w:p w:rsidR="000C2D71" w:rsidRPr="00E414BD" w:rsidRDefault="000C2D71" w:rsidP="000C2D71">
            <w:pPr>
              <w:ind w:left="180"/>
              <w:rPr>
                <w:rFonts w:ascii="Times New Roman" w:hAnsi="Times New Roman" w:cs="Times New Roman"/>
                <w:sz w:val="24"/>
                <w:szCs w:val="24"/>
              </w:rPr>
            </w:pPr>
            <w:r w:rsidRPr="00E414BD">
              <w:rPr>
                <w:rFonts w:ascii="Times New Roman" w:hAnsi="Times New Roman" w:cs="Times New Roman"/>
                <w:sz w:val="24"/>
                <w:szCs w:val="24"/>
              </w:rPr>
              <w:t>Independent Sample</w:t>
            </w:r>
          </w:p>
        </w:tc>
        <w:tc>
          <w:tcPr>
            <w:tcW w:w="117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w:t>
            </w:r>
          </w:p>
        </w:tc>
        <w:tc>
          <w:tcPr>
            <w:tcW w:w="126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37,575</w:t>
            </w:r>
          </w:p>
        </w:tc>
        <w:tc>
          <w:tcPr>
            <w:tcW w:w="126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37,575</w:t>
            </w:r>
          </w:p>
        </w:tc>
        <w:tc>
          <w:tcPr>
            <w:tcW w:w="135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12.0</w:t>
            </w:r>
          </w:p>
        </w:tc>
        <w:tc>
          <w:tcPr>
            <w:tcW w:w="1051"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10,020.0</w:t>
            </w:r>
          </w:p>
        </w:tc>
        <w:tc>
          <w:tcPr>
            <w:tcW w:w="954"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10,020.0</w:t>
            </w:r>
          </w:p>
        </w:tc>
        <w:tc>
          <w:tcPr>
            <w:tcW w:w="893"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20,040</w:t>
            </w:r>
          </w:p>
        </w:tc>
      </w:tr>
      <w:tr w:rsidR="000C2D71" w:rsidRPr="00E414BD" w:rsidTr="001C26B8">
        <w:tc>
          <w:tcPr>
            <w:tcW w:w="1638" w:type="dxa"/>
          </w:tcPr>
          <w:p w:rsidR="000C2D71" w:rsidRPr="00E414BD" w:rsidRDefault="000C2D71" w:rsidP="000C2D71">
            <w:pPr>
              <w:ind w:left="180"/>
              <w:rPr>
                <w:rFonts w:ascii="Times New Roman" w:hAnsi="Times New Roman" w:cs="Times New Roman"/>
                <w:sz w:val="24"/>
                <w:szCs w:val="24"/>
              </w:rPr>
            </w:pPr>
            <w:r w:rsidRPr="00E414BD">
              <w:rPr>
                <w:rFonts w:ascii="Times New Roman" w:hAnsi="Times New Roman" w:cs="Times New Roman"/>
                <w:sz w:val="24"/>
                <w:szCs w:val="24"/>
              </w:rPr>
              <w:t>Overlap Sample</w:t>
            </w:r>
          </w:p>
        </w:tc>
        <w:tc>
          <w:tcPr>
            <w:tcW w:w="117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2</w:t>
            </w:r>
          </w:p>
        </w:tc>
        <w:tc>
          <w:tcPr>
            <w:tcW w:w="126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12,525</w:t>
            </w:r>
          </w:p>
        </w:tc>
        <w:tc>
          <w:tcPr>
            <w:tcW w:w="126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12,525</w:t>
            </w:r>
          </w:p>
        </w:tc>
        <w:tc>
          <w:tcPr>
            <w:tcW w:w="1350"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12.0</w:t>
            </w:r>
          </w:p>
        </w:tc>
        <w:tc>
          <w:tcPr>
            <w:tcW w:w="1051"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10,020.0</w:t>
            </w:r>
          </w:p>
        </w:tc>
        <w:tc>
          <w:tcPr>
            <w:tcW w:w="954"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10,020.0</w:t>
            </w:r>
          </w:p>
        </w:tc>
        <w:tc>
          <w:tcPr>
            <w:tcW w:w="893" w:type="dxa"/>
            <w:vAlign w:val="center"/>
          </w:tcPr>
          <w:p w:rsidR="000C2D71" w:rsidRPr="00E414BD" w:rsidRDefault="000C2D71" w:rsidP="000C2D71">
            <w:pPr>
              <w:jc w:val="right"/>
              <w:rPr>
                <w:rFonts w:ascii="Times New Roman" w:hAnsi="Times New Roman" w:cs="Times New Roman"/>
                <w:sz w:val="24"/>
                <w:szCs w:val="24"/>
              </w:rPr>
            </w:pPr>
            <w:r w:rsidRPr="00E414BD">
              <w:rPr>
                <w:rFonts w:ascii="Times New Roman" w:hAnsi="Times New Roman" w:cs="Times New Roman"/>
                <w:sz w:val="24"/>
                <w:szCs w:val="24"/>
              </w:rPr>
              <w:t>20,040</w:t>
            </w:r>
          </w:p>
        </w:tc>
      </w:tr>
      <w:tr w:rsidR="00DE1C54" w:rsidRPr="00E414BD" w:rsidTr="00794485">
        <w:tc>
          <w:tcPr>
            <w:tcW w:w="9576" w:type="dxa"/>
            <w:gridSpan w:val="8"/>
            <w:vAlign w:val="center"/>
          </w:tcPr>
          <w:p w:rsidR="00DE1C54" w:rsidRPr="00E414BD" w:rsidRDefault="00DE1C54" w:rsidP="00794485">
            <w:pPr>
              <w:rPr>
                <w:rFonts w:ascii="Times New Roman" w:hAnsi="Times New Roman" w:cs="Times New Roman"/>
                <w:sz w:val="24"/>
                <w:szCs w:val="24"/>
              </w:rPr>
            </w:pP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t>Avg</w:t>
            </w:r>
            <w:r w:rsidR="00E414BD">
              <w:rPr>
                <w:rFonts w:ascii="Times New Roman" w:hAnsi="Times New Roman" w:cs="Times New Roman"/>
                <w:sz w:val="24"/>
                <w:szCs w:val="24"/>
              </w:rPr>
              <w:t>.</w:t>
            </w:r>
            <w:r w:rsidRPr="00E414BD">
              <w:rPr>
                <w:rFonts w:ascii="Times New Roman" w:hAnsi="Times New Roman" w:cs="Times New Roman"/>
                <w:sz w:val="24"/>
                <w:szCs w:val="24"/>
              </w:rPr>
              <w:t xml:space="preserve"> minutes per </w:t>
            </w:r>
            <w:r w:rsidR="00D85D86" w:rsidRPr="00E414BD">
              <w:rPr>
                <w:rFonts w:ascii="Times New Roman" w:hAnsi="Times New Roman" w:cs="Times New Roman"/>
                <w:sz w:val="24"/>
                <w:szCs w:val="24"/>
              </w:rPr>
              <w:t>non-</w:t>
            </w:r>
            <w:r w:rsidRPr="00E414BD">
              <w:rPr>
                <w:rFonts w:ascii="Times New Roman" w:hAnsi="Times New Roman" w:cs="Times New Roman"/>
                <w:sz w:val="24"/>
                <w:szCs w:val="24"/>
              </w:rPr>
              <w:t>victimized household: 11.6 minutes</w:t>
            </w:r>
          </w:p>
          <w:p w:rsidR="00DE1C54" w:rsidRPr="00E414BD" w:rsidRDefault="00DE1C54" w:rsidP="00794485">
            <w:pPr>
              <w:rPr>
                <w:rFonts w:ascii="Times New Roman" w:hAnsi="Times New Roman" w:cs="Times New Roman"/>
                <w:sz w:val="24"/>
                <w:szCs w:val="24"/>
              </w:rPr>
            </w:pP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t>Avg</w:t>
            </w:r>
            <w:r w:rsidR="00E414BD">
              <w:rPr>
                <w:rFonts w:ascii="Times New Roman" w:hAnsi="Times New Roman" w:cs="Times New Roman"/>
                <w:sz w:val="24"/>
                <w:szCs w:val="24"/>
              </w:rPr>
              <w:t>.</w:t>
            </w:r>
            <w:r w:rsidRPr="00E414BD">
              <w:rPr>
                <w:rFonts w:ascii="Times New Roman" w:hAnsi="Times New Roman" w:cs="Times New Roman"/>
                <w:sz w:val="24"/>
                <w:szCs w:val="24"/>
              </w:rPr>
              <w:t xml:space="preserve"> minutes per victimized household: 13.8 minutes</w:t>
            </w:r>
          </w:p>
          <w:p w:rsidR="00DE1C54" w:rsidRPr="00E414BD" w:rsidRDefault="00DE1C54" w:rsidP="00794485">
            <w:pPr>
              <w:rPr>
                <w:rFonts w:ascii="Times New Roman" w:hAnsi="Times New Roman" w:cs="Times New Roman"/>
                <w:sz w:val="24"/>
                <w:szCs w:val="24"/>
              </w:rPr>
            </w:pP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r w:rsidRPr="00E414BD">
              <w:rPr>
                <w:rFonts w:ascii="Times New Roman" w:hAnsi="Times New Roman" w:cs="Times New Roman"/>
                <w:sz w:val="24"/>
                <w:szCs w:val="24"/>
              </w:rPr>
              <w:tab/>
            </w:r>
          </w:p>
        </w:tc>
      </w:tr>
    </w:tbl>
    <w:p w:rsidR="00E113CA" w:rsidRPr="00E414BD" w:rsidRDefault="000C2D71" w:rsidP="00F313E7">
      <w:pPr>
        <w:rPr>
          <w:rFonts w:ascii="Times New Roman" w:hAnsi="Times New Roman" w:cs="Times New Roman"/>
          <w:sz w:val="24"/>
          <w:szCs w:val="24"/>
        </w:rPr>
      </w:pPr>
      <w:r w:rsidRPr="00E414BD">
        <w:rPr>
          <w:rFonts w:ascii="Times New Roman" w:hAnsi="Times New Roman" w:cs="Times New Roman"/>
          <w:sz w:val="24"/>
          <w:szCs w:val="24"/>
          <w:u w:val="single"/>
        </w:rPr>
        <w:t>Note</w:t>
      </w:r>
      <w:r w:rsidRPr="00E414BD">
        <w:rPr>
          <w:rFonts w:ascii="Times New Roman" w:hAnsi="Times New Roman" w:cs="Times New Roman"/>
          <w:sz w:val="24"/>
          <w:szCs w:val="24"/>
        </w:rPr>
        <w:t>: In 2015 a cross-sectional sample will be selected</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In 2016, 25 percent of the 2015 sample will be sent a follow</w:t>
      </w:r>
      <w:r w:rsidR="00E414BD">
        <w:rPr>
          <w:rFonts w:ascii="Times New Roman" w:hAnsi="Times New Roman" w:cs="Times New Roman"/>
          <w:sz w:val="24"/>
          <w:szCs w:val="24"/>
        </w:rPr>
        <w:t>-</w:t>
      </w:r>
      <w:r w:rsidRPr="00E414BD">
        <w:rPr>
          <w:rFonts w:ascii="Times New Roman" w:hAnsi="Times New Roman" w:cs="Times New Roman"/>
          <w:sz w:val="24"/>
          <w:szCs w:val="24"/>
        </w:rPr>
        <w:t>up survey in 2016</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The remainder of the 2016 sample will be independent of the 2015 sample.</w:t>
      </w:r>
    </w:p>
    <w:p w:rsidR="00E414BD" w:rsidRDefault="00E414BD" w:rsidP="00F313E7">
      <w:pPr>
        <w:rPr>
          <w:rFonts w:ascii="Times New Roman" w:hAnsi="Times New Roman" w:cs="Times New Roman"/>
          <w:b/>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lastRenderedPageBreak/>
        <w:t xml:space="preserve">A13. Estimate of Respondent Cost Burden </w:t>
      </w:r>
    </w:p>
    <w:p w:rsidR="00FE78BF" w:rsidRPr="00E414BD" w:rsidRDefault="00FE78BF" w:rsidP="00F313E7">
      <w:pPr>
        <w:rPr>
          <w:rFonts w:ascii="Times New Roman" w:hAnsi="Times New Roman" w:cs="Times New Roman"/>
          <w:sz w:val="24"/>
          <w:szCs w:val="24"/>
        </w:rPr>
      </w:pPr>
    </w:p>
    <w:p w:rsidR="00E113CA" w:rsidRPr="00E414BD" w:rsidRDefault="00E113CA" w:rsidP="00E113CA">
      <w:pPr>
        <w:rPr>
          <w:rFonts w:ascii="Times New Roman" w:hAnsi="Times New Roman" w:cs="Times New Roman"/>
          <w:sz w:val="24"/>
          <w:szCs w:val="24"/>
        </w:rPr>
      </w:pPr>
      <w:r w:rsidRPr="00E414BD">
        <w:rPr>
          <w:rFonts w:ascii="Times New Roman" w:hAnsi="Times New Roman" w:cs="Times New Roman"/>
          <w:sz w:val="24"/>
          <w:szCs w:val="24"/>
        </w:rPr>
        <w:t xml:space="preserve">With the exception of their time, there is no actual cost to respondents to participate in the NCVS-CS field test. </w:t>
      </w:r>
    </w:p>
    <w:p w:rsidR="00B44541" w:rsidRPr="00E414BD" w:rsidRDefault="00B44541" w:rsidP="00F313E7">
      <w:pPr>
        <w:rPr>
          <w:rFonts w:ascii="Times New Roman" w:hAnsi="Times New Roman" w:cs="Times New Roman"/>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A14. Estimated Cost to Federal Government </w:t>
      </w:r>
    </w:p>
    <w:p w:rsidR="00FE78BF" w:rsidRPr="00E414BD" w:rsidRDefault="00FE78BF" w:rsidP="00F313E7">
      <w:pPr>
        <w:rPr>
          <w:rFonts w:ascii="Times New Roman" w:hAnsi="Times New Roman" w:cs="Times New Roman"/>
          <w:sz w:val="24"/>
          <w:szCs w:val="24"/>
        </w:rPr>
      </w:pPr>
    </w:p>
    <w:p w:rsidR="00E113CA" w:rsidRPr="00E414BD" w:rsidRDefault="00E113CA" w:rsidP="00E113CA">
      <w:pPr>
        <w:rPr>
          <w:rFonts w:ascii="Times New Roman" w:hAnsi="Times New Roman" w:cs="Times New Roman"/>
          <w:sz w:val="24"/>
          <w:szCs w:val="24"/>
        </w:rPr>
      </w:pPr>
      <w:r w:rsidRPr="00E414BD">
        <w:rPr>
          <w:rFonts w:ascii="Times New Roman" w:hAnsi="Times New Roman" w:cs="Times New Roman"/>
          <w:sz w:val="24"/>
          <w:szCs w:val="24"/>
        </w:rPr>
        <w:t xml:space="preserve">The total cost of the NCVS CS Field Test is estimated as </w:t>
      </w:r>
      <w:r w:rsidR="009B5A0F" w:rsidRPr="00E414BD">
        <w:rPr>
          <w:rFonts w:ascii="Times New Roman" w:hAnsi="Times New Roman" w:cs="Times New Roman"/>
          <w:sz w:val="24"/>
          <w:szCs w:val="24"/>
        </w:rPr>
        <w:t>$6,989,700</w:t>
      </w:r>
      <w:r w:rsidRPr="00E414BD">
        <w:rPr>
          <w:rFonts w:ascii="Times New Roman" w:hAnsi="Times New Roman" w:cs="Times New Roman"/>
          <w:sz w:val="24"/>
          <w:szCs w:val="24"/>
        </w:rPr>
        <w:t>.</w:t>
      </w:r>
    </w:p>
    <w:p w:rsidR="00E113CA" w:rsidRPr="00E414BD" w:rsidRDefault="00E113CA" w:rsidP="00F313E7">
      <w:pPr>
        <w:rPr>
          <w:rFonts w:ascii="Times New Roman" w:hAnsi="Times New Roman" w:cs="Times New Roman"/>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A15. Reasons for Change in Burden </w:t>
      </w:r>
    </w:p>
    <w:p w:rsidR="00FE78BF" w:rsidRPr="00E414BD" w:rsidRDefault="00FE78BF" w:rsidP="00F313E7">
      <w:pPr>
        <w:rPr>
          <w:rFonts w:ascii="Times New Roman" w:hAnsi="Times New Roman" w:cs="Times New Roman"/>
          <w:sz w:val="24"/>
          <w:szCs w:val="24"/>
        </w:rPr>
      </w:pPr>
    </w:p>
    <w:p w:rsidR="00E113CA" w:rsidRPr="00E414BD" w:rsidRDefault="00E113CA" w:rsidP="00E113CA">
      <w:pPr>
        <w:rPr>
          <w:rFonts w:ascii="Times New Roman" w:hAnsi="Times New Roman" w:cs="Times New Roman"/>
          <w:sz w:val="24"/>
          <w:szCs w:val="24"/>
        </w:rPr>
      </w:pPr>
      <w:r w:rsidRPr="00E414BD">
        <w:rPr>
          <w:rFonts w:ascii="Times New Roman" w:hAnsi="Times New Roman" w:cs="Times New Roman"/>
          <w:sz w:val="24"/>
          <w:szCs w:val="24"/>
        </w:rPr>
        <w:t>There are no changes in burden since the NCVS-CS Field Study is a new data collection.</w:t>
      </w:r>
    </w:p>
    <w:p w:rsidR="00B44541" w:rsidRPr="00E414BD" w:rsidRDefault="00B44541" w:rsidP="00F313E7">
      <w:pPr>
        <w:rPr>
          <w:rFonts w:ascii="Times New Roman" w:hAnsi="Times New Roman" w:cs="Times New Roman"/>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A16. </w:t>
      </w:r>
      <w:r w:rsidR="007A789C">
        <w:rPr>
          <w:rFonts w:ascii="Times New Roman" w:hAnsi="Times New Roman" w:cs="Times New Roman"/>
          <w:b/>
          <w:sz w:val="24"/>
          <w:szCs w:val="24"/>
        </w:rPr>
        <w:t xml:space="preserve">Project Schedule and </w:t>
      </w:r>
      <w:r w:rsidR="0094650E">
        <w:rPr>
          <w:rFonts w:ascii="Times New Roman" w:hAnsi="Times New Roman" w:cs="Times New Roman"/>
          <w:b/>
          <w:sz w:val="24"/>
          <w:szCs w:val="24"/>
        </w:rPr>
        <w:t>Publication Plan</w:t>
      </w:r>
      <w:r w:rsidRPr="00E414BD">
        <w:rPr>
          <w:rFonts w:ascii="Times New Roman" w:hAnsi="Times New Roman" w:cs="Times New Roman"/>
          <w:b/>
          <w:sz w:val="24"/>
          <w:szCs w:val="24"/>
        </w:rPr>
        <w:t xml:space="preserve"> </w:t>
      </w:r>
    </w:p>
    <w:p w:rsidR="00FE78BF" w:rsidRPr="00E414BD" w:rsidRDefault="00FE78BF" w:rsidP="00F313E7">
      <w:pPr>
        <w:rPr>
          <w:rFonts w:ascii="Times New Roman" w:hAnsi="Times New Roman" w:cs="Times New Roman"/>
          <w:sz w:val="24"/>
          <w:szCs w:val="24"/>
        </w:rPr>
      </w:pPr>
    </w:p>
    <w:p w:rsidR="003978FC" w:rsidRDefault="003978FC" w:rsidP="00E113CA">
      <w:pPr>
        <w:rPr>
          <w:rFonts w:ascii="Times New Roman" w:hAnsi="Times New Roman" w:cs="Times New Roman"/>
          <w:sz w:val="24"/>
          <w:szCs w:val="24"/>
        </w:rPr>
      </w:pPr>
    </w:p>
    <w:p w:rsidR="003978FC" w:rsidRPr="003978FC" w:rsidRDefault="003978FC" w:rsidP="003978FC">
      <w:pPr>
        <w:rPr>
          <w:rFonts w:ascii="Times New Roman" w:hAnsi="Times New Roman" w:cs="Times New Roman"/>
          <w:sz w:val="24"/>
          <w:szCs w:val="24"/>
        </w:rPr>
      </w:pPr>
      <w:r w:rsidRPr="003978FC">
        <w:rPr>
          <w:rFonts w:ascii="Times New Roman" w:hAnsi="Times New Roman" w:cs="Times New Roman"/>
          <w:sz w:val="24"/>
          <w:szCs w:val="24"/>
        </w:rPr>
        <w:t xml:space="preserve">Pending approval from the Office of Management and Budget (OMB), the </w:t>
      </w:r>
      <w:r>
        <w:rPr>
          <w:rFonts w:ascii="Times New Roman" w:hAnsi="Times New Roman" w:cs="Times New Roman"/>
          <w:sz w:val="24"/>
          <w:szCs w:val="24"/>
        </w:rPr>
        <w:t>NCVS-CS</w:t>
      </w:r>
      <w:r w:rsidRPr="003978FC">
        <w:rPr>
          <w:rFonts w:ascii="Times New Roman" w:hAnsi="Times New Roman" w:cs="Times New Roman"/>
          <w:sz w:val="24"/>
          <w:szCs w:val="24"/>
        </w:rPr>
        <w:t xml:space="preserve"> </w:t>
      </w:r>
      <w:r>
        <w:rPr>
          <w:rFonts w:ascii="Times New Roman" w:hAnsi="Times New Roman" w:cs="Times New Roman"/>
          <w:sz w:val="24"/>
          <w:szCs w:val="24"/>
        </w:rPr>
        <w:t xml:space="preserve">field study </w:t>
      </w:r>
      <w:r w:rsidRPr="003978FC">
        <w:rPr>
          <w:rFonts w:ascii="Times New Roman" w:hAnsi="Times New Roman" w:cs="Times New Roman"/>
          <w:sz w:val="24"/>
          <w:szCs w:val="24"/>
        </w:rPr>
        <w:t xml:space="preserve">data collection is scheduled to begin in </w:t>
      </w:r>
      <w:r w:rsidR="00ED3046">
        <w:rPr>
          <w:rFonts w:ascii="Times New Roman" w:hAnsi="Times New Roman" w:cs="Times New Roman"/>
          <w:sz w:val="24"/>
          <w:szCs w:val="24"/>
        </w:rPr>
        <w:t>Sept. 2015 (See Appendix C – CS Field Test Timeline)</w:t>
      </w:r>
      <w:r w:rsidRPr="003978FC">
        <w:rPr>
          <w:rFonts w:ascii="Times New Roman" w:hAnsi="Times New Roman" w:cs="Times New Roman"/>
          <w:sz w:val="24"/>
          <w:szCs w:val="24"/>
        </w:rPr>
        <w:t xml:space="preserve">. </w:t>
      </w:r>
      <w:r w:rsidR="00ED3046">
        <w:rPr>
          <w:rFonts w:ascii="Times New Roman" w:hAnsi="Times New Roman" w:cs="Times New Roman"/>
          <w:sz w:val="24"/>
          <w:szCs w:val="24"/>
        </w:rPr>
        <w:t xml:space="preserve">Year 1 collection will </w:t>
      </w:r>
      <w:r w:rsidR="00A6314E">
        <w:rPr>
          <w:rFonts w:ascii="Times New Roman" w:hAnsi="Times New Roman" w:cs="Times New Roman"/>
          <w:sz w:val="24"/>
          <w:szCs w:val="24"/>
        </w:rPr>
        <w:t>close</w:t>
      </w:r>
      <w:r w:rsidR="00ED3046">
        <w:rPr>
          <w:rFonts w:ascii="Times New Roman" w:hAnsi="Times New Roman" w:cs="Times New Roman"/>
          <w:sz w:val="24"/>
          <w:szCs w:val="24"/>
        </w:rPr>
        <w:t xml:space="preserve"> Nov. 2015. Year 2 Data collection will begin Sept. 2016 and close Nov. 2016. </w:t>
      </w:r>
      <w:r w:rsidRPr="003978FC">
        <w:rPr>
          <w:rFonts w:ascii="Times New Roman" w:hAnsi="Times New Roman" w:cs="Times New Roman"/>
          <w:sz w:val="24"/>
          <w:szCs w:val="24"/>
        </w:rPr>
        <w:t xml:space="preserve">Data will be reviewed and cleaned on a flow basis as they are received. File creation will be done within </w:t>
      </w:r>
      <w:r w:rsidR="00ED3046">
        <w:rPr>
          <w:rFonts w:ascii="Times New Roman" w:hAnsi="Times New Roman" w:cs="Times New Roman"/>
          <w:sz w:val="24"/>
          <w:szCs w:val="24"/>
        </w:rPr>
        <w:t>2</w:t>
      </w:r>
      <w:r w:rsidRPr="003978FC">
        <w:rPr>
          <w:rFonts w:ascii="Times New Roman" w:hAnsi="Times New Roman" w:cs="Times New Roman"/>
          <w:sz w:val="24"/>
          <w:szCs w:val="24"/>
        </w:rPr>
        <w:t xml:space="preserve"> month</w:t>
      </w:r>
      <w:r w:rsidR="00ED3046">
        <w:rPr>
          <w:rFonts w:ascii="Times New Roman" w:hAnsi="Times New Roman" w:cs="Times New Roman"/>
          <w:sz w:val="24"/>
          <w:szCs w:val="24"/>
        </w:rPr>
        <w:t>s after data collection ends.</w:t>
      </w:r>
      <w:r w:rsidRPr="003978FC">
        <w:rPr>
          <w:rFonts w:ascii="Times New Roman" w:hAnsi="Times New Roman" w:cs="Times New Roman"/>
          <w:sz w:val="24"/>
          <w:szCs w:val="24"/>
        </w:rPr>
        <w:t xml:space="preserve"> </w:t>
      </w:r>
      <w:r w:rsidR="00A6314E">
        <w:rPr>
          <w:rFonts w:ascii="Times New Roman" w:hAnsi="Times New Roman" w:cs="Times New Roman"/>
          <w:sz w:val="24"/>
          <w:szCs w:val="24"/>
        </w:rPr>
        <w:t xml:space="preserve">Analysis and reporting for year 1 will </w:t>
      </w:r>
      <w:r w:rsidRPr="003978FC">
        <w:rPr>
          <w:rFonts w:ascii="Times New Roman" w:hAnsi="Times New Roman" w:cs="Times New Roman"/>
          <w:sz w:val="24"/>
          <w:szCs w:val="24"/>
        </w:rPr>
        <w:t xml:space="preserve">be conducted from </w:t>
      </w:r>
      <w:r w:rsidR="00A6314E">
        <w:rPr>
          <w:rFonts w:ascii="Times New Roman" w:hAnsi="Times New Roman" w:cs="Times New Roman"/>
          <w:sz w:val="24"/>
          <w:szCs w:val="24"/>
        </w:rPr>
        <w:t>Feb. – April 2016 (</w:t>
      </w:r>
      <w:r w:rsidR="00A6314E" w:rsidRPr="003978FC">
        <w:rPr>
          <w:rFonts w:ascii="Times New Roman" w:hAnsi="Times New Roman" w:cs="Times New Roman"/>
          <w:sz w:val="24"/>
          <w:szCs w:val="24"/>
        </w:rPr>
        <w:t>See Part B, Section 2</w:t>
      </w:r>
      <w:r w:rsidR="00A6314E">
        <w:rPr>
          <w:rFonts w:ascii="Times New Roman" w:hAnsi="Times New Roman" w:cs="Times New Roman"/>
          <w:sz w:val="24"/>
          <w:szCs w:val="24"/>
        </w:rPr>
        <w:t>.4</w:t>
      </w:r>
      <w:r w:rsidR="00A6314E" w:rsidRPr="003978FC">
        <w:rPr>
          <w:rFonts w:ascii="Times New Roman" w:hAnsi="Times New Roman" w:cs="Times New Roman"/>
          <w:sz w:val="24"/>
          <w:szCs w:val="24"/>
        </w:rPr>
        <w:t xml:space="preserve"> for more information on data collection procedures.)</w:t>
      </w:r>
      <w:r w:rsidR="00A6314E">
        <w:rPr>
          <w:rFonts w:ascii="Times New Roman" w:hAnsi="Times New Roman" w:cs="Times New Roman"/>
          <w:sz w:val="24"/>
          <w:szCs w:val="24"/>
        </w:rPr>
        <w:t>. Year 2 data analysis and reporting will be conducted from Feb.-April 2017. A final report, including recommendations for a self-administered survey kit will be prepared May-July 2017</w:t>
      </w:r>
      <w:r w:rsidRPr="003978FC">
        <w:rPr>
          <w:rFonts w:ascii="Times New Roman" w:hAnsi="Times New Roman" w:cs="Times New Roman"/>
          <w:sz w:val="24"/>
          <w:szCs w:val="24"/>
        </w:rPr>
        <w:t xml:space="preserve">. </w:t>
      </w:r>
    </w:p>
    <w:p w:rsidR="003978FC" w:rsidRPr="003978FC" w:rsidRDefault="003978FC" w:rsidP="003978FC">
      <w:pPr>
        <w:rPr>
          <w:rFonts w:ascii="Times New Roman" w:hAnsi="Times New Roman" w:cs="Times New Roman"/>
          <w:sz w:val="24"/>
          <w:szCs w:val="24"/>
        </w:rPr>
      </w:pPr>
    </w:p>
    <w:p w:rsidR="00E113CA" w:rsidRPr="003978FC" w:rsidRDefault="00E113CA" w:rsidP="00E113CA">
      <w:pPr>
        <w:rPr>
          <w:rFonts w:ascii="Times New Roman" w:hAnsi="Times New Roman" w:cs="Times New Roman"/>
          <w:sz w:val="24"/>
          <w:szCs w:val="24"/>
        </w:rPr>
      </w:pPr>
      <w:r w:rsidRPr="00E414BD">
        <w:rPr>
          <w:rFonts w:ascii="Times New Roman" w:hAnsi="Times New Roman" w:cs="Times New Roman"/>
          <w:sz w:val="24"/>
          <w:szCs w:val="24"/>
        </w:rPr>
        <w:t xml:space="preserve">At the conclusion of the Field Test, a final report </w:t>
      </w:r>
      <w:r w:rsidR="00A6314E" w:rsidRPr="00ED3046">
        <w:rPr>
          <w:rFonts w:ascii="Times New Roman" w:hAnsi="Times New Roman" w:cs="Times New Roman"/>
          <w:i/>
          <w:sz w:val="24"/>
          <w:szCs w:val="24"/>
        </w:rPr>
        <w:t>National Crime Victimization</w:t>
      </w:r>
      <w:r w:rsidR="00A6314E">
        <w:rPr>
          <w:rFonts w:ascii="Times New Roman" w:hAnsi="Times New Roman" w:cs="Times New Roman"/>
          <w:i/>
          <w:sz w:val="24"/>
          <w:szCs w:val="24"/>
        </w:rPr>
        <w:t xml:space="preserve"> </w:t>
      </w:r>
      <w:r w:rsidR="00A6314E" w:rsidRPr="00ED3046">
        <w:rPr>
          <w:rFonts w:ascii="Times New Roman" w:hAnsi="Times New Roman" w:cs="Times New Roman"/>
          <w:i/>
          <w:sz w:val="24"/>
          <w:szCs w:val="24"/>
        </w:rPr>
        <w:t>Survey Companion Study</w:t>
      </w:r>
      <w:r w:rsidR="00A6314E">
        <w:rPr>
          <w:rFonts w:ascii="Times New Roman" w:hAnsi="Times New Roman" w:cs="Times New Roman"/>
          <w:sz w:val="24"/>
          <w:szCs w:val="24"/>
        </w:rPr>
        <w:t xml:space="preserve"> w</w:t>
      </w:r>
      <w:r w:rsidR="00A6314E" w:rsidRPr="003978FC">
        <w:rPr>
          <w:rFonts w:ascii="Times New Roman" w:hAnsi="Times New Roman" w:cs="Times New Roman"/>
          <w:sz w:val="24"/>
          <w:szCs w:val="24"/>
        </w:rPr>
        <w:t>ill be provided to the public on the BJS website</w:t>
      </w:r>
      <w:r w:rsidR="00A6314E">
        <w:rPr>
          <w:rFonts w:ascii="Times New Roman" w:hAnsi="Times New Roman" w:cs="Times New Roman"/>
          <w:sz w:val="24"/>
          <w:szCs w:val="24"/>
        </w:rPr>
        <w:t xml:space="preserve"> in 2017</w:t>
      </w:r>
      <w:r w:rsidR="00A6314E" w:rsidRPr="003978FC">
        <w:rPr>
          <w:rFonts w:ascii="Times New Roman" w:hAnsi="Times New Roman" w:cs="Times New Roman"/>
          <w:sz w:val="24"/>
          <w:szCs w:val="24"/>
        </w:rPr>
        <w:t>.</w:t>
      </w:r>
      <w:r w:rsidRPr="00E414BD">
        <w:rPr>
          <w:rFonts w:ascii="Times New Roman" w:hAnsi="Times New Roman" w:cs="Times New Roman"/>
          <w:sz w:val="24"/>
          <w:szCs w:val="24"/>
        </w:rPr>
        <w:t xml:space="preserve"> Additional methodological research papers may be issued by BJS and Westat staff as resources permit. The types of statistics that will be available in these reports include response rates, measures of productivity such as offenses reported per respondent or household, and counts and rates for the purpose of evaluating changes in estimates due to methodology</w:t>
      </w:r>
      <w:r w:rsidR="00A6314E">
        <w:rPr>
          <w:rFonts w:ascii="Times New Roman" w:hAnsi="Times New Roman" w:cs="Times New Roman"/>
          <w:sz w:val="24"/>
          <w:szCs w:val="24"/>
        </w:rPr>
        <w:t xml:space="preserve"> (</w:t>
      </w:r>
      <w:r w:rsidR="00A6314E" w:rsidRPr="003978FC">
        <w:rPr>
          <w:rFonts w:ascii="Times New Roman" w:hAnsi="Times New Roman" w:cs="Times New Roman"/>
          <w:sz w:val="24"/>
          <w:szCs w:val="24"/>
        </w:rPr>
        <w:t>See Part B, Section 2</w:t>
      </w:r>
      <w:r w:rsidR="00A6314E">
        <w:rPr>
          <w:rFonts w:ascii="Times New Roman" w:hAnsi="Times New Roman" w:cs="Times New Roman"/>
          <w:sz w:val="24"/>
          <w:szCs w:val="24"/>
        </w:rPr>
        <w:t>.4 for details)</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 xml:space="preserve">Data collected under a generic clearance will not be used to calculate substantive results/estimates that will be released outside the agency. </w:t>
      </w:r>
    </w:p>
    <w:p w:rsidR="00B44541" w:rsidRPr="003978FC" w:rsidRDefault="00B44541" w:rsidP="00F313E7">
      <w:pPr>
        <w:rPr>
          <w:rFonts w:ascii="Times New Roman" w:hAnsi="Times New Roman" w:cs="Times New Roman"/>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A17. Expiration Date Approval </w:t>
      </w:r>
    </w:p>
    <w:p w:rsidR="00FE78BF" w:rsidRPr="00E414BD" w:rsidRDefault="00FE78BF" w:rsidP="00F313E7">
      <w:pPr>
        <w:rPr>
          <w:rFonts w:ascii="Times New Roman" w:hAnsi="Times New Roman" w:cs="Times New Roman"/>
          <w:sz w:val="24"/>
          <w:szCs w:val="24"/>
        </w:rPr>
      </w:pPr>
    </w:p>
    <w:p w:rsidR="00B44541" w:rsidRPr="00E414BD" w:rsidRDefault="00E113CA" w:rsidP="00F313E7">
      <w:pPr>
        <w:rPr>
          <w:rFonts w:ascii="Times New Roman" w:hAnsi="Times New Roman" w:cs="Times New Roman"/>
          <w:sz w:val="24"/>
          <w:szCs w:val="24"/>
        </w:rPr>
      </w:pPr>
      <w:r w:rsidRPr="00E414BD">
        <w:rPr>
          <w:rFonts w:ascii="Times New Roman" w:hAnsi="Times New Roman" w:cs="Times New Roman"/>
          <w:sz w:val="24"/>
          <w:szCs w:val="24"/>
        </w:rPr>
        <w:t>The OMB control number and expiration date will be published on all forms given to respondents.</w:t>
      </w:r>
    </w:p>
    <w:p w:rsidR="00E113CA" w:rsidRPr="00E414BD" w:rsidRDefault="00E113CA" w:rsidP="00F313E7">
      <w:pPr>
        <w:rPr>
          <w:rFonts w:ascii="Times New Roman" w:hAnsi="Times New Roman" w:cs="Times New Roman"/>
          <w:sz w:val="24"/>
          <w:szCs w:val="24"/>
        </w:rPr>
      </w:pPr>
    </w:p>
    <w:p w:rsidR="00F313E7" w:rsidRPr="00E414BD" w:rsidRDefault="00F313E7" w:rsidP="00F313E7">
      <w:pPr>
        <w:rPr>
          <w:rFonts w:ascii="Times New Roman" w:hAnsi="Times New Roman" w:cs="Times New Roman"/>
          <w:b/>
          <w:sz w:val="24"/>
          <w:szCs w:val="24"/>
        </w:rPr>
      </w:pPr>
      <w:r w:rsidRPr="00E414BD">
        <w:rPr>
          <w:rFonts w:ascii="Times New Roman" w:hAnsi="Times New Roman" w:cs="Times New Roman"/>
          <w:b/>
          <w:sz w:val="24"/>
          <w:szCs w:val="24"/>
        </w:rPr>
        <w:t xml:space="preserve">A18. Exceptions to the Certification Statement </w:t>
      </w:r>
    </w:p>
    <w:p w:rsidR="00FE78BF" w:rsidRPr="00E414BD" w:rsidRDefault="00FE78BF" w:rsidP="00F313E7">
      <w:pPr>
        <w:rPr>
          <w:rFonts w:ascii="Times New Roman" w:hAnsi="Times New Roman" w:cs="Times New Roman"/>
          <w:sz w:val="24"/>
          <w:szCs w:val="24"/>
        </w:rPr>
      </w:pPr>
    </w:p>
    <w:p w:rsidR="00491256" w:rsidRPr="00E414BD" w:rsidRDefault="00E113CA" w:rsidP="009D63D2">
      <w:pPr>
        <w:rPr>
          <w:rFonts w:ascii="Times New Roman" w:hAnsi="Times New Roman" w:cs="Times New Roman"/>
          <w:b/>
          <w:sz w:val="24"/>
          <w:szCs w:val="24"/>
          <w:u w:val="single"/>
        </w:rPr>
      </w:pPr>
      <w:r w:rsidRPr="00E414BD">
        <w:rPr>
          <w:rFonts w:ascii="Times New Roman" w:hAnsi="Times New Roman" w:cs="Times New Roman"/>
          <w:sz w:val="24"/>
          <w:szCs w:val="24"/>
        </w:rPr>
        <w:t>There are no exceptions to the Certification Statement</w:t>
      </w:r>
      <w:r w:rsidR="00750158">
        <w:rPr>
          <w:rFonts w:ascii="Times New Roman" w:hAnsi="Times New Roman" w:cs="Times New Roman"/>
          <w:sz w:val="24"/>
          <w:szCs w:val="24"/>
        </w:rPr>
        <w:t xml:space="preserve">. </w:t>
      </w:r>
      <w:r w:rsidR="00491256" w:rsidRPr="00E414BD">
        <w:rPr>
          <w:rFonts w:ascii="Times New Roman" w:hAnsi="Times New Roman" w:cs="Times New Roman"/>
          <w:b/>
          <w:sz w:val="24"/>
          <w:szCs w:val="24"/>
          <w:u w:val="single"/>
        </w:rPr>
        <w:br w:type="page"/>
      </w:r>
    </w:p>
    <w:p w:rsidR="00491256" w:rsidRPr="00E414BD" w:rsidRDefault="00491256" w:rsidP="00E113CA">
      <w:pPr>
        <w:rPr>
          <w:rFonts w:ascii="Times New Roman" w:hAnsi="Times New Roman" w:cs="Times New Roman"/>
          <w:b/>
          <w:sz w:val="24"/>
          <w:szCs w:val="24"/>
          <w:u w:val="single"/>
        </w:rPr>
      </w:pPr>
      <w:r w:rsidRPr="00E414BD">
        <w:rPr>
          <w:rFonts w:ascii="Times New Roman" w:hAnsi="Times New Roman" w:cs="Times New Roman"/>
          <w:b/>
          <w:sz w:val="24"/>
          <w:szCs w:val="24"/>
          <w:u w:val="single"/>
        </w:rPr>
        <w:lastRenderedPageBreak/>
        <w:t>References</w:t>
      </w:r>
    </w:p>
    <w:p w:rsidR="00491256" w:rsidRPr="00E414BD" w:rsidRDefault="00491256" w:rsidP="00E113CA">
      <w:pPr>
        <w:rPr>
          <w:rFonts w:ascii="Times New Roman" w:hAnsi="Times New Roman" w:cs="Times New Roman"/>
          <w:sz w:val="24"/>
          <w:szCs w:val="24"/>
        </w:rPr>
      </w:pPr>
    </w:p>
    <w:p w:rsidR="00B17F28" w:rsidRPr="00E414BD" w:rsidRDefault="00B17F28" w:rsidP="00B17F28">
      <w:pPr>
        <w:spacing w:after="200"/>
        <w:rPr>
          <w:rFonts w:ascii="Times New Roman" w:hAnsi="Times New Roman" w:cs="Times New Roman"/>
          <w:sz w:val="24"/>
          <w:szCs w:val="24"/>
        </w:rPr>
      </w:pPr>
      <w:proofErr w:type="spellStart"/>
      <w:r w:rsidRPr="00E414BD">
        <w:rPr>
          <w:rFonts w:ascii="Times New Roman" w:hAnsi="Times New Roman" w:cs="Times New Roman"/>
          <w:sz w:val="24"/>
          <w:szCs w:val="24"/>
        </w:rPr>
        <w:t>Biderman</w:t>
      </w:r>
      <w:proofErr w:type="spellEnd"/>
      <w:r w:rsidRPr="00E414BD">
        <w:rPr>
          <w:rFonts w:ascii="Times New Roman" w:hAnsi="Times New Roman" w:cs="Times New Roman"/>
          <w:sz w:val="24"/>
          <w:szCs w:val="24"/>
        </w:rPr>
        <w:t>, A.D., D. Cantor, J.P. Lynch, and E. Martin (1986). Final report of research and development for the redesign of the National Crime Survey. Prepared for the Bureau of Justice Statistics. Washington, DC: Bureau of Social Science Research, Inc.</w:t>
      </w:r>
    </w:p>
    <w:p w:rsidR="00507649" w:rsidRPr="00E414BD" w:rsidRDefault="00507649" w:rsidP="00507649">
      <w:pPr>
        <w:spacing w:after="200"/>
        <w:rPr>
          <w:rFonts w:ascii="Times New Roman" w:hAnsi="Times New Roman" w:cs="Times New Roman"/>
          <w:sz w:val="24"/>
          <w:szCs w:val="24"/>
        </w:rPr>
      </w:pPr>
      <w:r w:rsidRPr="00E414BD">
        <w:rPr>
          <w:rFonts w:ascii="Times New Roman" w:hAnsi="Times New Roman" w:cs="Times New Roman"/>
          <w:sz w:val="24"/>
          <w:szCs w:val="24"/>
        </w:rPr>
        <w:t>Brick, J.M., and Williams, D. (2013). Explaining rising nonresponse rates in cross-sectional surveys. ANNALS of the American Academy of Political and Social Science, 645, 36-59.</w:t>
      </w:r>
    </w:p>
    <w:p w:rsidR="00B17F28" w:rsidRPr="00E414BD" w:rsidRDefault="00B17F28" w:rsidP="00B17F28">
      <w:pPr>
        <w:spacing w:after="200"/>
        <w:rPr>
          <w:rFonts w:ascii="Times New Roman" w:hAnsi="Times New Roman" w:cs="Times New Roman"/>
          <w:sz w:val="24"/>
          <w:szCs w:val="24"/>
        </w:rPr>
      </w:pPr>
      <w:r w:rsidRPr="00E414BD">
        <w:rPr>
          <w:rFonts w:ascii="Times New Roman" w:hAnsi="Times New Roman" w:cs="Times New Roman"/>
          <w:sz w:val="24"/>
          <w:szCs w:val="24"/>
        </w:rPr>
        <w:t xml:space="preserve">Cantor, D. and Lynch, J. (2007). Addressing the challenge of costs and error in victimization surveys: The potential of new technologies and methods. Pp. 281-302, In Hough, M. and </w:t>
      </w:r>
      <w:proofErr w:type="spellStart"/>
      <w:r w:rsidRPr="00E414BD">
        <w:rPr>
          <w:rFonts w:ascii="Times New Roman" w:hAnsi="Times New Roman" w:cs="Times New Roman"/>
          <w:sz w:val="24"/>
          <w:szCs w:val="24"/>
        </w:rPr>
        <w:t>Maxfield</w:t>
      </w:r>
      <w:proofErr w:type="spellEnd"/>
      <w:r w:rsidRPr="00E414BD">
        <w:rPr>
          <w:rFonts w:ascii="Times New Roman" w:hAnsi="Times New Roman" w:cs="Times New Roman"/>
          <w:sz w:val="24"/>
          <w:szCs w:val="24"/>
        </w:rPr>
        <w:t>, M. (</w:t>
      </w:r>
      <w:proofErr w:type="spellStart"/>
      <w:r w:rsidRPr="00E414BD">
        <w:rPr>
          <w:rFonts w:ascii="Times New Roman" w:hAnsi="Times New Roman" w:cs="Times New Roman"/>
          <w:sz w:val="24"/>
          <w:szCs w:val="24"/>
        </w:rPr>
        <w:t>Eds</w:t>
      </w:r>
      <w:proofErr w:type="spellEnd"/>
      <w:r w:rsidRPr="00E414BD">
        <w:rPr>
          <w:rFonts w:ascii="Times New Roman" w:hAnsi="Times New Roman" w:cs="Times New Roman"/>
          <w:sz w:val="24"/>
          <w:szCs w:val="24"/>
        </w:rPr>
        <w:t>) Surveying Crime in the 21st Century. New York: Criminal Justice Press.</w:t>
      </w:r>
    </w:p>
    <w:p w:rsidR="00513911" w:rsidRPr="00E414BD" w:rsidRDefault="00513911" w:rsidP="00513911">
      <w:pPr>
        <w:spacing w:after="200"/>
        <w:rPr>
          <w:rFonts w:ascii="Times New Roman" w:hAnsi="Times New Roman" w:cs="Times New Roman"/>
          <w:sz w:val="24"/>
          <w:szCs w:val="24"/>
        </w:rPr>
      </w:pPr>
      <w:r w:rsidRPr="00E414BD">
        <w:rPr>
          <w:rFonts w:ascii="Times New Roman" w:hAnsi="Times New Roman" w:cs="Times New Roman"/>
          <w:sz w:val="24"/>
          <w:szCs w:val="24"/>
        </w:rPr>
        <w:t>Curtin, R., Presser, S., &amp; Singer, E. (2005). Changes in telephone survey nonresponse over the past quarter century. Public Opinion Quarterly, 69, 87–98.</w:t>
      </w:r>
    </w:p>
    <w:p w:rsidR="00B17F28" w:rsidRPr="00E414BD" w:rsidRDefault="00B17F28" w:rsidP="00B17F28">
      <w:pPr>
        <w:spacing w:after="200"/>
        <w:rPr>
          <w:rFonts w:ascii="Times New Roman" w:hAnsi="Times New Roman" w:cs="Times New Roman"/>
          <w:sz w:val="24"/>
          <w:szCs w:val="24"/>
        </w:rPr>
      </w:pPr>
      <w:proofErr w:type="spellStart"/>
      <w:r w:rsidRPr="00E414BD">
        <w:rPr>
          <w:rFonts w:ascii="Times New Roman" w:hAnsi="Times New Roman" w:cs="Times New Roman"/>
          <w:sz w:val="24"/>
          <w:szCs w:val="24"/>
        </w:rPr>
        <w:t>Giblin</w:t>
      </w:r>
      <w:proofErr w:type="spellEnd"/>
      <w:r w:rsidRPr="00E414BD">
        <w:rPr>
          <w:rFonts w:ascii="Times New Roman" w:hAnsi="Times New Roman" w:cs="Times New Roman"/>
          <w:sz w:val="24"/>
          <w:szCs w:val="24"/>
        </w:rPr>
        <w:t>, M. (2003). Measuring adult criminal victimization: Findings from the Anchorage Adult Criminal Victimization Survey. Report for the Alaska Justice Statistical Analysis Center to the Bureau of Justice Statistics. JC 0109.021. Anchorage: Justice Center, University of Alaska Anchorage.</w:t>
      </w:r>
    </w:p>
    <w:p w:rsidR="007F0517" w:rsidRPr="00E414BD" w:rsidRDefault="007F0517" w:rsidP="00B17F28">
      <w:pPr>
        <w:spacing w:after="200"/>
        <w:rPr>
          <w:rFonts w:ascii="Times New Roman" w:hAnsi="Times New Roman" w:cs="Times New Roman"/>
          <w:sz w:val="24"/>
          <w:szCs w:val="24"/>
        </w:rPr>
      </w:pPr>
      <w:r w:rsidRPr="00E414BD">
        <w:rPr>
          <w:rFonts w:ascii="Times New Roman" w:hAnsi="Times New Roman" w:cs="Times New Roman"/>
          <w:sz w:val="24"/>
          <w:szCs w:val="24"/>
        </w:rPr>
        <w:t xml:space="preserve">Groves, R.M. and D.L. Cork (2008). Surveying Victims: Options for Conducting the National Crime Victimization Survey. Panel to Review the Programs of the Bureau of Justice Statistics. National Research Council, Committee on National Statistics and Committee on Law and Justice, Division of Behavioral and Social Sciences and Education. Washington, DC: The National Academies Press. </w:t>
      </w:r>
    </w:p>
    <w:p w:rsidR="00191E09" w:rsidRPr="00E414BD" w:rsidRDefault="00191E09" w:rsidP="00191E09">
      <w:pPr>
        <w:spacing w:after="200"/>
        <w:rPr>
          <w:rFonts w:ascii="Times New Roman" w:hAnsi="Times New Roman" w:cs="Times New Roman"/>
          <w:sz w:val="24"/>
          <w:szCs w:val="24"/>
        </w:rPr>
      </w:pPr>
      <w:r w:rsidRPr="00E414BD">
        <w:rPr>
          <w:rFonts w:ascii="Times New Roman" w:hAnsi="Times New Roman" w:cs="Times New Roman"/>
          <w:sz w:val="24"/>
          <w:szCs w:val="24"/>
        </w:rPr>
        <w:t>Haddon, M. and J. Christenson (2005). Shedding light: 2004 Utah Crime Victimization Survey. Salt Lake City: Utah Commission on Criminal and Juvenile Justice, Research and Data Unit.</w:t>
      </w:r>
    </w:p>
    <w:p w:rsidR="00447708" w:rsidRPr="00E414BD" w:rsidRDefault="00447708" w:rsidP="00447708">
      <w:pPr>
        <w:spacing w:after="200"/>
        <w:rPr>
          <w:rFonts w:ascii="Times New Roman" w:hAnsi="Times New Roman" w:cs="Times New Roman"/>
          <w:sz w:val="24"/>
          <w:szCs w:val="24"/>
        </w:rPr>
      </w:pPr>
      <w:proofErr w:type="spellStart"/>
      <w:r w:rsidRPr="00E414BD">
        <w:rPr>
          <w:rFonts w:ascii="Times New Roman" w:hAnsi="Times New Roman" w:cs="Times New Roman"/>
          <w:sz w:val="24"/>
          <w:szCs w:val="24"/>
        </w:rPr>
        <w:t>Hindelang</w:t>
      </w:r>
      <w:proofErr w:type="spellEnd"/>
      <w:r w:rsidRPr="00E414BD">
        <w:rPr>
          <w:rFonts w:ascii="Times New Roman" w:hAnsi="Times New Roman" w:cs="Times New Roman"/>
          <w:sz w:val="24"/>
          <w:szCs w:val="24"/>
        </w:rPr>
        <w:t xml:space="preserve">, M., M.R. </w:t>
      </w:r>
      <w:proofErr w:type="spellStart"/>
      <w:r w:rsidRPr="00E414BD">
        <w:rPr>
          <w:rFonts w:ascii="Times New Roman" w:hAnsi="Times New Roman" w:cs="Times New Roman"/>
          <w:sz w:val="24"/>
          <w:szCs w:val="24"/>
        </w:rPr>
        <w:t>Gottfredson</w:t>
      </w:r>
      <w:proofErr w:type="spellEnd"/>
      <w:r w:rsidRPr="00E414BD">
        <w:rPr>
          <w:rFonts w:ascii="Times New Roman" w:hAnsi="Times New Roman" w:cs="Times New Roman"/>
          <w:sz w:val="24"/>
          <w:szCs w:val="24"/>
        </w:rPr>
        <w:t xml:space="preserve"> and J. </w:t>
      </w:r>
      <w:proofErr w:type="spellStart"/>
      <w:r w:rsidRPr="00E414BD">
        <w:rPr>
          <w:rFonts w:ascii="Times New Roman" w:hAnsi="Times New Roman" w:cs="Times New Roman"/>
          <w:sz w:val="24"/>
          <w:szCs w:val="24"/>
        </w:rPr>
        <w:t>Garofalo</w:t>
      </w:r>
      <w:proofErr w:type="spellEnd"/>
      <w:r w:rsidRPr="00E414BD">
        <w:rPr>
          <w:rFonts w:ascii="Times New Roman" w:hAnsi="Times New Roman" w:cs="Times New Roman"/>
          <w:sz w:val="24"/>
          <w:szCs w:val="24"/>
        </w:rPr>
        <w:t xml:space="preserve"> (1978). Victims of Personal Crime: An Empirical Foundation for a Theory of Personal Victimization. Cambridge, MA: Ballinger.</w:t>
      </w:r>
    </w:p>
    <w:p w:rsidR="00B17F28" w:rsidRPr="00E414BD" w:rsidRDefault="00B17F28" w:rsidP="00B17F28">
      <w:pPr>
        <w:spacing w:after="200"/>
        <w:rPr>
          <w:rFonts w:ascii="Times New Roman" w:hAnsi="Times New Roman" w:cs="Times New Roman"/>
          <w:sz w:val="24"/>
          <w:szCs w:val="24"/>
        </w:rPr>
      </w:pPr>
      <w:r w:rsidRPr="00E414BD">
        <w:rPr>
          <w:rFonts w:ascii="Times New Roman" w:hAnsi="Times New Roman" w:cs="Times New Roman"/>
          <w:sz w:val="24"/>
          <w:szCs w:val="24"/>
        </w:rPr>
        <w:t xml:space="preserve">Langton, L., </w:t>
      </w:r>
      <w:proofErr w:type="spellStart"/>
      <w:r w:rsidRPr="00E414BD">
        <w:rPr>
          <w:rFonts w:ascii="Times New Roman" w:hAnsi="Times New Roman" w:cs="Times New Roman"/>
          <w:sz w:val="24"/>
          <w:szCs w:val="24"/>
        </w:rPr>
        <w:t>Berzofsky</w:t>
      </w:r>
      <w:proofErr w:type="spellEnd"/>
      <w:r w:rsidRPr="00E414BD">
        <w:rPr>
          <w:rFonts w:ascii="Times New Roman" w:hAnsi="Times New Roman" w:cs="Times New Roman"/>
          <w:sz w:val="24"/>
          <w:szCs w:val="24"/>
        </w:rPr>
        <w:t>, M., Krebs, C., and Smiley-McDonald, H. (2012)</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U.S. Department of Justice Office of Justice Programs Bureau of Justice Statistics Special Report: Victimizations Not Reported to the Police, 2006-2010. August 2012, NCJ 238536.</w:t>
      </w:r>
    </w:p>
    <w:p w:rsidR="00191E09" w:rsidRPr="00E414BD" w:rsidRDefault="00191E09" w:rsidP="00191E09">
      <w:pPr>
        <w:spacing w:after="200"/>
        <w:rPr>
          <w:rFonts w:ascii="Times New Roman" w:hAnsi="Times New Roman" w:cs="Times New Roman"/>
          <w:sz w:val="24"/>
          <w:szCs w:val="24"/>
        </w:rPr>
      </w:pPr>
      <w:r w:rsidRPr="00E414BD">
        <w:rPr>
          <w:rFonts w:ascii="Times New Roman" w:hAnsi="Times New Roman" w:cs="Times New Roman"/>
          <w:sz w:val="24"/>
          <w:szCs w:val="24"/>
        </w:rPr>
        <w:t xml:space="preserve">Lauritsen, J.L. and R.J. </w:t>
      </w:r>
      <w:proofErr w:type="spellStart"/>
      <w:r w:rsidRPr="00E414BD">
        <w:rPr>
          <w:rFonts w:ascii="Times New Roman" w:hAnsi="Times New Roman" w:cs="Times New Roman"/>
          <w:sz w:val="24"/>
          <w:szCs w:val="24"/>
        </w:rPr>
        <w:t>Schaum</w:t>
      </w:r>
      <w:proofErr w:type="spellEnd"/>
      <w:r w:rsidRPr="00E414BD">
        <w:rPr>
          <w:rFonts w:ascii="Times New Roman" w:hAnsi="Times New Roman" w:cs="Times New Roman"/>
          <w:sz w:val="24"/>
          <w:szCs w:val="24"/>
        </w:rPr>
        <w:t xml:space="preserve"> (2005). Crime and victimization in the three largest metropolitan areas, 1980-98. NCJ 208075.</w:t>
      </w:r>
    </w:p>
    <w:p w:rsidR="00B17F28" w:rsidRPr="00E414BD" w:rsidRDefault="00B17F28" w:rsidP="00B17F28">
      <w:pPr>
        <w:spacing w:after="200"/>
        <w:rPr>
          <w:rFonts w:ascii="Times New Roman" w:hAnsi="Times New Roman" w:cs="Times New Roman"/>
          <w:sz w:val="24"/>
          <w:szCs w:val="24"/>
        </w:rPr>
      </w:pPr>
      <w:r w:rsidRPr="00E414BD">
        <w:rPr>
          <w:rFonts w:ascii="Times New Roman" w:hAnsi="Times New Roman" w:cs="Times New Roman"/>
          <w:sz w:val="24"/>
          <w:szCs w:val="24"/>
        </w:rPr>
        <w:t xml:space="preserve">Mercer, A., </w:t>
      </w:r>
      <w:proofErr w:type="spellStart"/>
      <w:r w:rsidRPr="00E414BD">
        <w:rPr>
          <w:rFonts w:ascii="Times New Roman" w:hAnsi="Times New Roman" w:cs="Times New Roman"/>
          <w:sz w:val="24"/>
          <w:szCs w:val="24"/>
        </w:rPr>
        <w:t>Caporaso</w:t>
      </w:r>
      <w:proofErr w:type="spellEnd"/>
      <w:r w:rsidRPr="00E414BD">
        <w:rPr>
          <w:rFonts w:ascii="Times New Roman" w:hAnsi="Times New Roman" w:cs="Times New Roman"/>
          <w:sz w:val="24"/>
          <w:szCs w:val="24"/>
        </w:rPr>
        <w:t>, A., Cantor, D. and Townsend, R. (2014) “Monetary incentives and response rates in household surveys: How much gets you how much?” Accepted by Public Opinion Quarterly</w:t>
      </w:r>
    </w:p>
    <w:p w:rsidR="00B17F28" w:rsidRPr="00E414BD" w:rsidRDefault="00B17F28" w:rsidP="00B17F28">
      <w:pPr>
        <w:spacing w:after="200"/>
        <w:rPr>
          <w:rFonts w:ascii="Times New Roman" w:hAnsi="Times New Roman" w:cs="Times New Roman"/>
          <w:sz w:val="24"/>
          <w:szCs w:val="24"/>
        </w:rPr>
      </w:pPr>
      <w:r w:rsidRPr="00E414BD">
        <w:rPr>
          <w:rFonts w:ascii="Times New Roman" w:hAnsi="Times New Roman" w:cs="Times New Roman"/>
          <w:sz w:val="24"/>
          <w:szCs w:val="24"/>
        </w:rPr>
        <w:t xml:space="preserve">Millar, M.M. and </w:t>
      </w:r>
      <w:proofErr w:type="spellStart"/>
      <w:r w:rsidRPr="00E414BD">
        <w:rPr>
          <w:rFonts w:ascii="Times New Roman" w:hAnsi="Times New Roman" w:cs="Times New Roman"/>
          <w:sz w:val="24"/>
          <w:szCs w:val="24"/>
        </w:rPr>
        <w:t>Dillman</w:t>
      </w:r>
      <w:proofErr w:type="spellEnd"/>
      <w:r w:rsidRPr="00E414BD">
        <w:rPr>
          <w:rFonts w:ascii="Times New Roman" w:hAnsi="Times New Roman" w:cs="Times New Roman"/>
          <w:sz w:val="24"/>
          <w:szCs w:val="24"/>
        </w:rPr>
        <w:t>, D.A. (2011). Improving response rates to web and mixed-mode surveys</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Public Opinion Quarterly 75(2): 249 – 269.</w:t>
      </w:r>
    </w:p>
    <w:p w:rsidR="00B17F28" w:rsidRPr="00E414BD" w:rsidRDefault="00B17F28" w:rsidP="00B17F28">
      <w:pPr>
        <w:spacing w:after="200"/>
        <w:rPr>
          <w:rFonts w:ascii="Times New Roman" w:hAnsi="Times New Roman" w:cs="Times New Roman"/>
          <w:sz w:val="24"/>
          <w:szCs w:val="24"/>
        </w:rPr>
      </w:pPr>
      <w:proofErr w:type="spellStart"/>
      <w:r w:rsidRPr="00E414BD">
        <w:rPr>
          <w:rFonts w:ascii="Times New Roman" w:hAnsi="Times New Roman" w:cs="Times New Roman"/>
          <w:sz w:val="24"/>
          <w:szCs w:val="24"/>
        </w:rPr>
        <w:t>Orchowsky</w:t>
      </w:r>
      <w:proofErr w:type="spellEnd"/>
      <w:r w:rsidRPr="00E414BD">
        <w:rPr>
          <w:rFonts w:ascii="Times New Roman" w:hAnsi="Times New Roman" w:cs="Times New Roman"/>
          <w:sz w:val="24"/>
          <w:szCs w:val="24"/>
        </w:rPr>
        <w:t>, S., Trask, J., and Stabile, R. (2014)</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Justice Research and Statistics Association Special Report: Report on Characteristics of SAC Victimization Surveys</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July 2014.</w:t>
      </w:r>
    </w:p>
    <w:p w:rsidR="00191E09" w:rsidRPr="00E414BD" w:rsidRDefault="00191E09" w:rsidP="00191E09">
      <w:pPr>
        <w:spacing w:after="200"/>
        <w:rPr>
          <w:rFonts w:ascii="Times New Roman" w:hAnsi="Times New Roman" w:cs="Times New Roman"/>
          <w:sz w:val="24"/>
          <w:szCs w:val="24"/>
        </w:rPr>
      </w:pPr>
      <w:proofErr w:type="spellStart"/>
      <w:r w:rsidRPr="00E414BD">
        <w:rPr>
          <w:rFonts w:ascii="Times New Roman" w:hAnsi="Times New Roman" w:cs="Times New Roman"/>
          <w:sz w:val="24"/>
          <w:szCs w:val="24"/>
        </w:rPr>
        <w:lastRenderedPageBreak/>
        <w:t>Penick</w:t>
      </w:r>
      <w:proofErr w:type="spellEnd"/>
      <w:r w:rsidRPr="00E414BD">
        <w:rPr>
          <w:rFonts w:ascii="Times New Roman" w:hAnsi="Times New Roman" w:cs="Times New Roman"/>
          <w:sz w:val="24"/>
          <w:szCs w:val="24"/>
        </w:rPr>
        <w:t>, B.K.E. and M.E.B Owens (1976). Surveying Crime. Panel for the Evaluation of Crime Surveys. Committee on National Statistics, Academy of Mathematical and Physical Sciences. Washington, DC: National Academy of Sciences.</w:t>
      </w:r>
    </w:p>
    <w:p w:rsidR="00507649" w:rsidRPr="00E414BD" w:rsidRDefault="00507649" w:rsidP="00B17F28">
      <w:pPr>
        <w:spacing w:after="200"/>
        <w:rPr>
          <w:rFonts w:ascii="Times New Roman" w:hAnsi="Times New Roman" w:cs="Times New Roman"/>
          <w:sz w:val="24"/>
          <w:szCs w:val="24"/>
          <w:highlight w:val="yellow"/>
        </w:rPr>
      </w:pPr>
      <w:r w:rsidRPr="00E414BD">
        <w:rPr>
          <w:rFonts w:ascii="Times New Roman" w:hAnsi="Times New Roman" w:cs="Times New Roman"/>
          <w:sz w:val="24"/>
          <w:szCs w:val="24"/>
        </w:rPr>
        <w:t>Rand, M.R. (2008). Criminal victimization, 2007. Tech. Rep. NCJ 231327, Bureau of Justice Statistics, Washington, DC.</w:t>
      </w:r>
    </w:p>
    <w:p w:rsidR="00106EDC" w:rsidRPr="00E414BD" w:rsidRDefault="00106EDC" w:rsidP="00B17F28">
      <w:pPr>
        <w:spacing w:after="200"/>
        <w:rPr>
          <w:rFonts w:ascii="Times New Roman" w:hAnsi="Times New Roman" w:cs="Times New Roman"/>
          <w:sz w:val="24"/>
          <w:szCs w:val="24"/>
          <w:highlight w:val="yellow"/>
        </w:rPr>
      </w:pPr>
      <w:r w:rsidRPr="00E414BD">
        <w:rPr>
          <w:rFonts w:ascii="Times New Roman" w:hAnsi="Times New Roman" w:cs="Times New Roman"/>
          <w:sz w:val="24"/>
          <w:szCs w:val="24"/>
        </w:rPr>
        <w:t>Richard Rosenfeld (2007). Explaining the Divergence between UCR and NCVS Aggravated Assault Trends. In J. P. Lynch and L. A. Addington, eds., Understanding Crime Statistics: Revisiting the Divergence of the NCVS and UCR. Cambridge: Cambridge University Press, pp. 251-268.</w:t>
      </w:r>
    </w:p>
    <w:p w:rsidR="00507649" w:rsidRPr="00E414BD" w:rsidRDefault="00F121E3" w:rsidP="00B17F28">
      <w:pPr>
        <w:spacing w:after="200"/>
        <w:rPr>
          <w:rFonts w:ascii="Times New Roman" w:hAnsi="Times New Roman" w:cs="Times New Roman"/>
          <w:sz w:val="24"/>
          <w:szCs w:val="24"/>
        </w:rPr>
      </w:pPr>
      <w:r w:rsidRPr="00E414BD">
        <w:rPr>
          <w:rFonts w:ascii="Times New Roman" w:hAnsi="Times New Roman" w:cs="Times New Roman"/>
          <w:sz w:val="24"/>
          <w:szCs w:val="24"/>
        </w:rPr>
        <w:t>RTI, 2002</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Report on Incentive Experiments in the 2001 National Household Survey on Drug Abuse</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July 2002.</w:t>
      </w:r>
    </w:p>
    <w:p w:rsidR="004364A5" w:rsidRPr="00E414BD" w:rsidRDefault="004364A5" w:rsidP="00B17F28">
      <w:pPr>
        <w:spacing w:after="200"/>
        <w:rPr>
          <w:rFonts w:ascii="Times New Roman" w:hAnsi="Times New Roman" w:cs="Times New Roman"/>
          <w:sz w:val="24"/>
          <w:szCs w:val="24"/>
        </w:rPr>
      </w:pPr>
      <w:r w:rsidRPr="00E414BD">
        <w:rPr>
          <w:rFonts w:ascii="Times New Roman" w:hAnsi="Times New Roman" w:cs="Times New Roman"/>
          <w:sz w:val="24"/>
          <w:szCs w:val="24"/>
        </w:rPr>
        <w:t xml:space="preserve">Singer, E. (2002). The use of incentives to reduce nonresponse in household surveys. In R. M. Groves, D. A. </w:t>
      </w:r>
      <w:proofErr w:type="spellStart"/>
      <w:r w:rsidRPr="00E414BD">
        <w:rPr>
          <w:rFonts w:ascii="Times New Roman" w:hAnsi="Times New Roman" w:cs="Times New Roman"/>
          <w:sz w:val="24"/>
          <w:szCs w:val="24"/>
        </w:rPr>
        <w:t>Dillman</w:t>
      </w:r>
      <w:proofErr w:type="spellEnd"/>
      <w:r w:rsidRPr="00E414BD">
        <w:rPr>
          <w:rFonts w:ascii="Times New Roman" w:hAnsi="Times New Roman" w:cs="Times New Roman"/>
          <w:sz w:val="24"/>
          <w:szCs w:val="24"/>
        </w:rPr>
        <w:t xml:space="preserve">, J. L. </w:t>
      </w:r>
      <w:proofErr w:type="spellStart"/>
      <w:r w:rsidRPr="00E414BD">
        <w:rPr>
          <w:rFonts w:ascii="Times New Roman" w:hAnsi="Times New Roman" w:cs="Times New Roman"/>
          <w:sz w:val="24"/>
          <w:szCs w:val="24"/>
        </w:rPr>
        <w:t>Eltinge</w:t>
      </w:r>
      <w:proofErr w:type="spellEnd"/>
      <w:r w:rsidRPr="00E414BD">
        <w:rPr>
          <w:rFonts w:ascii="Times New Roman" w:hAnsi="Times New Roman" w:cs="Times New Roman"/>
          <w:sz w:val="24"/>
          <w:szCs w:val="24"/>
        </w:rPr>
        <w:t xml:space="preserve">, &amp; R. J. A. Little (Eds.), Survey nonresponse (pp.163–177). </w:t>
      </w:r>
      <w:proofErr w:type="spellStart"/>
      <w:r w:rsidRPr="00E414BD">
        <w:rPr>
          <w:rFonts w:ascii="Times New Roman" w:hAnsi="Times New Roman" w:cs="Times New Roman"/>
          <w:sz w:val="24"/>
          <w:szCs w:val="24"/>
        </w:rPr>
        <w:t>Chichester</w:t>
      </w:r>
      <w:proofErr w:type="spellEnd"/>
      <w:r w:rsidRPr="00E414BD">
        <w:rPr>
          <w:rFonts w:ascii="Times New Roman" w:hAnsi="Times New Roman" w:cs="Times New Roman"/>
          <w:sz w:val="24"/>
          <w:szCs w:val="24"/>
        </w:rPr>
        <w:t>: Wiley.</w:t>
      </w:r>
    </w:p>
    <w:p w:rsidR="00507649" w:rsidRPr="00E414BD" w:rsidRDefault="00507649" w:rsidP="00B17F28">
      <w:pPr>
        <w:spacing w:after="200"/>
        <w:rPr>
          <w:rFonts w:ascii="Times New Roman" w:hAnsi="Times New Roman" w:cs="Times New Roman"/>
          <w:sz w:val="24"/>
          <w:szCs w:val="24"/>
        </w:rPr>
      </w:pPr>
      <w:r w:rsidRPr="00E414BD">
        <w:rPr>
          <w:rFonts w:ascii="Times New Roman" w:hAnsi="Times New Roman" w:cs="Times New Roman"/>
          <w:sz w:val="24"/>
          <w:szCs w:val="24"/>
        </w:rPr>
        <w:t>Truman, J.L. and Planty, M. (2012). Criminal Victimization, 2011. NCJ 239437. Washington, DC: Bureau of Justice Statistics, http://bjs.ojp.usdoj.gov/content/pub/pdf/cv11.pdf.</w:t>
      </w:r>
    </w:p>
    <w:p w:rsidR="00507649" w:rsidRPr="00E414BD" w:rsidRDefault="00B72059" w:rsidP="00507649">
      <w:pPr>
        <w:spacing w:after="200"/>
        <w:rPr>
          <w:rFonts w:ascii="Times New Roman" w:hAnsi="Times New Roman" w:cs="Times New Roman"/>
          <w:sz w:val="24"/>
          <w:szCs w:val="24"/>
        </w:rPr>
      </w:pPr>
      <w:r w:rsidRPr="00E414BD">
        <w:rPr>
          <w:rFonts w:ascii="Times New Roman" w:hAnsi="Times New Roman" w:cs="Times New Roman"/>
          <w:sz w:val="24"/>
          <w:szCs w:val="24"/>
        </w:rPr>
        <w:t>U.S. Department of Health and Human Services 2010</w:t>
      </w:r>
      <w:r w:rsidR="00750158">
        <w:rPr>
          <w:rFonts w:ascii="Times New Roman" w:hAnsi="Times New Roman" w:cs="Times New Roman"/>
          <w:sz w:val="24"/>
          <w:szCs w:val="24"/>
        </w:rPr>
        <w:t xml:space="preserve">. </w:t>
      </w:r>
      <w:r w:rsidRPr="00E414BD">
        <w:rPr>
          <w:rFonts w:ascii="Times New Roman" w:hAnsi="Times New Roman" w:cs="Times New Roman"/>
          <w:sz w:val="24"/>
          <w:szCs w:val="24"/>
        </w:rPr>
        <w:t>Report on a Respondent Payment Experiment in the Medical Expenditure Panel Survey</w:t>
      </w:r>
      <w:r w:rsidR="00507649" w:rsidRPr="00E414BD">
        <w:rPr>
          <w:rFonts w:ascii="Times New Roman" w:hAnsi="Times New Roman" w:cs="Times New Roman"/>
          <w:sz w:val="24"/>
          <w:szCs w:val="24"/>
        </w:rPr>
        <w:t xml:space="preserve">. </w:t>
      </w:r>
      <w:r w:rsidRPr="00E414BD">
        <w:rPr>
          <w:rFonts w:ascii="Times New Roman" w:hAnsi="Times New Roman" w:cs="Times New Roman"/>
          <w:sz w:val="24"/>
          <w:szCs w:val="24"/>
        </w:rPr>
        <w:t>October 2010.</w:t>
      </w:r>
    </w:p>
    <w:p w:rsidR="00B72059" w:rsidRPr="00B72059" w:rsidRDefault="00B72059" w:rsidP="00507649">
      <w:pPr>
        <w:spacing w:after="200"/>
        <w:rPr>
          <w:rFonts w:ascii="Garamond" w:hAnsi="Garamond"/>
        </w:rPr>
      </w:pPr>
    </w:p>
    <w:p w:rsidR="00B17F28" w:rsidRPr="004D52AA" w:rsidRDefault="00B17F28" w:rsidP="00B17F28">
      <w:pPr>
        <w:spacing w:after="200"/>
        <w:rPr>
          <w:rFonts w:ascii="Garamond" w:hAnsi="Garamond"/>
        </w:rPr>
      </w:pPr>
    </w:p>
    <w:sectPr w:rsidR="00B17F28" w:rsidRPr="004D52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36E" w:rsidRDefault="0058436E" w:rsidP="00B71B0A">
      <w:r>
        <w:separator/>
      </w:r>
    </w:p>
  </w:endnote>
  <w:endnote w:type="continuationSeparator" w:id="0">
    <w:p w:rsidR="0058436E" w:rsidRDefault="0058436E" w:rsidP="00B7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259563"/>
      <w:docPartObj>
        <w:docPartGallery w:val="Page Numbers (Bottom of Page)"/>
        <w:docPartUnique/>
      </w:docPartObj>
    </w:sdtPr>
    <w:sdtEndPr>
      <w:rPr>
        <w:noProof/>
      </w:rPr>
    </w:sdtEndPr>
    <w:sdtContent>
      <w:p w:rsidR="00B71B0A" w:rsidRDefault="00B71B0A">
        <w:pPr>
          <w:pStyle w:val="Footer"/>
          <w:jc w:val="right"/>
        </w:pPr>
        <w:r>
          <w:fldChar w:fldCharType="begin"/>
        </w:r>
        <w:r>
          <w:instrText xml:space="preserve"> PAGE   \* MERGEFORMAT </w:instrText>
        </w:r>
        <w:r>
          <w:fldChar w:fldCharType="separate"/>
        </w:r>
        <w:r w:rsidR="00DE70AF">
          <w:rPr>
            <w:noProof/>
          </w:rPr>
          <w:t>5</w:t>
        </w:r>
        <w:r>
          <w:rPr>
            <w:noProof/>
          </w:rPr>
          <w:fldChar w:fldCharType="end"/>
        </w:r>
      </w:p>
    </w:sdtContent>
  </w:sdt>
  <w:p w:rsidR="00B71B0A" w:rsidRDefault="00B71B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36E" w:rsidRDefault="0058436E" w:rsidP="00B71B0A">
      <w:r>
        <w:separator/>
      </w:r>
    </w:p>
  </w:footnote>
  <w:footnote w:type="continuationSeparator" w:id="0">
    <w:p w:rsidR="0058436E" w:rsidRDefault="0058436E" w:rsidP="00B71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495AA2"/>
    <w:multiLevelType w:val="hybridMultilevel"/>
    <w:tmpl w:val="A244AB0A"/>
    <w:lvl w:ilvl="0" w:tplc="513CC08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77375B"/>
    <w:multiLevelType w:val="hybridMultilevel"/>
    <w:tmpl w:val="B228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C09"/>
    <w:rsid w:val="00033C03"/>
    <w:rsid w:val="00066D73"/>
    <w:rsid w:val="000B5082"/>
    <w:rsid w:val="000C2D71"/>
    <w:rsid w:val="000E1EF7"/>
    <w:rsid w:val="00106E51"/>
    <w:rsid w:val="00106EDC"/>
    <w:rsid w:val="00112F68"/>
    <w:rsid w:val="0011536C"/>
    <w:rsid w:val="00165E28"/>
    <w:rsid w:val="00191E09"/>
    <w:rsid w:val="001C26B8"/>
    <w:rsid w:val="002009EF"/>
    <w:rsid w:val="00211725"/>
    <w:rsid w:val="00235A52"/>
    <w:rsid w:val="00297413"/>
    <w:rsid w:val="002E7224"/>
    <w:rsid w:val="00335C9A"/>
    <w:rsid w:val="00343D1B"/>
    <w:rsid w:val="00385283"/>
    <w:rsid w:val="003871B4"/>
    <w:rsid w:val="003940EF"/>
    <w:rsid w:val="003978FC"/>
    <w:rsid w:val="003A2C32"/>
    <w:rsid w:val="00402198"/>
    <w:rsid w:val="004364A5"/>
    <w:rsid w:val="00447708"/>
    <w:rsid w:val="00491256"/>
    <w:rsid w:val="004C7EC6"/>
    <w:rsid w:val="004D52AA"/>
    <w:rsid w:val="005041BC"/>
    <w:rsid w:val="00507649"/>
    <w:rsid w:val="00513911"/>
    <w:rsid w:val="00544109"/>
    <w:rsid w:val="0058436E"/>
    <w:rsid w:val="00623008"/>
    <w:rsid w:val="006D04CC"/>
    <w:rsid w:val="006F2E43"/>
    <w:rsid w:val="00703BBC"/>
    <w:rsid w:val="00736954"/>
    <w:rsid w:val="00750158"/>
    <w:rsid w:val="00785E5F"/>
    <w:rsid w:val="007A789C"/>
    <w:rsid w:val="007D3A8D"/>
    <w:rsid w:val="007E7AFD"/>
    <w:rsid w:val="007F0517"/>
    <w:rsid w:val="00815981"/>
    <w:rsid w:val="00852128"/>
    <w:rsid w:val="008F69FF"/>
    <w:rsid w:val="00902733"/>
    <w:rsid w:val="0094168A"/>
    <w:rsid w:val="0094650E"/>
    <w:rsid w:val="00971019"/>
    <w:rsid w:val="00980C09"/>
    <w:rsid w:val="00992504"/>
    <w:rsid w:val="009B5A0F"/>
    <w:rsid w:val="009D63D2"/>
    <w:rsid w:val="00A14B8B"/>
    <w:rsid w:val="00A25443"/>
    <w:rsid w:val="00A32CC8"/>
    <w:rsid w:val="00A6314E"/>
    <w:rsid w:val="00AB3DC9"/>
    <w:rsid w:val="00AB41AF"/>
    <w:rsid w:val="00B12A3D"/>
    <w:rsid w:val="00B17F28"/>
    <w:rsid w:val="00B44541"/>
    <w:rsid w:val="00B71B0A"/>
    <w:rsid w:val="00B72059"/>
    <w:rsid w:val="00BD3328"/>
    <w:rsid w:val="00C47A61"/>
    <w:rsid w:val="00C82896"/>
    <w:rsid w:val="00D433F8"/>
    <w:rsid w:val="00D64F08"/>
    <w:rsid w:val="00D85D86"/>
    <w:rsid w:val="00DD27CE"/>
    <w:rsid w:val="00DE1C54"/>
    <w:rsid w:val="00DE70AF"/>
    <w:rsid w:val="00E113CA"/>
    <w:rsid w:val="00E30D72"/>
    <w:rsid w:val="00E3506F"/>
    <w:rsid w:val="00E414BD"/>
    <w:rsid w:val="00E66D52"/>
    <w:rsid w:val="00E72AEB"/>
    <w:rsid w:val="00EA00E6"/>
    <w:rsid w:val="00ED3046"/>
    <w:rsid w:val="00EE2969"/>
    <w:rsid w:val="00EF09B0"/>
    <w:rsid w:val="00F121E3"/>
    <w:rsid w:val="00F25A9B"/>
    <w:rsid w:val="00F313E7"/>
    <w:rsid w:val="00F9004B"/>
    <w:rsid w:val="00F941C7"/>
    <w:rsid w:val="00F9576B"/>
    <w:rsid w:val="00FA36CD"/>
    <w:rsid w:val="00FD3A2A"/>
    <w:rsid w:val="00FE727D"/>
    <w:rsid w:val="00FE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6C7ED-2622-49C4-821B-9642DBC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76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B0A"/>
    <w:pPr>
      <w:tabs>
        <w:tab w:val="center" w:pos="4680"/>
        <w:tab w:val="right" w:pos="9360"/>
      </w:tabs>
    </w:pPr>
  </w:style>
  <w:style w:type="character" w:customStyle="1" w:styleId="HeaderChar">
    <w:name w:val="Header Char"/>
    <w:basedOn w:val="DefaultParagraphFont"/>
    <w:link w:val="Header"/>
    <w:uiPriority w:val="99"/>
    <w:rsid w:val="00B71B0A"/>
  </w:style>
  <w:style w:type="paragraph" w:styleId="Footer">
    <w:name w:val="footer"/>
    <w:basedOn w:val="Normal"/>
    <w:link w:val="FooterChar"/>
    <w:uiPriority w:val="99"/>
    <w:unhideWhenUsed/>
    <w:rsid w:val="00B71B0A"/>
    <w:pPr>
      <w:tabs>
        <w:tab w:val="center" w:pos="4680"/>
        <w:tab w:val="right" w:pos="9360"/>
      </w:tabs>
    </w:pPr>
  </w:style>
  <w:style w:type="character" w:customStyle="1" w:styleId="FooterChar">
    <w:name w:val="Footer Char"/>
    <w:basedOn w:val="DefaultParagraphFont"/>
    <w:link w:val="Footer"/>
    <w:uiPriority w:val="99"/>
    <w:rsid w:val="00B71B0A"/>
  </w:style>
  <w:style w:type="paragraph" w:styleId="FootnoteText">
    <w:name w:val="footnote text"/>
    <w:aliases w:val="F1"/>
    <w:basedOn w:val="Normal"/>
    <w:link w:val="FootnoteTextChar"/>
    <w:uiPriority w:val="99"/>
    <w:semiHidden/>
    <w:unhideWhenUsed/>
    <w:rsid w:val="00FE727D"/>
    <w:rPr>
      <w:sz w:val="20"/>
      <w:szCs w:val="20"/>
    </w:rPr>
  </w:style>
  <w:style w:type="character" w:customStyle="1" w:styleId="FootnoteTextChar">
    <w:name w:val="Footnote Text Char"/>
    <w:aliases w:val="F1 Char"/>
    <w:basedOn w:val="DefaultParagraphFont"/>
    <w:link w:val="FootnoteText"/>
    <w:uiPriority w:val="99"/>
    <w:semiHidden/>
    <w:rsid w:val="00FE727D"/>
    <w:rPr>
      <w:sz w:val="20"/>
      <w:szCs w:val="20"/>
    </w:rPr>
  </w:style>
  <w:style w:type="character" w:styleId="FootnoteReference">
    <w:name w:val="footnote reference"/>
    <w:basedOn w:val="DefaultParagraphFont"/>
    <w:uiPriority w:val="99"/>
    <w:semiHidden/>
    <w:unhideWhenUsed/>
    <w:rsid w:val="00FE727D"/>
    <w:rPr>
      <w:vertAlign w:val="superscript"/>
    </w:rPr>
  </w:style>
  <w:style w:type="paragraph" w:styleId="ListParagraph">
    <w:name w:val="List Paragraph"/>
    <w:basedOn w:val="Normal"/>
    <w:uiPriority w:val="34"/>
    <w:qFormat/>
    <w:rsid w:val="00FA36CD"/>
    <w:pPr>
      <w:ind w:left="720"/>
      <w:contextualSpacing/>
    </w:pPr>
  </w:style>
  <w:style w:type="table" w:styleId="TableGrid">
    <w:name w:val="Table Grid"/>
    <w:basedOn w:val="TableNormal"/>
    <w:uiPriority w:val="59"/>
    <w:rsid w:val="00E11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6D73"/>
    <w:rPr>
      <w:sz w:val="16"/>
      <w:szCs w:val="16"/>
    </w:rPr>
  </w:style>
  <w:style w:type="paragraph" w:styleId="CommentText">
    <w:name w:val="annotation text"/>
    <w:basedOn w:val="Normal"/>
    <w:link w:val="CommentTextChar"/>
    <w:uiPriority w:val="99"/>
    <w:semiHidden/>
    <w:unhideWhenUsed/>
    <w:rsid w:val="00066D73"/>
    <w:rPr>
      <w:sz w:val="20"/>
      <w:szCs w:val="20"/>
    </w:rPr>
  </w:style>
  <w:style w:type="character" w:customStyle="1" w:styleId="CommentTextChar">
    <w:name w:val="Comment Text Char"/>
    <w:basedOn w:val="DefaultParagraphFont"/>
    <w:link w:val="CommentText"/>
    <w:uiPriority w:val="99"/>
    <w:semiHidden/>
    <w:rsid w:val="00066D73"/>
    <w:rPr>
      <w:sz w:val="20"/>
      <w:szCs w:val="20"/>
    </w:rPr>
  </w:style>
  <w:style w:type="paragraph" w:styleId="CommentSubject">
    <w:name w:val="annotation subject"/>
    <w:basedOn w:val="CommentText"/>
    <w:next w:val="CommentText"/>
    <w:link w:val="CommentSubjectChar"/>
    <w:uiPriority w:val="99"/>
    <w:semiHidden/>
    <w:unhideWhenUsed/>
    <w:rsid w:val="00066D73"/>
    <w:rPr>
      <w:b/>
      <w:bCs/>
    </w:rPr>
  </w:style>
  <w:style w:type="character" w:customStyle="1" w:styleId="CommentSubjectChar">
    <w:name w:val="Comment Subject Char"/>
    <w:basedOn w:val="CommentTextChar"/>
    <w:link w:val="CommentSubject"/>
    <w:uiPriority w:val="99"/>
    <w:semiHidden/>
    <w:rsid w:val="00066D73"/>
    <w:rPr>
      <w:b/>
      <w:bCs/>
      <w:sz w:val="20"/>
      <w:szCs w:val="20"/>
    </w:rPr>
  </w:style>
  <w:style w:type="paragraph" w:styleId="BalloonText">
    <w:name w:val="Balloon Text"/>
    <w:basedOn w:val="Normal"/>
    <w:link w:val="BalloonTextChar"/>
    <w:uiPriority w:val="99"/>
    <w:semiHidden/>
    <w:unhideWhenUsed/>
    <w:rsid w:val="00066D73"/>
    <w:rPr>
      <w:rFonts w:ascii="Tahoma" w:hAnsi="Tahoma" w:cs="Tahoma"/>
      <w:sz w:val="16"/>
      <w:szCs w:val="16"/>
    </w:rPr>
  </w:style>
  <w:style w:type="character" w:customStyle="1" w:styleId="BalloonTextChar">
    <w:name w:val="Balloon Text Char"/>
    <w:basedOn w:val="DefaultParagraphFont"/>
    <w:link w:val="BalloonText"/>
    <w:uiPriority w:val="99"/>
    <w:semiHidden/>
    <w:rsid w:val="00066D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1792">
      <w:bodyDiv w:val="1"/>
      <w:marLeft w:val="0"/>
      <w:marRight w:val="0"/>
      <w:marTop w:val="0"/>
      <w:marBottom w:val="0"/>
      <w:divBdr>
        <w:top w:val="none" w:sz="0" w:space="0" w:color="auto"/>
        <w:left w:val="none" w:sz="0" w:space="0" w:color="auto"/>
        <w:bottom w:val="none" w:sz="0" w:space="0" w:color="auto"/>
        <w:right w:val="none" w:sz="0" w:space="0" w:color="auto"/>
      </w:divBdr>
    </w:div>
    <w:div w:id="172260759">
      <w:bodyDiv w:val="1"/>
      <w:marLeft w:val="0"/>
      <w:marRight w:val="0"/>
      <w:marTop w:val="0"/>
      <w:marBottom w:val="0"/>
      <w:divBdr>
        <w:top w:val="none" w:sz="0" w:space="0" w:color="auto"/>
        <w:left w:val="none" w:sz="0" w:space="0" w:color="auto"/>
        <w:bottom w:val="none" w:sz="0" w:space="0" w:color="auto"/>
        <w:right w:val="none" w:sz="0" w:space="0" w:color="auto"/>
      </w:divBdr>
    </w:div>
    <w:div w:id="246887867">
      <w:bodyDiv w:val="1"/>
      <w:marLeft w:val="0"/>
      <w:marRight w:val="0"/>
      <w:marTop w:val="0"/>
      <w:marBottom w:val="0"/>
      <w:divBdr>
        <w:top w:val="none" w:sz="0" w:space="0" w:color="auto"/>
        <w:left w:val="none" w:sz="0" w:space="0" w:color="auto"/>
        <w:bottom w:val="none" w:sz="0" w:space="0" w:color="auto"/>
        <w:right w:val="none" w:sz="0" w:space="0" w:color="auto"/>
      </w:divBdr>
    </w:div>
    <w:div w:id="493691287">
      <w:bodyDiv w:val="1"/>
      <w:marLeft w:val="0"/>
      <w:marRight w:val="0"/>
      <w:marTop w:val="0"/>
      <w:marBottom w:val="0"/>
      <w:divBdr>
        <w:top w:val="none" w:sz="0" w:space="0" w:color="auto"/>
        <w:left w:val="none" w:sz="0" w:space="0" w:color="auto"/>
        <w:bottom w:val="none" w:sz="0" w:space="0" w:color="auto"/>
        <w:right w:val="none" w:sz="0" w:space="0" w:color="auto"/>
      </w:divBdr>
    </w:div>
    <w:div w:id="502012172">
      <w:bodyDiv w:val="1"/>
      <w:marLeft w:val="0"/>
      <w:marRight w:val="0"/>
      <w:marTop w:val="0"/>
      <w:marBottom w:val="0"/>
      <w:divBdr>
        <w:top w:val="none" w:sz="0" w:space="0" w:color="auto"/>
        <w:left w:val="none" w:sz="0" w:space="0" w:color="auto"/>
        <w:bottom w:val="none" w:sz="0" w:space="0" w:color="auto"/>
        <w:right w:val="none" w:sz="0" w:space="0" w:color="auto"/>
      </w:divBdr>
    </w:div>
    <w:div w:id="791243562">
      <w:bodyDiv w:val="1"/>
      <w:marLeft w:val="0"/>
      <w:marRight w:val="0"/>
      <w:marTop w:val="0"/>
      <w:marBottom w:val="0"/>
      <w:divBdr>
        <w:top w:val="none" w:sz="0" w:space="0" w:color="auto"/>
        <w:left w:val="none" w:sz="0" w:space="0" w:color="auto"/>
        <w:bottom w:val="none" w:sz="0" w:space="0" w:color="auto"/>
        <w:right w:val="none" w:sz="0" w:space="0" w:color="auto"/>
      </w:divBdr>
    </w:div>
    <w:div w:id="1033652647">
      <w:bodyDiv w:val="1"/>
      <w:marLeft w:val="0"/>
      <w:marRight w:val="0"/>
      <w:marTop w:val="0"/>
      <w:marBottom w:val="0"/>
      <w:divBdr>
        <w:top w:val="none" w:sz="0" w:space="0" w:color="auto"/>
        <w:left w:val="none" w:sz="0" w:space="0" w:color="auto"/>
        <w:bottom w:val="none" w:sz="0" w:space="0" w:color="auto"/>
        <w:right w:val="none" w:sz="0" w:space="0" w:color="auto"/>
      </w:divBdr>
    </w:div>
    <w:div w:id="1174681996">
      <w:bodyDiv w:val="1"/>
      <w:marLeft w:val="0"/>
      <w:marRight w:val="0"/>
      <w:marTop w:val="0"/>
      <w:marBottom w:val="0"/>
      <w:divBdr>
        <w:top w:val="none" w:sz="0" w:space="0" w:color="auto"/>
        <w:left w:val="none" w:sz="0" w:space="0" w:color="auto"/>
        <w:bottom w:val="none" w:sz="0" w:space="0" w:color="auto"/>
        <w:right w:val="none" w:sz="0" w:space="0" w:color="auto"/>
      </w:divBdr>
    </w:div>
    <w:div w:id="1203372158">
      <w:bodyDiv w:val="1"/>
      <w:marLeft w:val="0"/>
      <w:marRight w:val="0"/>
      <w:marTop w:val="0"/>
      <w:marBottom w:val="0"/>
      <w:divBdr>
        <w:top w:val="none" w:sz="0" w:space="0" w:color="auto"/>
        <w:left w:val="none" w:sz="0" w:space="0" w:color="auto"/>
        <w:bottom w:val="none" w:sz="0" w:space="0" w:color="auto"/>
        <w:right w:val="none" w:sz="0" w:space="0" w:color="auto"/>
      </w:divBdr>
    </w:div>
    <w:div w:id="1267881965">
      <w:bodyDiv w:val="1"/>
      <w:marLeft w:val="0"/>
      <w:marRight w:val="0"/>
      <w:marTop w:val="0"/>
      <w:marBottom w:val="0"/>
      <w:divBdr>
        <w:top w:val="none" w:sz="0" w:space="0" w:color="auto"/>
        <w:left w:val="none" w:sz="0" w:space="0" w:color="auto"/>
        <w:bottom w:val="none" w:sz="0" w:space="0" w:color="auto"/>
        <w:right w:val="none" w:sz="0" w:space="0" w:color="auto"/>
      </w:divBdr>
    </w:div>
    <w:div w:id="1282957424">
      <w:bodyDiv w:val="1"/>
      <w:marLeft w:val="0"/>
      <w:marRight w:val="0"/>
      <w:marTop w:val="0"/>
      <w:marBottom w:val="0"/>
      <w:divBdr>
        <w:top w:val="none" w:sz="0" w:space="0" w:color="auto"/>
        <w:left w:val="none" w:sz="0" w:space="0" w:color="auto"/>
        <w:bottom w:val="none" w:sz="0" w:space="0" w:color="auto"/>
        <w:right w:val="none" w:sz="0" w:space="0" w:color="auto"/>
      </w:divBdr>
    </w:div>
    <w:div w:id="1291322239">
      <w:bodyDiv w:val="1"/>
      <w:marLeft w:val="0"/>
      <w:marRight w:val="0"/>
      <w:marTop w:val="0"/>
      <w:marBottom w:val="0"/>
      <w:divBdr>
        <w:top w:val="none" w:sz="0" w:space="0" w:color="auto"/>
        <w:left w:val="none" w:sz="0" w:space="0" w:color="auto"/>
        <w:bottom w:val="none" w:sz="0" w:space="0" w:color="auto"/>
        <w:right w:val="none" w:sz="0" w:space="0" w:color="auto"/>
      </w:divBdr>
    </w:div>
    <w:div w:id="1601138944">
      <w:bodyDiv w:val="1"/>
      <w:marLeft w:val="0"/>
      <w:marRight w:val="0"/>
      <w:marTop w:val="0"/>
      <w:marBottom w:val="0"/>
      <w:divBdr>
        <w:top w:val="none" w:sz="0" w:space="0" w:color="auto"/>
        <w:left w:val="none" w:sz="0" w:space="0" w:color="auto"/>
        <w:bottom w:val="none" w:sz="0" w:space="0" w:color="auto"/>
        <w:right w:val="none" w:sz="0" w:space="0" w:color="auto"/>
      </w:divBdr>
    </w:div>
    <w:div w:id="1640961093">
      <w:bodyDiv w:val="1"/>
      <w:marLeft w:val="0"/>
      <w:marRight w:val="0"/>
      <w:marTop w:val="0"/>
      <w:marBottom w:val="0"/>
      <w:divBdr>
        <w:top w:val="none" w:sz="0" w:space="0" w:color="auto"/>
        <w:left w:val="none" w:sz="0" w:space="0" w:color="auto"/>
        <w:bottom w:val="none" w:sz="0" w:space="0" w:color="auto"/>
        <w:right w:val="none" w:sz="0" w:space="0" w:color="auto"/>
      </w:divBdr>
    </w:div>
    <w:div w:id="1767768958">
      <w:bodyDiv w:val="1"/>
      <w:marLeft w:val="0"/>
      <w:marRight w:val="0"/>
      <w:marTop w:val="0"/>
      <w:marBottom w:val="0"/>
      <w:divBdr>
        <w:top w:val="none" w:sz="0" w:space="0" w:color="auto"/>
        <w:left w:val="none" w:sz="0" w:space="0" w:color="auto"/>
        <w:bottom w:val="none" w:sz="0" w:space="0" w:color="auto"/>
        <w:right w:val="none" w:sz="0" w:space="0" w:color="auto"/>
      </w:divBdr>
    </w:div>
    <w:div w:id="1846287578">
      <w:bodyDiv w:val="1"/>
      <w:marLeft w:val="0"/>
      <w:marRight w:val="0"/>
      <w:marTop w:val="0"/>
      <w:marBottom w:val="0"/>
      <w:divBdr>
        <w:top w:val="none" w:sz="0" w:space="0" w:color="auto"/>
        <w:left w:val="none" w:sz="0" w:space="0" w:color="auto"/>
        <w:bottom w:val="none" w:sz="0" w:space="0" w:color="auto"/>
        <w:right w:val="none" w:sz="0" w:space="0" w:color="auto"/>
      </w:divBdr>
    </w:div>
    <w:div w:id="1944148373">
      <w:bodyDiv w:val="1"/>
      <w:marLeft w:val="0"/>
      <w:marRight w:val="0"/>
      <w:marTop w:val="0"/>
      <w:marBottom w:val="0"/>
      <w:divBdr>
        <w:top w:val="none" w:sz="0" w:space="0" w:color="auto"/>
        <w:left w:val="none" w:sz="0" w:space="0" w:color="auto"/>
        <w:bottom w:val="none" w:sz="0" w:space="0" w:color="auto"/>
        <w:right w:val="none" w:sz="0" w:space="0" w:color="auto"/>
      </w:divBdr>
    </w:div>
    <w:div w:id="1963150082">
      <w:bodyDiv w:val="1"/>
      <w:marLeft w:val="0"/>
      <w:marRight w:val="0"/>
      <w:marTop w:val="0"/>
      <w:marBottom w:val="0"/>
      <w:divBdr>
        <w:top w:val="none" w:sz="0" w:space="0" w:color="auto"/>
        <w:left w:val="none" w:sz="0" w:space="0" w:color="auto"/>
        <w:bottom w:val="none" w:sz="0" w:space="0" w:color="auto"/>
        <w:right w:val="none" w:sz="0" w:space="0" w:color="auto"/>
      </w:divBdr>
    </w:div>
    <w:div w:id="19924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5FE45-3C11-4612-8D9B-A0A98DA2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3564</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Giambo</dc:creator>
  <cp:lastModifiedBy>Adams, Devon</cp:lastModifiedBy>
  <cp:revision>3</cp:revision>
  <dcterms:created xsi:type="dcterms:W3CDTF">2015-02-10T22:05:00Z</dcterms:created>
  <dcterms:modified xsi:type="dcterms:W3CDTF">2015-02-11T13:04:00Z</dcterms:modified>
</cp:coreProperties>
</file>