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C382" w14:textId="79642816" w:rsidR="002D7FA7" w:rsidRPr="00A63AB2" w:rsidRDefault="002D7FA7" w:rsidP="00732961">
      <w:pPr>
        <w:pStyle w:val="Heading1"/>
        <w:keepNext w:val="0"/>
      </w:pPr>
      <w:bookmarkStart w:id="0" w:name="_Toc381882855"/>
      <w:bookmarkStart w:id="1" w:name="_Toc356978042"/>
      <w:bookmarkStart w:id="2" w:name="_Toc350864651"/>
      <w:r w:rsidRPr="00A63AB2">
        <w:t>I.  ADMINISTRATIVE REQUIREMENTS</w:t>
      </w:r>
      <w:bookmarkEnd w:id="0"/>
      <w:r w:rsidR="00732961">
        <w:t xml:space="preserve"> </w:t>
      </w:r>
      <w:r w:rsidR="006E700D">
        <w:t>–</w:t>
      </w:r>
      <w:r w:rsidR="00732961">
        <w:t xml:space="preserve"> REVISED</w:t>
      </w:r>
    </w:p>
    <w:p w14:paraId="005A2853" w14:textId="77777777" w:rsidR="00391F8D" w:rsidRPr="0081014A" w:rsidRDefault="00077BF7" w:rsidP="00732961">
      <w:pPr>
        <w:pStyle w:val="Heading2"/>
        <w:keepNext w:val="0"/>
        <w:jc w:val="both"/>
      </w:pPr>
      <w:bookmarkStart w:id="3" w:name="_Toc381882856"/>
      <w:r w:rsidRPr="0081014A">
        <w:t>A.</w:t>
      </w:r>
      <w:r w:rsidRPr="0081014A">
        <w:tab/>
      </w:r>
      <w:r w:rsidRPr="009225F7">
        <w:t>INTRODUCTION</w:t>
      </w:r>
      <w:bookmarkStart w:id="4" w:name="_GoBack"/>
      <w:bookmarkEnd w:id="1"/>
      <w:bookmarkEnd w:id="2"/>
      <w:bookmarkEnd w:id="3"/>
      <w:bookmarkEnd w:id="4"/>
    </w:p>
    <w:p w14:paraId="1DC9A051" w14:textId="77777777" w:rsidR="00FD2502" w:rsidRPr="0081014A" w:rsidRDefault="00077BF7" w:rsidP="00732961">
      <w:pPr>
        <w:keepNext w:val="0"/>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391F8D" w:rsidRPr="0081014A">
        <w:t xml:space="preserve"> with States to collect occupational injury and illness data.  This statistical program now extends to about 50 political jurisdictions, including the District of Columbia, Commonwealth of Puerto Rico, Guam, and the Virgin Islands.</w:t>
      </w:r>
    </w:p>
    <w:p w14:paraId="5B1804B0" w14:textId="77777777" w:rsidR="00391F8D" w:rsidRPr="00FC48A7" w:rsidRDefault="00391F8D" w:rsidP="00732961">
      <w:pPr>
        <w:pStyle w:val="Heading2"/>
        <w:keepNext w:val="0"/>
        <w:jc w:val="both"/>
      </w:pPr>
      <w:bookmarkStart w:id="5" w:name="_Toc356978043"/>
      <w:bookmarkStart w:id="6" w:name="_Toc350864652"/>
      <w:bookmarkStart w:id="7" w:name="_Toc381882857"/>
      <w:r w:rsidRPr="00FC48A7">
        <w:t>B.</w:t>
      </w:r>
      <w:r w:rsidRPr="00FC48A7">
        <w:tab/>
        <w:t>AUTHORIZING LEGISLATION</w:t>
      </w:r>
      <w:bookmarkEnd w:id="5"/>
      <w:bookmarkEnd w:id="6"/>
      <w:bookmarkEnd w:id="7"/>
    </w:p>
    <w:p w14:paraId="4378C42E" w14:textId="77777777" w:rsidR="00FD2502" w:rsidRPr="00FC48A7" w:rsidRDefault="00391F8D" w:rsidP="00732961">
      <w:pPr>
        <w:keepNext w:val="0"/>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the Secretary to make grants to States or political subdivisions thereof to assist them in developing and administering programs dealing with occupational safety and health statistics.  Section 24(c) limits the Federal share of the grants authorized under Section 24(b) to an amount up to 50 percent of the State's total cost.  Section 24(d) authorizes the Secretary to accept the services and facilities of State agencies or political subdivisions with or without reimbursement.</w:t>
      </w:r>
    </w:p>
    <w:p w14:paraId="0B0AF64D" w14:textId="77777777" w:rsidR="00FD2502" w:rsidRPr="00FC48A7" w:rsidRDefault="00391F8D" w:rsidP="00732961">
      <w:pPr>
        <w:keepNext w:val="0"/>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14:paraId="3E97966E" w14:textId="77777777" w:rsidR="00391F8D" w:rsidRPr="00FC48A7" w:rsidRDefault="00391F8D" w:rsidP="00732961">
      <w:pPr>
        <w:pStyle w:val="Heading2"/>
        <w:keepNext w:val="0"/>
        <w:jc w:val="both"/>
      </w:pPr>
      <w:bookmarkStart w:id="8" w:name="_Toc356978044"/>
      <w:bookmarkStart w:id="9" w:name="_Toc350864653"/>
      <w:bookmarkStart w:id="10" w:name="_Toc381882858"/>
      <w:r w:rsidRPr="00FC48A7">
        <w:t>C.</w:t>
      </w:r>
      <w:r w:rsidRPr="00FC48A7">
        <w:tab/>
        <w:t>ELIGIBLE APPLICANTS</w:t>
      </w:r>
      <w:bookmarkEnd w:id="8"/>
      <w:bookmarkEnd w:id="9"/>
      <w:bookmarkEnd w:id="10"/>
    </w:p>
    <w:p w14:paraId="5872C51D" w14:textId="77777777" w:rsidR="00FD2502" w:rsidRPr="00FC48A7" w:rsidRDefault="00391F8D" w:rsidP="00732961">
      <w:pPr>
        <w:keepNext w:val="0"/>
        <w:jc w:val="both"/>
      </w:pPr>
      <w:r w:rsidRPr="00FC48A7">
        <w:t>Eligible applicants are State agencies or political subdivisions thereof.  Throughout this document, these agencies will be referred to as "State Grant Agencies" or “SGAs.”</w:t>
      </w:r>
    </w:p>
    <w:p w14:paraId="4600CA7E" w14:textId="77777777" w:rsidR="00391F8D" w:rsidRPr="00FC48A7" w:rsidRDefault="00391F8D" w:rsidP="00732961">
      <w:pPr>
        <w:pStyle w:val="Heading2"/>
        <w:keepNext w:val="0"/>
        <w:jc w:val="both"/>
      </w:pPr>
      <w:bookmarkStart w:id="11" w:name="_Toc356978045"/>
      <w:bookmarkStart w:id="12" w:name="_Toc350864654"/>
      <w:bookmarkStart w:id="13" w:name="_Toc381882859"/>
      <w:r w:rsidRPr="00FC48A7">
        <w:t>D.</w:t>
      </w:r>
      <w:r w:rsidRPr="00FC48A7">
        <w:tab/>
        <w:t>REGULATIONS AND REFERENCE DOCUMENTS</w:t>
      </w:r>
      <w:bookmarkEnd w:id="11"/>
      <w:bookmarkEnd w:id="12"/>
      <w:bookmarkEnd w:id="13"/>
    </w:p>
    <w:p w14:paraId="27651F43" w14:textId="77777777" w:rsidR="00FD2502" w:rsidRPr="00FC48A7" w:rsidRDefault="00391F8D" w:rsidP="00732961">
      <w:pPr>
        <w:keepNext w:val="0"/>
        <w:jc w:val="both"/>
      </w:pPr>
      <w:r w:rsidRPr="00FC48A7">
        <w:t>The BLS-OSHS program is administered in accordance with the following:</w:t>
      </w:r>
    </w:p>
    <w:p w14:paraId="6D6D1EDC" w14:textId="77777777" w:rsidR="00391F8D" w:rsidRDefault="00391F8D" w:rsidP="00732961">
      <w:pPr>
        <w:pStyle w:val="ListParagraph"/>
        <w:keepNext w:val="0"/>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14:paraId="2F2A2988" w14:textId="5F8DE69B" w:rsidR="00B574E9" w:rsidRPr="00F90FD2" w:rsidRDefault="00B574E9" w:rsidP="00732961">
      <w:pPr>
        <w:keepNext w:val="0"/>
        <w:numPr>
          <w:ilvl w:val="0"/>
          <w:numId w:val="2"/>
        </w:numPr>
        <w:ind w:left="1080" w:hanging="540"/>
      </w:pPr>
      <w:r>
        <w:t>Title 2 Part 2900 of the Code of Federal Regulations (hereinafter cited as 2 CFR 2900), Uniform Administrative Requirements, Cost Principles, and Audit Requirements for Federal Awards;</w:t>
      </w:r>
    </w:p>
    <w:p w14:paraId="61D4A61E" w14:textId="5161CD2D" w:rsidR="00732961" w:rsidRDefault="00391F8D" w:rsidP="00E8459C">
      <w:pPr>
        <w:pStyle w:val="ListParagraph"/>
        <w:keepNext w:val="0"/>
        <w:numPr>
          <w:ilvl w:val="0"/>
          <w:numId w:val="2"/>
        </w:numPr>
        <w:ind w:left="1094" w:hanging="547"/>
        <w:contextualSpacing w:val="0"/>
        <w:jc w:val="both"/>
      </w:pPr>
      <w:r w:rsidRPr="00FC48A7">
        <w:t xml:space="preserve">Title 2 Part </w:t>
      </w:r>
      <w:r w:rsidR="00B574E9">
        <w:t>200</w:t>
      </w:r>
      <w:r w:rsidRPr="00FC48A7">
        <w:t xml:space="preserve"> of the Code of Federal Regulations (hereinafter cited as 2 CFR </w:t>
      </w:r>
      <w:r w:rsidR="00B574E9">
        <w:t>200</w:t>
      </w:r>
      <w:r w:rsidRPr="00FC48A7">
        <w:t xml:space="preserve">), </w:t>
      </w:r>
      <w:r w:rsidR="00B574E9">
        <w:t>Uniform Administrative Requirements, Cost Principles, and Audit Requirements for Federal Awards</w:t>
      </w:r>
      <w:r w:rsidR="00B574E9" w:rsidRPr="00F90FD2">
        <w:t>;</w:t>
      </w:r>
      <w:r w:rsidR="00B574E9">
        <w:t xml:space="preserve"> and</w:t>
      </w:r>
    </w:p>
    <w:p w14:paraId="50429FBA" w14:textId="77777777" w:rsidR="00732961" w:rsidRPr="00FC48A7" w:rsidRDefault="00732961" w:rsidP="00732961">
      <w:pPr>
        <w:pStyle w:val="ListParagraph"/>
        <w:keepNext w:val="0"/>
        <w:numPr>
          <w:ilvl w:val="0"/>
          <w:numId w:val="2"/>
        </w:numPr>
        <w:ind w:left="1080" w:hanging="540"/>
        <w:contextualSpacing w:val="0"/>
        <w:jc w:val="both"/>
      </w:pPr>
      <w:r w:rsidRPr="00FC48A7">
        <w:t>Title 29 Part 98 of the Code of Federal Regulations (hereinafter cited as 29 CFR 98) and 2 CFR Chapter 1, part 180, Government-wide Debarment and Suspension (</w:t>
      </w:r>
      <w:proofErr w:type="spellStart"/>
      <w:r w:rsidRPr="00FC48A7">
        <w:t>Nonprocurement</w:t>
      </w:r>
      <w:proofErr w:type="spellEnd"/>
      <w:r w:rsidRPr="00FC48A7">
        <w:t>) and Government-wide Requirements for Drug-Free Workplace (Grants)</w:t>
      </w:r>
      <w:r>
        <w:t>.</w:t>
      </w:r>
      <w:r w:rsidRPr="00FC48A7">
        <w:t xml:space="preserve"> </w:t>
      </w:r>
    </w:p>
    <w:p w14:paraId="4268502E" w14:textId="77777777" w:rsidR="00FD2502" w:rsidRDefault="00391F8D" w:rsidP="00E8459C">
      <w:pPr>
        <w:keepNext w:val="0"/>
        <w:jc w:val="both"/>
      </w:pPr>
      <w:r w:rsidRPr="00FC48A7">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14:paraId="36D8C1F7" w14:textId="77777777" w:rsidR="00391F8D" w:rsidRPr="00FC48A7" w:rsidRDefault="00391F8D" w:rsidP="00E8459C">
      <w:pPr>
        <w:pStyle w:val="Heading2"/>
        <w:keepNext w:val="0"/>
        <w:jc w:val="both"/>
      </w:pPr>
      <w:bookmarkStart w:id="14" w:name="_Toc356978046"/>
      <w:bookmarkStart w:id="15" w:name="_Toc350864655"/>
      <w:bookmarkStart w:id="16" w:name="_Toc381882860"/>
      <w:r w:rsidRPr="00FC48A7">
        <w:lastRenderedPageBreak/>
        <w:t>E.</w:t>
      </w:r>
      <w:r w:rsidRPr="00FC48A7">
        <w:tab/>
        <w:t>PROGRAM FUNDING</w:t>
      </w:r>
      <w:bookmarkEnd w:id="14"/>
      <w:bookmarkEnd w:id="15"/>
      <w:bookmarkEnd w:id="16"/>
    </w:p>
    <w:p w14:paraId="3495DE9F" w14:textId="77777777" w:rsidR="008E7361" w:rsidRDefault="00391F8D" w:rsidP="00E8459C">
      <w:pPr>
        <w:keepNext w:val="0"/>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14:paraId="748A54F2" w14:textId="77777777" w:rsidR="00FD2502" w:rsidRPr="00FC48A7" w:rsidRDefault="00391F8D" w:rsidP="00E8459C">
      <w:pPr>
        <w:keepNext w:val="0"/>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14:paraId="79E9CA49" w14:textId="77777777" w:rsidR="00391F8D" w:rsidRPr="00FC48A7" w:rsidRDefault="00391F8D" w:rsidP="00E8459C">
      <w:pPr>
        <w:pStyle w:val="Heading2"/>
        <w:keepNext w:val="0"/>
        <w:jc w:val="both"/>
      </w:pPr>
      <w:bookmarkStart w:id="17" w:name="_Toc356978047"/>
      <w:bookmarkStart w:id="18" w:name="_Toc350864656"/>
      <w:bookmarkStart w:id="19" w:name="_Toc381882861"/>
      <w:r w:rsidRPr="00FC48A7">
        <w:t>F.</w:t>
      </w:r>
      <w:r w:rsidRPr="00FC48A7">
        <w:tab/>
        <w:t>CASH MANAGEMENT</w:t>
      </w:r>
      <w:bookmarkEnd w:id="17"/>
      <w:bookmarkEnd w:id="18"/>
      <w:bookmarkEnd w:id="19"/>
    </w:p>
    <w:p w14:paraId="190254D3" w14:textId="77777777" w:rsidR="00FD2502" w:rsidRPr="00FC48A7" w:rsidRDefault="00391F8D" w:rsidP="00E8459C">
      <w:pPr>
        <w:keepNext w:val="0"/>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14:paraId="097CD156" w14:textId="6A0F858D" w:rsidR="00FD2502" w:rsidRPr="00FC48A7" w:rsidRDefault="00391F8D" w:rsidP="00E8459C">
      <w:pPr>
        <w:keepNext w:val="0"/>
        <w:jc w:val="both"/>
      </w:pPr>
      <w:r w:rsidRPr="00FC48A7">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w:t>
      </w:r>
      <w:r w:rsidR="00164307">
        <w:t>200</w:t>
      </w:r>
      <w:r w:rsidRPr="00FC48A7">
        <w:t>.</w:t>
      </w:r>
      <w:r w:rsidR="00164307">
        <w:t>302</w:t>
      </w:r>
      <w:r w:rsidRPr="00FC48A7">
        <w:t>)  For this purpose, a disbursement is considered to be the time of actual release of checks or transfer of funds electronically by the SGA to the payees.</w:t>
      </w:r>
    </w:p>
    <w:p w14:paraId="147789F1" w14:textId="77777777" w:rsidR="00391F8D" w:rsidRPr="00FC48A7" w:rsidRDefault="00391F8D" w:rsidP="00E8459C">
      <w:pPr>
        <w:pStyle w:val="Heading2"/>
        <w:keepNext w:val="0"/>
        <w:jc w:val="both"/>
      </w:pPr>
      <w:bookmarkStart w:id="20" w:name="_Toc356978048"/>
      <w:bookmarkStart w:id="21" w:name="_Toc350864657"/>
      <w:bookmarkStart w:id="22" w:name="_Toc381882862"/>
      <w:r w:rsidRPr="00FC48A7">
        <w:t>G.</w:t>
      </w:r>
      <w:r w:rsidRPr="00FC48A7">
        <w:tab/>
        <w:t>COST GUIDELINES</w:t>
      </w:r>
      <w:bookmarkEnd w:id="20"/>
      <w:bookmarkEnd w:id="21"/>
      <w:bookmarkEnd w:id="22"/>
    </w:p>
    <w:p w14:paraId="48F390C8" w14:textId="256B62D8" w:rsidR="00FD2502" w:rsidRPr="00FC48A7" w:rsidRDefault="00391F8D" w:rsidP="00E8459C">
      <w:pPr>
        <w:keepNext w:val="0"/>
        <w:jc w:val="both"/>
      </w:pPr>
      <w:r w:rsidRPr="00FC48A7">
        <w:t xml:space="preserve">Allowable costs are determined in accordance with the provisions of </w:t>
      </w:r>
      <w:r w:rsidR="00B574E9">
        <w:t>2 CFR 200, Subpart E (Cost Principles)</w:t>
      </w:r>
      <w:r w:rsidRPr="00FC48A7">
        <w:t xml:space="preserve">.  A request for prior approval of certain costs, under the cost principles of </w:t>
      </w:r>
      <w:r w:rsidR="00B574E9">
        <w:t>2 CFR 200, Subpart E</w:t>
      </w:r>
      <w:r w:rsidRPr="00FC48A7">
        <w:t>, may be made by means of a letter from the recipient organization to the BLS.</w:t>
      </w:r>
    </w:p>
    <w:p w14:paraId="43062545" w14:textId="23BBC965" w:rsidR="00FD2502" w:rsidRPr="00FC48A7" w:rsidRDefault="00391F8D" w:rsidP="00E8459C">
      <w:pPr>
        <w:keepNext w:val="0"/>
        <w:jc w:val="both"/>
      </w:pPr>
      <w:r w:rsidRPr="00FC48A7">
        <w:t xml:space="preserve">Indirect costs are defined as all costs </w:t>
      </w:r>
      <w:r w:rsidR="00B574E9">
        <w:t xml:space="preserve">incurred for a common or joint purpose </w:t>
      </w:r>
      <w:r w:rsidRPr="00FC48A7">
        <w:t>benefiting more than one cost objective</w:t>
      </w:r>
      <w:r w:rsidR="00B574E9">
        <w:t>, and not readily assigned to the cost objectives specifically benefited, without effort disproportionate to the results achieved</w:t>
      </w:r>
      <w:r w:rsidRPr="00FC48A7">
        <w:t>.  The process for allocating indirect costs charged to Department of Labor grants and contracts must be approved by the Department of Health and Human Services (DHHS) or, the DOL Office of Acquisition Integrity.  Any State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14:paraId="5DD08F06" w14:textId="3FC6C6EA" w:rsidR="00FD2502" w:rsidRPr="00FC48A7" w:rsidRDefault="00391F8D" w:rsidP="00E8459C">
      <w:pPr>
        <w:keepNext w:val="0"/>
        <w:jc w:val="both"/>
      </w:pPr>
      <w:r w:rsidRPr="00FC48A7">
        <w:t xml:space="preserve">The cost of audits made in accordance with the provisions of </w:t>
      </w:r>
      <w:r w:rsidR="00B574E9">
        <w:t>2 CFR 200</w:t>
      </w:r>
      <w:r w:rsidR="00164307">
        <w:t>, Subpart F (Audit Requirements)</w:t>
      </w:r>
      <w:r w:rsidRPr="00FC48A7">
        <w:t xml:space="preserve"> are allowable charges to Federally</w:t>
      </w:r>
      <w:r w:rsidRPr="00FC48A7">
        <w:noBreakHyphen/>
        <w:t xml:space="preserve">assisted programs.  The charges may be considered a direct cost or an allocated indirect cost, determined in accordance with the provisions of </w:t>
      </w:r>
      <w:r w:rsidR="00B574E9">
        <w:t>2 CFR 200</w:t>
      </w:r>
      <w:r w:rsidR="00164307">
        <w:t>, Subpart E</w:t>
      </w:r>
      <w:r w:rsidRPr="00FC48A7">
        <w:t>.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percentage may be exceeded if the State demonstrates and documents higher actual costs.</w:t>
      </w:r>
    </w:p>
    <w:p w14:paraId="250BB38C" w14:textId="22EA6D07" w:rsidR="00FD2502" w:rsidRPr="00FC48A7" w:rsidRDefault="00391F8D" w:rsidP="00E8459C">
      <w:pPr>
        <w:keepNext w:val="0"/>
        <w:jc w:val="both"/>
      </w:pPr>
      <w:r w:rsidRPr="00FC48A7">
        <w:t xml:space="preserve">For employees whose time charges are levied solely against a single Federal award or cost objective (i.e., any or all of the OSHS data series covered under this cooperative agreement), the State grantee must certify at least semi-annually that the work being charged for relates exclusively to that award.  </w:t>
      </w:r>
      <w:r w:rsidR="00B574E9">
        <w:t>2 CFR 200.420 through 200.475</w:t>
      </w:r>
      <w:r w:rsidRPr="00FC48A7">
        <w:t xml:space="preserve">, provides full guidance regarding this requirement.  Note that States with time and attendance </w:t>
      </w:r>
      <w:r w:rsidRPr="00FC48A7">
        <w:lastRenderedPageBreak/>
        <w:t>systems that account for employees’ time at the project code level on a weekly, bi-weekly, or monthly basis are already in compliance with this requirement.</w:t>
      </w:r>
    </w:p>
    <w:p w14:paraId="4CF3B795" w14:textId="77777777" w:rsidR="00391F8D" w:rsidRPr="00FC48A7" w:rsidRDefault="00391F8D" w:rsidP="00E8459C">
      <w:pPr>
        <w:pStyle w:val="Heading2"/>
        <w:keepNext w:val="0"/>
        <w:jc w:val="both"/>
      </w:pPr>
      <w:bookmarkStart w:id="23" w:name="_Toc356978049"/>
      <w:bookmarkStart w:id="24" w:name="_Toc350864658"/>
      <w:bookmarkStart w:id="25" w:name="_Toc381882863"/>
      <w:r w:rsidRPr="00FC48A7">
        <w:t>H.</w:t>
      </w:r>
      <w:r w:rsidRPr="00FC48A7">
        <w:tab/>
        <w:t>FINANCIAL REPORTING</w:t>
      </w:r>
      <w:bookmarkEnd w:id="23"/>
      <w:bookmarkEnd w:id="24"/>
      <w:bookmarkEnd w:id="25"/>
    </w:p>
    <w:p w14:paraId="3CD6B209" w14:textId="77777777" w:rsidR="001E2834" w:rsidRPr="005865EB" w:rsidRDefault="001E2834" w:rsidP="00E8459C">
      <w:pPr>
        <w:keepNext w:val="0"/>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  The BLS-OSHS2 Quarterly Financial Report captures both quarterly and cumulative expenditures for each program.  The SGA’s quarterly and closeout reporting requirements are summarized below.</w:t>
      </w:r>
    </w:p>
    <w:p w14:paraId="1378D41F" w14:textId="77777777" w:rsidR="00EA1D3C" w:rsidRDefault="001E2834" w:rsidP="00E8459C">
      <w:pPr>
        <w:keepNext w:val="0"/>
        <w:jc w:val="both"/>
        <w:rPr>
          <w:u w:val="single"/>
        </w:rPr>
      </w:pPr>
      <w:r>
        <w:rPr>
          <w:u w:val="single"/>
        </w:rPr>
        <w:t>Quarterly Financial Reporting Requirements</w:t>
      </w:r>
    </w:p>
    <w:p w14:paraId="1D6E5C5E" w14:textId="77777777" w:rsidR="001E2834" w:rsidRPr="001E2834" w:rsidRDefault="001E2834" w:rsidP="00E8459C">
      <w:pPr>
        <w:pStyle w:val="ListParagraph"/>
        <w:keepNext w:val="0"/>
        <w:numPr>
          <w:ilvl w:val="0"/>
          <w:numId w:val="58"/>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eGrants System.</w:t>
      </w:r>
    </w:p>
    <w:p w14:paraId="2DDA30FB" w14:textId="77777777" w:rsidR="001E2834" w:rsidRPr="00901123" w:rsidRDefault="001E2834" w:rsidP="00E8459C">
      <w:pPr>
        <w:pStyle w:val="ListParagraph"/>
        <w:keepNext w:val="0"/>
        <w:numPr>
          <w:ilvl w:val="0"/>
          <w:numId w:val="58"/>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14:paraId="2695D4D1" w14:textId="77777777" w:rsidR="00901123" w:rsidRDefault="00901123" w:rsidP="00E8459C">
      <w:pPr>
        <w:keepNext w:val="0"/>
        <w:spacing w:after="160"/>
        <w:ind w:left="547"/>
        <w:jc w:val="both"/>
        <w:rPr>
          <w:u w:val="single"/>
        </w:rPr>
      </w:pPr>
      <w:r>
        <w:rPr>
          <w:u w:val="single"/>
        </w:rPr>
        <w:t>Closeout Financial Reporting Requirements</w:t>
      </w:r>
    </w:p>
    <w:p w14:paraId="5D122247" w14:textId="77777777" w:rsidR="00CC01D8" w:rsidRDefault="00CC01D8" w:rsidP="00E8459C">
      <w:pPr>
        <w:pStyle w:val="ListParagraph"/>
        <w:keepNext w:val="0"/>
        <w:numPr>
          <w:ilvl w:val="0"/>
          <w:numId w:val="59"/>
        </w:numPr>
        <w:spacing w:after="160"/>
        <w:ind w:left="994" w:hanging="274"/>
        <w:contextualSpacing w:val="0"/>
        <w:jc w:val="both"/>
      </w:pPr>
      <w:r>
        <w:t xml:space="preserve">BLS-OSHS2 </w:t>
      </w:r>
      <w:r w:rsidRPr="005865EB">
        <w:t>–</w:t>
      </w:r>
      <w:r>
        <w:t xml:space="preserve"> State agencies must submit the BLS-OSHS2 Quarterly Financial Report to the regional office as part of the closeout package.</w:t>
      </w:r>
    </w:p>
    <w:p w14:paraId="1BB9DB28" w14:textId="77777777" w:rsidR="00391F8D" w:rsidRPr="00FC48A7" w:rsidRDefault="00CC01D8" w:rsidP="00E8459C">
      <w:pPr>
        <w:pStyle w:val="ListParagraph"/>
        <w:keepNext w:val="0"/>
        <w:numPr>
          <w:ilvl w:val="0"/>
          <w:numId w:val="59"/>
        </w:numPr>
        <w:ind w:left="990" w:hanging="270"/>
        <w:jc w:val="both"/>
      </w:pPr>
      <w:r>
        <w:t xml:space="preserve">Hardcopy FFR </w:t>
      </w:r>
      <w:r w:rsidRPr="005865EB">
        <w:t>–</w:t>
      </w:r>
      <w:r>
        <w:t xml:space="preserve"> State agencies must complete item 10 (lines d </w:t>
      </w:r>
      <w:r w:rsidRPr="005865EB">
        <w:t>–</w:t>
      </w:r>
      <w:r>
        <w:t xml:space="preserve"> k) and item 11 (lines a </w:t>
      </w:r>
      <w:r w:rsidRPr="005865EB">
        <w:t>–</w:t>
      </w:r>
      <w:r>
        <w:t xml:space="preserve"> f) of the FFR annually and submit it to the regional office as part of the closeout package.  HHS-PMS does not have the functionality to report all sections of the FFR for the BLS (only item 10 a </w:t>
      </w:r>
      <w:r w:rsidRPr="005865EB">
        <w:t>–</w:t>
      </w:r>
      <w:r>
        <w:t xml:space="preserve"> c).  Therefore, item 10 (lines d </w:t>
      </w:r>
      <w:r w:rsidRPr="005865EB">
        <w:t>–</w:t>
      </w:r>
      <w:r>
        <w:t xml:space="preserve"> k) and item 11 (lines a </w:t>
      </w:r>
      <w:r w:rsidRPr="005865EB">
        <w:t>–</w:t>
      </w:r>
      <w:r>
        <w:t xml:space="preserve"> f) of the FFR must be completed on paper and submitted to the appropriate regional office as part of the closeout documentation.  A copy of the FFR is included at the end of the Administrative Requirements Section and also can be found here: </w:t>
      </w:r>
      <w:hyperlink r:id="rId9" w:history="1">
        <w:r w:rsidR="00547509" w:rsidRPr="005865EB">
          <w:rPr>
            <w:rStyle w:val="Hyperlink"/>
          </w:rPr>
          <w:t>http://www.whitehouse.gov/sites/default/files/omb/grants/approved_forms/SF-425.pdf</w:t>
        </w:r>
      </w:hyperlink>
      <w:r w:rsidR="00547509" w:rsidRPr="005865EB">
        <w:t>.</w:t>
      </w:r>
    </w:p>
    <w:p w14:paraId="44194D72" w14:textId="77777777" w:rsidR="00391F8D" w:rsidRPr="00FC48A7" w:rsidRDefault="00391F8D" w:rsidP="00E8459C">
      <w:pPr>
        <w:pStyle w:val="Heading2"/>
        <w:keepNext w:val="0"/>
        <w:jc w:val="both"/>
      </w:pPr>
      <w:bookmarkStart w:id="26" w:name="_Toc356978050"/>
      <w:bookmarkStart w:id="27" w:name="_Toc350864659"/>
      <w:bookmarkStart w:id="28" w:name="_Toc381882864"/>
      <w:r w:rsidRPr="00FC48A7">
        <w:t>I.</w:t>
      </w:r>
      <w:r w:rsidRPr="00FC48A7">
        <w:tab/>
        <w:t>MONITORING</w:t>
      </w:r>
      <w:bookmarkEnd w:id="26"/>
      <w:bookmarkEnd w:id="27"/>
      <w:bookmarkEnd w:id="28"/>
    </w:p>
    <w:p w14:paraId="19BCE5EF" w14:textId="77777777" w:rsidR="00FD2502" w:rsidRPr="00FC48A7" w:rsidRDefault="00391F8D" w:rsidP="00E8459C">
      <w:pPr>
        <w:keepNext w:val="0"/>
        <w:jc w:val="both"/>
      </w:pPr>
      <w:r w:rsidRPr="00FC48A7">
        <w:t>The BLS will review the financial reports from the SGAs to monitor fund utilization and identify potential over- or under-spending.  The primary objectives of financial monitoring are 1) to ensure that program objectives are met; 2) prevent significant imbalances of funds at the end of the fiscal year; and 3) to identify instances where it may be necessary to provide Federal administrative assistance to SGAs.</w:t>
      </w:r>
    </w:p>
    <w:p w14:paraId="7ECDBB4A" w14:textId="11040865" w:rsidR="00FD2502" w:rsidRPr="00FC48A7" w:rsidRDefault="00391F8D" w:rsidP="00E8459C">
      <w:pPr>
        <w:keepNext w:val="0"/>
        <w:jc w:val="both"/>
      </w:pPr>
      <w:r w:rsidRPr="00FC48A7">
        <w:t xml:space="preserve">Pursuant to 2 CFR </w:t>
      </w:r>
      <w:r w:rsidR="00B574E9">
        <w:t>200</w:t>
      </w:r>
      <w:r w:rsidRPr="00FC48A7">
        <w:t>.</w:t>
      </w:r>
      <w:r w:rsidR="00B574E9">
        <w:t>328</w:t>
      </w:r>
      <w:r w:rsidR="003A335D">
        <w:t>(e)</w:t>
      </w:r>
      <w:r w:rsidRPr="00FC48A7">
        <w:t>, the BLS may also conduct periodic on</w:t>
      </w:r>
      <w:r w:rsidRPr="00FC48A7">
        <w:noBreakHyphen/>
        <w:t>site reviews to ensure the adequacy of the SGA's financial management systems.</w:t>
      </w:r>
    </w:p>
    <w:p w14:paraId="3597124D" w14:textId="52CE7A19" w:rsidR="00FD2502" w:rsidRDefault="00391F8D" w:rsidP="00E8459C">
      <w:pPr>
        <w:keepNext w:val="0"/>
        <w:jc w:val="both"/>
      </w:pPr>
      <w:r w:rsidRPr="00FC48A7">
        <w:t xml:space="preserve">In accordance with 2 CFR </w:t>
      </w:r>
      <w:r w:rsidR="00B574E9">
        <w:t>200</w:t>
      </w:r>
      <w:r w:rsidRPr="00FC48A7">
        <w:t>.</w:t>
      </w:r>
      <w:r w:rsidR="00B574E9">
        <w:t>328</w:t>
      </w:r>
      <w:r w:rsidRPr="00FC48A7">
        <w:t xml:space="preserve">, SGAs are responsible for managing the day-to-day operations of grant-supported activities and monitoring their performance under the agreement to assure compliance with applicable Federal requirements and to assure that performance goals are being met.  Also per 2 CFR </w:t>
      </w:r>
      <w:r w:rsidR="00164307">
        <w:t>200</w:t>
      </w:r>
      <w:r w:rsidRPr="00FC48A7">
        <w:t>.</w:t>
      </w:r>
      <w:r w:rsidR="00164307">
        <w:t>328</w:t>
      </w:r>
      <w:r w:rsidR="003A335D">
        <w:t>(e)</w:t>
      </w:r>
      <w:r w:rsidRPr="00FC48A7">
        <w:t>, the BLS may make site visits as required by program needs.</w:t>
      </w:r>
    </w:p>
    <w:p w14:paraId="7E561D62" w14:textId="77777777" w:rsidR="006E700D" w:rsidRDefault="006E700D" w:rsidP="00E8459C">
      <w:pPr>
        <w:keepNext w:val="0"/>
        <w:jc w:val="both"/>
      </w:pPr>
    </w:p>
    <w:p w14:paraId="48B22A1E" w14:textId="77777777" w:rsidR="006E700D" w:rsidRDefault="006E700D" w:rsidP="00E8459C">
      <w:pPr>
        <w:keepNext w:val="0"/>
        <w:jc w:val="both"/>
      </w:pPr>
    </w:p>
    <w:p w14:paraId="7FA5D6BB" w14:textId="77777777" w:rsidR="00391F8D" w:rsidRPr="00FC48A7" w:rsidRDefault="00391F8D" w:rsidP="00E8459C">
      <w:pPr>
        <w:pStyle w:val="Heading2"/>
        <w:keepNext w:val="0"/>
        <w:jc w:val="both"/>
      </w:pPr>
      <w:bookmarkStart w:id="29" w:name="_Toc356978051"/>
      <w:bookmarkStart w:id="30" w:name="_Toc350864660"/>
      <w:bookmarkStart w:id="31" w:name="_Toc381882865"/>
      <w:r w:rsidRPr="00FC48A7">
        <w:lastRenderedPageBreak/>
        <w:t>J.</w:t>
      </w:r>
      <w:r w:rsidRPr="00FC48A7">
        <w:tab/>
        <w:t>DEOBLIGATION OF UNDERUTILIZED FUNDS</w:t>
      </w:r>
      <w:bookmarkEnd w:id="29"/>
      <w:bookmarkEnd w:id="30"/>
      <w:bookmarkEnd w:id="31"/>
    </w:p>
    <w:p w14:paraId="182BBE12" w14:textId="77777777" w:rsidR="00FD2502" w:rsidRDefault="00391F8D" w:rsidP="00E8459C">
      <w:pPr>
        <w:keepNext w:val="0"/>
        <w:jc w:val="both"/>
      </w:pPr>
      <w:r w:rsidRPr="00FC48A7">
        <w:t>To obtain maximum benefits from the funds available, each grant will be reviewed by the BLS during the third and fourth quarters to determine the status of funds.  Funds identified as having the potential for being unused by the end of the fiscal year will be subject to deobligation, but BLS will unilaterally deobligate underutilized funds when the amount and the purpose to which those funds would be re-directed warrant it.  Usually, deobligation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14:paraId="61276F03" w14:textId="77777777" w:rsidR="00391F8D" w:rsidRPr="00FC48A7" w:rsidRDefault="00391F8D" w:rsidP="00E8459C">
      <w:pPr>
        <w:pStyle w:val="Heading2"/>
        <w:keepNext w:val="0"/>
        <w:jc w:val="both"/>
      </w:pPr>
      <w:bookmarkStart w:id="32" w:name="_Toc356978052"/>
      <w:bookmarkStart w:id="33" w:name="_Toc350864661"/>
      <w:bookmarkStart w:id="34" w:name="_Toc381882866"/>
      <w:r w:rsidRPr="00FC48A7">
        <w:t>K.</w:t>
      </w:r>
      <w:r w:rsidRPr="00FC48A7">
        <w:tab/>
        <w:t>PROGRAM VARIANCES</w:t>
      </w:r>
      <w:bookmarkEnd w:id="32"/>
      <w:bookmarkEnd w:id="33"/>
      <w:bookmarkEnd w:id="34"/>
    </w:p>
    <w:p w14:paraId="40DAA1F4" w14:textId="64B38566" w:rsidR="00391F8D" w:rsidRPr="00FC48A7" w:rsidRDefault="00391F8D" w:rsidP="00E8459C">
      <w:pPr>
        <w:keepNext w:val="0"/>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 current period to improve performance, then a variance must be developed and included in the Cooperative Agreement, as explained above.  An explanation of variance must include the following:</w:t>
      </w:r>
    </w:p>
    <w:p w14:paraId="1E83DBA5" w14:textId="77777777" w:rsidR="00391F8D" w:rsidRPr="00FC48A7" w:rsidRDefault="00391F8D" w:rsidP="00E8459C">
      <w:pPr>
        <w:pStyle w:val="ListParagraph"/>
        <w:keepNext w:val="0"/>
        <w:numPr>
          <w:ilvl w:val="0"/>
          <w:numId w:val="3"/>
        </w:numPr>
        <w:tabs>
          <w:tab w:val="left" w:pos="1080"/>
        </w:tabs>
        <w:ind w:left="1080" w:hanging="540"/>
        <w:contextualSpacing w:val="0"/>
        <w:jc w:val="both"/>
      </w:pPr>
      <w:r w:rsidRPr="00FC48A7">
        <w:t>Background of the problem;</w:t>
      </w:r>
    </w:p>
    <w:p w14:paraId="438DFFCA" w14:textId="77777777" w:rsidR="00391F8D" w:rsidRPr="00FC48A7" w:rsidRDefault="00391F8D" w:rsidP="00E8459C">
      <w:pPr>
        <w:pStyle w:val="ListParagraph"/>
        <w:keepNext w:val="0"/>
        <w:numPr>
          <w:ilvl w:val="0"/>
          <w:numId w:val="3"/>
        </w:numPr>
        <w:tabs>
          <w:tab w:val="left" w:pos="1080"/>
        </w:tabs>
        <w:ind w:left="1080" w:hanging="540"/>
        <w:contextualSpacing w:val="0"/>
        <w:jc w:val="both"/>
      </w:pPr>
      <w:r w:rsidRPr="00FC48A7">
        <w:t xml:space="preserve">Performance during the previous period, such as the previous survey year for the </w:t>
      </w:r>
      <w:r w:rsidR="006B3F7B" w:rsidRPr="00FC48A7">
        <w:t>S</w:t>
      </w:r>
      <w:r w:rsidR="006B3F7B">
        <w:t>OII</w:t>
      </w:r>
      <w:r w:rsidR="006B3F7B" w:rsidRPr="00FC48A7">
        <w:t xml:space="preserve"> </w:t>
      </w:r>
      <w:r w:rsidRPr="00FC48A7">
        <w:t>or the previous fiscal year for financial reporting;</w:t>
      </w:r>
    </w:p>
    <w:p w14:paraId="399AC0B9" w14:textId="77777777" w:rsidR="00391F8D" w:rsidRPr="00FC48A7" w:rsidRDefault="00391F8D" w:rsidP="00E8459C">
      <w:pPr>
        <w:pStyle w:val="ListParagraph"/>
        <w:keepNext w:val="0"/>
        <w:numPr>
          <w:ilvl w:val="0"/>
          <w:numId w:val="3"/>
        </w:numPr>
        <w:tabs>
          <w:tab w:val="left" w:pos="1080"/>
        </w:tabs>
        <w:ind w:left="1080" w:hanging="540"/>
        <w:contextualSpacing w:val="0"/>
        <w:jc w:val="both"/>
      </w:pPr>
      <w:r w:rsidRPr="00FC48A7">
        <w:t>Proposed performance; and</w:t>
      </w:r>
    </w:p>
    <w:p w14:paraId="00E058F8" w14:textId="77777777" w:rsidR="00391F8D" w:rsidRPr="00FC48A7" w:rsidRDefault="00391F8D" w:rsidP="00E8459C">
      <w:pPr>
        <w:pStyle w:val="ListParagraph"/>
        <w:keepNext w:val="0"/>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14:paraId="39C1DAD1" w14:textId="77777777" w:rsidR="00391F8D" w:rsidRPr="00FC48A7" w:rsidRDefault="00391F8D" w:rsidP="00E8459C">
      <w:pPr>
        <w:pStyle w:val="Heading2"/>
        <w:keepNext w:val="0"/>
        <w:jc w:val="both"/>
      </w:pPr>
      <w:bookmarkStart w:id="35" w:name="_Toc356978053"/>
      <w:bookmarkStart w:id="36" w:name="_Toc350864662"/>
      <w:bookmarkStart w:id="37" w:name="_Toc381882867"/>
      <w:r w:rsidRPr="00FC48A7">
        <w:t>L.</w:t>
      </w:r>
      <w:r w:rsidRPr="00FC48A7">
        <w:tab/>
        <w:t>CHANGES TO THE COOPERATIVE AGREEMENT</w:t>
      </w:r>
      <w:bookmarkEnd w:id="35"/>
      <w:bookmarkEnd w:id="36"/>
      <w:bookmarkEnd w:id="37"/>
    </w:p>
    <w:p w14:paraId="5CF44AA8" w14:textId="77777777" w:rsidR="00391F8D" w:rsidRPr="00FC48A7" w:rsidRDefault="00391F8D" w:rsidP="00E8459C">
      <w:pPr>
        <w:pStyle w:val="ListParagraph"/>
        <w:keepNext w:val="0"/>
        <w:numPr>
          <w:ilvl w:val="0"/>
          <w:numId w:val="4"/>
        </w:numPr>
        <w:ind w:left="1080" w:hanging="540"/>
        <w:jc w:val="both"/>
      </w:pPr>
      <w:bookmarkStart w:id="38" w:name="_Toc356978054"/>
      <w:r w:rsidRPr="00FC48A7">
        <w:t>Budget Changes</w:t>
      </w:r>
      <w:bookmarkEnd w:id="38"/>
    </w:p>
    <w:p w14:paraId="22E10652" w14:textId="77777777" w:rsidR="00391F8D" w:rsidRPr="00FC48A7" w:rsidRDefault="00391F8D" w:rsidP="00E8459C">
      <w:pPr>
        <w:keepNext w:val="0"/>
        <w:ind w:left="1080"/>
        <w:jc w:val="both"/>
      </w:pPr>
      <w:r w:rsidRPr="00FC48A7">
        <w:t>Budget changes that require SGAs to obtain prior written approval from the BLS include:</w:t>
      </w:r>
    </w:p>
    <w:p w14:paraId="2DBC31DC" w14:textId="77777777" w:rsidR="00391F8D" w:rsidRPr="00FC48A7" w:rsidRDefault="00391F8D" w:rsidP="00E8459C">
      <w:pPr>
        <w:pStyle w:val="ListParagraph"/>
        <w:keepNext w:val="0"/>
        <w:numPr>
          <w:ilvl w:val="0"/>
          <w:numId w:val="5"/>
        </w:numPr>
        <w:ind w:left="1800" w:hanging="720"/>
        <w:contextualSpacing w:val="0"/>
        <w:jc w:val="both"/>
      </w:pPr>
      <w:r w:rsidRPr="00FC48A7">
        <w:t>Any revision that would result in the need for additional funding; and</w:t>
      </w:r>
    </w:p>
    <w:p w14:paraId="27D195FF" w14:textId="77777777" w:rsidR="00391F8D" w:rsidRPr="00FC48A7" w:rsidRDefault="00391F8D" w:rsidP="00E8459C">
      <w:pPr>
        <w:pStyle w:val="ListParagraph"/>
        <w:keepNext w:val="0"/>
        <w:numPr>
          <w:ilvl w:val="0"/>
          <w:numId w:val="5"/>
        </w:numPr>
        <w:ind w:left="1800" w:hanging="720"/>
        <w:contextualSpacing w:val="0"/>
        <w:jc w:val="both"/>
      </w:pPr>
      <w:r w:rsidRPr="00FC48A7">
        <w:t>Cumulative transfers among cost categories that exceed or are expected to exceed 10 percent of the current total approved program budget, whenever the total funded by the BLS is greater than $100,000.</w:t>
      </w:r>
    </w:p>
    <w:p w14:paraId="2E741FA5" w14:textId="77777777" w:rsidR="00391F8D" w:rsidRPr="00FC48A7" w:rsidRDefault="00391F8D" w:rsidP="00E8459C">
      <w:pPr>
        <w:pStyle w:val="ListParagraph"/>
        <w:keepNext w:val="0"/>
        <w:numPr>
          <w:ilvl w:val="0"/>
          <w:numId w:val="4"/>
        </w:numPr>
        <w:ind w:left="1080" w:hanging="540"/>
        <w:jc w:val="both"/>
      </w:pPr>
      <w:bookmarkStart w:id="39" w:name="_Toc356978055"/>
      <w:r w:rsidRPr="00FC48A7">
        <w:t>Programmatic Changes</w:t>
      </w:r>
      <w:bookmarkEnd w:id="39"/>
    </w:p>
    <w:p w14:paraId="37EEC5C6" w14:textId="77777777" w:rsidR="00391F8D" w:rsidRPr="00FC48A7" w:rsidRDefault="00391F8D" w:rsidP="00E8459C">
      <w:pPr>
        <w:keepNext w:val="0"/>
        <w:ind w:left="1080"/>
        <w:jc w:val="both"/>
      </w:pPr>
      <w:r w:rsidRPr="00FC48A7">
        <w:t>Programmatic changes that require BLS prior written approval include:</w:t>
      </w:r>
    </w:p>
    <w:p w14:paraId="5E2605AF" w14:textId="77777777" w:rsidR="00391F8D" w:rsidRPr="00FC48A7" w:rsidRDefault="00391F8D" w:rsidP="00E8459C">
      <w:pPr>
        <w:pStyle w:val="ListParagraph"/>
        <w:keepNext w:val="0"/>
        <w:numPr>
          <w:ilvl w:val="0"/>
          <w:numId w:val="6"/>
        </w:numPr>
        <w:ind w:left="1800" w:hanging="720"/>
        <w:contextualSpacing w:val="0"/>
        <w:jc w:val="both"/>
      </w:pPr>
      <w:r w:rsidRPr="00FC48A7">
        <w:t>Any revision of the scope or objectives of the Cooperative Agreement;</w:t>
      </w:r>
    </w:p>
    <w:p w14:paraId="73B4F2B9" w14:textId="77777777" w:rsidR="00391F8D" w:rsidRPr="00FC48A7" w:rsidRDefault="00391F8D" w:rsidP="00E8459C">
      <w:pPr>
        <w:pStyle w:val="ListParagraph"/>
        <w:keepNext w:val="0"/>
        <w:numPr>
          <w:ilvl w:val="0"/>
          <w:numId w:val="6"/>
        </w:numPr>
        <w:ind w:left="1800" w:hanging="720"/>
        <w:contextualSpacing w:val="0"/>
        <w:jc w:val="both"/>
      </w:pPr>
      <w:r w:rsidRPr="00FC48A7">
        <w:lastRenderedPageBreak/>
        <w:t>Any significant deviation from the timetables specified in the manual or technical memoranda; or</w:t>
      </w:r>
    </w:p>
    <w:p w14:paraId="7FD08F7A" w14:textId="77777777" w:rsidR="00391F8D" w:rsidRPr="00FC48A7" w:rsidRDefault="00391F8D" w:rsidP="00E8459C">
      <w:pPr>
        <w:pStyle w:val="ListParagraph"/>
        <w:keepNext w:val="0"/>
        <w:numPr>
          <w:ilvl w:val="0"/>
          <w:numId w:val="6"/>
        </w:numPr>
        <w:ind w:left="1800" w:hanging="720"/>
        <w:contextualSpacing w:val="0"/>
        <w:jc w:val="both"/>
      </w:pPr>
      <w:r w:rsidRPr="00FC48A7">
        <w:t>Need to extend the period of availability of funds.</w:t>
      </w:r>
    </w:p>
    <w:p w14:paraId="7F1D274A" w14:textId="77777777" w:rsidR="00391F8D" w:rsidRPr="00FC48A7" w:rsidRDefault="00391F8D" w:rsidP="00E8459C">
      <w:pPr>
        <w:pStyle w:val="ListParagraph"/>
        <w:keepNext w:val="0"/>
        <w:numPr>
          <w:ilvl w:val="0"/>
          <w:numId w:val="4"/>
        </w:numPr>
        <w:ind w:left="1080" w:hanging="540"/>
        <w:jc w:val="both"/>
      </w:pPr>
      <w:bookmarkStart w:id="40" w:name="_Toc356978056"/>
      <w:r w:rsidRPr="00FC48A7">
        <w:t>Obtaining Prior Approval</w:t>
      </w:r>
      <w:bookmarkEnd w:id="40"/>
    </w:p>
    <w:p w14:paraId="1C793859" w14:textId="77777777" w:rsidR="00391F8D" w:rsidRPr="00FC48A7" w:rsidRDefault="00391F8D" w:rsidP="00E8459C">
      <w:pPr>
        <w:keepNext w:val="0"/>
        <w:ind w:left="1080"/>
        <w:jc w:val="both"/>
      </w:pPr>
      <w:r w:rsidRPr="00FC48A7">
        <w:t>A request for prior approval of any budget revision will include the Budget Information Form (BIF), the appropriate page(s) of the program work statement (if applicable), and a narrative justification for the proposed revision, included in the transmittal letter.</w:t>
      </w:r>
      <w:r w:rsidR="008E7361">
        <w:t xml:space="preserve">  </w:t>
      </w:r>
      <w:r w:rsidRPr="00FC48A7">
        <w:t>To obtain written approval from the BLS for programmatic or budget changes to the Cooperative Agreement, the SGA should submit one original and two copies of materials, as follows:</w:t>
      </w:r>
    </w:p>
    <w:p w14:paraId="7173688C" w14:textId="77777777" w:rsidR="00391F8D" w:rsidRPr="00FC48A7" w:rsidRDefault="00391F8D" w:rsidP="00E8459C">
      <w:pPr>
        <w:pStyle w:val="ListParagraph"/>
        <w:keepNext w:val="0"/>
        <w:numPr>
          <w:ilvl w:val="0"/>
          <w:numId w:val="7"/>
        </w:numPr>
        <w:ind w:left="1800" w:hanging="720"/>
        <w:contextualSpacing w:val="0"/>
        <w:jc w:val="both"/>
      </w:pPr>
      <w:r w:rsidRPr="00FC48A7">
        <w:t>SF-424 reflecting the revision;</w:t>
      </w:r>
    </w:p>
    <w:p w14:paraId="737EC83B" w14:textId="77777777" w:rsidR="00391F8D" w:rsidRPr="00FC48A7" w:rsidRDefault="00391F8D" w:rsidP="00E8459C">
      <w:pPr>
        <w:pStyle w:val="ListParagraph"/>
        <w:keepNext w:val="0"/>
        <w:numPr>
          <w:ilvl w:val="0"/>
          <w:numId w:val="7"/>
        </w:numPr>
        <w:ind w:left="1800" w:hanging="720"/>
        <w:contextualSpacing w:val="0"/>
        <w:jc w:val="both"/>
      </w:pPr>
      <w:r w:rsidRPr="00FC48A7">
        <w:t>SF-424A annotated to reflect the modified budget elements; and</w:t>
      </w:r>
    </w:p>
    <w:p w14:paraId="61D4658F" w14:textId="77777777" w:rsidR="00391F8D" w:rsidRPr="00FC48A7" w:rsidRDefault="00303D3E" w:rsidP="00E8459C">
      <w:pPr>
        <w:pStyle w:val="ListParagraph"/>
        <w:keepNext w:val="0"/>
        <w:numPr>
          <w:ilvl w:val="0"/>
          <w:numId w:val="7"/>
        </w:numPr>
        <w:ind w:left="1800" w:hanging="720"/>
        <w:contextualSpacing w:val="0"/>
        <w:jc w:val="both"/>
      </w:pPr>
      <w:r>
        <w:t>T</w:t>
      </w:r>
      <w:r w:rsidR="00391F8D" w:rsidRPr="00FC48A7">
        <w:t>he appropriate page(s) of the work statement annotated to reflect the change to the scope or duration of work originally agreed upon.</w:t>
      </w:r>
    </w:p>
    <w:p w14:paraId="2C490EF8" w14:textId="77777777" w:rsidR="00391F8D" w:rsidRPr="00FC48A7" w:rsidRDefault="00391F8D" w:rsidP="00E8459C">
      <w:pPr>
        <w:keepNext w:val="0"/>
        <w:ind w:left="1080"/>
        <w:jc w:val="both"/>
      </w:pPr>
      <w:r w:rsidRPr="00FC48A7">
        <w:t>Changes must be approved prior to the beginning of the quarter in which they would take effect.</w:t>
      </w:r>
    </w:p>
    <w:p w14:paraId="09D008C7" w14:textId="77777777" w:rsidR="00391F8D" w:rsidRPr="00FC48A7" w:rsidRDefault="00391F8D" w:rsidP="00E8459C">
      <w:pPr>
        <w:keepNext w:val="0"/>
        <w:ind w:left="1080"/>
        <w:jc w:val="both"/>
      </w:pPr>
      <w:r w:rsidRPr="00FC48A7">
        <w:t>The SGA's request for prior approval must be received at least 30 days before the beginning of the quarter.</w:t>
      </w:r>
    </w:p>
    <w:p w14:paraId="0CED751D" w14:textId="77777777" w:rsidR="00391F8D" w:rsidRPr="00FC48A7" w:rsidRDefault="00391F8D" w:rsidP="00E8459C">
      <w:pPr>
        <w:pStyle w:val="ListParagraph"/>
        <w:keepNext w:val="0"/>
        <w:numPr>
          <w:ilvl w:val="0"/>
          <w:numId w:val="4"/>
        </w:numPr>
        <w:ind w:left="1080" w:hanging="540"/>
        <w:jc w:val="both"/>
      </w:pPr>
      <w:bookmarkStart w:id="41" w:name="_Toc356978057"/>
      <w:r w:rsidRPr="00FC48A7">
        <w:t>BLS-Initiated Budget Changes</w:t>
      </w:r>
      <w:bookmarkEnd w:id="41"/>
    </w:p>
    <w:p w14:paraId="0CB2A391" w14:textId="77777777" w:rsidR="00DC1A86" w:rsidRPr="00FC48A7" w:rsidRDefault="00391F8D" w:rsidP="00E8459C">
      <w:pPr>
        <w:keepNext w:val="0"/>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 expense involved in obtaining State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id="42" w:name="_Toc356978058"/>
      <w:bookmarkStart w:id="43" w:name="_Toc350864663"/>
    </w:p>
    <w:p w14:paraId="3C39B6D6" w14:textId="77777777" w:rsidR="00391F8D" w:rsidRPr="00FC48A7" w:rsidRDefault="00DC1A86" w:rsidP="00E8459C">
      <w:pPr>
        <w:pStyle w:val="Heading2"/>
        <w:keepNext w:val="0"/>
        <w:jc w:val="both"/>
      </w:pPr>
      <w:bookmarkStart w:id="44" w:name="_Toc381882868"/>
      <w:r w:rsidRPr="00FC48A7">
        <w:t>M</w:t>
      </w:r>
      <w:r w:rsidR="00391F8D" w:rsidRPr="00FC48A7">
        <w:t>.</w:t>
      </w:r>
      <w:r w:rsidR="00391F8D" w:rsidRPr="00FC48A7">
        <w:tab/>
        <w:t>EQUIPMEN</w:t>
      </w:r>
      <w:bookmarkEnd w:id="42"/>
      <w:bookmarkEnd w:id="43"/>
      <w:r w:rsidRPr="00FC48A7">
        <w:t>T</w:t>
      </w:r>
      <w:bookmarkEnd w:id="44"/>
    </w:p>
    <w:p w14:paraId="0D27FC53" w14:textId="01831A25" w:rsidR="00FD2502" w:rsidRDefault="00391F8D" w:rsidP="00E8459C">
      <w:pPr>
        <w:keepNext w:val="0"/>
        <w:jc w:val="both"/>
      </w:pPr>
      <w:r w:rsidRPr="00FC48A7">
        <w:t xml:space="preserve">The SGA shall use, manage, and dispose of equipment acquired under the cooperative agreement in accordance with State laws and procedures.  Title to equipment purchased with cooperative agreement funds shall vest upon acquisition in the SGA.  However, the BLS, per 2 CFR </w:t>
      </w:r>
      <w:r w:rsidR="00B574E9">
        <w:t>200</w:t>
      </w:r>
      <w:r w:rsidRPr="00FC48A7">
        <w:t>.3</w:t>
      </w:r>
      <w:r w:rsidR="00B574E9">
        <w:t>13</w:t>
      </w:r>
      <w:r w:rsidRPr="00FC48A7">
        <w:t>(</w:t>
      </w:r>
      <w:r w:rsidR="00B574E9">
        <w:t>a</w:t>
      </w:r>
      <w:r w:rsidRPr="00FC48A7">
        <w:t xml:space="preserve">), reserves the right to transfer title to the Federal Government or a third party named by the BLS when such a third party is otherwise eligible under existing statutes.  Such transfers are subject to the standards appearing at 2 CFR </w:t>
      </w:r>
      <w:r w:rsidR="00B574E9">
        <w:t>200</w:t>
      </w:r>
      <w:r w:rsidRPr="00FC48A7">
        <w:t>.3</w:t>
      </w:r>
      <w:r w:rsidR="00B574E9">
        <w:t>13</w:t>
      </w:r>
      <w:r w:rsidRPr="00FC48A7">
        <w:t>(</w:t>
      </w:r>
      <w:r w:rsidR="00067420">
        <w:t>a</w:t>
      </w:r>
      <w:proofErr w:type="gramStart"/>
      <w:r w:rsidRPr="00FC48A7">
        <w:t>)(</w:t>
      </w:r>
      <w:proofErr w:type="gramEnd"/>
      <w:r w:rsidRPr="00FC48A7">
        <w:t xml:space="preserve">1)-(3).  Pursuant to those standards, specifically, 2 CFR </w:t>
      </w:r>
      <w:r w:rsidR="00067420">
        <w:t>200</w:t>
      </w:r>
      <w:r w:rsidRPr="00FC48A7">
        <w:t>.3</w:t>
      </w:r>
      <w:r w:rsidR="00067420">
        <w:t>13</w:t>
      </w:r>
      <w:r w:rsidRPr="00FC48A7">
        <w:t>(</w:t>
      </w:r>
      <w:r w:rsidR="00067420">
        <w:t>a</w:t>
      </w:r>
      <w:r w:rsidRPr="00FC48A7">
        <w:t xml:space="preserve">)(1),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 CFR </w:t>
      </w:r>
      <w:r w:rsidR="00067420">
        <w:t>200</w:t>
      </w:r>
      <w:r w:rsidRPr="00FC48A7">
        <w:t>.3</w:t>
      </w:r>
      <w:r w:rsidR="00067420">
        <w:t>13</w:t>
      </w:r>
      <w:r w:rsidRPr="00FC48A7">
        <w:t>(</w:t>
      </w:r>
      <w:r w:rsidR="00067420">
        <w:t>a</w:t>
      </w:r>
      <w:proofErr w:type="gramStart"/>
      <w:r w:rsidRPr="00FC48A7">
        <w:t>)(</w:t>
      </w:r>
      <w:proofErr w:type="gramEnd"/>
      <w:r w:rsidRPr="00FC48A7">
        <w:t>1)-(3).  The SGA will maintain an inventory of BLS-owned equipment and respond promptly to BLS requests for information about its location, operating status, and condition.</w:t>
      </w:r>
    </w:p>
    <w:p w14:paraId="7606A1ED" w14:textId="77777777" w:rsidR="006E700D" w:rsidRPr="00FC48A7" w:rsidRDefault="006E700D" w:rsidP="00E8459C">
      <w:pPr>
        <w:keepNext w:val="0"/>
        <w:jc w:val="both"/>
      </w:pPr>
    </w:p>
    <w:p w14:paraId="5207A1B1" w14:textId="77777777" w:rsidR="00391F8D" w:rsidRPr="00FC48A7" w:rsidRDefault="00391F8D" w:rsidP="00E8459C">
      <w:pPr>
        <w:pStyle w:val="Heading2"/>
        <w:keepNext w:val="0"/>
        <w:jc w:val="both"/>
      </w:pPr>
      <w:bookmarkStart w:id="45" w:name="_Toc356978059"/>
      <w:bookmarkStart w:id="46" w:name="_Toc350864664"/>
      <w:bookmarkStart w:id="47" w:name="_Toc381882869"/>
      <w:r w:rsidRPr="00FC48A7">
        <w:lastRenderedPageBreak/>
        <w:t>N.</w:t>
      </w:r>
      <w:r w:rsidRPr="00FC48A7">
        <w:tab/>
        <w:t>PROCUREMENT</w:t>
      </w:r>
      <w:bookmarkEnd w:id="45"/>
      <w:bookmarkEnd w:id="46"/>
      <w:bookmarkEnd w:id="47"/>
    </w:p>
    <w:p w14:paraId="09D2DD38" w14:textId="6556883B" w:rsidR="00FD2502" w:rsidRPr="00FC48A7" w:rsidRDefault="00391F8D" w:rsidP="00E8459C">
      <w:pPr>
        <w:keepNext w:val="0"/>
        <w:jc w:val="both"/>
      </w:pPr>
      <w:r w:rsidRPr="00FC48A7">
        <w:t xml:space="preserve">The provisions of 2 CFR </w:t>
      </w:r>
      <w:r w:rsidR="00067420">
        <w:t>200</w:t>
      </w:r>
      <w:r w:rsidRPr="00FC48A7">
        <w:t>.3</w:t>
      </w:r>
      <w:r w:rsidR="00067420">
        <w:t>17 – 200.326</w:t>
      </w:r>
      <w:r w:rsidRPr="00FC48A7">
        <w:t>, Procurement</w:t>
      </w:r>
      <w:r w:rsidR="00067420">
        <w:t xml:space="preserve"> Standards</w:t>
      </w:r>
      <w:r w:rsidRPr="00FC48A7">
        <w:t>, apply to OSHS cooperative agreements.</w:t>
      </w:r>
    </w:p>
    <w:p w14:paraId="797D5F9E" w14:textId="77777777" w:rsidR="00391F8D" w:rsidRPr="00FC48A7" w:rsidRDefault="00391F8D" w:rsidP="00E8459C">
      <w:pPr>
        <w:pStyle w:val="ListParagraph"/>
        <w:keepNext w:val="0"/>
        <w:numPr>
          <w:ilvl w:val="0"/>
          <w:numId w:val="8"/>
        </w:numPr>
        <w:ind w:left="1080" w:hanging="540"/>
        <w:jc w:val="both"/>
      </w:pPr>
      <w:bookmarkStart w:id="48" w:name="_Toc356978060"/>
      <w:r w:rsidRPr="00FC48A7">
        <w:t>Forms and Survey Material</w:t>
      </w:r>
      <w:bookmarkEnd w:id="48"/>
    </w:p>
    <w:p w14:paraId="59CA2C07" w14:textId="77777777" w:rsidR="00391F8D" w:rsidRPr="00FC48A7" w:rsidRDefault="00391F8D" w:rsidP="00E8459C">
      <w:pPr>
        <w:keepNext w:val="0"/>
        <w:ind w:left="1080"/>
        <w:jc w:val="both"/>
      </w:pPr>
      <w:r w:rsidRPr="00FC48A7">
        <w:t>The State will obtain BLS regional office approval to use the following before final arrangements are made:</w:t>
      </w:r>
    </w:p>
    <w:p w14:paraId="3C07FDA8" w14:textId="77777777" w:rsidR="00391F8D" w:rsidRPr="00FC48A7" w:rsidRDefault="00391F8D" w:rsidP="00E8459C">
      <w:pPr>
        <w:pStyle w:val="ListParagraph"/>
        <w:keepNext w:val="0"/>
        <w:numPr>
          <w:ilvl w:val="0"/>
          <w:numId w:val="9"/>
        </w:numPr>
        <w:ind w:left="1627" w:hanging="547"/>
        <w:contextualSpacing w:val="0"/>
        <w:jc w:val="both"/>
      </w:pPr>
      <w:r w:rsidRPr="00FC48A7">
        <w:t xml:space="preserve">All State forms equivalent to Federal forms---survey reporting forms and the </w:t>
      </w:r>
      <w:proofErr w:type="spellStart"/>
      <w:r w:rsidRPr="00FC48A7">
        <w:t>prenotification</w:t>
      </w:r>
      <w:proofErr w:type="spellEnd"/>
      <w:r w:rsidRPr="00FC48A7">
        <w:t xml:space="preserve"> booklet;</w:t>
      </w:r>
    </w:p>
    <w:p w14:paraId="199AEC34" w14:textId="77777777" w:rsidR="00391F8D" w:rsidRPr="00FC48A7" w:rsidRDefault="00391F8D" w:rsidP="00E8459C">
      <w:pPr>
        <w:pStyle w:val="ListParagraph"/>
        <w:keepNext w:val="0"/>
        <w:numPr>
          <w:ilvl w:val="0"/>
          <w:numId w:val="9"/>
        </w:numPr>
        <w:ind w:left="1627" w:hanging="547"/>
        <w:contextualSpacing w:val="0"/>
        <w:jc w:val="both"/>
      </w:pPr>
      <w:r w:rsidRPr="00FC48A7">
        <w:t xml:space="preserve">State-originated solicitation and </w:t>
      </w:r>
      <w:proofErr w:type="spellStart"/>
      <w:r w:rsidRPr="00FC48A7">
        <w:t>prenotification</w:t>
      </w:r>
      <w:proofErr w:type="spellEnd"/>
      <w:r w:rsidRPr="00FC48A7">
        <w:t xml:space="preserve"> letters to employers;</w:t>
      </w:r>
    </w:p>
    <w:p w14:paraId="67643605" w14:textId="77777777" w:rsidR="00391F8D" w:rsidRPr="00FC48A7" w:rsidRDefault="00391F8D" w:rsidP="00E8459C">
      <w:pPr>
        <w:pStyle w:val="ListParagraph"/>
        <w:keepNext w:val="0"/>
        <w:numPr>
          <w:ilvl w:val="0"/>
          <w:numId w:val="9"/>
        </w:numPr>
        <w:ind w:left="1627" w:hanging="547"/>
        <w:contextualSpacing w:val="0"/>
        <w:jc w:val="both"/>
      </w:pPr>
      <w:r w:rsidRPr="00FC48A7">
        <w:t>State-originated survey verification forms and letters; and</w:t>
      </w:r>
    </w:p>
    <w:p w14:paraId="0A794153" w14:textId="77777777" w:rsidR="00391F8D" w:rsidRPr="00FC48A7" w:rsidRDefault="00391F8D" w:rsidP="00E8459C">
      <w:pPr>
        <w:pStyle w:val="ListParagraph"/>
        <w:keepNext w:val="0"/>
        <w:numPr>
          <w:ilvl w:val="0"/>
          <w:numId w:val="9"/>
        </w:numPr>
        <w:ind w:left="1627" w:hanging="547"/>
        <w:contextualSpacing w:val="0"/>
        <w:jc w:val="both"/>
      </w:pPr>
      <w:r w:rsidRPr="00FC48A7">
        <w:t xml:space="preserve">State inserts in the </w:t>
      </w:r>
      <w:proofErr w:type="spellStart"/>
      <w:r w:rsidRPr="00FC48A7">
        <w:t>prenotification</w:t>
      </w:r>
      <w:proofErr w:type="spellEnd"/>
      <w:r w:rsidRPr="00FC48A7">
        <w:t xml:space="preserve"> booklet and any other survey instrument.</w:t>
      </w:r>
    </w:p>
    <w:p w14:paraId="68CBC905" w14:textId="77777777" w:rsidR="00391F8D" w:rsidRPr="00FC48A7" w:rsidRDefault="00391F8D" w:rsidP="00E8459C">
      <w:pPr>
        <w:pStyle w:val="ListParagraph"/>
        <w:keepNext w:val="0"/>
        <w:numPr>
          <w:ilvl w:val="0"/>
          <w:numId w:val="8"/>
        </w:numPr>
        <w:ind w:left="1080" w:hanging="540"/>
        <w:jc w:val="both"/>
      </w:pPr>
      <w:bookmarkStart w:id="49" w:name="_Toc356978061"/>
      <w:r w:rsidRPr="00FC48A7">
        <w:t>Subcontracting</w:t>
      </w:r>
      <w:bookmarkEnd w:id="49"/>
    </w:p>
    <w:p w14:paraId="6CEBA3AC" w14:textId="77777777" w:rsidR="00391F8D" w:rsidRPr="00FC48A7" w:rsidRDefault="00391F8D" w:rsidP="00E8459C">
      <w:pPr>
        <w:keepNext w:val="0"/>
        <w:ind w:left="1080"/>
        <w:jc w:val="both"/>
      </w:pPr>
      <w:r w:rsidRPr="00FC48A7">
        <w:t xml:space="preserve">Substantive program work under the Cooperative Agreement may not be </w:t>
      </w:r>
      <w:proofErr w:type="spellStart"/>
      <w:r w:rsidRPr="00FC48A7">
        <w:t>subgranted</w:t>
      </w:r>
      <w:proofErr w:type="spellEnd"/>
      <w:r w:rsidRPr="00FC48A7">
        <w:t xml:space="preserve"> or contracted by the SGA without prior approval.  Substantive program work includes the sampling, data collection, estimation, and validation activities.</w:t>
      </w:r>
    </w:p>
    <w:p w14:paraId="26F2FC0A" w14:textId="77777777" w:rsidR="00391F8D" w:rsidRPr="00FC48A7" w:rsidRDefault="00391F8D" w:rsidP="00E8459C">
      <w:pPr>
        <w:pStyle w:val="Heading2"/>
        <w:keepNext w:val="0"/>
        <w:jc w:val="both"/>
      </w:pPr>
      <w:bookmarkStart w:id="50" w:name="_Toc356978062"/>
      <w:bookmarkStart w:id="51" w:name="_Toc350864665"/>
      <w:bookmarkStart w:id="52" w:name="_Toc381882870"/>
      <w:r w:rsidRPr="00FC48A7">
        <w:t>O.</w:t>
      </w:r>
      <w:r w:rsidRPr="00FC48A7">
        <w:tab/>
        <w:t>CLOSEOUTS AND AUDITS</w:t>
      </w:r>
      <w:bookmarkEnd w:id="50"/>
      <w:bookmarkEnd w:id="51"/>
      <w:bookmarkEnd w:id="52"/>
    </w:p>
    <w:p w14:paraId="52BBDD87" w14:textId="53E03BDD" w:rsidR="00FD2502" w:rsidRPr="00FC48A7" w:rsidRDefault="00391F8D" w:rsidP="00E8459C">
      <w:pPr>
        <w:keepNext w:val="0"/>
        <w:jc w:val="both"/>
      </w:pPr>
      <w:r w:rsidRPr="00FC48A7">
        <w:t>Closeouts and audits shall be performed in accordance with the requirements of 2 CFR </w:t>
      </w:r>
      <w:r w:rsidR="00067420">
        <w:t>200</w:t>
      </w:r>
      <w:r w:rsidRPr="00FC48A7">
        <w:t>.</w:t>
      </w:r>
      <w:r w:rsidR="00067420">
        <w:t>343</w:t>
      </w:r>
      <w:r w:rsidRPr="00FC48A7">
        <w:t>, regarding closeout, and 2 CFR </w:t>
      </w:r>
      <w:r w:rsidR="00067420">
        <w:t>200, Subpart F (Audit Requirements)</w:t>
      </w:r>
      <w:r w:rsidRPr="00FC48A7">
        <w:t>, regarding the Single Audit Act, and as may be augmented by specific guidance and instructions issued by the BLS.</w:t>
      </w:r>
    </w:p>
    <w:p w14:paraId="0C2E7257" w14:textId="77777777" w:rsidR="00FD2502" w:rsidRPr="00FC48A7" w:rsidRDefault="00391F8D" w:rsidP="00E8459C">
      <w:pPr>
        <w:keepNext w:val="0"/>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00DA1971" w:rsidRPr="00DA1971">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00DA1971">
        <w:t xml:space="preserve"> of </w:t>
      </w:r>
      <w:r w:rsidRPr="00FC48A7">
        <w:t xml:space="preserve">the SF-425 Federal Financial Report (FFR); and the Property Listing (where applicable).  The BLS specific forms are included as part of this Cooperative Agreement Application.  Closeout packages are due 90 days after the end of the Cooperative Agreement period.  SGAs may request an extension to the due date.  Such a request must be in writing and sent to the Grant Officer.  The Grant Officer will respond in writing to the request.  Once the closeout materials are received, the Grant Officer will inform the SGA of any missing reports and inquire about the status of funding for completion of the project.  Final closeouts must reflect that there are not any outstanding resources on order or accruals remaining at the time of submission.  In addition, cash drawdowns in HHS-PMS should equal total expenses for the fiscal year. </w:t>
      </w:r>
    </w:p>
    <w:p w14:paraId="6CE53577" w14:textId="77777777" w:rsidR="00391F8D" w:rsidRPr="00FC48A7" w:rsidRDefault="00391F8D" w:rsidP="00E8459C">
      <w:pPr>
        <w:pStyle w:val="Heading2"/>
        <w:keepNext w:val="0"/>
        <w:jc w:val="both"/>
      </w:pPr>
      <w:bookmarkStart w:id="53" w:name="_Toc356978063"/>
      <w:bookmarkStart w:id="54" w:name="_Toc350864666"/>
      <w:bookmarkStart w:id="55" w:name="_Toc381882871"/>
      <w:r w:rsidRPr="00FC48A7">
        <w:t>P.</w:t>
      </w:r>
      <w:r w:rsidRPr="00FC48A7">
        <w:tab/>
        <w:t>RECORDS</w:t>
      </w:r>
      <w:bookmarkEnd w:id="53"/>
      <w:bookmarkEnd w:id="54"/>
      <w:bookmarkEnd w:id="55"/>
    </w:p>
    <w:p w14:paraId="30410979" w14:textId="77777777" w:rsidR="00391F8D" w:rsidRPr="00FC48A7" w:rsidRDefault="00391F8D" w:rsidP="00E8459C">
      <w:pPr>
        <w:pStyle w:val="ListParagraph"/>
        <w:keepNext w:val="0"/>
        <w:numPr>
          <w:ilvl w:val="0"/>
          <w:numId w:val="10"/>
        </w:numPr>
        <w:ind w:left="990" w:hanging="450"/>
        <w:jc w:val="both"/>
      </w:pPr>
      <w:bookmarkStart w:id="56" w:name="_Toc356978064"/>
      <w:r w:rsidRPr="00FC48A7">
        <w:t>Retention</w:t>
      </w:r>
      <w:bookmarkEnd w:id="56"/>
    </w:p>
    <w:p w14:paraId="4A152885" w14:textId="47813331" w:rsidR="00391F8D" w:rsidRDefault="00391F8D" w:rsidP="00E8459C">
      <w:pPr>
        <w:keepNext w:val="0"/>
        <w:ind w:left="990"/>
        <w:jc w:val="both"/>
      </w:pPr>
      <w:r w:rsidRPr="00FC48A7">
        <w:t xml:space="preserve">Records will be retained in accordance with 2 CFR </w:t>
      </w:r>
      <w:r w:rsidR="00067420">
        <w:t>200</w:t>
      </w:r>
      <w:r w:rsidRPr="00FC48A7">
        <w:t>.</w:t>
      </w:r>
      <w:r w:rsidR="00067420">
        <w:t>333 – 200.337</w:t>
      </w:r>
      <w:r w:rsidRPr="00FC48A7">
        <w:t xml:space="preserve">, </w:t>
      </w:r>
      <w:r w:rsidR="00067420">
        <w:t xml:space="preserve">Record </w:t>
      </w:r>
      <w:r w:rsidRPr="00FC48A7">
        <w:t xml:space="preserve">Retention and Access.  Generally, the SGA will retain all records pertinent to the agreement, including financial records and supporting documents for a period of three years </w:t>
      </w:r>
      <w:r w:rsidR="00067420">
        <w:t>from</w:t>
      </w:r>
      <w:r w:rsidR="00067420" w:rsidRPr="00FC48A7">
        <w:t xml:space="preserve"> </w:t>
      </w:r>
      <w:r w:rsidRPr="00FC48A7">
        <w:t xml:space="preserve">the </w:t>
      </w:r>
      <w:r w:rsidR="00067420">
        <w:t>date</w:t>
      </w:r>
      <w:r w:rsidR="00067420" w:rsidRPr="00FC48A7">
        <w:t xml:space="preserve"> </w:t>
      </w:r>
      <w:r w:rsidRPr="00FC48A7">
        <w:t xml:space="preserve">of the </w:t>
      </w:r>
      <w:r w:rsidR="00067420">
        <w:t>final expenditure report</w:t>
      </w:r>
      <w:r w:rsidRPr="00FC48A7">
        <w:t>.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w:t>
      </w:r>
      <w:r w:rsidRPr="00FC48A7">
        <w:lastRenderedPageBreak/>
        <w:t xml:space="preserve">micro-data into BLS computer systems.  States shall also retain any electronic version of the forms received through email submission of the </w:t>
      </w:r>
      <w:r w:rsidR="00767B08">
        <w:t>SOII</w:t>
      </w:r>
      <w:r w:rsidRPr="00FC48A7">
        <w:t xml:space="preserve"> or scanned and transmitted by the print vendor.  Typically, unless instructed otherwise, States may destroy these electronic and hard copies 30 days after the State’s final Case and Demographic estimates have been generated or one year after submitting the final updated CFOI data file for the reference year.</w:t>
      </w:r>
    </w:p>
    <w:p w14:paraId="28C04DAF" w14:textId="77777777" w:rsidR="00391F8D" w:rsidRPr="00FC48A7" w:rsidRDefault="00391F8D" w:rsidP="00E8459C">
      <w:pPr>
        <w:pStyle w:val="ListParagraph"/>
        <w:keepNext w:val="0"/>
        <w:numPr>
          <w:ilvl w:val="0"/>
          <w:numId w:val="10"/>
        </w:numPr>
        <w:ind w:left="990" w:hanging="450"/>
        <w:jc w:val="both"/>
      </w:pPr>
      <w:bookmarkStart w:id="57" w:name="_Toc356978065"/>
      <w:r w:rsidRPr="00FC48A7">
        <w:t>Disposal</w:t>
      </w:r>
      <w:bookmarkEnd w:id="57"/>
    </w:p>
    <w:p w14:paraId="74710478" w14:textId="77777777" w:rsidR="00391F8D" w:rsidRDefault="00391F8D" w:rsidP="00E8459C">
      <w:pPr>
        <w:keepNext w:val="0"/>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14:paraId="2EC55DE4" w14:textId="77777777" w:rsidR="00391F8D" w:rsidRPr="006C062D" w:rsidRDefault="00391F8D" w:rsidP="00E8459C">
      <w:pPr>
        <w:pStyle w:val="Heading2"/>
        <w:keepNext w:val="0"/>
        <w:jc w:val="both"/>
      </w:pPr>
      <w:bookmarkStart w:id="58" w:name="Confidentiality"/>
      <w:bookmarkStart w:id="59" w:name="_Toc350864667"/>
      <w:bookmarkStart w:id="60" w:name="_Toc381882872"/>
      <w:bookmarkStart w:id="61" w:name="OLE_LINK1"/>
      <w:bookmarkStart w:id="62" w:name="_Toc356978066"/>
      <w:bookmarkEnd w:id="58"/>
      <w:r w:rsidRPr="006C062D">
        <w:t>Q.</w:t>
      </w:r>
      <w:r w:rsidRPr="006C062D">
        <w:tab/>
        <w:t>CONFIDENTIALITY</w:t>
      </w:r>
      <w:bookmarkEnd w:id="59"/>
      <w:bookmarkEnd w:id="60"/>
    </w:p>
    <w:p w14:paraId="64AFB5B0" w14:textId="77777777" w:rsidR="00391F8D" w:rsidRPr="00FC48A7" w:rsidRDefault="00391F8D" w:rsidP="00E8459C">
      <w:pPr>
        <w:pStyle w:val="ListParagraph"/>
        <w:keepNext w:val="0"/>
        <w:numPr>
          <w:ilvl w:val="0"/>
          <w:numId w:val="11"/>
        </w:numPr>
        <w:ind w:left="1080" w:hanging="540"/>
        <w:jc w:val="both"/>
      </w:pPr>
      <w:r w:rsidRPr="00FC48A7">
        <w:t>Federal Guidelines</w:t>
      </w:r>
    </w:p>
    <w:p w14:paraId="43DA142D" w14:textId="77777777" w:rsidR="00391F8D" w:rsidRPr="00FC48A7" w:rsidRDefault="00391F8D" w:rsidP="00E8459C">
      <w:pPr>
        <w:keepNext w:val="0"/>
        <w:ind w:left="1080"/>
        <w:jc w:val="both"/>
      </w:pPr>
      <w:r w:rsidRPr="00FC48A7">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of 2002 (Title 5 of Public Law 107-347)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14:paraId="2044EA20" w14:textId="77777777" w:rsidR="00391F8D" w:rsidRPr="00FC48A7" w:rsidRDefault="00391F8D" w:rsidP="00E8459C">
      <w:pPr>
        <w:pStyle w:val="ListParagraph"/>
        <w:keepNext w:val="0"/>
        <w:numPr>
          <w:ilvl w:val="0"/>
          <w:numId w:val="11"/>
        </w:numPr>
        <w:ind w:left="1080" w:hanging="540"/>
        <w:jc w:val="both"/>
      </w:pPr>
      <w:r w:rsidRPr="00FC48A7">
        <w:t>Description of Confidential Information</w:t>
      </w:r>
    </w:p>
    <w:p w14:paraId="0ED6970F" w14:textId="77777777" w:rsidR="00391F8D" w:rsidRPr="00FC48A7" w:rsidRDefault="00391F8D" w:rsidP="00E8459C">
      <w:pPr>
        <w:keepNext w:val="0"/>
        <w:ind w:left="1080"/>
        <w:jc w:val="both"/>
      </w:pPr>
      <w:r w:rsidRPr="00FC48A7">
        <w:t>For the purposes of this cooperative agreement “confidential information” includes:</w:t>
      </w:r>
    </w:p>
    <w:p w14:paraId="596DCE39" w14:textId="77777777" w:rsidR="00391F8D" w:rsidRPr="00FC48A7" w:rsidRDefault="00391F8D" w:rsidP="00E8459C">
      <w:pPr>
        <w:keepNext w:val="0"/>
        <w:ind w:left="1080"/>
        <w:jc w:val="both"/>
      </w:pPr>
      <w:r w:rsidRPr="00FC48A7">
        <w:t>Respondent Identifiable Information (Protected by CIPSEA)</w:t>
      </w:r>
    </w:p>
    <w:p w14:paraId="648D4E40" w14:textId="77777777" w:rsidR="00391F8D" w:rsidRPr="00FC48A7" w:rsidRDefault="00391F8D" w:rsidP="00E8459C">
      <w:pPr>
        <w:pStyle w:val="ListParagraph"/>
        <w:keepNext w:val="0"/>
        <w:numPr>
          <w:ilvl w:val="0"/>
          <w:numId w:val="12"/>
        </w:numPr>
        <w:ind w:left="1800"/>
        <w:contextualSpacing w:val="0"/>
        <w:jc w:val="both"/>
      </w:pPr>
      <w:r w:rsidRPr="00FC48A7">
        <w:t>All names, addresses, and other information about an establishment from which data are requested.</w:t>
      </w:r>
    </w:p>
    <w:p w14:paraId="1BFFDC85" w14:textId="77777777" w:rsidR="00391F8D" w:rsidRPr="00FC48A7" w:rsidRDefault="00391F8D" w:rsidP="00E8459C">
      <w:pPr>
        <w:pStyle w:val="ListParagraph"/>
        <w:keepNext w:val="0"/>
        <w:numPr>
          <w:ilvl w:val="0"/>
          <w:numId w:val="12"/>
        </w:numPr>
        <w:ind w:left="1800"/>
        <w:contextualSpacing w:val="0"/>
        <w:jc w:val="both"/>
      </w:pPr>
      <w:r w:rsidRPr="00FC48A7">
        <w:t>All identifiable respondent submissions.</w:t>
      </w:r>
    </w:p>
    <w:p w14:paraId="41BBAA0A" w14:textId="77777777" w:rsidR="00391F8D" w:rsidRPr="00FC48A7" w:rsidRDefault="00391F8D" w:rsidP="00E8459C">
      <w:pPr>
        <w:pStyle w:val="ListParagraph"/>
        <w:keepNext w:val="0"/>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14:paraId="577725A9" w14:textId="77777777" w:rsidR="00391F8D" w:rsidRPr="00FC48A7" w:rsidRDefault="00391F8D" w:rsidP="00E8459C">
      <w:pPr>
        <w:pStyle w:val="ListParagraph"/>
        <w:keepNext w:val="0"/>
        <w:numPr>
          <w:ilvl w:val="0"/>
          <w:numId w:val="12"/>
        </w:numPr>
        <w:ind w:left="1800"/>
        <w:contextualSpacing w:val="0"/>
        <w:jc w:val="both"/>
      </w:pPr>
      <w:r w:rsidRPr="00FC48A7">
        <w:t>Disclosure avoidance parameters applied to published data, unless otherwise specified by the BLS.</w:t>
      </w:r>
    </w:p>
    <w:p w14:paraId="10ECB10B" w14:textId="77777777" w:rsidR="00391F8D" w:rsidRPr="00FC48A7" w:rsidRDefault="00391F8D" w:rsidP="00E8459C">
      <w:pPr>
        <w:pStyle w:val="ListParagraph"/>
        <w:keepNext w:val="0"/>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14:paraId="6350B502" w14:textId="77777777" w:rsidR="00391F8D" w:rsidRPr="00FC48A7" w:rsidRDefault="00391F8D" w:rsidP="00E8459C">
      <w:pPr>
        <w:keepNext w:val="0"/>
        <w:ind w:left="1080"/>
        <w:jc w:val="both"/>
      </w:pPr>
      <w:r w:rsidRPr="00FC48A7">
        <w:t>Pre-release Information (Protected by Federal Policies)</w:t>
      </w:r>
    </w:p>
    <w:p w14:paraId="2A3CE88B" w14:textId="77777777" w:rsidR="00391F8D" w:rsidRPr="00FC48A7" w:rsidRDefault="00391F8D" w:rsidP="00E8459C">
      <w:pPr>
        <w:pStyle w:val="ListParagraph"/>
        <w:keepNext w:val="0"/>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14:paraId="7DB1D5AA" w14:textId="77777777" w:rsidR="00391F8D" w:rsidRPr="00FC48A7" w:rsidRDefault="00391F8D" w:rsidP="00E8459C">
      <w:pPr>
        <w:pStyle w:val="ListParagraph"/>
        <w:keepNext w:val="0"/>
        <w:numPr>
          <w:ilvl w:val="0"/>
          <w:numId w:val="11"/>
        </w:numPr>
        <w:ind w:left="1094" w:hanging="547"/>
        <w:contextualSpacing w:val="0"/>
        <w:jc w:val="both"/>
      </w:pPr>
      <w:r w:rsidRPr="00FC48A7">
        <w:lastRenderedPageBreak/>
        <w:t>State’s Confidentiality Responsibility</w:t>
      </w:r>
    </w:p>
    <w:p w14:paraId="2A5ECB4D" w14:textId="77777777" w:rsidR="00391F8D" w:rsidRPr="00FC48A7" w:rsidRDefault="00391F8D" w:rsidP="00E8459C">
      <w:pPr>
        <w:pStyle w:val="ListParagraph"/>
        <w:keepNext w:val="0"/>
        <w:numPr>
          <w:ilvl w:val="0"/>
          <w:numId w:val="13"/>
        </w:numPr>
        <w:ind w:left="1440"/>
        <w:contextualSpacing w:val="0"/>
        <w:jc w:val="both"/>
      </w:pPr>
      <w:r w:rsidRPr="00FC48A7">
        <w:t xml:space="preserve">The State agency agrees to use </w:t>
      </w:r>
      <w:r w:rsidR="008035D8">
        <w:t>respondent identifiable</w:t>
      </w:r>
      <w:r w:rsidRPr="00FC48A7">
        <w:t xml:space="preserve"> information for statistical purposes only.</w:t>
      </w:r>
    </w:p>
    <w:p w14:paraId="11AA1C39" w14:textId="77777777" w:rsidR="00391F8D" w:rsidRDefault="00391F8D" w:rsidP="00E8459C">
      <w:pPr>
        <w:pStyle w:val="ListParagraph"/>
        <w:keepNext w:val="0"/>
        <w:numPr>
          <w:ilvl w:val="0"/>
          <w:numId w:val="13"/>
        </w:numPr>
        <w:ind w:left="1440"/>
        <w:contextualSpacing w:val="0"/>
        <w:jc w:val="both"/>
      </w:pPr>
      <w:r w:rsidRPr="00FC48A7">
        <w:t>The State agency agrees that pre-release information such as official estimates and other statistical products will be accessible only to authorized persons and will not be disclosed or used in an unauthorized manner before the official BLS release of the national data.  Authorized persons are State employees designated as “authorized agents” of the BLS (defined in section 4) or State employees that have signed a non-disclosure agreement permitting access to pre-release information.</w:t>
      </w:r>
    </w:p>
    <w:p w14:paraId="4609629D" w14:textId="77777777" w:rsidR="00391F8D" w:rsidRPr="00FC48A7" w:rsidRDefault="00391F8D" w:rsidP="00E8459C">
      <w:pPr>
        <w:pStyle w:val="ListParagraph"/>
        <w:keepNext w:val="0"/>
        <w:numPr>
          <w:ilvl w:val="0"/>
          <w:numId w:val="11"/>
        </w:numPr>
        <w:ind w:left="1094" w:hanging="547"/>
        <w:contextualSpacing w:val="0"/>
        <w:jc w:val="both"/>
      </w:pPr>
      <w:r w:rsidRPr="00FC48A7">
        <w:t>Access to Confidential Information</w:t>
      </w:r>
    </w:p>
    <w:p w14:paraId="71190BCE" w14:textId="77777777" w:rsidR="00391F8D" w:rsidRPr="00FC48A7" w:rsidRDefault="00391F8D" w:rsidP="00E8459C">
      <w:pPr>
        <w:pStyle w:val="ListParagraph"/>
        <w:keepNext w:val="0"/>
        <w:numPr>
          <w:ilvl w:val="0"/>
          <w:numId w:val="14"/>
        </w:numPr>
        <w:ind w:left="1440"/>
        <w:contextualSpacing w:val="0"/>
        <w:jc w:val="both"/>
      </w:pPr>
      <w:r w:rsidRPr="00FC48A7">
        <w:t xml:space="preserve">The State agency agrees to assign BLS State Cooperating Representative(s) for the OSHS program components it undertakes under the cooperative agreement (the </w:t>
      </w:r>
      <w:r w:rsidR="00702868">
        <w:t>SOII</w:t>
      </w:r>
      <w:r w:rsidRPr="00FC48A7">
        <w:t xml:space="preserve"> and </w:t>
      </w:r>
      <w:r w:rsidR="00702868">
        <w:t>CFOI</w:t>
      </w:r>
      <w:r w:rsidRPr="00FC48A7">
        <w:t xml:space="preserve">) prior to its execution in accordance with BLS requirements.  The </w:t>
      </w:r>
      <w:r w:rsidR="00AC7EB3">
        <w:t>BLS</w:t>
      </w:r>
      <w:r w:rsidR="00E47937">
        <w:t xml:space="preserve"> State</w:t>
      </w:r>
      <w:r w:rsidR="00AC7EB3">
        <w:t xml:space="preserve"> </w:t>
      </w:r>
      <w:r w:rsidRPr="00FC48A7">
        <w:t>Cooperating Representative will be designated an agent by the BLS and must sign a BLS Agent Agreement each year a cooperative agreement is executed.  A copy of this form is included as part of the application materials in Part III.</w:t>
      </w:r>
    </w:p>
    <w:p w14:paraId="68E6D7D1" w14:textId="77777777" w:rsidR="00391F8D" w:rsidRPr="00FC48A7" w:rsidRDefault="00391F8D" w:rsidP="00E8459C">
      <w:pPr>
        <w:pStyle w:val="ListParagraph"/>
        <w:keepNext w:val="0"/>
        <w:numPr>
          <w:ilvl w:val="0"/>
          <w:numId w:val="14"/>
        </w:numPr>
        <w:ind w:left="1440"/>
        <w:contextualSpacing w:val="0"/>
        <w:jc w:val="both"/>
      </w:pPr>
      <w:r w:rsidRPr="00FC48A7">
        <w:t>For the purposes of this cooperative agreement, “authorized agents” are defined as individuals who have been authorized by the BLS to receive access to respondent identifiable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14:paraId="7AF26209" w14:textId="77777777" w:rsidR="00391F8D" w:rsidRPr="00FC48A7" w:rsidRDefault="00391F8D" w:rsidP="00E8459C">
      <w:pPr>
        <w:pStyle w:val="ListParagraph"/>
        <w:keepNext w:val="0"/>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14:paraId="3FA7EFCD" w14:textId="77777777" w:rsidR="00391F8D" w:rsidRPr="00FC48A7" w:rsidRDefault="00391F8D" w:rsidP="00E8459C">
      <w:pPr>
        <w:pStyle w:val="ListParagraph"/>
        <w:keepNext w:val="0"/>
        <w:numPr>
          <w:ilvl w:val="0"/>
          <w:numId w:val="14"/>
        </w:numPr>
        <w:ind w:left="1440"/>
        <w:contextualSpacing w:val="0"/>
        <w:jc w:val="both"/>
      </w:pPr>
      <w:r w:rsidRPr="00FC48A7">
        <w:t>The BLS may revoke an agent agreement or revoke an individual’s access to pre-release information at any time and without advance notice.</w:t>
      </w:r>
    </w:p>
    <w:p w14:paraId="28A7611E" w14:textId="77777777" w:rsidR="00391F8D" w:rsidRPr="00FC48A7" w:rsidRDefault="00391F8D" w:rsidP="00E8459C">
      <w:pPr>
        <w:pStyle w:val="ListParagraph"/>
        <w:keepNext w:val="0"/>
        <w:numPr>
          <w:ilvl w:val="0"/>
          <w:numId w:val="14"/>
        </w:numPr>
        <w:ind w:left="1440"/>
        <w:contextualSpacing w:val="0"/>
        <w:jc w:val="both"/>
      </w:pPr>
      <w:r w:rsidRPr="00FC48A7">
        <w:t xml:space="preserve">The State agency agrees to administer annual confidentiality training as provided by the BLS to all State employees designated as agents to carry out work under this cooperative agreement.   </w:t>
      </w:r>
    </w:p>
    <w:p w14:paraId="384586FA" w14:textId="77777777" w:rsidR="00C972DB" w:rsidRPr="00FC48A7" w:rsidRDefault="00C972DB" w:rsidP="00E8459C">
      <w:pPr>
        <w:pStyle w:val="ListParagraph"/>
        <w:keepNext w:val="0"/>
        <w:numPr>
          <w:ilvl w:val="0"/>
          <w:numId w:val="14"/>
        </w:numPr>
        <w:ind w:left="1440"/>
        <w:contextualSpacing w:val="0"/>
        <w:jc w:val="both"/>
      </w:pPr>
      <w:r w:rsidRPr="00FC48A7">
        <w:t>The State agency agrees to recertify on an annual basis through the</w:t>
      </w:r>
      <w:r w:rsidR="00735B90">
        <w:t xml:space="preserve"> BLS</w:t>
      </w:r>
      <w:r w:rsidRPr="00FC48A7">
        <w:t xml:space="preserve"> </w:t>
      </w:r>
      <w:r w:rsidR="00E47937">
        <w:t xml:space="preserve">State </w:t>
      </w:r>
      <w:r w:rsidRPr="00FC48A7">
        <w:t>Cooperating Representative that State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14:paraId="5E57FECF" w14:textId="77777777" w:rsidR="00391F8D" w:rsidRPr="00FC48A7" w:rsidRDefault="00391F8D" w:rsidP="00E8459C">
      <w:pPr>
        <w:pStyle w:val="ListParagraph"/>
        <w:keepNext w:val="0"/>
        <w:numPr>
          <w:ilvl w:val="0"/>
          <w:numId w:val="14"/>
        </w:numPr>
        <w:ind w:left="1440"/>
        <w:contextualSpacing w:val="0"/>
        <w:jc w:val="both"/>
      </w:pPr>
      <w:r w:rsidRPr="00FC48A7">
        <w:t>The State agency will assure that there will be no access to respondent identifiable information by any person other than an agent designated pursuant to this agreement.  Neither the State agency nor any agent designated pursuant to this agreement will use respondent identifiable information for any purpose other than a BLS-approved statistical purpose.  The BLS may require the submission of any output(s) produced from respondent identifiable information intended for release or publication for review and approval to ensure adherence to the terms and provisions of this cooperative agreement.  The State agency and designated agents will be bound by the determinations of the BLS.</w:t>
      </w:r>
    </w:p>
    <w:p w14:paraId="70D72ACE" w14:textId="77777777" w:rsidR="00391F8D" w:rsidRDefault="00391F8D" w:rsidP="00E8459C">
      <w:pPr>
        <w:pStyle w:val="ListParagraph"/>
        <w:keepNext w:val="0"/>
        <w:numPr>
          <w:ilvl w:val="0"/>
          <w:numId w:val="14"/>
        </w:numPr>
        <w:ind w:left="1440"/>
        <w:contextualSpacing w:val="0"/>
        <w:jc w:val="both"/>
      </w:pPr>
      <w:r w:rsidRPr="00FC48A7">
        <w:lastRenderedPageBreak/>
        <w:t>State agencies agree to prohibit remote access to confidential information from offsite locations without prior written approval from the Grant Officer.</w:t>
      </w:r>
    </w:p>
    <w:p w14:paraId="0992185A" w14:textId="77777777" w:rsidR="00391F8D" w:rsidRPr="00FC48A7" w:rsidRDefault="00391F8D" w:rsidP="00E8459C">
      <w:pPr>
        <w:pStyle w:val="ListParagraph"/>
        <w:keepNext w:val="0"/>
        <w:numPr>
          <w:ilvl w:val="0"/>
          <w:numId w:val="11"/>
        </w:numPr>
        <w:ind w:left="1094" w:hanging="547"/>
        <w:contextualSpacing w:val="0"/>
        <w:jc w:val="both"/>
      </w:pPr>
      <w:r w:rsidRPr="00FC48A7">
        <w:t>Data Sharing</w:t>
      </w:r>
    </w:p>
    <w:p w14:paraId="44BCDD62" w14:textId="77777777" w:rsidR="00391F8D" w:rsidRPr="00FC48A7" w:rsidRDefault="00391F8D" w:rsidP="00E8459C">
      <w:pPr>
        <w:pStyle w:val="ListParagraph"/>
        <w:keepNext w:val="0"/>
        <w:numPr>
          <w:ilvl w:val="0"/>
          <w:numId w:val="15"/>
        </w:numPr>
        <w:ind w:left="1440"/>
        <w:contextualSpacing w:val="0"/>
        <w:jc w:val="both"/>
      </w:pPr>
      <w:r w:rsidRPr="00FC48A7">
        <w:t>The State agency agrees to obtain BLS approval prior to using the respondent identifiable information for any statistical activity not authorized under this cooperative agreement.  For activities approved by the BLS, the State agency agrees to enter into a Memorandum of Understanding with the BLS authorizing that work and stating the terms of access to the confidential information.</w:t>
      </w:r>
    </w:p>
    <w:p w14:paraId="1C85C448" w14:textId="77777777" w:rsidR="00391F8D" w:rsidRPr="00FC48A7" w:rsidRDefault="00391F8D" w:rsidP="00E8459C">
      <w:pPr>
        <w:pStyle w:val="ListParagraph"/>
        <w:keepNext w:val="0"/>
        <w:numPr>
          <w:ilvl w:val="0"/>
          <w:numId w:val="15"/>
        </w:numPr>
        <w:ind w:left="1440"/>
        <w:contextualSpacing w:val="0"/>
        <w:jc w:val="both"/>
      </w:pPr>
      <w:r w:rsidRPr="00FC48A7">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BLS and in the case of respondent identifiable information written consent has been obtained from the respondent prior to disclosure in conformance with BLS policies regarding informed consent procedures.</w:t>
      </w:r>
    </w:p>
    <w:p w14:paraId="52C7C32A" w14:textId="77777777" w:rsidR="00391F8D" w:rsidRPr="00FC48A7" w:rsidRDefault="00391F8D" w:rsidP="00E8459C">
      <w:pPr>
        <w:pStyle w:val="ListParagraph"/>
        <w:keepNext w:val="0"/>
        <w:numPr>
          <w:ilvl w:val="0"/>
          <w:numId w:val="15"/>
        </w:numPr>
        <w:ind w:left="1440"/>
        <w:contextualSpacing w:val="0"/>
        <w:jc w:val="both"/>
      </w:pPr>
      <w:r w:rsidRPr="00FC48A7">
        <w:t>Upon receipt of any legal, investigatory, or other demand for access to the confidential information in any form, the State agency agrees:</w:t>
      </w:r>
    </w:p>
    <w:p w14:paraId="54970743" w14:textId="77777777" w:rsidR="00391F8D" w:rsidRPr="00FC48A7" w:rsidRDefault="00391F8D" w:rsidP="00E8459C">
      <w:pPr>
        <w:pStyle w:val="ListParagraph"/>
        <w:keepNext w:val="0"/>
        <w:numPr>
          <w:ilvl w:val="0"/>
          <w:numId w:val="16"/>
        </w:numPr>
        <w:ind w:left="1886" w:hanging="446"/>
        <w:contextualSpacing w:val="0"/>
        <w:jc w:val="both"/>
      </w:pPr>
      <w:r w:rsidRPr="00FC48A7">
        <w:t>Not to disclose the confidential information in any form to anyone who is not an authorized agent (in the case of respondent identifiable information), approved individual (in the case of pre-release information), or employee of the BLS.</w:t>
      </w:r>
    </w:p>
    <w:p w14:paraId="40FE697C" w14:textId="77777777" w:rsidR="00391F8D" w:rsidRPr="00FC48A7" w:rsidRDefault="00391F8D" w:rsidP="00E8459C">
      <w:pPr>
        <w:pStyle w:val="ListParagraph"/>
        <w:keepNext w:val="0"/>
        <w:numPr>
          <w:ilvl w:val="0"/>
          <w:numId w:val="16"/>
        </w:numPr>
        <w:ind w:left="1886" w:hanging="446"/>
        <w:contextualSpacing w:val="0"/>
        <w:jc w:val="both"/>
      </w:pPr>
      <w:r w:rsidRPr="00FC48A7">
        <w:t>To immediately notify the BLS regional office upon receipt of any demand for access to the confidential information.</w:t>
      </w:r>
    </w:p>
    <w:p w14:paraId="7B219335" w14:textId="77777777" w:rsidR="00391F8D" w:rsidRPr="00FC48A7" w:rsidRDefault="00391F8D" w:rsidP="00E8459C">
      <w:pPr>
        <w:pStyle w:val="ListParagraph"/>
        <w:keepNext w:val="0"/>
        <w:numPr>
          <w:ilvl w:val="0"/>
          <w:numId w:val="16"/>
        </w:numPr>
        <w:ind w:left="1886" w:hanging="446"/>
        <w:contextualSpacing w:val="0"/>
        <w:jc w:val="both"/>
      </w:pPr>
      <w:r w:rsidRPr="00FC48A7">
        <w:t>To refer the demand for confidential information to the BLS to be handled under Federal law.</w:t>
      </w:r>
    </w:p>
    <w:p w14:paraId="52195E4D" w14:textId="77777777" w:rsidR="00391F8D" w:rsidRPr="00FC48A7" w:rsidRDefault="00391F8D" w:rsidP="00E8459C">
      <w:pPr>
        <w:pStyle w:val="ListParagraph"/>
        <w:keepNext w:val="0"/>
        <w:numPr>
          <w:ilvl w:val="0"/>
          <w:numId w:val="11"/>
        </w:numPr>
        <w:ind w:left="1094" w:hanging="547"/>
        <w:contextualSpacing w:val="0"/>
        <w:jc w:val="both"/>
      </w:pPr>
      <w:r w:rsidRPr="00FC48A7">
        <w:t xml:space="preserve">Use of Contractors </w:t>
      </w:r>
    </w:p>
    <w:p w14:paraId="3243882A" w14:textId="77777777" w:rsidR="00391F8D" w:rsidRPr="00FC48A7" w:rsidRDefault="00391F8D" w:rsidP="00E8459C">
      <w:pPr>
        <w:pStyle w:val="ListParagraph"/>
        <w:keepNext w:val="0"/>
        <w:numPr>
          <w:ilvl w:val="0"/>
          <w:numId w:val="17"/>
        </w:numPr>
        <w:ind w:left="1440"/>
        <w:contextualSpacing w:val="0"/>
        <w:jc w:val="both"/>
      </w:pPr>
      <w:r w:rsidRPr="00FC48A7">
        <w:t>The State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14:paraId="63CB8514" w14:textId="77777777" w:rsidR="00391F8D" w:rsidRPr="00FC48A7" w:rsidRDefault="00391F8D" w:rsidP="00E8459C">
      <w:pPr>
        <w:pStyle w:val="ListParagraph"/>
        <w:keepNext w:val="0"/>
        <w:numPr>
          <w:ilvl w:val="0"/>
          <w:numId w:val="17"/>
        </w:numPr>
        <w:ind w:left="1440"/>
        <w:contextualSpacing w:val="0"/>
        <w:jc w:val="both"/>
      </w:pPr>
      <w:r w:rsidRPr="00FC48A7">
        <w:t>Contractor officers and employees must adhere to CIPSEA and all applicable Federal laws regarding the handling of all respondent identifiable information and also must adhere to the BLS confidentiality policy as stated in this cooperative agreement with regard to access to all confidential information;</w:t>
      </w:r>
    </w:p>
    <w:p w14:paraId="11BD3798" w14:textId="77777777" w:rsidR="00391F8D" w:rsidRPr="00FC48A7" w:rsidRDefault="00391F8D" w:rsidP="00E8459C">
      <w:pPr>
        <w:pStyle w:val="ListParagraph"/>
        <w:keepNext w:val="0"/>
        <w:numPr>
          <w:ilvl w:val="0"/>
          <w:numId w:val="17"/>
        </w:numPr>
        <w:ind w:left="1440"/>
        <w:contextualSpacing w:val="0"/>
        <w:jc w:val="both"/>
      </w:pPr>
      <w:r w:rsidRPr="00FC48A7">
        <w:t>Access to respondent identifiable information must be limited to contractor officers and employees who have been designated as agents by the BLS to work directly on the contract and who have signed the BLS Agent Agreement and have completed confidentiality training in advance;</w:t>
      </w:r>
    </w:p>
    <w:p w14:paraId="230A8834" w14:textId="77777777" w:rsidR="00391F8D" w:rsidRPr="00FC48A7" w:rsidRDefault="00391F8D" w:rsidP="00E8459C">
      <w:pPr>
        <w:pStyle w:val="ListParagraph"/>
        <w:keepNext w:val="0"/>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14:paraId="6617FF64" w14:textId="77777777" w:rsidR="00391F8D" w:rsidRPr="00FC48A7" w:rsidRDefault="00391F8D" w:rsidP="00E8459C">
      <w:pPr>
        <w:pStyle w:val="ListParagraph"/>
        <w:keepNext w:val="0"/>
        <w:numPr>
          <w:ilvl w:val="0"/>
          <w:numId w:val="17"/>
        </w:numPr>
        <w:ind w:left="1440"/>
        <w:contextualSpacing w:val="0"/>
        <w:jc w:val="both"/>
      </w:pPr>
      <w:r w:rsidRPr="00FC48A7">
        <w:t>Reliability of personnel;</w:t>
      </w:r>
    </w:p>
    <w:p w14:paraId="41AD8AA0" w14:textId="77777777" w:rsidR="00391F8D" w:rsidRPr="00FC48A7" w:rsidRDefault="00391F8D" w:rsidP="00E8459C">
      <w:pPr>
        <w:pStyle w:val="ListParagraph"/>
        <w:keepNext w:val="0"/>
        <w:numPr>
          <w:ilvl w:val="0"/>
          <w:numId w:val="17"/>
        </w:numPr>
        <w:ind w:left="1440"/>
        <w:contextualSpacing w:val="0"/>
        <w:jc w:val="both"/>
      </w:pPr>
      <w:r w:rsidRPr="00FC48A7">
        <w:lastRenderedPageBreak/>
        <w:t>No subcontracting permitted;</w:t>
      </w:r>
    </w:p>
    <w:p w14:paraId="39ABFA29" w14:textId="77777777" w:rsidR="00391F8D" w:rsidRPr="00FC48A7" w:rsidRDefault="00391F8D" w:rsidP="00E8459C">
      <w:pPr>
        <w:pStyle w:val="ListParagraph"/>
        <w:keepNext w:val="0"/>
        <w:numPr>
          <w:ilvl w:val="0"/>
          <w:numId w:val="17"/>
        </w:numPr>
        <w:ind w:left="1440"/>
        <w:contextualSpacing w:val="0"/>
        <w:jc w:val="both"/>
      </w:pPr>
      <w:r w:rsidRPr="00FC48A7">
        <w:t>Right of inspection of contractor facilities;</w:t>
      </w:r>
    </w:p>
    <w:p w14:paraId="15A8CF2A" w14:textId="77777777" w:rsidR="00391F8D" w:rsidRPr="00FC48A7" w:rsidRDefault="00391F8D" w:rsidP="00E8459C">
      <w:pPr>
        <w:pStyle w:val="ListParagraph"/>
        <w:keepNext w:val="0"/>
        <w:numPr>
          <w:ilvl w:val="0"/>
          <w:numId w:val="17"/>
        </w:numPr>
        <w:ind w:left="1440"/>
        <w:contextualSpacing w:val="0"/>
        <w:jc w:val="both"/>
      </w:pPr>
      <w:r w:rsidRPr="00FC48A7">
        <w:t>Physically secure work site and computer/communications environment;</w:t>
      </w:r>
    </w:p>
    <w:p w14:paraId="082030B0" w14:textId="77777777" w:rsidR="00391F8D" w:rsidRPr="00FC48A7" w:rsidRDefault="00391F8D" w:rsidP="00E8459C">
      <w:pPr>
        <w:pStyle w:val="ListParagraph"/>
        <w:keepNext w:val="0"/>
        <w:numPr>
          <w:ilvl w:val="0"/>
          <w:numId w:val="17"/>
        </w:numPr>
        <w:ind w:left="1440"/>
        <w:contextualSpacing w:val="0"/>
        <w:jc w:val="both"/>
      </w:pPr>
      <w:r w:rsidRPr="00FC48A7">
        <w:t>Exclusive storage facilities for confidential information;</w:t>
      </w:r>
    </w:p>
    <w:p w14:paraId="55F88CC7" w14:textId="77777777" w:rsidR="00391F8D" w:rsidRPr="00FC48A7" w:rsidRDefault="00391F8D" w:rsidP="00E8459C">
      <w:pPr>
        <w:pStyle w:val="ListParagraph"/>
        <w:keepNext w:val="0"/>
        <w:numPr>
          <w:ilvl w:val="0"/>
          <w:numId w:val="17"/>
        </w:numPr>
        <w:ind w:left="1440"/>
        <w:contextualSpacing w:val="0"/>
        <w:jc w:val="both"/>
      </w:pPr>
      <w:r w:rsidRPr="00FC48A7">
        <w:t>Immediate notification of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3B3D9B04" w14:textId="77777777" w:rsidR="00391F8D" w:rsidRPr="00FC48A7" w:rsidRDefault="00391F8D" w:rsidP="00E8459C">
      <w:pPr>
        <w:pStyle w:val="ListParagraph"/>
        <w:keepNext w:val="0"/>
        <w:numPr>
          <w:ilvl w:val="0"/>
          <w:numId w:val="17"/>
        </w:numPr>
        <w:ind w:left="1440"/>
        <w:contextualSpacing w:val="0"/>
        <w:jc w:val="both"/>
      </w:pPr>
      <w:r w:rsidRPr="00FC48A7">
        <w:t>Right of termination for failure to comply with security requirements;</w:t>
      </w:r>
    </w:p>
    <w:p w14:paraId="4570B16F" w14:textId="77777777" w:rsidR="00391F8D" w:rsidRPr="00FC48A7" w:rsidRDefault="00391F8D" w:rsidP="00E8459C">
      <w:pPr>
        <w:pStyle w:val="ListParagraph"/>
        <w:keepNext w:val="0"/>
        <w:numPr>
          <w:ilvl w:val="0"/>
          <w:numId w:val="17"/>
        </w:numPr>
        <w:ind w:left="1440"/>
        <w:contextualSpacing w:val="0"/>
        <w:jc w:val="both"/>
      </w:pPr>
      <w:r w:rsidRPr="00FC48A7">
        <w:t xml:space="preserve">Right to review outputs produced from respondent identifiable information prior to release or publication; </w:t>
      </w:r>
    </w:p>
    <w:p w14:paraId="0F53C605" w14:textId="77777777" w:rsidR="00391F8D" w:rsidRPr="00FC48A7" w:rsidRDefault="00391F8D" w:rsidP="00E8459C">
      <w:pPr>
        <w:pStyle w:val="ListParagraph"/>
        <w:keepNext w:val="0"/>
        <w:numPr>
          <w:ilvl w:val="0"/>
          <w:numId w:val="17"/>
        </w:numPr>
        <w:ind w:left="1440"/>
        <w:contextualSpacing w:val="0"/>
        <w:jc w:val="both"/>
      </w:pPr>
      <w:r w:rsidRPr="00FC48A7">
        <w:t>Return or destruction of confidential information upon termination of the contract; and</w:t>
      </w:r>
    </w:p>
    <w:p w14:paraId="1BE0675D" w14:textId="77777777" w:rsidR="00391F8D" w:rsidRPr="00FC48A7" w:rsidRDefault="00391F8D" w:rsidP="00E8459C">
      <w:pPr>
        <w:pStyle w:val="ListParagraph"/>
        <w:keepNext w:val="0"/>
        <w:numPr>
          <w:ilvl w:val="0"/>
          <w:numId w:val="17"/>
        </w:numPr>
        <w:ind w:left="1440"/>
        <w:contextualSpacing w:val="0"/>
        <w:jc w:val="both"/>
      </w:pPr>
      <w:r w:rsidRPr="00FC48A7">
        <w:t>Contractor shall not, by action or inaction, do anything to cause the State to violate the terms of this cooperative agreement.</w:t>
      </w:r>
    </w:p>
    <w:p w14:paraId="0AEA2172" w14:textId="77777777" w:rsidR="00391F8D" w:rsidRPr="00FC48A7" w:rsidRDefault="00391F8D" w:rsidP="00E8459C">
      <w:pPr>
        <w:pStyle w:val="Heading2"/>
        <w:keepNext w:val="0"/>
        <w:jc w:val="both"/>
      </w:pPr>
      <w:bookmarkStart w:id="63" w:name="_Toc350864668"/>
      <w:bookmarkStart w:id="64" w:name="_Toc381882873"/>
      <w:r w:rsidRPr="00FC48A7">
        <w:t>R.</w:t>
      </w:r>
      <w:r w:rsidRPr="00FC48A7">
        <w:tab/>
        <w:t xml:space="preserve">DATA </w:t>
      </w:r>
      <w:bookmarkEnd w:id="63"/>
      <w:r w:rsidR="006C062D">
        <w:t>AND COMMUNICATIONS SAFEGUARDS</w:t>
      </w:r>
      <w:bookmarkEnd w:id="64"/>
    </w:p>
    <w:p w14:paraId="5311D0E7" w14:textId="77777777" w:rsidR="00391F8D" w:rsidRPr="00FC48A7" w:rsidRDefault="00391F8D" w:rsidP="00E8459C">
      <w:pPr>
        <w:pStyle w:val="ListParagraph"/>
        <w:keepNext w:val="0"/>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Pr="00FC48A7">
        <w:t xml:space="preserve"> and State offices.  The </w:t>
      </w:r>
      <w:r w:rsidR="00E433FC">
        <w:t>BLS</w:t>
      </w:r>
      <w:r w:rsidRPr="00FC48A7">
        <w:t xml:space="preserve"> and State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 </w:t>
      </w:r>
      <w:r w:rsidRPr="00FC48A7">
        <w:t>State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1C20B5">
        <w:t xml:space="preserve"> by each State.  </w:t>
      </w:r>
      <w:r w:rsidRPr="00FC48A7">
        <w:t xml:space="preserve">No computers used for the OSHS program to access OSHS systems or BLS email shall be attached to any State network. </w:t>
      </w:r>
    </w:p>
    <w:p w14:paraId="6D881A7D" w14:textId="77777777" w:rsidR="00391F8D" w:rsidRPr="00FC48A7" w:rsidRDefault="00391F8D" w:rsidP="00E8459C">
      <w:pPr>
        <w:pStyle w:val="ListParagraph"/>
        <w:keepNext w:val="0"/>
        <w:numPr>
          <w:ilvl w:val="0"/>
          <w:numId w:val="18"/>
        </w:numPr>
        <w:ind w:left="1094" w:hanging="547"/>
        <w:contextualSpacing w:val="0"/>
        <w:jc w:val="both"/>
      </w:pPr>
      <w:r w:rsidRPr="00FC48A7">
        <w:t>This agreement between the parties allows for exchanges of information between State offices using BLS-provided equipment and information systems owned, operated, and processed at the Bureau of Labor Statistics as required or allowed by The Department of Labor Computer Security Handbook (CSH) and The Department of Labor Manual Series-9 as well as other federal statutes, regulations, and policies that may apply.</w:t>
      </w:r>
    </w:p>
    <w:p w14:paraId="196D0ED2" w14:textId="77777777" w:rsidR="00391F8D" w:rsidRPr="00FC48A7" w:rsidRDefault="00391F8D" w:rsidP="00E8459C">
      <w:pPr>
        <w:pStyle w:val="ListParagraph"/>
        <w:keepNext w:val="0"/>
        <w:numPr>
          <w:ilvl w:val="0"/>
          <w:numId w:val="18"/>
        </w:numPr>
        <w:ind w:left="1094" w:hanging="547"/>
        <w:contextualSpacing w:val="0"/>
        <w:jc w:val="both"/>
      </w:pPr>
      <w:r w:rsidRPr="00FC48A7">
        <w:t xml:space="preserve">The BLS LAN/WAN and the OSHS computers in the State are connected to one another using VPN connections via DSL, or other mutually acceptable means.  </w:t>
      </w:r>
    </w:p>
    <w:p w14:paraId="07DE46DD" w14:textId="77777777" w:rsidR="00391F8D" w:rsidRPr="00FC48A7" w:rsidRDefault="00391F8D" w:rsidP="00E8459C">
      <w:pPr>
        <w:pStyle w:val="ListParagraph"/>
        <w:keepNext w:val="0"/>
        <w:numPr>
          <w:ilvl w:val="0"/>
          <w:numId w:val="18"/>
        </w:numPr>
        <w:ind w:left="1094" w:hanging="547"/>
        <w:contextualSpacing w:val="0"/>
        <w:jc w:val="both"/>
      </w:pPr>
      <w:r w:rsidRPr="00FC48A7">
        <w:t>The core of the BLS network resides on the ground floor of the Postal Square Building (2 Massachusetts Avenue, NE, Washington, DC); however, it extends to several regional offices, Regional Outstation Collection Center’s (ROCC) and State offices throughout the country.</w:t>
      </w:r>
    </w:p>
    <w:p w14:paraId="75514514" w14:textId="77777777" w:rsidR="00391F8D" w:rsidRPr="00FC48A7" w:rsidRDefault="00391F8D" w:rsidP="00E8459C">
      <w:pPr>
        <w:keepNext w:val="0"/>
        <w:ind w:left="1080"/>
        <w:jc w:val="both"/>
      </w:pPr>
      <w:r w:rsidRPr="00FC48A7">
        <w:t>The State agency office location information is maintained by the BLS regional offices.</w:t>
      </w:r>
    </w:p>
    <w:p w14:paraId="49D40454" w14:textId="77777777" w:rsidR="00391F8D" w:rsidRPr="00FC48A7" w:rsidRDefault="00391F8D" w:rsidP="00E8459C">
      <w:pPr>
        <w:pStyle w:val="ListParagraph"/>
        <w:keepNext w:val="0"/>
        <w:numPr>
          <w:ilvl w:val="0"/>
          <w:numId w:val="18"/>
        </w:numPr>
        <w:ind w:left="1080" w:hanging="540"/>
        <w:jc w:val="both"/>
      </w:pPr>
      <w:r w:rsidRPr="00FC48A7">
        <w:t>The parties agree to maintain open lines of communication between designated staff.</w:t>
      </w:r>
    </w:p>
    <w:p w14:paraId="65B6F24A" w14:textId="77777777" w:rsidR="00391F8D" w:rsidRPr="00FC48A7" w:rsidRDefault="00391F8D" w:rsidP="00E8459C">
      <w:pPr>
        <w:keepNext w:val="0"/>
        <w:ind w:left="1080"/>
        <w:jc w:val="both"/>
      </w:pPr>
      <w:r w:rsidRPr="00FC48A7">
        <w:t xml:space="preserve">The BLS regional office staff will coordinate all communications between the BLS national office and State partners, except for when technical staff needs to communicate directly with one another to resolve security or connectivity issues.  </w:t>
      </w:r>
    </w:p>
    <w:p w14:paraId="3679F0AD" w14:textId="77777777" w:rsidR="006D1CE2" w:rsidRDefault="00391F8D" w:rsidP="00E8459C">
      <w:pPr>
        <w:keepNext w:val="0"/>
        <w:ind w:left="1080"/>
        <w:jc w:val="both"/>
      </w:pPr>
      <w:r w:rsidRPr="00FC48A7">
        <w:lastRenderedPageBreak/>
        <w:t xml:space="preserve">The parties agree to designate and provide contacts to support the management and operation of the OSHS resources.  </w:t>
      </w:r>
    </w:p>
    <w:p w14:paraId="7F12F6FC" w14:textId="77777777" w:rsidR="00391F8D" w:rsidRPr="00FC48A7" w:rsidRDefault="00391F8D" w:rsidP="00E8459C">
      <w:pPr>
        <w:keepNext w:val="0"/>
        <w:ind w:left="1080"/>
        <w:jc w:val="both"/>
      </w:pPr>
      <w:r w:rsidRPr="00FC48A7">
        <w:t>The BLS point of contact for security or connectivity emergencies is:</w:t>
      </w:r>
    </w:p>
    <w:p w14:paraId="159A0F18" w14:textId="77777777" w:rsidR="00391F8D" w:rsidRPr="00FC48A7" w:rsidRDefault="00391F8D" w:rsidP="00E8459C">
      <w:pPr>
        <w:keepNext w:val="0"/>
        <w:tabs>
          <w:tab w:val="center" w:pos="4320"/>
          <w:tab w:val="left" w:pos="5130"/>
        </w:tabs>
        <w:ind w:left="1440"/>
        <w:jc w:val="both"/>
      </w:pPr>
      <w:r w:rsidRPr="00FC48A7">
        <w:t>LAN</w:t>
      </w:r>
      <w:r w:rsidR="00F26731">
        <w:t xml:space="preserve">WAN Support Staff </w:t>
      </w:r>
      <w:r w:rsidR="00F26731">
        <w:tab/>
        <w:t xml:space="preserve">or </w:t>
      </w:r>
      <w:r w:rsidR="00F26731">
        <w:tab/>
      </w:r>
      <w:r w:rsidRPr="00FC48A7">
        <w:t>OCWC Help Support Staff</w:t>
      </w:r>
    </w:p>
    <w:p w14:paraId="5241D4C6" w14:textId="77777777" w:rsidR="00391F8D" w:rsidRPr="00FC48A7" w:rsidRDefault="00F26731" w:rsidP="00E8459C">
      <w:pPr>
        <w:keepNext w:val="0"/>
        <w:tabs>
          <w:tab w:val="center" w:pos="4320"/>
          <w:tab w:val="left" w:pos="5130"/>
        </w:tabs>
        <w:ind w:left="1440"/>
        <w:jc w:val="both"/>
      </w:pPr>
      <w:r>
        <w:t xml:space="preserve">202-691-5950 </w:t>
      </w:r>
      <w:r>
        <w:tab/>
      </w:r>
      <w:r>
        <w:tab/>
      </w:r>
      <w:r w:rsidR="00391F8D" w:rsidRPr="00FC48A7">
        <w:t>202-691-6125</w:t>
      </w:r>
    </w:p>
    <w:p w14:paraId="428C8D97" w14:textId="77777777" w:rsidR="00391F8D" w:rsidRPr="00FC48A7" w:rsidRDefault="00DD37DD" w:rsidP="00E8459C">
      <w:pPr>
        <w:keepNext w:val="0"/>
        <w:tabs>
          <w:tab w:val="left" w:pos="5130"/>
        </w:tabs>
        <w:ind w:left="1440"/>
        <w:jc w:val="both"/>
      </w:pPr>
      <w:r w:rsidRPr="00616D97">
        <w:t>LANHELP@bls.gov</w:t>
      </w:r>
      <w:r>
        <w:tab/>
        <w:t>OCWCHELP@bls.gov</w:t>
      </w:r>
    </w:p>
    <w:p w14:paraId="2520B5A5" w14:textId="77777777" w:rsidR="00391F8D" w:rsidRPr="00FC48A7" w:rsidRDefault="00391F8D" w:rsidP="00E8459C">
      <w:pPr>
        <w:pStyle w:val="ListParagraph"/>
        <w:keepNext w:val="0"/>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14:paraId="72E541F8" w14:textId="77777777" w:rsidR="00391F8D" w:rsidRPr="00FC48A7" w:rsidRDefault="00391F8D" w:rsidP="00E8459C">
      <w:pPr>
        <w:pStyle w:val="ListParagraph"/>
        <w:keepNext w:val="0"/>
        <w:numPr>
          <w:ilvl w:val="0"/>
          <w:numId w:val="18"/>
        </w:numPr>
        <w:ind w:left="1094" w:hanging="547"/>
        <w:contextualSpacing w:val="0"/>
        <w:jc w:val="both"/>
      </w:pPr>
      <w:r w:rsidRPr="00FC48A7">
        <w:t>The parties agree to provide notification, via the BLS regional office contacts, of any changes in point-of-contact information.</w:t>
      </w:r>
    </w:p>
    <w:p w14:paraId="6020CECA" w14:textId="77777777" w:rsidR="00391F8D" w:rsidRPr="00FC48A7" w:rsidRDefault="00391F8D" w:rsidP="00E8459C">
      <w:pPr>
        <w:pStyle w:val="ListParagraph"/>
        <w:keepNext w:val="0"/>
        <w:numPr>
          <w:ilvl w:val="0"/>
          <w:numId w:val="18"/>
        </w:numPr>
        <w:ind w:left="1094" w:hanging="547"/>
        <w:contextualSpacing w:val="0"/>
        <w:jc w:val="both"/>
      </w:pPr>
      <w:r w:rsidRPr="00FC48A7">
        <w:t>Both parties agree to implement safeguards to prevent unauthorized access by electronic or physical means to confidential information.</w:t>
      </w:r>
    </w:p>
    <w:p w14:paraId="65A9F36C" w14:textId="77777777" w:rsidR="00391F8D" w:rsidRPr="00FC48A7" w:rsidRDefault="00391F8D" w:rsidP="00E8459C">
      <w:pPr>
        <w:pStyle w:val="ListParagraph"/>
        <w:keepNext w:val="0"/>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14:paraId="43EC607C" w14:textId="77777777" w:rsidR="00391F8D" w:rsidRPr="00FC48A7" w:rsidRDefault="00391F8D" w:rsidP="00E8459C">
      <w:pPr>
        <w:pStyle w:val="ListParagraph"/>
        <w:keepNext w:val="0"/>
        <w:numPr>
          <w:ilvl w:val="0"/>
          <w:numId w:val="18"/>
        </w:numPr>
        <w:ind w:left="1094" w:hanging="547"/>
        <w:contextualSpacing w:val="0"/>
        <w:jc w:val="both"/>
      </w:pPr>
      <w:r w:rsidRPr="00FC48A7">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14:paraId="5E3E3E40" w14:textId="77777777" w:rsidR="00391F8D" w:rsidRPr="00FC48A7" w:rsidRDefault="00391F8D" w:rsidP="00E8459C">
      <w:pPr>
        <w:pStyle w:val="ListParagraph"/>
        <w:keepNext w:val="0"/>
        <w:numPr>
          <w:ilvl w:val="0"/>
          <w:numId w:val="18"/>
        </w:numPr>
        <w:ind w:left="1094" w:hanging="547"/>
        <w:contextualSpacing w:val="0"/>
        <w:jc w:val="both"/>
      </w:pPr>
      <w:r w:rsidRPr="00FC48A7">
        <w:t>The State agency agrees to notify the BLS regional office immediately upon discovering:</w:t>
      </w:r>
    </w:p>
    <w:p w14:paraId="14E708DA" w14:textId="77777777" w:rsidR="00391F8D" w:rsidRPr="00FC48A7" w:rsidRDefault="00391F8D" w:rsidP="00E8459C">
      <w:pPr>
        <w:pStyle w:val="ListParagraph"/>
        <w:keepNext w:val="0"/>
        <w:numPr>
          <w:ilvl w:val="0"/>
          <w:numId w:val="19"/>
        </w:numPr>
        <w:ind w:left="1440"/>
        <w:contextualSpacing w:val="0"/>
        <w:jc w:val="both"/>
      </w:pPr>
      <w:r w:rsidRPr="00FC48A7">
        <w:t xml:space="preserve">Any breach or suspected breach of security, or </w:t>
      </w:r>
    </w:p>
    <w:p w14:paraId="7E4B4060" w14:textId="77777777" w:rsidR="00391F8D" w:rsidRPr="00FC48A7" w:rsidRDefault="00391F8D" w:rsidP="00E8459C">
      <w:pPr>
        <w:pStyle w:val="ListParagraph"/>
        <w:keepNext w:val="0"/>
        <w:numPr>
          <w:ilvl w:val="0"/>
          <w:numId w:val="19"/>
        </w:numPr>
        <w:ind w:left="1440"/>
        <w:contextualSpacing w:val="0"/>
        <w:jc w:val="both"/>
      </w:pPr>
      <w:r w:rsidRPr="00FC48A7">
        <w:t>Any disclosure of the confidential information not authorized by this cooperative agreement.</w:t>
      </w:r>
    </w:p>
    <w:p w14:paraId="27F19105" w14:textId="77777777" w:rsidR="00391F8D" w:rsidRDefault="00391F8D" w:rsidP="00E8459C">
      <w:pPr>
        <w:pStyle w:val="ListParagraph"/>
        <w:keepNext w:val="0"/>
        <w:numPr>
          <w:ilvl w:val="0"/>
          <w:numId w:val="18"/>
        </w:numPr>
        <w:ind w:left="1080" w:hanging="540"/>
        <w:jc w:val="both"/>
      </w:pPr>
      <w:r w:rsidRPr="00FC48A7">
        <w:t xml:space="preserve">All OSHS-related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00D51A70" w:rsidRPr="00FC48A7">
        <w:t>a</w:t>
      </w:r>
      <w:r w:rsidRPr="00FC48A7">
        <w:t>s they can be saved with the file extension of .</w:t>
      </w:r>
      <w:proofErr w:type="spellStart"/>
      <w:r w:rsidRPr="00FC48A7">
        <w:t>docx</w:t>
      </w:r>
      <w:proofErr w:type="spellEnd"/>
      <w:r w:rsidRPr="00FC48A7">
        <w:t xml:space="preserve"> or </w:t>
      </w:r>
      <w:r w:rsidR="00F84333">
        <w:t>.</w:t>
      </w:r>
      <w:proofErr w:type="spellStart"/>
      <w:r w:rsidRPr="00FC48A7">
        <w:t>xlsx</w:t>
      </w:r>
      <w:proofErr w:type="spellEnd"/>
      <w:r w:rsidRPr="00FC48A7">
        <w:t xml:space="preserve">. respectively.  More information on FIPS 140-2 can be found at </w:t>
      </w:r>
      <w:hyperlink r:id="rId10" w:history="1">
        <w:r w:rsidRPr="00FC48A7">
          <w:rPr>
            <w:rStyle w:val="Hyperlink"/>
          </w:rPr>
          <w:t>http://csrc.nist.gov/groups/STM</w:t>
        </w:r>
      </w:hyperlink>
      <w:r w:rsidR="00D55A0C" w:rsidRPr="00FC48A7">
        <w:t xml:space="preserve">. </w:t>
      </w:r>
    </w:p>
    <w:p w14:paraId="79554740" w14:textId="77777777" w:rsidR="00391F8D" w:rsidRPr="00FC48A7" w:rsidRDefault="00DC1A86" w:rsidP="00E8459C">
      <w:pPr>
        <w:pStyle w:val="Heading2"/>
        <w:keepNext w:val="0"/>
        <w:jc w:val="both"/>
      </w:pPr>
      <w:bookmarkStart w:id="65" w:name="_Toc356978067"/>
      <w:bookmarkStart w:id="66" w:name="_Toc350864669"/>
      <w:bookmarkStart w:id="67" w:name="_Toc381882874"/>
      <w:bookmarkEnd w:id="61"/>
      <w:bookmarkEnd w:id="62"/>
      <w:r w:rsidRPr="00FC48A7">
        <w:t>S</w:t>
      </w:r>
      <w:r w:rsidR="00D55A0C" w:rsidRPr="00FC48A7">
        <w:t>.</w:t>
      </w:r>
      <w:r w:rsidR="00D55A0C" w:rsidRPr="00FC48A7">
        <w:tab/>
        <w:t>DATA COLLECTION INTEGRITY</w:t>
      </w:r>
      <w:bookmarkEnd w:id="65"/>
      <w:bookmarkEnd w:id="66"/>
      <w:bookmarkEnd w:id="67"/>
    </w:p>
    <w:p w14:paraId="579B6BAB" w14:textId="77777777" w:rsidR="00FD2502" w:rsidRPr="00FC48A7" w:rsidRDefault="00D55A0C" w:rsidP="00E8459C">
      <w:pPr>
        <w:keepNext w:val="0"/>
        <w:jc w:val="both"/>
      </w:pPr>
      <w:r w:rsidRPr="00FC48A7">
        <w:t>The integrity of the Bureau of Labor Statistics data collection process requires that all survey information be sound, complete, and of the highest possible quality.  Data must be obtained from the appropriate official or respondent and the data entries must accurately report data and responses they provided.</w:t>
      </w:r>
    </w:p>
    <w:p w14:paraId="007E5E0F" w14:textId="77777777" w:rsidR="00FD2502" w:rsidRPr="00FC48A7" w:rsidRDefault="00D55A0C" w:rsidP="00E8459C">
      <w:pPr>
        <w:keepNext w:val="0"/>
        <w:jc w:val="both"/>
      </w:pPr>
      <w:r w:rsidRPr="00FC48A7">
        <w:lastRenderedPageBreak/>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14:paraId="0AEB1E40" w14:textId="77777777" w:rsidR="00FD2502" w:rsidRDefault="00D55A0C" w:rsidP="00E8459C">
      <w:pPr>
        <w:keepNext w:val="0"/>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14:paraId="78F42496" w14:textId="77777777" w:rsidR="00391F8D" w:rsidRPr="00FC48A7" w:rsidRDefault="00D55A0C" w:rsidP="00E8459C">
      <w:pPr>
        <w:pStyle w:val="Heading2"/>
        <w:keepNext w:val="0"/>
        <w:jc w:val="both"/>
      </w:pPr>
      <w:bookmarkStart w:id="68" w:name="_Toc356978069"/>
      <w:bookmarkStart w:id="69" w:name="_Toc350864670"/>
      <w:bookmarkStart w:id="70" w:name="_Toc381882875"/>
      <w:r w:rsidRPr="00FC48A7">
        <w:t>T.</w:t>
      </w:r>
      <w:r w:rsidRPr="00FC48A7">
        <w:tab/>
        <w:t>CERTIFICATIONS</w:t>
      </w:r>
      <w:bookmarkEnd w:id="68"/>
      <w:bookmarkEnd w:id="69"/>
      <w:bookmarkEnd w:id="70"/>
    </w:p>
    <w:p w14:paraId="492C81B2" w14:textId="77777777" w:rsidR="00391F8D" w:rsidRPr="00FC48A7" w:rsidRDefault="00D55A0C" w:rsidP="00E8459C">
      <w:pPr>
        <w:pStyle w:val="ListParagraph"/>
        <w:keepNext w:val="0"/>
        <w:numPr>
          <w:ilvl w:val="0"/>
          <w:numId w:val="20"/>
        </w:numPr>
        <w:ind w:left="1080" w:hanging="540"/>
        <w:jc w:val="both"/>
      </w:pPr>
      <w:bookmarkStart w:id="71" w:name="_Toc356978070"/>
      <w:r w:rsidRPr="00FC48A7">
        <w:t>Debarment, Suspension, and Other Responsibility Matters</w:t>
      </w:r>
      <w:bookmarkEnd w:id="71"/>
    </w:p>
    <w:p w14:paraId="4B785AD0" w14:textId="77777777" w:rsidR="00391F8D" w:rsidRPr="00FC48A7" w:rsidRDefault="00D55A0C" w:rsidP="00E8459C">
      <w:pPr>
        <w:keepNext w:val="0"/>
        <w:ind w:left="1080"/>
        <w:jc w:val="both"/>
      </w:pPr>
      <w:r w:rsidRPr="00FC48A7">
        <w:t xml:space="preserve">29 CFR 98.100(a) states that under the government-wide system for </w:t>
      </w:r>
      <w:proofErr w:type="spellStart"/>
      <w:r w:rsidRPr="00FC48A7">
        <w:t>nonprocurement</w:t>
      </w:r>
      <w:proofErr w:type="spellEnd"/>
      <w:r w:rsidRPr="00FC48A7">
        <w:t xml:space="preserve">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14:paraId="6340AC89" w14:textId="77777777" w:rsidR="00391F8D" w:rsidRPr="00FC48A7" w:rsidRDefault="00D55A0C" w:rsidP="00E8459C">
      <w:pPr>
        <w:pStyle w:val="ListParagraph"/>
        <w:keepNext w:val="0"/>
        <w:numPr>
          <w:ilvl w:val="0"/>
          <w:numId w:val="20"/>
        </w:numPr>
        <w:ind w:left="1080" w:hanging="540"/>
        <w:jc w:val="both"/>
      </w:pPr>
      <w:bookmarkStart w:id="72" w:name="_Toc356978071"/>
      <w:r w:rsidRPr="00FC48A7">
        <w:t>Drug-Free Workplace Requirements</w:t>
      </w:r>
      <w:bookmarkEnd w:id="72"/>
    </w:p>
    <w:p w14:paraId="4327EED8" w14:textId="77777777" w:rsidR="00391F8D" w:rsidRPr="00FC48A7" w:rsidRDefault="00D55A0C" w:rsidP="00E8459C">
      <w:pPr>
        <w:keepNext w:val="0"/>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14:paraId="6E029D99" w14:textId="77777777" w:rsidR="00391F8D" w:rsidRPr="00FC48A7" w:rsidRDefault="00D55A0C" w:rsidP="00E8459C">
      <w:pPr>
        <w:pStyle w:val="ListParagraph"/>
        <w:keepNext w:val="0"/>
        <w:numPr>
          <w:ilvl w:val="0"/>
          <w:numId w:val="20"/>
        </w:numPr>
        <w:ind w:left="1080" w:hanging="540"/>
        <w:jc w:val="both"/>
      </w:pPr>
      <w:bookmarkStart w:id="73" w:name="_Toc356978072"/>
      <w:r w:rsidRPr="00FC48A7">
        <w:t>Lobbying Activities</w:t>
      </w:r>
      <w:bookmarkEnd w:id="73"/>
    </w:p>
    <w:p w14:paraId="7564DB35" w14:textId="77777777" w:rsidR="00391F8D" w:rsidRPr="00FC48A7" w:rsidRDefault="00D55A0C" w:rsidP="00E8459C">
      <w:pPr>
        <w:keepNext w:val="0"/>
        <w:ind w:left="1080"/>
        <w:jc w:val="both"/>
      </w:pPr>
      <w:r w:rsidRPr="00FC48A7">
        <w:t>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grantee shall certify as instructed in Part II. Application Instructions.</w:t>
      </w:r>
    </w:p>
    <w:p w14:paraId="393A7E5C" w14:textId="77777777" w:rsidR="00391F8D" w:rsidRDefault="00D55A0C" w:rsidP="00E8459C">
      <w:pPr>
        <w:keepNext w:val="0"/>
        <w:ind w:left="1080"/>
        <w:jc w:val="both"/>
      </w:pPr>
      <w:r w:rsidRPr="00FC48A7">
        <w:t xml:space="preserve">29 CFR 93 also requires that each applicant for a cooperative agreement with a Federal agency file with that agency a disclosure form if the applicant has made or has agreed to make any payment using </w:t>
      </w:r>
      <w:proofErr w:type="spellStart"/>
      <w:r w:rsidRPr="00FC48A7">
        <w:t>nonappropriated</w:t>
      </w:r>
      <w:proofErr w:type="spellEnd"/>
      <w:r w:rsidRPr="00FC48A7">
        <w:t xml:space="preserve"> funds (to include profits from any covered Federal action), which would be prohibited if paid for with appropriated funds.</w:t>
      </w:r>
    </w:p>
    <w:p w14:paraId="6F9CBC92" w14:textId="77777777" w:rsidR="006E700D" w:rsidRDefault="006E700D" w:rsidP="00E8459C">
      <w:pPr>
        <w:keepNext w:val="0"/>
        <w:ind w:left="1080"/>
        <w:jc w:val="both"/>
      </w:pPr>
    </w:p>
    <w:p w14:paraId="48BE824A" w14:textId="77777777" w:rsidR="006E700D" w:rsidRDefault="006E700D" w:rsidP="00E8459C">
      <w:pPr>
        <w:keepNext w:val="0"/>
        <w:ind w:left="1080"/>
        <w:jc w:val="both"/>
      </w:pPr>
    </w:p>
    <w:p w14:paraId="140E5DE0" w14:textId="77777777" w:rsidR="00391F8D" w:rsidRPr="00FC48A7" w:rsidRDefault="00D55A0C" w:rsidP="00E8459C">
      <w:pPr>
        <w:pStyle w:val="Heading2"/>
        <w:keepNext w:val="0"/>
        <w:jc w:val="both"/>
      </w:pPr>
      <w:bookmarkStart w:id="74" w:name="_Toc356978073"/>
      <w:bookmarkStart w:id="75" w:name="_Toc350864671"/>
      <w:bookmarkStart w:id="76" w:name="_Toc381882876"/>
      <w:r w:rsidRPr="00FC48A7">
        <w:lastRenderedPageBreak/>
        <w:t>U.</w:t>
      </w:r>
      <w:r w:rsidRPr="00FC48A7">
        <w:tab/>
        <w:t>ASSURANCES</w:t>
      </w:r>
      <w:bookmarkEnd w:id="74"/>
      <w:bookmarkEnd w:id="75"/>
      <w:bookmarkEnd w:id="76"/>
    </w:p>
    <w:p w14:paraId="063414AC" w14:textId="5B22F91B" w:rsidR="00FD2502" w:rsidRPr="00FC48A7" w:rsidRDefault="00D55A0C" w:rsidP="00E8459C">
      <w:pPr>
        <w:keepNext w:val="0"/>
        <w:jc w:val="both"/>
      </w:pPr>
      <w:r w:rsidRPr="00FC48A7">
        <w:t xml:space="preserve">The standard assurances that follow specify terms and conditions with which SGAs must comply, as prescribed by </w:t>
      </w:r>
      <w:r w:rsidR="00067420">
        <w:t>2 CFR 200.206</w:t>
      </w:r>
      <w:r w:rsidRPr="00FC48A7">
        <w:t xml:space="preserve">, Standard Form 424B, </w:t>
      </w:r>
      <w:proofErr w:type="gramStart"/>
      <w:r w:rsidRPr="00FC48A7">
        <w:t>Standard</w:t>
      </w:r>
      <w:proofErr w:type="gramEnd"/>
      <w:r w:rsidRPr="00FC48A7">
        <w:t xml:space="preserve"> Assurances.  Pursuant to SF</w:t>
      </w:r>
      <w:r w:rsidRPr="00FC48A7">
        <w:noBreakHyphen/>
        <w:t>424B, certain assurances (Nos. 7 and 9 through 16 of SF</w:t>
      </w:r>
      <w:r w:rsidRPr="00FC48A7">
        <w:noBreakHyphen/>
        <w:t>424B) are not applicable to this Agreement and have been deleted from the list below.</w:t>
      </w:r>
    </w:p>
    <w:p w14:paraId="1709CA1A" w14:textId="77777777" w:rsidR="00FD2502" w:rsidRPr="00FC48A7" w:rsidRDefault="00D55A0C" w:rsidP="00E8459C">
      <w:pPr>
        <w:keepNext w:val="0"/>
        <w:jc w:val="both"/>
      </w:pPr>
      <w:r w:rsidRPr="00FC48A7">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14:paraId="6D9B0316" w14:textId="77777777" w:rsidR="00391F8D" w:rsidRPr="00FC48A7" w:rsidRDefault="00D55A0C" w:rsidP="00E8459C">
      <w:pPr>
        <w:pStyle w:val="ListParagraph"/>
        <w:keepNext w:val="0"/>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ED2534F" w14:textId="77777777" w:rsidR="00391F8D" w:rsidRPr="00FC48A7" w:rsidRDefault="00D55A0C" w:rsidP="00E8459C">
      <w:pPr>
        <w:pStyle w:val="ListParagraph"/>
        <w:keepNext w:val="0"/>
        <w:numPr>
          <w:ilvl w:val="0"/>
          <w:numId w:val="21"/>
        </w:numPr>
        <w:ind w:left="1267"/>
        <w:contextualSpacing w:val="0"/>
        <w:jc w:val="both"/>
      </w:pPr>
      <w:r w:rsidRPr="00FC48A7">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15D2E255" w14:textId="77777777" w:rsidR="00391F8D" w:rsidRPr="00FC48A7" w:rsidRDefault="00D55A0C" w:rsidP="00E8459C">
      <w:pPr>
        <w:pStyle w:val="ListParagraph"/>
        <w:keepNext w:val="0"/>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14:paraId="56418841" w14:textId="77777777" w:rsidR="00391F8D" w:rsidRPr="00FC48A7" w:rsidRDefault="00D55A0C" w:rsidP="00E8459C">
      <w:pPr>
        <w:pStyle w:val="ListParagraph"/>
        <w:keepNext w:val="0"/>
        <w:numPr>
          <w:ilvl w:val="0"/>
          <w:numId w:val="21"/>
        </w:numPr>
        <w:ind w:left="1267"/>
        <w:contextualSpacing w:val="0"/>
        <w:jc w:val="both"/>
      </w:pPr>
      <w:r w:rsidRPr="00FC48A7">
        <w:t>Will initiate and complete the work within the applicable time frame after receipt of approval of the awarding agency.</w:t>
      </w:r>
    </w:p>
    <w:p w14:paraId="2B151A5A" w14:textId="77777777" w:rsidR="00391F8D" w:rsidRPr="00FC48A7" w:rsidRDefault="00D55A0C" w:rsidP="00E8459C">
      <w:pPr>
        <w:pStyle w:val="ListParagraph"/>
        <w:keepNext w:val="0"/>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14:paraId="63A0C862" w14:textId="77777777" w:rsidR="00391F8D" w:rsidRPr="00FC48A7" w:rsidRDefault="00D55A0C" w:rsidP="00E8459C">
      <w:pPr>
        <w:pStyle w:val="ListParagraph"/>
        <w:keepNext w:val="0"/>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2A3441B4" w14:textId="77777777" w:rsidR="00391F8D" w:rsidRPr="00FC48A7" w:rsidRDefault="00D55A0C" w:rsidP="00E8459C">
      <w:pPr>
        <w:pStyle w:val="ListParagraph"/>
        <w:keepNext w:val="0"/>
        <w:numPr>
          <w:ilvl w:val="0"/>
          <w:numId w:val="21"/>
        </w:numPr>
        <w:ind w:left="1267"/>
        <w:contextualSpacing w:val="0"/>
        <w:jc w:val="both"/>
      </w:pPr>
      <w:r w:rsidRPr="00FC48A7">
        <w:lastRenderedPageBreak/>
        <w:t>Will comply with the provisions of the Hatch Act (5 USC 1501-1508 and 7324</w:t>
      </w:r>
      <w:r w:rsidRPr="00FC48A7">
        <w:noBreakHyphen/>
        <w:t>7328) which limit the political activities of employees whose principal employment activities are funded in whole or in part with Federal funds.</w:t>
      </w:r>
    </w:p>
    <w:p w14:paraId="31C951A9" w14:textId="18DE56E9" w:rsidR="00391F8D" w:rsidRPr="00FC48A7" w:rsidRDefault="00D55A0C" w:rsidP="00E8459C">
      <w:pPr>
        <w:pStyle w:val="ListParagraph"/>
        <w:keepNext w:val="0"/>
        <w:numPr>
          <w:ilvl w:val="0"/>
          <w:numId w:val="21"/>
        </w:numPr>
        <w:ind w:left="1267"/>
        <w:contextualSpacing w:val="0"/>
        <w:jc w:val="both"/>
      </w:pPr>
      <w:r w:rsidRPr="00FC48A7">
        <w:t xml:space="preserve">Will cause to be performed the required financial and compliance audits in accordance with the Single Audit Act Amendments of 1996 and </w:t>
      </w:r>
      <w:r w:rsidR="00067420">
        <w:t>2 CFR 200, Subpart F (Audit Requirements)</w:t>
      </w:r>
      <w:r w:rsidRPr="00FC48A7">
        <w:t>.</w:t>
      </w:r>
    </w:p>
    <w:p w14:paraId="134E8DE0" w14:textId="77777777" w:rsidR="00391F8D" w:rsidRPr="00FC48A7" w:rsidRDefault="00D55A0C" w:rsidP="00E8459C">
      <w:pPr>
        <w:pStyle w:val="ListParagraph"/>
        <w:keepNext w:val="0"/>
        <w:numPr>
          <w:ilvl w:val="0"/>
          <w:numId w:val="21"/>
        </w:numPr>
        <w:ind w:left="1267"/>
        <w:contextualSpacing w:val="0"/>
        <w:jc w:val="both"/>
      </w:pPr>
      <w:r w:rsidRPr="00FC48A7">
        <w:t>Will comply with all applicable requirements of all other Federal laws, executive orders regulations and policies governing this program.</w:t>
      </w:r>
    </w:p>
    <w:p w14:paraId="47A576CF" w14:textId="77777777" w:rsidR="004D2ED7" w:rsidRDefault="004D2ED7">
      <w:pPr>
        <w:jc w:val="both"/>
        <w:sectPr w:rsidR="004D2ED7" w:rsidSect="00A00989">
          <w:footerReference w:type="default" r:id="rId11"/>
          <w:pgSz w:w="12240" w:h="15840"/>
          <w:pgMar w:top="1440" w:right="1440" w:bottom="1440" w:left="1440" w:header="720" w:footer="317" w:gutter="0"/>
          <w:pgNumType w:start="1"/>
          <w:cols w:space="720"/>
          <w:docGrid w:linePitch="272"/>
        </w:sectPr>
      </w:pPr>
    </w:p>
    <w:p w14:paraId="746DEA5F" w14:textId="363AD13B" w:rsidR="00391F8D" w:rsidRDefault="0030257C" w:rsidP="00D76175">
      <w:pPr>
        <w:pStyle w:val="Heading1"/>
        <w:spacing w:line="360" w:lineRule="exact"/>
      </w:pPr>
      <w:r w:rsidRPr="00FC48A7">
        <w:lastRenderedPageBreak/>
        <w:t>ALL OSHS PROGRAM</w:t>
      </w:r>
      <w:r w:rsidR="000D3DDC">
        <w:t xml:space="preserve"> </w:t>
      </w:r>
      <w:r w:rsidR="003F406C">
        <w:t>–</w:t>
      </w:r>
      <w:r w:rsidR="000D3DDC">
        <w:t xml:space="preserve"> ADDENDUM</w:t>
      </w:r>
    </w:p>
    <w:p w14:paraId="60C2F6C5" w14:textId="77777777" w:rsidR="003F406C" w:rsidRDefault="003F406C" w:rsidP="003F406C">
      <w:pPr>
        <w:ind w:hanging="540"/>
      </w:pPr>
    </w:p>
    <w:p w14:paraId="2F9EDC38" w14:textId="2065D610" w:rsidR="003F406C" w:rsidRPr="003F406C" w:rsidRDefault="003F406C" w:rsidP="00973D4F">
      <w:pPr>
        <w:spacing w:after="120"/>
        <w:ind w:left="0"/>
        <w:jc w:val="both"/>
      </w:pPr>
      <w:r>
        <w:t>The requirement below replaces Requirement A, “Administrative Requirements/Assurances” that was included in the original FY 2015 OSHS Cooperative Agreement</w:t>
      </w:r>
      <w:r w:rsidR="00941CD7">
        <w:t xml:space="preserve"> application</w:t>
      </w:r>
      <w:r>
        <w:t xml:space="preserve">.  </w:t>
      </w:r>
    </w:p>
    <w:p w14:paraId="37C52CE2" w14:textId="77777777" w:rsidR="00131178" w:rsidRPr="00FC48A7" w:rsidRDefault="0030257C" w:rsidP="00D46CDC">
      <w:pPr>
        <w:spacing w:after="0"/>
        <w:ind w:left="8366"/>
        <w:jc w:val="center"/>
      </w:pPr>
      <w:bookmarkStart w:id="77" w:name="_Toc356978088"/>
      <w:r w:rsidRPr="00FC48A7">
        <w:t>Agree To</w:t>
      </w:r>
      <w:r w:rsidRPr="00FC48A7">
        <w:br/>
      </w:r>
      <w:proofErr w:type="gramStart"/>
      <w:r w:rsidRPr="00FC48A7">
        <w:t>Comply</w:t>
      </w:r>
      <w:proofErr w:type="gramEnd"/>
      <w:r w:rsidRPr="00FC48A7">
        <w:br/>
        <w:t>(Check Box)</w:t>
      </w:r>
    </w:p>
    <w:p w14:paraId="2257A302" w14:textId="77777777" w:rsidR="00391F8D" w:rsidRPr="00945FD8" w:rsidRDefault="00077BF7" w:rsidP="00736046">
      <w:pPr>
        <w:pStyle w:val="Heading3"/>
        <w:ind w:left="0"/>
        <w:jc w:val="both"/>
        <w:rPr>
          <w:sz w:val="22"/>
        </w:rPr>
      </w:pPr>
      <w:bookmarkStart w:id="78" w:name="_Toc350864690"/>
      <w:r w:rsidRPr="00945FD8">
        <w:rPr>
          <w:sz w:val="22"/>
        </w:rPr>
        <w:t>A.</w:t>
      </w:r>
      <w:r w:rsidRPr="00945FD8">
        <w:rPr>
          <w:sz w:val="22"/>
        </w:rPr>
        <w:tab/>
        <w:t>ADMINISTRATIVE REQUIREMENTS/ASSURANCES</w:t>
      </w:r>
      <w:bookmarkEnd w:id="77"/>
      <w:bookmarkEnd w:id="78"/>
    </w:p>
    <w:tbl>
      <w:tblPr>
        <w:tblW w:w="0" w:type="auto"/>
        <w:tblLayout w:type="fixed"/>
        <w:tblLook w:val="0000" w:firstRow="0" w:lastRow="0" w:firstColumn="0" w:lastColumn="0" w:noHBand="0" w:noVBand="0"/>
      </w:tblPr>
      <w:tblGrid>
        <w:gridCol w:w="8496"/>
        <w:gridCol w:w="1080"/>
      </w:tblGrid>
      <w:tr w:rsidR="0030257C" w:rsidRPr="00FC48A7" w14:paraId="38BC397C" w14:textId="77777777" w:rsidTr="003C2AC6">
        <w:trPr>
          <w:cantSplit/>
        </w:trPr>
        <w:tc>
          <w:tcPr>
            <w:tcW w:w="8496" w:type="dxa"/>
          </w:tcPr>
          <w:p w14:paraId="17155374" w14:textId="77777777" w:rsidR="0030257C" w:rsidRPr="00FC48A7" w:rsidRDefault="00077BF7" w:rsidP="003C2AC6">
            <w:pPr>
              <w:spacing w:after="120"/>
              <w:ind w:left="0"/>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14:paraId="282F46CF" w14:textId="77777777" w:rsidR="0030257C" w:rsidRPr="00FC48A7" w:rsidRDefault="00077BF7" w:rsidP="00736046">
            <w:pPr>
              <w:ind w:left="0"/>
              <w:jc w:val="both"/>
            </w:pPr>
            <w:r w:rsidRPr="00FC48A7">
              <w:t>[____]</w:t>
            </w:r>
          </w:p>
        </w:tc>
      </w:tr>
    </w:tbl>
    <w:p w14:paraId="6E1BC5E3" w14:textId="1F60A4D9" w:rsidR="0040441C" w:rsidRPr="0073228A" w:rsidRDefault="0040441C" w:rsidP="000D3DDC">
      <w:pPr>
        <w:pStyle w:val="Heading3"/>
        <w:ind w:left="0"/>
        <w:jc w:val="both"/>
      </w:pPr>
    </w:p>
    <w:sectPr w:rsidR="0040441C" w:rsidRPr="0073228A" w:rsidSect="006F476F">
      <w:headerReference w:type="default" r:id="rId12"/>
      <w:pgSz w:w="12240" w:h="15840"/>
      <w:pgMar w:top="1440" w:right="1440" w:bottom="1440" w:left="1440" w:header="720" w:footer="864"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6969A" w14:textId="77777777" w:rsidR="00524198" w:rsidRDefault="00524198" w:rsidP="009225F7">
      <w:r>
        <w:separator/>
      </w:r>
    </w:p>
  </w:endnote>
  <w:endnote w:type="continuationSeparator" w:id="0">
    <w:p w14:paraId="0C8E9079" w14:textId="77777777" w:rsidR="00524198" w:rsidRDefault="00524198" w:rsidP="009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364194"/>
      <w:docPartObj>
        <w:docPartGallery w:val="Page Numbers (Bottom of Page)"/>
        <w:docPartUnique/>
      </w:docPartObj>
    </w:sdtPr>
    <w:sdtEndPr>
      <w:rPr>
        <w:noProof/>
      </w:rPr>
    </w:sdtEndPr>
    <w:sdtContent>
      <w:p w14:paraId="66990D4B" w14:textId="77777777" w:rsidR="006F476F" w:rsidRDefault="006F476F" w:rsidP="006F476F">
        <w:pPr>
          <w:pStyle w:val="Footer"/>
          <w:spacing w:after="0"/>
          <w:ind w:left="547"/>
          <w:jc w:val="center"/>
        </w:pPr>
      </w:p>
      <w:p w14:paraId="7858ADA6" w14:textId="189FDE19" w:rsidR="006F476F" w:rsidRDefault="006F476F">
        <w:pPr>
          <w:pStyle w:val="Footer"/>
          <w:jc w:val="center"/>
        </w:pPr>
        <w:r>
          <w:fldChar w:fldCharType="begin"/>
        </w:r>
        <w:r>
          <w:instrText xml:space="preserve"> PAGE   \* MERGEFORMAT </w:instrText>
        </w:r>
        <w:r>
          <w:fldChar w:fldCharType="separate"/>
        </w:r>
        <w:r w:rsidR="006E700D">
          <w:rPr>
            <w:noProof/>
          </w:rPr>
          <w:t>1</w:t>
        </w:r>
        <w:r>
          <w:rPr>
            <w:noProof/>
          </w:rPr>
          <w:fldChar w:fldCharType="end"/>
        </w:r>
      </w:p>
    </w:sdtContent>
  </w:sdt>
  <w:p w14:paraId="26E98153" w14:textId="77777777" w:rsidR="0026092F" w:rsidRDefault="0026092F" w:rsidP="009225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F5A4" w14:textId="77777777" w:rsidR="00524198" w:rsidRDefault="00524198" w:rsidP="009225F7">
      <w:r>
        <w:separator/>
      </w:r>
    </w:p>
  </w:footnote>
  <w:footnote w:type="continuationSeparator" w:id="0">
    <w:p w14:paraId="6AC366BA" w14:textId="77777777" w:rsidR="00524198" w:rsidRDefault="00524198" w:rsidP="009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7FCD" w14:textId="77777777" w:rsidR="00941CD7" w:rsidRPr="005B21DE" w:rsidRDefault="00941CD7" w:rsidP="00973D4F">
    <w:pPr>
      <w:spacing w:after="0"/>
      <w:ind w:left="0"/>
    </w:pPr>
    <w:r w:rsidRPr="005B21DE">
      <w:t>Work Statement</w:t>
    </w:r>
    <w:r w:rsidRPr="005B21DE">
      <w:tab/>
    </w:r>
    <w:r w:rsidRPr="005B21DE">
      <w:tab/>
    </w:r>
    <w:r w:rsidRPr="005B21DE">
      <w:tab/>
      <w:t>State</w:t>
    </w:r>
    <w:r w:rsidRPr="005B21DE">
      <w:tab/>
      <w:t>CA Number</w:t>
    </w:r>
  </w:p>
  <w:p w14:paraId="4014D262" w14:textId="77777777" w:rsidR="00941CD7" w:rsidRPr="005B21DE" w:rsidRDefault="00941CD7" w:rsidP="00941CD7">
    <w:pPr>
      <w:spacing w:after="0"/>
    </w:pPr>
  </w:p>
  <w:p w14:paraId="79D7DD8D" w14:textId="77777777" w:rsidR="00941CD7" w:rsidRPr="005B21DE" w:rsidRDefault="00941CD7" w:rsidP="00941CD7">
    <w:pPr>
      <w:spacing w:after="0"/>
    </w:pPr>
    <w:r w:rsidRPr="005B21DE">
      <w:tab/>
    </w:r>
    <w:r w:rsidRPr="005B21DE">
      <w:tab/>
    </w:r>
    <w:r w:rsidRPr="005B21DE">
      <w:tab/>
    </w:r>
    <w:r w:rsidRPr="005B21DE">
      <w:tab/>
      <w:t>____</w:t>
    </w:r>
    <w:r w:rsidRPr="005B21DE">
      <w:tab/>
      <w:t>OS-___________-1</w:t>
    </w:r>
    <w:r>
      <w:t>5</w:t>
    </w:r>
    <w:r w:rsidRPr="005B21DE">
      <w:t>-75-J-______</w:t>
    </w:r>
  </w:p>
  <w:p w14:paraId="366EF263" w14:textId="77777777" w:rsidR="00941CD7" w:rsidRDefault="00941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9648DF"/>
    <w:multiLevelType w:val="hybridMultilevel"/>
    <w:tmpl w:val="CC72ED5A"/>
    <w:lvl w:ilvl="0" w:tplc="231C3BE2">
      <w:start w:val="1"/>
      <w:numFmt w:val="upp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713673C"/>
    <w:multiLevelType w:val="hybridMultilevel"/>
    <w:tmpl w:val="6DD28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1A683010"/>
    <w:multiLevelType w:val="hybridMultilevel"/>
    <w:tmpl w:val="031A4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4DC4F33"/>
    <w:multiLevelType w:val="hybridMultilevel"/>
    <w:tmpl w:val="29C498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72F6513"/>
    <w:multiLevelType w:val="hybridMultilevel"/>
    <w:tmpl w:val="AA921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2A274310"/>
    <w:multiLevelType w:val="hybridMultilevel"/>
    <w:tmpl w:val="EF06500E"/>
    <w:lvl w:ilvl="0" w:tplc="CC6CD7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43654773"/>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6F676B"/>
    <w:multiLevelType w:val="hybridMultilevel"/>
    <w:tmpl w:val="A0C64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0A3526"/>
    <w:multiLevelType w:val="hybridMultilevel"/>
    <w:tmpl w:val="888A9F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59305724"/>
    <w:multiLevelType w:val="hybridMultilevel"/>
    <w:tmpl w:val="872E8F0C"/>
    <w:lvl w:ilvl="0" w:tplc="E03033C6">
      <w:start w:val="2"/>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7605FF"/>
    <w:multiLevelType w:val="hybridMultilevel"/>
    <w:tmpl w:val="8DB83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952F9E"/>
    <w:multiLevelType w:val="hybridMultilevel"/>
    <w:tmpl w:val="03BCAB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8">
    <w:nsid w:val="69483673"/>
    <w:multiLevelType w:val="hybridMultilevel"/>
    <w:tmpl w:val="EAE03FD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nsid w:val="6BB66550"/>
    <w:multiLevelType w:val="hybridMultilevel"/>
    <w:tmpl w:val="EA3E13E6"/>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1">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B6184F"/>
    <w:multiLevelType w:val="hybridMultilevel"/>
    <w:tmpl w:val="9CD65A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C248E0"/>
    <w:multiLevelType w:val="hybridMultilevel"/>
    <w:tmpl w:val="FD1A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553155"/>
    <w:multiLevelType w:val="hybridMultilevel"/>
    <w:tmpl w:val="80CEE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793F3ABD"/>
    <w:multiLevelType w:val="hybridMultilevel"/>
    <w:tmpl w:val="445E30F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1">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45"/>
  </w:num>
  <w:num w:numId="3">
    <w:abstractNumId w:val="40"/>
  </w:num>
  <w:num w:numId="4">
    <w:abstractNumId w:val="21"/>
  </w:num>
  <w:num w:numId="5">
    <w:abstractNumId w:val="49"/>
  </w:num>
  <w:num w:numId="6">
    <w:abstractNumId w:val="28"/>
  </w:num>
  <w:num w:numId="7">
    <w:abstractNumId w:val="63"/>
  </w:num>
  <w:num w:numId="8">
    <w:abstractNumId w:val="30"/>
  </w:num>
  <w:num w:numId="9">
    <w:abstractNumId w:val="46"/>
  </w:num>
  <w:num w:numId="10">
    <w:abstractNumId w:val="13"/>
  </w:num>
  <w:num w:numId="11">
    <w:abstractNumId w:val="54"/>
  </w:num>
  <w:num w:numId="12">
    <w:abstractNumId w:val="22"/>
  </w:num>
  <w:num w:numId="13">
    <w:abstractNumId w:val="14"/>
  </w:num>
  <w:num w:numId="14">
    <w:abstractNumId w:val="19"/>
  </w:num>
  <w:num w:numId="15">
    <w:abstractNumId w:val="8"/>
  </w:num>
  <w:num w:numId="16">
    <w:abstractNumId w:val="61"/>
  </w:num>
  <w:num w:numId="17">
    <w:abstractNumId w:val="20"/>
  </w:num>
  <w:num w:numId="18">
    <w:abstractNumId w:val="11"/>
  </w:num>
  <w:num w:numId="19">
    <w:abstractNumId w:val="2"/>
  </w:num>
  <w:num w:numId="20">
    <w:abstractNumId w:val="26"/>
  </w:num>
  <w:num w:numId="21">
    <w:abstractNumId w:val="36"/>
  </w:num>
  <w:num w:numId="22">
    <w:abstractNumId w:val="33"/>
  </w:num>
  <w:num w:numId="23">
    <w:abstractNumId w:val="29"/>
  </w:num>
  <w:num w:numId="24">
    <w:abstractNumId w:val="3"/>
  </w:num>
  <w:num w:numId="25">
    <w:abstractNumId w:val="10"/>
  </w:num>
  <w:num w:numId="26">
    <w:abstractNumId w:val="6"/>
  </w:num>
  <w:num w:numId="27">
    <w:abstractNumId w:val="35"/>
  </w:num>
  <w:num w:numId="28">
    <w:abstractNumId w:val="24"/>
  </w:num>
  <w:num w:numId="29">
    <w:abstractNumId w:val="53"/>
  </w:num>
  <w:num w:numId="30">
    <w:abstractNumId w:val="16"/>
  </w:num>
  <w:num w:numId="31">
    <w:abstractNumId w:val="59"/>
  </w:num>
  <w:num w:numId="32">
    <w:abstractNumId w:val="58"/>
  </w:num>
  <w:num w:numId="33">
    <w:abstractNumId w:val="18"/>
  </w:num>
  <w:num w:numId="34">
    <w:abstractNumId w:val="60"/>
  </w:num>
  <w:num w:numId="35">
    <w:abstractNumId w:val="5"/>
  </w:num>
  <w:num w:numId="36">
    <w:abstractNumId w:val="56"/>
  </w:num>
  <w:num w:numId="37">
    <w:abstractNumId w:val="9"/>
  </w:num>
  <w:num w:numId="38">
    <w:abstractNumId w:val="1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55"/>
  </w:num>
  <w:num w:numId="42">
    <w:abstractNumId w:val="51"/>
  </w:num>
  <w:num w:numId="43">
    <w:abstractNumId w:val="7"/>
  </w:num>
  <w:num w:numId="44">
    <w:abstractNumId w:val="1"/>
  </w:num>
  <w:num w:numId="45">
    <w:abstractNumId w:val="31"/>
  </w:num>
  <w:num w:numId="46">
    <w:abstractNumId w:val="37"/>
  </w:num>
  <w:num w:numId="47">
    <w:abstractNumId w:val="52"/>
  </w:num>
  <w:num w:numId="48">
    <w:abstractNumId w:val="32"/>
  </w:num>
  <w:num w:numId="49">
    <w:abstractNumId w:val="38"/>
  </w:num>
  <w:num w:numId="50">
    <w:abstractNumId w:val="44"/>
  </w:num>
  <w:num w:numId="51">
    <w:abstractNumId w:val="25"/>
  </w:num>
  <w:num w:numId="52">
    <w:abstractNumId w:val="62"/>
  </w:num>
  <w:num w:numId="53">
    <w:abstractNumId w:val="42"/>
  </w:num>
  <w:num w:numId="54">
    <w:abstractNumId w:val="23"/>
  </w:num>
  <w:num w:numId="55">
    <w:abstractNumId w:val="15"/>
  </w:num>
  <w:num w:numId="56">
    <w:abstractNumId w:val="50"/>
  </w:num>
  <w:num w:numId="57">
    <w:abstractNumId w:val="27"/>
  </w:num>
  <w:num w:numId="58">
    <w:abstractNumId w:val="41"/>
  </w:num>
  <w:num w:numId="59">
    <w:abstractNumId w:val="34"/>
  </w:num>
  <w:num w:numId="60">
    <w:abstractNumId w:val="4"/>
  </w:num>
  <w:num w:numId="61">
    <w:abstractNumId w:val="43"/>
  </w:num>
  <w:num w:numId="62">
    <w:abstractNumId w:val="17"/>
  </w:num>
  <w:num w:numId="63">
    <w:abstractNumId w:val="48"/>
  </w:num>
  <w:num w:numId="64">
    <w:abstractNumId w:val="39"/>
  </w:num>
  <w:num w:numId="65">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425C"/>
    <w:rsid w:val="0000509E"/>
    <w:rsid w:val="000054B6"/>
    <w:rsid w:val="00006016"/>
    <w:rsid w:val="00012BA4"/>
    <w:rsid w:val="00012FF4"/>
    <w:rsid w:val="000139A6"/>
    <w:rsid w:val="000163A4"/>
    <w:rsid w:val="00017EF5"/>
    <w:rsid w:val="00020CCF"/>
    <w:rsid w:val="00021C66"/>
    <w:rsid w:val="000224F3"/>
    <w:rsid w:val="000225F8"/>
    <w:rsid w:val="0002643C"/>
    <w:rsid w:val="00026BD4"/>
    <w:rsid w:val="00027180"/>
    <w:rsid w:val="000279D0"/>
    <w:rsid w:val="00027A94"/>
    <w:rsid w:val="00030D0E"/>
    <w:rsid w:val="000316C2"/>
    <w:rsid w:val="0003332F"/>
    <w:rsid w:val="000355D6"/>
    <w:rsid w:val="00035E6B"/>
    <w:rsid w:val="000376BE"/>
    <w:rsid w:val="00037B4D"/>
    <w:rsid w:val="00037BBC"/>
    <w:rsid w:val="00037C9E"/>
    <w:rsid w:val="00040F3F"/>
    <w:rsid w:val="00041A56"/>
    <w:rsid w:val="00044AEB"/>
    <w:rsid w:val="000461C4"/>
    <w:rsid w:val="000462BA"/>
    <w:rsid w:val="00046A77"/>
    <w:rsid w:val="000505E9"/>
    <w:rsid w:val="00054CA6"/>
    <w:rsid w:val="00057D78"/>
    <w:rsid w:val="000600F8"/>
    <w:rsid w:val="00060336"/>
    <w:rsid w:val="00060647"/>
    <w:rsid w:val="00063B2E"/>
    <w:rsid w:val="00065C18"/>
    <w:rsid w:val="00067066"/>
    <w:rsid w:val="00067420"/>
    <w:rsid w:val="00067BD4"/>
    <w:rsid w:val="000700F8"/>
    <w:rsid w:val="00070F40"/>
    <w:rsid w:val="000723A8"/>
    <w:rsid w:val="00073981"/>
    <w:rsid w:val="00076603"/>
    <w:rsid w:val="00077BF7"/>
    <w:rsid w:val="00077BFA"/>
    <w:rsid w:val="00077EBD"/>
    <w:rsid w:val="00077FD3"/>
    <w:rsid w:val="000810F8"/>
    <w:rsid w:val="000837B3"/>
    <w:rsid w:val="00087C8E"/>
    <w:rsid w:val="00090464"/>
    <w:rsid w:val="000905F1"/>
    <w:rsid w:val="0009309F"/>
    <w:rsid w:val="00093D38"/>
    <w:rsid w:val="00094A6F"/>
    <w:rsid w:val="00096A8C"/>
    <w:rsid w:val="000979AB"/>
    <w:rsid w:val="000A0354"/>
    <w:rsid w:val="000A2D81"/>
    <w:rsid w:val="000A2FAA"/>
    <w:rsid w:val="000A493B"/>
    <w:rsid w:val="000A6DC1"/>
    <w:rsid w:val="000A706B"/>
    <w:rsid w:val="000B5257"/>
    <w:rsid w:val="000B58DC"/>
    <w:rsid w:val="000B619D"/>
    <w:rsid w:val="000B7D03"/>
    <w:rsid w:val="000C0F86"/>
    <w:rsid w:val="000C2108"/>
    <w:rsid w:val="000C5378"/>
    <w:rsid w:val="000C540A"/>
    <w:rsid w:val="000D2209"/>
    <w:rsid w:val="000D3DDC"/>
    <w:rsid w:val="000D408A"/>
    <w:rsid w:val="000D5BB1"/>
    <w:rsid w:val="000D6E91"/>
    <w:rsid w:val="000D77E8"/>
    <w:rsid w:val="000D7B3D"/>
    <w:rsid w:val="000E406B"/>
    <w:rsid w:val="000E75D4"/>
    <w:rsid w:val="000F37EC"/>
    <w:rsid w:val="00102202"/>
    <w:rsid w:val="00102799"/>
    <w:rsid w:val="00102E9A"/>
    <w:rsid w:val="00102F06"/>
    <w:rsid w:val="0010470A"/>
    <w:rsid w:val="00104E38"/>
    <w:rsid w:val="00105DF0"/>
    <w:rsid w:val="001069CC"/>
    <w:rsid w:val="00110649"/>
    <w:rsid w:val="0011488E"/>
    <w:rsid w:val="001167C3"/>
    <w:rsid w:val="00126292"/>
    <w:rsid w:val="001267C0"/>
    <w:rsid w:val="001269AC"/>
    <w:rsid w:val="0013020B"/>
    <w:rsid w:val="00130E37"/>
    <w:rsid w:val="00131178"/>
    <w:rsid w:val="001311B7"/>
    <w:rsid w:val="00131C57"/>
    <w:rsid w:val="00133038"/>
    <w:rsid w:val="0013432F"/>
    <w:rsid w:val="0013600F"/>
    <w:rsid w:val="00140CE6"/>
    <w:rsid w:val="00141928"/>
    <w:rsid w:val="001435C4"/>
    <w:rsid w:val="00144B4E"/>
    <w:rsid w:val="0014595E"/>
    <w:rsid w:val="001463F3"/>
    <w:rsid w:val="00152349"/>
    <w:rsid w:val="00152A59"/>
    <w:rsid w:val="00153566"/>
    <w:rsid w:val="0015390E"/>
    <w:rsid w:val="0015588F"/>
    <w:rsid w:val="00155E90"/>
    <w:rsid w:val="00156BDC"/>
    <w:rsid w:val="00157A27"/>
    <w:rsid w:val="00162CE6"/>
    <w:rsid w:val="00164307"/>
    <w:rsid w:val="0016454C"/>
    <w:rsid w:val="00166BC2"/>
    <w:rsid w:val="00170A90"/>
    <w:rsid w:val="001719B5"/>
    <w:rsid w:val="0017225E"/>
    <w:rsid w:val="00172830"/>
    <w:rsid w:val="00173705"/>
    <w:rsid w:val="0017456E"/>
    <w:rsid w:val="00174E6C"/>
    <w:rsid w:val="00180496"/>
    <w:rsid w:val="001818AA"/>
    <w:rsid w:val="00183675"/>
    <w:rsid w:val="00186282"/>
    <w:rsid w:val="00190855"/>
    <w:rsid w:val="00191D60"/>
    <w:rsid w:val="00192E74"/>
    <w:rsid w:val="00193F70"/>
    <w:rsid w:val="001967E7"/>
    <w:rsid w:val="00196AE2"/>
    <w:rsid w:val="001A153A"/>
    <w:rsid w:val="001A2ADA"/>
    <w:rsid w:val="001A5B83"/>
    <w:rsid w:val="001B190B"/>
    <w:rsid w:val="001B32FE"/>
    <w:rsid w:val="001B39E8"/>
    <w:rsid w:val="001B43E4"/>
    <w:rsid w:val="001B46E5"/>
    <w:rsid w:val="001B4E18"/>
    <w:rsid w:val="001B5381"/>
    <w:rsid w:val="001B56B4"/>
    <w:rsid w:val="001B6D01"/>
    <w:rsid w:val="001B7D38"/>
    <w:rsid w:val="001C1711"/>
    <w:rsid w:val="001C1930"/>
    <w:rsid w:val="001C20B5"/>
    <w:rsid w:val="001C3507"/>
    <w:rsid w:val="001C5EFE"/>
    <w:rsid w:val="001C648B"/>
    <w:rsid w:val="001D1CEC"/>
    <w:rsid w:val="001D23C0"/>
    <w:rsid w:val="001D2D68"/>
    <w:rsid w:val="001D4D36"/>
    <w:rsid w:val="001D7987"/>
    <w:rsid w:val="001D7B44"/>
    <w:rsid w:val="001E0EC8"/>
    <w:rsid w:val="001E2834"/>
    <w:rsid w:val="001E3C23"/>
    <w:rsid w:val="001E4AD1"/>
    <w:rsid w:val="001F3318"/>
    <w:rsid w:val="001F3C79"/>
    <w:rsid w:val="001F4A66"/>
    <w:rsid w:val="001F59F9"/>
    <w:rsid w:val="0020046B"/>
    <w:rsid w:val="00200B25"/>
    <w:rsid w:val="00205AE4"/>
    <w:rsid w:val="00205B29"/>
    <w:rsid w:val="00210420"/>
    <w:rsid w:val="00211684"/>
    <w:rsid w:val="002128B2"/>
    <w:rsid w:val="00213C76"/>
    <w:rsid w:val="00213DA5"/>
    <w:rsid w:val="00214AC9"/>
    <w:rsid w:val="00214AFD"/>
    <w:rsid w:val="002213A4"/>
    <w:rsid w:val="00222D30"/>
    <w:rsid w:val="002263E1"/>
    <w:rsid w:val="002303BE"/>
    <w:rsid w:val="00230433"/>
    <w:rsid w:val="00232FE1"/>
    <w:rsid w:val="002345BE"/>
    <w:rsid w:val="00234E4B"/>
    <w:rsid w:val="00241534"/>
    <w:rsid w:val="00241A5F"/>
    <w:rsid w:val="00241B30"/>
    <w:rsid w:val="00243E03"/>
    <w:rsid w:val="0024746A"/>
    <w:rsid w:val="0025121C"/>
    <w:rsid w:val="00251371"/>
    <w:rsid w:val="00251D0B"/>
    <w:rsid w:val="00252094"/>
    <w:rsid w:val="002534B2"/>
    <w:rsid w:val="00255FB9"/>
    <w:rsid w:val="002571D3"/>
    <w:rsid w:val="002602F8"/>
    <w:rsid w:val="0026092F"/>
    <w:rsid w:val="00262855"/>
    <w:rsid w:val="002633D7"/>
    <w:rsid w:val="00264971"/>
    <w:rsid w:val="00271B8C"/>
    <w:rsid w:val="00272181"/>
    <w:rsid w:val="002731EA"/>
    <w:rsid w:val="00273C50"/>
    <w:rsid w:val="00275C1A"/>
    <w:rsid w:val="00277726"/>
    <w:rsid w:val="00277F21"/>
    <w:rsid w:val="00280D3A"/>
    <w:rsid w:val="002821EE"/>
    <w:rsid w:val="0028360C"/>
    <w:rsid w:val="0028416A"/>
    <w:rsid w:val="0028749B"/>
    <w:rsid w:val="00287A03"/>
    <w:rsid w:val="00291F12"/>
    <w:rsid w:val="0029370C"/>
    <w:rsid w:val="0029421F"/>
    <w:rsid w:val="00294FAD"/>
    <w:rsid w:val="00296176"/>
    <w:rsid w:val="00297AA9"/>
    <w:rsid w:val="002A08B4"/>
    <w:rsid w:val="002A2723"/>
    <w:rsid w:val="002A3E2E"/>
    <w:rsid w:val="002A6949"/>
    <w:rsid w:val="002A72A0"/>
    <w:rsid w:val="002A7FE4"/>
    <w:rsid w:val="002B025C"/>
    <w:rsid w:val="002B17A2"/>
    <w:rsid w:val="002B1DF2"/>
    <w:rsid w:val="002B290F"/>
    <w:rsid w:val="002B3949"/>
    <w:rsid w:val="002B6F2B"/>
    <w:rsid w:val="002C24F1"/>
    <w:rsid w:val="002C433F"/>
    <w:rsid w:val="002C4B10"/>
    <w:rsid w:val="002C510D"/>
    <w:rsid w:val="002C5466"/>
    <w:rsid w:val="002C5A1E"/>
    <w:rsid w:val="002C5A79"/>
    <w:rsid w:val="002C7C39"/>
    <w:rsid w:val="002D12AF"/>
    <w:rsid w:val="002D443E"/>
    <w:rsid w:val="002D59BB"/>
    <w:rsid w:val="002D609B"/>
    <w:rsid w:val="002D767B"/>
    <w:rsid w:val="002D7FA7"/>
    <w:rsid w:val="002E1A66"/>
    <w:rsid w:val="002E3D16"/>
    <w:rsid w:val="002E6759"/>
    <w:rsid w:val="002F11AB"/>
    <w:rsid w:val="002F723C"/>
    <w:rsid w:val="0030257C"/>
    <w:rsid w:val="00302EBE"/>
    <w:rsid w:val="00303D3E"/>
    <w:rsid w:val="003044B9"/>
    <w:rsid w:val="00307179"/>
    <w:rsid w:val="00307739"/>
    <w:rsid w:val="003113BA"/>
    <w:rsid w:val="003123E8"/>
    <w:rsid w:val="00313728"/>
    <w:rsid w:val="0031477B"/>
    <w:rsid w:val="00315007"/>
    <w:rsid w:val="00315F6C"/>
    <w:rsid w:val="00317115"/>
    <w:rsid w:val="00320773"/>
    <w:rsid w:val="00322783"/>
    <w:rsid w:val="00322921"/>
    <w:rsid w:val="00323205"/>
    <w:rsid w:val="00325F59"/>
    <w:rsid w:val="0032777C"/>
    <w:rsid w:val="00327A7E"/>
    <w:rsid w:val="00332AC8"/>
    <w:rsid w:val="00332B97"/>
    <w:rsid w:val="0033306A"/>
    <w:rsid w:val="00334A95"/>
    <w:rsid w:val="003352F4"/>
    <w:rsid w:val="003356AA"/>
    <w:rsid w:val="0033601C"/>
    <w:rsid w:val="00340069"/>
    <w:rsid w:val="00344039"/>
    <w:rsid w:val="00344889"/>
    <w:rsid w:val="003464DC"/>
    <w:rsid w:val="00347028"/>
    <w:rsid w:val="003471B3"/>
    <w:rsid w:val="003474CE"/>
    <w:rsid w:val="00347EDE"/>
    <w:rsid w:val="00352256"/>
    <w:rsid w:val="00352A64"/>
    <w:rsid w:val="003619D6"/>
    <w:rsid w:val="00362133"/>
    <w:rsid w:val="0036290A"/>
    <w:rsid w:val="00363E17"/>
    <w:rsid w:val="0036431E"/>
    <w:rsid w:val="003645AA"/>
    <w:rsid w:val="00365159"/>
    <w:rsid w:val="00365248"/>
    <w:rsid w:val="0037171D"/>
    <w:rsid w:val="00373547"/>
    <w:rsid w:val="003747CB"/>
    <w:rsid w:val="0037690D"/>
    <w:rsid w:val="00376FC0"/>
    <w:rsid w:val="00380851"/>
    <w:rsid w:val="003810F2"/>
    <w:rsid w:val="003863A4"/>
    <w:rsid w:val="003874F9"/>
    <w:rsid w:val="00390076"/>
    <w:rsid w:val="003907CD"/>
    <w:rsid w:val="00391F8D"/>
    <w:rsid w:val="0039239F"/>
    <w:rsid w:val="00393D17"/>
    <w:rsid w:val="003961E1"/>
    <w:rsid w:val="003961F7"/>
    <w:rsid w:val="00396AC1"/>
    <w:rsid w:val="003A22A2"/>
    <w:rsid w:val="003A335D"/>
    <w:rsid w:val="003A397A"/>
    <w:rsid w:val="003A4741"/>
    <w:rsid w:val="003A5DE3"/>
    <w:rsid w:val="003A66D2"/>
    <w:rsid w:val="003A79CE"/>
    <w:rsid w:val="003A7A80"/>
    <w:rsid w:val="003B02F0"/>
    <w:rsid w:val="003B0379"/>
    <w:rsid w:val="003B04AF"/>
    <w:rsid w:val="003B11D9"/>
    <w:rsid w:val="003B1E2B"/>
    <w:rsid w:val="003B1EB0"/>
    <w:rsid w:val="003B3214"/>
    <w:rsid w:val="003B491D"/>
    <w:rsid w:val="003B6057"/>
    <w:rsid w:val="003B726D"/>
    <w:rsid w:val="003C1E48"/>
    <w:rsid w:val="003C2AC6"/>
    <w:rsid w:val="003C34BB"/>
    <w:rsid w:val="003C3B16"/>
    <w:rsid w:val="003C405D"/>
    <w:rsid w:val="003C483A"/>
    <w:rsid w:val="003C4C76"/>
    <w:rsid w:val="003D1CF8"/>
    <w:rsid w:val="003D26FE"/>
    <w:rsid w:val="003D3D4F"/>
    <w:rsid w:val="003D4085"/>
    <w:rsid w:val="003D5456"/>
    <w:rsid w:val="003D7451"/>
    <w:rsid w:val="003E00E1"/>
    <w:rsid w:val="003E06F5"/>
    <w:rsid w:val="003E152C"/>
    <w:rsid w:val="003E7EE0"/>
    <w:rsid w:val="003F0204"/>
    <w:rsid w:val="003F1F45"/>
    <w:rsid w:val="003F22F6"/>
    <w:rsid w:val="003F406C"/>
    <w:rsid w:val="003F4935"/>
    <w:rsid w:val="003F790C"/>
    <w:rsid w:val="00402EC3"/>
    <w:rsid w:val="0040441C"/>
    <w:rsid w:val="00404AD1"/>
    <w:rsid w:val="00405EC0"/>
    <w:rsid w:val="00407526"/>
    <w:rsid w:val="00407DF5"/>
    <w:rsid w:val="00407E37"/>
    <w:rsid w:val="00410431"/>
    <w:rsid w:val="00410955"/>
    <w:rsid w:val="0041330F"/>
    <w:rsid w:val="00414278"/>
    <w:rsid w:val="004166A2"/>
    <w:rsid w:val="00416EF0"/>
    <w:rsid w:val="00420A12"/>
    <w:rsid w:val="004231B7"/>
    <w:rsid w:val="00423F74"/>
    <w:rsid w:val="00424BC1"/>
    <w:rsid w:val="00425C46"/>
    <w:rsid w:val="00425D8B"/>
    <w:rsid w:val="0042746F"/>
    <w:rsid w:val="00431012"/>
    <w:rsid w:val="0043138A"/>
    <w:rsid w:val="00431C11"/>
    <w:rsid w:val="0043336A"/>
    <w:rsid w:val="00433803"/>
    <w:rsid w:val="004339AC"/>
    <w:rsid w:val="004345D1"/>
    <w:rsid w:val="004401A2"/>
    <w:rsid w:val="00441438"/>
    <w:rsid w:val="00441A23"/>
    <w:rsid w:val="00444CEB"/>
    <w:rsid w:val="00444FD7"/>
    <w:rsid w:val="00451231"/>
    <w:rsid w:val="004517B0"/>
    <w:rsid w:val="00451B44"/>
    <w:rsid w:val="00455108"/>
    <w:rsid w:val="00455396"/>
    <w:rsid w:val="004579C9"/>
    <w:rsid w:val="004615AD"/>
    <w:rsid w:val="00462CC0"/>
    <w:rsid w:val="0046335E"/>
    <w:rsid w:val="00463563"/>
    <w:rsid w:val="00465BE2"/>
    <w:rsid w:val="00467A6A"/>
    <w:rsid w:val="0047038F"/>
    <w:rsid w:val="00471B84"/>
    <w:rsid w:val="00471BC2"/>
    <w:rsid w:val="004722A1"/>
    <w:rsid w:val="00472555"/>
    <w:rsid w:val="004738F0"/>
    <w:rsid w:val="00476D77"/>
    <w:rsid w:val="00480A14"/>
    <w:rsid w:val="0048270B"/>
    <w:rsid w:val="00482B6D"/>
    <w:rsid w:val="00483589"/>
    <w:rsid w:val="00484A0C"/>
    <w:rsid w:val="00484A4C"/>
    <w:rsid w:val="004867EA"/>
    <w:rsid w:val="00486CB5"/>
    <w:rsid w:val="00487817"/>
    <w:rsid w:val="004908B4"/>
    <w:rsid w:val="00490A57"/>
    <w:rsid w:val="00493980"/>
    <w:rsid w:val="00494190"/>
    <w:rsid w:val="004972EA"/>
    <w:rsid w:val="004A01C8"/>
    <w:rsid w:val="004A0C64"/>
    <w:rsid w:val="004A34A1"/>
    <w:rsid w:val="004A4F21"/>
    <w:rsid w:val="004A5B06"/>
    <w:rsid w:val="004A674D"/>
    <w:rsid w:val="004B0E15"/>
    <w:rsid w:val="004B316E"/>
    <w:rsid w:val="004B53A6"/>
    <w:rsid w:val="004B6208"/>
    <w:rsid w:val="004C4693"/>
    <w:rsid w:val="004C5245"/>
    <w:rsid w:val="004C693D"/>
    <w:rsid w:val="004D15AC"/>
    <w:rsid w:val="004D2ED7"/>
    <w:rsid w:val="004D3658"/>
    <w:rsid w:val="004D37E5"/>
    <w:rsid w:val="004E3202"/>
    <w:rsid w:val="004E4964"/>
    <w:rsid w:val="004E5BDE"/>
    <w:rsid w:val="004E63D6"/>
    <w:rsid w:val="004E6C74"/>
    <w:rsid w:val="004F01CA"/>
    <w:rsid w:val="004F132E"/>
    <w:rsid w:val="004F21FC"/>
    <w:rsid w:val="004F5287"/>
    <w:rsid w:val="005009E7"/>
    <w:rsid w:val="00502FA3"/>
    <w:rsid w:val="00503413"/>
    <w:rsid w:val="00505DD6"/>
    <w:rsid w:val="005065BF"/>
    <w:rsid w:val="0050701D"/>
    <w:rsid w:val="00507E42"/>
    <w:rsid w:val="00510479"/>
    <w:rsid w:val="00511A74"/>
    <w:rsid w:val="00513651"/>
    <w:rsid w:val="00516739"/>
    <w:rsid w:val="00517F37"/>
    <w:rsid w:val="00520040"/>
    <w:rsid w:val="005202F6"/>
    <w:rsid w:val="00520C83"/>
    <w:rsid w:val="00521C21"/>
    <w:rsid w:val="00522DAD"/>
    <w:rsid w:val="00522F55"/>
    <w:rsid w:val="00522FBB"/>
    <w:rsid w:val="00524198"/>
    <w:rsid w:val="00525064"/>
    <w:rsid w:val="005250B2"/>
    <w:rsid w:val="005268B6"/>
    <w:rsid w:val="005276C6"/>
    <w:rsid w:val="005307A9"/>
    <w:rsid w:val="00532DCF"/>
    <w:rsid w:val="005349B7"/>
    <w:rsid w:val="00536DA9"/>
    <w:rsid w:val="00540E45"/>
    <w:rsid w:val="00541172"/>
    <w:rsid w:val="005416F0"/>
    <w:rsid w:val="00542419"/>
    <w:rsid w:val="00546093"/>
    <w:rsid w:val="00547509"/>
    <w:rsid w:val="00554D42"/>
    <w:rsid w:val="00556B00"/>
    <w:rsid w:val="0055782E"/>
    <w:rsid w:val="005600C4"/>
    <w:rsid w:val="005611AD"/>
    <w:rsid w:val="00561828"/>
    <w:rsid w:val="00565B88"/>
    <w:rsid w:val="005664ED"/>
    <w:rsid w:val="00566CAF"/>
    <w:rsid w:val="00570C12"/>
    <w:rsid w:val="00572794"/>
    <w:rsid w:val="005743F8"/>
    <w:rsid w:val="005774A1"/>
    <w:rsid w:val="0058381C"/>
    <w:rsid w:val="00584BBD"/>
    <w:rsid w:val="00584D37"/>
    <w:rsid w:val="00587EDF"/>
    <w:rsid w:val="0059238B"/>
    <w:rsid w:val="00592BD6"/>
    <w:rsid w:val="00594703"/>
    <w:rsid w:val="00594EF2"/>
    <w:rsid w:val="0059644E"/>
    <w:rsid w:val="005966A7"/>
    <w:rsid w:val="00597BF9"/>
    <w:rsid w:val="00597F8B"/>
    <w:rsid w:val="005A2D9C"/>
    <w:rsid w:val="005A2F15"/>
    <w:rsid w:val="005A4AD9"/>
    <w:rsid w:val="005A674F"/>
    <w:rsid w:val="005A6EA6"/>
    <w:rsid w:val="005A7239"/>
    <w:rsid w:val="005A73E6"/>
    <w:rsid w:val="005A781E"/>
    <w:rsid w:val="005B1665"/>
    <w:rsid w:val="005B262F"/>
    <w:rsid w:val="005B3F88"/>
    <w:rsid w:val="005B4BF2"/>
    <w:rsid w:val="005C00FD"/>
    <w:rsid w:val="005C158A"/>
    <w:rsid w:val="005C3A11"/>
    <w:rsid w:val="005C64A9"/>
    <w:rsid w:val="005D159F"/>
    <w:rsid w:val="005D2090"/>
    <w:rsid w:val="005D3BEA"/>
    <w:rsid w:val="005E0B4B"/>
    <w:rsid w:val="005E22D2"/>
    <w:rsid w:val="005E28BF"/>
    <w:rsid w:val="005E2B39"/>
    <w:rsid w:val="005E312B"/>
    <w:rsid w:val="005E38AB"/>
    <w:rsid w:val="005E598C"/>
    <w:rsid w:val="005E65A7"/>
    <w:rsid w:val="005E6794"/>
    <w:rsid w:val="005E68F0"/>
    <w:rsid w:val="005E6F2F"/>
    <w:rsid w:val="005F22BE"/>
    <w:rsid w:val="005F32E8"/>
    <w:rsid w:val="005F598D"/>
    <w:rsid w:val="005F72CE"/>
    <w:rsid w:val="005F7BB9"/>
    <w:rsid w:val="00605140"/>
    <w:rsid w:val="006073A9"/>
    <w:rsid w:val="0060785B"/>
    <w:rsid w:val="00607F7F"/>
    <w:rsid w:val="00611D21"/>
    <w:rsid w:val="006144D3"/>
    <w:rsid w:val="00616D97"/>
    <w:rsid w:val="0062025C"/>
    <w:rsid w:val="006234D5"/>
    <w:rsid w:val="006235B1"/>
    <w:rsid w:val="006303CE"/>
    <w:rsid w:val="0063361E"/>
    <w:rsid w:val="0063393F"/>
    <w:rsid w:val="00633F37"/>
    <w:rsid w:val="0063418D"/>
    <w:rsid w:val="00634844"/>
    <w:rsid w:val="006354B7"/>
    <w:rsid w:val="00641246"/>
    <w:rsid w:val="006424F8"/>
    <w:rsid w:val="0064279B"/>
    <w:rsid w:val="006448E3"/>
    <w:rsid w:val="00651D38"/>
    <w:rsid w:val="00652431"/>
    <w:rsid w:val="00653032"/>
    <w:rsid w:val="00653D05"/>
    <w:rsid w:val="006559B8"/>
    <w:rsid w:val="00656093"/>
    <w:rsid w:val="006565AE"/>
    <w:rsid w:val="00656AF8"/>
    <w:rsid w:val="00657AFB"/>
    <w:rsid w:val="00657E69"/>
    <w:rsid w:val="00661AF0"/>
    <w:rsid w:val="00661EEB"/>
    <w:rsid w:val="00662E3F"/>
    <w:rsid w:val="00663FA7"/>
    <w:rsid w:val="0066570F"/>
    <w:rsid w:val="006660FA"/>
    <w:rsid w:val="00666EA9"/>
    <w:rsid w:val="00667E2B"/>
    <w:rsid w:val="0067058B"/>
    <w:rsid w:val="00672830"/>
    <w:rsid w:val="00672A24"/>
    <w:rsid w:val="006739D3"/>
    <w:rsid w:val="006764FA"/>
    <w:rsid w:val="006800CB"/>
    <w:rsid w:val="00681CD8"/>
    <w:rsid w:val="006832E7"/>
    <w:rsid w:val="006842E9"/>
    <w:rsid w:val="00685CBC"/>
    <w:rsid w:val="006904C3"/>
    <w:rsid w:val="00690B90"/>
    <w:rsid w:val="006914BB"/>
    <w:rsid w:val="00691B8B"/>
    <w:rsid w:val="006930C2"/>
    <w:rsid w:val="00693602"/>
    <w:rsid w:val="00696275"/>
    <w:rsid w:val="00696EA7"/>
    <w:rsid w:val="006A065C"/>
    <w:rsid w:val="006A256B"/>
    <w:rsid w:val="006A32A4"/>
    <w:rsid w:val="006A6510"/>
    <w:rsid w:val="006A6E93"/>
    <w:rsid w:val="006B0A0B"/>
    <w:rsid w:val="006B1789"/>
    <w:rsid w:val="006B3772"/>
    <w:rsid w:val="006B3F7B"/>
    <w:rsid w:val="006B4013"/>
    <w:rsid w:val="006B6AB5"/>
    <w:rsid w:val="006B77D2"/>
    <w:rsid w:val="006C062D"/>
    <w:rsid w:val="006C0A11"/>
    <w:rsid w:val="006C1262"/>
    <w:rsid w:val="006C151F"/>
    <w:rsid w:val="006C37A9"/>
    <w:rsid w:val="006C3B24"/>
    <w:rsid w:val="006C51C1"/>
    <w:rsid w:val="006C53E1"/>
    <w:rsid w:val="006C5787"/>
    <w:rsid w:val="006C60BE"/>
    <w:rsid w:val="006D1232"/>
    <w:rsid w:val="006D1CE2"/>
    <w:rsid w:val="006D42FF"/>
    <w:rsid w:val="006D4BD8"/>
    <w:rsid w:val="006D4E3C"/>
    <w:rsid w:val="006D6593"/>
    <w:rsid w:val="006E082F"/>
    <w:rsid w:val="006E242D"/>
    <w:rsid w:val="006E450D"/>
    <w:rsid w:val="006E53D1"/>
    <w:rsid w:val="006E5DC4"/>
    <w:rsid w:val="006E6E82"/>
    <w:rsid w:val="006E700D"/>
    <w:rsid w:val="006E71E8"/>
    <w:rsid w:val="006E79CC"/>
    <w:rsid w:val="006F0472"/>
    <w:rsid w:val="006F205C"/>
    <w:rsid w:val="006F3C75"/>
    <w:rsid w:val="006F476F"/>
    <w:rsid w:val="006F5DF3"/>
    <w:rsid w:val="006F7579"/>
    <w:rsid w:val="00700AD7"/>
    <w:rsid w:val="0070108B"/>
    <w:rsid w:val="0070240F"/>
    <w:rsid w:val="00702868"/>
    <w:rsid w:val="00702BDB"/>
    <w:rsid w:val="007032B9"/>
    <w:rsid w:val="00704714"/>
    <w:rsid w:val="00706178"/>
    <w:rsid w:val="00707848"/>
    <w:rsid w:val="007143B6"/>
    <w:rsid w:val="00715046"/>
    <w:rsid w:val="007218AC"/>
    <w:rsid w:val="007224AC"/>
    <w:rsid w:val="00722588"/>
    <w:rsid w:val="00722A20"/>
    <w:rsid w:val="007266C7"/>
    <w:rsid w:val="00730813"/>
    <w:rsid w:val="0073147A"/>
    <w:rsid w:val="0073228A"/>
    <w:rsid w:val="00732695"/>
    <w:rsid w:val="00732961"/>
    <w:rsid w:val="0073452B"/>
    <w:rsid w:val="00735B90"/>
    <w:rsid w:val="00736046"/>
    <w:rsid w:val="00736B9A"/>
    <w:rsid w:val="00737508"/>
    <w:rsid w:val="007375FE"/>
    <w:rsid w:val="0074107E"/>
    <w:rsid w:val="00743EFD"/>
    <w:rsid w:val="00746280"/>
    <w:rsid w:val="00746876"/>
    <w:rsid w:val="007469C7"/>
    <w:rsid w:val="00747634"/>
    <w:rsid w:val="007477F3"/>
    <w:rsid w:val="00747A9B"/>
    <w:rsid w:val="00754265"/>
    <w:rsid w:val="007572D2"/>
    <w:rsid w:val="00757935"/>
    <w:rsid w:val="00760662"/>
    <w:rsid w:val="007613F1"/>
    <w:rsid w:val="0076184D"/>
    <w:rsid w:val="007629BE"/>
    <w:rsid w:val="00762B50"/>
    <w:rsid w:val="00764380"/>
    <w:rsid w:val="00764FC2"/>
    <w:rsid w:val="00766274"/>
    <w:rsid w:val="0076750C"/>
    <w:rsid w:val="00767B08"/>
    <w:rsid w:val="00770621"/>
    <w:rsid w:val="00770D31"/>
    <w:rsid w:val="0077326F"/>
    <w:rsid w:val="00773DE0"/>
    <w:rsid w:val="00774F32"/>
    <w:rsid w:val="00775FE2"/>
    <w:rsid w:val="00776B41"/>
    <w:rsid w:val="007777F7"/>
    <w:rsid w:val="00780510"/>
    <w:rsid w:val="007833F3"/>
    <w:rsid w:val="00784232"/>
    <w:rsid w:val="007873AD"/>
    <w:rsid w:val="0078790A"/>
    <w:rsid w:val="0079101B"/>
    <w:rsid w:val="0079103C"/>
    <w:rsid w:val="00791637"/>
    <w:rsid w:val="007925C7"/>
    <w:rsid w:val="007954A9"/>
    <w:rsid w:val="007A1B8E"/>
    <w:rsid w:val="007A2816"/>
    <w:rsid w:val="007A34AB"/>
    <w:rsid w:val="007A3EA6"/>
    <w:rsid w:val="007A4DD5"/>
    <w:rsid w:val="007B0E90"/>
    <w:rsid w:val="007B14C3"/>
    <w:rsid w:val="007B22CC"/>
    <w:rsid w:val="007B27C4"/>
    <w:rsid w:val="007B35AA"/>
    <w:rsid w:val="007B578C"/>
    <w:rsid w:val="007B69FD"/>
    <w:rsid w:val="007B7666"/>
    <w:rsid w:val="007B7D28"/>
    <w:rsid w:val="007C039D"/>
    <w:rsid w:val="007C084A"/>
    <w:rsid w:val="007C10EB"/>
    <w:rsid w:val="007C3A58"/>
    <w:rsid w:val="007C50F9"/>
    <w:rsid w:val="007D1A1F"/>
    <w:rsid w:val="007D312B"/>
    <w:rsid w:val="007D40FE"/>
    <w:rsid w:val="007D5B3B"/>
    <w:rsid w:val="007D6772"/>
    <w:rsid w:val="007D7759"/>
    <w:rsid w:val="007E1FD5"/>
    <w:rsid w:val="007E20C0"/>
    <w:rsid w:val="007E648F"/>
    <w:rsid w:val="007E6A68"/>
    <w:rsid w:val="007F2677"/>
    <w:rsid w:val="007F2E30"/>
    <w:rsid w:val="007F34CC"/>
    <w:rsid w:val="007F42E8"/>
    <w:rsid w:val="007F4E2C"/>
    <w:rsid w:val="00802672"/>
    <w:rsid w:val="00802AAD"/>
    <w:rsid w:val="008035D8"/>
    <w:rsid w:val="008071B7"/>
    <w:rsid w:val="00807857"/>
    <w:rsid w:val="0081014A"/>
    <w:rsid w:val="0081195A"/>
    <w:rsid w:val="00811CDC"/>
    <w:rsid w:val="00812AA9"/>
    <w:rsid w:val="00812BBF"/>
    <w:rsid w:val="00814109"/>
    <w:rsid w:val="00815392"/>
    <w:rsid w:val="00820EBA"/>
    <w:rsid w:val="00820F9D"/>
    <w:rsid w:val="0082103E"/>
    <w:rsid w:val="00821667"/>
    <w:rsid w:val="008226CB"/>
    <w:rsid w:val="00822F94"/>
    <w:rsid w:val="008246AD"/>
    <w:rsid w:val="00824EA7"/>
    <w:rsid w:val="00827D1A"/>
    <w:rsid w:val="0083137B"/>
    <w:rsid w:val="00831A6C"/>
    <w:rsid w:val="00833A0B"/>
    <w:rsid w:val="00833FAB"/>
    <w:rsid w:val="008344AC"/>
    <w:rsid w:val="00834CA7"/>
    <w:rsid w:val="00837E5D"/>
    <w:rsid w:val="00837F41"/>
    <w:rsid w:val="00841A9E"/>
    <w:rsid w:val="008421D2"/>
    <w:rsid w:val="008429FD"/>
    <w:rsid w:val="00842F76"/>
    <w:rsid w:val="00843441"/>
    <w:rsid w:val="008434B8"/>
    <w:rsid w:val="00843B1E"/>
    <w:rsid w:val="008440FC"/>
    <w:rsid w:val="0084419C"/>
    <w:rsid w:val="008445A2"/>
    <w:rsid w:val="00845A4B"/>
    <w:rsid w:val="0084679C"/>
    <w:rsid w:val="00850AFD"/>
    <w:rsid w:val="00850DB3"/>
    <w:rsid w:val="0085368C"/>
    <w:rsid w:val="00853C85"/>
    <w:rsid w:val="00854B53"/>
    <w:rsid w:val="0085584F"/>
    <w:rsid w:val="008566AB"/>
    <w:rsid w:val="008577FA"/>
    <w:rsid w:val="008636DC"/>
    <w:rsid w:val="008663E3"/>
    <w:rsid w:val="00866E41"/>
    <w:rsid w:val="00876016"/>
    <w:rsid w:val="00880FB9"/>
    <w:rsid w:val="00882322"/>
    <w:rsid w:val="008839C4"/>
    <w:rsid w:val="00883D1E"/>
    <w:rsid w:val="0088400C"/>
    <w:rsid w:val="008841D1"/>
    <w:rsid w:val="00884508"/>
    <w:rsid w:val="0088555E"/>
    <w:rsid w:val="00885ACE"/>
    <w:rsid w:val="0088635C"/>
    <w:rsid w:val="00886736"/>
    <w:rsid w:val="008924E8"/>
    <w:rsid w:val="00893F83"/>
    <w:rsid w:val="0089782D"/>
    <w:rsid w:val="008A2358"/>
    <w:rsid w:val="008A3153"/>
    <w:rsid w:val="008B135B"/>
    <w:rsid w:val="008B2149"/>
    <w:rsid w:val="008B220A"/>
    <w:rsid w:val="008B5879"/>
    <w:rsid w:val="008B5EAE"/>
    <w:rsid w:val="008B5FF9"/>
    <w:rsid w:val="008B6BCC"/>
    <w:rsid w:val="008C14F0"/>
    <w:rsid w:val="008C18AE"/>
    <w:rsid w:val="008C518D"/>
    <w:rsid w:val="008C5A33"/>
    <w:rsid w:val="008C634D"/>
    <w:rsid w:val="008D155B"/>
    <w:rsid w:val="008D25C5"/>
    <w:rsid w:val="008D3C99"/>
    <w:rsid w:val="008D3FBF"/>
    <w:rsid w:val="008D543D"/>
    <w:rsid w:val="008E0160"/>
    <w:rsid w:val="008E35AE"/>
    <w:rsid w:val="008E3C8D"/>
    <w:rsid w:val="008E40E7"/>
    <w:rsid w:val="008E4974"/>
    <w:rsid w:val="008E49AD"/>
    <w:rsid w:val="008E57EC"/>
    <w:rsid w:val="008E651B"/>
    <w:rsid w:val="008E6FFE"/>
    <w:rsid w:val="008E7361"/>
    <w:rsid w:val="008E7ABC"/>
    <w:rsid w:val="008F0158"/>
    <w:rsid w:val="008F1E98"/>
    <w:rsid w:val="008F29FB"/>
    <w:rsid w:val="008F3874"/>
    <w:rsid w:val="008F3F44"/>
    <w:rsid w:val="00901123"/>
    <w:rsid w:val="009023D6"/>
    <w:rsid w:val="00902439"/>
    <w:rsid w:val="00902DDE"/>
    <w:rsid w:val="00903F27"/>
    <w:rsid w:val="00904457"/>
    <w:rsid w:val="009053F9"/>
    <w:rsid w:val="00906521"/>
    <w:rsid w:val="00906A82"/>
    <w:rsid w:val="009105D1"/>
    <w:rsid w:val="00916773"/>
    <w:rsid w:val="00917348"/>
    <w:rsid w:val="009205C9"/>
    <w:rsid w:val="009215D2"/>
    <w:rsid w:val="00921D04"/>
    <w:rsid w:val="009225F7"/>
    <w:rsid w:val="009238B5"/>
    <w:rsid w:val="00925010"/>
    <w:rsid w:val="009315DC"/>
    <w:rsid w:val="0093372E"/>
    <w:rsid w:val="009345FD"/>
    <w:rsid w:val="00934B11"/>
    <w:rsid w:val="009351D7"/>
    <w:rsid w:val="00935575"/>
    <w:rsid w:val="00935B6E"/>
    <w:rsid w:val="009408A6"/>
    <w:rsid w:val="00941CD7"/>
    <w:rsid w:val="00943528"/>
    <w:rsid w:val="00944036"/>
    <w:rsid w:val="00945FD8"/>
    <w:rsid w:val="0094727D"/>
    <w:rsid w:val="00950B2E"/>
    <w:rsid w:val="00953584"/>
    <w:rsid w:val="00954B01"/>
    <w:rsid w:val="0095589B"/>
    <w:rsid w:val="00956C0D"/>
    <w:rsid w:val="009605F0"/>
    <w:rsid w:val="00960D31"/>
    <w:rsid w:val="009612EF"/>
    <w:rsid w:val="00962197"/>
    <w:rsid w:val="00965F13"/>
    <w:rsid w:val="00966A9B"/>
    <w:rsid w:val="00971968"/>
    <w:rsid w:val="009727CB"/>
    <w:rsid w:val="00972B73"/>
    <w:rsid w:val="0097334B"/>
    <w:rsid w:val="00973D4F"/>
    <w:rsid w:val="00976ED6"/>
    <w:rsid w:val="009828C4"/>
    <w:rsid w:val="0098342B"/>
    <w:rsid w:val="0098409B"/>
    <w:rsid w:val="00991D4F"/>
    <w:rsid w:val="0099448F"/>
    <w:rsid w:val="00995AC3"/>
    <w:rsid w:val="00995F1E"/>
    <w:rsid w:val="009A0A3C"/>
    <w:rsid w:val="009A0D5B"/>
    <w:rsid w:val="009A369A"/>
    <w:rsid w:val="009A55E4"/>
    <w:rsid w:val="009A5A2A"/>
    <w:rsid w:val="009A67C0"/>
    <w:rsid w:val="009B14F0"/>
    <w:rsid w:val="009B329D"/>
    <w:rsid w:val="009B519E"/>
    <w:rsid w:val="009B5B7B"/>
    <w:rsid w:val="009B64C0"/>
    <w:rsid w:val="009B775E"/>
    <w:rsid w:val="009B7819"/>
    <w:rsid w:val="009C3838"/>
    <w:rsid w:val="009D3771"/>
    <w:rsid w:val="009D4BB2"/>
    <w:rsid w:val="009D4FAA"/>
    <w:rsid w:val="009D59F6"/>
    <w:rsid w:val="009D631A"/>
    <w:rsid w:val="009D6CB9"/>
    <w:rsid w:val="009D7A99"/>
    <w:rsid w:val="009E0C9E"/>
    <w:rsid w:val="009E4D4F"/>
    <w:rsid w:val="009E52D1"/>
    <w:rsid w:val="009E7A9A"/>
    <w:rsid w:val="009E7D68"/>
    <w:rsid w:val="009F171C"/>
    <w:rsid w:val="009F29CF"/>
    <w:rsid w:val="009F502F"/>
    <w:rsid w:val="00A00989"/>
    <w:rsid w:val="00A01200"/>
    <w:rsid w:val="00A01532"/>
    <w:rsid w:val="00A03BD8"/>
    <w:rsid w:val="00A05142"/>
    <w:rsid w:val="00A06254"/>
    <w:rsid w:val="00A06DF2"/>
    <w:rsid w:val="00A130E6"/>
    <w:rsid w:val="00A15C1C"/>
    <w:rsid w:val="00A217E1"/>
    <w:rsid w:val="00A22151"/>
    <w:rsid w:val="00A22A4E"/>
    <w:rsid w:val="00A2720A"/>
    <w:rsid w:val="00A31D8D"/>
    <w:rsid w:val="00A33D89"/>
    <w:rsid w:val="00A350B8"/>
    <w:rsid w:val="00A35329"/>
    <w:rsid w:val="00A438B2"/>
    <w:rsid w:val="00A45C09"/>
    <w:rsid w:val="00A45E9A"/>
    <w:rsid w:val="00A464AE"/>
    <w:rsid w:val="00A46AE5"/>
    <w:rsid w:val="00A47255"/>
    <w:rsid w:val="00A512CF"/>
    <w:rsid w:val="00A552B6"/>
    <w:rsid w:val="00A556F2"/>
    <w:rsid w:val="00A55887"/>
    <w:rsid w:val="00A607D9"/>
    <w:rsid w:val="00A617BA"/>
    <w:rsid w:val="00A6221C"/>
    <w:rsid w:val="00A627AD"/>
    <w:rsid w:val="00A6336E"/>
    <w:rsid w:val="00A634E2"/>
    <w:rsid w:val="00A63AB2"/>
    <w:rsid w:val="00A65FB4"/>
    <w:rsid w:val="00A66451"/>
    <w:rsid w:val="00A72FD7"/>
    <w:rsid w:val="00A73559"/>
    <w:rsid w:val="00A73F54"/>
    <w:rsid w:val="00A76904"/>
    <w:rsid w:val="00A81222"/>
    <w:rsid w:val="00A83174"/>
    <w:rsid w:val="00A83544"/>
    <w:rsid w:val="00A8358C"/>
    <w:rsid w:val="00A84F42"/>
    <w:rsid w:val="00A86B3E"/>
    <w:rsid w:val="00A87FEB"/>
    <w:rsid w:val="00A96BC7"/>
    <w:rsid w:val="00AA1573"/>
    <w:rsid w:val="00AA28B9"/>
    <w:rsid w:val="00AA2AEF"/>
    <w:rsid w:val="00AA4F07"/>
    <w:rsid w:val="00AA768A"/>
    <w:rsid w:val="00AA79A2"/>
    <w:rsid w:val="00AB1011"/>
    <w:rsid w:val="00AB2AD9"/>
    <w:rsid w:val="00AB2BC2"/>
    <w:rsid w:val="00AB2F93"/>
    <w:rsid w:val="00AB32BB"/>
    <w:rsid w:val="00AB6403"/>
    <w:rsid w:val="00AB730A"/>
    <w:rsid w:val="00AC084C"/>
    <w:rsid w:val="00AC4210"/>
    <w:rsid w:val="00AC602A"/>
    <w:rsid w:val="00AC78BD"/>
    <w:rsid w:val="00AC7EB3"/>
    <w:rsid w:val="00AD074E"/>
    <w:rsid w:val="00AD38AD"/>
    <w:rsid w:val="00AD5890"/>
    <w:rsid w:val="00AD7C81"/>
    <w:rsid w:val="00AE0B83"/>
    <w:rsid w:val="00AE2ADD"/>
    <w:rsid w:val="00AE5FA1"/>
    <w:rsid w:val="00AF1417"/>
    <w:rsid w:val="00AF40D9"/>
    <w:rsid w:val="00AF6432"/>
    <w:rsid w:val="00AF6794"/>
    <w:rsid w:val="00AF7578"/>
    <w:rsid w:val="00B00C9E"/>
    <w:rsid w:val="00B03EE1"/>
    <w:rsid w:val="00B06852"/>
    <w:rsid w:val="00B0763E"/>
    <w:rsid w:val="00B12513"/>
    <w:rsid w:val="00B13BF1"/>
    <w:rsid w:val="00B14A8C"/>
    <w:rsid w:val="00B14AB1"/>
    <w:rsid w:val="00B170DA"/>
    <w:rsid w:val="00B245F7"/>
    <w:rsid w:val="00B24C45"/>
    <w:rsid w:val="00B25721"/>
    <w:rsid w:val="00B26F02"/>
    <w:rsid w:val="00B300D8"/>
    <w:rsid w:val="00B30CA0"/>
    <w:rsid w:val="00B3335E"/>
    <w:rsid w:val="00B3390A"/>
    <w:rsid w:val="00B356ED"/>
    <w:rsid w:val="00B36C8D"/>
    <w:rsid w:val="00B37409"/>
    <w:rsid w:val="00B40210"/>
    <w:rsid w:val="00B42DF2"/>
    <w:rsid w:val="00B42E49"/>
    <w:rsid w:val="00B46743"/>
    <w:rsid w:val="00B501BE"/>
    <w:rsid w:val="00B502A9"/>
    <w:rsid w:val="00B51786"/>
    <w:rsid w:val="00B53BE0"/>
    <w:rsid w:val="00B54522"/>
    <w:rsid w:val="00B56DDF"/>
    <w:rsid w:val="00B574E9"/>
    <w:rsid w:val="00B62494"/>
    <w:rsid w:val="00B65294"/>
    <w:rsid w:val="00B713D2"/>
    <w:rsid w:val="00B71C1B"/>
    <w:rsid w:val="00B71DE2"/>
    <w:rsid w:val="00B727BE"/>
    <w:rsid w:val="00B73BC1"/>
    <w:rsid w:val="00B74DB4"/>
    <w:rsid w:val="00B75102"/>
    <w:rsid w:val="00B755CA"/>
    <w:rsid w:val="00B76A3E"/>
    <w:rsid w:val="00B77C84"/>
    <w:rsid w:val="00B77FEB"/>
    <w:rsid w:val="00B80A8A"/>
    <w:rsid w:val="00B8484D"/>
    <w:rsid w:val="00B87FB0"/>
    <w:rsid w:val="00B917B1"/>
    <w:rsid w:val="00B93675"/>
    <w:rsid w:val="00B94F9A"/>
    <w:rsid w:val="00B9713B"/>
    <w:rsid w:val="00BA3302"/>
    <w:rsid w:val="00BA348C"/>
    <w:rsid w:val="00BA4930"/>
    <w:rsid w:val="00BA4B2B"/>
    <w:rsid w:val="00BA5B26"/>
    <w:rsid w:val="00BA5C22"/>
    <w:rsid w:val="00BA6F4B"/>
    <w:rsid w:val="00BA788A"/>
    <w:rsid w:val="00BB1051"/>
    <w:rsid w:val="00BB1B2B"/>
    <w:rsid w:val="00BB3E70"/>
    <w:rsid w:val="00BB5ABB"/>
    <w:rsid w:val="00BC0929"/>
    <w:rsid w:val="00BC130C"/>
    <w:rsid w:val="00BC1E2C"/>
    <w:rsid w:val="00BC2214"/>
    <w:rsid w:val="00BC2E0B"/>
    <w:rsid w:val="00BC31E7"/>
    <w:rsid w:val="00BC640C"/>
    <w:rsid w:val="00BC70BC"/>
    <w:rsid w:val="00BC796A"/>
    <w:rsid w:val="00BD1077"/>
    <w:rsid w:val="00BD11DC"/>
    <w:rsid w:val="00BD4866"/>
    <w:rsid w:val="00BD7E96"/>
    <w:rsid w:val="00BE43DD"/>
    <w:rsid w:val="00BE543A"/>
    <w:rsid w:val="00BF0824"/>
    <w:rsid w:val="00BF1B4B"/>
    <w:rsid w:val="00BF4B7A"/>
    <w:rsid w:val="00BF4D77"/>
    <w:rsid w:val="00BF50CF"/>
    <w:rsid w:val="00BF6677"/>
    <w:rsid w:val="00BF6C1F"/>
    <w:rsid w:val="00BF77D4"/>
    <w:rsid w:val="00BF78F8"/>
    <w:rsid w:val="00C000C3"/>
    <w:rsid w:val="00C001F4"/>
    <w:rsid w:val="00C0098B"/>
    <w:rsid w:val="00C02B50"/>
    <w:rsid w:val="00C0620A"/>
    <w:rsid w:val="00C07398"/>
    <w:rsid w:val="00C11CCA"/>
    <w:rsid w:val="00C15E4E"/>
    <w:rsid w:val="00C17CF5"/>
    <w:rsid w:val="00C2284C"/>
    <w:rsid w:val="00C22EF6"/>
    <w:rsid w:val="00C24471"/>
    <w:rsid w:val="00C26336"/>
    <w:rsid w:val="00C26582"/>
    <w:rsid w:val="00C26CA3"/>
    <w:rsid w:val="00C26E8D"/>
    <w:rsid w:val="00C33843"/>
    <w:rsid w:val="00C359FD"/>
    <w:rsid w:val="00C4046C"/>
    <w:rsid w:val="00C41C1B"/>
    <w:rsid w:val="00C42534"/>
    <w:rsid w:val="00C42660"/>
    <w:rsid w:val="00C458BA"/>
    <w:rsid w:val="00C4730C"/>
    <w:rsid w:val="00C51363"/>
    <w:rsid w:val="00C530FF"/>
    <w:rsid w:val="00C535BC"/>
    <w:rsid w:val="00C55400"/>
    <w:rsid w:val="00C571C3"/>
    <w:rsid w:val="00C61663"/>
    <w:rsid w:val="00C61E75"/>
    <w:rsid w:val="00C62D43"/>
    <w:rsid w:val="00C63313"/>
    <w:rsid w:val="00C6611F"/>
    <w:rsid w:val="00C66838"/>
    <w:rsid w:val="00C709EF"/>
    <w:rsid w:val="00C715DF"/>
    <w:rsid w:val="00C71C19"/>
    <w:rsid w:val="00C73317"/>
    <w:rsid w:val="00C744F8"/>
    <w:rsid w:val="00C752CC"/>
    <w:rsid w:val="00C753FB"/>
    <w:rsid w:val="00C8092E"/>
    <w:rsid w:val="00C81DB9"/>
    <w:rsid w:val="00C8356F"/>
    <w:rsid w:val="00C838EC"/>
    <w:rsid w:val="00C84173"/>
    <w:rsid w:val="00C858DF"/>
    <w:rsid w:val="00C86C16"/>
    <w:rsid w:val="00C9034E"/>
    <w:rsid w:val="00C92151"/>
    <w:rsid w:val="00C9325D"/>
    <w:rsid w:val="00C93A24"/>
    <w:rsid w:val="00C94634"/>
    <w:rsid w:val="00C95278"/>
    <w:rsid w:val="00C966BB"/>
    <w:rsid w:val="00C972DB"/>
    <w:rsid w:val="00CA1288"/>
    <w:rsid w:val="00CA15DA"/>
    <w:rsid w:val="00CA258E"/>
    <w:rsid w:val="00CA264C"/>
    <w:rsid w:val="00CA3710"/>
    <w:rsid w:val="00CA4CA4"/>
    <w:rsid w:val="00CB1778"/>
    <w:rsid w:val="00CB1D3D"/>
    <w:rsid w:val="00CB2026"/>
    <w:rsid w:val="00CB72B5"/>
    <w:rsid w:val="00CC01D8"/>
    <w:rsid w:val="00CC2745"/>
    <w:rsid w:val="00CC2B05"/>
    <w:rsid w:val="00CC2EFF"/>
    <w:rsid w:val="00CC49A3"/>
    <w:rsid w:val="00CC4D64"/>
    <w:rsid w:val="00CC5718"/>
    <w:rsid w:val="00CC5A05"/>
    <w:rsid w:val="00CC70FF"/>
    <w:rsid w:val="00CD2A3C"/>
    <w:rsid w:val="00CD47E9"/>
    <w:rsid w:val="00CD6AB8"/>
    <w:rsid w:val="00CD7D10"/>
    <w:rsid w:val="00CE0180"/>
    <w:rsid w:val="00CE04F9"/>
    <w:rsid w:val="00CE2DA6"/>
    <w:rsid w:val="00CE3A75"/>
    <w:rsid w:val="00CE4036"/>
    <w:rsid w:val="00CE547C"/>
    <w:rsid w:val="00CE564D"/>
    <w:rsid w:val="00CE6A0C"/>
    <w:rsid w:val="00CE6F7E"/>
    <w:rsid w:val="00CF038A"/>
    <w:rsid w:val="00CF103D"/>
    <w:rsid w:val="00CF1470"/>
    <w:rsid w:val="00CF529F"/>
    <w:rsid w:val="00CF7DA0"/>
    <w:rsid w:val="00D00C8D"/>
    <w:rsid w:val="00D025FB"/>
    <w:rsid w:val="00D059B4"/>
    <w:rsid w:val="00D113D4"/>
    <w:rsid w:val="00D116D5"/>
    <w:rsid w:val="00D1310D"/>
    <w:rsid w:val="00D16AD7"/>
    <w:rsid w:val="00D24066"/>
    <w:rsid w:val="00D276A2"/>
    <w:rsid w:val="00D3111E"/>
    <w:rsid w:val="00D31DAA"/>
    <w:rsid w:val="00D32483"/>
    <w:rsid w:val="00D340E0"/>
    <w:rsid w:val="00D34C74"/>
    <w:rsid w:val="00D35570"/>
    <w:rsid w:val="00D3596D"/>
    <w:rsid w:val="00D35CAC"/>
    <w:rsid w:val="00D377D3"/>
    <w:rsid w:val="00D40B52"/>
    <w:rsid w:val="00D40E35"/>
    <w:rsid w:val="00D4172A"/>
    <w:rsid w:val="00D42130"/>
    <w:rsid w:val="00D44747"/>
    <w:rsid w:val="00D46945"/>
    <w:rsid w:val="00D46CDC"/>
    <w:rsid w:val="00D4744A"/>
    <w:rsid w:val="00D478EE"/>
    <w:rsid w:val="00D51A70"/>
    <w:rsid w:val="00D54C15"/>
    <w:rsid w:val="00D55A0C"/>
    <w:rsid w:val="00D56808"/>
    <w:rsid w:val="00D620AC"/>
    <w:rsid w:val="00D6263B"/>
    <w:rsid w:val="00D626D9"/>
    <w:rsid w:val="00D62E50"/>
    <w:rsid w:val="00D65DC0"/>
    <w:rsid w:val="00D6641E"/>
    <w:rsid w:val="00D70016"/>
    <w:rsid w:val="00D70B31"/>
    <w:rsid w:val="00D71C01"/>
    <w:rsid w:val="00D7383D"/>
    <w:rsid w:val="00D7613C"/>
    <w:rsid w:val="00D76175"/>
    <w:rsid w:val="00D76BA8"/>
    <w:rsid w:val="00D82825"/>
    <w:rsid w:val="00D83DB9"/>
    <w:rsid w:val="00D85814"/>
    <w:rsid w:val="00D85E90"/>
    <w:rsid w:val="00D9110F"/>
    <w:rsid w:val="00D936E4"/>
    <w:rsid w:val="00D964A0"/>
    <w:rsid w:val="00D96A49"/>
    <w:rsid w:val="00D96DAF"/>
    <w:rsid w:val="00D9766E"/>
    <w:rsid w:val="00DA1971"/>
    <w:rsid w:val="00DA50FA"/>
    <w:rsid w:val="00DA667A"/>
    <w:rsid w:val="00DB070F"/>
    <w:rsid w:val="00DB0A3B"/>
    <w:rsid w:val="00DB285E"/>
    <w:rsid w:val="00DB3A75"/>
    <w:rsid w:val="00DB5AD9"/>
    <w:rsid w:val="00DB5EE2"/>
    <w:rsid w:val="00DC164C"/>
    <w:rsid w:val="00DC1967"/>
    <w:rsid w:val="00DC1A86"/>
    <w:rsid w:val="00DC61ED"/>
    <w:rsid w:val="00DD241E"/>
    <w:rsid w:val="00DD2795"/>
    <w:rsid w:val="00DD370F"/>
    <w:rsid w:val="00DD37DD"/>
    <w:rsid w:val="00DD495E"/>
    <w:rsid w:val="00DD687D"/>
    <w:rsid w:val="00DE228C"/>
    <w:rsid w:val="00DE3378"/>
    <w:rsid w:val="00DE581D"/>
    <w:rsid w:val="00DE74BD"/>
    <w:rsid w:val="00DF12AE"/>
    <w:rsid w:val="00DF1484"/>
    <w:rsid w:val="00DF2295"/>
    <w:rsid w:val="00DF38D8"/>
    <w:rsid w:val="00DF43AB"/>
    <w:rsid w:val="00DF4845"/>
    <w:rsid w:val="00DF491D"/>
    <w:rsid w:val="00DF6610"/>
    <w:rsid w:val="00DF6B89"/>
    <w:rsid w:val="00DF7F47"/>
    <w:rsid w:val="00E011C9"/>
    <w:rsid w:val="00E0122F"/>
    <w:rsid w:val="00E02350"/>
    <w:rsid w:val="00E03108"/>
    <w:rsid w:val="00E046F1"/>
    <w:rsid w:val="00E04E94"/>
    <w:rsid w:val="00E0623E"/>
    <w:rsid w:val="00E06EE8"/>
    <w:rsid w:val="00E07465"/>
    <w:rsid w:val="00E0789A"/>
    <w:rsid w:val="00E108C3"/>
    <w:rsid w:val="00E11451"/>
    <w:rsid w:val="00E11CF3"/>
    <w:rsid w:val="00E11FE8"/>
    <w:rsid w:val="00E125B9"/>
    <w:rsid w:val="00E15CFC"/>
    <w:rsid w:val="00E20641"/>
    <w:rsid w:val="00E21E32"/>
    <w:rsid w:val="00E22780"/>
    <w:rsid w:val="00E24DBD"/>
    <w:rsid w:val="00E25057"/>
    <w:rsid w:val="00E25622"/>
    <w:rsid w:val="00E25884"/>
    <w:rsid w:val="00E279AD"/>
    <w:rsid w:val="00E340FE"/>
    <w:rsid w:val="00E35E6C"/>
    <w:rsid w:val="00E35ED3"/>
    <w:rsid w:val="00E37627"/>
    <w:rsid w:val="00E429F1"/>
    <w:rsid w:val="00E42B25"/>
    <w:rsid w:val="00E433FC"/>
    <w:rsid w:val="00E44EB8"/>
    <w:rsid w:val="00E468E4"/>
    <w:rsid w:val="00E47937"/>
    <w:rsid w:val="00E47B11"/>
    <w:rsid w:val="00E51044"/>
    <w:rsid w:val="00E52BB7"/>
    <w:rsid w:val="00E553F3"/>
    <w:rsid w:val="00E57FE2"/>
    <w:rsid w:val="00E6481B"/>
    <w:rsid w:val="00E6573A"/>
    <w:rsid w:val="00E671A2"/>
    <w:rsid w:val="00E67FF1"/>
    <w:rsid w:val="00E71D93"/>
    <w:rsid w:val="00E746F6"/>
    <w:rsid w:val="00E76EAC"/>
    <w:rsid w:val="00E77889"/>
    <w:rsid w:val="00E82BB4"/>
    <w:rsid w:val="00E835E3"/>
    <w:rsid w:val="00E8459C"/>
    <w:rsid w:val="00E8555F"/>
    <w:rsid w:val="00E8571C"/>
    <w:rsid w:val="00E85E12"/>
    <w:rsid w:val="00E85ED2"/>
    <w:rsid w:val="00E928B0"/>
    <w:rsid w:val="00E92EB5"/>
    <w:rsid w:val="00E93315"/>
    <w:rsid w:val="00E937BD"/>
    <w:rsid w:val="00E94685"/>
    <w:rsid w:val="00E97786"/>
    <w:rsid w:val="00EA0DC1"/>
    <w:rsid w:val="00EA1C46"/>
    <w:rsid w:val="00EA1D3C"/>
    <w:rsid w:val="00EA2395"/>
    <w:rsid w:val="00EA311D"/>
    <w:rsid w:val="00EA609B"/>
    <w:rsid w:val="00EA6EBB"/>
    <w:rsid w:val="00EA7E9A"/>
    <w:rsid w:val="00EB02C6"/>
    <w:rsid w:val="00EB3D7A"/>
    <w:rsid w:val="00EB63ED"/>
    <w:rsid w:val="00EB7ED8"/>
    <w:rsid w:val="00EC12CC"/>
    <w:rsid w:val="00EC17FB"/>
    <w:rsid w:val="00EC2F64"/>
    <w:rsid w:val="00EC3080"/>
    <w:rsid w:val="00EC4177"/>
    <w:rsid w:val="00EC5C55"/>
    <w:rsid w:val="00EC5CB1"/>
    <w:rsid w:val="00EC6B87"/>
    <w:rsid w:val="00EC6DF9"/>
    <w:rsid w:val="00EC7BBA"/>
    <w:rsid w:val="00ED0A10"/>
    <w:rsid w:val="00ED720D"/>
    <w:rsid w:val="00ED7A54"/>
    <w:rsid w:val="00EE0002"/>
    <w:rsid w:val="00EE0CE9"/>
    <w:rsid w:val="00EE27F5"/>
    <w:rsid w:val="00EE4F5F"/>
    <w:rsid w:val="00EE53C2"/>
    <w:rsid w:val="00EE7526"/>
    <w:rsid w:val="00EE7942"/>
    <w:rsid w:val="00EF28D8"/>
    <w:rsid w:val="00EF5436"/>
    <w:rsid w:val="00EF5C95"/>
    <w:rsid w:val="00EF63A7"/>
    <w:rsid w:val="00EF7155"/>
    <w:rsid w:val="00F0121D"/>
    <w:rsid w:val="00F028C9"/>
    <w:rsid w:val="00F04D06"/>
    <w:rsid w:val="00F07FC0"/>
    <w:rsid w:val="00F119D9"/>
    <w:rsid w:val="00F14CF8"/>
    <w:rsid w:val="00F156DE"/>
    <w:rsid w:val="00F16159"/>
    <w:rsid w:val="00F161C4"/>
    <w:rsid w:val="00F213F1"/>
    <w:rsid w:val="00F24918"/>
    <w:rsid w:val="00F26731"/>
    <w:rsid w:val="00F269D8"/>
    <w:rsid w:val="00F26BDD"/>
    <w:rsid w:val="00F33724"/>
    <w:rsid w:val="00F33D54"/>
    <w:rsid w:val="00F360DC"/>
    <w:rsid w:val="00F36524"/>
    <w:rsid w:val="00F40B2D"/>
    <w:rsid w:val="00F41D4E"/>
    <w:rsid w:val="00F42B45"/>
    <w:rsid w:val="00F42D74"/>
    <w:rsid w:val="00F4307B"/>
    <w:rsid w:val="00F44D6D"/>
    <w:rsid w:val="00F4608A"/>
    <w:rsid w:val="00F52DBB"/>
    <w:rsid w:val="00F545F7"/>
    <w:rsid w:val="00F54BFE"/>
    <w:rsid w:val="00F56EC6"/>
    <w:rsid w:val="00F6098B"/>
    <w:rsid w:val="00F6218F"/>
    <w:rsid w:val="00F640B0"/>
    <w:rsid w:val="00F648AF"/>
    <w:rsid w:val="00F70B84"/>
    <w:rsid w:val="00F720C5"/>
    <w:rsid w:val="00F7321B"/>
    <w:rsid w:val="00F73293"/>
    <w:rsid w:val="00F7534D"/>
    <w:rsid w:val="00F7535F"/>
    <w:rsid w:val="00F75E15"/>
    <w:rsid w:val="00F765C2"/>
    <w:rsid w:val="00F768E5"/>
    <w:rsid w:val="00F80AE5"/>
    <w:rsid w:val="00F80C73"/>
    <w:rsid w:val="00F80F13"/>
    <w:rsid w:val="00F83001"/>
    <w:rsid w:val="00F83A5E"/>
    <w:rsid w:val="00F84333"/>
    <w:rsid w:val="00F84E62"/>
    <w:rsid w:val="00F85A7A"/>
    <w:rsid w:val="00F87850"/>
    <w:rsid w:val="00F90A71"/>
    <w:rsid w:val="00F93404"/>
    <w:rsid w:val="00F93595"/>
    <w:rsid w:val="00F93A74"/>
    <w:rsid w:val="00F956C1"/>
    <w:rsid w:val="00FA12C2"/>
    <w:rsid w:val="00FA3B6B"/>
    <w:rsid w:val="00FA49F8"/>
    <w:rsid w:val="00FA4B27"/>
    <w:rsid w:val="00FA76B1"/>
    <w:rsid w:val="00FB05C8"/>
    <w:rsid w:val="00FB097E"/>
    <w:rsid w:val="00FB17CF"/>
    <w:rsid w:val="00FB1D36"/>
    <w:rsid w:val="00FB2CA4"/>
    <w:rsid w:val="00FB55C3"/>
    <w:rsid w:val="00FB5DFC"/>
    <w:rsid w:val="00FC05DE"/>
    <w:rsid w:val="00FC48A7"/>
    <w:rsid w:val="00FC4DE7"/>
    <w:rsid w:val="00FC6083"/>
    <w:rsid w:val="00FD2502"/>
    <w:rsid w:val="00FD5939"/>
    <w:rsid w:val="00FD6862"/>
    <w:rsid w:val="00FE139E"/>
    <w:rsid w:val="00FE2985"/>
    <w:rsid w:val="00FE32AF"/>
    <w:rsid w:val="00FE3EEB"/>
    <w:rsid w:val="00FE7744"/>
    <w:rsid w:val="00FE7F3A"/>
    <w:rsid w:val="00FF5067"/>
    <w:rsid w:val="00FF5C9B"/>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59349"/>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F7"/>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273C50"/>
    <w:pPr>
      <w:spacing w:after="0"/>
      <w:ind w:left="2657" w:right="720" w:hanging="5537"/>
    </w:pPr>
  </w:style>
  <w:style w:type="character" w:customStyle="1" w:styleId="BodyText2Char">
    <w:name w:val="Body Text 2 Char"/>
    <w:basedOn w:val="DefaultParagraphFont"/>
    <w:link w:val="BodyText2"/>
    <w:uiPriority w:val="99"/>
    <w:rsid w:val="00273C50"/>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semiHidden/>
    <w:rsid w:val="004E4964"/>
    <w:pPr>
      <w:spacing w:after="0"/>
      <w:ind w:left="400"/>
    </w:pPr>
  </w:style>
  <w:style w:type="character" w:styleId="PageNumber">
    <w:name w:val="page number"/>
    <w:basedOn w:val="DefaultParagraphFont"/>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99"/>
    <w:rsid w:val="004E4964"/>
    <w:pPr>
      <w:spacing w:after="0"/>
    </w:pPr>
    <w:rPr>
      <w:sz w:val="24"/>
    </w:rPr>
  </w:style>
  <w:style w:type="character" w:customStyle="1" w:styleId="BodyTextChar">
    <w:name w:val="Body Text Char"/>
    <w:basedOn w:val="DefaultParagraphFont"/>
    <w:link w:val="BodyText"/>
    <w:uiPriority w:val="99"/>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 w:type="paragraph" w:customStyle="1" w:styleId="HEADINGLEVEL1">
    <w:name w:val="HEADING LEVEL 1"/>
    <w:rsid w:val="0026092F"/>
    <w:pPr>
      <w:spacing w:after="480" w:line="360" w:lineRule="exact"/>
      <w:jc w:val="center"/>
    </w:pPr>
    <w:rPr>
      <w:rFonts w:ascii="Times New Roman" w:eastAsia="Times New Roman" w:hAnsi="Times New Roman" w:cs="Times New Roman"/>
      <w:b/>
      <w: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728335554">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 w:id="20788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src.nist.gov/groups/STM" TargetMode="External"/><Relationship Id="rId4" Type="http://schemas.openxmlformats.org/officeDocument/2006/relationships/styles" Target="styles.xml"/><Relationship Id="rId9" Type="http://schemas.openxmlformats.org/officeDocument/2006/relationships/hyperlink" Target="http://www.whitehouse.gov/sites/default/files/omb/grants/approved_forms/SF-4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65B71-42D9-4534-A34F-C0391CFD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6224</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penn_j</dc:creator>
  <cp:lastModifiedBy>Hobby, Amy - BLS</cp:lastModifiedBy>
  <cp:revision>4</cp:revision>
  <cp:lastPrinted>2014-04-08T18:56:00Z</cp:lastPrinted>
  <dcterms:created xsi:type="dcterms:W3CDTF">2015-01-05T18:43:00Z</dcterms:created>
  <dcterms:modified xsi:type="dcterms:W3CDTF">2015-01-05T18:45:00Z</dcterms:modified>
</cp:coreProperties>
</file>